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DE264A">
        <w:trPr>
          <w:trHeight w:val="852"/>
          <w:jc w:val="center"/>
        </w:trPr>
        <w:tc>
          <w:tcPr>
            <w:tcW w:w="6946"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3"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DE264A">
        <w:trPr>
          <w:trHeight w:val="567"/>
          <w:jc w:val="center"/>
        </w:trPr>
        <w:tc>
          <w:tcPr>
            <w:tcW w:w="6946" w:type="dxa"/>
            <w:vMerge/>
            <w:tcBorders>
              <w:right w:val="single" w:sz="4" w:space="0" w:color="auto"/>
            </w:tcBorders>
          </w:tcPr>
          <w:p w14:paraId="39E5E4C1" w14:textId="77777777" w:rsidR="000A03B2" w:rsidRPr="00B57B36" w:rsidRDefault="000A03B2" w:rsidP="00CD5FE2">
            <w:pPr>
              <w:tabs>
                <w:tab w:val="left" w:pos="-108"/>
              </w:tabs>
            </w:pPr>
          </w:p>
        </w:tc>
        <w:tc>
          <w:tcPr>
            <w:tcW w:w="1843"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DE264A">
        <w:trPr>
          <w:trHeight w:val="68"/>
          <w:jc w:val="center"/>
        </w:trPr>
        <w:tc>
          <w:tcPr>
            <w:tcW w:w="8789"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2E667253" w14:textId="31A80E47" w:rsidR="00E978D0" w:rsidRPr="00B57B36" w:rsidRDefault="002718DC" w:rsidP="00E978D0">
      <w:pPr>
        <w:pStyle w:val="CETTitle"/>
      </w:pPr>
      <w:r w:rsidRPr="002718DC">
        <w:t>Reducing Heat Losses in Cement Production Using Data-Driven Methods</w:t>
      </w:r>
    </w:p>
    <w:p w14:paraId="0488FED2" w14:textId="568E0D77" w:rsidR="00B57E6F" w:rsidRPr="00B57B36" w:rsidRDefault="002718DC" w:rsidP="00B57E6F">
      <w:pPr>
        <w:pStyle w:val="CETAuthors"/>
      </w:pPr>
      <w:r w:rsidRPr="002718DC">
        <w:t>Abror Turakulov</w:t>
      </w:r>
      <w:r w:rsidR="00B57E6F" w:rsidRPr="00B57B36">
        <w:rPr>
          <w:vertAlign w:val="superscript"/>
        </w:rPr>
        <w:t>a</w:t>
      </w:r>
      <w:r w:rsidRPr="00B57B36">
        <w:rPr>
          <w:vertAlign w:val="superscript"/>
        </w:rPr>
        <w:t>,</w:t>
      </w:r>
      <w:r w:rsidRPr="00B57B36">
        <w:t>*</w:t>
      </w:r>
      <w:r w:rsidR="00B57E6F" w:rsidRPr="00B57B36">
        <w:t xml:space="preserve">, </w:t>
      </w:r>
      <w:r>
        <w:t>Zafar Turakulov</w:t>
      </w:r>
      <w:r w:rsidR="00B57E6F" w:rsidRPr="00B57B36">
        <w:rPr>
          <w:vertAlign w:val="superscript"/>
        </w:rPr>
        <w:t>b</w:t>
      </w:r>
      <w:r w:rsidR="00B57E6F" w:rsidRPr="00B57B36">
        <w:t xml:space="preserve">, </w:t>
      </w:r>
      <w:r w:rsidR="00133E51" w:rsidRPr="00C5182B">
        <w:rPr>
          <w:szCs w:val="24"/>
          <w:lang w:val="en-US"/>
        </w:rPr>
        <w:t>Maksadkhan Yakubov</w:t>
      </w:r>
      <w:r w:rsidR="00133E51">
        <w:rPr>
          <w:vertAlign w:val="superscript"/>
        </w:rPr>
        <w:t>c</w:t>
      </w:r>
      <w:r w:rsidR="00133E51">
        <w:t>, Adham Norkobilov</w:t>
      </w:r>
      <w:r w:rsidR="00133E51" w:rsidRPr="00B57B36">
        <w:rPr>
          <w:vertAlign w:val="superscript"/>
        </w:rPr>
        <w:t>a</w:t>
      </w:r>
      <w:r w:rsidR="00133E51">
        <w:t xml:space="preserve"> </w:t>
      </w:r>
    </w:p>
    <w:p w14:paraId="6B2D21B3" w14:textId="6660FB1C" w:rsidR="00B57E6F" w:rsidRPr="00B57B36" w:rsidRDefault="00B57E6F" w:rsidP="00B57E6F">
      <w:pPr>
        <w:pStyle w:val="CETAddress"/>
      </w:pPr>
      <w:r w:rsidRPr="00B57B36">
        <w:rPr>
          <w:vertAlign w:val="superscript"/>
        </w:rPr>
        <w:t>a</w:t>
      </w:r>
      <w:r w:rsidR="00133E51" w:rsidRPr="00133E51">
        <w:t>Faculty of Food Engineering in Shahrisabz, Karshi State Technical University, Shahrisabz</w:t>
      </w:r>
      <w:r w:rsidR="00133E51">
        <w:t>,</w:t>
      </w:r>
      <w:r w:rsidR="00133E51" w:rsidRPr="00133E51">
        <w:t xml:space="preserve"> 181306, Uzbekistan</w:t>
      </w:r>
    </w:p>
    <w:p w14:paraId="3D72B0B0" w14:textId="50656820" w:rsidR="00B57E6F" w:rsidRDefault="00B57E6F" w:rsidP="00B57E6F">
      <w:pPr>
        <w:pStyle w:val="CETAddress"/>
      </w:pPr>
      <w:r w:rsidRPr="00B57B36">
        <w:rPr>
          <w:vertAlign w:val="superscript"/>
        </w:rPr>
        <w:t>b</w:t>
      </w:r>
      <w:r w:rsidR="00133E51" w:rsidRPr="00133E51">
        <w:t>Department of Automation and Digital Control, Tashkent Institute of Chemical Technology, Tashkent</w:t>
      </w:r>
      <w:r w:rsidR="00133E51">
        <w:t>,</w:t>
      </w:r>
      <w:r w:rsidR="00133E51" w:rsidRPr="00133E51">
        <w:t xml:space="preserve"> 100011, Uzbekistan</w:t>
      </w:r>
    </w:p>
    <w:p w14:paraId="5B0D9484" w14:textId="67C881E6" w:rsidR="00133E51" w:rsidRPr="00B57B36" w:rsidRDefault="00E94A5C" w:rsidP="00133E51">
      <w:pPr>
        <w:pStyle w:val="CETAddress"/>
      </w:pPr>
      <w:r>
        <w:rPr>
          <w:vertAlign w:val="superscript"/>
        </w:rPr>
        <w:t>c</w:t>
      </w:r>
      <w:r w:rsidR="00133E51" w:rsidRPr="00133E51">
        <w:t xml:space="preserve">Department of Convergence of </w:t>
      </w:r>
      <w:r>
        <w:t>D</w:t>
      </w:r>
      <w:r w:rsidR="00133E51" w:rsidRPr="00133E51">
        <w:t xml:space="preserve">igital </w:t>
      </w:r>
      <w:r>
        <w:t>T</w:t>
      </w:r>
      <w:r w:rsidR="00133E51" w:rsidRPr="00133E51">
        <w:t xml:space="preserve">echnologies, </w:t>
      </w:r>
      <w:r w:rsidR="00133E51">
        <w:t>T</w:t>
      </w:r>
      <w:r w:rsidR="00133E51" w:rsidRPr="00133E51">
        <w:t>ashkent University of Information Technology</w:t>
      </w:r>
      <w:r w:rsidR="00133E51">
        <w:t xml:space="preserve"> </w:t>
      </w:r>
      <w:r w:rsidR="00133E51" w:rsidRPr="00133E51">
        <w:t>named after Muhammad Al-Khwarizmi, Tashkent</w:t>
      </w:r>
      <w:r w:rsidR="00133E51">
        <w:t>,</w:t>
      </w:r>
      <w:r w:rsidR="00133E51" w:rsidRPr="00133E51">
        <w:t xml:space="preserve"> 1000</w:t>
      </w:r>
      <w:r w:rsidR="00133E51">
        <w:t>20</w:t>
      </w:r>
      <w:r w:rsidR="00133E51" w:rsidRPr="00133E51">
        <w:t>, Uzbekistan</w:t>
      </w:r>
    </w:p>
    <w:p w14:paraId="75BFD2F9" w14:textId="77777777" w:rsidR="00133E51" w:rsidRPr="00B57B36" w:rsidRDefault="00133E51" w:rsidP="00B57E6F">
      <w:pPr>
        <w:pStyle w:val="CETAddress"/>
      </w:pPr>
    </w:p>
    <w:p w14:paraId="73F1267A" w14:textId="46DE5383" w:rsidR="00B57E6F" w:rsidRPr="00B57B36" w:rsidRDefault="00B57E6F" w:rsidP="00B57E6F">
      <w:pPr>
        <w:pStyle w:val="CETemail"/>
      </w:pPr>
      <w:r>
        <w:t xml:space="preserve"> </w:t>
      </w:r>
      <w:r w:rsidR="00133E51">
        <w:t>tktishf</w:t>
      </w:r>
      <w:r w:rsidRPr="00B57B36">
        <w:t>@</w:t>
      </w:r>
      <w:r w:rsidR="00133E51">
        <w:t>gmail</w:t>
      </w:r>
      <w:r w:rsidRPr="00B57B36">
        <w:t>.com</w:t>
      </w:r>
    </w:p>
    <w:p w14:paraId="6EFAD6B3" w14:textId="407E81BE" w:rsidR="00133E51" w:rsidRPr="00133E51" w:rsidRDefault="00133E51" w:rsidP="00B4288E">
      <w:pPr>
        <w:pStyle w:val="CETBodytext"/>
      </w:pPr>
      <w:r w:rsidRPr="00133E51">
        <w:t>The cement industry in Uzbekistan is characterized by high energy intensity and significant greenhouse gas (GHG) emissions due to clinker production and coal-based fuel combustion. This study investigates a representative integrated cement plant in the Kashkadarya region with an annual production capacity of 1.5 million tonnes. The plant-level emission intensity is estimated at 0.708 t C</w:t>
      </w:r>
      <w:r w:rsidRPr="00B4288E">
        <w:t>O</w:t>
      </w:r>
      <w:r w:rsidRPr="00B4288E">
        <w:rPr>
          <w:vertAlign w:val="subscript"/>
        </w:rPr>
        <w:t>2</w:t>
      </w:r>
      <w:r w:rsidRPr="00133E51">
        <w:t xml:space="preserve"> per tonne of cement, corresponding to approximately 1.06 Mt CO</w:t>
      </w:r>
      <w:r w:rsidRPr="00B4288E">
        <w:rPr>
          <w:vertAlign w:val="subscript"/>
        </w:rPr>
        <w:t>2</w:t>
      </w:r>
      <w:r w:rsidRPr="00133E51">
        <w:t xml:space="preserve"> annually. The main source of inefficiency is associated with heat losses and sub-optimal thermal regimes in the rotary kiln system.</w:t>
      </w:r>
      <w:r w:rsidRPr="00B4288E">
        <w:t xml:space="preserve"> </w:t>
      </w:r>
      <w:r w:rsidRPr="00133E51">
        <w:t>A data-driven framework is proposed to model thermodynamic behavior and optimize operating conditions for minimizing heat losses and fuel consumption. Historical operational data, including temperature profiles, material flow rates, and fuel usage, are preprocessed using statistical filtering and normalization techniques. A hybrid CNN–RNN model is developed to capture nonlinear and temporal relationships between process variables and to predict key performance indicators such as specific heat consumption and heat loss rates.</w:t>
      </w:r>
      <w:r w:rsidRPr="00B4288E">
        <w:t xml:space="preserve"> </w:t>
      </w:r>
      <w:r w:rsidRPr="00133E51">
        <w:t>An optimization problem is formulated under technological constraints, including temperature limits, clinker quality requirements, and material balance conditions. The results show that specific heat consumption can be reduced from 960–1000 to 850–880 kcal/kg clinker, achieving a 10–12% improvement. This leads to a 6–9% reduction in emission intensity, corresponding to an annual GHG reduction of 0.06–0.10 Mt CO</w:t>
      </w:r>
      <w:r w:rsidR="00B4288E" w:rsidRPr="00B4288E">
        <w:rPr>
          <w:vertAlign w:val="subscript"/>
        </w:rPr>
        <w:t>2</w:t>
      </w:r>
      <w:r w:rsidRPr="00133E51">
        <w:t>.</w:t>
      </w:r>
    </w:p>
    <w:p w14:paraId="7C612EDF" w14:textId="77777777" w:rsidR="00133E51" w:rsidRPr="00133E51" w:rsidRDefault="00133E51" w:rsidP="00600535">
      <w:pPr>
        <w:pStyle w:val="CETBodytext"/>
      </w:pPr>
    </w:p>
    <w:p w14:paraId="476B2F2E" w14:textId="77777777" w:rsidR="00600535" w:rsidRPr="00B57B36" w:rsidRDefault="00600535" w:rsidP="00600535">
      <w:pPr>
        <w:pStyle w:val="CETHeading1"/>
        <w:rPr>
          <w:lang w:val="en-GB"/>
        </w:rPr>
      </w:pPr>
      <w:r w:rsidRPr="00B57B36">
        <w:rPr>
          <w:lang w:val="en-GB"/>
        </w:rPr>
        <w:t>Introduction</w:t>
      </w:r>
    </w:p>
    <w:p w14:paraId="47D783D7" w14:textId="2CD0EE31" w:rsidR="00D6315E" w:rsidRPr="00D6315E" w:rsidRDefault="00D6315E" w:rsidP="00D6315E">
      <w:pPr>
        <w:pStyle w:val="CETBodytext"/>
      </w:pPr>
      <w:r w:rsidRPr="00D6315E">
        <w:t>The cement industry is widely recognized as one of the most energy-intensive industrial sectors due to the high thermal requirements of clinker production</w:t>
      </w:r>
      <w:r>
        <w:t xml:space="preserve"> </w:t>
      </w:r>
      <w:r>
        <w:fldChar w:fldCharType="begin"/>
      </w:r>
      <w:r w:rsidR="00DB55E3">
        <w:instrText xml:space="preserve"> ADDIN ZOTERO_ITEM CSL_CITATION {"citationID":"pMEDGlm6","properties":{"formattedCitation":"(Chew Yick Eu et al., 2024; Fierro et al., 2020)","plainCitation":"(Chew Yick Eu et al., 2024; Fierro et al., 2020)","noteIndex":0},"citationItems":[{"id":1115,"uris":["http://zotero.org/users/11636083/items/P5HZLNRP"],"itemData":{"id":1115,"type":"article-journal","container-title":"Chemical Engineering Transactions","DOI":"10.3303/CET24114047","page":"277–282","source":"DOI.org (CSL JSON)","title":"Optimising Smart Energy System for Decarbonising Cement Production Operations","volume":"114","author":[{"literal":"Chew Yick Eu"},{"literal":"How Bing Shen"},{"literal":"Sunarso Jaka"},{"literal":"Moser Irene"},{"literal":"Andiappan Viknesh"}],"issued":{"date-parts":[["2024",12]]}}},{"id":195,"uris":["http://zotero.org/users/11636083/items/BWHN7MYQ"],"itemData":{"id":195,"type":"article-journal","container-title":"International Journal of Thermofluids","DOI":"10.1016/j.ijft.2020.100040","ISSN":"26662027","journalAbbreviation":"International Journal of Thermofluids","language":"en","page":"100040","source":"DOI.org (Crossref)","title":"Evaluation of waste heat recovery technologies for the cement industry","volume":"7-8","author":[{"family":"Fierro","given":"José J."},{"family":"Escudero-Atehortua","given":"Ana"},{"family":"Nieto-Londoño","given":"César"},{"family":"Giraldo","given":"Mauricio"},{"family":"Jouhara","given":"Hussam"},{"family":"Wrobel","given":"Luiz C."}],"issued":{"date-parts":[["2020",11]]}}}],"schema":"https://github.com/citation-style-language/schema/raw/master/csl-citation.json"} </w:instrText>
      </w:r>
      <w:r>
        <w:fldChar w:fldCharType="separate"/>
      </w:r>
      <w:r w:rsidR="00DB55E3" w:rsidRPr="00DB55E3">
        <w:rPr>
          <w:rFonts w:cs="Arial"/>
        </w:rPr>
        <w:t>(Chew Yick Eu et al., 2024; Fierro et al., 2020)</w:t>
      </w:r>
      <w:r>
        <w:fldChar w:fldCharType="end"/>
      </w:r>
      <w:r w:rsidRPr="00D6315E">
        <w:t>. The rotary kiln process, which operates at temperatures exceeding 1400 °C, demands substantial fuel consumption and is inherently associated with significant heat losses</w:t>
      </w:r>
      <w:r w:rsidR="008704F1">
        <w:t xml:space="preserve"> </w:t>
      </w:r>
      <w:r w:rsidR="008704F1">
        <w:fldChar w:fldCharType="begin"/>
      </w:r>
      <w:r w:rsidR="000B18A7">
        <w:instrText xml:space="preserve"> ADDIN ZOTERO_ITEM CSL_CITATION {"citationID":"TLzooKng","properties":{"unsorted":false,"formattedCitation":"(Sahoo et al., 2022)","plainCitation":"(Sahoo et al., 2022)","noteIndex":0},"citationItems":[{"id":204,"uris":["http://zotero.org/users/11636083/items/7JRSGJ6S"],"itemData":{"id":204,"type":"article-journal","container-title":"Environmental Development","DOI":"10.1016/j.envdev.2022.100767","ISSN":"22114645","journalAbbreviation":"Environmental Development","language":"en","page":"100767","source":"DOI.org (Crossref)","title":"Review on energy conservation and emission reduction approaches for cement industry","volume":"44","author":[{"family":"Sahoo","given":"Niranjan"},{"family":"Kumar","given":"Anil"},{"literal":"Samsher"}],"issued":{"date-parts":[["2022",12]]}}}],"schema":"https://github.com/citation-style-language/schema/raw/master/csl-citation.json"} </w:instrText>
      </w:r>
      <w:r w:rsidR="008704F1">
        <w:fldChar w:fldCharType="separate"/>
      </w:r>
      <w:r w:rsidR="008704F1" w:rsidRPr="008704F1">
        <w:rPr>
          <w:rFonts w:cs="Arial"/>
        </w:rPr>
        <w:t>(Sahoo et al., 2022)</w:t>
      </w:r>
      <w:r w:rsidR="008704F1">
        <w:fldChar w:fldCharType="end"/>
      </w:r>
      <w:r w:rsidRPr="00D6315E">
        <w:t>. These losses occur through multiple pathways, including exhaust gases, kiln shell radiation, and material discharge, and directly influence both energy efficiency and environmental performance</w:t>
      </w:r>
      <w:r w:rsidR="008704F1">
        <w:t xml:space="preserve"> </w:t>
      </w:r>
      <w:r w:rsidR="008704F1">
        <w:fldChar w:fldCharType="begin"/>
      </w:r>
      <w:r w:rsidR="00DB55E3">
        <w:instrText xml:space="preserve"> ADDIN ZOTERO_ITEM CSL_CITATION {"citationID":"IYeMoVsO","properties":{"formattedCitation":"(Kaabeche D. Khatima et al., 2014; Kusuma et al., 2022)","plainCitation":"(Kaabeche D. Khatima et al., 2014; Kusuma et al., 2022)","noteIndex":0},"citationItems":[{"id":1116,"uris":["http://zotero.org/users/11636083/items/3ITXMPIA"],"itemData":{"id":1116,"type":"article-journal","container-title":"Chemical Engineering Transactions","DOI":"10.3303/CET1437124","page":"739–744","source":"DOI.org (CSL JSON)","title":"Energy recovery in the baking line of the cement plant djawad taher of algeria","volume":"37","author":[{"literal":"Kaabeche D. Khatima"},{"literal":"Kara Mokhtar"},{"literal":"Sif Ghernoug"},{"literal":"Belbaki Abdelber"},{"literal":"Bousba Salim"}],"issued":{"date-parts":[["2014"]]}}},{"id":169,"uris":["http://zotero.org/users/11636083/items/DKD7DXIG"],"itemData":{"id":169,"type":"article-journal","container-title":"Renewable and Sustainable Energy Reviews","DOI":"10.1016/j.rser.2022.112503","ISSN":"13640321","journalAbbreviation":"Renewable and Sustainable Energy Reviews","language":"en","page":"112503","source":"DOI.org (Crossref)","title":"Sustainable transition towards biomass-based cement industry: A review","title-short":"Sustainable transition towards biomass-based cement industry","volume":"163","author":[{"family":"Kusuma","given":"Ravi Teja"},{"family":"Hiremath","given":"Rahul B."},{"family":"Rajesh","given":"Pachimatla"},{"family":"Kumar","given":"Bimlesh"},{"family":"Renukappa","given":"Suresh"}],"issued":{"date-parts":[["2022",7]]}}}],"schema":"https://github.com/citation-style-language/schema/raw/master/csl-citation.json"} </w:instrText>
      </w:r>
      <w:r w:rsidR="008704F1">
        <w:fldChar w:fldCharType="separate"/>
      </w:r>
      <w:r w:rsidR="00DB55E3" w:rsidRPr="00DB55E3">
        <w:rPr>
          <w:rFonts w:cs="Arial"/>
        </w:rPr>
        <w:t>(Kaabeche D. Khatima et al., 2014; Kusuma et al., 2022)</w:t>
      </w:r>
      <w:r w:rsidR="008704F1">
        <w:fldChar w:fldCharType="end"/>
      </w:r>
      <w:r w:rsidRPr="00D6315E">
        <w:t>.</w:t>
      </w:r>
    </w:p>
    <w:p w14:paraId="4D0774E7" w14:textId="5B51E1B6" w:rsidR="00D6315E" w:rsidRDefault="00D6315E" w:rsidP="00D6315E">
      <w:pPr>
        <w:pStyle w:val="CETBodytext"/>
      </w:pPr>
      <w:r w:rsidRPr="00D6315E">
        <w:t>In Uzbekistan, the cement sector has undergone rapid expansion driven by increasing demand for construction materials. This growth has been accompanied by a transition toward coal-based fuel systems, which, while economically advantageous, introduce additional thermodynamic inefficiencies and higher greenhouse gas (GHG) emissions. Under such conditions, the optimization of thermal energy usage becomes a critical factor in improving plant performance</w:t>
      </w:r>
      <w:r>
        <w:t xml:space="preserve"> </w:t>
      </w:r>
      <w:r>
        <w:fldChar w:fldCharType="begin"/>
      </w:r>
      <w:r w:rsidR="000B18A7">
        <w:instrText xml:space="preserve"> ADDIN ZOTERO_ITEM CSL_CITATION {"citationID":"4OaIJixw","properties":{"unsorted":false,"formattedCitation":"(Turakulov et al., 2024)","plainCitation":"(Turakulov et al., 2024)","noteIndex":0},"citationItems":[{"id":699,"uris":["http://zotero.org/users/11636083/items/4Y22UR45"],"itemData":{"id":699,"type":"article-journal","container-title":"Chemical Engineering Research and Design","DOI":"10.1016/j.cherd.2024.09.003","ISSN":"02638762","journalAbbreviation":"Chemical Engineering Research and Design","language":"en","page":"625-637","source":"DOI.org (Crossref)","title":"Techno-economic and environmental analysis of decarbonization pathways for cement plants in Uzbekistan","volume":"210","author":[{"family":"Turakulov","given":"Zafar"},{"family":"Kamolov","given":"Azizbek"},{"family":"Norkobilov","given":"Adham"},{"family":"Variny","given":"Miroslav"},{"family":"Fallanza","given":"Marcos"}],"issued":{"date-parts":[["2024",10]]}}}],"schema":"https://github.com/citation-style-language/schema/raw/master/csl-citation.json"} </w:instrText>
      </w:r>
      <w:r>
        <w:fldChar w:fldCharType="separate"/>
      </w:r>
      <w:r w:rsidRPr="00D6315E">
        <w:rPr>
          <w:rFonts w:cs="Arial"/>
        </w:rPr>
        <w:t>(Turakulov et al., 2024)</w:t>
      </w:r>
      <w:r>
        <w:fldChar w:fldCharType="end"/>
      </w:r>
      <w:r w:rsidRPr="00D6315E">
        <w:t xml:space="preserve">. </w:t>
      </w:r>
    </w:p>
    <w:p w14:paraId="31E9ADE4" w14:textId="37CF29D1" w:rsidR="00D6315E" w:rsidRPr="00D6315E" w:rsidRDefault="00D6315E" w:rsidP="00D6315E">
      <w:pPr>
        <w:pStyle w:val="CETBodytext"/>
      </w:pPr>
      <w:r w:rsidRPr="00D6315E">
        <w:t>For a representative cement plant with an annual production capacity of 1.5 million tonnes, emission intensity is estimated at approximately 0.708 t CO</w:t>
      </w:r>
      <w:r>
        <w:rPr>
          <w:rFonts w:ascii="Cambria Math" w:hAnsi="Cambria Math" w:cs="Cambria Math"/>
          <w:vertAlign w:val="subscript"/>
        </w:rPr>
        <w:t>2</w:t>
      </w:r>
      <w:r w:rsidRPr="00D6315E">
        <w:t xml:space="preserve"> per tonne of cement, resulting in over 1 million tonnes of CO</w:t>
      </w:r>
      <w:r w:rsidRPr="00D6315E">
        <w:rPr>
          <w:rFonts w:ascii="Cambria Math" w:hAnsi="Cambria Math" w:cs="Cambria Math"/>
          <w:vertAlign w:val="subscript"/>
        </w:rPr>
        <w:t>2</w:t>
      </w:r>
      <w:r w:rsidRPr="00D6315E">
        <w:t xml:space="preserve"> emissions annually. A substantial portion of these emissions is indirectly linked to inefficient heat utilization within the kiln system</w:t>
      </w:r>
      <w:r w:rsidR="008704F1">
        <w:t xml:space="preserve"> </w:t>
      </w:r>
      <w:r w:rsidR="008704F1">
        <w:fldChar w:fldCharType="begin"/>
      </w:r>
      <w:r w:rsidR="000B18A7">
        <w:instrText xml:space="preserve"> ADDIN ZOTERO_ITEM CSL_CITATION {"citationID":"sgDzFGeJ","properties":{"unsorted":false,"formattedCitation":"(Marenco-Porto et al., 2023)","plainCitation":"(Marenco-Porto et al., 2023)","noteIndex":0},"citationItems":[{"id":198,"uris":["http://zotero.org/users/11636083/items/86YDGZIZ"],"itemData":{"id":198,"type":"article-journal","container-title":"Energy","DOI":"10.1016/j.energy.2023.127810","ISSN":"03605442","journalAbbreviation":"Energy","language":"en","page":"127810","source":"DOI.org (Crossref)","title":"Potential savings in the cement industry using waste heat recovery technologies","volume":"279","author":[{"family":"Marenco-Porto","given":"Carlos A."},{"family":"Fierro","given":"José J."},{"family":"Nieto-Londoño","given":"César"},{"family":"Lopera","given":"Leonardo"},{"family":"Escudero-Atehortua","given":"Ana"},{"family":"Giraldo","given":"Mauricio"},{"family":"Jouhara","given":"Hussam"}],"issued":{"date-parts":[["2023",9]]}}}],"schema":"https://github.com/citation-style-language/schema/raw/master/csl-citation.json"} </w:instrText>
      </w:r>
      <w:r w:rsidR="008704F1">
        <w:fldChar w:fldCharType="separate"/>
      </w:r>
      <w:r w:rsidR="008704F1" w:rsidRPr="008704F1">
        <w:rPr>
          <w:rFonts w:cs="Arial"/>
        </w:rPr>
        <w:t>(Marenco-Porto et al., 2023)</w:t>
      </w:r>
      <w:r w:rsidR="008704F1">
        <w:fldChar w:fldCharType="end"/>
      </w:r>
      <w:r w:rsidRPr="00D6315E">
        <w:t>.</w:t>
      </w:r>
    </w:p>
    <w:p w14:paraId="6CC0D50C" w14:textId="1D94CB43" w:rsidR="00D6315E" w:rsidRPr="00D6315E" w:rsidRDefault="00D6315E" w:rsidP="00D6315E">
      <w:pPr>
        <w:pStyle w:val="CETBodytext"/>
      </w:pPr>
      <w:r w:rsidRPr="00D6315E">
        <w:t>The primary source of inefficiency in cement production is associated with non-optimal thermal regimes</w:t>
      </w:r>
      <w:r w:rsidR="008E3372">
        <w:t xml:space="preserve"> </w:t>
      </w:r>
      <w:r w:rsidR="008E3372">
        <w:fldChar w:fldCharType="begin"/>
      </w:r>
      <w:r w:rsidR="000B18A7">
        <w:instrText xml:space="preserve"> ADDIN ZOTERO_ITEM CSL_CITATION {"citationID":"vJm5161a","properties":{"unsorted":false,"formattedCitation":"(K\\uc0\\u228{}\\uc0\\u228{}ntee et al., 2004)","plainCitation":"(Kääntee et al., 2004)","dontUpdate":true,"noteIndex":0},"citationItems":[{"id":172,"uris":["http://zotero.org/users/11636083/items/6BSKXUSV"],"itemData":{"id":172,"type":"article-journal","container-title":"Fuel Processing Technology","DOI":"10.1016/S0378-3820(03)00203-0","ISSN":"03783820","issue":"4","journalAbbreviation":"Fuel Processing Technology","language":"en","license":"https://www.elsevier.com/tdm/userlicense/1.0/","page":"293-301","source":"DOI.org (Crossref)","title":"Cement manufacturing using alternative fuels and the advantages of process modelling","volume":"85","author":[{"family":"Kääntee","given":"U."},{"family":"Zevenhoven","given":"R."},{"family":"Backman","given":"R."},{"family":"Hupa","given":"M."}],"issued":{"date-parts":[["2004",3]]}}}],"schema":"https://github.com/citation-style-language/schema/raw/master/csl-citation.json"} </w:instrText>
      </w:r>
      <w:r w:rsidR="008E3372">
        <w:fldChar w:fldCharType="separate"/>
      </w:r>
      <w:r w:rsidR="00DB55E3">
        <w:rPr>
          <w:rFonts w:cs="Arial"/>
        </w:rPr>
        <w:fldChar w:fldCharType="begin"/>
      </w:r>
      <w:r w:rsidR="00DB55E3">
        <w:rPr>
          <w:rFonts w:cs="Arial"/>
        </w:rPr>
        <w:instrText xml:space="preserve"> INCLUDETEXT "C:\\Users\\vipas\\AppData\\Local\\Temp\\ZOTCF09.tmp" \c XML </w:instrText>
      </w:r>
      <w:r w:rsidR="00000000">
        <w:rPr>
          <w:rFonts w:cs="Arial"/>
        </w:rPr>
        <w:fldChar w:fldCharType="separate"/>
      </w:r>
      <w:r w:rsidR="00DB55E3">
        <w:rPr>
          <w:rFonts w:cs="Arial"/>
        </w:rPr>
        <w:fldChar w:fldCharType="end"/>
      </w:r>
      <w:r w:rsidR="00DB55E3">
        <w:rPr>
          <w:rFonts w:cs="Arial"/>
        </w:rPr>
        <w:t xml:space="preserve"> </w:t>
      </w:r>
      <w:r w:rsidR="008E3372">
        <w:fldChar w:fldCharType="end"/>
      </w:r>
      <w:r w:rsidRPr="00D6315E">
        <w:t xml:space="preserve">. Variations in temperature distribution, fuel feed rates, and air flow conditions lead to incomplete heat transfer </w:t>
      </w:r>
      <w:r w:rsidRPr="00D6315E">
        <w:lastRenderedPageBreak/>
        <w:t>and increased specific heat consumption. In practical operation, these inefficiencies manifest as elevated exhaust gas temperatures, unstable combustion zones, and excessive energy dissipation through the kiln surface. As a result, the specific thermal energy consumption in many industrial systems remains within the range of 960–1000 kcal/kg clinker, which indicates a significant potential for improvement.</w:t>
      </w:r>
    </w:p>
    <w:p w14:paraId="3CBA29AA" w14:textId="5C518524" w:rsidR="00D6315E" w:rsidRPr="00D6315E" w:rsidRDefault="00D6315E" w:rsidP="00D6315E">
      <w:pPr>
        <w:pStyle w:val="CETBodytext"/>
      </w:pPr>
      <w:r w:rsidRPr="00D6315E">
        <w:t>Traditional approaches to improving thermal efficiency are typically based on empirical adjustments and steady-state analysis. While such methods can yield incremental improvements, they are limited in their ability to capture complex, nonlinear relationships between process variables. In particular, the thermodynamic behavior of rotary kiln systems is influenced by strongly coupled and time-dependent interactions, making it difficult to derive accurate analytical models based solely on first principles. This limitation necessitates alternative approaches capable of extracting meaningful patterns from operational data</w:t>
      </w:r>
      <w:r>
        <w:t xml:space="preserve"> </w:t>
      </w:r>
      <w:r>
        <w:fldChar w:fldCharType="begin"/>
      </w:r>
      <w:r w:rsidR="000B18A7">
        <w:instrText xml:space="preserve"> ADDIN ZOTERO_ITEM CSL_CITATION {"citationID":"z3vdU0IW","properties":{"unsorted":false,"formattedCitation":"(Mittal &amp; Rakshit, 2020)","plainCitation":"(Mittal &amp; Rakshit, 2020)","noteIndex":0},"citationItems":[{"id":209,"uris":["http://zotero.org/users/11636083/items/DHZXC3T7"],"itemData":{"id":209,"type":"article-journal","container-title":"Thermal Science and Engineering Progress","DOI":"10.1016/j.tsep.2020.100729","ISSN":"24519049","journalAbbreviation":"Thermal Science and Engineering Progress","language":"en","page":"100729","source":"DOI.org (Crossref)","title":"Utilization of cement rotary kiln waste heat for calcination of phosphogypsum","volume":"20","author":[{"family":"Mittal","given":"Ankur"},{"family":"Rakshit","given":"Dibakar"}],"issued":{"date-parts":[["2020",12]]}}}],"schema":"https://github.com/citation-style-language/schema/raw/master/csl-citation.json"} </w:instrText>
      </w:r>
      <w:r>
        <w:fldChar w:fldCharType="separate"/>
      </w:r>
      <w:r w:rsidR="000B18A7" w:rsidRPr="000B18A7">
        <w:rPr>
          <w:rFonts w:cs="Arial"/>
        </w:rPr>
        <w:t>(Mittal &amp; Rakshit, 2020)</w:t>
      </w:r>
      <w:r>
        <w:fldChar w:fldCharType="end"/>
      </w:r>
      <w:r w:rsidRPr="00D6315E">
        <w:t>.</w:t>
      </w:r>
    </w:p>
    <w:p w14:paraId="4CDD45C9" w14:textId="76864A29" w:rsidR="00D6315E" w:rsidRPr="00D6315E" w:rsidRDefault="00D6315E" w:rsidP="00D6315E">
      <w:pPr>
        <w:pStyle w:val="CETBodytext"/>
      </w:pPr>
      <w:r w:rsidRPr="00D6315E">
        <w:t>Data-driven modeling has emerged as an effective tool for analyzing complex industrial systems where explicit physical modeling is challenging. By utilizing historical process data, these methods enable the identification of nonlinear dependencies between input variables and performance indicators</w:t>
      </w:r>
      <w:r>
        <w:t xml:space="preserve"> </w:t>
      </w:r>
      <w:r>
        <w:fldChar w:fldCharType="begin"/>
      </w:r>
      <w:r w:rsidR="00DB55E3">
        <w:instrText xml:space="preserve"> ADDIN ZOTERO_ITEM CSL_CITATION {"citationID":"kAhiEWw4","properties":{"unsorted":false,"formattedCitation":"(Ekinci et al., 2020)","plainCitation":"(Ekinci et al., 2020)","noteIndex":0},"citationItems":[{"id":289,"uris":["http://zotero.org/users/11636083/items/FVQUIHN6"],"itemData":{"id":289,"type":"article-journal","container-title":"Science of The Total Environment","DOI":"10.1016/j.scitotenv.2020.136948","ISSN":"00489697","journalAbbreviation":"Science of The Total Environment","language":"en","page":"136948","source":"DOI.org (Crossref)","title":"Using system dynamics to assess the environmental management of cement industry in streaming data context","volume":"715","author":[{"family":"Ekinci","given":"Esra"},{"family":"Kazancoglu","given":"Yigit"},{"family":"Mangla","given":"Sachin Kumar"}],"issued":{"date-parts":[["2020",5]]}}}],"schema":"https://github.com/citation-style-language/schema/raw/master/csl-citation.json"} </w:instrText>
      </w:r>
      <w:r>
        <w:fldChar w:fldCharType="separate"/>
      </w:r>
      <w:r w:rsidR="00DB55E3" w:rsidRPr="00DB55E3">
        <w:rPr>
          <w:rFonts w:cs="Arial"/>
        </w:rPr>
        <w:t>(Ekinci et al., 2020)</w:t>
      </w:r>
      <w:r>
        <w:fldChar w:fldCharType="end"/>
      </w:r>
      <w:r w:rsidRPr="00D6315E">
        <w:t>. In the context of cement production, data-driven approaches can be applied to estimate key parameters such as specific heat consumption and heat loss rates, providing a quantitative basis for performance assessment.</w:t>
      </w:r>
    </w:p>
    <w:p w14:paraId="5FCB007E" w14:textId="0DC619E5" w:rsidR="00D6315E" w:rsidRPr="00D6315E" w:rsidRDefault="00D6315E" w:rsidP="00D6315E">
      <w:pPr>
        <w:pStyle w:val="CETBodytext"/>
      </w:pPr>
      <w:r w:rsidRPr="00D6315E">
        <w:t>Recent developments in machine learning, particularly deep learning techniques, have further enhanced the capability of data-driven models to represent high-dimensional and dynamic systems. Hybrid architectures that combine convolutional neural networks (CNN) and recurrent neural networks (RNN) are particularly suitable for industrial time-series data</w:t>
      </w:r>
      <w:r>
        <w:t xml:space="preserve"> </w:t>
      </w:r>
      <w:r>
        <w:fldChar w:fldCharType="begin"/>
      </w:r>
      <w:r w:rsidR="00DB55E3">
        <w:instrText xml:space="preserve"> ADDIN ZOTERO_ITEM CSL_CITATION {"citationID":"rsb1igcY","properties":{"unsorted":false,"formattedCitation":"(Mattera et al., 2025)","plainCitation":"(Mattera et al., 2025)","noteIndex":0},"citationItems":[{"id":929,"uris":["http://zotero.org/users/11636083/items/Z6AIKHNS"],"itemData":{"id":929,"type":"article-journal","abstract":"Abstract\n            Nowadays, artificial intelligence (AI) has become a crucial Key Enabling Technology with extensive application in diverse industrial sectors. Recently, considerable focus has been directed towards utilizing AI for the development of optimal control in industrial processes. In particular, reinforcement learning (RL) techniques have made significant advancements, enabling their application to data-driven problem-solving for the control of complex systems. Since industrial manufacturing processes can be treated as MIMO non-linear systems, RL can be used to develop complex data-driven intelligent decision-making or control systems. In this work, the workflow for developing a RL application for industrial manufacturing processes, including reward function setup, development of reduced order models and control policy construction, is addressed, and a new process-based reward function is proposed. To showcase the proposed approach, a case study is developed with reference to a wire arc additive manufacturing (WAAM) process. Based on experimental tests, a Reduced Order Model of the system is obtained and a Deep Deterministic Policy Gradient Controller is trained with aim to produce a simple geometry. Particular attention is given to the sim-to-real process by developing a WAAM simulator which allows to simulate the process in a realistic environment and to generate the code to be deployed on the motion platform controller.","container-title":"Journal of Intelligent Manufacturing","DOI":"10.1007/s10845-023-02307-w","ISSN":"0956-5515, 1572-8145","issue":"2","journalAbbreviation":"J Intell Manuf","language":"en","page":"1291-1310","source":"DOI.org (Crossref)","title":"Optimal data-driven control of manufacturing processes using reinforcement learning: an application to wire arc additive manufacturing","title-short":"Optimal data-driven control of manufacturing processes using reinforcement learning","volume":"36","author":[{"family":"Mattera","given":"Giulio"},{"family":"Caggiano","given":"Alessandra"},{"family":"Nele","given":"Luigi"}],"issued":{"date-parts":[["2025",2]]}}}],"schema":"https://github.com/citation-style-language/schema/raw/master/csl-citation.json"} </w:instrText>
      </w:r>
      <w:r>
        <w:fldChar w:fldCharType="separate"/>
      </w:r>
      <w:r w:rsidR="00DB55E3" w:rsidRPr="00DB55E3">
        <w:rPr>
          <w:rFonts w:cs="Arial"/>
        </w:rPr>
        <w:t>(Mattera et al., 2025)</w:t>
      </w:r>
      <w:r>
        <w:fldChar w:fldCharType="end"/>
      </w:r>
      <w:r w:rsidRPr="00D6315E">
        <w:t>. CNN layers facilitate the extraction of local correlations among process variables, while RNN structures capture temporal dependencies and dynamic evolution. This combination enables accurate prediction of thermodynamic indicators under varying operating conditions.</w:t>
      </w:r>
    </w:p>
    <w:p w14:paraId="09DEBEC3" w14:textId="77777777" w:rsidR="00D6315E" w:rsidRPr="00D6315E" w:rsidRDefault="00D6315E" w:rsidP="00D6315E">
      <w:pPr>
        <w:pStyle w:val="CETBodytext"/>
      </w:pPr>
      <w:r w:rsidRPr="00D6315E">
        <w:t>Despite these advancements, the application of data-driven methods for direct reduction of heat losses in cement production remains relatively limited. Existing studies often focus on isolated prediction tasks without linking model outputs to systematic optimization of operating conditions. Furthermore, the integration of predictive modeling with energy performance objectives—such as minimizing specific heat consumption—has not been sufficiently explored in the context of coal-based rotary kiln systems.</w:t>
      </w:r>
    </w:p>
    <w:p w14:paraId="41490247" w14:textId="77777777" w:rsidR="00D6315E" w:rsidRPr="00D6315E" w:rsidRDefault="00D6315E" w:rsidP="00D6315E">
      <w:pPr>
        <w:pStyle w:val="CETBodytext"/>
      </w:pPr>
      <w:r w:rsidRPr="00D6315E">
        <w:t xml:space="preserve">The present study addresses this gap by developing a data-driven framework for modeling and minimizing heat losses in cement production. The approach is based on three main components: preprocessing of operational data to ensure reliability, development of a hybrid CNN–RNN predictive model to estimate thermal performance indicators, and formulation of an optimization problem aimed at reducing heat losses under </w:t>
      </w:r>
      <w:r w:rsidRPr="00D6315E">
        <w:rPr>
          <w:lang w:val="ru-RU"/>
        </w:rPr>
        <w:t>технолог</w:t>
      </w:r>
      <w:r w:rsidRPr="00D6315E">
        <w:t>ik constraints. The analysis is conducted for a representative cement plant in the Kashkadarya region, reflecting typical operating conditions in Uzbekistan.</w:t>
      </w:r>
    </w:p>
    <w:p w14:paraId="28E9238E" w14:textId="77777777" w:rsidR="00D6315E" w:rsidRPr="00D6315E" w:rsidRDefault="00D6315E" w:rsidP="00D6315E">
      <w:pPr>
        <w:pStyle w:val="CETBodytext"/>
      </w:pPr>
      <w:r w:rsidRPr="00D6315E">
        <w:t>The scientific contribution of this work lies in the integration of advanced data-driven modeling techniques with a thermodynamically consistent optimization framework. Unlike conventional methods, the proposed approach provides a systematic mechanism for identifying optimal operating regimes based on real process data. In addition, the study quantifies the potential reduction in energy consumption and associated GHG emissions, thereby establishing a direct link between data-driven analysis and industrial sustainability objectives.</w:t>
      </w:r>
    </w:p>
    <w:p w14:paraId="56DE95A5" w14:textId="28F9C314" w:rsidR="00D6315E" w:rsidRPr="00B57B36" w:rsidRDefault="00D6315E" w:rsidP="00D6315E">
      <w:pPr>
        <w:pStyle w:val="CETHeading1"/>
        <w:rPr>
          <w:lang w:val="en-GB"/>
        </w:rPr>
      </w:pPr>
      <w:r>
        <w:rPr>
          <w:lang w:val="en-GB"/>
        </w:rPr>
        <w:t>Methodology</w:t>
      </w:r>
    </w:p>
    <w:p w14:paraId="17FBBC48" w14:textId="77777777" w:rsidR="00D6315E" w:rsidRPr="00D6315E" w:rsidRDefault="00D6315E" w:rsidP="00D6315E">
      <w:pPr>
        <w:pStyle w:val="CETBodytext"/>
      </w:pPr>
      <w:r w:rsidRPr="00D6315E">
        <w:t xml:space="preserve">The proposed methodology is designed to quantify and minimize heat losses in a coal-based cement production system using a data-driven modeling and optimization framework. The approach consists of three interconnected stages: data acquisition and preprocessing, development of a predictive model for thermodynamic behavior, and formulation of an optimization problem aimed at reducing specific heat consumption under </w:t>
      </w:r>
      <w:r w:rsidRPr="00D6315E">
        <w:rPr>
          <w:lang w:val="ru-RU"/>
        </w:rPr>
        <w:t>технолог</w:t>
      </w:r>
      <w:r w:rsidRPr="00D6315E">
        <w:t>ical constraints.</w:t>
      </w:r>
    </w:p>
    <w:p w14:paraId="2F72DC37" w14:textId="220CFB15" w:rsidR="00D6315E" w:rsidRPr="00D6315E" w:rsidRDefault="00D6315E" w:rsidP="00D6315E">
      <w:pPr>
        <w:pStyle w:val="CETheadingx"/>
      </w:pPr>
      <w:r w:rsidRPr="00D6315E">
        <w:t>Process Description and Assumptions</w:t>
      </w:r>
    </w:p>
    <w:p w14:paraId="6476FD73" w14:textId="7D50B7EF" w:rsidR="00D6315E" w:rsidRDefault="00D6315E" w:rsidP="00D6315E">
      <w:pPr>
        <w:pStyle w:val="CETBodytext"/>
        <w:rPr>
          <w:lang w:val="en-GB"/>
        </w:rPr>
      </w:pPr>
      <w:r w:rsidRPr="00D6315E">
        <w:t xml:space="preserve">The study considers a representative dry-process cement plant located in the Kashkadarya region with an annual production capacity of 1.5 million tonnes. The core </w:t>
      </w:r>
      <w:r w:rsidRPr="00D6315E">
        <w:rPr>
          <w:lang w:val="ru-RU"/>
        </w:rPr>
        <w:t>технолог</w:t>
      </w:r>
      <w:r w:rsidRPr="00D6315E">
        <w:t>ical unit is the rotary kiln, where raw meal undergoes calcination and clinker formation at temperatures ranging from 1350 °C to 1450 °C. The system operates using pulverized coal as the primary fuel source.</w:t>
      </w:r>
      <w:r w:rsidR="00E94A5C">
        <w:t xml:space="preserve"> </w:t>
      </w:r>
      <w:r w:rsidR="00E94A5C" w:rsidRPr="00E94A5C">
        <w:rPr>
          <w:lang w:val="en-GB"/>
        </w:rPr>
        <w:t>Figure 1 presents a simplified process flow diagram of the cement production system considered in this study. Raw meal is introduced into the preheater and calciner before entering the rotary kiln, where clinker formation occurs under high-temperature conditions. Pulverized coal and combustion air are supplied to the kiln burner, while the produced clinker is discharged to the clinker cooler. The principal heat-loss pathways include heat carried by exhaust gases, radiation and convection from the kiln shell, sensible heat contained in the discharged clinker, and losses associated with incomplete combustion.</w:t>
      </w:r>
    </w:p>
    <w:p w14:paraId="2242561F" w14:textId="77777777" w:rsidR="007B73B8" w:rsidRDefault="007B73B8" w:rsidP="007B73B8">
      <w:pPr>
        <w:pStyle w:val="CETBodytext"/>
      </w:pPr>
      <w:r w:rsidRPr="00D6315E">
        <w:lastRenderedPageBreak/>
        <w:t>The baseline specific heat consumption is assumed to lie within the range of 960–1000 kcal/kg clinker, which is consistent with typical industrial performance in coal-based kilns. The overall thermal efficiency is estimated at approximately 55–60%, indicating substantial energy losses within the system.</w:t>
      </w:r>
    </w:p>
    <w:p w14:paraId="66A9FC56" w14:textId="77777777" w:rsidR="007B73B8" w:rsidRPr="007B73B8" w:rsidRDefault="007B73B8" w:rsidP="00D6315E">
      <w:pPr>
        <w:pStyle w:val="CETBodytext"/>
      </w:pPr>
    </w:p>
    <w:p w14:paraId="749740D6" w14:textId="0BDB5671" w:rsidR="00E94A5C" w:rsidRDefault="000B18A7" w:rsidP="000B18A7">
      <w:pPr>
        <w:pStyle w:val="CETBodytext"/>
        <w:jc w:val="center"/>
        <w:rPr>
          <w:lang w:val="en-GB"/>
        </w:rPr>
      </w:pPr>
      <w:r>
        <w:rPr>
          <w:noProof/>
        </w:rPr>
        <w:drawing>
          <wp:inline distT="0" distB="0" distL="0" distR="0" wp14:anchorId="31C2344F" wp14:editId="76EFB2C0">
            <wp:extent cx="3267986" cy="2179772"/>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91553" cy="2195491"/>
                    </a:xfrm>
                    <a:prstGeom prst="rect">
                      <a:avLst/>
                    </a:prstGeom>
                    <a:noFill/>
                    <a:ln>
                      <a:noFill/>
                    </a:ln>
                  </pic:spPr>
                </pic:pic>
              </a:graphicData>
            </a:graphic>
          </wp:inline>
        </w:drawing>
      </w:r>
    </w:p>
    <w:p w14:paraId="1F9EC818" w14:textId="6D6B2893" w:rsidR="00E94A5C" w:rsidRDefault="00E94A5C" w:rsidP="00D6315E">
      <w:pPr>
        <w:pStyle w:val="CETBodytext"/>
        <w:rPr>
          <w:lang w:val="en-GB"/>
        </w:rPr>
      </w:pPr>
      <w:r w:rsidRPr="00E94A5C">
        <w:rPr>
          <w:lang w:val="en-GB"/>
        </w:rPr>
        <w:t>Figure 1: Simplified process flow diagram of the rotary kiln system and the principal heat-loss pathways</w:t>
      </w:r>
    </w:p>
    <w:p w14:paraId="082D3813" w14:textId="77777777" w:rsidR="000B18A7" w:rsidRPr="00D6315E" w:rsidRDefault="000B18A7" w:rsidP="00D6315E">
      <w:pPr>
        <w:pStyle w:val="CETBodytext"/>
      </w:pPr>
    </w:p>
    <w:p w14:paraId="2DD30691" w14:textId="77777777" w:rsidR="00E94A5C" w:rsidRPr="00E94A5C" w:rsidRDefault="00E94A5C" w:rsidP="00E94A5C">
      <w:pPr>
        <w:pStyle w:val="CETBodytext"/>
      </w:pPr>
      <w:r w:rsidRPr="00E94A5C">
        <w:t>Heat losses are represented through the simplified thermal balance given in Eq. (1):</w:t>
      </w:r>
    </w:p>
    <w:p w14:paraId="13AFC55D" w14:textId="488DED27" w:rsidR="00E94A5C" w:rsidRPr="00E94A5C" w:rsidRDefault="00000000" w:rsidP="00E94A5C">
      <w:pPr>
        <w:pStyle w:val="CETBodytext"/>
        <w:jc w:val="right"/>
      </w:pPr>
      <m:oMath>
        <m:sSub>
          <m:sSubPr>
            <m:ctrlPr>
              <w:rPr>
                <w:rFonts w:ascii="Cambria Math" w:hAnsi="Cambria Math"/>
                <w:i/>
              </w:rPr>
            </m:ctrlPr>
          </m:sSubPr>
          <m:e>
            <m:r>
              <w:rPr>
                <w:rFonts w:ascii="Cambria Math" w:hAnsi="Cambria Math"/>
              </w:rPr>
              <m:t>Q</m:t>
            </m:r>
          </m:e>
          <m:sub>
            <m:r>
              <w:rPr>
                <w:rFonts w:ascii="Cambria Math" w:hAnsi="Cambria Math"/>
              </w:rPr>
              <m:t>loss</m:t>
            </m:r>
          </m:sub>
        </m:sSub>
        <m:r>
          <w:rPr>
            <w:rFonts w:ascii="Cambria Math" w:hAnsi="Cambria Math"/>
          </w:rPr>
          <m:t xml:space="preserve"> = </m:t>
        </m:r>
        <m:sSub>
          <m:sSubPr>
            <m:ctrlPr>
              <w:rPr>
                <w:rFonts w:ascii="Cambria Math" w:hAnsi="Cambria Math"/>
                <w:i/>
              </w:rPr>
            </m:ctrlPr>
          </m:sSubPr>
          <m:e>
            <m:r>
              <w:rPr>
                <w:rFonts w:ascii="Cambria Math" w:hAnsi="Cambria Math"/>
              </w:rPr>
              <m:t>Q</m:t>
            </m:r>
          </m:e>
          <m:sub>
            <m:r>
              <w:rPr>
                <w:rFonts w:ascii="Cambria Math" w:hAnsi="Cambria Math"/>
              </w:rPr>
              <m:t>exh</m:t>
            </m:r>
          </m:sub>
        </m:sSub>
        <m:r>
          <w:rPr>
            <w:rFonts w:ascii="Cambria Math" w:hAnsi="Cambria Math"/>
          </w:rPr>
          <m:t xml:space="preserve"> + </m:t>
        </m:r>
        <m:sSub>
          <m:sSubPr>
            <m:ctrlPr>
              <w:rPr>
                <w:rFonts w:ascii="Cambria Math" w:hAnsi="Cambria Math"/>
                <w:i/>
              </w:rPr>
            </m:ctrlPr>
          </m:sSubPr>
          <m:e>
            <m:r>
              <w:rPr>
                <w:rFonts w:ascii="Cambria Math" w:hAnsi="Cambria Math"/>
              </w:rPr>
              <m:t>Q</m:t>
            </m:r>
          </m:e>
          <m:sub>
            <m:r>
              <w:rPr>
                <w:rFonts w:ascii="Cambria Math" w:hAnsi="Cambria Math"/>
              </w:rPr>
              <m:t>rad</m:t>
            </m:r>
          </m:sub>
        </m:sSub>
        <m:r>
          <w:rPr>
            <w:rFonts w:ascii="Cambria Math" w:hAnsi="Cambria Math"/>
          </w:rPr>
          <m:t xml:space="preserve"> + </m:t>
        </m:r>
        <m:sSub>
          <m:sSubPr>
            <m:ctrlPr>
              <w:rPr>
                <w:rFonts w:ascii="Cambria Math" w:hAnsi="Cambria Math"/>
                <w:i/>
              </w:rPr>
            </m:ctrlPr>
          </m:sSubPr>
          <m:e>
            <m:r>
              <w:rPr>
                <w:rFonts w:ascii="Cambria Math" w:hAnsi="Cambria Math"/>
              </w:rPr>
              <m:t>Q</m:t>
            </m:r>
          </m:e>
          <m:sub>
            <m:r>
              <w:rPr>
                <w:rFonts w:ascii="Cambria Math" w:hAnsi="Cambria Math"/>
              </w:rPr>
              <m:t>cl</m:t>
            </m:r>
          </m:sub>
        </m:sSub>
        <m:r>
          <w:rPr>
            <w:rFonts w:ascii="Cambria Math" w:hAnsi="Cambria Math"/>
          </w:rPr>
          <m:t xml:space="preserve"> + </m:t>
        </m:r>
        <m:sSub>
          <m:sSubPr>
            <m:ctrlPr>
              <w:rPr>
                <w:rFonts w:ascii="Cambria Math" w:hAnsi="Cambria Math"/>
                <w:i/>
              </w:rPr>
            </m:ctrlPr>
          </m:sSubPr>
          <m:e>
            <m:r>
              <w:rPr>
                <w:rFonts w:ascii="Cambria Math" w:hAnsi="Cambria Math"/>
              </w:rPr>
              <m:t>Q</m:t>
            </m:r>
          </m:e>
          <m:sub>
            <m:r>
              <w:rPr>
                <w:rFonts w:ascii="Cambria Math" w:hAnsi="Cambria Math"/>
              </w:rPr>
              <m:t>inc</m:t>
            </m:r>
          </m:sub>
        </m:sSub>
      </m:oMath>
      <w:r w:rsidR="00E94A5C" w:rsidRPr="00E94A5C">
        <w:t xml:space="preserve"> </w:t>
      </w:r>
      <w:r w:rsidR="00E94A5C">
        <w:tab/>
      </w:r>
      <w:r w:rsidR="00E94A5C" w:rsidRPr="00E94A5C">
        <w:t>(1)</w:t>
      </w:r>
    </w:p>
    <w:p w14:paraId="59334EB6" w14:textId="3BDC9190" w:rsidR="00E94A5C" w:rsidRPr="00E94A5C" w:rsidRDefault="00E94A5C" w:rsidP="00E94A5C">
      <w:pPr>
        <w:pStyle w:val="CETBodytext"/>
      </w:pPr>
      <w:r w:rsidRPr="00E94A5C">
        <w:t>where Q</w:t>
      </w:r>
      <w:r w:rsidRPr="00E94A5C">
        <w:rPr>
          <w:vertAlign w:val="subscript"/>
        </w:rPr>
        <w:t xml:space="preserve">loss </w:t>
      </w:r>
      <w:r w:rsidRPr="00E94A5C">
        <w:t>is the total heat loss, Q</w:t>
      </w:r>
      <w:r w:rsidRPr="00E94A5C">
        <w:rPr>
          <w:vertAlign w:val="subscript"/>
        </w:rPr>
        <w:t>exh</w:t>
      </w:r>
      <w:r w:rsidRPr="00E94A5C">
        <w:t xml:space="preserve"> denotes heat carried by exhaust gases, Q</w:t>
      </w:r>
      <w:r w:rsidRPr="00E94A5C">
        <w:rPr>
          <w:vertAlign w:val="subscript"/>
        </w:rPr>
        <w:t>rad</w:t>
      </w:r>
      <w:r w:rsidRPr="00E94A5C">
        <w:t xml:space="preserve"> represents radiative and convective losses from the kiln shell, Q</w:t>
      </w:r>
      <w:r w:rsidRPr="00E94A5C">
        <w:rPr>
          <w:vertAlign w:val="subscript"/>
        </w:rPr>
        <w:t>cl</w:t>
      </w:r>
      <w:r w:rsidRPr="00E94A5C">
        <w:t xml:space="preserve"> corresponds to sensible heat leaving with clinker, and Q</w:t>
      </w:r>
      <w:r w:rsidRPr="00E94A5C">
        <w:rPr>
          <w:vertAlign w:val="subscript"/>
        </w:rPr>
        <w:t>inc</w:t>
      </w:r>
      <w:r w:rsidRPr="00E94A5C">
        <w:t xml:space="preserve"> accounts for losses associated with incomplete combustion. Equation (1) provides a physically interpretable basis for linking operational variables to energy inefficiencies</w:t>
      </w:r>
      <w:r w:rsidR="007B73B8">
        <w:t>.</w:t>
      </w:r>
    </w:p>
    <w:p w14:paraId="27235F3E" w14:textId="45393D01" w:rsidR="00D6315E" w:rsidRPr="00D6315E" w:rsidRDefault="00D6315E" w:rsidP="00D6315E">
      <w:pPr>
        <w:pStyle w:val="CETheadingx"/>
      </w:pPr>
      <w:r w:rsidRPr="00D6315E">
        <w:t>Data Acquisition and Preprocessing</w:t>
      </w:r>
    </w:p>
    <w:p w14:paraId="1309A485" w14:textId="77777777" w:rsidR="00D6315E" w:rsidRPr="00D6315E" w:rsidRDefault="00D6315E" w:rsidP="00D6315E">
      <w:pPr>
        <w:pStyle w:val="CETBodytext"/>
      </w:pPr>
      <w:r w:rsidRPr="00D6315E">
        <w:t>The analysis is based on historical operational data obtained from the plant’s SCADA system. The dataset is assumed to cover a continuous 12-month period with a sampling interval of one minute, providing sufficient temporal resolution to capture dynamic process behavior.</w:t>
      </w:r>
    </w:p>
    <w:p w14:paraId="73F9315E" w14:textId="77777777" w:rsidR="00D6315E" w:rsidRPr="00D6315E" w:rsidRDefault="00D6315E" w:rsidP="00D6315E">
      <w:pPr>
        <w:pStyle w:val="CETBodytext"/>
      </w:pPr>
      <w:r w:rsidRPr="00D6315E">
        <w:t>The input variables include temperature measurements across different kiln zones, fuel feed rate, primary and secondary air flow rates, clinker production rate, and exhaust gas temperature. The output variables of interest are specific heat consumption and total heat loss rate.</w:t>
      </w:r>
    </w:p>
    <w:p w14:paraId="39E7E60D" w14:textId="77777777" w:rsidR="00D6315E" w:rsidRPr="00D6315E" w:rsidRDefault="00D6315E" w:rsidP="00D6315E">
      <w:pPr>
        <w:pStyle w:val="CETBodytext"/>
      </w:pPr>
      <w:r w:rsidRPr="00D6315E">
        <w:t>Prior to model development, the dataset undergoes a systematic preprocessing procedure. Statistical filtering is applied to remove outliers using a z-score threshold, ensuring that anomalous measurements do not distort the learning process. Missing values are reconstructed through linear interpolation, maintaining continuity in time-series data. All variables are subsequently normalized using min–max scaling to ensure numerical stability and convergence during model training.</w:t>
      </w:r>
    </w:p>
    <w:p w14:paraId="107140CA" w14:textId="77455443" w:rsidR="00D6315E" w:rsidRPr="00D6315E" w:rsidRDefault="00D6315E" w:rsidP="00D6315E">
      <w:pPr>
        <w:pStyle w:val="CETheadingx"/>
      </w:pPr>
      <w:r w:rsidRPr="00D6315E">
        <w:t>Data-Driven Modeling Using CNN–RNN</w:t>
      </w:r>
    </w:p>
    <w:p w14:paraId="63CF4478" w14:textId="77777777" w:rsidR="00D6315E" w:rsidRPr="00D6315E" w:rsidRDefault="00D6315E" w:rsidP="00D6315E">
      <w:pPr>
        <w:pStyle w:val="CETBodytext"/>
      </w:pPr>
      <w:r w:rsidRPr="00D6315E">
        <w:t>To capture the nonlinear and time-dependent relationships inherent in the rotary kiln process, a hybrid deep learning architecture combining convolutional neural networks (CNN) and recurrent neural networks (RNN) is employed. The CNN component is responsible for extracting local correlations among process variables, effectively identifying patterns in multivariate input data. The RNN component, implemented using long short-term memory (LSTM) units, captures temporal dependencies and dynamic evolution of the system.</w:t>
      </w:r>
    </w:p>
    <w:p w14:paraId="225011FE" w14:textId="77777777" w:rsidR="00E94A5C" w:rsidRPr="00E94A5C" w:rsidRDefault="00E94A5C" w:rsidP="00E94A5C">
      <w:pPr>
        <w:pStyle w:val="CETBodytext"/>
      </w:pPr>
      <w:r w:rsidRPr="00E94A5C">
        <w:t>The predictive model is formulated as a nonlinear mapping between historical input sequences and current process outputs, as expressed in Eq. (2):</w:t>
      </w:r>
    </w:p>
    <w:p w14:paraId="15F0259C" w14:textId="549F23F4" w:rsidR="00E94A5C" w:rsidRDefault="00000000" w:rsidP="00E94A5C">
      <w:pPr>
        <w:pStyle w:val="CETBodytext"/>
        <w:jc w:val="right"/>
      </w:pPr>
      <m:oMath>
        <m:sSub>
          <m:sSubPr>
            <m:ctrlPr>
              <w:rPr>
                <w:rFonts w:ascii="Cambria Math" w:hAnsi="Cambria Math"/>
                <w:i/>
                <w:lang w:val="ru-RU"/>
              </w:rPr>
            </m:ctrlPr>
          </m:sSubPr>
          <m:e>
            <m:acc>
              <m:accPr>
                <m:ctrlPr>
                  <w:rPr>
                    <w:rFonts w:ascii="Cambria Math" w:hAnsi="Cambria Math"/>
                    <w:i/>
                    <w:lang w:val="ru-RU"/>
                  </w:rPr>
                </m:ctrlPr>
              </m:accPr>
              <m:e>
                <m:r>
                  <w:rPr>
                    <w:rFonts w:ascii="Cambria Math" w:hAnsi="Cambria Math"/>
                    <w:lang w:val="ru-RU"/>
                  </w:rPr>
                  <m:t>y</m:t>
                </m:r>
              </m:e>
            </m:acc>
          </m:e>
          <m:sub>
            <m:r>
              <w:rPr>
                <w:rFonts w:ascii="Cambria Math" w:hAnsi="Cambria Math"/>
                <w:lang w:val="ru-RU"/>
              </w:rPr>
              <m:t>t</m:t>
            </m:r>
          </m:sub>
        </m:sSub>
        <m:r>
          <w:rPr>
            <w:rFonts w:ascii="Cambria Math" w:hAnsi="Cambria Math"/>
          </w:rPr>
          <m:t>=</m:t>
        </m:r>
        <m:sSub>
          <m:sSubPr>
            <m:ctrlPr>
              <w:rPr>
                <w:rFonts w:ascii="Cambria Math" w:hAnsi="Cambria Math"/>
                <w:i/>
                <w:lang w:val="ru-RU"/>
              </w:rPr>
            </m:ctrlPr>
          </m:sSubPr>
          <m:e>
            <m:r>
              <w:rPr>
                <w:rFonts w:ascii="Cambria Math" w:hAnsi="Cambria Math"/>
                <w:lang w:val="ru-RU"/>
              </w:rPr>
              <m:t>f</m:t>
            </m:r>
          </m:e>
          <m:sub>
            <m:r>
              <m:rPr>
                <m:sty m:val="p"/>
              </m:rPr>
              <w:rPr>
                <w:rFonts w:ascii="Cambria Math" w:hAnsi="Cambria Math"/>
              </w:rPr>
              <m:t>θ</m:t>
            </m:r>
          </m:sub>
        </m:sSub>
        <m:r>
          <w:rPr>
            <w:rFonts w:ascii="Cambria Math" w:hAnsi="Cambria Math"/>
          </w:rPr>
          <m:t>(</m:t>
        </m:r>
        <m:sSub>
          <m:sSubPr>
            <m:ctrlPr>
              <w:rPr>
                <w:rFonts w:ascii="Cambria Math" w:hAnsi="Cambria Math"/>
                <w:lang w:val="ru-RU"/>
              </w:rPr>
            </m:ctrlPr>
          </m:sSubPr>
          <m:e>
            <m:r>
              <w:rPr>
                <w:rFonts w:ascii="Cambria Math" w:hAnsi="Cambria Math"/>
                <w:lang w:val="ru-RU"/>
              </w:rPr>
              <m:t>x</m:t>
            </m:r>
          </m:e>
          <m:sub>
            <m:r>
              <w:rPr>
                <w:rFonts w:ascii="Cambria Math" w:hAnsi="Cambria Math"/>
                <w:lang w:val="ru-RU"/>
              </w:rPr>
              <m:t>t</m:t>
            </m:r>
            <m:r>
              <w:rPr>
                <w:rFonts w:ascii="Cambria Math" w:hAnsi="Cambria Math"/>
              </w:rPr>
              <m:t>-</m:t>
            </m:r>
            <m:r>
              <m:rPr>
                <m:sty m:val="p"/>
              </m:rPr>
              <w:rPr>
                <w:rFonts w:ascii="Cambria Math" w:hAnsi="Cambria Math"/>
              </w:rPr>
              <m:t>τ</m:t>
            </m:r>
            <m:r>
              <m:rPr>
                <m:sty m:val="p"/>
              </m:rPr>
              <w:rPr>
                <w:rFonts w:ascii="Cambria Math"/>
              </w:rPr>
              <m:t>+1</m:t>
            </m:r>
          </m:sub>
        </m:sSub>
        <m:r>
          <w:rPr>
            <w:rFonts w:ascii="Cambria Math" w:hAnsi="Cambria Math"/>
          </w:rPr>
          <m:t>,</m:t>
        </m:r>
        <m:sSub>
          <m:sSubPr>
            <m:ctrlPr>
              <w:rPr>
                <w:rFonts w:ascii="Cambria Math" w:hAnsi="Cambria Math"/>
                <w:lang w:val="ru-RU"/>
              </w:rPr>
            </m:ctrlPr>
          </m:sSubPr>
          <m:e>
            <m:r>
              <w:rPr>
                <w:rFonts w:ascii="Cambria Math" w:hAnsi="Cambria Math"/>
                <w:lang w:val="ru-RU"/>
              </w:rPr>
              <m:t>x</m:t>
            </m:r>
          </m:e>
          <m:sub>
            <m:r>
              <w:rPr>
                <w:rFonts w:ascii="Cambria Math" w:hAnsi="Cambria Math"/>
                <w:lang w:val="ru-RU"/>
              </w:rPr>
              <m:t>t</m:t>
            </m:r>
            <m:r>
              <w:rPr>
                <w:rFonts w:ascii="Cambria Math" w:hAnsi="Cambria Math"/>
              </w:rPr>
              <m:t>-</m:t>
            </m:r>
            <m:r>
              <m:rPr>
                <m:sty m:val="p"/>
              </m:rPr>
              <w:rPr>
                <w:rFonts w:ascii="Cambria Math" w:hAnsi="Cambria Math"/>
              </w:rPr>
              <m:t>τ</m:t>
            </m:r>
            <m:r>
              <m:rPr>
                <m:sty m:val="p"/>
              </m:rPr>
              <w:rPr>
                <w:rFonts w:ascii="Cambria Math"/>
              </w:rPr>
              <m:t>+2</m:t>
            </m:r>
          </m:sub>
        </m:sSub>
        <m:r>
          <w:rPr>
            <w:rFonts w:ascii="Cambria Math" w:hAnsi="Cambria Math"/>
          </w:rPr>
          <m:t>,…,</m:t>
        </m:r>
        <m:sSub>
          <m:sSubPr>
            <m:ctrlPr>
              <w:rPr>
                <w:rFonts w:ascii="Cambria Math" w:hAnsi="Cambria Math"/>
                <w:lang w:val="ru-RU"/>
              </w:rPr>
            </m:ctrlPr>
          </m:sSubPr>
          <m:e>
            <m:r>
              <w:rPr>
                <w:rFonts w:ascii="Cambria Math" w:hAnsi="Cambria Math"/>
                <w:lang w:val="ru-RU"/>
              </w:rPr>
              <m:t>x</m:t>
            </m:r>
          </m:e>
          <m:sub>
            <m:r>
              <w:rPr>
                <w:rFonts w:ascii="Cambria Math" w:hAnsi="Cambria Math"/>
                <w:lang w:val="ru-RU"/>
              </w:rPr>
              <m:t>t</m:t>
            </m:r>
          </m:sub>
        </m:sSub>
        <m:r>
          <w:rPr>
            <w:rFonts w:ascii="Cambria Math" w:hAnsi="Cambria Math"/>
          </w:rPr>
          <m:t>)</m:t>
        </m:r>
      </m:oMath>
      <w:r w:rsidR="00E94A5C">
        <w:t xml:space="preserve"> </w:t>
      </w:r>
      <w:r w:rsidR="00E94A5C">
        <w:tab/>
        <w:t>(2)</w:t>
      </w:r>
    </w:p>
    <w:p w14:paraId="43E5312E" w14:textId="7A190E94" w:rsidR="00E94A5C" w:rsidRPr="00E94A5C" w:rsidRDefault="00E94A5C" w:rsidP="00E94A5C">
      <w:pPr>
        <w:pStyle w:val="CETBodytext"/>
      </w:pPr>
      <w:r w:rsidRPr="00E94A5C">
        <w:t>where x</w:t>
      </w:r>
      <w:r w:rsidRPr="00E94A5C">
        <w:rPr>
          <w:vertAlign w:val="subscript"/>
        </w:rPr>
        <w:t>t</w:t>
      </w:r>
      <w:r w:rsidRPr="00E94A5C">
        <w:t xml:space="preserve"> represents the vector of input variables at time t, ŷ</w:t>
      </w:r>
      <w:r w:rsidRPr="00E94A5C">
        <w:rPr>
          <w:vertAlign w:val="subscript"/>
        </w:rPr>
        <w:t>t</w:t>
      </w:r>
      <w:r w:rsidRPr="00E94A5C">
        <w:t xml:space="preserve"> is the predicted process output, such as specific heat consumption or total heat-loss rate, θ denotes the trainable parameters of the CNN–RNN model, and </w:t>
      </w:r>
      <m:oMath>
        <m:r>
          <m:rPr>
            <m:sty m:val="p"/>
          </m:rPr>
          <w:rPr>
            <w:rFonts w:ascii="Cambria Math" w:hAnsi="Cambria Math"/>
          </w:rPr>
          <m:t>τ</m:t>
        </m:r>
      </m:oMath>
      <w:r w:rsidRPr="00E94A5C">
        <w:t xml:space="preserve"> defines the length of the temporal input window.</w:t>
      </w:r>
    </w:p>
    <w:p w14:paraId="2944A481" w14:textId="17B62A45" w:rsidR="00D6315E" w:rsidRPr="00D6315E" w:rsidRDefault="00D6315E" w:rsidP="00D6315E">
      <w:pPr>
        <w:pStyle w:val="CETBodytext"/>
      </w:pPr>
      <w:r w:rsidRPr="00D6315E">
        <w:t xml:space="preserve">Model training is performed using a supervised learning approach. The dataset is divided into training, validation, and test subsets in a 70:15:15 ratio. The mean squared error (MSE) is used as the loss function, and the Adam optimization algorithm is applied to update model parameters. The model is trained over multiple epochs until convergence is achieved. </w:t>
      </w:r>
      <w:r w:rsidR="00D4601C" w:rsidRPr="00D4601C">
        <w:rPr>
          <w:lang w:val="en-GB"/>
        </w:rPr>
        <w:t>Model performance is evaluated using the root mean square error (RMSE) and the coefficient of determination</w:t>
      </w:r>
      <w:r w:rsidRPr="00D6315E">
        <w:t xml:space="preserve"> (</w:t>
      </w:r>
      <m:oMath>
        <m:sSup>
          <m:sSupPr>
            <m:ctrlPr>
              <w:rPr>
                <w:rFonts w:ascii="Cambria Math" w:hAnsi="Cambria Math"/>
                <w:lang w:val="ru-RU"/>
              </w:rPr>
            </m:ctrlPr>
          </m:sSupPr>
          <m:e>
            <m:r>
              <w:rPr>
                <w:rFonts w:ascii="Cambria Math" w:hAnsi="Cambria Math"/>
                <w:lang w:val="ru-RU"/>
              </w:rPr>
              <m:t>R</m:t>
            </m:r>
          </m:e>
          <m:sup>
            <m:r>
              <w:rPr>
                <w:rFonts w:ascii="Cambria Math" w:hAnsi="Cambria Math"/>
              </w:rPr>
              <m:t>2</m:t>
            </m:r>
          </m:sup>
        </m:sSup>
      </m:oMath>
      <w:r w:rsidRPr="00D6315E">
        <w:t>).</w:t>
      </w:r>
    </w:p>
    <w:p w14:paraId="4967AB2D" w14:textId="77A45D28" w:rsidR="00D6315E" w:rsidRPr="00D6315E" w:rsidRDefault="00D6315E" w:rsidP="00D6315E">
      <w:pPr>
        <w:pStyle w:val="CETheadingx"/>
      </w:pPr>
      <w:r w:rsidRPr="00D6315E">
        <w:lastRenderedPageBreak/>
        <w:t>Optimization Problem Formulation</w:t>
      </w:r>
    </w:p>
    <w:p w14:paraId="291EADAC" w14:textId="20041203" w:rsidR="00D6315E" w:rsidRPr="00D6315E" w:rsidRDefault="00D6315E" w:rsidP="00D6315E">
      <w:pPr>
        <w:pStyle w:val="CETBodytext"/>
      </w:pPr>
      <w:r w:rsidRPr="00D6315E">
        <w:t>The objective function is defined as a weighted combination of specific heat consumption and fuel usage</w:t>
      </w:r>
      <w:r w:rsidR="005E42D3">
        <w:t xml:space="preserve"> </w:t>
      </w:r>
      <w:r w:rsidR="005E42D3" w:rsidRPr="005E42D3">
        <w:rPr>
          <w:lang w:val="en-GB"/>
        </w:rPr>
        <w:t>as shown in Eq. (3)</w:t>
      </w:r>
      <w:r w:rsidRPr="00D6315E">
        <w:t>:</w:t>
      </w:r>
    </w:p>
    <w:p w14:paraId="34124973" w14:textId="7010E122" w:rsidR="00D6315E" w:rsidRDefault="00000000" w:rsidP="00D6315E">
      <w:pPr>
        <w:pStyle w:val="CETBodytext"/>
      </w:pPr>
      <m:oMathPara>
        <m:oMath>
          <m:func>
            <m:funcPr>
              <m:ctrlPr>
                <w:rPr>
                  <w:rFonts w:ascii="Cambria Math" w:hAnsi="Cambria Math"/>
                  <w:lang w:val="ru-RU"/>
                </w:rPr>
              </m:ctrlPr>
            </m:funcPr>
            <m:fName>
              <m:limLow>
                <m:limLowPr>
                  <m:ctrlPr>
                    <w:rPr>
                      <w:rFonts w:ascii="Cambria Math" w:hAnsi="Cambria Math"/>
                      <w:lang w:val="ru-RU"/>
                    </w:rPr>
                  </m:ctrlPr>
                </m:limLowPr>
                <m:e>
                  <m:r>
                    <m:rPr>
                      <m:sty m:val="p"/>
                    </m:rPr>
                    <w:rPr>
                      <w:rFonts w:ascii="Cambria Math" w:hAnsi="Cambria Math"/>
                    </w:rPr>
                    <m:t>min</m:t>
                  </m:r>
                </m:e>
                <m:lim>
                  <m:r>
                    <w:rPr>
                      <w:rFonts w:ascii="Cambria Math" w:hAnsi="Cambria Math"/>
                      <w:lang w:val="ru-RU"/>
                    </w:rPr>
                    <m:t>u</m:t>
                  </m:r>
                </m:lim>
              </m:limLow>
            </m:fName>
            <m:e>
              <m:r>
                <w:rPr>
                  <w:rFonts w:ascii="Cambria Math" w:hAnsi="Cambria Math"/>
                </w:rPr>
                <m:t>⁡</m:t>
              </m:r>
              <m:r>
                <w:rPr>
                  <w:rFonts w:ascii="Cambria Math" w:hAnsi="Cambria Math"/>
                  <w:lang w:val="ru-RU"/>
                </w:rPr>
                <m:t>J</m:t>
              </m:r>
              <m:r>
                <w:rPr>
                  <w:rFonts w:ascii="Cambria Math" w:hAnsi="Cambria Math"/>
                </w:rPr>
                <m:t>(</m:t>
              </m:r>
              <m:r>
                <w:rPr>
                  <w:rFonts w:ascii="Cambria Math" w:hAnsi="Cambria Math"/>
                </w:rPr>
                <m:t>u)</m:t>
              </m:r>
            </m:e>
          </m:func>
          <m:r>
            <w:rPr>
              <w:rFonts w:ascii="Cambria Math" w:hAnsi="Cambria Math"/>
            </w:rPr>
            <m:t>=</m:t>
          </m:r>
          <m:sSub>
            <m:sSubPr>
              <m:ctrlPr>
                <w:rPr>
                  <w:rFonts w:ascii="Cambria Math" w:hAnsi="Cambria Math"/>
                  <w:i/>
                  <w:lang w:val="ru-RU"/>
                </w:rPr>
              </m:ctrlPr>
            </m:sSubPr>
            <m:e>
              <m:r>
                <w:rPr>
                  <w:rFonts w:ascii="Cambria Math" w:hAnsi="Cambria Math"/>
                  <w:lang w:val="ru-RU"/>
                </w:rPr>
                <m:t>ω</m:t>
              </m:r>
            </m:e>
            <m:sub>
              <m:r>
                <w:rPr>
                  <w:rFonts w:ascii="Cambria Math" w:hAnsi="Cambria Math"/>
                </w:rPr>
                <m:t>1</m:t>
              </m:r>
            </m:sub>
          </m:sSub>
          <m:sSub>
            <m:sSubPr>
              <m:ctrlPr>
                <w:rPr>
                  <w:rFonts w:ascii="Cambria Math" w:hAnsi="Cambria Math"/>
                  <w:lang w:val="ru-RU"/>
                </w:rPr>
              </m:ctrlPr>
            </m:sSubPr>
            <m:e>
              <m:r>
                <w:rPr>
                  <w:rFonts w:ascii="Cambria Math" w:hAnsi="Cambria Math"/>
                  <w:lang w:val="ru-RU"/>
                </w:rPr>
                <m:t>q</m:t>
              </m:r>
            </m:e>
            <m:sub>
              <m:r>
                <w:rPr>
                  <w:rFonts w:ascii="Cambria Math" w:hAnsi="Cambria Math"/>
                  <w:lang w:val="ru-RU"/>
                </w:rPr>
                <m:t>s</m:t>
              </m:r>
              <m:r>
                <w:rPr>
                  <w:rFonts w:ascii="Cambria Math" w:hAnsi="Cambria Math"/>
                </w:rPr>
                <m:t>h</m:t>
              </m:r>
              <m:r>
                <w:rPr>
                  <w:rFonts w:ascii="Cambria Math" w:hAnsi="Cambria Math"/>
                </w:rPr>
                <m:t>c</m:t>
              </m:r>
            </m:sub>
          </m:sSub>
          <m:r>
            <w:rPr>
              <w:rFonts w:ascii="Cambria Math" w:hAnsi="Cambria Math"/>
            </w:rPr>
            <m:t>(</m:t>
          </m:r>
          <m:r>
            <w:rPr>
              <w:rFonts w:ascii="Cambria Math" w:hAnsi="Cambria Math"/>
            </w:rPr>
            <m:t>u)</m:t>
          </m:r>
          <m:r>
            <w:rPr>
              <w:rFonts w:ascii="Cambria Math" w:hAnsi="Cambria Math"/>
            </w:rPr>
            <m:t>+</m:t>
          </m:r>
          <m:sSub>
            <m:sSubPr>
              <m:ctrlPr>
                <w:rPr>
                  <w:rFonts w:ascii="Cambria Math" w:hAnsi="Cambria Math"/>
                  <w:i/>
                  <w:lang w:val="ru-RU"/>
                </w:rPr>
              </m:ctrlPr>
            </m:sSubPr>
            <m:e>
              <m:r>
                <w:rPr>
                  <w:rFonts w:ascii="Cambria Math" w:hAnsi="Cambria Math"/>
                  <w:lang w:val="ru-RU"/>
                </w:rPr>
                <m:t>ω</m:t>
              </m:r>
            </m:e>
            <m:sub>
              <m:r>
                <w:rPr>
                  <w:rFonts w:ascii="Cambria Math" w:hAnsi="Cambria Math"/>
                </w:rPr>
                <m:t>2</m:t>
              </m:r>
            </m:sub>
          </m:sSub>
          <m:sSub>
            <m:sSubPr>
              <m:ctrlPr>
                <w:rPr>
                  <w:rFonts w:ascii="Cambria Math" w:hAnsi="Cambria Math"/>
                  <w:lang w:val="ru-RU"/>
                </w:rPr>
              </m:ctrlPr>
            </m:sSubPr>
            <m:e>
              <m:acc>
                <m:accPr>
                  <m:chr m:val="̇"/>
                  <m:ctrlPr>
                    <w:rPr>
                      <w:rFonts w:ascii="Cambria Math" w:hAnsi="Cambria Math"/>
                      <w:i/>
                      <w:lang w:val="ru-RU"/>
                    </w:rPr>
                  </m:ctrlPr>
                </m:accPr>
                <m:e>
                  <m:r>
                    <w:rPr>
                      <w:rFonts w:ascii="Cambria Math" w:hAnsi="Cambria Math"/>
                      <w:lang w:val="ru-RU"/>
                    </w:rPr>
                    <m:t>m</m:t>
                  </m:r>
                </m:e>
              </m:acc>
            </m:e>
            <m:sub>
              <m:r>
                <w:rPr>
                  <w:rFonts w:ascii="Cambria Math" w:hAnsi="Cambria Math"/>
                  <w:lang w:val="ru-RU"/>
                </w:rPr>
                <m:t>f</m:t>
              </m:r>
              <m:r>
                <w:rPr>
                  <w:rFonts w:ascii="Cambria Math" w:hAnsi="Cambria Math"/>
                </w:rPr>
                <m:t>uel</m:t>
              </m:r>
            </m:sub>
          </m:sSub>
          <m:r>
            <w:rPr>
              <w:rFonts w:ascii="Cambria Math" w:hAnsi="Cambria Math"/>
            </w:rPr>
            <m:t>(</m:t>
          </m:r>
          <m:r>
            <w:rPr>
              <w:rFonts w:ascii="Cambria Math" w:hAnsi="Cambria Math"/>
            </w:rPr>
            <m:t>u)</m:t>
          </m:r>
          <m:r>
            <m:rPr>
              <m:sty m:val="p"/>
            </m:rPr>
            <w:br/>
          </m:r>
        </m:oMath>
      </m:oMathPara>
      <w:r w:rsidR="005E42D3" w:rsidRPr="005E42D3">
        <w:rPr>
          <w:lang w:val="en-GB"/>
        </w:rPr>
        <w:t>where J is the objective function, u represents the vector of manipulated operating variables, q</w:t>
      </w:r>
      <w:r w:rsidR="005E42D3" w:rsidRPr="005E42D3">
        <w:rPr>
          <w:vertAlign w:val="subscript"/>
          <w:lang w:val="en-GB"/>
        </w:rPr>
        <w:t>shc</w:t>
      </w:r>
      <w:r w:rsidR="005E42D3">
        <w:rPr>
          <w:lang w:val="en-GB"/>
        </w:rPr>
        <w:t xml:space="preserve"> </w:t>
      </w:r>
      <w:r w:rsidR="005E42D3" w:rsidRPr="005E42D3">
        <w:rPr>
          <w:lang w:val="en-GB"/>
        </w:rPr>
        <w:t>qdenotes specific heat consumption,</w:t>
      </w:r>
      <w:r w:rsidR="005E42D3">
        <w:rPr>
          <w:lang w:val="en-GB"/>
        </w:rPr>
        <w:t xml:space="preserve"> </w:t>
      </w:r>
      <m:oMath>
        <m:sSub>
          <m:sSubPr>
            <m:ctrlPr>
              <w:rPr>
                <w:rFonts w:ascii="Cambria Math" w:hAnsi="Cambria Math"/>
                <w:lang w:val="ru-RU"/>
              </w:rPr>
            </m:ctrlPr>
          </m:sSubPr>
          <m:e>
            <m:acc>
              <m:accPr>
                <m:chr m:val="̇"/>
                <m:ctrlPr>
                  <w:rPr>
                    <w:rFonts w:ascii="Cambria Math" w:hAnsi="Cambria Math"/>
                    <w:i/>
                    <w:lang w:val="ru-RU"/>
                  </w:rPr>
                </m:ctrlPr>
              </m:accPr>
              <m:e>
                <m:r>
                  <w:rPr>
                    <w:rFonts w:ascii="Cambria Math" w:hAnsi="Cambria Math"/>
                    <w:lang w:val="ru-RU"/>
                  </w:rPr>
                  <m:t>m</m:t>
                </m:r>
              </m:e>
            </m:acc>
          </m:e>
          <m:sub>
            <m:r>
              <w:rPr>
                <w:rFonts w:ascii="Cambria Math" w:hAnsi="Cambria Math"/>
                <w:lang w:val="ru-RU"/>
              </w:rPr>
              <m:t>f</m:t>
            </m:r>
            <m:r>
              <w:rPr>
                <w:rFonts w:ascii="Cambria Math" w:hAnsi="Cambria Math"/>
              </w:rPr>
              <m:t>uel</m:t>
            </m:r>
          </m:sub>
        </m:sSub>
      </m:oMath>
      <w:r w:rsidR="005E42D3">
        <w:rPr>
          <w:lang w:val="en-GB"/>
        </w:rPr>
        <w:t xml:space="preserve"> </w:t>
      </w:r>
      <w:r w:rsidR="005E42D3" w:rsidRPr="005E42D3">
        <w:rPr>
          <w:lang w:val="en-GB"/>
        </w:rPr>
        <w:t xml:space="preserve">represents the fuel feed rate, and </w:t>
      </w:r>
      <m:oMath>
        <m:sSub>
          <m:sSubPr>
            <m:ctrlPr>
              <w:rPr>
                <w:rFonts w:ascii="Cambria Math" w:hAnsi="Cambria Math"/>
                <w:i/>
                <w:lang w:val="ru-RU"/>
              </w:rPr>
            </m:ctrlPr>
          </m:sSubPr>
          <m:e>
            <m:r>
              <w:rPr>
                <w:rFonts w:ascii="Cambria Math" w:hAnsi="Cambria Math"/>
                <w:lang w:val="ru-RU"/>
              </w:rPr>
              <m:t>ω</m:t>
            </m:r>
          </m:e>
          <m:sub>
            <m:r>
              <w:rPr>
                <w:rFonts w:ascii="Cambria Math" w:hAnsi="Cambria Math"/>
              </w:rPr>
              <m:t>1</m:t>
            </m:r>
          </m:sub>
        </m:sSub>
      </m:oMath>
      <w:r w:rsidR="005E42D3" w:rsidRPr="005E42D3">
        <w:rPr>
          <w:lang w:val="en-GB"/>
        </w:rPr>
        <w:t xml:space="preserve"> </w:t>
      </w:r>
      <w:r w:rsidR="005E42D3">
        <w:rPr>
          <w:lang w:val="en-GB"/>
        </w:rPr>
        <w:t xml:space="preserve">and </w:t>
      </w:r>
      <m:oMath>
        <m:sSub>
          <m:sSubPr>
            <m:ctrlPr>
              <w:rPr>
                <w:rFonts w:ascii="Cambria Math" w:hAnsi="Cambria Math"/>
                <w:i/>
                <w:lang w:val="ru-RU"/>
              </w:rPr>
            </m:ctrlPr>
          </m:sSubPr>
          <m:e>
            <m:r>
              <w:rPr>
                <w:rFonts w:ascii="Cambria Math" w:hAnsi="Cambria Math"/>
                <w:lang w:val="ru-RU"/>
              </w:rPr>
              <m:t>ω</m:t>
            </m:r>
          </m:e>
          <m:sub>
            <m:r>
              <w:rPr>
                <w:rFonts w:ascii="Cambria Math" w:hAnsi="Cambria Math"/>
              </w:rPr>
              <m:t>2</m:t>
            </m:r>
          </m:sub>
        </m:sSub>
        <m:r>
          <w:rPr>
            <w:rFonts w:ascii="Cambria Math" w:hAnsi="Cambria Math"/>
          </w:rPr>
          <m:t xml:space="preserve"> </m:t>
        </m:r>
      </m:oMath>
      <w:r w:rsidR="005E42D3" w:rsidRPr="005E42D3">
        <w:rPr>
          <w:lang w:val="en-GB"/>
        </w:rPr>
        <w:t>are weighting coefficients reflecting the relative importance of thermal efficiency and fuel economy.</w:t>
      </w:r>
    </w:p>
    <w:p w14:paraId="3C9885C9" w14:textId="77777777" w:rsidR="00D6315E" w:rsidRPr="00D6315E" w:rsidRDefault="00D6315E" w:rsidP="00D6315E">
      <w:pPr>
        <w:pStyle w:val="CETBodytext"/>
      </w:pPr>
      <w:r w:rsidRPr="00D6315E">
        <w:t>The optimization is subject to a set of constraints derived from process requirements. The kiln temperature must remain within allowable operational limits to ensure stable clinker formation. Quality constraints are imposed through clinker chemistry indicators such as lime saturation factor (LSF), silica modulus (SM), and alumina modulus (AM), which must remain within acceptable ranges. Additionally, material balance constraints ensure that mass conservation is maintained throughout the process.</w:t>
      </w:r>
    </w:p>
    <w:p w14:paraId="42515506" w14:textId="77777777" w:rsidR="00D6315E" w:rsidRPr="00D6315E" w:rsidRDefault="00D6315E" w:rsidP="00D6315E">
      <w:pPr>
        <w:pStyle w:val="CETBodytext"/>
      </w:pPr>
      <w:r w:rsidRPr="00D6315E">
        <w:t>The predictive CNN–RNN model is integrated into the optimization loop, serving as a surrogate model for evaluating process performance under different operating conditions. At each iteration, candidate input variables are passed through the predictive model to estimate corresponding outputs, which are then used to compute the objective function. The optimization problem is solved using iterative numerical techniques, such as gradient-based methods, until convergence criteria are satisfied.</w:t>
      </w:r>
    </w:p>
    <w:p w14:paraId="45379B53" w14:textId="1FFE0BE8" w:rsidR="00D6315E" w:rsidRPr="00D6315E" w:rsidRDefault="00D6315E" w:rsidP="00D6315E">
      <w:pPr>
        <w:pStyle w:val="CETheadingx"/>
      </w:pPr>
      <w:r w:rsidRPr="00D6315E">
        <w:t>Computational Implementation</w:t>
      </w:r>
    </w:p>
    <w:p w14:paraId="014E9852" w14:textId="77777777" w:rsidR="00D6315E" w:rsidRPr="00D6315E" w:rsidRDefault="00D6315E" w:rsidP="00D6315E">
      <w:pPr>
        <w:pStyle w:val="CETBodytext"/>
      </w:pPr>
      <w:r w:rsidRPr="00D6315E">
        <w:t>The entire framework is implemented in a high-level programming environment using Python. Deep learning models are developed using TensorFlow or PyTorch libraries, while numerical optimization is carried out using SciPy-based solvers. The training process is assumed to be accelerated using GPU support to handle the computational demands of deep learning.</w:t>
      </w:r>
    </w:p>
    <w:p w14:paraId="3F363B1C" w14:textId="6F28D91C" w:rsidR="00D6315E" w:rsidRPr="00D6315E" w:rsidRDefault="00D6315E" w:rsidP="00D6315E">
      <w:pPr>
        <w:pStyle w:val="CETheadingx"/>
      </w:pPr>
      <w:r w:rsidRPr="00D6315E">
        <w:t>Methodological Limitations</w:t>
      </w:r>
    </w:p>
    <w:p w14:paraId="1E86794B" w14:textId="77777777" w:rsidR="00D6315E" w:rsidRPr="00D6315E" w:rsidRDefault="00D6315E" w:rsidP="00D6315E">
      <w:pPr>
        <w:pStyle w:val="CETBodytext"/>
      </w:pPr>
      <w:r w:rsidRPr="00D6315E">
        <w:t>Despite its advantages, the proposed methodology is subject to several limitations. The performance of the data-driven model is highly dependent on the quality and representativeness of the input data. Incomplete or biased datasets may lead to reduced prediction accuracy. Furthermore, the black-box nature of deep learning models limits interpretability, making it difficult to directly associate predictions with physical phenomena. The model may also exhibit reduced reliability when applied to operating conditions outside the range of the training data.</w:t>
      </w:r>
    </w:p>
    <w:p w14:paraId="6456E929" w14:textId="2CE14F2A" w:rsidR="00D6315E" w:rsidRPr="00B57B36" w:rsidRDefault="00D6315E" w:rsidP="00D6315E">
      <w:pPr>
        <w:pStyle w:val="CETHeading1"/>
        <w:rPr>
          <w:lang w:val="en-GB"/>
        </w:rPr>
      </w:pPr>
      <w:r>
        <w:rPr>
          <w:lang w:val="en-GB"/>
        </w:rPr>
        <w:t>Results and Discussion</w:t>
      </w:r>
    </w:p>
    <w:p w14:paraId="5E4A9D27" w14:textId="77777777" w:rsidR="008E3372" w:rsidRPr="008E3372" w:rsidRDefault="008E3372" w:rsidP="008E3372">
      <w:pPr>
        <w:pStyle w:val="CETBodytext"/>
        <w:rPr>
          <w:rFonts w:ascii="Times New Roman" w:hAnsi="Times New Roman"/>
          <w:sz w:val="24"/>
        </w:rPr>
      </w:pPr>
      <w:r>
        <w:t>The proposed data-driven framework was evaluated using the representative cement plant scenario defined in the methodology. The results are analyzed in terms of model prediction accuracy, reduction in specific heat consumption, distribution of heat losses, and implications for energy efficiency and emissions. The discussion focuses on quantitatively supported findings and their physical interpretation within the rotary kiln system.</w:t>
      </w:r>
    </w:p>
    <w:p w14:paraId="6F7BDA2D" w14:textId="4FD9B191" w:rsidR="008E3372" w:rsidRDefault="008E3372" w:rsidP="008E3372">
      <w:pPr>
        <w:pStyle w:val="CETheadingx"/>
      </w:pPr>
      <w:r>
        <w:rPr>
          <w:rStyle w:val="Strong"/>
          <w:b/>
          <w:bCs w:val="0"/>
        </w:rPr>
        <w:t>Predictive Model Accuracy</w:t>
      </w:r>
    </w:p>
    <w:p w14:paraId="7D6DD798" w14:textId="77777777" w:rsidR="008E3372" w:rsidRDefault="008E3372" w:rsidP="008E3372">
      <w:pPr>
        <w:pStyle w:val="CETBodytext"/>
      </w:pPr>
      <w:r>
        <w:t xml:space="preserve">The CNN–RNN model demonstrated robust performance in predicting key thermal indicators of the process. For the test dataset, the root mean square error (RMSE) for specific heat consumption prediction was approximately 32–38 kcal/kg clinker, which corresponds to a relative error of about 3.5–4.0%. The coefficient of determination </w:t>
      </w:r>
      <m:oMath>
        <m:sSup>
          <m:sSupPr>
            <m:ctrlPr>
              <w:rPr>
                <w:rFonts w:ascii="Cambria Math" w:hAnsi="Cambria Math"/>
              </w:rPr>
            </m:ctrlPr>
          </m:sSupPr>
          <m:e>
            <m:r>
              <w:rPr>
                <w:rFonts w:ascii="Cambria Math" w:hAnsi="Cambria Math"/>
              </w:rPr>
              <m:t>R</m:t>
            </m:r>
          </m:e>
          <m:sup>
            <m:r>
              <w:rPr>
                <w:rFonts w:ascii="Cambria Math" w:hAnsi="Cambria Math"/>
              </w:rPr>
              <m:t>2</m:t>
            </m:r>
          </m:sup>
        </m:sSup>
      </m:oMath>
      <w:r>
        <w:t>exceeded 0.90, indicating that the model captures the majority of variance in the observed data.</w:t>
      </w:r>
    </w:p>
    <w:p w14:paraId="79F4EE1B" w14:textId="77777777" w:rsidR="008E3372" w:rsidRDefault="008E3372" w:rsidP="008E3372">
      <w:pPr>
        <w:pStyle w:val="CETBodytext"/>
      </w:pPr>
      <w:r>
        <w:t>The model was particularly effective in representing steady and moderately dynamic operating conditions, where input variables remain within the range of historical observations. Temporal dependencies associated with fuel feed variations and air flow adjustments were captured with acceptable accuracy due to the recurrent structure of the model. However, during rapid transients, such as abrupt changes in fuel properties or feed composition, prediction errors increased. This limitation is attributed to the data-driven nature of the model, which restricts its extrapolation capability beyond the training domain.</w:t>
      </w:r>
    </w:p>
    <w:p w14:paraId="1FC37690" w14:textId="0279E254" w:rsidR="008E3372" w:rsidRDefault="008E3372" w:rsidP="008E3372">
      <w:pPr>
        <w:pStyle w:val="CETheadingx"/>
      </w:pPr>
      <w:r>
        <w:rPr>
          <w:rStyle w:val="Strong"/>
          <w:b/>
          <w:bCs w:val="0"/>
        </w:rPr>
        <w:t>Reduction in Specific Heat Consumption</w:t>
      </w:r>
    </w:p>
    <w:p w14:paraId="28A8311B" w14:textId="77777777" w:rsidR="008E3372" w:rsidRDefault="008E3372" w:rsidP="008E3372">
      <w:pPr>
        <w:pStyle w:val="CETBodytext"/>
      </w:pPr>
      <w:r>
        <w:t>The integration of the predictive model with the optimization framework resulted in a measurable reduction in specific heat consumption. Under baseline conditions, the system operated within a range of 960–1000 kcal/kg clinker, with an average value of approximately 980 kcal/kg. After optimization, the predicted operating region corresponded to a reduced range of 850–880 kcal/kg clinker, with an average value of approximately 865 kcal/kg.</w:t>
      </w:r>
    </w:p>
    <w:p w14:paraId="57709486" w14:textId="71C995A5" w:rsidR="008E3372" w:rsidRDefault="008E3372" w:rsidP="008E3372">
      <w:pPr>
        <w:pStyle w:val="CETBodytext"/>
      </w:pPr>
      <w:r>
        <w:lastRenderedPageBreak/>
        <w:t>This represents a reduction of approximately 11–12% in thermal energy consumption (see Table 1). The improvement is associated with operating conditions that minimize unnecessary excess air and reduce heat carried away by exhaust gases. The optimized regime also corresponds to a more consistent fuel feed profile, which leads to a more uniform heat release along the kiln length. It should be noted that the optimization does not introduce new physical mechanisms, but rather identifies combinations of existing operating parameters that reduce inefficiencies.</w:t>
      </w:r>
    </w:p>
    <w:p w14:paraId="1AFDC74A" w14:textId="4061E190" w:rsidR="008E3372" w:rsidRDefault="008E3372" w:rsidP="008E3372">
      <w:pPr>
        <w:pStyle w:val="CETTabletitle"/>
      </w:pPr>
      <w:r w:rsidRPr="008E3372">
        <w:t>Table 1. Comparison of Baseline and Optimized Thermal Performance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6"/>
        <w:gridCol w:w="1609"/>
        <w:gridCol w:w="1869"/>
        <w:gridCol w:w="1829"/>
        <w:gridCol w:w="1174"/>
      </w:tblGrid>
      <w:tr w:rsidR="008E3372" w:rsidRPr="008E3372" w14:paraId="525C625F" w14:textId="77777777" w:rsidTr="008E3372">
        <w:tc>
          <w:tcPr>
            <w:tcW w:w="0" w:type="auto"/>
            <w:tcBorders>
              <w:top w:val="single" w:sz="18" w:space="0" w:color="00B050"/>
              <w:bottom w:val="single" w:sz="8" w:space="0" w:color="00B050"/>
            </w:tcBorders>
            <w:vAlign w:val="center"/>
            <w:hideMark/>
          </w:tcPr>
          <w:p w14:paraId="4717AE43" w14:textId="77777777" w:rsidR="008E3372" w:rsidRPr="008E3372" w:rsidRDefault="008E3372" w:rsidP="008E3372">
            <w:pPr>
              <w:pStyle w:val="CETBodytext"/>
              <w:rPr>
                <w:lang w:val="en-GB"/>
              </w:rPr>
            </w:pPr>
            <w:r w:rsidRPr="008E3372">
              <w:rPr>
                <w:lang w:val="en-GB"/>
              </w:rPr>
              <w:t>Parameter</w:t>
            </w:r>
          </w:p>
        </w:tc>
        <w:tc>
          <w:tcPr>
            <w:tcW w:w="0" w:type="auto"/>
            <w:tcBorders>
              <w:top w:val="single" w:sz="18" w:space="0" w:color="00B050"/>
              <w:bottom w:val="single" w:sz="8" w:space="0" w:color="00B050"/>
            </w:tcBorders>
            <w:vAlign w:val="center"/>
            <w:hideMark/>
          </w:tcPr>
          <w:p w14:paraId="72852CE8" w14:textId="77777777" w:rsidR="008E3372" w:rsidRPr="008E3372" w:rsidRDefault="008E3372" w:rsidP="008E3372">
            <w:pPr>
              <w:pStyle w:val="CETBodytext"/>
              <w:rPr>
                <w:lang w:val="en-GB"/>
              </w:rPr>
            </w:pPr>
            <w:r w:rsidRPr="008E3372">
              <w:rPr>
                <w:lang w:val="en-GB"/>
              </w:rPr>
              <w:t>Unit</w:t>
            </w:r>
          </w:p>
        </w:tc>
        <w:tc>
          <w:tcPr>
            <w:tcW w:w="0" w:type="auto"/>
            <w:tcBorders>
              <w:top w:val="single" w:sz="18" w:space="0" w:color="00B050"/>
              <w:bottom w:val="single" w:sz="8" w:space="0" w:color="00B050"/>
            </w:tcBorders>
            <w:vAlign w:val="center"/>
            <w:hideMark/>
          </w:tcPr>
          <w:p w14:paraId="7A18C80C" w14:textId="77777777" w:rsidR="008E3372" w:rsidRPr="008E3372" w:rsidRDefault="008E3372" w:rsidP="008E3372">
            <w:pPr>
              <w:pStyle w:val="CETBodytext"/>
              <w:rPr>
                <w:lang w:val="en-GB"/>
              </w:rPr>
            </w:pPr>
            <w:r w:rsidRPr="008E3372">
              <w:rPr>
                <w:lang w:val="en-GB"/>
              </w:rPr>
              <w:t>Baseline Condition</w:t>
            </w:r>
          </w:p>
        </w:tc>
        <w:tc>
          <w:tcPr>
            <w:tcW w:w="0" w:type="auto"/>
            <w:tcBorders>
              <w:top w:val="single" w:sz="18" w:space="0" w:color="00B050"/>
              <w:bottom w:val="single" w:sz="8" w:space="0" w:color="00B050"/>
            </w:tcBorders>
            <w:vAlign w:val="center"/>
            <w:hideMark/>
          </w:tcPr>
          <w:p w14:paraId="23BF79A9" w14:textId="77777777" w:rsidR="008E3372" w:rsidRPr="008E3372" w:rsidRDefault="008E3372" w:rsidP="008E3372">
            <w:pPr>
              <w:pStyle w:val="CETBodytext"/>
              <w:rPr>
                <w:lang w:val="en-GB"/>
              </w:rPr>
            </w:pPr>
            <w:r w:rsidRPr="008E3372">
              <w:rPr>
                <w:lang w:val="en-GB"/>
              </w:rPr>
              <w:t>Optimized Condition</w:t>
            </w:r>
          </w:p>
        </w:tc>
        <w:tc>
          <w:tcPr>
            <w:tcW w:w="0" w:type="auto"/>
            <w:tcBorders>
              <w:top w:val="single" w:sz="18" w:space="0" w:color="00B050"/>
              <w:bottom w:val="single" w:sz="8" w:space="0" w:color="00B050"/>
            </w:tcBorders>
            <w:vAlign w:val="center"/>
            <w:hideMark/>
          </w:tcPr>
          <w:p w14:paraId="03AB0145" w14:textId="77777777" w:rsidR="008E3372" w:rsidRPr="008E3372" w:rsidRDefault="008E3372" w:rsidP="008E3372">
            <w:pPr>
              <w:pStyle w:val="CETBodytext"/>
              <w:rPr>
                <w:lang w:val="en-GB"/>
              </w:rPr>
            </w:pPr>
            <w:r w:rsidRPr="008E3372">
              <w:rPr>
                <w:lang w:val="en-GB"/>
              </w:rPr>
              <w:t>Change (%)</w:t>
            </w:r>
          </w:p>
        </w:tc>
      </w:tr>
      <w:tr w:rsidR="008E3372" w:rsidRPr="008E3372" w14:paraId="1BDFB40E" w14:textId="77777777" w:rsidTr="008E3372">
        <w:tc>
          <w:tcPr>
            <w:tcW w:w="0" w:type="auto"/>
            <w:tcBorders>
              <w:top w:val="single" w:sz="8" w:space="0" w:color="00B050"/>
            </w:tcBorders>
            <w:hideMark/>
          </w:tcPr>
          <w:p w14:paraId="3D36BA18" w14:textId="5D7EC9C2" w:rsidR="008E3372" w:rsidRPr="008E3372" w:rsidRDefault="008E3372" w:rsidP="008E3372">
            <w:pPr>
              <w:pStyle w:val="CETBodytext"/>
            </w:pPr>
            <w:r w:rsidRPr="008E3372">
              <w:t xml:space="preserve">Specific heat consumption </w:t>
            </w:r>
          </w:p>
        </w:tc>
        <w:tc>
          <w:tcPr>
            <w:tcW w:w="0" w:type="auto"/>
            <w:tcBorders>
              <w:top w:val="single" w:sz="8" w:space="0" w:color="00B050"/>
            </w:tcBorders>
            <w:hideMark/>
          </w:tcPr>
          <w:p w14:paraId="778DED8D" w14:textId="77777777" w:rsidR="008E3372" w:rsidRPr="008E3372" w:rsidRDefault="008E3372" w:rsidP="008E3372">
            <w:pPr>
              <w:pStyle w:val="CETBodytext"/>
              <w:rPr>
                <w:lang w:val="ru-RU"/>
              </w:rPr>
            </w:pPr>
            <w:r w:rsidRPr="008E3372">
              <w:rPr>
                <w:lang w:val="ru-RU"/>
              </w:rPr>
              <w:t>kcal/kg clinker</w:t>
            </w:r>
          </w:p>
        </w:tc>
        <w:tc>
          <w:tcPr>
            <w:tcW w:w="0" w:type="auto"/>
            <w:tcBorders>
              <w:top w:val="single" w:sz="8" w:space="0" w:color="00B050"/>
            </w:tcBorders>
            <w:hideMark/>
          </w:tcPr>
          <w:p w14:paraId="1ADF3B54" w14:textId="77777777" w:rsidR="008E3372" w:rsidRPr="008E3372" w:rsidRDefault="008E3372" w:rsidP="008E3372">
            <w:pPr>
              <w:pStyle w:val="CETBodytext"/>
              <w:rPr>
                <w:lang w:val="ru-RU"/>
              </w:rPr>
            </w:pPr>
            <w:r w:rsidRPr="008E3372">
              <w:rPr>
                <w:lang w:val="ru-RU"/>
              </w:rPr>
              <w:t>960–1000 (avg. 980)</w:t>
            </w:r>
          </w:p>
        </w:tc>
        <w:tc>
          <w:tcPr>
            <w:tcW w:w="0" w:type="auto"/>
            <w:tcBorders>
              <w:top w:val="single" w:sz="8" w:space="0" w:color="00B050"/>
            </w:tcBorders>
            <w:hideMark/>
          </w:tcPr>
          <w:p w14:paraId="00F3B7CC" w14:textId="77777777" w:rsidR="008E3372" w:rsidRPr="008E3372" w:rsidRDefault="008E3372" w:rsidP="008E3372">
            <w:pPr>
              <w:pStyle w:val="CETBodytext"/>
              <w:rPr>
                <w:lang w:val="ru-RU"/>
              </w:rPr>
            </w:pPr>
            <w:r w:rsidRPr="008E3372">
              <w:rPr>
                <w:lang w:val="ru-RU"/>
              </w:rPr>
              <w:t>850–880 (avg. 865)</w:t>
            </w:r>
          </w:p>
        </w:tc>
        <w:tc>
          <w:tcPr>
            <w:tcW w:w="0" w:type="auto"/>
            <w:tcBorders>
              <w:top w:val="single" w:sz="8" w:space="0" w:color="00B050"/>
            </w:tcBorders>
            <w:hideMark/>
          </w:tcPr>
          <w:p w14:paraId="20DEBC04" w14:textId="77777777" w:rsidR="008E3372" w:rsidRPr="008E3372" w:rsidRDefault="008E3372" w:rsidP="008E3372">
            <w:pPr>
              <w:pStyle w:val="CETBodytext"/>
              <w:rPr>
                <w:lang w:val="ru-RU"/>
              </w:rPr>
            </w:pPr>
            <w:r w:rsidRPr="008E3372">
              <w:rPr>
                <w:lang w:val="ru-RU"/>
              </w:rPr>
              <w:t>−11.7%</w:t>
            </w:r>
          </w:p>
        </w:tc>
      </w:tr>
      <w:tr w:rsidR="008E3372" w:rsidRPr="008E3372" w14:paraId="54720FBC" w14:textId="77777777" w:rsidTr="008E3372">
        <w:tc>
          <w:tcPr>
            <w:tcW w:w="0" w:type="auto"/>
            <w:hideMark/>
          </w:tcPr>
          <w:p w14:paraId="700B50D1" w14:textId="640F0A31" w:rsidR="008E3372" w:rsidRPr="008E3372" w:rsidRDefault="008E3372" w:rsidP="008E3372">
            <w:pPr>
              <w:pStyle w:val="CETBodytext"/>
              <w:rPr>
                <w:lang w:val="ru-RU"/>
              </w:rPr>
            </w:pPr>
            <w:r w:rsidRPr="008E3372">
              <w:rPr>
                <w:lang w:val="ru-RU"/>
              </w:rPr>
              <w:t xml:space="preserve">Fuel consumption </w:t>
            </w:r>
          </w:p>
        </w:tc>
        <w:tc>
          <w:tcPr>
            <w:tcW w:w="0" w:type="auto"/>
            <w:hideMark/>
          </w:tcPr>
          <w:p w14:paraId="7D284E4E" w14:textId="77777777" w:rsidR="008E3372" w:rsidRPr="008E3372" w:rsidRDefault="008E3372" w:rsidP="008E3372">
            <w:pPr>
              <w:pStyle w:val="CETBodytext"/>
              <w:rPr>
                <w:lang w:val="ru-RU"/>
              </w:rPr>
            </w:pPr>
            <w:r w:rsidRPr="008E3372">
              <w:rPr>
                <w:lang w:val="ru-RU"/>
              </w:rPr>
              <w:t>kg coal/t clinker</w:t>
            </w:r>
          </w:p>
        </w:tc>
        <w:tc>
          <w:tcPr>
            <w:tcW w:w="0" w:type="auto"/>
            <w:hideMark/>
          </w:tcPr>
          <w:p w14:paraId="0E510FFC" w14:textId="77777777" w:rsidR="008E3372" w:rsidRPr="008E3372" w:rsidRDefault="008E3372" w:rsidP="008E3372">
            <w:pPr>
              <w:pStyle w:val="CETBodytext"/>
              <w:rPr>
                <w:lang w:val="ru-RU"/>
              </w:rPr>
            </w:pPr>
            <w:r w:rsidRPr="008E3372">
              <w:rPr>
                <w:lang w:val="ru-RU"/>
              </w:rPr>
              <w:t>155–165</w:t>
            </w:r>
          </w:p>
        </w:tc>
        <w:tc>
          <w:tcPr>
            <w:tcW w:w="0" w:type="auto"/>
            <w:hideMark/>
          </w:tcPr>
          <w:p w14:paraId="56DEDD95" w14:textId="77777777" w:rsidR="008E3372" w:rsidRPr="008E3372" w:rsidRDefault="008E3372" w:rsidP="008E3372">
            <w:pPr>
              <w:pStyle w:val="CETBodytext"/>
              <w:rPr>
                <w:lang w:val="ru-RU"/>
              </w:rPr>
            </w:pPr>
            <w:r w:rsidRPr="008E3372">
              <w:rPr>
                <w:lang w:val="ru-RU"/>
              </w:rPr>
              <w:t>140–150</w:t>
            </w:r>
          </w:p>
        </w:tc>
        <w:tc>
          <w:tcPr>
            <w:tcW w:w="0" w:type="auto"/>
            <w:hideMark/>
          </w:tcPr>
          <w:p w14:paraId="3EE78F52" w14:textId="77777777" w:rsidR="008E3372" w:rsidRPr="008E3372" w:rsidRDefault="008E3372" w:rsidP="008E3372">
            <w:pPr>
              <w:pStyle w:val="CETBodytext"/>
              <w:rPr>
                <w:lang w:val="ru-RU"/>
              </w:rPr>
            </w:pPr>
            <w:r w:rsidRPr="008E3372">
              <w:rPr>
                <w:lang w:val="ru-RU"/>
              </w:rPr>
              <w:t>−8–10%</w:t>
            </w:r>
          </w:p>
        </w:tc>
      </w:tr>
      <w:tr w:rsidR="008E3372" w:rsidRPr="008E3372" w14:paraId="6F89FFC1" w14:textId="77777777" w:rsidTr="008E3372">
        <w:tc>
          <w:tcPr>
            <w:tcW w:w="0" w:type="auto"/>
            <w:hideMark/>
          </w:tcPr>
          <w:p w14:paraId="36D27C0F" w14:textId="3006D72A" w:rsidR="008E3372" w:rsidRPr="008E3372" w:rsidRDefault="008E3372" w:rsidP="008E3372">
            <w:pPr>
              <w:pStyle w:val="CETBodytext"/>
            </w:pPr>
            <w:r w:rsidRPr="008E3372">
              <w:t xml:space="preserve">Exhaust gas temperature </w:t>
            </w:r>
          </w:p>
        </w:tc>
        <w:tc>
          <w:tcPr>
            <w:tcW w:w="0" w:type="auto"/>
            <w:hideMark/>
          </w:tcPr>
          <w:p w14:paraId="43EE2058" w14:textId="77777777" w:rsidR="008E3372" w:rsidRPr="008E3372" w:rsidRDefault="008E3372" w:rsidP="008E3372">
            <w:pPr>
              <w:pStyle w:val="CETBodytext"/>
              <w:rPr>
                <w:lang w:val="ru-RU"/>
              </w:rPr>
            </w:pPr>
            <w:r w:rsidRPr="008E3372">
              <w:rPr>
                <w:lang w:val="ru-RU"/>
              </w:rPr>
              <w:t>°C</w:t>
            </w:r>
          </w:p>
        </w:tc>
        <w:tc>
          <w:tcPr>
            <w:tcW w:w="0" w:type="auto"/>
            <w:hideMark/>
          </w:tcPr>
          <w:p w14:paraId="215BA218" w14:textId="77777777" w:rsidR="008E3372" w:rsidRPr="008E3372" w:rsidRDefault="008E3372" w:rsidP="008E3372">
            <w:pPr>
              <w:pStyle w:val="CETBodytext"/>
              <w:rPr>
                <w:lang w:val="ru-RU"/>
              </w:rPr>
            </w:pPr>
            <w:r w:rsidRPr="008E3372">
              <w:rPr>
                <w:lang w:val="ru-RU"/>
              </w:rPr>
              <w:t>320–350</w:t>
            </w:r>
          </w:p>
        </w:tc>
        <w:tc>
          <w:tcPr>
            <w:tcW w:w="0" w:type="auto"/>
            <w:hideMark/>
          </w:tcPr>
          <w:p w14:paraId="53662931" w14:textId="77777777" w:rsidR="008E3372" w:rsidRPr="008E3372" w:rsidRDefault="008E3372" w:rsidP="008E3372">
            <w:pPr>
              <w:pStyle w:val="CETBodytext"/>
              <w:rPr>
                <w:lang w:val="ru-RU"/>
              </w:rPr>
            </w:pPr>
            <w:r w:rsidRPr="008E3372">
              <w:rPr>
                <w:lang w:val="ru-RU"/>
              </w:rPr>
              <w:t>270–300</w:t>
            </w:r>
          </w:p>
        </w:tc>
        <w:tc>
          <w:tcPr>
            <w:tcW w:w="0" w:type="auto"/>
            <w:hideMark/>
          </w:tcPr>
          <w:p w14:paraId="114718AB" w14:textId="77777777" w:rsidR="008E3372" w:rsidRPr="008E3372" w:rsidRDefault="008E3372" w:rsidP="008E3372">
            <w:pPr>
              <w:pStyle w:val="CETBodytext"/>
              <w:rPr>
                <w:lang w:val="ru-RU"/>
              </w:rPr>
            </w:pPr>
            <w:r w:rsidRPr="008E3372">
              <w:rPr>
                <w:lang w:val="ru-RU"/>
              </w:rPr>
              <w:t>−12–15%</w:t>
            </w:r>
          </w:p>
        </w:tc>
      </w:tr>
      <w:tr w:rsidR="008E3372" w:rsidRPr="008E3372" w14:paraId="3568E1C9" w14:textId="77777777" w:rsidTr="008E3372">
        <w:tc>
          <w:tcPr>
            <w:tcW w:w="0" w:type="auto"/>
            <w:hideMark/>
          </w:tcPr>
          <w:p w14:paraId="1C2592B1" w14:textId="1179262D" w:rsidR="008E3372" w:rsidRPr="008E3372" w:rsidRDefault="008E3372" w:rsidP="008E3372">
            <w:pPr>
              <w:pStyle w:val="CETBodytext"/>
            </w:pPr>
            <w:r w:rsidRPr="008E3372">
              <w:t xml:space="preserve">Total heat losses </w:t>
            </w:r>
          </w:p>
        </w:tc>
        <w:tc>
          <w:tcPr>
            <w:tcW w:w="0" w:type="auto"/>
            <w:hideMark/>
          </w:tcPr>
          <w:p w14:paraId="68794247" w14:textId="77777777" w:rsidR="008E3372" w:rsidRPr="008E3372" w:rsidRDefault="008E3372" w:rsidP="008E3372">
            <w:pPr>
              <w:pStyle w:val="CETBodytext"/>
              <w:rPr>
                <w:lang w:val="ru-RU"/>
              </w:rPr>
            </w:pPr>
            <w:r w:rsidRPr="008E3372">
              <w:rPr>
                <w:lang w:val="ru-RU"/>
              </w:rPr>
              <w:t>% of input energy</w:t>
            </w:r>
          </w:p>
        </w:tc>
        <w:tc>
          <w:tcPr>
            <w:tcW w:w="0" w:type="auto"/>
            <w:hideMark/>
          </w:tcPr>
          <w:p w14:paraId="0EF07D8E" w14:textId="77777777" w:rsidR="008E3372" w:rsidRPr="008E3372" w:rsidRDefault="008E3372" w:rsidP="008E3372">
            <w:pPr>
              <w:pStyle w:val="CETBodytext"/>
              <w:rPr>
                <w:lang w:val="ru-RU"/>
              </w:rPr>
            </w:pPr>
            <w:r w:rsidRPr="008E3372">
              <w:rPr>
                <w:lang w:val="ru-RU"/>
              </w:rPr>
              <w:t>40–45%</w:t>
            </w:r>
          </w:p>
        </w:tc>
        <w:tc>
          <w:tcPr>
            <w:tcW w:w="0" w:type="auto"/>
            <w:hideMark/>
          </w:tcPr>
          <w:p w14:paraId="3B0D694F" w14:textId="77777777" w:rsidR="008E3372" w:rsidRPr="008E3372" w:rsidRDefault="008E3372" w:rsidP="008E3372">
            <w:pPr>
              <w:pStyle w:val="CETBodytext"/>
              <w:rPr>
                <w:lang w:val="ru-RU"/>
              </w:rPr>
            </w:pPr>
            <w:r w:rsidRPr="008E3372">
              <w:rPr>
                <w:lang w:val="ru-RU"/>
              </w:rPr>
              <w:t>34–38%</w:t>
            </w:r>
          </w:p>
        </w:tc>
        <w:tc>
          <w:tcPr>
            <w:tcW w:w="0" w:type="auto"/>
            <w:hideMark/>
          </w:tcPr>
          <w:p w14:paraId="0C8DC26F" w14:textId="77777777" w:rsidR="008E3372" w:rsidRPr="008E3372" w:rsidRDefault="008E3372" w:rsidP="008E3372">
            <w:pPr>
              <w:pStyle w:val="CETBodytext"/>
              <w:rPr>
                <w:lang w:val="ru-RU"/>
              </w:rPr>
            </w:pPr>
            <w:r w:rsidRPr="008E3372">
              <w:rPr>
                <w:lang w:val="ru-RU"/>
              </w:rPr>
              <w:t>−6–8%</w:t>
            </w:r>
          </w:p>
        </w:tc>
      </w:tr>
      <w:tr w:rsidR="008E3372" w:rsidRPr="008E3372" w14:paraId="40DB0856" w14:textId="77777777" w:rsidTr="008E3372">
        <w:tc>
          <w:tcPr>
            <w:tcW w:w="0" w:type="auto"/>
            <w:hideMark/>
          </w:tcPr>
          <w:p w14:paraId="13AA9E1C" w14:textId="6FBA3D7F" w:rsidR="008E3372" w:rsidRPr="008E3372" w:rsidRDefault="008E3372" w:rsidP="008E3372">
            <w:pPr>
              <w:pStyle w:val="CETBodytext"/>
            </w:pPr>
            <w:r w:rsidRPr="008E3372">
              <w:t xml:space="preserve">Flue gas heat losses </w:t>
            </w:r>
          </w:p>
        </w:tc>
        <w:tc>
          <w:tcPr>
            <w:tcW w:w="0" w:type="auto"/>
            <w:hideMark/>
          </w:tcPr>
          <w:p w14:paraId="13805398" w14:textId="77777777" w:rsidR="008E3372" w:rsidRPr="008E3372" w:rsidRDefault="008E3372" w:rsidP="008E3372">
            <w:pPr>
              <w:pStyle w:val="CETBodytext"/>
              <w:rPr>
                <w:lang w:val="ru-RU"/>
              </w:rPr>
            </w:pPr>
            <w:r w:rsidRPr="008E3372">
              <w:rPr>
                <w:lang w:val="ru-RU"/>
              </w:rPr>
              <w:t>% of total losses</w:t>
            </w:r>
          </w:p>
        </w:tc>
        <w:tc>
          <w:tcPr>
            <w:tcW w:w="0" w:type="auto"/>
            <w:hideMark/>
          </w:tcPr>
          <w:p w14:paraId="3D13A345" w14:textId="77777777" w:rsidR="008E3372" w:rsidRPr="008E3372" w:rsidRDefault="008E3372" w:rsidP="008E3372">
            <w:pPr>
              <w:pStyle w:val="CETBodytext"/>
              <w:rPr>
                <w:lang w:val="ru-RU"/>
              </w:rPr>
            </w:pPr>
            <w:r w:rsidRPr="008E3372">
              <w:rPr>
                <w:lang w:val="ru-RU"/>
              </w:rPr>
              <w:t>45–50%</w:t>
            </w:r>
          </w:p>
        </w:tc>
        <w:tc>
          <w:tcPr>
            <w:tcW w:w="0" w:type="auto"/>
            <w:hideMark/>
          </w:tcPr>
          <w:p w14:paraId="356B589F" w14:textId="77777777" w:rsidR="008E3372" w:rsidRPr="008E3372" w:rsidRDefault="008E3372" w:rsidP="008E3372">
            <w:pPr>
              <w:pStyle w:val="CETBodytext"/>
              <w:rPr>
                <w:lang w:val="ru-RU"/>
              </w:rPr>
            </w:pPr>
            <w:r w:rsidRPr="008E3372">
              <w:rPr>
                <w:lang w:val="ru-RU"/>
              </w:rPr>
              <w:t>40–45%</w:t>
            </w:r>
          </w:p>
        </w:tc>
        <w:tc>
          <w:tcPr>
            <w:tcW w:w="0" w:type="auto"/>
            <w:hideMark/>
          </w:tcPr>
          <w:p w14:paraId="72339B55" w14:textId="77777777" w:rsidR="008E3372" w:rsidRPr="008E3372" w:rsidRDefault="008E3372" w:rsidP="008E3372">
            <w:pPr>
              <w:pStyle w:val="CETBodytext"/>
              <w:rPr>
                <w:lang w:val="ru-RU"/>
              </w:rPr>
            </w:pPr>
            <w:r w:rsidRPr="008E3372">
              <w:rPr>
                <w:lang w:val="ru-RU"/>
              </w:rPr>
              <w:t>−8–10%</w:t>
            </w:r>
          </w:p>
        </w:tc>
      </w:tr>
      <w:tr w:rsidR="008E3372" w:rsidRPr="008E3372" w14:paraId="3C4FC14C" w14:textId="77777777" w:rsidTr="008E3372">
        <w:tc>
          <w:tcPr>
            <w:tcW w:w="0" w:type="auto"/>
            <w:hideMark/>
          </w:tcPr>
          <w:p w14:paraId="2DDB99D8" w14:textId="56D63755" w:rsidR="008E3372" w:rsidRPr="008E3372" w:rsidRDefault="008E3372" w:rsidP="008E3372">
            <w:pPr>
              <w:pStyle w:val="CETBodytext"/>
              <w:rPr>
                <w:lang w:val="ru-RU"/>
              </w:rPr>
            </w:pPr>
            <w:r w:rsidRPr="008E3372">
              <w:rPr>
                <w:lang w:val="ru-RU"/>
              </w:rPr>
              <w:t xml:space="preserve">Radiative losses </w:t>
            </w:r>
          </w:p>
        </w:tc>
        <w:tc>
          <w:tcPr>
            <w:tcW w:w="0" w:type="auto"/>
            <w:hideMark/>
          </w:tcPr>
          <w:p w14:paraId="5CA9BBB3" w14:textId="77777777" w:rsidR="008E3372" w:rsidRPr="008E3372" w:rsidRDefault="008E3372" w:rsidP="008E3372">
            <w:pPr>
              <w:pStyle w:val="CETBodytext"/>
              <w:rPr>
                <w:lang w:val="ru-RU"/>
              </w:rPr>
            </w:pPr>
            <w:r w:rsidRPr="008E3372">
              <w:rPr>
                <w:lang w:val="ru-RU"/>
              </w:rPr>
              <w:t>% of total losses</w:t>
            </w:r>
          </w:p>
        </w:tc>
        <w:tc>
          <w:tcPr>
            <w:tcW w:w="0" w:type="auto"/>
            <w:hideMark/>
          </w:tcPr>
          <w:p w14:paraId="76929FC2" w14:textId="77777777" w:rsidR="008E3372" w:rsidRPr="008E3372" w:rsidRDefault="008E3372" w:rsidP="008E3372">
            <w:pPr>
              <w:pStyle w:val="CETBodytext"/>
              <w:rPr>
                <w:lang w:val="ru-RU"/>
              </w:rPr>
            </w:pPr>
            <w:r w:rsidRPr="008E3372">
              <w:rPr>
                <w:lang w:val="ru-RU"/>
              </w:rPr>
              <w:t>20–25%</w:t>
            </w:r>
          </w:p>
        </w:tc>
        <w:tc>
          <w:tcPr>
            <w:tcW w:w="0" w:type="auto"/>
            <w:hideMark/>
          </w:tcPr>
          <w:p w14:paraId="7207DE98" w14:textId="77777777" w:rsidR="008E3372" w:rsidRPr="008E3372" w:rsidRDefault="008E3372" w:rsidP="008E3372">
            <w:pPr>
              <w:pStyle w:val="CETBodytext"/>
              <w:rPr>
                <w:lang w:val="ru-RU"/>
              </w:rPr>
            </w:pPr>
            <w:r w:rsidRPr="008E3372">
              <w:rPr>
                <w:lang w:val="ru-RU"/>
              </w:rPr>
              <w:t>18–22%</w:t>
            </w:r>
          </w:p>
        </w:tc>
        <w:tc>
          <w:tcPr>
            <w:tcW w:w="0" w:type="auto"/>
            <w:hideMark/>
          </w:tcPr>
          <w:p w14:paraId="32F356A5" w14:textId="77777777" w:rsidR="008E3372" w:rsidRPr="008E3372" w:rsidRDefault="008E3372" w:rsidP="008E3372">
            <w:pPr>
              <w:pStyle w:val="CETBodytext"/>
              <w:rPr>
                <w:lang w:val="ru-RU"/>
              </w:rPr>
            </w:pPr>
            <w:r w:rsidRPr="008E3372">
              <w:rPr>
                <w:lang w:val="ru-RU"/>
              </w:rPr>
              <w:t>−3–5%</w:t>
            </w:r>
          </w:p>
        </w:tc>
      </w:tr>
      <w:tr w:rsidR="008E3372" w:rsidRPr="008E3372" w14:paraId="0123E2CD" w14:textId="77777777" w:rsidTr="008E3372">
        <w:tc>
          <w:tcPr>
            <w:tcW w:w="0" w:type="auto"/>
            <w:hideMark/>
          </w:tcPr>
          <w:p w14:paraId="5AB753C7" w14:textId="73159E01" w:rsidR="008E3372" w:rsidRPr="008E3372" w:rsidRDefault="008E3372" w:rsidP="008E3372">
            <w:pPr>
              <w:pStyle w:val="CETBodytext"/>
            </w:pPr>
            <w:r w:rsidRPr="008E3372">
              <w:t xml:space="preserve">Clinker heat losses </w:t>
            </w:r>
          </w:p>
        </w:tc>
        <w:tc>
          <w:tcPr>
            <w:tcW w:w="0" w:type="auto"/>
            <w:hideMark/>
          </w:tcPr>
          <w:p w14:paraId="4615EAF6" w14:textId="77777777" w:rsidR="008E3372" w:rsidRPr="008E3372" w:rsidRDefault="008E3372" w:rsidP="008E3372">
            <w:pPr>
              <w:pStyle w:val="CETBodytext"/>
              <w:rPr>
                <w:lang w:val="ru-RU"/>
              </w:rPr>
            </w:pPr>
            <w:r w:rsidRPr="008E3372">
              <w:rPr>
                <w:lang w:val="ru-RU"/>
              </w:rPr>
              <w:t>% of total losses</w:t>
            </w:r>
          </w:p>
        </w:tc>
        <w:tc>
          <w:tcPr>
            <w:tcW w:w="0" w:type="auto"/>
            <w:hideMark/>
          </w:tcPr>
          <w:p w14:paraId="51E3A7E6" w14:textId="77777777" w:rsidR="008E3372" w:rsidRPr="008E3372" w:rsidRDefault="008E3372" w:rsidP="008E3372">
            <w:pPr>
              <w:pStyle w:val="CETBodytext"/>
              <w:rPr>
                <w:lang w:val="ru-RU"/>
              </w:rPr>
            </w:pPr>
            <w:r w:rsidRPr="008E3372">
              <w:rPr>
                <w:lang w:val="ru-RU"/>
              </w:rPr>
              <w:t>15–20%</w:t>
            </w:r>
          </w:p>
        </w:tc>
        <w:tc>
          <w:tcPr>
            <w:tcW w:w="0" w:type="auto"/>
            <w:hideMark/>
          </w:tcPr>
          <w:p w14:paraId="25ACF5CD" w14:textId="77777777" w:rsidR="008E3372" w:rsidRPr="008E3372" w:rsidRDefault="008E3372" w:rsidP="008E3372">
            <w:pPr>
              <w:pStyle w:val="CETBodytext"/>
              <w:rPr>
                <w:lang w:val="ru-RU"/>
              </w:rPr>
            </w:pPr>
            <w:r w:rsidRPr="008E3372">
              <w:rPr>
                <w:lang w:val="ru-RU"/>
              </w:rPr>
              <w:t>14–18%</w:t>
            </w:r>
          </w:p>
        </w:tc>
        <w:tc>
          <w:tcPr>
            <w:tcW w:w="0" w:type="auto"/>
            <w:hideMark/>
          </w:tcPr>
          <w:p w14:paraId="775E8BBE" w14:textId="77777777" w:rsidR="008E3372" w:rsidRPr="008E3372" w:rsidRDefault="008E3372" w:rsidP="008E3372">
            <w:pPr>
              <w:pStyle w:val="CETBodytext"/>
              <w:rPr>
                <w:lang w:val="ru-RU"/>
              </w:rPr>
            </w:pPr>
            <w:r w:rsidRPr="008E3372">
              <w:rPr>
                <w:lang w:val="ru-RU"/>
              </w:rPr>
              <w:t>−1–2%</w:t>
            </w:r>
          </w:p>
        </w:tc>
      </w:tr>
      <w:tr w:rsidR="008E3372" w:rsidRPr="008E3372" w14:paraId="6FFAEBA9" w14:textId="77777777" w:rsidTr="008E3372">
        <w:tc>
          <w:tcPr>
            <w:tcW w:w="0" w:type="auto"/>
            <w:hideMark/>
          </w:tcPr>
          <w:p w14:paraId="58C07FCE" w14:textId="1F5B7C4F" w:rsidR="008E3372" w:rsidRPr="008E3372" w:rsidRDefault="008E3372" w:rsidP="008E3372">
            <w:pPr>
              <w:pStyle w:val="CETBodytext"/>
              <w:rPr>
                <w:lang w:val="ru-RU"/>
              </w:rPr>
            </w:pPr>
            <w:r w:rsidRPr="008E3372">
              <w:rPr>
                <w:lang w:val="ru-RU"/>
              </w:rPr>
              <w:t xml:space="preserve">Unburned losses </w:t>
            </w:r>
          </w:p>
        </w:tc>
        <w:tc>
          <w:tcPr>
            <w:tcW w:w="0" w:type="auto"/>
            <w:hideMark/>
          </w:tcPr>
          <w:p w14:paraId="6BF3D78D" w14:textId="77777777" w:rsidR="008E3372" w:rsidRPr="008E3372" w:rsidRDefault="008E3372" w:rsidP="008E3372">
            <w:pPr>
              <w:pStyle w:val="CETBodytext"/>
              <w:rPr>
                <w:lang w:val="ru-RU"/>
              </w:rPr>
            </w:pPr>
            <w:r w:rsidRPr="008E3372">
              <w:rPr>
                <w:lang w:val="ru-RU"/>
              </w:rPr>
              <w:t>% of total losses</w:t>
            </w:r>
          </w:p>
        </w:tc>
        <w:tc>
          <w:tcPr>
            <w:tcW w:w="0" w:type="auto"/>
            <w:hideMark/>
          </w:tcPr>
          <w:p w14:paraId="04A1401A" w14:textId="77777777" w:rsidR="008E3372" w:rsidRPr="008E3372" w:rsidRDefault="008E3372" w:rsidP="008E3372">
            <w:pPr>
              <w:pStyle w:val="CETBodytext"/>
              <w:rPr>
                <w:lang w:val="ru-RU"/>
              </w:rPr>
            </w:pPr>
            <w:r w:rsidRPr="008E3372">
              <w:rPr>
                <w:lang w:val="ru-RU"/>
              </w:rPr>
              <w:t>5–8%</w:t>
            </w:r>
          </w:p>
        </w:tc>
        <w:tc>
          <w:tcPr>
            <w:tcW w:w="0" w:type="auto"/>
            <w:hideMark/>
          </w:tcPr>
          <w:p w14:paraId="3924CCEF" w14:textId="77777777" w:rsidR="008E3372" w:rsidRPr="008E3372" w:rsidRDefault="008E3372" w:rsidP="008E3372">
            <w:pPr>
              <w:pStyle w:val="CETBodytext"/>
              <w:rPr>
                <w:lang w:val="ru-RU"/>
              </w:rPr>
            </w:pPr>
            <w:r w:rsidRPr="008E3372">
              <w:rPr>
                <w:lang w:val="ru-RU"/>
              </w:rPr>
              <w:t>4–6%</w:t>
            </w:r>
          </w:p>
        </w:tc>
        <w:tc>
          <w:tcPr>
            <w:tcW w:w="0" w:type="auto"/>
            <w:hideMark/>
          </w:tcPr>
          <w:p w14:paraId="53D6BC19" w14:textId="77777777" w:rsidR="008E3372" w:rsidRPr="008E3372" w:rsidRDefault="008E3372" w:rsidP="008E3372">
            <w:pPr>
              <w:pStyle w:val="CETBodytext"/>
              <w:rPr>
                <w:lang w:val="ru-RU"/>
              </w:rPr>
            </w:pPr>
            <w:r w:rsidRPr="008E3372">
              <w:rPr>
                <w:lang w:val="ru-RU"/>
              </w:rPr>
              <w:t>−2–3%</w:t>
            </w:r>
          </w:p>
        </w:tc>
      </w:tr>
      <w:tr w:rsidR="008E3372" w:rsidRPr="008E3372" w14:paraId="393D9111" w14:textId="77777777" w:rsidTr="008E3372">
        <w:tc>
          <w:tcPr>
            <w:tcW w:w="0" w:type="auto"/>
            <w:hideMark/>
          </w:tcPr>
          <w:p w14:paraId="082FB7C5" w14:textId="77777777" w:rsidR="008E3372" w:rsidRPr="008E3372" w:rsidRDefault="008E3372" w:rsidP="008E3372">
            <w:pPr>
              <w:pStyle w:val="CETBodytext"/>
              <w:rPr>
                <w:lang w:val="ru-RU"/>
              </w:rPr>
            </w:pPr>
            <w:r w:rsidRPr="008E3372">
              <w:rPr>
                <w:lang w:val="ru-RU"/>
              </w:rPr>
              <w:t>CO</w:t>
            </w:r>
            <w:r w:rsidRPr="008E3372">
              <w:rPr>
                <w:rFonts w:ascii="Cambria Math" w:hAnsi="Cambria Math" w:cs="Cambria Math"/>
                <w:lang w:val="ru-RU"/>
              </w:rPr>
              <w:t>₂</w:t>
            </w:r>
            <w:r w:rsidRPr="008E3372">
              <w:rPr>
                <w:lang w:val="ru-RU"/>
              </w:rPr>
              <w:t xml:space="preserve"> emissions</w:t>
            </w:r>
          </w:p>
        </w:tc>
        <w:tc>
          <w:tcPr>
            <w:tcW w:w="0" w:type="auto"/>
            <w:hideMark/>
          </w:tcPr>
          <w:p w14:paraId="29A9C055" w14:textId="77777777" w:rsidR="008E3372" w:rsidRPr="008E3372" w:rsidRDefault="008E3372" w:rsidP="008E3372">
            <w:pPr>
              <w:pStyle w:val="CETBodytext"/>
              <w:rPr>
                <w:lang w:val="ru-RU"/>
              </w:rPr>
            </w:pPr>
            <w:r w:rsidRPr="008E3372">
              <w:rPr>
                <w:lang w:val="ru-RU"/>
              </w:rPr>
              <w:t>Mt/year</w:t>
            </w:r>
          </w:p>
        </w:tc>
        <w:tc>
          <w:tcPr>
            <w:tcW w:w="0" w:type="auto"/>
            <w:hideMark/>
          </w:tcPr>
          <w:p w14:paraId="70444675" w14:textId="77777777" w:rsidR="008E3372" w:rsidRPr="008E3372" w:rsidRDefault="008E3372" w:rsidP="008E3372">
            <w:pPr>
              <w:pStyle w:val="CETBodytext"/>
              <w:rPr>
                <w:lang w:val="ru-RU"/>
              </w:rPr>
            </w:pPr>
            <w:r w:rsidRPr="008E3372">
              <w:rPr>
                <w:lang w:val="ru-RU"/>
              </w:rPr>
              <w:t>1.06</w:t>
            </w:r>
          </w:p>
        </w:tc>
        <w:tc>
          <w:tcPr>
            <w:tcW w:w="0" w:type="auto"/>
            <w:hideMark/>
          </w:tcPr>
          <w:p w14:paraId="064FDE95" w14:textId="77777777" w:rsidR="008E3372" w:rsidRPr="008E3372" w:rsidRDefault="008E3372" w:rsidP="008E3372">
            <w:pPr>
              <w:pStyle w:val="CETBodytext"/>
              <w:rPr>
                <w:lang w:val="ru-RU"/>
              </w:rPr>
            </w:pPr>
            <w:r w:rsidRPr="008E3372">
              <w:rPr>
                <w:lang w:val="ru-RU"/>
              </w:rPr>
              <w:t>0.97–0.99</w:t>
            </w:r>
          </w:p>
        </w:tc>
        <w:tc>
          <w:tcPr>
            <w:tcW w:w="0" w:type="auto"/>
            <w:hideMark/>
          </w:tcPr>
          <w:p w14:paraId="411AB925" w14:textId="77777777" w:rsidR="008E3372" w:rsidRPr="008E3372" w:rsidRDefault="008E3372" w:rsidP="008E3372">
            <w:pPr>
              <w:pStyle w:val="CETBodytext"/>
              <w:rPr>
                <w:lang w:val="ru-RU"/>
              </w:rPr>
            </w:pPr>
            <w:r w:rsidRPr="008E3372">
              <w:rPr>
                <w:lang w:val="ru-RU"/>
              </w:rPr>
              <w:t>−6–9%</w:t>
            </w:r>
          </w:p>
        </w:tc>
      </w:tr>
      <w:tr w:rsidR="008E3372" w:rsidRPr="008E3372" w14:paraId="34A14648" w14:textId="77777777" w:rsidTr="008E3372">
        <w:tc>
          <w:tcPr>
            <w:tcW w:w="0" w:type="auto"/>
            <w:tcBorders>
              <w:bottom w:val="single" w:sz="8" w:space="0" w:color="00B050"/>
            </w:tcBorders>
            <w:hideMark/>
          </w:tcPr>
          <w:p w14:paraId="09F2FDBD" w14:textId="77777777" w:rsidR="008E3372" w:rsidRPr="008E3372" w:rsidRDefault="008E3372" w:rsidP="008E3372">
            <w:pPr>
              <w:pStyle w:val="CETBodytext"/>
              <w:rPr>
                <w:lang w:val="ru-RU"/>
              </w:rPr>
            </w:pPr>
            <w:r w:rsidRPr="008E3372">
              <w:rPr>
                <w:lang w:val="ru-RU"/>
              </w:rPr>
              <w:t>Emission intensity</w:t>
            </w:r>
          </w:p>
        </w:tc>
        <w:tc>
          <w:tcPr>
            <w:tcW w:w="0" w:type="auto"/>
            <w:tcBorders>
              <w:bottom w:val="single" w:sz="8" w:space="0" w:color="00B050"/>
            </w:tcBorders>
            <w:hideMark/>
          </w:tcPr>
          <w:p w14:paraId="49FCF6DA" w14:textId="77777777" w:rsidR="008E3372" w:rsidRPr="008E3372" w:rsidRDefault="008E3372" w:rsidP="008E3372">
            <w:pPr>
              <w:pStyle w:val="CETBodytext"/>
              <w:rPr>
                <w:lang w:val="ru-RU"/>
              </w:rPr>
            </w:pPr>
            <w:r w:rsidRPr="008E3372">
              <w:rPr>
                <w:lang w:val="ru-RU"/>
              </w:rPr>
              <w:t>t CO</w:t>
            </w:r>
            <w:r w:rsidRPr="008E3372">
              <w:rPr>
                <w:rFonts w:ascii="Cambria Math" w:hAnsi="Cambria Math" w:cs="Cambria Math"/>
                <w:lang w:val="ru-RU"/>
              </w:rPr>
              <w:t>₂</w:t>
            </w:r>
            <w:r w:rsidRPr="008E3372">
              <w:rPr>
                <w:lang w:val="ru-RU"/>
              </w:rPr>
              <w:t>/t cement</w:t>
            </w:r>
          </w:p>
        </w:tc>
        <w:tc>
          <w:tcPr>
            <w:tcW w:w="0" w:type="auto"/>
            <w:tcBorders>
              <w:bottom w:val="single" w:sz="8" w:space="0" w:color="00B050"/>
            </w:tcBorders>
            <w:hideMark/>
          </w:tcPr>
          <w:p w14:paraId="0896F612" w14:textId="77777777" w:rsidR="008E3372" w:rsidRPr="008E3372" w:rsidRDefault="008E3372" w:rsidP="008E3372">
            <w:pPr>
              <w:pStyle w:val="CETBodytext"/>
              <w:rPr>
                <w:lang w:val="ru-RU"/>
              </w:rPr>
            </w:pPr>
            <w:r w:rsidRPr="008E3372">
              <w:rPr>
                <w:lang w:val="ru-RU"/>
              </w:rPr>
              <w:t>0.708</w:t>
            </w:r>
          </w:p>
        </w:tc>
        <w:tc>
          <w:tcPr>
            <w:tcW w:w="0" w:type="auto"/>
            <w:tcBorders>
              <w:bottom w:val="single" w:sz="8" w:space="0" w:color="00B050"/>
            </w:tcBorders>
            <w:hideMark/>
          </w:tcPr>
          <w:p w14:paraId="226AC118" w14:textId="77777777" w:rsidR="008E3372" w:rsidRPr="008E3372" w:rsidRDefault="008E3372" w:rsidP="008E3372">
            <w:pPr>
              <w:pStyle w:val="CETBodytext"/>
              <w:rPr>
                <w:lang w:val="ru-RU"/>
              </w:rPr>
            </w:pPr>
            <w:r w:rsidRPr="008E3372">
              <w:rPr>
                <w:lang w:val="ru-RU"/>
              </w:rPr>
              <w:t>0.64–0.67</w:t>
            </w:r>
          </w:p>
        </w:tc>
        <w:tc>
          <w:tcPr>
            <w:tcW w:w="0" w:type="auto"/>
            <w:tcBorders>
              <w:bottom w:val="single" w:sz="8" w:space="0" w:color="00B050"/>
            </w:tcBorders>
            <w:hideMark/>
          </w:tcPr>
          <w:p w14:paraId="747E842A" w14:textId="77777777" w:rsidR="008E3372" w:rsidRPr="008E3372" w:rsidRDefault="008E3372" w:rsidP="008E3372">
            <w:pPr>
              <w:pStyle w:val="CETBodytext"/>
              <w:rPr>
                <w:lang w:val="ru-RU"/>
              </w:rPr>
            </w:pPr>
            <w:r w:rsidRPr="008E3372">
              <w:rPr>
                <w:lang w:val="ru-RU"/>
              </w:rPr>
              <w:t>−6–9%</w:t>
            </w:r>
          </w:p>
        </w:tc>
      </w:tr>
    </w:tbl>
    <w:p w14:paraId="0E7D172B" w14:textId="6964CE98" w:rsidR="008E3372" w:rsidRDefault="008E3372" w:rsidP="008E3372">
      <w:pPr>
        <w:pStyle w:val="CETheadingx"/>
      </w:pPr>
      <w:r>
        <w:rPr>
          <w:rStyle w:val="Strong"/>
          <w:b/>
          <w:bCs w:val="0"/>
        </w:rPr>
        <w:t>Heat Loss Distribution</w:t>
      </w:r>
    </w:p>
    <w:p w14:paraId="6FEE7754" w14:textId="77777777" w:rsidR="008E3372" w:rsidRDefault="008E3372" w:rsidP="008E3372">
      <w:pPr>
        <w:pStyle w:val="CETBodytext"/>
      </w:pPr>
      <w:r>
        <w:t>A simplified heat balance analysis was used to evaluate the contribution of individual loss components before and after optimization. Under baseline conditions, the distribution of heat losses can be approximated as follows: flue gas losses account for 45–50% of total losses, radiative losses from the kiln shell contribute 20–25%, clinker sensible heat represents 15–20%, and incomplete combustion losses remain below 10%.</w:t>
      </w:r>
    </w:p>
    <w:p w14:paraId="2A64BFE3" w14:textId="77777777" w:rsidR="008E3372" w:rsidRDefault="008E3372" w:rsidP="008E3372">
      <w:pPr>
        <w:pStyle w:val="CETBodytext"/>
      </w:pPr>
      <w:r>
        <w:t>After optimization, the most significant reduction was observed in flue gas losses. A decrease in exhaust gas temperature of approximately 40–60 °C resulted in a relative reduction of this component by about 8–10%. Radiative losses were reduced by approximately 3–5% due to improved thermal uniformity along the kiln shell, which limits localized overheating. Changes in clinker-related losses were minimal, as these are largely determined by downstream cooling conditions, which were not included as decision variables in the optimization problem. Losses due to incomplete combustion decreased slightly due to improved air–fuel ratio alignment, but their overall contribution remained relatively small.</w:t>
      </w:r>
    </w:p>
    <w:p w14:paraId="45F8EDD3" w14:textId="7016196E" w:rsidR="008E3372" w:rsidRDefault="008E3372" w:rsidP="008E3372">
      <w:pPr>
        <w:pStyle w:val="CETheadingx"/>
      </w:pPr>
      <w:r>
        <w:rPr>
          <w:rStyle w:val="Strong"/>
          <w:b/>
          <w:bCs w:val="0"/>
        </w:rPr>
        <w:t>Impact on CO</w:t>
      </w:r>
      <w:r>
        <w:rPr>
          <w:rStyle w:val="Strong"/>
          <w:rFonts w:ascii="Cambria Math" w:hAnsi="Cambria Math" w:cs="Cambria Math"/>
          <w:b/>
          <w:bCs w:val="0"/>
        </w:rPr>
        <w:t>₂</w:t>
      </w:r>
      <w:r>
        <w:rPr>
          <w:rStyle w:val="Strong"/>
          <w:b/>
          <w:bCs w:val="0"/>
        </w:rPr>
        <w:t xml:space="preserve"> Emissions</w:t>
      </w:r>
    </w:p>
    <w:p w14:paraId="79C8A44C" w14:textId="77777777" w:rsidR="008E3372" w:rsidRDefault="008E3372" w:rsidP="008E3372">
      <w:pPr>
        <w:pStyle w:val="CETBodytext"/>
      </w:pPr>
      <w:r>
        <w:t>The reduction in thermal energy consumption directly influences fuel usage and, consequently, CO</w:t>
      </w:r>
      <w:r>
        <w:rPr>
          <w:rFonts w:ascii="Cambria Math" w:hAnsi="Cambria Math" w:cs="Cambria Math"/>
        </w:rPr>
        <w:t>₂</w:t>
      </w:r>
      <w:r>
        <w:t xml:space="preserve"> emissions. Based on the assumed baseline emission level of 1.06 Mt CO</w:t>
      </w:r>
      <w:r>
        <w:rPr>
          <w:rFonts w:ascii="Cambria Math" w:hAnsi="Cambria Math" w:cs="Cambria Math"/>
        </w:rPr>
        <w:t>₂</w:t>
      </w:r>
      <w:r>
        <w:t xml:space="preserve"> per year, corresponding to an emission intensity of 0.708 t CO</w:t>
      </w:r>
      <w:r>
        <w:rPr>
          <w:rFonts w:ascii="Cambria Math" w:hAnsi="Cambria Math" w:cs="Cambria Math"/>
        </w:rPr>
        <w:t>₂</w:t>
      </w:r>
      <w:r>
        <w:t xml:space="preserve"> per tonne of cement, the optimized operating conditions yield an estimated reduction of 6</w:t>
      </w:r>
      <w:r>
        <w:rPr>
          <w:rFonts w:cs="Arial"/>
        </w:rPr>
        <w:t>–</w:t>
      </w:r>
      <w:r>
        <w:t>9%.</w:t>
      </w:r>
    </w:p>
    <w:p w14:paraId="2153DFFD" w14:textId="77777777" w:rsidR="008E3372" w:rsidRDefault="008E3372" w:rsidP="008E3372">
      <w:pPr>
        <w:pStyle w:val="CETBodytext"/>
      </w:pPr>
      <w:r>
        <w:t>In absolute terms, this corresponds to an annual emission reduction of approximately 0.07–0.09 Mt CO</w:t>
      </w:r>
      <w:r>
        <w:rPr>
          <w:rFonts w:ascii="Cambria Math" w:hAnsi="Cambria Math" w:cs="Cambria Math"/>
        </w:rPr>
        <w:t>₂</w:t>
      </w:r>
      <w:r>
        <w:t>. The reduction is solely attributed to decreased coal consumption, as the carbon intensity of the fuel and process-related emissions from calcination remain unchanged. Therefore, the proposed approach addresses the energy-related component of emissions but does not affect process emissions.</w:t>
      </w:r>
    </w:p>
    <w:p w14:paraId="777205D3" w14:textId="26D0F720" w:rsidR="008E3372" w:rsidRDefault="008E3372" w:rsidP="008E3372">
      <w:pPr>
        <w:pStyle w:val="CETheadingx"/>
      </w:pPr>
      <w:r>
        <w:rPr>
          <w:rStyle w:val="Strong"/>
          <w:b/>
          <w:bCs w:val="0"/>
        </w:rPr>
        <w:t>Interpretation of Process Behavior</w:t>
      </w:r>
    </w:p>
    <w:p w14:paraId="6C565C12" w14:textId="77777777" w:rsidR="008E3372" w:rsidRDefault="008E3372" w:rsidP="008E3372">
      <w:pPr>
        <w:pStyle w:val="CETBodytext"/>
      </w:pPr>
      <w:r>
        <w:t>The optimized operating region is characterized by reduced variability in key технологical parameters, particularly fuel feed rate and air flow. This reduction in variability leads to a more stable temperature distribution along the kiln, which improves the efficiency of heat transfer from combustion gases to the material bed.</w:t>
      </w:r>
    </w:p>
    <w:p w14:paraId="48171872" w14:textId="77777777" w:rsidR="008E3372" w:rsidRDefault="008E3372" w:rsidP="008E3372">
      <w:pPr>
        <w:pStyle w:val="CETBodytext"/>
      </w:pPr>
      <w:r>
        <w:t>It is important to distinguish between correlation and causation in this context. The optimization does not directly alter the physical behavior of the system but identifies operating conditions under which the system inherently exhibits lower heat losses. The improved thermal performance is therefore a consequence of better alignment between input variables rather than a structural modification of the process.</w:t>
      </w:r>
    </w:p>
    <w:p w14:paraId="3911BBA2" w14:textId="77777777" w:rsidR="008E3372" w:rsidRDefault="008E3372" w:rsidP="008E3372">
      <w:pPr>
        <w:pStyle w:val="CETBodytext"/>
      </w:pPr>
      <w:r>
        <w:t>The results also indicate that the system operates closer to its thermodynamic optimum when excess air is minimized without compromising combustion completeness. This balance is critical, as insufficient air supply may lead to incomplete combustion, while excessive air increases heat losses through exhaust gases.</w:t>
      </w:r>
    </w:p>
    <w:p w14:paraId="667B5E2B" w14:textId="25ED7098" w:rsidR="008E3372" w:rsidRDefault="008E3372" w:rsidP="008E3372">
      <w:pPr>
        <w:pStyle w:val="CETheadingx"/>
      </w:pPr>
      <w:r>
        <w:rPr>
          <w:rStyle w:val="Strong"/>
          <w:b/>
          <w:bCs w:val="0"/>
        </w:rPr>
        <w:t>Limitations and Practical Considerations</w:t>
      </w:r>
    </w:p>
    <w:p w14:paraId="25D87F19" w14:textId="77777777" w:rsidR="008E3372" w:rsidRDefault="008E3372" w:rsidP="008E3372">
      <w:pPr>
        <w:pStyle w:val="CETBodytext"/>
      </w:pPr>
      <w:r>
        <w:t xml:space="preserve">The obtained results are subject to several limitations. First, the predictive accuracy of the model depends on the quality and representativeness of the input data. Any bias or measurement error in the dataset may propagate through the model and affect optimization outcomes. Second, the model does not explicitly </w:t>
      </w:r>
      <w:r>
        <w:lastRenderedPageBreak/>
        <w:t>incorporate physical constraints related to clinker mineralogy beyond simplified quality indices, which may limit its applicability in scenarios requiring strict product specifications.</w:t>
      </w:r>
    </w:p>
    <w:p w14:paraId="7D90B600" w14:textId="77777777" w:rsidR="008E3372" w:rsidRDefault="008E3372" w:rsidP="008E3372">
      <w:pPr>
        <w:pStyle w:val="CETBodytext"/>
      </w:pPr>
      <w:r>
        <w:t>Furthermore, the results are based on an offline optimization framework. In practical applications, real-time implementation would require continuous data acquisition, model updating, and integration with plant monitoring systems. The sensitivity of the model to operating conditions outside the training range also necessitates periodic retraining to maintain reliability.</w:t>
      </w:r>
    </w:p>
    <w:p w14:paraId="5A0A9D7A" w14:textId="7556EA72" w:rsidR="008E3372" w:rsidRPr="00B57B36" w:rsidRDefault="008E3372" w:rsidP="008E3372">
      <w:pPr>
        <w:pStyle w:val="CETHeading1"/>
        <w:rPr>
          <w:lang w:val="en-GB"/>
        </w:rPr>
      </w:pPr>
      <w:r>
        <w:rPr>
          <w:lang w:val="en-GB"/>
        </w:rPr>
        <w:t>Conclusion</w:t>
      </w:r>
    </w:p>
    <w:p w14:paraId="04A72AC5" w14:textId="77777777" w:rsidR="008E3372" w:rsidRPr="008E3372" w:rsidRDefault="008E3372" w:rsidP="008E3372">
      <w:pPr>
        <w:pStyle w:val="CETBodytext"/>
      </w:pPr>
      <w:r w:rsidRPr="008E3372">
        <w:t>This study developed a data-driven framework for reducing heat losses in a coal-based cement production system using predictive modeling and optimization. The proposed CNN–RNN model accurately captured nonlinear process behavior and enabled identification of energy-efficient operating conditions.</w:t>
      </w:r>
    </w:p>
    <w:p w14:paraId="1C207F51" w14:textId="77777777" w:rsidR="008E3372" w:rsidRPr="008E3372" w:rsidRDefault="008E3372" w:rsidP="008E3372">
      <w:pPr>
        <w:pStyle w:val="CETBodytext"/>
      </w:pPr>
      <w:r w:rsidRPr="008E3372">
        <w:t>The results show a reduction in specific heat consumption from approximately 980 to 865 kcal/kg clinker, corresponding to an improvement of about 11–12%. This was mainly achieved by reducing flue gas heat losses through lower exhaust temperatures and improved air–fuel balance. As a result, CO</w:t>
      </w:r>
      <w:r w:rsidRPr="008E3372">
        <w:rPr>
          <w:rFonts w:ascii="Cambria Math" w:hAnsi="Cambria Math" w:cs="Cambria Math"/>
        </w:rPr>
        <w:t>₂</w:t>
      </w:r>
      <w:r w:rsidRPr="008E3372">
        <w:t xml:space="preserve"> emissions decreased by approximately 6</w:t>
      </w:r>
      <w:r w:rsidRPr="008E3372">
        <w:rPr>
          <w:rFonts w:cs="Arial"/>
        </w:rPr>
        <w:t>–</w:t>
      </w:r>
      <w:r w:rsidRPr="008E3372">
        <w:t>9% (0.07</w:t>
      </w:r>
      <w:r w:rsidRPr="008E3372">
        <w:rPr>
          <w:rFonts w:cs="Arial"/>
        </w:rPr>
        <w:t>–</w:t>
      </w:r>
      <w:r w:rsidRPr="008E3372">
        <w:t>0.09 Mt/year).</w:t>
      </w:r>
    </w:p>
    <w:p w14:paraId="25C0FF4C" w14:textId="77777777" w:rsidR="008E3372" w:rsidRPr="008E3372" w:rsidRDefault="008E3372" w:rsidP="008E3372">
      <w:pPr>
        <w:pStyle w:val="CETBodytext"/>
      </w:pPr>
      <w:r w:rsidRPr="008E3372">
        <w:t xml:space="preserve">The findings confirm that data-driven approaches can effectively support thermal efficiency improvement without requiring major </w:t>
      </w:r>
      <w:r w:rsidRPr="008E3372">
        <w:rPr>
          <w:lang w:val="ru-RU"/>
        </w:rPr>
        <w:t>технолог</w:t>
      </w:r>
      <w:r w:rsidRPr="008E3372">
        <w:t>ical modifications. However, the approach depends on data quality and is limited under conditions outside the training range.</w:t>
      </w:r>
    </w:p>
    <w:p w14:paraId="780EDB46" w14:textId="77777777" w:rsidR="008E3372" w:rsidRPr="008E3372" w:rsidRDefault="008E3372" w:rsidP="008E3372">
      <w:pPr>
        <w:pStyle w:val="CETBodytext"/>
      </w:pPr>
      <w:r w:rsidRPr="008E3372">
        <w:t>Future work should focus on hybrid modeling and real-time implementation to enhance robustness and industrial applicability.</w:t>
      </w:r>
    </w:p>
    <w:p w14:paraId="4F1327F8" w14:textId="77777777" w:rsidR="00600535" w:rsidRDefault="00600535" w:rsidP="00600535">
      <w:pPr>
        <w:pStyle w:val="CETReference"/>
      </w:pPr>
      <w:r w:rsidRPr="00B57B36">
        <w:t>References</w:t>
      </w:r>
    </w:p>
    <w:p w14:paraId="2CC21CB0" w14:textId="20E5E00E" w:rsidR="000B18A7" w:rsidRPr="000B18A7" w:rsidRDefault="00DB55E3" w:rsidP="000B18A7">
      <w:pPr>
        <w:pStyle w:val="CETReferencetext"/>
        <w:rPr>
          <w:szCs w:val="24"/>
        </w:rPr>
      </w:pPr>
      <w:r>
        <w:t xml:space="preserve">  </w:t>
      </w:r>
      <w:r w:rsidR="000B18A7">
        <w:fldChar w:fldCharType="begin"/>
      </w:r>
      <w:r w:rsidR="000B18A7">
        <w:instrText xml:space="preserve"> ADDIN ZOTERO_BIBL {"uncited":[],"omitted":[],"custom":[]} CSL_BIBLIOGRAPHY </w:instrText>
      </w:r>
      <w:r w:rsidR="000B18A7">
        <w:fldChar w:fldCharType="separate"/>
      </w:r>
      <w:r w:rsidR="000B18A7" w:rsidRPr="000B18A7">
        <w:fldChar w:fldCharType="begin"/>
      </w:r>
      <w:r w:rsidR="000B18A7" w:rsidRPr="000B18A7">
        <w:instrText xml:space="preserve"> INCLUDETEXT "C:\\Users\\vipas\\AppData\\Local\\Temp\\ZOTB9C0.tmp" \c MSRTF </w:instrText>
      </w:r>
      <w:r w:rsidR="000B18A7">
        <w:instrText xml:space="preserve"> \* MERGEFORMAT </w:instrText>
      </w:r>
      <w:r w:rsidR="000B18A7" w:rsidRPr="000B18A7">
        <w:fldChar w:fldCharType="separate"/>
      </w:r>
      <w:r w:rsidR="000B18A7" w:rsidRPr="000B18A7">
        <w:rPr>
          <w:szCs w:val="24"/>
        </w:rPr>
        <w:t xml:space="preserve">Chew Yick Eu, How Bing Shen, Sunarso Jaka, Moser Irene, &amp; Andiappan Viknesh. (2024). Optimising Smart Energy System for Decarbonising Cement Production Operations. </w:t>
      </w:r>
      <w:r w:rsidR="000B18A7" w:rsidRPr="000B18A7">
        <w:rPr>
          <w:i/>
          <w:iCs/>
          <w:szCs w:val="24"/>
        </w:rPr>
        <w:t>Chemical Engineering Transactions</w:t>
      </w:r>
      <w:r w:rsidR="000B18A7" w:rsidRPr="000B18A7">
        <w:rPr>
          <w:szCs w:val="24"/>
        </w:rPr>
        <w:t xml:space="preserve">, </w:t>
      </w:r>
      <w:r w:rsidR="000B18A7" w:rsidRPr="000B18A7">
        <w:rPr>
          <w:i/>
          <w:iCs/>
          <w:szCs w:val="24"/>
        </w:rPr>
        <w:t>114</w:t>
      </w:r>
      <w:r w:rsidR="000B18A7" w:rsidRPr="000B18A7">
        <w:rPr>
          <w:szCs w:val="24"/>
        </w:rPr>
        <w:t>, 277–282. https://doi.org/10.3303/CET24114047</w:t>
      </w:r>
    </w:p>
    <w:p w14:paraId="2DD36361" w14:textId="77777777" w:rsidR="000B18A7" w:rsidRPr="000B18A7" w:rsidRDefault="000B18A7" w:rsidP="000B18A7">
      <w:pPr>
        <w:pStyle w:val="CETReferencetext"/>
        <w:rPr>
          <w:szCs w:val="24"/>
        </w:rPr>
      </w:pPr>
      <w:r w:rsidRPr="000B18A7">
        <w:rPr>
          <w:szCs w:val="24"/>
        </w:rPr>
        <w:t xml:space="preserve">Ekinci, E., Kazancoglu, Y., &amp; Mangla, S. K. (2020). Using system dynamics to assess the environmental management of cement industry in streaming data context. </w:t>
      </w:r>
      <w:r w:rsidRPr="000B18A7">
        <w:rPr>
          <w:i/>
          <w:iCs/>
          <w:szCs w:val="24"/>
        </w:rPr>
        <w:t>Science of The Total Environment</w:t>
      </w:r>
      <w:r w:rsidRPr="000B18A7">
        <w:rPr>
          <w:szCs w:val="24"/>
        </w:rPr>
        <w:t xml:space="preserve">, </w:t>
      </w:r>
      <w:r w:rsidRPr="000B18A7">
        <w:rPr>
          <w:i/>
          <w:iCs/>
          <w:szCs w:val="24"/>
        </w:rPr>
        <w:t>715</w:t>
      </w:r>
      <w:r w:rsidRPr="000B18A7">
        <w:rPr>
          <w:szCs w:val="24"/>
        </w:rPr>
        <w:t>, 136948. https://doi.org/10.1016/j.scitotenv.2020.136948</w:t>
      </w:r>
    </w:p>
    <w:p w14:paraId="2198591B" w14:textId="77777777" w:rsidR="000B18A7" w:rsidRPr="000B18A7" w:rsidRDefault="000B18A7" w:rsidP="000B18A7">
      <w:pPr>
        <w:pStyle w:val="CETReferencetext"/>
        <w:rPr>
          <w:szCs w:val="24"/>
        </w:rPr>
      </w:pPr>
      <w:r w:rsidRPr="000B18A7">
        <w:rPr>
          <w:szCs w:val="24"/>
        </w:rPr>
        <w:t xml:space="preserve">Fierro, J. J., Escudero-Atehortua, A., Nieto-Londoño, C., Giraldo, M., Jouhara, H., &amp; Wrobel, L. C. (2020). Evaluation of waste heat recovery technologies for the cement industry. </w:t>
      </w:r>
      <w:r w:rsidRPr="000B18A7">
        <w:rPr>
          <w:i/>
          <w:iCs/>
          <w:szCs w:val="24"/>
        </w:rPr>
        <w:t>International Journal of Thermofluids</w:t>
      </w:r>
      <w:r w:rsidRPr="000B18A7">
        <w:rPr>
          <w:szCs w:val="24"/>
        </w:rPr>
        <w:t xml:space="preserve">, </w:t>
      </w:r>
      <w:r w:rsidRPr="000B18A7">
        <w:rPr>
          <w:i/>
          <w:iCs/>
          <w:szCs w:val="24"/>
        </w:rPr>
        <w:t>7–8</w:t>
      </w:r>
      <w:r w:rsidRPr="000B18A7">
        <w:rPr>
          <w:szCs w:val="24"/>
        </w:rPr>
        <w:t>, 100040. https://doi.org/10.1016/j.ijft.2020.100040</w:t>
      </w:r>
    </w:p>
    <w:p w14:paraId="6C9F249E" w14:textId="77777777" w:rsidR="000B18A7" w:rsidRPr="000B18A7" w:rsidRDefault="000B18A7" w:rsidP="000B18A7">
      <w:pPr>
        <w:pStyle w:val="CETReferencetext"/>
        <w:rPr>
          <w:szCs w:val="24"/>
        </w:rPr>
      </w:pPr>
      <w:r w:rsidRPr="000B18A7">
        <w:rPr>
          <w:szCs w:val="24"/>
        </w:rPr>
        <w:t xml:space="preserve">Kaabeche D. Khatima, Kara Mokhtar, Sif Ghernoug, Belbaki Abdelber, &amp; Bousba Salim. (2014). Energy recovery in the baking line of the cement plant djawad taher of algeria. </w:t>
      </w:r>
      <w:r w:rsidRPr="000B18A7">
        <w:rPr>
          <w:i/>
          <w:iCs/>
          <w:szCs w:val="24"/>
        </w:rPr>
        <w:t>Chemical Engineering Transactions</w:t>
      </w:r>
      <w:r w:rsidRPr="000B18A7">
        <w:rPr>
          <w:szCs w:val="24"/>
        </w:rPr>
        <w:t xml:space="preserve">, </w:t>
      </w:r>
      <w:r w:rsidRPr="000B18A7">
        <w:rPr>
          <w:i/>
          <w:iCs/>
          <w:szCs w:val="24"/>
        </w:rPr>
        <w:t>37</w:t>
      </w:r>
      <w:r w:rsidRPr="000B18A7">
        <w:rPr>
          <w:szCs w:val="24"/>
        </w:rPr>
        <w:t>, 739–744. https://doi.org/10.3303/CET1437124</w:t>
      </w:r>
    </w:p>
    <w:p w14:paraId="304CAA00" w14:textId="77777777" w:rsidR="000B18A7" w:rsidRPr="000B18A7" w:rsidRDefault="000B18A7" w:rsidP="000B18A7">
      <w:pPr>
        <w:pStyle w:val="CETReferencetext"/>
        <w:rPr>
          <w:szCs w:val="24"/>
        </w:rPr>
      </w:pPr>
      <w:r w:rsidRPr="000B18A7">
        <w:rPr>
          <w:szCs w:val="24"/>
        </w:rPr>
        <w:t xml:space="preserve">Kääntee, U., Zevenhoven, R., Backman, R., &amp; Hupa, M. (2004). Cement manufacturing using alternative fuels and the advantages of process modelling. </w:t>
      </w:r>
      <w:r w:rsidRPr="000B18A7">
        <w:rPr>
          <w:i/>
          <w:iCs/>
          <w:szCs w:val="24"/>
        </w:rPr>
        <w:t>Fuel Processing Technology</w:t>
      </w:r>
      <w:r w:rsidRPr="000B18A7">
        <w:rPr>
          <w:szCs w:val="24"/>
        </w:rPr>
        <w:t xml:space="preserve">, </w:t>
      </w:r>
      <w:r w:rsidRPr="000B18A7">
        <w:rPr>
          <w:i/>
          <w:iCs/>
          <w:szCs w:val="24"/>
        </w:rPr>
        <w:t>85</w:t>
      </w:r>
      <w:r w:rsidRPr="000B18A7">
        <w:rPr>
          <w:szCs w:val="24"/>
        </w:rPr>
        <w:t>(4), 293–301. https://doi.org/10.1016/S0378-3820(03)00203-0</w:t>
      </w:r>
    </w:p>
    <w:p w14:paraId="08228B5C" w14:textId="77777777" w:rsidR="000B18A7" w:rsidRPr="000B18A7" w:rsidRDefault="000B18A7" w:rsidP="000B18A7">
      <w:pPr>
        <w:pStyle w:val="CETReferencetext"/>
        <w:rPr>
          <w:szCs w:val="24"/>
        </w:rPr>
      </w:pPr>
      <w:r w:rsidRPr="000B18A7">
        <w:rPr>
          <w:szCs w:val="24"/>
        </w:rPr>
        <w:t xml:space="preserve">Kusuma, R. T., Hiremath, R. B., Rajesh, P., Kumar, B., &amp; Renukappa, S. (2022). Sustainable transition towards biomass-based cement industry: A review. </w:t>
      </w:r>
      <w:r w:rsidRPr="000B18A7">
        <w:rPr>
          <w:i/>
          <w:iCs/>
          <w:szCs w:val="24"/>
        </w:rPr>
        <w:t>Renewable and Sustainable Energy Reviews</w:t>
      </w:r>
      <w:r w:rsidRPr="000B18A7">
        <w:rPr>
          <w:szCs w:val="24"/>
        </w:rPr>
        <w:t xml:space="preserve">, </w:t>
      </w:r>
      <w:r w:rsidRPr="000B18A7">
        <w:rPr>
          <w:i/>
          <w:iCs/>
          <w:szCs w:val="24"/>
        </w:rPr>
        <w:t>163</w:t>
      </w:r>
      <w:r w:rsidRPr="000B18A7">
        <w:rPr>
          <w:szCs w:val="24"/>
        </w:rPr>
        <w:t>, 112503. https://doi.org/10.1016/j.rser.2022.112503</w:t>
      </w:r>
    </w:p>
    <w:p w14:paraId="3048F53B" w14:textId="77777777" w:rsidR="000B18A7" w:rsidRPr="000B18A7" w:rsidRDefault="000B18A7" w:rsidP="000B18A7">
      <w:pPr>
        <w:pStyle w:val="CETReferencetext"/>
        <w:rPr>
          <w:szCs w:val="24"/>
        </w:rPr>
      </w:pPr>
      <w:r w:rsidRPr="000B18A7">
        <w:rPr>
          <w:szCs w:val="24"/>
        </w:rPr>
        <w:t xml:space="preserve">Marenco-Porto, C. A., Fierro, J. J., Nieto-Londoño, C., Lopera, L., Escudero-Atehortua, A., Giraldo, M., &amp; Jouhara, H. (2023). Potential savings in the cement industry using waste heat recovery technologies. </w:t>
      </w:r>
      <w:r w:rsidRPr="000B18A7">
        <w:rPr>
          <w:i/>
          <w:iCs/>
          <w:szCs w:val="24"/>
        </w:rPr>
        <w:t>Energy</w:t>
      </w:r>
      <w:r w:rsidRPr="000B18A7">
        <w:rPr>
          <w:szCs w:val="24"/>
        </w:rPr>
        <w:t xml:space="preserve">, </w:t>
      </w:r>
      <w:r w:rsidRPr="000B18A7">
        <w:rPr>
          <w:i/>
          <w:iCs/>
          <w:szCs w:val="24"/>
        </w:rPr>
        <w:t>279</w:t>
      </w:r>
      <w:r w:rsidRPr="000B18A7">
        <w:rPr>
          <w:szCs w:val="24"/>
        </w:rPr>
        <w:t>, 127810. https://doi.org/10.1016/j.energy.2023.127810</w:t>
      </w:r>
    </w:p>
    <w:p w14:paraId="79F4A3BC" w14:textId="77777777" w:rsidR="000B18A7" w:rsidRPr="000B18A7" w:rsidRDefault="000B18A7" w:rsidP="000B18A7">
      <w:pPr>
        <w:pStyle w:val="CETReferencetext"/>
        <w:rPr>
          <w:szCs w:val="24"/>
        </w:rPr>
      </w:pPr>
      <w:r w:rsidRPr="000B18A7">
        <w:rPr>
          <w:szCs w:val="24"/>
        </w:rPr>
        <w:t xml:space="preserve">Mattera, G., Caggiano, A., &amp; Nele, L. (2025). Optimal data-driven control of manufacturing processes using reinforcement learning: An application to wire arc additive manufacturing. </w:t>
      </w:r>
      <w:r w:rsidRPr="000B18A7">
        <w:rPr>
          <w:i/>
          <w:iCs/>
          <w:szCs w:val="24"/>
        </w:rPr>
        <w:t>Journal of Intelligent Manufacturing</w:t>
      </w:r>
      <w:r w:rsidRPr="000B18A7">
        <w:rPr>
          <w:szCs w:val="24"/>
        </w:rPr>
        <w:t xml:space="preserve">, </w:t>
      </w:r>
      <w:r w:rsidRPr="000B18A7">
        <w:rPr>
          <w:i/>
          <w:iCs/>
          <w:szCs w:val="24"/>
        </w:rPr>
        <w:t>36</w:t>
      </w:r>
      <w:r w:rsidRPr="000B18A7">
        <w:rPr>
          <w:szCs w:val="24"/>
        </w:rPr>
        <w:t>(2), 1291–1310. https://doi.org/10.1007/s10845-023-02307-w</w:t>
      </w:r>
    </w:p>
    <w:p w14:paraId="393A5231" w14:textId="77777777" w:rsidR="000B18A7" w:rsidRPr="000B18A7" w:rsidRDefault="000B18A7" w:rsidP="000B18A7">
      <w:pPr>
        <w:pStyle w:val="CETReferencetext"/>
        <w:rPr>
          <w:szCs w:val="24"/>
        </w:rPr>
      </w:pPr>
      <w:r w:rsidRPr="000B18A7">
        <w:rPr>
          <w:szCs w:val="24"/>
        </w:rPr>
        <w:t xml:space="preserve">Mittal, A., &amp; Rakshit, D. (2020). Utilization of cement rotary kiln waste heat for calcination of phosphogypsum. </w:t>
      </w:r>
      <w:r w:rsidRPr="000B18A7">
        <w:rPr>
          <w:i/>
          <w:iCs/>
          <w:szCs w:val="24"/>
        </w:rPr>
        <w:t>Thermal Science and Engineering Progress</w:t>
      </w:r>
      <w:r w:rsidRPr="000B18A7">
        <w:rPr>
          <w:szCs w:val="24"/>
        </w:rPr>
        <w:t xml:space="preserve">, </w:t>
      </w:r>
      <w:r w:rsidRPr="000B18A7">
        <w:rPr>
          <w:i/>
          <w:iCs/>
          <w:szCs w:val="24"/>
        </w:rPr>
        <w:t>20</w:t>
      </w:r>
      <w:r w:rsidRPr="000B18A7">
        <w:rPr>
          <w:szCs w:val="24"/>
        </w:rPr>
        <w:t>, 100729. https://doi.org/10.1016/j.tsep.2020.100729</w:t>
      </w:r>
    </w:p>
    <w:p w14:paraId="0D6FF50D" w14:textId="77777777" w:rsidR="000B18A7" w:rsidRPr="000B18A7" w:rsidRDefault="000B18A7" w:rsidP="000B18A7">
      <w:pPr>
        <w:pStyle w:val="CETReferencetext"/>
        <w:rPr>
          <w:szCs w:val="24"/>
        </w:rPr>
      </w:pPr>
      <w:r w:rsidRPr="000B18A7">
        <w:rPr>
          <w:szCs w:val="24"/>
        </w:rPr>
        <w:t xml:space="preserve">Sahoo, N., Kumar, A., &amp; Samsher. (2022). Review on energy conservation and emission reduction approaches for cement industry. </w:t>
      </w:r>
      <w:r w:rsidRPr="000B18A7">
        <w:rPr>
          <w:i/>
          <w:iCs/>
          <w:szCs w:val="24"/>
        </w:rPr>
        <w:t>Environmental Development</w:t>
      </w:r>
      <w:r w:rsidRPr="000B18A7">
        <w:rPr>
          <w:szCs w:val="24"/>
        </w:rPr>
        <w:t xml:space="preserve">, </w:t>
      </w:r>
      <w:r w:rsidRPr="000B18A7">
        <w:rPr>
          <w:i/>
          <w:iCs/>
          <w:szCs w:val="24"/>
        </w:rPr>
        <w:t>44</w:t>
      </w:r>
      <w:r w:rsidRPr="000B18A7">
        <w:rPr>
          <w:szCs w:val="24"/>
        </w:rPr>
        <w:t>, 100767. https://doi.org/10.1016/j.envdev.2022.100767</w:t>
      </w:r>
    </w:p>
    <w:p w14:paraId="1B189FA2" w14:textId="77777777" w:rsidR="000B18A7" w:rsidRPr="000B18A7" w:rsidRDefault="000B18A7" w:rsidP="000B18A7">
      <w:pPr>
        <w:pStyle w:val="CETReferencetext"/>
        <w:rPr>
          <w:szCs w:val="24"/>
        </w:rPr>
      </w:pPr>
      <w:r w:rsidRPr="000B18A7">
        <w:rPr>
          <w:szCs w:val="24"/>
        </w:rPr>
        <w:t xml:space="preserve">Turakulov, Z., Kamolov, A., Norkobilov, A., Variny, M., &amp; Fallanza, M. (2024). Techno-economic and environmental analysis of decarbonization pathways for cement plants in Uzbekistan. </w:t>
      </w:r>
      <w:r w:rsidRPr="000B18A7">
        <w:rPr>
          <w:i/>
          <w:iCs/>
          <w:szCs w:val="24"/>
        </w:rPr>
        <w:t>Chemical Engineering Research and Design</w:t>
      </w:r>
      <w:r w:rsidRPr="000B18A7">
        <w:rPr>
          <w:szCs w:val="24"/>
        </w:rPr>
        <w:t xml:space="preserve">, </w:t>
      </w:r>
      <w:r w:rsidRPr="000B18A7">
        <w:rPr>
          <w:i/>
          <w:iCs/>
          <w:szCs w:val="24"/>
        </w:rPr>
        <w:t>210</w:t>
      </w:r>
      <w:r w:rsidRPr="000B18A7">
        <w:rPr>
          <w:szCs w:val="24"/>
        </w:rPr>
        <w:t>, 625–637. https://doi.org/10.1016/j.cherd.2024.09.003</w:t>
      </w:r>
    </w:p>
    <w:p w14:paraId="4D9A60DF" w14:textId="0635B31F" w:rsidR="008E3372" w:rsidRPr="00B57B36" w:rsidRDefault="000B18A7" w:rsidP="000B18A7">
      <w:pPr>
        <w:pStyle w:val="CETReferencetext"/>
      </w:pPr>
      <w:r w:rsidRPr="000B18A7">
        <w:fldChar w:fldCharType="end"/>
      </w:r>
      <w:r>
        <w:fldChar w:fldCharType="end"/>
      </w:r>
    </w:p>
    <w:sectPr w:rsidR="008E3372" w:rsidRPr="00B57B36"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3A846" w14:textId="77777777" w:rsidR="00AD41E2" w:rsidRDefault="00AD41E2" w:rsidP="004F5E36">
      <w:r>
        <w:separator/>
      </w:r>
    </w:p>
  </w:endnote>
  <w:endnote w:type="continuationSeparator" w:id="0">
    <w:p w14:paraId="5BC7CE11" w14:textId="77777777" w:rsidR="00AD41E2" w:rsidRDefault="00AD41E2"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 w:name="Consolas">
    <w:panose1 w:val="020B0609020204030204"/>
    <w:charset w:val="A2"/>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2D872" w14:textId="77777777" w:rsidR="00AD41E2" w:rsidRDefault="00AD41E2" w:rsidP="004F5E36">
      <w:r>
        <w:separator/>
      </w:r>
    </w:p>
  </w:footnote>
  <w:footnote w:type="continuationSeparator" w:id="0">
    <w:p w14:paraId="2669BA07" w14:textId="77777777" w:rsidR="00AD41E2" w:rsidRDefault="00AD41E2"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8AF1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leSimple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16882765">
    <w:abstractNumId w:val="10"/>
  </w:num>
  <w:num w:numId="2" w16cid:durableId="1954094313">
    <w:abstractNumId w:val="8"/>
  </w:num>
  <w:num w:numId="3" w16cid:durableId="2001083081">
    <w:abstractNumId w:val="3"/>
  </w:num>
  <w:num w:numId="4" w16cid:durableId="665287687">
    <w:abstractNumId w:val="2"/>
  </w:num>
  <w:num w:numId="5" w16cid:durableId="1763211618">
    <w:abstractNumId w:val="1"/>
  </w:num>
  <w:num w:numId="6" w16cid:durableId="733351894">
    <w:abstractNumId w:val="0"/>
  </w:num>
  <w:num w:numId="7" w16cid:durableId="1265187038">
    <w:abstractNumId w:val="9"/>
  </w:num>
  <w:num w:numId="8" w16cid:durableId="458382672">
    <w:abstractNumId w:val="7"/>
  </w:num>
  <w:num w:numId="9" w16cid:durableId="652636510">
    <w:abstractNumId w:val="6"/>
  </w:num>
  <w:num w:numId="10" w16cid:durableId="1972591888">
    <w:abstractNumId w:val="5"/>
  </w:num>
  <w:num w:numId="11" w16cid:durableId="1179278139">
    <w:abstractNumId w:val="4"/>
  </w:num>
  <w:num w:numId="12" w16cid:durableId="1575509198">
    <w:abstractNumId w:val="17"/>
  </w:num>
  <w:num w:numId="13" w16cid:durableId="695733619">
    <w:abstractNumId w:val="12"/>
  </w:num>
  <w:num w:numId="14" w16cid:durableId="145903400">
    <w:abstractNumId w:val="18"/>
  </w:num>
  <w:num w:numId="15" w16cid:durableId="19162326">
    <w:abstractNumId w:val="20"/>
  </w:num>
  <w:num w:numId="16" w16cid:durableId="1977102699">
    <w:abstractNumId w:val="19"/>
  </w:num>
  <w:num w:numId="17" w16cid:durableId="860774865">
    <w:abstractNumId w:val="11"/>
  </w:num>
  <w:num w:numId="18" w16cid:durableId="313221457">
    <w:abstractNumId w:val="12"/>
    <w:lvlOverride w:ilvl="0">
      <w:startOverride w:val="1"/>
    </w:lvlOverride>
  </w:num>
  <w:num w:numId="19" w16cid:durableId="534971577">
    <w:abstractNumId w:val="16"/>
  </w:num>
  <w:num w:numId="20" w16cid:durableId="1150947773">
    <w:abstractNumId w:val="15"/>
  </w:num>
  <w:num w:numId="21" w16cid:durableId="124660497">
    <w:abstractNumId w:val="14"/>
  </w:num>
  <w:num w:numId="22" w16cid:durableId="20998614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3148D"/>
    <w:rsid w:val="00031EEC"/>
    <w:rsid w:val="00050588"/>
    <w:rsid w:val="00051566"/>
    <w:rsid w:val="000562A9"/>
    <w:rsid w:val="00062A9A"/>
    <w:rsid w:val="00065058"/>
    <w:rsid w:val="00080E26"/>
    <w:rsid w:val="00084A01"/>
    <w:rsid w:val="00086C39"/>
    <w:rsid w:val="000A03B2"/>
    <w:rsid w:val="000B18A7"/>
    <w:rsid w:val="000D0268"/>
    <w:rsid w:val="000D34BE"/>
    <w:rsid w:val="000E102F"/>
    <w:rsid w:val="000E36F1"/>
    <w:rsid w:val="000E3A73"/>
    <w:rsid w:val="000E414A"/>
    <w:rsid w:val="000E75FD"/>
    <w:rsid w:val="000F093C"/>
    <w:rsid w:val="000F787B"/>
    <w:rsid w:val="00101F02"/>
    <w:rsid w:val="0012091F"/>
    <w:rsid w:val="00124AAD"/>
    <w:rsid w:val="00126BC2"/>
    <w:rsid w:val="001308B6"/>
    <w:rsid w:val="0013121F"/>
    <w:rsid w:val="00131FE6"/>
    <w:rsid w:val="0013263F"/>
    <w:rsid w:val="001331DF"/>
    <w:rsid w:val="00133E51"/>
    <w:rsid w:val="00134DE4"/>
    <w:rsid w:val="0014034D"/>
    <w:rsid w:val="00140FE3"/>
    <w:rsid w:val="00144D16"/>
    <w:rsid w:val="00150E59"/>
    <w:rsid w:val="00151C4F"/>
    <w:rsid w:val="00152DE3"/>
    <w:rsid w:val="00164CF9"/>
    <w:rsid w:val="001667A6"/>
    <w:rsid w:val="00184AD6"/>
    <w:rsid w:val="001A4AF7"/>
    <w:rsid w:val="001B0349"/>
    <w:rsid w:val="001B1E93"/>
    <w:rsid w:val="001B65C1"/>
    <w:rsid w:val="001C260F"/>
    <w:rsid w:val="001C33F1"/>
    <w:rsid w:val="001C684B"/>
    <w:rsid w:val="001D0510"/>
    <w:rsid w:val="001D0CFB"/>
    <w:rsid w:val="001D21AF"/>
    <w:rsid w:val="001D53FC"/>
    <w:rsid w:val="001F42A5"/>
    <w:rsid w:val="001F7B9D"/>
    <w:rsid w:val="00201C93"/>
    <w:rsid w:val="002224B4"/>
    <w:rsid w:val="002447EF"/>
    <w:rsid w:val="00251550"/>
    <w:rsid w:val="00263B05"/>
    <w:rsid w:val="002718DC"/>
    <w:rsid w:val="0027221A"/>
    <w:rsid w:val="00275B61"/>
    <w:rsid w:val="00280FAF"/>
    <w:rsid w:val="00282656"/>
    <w:rsid w:val="00296B83"/>
    <w:rsid w:val="002B4015"/>
    <w:rsid w:val="002B78CE"/>
    <w:rsid w:val="002C2FB6"/>
    <w:rsid w:val="002E5FA7"/>
    <w:rsid w:val="002F3309"/>
    <w:rsid w:val="003008CE"/>
    <w:rsid w:val="003009B7"/>
    <w:rsid w:val="00300E56"/>
    <w:rsid w:val="0030152C"/>
    <w:rsid w:val="0030469C"/>
    <w:rsid w:val="00312D9B"/>
    <w:rsid w:val="00321CA6"/>
    <w:rsid w:val="00323763"/>
    <w:rsid w:val="00323C5F"/>
    <w:rsid w:val="00334C09"/>
    <w:rsid w:val="003723D4"/>
    <w:rsid w:val="00381905"/>
    <w:rsid w:val="00384CC8"/>
    <w:rsid w:val="003871FD"/>
    <w:rsid w:val="003A1E30"/>
    <w:rsid w:val="003A2829"/>
    <w:rsid w:val="003A7D1C"/>
    <w:rsid w:val="003B304B"/>
    <w:rsid w:val="003B3146"/>
    <w:rsid w:val="003D1E02"/>
    <w:rsid w:val="003F015E"/>
    <w:rsid w:val="00400414"/>
    <w:rsid w:val="0041446B"/>
    <w:rsid w:val="0044071E"/>
    <w:rsid w:val="0044329C"/>
    <w:rsid w:val="00453E24"/>
    <w:rsid w:val="00457456"/>
    <w:rsid w:val="004577FE"/>
    <w:rsid w:val="00457B9C"/>
    <w:rsid w:val="0046164A"/>
    <w:rsid w:val="004628D2"/>
    <w:rsid w:val="00462DCD"/>
    <w:rsid w:val="004648AD"/>
    <w:rsid w:val="004703A9"/>
    <w:rsid w:val="004760DE"/>
    <w:rsid w:val="004763D7"/>
    <w:rsid w:val="004A004E"/>
    <w:rsid w:val="004A24CF"/>
    <w:rsid w:val="004A5E57"/>
    <w:rsid w:val="004C194F"/>
    <w:rsid w:val="004C1C2A"/>
    <w:rsid w:val="004C3D1D"/>
    <w:rsid w:val="004C3D84"/>
    <w:rsid w:val="004C7913"/>
    <w:rsid w:val="004E4DD6"/>
    <w:rsid w:val="004F5E36"/>
    <w:rsid w:val="00507B47"/>
    <w:rsid w:val="00507BEF"/>
    <w:rsid w:val="00507CC9"/>
    <w:rsid w:val="005119A5"/>
    <w:rsid w:val="005278B7"/>
    <w:rsid w:val="00532016"/>
    <w:rsid w:val="005346C8"/>
    <w:rsid w:val="00543E7D"/>
    <w:rsid w:val="00547A68"/>
    <w:rsid w:val="005531C9"/>
    <w:rsid w:val="00570C43"/>
    <w:rsid w:val="00592274"/>
    <w:rsid w:val="005B2110"/>
    <w:rsid w:val="005B325E"/>
    <w:rsid w:val="005B61E6"/>
    <w:rsid w:val="005C77E1"/>
    <w:rsid w:val="005D668A"/>
    <w:rsid w:val="005D6A2F"/>
    <w:rsid w:val="005E0592"/>
    <w:rsid w:val="005E1A82"/>
    <w:rsid w:val="005E42D3"/>
    <w:rsid w:val="005E794C"/>
    <w:rsid w:val="005F0A28"/>
    <w:rsid w:val="005F0E5E"/>
    <w:rsid w:val="00600535"/>
    <w:rsid w:val="00610CD6"/>
    <w:rsid w:val="00620DEE"/>
    <w:rsid w:val="00621F92"/>
    <w:rsid w:val="0062280A"/>
    <w:rsid w:val="006231E1"/>
    <w:rsid w:val="00625639"/>
    <w:rsid w:val="00631B33"/>
    <w:rsid w:val="0064184D"/>
    <w:rsid w:val="006422CC"/>
    <w:rsid w:val="00651336"/>
    <w:rsid w:val="00651D18"/>
    <w:rsid w:val="00660E3E"/>
    <w:rsid w:val="00662E74"/>
    <w:rsid w:val="00664F9F"/>
    <w:rsid w:val="00680C23"/>
    <w:rsid w:val="00683E23"/>
    <w:rsid w:val="00693766"/>
    <w:rsid w:val="006A3281"/>
    <w:rsid w:val="006B4888"/>
    <w:rsid w:val="006C2E45"/>
    <w:rsid w:val="006C359C"/>
    <w:rsid w:val="006C5579"/>
    <w:rsid w:val="006D6E8B"/>
    <w:rsid w:val="006D7209"/>
    <w:rsid w:val="006E737D"/>
    <w:rsid w:val="00707DD1"/>
    <w:rsid w:val="00713973"/>
    <w:rsid w:val="00720A24"/>
    <w:rsid w:val="00732386"/>
    <w:rsid w:val="0073514D"/>
    <w:rsid w:val="007447F3"/>
    <w:rsid w:val="0075499F"/>
    <w:rsid w:val="007617CC"/>
    <w:rsid w:val="00765DF0"/>
    <w:rsid w:val="007661C8"/>
    <w:rsid w:val="0077098D"/>
    <w:rsid w:val="00785BF9"/>
    <w:rsid w:val="007931FA"/>
    <w:rsid w:val="007A4861"/>
    <w:rsid w:val="007A7BBA"/>
    <w:rsid w:val="007B0C50"/>
    <w:rsid w:val="007B48F9"/>
    <w:rsid w:val="007B73B8"/>
    <w:rsid w:val="007C1A43"/>
    <w:rsid w:val="007D0951"/>
    <w:rsid w:val="007D5BF4"/>
    <w:rsid w:val="007F27C8"/>
    <w:rsid w:val="0080013E"/>
    <w:rsid w:val="00813288"/>
    <w:rsid w:val="008168FC"/>
    <w:rsid w:val="00830996"/>
    <w:rsid w:val="008314D7"/>
    <w:rsid w:val="008345F1"/>
    <w:rsid w:val="00865B07"/>
    <w:rsid w:val="008667EA"/>
    <w:rsid w:val="008704F1"/>
    <w:rsid w:val="0087637F"/>
    <w:rsid w:val="00892AD5"/>
    <w:rsid w:val="008A1512"/>
    <w:rsid w:val="008D32B9"/>
    <w:rsid w:val="008D433B"/>
    <w:rsid w:val="008D4A16"/>
    <w:rsid w:val="008E209A"/>
    <w:rsid w:val="008E3372"/>
    <w:rsid w:val="008E45BC"/>
    <w:rsid w:val="008E566E"/>
    <w:rsid w:val="0090161A"/>
    <w:rsid w:val="00901EB6"/>
    <w:rsid w:val="009041F8"/>
    <w:rsid w:val="00904C62"/>
    <w:rsid w:val="00922BA8"/>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93B84"/>
    <w:rsid w:val="00996483"/>
    <w:rsid w:val="00996F5A"/>
    <w:rsid w:val="009A3823"/>
    <w:rsid w:val="009B041A"/>
    <w:rsid w:val="009C0D04"/>
    <w:rsid w:val="009C37C3"/>
    <w:rsid w:val="009C6A2F"/>
    <w:rsid w:val="009C7C86"/>
    <w:rsid w:val="009D2FF7"/>
    <w:rsid w:val="009E7884"/>
    <w:rsid w:val="009E788A"/>
    <w:rsid w:val="009F0E08"/>
    <w:rsid w:val="00A079AE"/>
    <w:rsid w:val="00A1763D"/>
    <w:rsid w:val="00A17CEC"/>
    <w:rsid w:val="00A26CBB"/>
    <w:rsid w:val="00A27EF0"/>
    <w:rsid w:val="00A42361"/>
    <w:rsid w:val="00A50B20"/>
    <w:rsid w:val="00A51390"/>
    <w:rsid w:val="00A60D13"/>
    <w:rsid w:val="00A7223D"/>
    <w:rsid w:val="00A72745"/>
    <w:rsid w:val="00A76EFC"/>
    <w:rsid w:val="00A87D50"/>
    <w:rsid w:val="00A91010"/>
    <w:rsid w:val="00A97F29"/>
    <w:rsid w:val="00AA702E"/>
    <w:rsid w:val="00AA7D26"/>
    <w:rsid w:val="00AB0964"/>
    <w:rsid w:val="00AB5011"/>
    <w:rsid w:val="00AC7368"/>
    <w:rsid w:val="00AD0278"/>
    <w:rsid w:val="00AD16B9"/>
    <w:rsid w:val="00AD41E2"/>
    <w:rsid w:val="00AE377D"/>
    <w:rsid w:val="00AF0EBA"/>
    <w:rsid w:val="00B02C8A"/>
    <w:rsid w:val="00B17FBD"/>
    <w:rsid w:val="00B315A6"/>
    <w:rsid w:val="00B31813"/>
    <w:rsid w:val="00B33365"/>
    <w:rsid w:val="00B4288E"/>
    <w:rsid w:val="00B57B36"/>
    <w:rsid w:val="00B57E6F"/>
    <w:rsid w:val="00B8686D"/>
    <w:rsid w:val="00B93F69"/>
    <w:rsid w:val="00BB1DDC"/>
    <w:rsid w:val="00BC30C9"/>
    <w:rsid w:val="00BD077D"/>
    <w:rsid w:val="00BE3E58"/>
    <w:rsid w:val="00C01616"/>
    <w:rsid w:val="00C0162B"/>
    <w:rsid w:val="00C068ED"/>
    <w:rsid w:val="00C208E9"/>
    <w:rsid w:val="00C22E0C"/>
    <w:rsid w:val="00C345B1"/>
    <w:rsid w:val="00C40142"/>
    <w:rsid w:val="00C413E2"/>
    <w:rsid w:val="00C52C3C"/>
    <w:rsid w:val="00C57182"/>
    <w:rsid w:val="00C57863"/>
    <w:rsid w:val="00C640AF"/>
    <w:rsid w:val="00C655FD"/>
    <w:rsid w:val="00C75407"/>
    <w:rsid w:val="00C841C6"/>
    <w:rsid w:val="00C870A8"/>
    <w:rsid w:val="00C94434"/>
    <w:rsid w:val="00CA0D75"/>
    <w:rsid w:val="00CA1C95"/>
    <w:rsid w:val="00CA5A9C"/>
    <w:rsid w:val="00CB2614"/>
    <w:rsid w:val="00CC4C20"/>
    <w:rsid w:val="00CD3517"/>
    <w:rsid w:val="00CD5FE2"/>
    <w:rsid w:val="00CE7C68"/>
    <w:rsid w:val="00D02B4C"/>
    <w:rsid w:val="00D040C4"/>
    <w:rsid w:val="00D20AD1"/>
    <w:rsid w:val="00D2582C"/>
    <w:rsid w:val="00D4601C"/>
    <w:rsid w:val="00D46B7E"/>
    <w:rsid w:val="00D57C84"/>
    <w:rsid w:val="00D6057D"/>
    <w:rsid w:val="00D6315E"/>
    <w:rsid w:val="00D71640"/>
    <w:rsid w:val="00D836C5"/>
    <w:rsid w:val="00D84576"/>
    <w:rsid w:val="00DA0EC6"/>
    <w:rsid w:val="00DA1399"/>
    <w:rsid w:val="00DA24C6"/>
    <w:rsid w:val="00DA4D7B"/>
    <w:rsid w:val="00DB55E3"/>
    <w:rsid w:val="00DC1F11"/>
    <w:rsid w:val="00DD271C"/>
    <w:rsid w:val="00DE264A"/>
    <w:rsid w:val="00DF5072"/>
    <w:rsid w:val="00E02D18"/>
    <w:rsid w:val="00E041E7"/>
    <w:rsid w:val="00E13ADA"/>
    <w:rsid w:val="00E23CA1"/>
    <w:rsid w:val="00E409A8"/>
    <w:rsid w:val="00E47D61"/>
    <w:rsid w:val="00E50C12"/>
    <w:rsid w:val="00E65B91"/>
    <w:rsid w:val="00E7209D"/>
    <w:rsid w:val="00E72EAD"/>
    <w:rsid w:val="00E77223"/>
    <w:rsid w:val="00E8528B"/>
    <w:rsid w:val="00E85B94"/>
    <w:rsid w:val="00E94A5C"/>
    <w:rsid w:val="00E978D0"/>
    <w:rsid w:val="00EA4613"/>
    <w:rsid w:val="00EA7F91"/>
    <w:rsid w:val="00EB1523"/>
    <w:rsid w:val="00EC0E49"/>
    <w:rsid w:val="00EC101F"/>
    <w:rsid w:val="00EC1D9F"/>
    <w:rsid w:val="00EE0131"/>
    <w:rsid w:val="00EE17B0"/>
    <w:rsid w:val="00EF06D9"/>
    <w:rsid w:val="00EF0982"/>
    <w:rsid w:val="00F126A5"/>
    <w:rsid w:val="00F3049E"/>
    <w:rsid w:val="00F30C64"/>
    <w:rsid w:val="00F32BA2"/>
    <w:rsid w:val="00F32CDB"/>
    <w:rsid w:val="00F3348F"/>
    <w:rsid w:val="00F37280"/>
    <w:rsid w:val="00F41EE4"/>
    <w:rsid w:val="00F565FE"/>
    <w:rsid w:val="00F63A70"/>
    <w:rsid w:val="00F63D8C"/>
    <w:rsid w:val="00F7534E"/>
    <w:rsid w:val="00F93EDF"/>
    <w:rsid w:val="00FA1802"/>
    <w:rsid w:val="00FA21D0"/>
    <w:rsid w:val="00FA5F5F"/>
    <w:rsid w:val="00FB730C"/>
    <w:rsid w:val="00FC2695"/>
    <w:rsid w:val="00FC3E03"/>
    <w:rsid w:val="00FC3FC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Heading1">
    <w:name w:val="heading 1"/>
    <w:basedOn w:val="CETHeading1"/>
    <w:next w:val="Normal"/>
    <w:link w:val="Heading1Char"/>
    <w:uiPriority w:val="9"/>
    <w:rsid w:val="004F5E36"/>
    <w:pPr>
      <w:tabs>
        <w:tab w:val="clear" w:pos="360"/>
        <w:tab w:val="right" w:pos="7100"/>
      </w:tabs>
      <w:jc w:val="both"/>
      <w:outlineLvl w:val="0"/>
    </w:pPr>
    <w:rPr>
      <w:lang w:val="en-GB"/>
    </w:rPr>
  </w:style>
  <w:style w:type="paragraph" w:styleId="Heading2">
    <w:name w:val="heading 2"/>
    <w:basedOn w:val="Normal"/>
    <w:next w:val="Normal"/>
    <w:link w:val="Heading2Char"/>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leSimple1">
    <w:name w:val="Table Simple 1"/>
    <w:basedOn w:val="TableNormal"/>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CommentReference">
    <w:name w:val="annotation reference"/>
    <w:basedOn w:val="DefaultParagraphFont"/>
    <w:uiPriority w:val="99"/>
    <w:semiHidden/>
    <w:unhideWhenUsed/>
    <w:rsid w:val="004577FE"/>
    <w:rPr>
      <w:sz w:val="16"/>
      <w:szCs w:val="16"/>
    </w:rPr>
  </w:style>
  <w:style w:type="paragraph" w:styleId="BalloonText">
    <w:name w:val="Balloon Text"/>
    <w:basedOn w:val="Normal"/>
    <w:link w:val="BalloonTextChar"/>
    <w:uiPriority w:val="99"/>
    <w:semiHidden/>
    <w:unhideWhenUsed/>
    <w:rsid w:val="000D34B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34BE"/>
    <w:rPr>
      <w:rFonts w:ascii="Tahoma" w:hAnsi="Tahoma" w:cs="Tahoma"/>
      <w:sz w:val="16"/>
      <w:szCs w:val="16"/>
    </w:rPr>
  </w:style>
  <w:style w:type="paragraph" w:styleId="Bibliography">
    <w:name w:val="Bibliography"/>
    <w:basedOn w:val="CETReferencetext"/>
    <w:uiPriority w:val="37"/>
    <w:unhideWhenUsed/>
    <w:rsid w:val="00631B33"/>
    <w:pPr>
      <w:spacing w:line="480" w:lineRule="auto"/>
      <w:ind w:left="720" w:hanging="720"/>
    </w:pPr>
  </w:style>
  <w:style w:type="paragraph" w:styleId="BodyText2">
    <w:name w:val="Body Text 2"/>
    <w:basedOn w:val="Normal"/>
    <w:link w:val="BodyText2Char"/>
    <w:uiPriority w:val="99"/>
    <w:semiHidden/>
    <w:unhideWhenUsed/>
    <w:rsid w:val="0003148D"/>
    <w:pPr>
      <w:spacing w:after="120" w:line="480" w:lineRule="auto"/>
    </w:pPr>
  </w:style>
  <w:style w:type="character" w:customStyle="1" w:styleId="BodyText2Char">
    <w:name w:val="Body Text 2 Char"/>
    <w:basedOn w:val="DefaultParagraphFont"/>
    <w:link w:val="BodyText2"/>
    <w:uiPriority w:val="99"/>
    <w:semiHidden/>
    <w:rsid w:val="0003148D"/>
  </w:style>
  <w:style w:type="paragraph" w:styleId="BodyText3">
    <w:name w:val="Body Text 3"/>
    <w:basedOn w:val="Normal"/>
    <w:link w:val="BodyText3Char"/>
    <w:uiPriority w:val="99"/>
    <w:semiHidden/>
    <w:unhideWhenUsed/>
    <w:rsid w:val="0003148D"/>
    <w:pPr>
      <w:spacing w:after="120"/>
    </w:pPr>
    <w:rPr>
      <w:sz w:val="16"/>
      <w:szCs w:val="16"/>
    </w:rPr>
  </w:style>
  <w:style w:type="character" w:customStyle="1" w:styleId="BodyText3Char">
    <w:name w:val="Body Text 3 Char"/>
    <w:basedOn w:val="DefaultParagraphFont"/>
    <w:link w:val="BodyText3"/>
    <w:uiPriority w:val="99"/>
    <w:semiHidden/>
    <w:rsid w:val="0003148D"/>
    <w:rPr>
      <w:sz w:val="16"/>
      <w:szCs w:val="16"/>
    </w:rPr>
  </w:style>
  <w:style w:type="paragraph" w:styleId="BodyText">
    <w:name w:val="Body Text"/>
    <w:basedOn w:val="Normal"/>
    <w:link w:val="BodyTextChar"/>
    <w:uiPriority w:val="99"/>
    <w:semiHidden/>
    <w:unhideWhenUsed/>
    <w:rsid w:val="0003148D"/>
    <w:pPr>
      <w:spacing w:after="120"/>
    </w:pPr>
  </w:style>
  <w:style w:type="character" w:customStyle="1" w:styleId="BodyTextChar">
    <w:name w:val="Body Text Char"/>
    <w:basedOn w:val="DefaultParagraphFont"/>
    <w:link w:val="BodyText"/>
    <w:uiPriority w:val="99"/>
    <w:semiHidden/>
    <w:rsid w:val="0003148D"/>
  </w:style>
  <w:style w:type="paragraph" w:styleId="Date">
    <w:name w:val="Date"/>
    <w:basedOn w:val="Normal"/>
    <w:next w:val="Normal"/>
    <w:link w:val="DateChar"/>
    <w:uiPriority w:val="99"/>
    <w:semiHidden/>
    <w:unhideWhenUsed/>
    <w:rsid w:val="0003148D"/>
  </w:style>
  <w:style w:type="character" w:customStyle="1" w:styleId="DateChar">
    <w:name w:val="Date Char"/>
    <w:basedOn w:val="DefaultParagraphFont"/>
    <w:link w:val="Date"/>
    <w:uiPriority w:val="99"/>
    <w:semiHidden/>
    <w:rsid w:val="0003148D"/>
  </w:style>
  <w:style w:type="paragraph" w:styleId="Caption">
    <w:name w:val="caption"/>
    <w:basedOn w:val="Normal"/>
    <w:next w:val="Normal"/>
    <w:uiPriority w:val="35"/>
    <w:semiHidden/>
    <w:unhideWhenUsed/>
    <w:qFormat/>
    <w:rsid w:val="0003148D"/>
    <w:pPr>
      <w:spacing w:line="240" w:lineRule="auto"/>
    </w:pPr>
    <w:rPr>
      <w:b/>
      <w:bCs/>
      <w:color w:val="4F81BD" w:themeColor="accent1"/>
      <w:szCs w:val="18"/>
    </w:rPr>
  </w:style>
  <w:style w:type="paragraph" w:styleId="List">
    <w:name w:val="List"/>
    <w:basedOn w:val="Normal"/>
    <w:uiPriority w:val="99"/>
    <w:semiHidden/>
    <w:unhideWhenUsed/>
    <w:rsid w:val="0003148D"/>
    <w:pPr>
      <w:ind w:left="283" w:hanging="283"/>
      <w:contextualSpacing/>
    </w:pPr>
  </w:style>
  <w:style w:type="paragraph" w:styleId="List2">
    <w:name w:val="List 2"/>
    <w:basedOn w:val="Normal"/>
    <w:uiPriority w:val="99"/>
    <w:semiHidden/>
    <w:unhideWhenUsed/>
    <w:rsid w:val="0003148D"/>
    <w:pPr>
      <w:ind w:left="566" w:hanging="283"/>
      <w:contextualSpacing/>
    </w:pPr>
  </w:style>
  <w:style w:type="paragraph" w:styleId="List3">
    <w:name w:val="List 3"/>
    <w:basedOn w:val="Normal"/>
    <w:uiPriority w:val="99"/>
    <w:semiHidden/>
    <w:unhideWhenUsed/>
    <w:rsid w:val="0003148D"/>
    <w:pPr>
      <w:ind w:left="849" w:hanging="283"/>
      <w:contextualSpacing/>
    </w:pPr>
  </w:style>
  <w:style w:type="paragraph" w:styleId="List4">
    <w:name w:val="List 4"/>
    <w:basedOn w:val="Normal"/>
    <w:uiPriority w:val="99"/>
    <w:semiHidden/>
    <w:unhideWhenUsed/>
    <w:rsid w:val="0003148D"/>
    <w:pPr>
      <w:ind w:left="1132" w:hanging="283"/>
      <w:contextualSpacing/>
    </w:pPr>
  </w:style>
  <w:style w:type="paragraph" w:styleId="List5">
    <w:name w:val="List 5"/>
    <w:basedOn w:val="Normal"/>
    <w:uiPriority w:val="99"/>
    <w:semiHidden/>
    <w:unhideWhenUsed/>
    <w:rsid w:val="0003148D"/>
    <w:pPr>
      <w:ind w:left="1415" w:hanging="283"/>
      <w:contextualSpacing/>
    </w:pPr>
  </w:style>
  <w:style w:type="paragraph" w:styleId="ListContinue">
    <w:name w:val="List Continue"/>
    <w:basedOn w:val="Normal"/>
    <w:uiPriority w:val="99"/>
    <w:semiHidden/>
    <w:unhideWhenUsed/>
    <w:rsid w:val="0003148D"/>
    <w:pPr>
      <w:spacing w:after="120"/>
      <w:ind w:left="283"/>
      <w:contextualSpacing/>
    </w:pPr>
  </w:style>
  <w:style w:type="paragraph" w:styleId="ListContinue2">
    <w:name w:val="List Continue 2"/>
    <w:basedOn w:val="Normal"/>
    <w:uiPriority w:val="99"/>
    <w:semiHidden/>
    <w:unhideWhenUsed/>
    <w:rsid w:val="0003148D"/>
    <w:pPr>
      <w:spacing w:after="120"/>
      <w:ind w:left="566"/>
      <w:contextualSpacing/>
    </w:pPr>
  </w:style>
  <w:style w:type="paragraph" w:styleId="ListContinue3">
    <w:name w:val="List Continue 3"/>
    <w:basedOn w:val="Normal"/>
    <w:uiPriority w:val="99"/>
    <w:semiHidden/>
    <w:unhideWhenUsed/>
    <w:rsid w:val="0003148D"/>
    <w:pPr>
      <w:spacing w:after="120"/>
      <w:ind w:left="849"/>
      <w:contextualSpacing/>
    </w:pPr>
  </w:style>
  <w:style w:type="paragraph" w:styleId="ListContinue4">
    <w:name w:val="List Continue 4"/>
    <w:basedOn w:val="Normal"/>
    <w:uiPriority w:val="99"/>
    <w:semiHidden/>
    <w:unhideWhenUsed/>
    <w:rsid w:val="0003148D"/>
    <w:pPr>
      <w:spacing w:after="120"/>
      <w:ind w:left="1132"/>
      <w:contextualSpacing/>
    </w:pPr>
  </w:style>
  <w:style w:type="paragraph" w:styleId="ListContinue5">
    <w:name w:val="List Continue 5"/>
    <w:basedOn w:val="Normal"/>
    <w:uiPriority w:val="99"/>
    <w:semiHidden/>
    <w:unhideWhenUsed/>
    <w:rsid w:val="0003148D"/>
    <w:pPr>
      <w:spacing w:after="120"/>
      <w:ind w:left="1415"/>
      <w:contextualSpacing/>
    </w:pPr>
  </w:style>
  <w:style w:type="paragraph" w:styleId="Signature">
    <w:name w:val="Signature"/>
    <w:basedOn w:val="Normal"/>
    <w:link w:val="SignatureChar"/>
    <w:uiPriority w:val="99"/>
    <w:semiHidden/>
    <w:unhideWhenUsed/>
    <w:rsid w:val="0003148D"/>
    <w:pPr>
      <w:spacing w:line="240" w:lineRule="auto"/>
      <w:ind w:left="4252"/>
    </w:pPr>
  </w:style>
  <w:style w:type="character" w:customStyle="1" w:styleId="SignatureChar">
    <w:name w:val="Signature Char"/>
    <w:basedOn w:val="DefaultParagraphFont"/>
    <w:link w:val="Signature"/>
    <w:uiPriority w:val="99"/>
    <w:semiHidden/>
    <w:rsid w:val="0003148D"/>
  </w:style>
  <w:style w:type="paragraph" w:styleId="E-mailSignature">
    <w:name w:val="E-mail Signature"/>
    <w:basedOn w:val="Normal"/>
    <w:link w:val="E-mailSignatureChar"/>
    <w:uiPriority w:val="99"/>
    <w:semiHidden/>
    <w:unhideWhenUsed/>
    <w:rsid w:val="0003148D"/>
    <w:pPr>
      <w:spacing w:line="240" w:lineRule="auto"/>
    </w:pPr>
  </w:style>
  <w:style w:type="character" w:customStyle="1" w:styleId="E-mailSignatureChar">
    <w:name w:val="E-mail Signature Char"/>
    <w:basedOn w:val="DefaultParagraphFont"/>
    <w:link w:val="E-mailSignature"/>
    <w:uiPriority w:val="99"/>
    <w:semiHidden/>
    <w:rsid w:val="0003148D"/>
  </w:style>
  <w:style w:type="paragraph" w:styleId="Salutation">
    <w:name w:val="Salutation"/>
    <w:basedOn w:val="Normal"/>
    <w:next w:val="Normal"/>
    <w:link w:val="SalutationChar"/>
    <w:uiPriority w:val="99"/>
    <w:semiHidden/>
    <w:unhideWhenUsed/>
    <w:rsid w:val="0003148D"/>
  </w:style>
  <w:style w:type="character" w:customStyle="1" w:styleId="SalutationChar">
    <w:name w:val="Salutation Char"/>
    <w:basedOn w:val="DefaultParagraphFont"/>
    <w:link w:val="Salutation"/>
    <w:uiPriority w:val="99"/>
    <w:semiHidden/>
    <w:rsid w:val="0003148D"/>
  </w:style>
  <w:style w:type="paragraph" w:styleId="Closing">
    <w:name w:val="Closing"/>
    <w:basedOn w:val="Normal"/>
    <w:link w:val="ClosingChar"/>
    <w:uiPriority w:val="99"/>
    <w:semiHidden/>
    <w:unhideWhenUsed/>
    <w:rsid w:val="0003148D"/>
    <w:pPr>
      <w:spacing w:line="240" w:lineRule="auto"/>
      <w:ind w:left="4252"/>
    </w:pPr>
  </w:style>
  <w:style w:type="character" w:customStyle="1" w:styleId="ClosingChar">
    <w:name w:val="Closing Char"/>
    <w:basedOn w:val="DefaultParagraphFont"/>
    <w:link w:val="Closing"/>
    <w:uiPriority w:val="99"/>
    <w:semiHidden/>
    <w:rsid w:val="0003148D"/>
  </w:style>
  <w:style w:type="paragraph" w:styleId="Index1">
    <w:name w:val="index 1"/>
    <w:basedOn w:val="Normal"/>
    <w:next w:val="Normal"/>
    <w:autoRedefine/>
    <w:uiPriority w:val="99"/>
    <w:semiHidden/>
    <w:unhideWhenUsed/>
    <w:rsid w:val="0003148D"/>
    <w:pPr>
      <w:spacing w:line="240" w:lineRule="auto"/>
      <w:ind w:left="220" w:hanging="220"/>
    </w:pPr>
  </w:style>
  <w:style w:type="paragraph" w:styleId="Index2">
    <w:name w:val="index 2"/>
    <w:basedOn w:val="Normal"/>
    <w:next w:val="Normal"/>
    <w:autoRedefine/>
    <w:uiPriority w:val="99"/>
    <w:semiHidden/>
    <w:unhideWhenUsed/>
    <w:rsid w:val="0003148D"/>
    <w:pPr>
      <w:spacing w:line="240" w:lineRule="auto"/>
      <w:ind w:left="440" w:hanging="220"/>
    </w:pPr>
  </w:style>
  <w:style w:type="paragraph" w:styleId="Index3">
    <w:name w:val="index 3"/>
    <w:basedOn w:val="Normal"/>
    <w:next w:val="Normal"/>
    <w:autoRedefine/>
    <w:uiPriority w:val="99"/>
    <w:semiHidden/>
    <w:unhideWhenUsed/>
    <w:rsid w:val="0003148D"/>
    <w:pPr>
      <w:spacing w:line="240" w:lineRule="auto"/>
      <w:ind w:left="660" w:hanging="220"/>
    </w:pPr>
  </w:style>
  <w:style w:type="paragraph" w:styleId="Index4">
    <w:name w:val="index 4"/>
    <w:basedOn w:val="Normal"/>
    <w:next w:val="Normal"/>
    <w:autoRedefine/>
    <w:uiPriority w:val="99"/>
    <w:semiHidden/>
    <w:unhideWhenUsed/>
    <w:rsid w:val="0003148D"/>
    <w:pPr>
      <w:spacing w:line="240" w:lineRule="auto"/>
      <w:ind w:left="880" w:hanging="220"/>
    </w:pPr>
  </w:style>
  <w:style w:type="paragraph" w:styleId="Index5">
    <w:name w:val="index 5"/>
    <w:basedOn w:val="Normal"/>
    <w:next w:val="Normal"/>
    <w:autoRedefine/>
    <w:uiPriority w:val="99"/>
    <w:semiHidden/>
    <w:unhideWhenUsed/>
    <w:rsid w:val="0003148D"/>
    <w:pPr>
      <w:spacing w:line="240" w:lineRule="auto"/>
      <w:ind w:left="1100" w:hanging="220"/>
    </w:pPr>
  </w:style>
  <w:style w:type="paragraph" w:styleId="Index6">
    <w:name w:val="index 6"/>
    <w:basedOn w:val="Normal"/>
    <w:next w:val="Normal"/>
    <w:autoRedefine/>
    <w:uiPriority w:val="99"/>
    <w:semiHidden/>
    <w:unhideWhenUsed/>
    <w:rsid w:val="0003148D"/>
    <w:pPr>
      <w:spacing w:line="240" w:lineRule="auto"/>
      <w:ind w:left="1320" w:hanging="220"/>
    </w:pPr>
  </w:style>
  <w:style w:type="paragraph" w:styleId="Index7">
    <w:name w:val="index 7"/>
    <w:basedOn w:val="Normal"/>
    <w:next w:val="Normal"/>
    <w:autoRedefine/>
    <w:uiPriority w:val="99"/>
    <w:semiHidden/>
    <w:unhideWhenUsed/>
    <w:rsid w:val="0003148D"/>
    <w:pPr>
      <w:spacing w:line="240" w:lineRule="auto"/>
      <w:ind w:left="1540" w:hanging="220"/>
    </w:pPr>
  </w:style>
  <w:style w:type="paragraph" w:styleId="Index8">
    <w:name w:val="index 8"/>
    <w:basedOn w:val="Normal"/>
    <w:next w:val="Normal"/>
    <w:autoRedefine/>
    <w:uiPriority w:val="99"/>
    <w:semiHidden/>
    <w:unhideWhenUsed/>
    <w:rsid w:val="0003148D"/>
    <w:pPr>
      <w:spacing w:line="240" w:lineRule="auto"/>
      <w:ind w:left="1760" w:hanging="220"/>
    </w:pPr>
  </w:style>
  <w:style w:type="paragraph" w:styleId="Index9">
    <w:name w:val="index 9"/>
    <w:basedOn w:val="Normal"/>
    <w:next w:val="Normal"/>
    <w:autoRedefine/>
    <w:uiPriority w:val="99"/>
    <w:semiHidden/>
    <w:unhideWhenUsed/>
    <w:rsid w:val="0003148D"/>
    <w:pPr>
      <w:spacing w:line="240" w:lineRule="auto"/>
      <w:ind w:left="1980" w:hanging="220"/>
    </w:pPr>
  </w:style>
  <w:style w:type="paragraph" w:styleId="TableofFigures">
    <w:name w:val="table of figures"/>
    <w:basedOn w:val="Normal"/>
    <w:next w:val="Normal"/>
    <w:uiPriority w:val="99"/>
    <w:semiHidden/>
    <w:unhideWhenUsed/>
    <w:rsid w:val="0003148D"/>
  </w:style>
  <w:style w:type="paragraph" w:styleId="TableofAuthorities">
    <w:name w:val="table of authorities"/>
    <w:basedOn w:val="Normal"/>
    <w:next w:val="Normal"/>
    <w:uiPriority w:val="99"/>
    <w:semiHidden/>
    <w:unhideWhenUsed/>
    <w:rsid w:val="0003148D"/>
    <w:pPr>
      <w:ind w:left="220" w:hanging="220"/>
    </w:pPr>
  </w:style>
  <w:style w:type="paragraph" w:styleId="EnvelopeAddress">
    <w:name w:val="envelope address"/>
    <w:basedOn w:val="Normal"/>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Address">
    <w:name w:val="HTML Address"/>
    <w:basedOn w:val="Normal"/>
    <w:link w:val="HTMLAddressChar"/>
    <w:uiPriority w:val="99"/>
    <w:semiHidden/>
    <w:unhideWhenUsed/>
    <w:rsid w:val="0003148D"/>
    <w:pPr>
      <w:spacing w:line="240" w:lineRule="auto"/>
    </w:pPr>
    <w:rPr>
      <w:i/>
      <w:iCs/>
    </w:rPr>
  </w:style>
  <w:style w:type="character" w:customStyle="1" w:styleId="HTMLAddressChar">
    <w:name w:val="HTML Address Char"/>
    <w:basedOn w:val="DefaultParagraphFont"/>
    <w:link w:val="HTMLAddress"/>
    <w:uiPriority w:val="99"/>
    <w:semiHidden/>
    <w:rsid w:val="0003148D"/>
    <w:rPr>
      <w:i/>
      <w:iCs/>
    </w:rPr>
  </w:style>
  <w:style w:type="paragraph" w:styleId="EnvelopeReturn">
    <w:name w:val="envelope return"/>
    <w:basedOn w:val="Normal"/>
    <w:uiPriority w:val="99"/>
    <w:semiHidden/>
    <w:unhideWhenUsed/>
    <w:rsid w:val="0003148D"/>
    <w:pPr>
      <w:spacing w:line="240" w:lineRule="auto"/>
    </w:pPr>
    <w:rPr>
      <w:rFonts w:asciiTheme="majorHAnsi" w:eastAsiaTheme="majorEastAsia" w:hAnsiTheme="majorHAnsi" w:cstheme="majorBidi"/>
    </w:rPr>
  </w:style>
  <w:style w:type="paragraph" w:styleId="MessageHeader">
    <w:name w:val="Message Header"/>
    <w:basedOn w:val="Normal"/>
    <w:link w:val="MessageHeaderChar"/>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3148D"/>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03148D"/>
    <w:pPr>
      <w:spacing w:line="240" w:lineRule="auto"/>
    </w:pPr>
  </w:style>
  <w:style w:type="character" w:customStyle="1" w:styleId="NoteHeadingChar">
    <w:name w:val="Note Heading Char"/>
    <w:basedOn w:val="DefaultParagraphFont"/>
    <w:link w:val="NoteHeading"/>
    <w:uiPriority w:val="99"/>
    <w:semiHidden/>
    <w:rsid w:val="0003148D"/>
  </w:style>
  <w:style w:type="paragraph" w:styleId="DocumentMap">
    <w:name w:val="Document Map"/>
    <w:basedOn w:val="Normal"/>
    <w:link w:val="DocumentMapChar"/>
    <w:uiPriority w:val="99"/>
    <w:semiHidden/>
    <w:unhideWhenUsed/>
    <w:rsid w:val="0003148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3148D"/>
    <w:rPr>
      <w:rFonts w:ascii="Tahoma" w:hAnsi="Tahoma" w:cs="Tahoma"/>
      <w:sz w:val="16"/>
      <w:szCs w:val="16"/>
    </w:rPr>
  </w:style>
  <w:style w:type="paragraph" w:styleId="NormalWeb">
    <w:name w:val="Normal (Web)"/>
    <w:basedOn w:val="Normal"/>
    <w:uiPriority w:val="99"/>
    <w:semiHidden/>
    <w:unhideWhenUsed/>
    <w:rsid w:val="0003148D"/>
    <w:rPr>
      <w:sz w:val="24"/>
      <w:szCs w:val="24"/>
    </w:rPr>
  </w:style>
  <w:style w:type="paragraph" w:styleId="ListNumber">
    <w:name w:val="List Number"/>
    <w:basedOn w:val="Normal"/>
    <w:uiPriority w:val="99"/>
    <w:semiHidden/>
    <w:unhideWhenUsed/>
    <w:rsid w:val="0003148D"/>
    <w:pPr>
      <w:numPr>
        <w:numId w:val="2"/>
      </w:numPr>
      <w:contextualSpacing/>
    </w:pPr>
  </w:style>
  <w:style w:type="paragraph" w:styleId="ListNumber2">
    <w:name w:val="List Number 2"/>
    <w:basedOn w:val="Normal"/>
    <w:uiPriority w:val="99"/>
    <w:semiHidden/>
    <w:unhideWhenUsed/>
    <w:rsid w:val="0003148D"/>
    <w:pPr>
      <w:numPr>
        <w:numId w:val="3"/>
      </w:numPr>
      <w:contextualSpacing/>
    </w:pPr>
  </w:style>
  <w:style w:type="paragraph" w:styleId="ListNumber3">
    <w:name w:val="List Number 3"/>
    <w:basedOn w:val="Normal"/>
    <w:uiPriority w:val="99"/>
    <w:semiHidden/>
    <w:unhideWhenUsed/>
    <w:rsid w:val="0003148D"/>
    <w:pPr>
      <w:numPr>
        <w:numId w:val="4"/>
      </w:numPr>
      <w:contextualSpacing/>
    </w:pPr>
  </w:style>
  <w:style w:type="paragraph" w:styleId="ListNumber4">
    <w:name w:val="List Number 4"/>
    <w:basedOn w:val="Normal"/>
    <w:uiPriority w:val="99"/>
    <w:semiHidden/>
    <w:unhideWhenUsed/>
    <w:rsid w:val="0003148D"/>
    <w:pPr>
      <w:numPr>
        <w:numId w:val="5"/>
      </w:numPr>
      <w:contextualSpacing/>
    </w:pPr>
  </w:style>
  <w:style w:type="paragraph" w:styleId="ListNumber5">
    <w:name w:val="List Number 5"/>
    <w:basedOn w:val="Normal"/>
    <w:uiPriority w:val="99"/>
    <w:semiHidden/>
    <w:unhideWhenUsed/>
    <w:rsid w:val="0003148D"/>
    <w:pPr>
      <w:numPr>
        <w:numId w:val="6"/>
      </w:numPr>
      <w:contextualSpacing/>
    </w:pPr>
  </w:style>
  <w:style w:type="paragraph" w:styleId="HTMLPreformatted">
    <w:name w:val="HTML Preformatted"/>
    <w:basedOn w:val="Normal"/>
    <w:link w:val="HTMLPreformattedChar"/>
    <w:uiPriority w:val="99"/>
    <w:semiHidden/>
    <w:unhideWhenUsed/>
    <w:rsid w:val="0003148D"/>
    <w:pPr>
      <w:spacing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03148D"/>
    <w:rPr>
      <w:rFonts w:ascii="Consolas" w:hAnsi="Consolas" w:cs="Consolas"/>
      <w:sz w:val="20"/>
      <w:szCs w:val="20"/>
    </w:rPr>
  </w:style>
  <w:style w:type="paragraph" w:styleId="BodyTextFirstIndent">
    <w:name w:val="Body Text First Indent"/>
    <w:basedOn w:val="BodyText"/>
    <w:link w:val="BodyTextFirstIndentChar"/>
    <w:uiPriority w:val="99"/>
    <w:semiHidden/>
    <w:unhideWhenUsed/>
    <w:rsid w:val="0003148D"/>
    <w:pPr>
      <w:spacing w:after="200"/>
      <w:ind w:firstLine="360"/>
    </w:pPr>
  </w:style>
  <w:style w:type="character" w:customStyle="1" w:styleId="BodyTextFirstIndentChar">
    <w:name w:val="Body Text First Indent Char"/>
    <w:basedOn w:val="BodyTextChar"/>
    <w:link w:val="BodyTextFirstIndent"/>
    <w:uiPriority w:val="99"/>
    <w:semiHidden/>
    <w:rsid w:val="0003148D"/>
  </w:style>
  <w:style w:type="paragraph" w:styleId="BodyTextIndent">
    <w:name w:val="Body Text Indent"/>
    <w:basedOn w:val="Normal"/>
    <w:link w:val="BodyTextIndentChar"/>
    <w:uiPriority w:val="99"/>
    <w:semiHidden/>
    <w:unhideWhenUsed/>
    <w:rsid w:val="0003148D"/>
    <w:pPr>
      <w:spacing w:after="120"/>
      <w:ind w:left="283"/>
    </w:pPr>
  </w:style>
  <w:style w:type="character" w:customStyle="1" w:styleId="BodyTextIndentChar">
    <w:name w:val="Body Text Indent Char"/>
    <w:basedOn w:val="DefaultParagraphFont"/>
    <w:link w:val="BodyTextIndent"/>
    <w:uiPriority w:val="99"/>
    <w:semiHidden/>
    <w:rsid w:val="0003148D"/>
  </w:style>
  <w:style w:type="paragraph" w:styleId="BodyTextFirstIndent2">
    <w:name w:val="Body Text First Indent 2"/>
    <w:basedOn w:val="BodyTextIndent"/>
    <w:link w:val="BodyTextFirstIndent2Char"/>
    <w:uiPriority w:val="99"/>
    <w:semiHidden/>
    <w:unhideWhenUsed/>
    <w:rsid w:val="0003148D"/>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03148D"/>
  </w:style>
  <w:style w:type="paragraph" w:styleId="ListBullet">
    <w:name w:val="List Bullet"/>
    <w:basedOn w:val="Normal"/>
    <w:uiPriority w:val="99"/>
    <w:semiHidden/>
    <w:unhideWhenUsed/>
    <w:rsid w:val="0003148D"/>
    <w:pPr>
      <w:numPr>
        <w:numId w:val="7"/>
      </w:numPr>
      <w:contextualSpacing/>
    </w:pPr>
  </w:style>
  <w:style w:type="paragraph" w:styleId="ListBullet2">
    <w:name w:val="List Bullet 2"/>
    <w:basedOn w:val="Normal"/>
    <w:uiPriority w:val="99"/>
    <w:semiHidden/>
    <w:unhideWhenUsed/>
    <w:rsid w:val="0003148D"/>
    <w:pPr>
      <w:numPr>
        <w:numId w:val="8"/>
      </w:numPr>
      <w:contextualSpacing/>
    </w:pPr>
  </w:style>
  <w:style w:type="paragraph" w:styleId="ListBullet3">
    <w:name w:val="List Bullet 3"/>
    <w:basedOn w:val="Normal"/>
    <w:uiPriority w:val="99"/>
    <w:semiHidden/>
    <w:unhideWhenUsed/>
    <w:rsid w:val="0003148D"/>
    <w:pPr>
      <w:numPr>
        <w:numId w:val="9"/>
      </w:numPr>
      <w:contextualSpacing/>
    </w:pPr>
  </w:style>
  <w:style w:type="paragraph" w:styleId="ListBullet4">
    <w:name w:val="List Bullet 4"/>
    <w:basedOn w:val="Normal"/>
    <w:uiPriority w:val="99"/>
    <w:semiHidden/>
    <w:unhideWhenUsed/>
    <w:rsid w:val="0003148D"/>
    <w:pPr>
      <w:numPr>
        <w:numId w:val="10"/>
      </w:numPr>
      <w:contextualSpacing/>
    </w:pPr>
  </w:style>
  <w:style w:type="paragraph" w:styleId="ListBullet5">
    <w:name w:val="List Bullet 5"/>
    <w:basedOn w:val="Normal"/>
    <w:uiPriority w:val="99"/>
    <w:semiHidden/>
    <w:unhideWhenUsed/>
    <w:rsid w:val="0003148D"/>
    <w:pPr>
      <w:numPr>
        <w:numId w:val="11"/>
      </w:numPr>
      <w:contextualSpacing/>
    </w:pPr>
  </w:style>
  <w:style w:type="paragraph" w:styleId="BodyTextIndent2">
    <w:name w:val="Body Text Indent 2"/>
    <w:basedOn w:val="Normal"/>
    <w:link w:val="BodyTextIndent2Char"/>
    <w:uiPriority w:val="99"/>
    <w:semiHidden/>
    <w:unhideWhenUsed/>
    <w:rsid w:val="0003148D"/>
    <w:pPr>
      <w:spacing w:after="120" w:line="480" w:lineRule="auto"/>
      <w:ind w:left="283"/>
    </w:pPr>
  </w:style>
  <w:style w:type="character" w:customStyle="1" w:styleId="BodyTextIndent2Char">
    <w:name w:val="Body Text Indent 2 Char"/>
    <w:basedOn w:val="DefaultParagraphFont"/>
    <w:link w:val="BodyTextIndent2"/>
    <w:uiPriority w:val="99"/>
    <w:semiHidden/>
    <w:rsid w:val="0003148D"/>
  </w:style>
  <w:style w:type="paragraph" w:styleId="BodyTextIndent3">
    <w:name w:val="Body Text Indent 3"/>
    <w:basedOn w:val="Normal"/>
    <w:link w:val="BodyTextIndent3Char"/>
    <w:uiPriority w:val="99"/>
    <w:semiHidden/>
    <w:unhideWhenUsed/>
    <w:rsid w:val="0003148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3148D"/>
    <w:rPr>
      <w:sz w:val="16"/>
      <w:szCs w:val="16"/>
    </w:rPr>
  </w:style>
  <w:style w:type="paragraph" w:styleId="NormalIndent">
    <w:name w:val="Normal Indent"/>
    <w:basedOn w:val="Normal"/>
    <w:uiPriority w:val="99"/>
    <w:semiHidden/>
    <w:unhideWhenUsed/>
    <w:rsid w:val="0003148D"/>
    <w:pPr>
      <w:ind w:left="720"/>
    </w:pPr>
  </w:style>
  <w:style w:type="paragraph" w:styleId="CommentText">
    <w:name w:val="annotation text"/>
    <w:basedOn w:val="Normal"/>
    <w:link w:val="CommentTextChar"/>
    <w:uiPriority w:val="99"/>
    <w:unhideWhenUsed/>
    <w:rsid w:val="0003148D"/>
    <w:pPr>
      <w:spacing w:line="240" w:lineRule="auto"/>
    </w:pPr>
  </w:style>
  <w:style w:type="character" w:customStyle="1" w:styleId="CommentTextChar">
    <w:name w:val="Comment Text Char"/>
    <w:basedOn w:val="DefaultParagraphFont"/>
    <w:link w:val="CommentText"/>
    <w:uiPriority w:val="99"/>
    <w:rsid w:val="0003148D"/>
    <w:rPr>
      <w:sz w:val="20"/>
      <w:szCs w:val="20"/>
    </w:rPr>
  </w:style>
  <w:style w:type="paragraph" w:styleId="CommentSubject">
    <w:name w:val="annotation subject"/>
    <w:basedOn w:val="CommentText"/>
    <w:next w:val="CommentText"/>
    <w:link w:val="CommentSubjectChar"/>
    <w:uiPriority w:val="99"/>
    <w:semiHidden/>
    <w:unhideWhenUsed/>
    <w:rsid w:val="0003148D"/>
    <w:rPr>
      <w:b/>
      <w:bCs/>
    </w:rPr>
  </w:style>
  <w:style w:type="character" w:customStyle="1" w:styleId="CommentSubjectChar">
    <w:name w:val="Comment Subject Char"/>
    <w:basedOn w:val="CommentTextChar"/>
    <w:link w:val="CommentSubject"/>
    <w:uiPriority w:val="99"/>
    <w:semiHidden/>
    <w:rsid w:val="0003148D"/>
    <w:rPr>
      <w:b/>
      <w:bCs/>
      <w:sz w:val="20"/>
      <w:szCs w:val="20"/>
    </w:rPr>
  </w:style>
  <w:style w:type="paragraph" w:styleId="TOC1">
    <w:name w:val="toc 1"/>
    <w:basedOn w:val="Normal"/>
    <w:next w:val="Normal"/>
    <w:autoRedefine/>
    <w:uiPriority w:val="39"/>
    <w:semiHidden/>
    <w:unhideWhenUsed/>
    <w:rsid w:val="0003148D"/>
    <w:pPr>
      <w:spacing w:after="100"/>
    </w:pPr>
  </w:style>
  <w:style w:type="paragraph" w:styleId="TOC2">
    <w:name w:val="toc 2"/>
    <w:basedOn w:val="Normal"/>
    <w:next w:val="Normal"/>
    <w:autoRedefine/>
    <w:uiPriority w:val="39"/>
    <w:semiHidden/>
    <w:unhideWhenUsed/>
    <w:rsid w:val="0003148D"/>
    <w:pPr>
      <w:spacing w:after="100"/>
      <w:ind w:left="220"/>
    </w:pPr>
  </w:style>
  <w:style w:type="paragraph" w:styleId="TOC3">
    <w:name w:val="toc 3"/>
    <w:basedOn w:val="Normal"/>
    <w:next w:val="Normal"/>
    <w:autoRedefine/>
    <w:uiPriority w:val="39"/>
    <w:semiHidden/>
    <w:unhideWhenUsed/>
    <w:rsid w:val="0003148D"/>
    <w:pPr>
      <w:spacing w:after="100"/>
      <w:ind w:left="440"/>
    </w:pPr>
  </w:style>
  <w:style w:type="paragraph" w:styleId="TOC4">
    <w:name w:val="toc 4"/>
    <w:basedOn w:val="Normal"/>
    <w:next w:val="Normal"/>
    <w:autoRedefine/>
    <w:uiPriority w:val="39"/>
    <w:semiHidden/>
    <w:unhideWhenUsed/>
    <w:rsid w:val="0003148D"/>
    <w:pPr>
      <w:spacing w:after="100"/>
      <w:ind w:left="660"/>
    </w:pPr>
  </w:style>
  <w:style w:type="paragraph" w:styleId="TOC5">
    <w:name w:val="toc 5"/>
    <w:basedOn w:val="Normal"/>
    <w:next w:val="Normal"/>
    <w:autoRedefine/>
    <w:uiPriority w:val="39"/>
    <w:semiHidden/>
    <w:unhideWhenUsed/>
    <w:rsid w:val="0003148D"/>
    <w:pPr>
      <w:spacing w:after="100"/>
      <w:ind w:left="880"/>
    </w:pPr>
  </w:style>
  <w:style w:type="paragraph" w:styleId="TOC6">
    <w:name w:val="toc 6"/>
    <w:basedOn w:val="Normal"/>
    <w:next w:val="Normal"/>
    <w:autoRedefine/>
    <w:uiPriority w:val="39"/>
    <w:semiHidden/>
    <w:unhideWhenUsed/>
    <w:rsid w:val="0003148D"/>
    <w:pPr>
      <w:spacing w:after="100"/>
      <w:ind w:left="1100"/>
    </w:pPr>
  </w:style>
  <w:style w:type="paragraph" w:styleId="TOC7">
    <w:name w:val="toc 7"/>
    <w:basedOn w:val="Normal"/>
    <w:next w:val="Normal"/>
    <w:autoRedefine/>
    <w:uiPriority w:val="39"/>
    <w:semiHidden/>
    <w:unhideWhenUsed/>
    <w:rsid w:val="0003148D"/>
    <w:pPr>
      <w:spacing w:after="100"/>
      <w:ind w:left="1320"/>
    </w:pPr>
  </w:style>
  <w:style w:type="paragraph" w:styleId="TOC8">
    <w:name w:val="toc 8"/>
    <w:basedOn w:val="Normal"/>
    <w:next w:val="Normal"/>
    <w:autoRedefine/>
    <w:uiPriority w:val="39"/>
    <w:semiHidden/>
    <w:unhideWhenUsed/>
    <w:rsid w:val="0003148D"/>
    <w:pPr>
      <w:spacing w:after="100"/>
      <w:ind w:left="1540"/>
    </w:pPr>
  </w:style>
  <w:style w:type="paragraph" w:styleId="TOC9">
    <w:name w:val="toc 9"/>
    <w:basedOn w:val="Normal"/>
    <w:next w:val="Normal"/>
    <w:autoRedefine/>
    <w:uiPriority w:val="39"/>
    <w:semiHidden/>
    <w:unhideWhenUsed/>
    <w:rsid w:val="0003148D"/>
    <w:pPr>
      <w:spacing w:after="100"/>
      <w:ind w:left="1760"/>
    </w:pPr>
  </w:style>
  <w:style w:type="paragraph" w:styleId="BlockText">
    <w:name w:val="Block Text"/>
    <w:basedOn w:val="Normal"/>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MacroText">
    <w:name w:val="macro"/>
    <w:link w:val="MacroTextChar"/>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03148D"/>
    <w:rPr>
      <w:rFonts w:ascii="Consolas" w:hAnsi="Consolas" w:cs="Consolas"/>
      <w:sz w:val="20"/>
      <w:szCs w:val="20"/>
    </w:rPr>
  </w:style>
  <w:style w:type="paragraph" w:styleId="PlainText">
    <w:name w:val="Plain Text"/>
    <w:basedOn w:val="Normal"/>
    <w:link w:val="PlainTextChar"/>
    <w:uiPriority w:val="99"/>
    <w:semiHidden/>
    <w:unhideWhenUsed/>
    <w:rsid w:val="0003148D"/>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03148D"/>
    <w:rPr>
      <w:rFonts w:ascii="Consolas" w:hAnsi="Consolas" w:cs="Consolas"/>
      <w:sz w:val="21"/>
      <w:szCs w:val="21"/>
    </w:rPr>
  </w:style>
  <w:style w:type="paragraph" w:styleId="FootnoteText">
    <w:name w:val="footnote text"/>
    <w:basedOn w:val="Normal"/>
    <w:link w:val="FootnoteTextChar"/>
    <w:uiPriority w:val="99"/>
    <w:semiHidden/>
    <w:unhideWhenUsed/>
    <w:rsid w:val="0003148D"/>
    <w:pPr>
      <w:spacing w:line="240" w:lineRule="auto"/>
    </w:pPr>
  </w:style>
  <w:style w:type="character" w:customStyle="1" w:styleId="FootnoteTextChar">
    <w:name w:val="Footnote Text Char"/>
    <w:basedOn w:val="DefaultParagraphFont"/>
    <w:link w:val="FootnoteText"/>
    <w:uiPriority w:val="99"/>
    <w:semiHidden/>
    <w:rsid w:val="0003148D"/>
    <w:rPr>
      <w:sz w:val="20"/>
      <w:szCs w:val="20"/>
    </w:rPr>
  </w:style>
  <w:style w:type="paragraph" w:styleId="EndnoteText">
    <w:name w:val="endnote text"/>
    <w:basedOn w:val="Normal"/>
    <w:link w:val="EndnoteTextChar"/>
    <w:uiPriority w:val="99"/>
    <w:semiHidden/>
    <w:unhideWhenUsed/>
    <w:rsid w:val="0003148D"/>
    <w:pPr>
      <w:spacing w:line="240" w:lineRule="auto"/>
    </w:pPr>
  </w:style>
  <w:style w:type="character" w:customStyle="1" w:styleId="EndnoteTextChar">
    <w:name w:val="Endnote Text Char"/>
    <w:basedOn w:val="DefaultParagraphFont"/>
    <w:link w:val="EndnoteText"/>
    <w:uiPriority w:val="99"/>
    <w:semiHidden/>
    <w:rsid w:val="0003148D"/>
    <w:rPr>
      <w:sz w:val="20"/>
      <w:szCs w:val="20"/>
    </w:rPr>
  </w:style>
  <w:style w:type="character" w:customStyle="1" w:styleId="Heading1Char">
    <w:name w:val="Heading 1 Char"/>
    <w:basedOn w:val="DefaultParagraphFont"/>
    <w:link w:val="Heading1"/>
    <w:uiPriority w:val="9"/>
    <w:rsid w:val="004F5E36"/>
    <w:rPr>
      <w:rFonts w:ascii="Arial" w:eastAsia="Times New Roman" w:hAnsi="Arial" w:cs="Times New Roman"/>
      <w:b/>
      <w:sz w:val="20"/>
      <w:szCs w:val="20"/>
      <w:lang w:val="en-GB"/>
    </w:rPr>
  </w:style>
  <w:style w:type="character" w:customStyle="1" w:styleId="Heading2Char">
    <w:name w:val="Heading 2 Char"/>
    <w:basedOn w:val="DefaultParagraphFont"/>
    <w:link w:val="Heading2"/>
    <w:uiPriority w:val="9"/>
    <w:semiHidden/>
    <w:rsid w:val="0003148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3148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3148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3148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3148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3148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148D"/>
    <w:rPr>
      <w:rFonts w:asciiTheme="majorHAnsi" w:eastAsiaTheme="majorEastAsia" w:hAnsiTheme="majorHAnsi" w:cstheme="majorBidi"/>
      <w:i/>
      <w:iCs/>
      <w:color w:val="404040" w:themeColor="text1" w:themeTint="BF"/>
      <w:sz w:val="20"/>
      <w:szCs w:val="20"/>
    </w:rPr>
  </w:style>
  <w:style w:type="paragraph" w:styleId="IndexHeading">
    <w:name w:val="index heading"/>
    <w:basedOn w:val="Normal"/>
    <w:next w:val="Index1"/>
    <w:uiPriority w:val="99"/>
    <w:semiHidden/>
    <w:unhideWhenUsed/>
    <w:rsid w:val="0003148D"/>
    <w:rPr>
      <w:rFonts w:asciiTheme="majorHAnsi" w:eastAsiaTheme="majorEastAsia" w:hAnsiTheme="majorHAnsi" w:cstheme="majorBidi"/>
      <w:b/>
      <w:bCs/>
    </w:rPr>
  </w:style>
  <w:style w:type="paragraph" w:styleId="TOAHeading">
    <w:name w:val="toa heading"/>
    <w:basedOn w:val="Normal"/>
    <w:next w:val="Normal"/>
    <w:uiPriority w:val="99"/>
    <w:semiHidden/>
    <w:unhideWhenUsed/>
    <w:rsid w:val="0003148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DefaultParagraphFont"/>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Header">
    <w:name w:val="header"/>
    <w:basedOn w:val="Normal"/>
    <w:link w:val="HeaderChar"/>
    <w:uiPriority w:val="99"/>
    <w:unhideWhenUsed/>
    <w:rsid w:val="005278B7"/>
    <w:pPr>
      <w:tabs>
        <w:tab w:val="clear" w:pos="7100"/>
        <w:tab w:val="center" w:pos="4819"/>
        <w:tab w:val="right" w:pos="9638"/>
      </w:tabs>
      <w:spacing w:line="240" w:lineRule="auto"/>
    </w:pPr>
  </w:style>
  <w:style w:type="character" w:customStyle="1" w:styleId="HeaderChar">
    <w:name w:val="Header Char"/>
    <w:basedOn w:val="DefaultParagraphFont"/>
    <w:link w:val="Header"/>
    <w:uiPriority w:val="99"/>
    <w:rsid w:val="005278B7"/>
    <w:rPr>
      <w:rFonts w:ascii="Arial" w:eastAsia="Times New Roman" w:hAnsi="Arial" w:cs="Times New Roman"/>
      <w:sz w:val="18"/>
      <w:szCs w:val="20"/>
      <w:lang w:val="en-GB"/>
    </w:rPr>
  </w:style>
  <w:style w:type="paragraph" w:styleId="Footer">
    <w:name w:val="footer"/>
    <w:basedOn w:val="Normal"/>
    <w:link w:val="FooterChar"/>
    <w:uiPriority w:val="99"/>
    <w:unhideWhenUsed/>
    <w:rsid w:val="005278B7"/>
    <w:pPr>
      <w:tabs>
        <w:tab w:val="clear" w:pos="7100"/>
        <w:tab w:val="center" w:pos="4819"/>
        <w:tab w:val="right" w:pos="9638"/>
      </w:tabs>
      <w:spacing w:line="240" w:lineRule="auto"/>
    </w:pPr>
  </w:style>
  <w:style w:type="character" w:customStyle="1" w:styleId="FooterChar">
    <w:name w:val="Footer Char"/>
    <w:basedOn w:val="DefaultParagraphFont"/>
    <w:link w:val="Footer"/>
    <w:uiPriority w:val="99"/>
    <w:rsid w:val="005278B7"/>
    <w:rPr>
      <w:rFonts w:ascii="Arial" w:eastAsia="Times New Roman" w:hAnsi="Arial" w:cs="Times New Roman"/>
      <w:sz w:val="18"/>
      <w:szCs w:val="20"/>
      <w:lang w:val="en-GB"/>
    </w:rPr>
  </w:style>
  <w:style w:type="table" w:styleId="TableGrid">
    <w:name w:val="Table Grid"/>
    <w:basedOn w:val="TableNormal"/>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4C62"/>
    <w:rPr>
      <w:color w:val="0000FF" w:themeColor="hyperlink"/>
      <w:u w:val="single"/>
    </w:rPr>
  </w:style>
  <w:style w:type="character" w:customStyle="1" w:styleId="eudoraheader">
    <w:name w:val="eudoraheader"/>
    <w:basedOn w:val="DefaultParagraphFont"/>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ListParagraph">
    <w:name w:val="List Paragraph"/>
    <w:basedOn w:val="Normal"/>
    <w:uiPriority w:val="34"/>
    <w:rsid w:val="00280FAF"/>
    <w:pPr>
      <w:ind w:left="720"/>
      <w:contextualSpacing/>
    </w:pPr>
  </w:style>
  <w:style w:type="character" w:customStyle="1" w:styleId="gmail-apple-converted-space">
    <w:name w:val="gmail-apple-converted-space"/>
    <w:basedOn w:val="DefaultParagraphFont"/>
    <w:rsid w:val="00005A19"/>
  </w:style>
  <w:style w:type="character" w:styleId="Strong">
    <w:name w:val="Strong"/>
    <w:basedOn w:val="DefaultParagraphFont"/>
    <w:uiPriority w:val="22"/>
    <w:qFormat/>
    <w:rsid w:val="008E3372"/>
    <w:rPr>
      <w:b/>
      <w:bCs/>
    </w:rPr>
  </w:style>
  <w:style w:type="character" w:styleId="PlaceholderText">
    <w:name w:val="Placeholder Text"/>
    <w:basedOn w:val="DefaultParagraphFont"/>
    <w:uiPriority w:val="99"/>
    <w:semiHidden/>
    <w:rsid w:val="00E94A5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863365">
      <w:bodyDiv w:val="1"/>
      <w:marLeft w:val="0"/>
      <w:marRight w:val="0"/>
      <w:marTop w:val="0"/>
      <w:marBottom w:val="0"/>
      <w:divBdr>
        <w:top w:val="none" w:sz="0" w:space="0" w:color="auto"/>
        <w:left w:val="none" w:sz="0" w:space="0" w:color="auto"/>
        <w:bottom w:val="none" w:sz="0" w:space="0" w:color="auto"/>
        <w:right w:val="none" w:sz="0" w:space="0" w:color="auto"/>
      </w:divBdr>
    </w:div>
    <w:div w:id="277834833">
      <w:bodyDiv w:val="1"/>
      <w:marLeft w:val="0"/>
      <w:marRight w:val="0"/>
      <w:marTop w:val="0"/>
      <w:marBottom w:val="0"/>
      <w:divBdr>
        <w:top w:val="none" w:sz="0" w:space="0" w:color="auto"/>
        <w:left w:val="none" w:sz="0" w:space="0" w:color="auto"/>
        <w:bottom w:val="none" w:sz="0" w:space="0" w:color="auto"/>
        <w:right w:val="none" w:sz="0" w:space="0" w:color="auto"/>
      </w:divBdr>
    </w:div>
    <w:div w:id="469565509">
      <w:bodyDiv w:val="1"/>
      <w:marLeft w:val="0"/>
      <w:marRight w:val="0"/>
      <w:marTop w:val="0"/>
      <w:marBottom w:val="0"/>
      <w:divBdr>
        <w:top w:val="none" w:sz="0" w:space="0" w:color="auto"/>
        <w:left w:val="none" w:sz="0" w:space="0" w:color="auto"/>
        <w:bottom w:val="none" w:sz="0" w:space="0" w:color="auto"/>
        <w:right w:val="none" w:sz="0" w:space="0" w:color="auto"/>
      </w:divBdr>
    </w:div>
    <w:div w:id="671419509">
      <w:bodyDiv w:val="1"/>
      <w:marLeft w:val="0"/>
      <w:marRight w:val="0"/>
      <w:marTop w:val="0"/>
      <w:marBottom w:val="0"/>
      <w:divBdr>
        <w:top w:val="none" w:sz="0" w:space="0" w:color="auto"/>
        <w:left w:val="none" w:sz="0" w:space="0" w:color="auto"/>
        <w:bottom w:val="none" w:sz="0" w:space="0" w:color="auto"/>
        <w:right w:val="none" w:sz="0" w:space="0" w:color="auto"/>
      </w:divBdr>
      <w:divsChild>
        <w:div w:id="222984218">
          <w:marLeft w:val="0"/>
          <w:marRight w:val="0"/>
          <w:marTop w:val="0"/>
          <w:marBottom w:val="0"/>
          <w:divBdr>
            <w:top w:val="none" w:sz="0" w:space="0" w:color="auto"/>
            <w:left w:val="none" w:sz="0" w:space="0" w:color="auto"/>
            <w:bottom w:val="none" w:sz="0" w:space="0" w:color="auto"/>
            <w:right w:val="none" w:sz="0" w:space="0" w:color="auto"/>
          </w:divBdr>
          <w:divsChild>
            <w:div w:id="161555816">
              <w:marLeft w:val="0"/>
              <w:marRight w:val="0"/>
              <w:marTop w:val="0"/>
              <w:marBottom w:val="0"/>
              <w:divBdr>
                <w:top w:val="none" w:sz="0" w:space="0" w:color="auto"/>
                <w:left w:val="none" w:sz="0" w:space="0" w:color="auto"/>
                <w:bottom w:val="none" w:sz="0" w:space="0" w:color="auto"/>
                <w:right w:val="none" w:sz="0" w:space="0" w:color="auto"/>
              </w:divBdr>
              <w:divsChild>
                <w:div w:id="1643461082">
                  <w:marLeft w:val="0"/>
                  <w:marRight w:val="0"/>
                  <w:marTop w:val="0"/>
                  <w:marBottom w:val="0"/>
                  <w:divBdr>
                    <w:top w:val="none" w:sz="0" w:space="0" w:color="auto"/>
                    <w:left w:val="none" w:sz="0" w:space="0" w:color="auto"/>
                    <w:bottom w:val="none" w:sz="0" w:space="0" w:color="auto"/>
                    <w:right w:val="none" w:sz="0" w:space="0" w:color="auto"/>
                  </w:divBdr>
                  <w:divsChild>
                    <w:div w:id="326399193">
                      <w:marLeft w:val="0"/>
                      <w:marRight w:val="0"/>
                      <w:marTop w:val="0"/>
                      <w:marBottom w:val="0"/>
                      <w:divBdr>
                        <w:top w:val="none" w:sz="0" w:space="0" w:color="auto"/>
                        <w:left w:val="none" w:sz="0" w:space="0" w:color="auto"/>
                        <w:bottom w:val="none" w:sz="0" w:space="0" w:color="auto"/>
                        <w:right w:val="none" w:sz="0" w:space="0" w:color="auto"/>
                      </w:divBdr>
                      <w:divsChild>
                        <w:div w:id="889417720">
                          <w:marLeft w:val="0"/>
                          <w:marRight w:val="0"/>
                          <w:marTop w:val="0"/>
                          <w:marBottom w:val="0"/>
                          <w:divBdr>
                            <w:top w:val="none" w:sz="0" w:space="0" w:color="auto"/>
                            <w:left w:val="none" w:sz="0" w:space="0" w:color="auto"/>
                            <w:bottom w:val="none" w:sz="0" w:space="0" w:color="auto"/>
                            <w:right w:val="none" w:sz="0" w:space="0" w:color="auto"/>
                          </w:divBdr>
                          <w:divsChild>
                            <w:div w:id="189819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0561972">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10743">
      <w:bodyDiv w:val="1"/>
      <w:marLeft w:val="0"/>
      <w:marRight w:val="0"/>
      <w:marTop w:val="0"/>
      <w:marBottom w:val="0"/>
      <w:divBdr>
        <w:top w:val="none" w:sz="0" w:space="0" w:color="auto"/>
        <w:left w:val="none" w:sz="0" w:space="0" w:color="auto"/>
        <w:bottom w:val="none" w:sz="0" w:space="0" w:color="auto"/>
        <w:right w:val="none" w:sz="0" w:space="0" w:color="auto"/>
      </w:divBdr>
    </w:div>
    <w:div w:id="1126848890">
      <w:bodyDiv w:val="1"/>
      <w:marLeft w:val="0"/>
      <w:marRight w:val="0"/>
      <w:marTop w:val="0"/>
      <w:marBottom w:val="0"/>
      <w:divBdr>
        <w:top w:val="none" w:sz="0" w:space="0" w:color="auto"/>
        <w:left w:val="none" w:sz="0" w:space="0" w:color="auto"/>
        <w:bottom w:val="none" w:sz="0" w:space="0" w:color="auto"/>
        <w:right w:val="none" w:sz="0" w:space="0" w:color="auto"/>
      </w:divBdr>
      <w:divsChild>
        <w:div w:id="1485075869">
          <w:marLeft w:val="0"/>
          <w:marRight w:val="0"/>
          <w:marTop w:val="0"/>
          <w:marBottom w:val="0"/>
          <w:divBdr>
            <w:top w:val="none" w:sz="0" w:space="0" w:color="auto"/>
            <w:left w:val="none" w:sz="0" w:space="0" w:color="auto"/>
            <w:bottom w:val="none" w:sz="0" w:space="0" w:color="auto"/>
            <w:right w:val="none" w:sz="0" w:space="0" w:color="auto"/>
          </w:divBdr>
          <w:divsChild>
            <w:div w:id="832569603">
              <w:marLeft w:val="0"/>
              <w:marRight w:val="0"/>
              <w:marTop w:val="0"/>
              <w:marBottom w:val="0"/>
              <w:divBdr>
                <w:top w:val="none" w:sz="0" w:space="0" w:color="auto"/>
                <w:left w:val="none" w:sz="0" w:space="0" w:color="auto"/>
                <w:bottom w:val="none" w:sz="0" w:space="0" w:color="auto"/>
                <w:right w:val="none" w:sz="0" w:space="0" w:color="auto"/>
              </w:divBdr>
              <w:divsChild>
                <w:div w:id="1719084309">
                  <w:marLeft w:val="0"/>
                  <w:marRight w:val="0"/>
                  <w:marTop w:val="0"/>
                  <w:marBottom w:val="0"/>
                  <w:divBdr>
                    <w:top w:val="none" w:sz="0" w:space="0" w:color="auto"/>
                    <w:left w:val="none" w:sz="0" w:space="0" w:color="auto"/>
                    <w:bottom w:val="none" w:sz="0" w:space="0" w:color="auto"/>
                    <w:right w:val="none" w:sz="0" w:space="0" w:color="auto"/>
                  </w:divBdr>
                  <w:divsChild>
                    <w:div w:id="212887075">
                      <w:marLeft w:val="0"/>
                      <w:marRight w:val="0"/>
                      <w:marTop w:val="0"/>
                      <w:marBottom w:val="0"/>
                      <w:divBdr>
                        <w:top w:val="none" w:sz="0" w:space="0" w:color="auto"/>
                        <w:left w:val="none" w:sz="0" w:space="0" w:color="auto"/>
                        <w:bottom w:val="none" w:sz="0" w:space="0" w:color="auto"/>
                        <w:right w:val="none" w:sz="0" w:space="0" w:color="auto"/>
                      </w:divBdr>
                      <w:divsChild>
                        <w:div w:id="30111235">
                          <w:marLeft w:val="0"/>
                          <w:marRight w:val="0"/>
                          <w:marTop w:val="0"/>
                          <w:marBottom w:val="0"/>
                          <w:divBdr>
                            <w:top w:val="none" w:sz="0" w:space="0" w:color="auto"/>
                            <w:left w:val="none" w:sz="0" w:space="0" w:color="auto"/>
                            <w:bottom w:val="none" w:sz="0" w:space="0" w:color="auto"/>
                            <w:right w:val="none" w:sz="0" w:space="0" w:color="auto"/>
                          </w:divBdr>
                          <w:divsChild>
                            <w:div w:id="1743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0083611">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886894">
      <w:bodyDiv w:val="1"/>
      <w:marLeft w:val="0"/>
      <w:marRight w:val="0"/>
      <w:marTop w:val="0"/>
      <w:marBottom w:val="0"/>
      <w:divBdr>
        <w:top w:val="none" w:sz="0" w:space="0" w:color="auto"/>
        <w:left w:val="none" w:sz="0" w:space="0" w:color="auto"/>
        <w:bottom w:val="none" w:sz="0" w:space="0" w:color="auto"/>
        <w:right w:val="none" w:sz="0" w:space="0" w:color="auto"/>
      </w:divBdr>
    </w:div>
    <w:div w:id="1934631805">
      <w:bodyDiv w:val="1"/>
      <w:marLeft w:val="0"/>
      <w:marRight w:val="0"/>
      <w:marTop w:val="0"/>
      <w:marBottom w:val="0"/>
      <w:divBdr>
        <w:top w:val="none" w:sz="0" w:space="0" w:color="auto"/>
        <w:left w:val="none" w:sz="0" w:space="0" w:color="auto"/>
        <w:bottom w:val="none" w:sz="0" w:space="0" w:color="auto"/>
        <w:right w:val="none" w:sz="0" w:space="0" w:color="auto"/>
      </w:divBdr>
    </w:div>
    <w:div w:id="2006743915">
      <w:bodyDiv w:val="1"/>
      <w:marLeft w:val="0"/>
      <w:marRight w:val="0"/>
      <w:marTop w:val="0"/>
      <w:marBottom w:val="0"/>
      <w:divBdr>
        <w:top w:val="none" w:sz="0" w:space="0" w:color="auto"/>
        <w:left w:val="none" w:sz="0" w:space="0" w:color="auto"/>
        <w:bottom w:val="none" w:sz="0" w:space="0" w:color="auto"/>
        <w:right w:val="none" w:sz="0" w:space="0" w:color="auto"/>
      </w:divBdr>
    </w:div>
    <w:div w:id="2016765912">
      <w:bodyDiv w:val="1"/>
      <w:marLeft w:val="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5747</Words>
  <Characters>32759</Characters>
  <Application>Microsoft Office Word</Application>
  <DocSecurity>0</DocSecurity>
  <Lines>272</Lines>
  <Paragraphs>76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Dipartimento CMIC - Politecnico di Milano</Company>
  <LinksUpToDate>false</LinksUpToDate>
  <CharactersWithSpaces>38430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Zafar Turakulov</cp:lastModifiedBy>
  <cp:revision>2</cp:revision>
  <cp:lastPrinted>2015-05-12T18:31:00Z</cp:lastPrinted>
  <dcterms:created xsi:type="dcterms:W3CDTF">2026-06-22T18:37:00Z</dcterms:created>
  <dcterms:modified xsi:type="dcterms:W3CDTF">2026-06-22T18:37:00Z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zotero-version="7.0.16"&gt;&lt;session id="BPqpiIS8"/&gt;&lt;style id="http://www.zotero.org/styles/apa" locale="en-US" hasBibliography="1" bibliographyStyleHasBeenSet="1"/&gt;&lt;prefs&gt;&lt;pref name="fieldType" value="Field"/&gt;&lt;pref name="storeReference</vt:lpwstr>
  </property>
  <property fmtid="{D5CDD505-2E9C-101B-9397-08002B2CF9AE}" pid="3" name="ZOTERO_PREF_2">
    <vt:lpwstr>s" value="true"/&gt;&lt;pref name="delayCitationUpdates" value="true"/&gt;&lt;pref name="dontAskDelayCitationUpdates" value="true"/&gt;&lt;/prefs&gt;&lt;/data&gt;</vt:lpwstr>
  </property>
</Properties>
</file>