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1B5D78">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9D256E"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994C6A">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8E1AA4">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1B5D78">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1B5D78">
        <w:trPr>
          <w:trHeight w:val="68"/>
          <w:jc w:val="center"/>
        </w:trPr>
        <w:tc>
          <w:tcPr>
            <w:tcW w:w="8782" w:type="dxa"/>
            <w:gridSpan w:val="2"/>
          </w:tcPr>
          <w:p w14:paraId="30F07041" w14:textId="11182ABA" w:rsidR="00F27EE4" w:rsidRPr="00F27EE4" w:rsidRDefault="00AA7D26" w:rsidP="00F27EE4">
            <w:pPr>
              <w:ind w:left="-107"/>
              <w:rPr>
                <w:rFonts w:ascii="Tahoma" w:hAnsi="Tahoma" w:cs="Tahoma"/>
                <w:b/>
                <w:bCs/>
                <w:color w:val="000000"/>
                <w:sz w:val="14"/>
                <w:szCs w:val="14"/>
                <w:shd w:val="clear" w:color="auto" w:fill="FFFFFF"/>
                <w:lang w:val="it-IT"/>
              </w:rPr>
            </w:pPr>
            <w:r w:rsidRPr="00F27EE4">
              <w:rPr>
                <w:rFonts w:ascii="Tahoma" w:hAnsi="Tahoma" w:cs="Tahoma"/>
                <w:iCs/>
                <w:color w:val="333333"/>
                <w:sz w:val="14"/>
                <w:szCs w:val="14"/>
                <w:lang w:val="it-IT" w:eastAsia="it-IT"/>
              </w:rPr>
              <w:t>Guest Editors:</w:t>
            </w:r>
            <w:r w:rsidR="007D610D" w:rsidRPr="00F27EE4">
              <w:rPr>
                <w:rFonts w:ascii="Aptos" w:eastAsiaTheme="minorHAnsi" w:hAnsi="Aptos" w:cs="Aptos"/>
                <w:sz w:val="22"/>
                <w:szCs w:val="22"/>
                <w:lang w:val="it-IT"/>
                <w14:ligatures w14:val="standardContextual"/>
              </w:rPr>
              <w:t xml:space="preserve"> </w:t>
            </w:r>
            <w:r w:rsidR="00F27EE4" w:rsidRPr="00F27EE4">
              <w:rPr>
                <w:rFonts w:ascii="Tahoma" w:hAnsi="Tahoma" w:cs="Tahoma"/>
                <w:color w:val="000000"/>
                <w:sz w:val="14"/>
                <w:szCs w:val="14"/>
                <w:shd w:val="clear" w:color="auto" w:fill="FFFFFF"/>
                <w:lang w:val="it-IT"/>
              </w:rPr>
              <w:t>Bruno Fabiano, Va</w:t>
            </w:r>
            <w:r w:rsidR="00F27EE4">
              <w:rPr>
                <w:rFonts w:ascii="Tahoma" w:hAnsi="Tahoma" w:cs="Tahoma"/>
                <w:color w:val="000000"/>
                <w:sz w:val="14"/>
                <w:szCs w:val="14"/>
                <w:shd w:val="clear" w:color="auto" w:fill="FFFFFF"/>
                <w:lang w:val="it-IT"/>
              </w:rPr>
              <w:t>lerio Cozzani</w:t>
            </w:r>
          </w:p>
          <w:p w14:paraId="1B0F1814" w14:textId="2DB8A072"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994C6A">
              <w:rPr>
                <w:rFonts w:ascii="Tahoma" w:hAnsi="Tahoma" w:cs="Tahoma"/>
                <w:iCs/>
                <w:color w:val="333333"/>
                <w:sz w:val="14"/>
                <w:szCs w:val="14"/>
                <w:lang w:eastAsia="it-IT"/>
              </w:rPr>
              <w:t>5</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3B49CD" w:rsidRPr="000562A9">
              <w:rPr>
                <w:rFonts w:ascii="Tahoma" w:hAnsi="Tahoma" w:cs="Tahoma"/>
                <w:sz w:val="14"/>
                <w:szCs w:val="14"/>
              </w:rPr>
              <w:t>97</w:t>
            </w:r>
            <w:r w:rsidR="003B49CD">
              <w:rPr>
                <w:rFonts w:ascii="Tahoma" w:hAnsi="Tahoma" w:cs="Tahoma"/>
                <w:sz w:val="14"/>
                <w:szCs w:val="14"/>
              </w:rPr>
              <w:t>9</w:t>
            </w:r>
            <w:r w:rsidR="003B49CD" w:rsidRPr="000562A9">
              <w:rPr>
                <w:rFonts w:ascii="Tahoma" w:hAnsi="Tahoma" w:cs="Tahoma"/>
                <w:sz w:val="14"/>
                <w:szCs w:val="14"/>
              </w:rPr>
              <w:t>-</w:t>
            </w:r>
            <w:r w:rsidR="003B49CD">
              <w:rPr>
                <w:rFonts w:ascii="Tahoma" w:hAnsi="Tahoma" w:cs="Tahoma"/>
                <w:sz w:val="14"/>
                <w:szCs w:val="14"/>
              </w:rPr>
              <w:t>12</w:t>
            </w:r>
            <w:r w:rsidR="003B49CD" w:rsidRPr="000562A9">
              <w:rPr>
                <w:rFonts w:ascii="Tahoma" w:hAnsi="Tahoma" w:cs="Tahoma"/>
                <w:sz w:val="14"/>
                <w:szCs w:val="14"/>
              </w:rPr>
              <w:t>-</w:t>
            </w:r>
            <w:r w:rsidR="003B49CD">
              <w:rPr>
                <w:rFonts w:ascii="Tahoma" w:hAnsi="Tahoma" w:cs="Tahoma"/>
                <w:sz w:val="14"/>
                <w:szCs w:val="14"/>
              </w:rPr>
              <w:t>81206-</w:t>
            </w:r>
            <w:r w:rsidR="00F27EE4">
              <w:rPr>
                <w:rFonts w:ascii="Tahoma" w:hAnsi="Tahoma" w:cs="Tahoma"/>
                <w:sz w:val="14"/>
                <w:szCs w:val="14"/>
              </w:rPr>
              <w:t>xx-y</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3A7A6A3D" w14:textId="55BFF983" w:rsidR="001B5D78" w:rsidRPr="003C0CF1" w:rsidRDefault="001B5D78" w:rsidP="003C0CF1">
      <w:pPr>
        <w:spacing w:before="480" w:after="120" w:line="240" w:lineRule="auto"/>
        <w:jc w:val="center"/>
        <w:rPr>
          <w:rFonts w:cs="Arial"/>
          <w:b/>
          <w:sz w:val="32"/>
          <w:szCs w:val="28"/>
          <w:lang w:val="en-US" w:eastAsia="ru-RU"/>
        </w:rPr>
      </w:pPr>
      <w:r w:rsidRPr="009977A1">
        <w:rPr>
          <w:rFonts w:cs="Arial"/>
          <w:b/>
          <w:sz w:val="32"/>
          <w:szCs w:val="28"/>
          <w:lang w:val="en-US" w:eastAsia="ru-RU"/>
        </w:rPr>
        <w:t>Hydrodynamic and Thermal Analysis of Mixing Processes in High-Viscosity Media Within Apparatus and The Improvement of a Plate Heat Exchanger</w:t>
      </w:r>
    </w:p>
    <w:p w14:paraId="15319C48" w14:textId="40D40915" w:rsidR="001B5D78" w:rsidRPr="003C0CF1" w:rsidRDefault="001B5D78" w:rsidP="003C0CF1">
      <w:pPr>
        <w:spacing w:after="120" w:line="240" w:lineRule="auto"/>
        <w:rPr>
          <w:rFonts w:cs="Arial"/>
          <w:b/>
          <w:bCs/>
          <w:sz w:val="24"/>
          <w:szCs w:val="24"/>
          <w:vertAlign w:val="superscript"/>
          <w:lang w:val="en-US"/>
        </w:rPr>
      </w:pPr>
      <w:r w:rsidRPr="009977A1">
        <w:rPr>
          <w:rFonts w:cs="Arial"/>
          <w:b/>
          <w:bCs/>
          <w:sz w:val="24"/>
          <w:szCs w:val="24"/>
          <w:lang w:val="en-US"/>
        </w:rPr>
        <w:t>Nadira Yusupova</w:t>
      </w:r>
      <w:r w:rsidRPr="009977A1">
        <w:rPr>
          <w:rFonts w:cs="Arial"/>
          <w:b/>
          <w:bCs/>
          <w:i/>
          <w:iCs/>
          <w:sz w:val="24"/>
          <w:szCs w:val="24"/>
          <w:vertAlign w:val="superscript"/>
          <w:lang w:val="en-US"/>
        </w:rPr>
        <w:t xml:space="preserve"> a</w:t>
      </w:r>
      <w:r w:rsidRPr="009977A1">
        <w:rPr>
          <w:rFonts w:cs="Arial"/>
          <w:b/>
          <w:bCs/>
          <w:i/>
          <w:iCs/>
          <w:sz w:val="24"/>
          <w:szCs w:val="24"/>
          <w:lang w:val="en-US"/>
        </w:rPr>
        <w:t xml:space="preserve">, </w:t>
      </w:r>
      <w:r w:rsidRPr="009977A1">
        <w:rPr>
          <w:rFonts w:cs="Arial"/>
          <w:b/>
          <w:bCs/>
          <w:sz w:val="24"/>
          <w:szCs w:val="24"/>
          <w:lang w:val="en-US"/>
        </w:rPr>
        <w:t>Abdugaffor Khurmamatov</w:t>
      </w:r>
      <w:r w:rsidRPr="009977A1">
        <w:rPr>
          <w:rFonts w:cs="Arial"/>
          <w:b/>
          <w:bCs/>
          <w:sz w:val="24"/>
          <w:szCs w:val="24"/>
          <w:vertAlign w:val="superscript"/>
          <w:lang w:val="en-US"/>
        </w:rPr>
        <w:t>a</w:t>
      </w:r>
      <w:r w:rsidRPr="009977A1">
        <w:rPr>
          <w:rFonts w:cs="Arial"/>
          <w:b/>
          <w:bCs/>
          <w:sz w:val="24"/>
          <w:szCs w:val="24"/>
          <w:lang w:val="en-US"/>
        </w:rPr>
        <w:t>, Nurlan Sarsenbaev</w:t>
      </w:r>
      <w:r w:rsidRPr="009977A1">
        <w:rPr>
          <w:rFonts w:cs="Arial"/>
          <w:b/>
          <w:bCs/>
          <w:sz w:val="24"/>
          <w:szCs w:val="24"/>
          <w:vertAlign w:val="superscript"/>
          <w:lang w:val="en-US"/>
        </w:rPr>
        <w:t>b</w:t>
      </w:r>
      <w:r w:rsidRPr="009977A1">
        <w:rPr>
          <w:rFonts w:cs="Arial"/>
          <w:b/>
          <w:bCs/>
          <w:sz w:val="24"/>
          <w:szCs w:val="24"/>
          <w:lang w:val="en-US"/>
        </w:rPr>
        <w:t>, Zamirbek Khametov</w:t>
      </w:r>
      <w:r w:rsidRPr="009977A1">
        <w:rPr>
          <w:rFonts w:cs="Arial"/>
          <w:b/>
          <w:bCs/>
          <w:i/>
          <w:iCs/>
          <w:sz w:val="24"/>
          <w:szCs w:val="24"/>
          <w:vertAlign w:val="superscript"/>
          <w:lang w:val="en-US"/>
        </w:rPr>
        <w:t>c</w:t>
      </w:r>
      <w:r w:rsidRPr="009977A1">
        <w:rPr>
          <w:rFonts w:cs="Arial"/>
          <w:b/>
          <w:bCs/>
          <w:i/>
          <w:iCs/>
          <w:sz w:val="24"/>
          <w:szCs w:val="24"/>
          <w:lang w:val="en-US"/>
        </w:rPr>
        <w:t xml:space="preserve">, </w:t>
      </w:r>
      <w:r w:rsidRPr="009977A1">
        <w:rPr>
          <w:rFonts w:cs="Arial"/>
          <w:b/>
          <w:bCs/>
          <w:sz w:val="24"/>
          <w:szCs w:val="24"/>
          <w:lang w:val="en-US"/>
        </w:rPr>
        <w:t>Salamat Berdimbetov</w:t>
      </w:r>
      <w:r w:rsidRPr="009977A1">
        <w:rPr>
          <w:rFonts w:cs="Arial"/>
          <w:b/>
          <w:bCs/>
          <w:sz w:val="24"/>
          <w:szCs w:val="24"/>
          <w:vertAlign w:val="superscript"/>
          <w:lang w:val="en-US"/>
        </w:rPr>
        <w:t>d,*</w:t>
      </w:r>
    </w:p>
    <w:p w14:paraId="2B4521D7" w14:textId="77777777" w:rsidR="001B5D78" w:rsidRPr="009977A1" w:rsidRDefault="001B5D78" w:rsidP="001B5D78">
      <w:pPr>
        <w:shd w:val="clear" w:color="auto" w:fill="FFFFFF"/>
        <w:spacing w:line="240" w:lineRule="auto"/>
        <w:rPr>
          <w:rFonts w:cs="Arial"/>
          <w:bCs/>
          <w:color w:val="0D0D0D"/>
          <w:sz w:val="16"/>
          <w:szCs w:val="16"/>
          <w:shd w:val="clear" w:color="auto" w:fill="FFFFFF"/>
          <w:lang w:val="en-US"/>
        </w:rPr>
      </w:pPr>
      <w:r w:rsidRPr="009977A1">
        <w:rPr>
          <w:rFonts w:cs="Arial"/>
          <w:bCs/>
          <w:sz w:val="16"/>
          <w:szCs w:val="16"/>
          <w:vertAlign w:val="superscript"/>
          <w:lang w:val="en-US"/>
        </w:rPr>
        <w:t>a</w:t>
      </w:r>
      <w:r w:rsidRPr="009977A1">
        <w:rPr>
          <w:rFonts w:cs="Arial"/>
          <w:bCs/>
          <w:sz w:val="16"/>
          <w:szCs w:val="16"/>
          <w:lang w:val="en-US"/>
        </w:rPr>
        <w:t>Almalyk State Technical Institute, Republic of Uzbekistan, Almalyk city</w:t>
      </w:r>
    </w:p>
    <w:p w14:paraId="16300AFA" w14:textId="77777777" w:rsidR="001B5D78" w:rsidRPr="009977A1" w:rsidRDefault="001B5D78" w:rsidP="001B5D78">
      <w:pPr>
        <w:spacing w:line="240" w:lineRule="auto"/>
        <w:rPr>
          <w:rFonts w:cs="Arial"/>
          <w:sz w:val="16"/>
          <w:szCs w:val="16"/>
          <w:lang w:val="en-US"/>
        </w:rPr>
      </w:pPr>
      <w:r w:rsidRPr="009977A1">
        <w:rPr>
          <w:rFonts w:cs="Arial"/>
          <w:sz w:val="16"/>
          <w:szCs w:val="16"/>
          <w:vertAlign w:val="superscript"/>
          <w:lang w:val="en-US"/>
        </w:rPr>
        <w:t>b</w:t>
      </w:r>
      <w:r w:rsidRPr="009977A1">
        <w:rPr>
          <w:rFonts w:cs="Arial"/>
          <w:sz w:val="16"/>
          <w:szCs w:val="16"/>
          <w:lang w:val="en-US"/>
        </w:rPr>
        <w:t>Berdakh Karakalpak State University, Nukus, Karakalpakstan, Republic of Uzbekistan</w:t>
      </w:r>
    </w:p>
    <w:p w14:paraId="4C21D271" w14:textId="77777777" w:rsidR="001B5D78" w:rsidRPr="009977A1" w:rsidRDefault="001B5D78" w:rsidP="001B5D78">
      <w:pPr>
        <w:spacing w:line="240" w:lineRule="auto"/>
        <w:rPr>
          <w:rFonts w:cs="Arial"/>
          <w:b/>
          <w:bCs/>
          <w:sz w:val="16"/>
          <w:szCs w:val="16"/>
          <w:vertAlign w:val="superscript"/>
          <w:lang w:val="en-US"/>
        </w:rPr>
      </w:pPr>
      <w:r w:rsidRPr="009977A1">
        <w:rPr>
          <w:rFonts w:cs="Arial"/>
          <w:sz w:val="16"/>
          <w:szCs w:val="16"/>
          <w:vertAlign w:val="superscript"/>
          <w:lang w:val="en-US"/>
        </w:rPr>
        <w:t>c</w:t>
      </w:r>
      <w:r w:rsidRPr="009977A1">
        <w:rPr>
          <w:rFonts w:cs="Arial"/>
          <w:sz w:val="16"/>
          <w:szCs w:val="16"/>
          <w:lang w:val="en-US"/>
        </w:rPr>
        <w:t xml:space="preserve">Fergana State Technical University, </w:t>
      </w:r>
      <w:r w:rsidRPr="009977A1">
        <w:rPr>
          <w:rFonts w:cs="Arial"/>
          <w:bCs/>
          <w:sz w:val="16"/>
          <w:szCs w:val="16"/>
          <w:lang w:val="en-US"/>
        </w:rPr>
        <w:t>Republic of Uzbekistan, Fergana</w:t>
      </w:r>
    </w:p>
    <w:p w14:paraId="489306AD" w14:textId="77777777" w:rsidR="001B5D78" w:rsidRPr="009977A1" w:rsidRDefault="001B5D78" w:rsidP="001B5D78">
      <w:pPr>
        <w:shd w:val="clear" w:color="auto" w:fill="FFFFFF"/>
        <w:spacing w:line="240" w:lineRule="auto"/>
        <w:rPr>
          <w:rFonts w:cs="Arial"/>
          <w:color w:val="0D0D0D"/>
          <w:sz w:val="16"/>
          <w:szCs w:val="16"/>
          <w:shd w:val="clear" w:color="auto" w:fill="FFFFFF"/>
          <w:lang w:val="en-US"/>
        </w:rPr>
      </w:pPr>
      <w:r w:rsidRPr="009977A1">
        <w:rPr>
          <w:rFonts w:cs="Arial"/>
          <w:color w:val="0D0D0D"/>
          <w:sz w:val="16"/>
          <w:szCs w:val="16"/>
          <w:shd w:val="clear" w:color="auto" w:fill="FFFFFF"/>
          <w:vertAlign w:val="superscript"/>
          <w:lang w:val="en-US"/>
        </w:rPr>
        <w:t>d</w:t>
      </w:r>
      <w:r w:rsidRPr="009977A1">
        <w:rPr>
          <w:rFonts w:cs="Arial"/>
          <w:color w:val="0D0D0D"/>
          <w:sz w:val="16"/>
          <w:szCs w:val="16"/>
          <w:shd w:val="clear" w:color="auto" w:fill="FFFFFF"/>
          <w:lang w:val="en-US"/>
        </w:rPr>
        <w:t xml:space="preserve">Tashkent Institute of Chemical Technology, </w:t>
      </w:r>
      <w:r w:rsidRPr="009977A1">
        <w:rPr>
          <w:rFonts w:cs="Arial"/>
          <w:bCs/>
          <w:sz w:val="16"/>
          <w:szCs w:val="16"/>
          <w:lang w:val="en-US"/>
        </w:rPr>
        <w:t>Republic of Uzbekistan, Tashkent</w:t>
      </w:r>
    </w:p>
    <w:p w14:paraId="3B8749B6" w14:textId="163164EA" w:rsidR="001B5D78" w:rsidRPr="003C0CF1" w:rsidRDefault="001B5D78" w:rsidP="003C0CF1">
      <w:pPr>
        <w:shd w:val="clear" w:color="auto" w:fill="FFFFFF"/>
        <w:spacing w:after="240" w:line="240" w:lineRule="auto"/>
        <w:rPr>
          <w:rFonts w:cs="Arial"/>
          <w:b/>
          <w:bCs/>
          <w:i/>
          <w:iCs/>
          <w:color w:val="0D0D0D"/>
          <w:sz w:val="16"/>
          <w:szCs w:val="16"/>
          <w:shd w:val="clear" w:color="auto" w:fill="FFFFFF"/>
          <w:vertAlign w:val="superscript"/>
          <w:lang w:val="en-US"/>
        </w:rPr>
      </w:pPr>
      <w:r w:rsidRPr="00C84AAD">
        <w:rPr>
          <w:rFonts w:cs="Arial"/>
          <w:sz w:val="16"/>
          <w:szCs w:val="16"/>
        </w:rPr>
        <w:t>*Corresponding author:</w:t>
      </w:r>
      <w:r w:rsidR="007A0F9C">
        <w:rPr>
          <w:rFonts w:cs="Arial"/>
          <w:sz w:val="16"/>
          <w:szCs w:val="16"/>
        </w:rPr>
        <w:t xml:space="preserve"> </w:t>
      </w:r>
      <w:hyperlink r:id="rId10" w:history="1">
        <w:r w:rsidRPr="009977A1">
          <w:rPr>
            <w:rStyle w:val="afffc"/>
            <w:rFonts w:cs="Arial"/>
            <w:sz w:val="16"/>
            <w:szCs w:val="16"/>
            <w:lang w:val="en-US"/>
          </w:rPr>
          <w:t>berdimbetovsalamat@mail.ru</w:t>
        </w:r>
      </w:hyperlink>
    </w:p>
    <w:p w14:paraId="5023A900" w14:textId="77777777" w:rsidR="001B5D78" w:rsidRPr="009C64B6" w:rsidRDefault="001B5D78" w:rsidP="001B5D78">
      <w:pPr>
        <w:spacing w:line="240" w:lineRule="auto"/>
        <w:rPr>
          <w:rFonts w:cs="Arial"/>
          <w:szCs w:val="18"/>
          <w:lang w:val="en-US"/>
        </w:rPr>
      </w:pPr>
      <w:r w:rsidRPr="009C64B6">
        <w:rPr>
          <w:rFonts w:cs="Arial"/>
          <w:szCs w:val="18"/>
          <w:lang w:val="en-US"/>
        </w:rPr>
        <w:t>This article examines the calculation of hydraulic resistance and heat transfer during the mixing of highly viscous liquids, including bitumen and its modified compositions. The main relationships for determining pressure losses along the length of the pipeline and local resistances are presented, as well as a method for calculating mixer power using the Reynolds number and the dimensionless power number. The influence of viscosity on the flow regime and energy consumption of the equipment is analyzed. Calculation data on the heating of light naphtha in a plate heat exchanger are provided, and the dependence of heating time on product mass and the thermal power of the apparatus is shown. An improved design of a heat exchanger plate with a microstructure and piezoelectric microactuators is proposed, which ensures intensified heat transfer and reduced surface fouling. The results obtained confirm the need for a comprehensive consideration of hydrodynamic and thermal factors when designing equipment for the processing of high-viscosity petroleum products.</w:t>
      </w:r>
    </w:p>
    <w:p w14:paraId="031755B2" w14:textId="77777777" w:rsidR="001B5D78" w:rsidRPr="009C64B6" w:rsidRDefault="001B5D78" w:rsidP="001B5D78">
      <w:pPr>
        <w:spacing w:before="240" w:after="120" w:line="240" w:lineRule="auto"/>
        <w:rPr>
          <w:rFonts w:cs="Arial"/>
          <w:b/>
          <w:bCs/>
          <w:szCs w:val="18"/>
          <w:lang w:val="en-US"/>
        </w:rPr>
      </w:pPr>
      <w:r>
        <w:rPr>
          <w:rFonts w:cs="Arial"/>
          <w:b/>
          <w:bCs/>
          <w:szCs w:val="18"/>
          <w:lang w:val="en-US"/>
        </w:rPr>
        <w:t xml:space="preserve">1. </w:t>
      </w:r>
      <w:r w:rsidRPr="009C64B6">
        <w:rPr>
          <w:rFonts w:cs="Arial"/>
          <w:b/>
          <w:bCs/>
          <w:szCs w:val="18"/>
          <w:lang w:val="en-US"/>
        </w:rPr>
        <w:t>Introduction</w:t>
      </w:r>
    </w:p>
    <w:p w14:paraId="5157DFFC" w14:textId="77777777" w:rsidR="005B2A0B" w:rsidRDefault="005B2A0B" w:rsidP="001B5D78">
      <w:pPr>
        <w:spacing w:line="240" w:lineRule="auto"/>
        <w:rPr>
          <w:rFonts w:cs="Arial"/>
          <w:bCs/>
          <w:szCs w:val="18"/>
          <w:lang w:val="en-US"/>
        </w:rPr>
      </w:pPr>
      <w:r w:rsidRPr="005B2A0B">
        <w:rPr>
          <w:rFonts w:cs="Arial"/>
          <w:bCs/>
          <w:szCs w:val="18"/>
          <w:lang w:val="en-US"/>
        </w:rPr>
        <w:t>Fluid transport through pipelines is essential in many industrial processes. Highly viscous fluids exhibit greater flow resistance because of stronger intermolecular interactions, resulting in higher friction and lower mobility than low-viscosity fluids. Therefore, understanding viscous flow behaviour is essential for pipeline design (Sigalotti et al., 2025).</w:t>
      </w:r>
    </w:p>
    <w:p w14:paraId="7A788D16" w14:textId="77777777" w:rsidR="005B2A0B" w:rsidRDefault="005B2A0B" w:rsidP="001B5D78">
      <w:pPr>
        <w:spacing w:line="240" w:lineRule="auto"/>
        <w:rPr>
          <w:rFonts w:cs="Arial"/>
          <w:bCs/>
          <w:szCs w:val="18"/>
          <w:lang w:val="en-US"/>
        </w:rPr>
      </w:pPr>
      <w:r w:rsidRPr="005B2A0B">
        <w:rPr>
          <w:rFonts w:cs="Arial"/>
          <w:bCs/>
          <w:szCs w:val="18"/>
          <w:lang w:val="en-US"/>
        </w:rPr>
        <w:t>In laminar flow, head losses depend mainly on viscosity, whereas in turbulent flow they are affected by both viscosity and wall roughness. Therefore, accurate evaluation of the friction coefficient λ is essential for reliable prediction of pressure losses (Bulgakov et al., 2014).</w:t>
      </w:r>
    </w:p>
    <w:p w14:paraId="3B8B9E98" w14:textId="77777777" w:rsidR="005B2A0B" w:rsidRDefault="005B2A0B" w:rsidP="001B5D78">
      <w:pPr>
        <w:spacing w:line="240" w:lineRule="auto"/>
        <w:rPr>
          <w:rFonts w:cs="Arial"/>
          <w:szCs w:val="18"/>
          <w:lang w:val="en-US"/>
        </w:rPr>
      </w:pPr>
      <w:r w:rsidRPr="005B2A0B">
        <w:rPr>
          <w:rFonts w:cs="Arial"/>
          <w:szCs w:val="18"/>
          <w:lang w:val="en-US"/>
        </w:rPr>
        <w:t>Efficient heat transfer in plate heat exchangers depends on flow rate, operating temperature and plate geometry. Since viscosity decreases with temperature, higher operating temperatures improve heat transfer, while the corrugation angle significantly affects thermohydraulic performance (Warnakulasuriya et al., 2008).</w:t>
      </w:r>
    </w:p>
    <w:p w14:paraId="580A2D11" w14:textId="2B6E24EF" w:rsidR="001B5D78" w:rsidRDefault="001B5D78" w:rsidP="001B5D78">
      <w:pPr>
        <w:spacing w:line="240" w:lineRule="auto"/>
        <w:rPr>
          <w:rFonts w:cs="Arial"/>
          <w:szCs w:val="18"/>
          <w:lang w:val="en-US"/>
        </w:rPr>
      </w:pPr>
      <w:r w:rsidRPr="0026199A">
        <w:rPr>
          <w:rFonts w:cs="Arial"/>
          <w:szCs w:val="18"/>
          <w:lang w:val="en-US"/>
        </w:rPr>
        <w:t>The rheological behavior of bitumen-based systems strongly depends on composition and mixing time. In bitumen–worn tire powder mixtures, viscosity initially increases (~0.6 Pa·s) due to particle swelling and component absorption, then decreases (~0.45 Pa·s) as dispersion improves. In contrast, bitumen–SBS systems show a continuous viscosity increase (~1.2 Pa·s), associated with polymer swelling and network formation, leading to enhanced viscoelastic properties and thermal stability</w:t>
      </w:r>
      <w:r>
        <w:rPr>
          <w:rFonts w:cs="Arial"/>
          <w:szCs w:val="18"/>
          <w:lang w:val="en-US"/>
        </w:rPr>
        <w:t xml:space="preserve"> (</w:t>
      </w:r>
      <w:r w:rsidRPr="006852DC">
        <w:rPr>
          <w:rFonts w:cs="Arial"/>
          <w:szCs w:val="18"/>
          <w:lang w:val="en-US"/>
        </w:rPr>
        <w:t>Muratov</w:t>
      </w:r>
      <w:r>
        <w:rPr>
          <w:rFonts w:cs="Arial"/>
          <w:szCs w:val="18"/>
          <w:lang w:val="en-US"/>
        </w:rPr>
        <w:t xml:space="preserve"> et al., 2025; </w:t>
      </w:r>
      <w:r w:rsidRPr="006852DC">
        <w:rPr>
          <w:rFonts w:cs="Arial"/>
          <w:szCs w:val="18"/>
          <w:lang w:val="en-US"/>
        </w:rPr>
        <w:t>Muratov</w:t>
      </w:r>
      <w:r>
        <w:rPr>
          <w:rFonts w:cs="Arial"/>
          <w:szCs w:val="18"/>
          <w:lang w:val="en-US"/>
        </w:rPr>
        <w:t xml:space="preserve"> et al., 2024).</w:t>
      </w:r>
    </w:p>
    <w:p w14:paraId="38963ED5" w14:textId="77777777" w:rsidR="005B2A0B" w:rsidRDefault="005B2A0B" w:rsidP="001B5D78">
      <w:pPr>
        <w:spacing w:line="240" w:lineRule="auto"/>
        <w:rPr>
          <w:rFonts w:cs="Arial"/>
          <w:szCs w:val="18"/>
          <w:lang w:val="en-US"/>
        </w:rPr>
      </w:pPr>
      <w:r w:rsidRPr="005B2A0B">
        <w:rPr>
          <w:rFonts w:cs="Arial"/>
          <w:szCs w:val="18"/>
          <w:lang w:val="en-US"/>
        </w:rPr>
        <w:t>Hydraulic calculations for highly viscous oils require consideration of both fluid properties and pipeline geometry. Flow behaviour is affected by Reynolds number, wall roughness, pressure distribution and temperature, while two-layer flow strategies can effectively reduce hydraulic resistance (White et al., 2016; Mitishita et al., 2018; Ilina et al., 2019; Ilina et al., 2020).</w:t>
      </w:r>
    </w:p>
    <w:p w14:paraId="024BF9E0" w14:textId="429DBE31" w:rsidR="001B5D78" w:rsidRDefault="001B5D78" w:rsidP="001B5D78">
      <w:pPr>
        <w:spacing w:line="240" w:lineRule="auto"/>
        <w:rPr>
          <w:rFonts w:cs="Arial"/>
          <w:szCs w:val="18"/>
          <w:lang w:val="en-US"/>
        </w:rPr>
      </w:pPr>
      <w:r w:rsidRPr="0026199A">
        <w:rPr>
          <w:rFonts w:cs="Arial"/>
          <w:szCs w:val="18"/>
          <w:lang w:val="en-US"/>
        </w:rPr>
        <w:t xml:space="preserve">Temperature-dependent viscosity significantly affects hydraulic resistance in oil pipelines, necessitating models that incorporate thermal effects for accurate design and operation </w:t>
      </w:r>
      <w:r>
        <w:rPr>
          <w:rFonts w:cs="Arial"/>
          <w:szCs w:val="18"/>
          <w:lang w:val="en-US"/>
        </w:rPr>
        <w:t>(</w:t>
      </w:r>
      <w:r w:rsidRPr="006852DC">
        <w:rPr>
          <w:rStyle w:val="given-name"/>
          <w:rFonts w:cs="Arial"/>
          <w:szCs w:val="18"/>
          <w:lang w:val="en-US"/>
        </w:rPr>
        <w:t>Trapeznikov</w:t>
      </w:r>
      <w:r>
        <w:rPr>
          <w:rStyle w:val="given-name"/>
          <w:rFonts w:cs="Arial"/>
          <w:szCs w:val="18"/>
          <w:lang w:val="en-US"/>
        </w:rPr>
        <w:t xml:space="preserve"> et al., 2011)</w:t>
      </w:r>
      <w:r w:rsidRPr="0026199A">
        <w:rPr>
          <w:rFonts w:cs="Arial"/>
          <w:szCs w:val="18"/>
          <w:lang w:val="en-US"/>
        </w:rPr>
        <w:t>. In multiphase systems, such as oil–water or air–oil–water flows, viscosity strongly influences pressure drops and flow regimes, with three-phase flows exhibiting higher pressure gradients than two-phase systems</w:t>
      </w:r>
      <w:r>
        <w:rPr>
          <w:rFonts w:cs="Arial"/>
          <w:szCs w:val="18"/>
          <w:lang w:val="en-US"/>
        </w:rPr>
        <w:t xml:space="preserve"> (</w:t>
      </w:r>
      <w:r w:rsidRPr="006852DC">
        <w:rPr>
          <w:rStyle w:val="given-name"/>
          <w:rFonts w:cs="Arial"/>
          <w:szCs w:val="18"/>
          <w:lang w:val="en-US"/>
        </w:rPr>
        <w:t>Basha</w:t>
      </w:r>
      <w:r>
        <w:rPr>
          <w:rStyle w:val="given-name"/>
          <w:rFonts w:cs="Arial"/>
          <w:szCs w:val="18"/>
          <w:lang w:val="en-US"/>
        </w:rPr>
        <w:t xml:space="preserve"> et al., 2020; </w:t>
      </w:r>
      <w:r w:rsidRPr="006852DC">
        <w:rPr>
          <w:rFonts w:cs="Arial"/>
          <w:szCs w:val="18"/>
          <w:shd w:val="clear" w:color="auto" w:fill="FFFFFF"/>
          <w:lang w:val="en-US"/>
        </w:rPr>
        <w:t>Brito</w:t>
      </w:r>
      <w:r>
        <w:rPr>
          <w:rFonts w:cs="Arial"/>
          <w:szCs w:val="18"/>
          <w:shd w:val="clear" w:color="auto" w:fill="FFFFFF"/>
          <w:lang w:val="en-US"/>
        </w:rPr>
        <w:t xml:space="preserve"> et al., 2018).</w:t>
      </w:r>
    </w:p>
    <w:p w14:paraId="37BDB641" w14:textId="77777777" w:rsidR="001B5D78" w:rsidRDefault="001B5D78" w:rsidP="001B5D78">
      <w:pPr>
        <w:spacing w:line="240" w:lineRule="auto"/>
        <w:rPr>
          <w:rFonts w:cs="Arial"/>
          <w:szCs w:val="18"/>
          <w:lang w:val="en-US"/>
        </w:rPr>
      </w:pPr>
      <w:r w:rsidRPr="0026199A">
        <w:rPr>
          <w:rFonts w:cs="Arial"/>
          <w:szCs w:val="18"/>
          <w:lang w:val="en-US"/>
        </w:rPr>
        <w:lastRenderedPageBreak/>
        <w:t xml:space="preserve">Advanced methods for determining hydraulic resistance coefficients include inverse approaches based on pressure and flow measurements, accounting for non-Newtonian behavior to improve prediction accuracy </w:t>
      </w:r>
      <w:r>
        <w:rPr>
          <w:rFonts w:cs="Arial"/>
          <w:szCs w:val="18"/>
          <w:lang w:val="en-US"/>
        </w:rPr>
        <w:t>(</w:t>
      </w:r>
      <w:r w:rsidRPr="006852DC">
        <w:rPr>
          <w:rFonts w:cs="Arial"/>
          <w:szCs w:val="18"/>
          <w:shd w:val="clear" w:color="auto" w:fill="FFFFFF"/>
          <w:lang w:val="en-US"/>
        </w:rPr>
        <w:t>Bekibayev</w:t>
      </w:r>
      <w:r>
        <w:rPr>
          <w:rFonts w:cs="Arial"/>
          <w:szCs w:val="18"/>
          <w:shd w:val="clear" w:color="auto" w:fill="FFFFFF"/>
          <w:lang w:val="en-US"/>
        </w:rPr>
        <w:t xml:space="preserve"> et al</w:t>
      </w:r>
      <w:r w:rsidRPr="0026199A">
        <w:rPr>
          <w:rFonts w:cs="Arial"/>
          <w:szCs w:val="18"/>
          <w:lang w:val="en-US"/>
        </w:rPr>
        <w:t>.</w:t>
      </w:r>
      <w:r>
        <w:rPr>
          <w:rFonts w:cs="Arial"/>
          <w:szCs w:val="18"/>
          <w:lang w:val="en-US"/>
        </w:rPr>
        <w:t>, 2021).</w:t>
      </w:r>
      <w:r w:rsidRPr="0026199A">
        <w:rPr>
          <w:rFonts w:cs="Arial"/>
          <w:szCs w:val="18"/>
          <w:lang w:val="en-US"/>
        </w:rPr>
        <w:t xml:space="preserve"> For heavy crude oil transport, optimizing pressure and temperature distribution is critical to minimizing operational costs associated with pumping and heating </w:t>
      </w:r>
      <w:r>
        <w:rPr>
          <w:rFonts w:cs="Arial"/>
          <w:szCs w:val="18"/>
          <w:lang w:val="en-US"/>
        </w:rPr>
        <w:t>(</w:t>
      </w:r>
      <w:r w:rsidRPr="006852DC">
        <w:rPr>
          <w:rFonts w:cs="Arial"/>
          <w:szCs w:val="18"/>
          <w:shd w:val="clear" w:color="auto" w:fill="FFFFFF"/>
          <w:lang w:val="en-US"/>
        </w:rPr>
        <w:t>Bekibayev</w:t>
      </w:r>
      <w:r>
        <w:rPr>
          <w:rFonts w:cs="Arial"/>
          <w:szCs w:val="18"/>
          <w:shd w:val="clear" w:color="auto" w:fill="FFFFFF"/>
          <w:lang w:val="en-US"/>
        </w:rPr>
        <w:t xml:space="preserve"> et al</w:t>
      </w:r>
      <w:r w:rsidRPr="0026199A">
        <w:rPr>
          <w:rFonts w:cs="Arial"/>
          <w:szCs w:val="18"/>
          <w:lang w:val="en-US"/>
        </w:rPr>
        <w:t>.</w:t>
      </w:r>
      <w:r>
        <w:rPr>
          <w:rFonts w:cs="Arial"/>
          <w:szCs w:val="18"/>
          <w:lang w:val="en-US"/>
        </w:rPr>
        <w:t>, 2022)</w:t>
      </w:r>
      <w:r w:rsidRPr="0026199A">
        <w:rPr>
          <w:rFonts w:cs="Arial"/>
          <w:szCs w:val="18"/>
          <w:lang w:val="en-US"/>
        </w:rPr>
        <w:t>.</w:t>
      </w:r>
    </w:p>
    <w:p w14:paraId="0405B815" w14:textId="77777777" w:rsidR="001B5D78" w:rsidRDefault="001B5D78" w:rsidP="001B5D78">
      <w:pPr>
        <w:spacing w:line="240" w:lineRule="auto"/>
        <w:rPr>
          <w:rFonts w:cs="Arial"/>
          <w:szCs w:val="18"/>
          <w:lang w:val="en-US"/>
        </w:rPr>
      </w:pPr>
      <w:r w:rsidRPr="0026199A">
        <w:rPr>
          <w:rFonts w:cs="Arial"/>
          <w:szCs w:val="18"/>
          <w:lang w:val="en-US"/>
        </w:rPr>
        <w:t xml:space="preserve">Various techniques have been proposed to enhance flow and heat transfer performance in viscous systems, including the use of screw inserts to intensify convection </w:t>
      </w:r>
      <w:r>
        <w:rPr>
          <w:rFonts w:cs="Arial"/>
          <w:szCs w:val="18"/>
          <w:lang w:val="en-US"/>
        </w:rPr>
        <w:t>(</w:t>
      </w:r>
      <w:r w:rsidRPr="006852DC">
        <w:rPr>
          <w:rFonts w:cs="Arial"/>
          <w:szCs w:val="18"/>
          <w:shd w:val="clear" w:color="auto" w:fill="FFFFFF"/>
          <w:lang w:val="en-US"/>
        </w:rPr>
        <w:t>Konakhina</w:t>
      </w:r>
      <w:r>
        <w:rPr>
          <w:rFonts w:cs="Arial"/>
          <w:szCs w:val="18"/>
          <w:shd w:val="clear" w:color="auto" w:fill="FFFFFF"/>
          <w:lang w:val="en-US"/>
        </w:rPr>
        <w:t xml:space="preserve"> et al., 2018)</w:t>
      </w:r>
      <w:r w:rsidRPr="0026199A">
        <w:rPr>
          <w:rFonts w:cs="Arial"/>
          <w:szCs w:val="18"/>
          <w:lang w:val="en-US"/>
        </w:rPr>
        <w:t xml:space="preserve"> and metal foam packings to stabilize two-phase flows and reduce resistance </w:t>
      </w:r>
      <w:r>
        <w:rPr>
          <w:rFonts w:cs="Arial"/>
          <w:szCs w:val="18"/>
          <w:lang w:val="en-US"/>
        </w:rPr>
        <w:t>(</w:t>
      </w:r>
      <w:r w:rsidRPr="006852DC">
        <w:rPr>
          <w:rFonts w:cs="Arial"/>
          <w:szCs w:val="18"/>
          <w:shd w:val="clear" w:color="auto" w:fill="FFFFFF"/>
          <w:lang w:val="en-US"/>
        </w:rPr>
        <w:t>Hapanowicz</w:t>
      </w:r>
      <w:r>
        <w:rPr>
          <w:rFonts w:cs="Arial"/>
          <w:szCs w:val="18"/>
          <w:shd w:val="clear" w:color="auto" w:fill="FFFFFF"/>
          <w:lang w:val="en-US"/>
        </w:rPr>
        <w:t xml:space="preserve"> et al</w:t>
      </w:r>
      <w:r w:rsidRPr="0026199A">
        <w:rPr>
          <w:rFonts w:cs="Arial"/>
          <w:szCs w:val="18"/>
          <w:lang w:val="en-US"/>
        </w:rPr>
        <w:t>.</w:t>
      </w:r>
      <w:r>
        <w:rPr>
          <w:rFonts w:cs="Arial"/>
          <w:szCs w:val="18"/>
          <w:lang w:val="en-US"/>
        </w:rPr>
        <w:t>, 2024).</w:t>
      </w:r>
    </w:p>
    <w:p w14:paraId="6A73A749" w14:textId="77777777" w:rsidR="001B5D78" w:rsidRDefault="001B5D78" w:rsidP="001B5D78">
      <w:pPr>
        <w:spacing w:before="240" w:after="120" w:line="240" w:lineRule="auto"/>
        <w:rPr>
          <w:rFonts w:cs="Arial"/>
          <w:b/>
          <w:szCs w:val="18"/>
          <w:lang w:val="en-US"/>
        </w:rPr>
      </w:pPr>
      <w:r>
        <w:rPr>
          <w:rFonts w:cs="Arial"/>
          <w:b/>
          <w:szCs w:val="18"/>
          <w:lang w:val="en-US"/>
        </w:rPr>
        <w:t xml:space="preserve">2. </w:t>
      </w:r>
      <w:r w:rsidRPr="009C64B6">
        <w:rPr>
          <w:rFonts w:cs="Arial"/>
          <w:b/>
          <w:szCs w:val="18"/>
          <w:lang w:val="en-US"/>
        </w:rPr>
        <w:t>Methods and Materials</w:t>
      </w:r>
    </w:p>
    <w:p w14:paraId="71E59B6B" w14:textId="77777777" w:rsidR="001B5D78" w:rsidRPr="00BB2830" w:rsidRDefault="001B5D78" w:rsidP="001B5D78">
      <w:pPr>
        <w:spacing w:before="120" w:after="120" w:line="240" w:lineRule="auto"/>
        <w:rPr>
          <w:rFonts w:cs="Arial"/>
          <w:b/>
          <w:szCs w:val="18"/>
          <w:lang w:val="en-US"/>
        </w:rPr>
      </w:pPr>
      <w:r>
        <w:rPr>
          <w:rFonts w:cs="Arial"/>
          <w:b/>
          <w:szCs w:val="18"/>
          <w:lang w:val="en-US"/>
        </w:rPr>
        <w:t xml:space="preserve">2.1 </w:t>
      </w:r>
      <w:r w:rsidRPr="00EF1B40">
        <w:rPr>
          <w:rFonts w:cs="Arial"/>
          <w:b/>
          <w:bCs/>
          <w:szCs w:val="18"/>
          <w:lang w:val="en-US"/>
        </w:rPr>
        <w:t>Hydraulic Resistance and Flow Regime Analysis</w:t>
      </w:r>
    </w:p>
    <w:p w14:paraId="10885A66" w14:textId="77777777" w:rsidR="001B5D78" w:rsidRPr="009C64B6" w:rsidRDefault="001B5D78" w:rsidP="001B5D78">
      <w:pPr>
        <w:spacing w:line="240" w:lineRule="auto"/>
        <w:rPr>
          <w:rFonts w:cs="Arial"/>
          <w:szCs w:val="18"/>
          <w:lang w:val="en-US"/>
        </w:rPr>
      </w:pPr>
      <w:r w:rsidRPr="009C64B6">
        <w:rPr>
          <w:rFonts w:cs="Arial"/>
          <w:szCs w:val="18"/>
          <w:lang w:val="en-US"/>
        </w:rPr>
        <w:t>Pressure losses (or flow resistance) consist of: friction losses (</w:t>
      </w:r>
      <w:r w:rsidRPr="009C64B6">
        <w:rPr>
          <w:rFonts w:cs="Arial"/>
          <w:szCs w:val="18"/>
        </w:rPr>
        <w:t>λ</w:t>
      </w:r>
      <w:r w:rsidRPr="009C64B6">
        <w:rPr>
          <w:rFonts w:cs="Arial"/>
          <w:szCs w:val="18"/>
          <w:lang w:val="en-US"/>
        </w:rPr>
        <w:t>) and local losses (</w:t>
      </w:r>
      <w:r w:rsidRPr="009C64B6">
        <w:rPr>
          <w:rFonts w:cs="Arial"/>
          <w:szCs w:val="18"/>
        </w:rPr>
        <w:t>Σξ</w:t>
      </w:r>
      <w:r w:rsidRPr="009C64B6">
        <w:rPr>
          <w:rFonts w:cs="Arial"/>
          <w:szCs w:val="18"/>
          <w:lang w:val="en-US"/>
        </w:rPr>
        <w:t>):</w:t>
      </w:r>
    </w:p>
    <w:p w14:paraId="5A00BEB7" w14:textId="77777777" w:rsidR="001B5D78" w:rsidRDefault="001B5D78" w:rsidP="001B5D78">
      <w:pPr>
        <w:pStyle w:val="aff1"/>
        <w:spacing w:before="120" w:after="120"/>
        <w:rPr>
          <w:rFonts w:cs="Arial"/>
          <w:iCs/>
          <w:sz w:val="18"/>
          <w:szCs w:val="18"/>
          <w:lang w:val="en-US"/>
        </w:rPr>
      </w:pPr>
      <m:oMath>
        <m:r>
          <w:rPr>
            <w:rFonts w:ascii="Cambria Math" w:hAnsi="Cambria Math" w:cs="Arial"/>
            <w:sz w:val="18"/>
            <w:szCs w:val="18"/>
            <w:lang w:val="en-US"/>
          </w:rPr>
          <m:t>∆P=(</m:t>
        </m:r>
        <m:r>
          <w:rPr>
            <w:rFonts w:ascii="Cambria Math" w:hAnsi="Cambria Math" w:cs="Arial"/>
            <w:sz w:val="18"/>
            <w:szCs w:val="18"/>
          </w:rPr>
          <m:t>λ</m:t>
        </m:r>
        <m:f>
          <m:fPr>
            <m:ctrlPr>
              <w:rPr>
                <w:rFonts w:ascii="Cambria Math" w:hAnsi="Cambria Math" w:cs="Arial"/>
                <w:i/>
                <w:iCs/>
                <w:sz w:val="18"/>
                <w:szCs w:val="18"/>
              </w:rPr>
            </m:ctrlPr>
          </m:fPr>
          <m:num>
            <m:r>
              <w:rPr>
                <w:rFonts w:ascii="Cambria Math" w:hAnsi="Cambria Math" w:cs="Arial"/>
                <w:sz w:val="18"/>
                <w:szCs w:val="18"/>
                <w:lang w:val="en-US"/>
              </w:rPr>
              <m:t>l</m:t>
            </m:r>
          </m:num>
          <m:den>
            <m:r>
              <w:rPr>
                <w:rFonts w:ascii="Cambria Math" w:hAnsi="Cambria Math" w:cs="Arial"/>
                <w:sz w:val="18"/>
                <w:szCs w:val="18"/>
                <w:lang w:val="en-US"/>
              </w:rPr>
              <m:t>d</m:t>
            </m:r>
          </m:den>
        </m:f>
        <m:r>
          <w:rPr>
            <w:rFonts w:ascii="Cambria Math" w:hAnsi="Cambria Math" w:cs="Arial"/>
            <w:sz w:val="18"/>
            <w:szCs w:val="18"/>
            <w:lang w:val="en-US"/>
          </w:rPr>
          <m:t>+Ʃ</m:t>
        </m:r>
        <m:r>
          <m:rPr>
            <m:sty m:val="p"/>
          </m:rPr>
          <w:rPr>
            <w:rFonts w:ascii="Cambria Math" w:hAnsi="Cambria Math" w:cs="Arial"/>
            <w:sz w:val="18"/>
            <w:szCs w:val="18"/>
          </w:rPr>
          <m:t>ξ</m:t>
        </m:r>
        <m:r>
          <w:rPr>
            <w:rFonts w:ascii="Cambria Math" w:hAnsi="Cambria Math" w:cs="Arial"/>
            <w:sz w:val="18"/>
            <w:szCs w:val="18"/>
            <w:lang w:val="en-US"/>
          </w:rPr>
          <m:t>)</m:t>
        </m:r>
        <m:f>
          <m:fPr>
            <m:ctrlPr>
              <w:rPr>
                <w:rFonts w:ascii="Cambria Math" w:hAnsi="Cambria Math" w:cs="Arial"/>
                <w:i/>
                <w:iCs/>
                <w:sz w:val="18"/>
                <w:szCs w:val="18"/>
              </w:rPr>
            </m:ctrlPr>
          </m:fPr>
          <m:num>
            <m:r>
              <w:rPr>
                <w:rFonts w:ascii="Cambria Math" w:hAnsi="Cambria Math" w:cs="Arial"/>
                <w:sz w:val="18"/>
                <w:szCs w:val="18"/>
              </w:rPr>
              <m:t>ρ</m:t>
            </m:r>
            <m:sSup>
              <m:sSupPr>
                <m:ctrlPr>
                  <w:rPr>
                    <w:rFonts w:ascii="Cambria Math" w:hAnsi="Cambria Math" w:cs="Arial"/>
                    <w:i/>
                    <w:iCs/>
                    <w:sz w:val="18"/>
                    <w:szCs w:val="18"/>
                  </w:rPr>
                </m:ctrlPr>
              </m:sSupPr>
              <m:e>
                <m:r>
                  <w:rPr>
                    <w:rFonts w:ascii="Cambria Math" w:hAnsi="Cambria Math" w:cs="Arial"/>
                    <w:sz w:val="18"/>
                    <w:szCs w:val="18"/>
                    <w:lang w:val="en-US"/>
                  </w:rPr>
                  <m:t>v</m:t>
                </m:r>
              </m:e>
              <m:sup>
                <m:r>
                  <w:rPr>
                    <w:rFonts w:ascii="Cambria Math" w:hAnsi="Cambria Math" w:cs="Arial"/>
                    <w:sz w:val="18"/>
                    <w:szCs w:val="18"/>
                    <w:lang w:val="en-US"/>
                  </w:rPr>
                  <m:t>2</m:t>
                </m:r>
              </m:sup>
            </m:sSup>
          </m:num>
          <m:den>
            <m:r>
              <w:rPr>
                <w:rFonts w:ascii="Cambria Math" w:hAnsi="Cambria Math" w:cs="Arial"/>
                <w:sz w:val="18"/>
                <w:szCs w:val="18"/>
                <w:lang w:val="en-US"/>
              </w:rPr>
              <m:t>2</m:t>
            </m:r>
          </m:den>
        </m:f>
      </m:oMath>
      <w:r w:rsidRPr="009C64B6">
        <w:rPr>
          <w:rFonts w:cs="Arial"/>
          <w:iCs/>
          <w:sz w:val="18"/>
          <w:szCs w:val="18"/>
          <w:lang w:val="en-US"/>
        </w:rPr>
        <w:t xml:space="preserve">                                                               </w:t>
      </w:r>
      <w:r>
        <w:rPr>
          <w:rFonts w:cs="Arial"/>
          <w:iCs/>
          <w:sz w:val="18"/>
          <w:szCs w:val="18"/>
          <w:lang w:val="en-US"/>
        </w:rPr>
        <w:t xml:space="preserve">                                                                               </w:t>
      </w:r>
      <w:r w:rsidRPr="009C64B6">
        <w:rPr>
          <w:rFonts w:cs="Arial"/>
          <w:iCs/>
          <w:sz w:val="18"/>
          <w:szCs w:val="18"/>
          <w:lang w:val="en-US"/>
        </w:rPr>
        <w:t xml:space="preserve"> (1)</w:t>
      </w:r>
    </w:p>
    <w:p w14:paraId="14558588" w14:textId="77777777" w:rsidR="00FE1D20" w:rsidRDefault="001B5D78" w:rsidP="00FE1D20">
      <w:pPr>
        <w:pStyle w:val="aff1"/>
        <w:rPr>
          <w:rFonts w:cs="Arial"/>
          <w:sz w:val="18"/>
          <w:szCs w:val="18"/>
          <w:lang w:val="en-US"/>
        </w:rPr>
      </w:pPr>
      <w:r w:rsidRPr="009C64B6">
        <w:rPr>
          <w:rFonts w:cs="Arial"/>
          <w:sz w:val="18"/>
          <w:szCs w:val="18"/>
          <w:lang w:val="en-US"/>
        </w:rPr>
        <w:t>where “∆P” is the pressure drop, Pa; “</w:t>
      </w:r>
      <w:r w:rsidRPr="009C64B6">
        <w:rPr>
          <w:rFonts w:cs="Arial"/>
          <w:sz w:val="18"/>
          <w:szCs w:val="18"/>
        </w:rPr>
        <w:t>λ</w:t>
      </w:r>
      <w:r w:rsidRPr="009C64B6">
        <w:rPr>
          <w:rFonts w:cs="Arial"/>
          <w:sz w:val="18"/>
          <w:szCs w:val="18"/>
          <w:lang w:val="en-US"/>
        </w:rPr>
        <w:t>” is the friction coefficient along the length; L is the pipe length, m; d is the inner diameter of the agitator, m; ∑</w:t>
      </w:r>
      <w:r w:rsidRPr="009C64B6">
        <w:rPr>
          <w:rFonts w:cs="Arial"/>
          <w:sz w:val="18"/>
          <w:szCs w:val="18"/>
        </w:rPr>
        <w:t>ξ</w:t>
      </w:r>
      <w:r w:rsidRPr="009C64B6">
        <w:rPr>
          <w:rFonts w:cs="Arial"/>
          <w:sz w:val="18"/>
          <w:szCs w:val="18"/>
          <w:lang w:val="en-US"/>
        </w:rPr>
        <w:t xml:space="preserve"> is the sum of local resistances (from valves, inlet/outlet, etc.); </w:t>
      </w:r>
      <w:r w:rsidRPr="009C64B6">
        <w:rPr>
          <w:rFonts w:cs="Arial"/>
          <w:sz w:val="18"/>
          <w:szCs w:val="18"/>
        </w:rPr>
        <w:t>ρ</w:t>
      </w:r>
      <w:r w:rsidRPr="009C64B6">
        <w:rPr>
          <w:rFonts w:cs="Arial"/>
          <w:sz w:val="18"/>
          <w:szCs w:val="18"/>
          <w:lang w:val="en-US"/>
        </w:rPr>
        <w:t xml:space="preserve"> is the density of the fluid, kg/m³; v is the average flow velocity, m/s.</w:t>
      </w:r>
    </w:p>
    <w:p w14:paraId="6C195609" w14:textId="45882DE5" w:rsidR="001B5D78" w:rsidRPr="00FE1D20" w:rsidRDefault="001B5D78" w:rsidP="00FE1D20">
      <w:pPr>
        <w:pStyle w:val="aff1"/>
        <w:rPr>
          <w:rFonts w:cs="Arial"/>
          <w:sz w:val="12"/>
          <w:szCs w:val="12"/>
          <w:lang w:val="en-US"/>
        </w:rPr>
      </w:pPr>
      <w:r w:rsidRPr="00FE1D20">
        <w:rPr>
          <w:rFonts w:cs="Arial"/>
          <w:sz w:val="18"/>
          <w:szCs w:val="12"/>
          <w:lang w:val="en-US"/>
        </w:rPr>
        <w:t xml:space="preserve">The determination of the friction coefficient </w:t>
      </w:r>
      <w:r w:rsidRPr="00FE1D20">
        <w:rPr>
          <w:rFonts w:cs="Arial"/>
          <w:sz w:val="18"/>
          <w:szCs w:val="12"/>
        </w:rPr>
        <w:t>λ</w:t>
      </w:r>
      <w:r w:rsidRPr="00FE1D20">
        <w:rPr>
          <w:rFonts w:cs="Arial"/>
          <w:sz w:val="18"/>
          <w:szCs w:val="12"/>
          <w:lang w:val="en-US"/>
        </w:rPr>
        <w:t xml:space="preserve"> depends on the flow regime (based on the Reynolds number Re):</w:t>
      </w:r>
    </w:p>
    <w:p w14:paraId="2306900E" w14:textId="77777777" w:rsidR="001B5D78" w:rsidRPr="009C64B6" w:rsidRDefault="001B5D78" w:rsidP="001B5D78">
      <w:pPr>
        <w:spacing w:before="120" w:after="120" w:line="240" w:lineRule="auto"/>
        <w:rPr>
          <w:rFonts w:eastAsia="SimSun" w:cs="Arial"/>
          <w:szCs w:val="18"/>
          <w:lang w:val="en-US" w:eastAsia="zh-CN" w:bidi="ar"/>
        </w:rPr>
      </w:pPr>
      <m:oMath>
        <m:r>
          <m:rPr>
            <m:nor/>
          </m:rPr>
          <w:rPr>
            <w:rFonts w:eastAsia="SimSun" w:cs="Arial"/>
            <w:i/>
            <w:iCs/>
            <w:szCs w:val="18"/>
            <w:lang w:val="en-US" w:eastAsia="zh-CN" w:bidi="ar"/>
          </w:rPr>
          <m:t>Re=</m:t>
        </m:r>
        <m:f>
          <m:fPr>
            <m:ctrlPr>
              <w:rPr>
                <w:rFonts w:ascii="Cambria Math" w:eastAsia="SimSun" w:hAnsi="Cambria Math" w:cs="Arial"/>
                <w:i/>
                <w:iCs/>
                <w:szCs w:val="18"/>
                <w:lang w:val="en-US" w:eastAsia="zh-CN" w:bidi="ar"/>
              </w:rPr>
            </m:ctrlPr>
          </m:fPr>
          <m:num>
            <m:r>
              <m:rPr>
                <m:nor/>
              </m:rPr>
              <w:rPr>
                <w:rFonts w:eastAsia="SimSun" w:cs="Arial"/>
                <w:i/>
                <w:iCs/>
                <w:szCs w:val="18"/>
                <w:lang w:val="en-US" w:eastAsia="zh-CN" w:bidi="ar"/>
              </w:rPr>
              <m:t>vd</m:t>
            </m:r>
            <m:r>
              <m:rPr>
                <m:nor/>
              </m:rPr>
              <w:rPr>
                <w:rFonts w:cs="Arial"/>
                <w:i/>
                <w:iCs/>
                <w:szCs w:val="18"/>
                <w:lang w:val="en-US" w:bidi="ar"/>
              </w:rPr>
              <m:t>ρ</m:t>
            </m:r>
          </m:num>
          <m:den>
            <m:r>
              <m:rPr>
                <m:nor/>
              </m:rPr>
              <w:rPr>
                <w:rFonts w:cs="Arial"/>
                <w:i/>
                <w:iCs/>
                <w:szCs w:val="18"/>
                <w:lang w:val="en-US" w:bidi="ar"/>
              </w:rPr>
              <m:t>μ</m:t>
            </m:r>
          </m:den>
        </m:f>
      </m:oMath>
      <w:r w:rsidRPr="009C64B6">
        <w:rPr>
          <w:rFonts w:eastAsia="SimSun" w:cs="Arial"/>
          <w:iCs/>
          <w:szCs w:val="18"/>
          <w:lang w:val="en-US" w:eastAsia="zh-CN" w:bidi="ar"/>
        </w:rPr>
        <w:t xml:space="preserve">                                                                        </w:t>
      </w:r>
      <w:r>
        <w:rPr>
          <w:rFonts w:eastAsia="SimSun" w:cs="Arial"/>
          <w:iCs/>
          <w:szCs w:val="18"/>
          <w:lang w:val="en-US" w:eastAsia="zh-CN" w:bidi="ar"/>
        </w:rPr>
        <w:t xml:space="preserve">                                                                                    </w:t>
      </w:r>
      <w:r w:rsidRPr="009C64B6">
        <w:rPr>
          <w:rFonts w:eastAsia="SimSun" w:cs="Arial"/>
          <w:iCs/>
          <w:szCs w:val="18"/>
          <w:lang w:val="en-US" w:eastAsia="zh-CN" w:bidi="ar"/>
        </w:rPr>
        <w:t xml:space="preserve">    (2)</w:t>
      </w:r>
    </w:p>
    <w:p w14:paraId="4DD13B6E" w14:textId="77777777" w:rsidR="001B5D78" w:rsidRPr="009C64B6" w:rsidRDefault="001B5D78" w:rsidP="001B5D78">
      <w:pPr>
        <w:spacing w:line="240" w:lineRule="auto"/>
        <w:rPr>
          <w:rFonts w:cs="Arial"/>
          <w:szCs w:val="18"/>
          <w:lang w:val="en-US"/>
        </w:rPr>
      </w:pPr>
      <w:r w:rsidRPr="009C64B6">
        <w:rPr>
          <w:rFonts w:cs="Arial"/>
          <w:szCs w:val="18"/>
          <w:lang w:val="en-US"/>
        </w:rPr>
        <w:t xml:space="preserve">where </w:t>
      </w:r>
      <w:r w:rsidRPr="009C64B6">
        <w:rPr>
          <w:rFonts w:cs="Arial"/>
          <w:szCs w:val="18"/>
        </w:rPr>
        <w:t>μ</w:t>
      </w:r>
      <w:r w:rsidRPr="009C64B6">
        <w:rPr>
          <w:rFonts w:cs="Arial"/>
          <w:szCs w:val="18"/>
          <w:lang w:val="en-US"/>
        </w:rPr>
        <w:t xml:space="preserve"> is the dynamic viscosity, Pa·s.</w:t>
      </w:r>
    </w:p>
    <w:p w14:paraId="6EE1DCB3" w14:textId="77777777" w:rsidR="001B5D78" w:rsidRPr="009C64B6" w:rsidRDefault="001B5D78" w:rsidP="001B5D78">
      <w:pPr>
        <w:spacing w:line="240" w:lineRule="auto"/>
        <w:rPr>
          <w:rFonts w:cs="Arial"/>
          <w:szCs w:val="18"/>
          <w:lang w:val="en-US"/>
        </w:rPr>
      </w:pPr>
      <w:r w:rsidRPr="009C64B6">
        <w:rPr>
          <w:rFonts w:cs="Arial"/>
          <w:szCs w:val="18"/>
          <w:lang w:val="en-US"/>
        </w:rPr>
        <w:t>The following are summed:</w:t>
      </w:r>
    </w:p>
    <w:p w14:paraId="7F8D53CF" w14:textId="77777777" w:rsidR="00FE1D20" w:rsidRDefault="00A67C6D" w:rsidP="00FE1D20">
      <w:pPr>
        <w:spacing w:before="120" w:after="120" w:line="240" w:lineRule="auto"/>
        <w:rPr>
          <w:rFonts w:eastAsia="SimSun" w:cs="Arial"/>
          <w:szCs w:val="18"/>
          <w:lang w:val="en-US" w:eastAsia="zh-CN" w:bidi="ar"/>
        </w:rPr>
      </w:pPr>
      <m:oMath>
        <m:nary>
          <m:naryPr>
            <m:chr m:val="∑"/>
            <m:limLoc m:val="undOvr"/>
            <m:subHide m:val="1"/>
            <m:supHide m:val="1"/>
            <m:ctrlPr>
              <w:rPr>
                <w:rFonts w:ascii="Cambria Math" w:eastAsia="SimSun" w:hAnsi="Cambria Math" w:cs="Arial"/>
                <w:i/>
                <w:szCs w:val="18"/>
                <w:lang w:eastAsia="zh-CN" w:bidi="ar"/>
              </w:rPr>
            </m:ctrlPr>
          </m:naryPr>
          <m:sub/>
          <m:sup/>
          <m:e>
            <m:r>
              <w:rPr>
                <w:rFonts w:ascii="Cambria Math" w:eastAsia="SimSun" w:hAnsi="Cambria Math" w:cs="Arial"/>
                <w:szCs w:val="18"/>
                <w:lang w:eastAsia="zh-CN" w:bidi="ar"/>
              </w:rPr>
              <m:t>ξ</m:t>
            </m:r>
            <m:r>
              <w:rPr>
                <w:rFonts w:ascii="Cambria Math" w:eastAsia="SimSun" w:hAnsi="Cambria Math" w:cs="Arial"/>
                <w:szCs w:val="18"/>
                <w:lang w:val="en-US" w:eastAsia="zh-CN" w:bidi="ar"/>
              </w:rPr>
              <m:t>=</m:t>
            </m:r>
            <m:sSub>
              <m:sSubPr>
                <m:ctrlPr>
                  <w:rPr>
                    <w:rFonts w:ascii="Cambria Math" w:eastAsia="SimSun" w:hAnsi="Cambria Math" w:cs="Arial"/>
                    <w:i/>
                    <w:szCs w:val="18"/>
                    <w:lang w:eastAsia="zh-CN" w:bidi="ar"/>
                  </w:rPr>
                </m:ctrlPr>
              </m:sSubPr>
              <m:e>
                <m:r>
                  <w:rPr>
                    <w:rFonts w:ascii="Cambria Math" w:eastAsia="SimSun" w:hAnsi="Cambria Math" w:cs="Arial"/>
                    <w:szCs w:val="18"/>
                    <w:lang w:eastAsia="zh-CN" w:bidi="ar"/>
                  </w:rPr>
                  <m:t>ξ</m:t>
                </m:r>
              </m:e>
              <m:sub>
                <m:r>
                  <w:rPr>
                    <w:rFonts w:ascii="Cambria Math" w:eastAsia="SimSun" w:hAnsi="Cambria Math" w:cs="Arial"/>
                    <w:szCs w:val="18"/>
                    <w:lang w:eastAsia="zh-CN" w:bidi="ar"/>
                  </w:rPr>
                  <m:t>in</m:t>
                </m:r>
              </m:sub>
            </m:sSub>
            <m:r>
              <w:rPr>
                <w:rFonts w:ascii="Cambria Math" w:eastAsia="SimSun" w:hAnsi="Cambria Math" w:cs="Arial"/>
                <w:szCs w:val="18"/>
                <w:lang w:val="en-US" w:eastAsia="zh-CN" w:bidi="ar"/>
              </w:rPr>
              <m:t>+</m:t>
            </m:r>
            <m:sSub>
              <m:sSubPr>
                <m:ctrlPr>
                  <w:rPr>
                    <w:rFonts w:ascii="Cambria Math" w:eastAsia="SimSun" w:hAnsi="Cambria Math" w:cs="Arial"/>
                    <w:i/>
                    <w:szCs w:val="18"/>
                    <w:lang w:eastAsia="zh-CN" w:bidi="ar"/>
                  </w:rPr>
                </m:ctrlPr>
              </m:sSubPr>
              <m:e>
                <m:r>
                  <w:rPr>
                    <w:rFonts w:ascii="Cambria Math" w:eastAsia="SimSun" w:hAnsi="Cambria Math" w:cs="Arial"/>
                    <w:szCs w:val="18"/>
                    <w:lang w:eastAsia="zh-CN" w:bidi="ar"/>
                  </w:rPr>
                  <m:t>ξ</m:t>
                </m:r>
              </m:e>
              <m:sub>
                <m:r>
                  <m:rPr>
                    <m:sty m:val="p"/>
                  </m:rPr>
                  <w:rPr>
                    <w:rFonts w:ascii="Cambria Math" w:eastAsia="SimSun" w:hAnsi="Cambria Math" w:cs="Arial"/>
                    <w:szCs w:val="18"/>
                    <w:vertAlign w:val="subscript"/>
                    <w:lang w:val="en-US" w:eastAsia="zh-CN" w:bidi="ar"/>
                  </w:rPr>
                  <m:t>out</m:t>
                </m:r>
              </m:sub>
            </m:sSub>
            <m:r>
              <w:rPr>
                <w:rFonts w:ascii="Cambria Math" w:eastAsia="SimSun" w:hAnsi="Cambria Math" w:cs="Arial"/>
                <w:szCs w:val="18"/>
                <w:lang w:val="en-US" w:eastAsia="zh-CN" w:bidi="ar"/>
              </w:rPr>
              <m:t>+</m:t>
            </m:r>
            <m:sSub>
              <m:sSubPr>
                <m:ctrlPr>
                  <w:rPr>
                    <w:rFonts w:ascii="Cambria Math" w:eastAsia="SimSun" w:hAnsi="Cambria Math" w:cs="Arial"/>
                    <w:i/>
                    <w:szCs w:val="18"/>
                    <w:lang w:eastAsia="zh-CN" w:bidi="ar"/>
                  </w:rPr>
                </m:ctrlPr>
              </m:sSubPr>
              <m:e>
                <m:r>
                  <w:rPr>
                    <w:rFonts w:ascii="Cambria Math" w:eastAsia="SimSun" w:hAnsi="Cambria Math" w:cs="Arial"/>
                    <w:szCs w:val="18"/>
                    <w:lang w:eastAsia="zh-CN" w:bidi="ar"/>
                  </w:rPr>
                  <m:t>ξ</m:t>
                </m:r>
              </m:e>
              <m:sub>
                <m:r>
                  <m:rPr>
                    <m:sty m:val="p"/>
                  </m:rPr>
                  <w:rPr>
                    <w:rFonts w:ascii="Cambria Math" w:eastAsia="SimSun" w:hAnsi="Cambria Math" w:cs="Arial"/>
                    <w:szCs w:val="18"/>
                    <w:vertAlign w:val="subscript"/>
                    <w:lang w:val="en-US" w:eastAsia="zh-CN" w:bidi="ar"/>
                  </w:rPr>
                  <m:t>knee</m:t>
                </m:r>
              </m:sub>
            </m:sSub>
            <m:r>
              <w:rPr>
                <w:rFonts w:ascii="Cambria Math" w:eastAsia="SimSun" w:hAnsi="Cambria Math" w:cs="Arial"/>
                <w:szCs w:val="18"/>
                <w:lang w:val="en-US" w:eastAsia="zh-CN" w:bidi="ar"/>
              </w:rPr>
              <m:t>+</m:t>
            </m:r>
            <m:sSub>
              <m:sSubPr>
                <m:ctrlPr>
                  <w:rPr>
                    <w:rFonts w:ascii="Cambria Math" w:eastAsia="SimSun" w:hAnsi="Cambria Math" w:cs="Arial"/>
                    <w:i/>
                    <w:szCs w:val="18"/>
                    <w:lang w:eastAsia="zh-CN" w:bidi="ar"/>
                  </w:rPr>
                </m:ctrlPr>
              </m:sSubPr>
              <m:e>
                <m:r>
                  <w:rPr>
                    <w:rFonts w:ascii="Cambria Math" w:eastAsia="SimSun" w:hAnsi="Cambria Math" w:cs="Arial"/>
                    <w:szCs w:val="18"/>
                    <w:lang w:eastAsia="zh-CN" w:bidi="ar"/>
                  </w:rPr>
                  <m:t>ξ</m:t>
                </m:r>
              </m:e>
              <m:sub>
                <m:r>
                  <m:rPr>
                    <m:sty m:val="p"/>
                  </m:rPr>
                  <w:rPr>
                    <w:rFonts w:ascii="Cambria Math" w:eastAsia="SimSun" w:hAnsi="Cambria Math" w:cs="Arial"/>
                    <w:szCs w:val="18"/>
                    <w:vertAlign w:val="subscript"/>
                    <w:lang w:val="en-US" w:eastAsia="zh-CN" w:bidi="ar"/>
                  </w:rPr>
                  <m:t>valves</m:t>
                </m:r>
                <m:r>
                  <m:rPr>
                    <m:sty m:val="p"/>
                  </m:rPr>
                  <w:rPr>
                    <w:rFonts w:ascii="Cambria Math" w:eastAsia="SimSun" w:hAnsi="Cambria Math" w:cs="Arial"/>
                    <w:szCs w:val="18"/>
                    <w:lang w:val="en-US" w:eastAsia="zh-CN" w:bidi="ar"/>
                  </w:rPr>
                  <m:t xml:space="preserve"> </m:t>
                </m:r>
              </m:sub>
            </m:sSub>
          </m:e>
        </m:nary>
      </m:oMath>
      <w:r w:rsidR="001B5D78" w:rsidRPr="009C64B6">
        <w:rPr>
          <w:rFonts w:eastAsia="SimSun" w:cs="Arial"/>
          <w:szCs w:val="18"/>
          <w:lang w:val="en-US" w:eastAsia="zh-CN" w:bidi="ar"/>
        </w:rPr>
        <w:t xml:space="preserve">                                                </w:t>
      </w:r>
      <w:r w:rsidR="001B5D78">
        <w:rPr>
          <w:rFonts w:eastAsia="SimSun" w:cs="Arial"/>
          <w:szCs w:val="18"/>
          <w:lang w:val="en-US" w:eastAsia="zh-CN" w:bidi="ar"/>
        </w:rPr>
        <w:t xml:space="preserve">                                                                 </w:t>
      </w:r>
      <w:r w:rsidR="001B5D78" w:rsidRPr="009C64B6">
        <w:rPr>
          <w:rFonts w:eastAsia="SimSun" w:cs="Arial"/>
          <w:szCs w:val="18"/>
          <w:lang w:val="en-US" w:eastAsia="zh-CN" w:bidi="ar"/>
        </w:rPr>
        <w:t xml:space="preserve">         (3)</w:t>
      </w:r>
    </w:p>
    <w:p w14:paraId="53145E07" w14:textId="36EB64F8" w:rsidR="001B5D78" w:rsidRPr="00FE1D20" w:rsidRDefault="001B5D78" w:rsidP="00FE1D20">
      <w:pPr>
        <w:spacing w:before="120" w:after="120" w:line="240" w:lineRule="auto"/>
        <w:rPr>
          <w:rFonts w:eastAsia="SimSun" w:cs="Arial"/>
          <w:b/>
          <w:bCs/>
          <w:szCs w:val="18"/>
          <w:lang w:val="en-US" w:eastAsia="zh-CN" w:bidi="ar"/>
        </w:rPr>
      </w:pPr>
      <w:r w:rsidRPr="00FE1D20">
        <w:rPr>
          <w:rStyle w:val="afffe"/>
          <w:rFonts w:cs="Arial"/>
          <w:b w:val="0"/>
          <w:bCs/>
          <w:szCs w:val="18"/>
          <w:lang w:val="en-US"/>
        </w:rPr>
        <w:t>Pressure losses are sometimes expressed in meters of liquid column:</w:t>
      </w:r>
    </w:p>
    <w:p w14:paraId="4F680C28" w14:textId="77777777" w:rsidR="001B5D78" w:rsidRDefault="001B5D78" w:rsidP="001B5D78">
      <w:pPr>
        <w:spacing w:before="120" w:after="120" w:line="240" w:lineRule="auto"/>
        <w:rPr>
          <w:rFonts w:eastAsia="SimSun" w:cs="Arial"/>
          <w:szCs w:val="18"/>
          <w:lang w:val="en-US" w:eastAsia="zh-CN" w:bidi="ar"/>
        </w:rPr>
      </w:pPr>
      <m:oMath>
        <m:r>
          <w:rPr>
            <w:rFonts w:ascii="Cambria Math" w:eastAsia="SimSun" w:hAnsi="Cambria Math" w:cs="Arial"/>
            <w:szCs w:val="18"/>
            <w:lang w:val="en-US" w:eastAsia="zh-CN" w:bidi="ar"/>
          </w:rPr>
          <m:t>h=∆</m:t>
        </m:r>
        <m:r>
          <w:rPr>
            <w:rFonts w:ascii="Cambria Math" w:eastAsia="SimSun" w:hAnsi="Cambria Math" w:cs="Arial"/>
            <w:szCs w:val="18"/>
            <w:lang w:eastAsia="zh-CN" w:bidi="ar"/>
          </w:rPr>
          <m:t>Pρg</m:t>
        </m:r>
      </m:oMath>
      <w:r w:rsidRPr="009C64B6">
        <w:rPr>
          <w:rFonts w:eastAsia="SimSun" w:cs="Arial"/>
          <w:i/>
          <w:iCs/>
          <w:szCs w:val="18"/>
          <w:lang w:val="en-US" w:eastAsia="zh-CN" w:bidi="ar"/>
        </w:rPr>
        <w:t xml:space="preserve">                                                                           </w:t>
      </w:r>
      <w:r>
        <w:rPr>
          <w:rFonts w:eastAsia="SimSun" w:cs="Arial"/>
          <w:i/>
          <w:iCs/>
          <w:szCs w:val="18"/>
          <w:lang w:val="en-US" w:eastAsia="zh-CN" w:bidi="ar"/>
        </w:rPr>
        <w:t xml:space="preserve">                                                                                </w:t>
      </w:r>
      <w:r w:rsidRPr="009C64B6">
        <w:rPr>
          <w:rFonts w:eastAsia="SimSun" w:cs="Arial"/>
          <w:i/>
          <w:iCs/>
          <w:szCs w:val="18"/>
          <w:lang w:val="en-US" w:eastAsia="zh-CN" w:bidi="ar"/>
        </w:rPr>
        <w:t xml:space="preserve"> </w:t>
      </w:r>
      <w:r w:rsidRPr="009C64B6">
        <w:rPr>
          <w:rFonts w:eastAsia="SimSun" w:cs="Arial"/>
          <w:szCs w:val="18"/>
          <w:lang w:val="en-US" w:eastAsia="zh-CN" w:bidi="ar"/>
        </w:rPr>
        <w:t>(4)</w:t>
      </w:r>
    </w:p>
    <w:p w14:paraId="65A73DA9" w14:textId="77777777" w:rsidR="001B5D78" w:rsidRPr="00BB2830" w:rsidRDefault="001B5D78" w:rsidP="001B5D78">
      <w:pPr>
        <w:spacing w:before="120" w:after="120" w:line="240" w:lineRule="auto"/>
        <w:rPr>
          <w:rFonts w:cs="Arial"/>
          <w:b/>
          <w:bCs/>
          <w:i/>
          <w:iCs/>
          <w:szCs w:val="18"/>
          <w:lang w:val="en-US"/>
        </w:rPr>
      </w:pPr>
      <w:r w:rsidRPr="00BB2830">
        <w:rPr>
          <w:rFonts w:eastAsia="SimSun" w:cs="Arial"/>
          <w:b/>
          <w:bCs/>
          <w:szCs w:val="18"/>
          <w:lang w:val="en-US" w:eastAsia="zh-CN" w:bidi="ar"/>
        </w:rPr>
        <w:t xml:space="preserve">2.2 </w:t>
      </w:r>
      <w:r w:rsidRPr="00BB2830">
        <w:rPr>
          <w:rFonts w:cs="Arial"/>
          <w:b/>
          <w:bCs/>
          <w:szCs w:val="18"/>
          <w:lang w:val="en-US"/>
        </w:rPr>
        <w:t>Mixing Hydrodynamics and Mechanical Resistance</w:t>
      </w:r>
    </w:p>
    <w:p w14:paraId="5BF56225" w14:textId="77777777" w:rsidR="001B5D78" w:rsidRPr="009C64B6" w:rsidRDefault="001B5D78" w:rsidP="001B5D78">
      <w:pPr>
        <w:pStyle w:val="aff1"/>
        <w:rPr>
          <w:rFonts w:cs="Arial"/>
          <w:sz w:val="18"/>
          <w:szCs w:val="18"/>
          <w:lang w:val="en-US"/>
        </w:rPr>
      </w:pPr>
      <w:r w:rsidRPr="009C64B6">
        <w:rPr>
          <w:rFonts w:cs="Arial"/>
          <w:sz w:val="18"/>
          <w:szCs w:val="18"/>
          <w:lang w:val="en-US"/>
        </w:rPr>
        <w:t>In mixers, resistance is expressed in terms of mixing power, which is related to the resistance offered by the blades to the movement of the viscous medium.</w:t>
      </w:r>
    </w:p>
    <w:p w14:paraId="6FC318E7" w14:textId="77777777" w:rsidR="001B5D78" w:rsidRDefault="001B5D78" w:rsidP="001B5D78">
      <w:pPr>
        <w:spacing w:before="120" w:after="120" w:line="240" w:lineRule="auto"/>
        <w:rPr>
          <w:rFonts w:eastAsia="SimSun" w:cs="Arial"/>
          <w:szCs w:val="18"/>
          <w:lang w:val="en-US" w:eastAsia="zh-CN" w:bidi="ar"/>
        </w:rPr>
      </w:pPr>
      <m:oMath>
        <m:r>
          <w:rPr>
            <w:rFonts w:ascii="Cambria Math" w:eastAsia="SimSun" w:hAnsi="Cambria Math" w:cs="Arial"/>
            <w:szCs w:val="18"/>
            <w:lang w:eastAsia="zh-CN" w:bidi="ar"/>
          </w:rPr>
          <m:t>N</m:t>
        </m:r>
        <m:r>
          <w:rPr>
            <w:rFonts w:ascii="Cambria Math" w:eastAsia="SimSun" w:hAnsi="Cambria Math" w:cs="Arial"/>
            <w:szCs w:val="18"/>
            <w:lang w:val="en-US" w:eastAsia="zh-CN" w:bidi="ar"/>
          </w:rPr>
          <m:t>=</m:t>
        </m:r>
        <m:r>
          <w:rPr>
            <w:rFonts w:ascii="Cambria Math" w:eastAsia="SimSun" w:hAnsi="Cambria Math" w:cs="Arial"/>
            <w:szCs w:val="18"/>
            <w:lang w:eastAsia="zh-CN" w:bidi="ar"/>
          </w:rPr>
          <m:t>NP</m:t>
        </m:r>
        <m:r>
          <w:rPr>
            <w:rFonts w:ascii="Cambria Math" w:eastAsia="SimSun" w:hAnsi="Cambria Math" w:cs="Arial"/>
            <w:szCs w:val="18"/>
            <w:lang w:val="en-US" w:eastAsia="zh-CN" w:bidi="ar"/>
          </w:rPr>
          <m:t>∙</m:t>
        </m:r>
        <m:r>
          <w:rPr>
            <w:rFonts w:ascii="Cambria Math" w:eastAsia="SimSun" w:hAnsi="Cambria Math" w:cs="Arial"/>
            <w:szCs w:val="18"/>
            <w:lang w:eastAsia="zh-CN" w:bidi="ar"/>
          </w:rPr>
          <m:t>ρ</m:t>
        </m:r>
        <m:sSup>
          <m:sSupPr>
            <m:ctrlPr>
              <w:rPr>
                <w:rFonts w:ascii="Cambria Math" w:eastAsia="SimSun" w:hAnsi="Cambria Math" w:cs="Arial"/>
                <w:i/>
                <w:iCs/>
                <w:szCs w:val="18"/>
                <w:lang w:eastAsia="zh-CN" w:bidi="ar"/>
              </w:rPr>
            </m:ctrlPr>
          </m:sSupPr>
          <m:e>
            <m:r>
              <w:rPr>
                <w:rFonts w:ascii="Cambria Math" w:eastAsia="SimSun" w:hAnsi="Cambria Math" w:cs="Arial"/>
                <w:szCs w:val="18"/>
                <w:lang w:eastAsia="zh-CN" w:bidi="ar"/>
              </w:rPr>
              <m:t>n</m:t>
            </m:r>
          </m:e>
          <m:sup>
            <m:r>
              <w:rPr>
                <w:rFonts w:ascii="Cambria Math" w:eastAsia="SimSun" w:hAnsi="Cambria Math" w:cs="Arial"/>
                <w:szCs w:val="18"/>
                <w:lang w:val="en-US" w:eastAsia="zh-CN" w:bidi="ar"/>
              </w:rPr>
              <m:t>3</m:t>
            </m:r>
          </m:sup>
        </m:sSup>
        <m:r>
          <w:rPr>
            <w:rFonts w:ascii="Cambria Math" w:eastAsia="SimSun" w:hAnsi="Cambria Math" w:cs="Arial"/>
            <w:szCs w:val="18"/>
            <w:lang w:eastAsia="zh-CN" w:bidi="ar"/>
          </w:rPr>
          <m:t>D</m:t>
        </m:r>
        <m:r>
          <w:rPr>
            <w:rFonts w:ascii="Cambria Math" w:eastAsia="SimSun" w:hAnsi="Cambria Math" w:cs="Arial"/>
            <w:szCs w:val="18"/>
            <w:lang w:val="en-US" w:eastAsia="zh-CN" w:bidi="ar"/>
          </w:rPr>
          <m:t>5</m:t>
        </m:r>
      </m:oMath>
      <w:r w:rsidRPr="009C64B6">
        <w:rPr>
          <w:rFonts w:eastAsia="SimSun" w:cs="Arial"/>
          <w:i/>
          <w:iCs/>
          <w:szCs w:val="18"/>
          <w:lang w:val="en-US" w:eastAsia="zh-CN" w:bidi="ar"/>
        </w:rPr>
        <w:t xml:space="preserve">                                                              </w:t>
      </w:r>
      <w:r>
        <w:rPr>
          <w:rFonts w:eastAsia="SimSun" w:cs="Arial"/>
          <w:i/>
          <w:iCs/>
          <w:szCs w:val="18"/>
          <w:lang w:val="en-US" w:eastAsia="zh-CN" w:bidi="ar"/>
        </w:rPr>
        <w:t xml:space="preserve">                                                                                  </w:t>
      </w:r>
      <w:r w:rsidRPr="009C64B6">
        <w:rPr>
          <w:rFonts w:eastAsia="SimSun" w:cs="Arial"/>
          <w:i/>
          <w:iCs/>
          <w:szCs w:val="18"/>
          <w:lang w:val="en-US" w:eastAsia="zh-CN" w:bidi="ar"/>
        </w:rPr>
        <w:t xml:space="preserve">  </w:t>
      </w:r>
      <w:r w:rsidRPr="009C64B6">
        <w:rPr>
          <w:rFonts w:eastAsia="SimSun" w:cs="Arial"/>
          <w:szCs w:val="18"/>
          <w:lang w:val="en-US" w:eastAsia="zh-CN" w:bidi="ar"/>
        </w:rPr>
        <w:t>(5)</w:t>
      </w:r>
    </w:p>
    <w:p w14:paraId="5F207716" w14:textId="77777777" w:rsidR="00FE1D20" w:rsidRDefault="001B5D78" w:rsidP="00FE1D20">
      <w:pPr>
        <w:spacing w:line="240" w:lineRule="auto"/>
        <w:rPr>
          <w:rFonts w:cs="Arial"/>
          <w:szCs w:val="18"/>
          <w:lang w:val="en-US"/>
        </w:rPr>
      </w:pPr>
      <w:r w:rsidRPr="009C64B6">
        <w:rPr>
          <w:rFonts w:cs="Arial"/>
          <w:szCs w:val="18"/>
          <w:lang w:val="en-US"/>
        </w:rPr>
        <w:t xml:space="preserve">where N is the mixer power, W; NP is the dimensionless power number; </w:t>
      </w:r>
      <w:r w:rsidRPr="009C64B6">
        <w:rPr>
          <w:rFonts w:cs="Arial"/>
          <w:szCs w:val="18"/>
        </w:rPr>
        <w:t>ρ</w:t>
      </w:r>
      <w:r w:rsidRPr="009C64B6">
        <w:rPr>
          <w:rFonts w:cs="Arial"/>
          <w:szCs w:val="18"/>
          <w:lang w:val="en-US"/>
        </w:rPr>
        <w:t xml:space="preserve"> is the liquid density, kg/m</w:t>
      </w:r>
      <w:r w:rsidRPr="009C64B6">
        <w:rPr>
          <w:rFonts w:cs="Arial"/>
          <w:szCs w:val="18"/>
          <w:vertAlign w:val="superscript"/>
          <w:lang w:val="en-US"/>
        </w:rPr>
        <w:t>3</w:t>
      </w:r>
      <w:r w:rsidRPr="009C64B6">
        <w:rPr>
          <w:rFonts w:cs="Arial"/>
          <w:szCs w:val="18"/>
          <w:lang w:val="en-US"/>
        </w:rPr>
        <w:t>; n is the rotational speed, rpm; D is the mixer diameter, m.</w:t>
      </w:r>
    </w:p>
    <w:p w14:paraId="3D309B03" w14:textId="21FC178E" w:rsidR="001B5D78" w:rsidRPr="00FE1D20" w:rsidRDefault="001B5D78" w:rsidP="00FE1D20">
      <w:pPr>
        <w:spacing w:line="240" w:lineRule="auto"/>
        <w:rPr>
          <w:rFonts w:eastAsia="SimSun" w:cs="Arial"/>
          <w:i/>
          <w:iCs/>
          <w:szCs w:val="18"/>
          <w:lang w:val="en-US" w:eastAsia="zh-CN" w:bidi="ar"/>
        </w:rPr>
      </w:pPr>
      <w:r w:rsidRPr="009C64B6">
        <w:rPr>
          <w:rFonts w:cs="Arial"/>
          <w:szCs w:val="18"/>
          <w:lang w:val="en-US"/>
        </w:rPr>
        <w:t>The determination of the power number NP depends on the Reynolds number for the mixer:</w:t>
      </w:r>
    </w:p>
    <w:p w14:paraId="0CB79D5B" w14:textId="77777777" w:rsidR="001B5D78" w:rsidRPr="009C64B6" w:rsidRDefault="001B5D78" w:rsidP="008A7956">
      <w:pPr>
        <w:spacing w:before="120" w:after="120" w:line="240" w:lineRule="auto"/>
        <w:rPr>
          <w:rFonts w:cs="Arial"/>
          <w:szCs w:val="18"/>
          <w:lang w:val="en-US"/>
        </w:rPr>
      </w:pPr>
      <m:oMath>
        <m:r>
          <w:rPr>
            <w:rFonts w:ascii="Cambria Math" w:eastAsia="SimSun" w:hAnsi="Cambria Math" w:cs="Arial"/>
            <w:szCs w:val="18"/>
            <w:lang w:eastAsia="zh-CN" w:bidi="ar"/>
          </w:rPr>
          <m:t>Re</m:t>
        </m:r>
        <m:r>
          <w:rPr>
            <w:rFonts w:ascii="Cambria Math" w:eastAsia="SimSun" w:hAnsi="Cambria Math" w:cs="Arial"/>
            <w:szCs w:val="18"/>
            <w:lang w:val="en-US" w:eastAsia="zh-CN" w:bidi="ar"/>
          </w:rPr>
          <m:t>=</m:t>
        </m:r>
        <m:r>
          <w:rPr>
            <w:rFonts w:ascii="Cambria Math" w:eastAsia="SimSun" w:hAnsi="Cambria Math" w:cs="Arial"/>
            <w:szCs w:val="18"/>
            <w:lang w:eastAsia="zh-CN" w:bidi="ar"/>
          </w:rPr>
          <m:t>ρn</m:t>
        </m:r>
        <m:sSup>
          <m:sSupPr>
            <m:ctrlPr>
              <w:rPr>
                <w:rFonts w:ascii="Cambria Math" w:eastAsia="SimSun" w:hAnsi="Cambria Math" w:cs="Arial"/>
                <w:i/>
                <w:iCs/>
                <w:szCs w:val="18"/>
                <w:lang w:eastAsia="zh-CN" w:bidi="ar"/>
              </w:rPr>
            </m:ctrlPr>
          </m:sSupPr>
          <m:e>
            <m:r>
              <w:rPr>
                <w:rFonts w:ascii="Cambria Math" w:eastAsia="SimSun" w:hAnsi="Cambria Math" w:cs="Arial"/>
                <w:szCs w:val="18"/>
                <w:lang w:eastAsia="zh-CN" w:bidi="ar"/>
              </w:rPr>
              <m:t>D</m:t>
            </m:r>
          </m:e>
          <m:sup>
            <m:r>
              <w:rPr>
                <w:rFonts w:ascii="Cambria Math" w:eastAsia="SimSun" w:hAnsi="Cambria Math" w:cs="Arial"/>
                <w:szCs w:val="18"/>
                <w:lang w:val="en-US" w:eastAsia="zh-CN" w:bidi="ar"/>
              </w:rPr>
              <m:t>2</m:t>
            </m:r>
          </m:sup>
        </m:sSup>
        <m:r>
          <w:rPr>
            <w:rFonts w:ascii="Cambria Math" w:eastAsia="SimSun" w:hAnsi="Cambria Math" w:cs="Arial"/>
            <w:szCs w:val="18"/>
            <w:lang w:val="en-US" w:eastAsia="zh-CN" w:bidi="ar"/>
          </w:rPr>
          <m:t>/μ</m:t>
        </m:r>
      </m:oMath>
      <w:r w:rsidRPr="009C64B6">
        <w:rPr>
          <w:rFonts w:eastAsia="SimSun" w:cs="Arial"/>
          <w:i/>
          <w:iCs/>
          <w:szCs w:val="18"/>
          <w:lang w:val="en-US" w:eastAsia="zh-CN" w:bidi="ar"/>
        </w:rPr>
        <w:t xml:space="preserve">               </w:t>
      </w:r>
      <w:r w:rsidRPr="009C64B6">
        <w:rPr>
          <w:rFonts w:eastAsia="SimSun" w:cs="Arial"/>
          <w:szCs w:val="18"/>
          <w:lang w:val="en-US" w:eastAsia="zh-CN" w:bidi="ar"/>
        </w:rPr>
        <w:t xml:space="preserve">                                                     </w:t>
      </w:r>
      <w:r>
        <w:rPr>
          <w:rFonts w:eastAsia="SimSun" w:cs="Arial"/>
          <w:szCs w:val="18"/>
          <w:lang w:val="en-US" w:eastAsia="zh-CN" w:bidi="ar"/>
        </w:rPr>
        <w:t xml:space="preserve">                                                                                   </w:t>
      </w:r>
      <w:r w:rsidRPr="009C64B6">
        <w:rPr>
          <w:rFonts w:eastAsia="SimSun" w:cs="Arial"/>
          <w:szCs w:val="18"/>
          <w:lang w:val="en-US" w:eastAsia="zh-CN" w:bidi="ar"/>
        </w:rPr>
        <w:t>(6)</w:t>
      </w:r>
    </w:p>
    <w:p w14:paraId="60A9D801" w14:textId="77777777" w:rsidR="008A7956" w:rsidRDefault="008A7956" w:rsidP="00FE1D20">
      <w:pPr>
        <w:pStyle w:val="aff1"/>
        <w:rPr>
          <w:rStyle w:val="afffe"/>
          <w:rFonts w:cs="Arial"/>
          <w:b w:val="0"/>
          <w:sz w:val="18"/>
          <w:szCs w:val="18"/>
          <w:lang w:val="en-US"/>
        </w:rPr>
      </w:pPr>
      <w:r w:rsidRPr="008A7956">
        <w:rPr>
          <w:rStyle w:val="afffe"/>
          <w:rFonts w:cs="Arial"/>
          <w:b w:val="0"/>
          <w:sz w:val="18"/>
          <w:szCs w:val="18"/>
          <w:lang w:val="en-US"/>
        </w:rPr>
        <w:t>Flow regimes: laminar (Re &lt; 10), NP = K/Re; transitional (10 &lt; Re &lt; 10⁴); turbulent (Re &gt; 10⁴), NP = const. For a paddle mixer, NP = 5–6 under turbulent flow, whereas K ≈ 60 under laminar flow.</w:t>
      </w:r>
    </w:p>
    <w:p w14:paraId="365053AB" w14:textId="3B30F814" w:rsidR="001B5D78" w:rsidRPr="00FE1D20" w:rsidRDefault="001B5D78" w:rsidP="00FE1D20">
      <w:pPr>
        <w:pStyle w:val="aff1"/>
        <w:rPr>
          <w:rFonts w:cs="Arial"/>
          <w:b/>
          <w:bCs/>
          <w:sz w:val="12"/>
          <w:szCs w:val="12"/>
          <w:lang w:val="en-US"/>
        </w:rPr>
      </w:pPr>
      <w:r w:rsidRPr="00FE1D20">
        <w:rPr>
          <w:rStyle w:val="afffe"/>
          <w:rFonts w:cs="Arial"/>
          <w:b w:val="0"/>
          <w:bCs/>
          <w:sz w:val="18"/>
          <w:szCs w:val="12"/>
          <w:lang w:val="en-US"/>
        </w:rPr>
        <w:t>Mechanical resistance of the shaft. If you need to estimate the torque (rotational resistance):</w:t>
      </w:r>
    </w:p>
    <w:p w14:paraId="408CFE80" w14:textId="77777777" w:rsidR="00FE1D20" w:rsidRDefault="001B5D78" w:rsidP="00FE1D20">
      <w:pPr>
        <w:spacing w:before="120" w:after="120" w:line="240" w:lineRule="auto"/>
        <w:rPr>
          <w:rFonts w:eastAsia="SimSun" w:cs="Arial"/>
          <w:szCs w:val="18"/>
          <w:lang w:val="en-US" w:eastAsia="zh-CN" w:bidi="ar"/>
        </w:rPr>
      </w:pPr>
      <m:oMath>
        <m:r>
          <w:rPr>
            <w:rFonts w:ascii="Cambria Math" w:eastAsia="SimSun" w:hAnsi="Cambria Math" w:cs="Arial"/>
            <w:szCs w:val="18"/>
            <w:lang w:eastAsia="zh-CN" w:bidi="ar"/>
          </w:rPr>
          <m:t>M</m:t>
        </m:r>
        <m:r>
          <w:rPr>
            <w:rFonts w:ascii="Cambria Math" w:eastAsia="SimSun" w:hAnsi="Cambria Math" w:cs="Arial"/>
            <w:szCs w:val="18"/>
            <w:lang w:val="en-US" w:eastAsia="zh-CN" w:bidi="ar"/>
          </w:rPr>
          <m:t>=</m:t>
        </m:r>
        <m:r>
          <w:rPr>
            <w:rFonts w:ascii="Cambria Math" w:eastAsia="SimSun" w:hAnsi="Cambria Math" w:cs="Arial"/>
            <w:szCs w:val="18"/>
            <w:lang w:eastAsia="zh-CN" w:bidi="ar"/>
          </w:rPr>
          <m:t>N</m:t>
        </m:r>
        <m:r>
          <w:rPr>
            <w:rFonts w:ascii="Cambria Math" w:eastAsia="SimSun" w:hAnsi="Cambria Math" w:cs="Arial"/>
            <w:szCs w:val="18"/>
            <w:lang w:val="en-US" w:eastAsia="zh-CN" w:bidi="ar"/>
          </w:rPr>
          <m:t>2</m:t>
        </m:r>
        <m:r>
          <w:rPr>
            <w:rFonts w:ascii="Cambria Math" w:eastAsia="SimSun" w:hAnsi="Cambria Math" w:cs="Arial"/>
            <w:szCs w:val="18"/>
            <w:lang w:eastAsia="zh-CN" w:bidi="ar"/>
          </w:rPr>
          <m:t>πnM</m:t>
        </m:r>
      </m:oMath>
      <w:r w:rsidRPr="009C64B6">
        <w:rPr>
          <w:rFonts w:eastAsia="SimSun" w:cs="Arial"/>
          <w:i/>
          <w:iCs/>
          <w:szCs w:val="18"/>
          <w:lang w:val="en-US" w:eastAsia="zh-CN" w:bidi="ar"/>
        </w:rPr>
        <w:t xml:space="preserve">                                                             </w:t>
      </w:r>
      <w:r>
        <w:rPr>
          <w:rFonts w:eastAsia="SimSun" w:cs="Arial"/>
          <w:i/>
          <w:iCs/>
          <w:szCs w:val="18"/>
          <w:lang w:val="en-US" w:eastAsia="zh-CN" w:bidi="ar"/>
        </w:rPr>
        <w:t xml:space="preserve">                                                                                          </w:t>
      </w:r>
      <w:r w:rsidRPr="009C64B6">
        <w:rPr>
          <w:rFonts w:eastAsia="SimSun" w:cs="Arial"/>
          <w:i/>
          <w:iCs/>
          <w:szCs w:val="18"/>
          <w:lang w:val="en-US" w:eastAsia="zh-CN" w:bidi="ar"/>
        </w:rPr>
        <w:t xml:space="preserve"> </w:t>
      </w:r>
      <w:r w:rsidRPr="009C64B6">
        <w:rPr>
          <w:rFonts w:eastAsia="SimSun" w:cs="Arial"/>
          <w:szCs w:val="18"/>
          <w:lang w:val="en-US" w:eastAsia="zh-CN" w:bidi="ar"/>
        </w:rPr>
        <w:t>(7)</w:t>
      </w:r>
    </w:p>
    <w:p w14:paraId="0DE14A63" w14:textId="52A93617" w:rsidR="001B5D78" w:rsidRPr="00FE1D20" w:rsidRDefault="001B5D78" w:rsidP="00FE1D20">
      <w:pPr>
        <w:spacing w:before="120" w:after="120" w:line="240" w:lineRule="auto"/>
        <w:rPr>
          <w:rFonts w:cs="Arial"/>
          <w:b/>
          <w:bCs/>
          <w:szCs w:val="18"/>
          <w:lang w:val="en-US"/>
        </w:rPr>
      </w:pPr>
      <w:r w:rsidRPr="00FE1D20">
        <w:rPr>
          <w:rStyle w:val="afffe"/>
          <w:rFonts w:cs="Arial"/>
          <w:b w:val="0"/>
          <w:bCs/>
          <w:szCs w:val="18"/>
          <w:lang w:val="en-US"/>
        </w:rPr>
        <w:t>The hydrodynamic drag of the mixer can also be expressed in terms of the drag force on the blades:</w:t>
      </w:r>
    </w:p>
    <w:p w14:paraId="16EF7017" w14:textId="77777777" w:rsidR="001B5D78" w:rsidRPr="009C64B6" w:rsidRDefault="001B5D78" w:rsidP="001B5D78">
      <w:pPr>
        <w:spacing w:before="120" w:after="120" w:line="240" w:lineRule="auto"/>
        <w:rPr>
          <w:rFonts w:cs="Arial"/>
          <w:szCs w:val="18"/>
          <w:lang w:val="en-US"/>
        </w:rPr>
      </w:pPr>
      <m:oMath>
        <m:r>
          <w:rPr>
            <w:rFonts w:ascii="Cambria Math" w:eastAsia="SimSun" w:hAnsi="Cambria Math" w:cs="Arial"/>
            <w:szCs w:val="18"/>
            <w:lang w:eastAsia="zh-CN" w:bidi="ar"/>
          </w:rPr>
          <m:t>F</m:t>
        </m:r>
        <m:r>
          <w:rPr>
            <w:rFonts w:ascii="Cambria Math" w:eastAsia="SimSun" w:hAnsi="Cambria Math" w:cs="Arial"/>
            <w:szCs w:val="18"/>
            <w:lang w:val="en-US" w:eastAsia="zh-CN" w:bidi="ar"/>
          </w:rPr>
          <m:t>=</m:t>
        </m:r>
        <m:r>
          <w:rPr>
            <w:rFonts w:ascii="Cambria Math" w:eastAsia="SimSun" w:hAnsi="Cambria Math" w:cs="Arial"/>
            <w:szCs w:val="18"/>
            <w:lang w:eastAsia="zh-CN" w:bidi="ar"/>
          </w:rPr>
          <m:t>ξρv</m:t>
        </m:r>
        <m:r>
          <w:rPr>
            <w:rFonts w:ascii="Cambria Math" w:eastAsia="SimSun" w:hAnsi="Cambria Math" w:cs="Arial"/>
            <w:szCs w:val="18"/>
            <w:lang w:val="en-US" w:eastAsia="zh-CN" w:bidi="ar"/>
          </w:rPr>
          <m:t>2</m:t>
        </m:r>
        <m:r>
          <w:rPr>
            <w:rFonts w:ascii="Cambria Math" w:eastAsia="SimSun" w:hAnsi="Cambria Math" w:cs="Arial"/>
            <w:szCs w:val="18"/>
            <w:lang w:eastAsia="zh-CN" w:bidi="ar"/>
          </w:rPr>
          <m:t>A</m:t>
        </m:r>
        <m:r>
          <w:rPr>
            <w:rFonts w:ascii="Cambria Math" w:eastAsia="SimSun" w:hAnsi="Cambria Math" w:cs="Arial"/>
            <w:szCs w:val="18"/>
            <w:lang w:val="en-US" w:eastAsia="zh-CN" w:bidi="ar"/>
          </w:rPr>
          <m:t>2</m:t>
        </m:r>
        <m:r>
          <w:rPr>
            <w:rFonts w:ascii="Cambria Math" w:eastAsia="SimSun" w:hAnsi="Cambria Math" w:cs="Arial"/>
            <w:szCs w:val="18"/>
            <w:lang w:eastAsia="zh-CN" w:bidi="ar"/>
          </w:rPr>
          <m:t>F</m:t>
        </m:r>
      </m:oMath>
      <w:r w:rsidRPr="009C64B6">
        <w:rPr>
          <w:rFonts w:eastAsia="SimSun" w:cs="Arial"/>
          <w:i/>
          <w:iCs/>
          <w:szCs w:val="18"/>
          <w:lang w:val="en-US" w:eastAsia="zh-CN" w:bidi="ar"/>
        </w:rPr>
        <w:t xml:space="preserve"> </w:t>
      </w:r>
      <w:r w:rsidRPr="009C64B6">
        <w:rPr>
          <w:rFonts w:eastAsia="SimSun" w:cs="Arial"/>
          <w:szCs w:val="18"/>
          <w:lang w:val="en-US" w:eastAsia="zh-CN" w:bidi="ar"/>
        </w:rPr>
        <w:t xml:space="preserve">                                                             </w:t>
      </w:r>
      <w:r>
        <w:rPr>
          <w:rFonts w:eastAsia="SimSun" w:cs="Arial"/>
          <w:szCs w:val="18"/>
          <w:lang w:val="en-US" w:eastAsia="zh-CN" w:bidi="ar"/>
        </w:rPr>
        <w:t xml:space="preserve">                                                                                         </w:t>
      </w:r>
      <w:r w:rsidRPr="009C64B6">
        <w:rPr>
          <w:rFonts w:eastAsia="SimSun" w:cs="Arial"/>
          <w:szCs w:val="18"/>
          <w:lang w:val="en-US" w:eastAsia="zh-CN" w:bidi="ar"/>
        </w:rPr>
        <w:t>(8)</w:t>
      </w:r>
    </w:p>
    <w:p w14:paraId="7AABD7B3" w14:textId="77777777" w:rsidR="001B5D78" w:rsidRDefault="001B5D78" w:rsidP="001B5D78">
      <w:pPr>
        <w:pStyle w:val="aff1"/>
        <w:rPr>
          <w:rFonts w:cs="Arial"/>
          <w:sz w:val="18"/>
          <w:szCs w:val="18"/>
          <w:lang w:val="en-US"/>
        </w:rPr>
      </w:pPr>
      <w:r w:rsidRPr="009C64B6">
        <w:rPr>
          <w:rFonts w:cs="Arial"/>
          <w:sz w:val="18"/>
          <w:szCs w:val="18"/>
          <w:lang w:val="en-US"/>
        </w:rPr>
        <w:t xml:space="preserve">where A is the projected area of the blades; </w:t>
      </w:r>
      <w:r w:rsidRPr="009C64B6">
        <w:rPr>
          <w:rFonts w:cs="Arial"/>
          <w:i/>
          <w:sz w:val="18"/>
          <w:szCs w:val="18"/>
          <w:lang w:val="en-US"/>
        </w:rPr>
        <w:t>v</w:t>
      </w:r>
      <w:r w:rsidRPr="009C64B6">
        <w:rPr>
          <w:rFonts w:cs="Arial"/>
          <w:sz w:val="18"/>
          <w:szCs w:val="18"/>
          <w:lang w:val="en-US"/>
        </w:rPr>
        <w:t xml:space="preserve"> </w:t>
      </w:r>
      <w:r>
        <w:rPr>
          <w:rFonts w:cs="Arial"/>
          <w:sz w:val="18"/>
          <w:szCs w:val="18"/>
          <w:lang w:val="en-US"/>
        </w:rPr>
        <w:t>−</w:t>
      </w:r>
      <w:r w:rsidRPr="009C64B6">
        <w:rPr>
          <w:rFonts w:cs="Arial"/>
          <w:sz w:val="18"/>
          <w:szCs w:val="18"/>
          <w:lang w:val="en-US"/>
        </w:rPr>
        <w:t xml:space="preserve"> </w:t>
      </w:r>
      <w:r w:rsidRPr="009C64B6">
        <w:rPr>
          <w:rFonts w:cs="Arial"/>
          <w:i/>
          <w:sz w:val="18"/>
          <w:szCs w:val="18"/>
        </w:rPr>
        <w:t>π</w:t>
      </w:r>
      <w:r w:rsidRPr="009C64B6">
        <w:rPr>
          <w:rFonts w:cs="Arial"/>
          <w:i/>
          <w:sz w:val="18"/>
          <w:szCs w:val="18"/>
          <w:lang w:val="en-US"/>
        </w:rPr>
        <w:t>Dnv</w:t>
      </w:r>
      <w:r w:rsidRPr="009C64B6">
        <w:rPr>
          <w:rFonts w:cs="Arial"/>
          <w:sz w:val="18"/>
          <w:szCs w:val="18"/>
          <w:lang w:val="en-US"/>
        </w:rPr>
        <w:t xml:space="preserve"> is the linear velocity at the blade tips; </w:t>
      </w:r>
      <w:r w:rsidRPr="009C64B6">
        <w:rPr>
          <w:rFonts w:cs="Arial"/>
          <w:sz w:val="18"/>
          <w:szCs w:val="18"/>
        </w:rPr>
        <w:t>ξ</w:t>
      </w:r>
      <w:r w:rsidRPr="009C64B6">
        <w:rPr>
          <w:rFonts w:cs="Arial"/>
          <w:sz w:val="18"/>
          <w:szCs w:val="18"/>
          <w:lang w:val="en-US"/>
        </w:rPr>
        <w:t xml:space="preserve"> is the drag coefficient (which depends on the shape of the blades).</w:t>
      </w:r>
    </w:p>
    <w:p w14:paraId="2D7EFAD2" w14:textId="77777777" w:rsidR="001B5D78" w:rsidRPr="00BB2830" w:rsidRDefault="001B5D78" w:rsidP="001B5D78">
      <w:pPr>
        <w:pStyle w:val="aff1"/>
        <w:spacing w:before="120" w:after="120"/>
        <w:rPr>
          <w:rFonts w:cs="Arial"/>
          <w:b/>
          <w:bCs/>
          <w:sz w:val="18"/>
          <w:szCs w:val="18"/>
          <w:lang w:val="en-US"/>
        </w:rPr>
      </w:pPr>
      <w:r w:rsidRPr="00BB2830">
        <w:rPr>
          <w:rFonts w:cs="Arial"/>
          <w:b/>
          <w:bCs/>
          <w:sz w:val="18"/>
          <w:szCs w:val="18"/>
          <w:lang w:val="en-US"/>
        </w:rPr>
        <w:t>2.3 Heat Transfer and Thermal Resistance Modeling</w:t>
      </w:r>
    </w:p>
    <w:p w14:paraId="7B690973" w14:textId="77777777" w:rsidR="001B5D78" w:rsidRPr="009C64B6" w:rsidRDefault="001B5D78" w:rsidP="001B5D78">
      <w:pPr>
        <w:pStyle w:val="aff1"/>
        <w:rPr>
          <w:rFonts w:cs="Arial"/>
          <w:sz w:val="18"/>
          <w:szCs w:val="18"/>
          <w:lang w:val="en-US"/>
        </w:rPr>
      </w:pPr>
      <w:r w:rsidRPr="009C64B6">
        <w:rPr>
          <w:rFonts w:cs="Arial"/>
          <w:sz w:val="18"/>
          <w:szCs w:val="18"/>
          <w:lang w:val="en-US"/>
        </w:rPr>
        <w:t>Experimental methods for determining the thermal conductivity of heat transfer fluids are based on Fourier’s law:</w:t>
      </w:r>
    </w:p>
    <w:p w14:paraId="079C85B4" w14:textId="77777777" w:rsidR="001B5D78" w:rsidRPr="009C64B6" w:rsidRDefault="001B5D78" w:rsidP="001B5D78">
      <w:pPr>
        <w:pStyle w:val="aff1"/>
        <w:spacing w:before="120" w:after="120"/>
        <w:rPr>
          <w:rFonts w:cs="Arial"/>
          <w:i/>
          <w:iCs/>
          <w:sz w:val="18"/>
          <w:szCs w:val="18"/>
          <w:lang w:val="en-US"/>
        </w:rPr>
      </w:pPr>
      <m:oMath>
        <m:r>
          <m:rPr>
            <m:nor/>
          </m:rPr>
          <w:rPr>
            <w:rFonts w:cs="Arial"/>
            <w:i/>
            <w:iCs/>
            <w:sz w:val="18"/>
            <w:szCs w:val="18"/>
          </w:rPr>
          <m:t>λ</m:t>
        </m:r>
        <m:r>
          <m:rPr>
            <m:nor/>
          </m:rPr>
          <w:rPr>
            <w:rFonts w:cs="Arial"/>
            <w:i/>
            <w:iCs/>
            <w:sz w:val="18"/>
            <w:szCs w:val="18"/>
            <w:lang w:val="en-US"/>
          </w:rPr>
          <m:t>=</m:t>
        </m:r>
        <m:f>
          <m:fPr>
            <m:ctrlPr>
              <w:rPr>
                <w:rFonts w:ascii="Cambria Math" w:hAnsi="Cambria Math" w:cs="Arial"/>
                <w:i/>
                <w:iCs/>
                <w:sz w:val="18"/>
                <w:szCs w:val="18"/>
              </w:rPr>
            </m:ctrlPr>
          </m:fPr>
          <m:num>
            <m:r>
              <m:rPr>
                <m:nor/>
              </m:rPr>
              <w:rPr>
                <w:rFonts w:cs="Arial"/>
                <w:i/>
                <w:iCs/>
                <w:sz w:val="18"/>
                <w:szCs w:val="18"/>
                <w:lang w:val="en-US"/>
              </w:rPr>
              <m:t>q·δ</m:t>
            </m:r>
          </m:num>
          <m:den>
            <m:r>
              <m:rPr>
                <m:nor/>
              </m:rPr>
              <w:rPr>
                <w:rFonts w:cs="Arial"/>
                <w:i/>
                <w:iCs/>
                <w:sz w:val="18"/>
                <w:szCs w:val="18"/>
              </w:rPr>
              <m:t>Δ</m:t>
            </m:r>
            <m:r>
              <m:rPr>
                <m:nor/>
              </m:rPr>
              <w:rPr>
                <w:rFonts w:cs="Arial"/>
                <w:i/>
                <w:iCs/>
                <w:sz w:val="18"/>
                <w:szCs w:val="18"/>
                <w:lang w:val="en-US"/>
              </w:rPr>
              <m:t>T</m:t>
            </m:r>
          </m:den>
        </m:f>
      </m:oMath>
      <w:r w:rsidRPr="009C64B6">
        <w:rPr>
          <w:rFonts w:cs="Arial"/>
          <w:i/>
          <w:iCs/>
          <w:sz w:val="18"/>
          <w:szCs w:val="18"/>
          <w:lang w:val="en-US"/>
        </w:rPr>
        <w:t xml:space="preserve">                                                                           </w:t>
      </w:r>
      <w:r>
        <w:rPr>
          <w:rFonts w:cs="Arial"/>
          <w:i/>
          <w:iCs/>
          <w:sz w:val="18"/>
          <w:szCs w:val="18"/>
          <w:lang w:val="en-US"/>
        </w:rPr>
        <w:t xml:space="preserve">                                                                                           </w:t>
      </w:r>
      <w:r w:rsidRPr="009C64B6">
        <w:rPr>
          <w:rFonts w:cs="Arial"/>
          <w:sz w:val="18"/>
          <w:szCs w:val="18"/>
          <w:lang w:val="en-US"/>
        </w:rPr>
        <w:t>(9)</w:t>
      </w:r>
    </w:p>
    <w:p w14:paraId="1AC206DC" w14:textId="77777777" w:rsidR="001B5D78" w:rsidRPr="009C64B6" w:rsidRDefault="001B5D78" w:rsidP="001B5D78">
      <w:pPr>
        <w:pStyle w:val="aff1"/>
        <w:rPr>
          <w:rFonts w:cs="Arial"/>
          <w:sz w:val="18"/>
          <w:szCs w:val="18"/>
          <w:lang w:val="en-US"/>
        </w:rPr>
      </w:pPr>
      <w:r w:rsidRPr="009C64B6">
        <w:rPr>
          <w:rFonts w:cs="Arial"/>
          <w:sz w:val="18"/>
          <w:szCs w:val="18"/>
          <w:lang w:val="en-US"/>
        </w:rPr>
        <w:t xml:space="preserve">where: </w:t>
      </w:r>
      <w:r w:rsidRPr="009C64B6">
        <w:rPr>
          <w:rFonts w:cs="Arial"/>
          <w:sz w:val="18"/>
          <w:szCs w:val="18"/>
        </w:rPr>
        <w:t>λ</w:t>
      </w:r>
      <w:r w:rsidRPr="009C64B6">
        <w:rPr>
          <w:rFonts w:cs="Arial"/>
          <w:sz w:val="18"/>
          <w:szCs w:val="18"/>
          <w:lang w:val="en-US"/>
        </w:rPr>
        <w:t xml:space="preserve"> is the thermal conductivity coefficient, W/(m·K); q is the heat flux density, W/m²; </w:t>
      </w:r>
      <w:r w:rsidRPr="009C64B6">
        <w:rPr>
          <w:rFonts w:cs="Arial"/>
          <w:sz w:val="18"/>
          <w:szCs w:val="18"/>
        </w:rPr>
        <w:t>δ</w:t>
      </w:r>
      <w:r w:rsidRPr="009C64B6">
        <w:rPr>
          <w:rFonts w:cs="Arial"/>
          <w:sz w:val="18"/>
          <w:szCs w:val="18"/>
          <w:lang w:val="en-US"/>
        </w:rPr>
        <w:t xml:space="preserve"> is the thickness of the heat transfer medium layer, m; </w:t>
      </w:r>
      <w:r w:rsidRPr="009C64B6">
        <w:rPr>
          <w:rFonts w:cs="Arial"/>
          <w:sz w:val="18"/>
          <w:szCs w:val="18"/>
        </w:rPr>
        <w:t>Δ</w:t>
      </w:r>
      <w:r w:rsidRPr="009C64B6">
        <w:rPr>
          <w:rFonts w:cs="Arial"/>
          <w:sz w:val="18"/>
          <w:szCs w:val="18"/>
          <w:lang w:val="en-US"/>
        </w:rPr>
        <w:t>T is the temperature difference, K.</w:t>
      </w:r>
    </w:p>
    <w:p w14:paraId="208DEFCE" w14:textId="77777777" w:rsidR="001B5D78" w:rsidRDefault="001B5D78" w:rsidP="001B5D78">
      <w:pPr>
        <w:pStyle w:val="aff1"/>
        <w:rPr>
          <w:rFonts w:cs="Arial"/>
          <w:sz w:val="18"/>
          <w:szCs w:val="18"/>
          <w:lang w:val="en-US"/>
        </w:rPr>
      </w:pPr>
      <w:r w:rsidRPr="009C64B6">
        <w:rPr>
          <w:rFonts w:cs="Arial"/>
          <w:sz w:val="18"/>
          <w:szCs w:val="18"/>
          <w:lang w:val="en-US"/>
        </w:rPr>
        <w:t>The time is calculated based on the heat balance</w:t>
      </w:r>
    </w:p>
    <w:p w14:paraId="00356910" w14:textId="77777777" w:rsidR="001B5D78" w:rsidRPr="009C64B6" w:rsidRDefault="001B5D78" w:rsidP="001B5D78">
      <w:pPr>
        <w:pStyle w:val="aff1"/>
        <w:rPr>
          <w:rFonts w:cs="Arial"/>
          <w:sz w:val="18"/>
          <w:szCs w:val="18"/>
          <w:lang w:val="en-US"/>
        </w:rPr>
      </w:pPr>
      <m:oMath>
        <m:r>
          <m:rPr>
            <m:nor/>
          </m:rPr>
          <w:rPr>
            <w:rFonts w:cs="Arial"/>
            <w:i/>
            <w:iCs/>
            <w:sz w:val="18"/>
            <w:szCs w:val="18"/>
          </w:rPr>
          <m:t>τ</m:t>
        </m:r>
        <m:r>
          <m:rPr>
            <m:nor/>
          </m:rPr>
          <w:rPr>
            <w:rFonts w:cs="Arial"/>
            <w:i/>
            <w:iCs/>
            <w:sz w:val="18"/>
            <w:szCs w:val="18"/>
            <w:lang w:val="en-US"/>
          </w:rPr>
          <m:t>=</m:t>
        </m:r>
        <m:f>
          <m:fPr>
            <m:ctrlPr>
              <w:rPr>
                <w:rFonts w:ascii="Cambria Math" w:hAnsi="Cambria Math" w:cs="Arial"/>
                <w:i/>
                <w:iCs/>
                <w:sz w:val="18"/>
                <w:szCs w:val="18"/>
              </w:rPr>
            </m:ctrlPr>
          </m:fPr>
          <m:num>
            <m:r>
              <m:rPr>
                <m:nor/>
              </m:rPr>
              <w:rPr>
                <w:rFonts w:cs="Arial"/>
                <w:i/>
                <w:iCs/>
                <w:sz w:val="18"/>
                <w:szCs w:val="18"/>
                <w:lang w:val="en-US"/>
              </w:rPr>
              <m:t>m·</m:t>
            </m:r>
            <m:sSub>
              <m:sSubPr>
                <m:ctrlPr>
                  <w:rPr>
                    <w:rFonts w:ascii="Cambria Math" w:hAnsi="Cambria Math" w:cs="Arial"/>
                    <w:i/>
                    <w:iCs/>
                    <w:sz w:val="18"/>
                    <w:szCs w:val="18"/>
                    <w:lang w:val="en-US"/>
                  </w:rPr>
                </m:ctrlPr>
              </m:sSubPr>
              <m:e>
                <m:r>
                  <w:rPr>
                    <w:rFonts w:ascii="Cambria Math" w:hAnsi="Cambria Math" w:cs="Arial"/>
                    <w:sz w:val="18"/>
                    <w:szCs w:val="18"/>
                    <w:lang w:val="en-US"/>
                  </w:rPr>
                  <m:t>c</m:t>
                </m:r>
              </m:e>
              <m:sub>
                <m:r>
                  <w:rPr>
                    <w:rFonts w:ascii="Cambria Math" w:hAnsi="Cambria Math" w:cs="Arial"/>
                    <w:sz w:val="18"/>
                    <w:szCs w:val="18"/>
                    <w:lang w:val="en-US"/>
                  </w:rPr>
                  <m:t>p</m:t>
                </m:r>
              </m:sub>
            </m:sSub>
            <m:r>
              <m:rPr>
                <m:nor/>
              </m:rPr>
              <w:rPr>
                <w:rFonts w:cs="Arial"/>
                <w:i/>
                <w:iCs/>
                <w:sz w:val="18"/>
                <w:szCs w:val="18"/>
                <w:lang w:val="en-US"/>
              </w:rPr>
              <m:t>·(</m:t>
            </m:r>
            <m:sSub>
              <m:sSubPr>
                <m:ctrlPr>
                  <w:rPr>
                    <w:rFonts w:ascii="Cambria Math" w:hAnsi="Cambria Math" w:cs="Arial"/>
                    <w:i/>
                    <w:iCs/>
                    <w:sz w:val="18"/>
                    <w:szCs w:val="18"/>
                  </w:rPr>
                </m:ctrlPr>
              </m:sSubPr>
              <m:e>
                <m:r>
                  <w:rPr>
                    <w:rFonts w:ascii="Cambria Math" w:hAnsi="Cambria Math" w:cs="Arial"/>
                    <w:sz w:val="18"/>
                    <w:szCs w:val="18"/>
                    <w:lang w:val="en-US"/>
                  </w:rPr>
                  <m:t>T</m:t>
                </m:r>
              </m:e>
              <m:sub>
                <m:r>
                  <w:rPr>
                    <w:rFonts w:ascii="Cambria Math" w:hAnsi="Cambria Math" w:cs="Arial"/>
                    <w:sz w:val="18"/>
                    <w:szCs w:val="18"/>
                    <w:lang w:val="en-US"/>
                  </w:rPr>
                  <m:t>2</m:t>
                </m:r>
              </m:sub>
            </m:sSub>
            <m:r>
              <m:rPr>
                <m:nor/>
              </m:rPr>
              <w:rPr>
                <w:rFonts w:cs="Arial"/>
                <w:i/>
                <w:iCs/>
                <w:sz w:val="18"/>
                <w:szCs w:val="18"/>
                <w:lang w:val="en-US"/>
              </w:rPr>
              <m:t>-</m:t>
            </m:r>
            <m:sSub>
              <m:sSubPr>
                <m:ctrlPr>
                  <w:rPr>
                    <w:rFonts w:ascii="Cambria Math" w:hAnsi="Cambria Math" w:cs="Arial"/>
                    <w:i/>
                    <w:iCs/>
                    <w:sz w:val="18"/>
                    <w:szCs w:val="18"/>
                  </w:rPr>
                </m:ctrlPr>
              </m:sSubPr>
              <m:e>
                <m:r>
                  <w:rPr>
                    <w:rFonts w:ascii="Cambria Math" w:hAnsi="Cambria Math" w:cs="Arial"/>
                    <w:sz w:val="18"/>
                    <w:szCs w:val="18"/>
                    <w:lang w:val="en-US"/>
                  </w:rPr>
                  <m:t>T</m:t>
                </m:r>
              </m:e>
              <m:sub>
                <m:r>
                  <w:rPr>
                    <w:rFonts w:ascii="Cambria Math" w:hAnsi="Cambria Math" w:cs="Arial"/>
                    <w:sz w:val="18"/>
                    <w:szCs w:val="18"/>
                    <w:lang w:val="en-US"/>
                  </w:rPr>
                  <m:t>1</m:t>
                </m:r>
              </m:sub>
            </m:sSub>
            <m:r>
              <m:rPr>
                <m:nor/>
              </m:rPr>
              <w:rPr>
                <w:rFonts w:cs="Arial"/>
                <w:i/>
                <w:iCs/>
                <w:sz w:val="18"/>
                <w:szCs w:val="18"/>
                <w:lang w:val="en-US"/>
              </w:rPr>
              <m:t>)</m:t>
            </m:r>
          </m:num>
          <m:den>
            <m:r>
              <w:rPr>
                <w:rFonts w:ascii="Cambria Math" w:hAnsi="Cambria Math" w:cs="Arial"/>
                <w:sz w:val="18"/>
                <w:szCs w:val="18"/>
                <w:lang w:val="en-US"/>
              </w:rPr>
              <m:t>Q</m:t>
            </m:r>
          </m:den>
        </m:f>
      </m:oMath>
      <w:r w:rsidRPr="009C64B6">
        <w:rPr>
          <w:rFonts w:eastAsiaTheme="minorEastAsia" w:cs="Arial"/>
          <w:iCs/>
          <w:sz w:val="18"/>
          <w:szCs w:val="18"/>
          <w:lang w:val="en-US"/>
        </w:rPr>
        <w:t xml:space="preserve">                                                                          </w:t>
      </w:r>
      <w:r>
        <w:rPr>
          <w:rFonts w:eastAsiaTheme="minorEastAsia" w:cs="Arial"/>
          <w:iCs/>
          <w:sz w:val="18"/>
          <w:szCs w:val="18"/>
          <w:lang w:val="en-US"/>
        </w:rPr>
        <w:t xml:space="preserve">                                                                             </w:t>
      </w:r>
      <w:r w:rsidRPr="009C64B6">
        <w:rPr>
          <w:rFonts w:eastAsiaTheme="minorEastAsia" w:cs="Arial"/>
          <w:iCs/>
          <w:sz w:val="18"/>
          <w:szCs w:val="18"/>
          <w:lang w:val="en-US"/>
        </w:rPr>
        <w:t>(10)</w:t>
      </w:r>
    </w:p>
    <w:p w14:paraId="1C0C3945" w14:textId="77777777" w:rsidR="001B5D78" w:rsidRPr="009C64B6" w:rsidRDefault="001B5D78" w:rsidP="001B5D78">
      <w:pPr>
        <w:spacing w:line="240" w:lineRule="auto"/>
        <w:rPr>
          <w:rFonts w:cs="Arial"/>
          <w:szCs w:val="18"/>
          <w:lang w:val="en-US"/>
        </w:rPr>
      </w:pPr>
      <w:r w:rsidRPr="009C64B6">
        <w:rPr>
          <w:rFonts w:cs="Arial"/>
          <w:szCs w:val="18"/>
          <w:lang w:val="en-US"/>
        </w:rPr>
        <w:lastRenderedPageBreak/>
        <w:t xml:space="preserve">where, </w:t>
      </w:r>
      <w:r w:rsidRPr="009C64B6">
        <w:rPr>
          <w:rFonts w:cs="Arial"/>
          <w:i/>
          <w:iCs/>
          <w:szCs w:val="18"/>
          <w:lang w:val="en-US"/>
        </w:rPr>
        <w:t>m</w:t>
      </w:r>
      <w:r w:rsidRPr="009C64B6">
        <w:rPr>
          <w:rFonts w:cs="Arial"/>
          <w:szCs w:val="18"/>
          <w:lang w:val="en-US"/>
        </w:rPr>
        <w:t xml:space="preserve"> </w:t>
      </w:r>
      <w:r>
        <w:rPr>
          <w:rFonts w:cs="Arial"/>
          <w:szCs w:val="18"/>
          <w:lang w:val="en-US"/>
        </w:rPr>
        <w:t>−</w:t>
      </w:r>
      <w:r w:rsidRPr="009C64B6">
        <w:rPr>
          <w:rFonts w:cs="Arial"/>
          <w:szCs w:val="18"/>
          <w:lang w:val="en-US"/>
        </w:rPr>
        <w:t xml:space="preserve"> mass of naphtha, kg; </w:t>
      </w:r>
      <m:oMath>
        <m:sSub>
          <m:sSubPr>
            <m:ctrlPr>
              <w:rPr>
                <w:rFonts w:ascii="Cambria Math" w:hAnsi="Cambria Math" w:cs="Arial"/>
                <w:i/>
                <w:iCs/>
                <w:szCs w:val="18"/>
                <w:lang w:val="en-US"/>
              </w:rPr>
            </m:ctrlPr>
          </m:sSubPr>
          <m:e>
            <m:r>
              <m:rPr>
                <m:nor/>
              </m:rPr>
              <w:rPr>
                <w:rFonts w:cs="Arial"/>
                <w:i/>
                <w:iCs/>
                <w:szCs w:val="18"/>
                <w:lang w:val="en-US"/>
              </w:rPr>
              <m:t>c</m:t>
            </m:r>
          </m:e>
          <m:sub>
            <m:r>
              <m:rPr>
                <m:nor/>
              </m:rPr>
              <w:rPr>
                <w:rFonts w:cs="Arial"/>
                <w:i/>
                <w:iCs/>
                <w:szCs w:val="18"/>
                <w:lang w:val="en-US"/>
              </w:rPr>
              <m:t>p</m:t>
            </m:r>
          </m:sub>
        </m:sSub>
      </m:oMath>
      <w:r>
        <w:rPr>
          <w:rFonts w:cs="Arial"/>
          <w:szCs w:val="18"/>
          <w:lang w:val="en-US"/>
        </w:rPr>
        <w:t>−</w:t>
      </w:r>
      <w:r w:rsidRPr="009C64B6">
        <w:rPr>
          <w:rFonts w:cs="Arial"/>
          <w:szCs w:val="18"/>
          <w:lang w:val="en-US"/>
        </w:rPr>
        <w:t xml:space="preserve"> heat capacity of naphtha ≈ </w:t>
      </w:r>
      <w:r w:rsidRPr="00A97F5A">
        <w:rPr>
          <w:rStyle w:val="afffe"/>
          <w:rFonts w:cs="Arial"/>
          <w:b w:val="0"/>
          <w:szCs w:val="18"/>
          <w:lang w:val="en-US"/>
        </w:rPr>
        <w:t>2,2 kJ/(kg·K);</w:t>
      </w:r>
      <w:r w:rsidRPr="009C64B6">
        <w:rPr>
          <w:rStyle w:val="afffe"/>
          <w:rFonts w:cs="Arial"/>
          <w:bCs/>
          <w:szCs w:val="18"/>
          <w:lang w:val="en-US"/>
        </w:rPr>
        <w:t xml:space="preserve"> </w:t>
      </w:r>
      <m:oMath>
        <m:sSub>
          <m:sSubPr>
            <m:ctrlPr>
              <w:rPr>
                <w:rFonts w:ascii="Cambria Math" w:hAnsi="Cambria Math" w:cs="Arial"/>
                <w:i/>
                <w:iCs/>
                <w:szCs w:val="18"/>
              </w:rPr>
            </m:ctrlPr>
          </m:sSubPr>
          <m:e>
            <m:r>
              <m:rPr>
                <m:nor/>
              </m:rPr>
              <w:rPr>
                <w:rFonts w:cs="Arial"/>
                <w:i/>
                <w:iCs/>
                <w:szCs w:val="18"/>
                <w:lang w:val="en-US"/>
              </w:rPr>
              <m:t>T</m:t>
            </m:r>
          </m:e>
          <m:sub>
            <m:r>
              <m:rPr>
                <m:nor/>
              </m:rPr>
              <w:rPr>
                <w:rFonts w:cs="Arial"/>
                <w:i/>
                <w:iCs/>
                <w:szCs w:val="18"/>
                <w:lang w:val="en-US"/>
              </w:rPr>
              <m:t>1</m:t>
            </m:r>
          </m:sub>
        </m:sSub>
      </m:oMath>
      <w:r>
        <w:rPr>
          <w:rFonts w:cs="Arial"/>
          <w:szCs w:val="18"/>
          <w:lang w:val="en-US"/>
        </w:rPr>
        <w:t xml:space="preserve"> −</w:t>
      </w:r>
      <w:r w:rsidRPr="009C64B6">
        <w:rPr>
          <w:rStyle w:val="afffe"/>
          <w:rFonts w:cs="Arial"/>
          <w:bCs/>
          <w:szCs w:val="18"/>
          <w:lang w:val="en-US"/>
        </w:rPr>
        <w:t xml:space="preserve"> </w:t>
      </w:r>
      <w:r w:rsidRPr="009C64B6">
        <w:rPr>
          <w:rFonts w:cs="Arial"/>
          <w:szCs w:val="18"/>
          <w:lang w:val="en-US"/>
        </w:rPr>
        <w:t xml:space="preserve">20°C; </w:t>
      </w:r>
      <w:r w:rsidRPr="009C64B6">
        <w:rPr>
          <w:rFonts w:cs="Arial"/>
          <w:i/>
          <w:iCs/>
          <w:szCs w:val="18"/>
          <w:lang w:val="en-US"/>
        </w:rPr>
        <w:t>T</w:t>
      </w:r>
      <w:r w:rsidRPr="009C64B6">
        <w:rPr>
          <w:rFonts w:cs="Arial"/>
          <w:i/>
          <w:iCs/>
          <w:szCs w:val="18"/>
          <w:vertAlign w:val="subscript"/>
          <w:lang w:val="en-US"/>
        </w:rPr>
        <w:t>2</w:t>
      </w:r>
      <w:r w:rsidRPr="009C64B6">
        <w:rPr>
          <w:rFonts w:cs="Arial"/>
          <w:szCs w:val="18"/>
          <w:lang w:val="en-US"/>
        </w:rPr>
        <w:t>=60°</w:t>
      </w:r>
      <w:r w:rsidRPr="009C64B6">
        <w:rPr>
          <w:rFonts w:cs="Arial"/>
          <w:szCs w:val="18"/>
        </w:rPr>
        <w:t>С</w:t>
      </w:r>
      <w:r w:rsidRPr="009C64B6">
        <w:rPr>
          <w:rFonts w:cs="Arial"/>
          <w:szCs w:val="18"/>
          <w:lang w:val="en-US"/>
        </w:rPr>
        <w:t xml:space="preserve">; </w:t>
      </w:r>
      <w:r w:rsidRPr="009C64B6">
        <w:rPr>
          <w:rFonts w:cs="Arial"/>
          <w:i/>
          <w:iCs/>
          <w:szCs w:val="18"/>
          <w:lang w:val="en-US"/>
        </w:rPr>
        <w:t xml:space="preserve">Q - </w:t>
      </w:r>
      <w:r w:rsidRPr="009C64B6">
        <w:rPr>
          <w:rFonts w:cs="Arial"/>
          <w:iCs/>
          <w:szCs w:val="18"/>
          <w:lang w:val="en-US"/>
        </w:rPr>
        <w:t>thermal capacity of the heat exchanger, kW.</w:t>
      </w:r>
    </w:p>
    <w:p w14:paraId="1BFDD739" w14:textId="77777777" w:rsidR="001B5D78" w:rsidRPr="009C64B6" w:rsidRDefault="001B5D78" w:rsidP="001B5D78">
      <w:pPr>
        <w:spacing w:line="240" w:lineRule="auto"/>
        <w:rPr>
          <w:rFonts w:eastAsiaTheme="minorEastAsia" w:cs="Arial"/>
          <w:iCs/>
          <w:szCs w:val="18"/>
          <w:lang w:val="en-US"/>
        </w:rPr>
      </w:pPr>
      <w:r w:rsidRPr="009C64B6">
        <w:rPr>
          <w:rFonts w:cs="Arial"/>
          <w:szCs w:val="18"/>
          <w:lang w:val="en-US"/>
        </w:rPr>
        <w:t>The thermal resistance of a layer of material is given by the expression:</w:t>
      </w:r>
    </w:p>
    <w:p w14:paraId="74366EAF" w14:textId="77777777" w:rsidR="001B5D78" w:rsidRPr="009C64B6" w:rsidRDefault="001B5D78" w:rsidP="001B5D78">
      <w:pPr>
        <w:spacing w:before="120" w:after="120" w:line="240" w:lineRule="auto"/>
        <w:rPr>
          <w:rFonts w:eastAsia="Calibri" w:cs="Arial"/>
          <w:iCs/>
          <w:szCs w:val="18"/>
          <w:lang w:val="en-US"/>
        </w:rPr>
      </w:pPr>
      <m:oMath>
        <m:r>
          <w:rPr>
            <w:rFonts w:ascii="Cambria Math" w:eastAsia="Calibri" w:hAnsi="Cambria Math" w:cs="Arial"/>
            <w:szCs w:val="18"/>
          </w:rPr>
          <m:t>R</m:t>
        </m:r>
        <m:r>
          <m:rPr>
            <m:sty m:val="p"/>
          </m:rPr>
          <w:rPr>
            <w:rFonts w:ascii="Cambria Math" w:eastAsia="Calibri" w:hAnsi="Cambria Math" w:cs="Arial"/>
            <w:szCs w:val="18"/>
            <w:lang w:val="en-US"/>
          </w:rPr>
          <m:t>=</m:t>
        </m:r>
        <m:f>
          <m:fPr>
            <m:ctrlPr>
              <w:rPr>
                <w:rFonts w:ascii="Cambria Math" w:eastAsia="Calibri" w:hAnsi="Cambria Math" w:cs="Arial"/>
                <w:iCs/>
                <w:szCs w:val="18"/>
              </w:rPr>
            </m:ctrlPr>
          </m:fPr>
          <m:num>
            <m:r>
              <w:rPr>
                <w:rFonts w:ascii="Cambria Math" w:eastAsia="Calibri" w:hAnsi="Cambria Math" w:cs="Arial"/>
                <w:szCs w:val="18"/>
              </w:rPr>
              <m:t>δ</m:t>
            </m:r>
          </m:num>
          <m:den>
            <m:r>
              <w:rPr>
                <w:rFonts w:ascii="Cambria Math" w:eastAsia="Calibri" w:hAnsi="Cambria Math" w:cs="Arial"/>
                <w:szCs w:val="18"/>
              </w:rPr>
              <m:t>λ</m:t>
            </m:r>
          </m:den>
        </m:f>
      </m:oMath>
      <w:r w:rsidRPr="009C64B6">
        <w:rPr>
          <w:rFonts w:eastAsia="Calibri" w:cs="Arial"/>
          <w:iCs/>
          <w:szCs w:val="18"/>
          <w:lang w:val="en-US"/>
        </w:rPr>
        <w:t xml:space="preserve">                                                                                              </w:t>
      </w:r>
      <w:r>
        <w:rPr>
          <w:rFonts w:eastAsia="Calibri" w:cs="Arial"/>
          <w:iCs/>
          <w:szCs w:val="18"/>
          <w:lang w:val="en-US"/>
        </w:rPr>
        <w:t xml:space="preserve">                                                                   </w:t>
      </w:r>
      <w:r w:rsidRPr="009C64B6">
        <w:rPr>
          <w:rFonts w:eastAsia="Calibri" w:cs="Arial"/>
          <w:iCs/>
          <w:szCs w:val="18"/>
          <w:lang w:val="en-US"/>
        </w:rPr>
        <w:t>(11)</w:t>
      </w:r>
    </w:p>
    <w:p w14:paraId="67412CA1" w14:textId="77777777" w:rsidR="001B5D78" w:rsidRPr="009C64B6" w:rsidRDefault="001B5D78" w:rsidP="001B5D78">
      <w:pPr>
        <w:spacing w:line="240" w:lineRule="auto"/>
        <w:rPr>
          <w:rFonts w:cs="Arial"/>
          <w:szCs w:val="18"/>
          <w:lang w:val="en-US"/>
        </w:rPr>
      </w:pPr>
      <w:r w:rsidRPr="009C64B6">
        <w:rPr>
          <w:rFonts w:cs="Arial"/>
          <w:szCs w:val="18"/>
          <w:lang w:val="en-US"/>
        </w:rPr>
        <w:t>where:</w:t>
      </w:r>
    </w:p>
    <w:p w14:paraId="4A59FC79" w14:textId="77777777" w:rsidR="001B5D78" w:rsidRPr="009C64B6" w:rsidRDefault="001B5D78" w:rsidP="001B5D78">
      <w:pPr>
        <w:spacing w:line="240" w:lineRule="auto"/>
        <w:rPr>
          <w:rFonts w:cs="Arial"/>
          <w:szCs w:val="18"/>
          <w:lang w:val="en-US"/>
        </w:rPr>
      </w:pPr>
      <w:r w:rsidRPr="009C64B6">
        <w:rPr>
          <w:rFonts w:cs="Arial"/>
          <w:szCs w:val="18"/>
        </w:rPr>
        <w:t>δ</w:t>
      </w:r>
      <w:r w:rsidRPr="009C64B6">
        <w:rPr>
          <w:rFonts w:cs="Arial"/>
          <w:szCs w:val="18"/>
          <w:lang w:val="en-US"/>
        </w:rPr>
        <w:t xml:space="preserve"> </w:t>
      </w:r>
      <w:r>
        <w:rPr>
          <w:rFonts w:cs="Arial"/>
          <w:szCs w:val="18"/>
          <w:lang w:val="en-US"/>
        </w:rPr>
        <w:t>−</w:t>
      </w:r>
      <w:r w:rsidRPr="009C64B6">
        <w:rPr>
          <w:rFonts w:cs="Arial"/>
          <w:szCs w:val="18"/>
          <w:lang w:val="en-US"/>
        </w:rPr>
        <w:t xml:space="preserve"> layer thickness, m; </w:t>
      </w:r>
      <w:r w:rsidRPr="009C64B6">
        <w:rPr>
          <w:rFonts w:cs="Arial"/>
          <w:szCs w:val="18"/>
        </w:rPr>
        <w:t>λ</w:t>
      </w:r>
      <w:r w:rsidRPr="009C64B6">
        <w:rPr>
          <w:rFonts w:cs="Arial"/>
          <w:szCs w:val="18"/>
          <w:lang w:val="en-US"/>
        </w:rPr>
        <w:t xml:space="preserve"> </w:t>
      </w:r>
      <w:r>
        <w:rPr>
          <w:rFonts w:cs="Arial"/>
          <w:szCs w:val="18"/>
          <w:lang w:val="en-US"/>
        </w:rPr>
        <w:t>−</w:t>
      </w:r>
      <w:r w:rsidRPr="009C64B6">
        <w:rPr>
          <w:rFonts w:cs="Arial"/>
          <w:szCs w:val="18"/>
          <w:lang w:val="en-US"/>
        </w:rPr>
        <w:t xml:space="preserve"> thermal conductivity of the material.</w:t>
      </w:r>
    </w:p>
    <w:p w14:paraId="79377B94" w14:textId="77777777" w:rsidR="001B5D78" w:rsidRPr="009C64B6" w:rsidRDefault="001B5D78" w:rsidP="001B5D78">
      <w:pPr>
        <w:spacing w:line="240" w:lineRule="auto"/>
        <w:rPr>
          <w:rFonts w:cs="Arial"/>
          <w:szCs w:val="18"/>
          <w:lang w:val="en-US" w:eastAsia="ru-RU"/>
        </w:rPr>
      </w:pPr>
      <w:r w:rsidRPr="009C64B6">
        <w:rPr>
          <w:rFonts w:cs="Arial"/>
          <w:szCs w:val="18"/>
          <w:lang w:val="en-US" w:eastAsia="ru-RU"/>
        </w:rPr>
        <w:t>The total thermal resistance of a heat exchange wall consists of:</w:t>
      </w:r>
    </w:p>
    <w:p w14:paraId="608CE3DC" w14:textId="77777777" w:rsidR="001B5D78" w:rsidRPr="009C64B6" w:rsidRDefault="001B5D78" w:rsidP="001B5D78">
      <w:pPr>
        <w:pStyle w:val="afffd"/>
        <w:spacing w:line="240" w:lineRule="auto"/>
        <w:ind w:left="0"/>
        <w:rPr>
          <w:rFonts w:cs="Arial"/>
          <w:szCs w:val="18"/>
          <w:lang w:val="en-US" w:eastAsia="ru-RU"/>
        </w:rPr>
      </w:pPr>
      <w:r w:rsidRPr="009C64B6">
        <w:rPr>
          <w:rFonts w:cs="Arial"/>
          <w:szCs w:val="18"/>
          <w:lang w:val="en-US" w:eastAsia="ru-RU"/>
        </w:rPr>
        <w:t xml:space="preserve">heat transfer resistance on the hot fluid side </w:t>
      </w:r>
      <m:oMath>
        <m:f>
          <m:fPr>
            <m:ctrlPr>
              <w:rPr>
                <w:rFonts w:ascii="Cambria Math" w:hAnsi="Cambria Math" w:cs="Arial"/>
                <w:i/>
                <w:szCs w:val="18"/>
                <w:lang w:eastAsia="ru-RU"/>
              </w:rPr>
            </m:ctrlPr>
          </m:fPr>
          <m:num>
            <m:r>
              <w:rPr>
                <w:rFonts w:ascii="Cambria Math" w:hAnsi="Cambria Math" w:cs="Arial"/>
                <w:szCs w:val="18"/>
                <w:lang w:val="en-US" w:eastAsia="ru-RU"/>
              </w:rPr>
              <m:t>1</m:t>
            </m:r>
          </m:num>
          <m:den>
            <m:sSub>
              <m:sSubPr>
                <m:ctrlPr>
                  <w:rPr>
                    <w:rFonts w:ascii="Cambria Math" w:hAnsi="Cambria Math" w:cs="Arial"/>
                    <w:i/>
                    <w:szCs w:val="18"/>
                    <w:lang w:eastAsia="ru-RU"/>
                  </w:rPr>
                </m:ctrlPr>
              </m:sSubPr>
              <m:e>
                <m:r>
                  <w:rPr>
                    <w:rFonts w:ascii="Cambria Math" w:hAnsi="Cambria Math" w:cs="Arial"/>
                    <w:szCs w:val="18"/>
                    <w:lang w:eastAsia="ru-RU"/>
                  </w:rPr>
                  <m:t>α</m:t>
                </m:r>
              </m:e>
              <m:sub>
                <m:r>
                  <w:rPr>
                    <w:rFonts w:ascii="Cambria Math" w:hAnsi="Cambria Math" w:cs="Arial"/>
                    <w:szCs w:val="18"/>
                    <w:lang w:val="en-US" w:eastAsia="ru-RU"/>
                  </w:rPr>
                  <m:t>1</m:t>
                </m:r>
              </m:sub>
            </m:sSub>
          </m:den>
        </m:f>
      </m:oMath>
      <w:r w:rsidRPr="009C64B6">
        <w:rPr>
          <w:rFonts w:cs="Arial"/>
          <w:szCs w:val="18"/>
          <w:lang w:val="en-US" w:eastAsia="ru-RU"/>
        </w:rPr>
        <w:t>​;</w:t>
      </w:r>
    </w:p>
    <w:p w14:paraId="180E5BF2" w14:textId="77777777" w:rsidR="001B5D78" w:rsidRPr="009C64B6" w:rsidRDefault="001B5D78" w:rsidP="001B5D78">
      <w:pPr>
        <w:pStyle w:val="afffd"/>
        <w:spacing w:line="240" w:lineRule="auto"/>
        <w:ind w:left="0"/>
        <w:rPr>
          <w:rFonts w:cs="Arial"/>
          <w:szCs w:val="18"/>
          <w:lang w:val="en-US" w:eastAsia="ru-RU"/>
        </w:rPr>
      </w:pPr>
      <w:r w:rsidRPr="009C64B6">
        <w:rPr>
          <w:rFonts w:cs="Arial"/>
          <w:szCs w:val="18"/>
          <w:lang w:val="en-US" w:eastAsia="ru-RU"/>
        </w:rPr>
        <w:t xml:space="preserve">wall resistance </w:t>
      </w:r>
      <m:oMath>
        <m:f>
          <m:fPr>
            <m:ctrlPr>
              <w:rPr>
                <w:rFonts w:ascii="Cambria Math" w:hAnsi="Cambria Math" w:cs="Arial"/>
                <w:i/>
                <w:szCs w:val="18"/>
                <w:lang w:eastAsia="ru-RU"/>
              </w:rPr>
            </m:ctrlPr>
          </m:fPr>
          <m:num>
            <m:r>
              <w:rPr>
                <w:rFonts w:ascii="Cambria Math" w:hAnsi="Cambria Math" w:cs="Arial"/>
                <w:szCs w:val="18"/>
                <w:lang w:eastAsia="ru-RU"/>
              </w:rPr>
              <m:t>δ</m:t>
            </m:r>
          </m:num>
          <m:den>
            <m:r>
              <w:rPr>
                <w:rFonts w:ascii="Cambria Math" w:hAnsi="Cambria Math" w:cs="Arial"/>
                <w:szCs w:val="18"/>
                <w:lang w:eastAsia="ru-RU"/>
              </w:rPr>
              <m:t>λ</m:t>
            </m:r>
          </m:den>
        </m:f>
      </m:oMath>
      <w:r w:rsidRPr="009C64B6">
        <w:rPr>
          <w:rFonts w:cs="Arial"/>
          <w:szCs w:val="18"/>
          <w:lang w:val="en-US" w:eastAsia="ru-RU"/>
        </w:rPr>
        <w:t>​;</w:t>
      </w:r>
    </w:p>
    <w:p w14:paraId="79EA1167" w14:textId="77777777" w:rsidR="001B5D78" w:rsidRPr="009C64B6" w:rsidRDefault="001B5D78" w:rsidP="001B5D78">
      <w:pPr>
        <w:pStyle w:val="afffd"/>
        <w:spacing w:line="240" w:lineRule="auto"/>
        <w:ind w:left="0"/>
        <w:rPr>
          <w:rFonts w:cs="Arial"/>
          <w:szCs w:val="18"/>
          <w:lang w:val="en-US" w:eastAsia="ru-RU"/>
        </w:rPr>
      </w:pPr>
      <w:r w:rsidRPr="009C64B6">
        <w:rPr>
          <w:rFonts w:cs="Arial"/>
          <w:szCs w:val="18"/>
          <w:lang w:val="en-US" w:eastAsia="ru-RU"/>
        </w:rPr>
        <w:t xml:space="preserve">heat transfer resistance on the cold fluid side </w:t>
      </w:r>
      <m:oMath>
        <m:f>
          <m:fPr>
            <m:ctrlPr>
              <w:rPr>
                <w:rFonts w:ascii="Cambria Math" w:hAnsi="Cambria Math" w:cs="Arial"/>
                <w:i/>
                <w:szCs w:val="18"/>
                <w:lang w:eastAsia="ru-RU"/>
              </w:rPr>
            </m:ctrlPr>
          </m:fPr>
          <m:num>
            <m:r>
              <w:rPr>
                <w:rFonts w:ascii="Cambria Math" w:hAnsi="Cambria Math" w:cs="Arial"/>
                <w:szCs w:val="18"/>
                <w:lang w:val="en-US" w:eastAsia="ru-RU"/>
              </w:rPr>
              <m:t>1</m:t>
            </m:r>
          </m:num>
          <m:den>
            <m:sSub>
              <m:sSubPr>
                <m:ctrlPr>
                  <w:rPr>
                    <w:rFonts w:ascii="Cambria Math" w:hAnsi="Cambria Math" w:cs="Arial"/>
                    <w:i/>
                    <w:szCs w:val="18"/>
                    <w:lang w:eastAsia="ru-RU"/>
                  </w:rPr>
                </m:ctrlPr>
              </m:sSubPr>
              <m:e>
                <m:r>
                  <w:rPr>
                    <w:rFonts w:ascii="Cambria Math" w:hAnsi="Cambria Math" w:cs="Arial"/>
                    <w:szCs w:val="18"/>
                    <w:lang w:eastAsia="ru-RU"/>
                  </w:rPr>
                  <m:t>α</m:t>
                </m:r>
              </m:e>
              <m:sub>
                <m:r>
                  <w:rPr>
                    <w:rFonts w:ascii="Cambria Math" w:hAnsi="Cambria Math" w:cs="Arial"/>
                    <w:szCs w:val="18"/>
                    <w:lang w:val="en-US" w:eastAsia="ru-RU"/>
                  </w:rPr>
                  <m:t>2</m:t>
                </m:r>
              </m:sub>
            </m:sSub>
          </m:den>
        </m:f>
      </m:oMath>
      <w:r w:rsidRPr="009C64B6">
        <w:rPr>
          <w:rFonts w:cs="Arial"/>
          <w:szCs w:val="18"/>
          <w:lang w:val="en-US" w:eastAsia="ru-RU"/>
        </w:rPr>
        <w:t>​;</w:t>
      </w:r>
    </w:p>
    <w:p w14:paraId="23AA88FE" w14:textId="77777777" w:rsidR="001B5D78" w:rsidRPr="009C64B6" w:rsidRDefault="001B5D78" w:rsidP="001B5D78">
      <w:pPr>
        <w:pStyle w:val="afffd"/>
        <w:spacing w:line="240" w:lineRule="auto"/>
        <w:ind w:left="0"/>
        <w:rPr>
          <w:rFonts w:cs="Arial"/>
          <w:szCs w:val="18"/>
          <w:lang w:val="en-US" w:eastAsia="ru-RU"/>
        </w:rPr>
      </w:pPr>
      <w:r w:rsidRPr="009C64B6">
        <w:rPr>
          <w:rFonts w:cs="Arial"/>
          <w:szCs w:val="18"/>
          <w:lang w:val="en-US" w:eastAsia="ru-RU"/>
        </w:rPr>
        <w:t xml:space="preserve">contamination resistance </w:t>
      </w:r>
      <m:oMath>
        <m:sSub>
          <m:sSubPr>
            <m:ctrlPr>
              <w:rPr>
                <w:rFonts w:ascii="Cambria Math" w:hAnsi="Cambria Math" w:cs="Arial"/>
                <w:i/>
                <w:szCs w:val="18"/>
                <w:lang w:eastAsia="ru-RU"/>
              </w:rPr>
            </m:ctrlPr>
          </m:sSubPr>
          <m:e>
            <m:r>
              <w:rPr>
                <w:rFonts w:ascii="Cambria Math" w:hAnsi="Cambria Math" w:cs="Arial"/>
                <w:szCs w:val="18"/>
                <w:lang w:eastAsia="ru-RU"/>
              </w:rPr>
              <m:t>R</m:t>
            </m:r>
          </m:e>
          <m:sub>
            <m:r>
              <w:rPr>
                <w:rFonts w:ascii="Cambria Math" w:hAnsi="Cambria Math" w:cs="Arial"/>
                <w:szCs w:val="18"/>
                <w:lang w:eastAsia="ru-RU"/>
              </w:rPr>
              <m:t>з</m:t>
            </m:r>
          </m:sub>
        </m:sSub>
      </m:oMath>
      <w:r w:rsidRPr="009C64B6">
        <w:rPr>
          <w:rFonts w:cs="Arial"/>
          <w:szCs w:val="18"/>
          <w:lang w:val="en-US" w:eastAsia="ru-RU"/>
        </w:rPr>
        <w:t>.</w:t>
      </w:r>
    </w:p>
    <w:p w14:paraId="60563364" w14:textId="77777777" w:rsidR="001B5D78" w:rsidRPr="009C64B6" w:rsidRDefault="001B5D78" w:rsidP="001B5D78">
      <w:pPr>
        <w:spacing w:line="240" w:lineRule="auto"/>
        <w:rPr>
          <w:rFonts w:cs="Arial"/>
          <w:szCs w:val="18"/>
          <w:lang w:val="en-US" w:eastAsia="ru-RU"/>
        </w:rPr>
      </w:pPr>
      <w:r w:rsidRPr="009C64B6">
        <w:rPr>
          <w:rFonts w:cs="Arial"/>
          <w:szCs w:val="18"/>
          <w:lang w:val="en-US" w:eastAsia="ru-RU"/>
        </w:rPr>
        <w:t>Total resistance:</w:t>
      </w:r>
    </w:p>
    <w:p w14:paraId="65FE693B" w14:textId="77777777" w:rsidR="001B5D78" w:rsidRPr="009C64B6" w:rsidRDefault="001B5D78" w:rsidP="001B5D78">
      <w:pPr>
        <w:spacing w:before="120" w:after="120" w:line="240" w:lineRule="auto"/>
        <w:rPr>
          <w:rFonts w:cs="Arial"/>
          <w:szCs w:val="18"/>
          <w:lang w:val="en-US" w:eastAsia="ru-RU"/>
        </w:rPr>
      </w:pPr>
      <m:oMath>
        <m:r>
          <w:rPr>
            <w:rFonts w:ascii="Cambria Math" w:hAnsi="Cambria Math" w:cs="Arial"/>
            <w:szCs w:val="18"/>
            <w:lang w:eastAsia="ru-RU"/>
          </w:rPr>
          <m:t>R</m:t>
        </m:r>
        <m:r>
          <w:rPr>
            <w:rFonts w:ascii="Cambria Math" w:hAnsi="Cambria Math" w:cs="Arial"/>
            <w:szCs w:val="18"/>
            <w:lang w:val="en-US" w:eastAsia="ru-RU"/>
          </w:rPr>
          <m:t>=</m:t>
        </m:r>
        <m:f>
          <m:fPr>
            <m:ctrlPr>
              <w:rPr>
                <w:rFonts w:ascii="Cambria Math" w:hAnsi="Cambria Math" w:cs="Arial"/>
                <w:i/>
                <w:szCs w:val="18"/>
                <w:lang w:eastAsia="ru-RU"/>
              </w:rPr>
            </m:ctrlPr>
          </m:fPr>
          <m:num>
            <m:r>
              <w:rPr>
                <w:rFonts w:ascii="Cambria Math" w:hAnsi="Cambria Math" w:cs="Arial"/>
                <w:szCs w:val="18"/>
                <w:lang w:val="en-US" w:eastAsia="ru-RU"/>
              </w:rPr>
              <m:t>1</m:t>
            </m:r>
          </m:num>
          <m:den>
            <m:sSub>
              <m:sSubPr>
                <m:ctrlPr>
                  <w:rPr>
                    <w:rFonts w:ascii="Cambria Math" w:hAnsi="Cambria Math" w:cs="Arial"/>
                    <w:i/>
                    <w:szCs w:val="18"/>
                    <w:lang w:eastAsia="ru-RU"/>
                  </w:rPr>
                </m:ctrlPr>
              </m:sSubPr>
              <m:e>
                <m:r>
                  <w:rPr>
                    <w:rFonts w:ascii="Cambria Math" w:hAnsi="Cambria Math" w:cs="Arial"/>
                    <w:szCs w:val="18"/>
                    <w:lang w:eastAsia="ru-RU"/>
                  </w:rPr>
                  <m:t>α</m:t>
                </m:r>
              </m:e>
              <m:sub>
                <m:r>
                  <w:rPr>
                    <w:rFonts w:ascii="Cambria Math" w:hAnsi="Cambria Math" w:cs="Arial"/>
                    <w:szCs w:val="18"/>
                    <w:lang w:val="en-US" w:eastAsia="ru-RU"/>
                  </w:rPr>
                  <m:t>1</m:t>
                </m:r>
              </m:sub>
            </m:sSub>
          </m:den>
        </m:f>
        <m:r>
          <w:rPr>
            <w:rFonts w:ascii="Cambria Math" w:hAnsi="Cambria Math" w:cs="Arial"/>
            <w:szCs w:val="18"/>
            <w:lang w:val="en-US" w:eastAsia="ru-RU"/>
          </w:rPr>
          <m:t>+</m:t>
        </m:r>
        <m:f>
          <m:fPr>
            <m:ctrlPr>
              <w:rPr>
                <w:rFonts w:ascii="Cambria Math" w:hAnsi="Cambria Math" w:cs="Arial"/>
                <w:i/>
                <w:szCs w:val="18"/>
                <w:lang w:eastAsia="ru-RU"/>
              </w:rPr>
            </m:ctrlPr>
          </m:fPr>
          <m:num>
            <m:r>
              <w:rPr>
                <w:rFonts w:ascii="Cambria Math" w:hAnsi="Cambria Math" w:cs="Arial"/>
                <w:szCs w:val="18"/>
                <w:lang w:eastAsia="ru-RU"/>
              </w:rPr>
              <m:t>δ</m:t>
            </m:r>
          </m:num>
          <m:den>
            <m:r>
              <w:rPr>
                <w:rFonts w:ascii="Cambria Math" w:hAnsi="Cambria Math" w:cs="Arial"/>
                <w:szCs w:val="18"/>
                <w:lang w:eastAsia="ru-RU"/>
              </w:rPr>
              <m:t>λ</m:t>
            </m:r>
          </m:den>
        </m:f>
        <m:r>
          <w:rPr>
            <w:rFonts w:ascii="Cambria Math" w:hAnsi="Cambria Math" w:cs="Arial"/>
            <w:szCs w:val="18"/>
            <w:lang w:val="en-US" w:eastAsia="ru-RU"/>
          </w:rPr>
          <m:t>+</m:t>
        </m:r>
        <m:f>
          <m:fPr>
            <m:ctrlPr>
              <w:rPr>
                <w:rFonts w:ascii="Cambria Math" w:hAnsi="Cambria Math" w:cs="Arial"/>
                <w:i/>
                <w:szCs w:val="18"/>
                <w:lang w:eastAsia="ru-RU"/>
              </w:rPr>
            </m:ctrlPr>
          </m:fPr>
          <m:num>
            <m:r>
              <w:rPr>
                <w:rFonts w:ascii="Cambria Math" w:hAnsi="Cambria Math" w:cs="Arial"/>
                <w:szCs w:val="18"/>
                <w:lang w:val="en-US" w:eastAsia="ru-RU"/>
              </w:rPr>
              <m:t>1</m:t>
            </m:r>
          </m:num>
          <m:den>
            <m:sSub>
              <m:sSubPr>
                <m:ctrlPr>
                  <w:rPr>
                    <w:rFonts w:ascii="Cambria Math" w:hAnsi="Cambria Math" w:cs="Arial"/>
                    <w:i/>
                    <w:szCs w:val="18"/>
                    <w:lang w:eastAsia="ru-RU"/>
                  </w:rPr>
                </m:ctrlPr>
              </m:sSubPr>
              <m:e>
                <m:r>
                  <w:rPr>
                    <w:rFonts w:ascii="Cambria Math" w:hAnsi="Cambria Math" w:cs="Arial"/>
                    <w:szCs w:val="18"/>
                    <w:lang w:eastAsia="ru-RU"/>
                  </w:rPr>
                  <m:t>α</m:t>
                </m:r>
              </m:e>
              <m:sub>
                <m:r>
                  <w:rPr>
                    <w:rFonts w:ascii="Cambria Math" w:hAnsi="Cambria Math" w:cs="Arial"/>
                    <w:szCs w:val="18"/>
                    <w:lang w:val="en-US" w:eastAsia="ru-RU"/>
                  </w:rPr>
                  <m:t>2</m:t>
                </m:r>
              </m:sub>
            </m:sSub>
          </m:den>
        </m:f>
        <m:r>
          <w:rPr>
            <w:rFonts w:ascii="Cambria Math" w:hAnsi="Cambria Math" w:cs="Arial"/>
            <w:szCs w:val="18"/>
            <w:lang w:val="en-US" w:eastAsia="ru-RU"/>
          </w:rPr>
          <m:t>+</m:t>
        </m:r>
        <m:sSub>
          <m:sSubPr>
            <m:ctrlPr>
              <w:rPr>
                <w:rFonts w:ascii="Cambria Math" w:hAnsi="Cambria Math" w:cs="Arial"/>
                <w:i/>
                <w:szCs w:val="18"/>
                <w:lang w:eastAsia="ru-RU"/>
              </w:rPr>
            </m:ctrlPr>
          </m:sSubPr>
          <m:e>
            <m:r>
              <w:rPr>
                <w:rFonts w:ascii="Cambria Math" w:hAnsi="Cambria Math" w:cs="Arial"/>
                <w:szCs w:val="18"/>
                <w:lang w:eastAsia="ru-RU"/>
              </w:rPr>
              <m:t>R</m:t>
            </m:r>
          </m:e>
          <m:sub>
            <m:r>
              <w:rPr>
                <w:rFonts w:ascii="Cambria Math" w:hAnsi="Cambria Math" w:cs="Arial"/>
                <w:szCs w:val="18"/>
                <w:lang w:eastAsia="ru-RU"/>
              </w:rPr>
              <m:t>з</m:t>
            </m:r>
          </m:sub>
        </m:sSub>
      </m:oMath>
      <w:r w:rsidRPr="009C64B6">
        <w:rPr>
          <w:rFonts w:cs="Arial"/>
          <w:szCs w:val="18"/>
          <w:lang w:val="en-US" w:eastAsia="ru-RU"/>
        </w:rPr>
        <w:t xml:space="preserve">                                                                        </w:t>
      </w:r>
      <w:r>
        <w:rPr>
          <w:rFonts w:cs="Arial"/>
          <w:szCs w:val="18"/>
          <w:lang w:val="en-US" w:eastAsia="ru-RU"/>
        </w:rPr>
        <w:t xml:space="preserve">                                                                   </w:t>
      </w:r>
      <w:r w:rsidRPr="009C64B6">
        <w:rPr>
          <w:rFonts w:cs="Arial"/>
          <w:szCs w:val="18"/>
          <w:lang w:val="en-US" w:eastAsia="ru-RU"/>
        </w:rPr>
        <w:t xml:space="preserve"> (12)</w:t>
      </w:r>
    </w:p>
    <w:p w14:paraId="6C17D778" w14:textId="77777777" w:rsidR="001B5D78" w:rsidRDefault="001B5D78" w:rsidP="001B5D78">
      <w:pPr>
        <w:spacing w:line="240" w:lineRule="auto"/>
        <w:rPr>
          <w:rFonts w:eastAsiaTheme="minorEastAsia" w:cs="Arial"/>
          <w:szCs w:val="18"/>
          <w:lang w:val="en-US"/>
        </w:rPr>
      </w:pPr>
      <w:r w:rsidRPr="009C64B6">
        <w:rPr>
          <w:rFonts w:cs="Arial"/>
          <w:szCs w:val="18"/>
          <w:lang w:val="en-US"/>
        </w:rPr>
        <w:t xml:space="preserve">The heat transfer coefficient </w:t>
      </w:r>
      <w:r w:rsidRPr="009C64B6">
        <w:rPr>
          <w:rFonts w:ascii="Cambria Math" w:hAnsi="Cambria Math" w:cs="Cambria Math"/>
          <w:szCs w:val="18"/>
        </w:rPr>
        <w:t>𝐾</w:t>
      </w:r>
      <w:r w:rsidRPr="009C64B6">
        <w:rPr>
          <w:rFonts w:cs="Arial"/>
          <w:szCs w:val="18"/>
          <w:lang w:val="en-US"/>
        </w:rPr>
        <w:t xml:space="preserve"> was determined using the classical heat transfer equation:</w:t>
      </w:r>
    </w:p>
    <w:p w14:paraId="69B20B08" w14:textId="77777777" w:rsidR="001B5D78" w:rsidRPr="00B53284" w:rsidRDefault="001B5D78" w:rsidP="001B5D78">
      <w:pPr>
        <w:spacing w:before="120" w:after="120" w:line="240" w:lineRule="auto"/>
        <w:rPr>
          <w:rFonts w:cs="Arial"/>
          <w:szCs w:val="18"/>
          <w:lang w:val="en-US"/>
        </w:rPr>
      </w:pPr>
      <m:oMath>
        <m:r>
          <w:rPr>
            <w:rFonts w:ascii="Cambria Math" w:hAnsi="Cambria Math" w:cs="Arial"/>
            <w:szCs w:val="18"/>
            <w:lang w:eastAsia="ru-RU"/>
          </w:rPr>
          <m:t>K</m:t>
        </m:r>
        <m:r>
          <w:rPr>
            <w:rFonts w:ascii="Cambria Math" w:hAnsi="Cambria Math" w:cs="Arial"/>
            <w:szCs w:val="18"/>
            <w:lang w:val="en-US" w:eastAsia="ru-RU"/>
          </w:rPr>
          <m:t xml:space="preserve">= </m:t>
        </m:r>
        <m:f>
          <m:fPr>
            <m:ctrlPr>
              <w:rPr>
                <w:rFonts w:ascii="Cambria Math" w:hAnsi="Cambria Math" w:cs="Arial"/>
                <w:i/>
                <w:szCs w:val="18"/>
                <w:lang w:eastAsia="ru-RU"/>
              </w:rPr>
            </m:ctrlPr>
          </m:fPr>
          <m:num>
            <m:r>
              <w:rPr>
                <w:rFonts w:ascii="Cambria Math" w:hAnsi="Cambria Math" w:cs="Arial"/>
                <w:szCs w:val="18"/>
                <w:lang w:val="en-US" w:eastAsia="ru-RU"/>
              </w:rPr>
              <m:t>1</m:t>
            </m:r>
          </m:num>
          <m:den>
            <m:f>
              <m:fPr>
                <m:ctrlPr>
                  <w:rPr>
                    <w:rFonts w:ascii="Cambria Math" w:hAnsi="Cambria Math" w:cs="Arial"/>
                    <w:i/>
                    <w:szCs w:val="18"/>
                    <w:lang w:eastAsia="ru-RU"/>
                  </w:rPr>
                </m:ctrlPr>
              </m:fPr>
              <m:num>
                <m:r>
                  <w:rPr>
                    <w:rFonts w:ascii="Cambria Math" w:hAnsi="Cambria Math" w:cs="Arial"/>
                    <w:szCs w:val="18"/>
                    <w:lang w:val="en-US" w:eastAsia="ru-RU"/>
                  </w:rPr>
                  <m:t>1</m:t>
                </m:r>
              </m:num>
              <m:den>
                <m:sSub>
                  <m:sSubPr>
                    <m:ctrlPr>
                      <w:rPr>
                        <w:rFonts w:ascii="Cambria Math" w:hAnsi="Cambria Math" w:cs="Arial"/>
                        <w:i/>
                        <w:szCs w:val="18"/>
                        <w:lang w:eastAsia="ru-RU"/>
                      </w:rPr>
                    </m:ctrlPr>
                  </m:sSubPr>
                  <m:e>
                    <m:r>
                      <w:rPr>
                        <w:rFonts w:ascii="Cambria Math" w:hAnsi="Cambria Math" w:cs="Arial"/>
                        <w:szCs w:val="18"/>
                        <w:lang w:eastAsia="ru-RU"/>
                      </w:rPr>
                      <m:t>α</m:t>
                    </m:r>
                  </m:e>
                  <m:sub>
                    <m:r>
                      <w:rPr>
                        <w:rFonts w:ascii="Cambria Math" w:hAnsi="Cambria Math" w:cs="Arial"/>
                        <w:szCs w:val="18"/>
                        <w:lang w:val="en-US" w:eastAsia="ru-RU"/>
                      </w:rPr>
                      <m:t>1</m:t>
                    </m:r>
                  </m:sub>
                </m:sSub>
              </m:den>
            </m:f>
            <m:r>
              <w:rPr>
                <w:rFonts w:ascii="Cambria Math" w:hAnsi="Cambria Math" w:cs="Arial"/>
                <w:szCs w:val="18"/>
                <w:lang w:val="en-US" w:eastAsia="ru-RU"/>
              </w:rPr>
              <m:t>+</m:t>
            </m:r>
            <m:f>
              <m:fPr>
                <m:ctrlPr>
                  <w:rPr>
                    <w:rFonts w:ascii="Cambria Math" w:hAnsi="Cambria Math" w:cs="Arial"/>
                    <w:i/>
                    <w:szCs w:val="18"/>
                    <w:lang w:eastAsia="ru-RU"/>
                  </w:rPr>
                </m:ctrlPr>
              </m:fPr>
              <m:num>
                <m:r>
                  <w:rPr>
                    <w:rFonts w:ascii="Cambria Math" w:hAnsi="Cambria Math" w:cs="Arial"/>
                    <w:szCs w:val="18"/>
                    <w:lang w:eastAsia="ru-RU"/>
                  </w:rPr>
                  <m:t>δ</m:t>
                </m:r>
              </m:num>
              <m:den>
                <m:r>
                  <w:rPr>
                    <w:rFonts w:ascii="Cambria Math" w:hAnsi="Cambria Math" w:cs="Arial"/>
                    <w:szCs w:val="18"/>
                    <w:lang w:eastAsia="ru-RU"/>
                  </w:rPr>
                  <m:t>λ</m:t>
                </m:r>
              </m:den>
            </m:f>
            <m:r>
              <w:rPr>
                <w:rFonts w:ascii="Cambria Math" w:hAnsi="Cambria Math" w:cs="Arial"/>
                <w:szCs w:val="18"/>
                <w:lang w:val="en-US" w:eastAsia="ru-RU"/>
              </w:rPr>
              <m:t>+</m:t>
            </m:r>
            <m:f>
              <m:fPr>
                <m:ctrlPr>
                  <w:rPr>
                    <w:rFonts w:ascii="Cambria Math" w:hAnsi="Cambria Math" w:cs="Arial"/>
                    <w:i/>
                    <w:szCs w:val="18"/>
                    <w:lang w:eastAsia="ru-RU"/>
                  </w:rPr>
                </m:ctrlPr>
              </m:fPr>
              <m:num>
                <m:r>
                  <w:rPr>
                    <w:rFonts w:ascii="Cambria Math" w:hAnsi="Cambria Math" w:cs="Arial"/>
                    <w:szCs w:val="18"/>
                    <w:lang w:val="en-US" w:eastAsia="ru-RU"/>
                  </w:rPr>
                  <m:t>1</m:t>
                </m:r>
              </m:num>
              <m:den>
                <m:sSub>
                  <m:sSubPr>
                    <m:ctrlPr>
                      <w:rPr>
                        <w:rFonts w:ascii="Cambria Math" w:hAnsi="Cambria Math" w:cs="Arial"/>
                        <w:i/>
                        <w:szCs w:val="18"/>
                        <w:lang w:eastAsia="ru-RU"/>
                      </w:rPr>
                    </m:ctrlPr>
                  </m:sSubPr>
                  <m:e>
                    <m:r>
                      <w:rPr>
                        <w:rFonts w:ascii="Cambria Math" w:hAnsi="Cambria Math" w:cs="Arial"/>
                        <w:szCs w:val="18"/>
                        <w:lang w:eastAsia="ru-RU"/>
                      </w:rPr>
                      <m:t>α</m:t>
                    </m:r>
                  </m:e>
                  <m:sub>
                    <m:r>
                      <w:rPr>
                        <w:rFonts w:ascii="Cambria Math" w:hAnsi="Cambria Math" w:cs="Arial"/>
                        <w:szCs w:val="18"/>
                        <w:lang w:val="en-US" w:eastAsia="ru-RU"/>
                      </w:rPr>
                      <m:t>2</m:t>
                    </m:r>
                  </m:sub>
                </m:sSub>
              </m:den>
            </m:f>
            <m:r>
              <w:rPr>
                <w:rFonts w:ascii="Cambria Math" w:hAnsi="Cambria Math" w:cs="Arial"/>
                <w:szCs w:val="18"/>
                <w:lang w:val="en-US" w:eastAsia="ru-RU"/>
              </w:rPr>
              <m:t>+</m:t>
            </m:r>
            <m:sSub>
              <m:sSubPr>
                <m:ctrlPr>
                  <w:rPr>
                    <w:rFonts w:ascii="Cambria Math" w:hAnsi="Cambria Math" w:cs="Arial"/>
                    <w:i/>
                    <w:szCs w:val="18"/>
                    <w:lang w:eastAsia="ru-RU"/>
                  </w:rPr>
                </m:ctrlPr>
              </m:sSubPr>
              <m:e>
                <m:r>
                  <w:rPr>
                    <w:rFonts w:ascii="Cambria Math" w:hAnsi="Cambria Math" w:cs="Arial"/>
                    <w:szCs w:val="18"/>
                    <w:lang w:eastAsia="ru-RU"/>
                  </w:rPr>
                  <m:t>R</m:t>
                </m:r>
              </m:e>
              <m:sub>
                <m:r>
                  <w:rPr>
                    <w:rFonts w:ascii="Cambria Math" w:hAnsi="Cambria Math" w:cs="Arial"/>
                    <w:szCs w:val="18"/>
                    <w:lang w:eastAsia="ru-RU"/>
                  </w:rPr>
                  <m:t>з</m:t>
                </m:r>
              </m:sub>
            </m:sSub>
          </m:den>
        </m:f>
      </m:oMath>
      <w:r w:rsidRPr="009C64B6">
        <w:rPr>
          <w:rFonts w:cs="Arial"/>
          <w:szCs w:val="18"/>
          <w:lang w:val="en-US" w:eastAsia="ru-RU"/>
        </w:rPr>
        <w:t xml:space="preserve">                                                     </w:t>
      </w:r>
      <w:r>
        <w:rPr>
          <w:rFonts w:cs="Arial"/>
          <w:szCs w:val="18"/>
          <w:lang w:val="en-US" w:eastAsia="ru-RU"/>
        </w:rPr>
        <w:t xml:space="preserve">                          </w:t>
      </w:r>
      <w:r w:rsidRPr="009C64B6">
        <w:rPr>
          <w:rFonts w:cs="Arial"/>
          <w:szCs w:val="18"/>
          <w:lang w:val="en-US" w:eastAsia="ru-RU"/>
        </w:rPr>
        <w:t xml:space="preserve">           </w:t>
      </w:r>
      <w:r>
        <w:rPr>
          <w:rFonts w:cs="Arial"/>
          <w:szCs w:val="18"/>
          <w:lang w:val="en-US" w:eastAsia="ru-RU"/>
        </w:rPr>
        <w:t xml:space="preserve">                                                        </w:t>
      </w:r>
      <w:r w:rsidRPr="009C64B6">
        <w:rPr>
          <w:rFonts w:cs="Arial"/>
          <w:szCs w:val="18"/>
          <w:lang w:val="en-US" w:eastAsia="ru-RU"/>
        </w:rPr>
        <w:t>(13)</w:t>
      </w:r>
    </w:p>
    <w:p w14:paraId="6E5E163C" w14:textId="77777777" w:rsidR="001B5D78" w:rsidRPr="009C64B6" w:rsidRDefault="001B5D78" w:rsidP="001B5D78">
      <w:pPr>
        <w:spacing w:line="240" w:lineRule="auto"/>
        <w:rPr>
          <w:rFonts w:cs="Arial"/>
          <w:szCs w:val="18"/>
          <w:lang w:val="en-US" w:eastAsia="ru-RU"/>
        </w:rPr>
      </w:pPr>
      <w:r w:rsidRPr="009C64B6">
        <w:rPr>
          <w:rFonts w:cs="Arial"/>
          <w:szCs w:val="18"/>
          <w:lang w:val="en-US" w:eastAsia="ru-RU"/>
        </w:rPr>
        <w:t xml:space="preserve">where: </w:t>
      </w:r>
      <w:r w:rsidRPr="009C64B6">
        <w:rPr>
          <w:rFonts w:cs="Arial"/>
          <w:szCs w:val="18"/>
          <w:lang w:eastAsia="ru-RU"/>
        </w:rPr>
        <w:t>α</w:t>
      </w:r>
      <w:r w:rsidRPr="009C64B6">
        <w:rPr>
          <w:rFonts w:cs="Arial"/>
          <w:szCs w:val="18"/>
          <w:vertAlign w:val="subscript"/>
          <w:lang w:val="en-US" w:eastAsia="ru-RU"/>
        </w:rPr>
        <w:t>1</w:t>
      </w:r>
      <w:r w:rsidRPr="009C64B6">
        <w:rPr>
          <w:rFonts w:cs="Arial"/>
          <w:szCs w:val="18"/>
          <w:lang w:val="en-US" w:eastAsia="ru-RU"/>
        </w:rPr>
        <w:t xml:space="preserve">, </w:t>
      </w:r>
      <w:r w:rsidRPr="009C64B6">
        <w:rPr>
          <w:rFonts w:cs="Arial"/>
          <w:szCs w:val="18"/>
          <w:lang w:eastAsia="ru-RU"/>
        </w:rPr>
        <w:t>α</w:t>
      </w:r>
      <w:r w:rsidRPr="009C64B6">
        <w:rPr>
          <w:rFonts w:cs="Arial"/>
          <w:szCs w:val="18"/>
          <w:vertAlign w:val="subscript"/>
          <w:lang w:val="en-US" w:eastAsia="ru-RU"/>
        </w:rPr>
        <w:t>2</w:t>
      </w:r>
      <w:r w:rsidRPr="009C64B6">
        <w:rPr>
          <w:rFonts w:cs="Arial"/>
          <w:szCs w:val="18"/>
          <w:lang w:val="en-US" w:eastAsia="ru-RU"/>
        </w:rPr>
        <w:t xml:space="preserve"> are the heat transfer coefficients from the heated and heating media, respectively, in W/(m²·K); </w:t>
      </w:r>
      <w:r w:rsidRPr="009C64B6">
        <w:rPr>
          <w:rFonts w:cs="Arial"/>
          <w:szCs w:val="18"/>
          <w:lang w:eastAsia="ru-RU"/>
        </w:rPr>
        <w:t>δ</w:t>
      </w:r>
      <w:r w:rsidRPr="009C64B6">
        <w:rPr>
          <w:rFonts w:cs="Arial"/>
          <w:szCs w:val="18"/>
          <w:lang w:val="en-US" w:eastAsia="ru-RU"/>
        </w:rPr>
        <w:t xml:space="preserve"> is the plate wall thickness, in m; </w:t>
      </w:r>
      <w:r w:rsidRPr="009C64B6">
        <w:rPr>
          <w:rFonts w:cs="Arial"/>
          <w:szCs w:val="18"/>
          <w:lang w:eastAsia="ru-RU"/>
        </w:rPr>
        <w:t>λ</w:t>
      </w:r>
      <w:r w:rsidRPr="009C64B6">
        <w:rPr>
          <w:rFonts w:cs="Arial"/>
          <w:szCs w:val="18"/>
          <w:lang w:val="en-US" w:eastAsia="ru-RU"/>
        </w:rPr>
        <w:t xml:space="preserve"> is the thermal conductivity of the plate material, in W/(m·K); R_z is the thermal resistance of contaminants, m²·K/W.</w:t>
      </w:r>
    </w:p>
    <w:p w14:paraId="2A87DDF4" w14:textId="77777777" w:rsidR="001B5D78" w:rsidRPr="009C64B6" w:rsidRDefault="001B5D78" w:rsidP="001B5D78">
      <w:pPr>
        <w:spacing w:line="240" w:lineRule="auto"/>
        <w:rPr>
          <w:rFonts w:cs="Arial"/>
          <w:szCs w:val="18"/>
          <w:lang w:val="en-US" w:eastAsia="ru-RU"/>
        </w:rPr>
      </w:pPr>
      <w:r w:rsidRPr="009C64B6">
        <w:rPr>
          <w:rFonts w:cs="Arial"/>
          <w:szCs w:val="18"/>
          <w:lang w:val="en-US" w:eastAsia="ru-RU"/>
        </w:rPr>
        <w:t xml:space="preserve">The heat transfer coefficients were calculated using similarity criteria:   </w:t>
      </w:r>
    </w:p>
    <w:p w14:paraId="395AB1AF" w14:textId="77777777" w:rsidR="001B5D78" w:rsidRPr="009C64B6" w:rsidRDefault="001B5D78" w:rsidP="001B5D78">
      <w:pPr>
        <w:spacing w:before="120" w:after="120" w:line="240" w:lineRule="auto"/>
        <w:rPr>
          <w:rFonts w:cs="Arial"/>
          <w:i/>
          <w:szCs w:val="18"/>
          <w:lang w:val="en-US" w:eastAsia="ru-RU"/>
        </w:rPr>
      </w:pPr>
      <m:oMath>
        <m:r>
          <w:rPr>
            <w:rFonts w:ascii="Cambria Math" w:hAnsi="Cambria Math" w:cs="Arial"/>
            <w:szCs w:val="18"/>
            <w:lang w:eastAsia="ru-RU"/>
          </w:rPr>
          <m:t>Nu</m:t>
        </m:r>
        <m:r>
          <w:rPr>
            <w:rFonts w:ascii="Cambria Math" w:hAnsi="Cambria Math" w:cs="Arial"/>
            <w:szCs w:val="18"/>
            <w:lang w:val="en-US" w:eastAsia="ru-RU"/>
          </w:rPr>
          <m:t>=</m:t>
        </m:r>
        <m:r>
          <w:rPr>
            <w:rFonts w:ascii="Cambria Math" w:hAnsi="Cambria Math" w:cs="Arial"/>
            <w:szCs w:val="18"/>
            <w:lang w:eastAsia="ru-RU"/>
          </w:rPr>
          <m:t>C</m:t>
        </m:r>
        <m:r>
          <w:rPr>
            <w:rFonts w:ascii="Cambria Math" w:hAnsi="Cambria Math" w:cs="Arial"/>
            <w:szCs w:val="18"/>
            <w:lang w:val="en-US" w:eastAsia="ru-RU"/>
          </w:rPr>
          <m:t>∙</m:t>
        </m:r>
        <m:sSup>
          <m:sSupPr>
            <m:ctrlPr>
              <w:rPr>
                <w:rFonts w:ascii="Cambria Math" w:hAnsi="Cambria Math" w:cs="Arial"/>
                <w:i/>
                <w:szCs w:val="18"/>
                <w:lang w:eastAsia="ru-RU"/>
              </w:rPr>
            </m:ctrlPr>
          </m:sSupPr>
          <m:e>
            <m:r>
              <w:rPr>
                <w:rFonts w:ascii="Cambria Math" w:hAnsi="Cambria Math" w:cs="Arial"/>
                <w:szCs w:val="18"/>
                <w:lang w:eastAsia="ru-RU"/>
              </w:rPr>
              <m:t>Re</m:t>
            </m:r>
          </m:e>
          <m:sup>
            <m:r>
              <w:rPr>
                <w:rFonts w:ascii="Cambria Math" w:hAnsi="Cambria Math" w:cs="Arial"/>
                <w:szCs w:val="18"/>
                <w:lang w:eastAsia="ru-RU"/>
              </w:rPr>
              <m:t>m</m:t>
            </m:r>
          </m:sup>
        </m:sSup>
        <m:r>
          <w:rPr>
            <w:rFonts w:ascii="Cambria Math" w:hAnsi="Cambria Math" w:cs="Arial"/>
            <w:szCs w:val="18"/>
            <w:lang w:val="en-US" w:eastAsia="ru-RU"/>
          </w:rPr>
          <m:t>∙</m:t>
        </m:r>
        <m:sSup>
          <m:sSupPr>
            <m:ctrlPr>
              <w:rPr>
                <w:rFonts w:ascii="Cambria Math" w:hAnsi="Cambria Math" w:cs="Arial"/>
                <w:i/>
                <w:szCs w:val="18"/>
                <w:lang w:eastAsia="ru-RU"/>
              </w:rPr>
            </m:ctrlPr>
          </m:sSupPr>
          <m:e>
            <m:r>
              <w:rPr>
                <w:rFonts w:ascii="Cambria Math" w:hAnsi="Cambria Math" w:cs="Arial"/>
                <w:szCs w:val="18"/>
                <w:lang w:eastAsia="ru-RU"/>
              </w:rPr>
              <m:t>Pr</m:t>
            </m:r>
          </m:e>
          <m:sup>
            <m:r>
              <w:rPr>
                <w:rFonts w:ascii="Cambria Math" w:hAnsi="Cambria Math" w:cs="Arial"/>
                <w:szCs w:val="18"/>
                <w:lang w:eastAsia="ru-RU"/>
              </w:rPr>
              <m:t>n</m:t>
            </m:r>
          </m:sup>
        </m:sSup>
      </m:oMath>
      <w:r w:rsidRPr="009C64B6">
        <w:rPr>
          <w:rFonts w:cs="Arial"/>
          <w:szCs w:val="18"/>
          <w:lang w:val="en-US" w:eastAsia="ru-RU"/>
        </w:rPr>
        <w:t xml:space="preserve">                                                              </w:t>
      </w:r>
      <w:r>
        <w:rPr>
          <w:rFonts w:cs="Arial"/>
          <w:szCs w:val="18"/>
          <w:lang w:val="en-US" w:eastAsia="ru-RU"/>
        </w:rPr>
        <w:t xml:space="preserve">                                                                          </w:t>
      </w:r>
      <w:r w:rsidRPr="009C64B6">
        <w:rPr>
          <w:rFonts w:cs="Arial"/>
          <w:szCs w:val="18"/>
          <w:lang w:val="en-US" w:eastAsia="ru-RU"/>
        </w:rPr>
        <w:t xml:space="preserve">    (14)</w:t>
      </w:r>
    </w:p>
    <w:p w14:paraId="675F4A75" w14:textId="77777777" w:rsidR="001B5D78" w:rsidRPr="009C64B6" w:rsidRDefault="001B5D78" w:rsidP="001B5D78">
      <w:pPr>
        <w:spacing w:line="240" w:lineRule="auto"/>
        <w:rPr>
          <w:rFonts w:cs="Arial"/>
          <w:szCs w:val="18"/>
          <w:lang w:val="en-US" w:eastAsia="ru-RU"/>
        </w:rPr>
      </w:pPr>
      <w:r w:rsidRPr="009C64B6">
        <w:rPr>
          <w:rFonts w:cs="Arial"/>
          <w:szCs w:val="18"/>
          <w:lang w:val="en-US" w:eastAsia="ru-RU"/>
        </w:rPr>
        <w:t xml:space="preserve">where: </w:t>
      </w:r>
      <m:oMath>
        <m:r>
          <w:rPr>
            <w:rFonts w:ascii="Cambria Math" w:hAnsi="Cambria Math" w:cs="Arial"/>
            <w:szCs w:val="18"/>
            <w:lang w:val="en-US" w:eastAsia="ru-RU"/>
          </w:rPr>
          <m:t>Nu=</m:t>
        </m:r>
        <m:f>
          <m:fPr>
            <m:ctrlPr>
              <w:rPr>
                <w:rFonts w:ascii="Cambria Math" w:hAnsi="Cambria Math" w:cs="Arial"/>
                <w:i/>
                <w:szCs w:val="18"/>
                <w:lang w:val="en-US" w:eastAsia="ru-RU"/>
              </w:rPr>
            </m:ctrlPr>
          </m:fPr>
          <m:num>
            <m:r>
              <w:rPr>
                <w:rFonts w:ascii="Cambria Math" w:hAnsi="Cambria Math" w:cs="Arial"/>
                <w:szCs w:val="18"/>
                <w:lang w:val="en-US" w:eastAsia="ru-RU"/>
              </w:rPr>
              <m:t>αd</m:t>
            </m:r>
          </m:num>
          <m:den>
            <m:r>
              <w:rPr>
                <w:rFonts w:ascii="Cambria Math" w:hAnsi="Cambria Math" w:cs="Arial"/>
                <w:szCs w:val="18"/>
                <w:lang w:val="en-US" w:eastAsia="ru-RU"/>
              </w:rPr>
              <m:t>λ</m:t>
            </m:r>
          </m:den>
        </m:f>
      </m:oMath>
      <w:r w:rsidRPr="009C64B6">
        <w:rPr>
          <w:rFonts w:cs="Arial"/>
          <w:szCs w:val="18"/>
          <w:lang w:val="en-US" w:eastAsia="ru-RU"/>
        </w:rPr>
        <w:t xml:space="preserve"> Nusselt number; </w:t>
      </w:r>
      <m:oMath>
        <m:r>
          <w:rPr>
            <w:rFonts w:ascii="Cambria Math" w:hAnsi="Cambria Math" w:cs="Arial"/>
            <w:szCs w:val="18"/>
            <w:lang w:val="en-US" w:eastAsia="ru-RU"/>
          </w:rPr>
          <m:t>Re=</m:t>
        </m:r>
        <m:f>
          <m:fPr>
            <m:ctrlPr>
              <w:rPr>
                <w:rFonts w:ascii="Cambria Math" w:hAnsi="Cambria Math" w:cs="Arial"/>
                <w:i/>
                <w:szCs w:val="18"/>
                <w:lang w:val="en-US" w:eastAsia="ru-RU"/>
              </w:rPr>
            </m:ctrlPr>
          </m:fPr>
          <m:num>
            <m:r>
              <w:rPr>
                <w:rFonts w:ascii="Cambria Math" w:hAnsi="Cambria Math" w:cs="Arial"/>
                <w:szCs w:val="18"/>
                <w:lang w:val="en-US" w:eastAsia="ru-RU"/>
              </w:rPr>
              <m:t>ρwd</m:t>
            </m:r>
          </m:num>
          <m:den>
            <m:r>
              <w:rPr>
                <w:rFonts w:ascii="Cambria Math" w:hAnsi="Cambria Math" w:cs="Arial"/>
                <w:szCs w:val="18"/>
                <w:lang w:val="en-US" w:eastAsia="ru-RU"/>
              </w:rPr>
              <m:t>μ</m:t>
            </m:r>
          </m:den>
        </m:f>
      </m:oMath>
      <w:r w:rsidRPr="009C64B6">
        <w:rPr>
          <w:rFonts w:cs="Arial"/>
          <w:szCs w:val="18"/>
          <w:lang w:val="en-US" w:eastAsia="ru-RU"/>
        </w:rPr>
        <w:t xml:space="preserve">- Reynolds number; </w:t>
      </w:r>
      <m:oMath>
        <m:r>
          <w:rPr>
            <w:rFonts w:ascii="Cambria Math" w:hAnsi="Cambria Math" w:cs="Arial"/>
            <w:szCs w:val="18"/>
            <w:lang w:val="en-US" w:eastAsia="ru-RU"/>
          </w:rPr>
          <m:t>Pr=</m:t>
        </m:r>
        <m:f>
          <m:fPr>
            <m:ctrlPr>
              <w:rPr>
                <w:rFonts w:ascii="Cambria Math" w:hAnsi="Cambria Math" w:cs="Arial"/>
                <w:i/>
                <w:szCs w:val="18"/>
                <w:lang w:val="en-US" w:eastAsia="ru-RU"/>
              </w:rPr>
            </m:ctrlPr>
          </m:fPr>
          <m:num>
            <m:sSub>
              <m:sSubPr>
                <m:ctrlPr>
                  <w:rPr>
                    <w:rFonts w:ascii="Cambria Math" w:hAnsi="Cambria Math" w:cs="Arial"/>
                    <w:i/>
                    <w:szCs w:val="18"/>
                    <w:lang w:val="en-US" w:eastAsia="ru-RU"/>
                  </w:rPr>
                </m:ctrlPr>
              </m:sSubPr>
              <m:e>
                <m:r>
                  <w:rPr>
                    <w:rFonts w:ascii="Cambria Math" w:hAnsi="Cambria Math" w:cs="Arial"/>
                    <w:szCs w:val="18"/>
                    <w:lang w:val="en-US" w:eastAsia="ru-RU"/>
                  </w:rPr>
                  <m:t>c</m:t>
                </m:r>
              </m:e>
              <m:sub>
                <m:r>
                  <w:rPr>
                    <w:rFonts w:ascii="Cambria Math" w:hAnsi="Cambria Math" w:cs="Arial"/>
                    <w:szCs w:val="18"/>
                    <w:lang w:val="en-US" w:eastAsia="ru-RU"/>
                  </w:rPr>
                  <m:t>p</m:t>
                </m:r>
              </m:sub>
            </m:sSub>
            <m:r>
              <w:rPr>
                <w:rFonts w:ascii="Cambria Math" w:hAnsi="Cambria Math" w:cs="Arial"/>
                <w:szCs w:val="18"/>
                <w:lang w:val="en-US" w:eastAsia="ru-RU"/>
              </w:rPr>
              <m:t>μ</m:t>
            </m:r>
          </m:num>
          <m:den>
            <m:r>
              <w:rPr>
                <w:rFonts w:ascii="Cambria Math" w:hAnsi="Cambria Math" w:cs="Arial"/>
                <w:szCs w:val="18"/>
                <w:lang w:val="en-US" w:eastAsia="ru-RU"/>
              </w:rPr>
              <m:t>λ</m:t>
            </m:r>
          </m:den>
        </m:f>
      </m:oMath>
      <w:r w:rsidRPr="009C64B6">
        <w:rPr>
          <w:rFonts w:cs="Arial"/>
          <w:szCs w:val="18"/>
          <w:lang w:val="en-US" w:eastAsia="ru-RU"/>
        </w:rPr>
        <w:t>- Prandtl number.</w:t>
      </w:r>
    </w:p>
    <w:p w14:paraId="4DB85A12" w14:textId="77777777" w:rsidR="001B5D78" w:rsidRDefault="001B5D78" w:rsidP="001B5D78">
      <w:pPr>
        <w:pStyle w:val="aff1"/>
        <w:spacing w:before="120" w:after="120"/>
        <w:rPr>
          <w:rFonts w:cs="Arial"/>
          <w:b/>
          <w:bCs/>
          <w:sz w:val="18"/>
          <w:szCs w:val="18"/>
          <w:lang w:val="en-US"/>
        </w:rPr>
      </w:pPr>
      <w:r>
        <w:rPr>
          <w:rFonts w:cs="Arial"/>
          <w:b/>
          <w:bCs/>
          <w:sz w:val="18"/>
          <w:szCs w:val="18"/>
          <w:lang w:val="en-US"/>
        </w:rPr>
        <w:t xml:space="preserve">3. </w:t>
      </w:r>
      <w:r w:rsidRPr="009C64B6">
        <w:rPr>
          <w:rFonts w:cs="Arial"/>
          <w:b/>
          <w:bCs/>
          <w:sz w:val="18"/>
          <w:szCs w:val="18"/>
          <w:lang w:val="en-US"/>
        </w:rPr>
        <w:t>Results and Discussion</w:t>
      </w:r>
    </w:p>
    <w:p w14:paraId="34645023" w14:textId="77777777" w:rsidR="001B5D78" w:rsidRPr="009C64B6" w:rsidRDefault="001B5D78" w:rsidP="001B5D78">
      <w:pPr>
        <w:pStyle w:val="aff1"/>
        <w:spacing w:before="120" w:after="120"/>
        <w:rPr>
          <w:rFonts w:cs="Arial"/>
          <w:b/>
          <w:bCs/>
          <w:sz w:val="18"/>
          <w:szCs w:val="18"/>
          <w:lang w:val="en-US"/>
        </w:rPr>
      </w:pPr>
      <w:r>
        <w:rPr>
          <w:rFonts w:cs="Arial"/>
          <w:b/>
          <w:bCs/>
          <w:sz w:val="18"/>
          <w:szCs w:val="18"/>
          <w:lang w:val="en-US"/>
        </w:rPr>
        <w:t xml:space="preserve">3.1 </w:t>
      </w:r>
      <w:r w:rsidRPr="00EF1B40">
        <w:rPr>
          <w:rFonts w:cs="Arial"/>
          <w:b/>
          <w:bCs/>
          <w:sz w:val="18"/>
          <w:szCs w:val="18"/>
          <w:lang w:val="en-US"/>
        </w:rPr>
        <w:t>Hydraulic Resistance and Flow Behaviour</w:t>
      </w:r>
    </w:p>
    <w:p w14:paraId="07632243" w14:textId="77777777" w:rsidR="001B5D78" w:rsidRPr="009C64B6" w:rsidRDefault="001B5D78" w:rsidP="001B5D78">
      <w:pPr>
        <w:pStyle w:val="aff1"/>
        <w:rPr>
          <w:rFonts w:cs="Arial"/>
          <w:bCs/>
          <w:sz w:val="18"/>
          <w:szCs w:val="18"/>
          <w:lang w:val="en-US"/>
        </w:rPr>
      </w:pPr>
      <w:r w:rsidRPr="009C64B6">
        <w:rPr>
          <w:rFonts w:cs="Arial"/>
          <w:bCs/>
          <w:sz w:val="18"/>
          <w:szCs w:val="18"/>
          <w:lang w:val="en-US"/>
        </w:rPr>
        <w:t xml:space="preserve">The mixing processes of highly viscous media, such as bitumen and its modified compositions, are accompanied by significant hydraulic resistances. Accurate calculation of these resistances is crucial for ensuring the energy and operational efficiency of the equipment. </w:t>
      </w:r>
    </w:p>
    <w:p w14:paraId="30777B8D" w14:textId="7C0C4EC9" w:rsidR="001B5D78" w:rsidRPr="00FE1D20" w:rsidRDefault="001B5D78" w:rsidP="00FE1D20">
      <w:pPr>
        <w:pStyle w:val="aff1"/>
        <w:spacing w:after="120"/>
        <w:rPr>
          <w:rFonts w:cs="Arial"/>
          <w:sz w:val="18"/>
          <w:szCs w:val="18"/>
          <w:lang w:val="en-US"/>
        </w:rPr>
      </w:pPr>
      <w:r w:rsidRPr="009C64B6">
        <w:rPr>
          <w:rFonts w:cs="Arial"/>
          <w:bCs/>
          <w:sz w:val="18"/>
          <w:szCs w:val="18"/>
          <w:lang w:val="en-US"/>
        </w:rPr>
        <w:t>When transporting bitumen through pipelines, high pressure losses caused by viscosity and system design directly influence the selection of pumping equipment, pipe diameter, and overall energy consumption. Underestimating these resistances can lead to increased energy costs, material overheating, and a reduction in the quality of the final product.</w:t>
      </w:r>
    </w:p>
    <w:p w14:paraId="72CBA557" w14:textId="77777777" w:rsidR="001B5D78" w:rsidRPr="00AE6F69" w:rsidRDefault="001B5D78" w:rsidP="001B5D78">
      <w:pPr>
        <w:spacing w:line="240" w:lineRule="auto"/>
        <w:rPr>
          <w:rFonts w:eastAsia="SimSun" w:cs="Arial"/>
          <w:i/>
          <w:iCs/>
          <w:szCs w:val="18"/>
          <w:lang w:val="en-US" w:eastAsia="zh-CN" w:bidi="ar"/>
        </w:rPr>
      </w:pPr>
      <w:r w:rsidRPr="00AE6F69">
        <w:rPr>
          <w:rFonts w:eastAsiaTheme="majorEastAsia" w:cs="Arial"/>
          <w:i/>
          <w:iCs/>
          <w:szCs w:val="18"/>
          <w:lang w:val="en-US"/>
        </w:rPr>
        <w:t xml:space="preserve">Table 1: </w:t>
      </w:r>
      <w:r w:rsidRPr="00AE6F69">
        <w:rPr>
          <w:rFonts w:eastAsia="SimSun" w:cs="Arial"/>
          <w:i/>
          <w:iCs/>
          <w:szCs w:val="18"/>
          <w:lang w:val="en-US" w:eastAsia="zh-CN" w:bidi="ar"/>
        </w:rPr>
        <w:t>The Significance of Local Resistance</w:t>
      </w:r>
    </w:p>
    <w:tbl>
      <w:tblPr>
        <w:tblStyle w:val="afffb"/>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850"/>
      </w:tblGrid>
      <w:tr w:rsidR="001B5D78" w:rsidRPr="009C64B6" w14:paraId="6BA91F29" w14:textId="77777777" w:rsidTr="00852B33">
        <w:tc>
          <w:tcPr>
            <w:tcW w:w="2694" w:type="dxa"/>
            <w:tcBorders>
              <w:top w:val="single" w:sz="12" w:space="0" w:color="F79646" w:themeColor="accent6"/>
              <w:bottom w:val="single" w:sz="8" w:space="0" w:color="F79646" w:themeColor="accent6"/>
            </w:tcBorders>
          </w:tcPr>
          <w:p w14:paraId="0992ED23" w14:textId="77777777" w:rsidR="001B5D78" w:rsidRPr="00B12CC1" w:rsidRDefault="001B5D78" w:rsidP="00852B33">
            <w:pPr>
              <w:spacing w:line="240" w:lineRule="auto"/>
              <w:rPr>
                <w:rFonts w:eastAsia="SimSun" w:cs="Arial"/>
                <w:szCs w:val="18"/>
                <w:lang w:eastAsia="zh-CN" w:bidi="ar"/>
              </w:rPr>
            </w:pPr>
            <w:r w:rsidRPr="00B12CC1">
              <w:rPr>
                <w:rFonts w:eastAsia="SimSun" w:cs="Arial"/>
                <w:szCs w:val="18"/>
                <w:lang w:eastAsia="zh-CN" w:bidi="ar"/>
              </w:rPr>
              <w:t>Piping component</w:t>
            </w:r>
          </w:p>
        </w:tc>
        <w:tc>
          <w:tcPr>
            <w:tcW w:w="850" w:type="dxa"/>
            <w:tcBorders>
              <w:top w:val="single" w:sz="12" w:space="0" w:color="F79646" w:themeColor="accent6"/>
              <w:bottom w:val="single" w:sz="8" w:space="0" w:color="F79646" w:themeColor="accent6"/>
            </w:tcBorders>
          </w:tcPr>
          <w:p w14:paraId="64A01095" w14:textId="77777777" w:rsidR="001B5D78" w:rsidRPr="00C6599E" w:rsidRDefault="001B5D78" w:rsidP="00852B33">
            <w:pPr>
              <w:spacing w:line="240" w:lineRule="auto"/>
              <w:rPr>
                <w:rFonts w:eastAsia="SimSun" w:cs="Arial"/>
                <w:szCs w:val="18"/>
                <w:lang w:eastAsia="zh-CN" w:bidi="ar"/>
              </w:rPr>
            </w:pPr>
            <w:r w:rsidRPr="00C6599E">
              <w:rPr>
                <w:rFonts w:eastAsia="SimSun" w:cs="Arial"/>
                <w:szCs w:val="18"/>
                <w:lang w:val="en-US" w:eastAsia="zh-CN" w:bidi="ar"/>
              </w:rPr>
              <w:t>ξ</w:t>
            </w:r>
          </w:p>
        </w:tc>
      </w:tr>
      <w:tr w:rsidR="001B5D78" w:rsidRPr="009C64B6" w14:paraId="1F5D9B24" w14:textId="77777777" w:rsidTr="00852B33">
        <w:tc>
          <w:tcPr>
            <w:tcW w:w="2694" w:type="dxa"/>
            <w:tcBorders>
              <w:top w:val="single" w:sz="8" w:space="0" w:color="F79646" w:themeColor="accent6"/>
            </w:tcBorders>
          </w:tcPr>
          <w:p w14:paraId="521D4B79" w14:textId="77777777" w:rsidR="001B5D78" w:rsidRPr="009C64B6" w:rsidRDefault="001B5D78" w:rsidP="00852B33">
            <w:pPr>
              <w:spacing w:line="240" w:lineRule="auto"/>
              <w:rPr>
                <w:rFonts w:cs="Arial"/>
                <w:szCs w:val="18"/>
                <w:lang w:val="en-US"/>
              </w:rPr>
            </w:pPr>
            <w:r w:rsidRPr="009C64B6">
              <w:rPr>
                <w:rFonts w:cs="Arial"/>
                <w:szCs w:val="18"/>
                <w:lang w:val="en-US"/>
              </w:rPr>
              <w:t>Inlet to the mixer (sharp bend)</w:t>
            </w:r>
          </w:p>
        </w:tc>
        <w:tc>
          <w:tcPr>
            <w:tcW w:w="850" w:type="dxa"/>
            <w:tcBorders>
              <w:top w:val="single" w:sz="8" w:space="0" w:color="F79646" w:themeColor="accent6"/>
            </w:tcBorders>
          </w:tcPr>
          <w:p w14:paraId="48E54A3B" w14:textId="77777777" w:rsidR="001B5D78" w:rsidRPr="009C64B6" w:rsidRDefault="001B5D78" w:rsidP="00852B33">
            <w:pPr>
              <w:spacing w:line="240" w:lineRule="auto"/>
              <w:rPr>
                <w:rFonts w:eastAsia="SimSun" w:cs="Arial"/>
                <w:b/>
                <w:bCs/>
                <w:szCs w:val="18"/>
                <w:lang w:eastAsia="zh-CN" w:bidi="ar"/>
              </w:rPr>
            </w:pPr>
            <w:r w:rsidRPr="009C64B6">
              <w:rPr>
                <w:rFonts w:eastAsia="SimSun" w:cs="Arial"/>
                <w:szCs w:val="18"/>
                <w:lang w:val="en-US" w:eastAsia="zh-CN" w:bidi="ar"/>
              </w:rPr>
              <w:t>0</w:t>
            </w:r>
            <w:r w:rsidRPr="009C64B6">
              <w:rPr>
                <w:rFonts w:eastAsia="SimSun" w:cs="Arial"/>
                <w:szCs w:val="18"/>
                <w:lang w:eastAsia="zh-CN" w:bidi="ar"/>
              </w:rPr>
              <w:t>,</w:t>
            </w:r>
            <w:r w:rsidRPr="009C64B6">
              <w:rPr>
                <w:rFonts w:eastAsia="SimSun" w:cs="Arial"/>
                <w:szCs w:val="18"/>
                <w:lang w:val="en-US" w:eastAsia="zh-CN" w:bidi="ar"/>
              </w:rPr>
              <w:t>5</w:t>
            </w:r>
          </w:p>
        </w:tc>
      </w:tr>
      <w:tr w:rsidR="001B5D78" w:rsidRPr="009C64B6" w14:paraId="130EB143" w14:textId="77777777" w:rsidTr="00852B33">
        <w:tc>
          <w:tcPr>
            <w:tcW w:w="2694" w:type="dxa"/>
          </w:tcPr>
          <w:p w14:paraId="65158885" w14:textId="77777777" w:rsidR="001B5D78" w:rsidRPr="009C64B6" w:rsidRDefault="001B5D78" w:rsidP="00852B33">
            <w:pPr>
              <w:spacing w:line="240" w:lineRule="auto"/>
              <w:rPr>
                <w:rFonts w:cs="Arial"/>
                <w:szCs w:val="18"/>
              </w:rPr>
            </w:pPr>
            <w:r w:rsidRPr="009C64B6">
              <w:rPr>
                <w:rFonts w:cs="Arial"/>
                <w:szCs w:val="18"/>
              </w:rPr>
              <w:t>Outlet to the atmosphere</w:t>
            </w:r>
          </w:p>
        </w:tc>
        <w:tc>
          <w:tcPr>
            <w:tcW w:w="850" w:type="dxa"/>
          </w:tcPr>
          <w:p w14:paraId="06234B5C" w14:textId="77777777" w:rsidR="001B5D78" w:rsidRPr="009C64B6" w:rsidRDefault="001B5D78" w:rsidP="00852B33">
            <w:pPr>
              <w:spacing w:line="240" w:lineRule="auto"/>
              <w:rPr>
                <w:rFonts w:eastAsia="SimSun" w:cs="Arial"/>
                <w:b/>
                <w:bCs/>
                <w:szCs w:val="18"/>
                <w:lang w:eastAsia="zh-CN" w:bidi="ar"/>
              </w:rPr>
            </w:pPr>
            <w:r w:rsidRPr="009C64B6">
              <w:rPr>
                <w:rFonts w:eastAsia="SimSun" w:cs="Arial"/>
                <w:szCs w:val="18"/>
                <w:lang w:val="en-US" w:eastAsia="zh-CN" w:bidi="ar"/>
              </w:rPr>
              <w:t>1</w:t>
            </w:r>
            <w:r w:rsidRPr="009C64B6">
              <w:rPr>
                <w:rFonts w:eastAsia="SimSun" w:cs="Arial"/>
                <w:szCs w:val="18"/>
                <w:lang w:eastAsia="zh-CN" w:bidi="ar"/>
              </w:rPr>
              <w:t>,</w:t>
            </w:r>
            <w:r w:rsidRPr="009C64B6">
              <w:rPr>
                <w:rFonts w:eastAsia="SimSun" w:cs="Arial"/>
                <w:szCs w:val="18"/>
                <w:lang w:val="en-US" w:eastAsia="zh-CN" w:bidi="ar"/>
              </w:rPr>
              <w:t>0</w:t>
            </w:r>
          </w:p>
        </w:tc>
      </w:tr>
      <w:tr w:rsidR="001B5D78" w:rsidRPr="009C64B6" w14:paraId="0A801A4E" w14:textId="77777777" w:rsidTr="00852B33">
        <w:tc>
          <w:tcPr>
            <w:tcW w:w="2694" w:type="dxa"/>
          </w:tcPr>
          <w:p w14:paraId="35B30A97" w14:textId="77777777" w:rsidR="001B5D78" w:rsidRPr="009C64B6" w:rsidRDefault="001B5D78" w:rsidP="00852B33">
            <w:pPr>
              <w:spacing w:line="240" w:lineRule="auto"/>
              <w:rPr>
                <w:rFonts w:cs="Arial"/>
                <w:szCs w:val="18"/>
              </w:rPr>
            </w:pPr>
            <w:r w:rsidRPr="009C64B6">
              <w:rPr>
                <w:rFonts w:cs="Arial"/>
                <w:szCs w:val="18"/>
              </w:rPr>
              <w:t>90° elbow</w:t>
            </w:r>
          </w:p>
        </w:tc>
        <w:tc>
          <w:tcPr>
            <w:tcW w:w="850" w:type="dxa"/>
          </w:tcPr>
          <w:p w14:paraId="30AA25FD" w14:textId="77777777" w:rsidR="001B5D78" w:rsidRPr="009C64B6" w:rsidRDefault="001B5D78" w:rsidP="00852B33">
            <w:pPr>
              <w:spacing w:line="240" w:lineRule="auto"/>
              <w:rPr>
                <w:rFonts w:eastAsia="SimSun" w:cs="Arial"/>
                <w:b/>
                <w:bCs/>
                <w:szCs w:val="18"/>
                <w:lang w:eastAsia="zh-CN" w:bidi="ar"/>
              </w:rPr>
            </w:pPr>
            <w:r w:rsidRPr="009C64B6">
              <w:rPr>
                <w:rFonts w:eastAsia="SimSun" w:cs="Arial"/>
                <w:szCs w:val="18"/>
                <w:lang w:val="en-US" w:eastAsia="zh-CN" w:bidi="ar"/>
              </w:rPr>
              <w:t>0</w:t>
            </w:r>
            <w:r w:rsidRPr="009C64B6">
              <w:rPr>
                <w:rFonts w:eastAsia="SimSun" w:cs="Arial"/>
                <w:szCs w:val="18"/>
                <w:lang w:eastAsia="zh-CN" w:bidi="ar"/>
              </w:rPr>
              <w:t>,6</w:t>
            </w:r>
          </w:p>
        </w:tc>
      </w:tr>
      <w:tr w:rsidR="001B5D78" w:rsidRPr="009C64B6" w14:paraId="21E9ABC7" w14:textId="77777777" w:rsidTr="00852B33">
        <w:tc>
          <w:tcPr>
            <w:tcW w:w="2694" w:type="dxa"/>
            <w:tcBorders>
              <w:bottom w:val="single" w:sz="12" w:space="0" w:color="F79646" w:themeColor="accent6"/>
            </w:tcBorders>
          </w:tcPr>
          <w:p w14:paraId="6F7DC912" w14:textId="77777777" w:rsidR="001B5D78" w:rsidRPr="009C64B6" w:rsidRDefault="001B5D78" w:rsidP="00852B33">
            <w:pPr>
              <w:spacing w:line="240" w:lineRule="auto"/>
              <w:rPr>
                <w:rFonts w:cs="Arial"/>
                <w:szCs w:val="18"/>
              </w:rPr>
            </w:pPr>
            <w:r w:rsidRPr="009C64B6">
              <w:rPr>
                <w:rFonts w:cs="Arial"/>
                <w:szCs w:val="18"/>
              </w:rPr>
              <w:t>Gate valve fully open</w:t>
            </w:r>
          </w:p>
        </w:tc>
        <w:tc>
          <w:tcPr>
            <w:tcW w:w="850" w:type="dxa"/>
            <w:tcBorders>
              <w:bottom w:val="single" w:sz="12" w:space="0" w:color="F79646" w:themeColor="accent6"/>
            </w:tcBorders>
          </w:tcPr>
          <w:p w14:paraId="4797B438" w14:textId="77777777" w:rsidR="001B5D78" w:rsidRPr="009C64B6" w:rsidRDefault="001B5D78" w:rsidP="00852B33">
            <w:pPr>
              <w:spacing w:line="240" w:lineRule="auto"/>
              <w:rPr>
                <w:rFonts w:eastAsia="SimSun" w:cs="Arial"/>
                <w:b/>
                <w:bCs/>
                <w:szCs w:val="18"/>
                <w:lang w:eastAsia="zh-CN" w:bidi="ar"/>
              </w:rPr>
            </w:pPr>
            <w:r w:rsidRPr="009C64B6">
              <w:rPr>
                <w:rFonts w:eastAsia="SimSun" w:cs="Arial"/>
                <w:szCs w:val="18"/>
                <w:lang w:val="en-US" w:eastAsia="zh-CN" w:bidi="ar"/>
              </w:rPr>
              <w:t>0</w:t>
            </w:r>
            <w:r w:rsidRPr="009C64B6">
              <w:rPr>
                <w:rFonts w:eastAsia="SimSun" w:cs="Arial"/>
                <w:szCs w:val="18"/>
                <w:lang w:eastAsia="zh-CN" w:bidi="ar"/>
              </w:rPr>
              <w:t>,</w:t>
            </w:r>
            <w:r w:rsidRPr="009C64B6">
              <w:rPr>
                <w:rFonts w:eastAsia="SimSun" w:cs="Arial"/>
                <w:szCs w:val="18"/>
                <w:lang w:val="en-US" w:eastAsia="zh-CN" w:bidi="ar"/>
              </w:rPr>
              <w:t>1</w:t>
            </w:r>
            <w:r w:rsidRPr="009C64B6">
              <w:rPr>
                <w:rFonts w:eastAsia="SimSun" w:cs="Arial"/>
                <w:szCs w:val="18"/>
                <w:lang w:eastAsia="zh-CN" w:bidi="ar"/>
              </w:rPr>
              <w:t>-</w:t>
            </w:r>
            <w:r w:rsidRPr="009C64B6">
              <w:rPr>
                <w:rFonts w:eastAsia="SimSun" w:cs="Arial"/>
                <w:szCs w:val="18"/>
                <w:lang w:val="en-US" w:eastAsia="zh-CN" w:bidi="ar"/>
              </w:rPr>
              <w:t>0</w:t>
            </w:r>
            <w:r w:rsidRPr="009C64B6">
              <w:rPr>
                <w:rFonts w:eastAsia="SimSun" w:cs="Arial"/>
                <w:szCs w:val="18"/>
                <w:lang w:eastAsia="zh-CN" w:bidi="ar"/>
              </w:rPr>
              <w:t>,</w:t>
            </w:r>
            <w:r w:rsidRPr="009C64B6">
              <w:rPr>
                <w:rFonts w:eastAsia="SimSun" w:cs="Arial"/>
                <w:szCs w:val="18"/>
                <w:lang w:val="en-US" w:eastAsia="zh-CN" w:bidi="ar"/>
              </w:rPr>
              <w:t>2</w:t>
            </w:r>
          </w:p>
        </w:tc>
      </w:tr>
    </w:tbl>
    <w:p w14:paraId="1C6FA632" w14:textId="77777777" w:rsidR="001B5D78" w:rsidRPr="008A7CF0" w:rsidRDefault="001B5D78" w:rsidP="001B5D78">
      <w:pPr>
        <w:pStyle w:val="aff1"/>
        <w:spacing w:before="120" w:after="120"/>
        <w:rPr>
          <w:rFonts w:cs="Arial"/>
          <w:b/>
          <w:bCs/>
          <w:sz w:val="18"/>
          <w:szCs w:val="18"/>
          <w:lang w:val="en-US"/>
        </w:rPr>
      </w:pPr>
      <w:r w:rsidRPr="00ED2EEF">
        <w:rPr>
          <w:rFonts w:cs="Arial"/>
          <w:b/>
          <w:bCs/>
          <w:sz w:val="18"/>
          <w:szCs w:val="18"/>
          <w:lang w:val="en-US"/>
        </w:rPr>
        <w:t xml:space="preserve">3.2 </w:t>
      </w:r>
      <w:r w:rsidRPr="008A7CF0">
        <w:rPr>
          <w:rFonts w:cs="Arial"/>
          <w:b/>
          <w:bCs/>
          <w:sz w:val="18"/>
          <w:szCs w:val="18"/>
          <w:lang w:val="en-US"/>
        </w:rPr>
        <w:t>Mixing Performance and Power Requirements</w:t>
      </w:r>
    </w:p>
    <w:p w14:paraId="024788C9" w14:textId="77777777" w:rsidR="001B5D78" w:rsidRDefault="001B5D78" w:rsidP="001B5D78">
      <w:pPr>
        <w:spacing w:line="240" w:lineRule="auto"/>
        <w:rPr>
          <w:rFonts w:cs="Arial"/>
          <w:szCs w:val="18"/>
          <w:lang w:val="en-US"/>
        </w:rPr>
      </w:pPr>
      <w:r w:rsidRPr="009C64B6">
        <w:rPr>
          <w:rFonts w:cs="Arial"/>
          <w:szCs w:val="18"/>
          <w:lang w:val="en-US"/>
        </w:rPr>
        <w:t>In mixers, calculating the resistance of the blades to the flow of a viscous medium is necessary to determine the drive power, assess flow patterns, and ensure uniform mixing of modifiers. This is particularly relevant when working with bitumen, where heat and mass transfer processes are highly dependent on hydrodynamic resistance and flow characteristics.</w:t>
      </w:r>
    </w:p>
    <w:p w14:paraId="0D57387A" w14:textId="77777777" w:rsidR="001B5D78" w:rsidRPr="00ED2EEF" w:rsidRDefault="001B5D78" w:rsidP="001B5D78">
      <w:pPr>
        <w:spacing w:before="120" w:after="120" w:line="240" w:lineRule="auto"/>
        <w:rPr>
          <w:rFonts w:cs="Arial"/>
          <w:b/>
          <w:bCs/>
          <w:szCs w:val="18"/>
          <w:lang w:val="en-US"/>
        </w:rPr>
      </w:pPr>
      <w:r w:rsidRPr="00ED2EEF">
        <w:rPr>
          <w:rFonts w:cs="Arial"/>
          <w:b/>
          <w:bCs/>
          <w:szCs w:val="18"/>
          <w:lang w:val="en-US"/>
        </w:rPr>
        <w:t>3.3 Heat Transfer Performance and Heating Time</w:t>
      </w:r>
    </w:p>
    <w:p w14:paraId="020B6E3C" w14:textId="77777777" w:rsidR="00DC0AAC" w:rsidRDefault="00DC0AAC" w:rsidP="003B1163">
      <w:pPr>
        <w:pStyle w:val="aff1"/>
        <w:widowControl w:val="0"/>
        <w:spacing w:before="120"/>
        <w:rPr>
          <w:rFonts w:cs="Arial"/>
          <w:sz w:val="18"/>
          <w:szCs w:val="18"/>
          <w:lang w:val="en-US"/>
        </w:rPr>
      </w:pPr>
      <w:r w:rsidRPr="00DC0AAC">
        <w:rPr>
          <w:rFonts w:cs="Arial"/>
          <w:sz w:val="18"/>
          <w:szCs w:val="18"/>
          <w:lang w:val="en-US"/>
        </w:rPr>
        <w:t>To ensure effective heating of naphtha during the bitumen modification process, careful selection of the plate heat exchanger (PHE) capacity is essential, since it directly determines both the heating cycle time and the overall energy consumption of the process. Experimental calculations were performed for different crude oil masses and installed thermal capacities in order to evaluate their influence on the heating duration. Such an analysis makes it possible to determine the optimal operating conditions, improve thermal efficiency, reduce energy consumption and minimize equipment downtime during industrial operation.</w:t>
      </w:r>
    </w:p>
    <w:p w14:paraId="33D52989" w14:textId="555391C1" w:rsidR="001B5D78" w:rsidRPr="00AE6F69" w:rsidRDefault="001B5D78" w:rsidP="003B1163">
      <w:pPr>
        <w:pStyle w:val="aff1"/>
        <w:widowControl w:val="0"/>
        <w:spacing w:before="120"/>
        <w:rPr>
          <w:rFonts w:cs="Arial"/>
          <w:i/>
          <w:iCs/>
          <w:sz w:val="18"/>
          <w:szCs w:val="18"/>
          <w:lang w:val="en-US"/>
        </w:rPr>
      </w:pPr>
      <w:r w:rsidRPr="00AE6F69">
        <w:rPr>
          <w:rFonts w:eastAsiaTheme="majorEastAsia" w:cs="Arial"/>
          <w:i/>
          <w:iCs/>
          <w:sz w:val="18"/>
          <w:szCs w:val="18"/>
          <w:lang w:val="en-US"/>
        </w:rPr>
        <w:lastRenderedPageBreak/>
        <w:t xml:space="preserve">Table 2: </w:t>
      </w:r>
      <w:r w:rsidRPr="00AE6F69">
        <w:rPr>
          <w:rFonts w:cs="Arial"/>
          <w:i/>
          <w:iCs/>
          <w:sz w:val="18"/>
          <w:szCs w:val="18"/>
          <w:lang w:val="en-US"/>
        </w:rPr>
        <w:t xml:space="preserve">Results of Changes in Heating Time as </w:t>
      </w:r>
      <w:r>
        <w:rPr>
          <w:rFonts w:cs="Arial"/>
          <w:i/>
          <w:iCs/>
          <w:sz w:val="18"/>
          <w:szCs w:val="18"/>
          <w:lang w:val="en-US"/>
        </w:rPr>
        <w:t>a</w:t>
      </w:r>
      <w:r w:rsidRPr="00AE6F69">
        <w:rPr>
          <w:rFonts w:cs="Arial"/>
          <w:i/>
          <w:iCs/>
          <w:sz w:val="18"/>
          <w:szCs w:val="18"/>
          <w:lang w:val="en-US"/>
        </w:rPr>
        <w:t xml:space="preserve"> Function of PHE Power</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0"/>
        <w:gridCol w:w="1150"/>
        <w:gridCol w:w="1380"/>
      </w:tblGrid>
      <w:tr w:rsidR="001B5D78" w:rsidRPr="009C64B6" w14:paraId="167B37C4" w14:textId="77777777" w:rsidTr="003B1163">
        <w:trPr>
          <w:cantSplit/>
        </w:trPr>
        <w:tc>
          <w:tcPr>
            <w:tcW w:w="0" w:type="auto"/>
            <w:tcBorders>
              <w:top w:val="single" w:sz="12" w:space="0" w:color="F79646" w:themeColor="accent6"/>
              <w:bottom w:val="single" w:sz="8" w:space="0" w:color="F79646" w:themeColor="accent6"/>
            </w:tcBorders>
            <w:shd w:val="clear" w:color="auto" w:fill="auto"/>
            <w:vAlign w:val="center"/>
          </w:tcPr>
          <w:p w14:paraId="13A73EE5" w14:textId="77777777" w:rsidR="001B5D78" w:rsidRPr="003E0ADF" w:rsidRDefault="001B5D78" w:rsidP="00DE7763">
            <w:pPr>
              <w:widowControl w:val="0"/>
              <w:spacing w:line="240" w:lineRule="auto"/>
              <w:ind w:firstLine="23"/>
              <w:rPr>
                <w:rFonts w:cs="Arial"/>
                <w:szCs w:val="18"/>
                <w:lang w:eastAsia="ru-RU"/>
              </w:rPr>
            </w:pPr>
            <w:r w:rsidRPr="003E0ADF">
              <w:rPr>
                <w:rFonts w:eastAsia="SimSun" w:cs="Arial"/>
                <w:szCs w:val="18"/>
                <w:lang w:val="en-US" w:eastAsia="zh-CN" w:bidi="ar"/>
              </w:rPr>
              <w:t>Mass of naphtha</w:t>
            </w:r>
          </w:p>
        </w:tc>
        <w:tc>
          <w:tcPr>
            <w:tcW w:w="0" w:type="auto"/>
            <w:tcBorders>
              <w:top w:val="single" w:sz="12" w:space="0" w:color="F79646" w:themeColor="accent6"/>
              <w:bottom w:val="single" w:sz="8" w:space="0" w:color="F79646" w:themeColor="accent6"/>
            </w:tcBorders>
            <w:shd w:val="clear" w:color="auto" w:fill="auto"/>
            <w:vAlign w:val="center"/>
          </w:tcPr>
          <w:p w14:paraId="12248DAB" w14:textId="77777777" w:rsidR="001B5D78" w:rsidRPr="003E0ADF" w:rsidRDefault="001B5D78" w:rsidP="00DE7763">
            <w:pPr>
              <w:widowControl w:val="0"/>
              <w:spacing w:line="240" w:lineRule="auto"/>
              <w:ind w:firstLine="23"/>
              <w:rPr>
                <w:rFonts w:cs="Arial"/>
                <w:szCs w:val="18"/>
                <w:lang w:eastAsia="ru-RU"/>
              </w:rPr>
            </w:pPr>
            <w:r w:rsidRPr="003E0ADF">
              <w:rPr>
                <w:rFonts w:eastAsia="SimSun" w:cs="Arial"/>
                <w:szCs w:val="18"/>
                <w:lang w:val="en-US" w:eastAsia="zh-CN" w:bidi="ar"/>
              </w:rPr>
              <w:t>PHE power</w:t>
            </w:r>
          </w:p>
        </w:tc>
        <w:tc>
          <w:tcPr>
            <w:tcW w:w="0" w:type="auto"/>
            <w:tcBorders>
              <w:top w:val="single" w:sz="12" w:space="0" w:color="F79646" w:themeColor="accent6"/>
              <w:bottom w:val="single" w:sz="8" w:space="0" w:color="F79646" w:themeColor="accent6"/>
            </w:tcBorders>
            <w:shd w:val="clear" w:color="auto" w:fill="auto"/>
            <w:vAlign w:val="center"/>
          </w:tcPr>
          <w:p w14:paraId="1F5B8E9F" w14:textId="77777777" w:rsidR="001B5D78" w:rsidRPr="003E0ADF" w:rsidRDefault="001B5D78" w:rsidP="00DE7763">
            <w:pPr>
              <w:widowControl w:val="0"/>
              <w:spacing w:line="240" w:lineRule="auto"/>
              <w:ind w:firstLine="23"/>
              <w:rPr>
                <w:rFonts w:cs="Arial"/>
                <w:szCs w:val="18"/>
                <w:lang w:eastAsia="ru-RU"/>
              </w:rPr>
            </w:pPr>
            <w:r w:rsidRPr="001F733E">
              <w:rPr>
                <w:rFonts w:eastAsia="SimSun" w:cs="Arial"/>
                <w:szCs w:val="18"/>
                <w:lang w:val="en-US" w:eastAsia="zh-CN" w:bidi="ar"/>
              </w:rPr>
              <w:t xml:space="preserve">Heating </w:t>
            </w:r>
            <w:r>
              <w:rPr>
                <w:rFonts w:eastAsia="SimSun" w:cs="Arial"/>
                <w:szCs w:val="18"/>
                <w:lang w:val="en-US" w:eastAsia="zh-CN" w:bidi="ar"/>
              </w:rPr>
              <w:t>t</w:t>
            </w:r>
            <w:r w:rsidRPr="001F733E">
              <w:rPr>
                <w:rFonts w:eastAsia="SimSun" w:cs="Arial"/>
                <w:szCs w:val="18"/>
                <w:lang w:val="en-US" w:eastAsia="zh-CN" w:bidi="ar"/>
              </w:rPr>
              <w:t>ime</w:t>
            </w:r>
          </w:p>
        </w:tc>
      </w:tr>
      <w:tr w:rsidR="001B5D78" w:rsidRPr="009C64B6" w14:paraId="2C248920" w14:textId="77777777" w:rsidTr="003B1163">
        <w:trPr>
          <w:cantSplit/>
        </w:trPr>
        <w:tc>
          <w:tcPr>
            <w:tcW w:w="0" w:type="auto"/>
            <w:tcBorders>
              <w:top w:val="single" w:sz="8" w:space="0" w:color="F79646" w:themeColor="accent6"/>
            </w:tcBorders>
            <w:shd w:val="clear" w:color="auto" w:fill="auto"/>
            <w:vAlign w:val="center"/>
          </w:tcPr>
          <w:p w14:paraId="1017110E" w14:textId="77777777" w:rsidR="001B5D78" w:rsidRPr="009C64B6" w:rsidRDefault="001B5D78" w:rsidP="00DE7763">
            <w:pPr>
              <w:widowControl w:val="0"/>
              <w:spacing w:line="240" w:lineRule="auto"/>
              <w:ind w:firstLine="23"/>
              <w:rPr>
                <w:rFonts w:cs="Arial"/>
                <w:szCs w:val="18"/>
                <w:lang w:eastAsia="ru-RU"/>
              </w:rPr>
            </w:pPr>
            <w:r w:rsidRPr="009C64B6">
              <w:rPr>
                <w:rFonts w:eastAsia="SimSun" w:cs="Arial"/>
                <w:szCs w:val="18"/>
                <w:lang w:val="en-US" w:eastAsia="zh-CN" w:bidi="ar"/>
              </w:rPr>
              <w:t>500 kg</w:t>
            </w:r>
          </w:p>
        </w:tc>
        <w:tc>
          <w:tcPr>
            <w:tcW w:w="0" w:type="auto"/>
            <w:tcBorders>
              <w:top w:val="single" w:sz="8" w:space="0" w:color="F79646" w:themeColor="accent6"/>
            </w:tcBorders>
            <w:shd w:val="clear" w:color="auto" w:fill="auto"/>
            <w:vAlign w:val="center"/>
          </w:tcPr>
          <w:p w14:paraId="5FF5F810" w14:textId="77777777" w:rsidR="001B5D78" w:rsidRPr="009C64B6" w:rsidRDefault="001B5D78" w:rsidP="00DE7763">
            <w:pPr>
              <w:widowControl w:val="0"/>
              <w:spacing w:line="240" w:lineRule="auto"/>
              <w:ind w:firstLine="23"/>
              <w:rPr>
                <w:rFonts w:cs="Arial"/>
                <w:szCs w:val="18"/>
                <w:lang w:eastAsia="ru-RU"/>
              </w:rPr>
            </w:pPr>
            <w:r w:rsidRPr="009C64B6">
              <w:rPr>
                <w:rFonts w:eastAsia="SimSun" w:cs="Arial"/>
                <w:szCs w:val="18"/>
                <w:lang w:val="en-US" w:eastAsia="zh-CN" w:bidi="ar"/>
              </w:rPr>
              <w:t>50 kW</w:t>
            </w:r>
          </w:p>
        </w:tc>
        <w:tc>
          <w:tcPr>
            <w:tcW w:w="0" w:type="auto"/>
            <w:tcBorders>
              <w:top w:val="single" w:sz="8" w:space="0" w:color="F79646" w:themeColor="accent6"/>
            </w:tcBorders>
            <w:shd w:val="clear" w:color="auto" w:fill="auto"/>
            <w:vAlign w:val="center"/>
          </w:tcPr>
          <w:p w14:paraId="7A3A5D91" w14:textId="77777777" w:rsidR="001B5D78" w:rsidRPr="009C64B6" w:rsidRDefault="001B5D78" w:rsidP="00DE7763">
            <w:pPr>
              <w:widowControl w:val="0"/>
              <w:spacing w:line="240" w:lineRule="auto"/>
              <w:ind w:firstLine="23"/>
              <w:rPr>
                <w:rFonts w:cs="Arial"/>
                <w:szCs w:val="18"/>
                <w:lang w:eastAsia="ru-RU"/>
              </w:rPr>
            </w:pPr>
            <w:r w:rsidRPr="009C64B6">
              <w:rPr>
                <w:rFonts w:eastAsia="SimSun" w:cs="Arial"/>
                <w:szCs w:val="18"/>
                <w:lang w:val="en-US" w:eastAsia="zh-CN" w:bidi="ar"/>
              </w:rPr>
              <w:t>12</w:t>
            </w:r>
            <w:r w:rsidRPr="009C64B6">
              <w:rPr>
                <w:rFonts w:eastAsia="SimSun" w:cs="Arial"/>
                <w:szCs w:val="18"/>
                <w:lang w:eastAsia="zh-CN" w:bidi="ar"/>
              </w:rPr>
              <w:t>-</w:t>
            </w:r>
            <w:r w:rsidRPr="009C64B6">
              <w:rPr>
                <w:rFonts w:eastAsia="SimSun" w:cs="Arial"/>
                <w:szCs w:val="18"/>
                <w:lang w:val="en-US" w:eastAsia="zh-CN" w:bidi="ar"/>
              </w:rPr>
              <w:t>15 minutes</w:t>
            </w:r>
          </w:p>
        </w:tc>
      </w:tr>
      <w:tr w:rsidR="001B5D78" w:rsidRPr="009C64B6" w14:paraId="331AB46C" w14:textId="77777777" w:rsidTr="003B1163">
        <w:trPr>
          <w:cantSplit/>
        </w:trPr>
        <w:tc>
          <w:tcPr>
            <w:tcW w:w="0" w:type="auto"/>
            <w:shd w:val="clear" w:color="auto" w:fill="auto"/>
            <w:vAlign w:val="center"/>
          </w:tcPr>
          <w:p w14:paraId="10AD576F" w14:textId="77777777" w:rsidR="001B5D78" w:rsidRPr="009C64B6" w:rsidRDefault="001B5D78" w:rsidP="00DE7763">
            <w:pPr>
              <w:widowControl w:val="0"/>
              <w:spacing w:line="240" w:lineRule="auto"/>
              <w:ind w:firstLine="23"/>
              <w:rPr>
                <w:rFonts w:cs="Arial"/>
                <w:szCs w:val="18"/>
                <w:lang w:eastAsia="ru-RU"/>
              </w:rPr>
            </w:pPr>
            <w:r w:rsidRPr="009C64B6">
              <w:rPr>
                <w:rFonts w:eastAsia="SimSun" w:cs="Arial"/>
                <w:szCs w:val="18"/>
                <w:lang w:val="en-US" w:eastAsia="zh-CN" w:bidi="ar"/>
              </w:rPr>
              <w:t>1000 kg</w:t>
            </w:r>
          </w:p>
        </w:tc>
        <w:tc>
          <w:tcPr>
            <w:tcW w:w="0" w:type="auto"/>
            <w:shd w:val="clear" w:color="auto" w:fill="auto"/>
            <w:vAlign w:val="center"/>
          </w:tcPr>
          <w:p w14:paraId="650009C0" w14:textId="77777777" w:rsidR="001B5D78" w:rsidRPr="009C64B6" w:rsidRDefault="001B5D78" w:rsidP="00DE7763">
            <w:pPr>
              <w:widowControl w:val="0"/>
              <w:spacing w:line="240" w:lineRule="auto"/>
              <w:ind w:firstLine="23"/>
              <w:rPr>
                <w:rFonts w:cs="Arial"/>
                <w:szCs w:val="18"/>
                <w:lang w:eastAsia="ru-RU"/>
              </w:rPr>
            </w:pPr>
            <w:r w:rsidRPr="009C64B6">
              <w:rPr>
                <w:rFonts w:eastAsia="SimSun" w:cs="Arial"/>
                <w:szCs w:val="18"/>
                <w:lang w:val="en-US" w:eastAsia="zh-CN" w:bidi="ar"/>
              </w:rPr>
              <w:t>100 kW</w:t>
            </w:r>
          </w:p>
        </w:tc>
        <w:tc>
          <w:tcPr>
            <w:tcW w:w="0" w:type="auto"/>
            <w:shd w:val="clear" w:color="auto" w:fill="auto"/>
            <w:vAlign w:val="center"/>
          </w:tcPr>
          <w:p w14:paraId="4D82EF14" w14:textId="77777777" w:rsidR="001B5D78" w:rsidRPr="009C64B6" w:rsidRDefault="001B5D78" w:rsidP="00DE7763">
            <w:pPr>
              <w:widowControl w:val="0"/>
              <w:spacing w:line="240" w:lineRule="auto"/>
              <w:ind w:firstLine="23"/>
              <w:rPr>
                <w:rFonts w:cs="Arial"/>
                <w:szCs w:val="18"/>
                <w:lang w:eastAsia="ru-RU"/>
              </w:rPr>
            </w:pPr>
            <w:r w:rsidRPr="009C64B6">
              <w:rPr>
                <w:rFonts w:eastAsia="SimSun" w:cs="Arial"/>
                <w:szCs w:val="18"/>
                <w:lang w:val="en-US" w:eastAsia="zh-CN" w:bidi="ar"/>
              </w:rPr>
              <w:t>15</w:t>
            </w:r>
            <w:r w:rsidRPr="009C64B6">
              <w:rPr>
                <w:rFonts w:eastAsia="SimSun" w:cs="Arial"/>
                <w:szCs w:val="18"/>
                <w:lang w:eastAsia="zh-CN" w:bidi="ar"/>
              </w:rPr>
              <w:t>-</w:t>
            </w:r>
            <w:r w:rsidRPr="009C64B6">
              <w:rPr>
                <w:rFonts w:eastAsia="SimSun" w:cs="Arial"/>
                <w:szCs w:val="18"/>
                <w:lang w:val="en-US" w:eastAsia="zh-CN" w:bidi="ar"/>
              </w:rPr>
              <w:t>20 minutes</w:t>
            </w:r>
          </w:p>
        </w:tc>
      </w:tr>
      <w:tr w:rsidR="001B5D78" w:rsidRPr="009C64B6" w14:paraId="0CF70FB4" w14:textId="77777777" w:rsidTr="003B1163">
        <w:trPr>
          <w:cantSplit/>
        </w:trPr>
        <w:tc>
          <w:tcPr>
            <w:tcW w:w="0" w:type="auto"/>
            <w:tcBorders>
              <w:bottom w:val="single" w:sz="12" w:space="0" w:color="F79646" w:themeColor="accent6"/>
            </w:tcBorders>
            <w:shd w:val="clear" w:color="auto" w:fill="auto"/>
            <w:vAlign w:val="center"/>
          </w:tcPr>
          <w:p w14:paraId="22886B21" w14:textId="77777777" w:rsidR="001B5D78" w:rsidRPr="009C64B6" w:rsidRDefault="001B5D78" w:rsidP="00DE7763">
            <w:pPr>
              <w:widowControl w:val="0"/>
              <w:spacing w:line="240" w:lineRule="auto"/>
              <w:ind w:firstLine="23"/>
              <w:rPr>
                <w:rFonts w:cs="Arial"/>
                <w:szCs w:val="18"/>
                <w:lang w:eastAsia="ru-RU"/>
              </w:rPr>
            </w:pPr>
            <w:r w:rsidRPr="009C64B6">
              <w:rPr>
                <w:rFonts w:eastAsia="SimSun" w:cs="Arial"/>
                <w:szCs w:val="18"/>
                <w:lang w:val="en-US" w:eastAsia="zh-CN" w:bidi="ar"/>
              </w:rPr>
              <w:t>5000 kg</w:t>
            </w:r>
          </w:p>
        </w:tc>
        <w:tc>
          <w:tcPr>
            <w:tcW w:w="0" w:type="auto"/>
            <w:tcBorders>
              <w:bottom w:val="single" w:sz="12" w:space="0" w:color="F79646" w:themeColor="accent6"/>
            </w:tcBorders>
            <w:shd w:val="clear" w:color="auto" w:fill="auto"/>
            <w:vAlign w:val="center"/>
          </w:tcPr>
          <w:p w14:paraId="668286EF" w14:textId="77777777" w:rsidR="001B5D78" w:rsidRPr="009C64B6" w:rsidRDefault="001B5D78" w:rsidP="00DE7763">
            <w:pPr>
              <w:widowControl w:val="0"/>
              <w:spacing w:line="240" w:lineRule="auto"/>
              <w:ind w:firstLine="23"/>
              <w:rPr>
                <w:rFonts w:cs="Arial"/>
                <w:szCs w:val="18"/>
                <w:lang w:eastAsia="ru-RU"/>
              </w:rPr>
            </w:pPr>
            <w:r w:rsidRPr="009C64B6">
              <w:rPr>
                <w:rFonts w:eastAsia="SimSun" w:cs="Arial"/>
                <w:szCs w:val="18"/>
                <w:lang w:val="en-US" w:eastAsia="zh-CN" w:bidi="ar"/>
              </w:rPr>
              <w:t>200 kW</w:t>
            </w:r>
          </w:p>
        </w:tc>
        <w:tc>
          <w:tcPr>
            <w:tcW w:w="0" w:type="auto"/>
            <w:tcBorders>
              <w:bottom w:val="single" w:sz="12" w:space="0" w:color="F79646" w:themeColor="accent6"/>
            </w:tcBorders>
            <w:shd w:val="clear" w:color="auto" w:fill="auto"/>
            <w:vAlign w:val="center"/>
          </w:tcPr>
          <w:p w14:paraId="387F76A3" w14:textId="77777777" w:rsidR="001B5D78" w:rsidRPr="009C64B6" w:rsidRDefault="001B5D78" w:rsidP="00DE7763">
            <w:pPr>
              <w:widowControl w:val="0"/>
              <w:spacing w:line="240" w:lineRule="auto"/>
              <w:ind w:firstLine="23"/>
              <w:rPr>
                <w:rFonts w:cs="Arial"/>
                <w:szCs w:val="18"/>
                <w:lang w:eastAsia="ru-RU"/>
              </w:rPr>
            </w:pPr>
            <w:r w:rsidRPr="009C64B6">
              <w:rPr>
                <w:rFonts w:eastAsia="SimSun" w:cs="Arial"/>
                <w:szCs w:val="18"/>
                <w:lang w:val="en-US" w:eastAsia="zh-CN" w:bidi="ar"/>
              </w:rPr>
              <w:t>1</w:t>
            </w:r>
            <w:r w:rsidRPr="009C64B6">
              <w:rPr>
                <w:rFonts w:eastAsia="SimSun" w:cs="Arial"/>
                <w:szCs w:val="18"/>
                <w:lang w:eastAsia="zh-CN" w:bidi="ar"/>
              </w:rPr>
              <w:t>-</w:t>
            </w:r>
            <w:r w:rsidRPr="009C64B6">
              <w:rPr>
                <w:rFonts w:eastAsia="SimSun" w:cs="Arial"/>
                <w:szCs w:val="18"/>
                <w:lang w:val="en-US" w:eastAsia="zh-CN" w:bidi="ar"/>
              </w:rPr>
              <w:t>1,2 hours</w:t>
            </w:r>
          </w:p>
        </w:tc>
      </w:tr>
    </w:tbl>
    <w:p w14:paraId="7D22209D" w14:textId="320E00F2" w:rsidR="001B5D78" w:rsidRPr="000F5234" w:rsidRDefault="001B5D78" w:rsidP="001B5D78">
      <w:pPr>
        <w:pStyle w:val="aff1"/>
        <w:rPr>
          <w:rFonts w:cs="Arial"/>
          <w:sz w:val="12"/>
          <w:szCs w:val="12"/>
          <w:lang w:val="en-US"/>
        </w:rPr>
      </w:pPr>
    </w:p>
    <w:p w14:paraId="214A1807" w14:textId="75C83189" w:rsidR="001B5D78" w:rsidRDefault="00DC0AAC" w:rsidP="001B5D78">
      <w:pPr>
        <w:pStyle w:val="aff1"/>
        <w:rPr>
          <w:rFonts w:cs="Arial"/>
          <w:sz w:val="18"/>
          <w:szCs w:val="18"/>
          <w:lang w:val="en-US"/>
        </w:rPr>
      </w:pPr>
      <w:r w:rsidRPr="00DC0AAC">
        <w:rPr>
          <w:rFonts w:cs="Arial"/>
          <w:sz w:val="18"/>
          <w:szCs w:val="18"/>
          <w:lang w:val="en-US"/>
        </w:rPr>
        <w:t xml:space="preserve">Table 2 summarizes the calculated heating time of crude oil in a plate heat exchanger (PHE) as a function of product mass and installed thermal capacity. Increasing the crude oil mass from 500 to 5000 kg requires increasing the heat exchanger capacity from 50 to 200 kW to maintain an acceptable heating time. These results provide a basis for selecting the appropriate PHE capacity under different production conditions. </w:t>
      </w:r>
      <w:r w:rsidR="001B5D78">
        <w:rPr>
          <w:rFonts w:cs="Arial"/>
          <w:sz w:val="18"/>
          <w:szCs w:val="18"/>
          <w:lang w:val="en-US"/>
        </w:rPr>
        <w:t>(</w:t>
      </w:r>
      <w:r w:rsidR="001B5D78" w:rsidRPr="006852DC">
        <w:rPr>
          <w:rFonts w:cs="Arial"/>
          <w:sz w:val="18"/>
          <w:szCs w:val="18"/>
          <w:shd w:val="clear" w:color="auto" w:fill="FFFFFF"/>
          <w:lang w:val="en-US"/>
        </w:rPr>
        <w:t>Khurmamatov</w:t>
      </w:r>
      <w:r w:rsidR="001B5D78">
        <w:rPr>
          <w:rFonts w:cs="Arial"/>
          <w:sz w:val="18"/>
          <w:szCs w:val="18"/>
          <w:shd w:val="clear" w:color="auto" w:fill="FFFFFF"/>
          <w:lang w:val="en-US"/>
        </w:rPr>
        <w:t xml:space="preserve"> et al., 2024)</w:t>
      </w:r>
      <w:r w:rsidR="001B5D78" w:rsidRPr="009C64B6">
        <w:rPr>
          <w:rFonts w:cs="Arial"/>
          <w:sz w:val="18"/>
          <w:szCs w:val="18"/>
          <w:lang w:val="en-US"/>
        </w:rPr>
        <w:t>.</w:t>
      </w:r>
    </w:p>
    <w:p w14:paraId="32889B16" w14:textId="77777777" w:rsidR="001B5D78" w:rsidRPr="00ED2EEF" w:rsidRDefault="001B5D78" w:rsidP="001B5D78">
      <w:pPr>
        <w:pStyle w:val="aff1"/>
        <w:spacing w:before="120" w:after="120"/>
        <w:rPr>
          <w:rFonts w:cs="Arial"/>
          <w:b/>
          <w:bCs/>
          <w:sz w:val="18"/>
          <w:szCs w:val="18"/>
          <w:lang w:val="en-US"/>
        </w:rPr>
      </w:pPr>
      <w:r w:rsidRPr="00ED2EEF">
        <w:rPr>
          <w:rFonts w:cs="Arial"/>
          <w:b/>
          <w:bCs/>
          <w:sz w:val="18"/>
          <w:szCs w:val="18"/>
          <w:lang w:val="en-US"/>
        </w:rPr>
        <w:t>3.4 Thermophysical Properties and Heat Transfer Efficiency</w:t>
      </w:r>
    </w:p>
    <w:p w14:paraId="3DB26CF7" w14:textId="77777777" w:rsidR="001B5D78" w:rsidRPr="009C64B6" w:rsidRDefault="001B5D78" w:rsidP="001B5D78">
      <w:pPr>
        <w:pStyle w:val="aff1"/>
        <w:rPr>
          <w:rFonts w:cs="Arial"/>
          <w:sz w:val="18"/>
          <w:szCs w:val="18"/>
          <w:lang w:val="en-US"/>
        </w:rPr>
      </w:pPr>
      <w:r w:rsidRPr="009C64B6">
        <w:rPr>
          <w:rFonts w:cs="Arial"/>
          <w:sz w:val="18"/>
          <w:szCs w:val="18"/>
          <w:lang w:val="en-US"/>
        </w:rPr>
        <w:t>In addition, the thermal conductivity of the plates plays an important role in ensuring efficient heat transfer. Hot fluid: hot water. Water temperature: T</w:t>
      </w:r>
      <w:r w:rsidRPr="009C64B6">
        <w:rPr>
          <w:rFonts w:cs="Arial"/>
          <w:sz w:val="18"/>
          <w:szCs w:val="18"/>
          <w:vertAlign w:val="subscript"/>
          <w:lang w:val="en-US"/>
        </w:rPr>
        <w:t>in</w:t>
      </w:r>
      <w:r w:rsidRPr="009C64B6">
        <w:rPr>
          <w:rFonts w:cs="Arial"/>
          <w:sz w:val="18"/>
          <w:szCs w:val="18"/>
          <w:lang w:val="en-US"/>
        </w:rPr>
        <w:t xml:space="preserve"> = 90 °C, T</w:t>
      </w:r>
      <w:r w:rsidRPr="009C64B6">
        <w:rPr>
          <w:rFonts w:cs="Arial"/>
          <w:sz w:val="18"/>
          <w:szCs w:val="18"/>
          <w:vertAlign w:val="subscript"/>
          <w:lang w:val="en-US"/>
        </w:rPr>
        <w:t>out</w:t>
      </w:r>
      <w:r w:rsidRPr="009C64B6">
        <w:rPr>
          <w:rFonts w:cs="Arial"/>
          <w:sz w:val="18"/>
          <w:szCs w:val="18"/>
          <w:lang w:val="en-US"/>
        </w:rPr>
        <w:t xml:space="preserve"> = 70 °C. Condensation occurs on the plate surface. Cold fluid: light naphtha; T</w:t>
      </w:r>
      <w:r w:rsidRPr="009C64B6">
        <w:rPr>
          <w:rFonts w:cs="Arial"/>
          <w:sz w:val="18"/>
          <w:szCs w:val="18"/>
          <w:vertAlign w:val="subscript"/>
          <w:lang w:val="en-US"/>
        </w:rPr>
        <w:t>in</w:t>
      </w:r>
      <w:r w:rsidRPr="009C64B6">
        <w:rPr>
          <w:rFonts w:cs="Arial"/>
          <w:sz w:val="18"/>
          <w:szCs w:val="18"/>
          <w:lang w:val="en-US"/>
        </w:rPr>
        <w:t xml:space="preserve"> = 20 °C, T</w:t>
      </w:r>
      <w:r w:rsidRPr="009C64B6">
        <w:rPr>
          <w:rFonts w:cs="Arial"/>
          <w:sz w:val="18"/>
          <w:szCs w:val="18"/>
          <w:vertAlign w:val="subscript"/>
          <w:lang w:val="en-US"/>
        </w:rPr>
        <w:t>out</w:t>
      </w:r>
      <w:r w:rsidRPr="009C64B6">
        <w:rPr>
          <w:rFonts w:cs="Arial"/>
          <w:sz w:val="18"/>
          <w:szCs w:val="18"/>
          <w:lang w:val="en-US"/>
        </w:rPr>
        <w:t xml:space="preserve"> = 60 °C.</w:t>
      </w:r>
    </w:p>
    <w:p w14:paraId="010B0EA2" w14:textId="77777777" w:rsidR="001B5D78" w:rsidRPr="000F5234" w:rsidRDefault="001B5D78" w:rsidP="001B5D78">
      <w:pPr>
        <w:pStyle w:val="aff1"/>
        <w:jc w:val="center"/>
        <w:rPr>
          <w:rFonts w:cs="Arial"/>
          <w:b/>
          <w:bCs/>
          <w:sz w:val="16"/>
          <w:szCs w:val="16"/>
          <w:lang w:val="en-US"/>
        </w:rPr>
      </w:pPr>
    </w:p>
    <w:p w14:paraId="203D1A98" w14:textId="77777777" w:rsidR="001B5D78" w:rsidRPr="00AE6F69" w:rsidRDefault="001B5D78" w:rsidP="001B5D78">
      <w:pPr>
        <w:pStyle w:val="aff1"/>
        <w:rPr>
          <w:rFonts w:cs="Arial"/>
          <w:i/>
          <w:iCs/>
          <w:sz w:val="18"/>
          <w:szCs w:val="18"/>
          <w:lang w:val="en-US"/>
        </w:rPr>
      </w:pPr>
      <w:r w:rsidRPr="00AE6F69">
        <w:rPr>
          <w:rFonts w:eastAsiaTheme="majorEastAsia" w:cs="Arial"/>
          <w:i/>
          <w:iCs/>
          <w:sz w:val="18"/>
          <w:szCs w:val="18"/>
          <w:lang w:val="en-US"/>
        </w:rPr>
        <w:t xml:space="preserve">Table 3: </w:t>
      </w:r>
      <w:r w:rsidRPr="00AE6F69">
        <w:rPr>
          <w:rFonts w:cs="Arial"/>
          <w:i/>
          <w:iCs/>
          <w:sz w:val="18"/>
          <w:szCs w:val="18"/>
          <w:lang w:val="en-US"/>
        </w:rPr>
        <w:t>Key Performance Indicators of the Improved Plate Heat Exchanger</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
        <w:gridCol w:w="3107"/>
        <w:gridCol w:w="2268"/>
      </w:tblGrid>
      <w:tr w:rsidR="001B5D78" w:rsidRPr="009C64B6" w14:paraId="438ABF1C" w14:textId="77777777" w:rsidTr="00852B33">
        <w:tc>
          <w:tcPr>
            <w:tcW w:w="432" w:type="dxa"/>
            <w:tcBorders>
              <w:top w:val="single" w:sz="12" w:space="0" w:color="F79646" w:themeColor="accent6"/>
              <w:bottom w:val="single" w:sz="8" w:space="0" w:color="F79646" w:themeColor="accent6"/>
            </w:tcBorders>
          </w:tcPr>
          <w:p w14:paraId="63320678" w14:textId="77777777" w:rsidR="001B5D78" w:rsidRPr="00B12CC1" w:rsidRDefault="001B5D78" w:rsidP="00852B33">
            <w:pPr>
              <w:pStyle w:val="aff1"/>
              <w:ind w:firstLine="22"/>
              <w:jc w:val="center"/>
              <w:rPr>
                <w:rFonts w:cs="Arial"/>
                <w:sz w:val="18"/>
                <w:szCs w:val="18"/>
              </w:rPr>
            </w:pPr>
            <w:r w:rsidRPr="00B12CC1">
              <w:rPr>
                <w:rFonts w:cs="Arial"/>
                <w:sz w:val="18"/>
                <w:szCs w:val="18"/>
              </w:rPr>
              <w:t>№</w:t>
            </w:r>
          </w:p>
        </w:tc>
        <w:tc>
          <w:tcPr>
            <w:tcW w:w="3107" w:type="dxa"/>
            <w:tcBorders>
              <w:top w:val="single" w:sz="12" w:space="0" w:color="F79646" w:themeColor="accent6"/>
              <w:bottom w:val="single" w:sz="8" w:space="0" w:color="F79646" w:themeColor="accent6"/>
            </w:tcBorders>
          </w:tcPr>
          <w:p w14:paraId="112F195A" w14:textId="77777777" w:rsidR="001B5D78" w:rsidRPr="00B12CC1" w:rsidRDefault="001B5D78" w:rsidP="00852B33">
            <w:pPr>
              <w:pStyle w:val="aff1"/>
              <w:ind w:firstLine="22"/>
              <w:rPr>
                <w:rFonts w:cs="Arial"/>
                <w:sz w:val="18"/>
                <w:szCs w:val="18"/>
              </w:rPr>
            </w:pPr>
            <w:r w:rsidRPr="00B12CC1">
              <w:rPr>
                <w:rFonts w:cs="Arial"/>
                <w:sz w:val="18"/>
                <w:szCs w:val="18"/>
              </w:rPr>
              <w:t>Indicators</w:t>
            </w:r>
          </w:p>
        </w:tc>
        <w:tc>
          <w:tcPr>
            <w:tcW w:w="2268" w:type="dxa"/>
            <w:tcBorders>
              <w:top w:val="single" w:sz="12" w:space="0" w:color="F79646" w:themeColor="accent6"/>
              <w:bottom w:val="single" w:sz="8" w:space="0" w:color="F79646" w:themeColor="accent6"/>
            </w:tcBorders>
          </w:tcPr>
          <w:p w14:paraId="56EC5521" w14:textId="77777777" w:rsidR="001B5D78" w:rsidRPr="00B12CC1" w:rsidRDefault="001B5D78" w:rsidP="00852B33">
            <w:pPr>
              <w:pStyle w:val="aff1"/>
              <w:ind w:firstLine="22"/>
              <w:rPr>
                <w:rFonts w:cs="Arial"/>
                <w:sz w:val="18"/>
                <w:szCs w:val="18"/>
              </w:rPr>
            </w:pPr>
            <w:r w:rsidRPr="00B12CC1">
              <w:rPr>
                <w:rFonts w:cs="Arial"/>
                <w:sz w:val="18"/>
                <w:szCs w:val="18"/>
              </w:rPr>
              <w:t>Values</w:t>
            </w:r>
          </w:p>
        </w:tc>
      </w:tr>
      <w:tr w:rsidR="001B5D78" w:rsidRPr="009C64B6" w14:paraId="45E1F9D0" w14:textId="77777777" w:rsidTr="00852B33">
        <w:tc>
          <w:tcPr>
            <w:tcW w:w="432" w:type="dxa"/>
            <w:tcBorders>
              <w:top w:val="single" w:sz="8" w:space="0" w:color="F79646" w:themeColor="accent6"/>
            </w:tcBorders>
            <w:shd w:val="clear" w:color="auto" w:fill="auto"/>
          </w:tcPr>
          <w:p w14:paraId="3CD27322" w14:textId="77777777" w:rsidR="001B5D78" w:rsidRPr="009C64B6" w:rsidRDefault="001B5D78" w:rsidP="00852B33">
            <w:pPr>
              <w:pStyle w:val="aff1"/>
              <w:ind w:firstLine="22"/>
              <w:jc w:val="center"/>
              <w:rPr>
                <w:rStyle w:val="afffe"/>
                <w:rFonts w:cs="Arial"/>
                <w:b w:val="0"/>
                <w:bCs/>
                <w:sz w:val="18"/>
                <w:szCs w:val="18"/>
              </w:rPr>
            </w:pPr>
            <w:r w:rsidRPr="009C64B6">
              <w:rPr>
                <w:rStyle w:val="afffe"/>
                <w:rFonts w:cs="Arial"/>
                <w:bCs/>
                <w:sz w:val="18"/>
                <w:szCs w:val="18"/>
              </w:rPr>
              <w:t>1</w:t>
            </w:r>
          </w:p>
        </w:tc>
        <w:tc>
          <w:tcPr>
            <w:tcW w:w="3107" w:type="dxa"/>
            <w:tcBorders>
              <w:top w:val="single" w:sz="8" w:space="0" w:color="F79646" w:themeColor="accent6"/>
            </w:tcBorders>
            <w:shd w:val="clear" w:color="auto" w:fill="auto"/>
          </w:tcPr>
          <w:p w14:paraId="7097B0A5" w14:textId="77777777" w:rsidR="001B5D78" w:rsidRPr="009C64B6" w:rsidRDefault="001B5D78" w:rsidP="00852B33">
            <w:pPr>
              <w:spacing w:line="240" w:lineRule="auto"/>
              <w:ind w:firstLine="22"/>
              <w:rPr>
                <w:rFonts w:cs="Arial"/>
                <w:szCs w:val="18"/>
              </w:rPr>
            </w:pPr>
            <w:r w:rsidRPr="009C64B6">
              <w:rPr>
                <w:rFonts w:cs="Arial"/>
                <w:szCs w:val="18"/>
              </w:rPr>
              <w:t>Panel Material</w:t>
            </w:r>
          </w:p>
        </w:tc>
        <w:tc>
          <w:tcPr>
            <w:tcW w:w="2268" w:type="dxa"/>
            <w:tcBorders>
              <w:top w:val="single" w:sz="8" w:space="0" w:color="F79646" w:themeColor="accent6"/>
            </w:tcBorders>
            <w:shd w:val="clear" w:color="auto" w:fill="auto"/>
          </w:tcPr>
          <w:p w14:paraId="0660AD38" w14:textId="77777777" w:rsidR="001B5D78" w:rsidRPr="009C64B6" w:rsidRDefault="001B5D78" w:rsidP="00852B33">
            <w:pPr>
              <w:pStyle w:val="aff1"/>
              <w:ind w:firstLine="22"/>
              <w:rPr>
                <w:rFonts w:cs="Arial"/>
                <w:sz w:val="18"/>
                <w:szCs w:val="18"/>
              </w:rPr>
            </w:pPr>
            <w:r w:rsidRPr="009C64B6">
              <w:rPr>
                <w:rFonts w:cs="Arial"/>
                <w:sz w:val="18"/>
                <w:szCs w:val="18"/>
              </w:rPr>
              <w:t>stainless steel (AISI 316)</w:t>
            </w:r>
          </w:p>
        </w:tc>
      </w:tr>
      <w:tr w:rsidR="001B5D78" w:rsidRPr="009C64B6" w14:paraId="64535C6C" w14:textId="77777777" w:rsidTr="00852B33">
        <w:tc>
          <w:tcPr>
            <w:tcW w:w="432" w:type="dxa"/>
            <w:shd w:val="clear" w:color="auto" w:fill="auto"/>
          </w:tcPr>
          <w:p w14:paraId="09396A72" w14:textId="77777777" w:rsidR="001B5D78" w:rsidRPr="009C64B6" w:rsidRDefault="001B5D78" w:rsidP="00852B33">
            <w:pPr>
              <w:pStyle w:val="aff1"/>
              <w:ind w:firstLine="22"/>
              <w:jc w:val="center"/>
              <w:rPr>
                <w:rFonts w:cs="Arial"/>
                <w:sz w:val="18"/>
                <w:szCs w:val="18"/>
              </w:rPr>
            </w:pPr>
            <w:r w:rsidRPr="009C64B6">
              <w:rPr>
                <w:rFonts w:cs="Arial"/>
                <w:sz w:val="18"/>
                <w:szCs w:val="18"/>
              </w:rPr>
              <w:t>2</w:t>
            </w:r>
          </w:p>
        </w:tc>
        <w:tc>
          <w:tcPr>
            <w:tcW w:w="3107" w:type="dxa"/>
            <w:shd w:val="clear" w:color="auto" w:fill="auto"/>
          </w:tcPr>
          <w:p w14:paraId="7AB54EA2" w14:textId="77777777" w:rsidR="001B5D78" w:rsidRPr="009C64B6" w:rsidRDefault="001B5D78" w:rsidP="00852B33">
            <w:pPr>
              <w:spacing w:line="240" w:lineRule="auto"/>
              <w:ind w:firstLine="22"/>
              <w:rPr>
                <w:rFonts w:cs="Arial"/>
                <w:szCs w:val="18"/>
                <w:lang w:val="en-US"/>
              </w:rPr>
            </w:pPr>
            <w:r w:rsidRPr="009C64B6">
              <w:rPr>
                <w:rFonts w:cs="Arial"/>
                <w:szCs w:val="18"/>
                <w:lang w:val="en-US"/>
              </w:rPr>
              <w:t>Thermal Conductivity, W/(m·K)</w:t>
            </w:r>
          </w:p>
        </w:tc>
        <w:tc>
          <w:tcPr>
            <w:tcW w:w="2268" w:type="dxa"/>
            <w:shd w:val="clear" w:color="auto" w:fill="auto"/>
          </w:tcPr>
          <w:p w14:paraId="18969809" w14:textId="77777777" w:rsidR="001B5D78" w:rsidRPr="009C64B6" w:rsidRDefault="001B5D78" w:rsidP="00852B33">
            <w:pPr>
              <w:pStyle w:val="aff1"/>
              <w:ind w:firstLine="22"/>
              <w:rPr>
                <w:rFonts w:cs="Arial"/>
                <w:sz w:val="18"/>
                <w:szCs w:val="18"/>
              </w:rPr>
            </w:pPr>
            <w:r w:rsidRPr="009C64B6">
              <w:rPr>
                <w:rFonts w:eastAsia="SimSun" w:cs="Arial"/>
                <w:sz w:val="18"/>
                <w:szCs w:val="18"/>
                <w:lang w:val="en-US" w:eastAsia="zh-CN" w:bidi="ar"/>
              </w:rPr>
              <w:t>14,5</w:t>
            </w:r>
          </w:p>
        </w:tc>
      </w:tr>
      <w:tr w:rsidR="001B5D78" w:rsidRPr="009C64B6" w14:paraId="16E5001C" w14:textId="77777777" w:rsidTr="00852B33">
        <w:tc>
          <w:tcPr>
            <w:tcW w:w="432" w:type="dxa"/>
          </w:tcPr>
          <w:p w14:paraId="6D0D7C30" w14:textId="77777777" w:rsidR="001B5D78" w:rsidRPr="009C64B6" w:rsidRDefault="001B5D78" w:rsidP="00852B33">
            <w:pPr>
              <w:pStyle w:val="aff1"/>
              <w:ind w:firstLine="22"/>
              <w:jc w:val="center"/>
              <w:rPr>
                <w:rFonts w:cs="Arial"/>
                <w:sz w:val="18"/>
                <w:szCs w:val="18"/>
              </w:rPr>
            </w:pPr>
            <w:r w:rsidRPr="009C64B6">
              <w:rPr>
                <w:rFonts w:cs="Arial"/>
                <w:sz w:val="18"/>
                <w:szCs w:val="18"/>
              </w:rPr>
              <w:t>3</w:t>
            </w:r>
          </w:p>
        </w:tc>
        <w:tc>
          <w:tcPr>
            <w:tcW w:w="3107" w:type="dxa"/>
          </w:tcPr>
          <w:p w14:paraId="39623F4A" w14:textId="77777777" w:rsidR="001B5D78" w:rsidRPr="009C64B6" w:rsidRDefault="001B5D78" w:rsidP="00852B33">
            <w:pPr>
              <w:spacing w:line="240" w:lineRule="auto"/>
              <w:ind w:firstLine="22"/>
              <w:rPr>
                <w:rFonts w:cs="Arial"/>
                <w:szCs w:val="18"/>
              </w:rPr>
            </w:pPr>
            <w:r w:rsidRPr="009C64B6">
              <w:rPr>
                <w:rFonts w:cs="Arial"/>
                <w:szCs w:val="18"/>
              </w:rPr>
              <w:t>Panel Thickness, mm</w:t>
            </w:r>
          </w:p>
        </w:tc>
        <w:tc>
          <w:tcPr>
            <w:tcW w:w="2268" w:type="dxa"/>
          </w:tcPr>
          <w:p w14:paraId="0922CB7C" w14:textId="77777777" w:rsidR="001B5D78" w:rsidRPr="009C64B6" w:rsidRDefault="001B5D78" w:rsidP="00852B33">
            <w:pPr>
              <w:pStyle w:val="aff1"/>
              <w:ind w:firstLine="22"/>
              <w:rPr>
                <w:rFonts w:cs="Arial"/>
                <w:sz w:val="18"/>
                <w:szCs w:val="18"/>
              </w:rPr>
            </w:pPr>
            <w:r w:rsidRPr="009C64B6">
              <w:rPr>
                <w:rFonts w:cs="Arial"/>
                <w:sz w:val="18"/>
                <w:szCs w:val="18"/>
              </w:rPr>
              <w:t>0,6</w:t>
            </w:r>
          </w:p>
        </w:tc>
      </w:tr>
      <w:tr w:rsidR="001B5D78" w:rsidRPr="009C64B6" w14:paraId="2AE313A4" w14:textId="77777777" w:rsidTr="00852B33">
        <w:tc>
          <w:tcPr>
            <w:tcW w:w="432" w:type="dxa"/>
          </w:tcPr>
          <w:p w14:paraId="6A41DE27" w14:textId="77777777" w:rsidR="001B5D78" w:rsidRPr="009C64B6" w:rsidRDefault="001B5D78" w:rsidP="00852B33">
            <w:pPr>
              <w:pStyle w:val="aff1"/>
              <w:ind w:firstLine="22"/>
              <w:jc w:val="center"/>
              <w:rPr>
                <w:rFonts w:cs="Arial"/>
                <w:sz w:val="18"/>
                <w:szCs w:val="18"/>
              </w:rPr>
            </w:pPr>
            <w:r w:rsidRPr="009C64B6">
              <w:rPr>
                <w:rFonts w:cs="Arial"/>
                <w:sz w:val="18"/>
                <w:szCs w:val="18"/>
              </w:rPr>
              <w:t>4</w:t>
            </w:r>
          </w:p>
        </w:tc>
        <w:tc>
          <w:tcPr>
            <w:tcW w:w="3107" w:type="dxa"/>
          </w:tcPr>
          <w:p w14:paraId="7BF46FE8" w14:textId="77777777" w:rsidR="001B5D78" w:rsidRPr="009C64B6" w:rsidRDefault="001B5D78" w:rsidP="00852B33">
            <w:pPr>
              <w:spacing w:line="240" w:lineRule="auto"/>
              <w:ind w:firstLine="22"/>
              <w:rPr>
                <w:rFonts w:cs="Arial"/>
                <w:szCs w:val="18"/>
                <w:lang w:val="en-US"/>
              </w:rPr>
            </w:pPr>
            <w:r w:rsidRPr="009C64B6">
              <w:rPr>
                <w:rFonts w:cs="Arial"/>
                <w:szCs w:val="18"/>
                <w:lang w:val="en-US"/>
              </w:rPr>
              <w:t>Thermal Resistance, m²·K/W</w:t>
            </w:r>
          </w:p>
        </w:tc>
        <w:tc>
          <w:tcPr>
            <w:tcW w:w="2268" w:type="dxa"/>
          </w:tcPr>
          <w:p w14:paraId="6B760D24" w14:textId="77777777" w:rsidR="001B5D78" w:rsidRPr="009C64B6" w:rsidRDefault="001B5D78" w:rsidP="00852B33">
            <w:pPr>
              <w:pStyle w:val="aff1"/>
              <w:ind w:firstLine="22"/>
              <w:rPr>
                <w:rFonts w:cs="Arial"/>
                <w:sz w:val="18"/>
                <w:szCs w:val="18"/>
              </w:rPr>
            </w:pPr>
            <w:r w:rsidRPr="009C64B6">
              <w:rPr>
                <w:rFonts w:eastAsia="SimSun" w:cs="Arial"/>
                <w:sz w:val="18"/>
                <w:szCs w:val="18"/>
              </w:rPr>
              <w:t>4,1</w:t>
            </w:r>
            <w:r w:rsidRPr="009C64B6">
              <w:rPr>
                <w:rFonts w:ascii="Cambria Math" w:eastAsia="SimSun" w:hAnsi="Cambria Math" w:cs="Cambria Math"/>
                <w:sz w:val="18"/>
                <w:szCs w:val="18"/>
              </w:rPr>
              <w:t>⋅</w:t>
            </w:r>
            <w:r w:rsidRPr="009C64B6">
              <w:rPr>
                <w:rFonts w:eastAsia="SimSun" w:cs="Arial"/>
                <w:sz w:val="18"/>
                <w:szCs w:val="18"/>
              </w:rPr>
              <w:t>10</w:t>
            </w:r>
            <w:r w:rsidRPr="009C64B6">
              <w:rPr>
                <w:rFonts w:eastAsia="SimSun" w:cs="Arial"/>
                <w:sz w:val="18"/>
                <w:szCs w:val="18"/>
                <w:vertAlign w:val="superscript"/>
              </w:rPr>
              <w:t>−5</w:t>
            </w:r>
          </w:p>
        </w:tc>
      </w:tr>
      <w:tr w:rsidR="001B5D78" w:rsidRPr="009C64B6" w14:paraId="0803D94A" w14:textId="77777777" w:rsidTr="00852B33">
        <w:tc>
          <w:tcPr>
            <w:tcW w:w="432" w:type="dxa"/>
            <w:tcBorders>
              <w:bottom w:val="single" w:sz="12" w:space="0" w:color="F79646" w:themeColor="accent6"/>
            </w:tcBorders>
          </w:tcPr>
          <w:p w14:paraId="64755444" w14:textId="77777777" w:rsidR="001B5D78" w:rsidRPr="009C64B6" w:rsidRDefault="001B5D78" w:rsidP="00852B33">
            <w:pPr>
              <w:pStyle w:val="aff1"/>
              <w:ind w:firstLine="22"/>
              <w:jc w:val="center"/>
              <w:rPr>
                <w:rFonts w:cs="Arial"/>
                <w:sz w:val="18"/>
                <w:szCs w:val="18"/>
              </w:rPr>
            </w:pPr>
            <w:r w:rsidRPr="009C64B6">
              <w:rPr>
                <w:rFonts w:cs="Arial"/>
                <w:sz w:val="18"/>
                <w:szCs w:val="18"/>
              </w:rPr>
              <w:t>5</w:t>
            </w:r>
          </w:p>
        </w:tc>
        <w:tc>
          <w:tcPr>
            <w:tcW w:w="3107" w:type="dxa"/>
            <w:tcBorders>
              <w:bottom w:val="single" w:sz="12" w:space="0" w:color="F79646" w:themeColor="accent6"/>
            </w:tcBorders>
          </w:tcPr>
          <w:p w14:paraId="042E9ECE" w14:textId="77777777" w:rsidR="001B5D78" w:rsidRPr="009C64B6" w:rsidRDefault="001B5D78" w:rsidP="00852B33">
            <w:pPr>
              <w:spacing w:line="240" w:lineRule="auto"/>
              <w:ind w:firstLine="22"/>
              <w:rPr>
                <w:rFonts w:cs="Arial"/>
                <w:szCs w:val="18"/>
                <w:lang w:val="en-US"/>
              </w:rPr>
            </w:pPr>
            <w:r w:rsidRPr="009C64B6">
              <w:rPr>
                <w:rFonts w:cs="Arial"/>
                <w:szCs w:val="18"/>
                <w:lang w:val="en-US"/>
              </w:rPr>
              <w:t>Heat Transfer Coefficient, W/(m²·K)</w:t>
            </w:r>
          </w:p>
        </w:tc>
        <w:tc>
          <w:tcPr>
            <w:tcW w:w="2268" w:type="dxa"/>
            <w:tcBorders>
              <w:bottom w:val="single" w:sz="12" w:space="0" w:color="F79646" w:themeColor="accent6"/>
            </w:tcBorders>
          </w:tcPr>
          <w:p w14:paraId="0B8F001C" w14:textId="77777777" w:rsidR="001B5D78" w:rsidRPr="009C64B6" w:rsidRDefault="001B5D78" w:rsidP="00852B33">
            <w:pPr>
              <w:pStyle w:val="aff1"/>
              <w:ind w:firstLine="22"/>
              <w:rPr>
                <w:rFonts w:cs="Arial"/>
                <w:sz w:val="18"/>
                <w:szCs w:val="18"/>
              </w:rPr>
            </w:pPr>
            <w:r w:rsidRPr="009C64B6">
              <w:rPr>
                <w:rFonts w:cs="Arial"/>
                <w:sz w:val="18"/>
                <w:szCs w:val="18"/>
              </w:rPr>
              <w:t>750</w:t>
            </w:r>
          </w:p>
        </w:tc>
      </w:tr>
    </w:tbl>
    <w:p w14:paraId="16B39851" w14:textId="77777777" w:rsidR="001B5D78" w:rsidRDefault="001B5D78" w:rsidP="001B5D78">
      <w:pPr>
        <w:spacing w:line="240" w:lineRule="auto"/>
        <w:rPr>
          <w:rFonts w:cs="Arial"/>
          <w:szCs w:val="18"/>
          <w:lang w:val="en-US"/>
        </w:rPr>
      </w:pPr>
    </w:p>
    <w:p w14:paraId="02E72A41" w14:textId="77777777" w:rsidR="001B5D78" w:rsidRDefault="001B5D78" w:rsidP="001B5D78">
      <w:pPr>
        <w:spacing w:line="240" w:lineRule="auto"/>
        <w:rPr>
          <w:rFonts w:cs="Arial"/>
          <w:szCs w:val="18"/>
          <w:lang w:val="en-US"/>
        </w:rPr>
      </w:pPr>
      <w:r w:rsidRPr="009C64B6">
        <w:rPr>
          <w:rFonts w:cs="Arial"/>
          <w:szCs w:val="18"/>
          <w:lang w:val="en-US"/>
        </w:rPr>
        <w:t>Table 3 presents the main thermophysical and design characteristics of the plates in a plate heat exchanger used for heating light naphtha. AISI 316 stainless steel was selected as the plate material; it is widely used in heat exchange equipment in the petrochemical industry due to its high corrosion resistance and stable thermophysical properties. The thermal conductivity of the plate material is 14.5 W/(m·K), which corresponds to reference data for austenitic stainless steels. With a plate thickness of 0.6 mm, the thermal resistance of the wall is 4.1</w:t>
      </w:r>
      <w:r w:rsidRPr="009C64B6">
        <w:rPr>
          <w:rFonts w:ascii="Cambria Math" w:hAnsi="Cambria Math" w:cs="Cambria Math"/>
          <w:szCs w:val="18"/>
          <w:lang w:val="en-US"/>
        </w:rPr>
        <w:t>⋅</w:t>
      </w:r>
      <w:r w:rsidRPr="009C64B6">
        <w:rPr>
          <w:rFonts w:cs="Arial"/>
          <w:szCs w:val="18"/>
          <w:lang w:val="en-US"/>
        </w:rPr>
        <w:t>10</w:t>
      </w:r>
      <w:r w:rsidRPr="009C64B6">
        <w:rPr>
          <w:rFonts w:cs="Arial"/>
          <w:szCs w:val="18"/>
          <w:vertAlign w:val="superscript"/>
          <w:lang w:val="en-US"/>
        </w:rPr>
        <w:t>−5</w:t>
      </w:r>
      <w:r w:rsidRPr="009C64B6">
        <w:rPr>
          <w:rFonts w:cs="Arial"/>
          <w:szCs w:val="18"/>
          <w:lang w:val="en-US"/>
        </w:rPr>
        <w:t xml:space="preserve"> m²·K/W, which is a small value compared to the heat transfer resistances on the side of the heat transfer fluids. This indicates that the thermal conductivity of the plate has a negligible effect on the overall heat transfer process. The calculated heat transfer coefficient of the plate heat exchanger is 750 W/(m²·K), which is typical for heat exchangers of this type and confirms the high efficiency of heat exchange when using a “hot water–light naphtha” system. The main thermal resistance in this case is provided by the cold heat transfer fluid, while the contribution of the metal plate’s thermal conductivity is secondary </w:t>
      </w:r>
      <w:r>
        <w:rPr>
          <w:rFonts w:cs="Arial"/>
          <w:szCs w:val="18"/>
          <w:lang w:val="en-US"/>
        </w:rPr>
        <w:t>(</w:t>
      </w:r>
      <w:r w:rsidRPr="006852DC">
        <w:rPr>
          <w:rFonts w:cs="Arial"/>
          <w:szCs w:val="18"/>
          <w:shd w:val="clear" w:color="auto" w:fill="FFFFFF"/>
          <w:lang w:val="en-US"/>
        </w:rPr>
        <w:t>Yusupova</w:t>
      </w:r>
      <w:r>
        <w:rPr>
          <w:rFonts w:cs="Arial"/>
          <w:szCs w:val="18"/>
          <w:shd w:val="clear" w:color="auto" w:fill="FFFFFF"/>
          <w:lang w:val="en-US"/>
        </w:rPr>
        <w:t xml:space="preserve"> et al., 2026)</w:t>
      </w:r>
      <w:r w:rsidRPr="009C64B6">
        <w:rPr>
          <w:rFonts w:cs="Arial"/>
          <w:szCs w:val="18"/>
          <w:lang w:val="en-US"/>
        </w:rPr>
        <w:t>.</w:t>
      </w:r>
    </w:p>
    <w:p w14:paraId="794CB662" w14:textId="77777777" w:rsidR="001B5D78" w:rsidRPr="00ED2EEF" w:rsidRDefault="001B5D78" w:rsidP="001B5D78">
      <w:pPr>
        <w:spacing w:before="120" w:after="120" w:line="240" w:lineRule="auto"/>
        <w:rPr>
          <w:rFonts w:cs="Arial"/>
          <w:b/>
          <w:bCs/>
          <w:szCs w:val="18"/>
          <w:lang w:val="en-US"/>
        </w:rPr>
      </w:pPr>
      <w:r w:rsidRPr="00ED2EEF">
        <w:rPr>
          <w:rFonts w:cs="Arial"/>
          <w:b/>
          <w:bCs/>
          <w:szCs w:val="18"/>
          <w:lang w:val="en-US"/>
        </w:rPr>
        <w:t>3.5 Effect of Surface Geometry on Heat Transfer Enhancement</w:t>
      </w:r>
    </w:p>
    <w:p w14:paraId="0EFDC558" w14:textId="77777777" w:rsidR="001B5D78" w:rsidRPr="009C64B6" w:rsidRDefault="001B5D78" w:rsidP="001B5D78">
      <w:pPr>
        <w:spacing w:line="240" w:lineRule="auto"/>
        <w:rPr>
          <w:rFonts w:cs="Arial"/>
          <w:szCs w:val="18"/>
          <w:lang w:val="en-US"/>
        </w:rPr>
      </w:pPr>
      <w:r w:rsidRPr="009C64B6">
        <w:rPr>
          <w:rFonts w:cs="Arial"/>
          <w:szCs w:val="18"/>
          <w:lang w:val="en-US"/>
        </w:rPr>
        <w:t>The wavy surface of the plates in plate heat exchangers creates local vortices that increase turbulence and prevent the formation of stagnant zones. This results in a self-cleaning effect and reduces the flow resistance of the heat transfer fluid, thereby improving heat transfer performance and reducing the energy required for circulation.</w:t>
      </w:r>
    </w:p>
    <w:p w14:paraId="38886F33" w14:textId="77777777" w:rsidR="001B5D78" w:rsidRDefault="001B5D78" w:rsidP="001B5D78">
      <w:pPr>
        <w:spacing w:line="360" w:lineRule="auto"/>
        <w:rPr>
          <w:rFonts w:cs="Arial"/>
          <w:szCs w:val="18"/>
          <w:lang w:val="en-US"/>
        </w:rPr>
      </w:pPr>
      <w:r w:rsidRPr="000F5234">
        <w:rPr>
          <w:rFonts w:cs="Arial"/>
          <w:noProof/>
          <w:sz w:val="12"/>
          <w:szCs w:val="12"/>
          <w:lang w:eastAsia="ru-RU"/>
        </w:rPr>
        <w:drawing>
          <wp:inline distT="0" distB="0" distL="0" distR="0" wp14:anchorId="6921C682" wp14:editId="4FC958DE">
            <wp:extent cx="3182112" cy="875612"/>
            <wp:effectExtent l="0" t="0" r="0" b="1270"/>
            <wp:docPr id="2" name="Рисунок 2" descr="C:\Users\Админ\Downloads\ChatGPT Image 16 мар. 2026 г., 15_3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wnloads\ChatGPT Image 16 мар. 2026 г., 15_32_38.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4094" b="34630"/>
                    <a:stretch/>
                  </pic:blipFill>
                  <pic:spPr bwMode="auto">
                    <a:xfrm>
                      <a:off x="0" y="0"/>
                      <a:ext cx="3309265" cy="910600"/>
                    </a:xfrm>
                    <a:prstGeom prst="rect">
                      <a:avLst/>
                    </a:prstGeom>
                    <a:noFill/>
                    <a:ln>
                      <a:noFill/>
                    </a:ln>
                    <a:extLst>
                      <a:ext uri="{53640926-AAD7-44D8-BBD7-CCE9431645EC}">
                        <a14:shadowObscured xmlns:a14="http://schemas.microsoft.com/office/drawing/2010/main"/>
                      </a:ext>
                    </a:extLst>
                  </pic:spPr>
                </pic:pic>
              </a:graphicData>
            </a:graphic>
          </wp:inline>
        </w:drawing>
      </w:r>
    </w:p>
    <w:p w14:paraId="651ED423" w14:textId="77777777" w:rsidR="001B5D78" w:rsidRPr="00544766" w:rsidRDefault="001B5D78" w:rsidP="001B5D78">
      <w:pPr>
        <w:spacing w:line="360" w:lineRule="auto"/>
        <w:rPr>
          <w:rFonts w:ascii="Times New Roman" w:hAnsi="Times New Roman"/>
          <w:b/>
          <w:bCs/>
          <w:sz w:val="24"/>
          <w:szCs w:val="24"/>
          <w:lang w:val="en-US" w:eastAsia="ru-RU"/>
        </w:rPr>
      </w:pPr>
      <w:r w:rsidRPr="009C64B6">
        <w:rPr>
          <w:rFonts w:cs="Arial"/>
          <w:szCs w:val="18"/>
          <w:lang w:val="en-US"/>
        </w:rPr>
        <w:t xml:space="preserve">a) Traditional Plate Heat </w:t>
      </w:r>
      <w:r w:rsidRPr="000F5234">
        <w:rPr>
          <w:rFonts w:cs="Arial"/>
          <w:szCs w:val="18"/>
          <w:lang w:val="en-US"/>
        </w:rPr>
        <w:t>Exchanger</w:t>
      </w:r>
      <w:r w:rsidRPr="009C64B6">
        <w:rPr>
          <w:rFonts w:cs="Arial"/>
          <w:szCs w:val="18"/>
          <w:lang w:val="en-US"/>
        </w:rPr>
        <w:t xml:space="preserve"> Surfaces</w:t>
      </w:r>
    </w:p>
    <w:p w14:paraId="6ABD3008" w14:textId="77777777" w:rsidR="001B5D78" w:rsidRPr="00320C87" w:rsidRDefault="001B5D78" w:rsidP="001B5D78">
      <w:pPr>
        <w:spacing w:line="360" w:lineRule="auto"/>
        <w:rPr>
          <w:rFonts w:cs="Arial"/>
          <w:szCs w:val="18"/>
        </w:rPr>
      </w:pPr>
      <w:r w:rsidRPr="000F5234">
        <w:rPr>
          <w:rFonts w:cs="Arial"/>
          <w:noProof/>
          <w:sz w:val="12"/>
          <w:szCs w:val="12"/>
          <w:lang w:eastAsia="ru-RU"/>
        </w:rPr>
        <w:drawing>
          <wp:inline distT="0" distB="0" distL="0" distR="0" wp14:anchorId="7A632F36" wp14:editId="4A172067">
            <wp:extent cx="3160166" cy="952204"/>
            <wp:effectExtent l="0" t="0" r="2540" b="635"/>
            <wp:docPr id="3" name="Рисунок 3" descr="C:\Users\Админ\Downloads\ChatGPT Image 16 мар. 2026 г., 15_3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ownloads\ChatGPT Image 16 мар. 2026 г., 15_35_07.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5962" b="28841"/>
                    <a:stretch/>
                  </pic:blipFill>
                  <pic:spPr bwMode="auto">
                    <a:xfrm>
                      <a:off x="0" y="0"/>
                      <a:ext cx="3300405" cy="994460"/>
                    </a:xfrm>
                    <a:prstGeom prst="rect">
                      <a:avLst/>
                    </a:prstGeom>
                    <a:noFill/>
                    <a:ln>
                      <a:noFill/>
                    </a:ln>
                    <a:extLst>
                      <a:ext uri="{53640926-AAD7-44D8-BBD7-CCE9431645EC}">
                        <a14:shadowObscured xmlns:a14="http://schemas.microsoft.com/office/drawing/2010/main"/>
                      </a:ext>
                    </a:extLst>
                  </pic:spPr>
                </pic:pic>
              </a:graphicData>
            </a:graphic>
          </wp:inline>
        </w:drawing>
      </w:r>
    </w:p>
    <w:p w14:paraId="76E8A3A1" w14:textId="77777777" w:rsidR="001B5D78" w:rsidRPr="00303ED8" w:rsidRDefault="001B5D78" w:rsidP="001B5D78">
      <w:pPr>
        <w:spacing w:line="240" w:lineRule="auto"/>
        <w:rPr>
          <w:rFonts w:eastAsia="Calibri" w:cs="Arial"/>
          <w:szCs w:val="18"/>
          <w:lang w:val="en-US" w:eastAsia="ru-RU"/>
        </w:rPr>
      </w:pPr>
      <w:r w:rsidRPr="009C64B6">
        <w:rPr>
          <w:rFonts w:eastAsia="Calibri" w:cs="Arial"/>
          <w:szCs w:val="18"/>
          <w:lang w:val="en-US" w:eastAsia="ru-RU"/>
        </w:rPr>
        <w:t>b) Improved Surfaces of Plate Heat Exchangers</w:t>
      </w:r>
    </w:p>
    <w:p w14:paraId="55DA59F0" w14:textId="7D56393F" w:rsidR="001B5D78" w:rsidRPr="00C6599E" w:rsidRDefault="001B5D78" w:rsidP="001B5D78">
      <w:pPr>
        <w:spacing w:line="240" w:lineRule="auto"/>
        <w:rPr>
          <w:rFonts w:eastAsia="Calibri" w:cs="Arial"/>
          <w:bCs/>
          <w:i/>
          <w:iCs/>
          <w:szCs w:val="18"/>
          <w:lang w:val="en-US" w:eastAsia="ru-RU"/>
        </w:rPr>
      </w:pPr>
      <w:r w:rsidRPr="00F32C3A">
        <w:rPr>
          <w:rFonts w:eastAsia="Calibri" w:cs="Arial"/>
          <w:bCs/>
          <w:i/>
          <w:iCs/>
          <w:szCs w:val="18"/>
          <w:lang w:val="en-US" w:eastAsia="ru-RU"/>
        </w:rPr>
        <w:t>Figure 1</w:t>
      </w:r>
      <w:r w:rsidR="00165476">
        <w:rPr>
          <w:rFonts w:eastAsia="Calibri" w:cs="Arial"/>
          <w:bCs/>
          <w:i/>
          <w:iCs/>
          <w:szCs w:val="18"/>
          <w:lang w:val="en-US" w:eastAsia="ru-RU"/>
        </w:rPr>
        <w:t>:</w:t>
      </w:r>
      <w:r w:rsidRPr="00F32C3A">
        <w:rPr>
          <w:rFonts w:eastAsia="Calibri" w:cs="Arial"/>
          <w:bCs/>
          <w:i/>
          <w:iCs/>
          <w:szCs w:val="18"/>
          <w:lang w:val="en-US" w:eastAsia="ru-RU"/>
        </w:rPr>
        <w:t xml:space="preserve"> </w:t>
      </w:r>
      <w:r>
        <w:rPr>
          <w:rFonts w:eastAsia="Calibri" w:cs="Arial"/>
          <w:bCs/>
          <w:i/>
          <w:iCs/>
          <w:szCs w:val="18"/>
          <w:lang w:val="en-US" w:eastAsia="ru-RU"/>
        </w:rPr>
        <w:t xml:space="preserve">(a) </w:t>
      </w:r>
      <w:r w:rsidRPr="00F32C3A">
        <w:rPr>
          <w:rFonts w:eastAsia="Calibri" w:cs="Arial"/>
          <w:bCs/>
          <w:i/>
          <w:iCs/>
          <w:szCs w:val="18"/>
          <w:lang w:val="en-US" w:eastAsia="ru-RU"/>
        </w:rPr>
        <w:t xml:space="preserve">Comparison of Traditional </w:t>
      </w:r>
      <w:r>
        <w:rPr>
          <w:rFonts w:eastAsia="Calibri" w:cs="Arial"/>
          <w:bCs/>
          <w:i/>
          <w:iCs/>
          <w:szCs w:val="18"/>
          <w:lang w:val="en-US" w:eastAsia="ru-RU"/>
        </w:rPr>
        <w:t>a</w:t>
      </w:r>
      <w:r w:rsidRPr="00F32C3A">
        <w:rPr>
          <w:rFonts w:eastAsia="Calibri" w:cs="Arial"/>
          <w:bCs/>
          <w:i/>
          <w:iCs/>
          <w:szCs w:val="18"/>
          <w:lang w:val="en-US" w:eastAsia="ru-RU"/>
        </w:rPr>
        <w:t xml:space="preserve">nd </w:t>
      </w:r>
      <w:r>
        <w:rPr>
          <w:rFonts w:eastAsia="Calibri" w:cs="Arial"/>
          <w:bCs/>
          <w:i/>
          <w:iCs/>
          <w:szCs w:val="18"/>
          <w:lang w:val="en-US" w:eastAsia="ru-RU"/>
        </w:rPr>
        <w:t xml:space="preserve">(b) </w:t>
      </w:r>
      <w:r w:rsidRPr="00F32C3A">
        <w:rPr>
          <w:rFonts w:eastAsia="Calibri" w:cs="Arial"/>
          <w:bCs/>
          <w:i/>
          <w:iCs/>
          <w:szCs w:val="18"/>
          <w:lang w:val="en-US" w:eastAsia="ru-RU"/>
        </w:rPr>
        <w:t xml:space="preserve">Improved (Smooth) Corrugated Surfaces </w:t>
      </w:r>
      <w:r>
        <w:rPr>
          <w:rFonts w:eastAsia="Calibri" w:cs="Arial"/>
          <w:bCs/>
          <w:i/>
          <w:iCs/>
          <w:szCs w:val="18"/>
          <w:lang w:val="en-US" w:eastAsia="ru-RU"/>
        </w:rPr>
        <w:t>o</w:t>
      </w:r>
      <w:r w:rsidRPr="00F32C3A">
        <w:rPr>
          <w:rFonts w:eastAsia="Calibri" w:cs="Arial"/>
          <w:bCs/>
          <w:i/>
          <w:iCs/>
          <w:szCs w:val="18"/>
          <w:lang w:val="en-US" w:eastAsia="ru-RU"/>
        </w:rPr>
        <w:t xml:space="preserve">f </w:t>
      </w:r>
      <w:r>
        <w:rPr>
          <w:rFonts w:eastAsia="Calibri" w:cs="Arial"/>
          <w:bCs/>
          <w:i/>
          <w:iCs/>
          <w:szCs w:val="18"/>
          <w:lang w:val="en-US" w:eastAsia="ru-RU"/>
        </w:rPr>
        <w:t>a</w:t>
      </w:r>
      <w:r w:rsidRPr="00F32C3A">
        <w:rPr>
          <w:rFonts w:eastAsia="Calibri" w:cs="Arial"/>
          <w:bCs/>
          <w:i/>
          <w:iCs/>
          <w:szCs w:val="18"/>
          <w:lang w:val="en-US" w:eastAsia="ru-RU"/>
        </w:rPr>
        <w:t xml:space="preserve"> Plate Heat Exchanger</w:t>
      </w:r>
    </w:p>
    <w:p w14:paraId="34B92F2B" w14:textId="5FE53CAD" w:rsidR="001B5D78" w:rsidRDefault="001B5D78" w:rsidP="001B5D78">
      <w:pPr>
        <w:spacing w:line="240" w:lineRule="auto"/>
        <w:rPr>
          <w:rFonts w:eastAsia="Calibri" w:cs="Arial"/>
          <w:szCs w:val="18"/>
          <w:lang w:val="en-US" w:eastAsia="ru-RU"/>
        </w:rPr>
      </w:pPr>
      <w:r w:rsidRPr="009C64B6">
        <w:rPr>
          <w:rFonts w:eastAsia="Calibri" w:cs="Arial"/>
          <w:szCs w:val="18"/>
          <w:lang w:val="en-US" w:eastAsia="ru-RU"/>
        </w:rPr>
        <w:lastRenderedPageBreak/>
        <w:t>Fig</w:t>
      </w:r>
      <w:r w:rsidR="00555A1D">
        <w:rPr>
          <w:rFonts w:eastAsia="Calibri" w:cs="Arial"/>
          <w:szCs w:val="18"/>
          <w:lang w:val="en-US" w:eastAsia="ru-RU"/>
        </w:rPr>
        <w:t xml:space="preserve">. </w:t>
      </w:r>
      <w:r w:rsidRPr="009C64B6">
        <w:rPr>
          <w:rFonts w:eastAsia="Calibri" w:cs="Arial"/>
          <w:szCs w:val="18"/>
          <w:lang w:val="en-US" w:eastAsia="ru-RU"/>
        </w:rPr>
        <w:t>1a shows conventional corrugations with sharp corners, which create high hydraulic resistance and flow stagnation zones where deposits can accumulate. This design reduces heat transfer efficiency and requires regular cleaning. Fig</w:t>
      </w:r>
      <w:r w:rsidR="00555A1D">
        <w:rPr>
          <w:rFonts w:eastAsia="Calibri" w:cs="Arial"/>
          <w:szCs w:val="18"/>
          <w:lang w:val="en-US" w:eastAsia="ru-RU"/>
        </w:rPr>
        <w:t>.</w:t>
      </w:r>
      <w:r w:rsidRPr="009C64B6">
        <w:rPr>
          <w:rFonts w:eastAsia="Calibri" w:cs="Arial"/>
          <w:szCs w:val="18"/>
          <w:lang w:val="en-US" w:eastAsia="ru-RU"/>
        </w:rPr>
        <w:t xml:space="preserve"> 1b shows smooth corrugations with a microtexture, which ensure a more uniform flow distribution.</w:t>
      </w:r>
    </w:p>
    <w:p w14:paraId="3F535C70" w14:textId="77777777" w:rsidR="001B5D78" w:rsidRPr="00ED2EEF" w:rsidRDefault="001B5D78" w:rsidP="001B5D78">
      <w:pPr>
        <w:spacing w:before="120" w:after="120" w:line="240" w:lineRule="auto"/>
        <w:rPr>
          <w:rFonts w:cs="Arial"/>
          <w:b/>
          <w:bCs/>
          <w:szCs w:val="18"/>
          <w:lang w:val="en-US"/>
        </w:rPr>
      </w:pPr>
      <w:r w:rsidRPr="00ED2EEF">
        <w:rPr>
          <w:rFonts w:eastAsia="Calibri" w:cs="Arial"/>
          <w:b/>
          <w:bCs/>
          <w:szCs w:val="18"/>
          <w:lang w:val="en-US" w:eastAsia="ru-RU"/>
        </w:rPr>
        <w:t>3.6 Innovative Plate Design and Self-Cleaning Mechanism</w:t>
      </w:r>
    </w:p>
    <w:p w14:paraId="7C0E0A07" w14:textId="77777777" w:rsidR="001B5D78" w:rsidRDefault="001B5D78" w:rsidP="001B5D78">
      <w:pPr>
        <w:spacing w:line="360" w:lineRule="auto"/>
        <w:rPr>
          <w:rFonts w:ascii="Times New Roman" w:hAnsi="Times New Roman"/>
          <w:sz w:val="28"/>
          <w:szCs w:val="28"/>
        </w:rPr>
      </w:pPr>
      <w:r w:rsidRPr="00303ED8">
        <w:rPr>
          <w:rFonts w:cs="Arial"/>
          <w:noProof/>
          <w:szCs w:val="18"/>
          <w:lang w:eastAsia="ru-RU"/>
        </w:rPr>
        <w:drawing>
          <wp:inline distT="0" distB="0" distL="114300" distR="114300" wp14:anchorId="7442FDEF" wp14:editId="4914B6F4">
            <wp:extent cx="1436341" cy="1676400"/>
            <wp:effectExtent l="0" t="0" r="0" b="0"/>
            <wp:docPr id="1" name="Изображение 1" descr="2 Nadira apa 27.12.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2 Nadira apa 27.12.2025"/>
                    <pic:cNvPicPr>
                      <a:picLocks noChangeAspect="1"/>
                    </pic:cNvPicPr>
                  </pic:nvPicPr>
                  <pic:blipFill>
                    <a:blip r:embed="rId13"/>
                    <a:stretch>
                      <a:fillRect/>
                    </a:stretch>
                  </pic:blipFill>
                  <pic:spPr>
                    <a:xfrm>
                      <a:off x="0" y="0"/>
                      <a:ext cx="1446323" cy="1688051"/>
                    </a:xfrm>
                    <a:prstGeom prst="rect">
                      <a:avLst/>
                    </a:prstGeom>
                  </pic:spPr>
                </pic:pic>
              </a:graphicData>
            </a:graphic>
          </wp:inline>
        </w:drawing>
      </w:r>
    </w:p>
    <w:p w14:paraId="41A3AA79" w14:textId="103AA852" w:rsidR="001B5D78" w:rsidRPr="00F32C3A" w:rsidRDefault="001B5D78" w:rsidP="001B5D78">
      <w:pPr>
        <w:spacing w:line="240" w:lineRule="auto"/>
        <w:rPr>
          <w:rFonts w:cs="Arial"/>
          <w:i/>
          <w:iCs/>
          <w:szCs w:val="18"/>
          <w:lang w:val="en-US"/>
        </w:rPr>
      </w:pPr>
      <w:r w:rsidRPr="00F32C3A">
        <w:rPr>
          <w:rFonts w:cs="Arial"/>
          <w:i/>
          <w:iCs/>
          <w:szCs w:val="18"/>
          <w:lang w:val="en-US"/>
        </w:rPr>
        <w:t>Fig</w:t>
      </w:r>
      <w:r>
        <w:rPr>
          <w:rFonts w:cs="Arial"/>
          <w:i/>
          <w:iCs/>
          <w:szCs w:val="18"/>
          <w:lang w:val="en-US"/>
        </w:rPr>
        <w:t>ure</w:t>
      </w:r>
      <w:r w:rsidRPr="00F32C3A">
        <w:rPr>
          <w:rFonts w:cs="Arial"/>
          <w:i/>
          <w:iCs/>
          <w:szCs w:val="18"/>
          <w:lang w:val="en-US"/>
        </w:rPr>
        <w:t xml:space="preserve"> 2</w:t>
      </w:r>
      <w:r w:rsidR="00165476">
        <w:rPr>
          <w:rFonts w:cs="Arial"/>
          <w:i/>
          <w:iCs/>
          <w:szCs w:val="18"/>
          <w:lang w:val="en-US"/>
        </w:rPr>
        <w:t>:</w:t>
      </w:r>
      <w:r w:rsidRPr="00F32C3A">
        <w:rPr>
          <w:rFonts w:cs="Arial"/>
          <w:i/>
          <w:iCs/>
          <w:szCs w:val="18"/>
          <w:lang w:val="en-US"/>
        </w:rPr>
        <w:t xml:space="preserve"> Proposed New Plate Surface Design</w:t>
      </w:r>
    </w:p>
    <w:p w14:paraId="3ECFCE95" w14:textId="77777777" w:rsidR="001B5D78" w:rsidRPr="00320C87" w:rsidRDefault="001B5D78" w:rsidP="001B5D78">
      <w:pPr>
        <w:spacing w:line="240" w:lineRule="auto"/>
        <w:ind w:firstLine="567"/>
        <w:jc w:val="center"/>
        <w:rPr>
          <w:rFonts w:cs="Arial"/>
          <w:szCs w:val="18"/>
          <w:lang w:val="en-US"/>
        </w:rPr>
      </w:pPr>
    </w:p>
    <w:p w14:paraId="4534EFD0" w14:textId="5636E7B0" w:rsidR="001B5D78" w:rsidRPr="009C64B6" w:rsidRDefault="001B5D78" w:rsidP="001B5D78">
      <w:pPr>
        <w:spacing w:line="240" w:lineRule="auto"/>
        <w:rPr>
          <w:rFonts w:cs="Arial"/>
          <w:szCs w:val="18"/>
          <w:lang w:val="en-US"/>
        </w:rPr>
      </w:pPr>
      <w:r w:rsidRPr="009C64B6">
        <w:rPr>
          <w:rFonts w:cs="Arial"/>
          <w:bCs/>
          <w:szCs w:val="18"/>
          <w:lang w:val="en-US"/>
        </w:rPr>
        <w:t>Fig</w:t>
      </w:r>
      <w:r w:rsidR="00555A1D">
        <w:rPr>
          <w:rFonts w:cs="Arial"/>
          <w:bCs/>
          <w:szCs w:val="18"/>
          <w:lang w:val="en-US"/>
        </w:rPr>
        <w:t>.</w:t>
      </w:r>
      <w:r w:rsidRPr="009C64B6">
        <w:rPr>
          <w:rFonts w:cs="Arial"/>
          <w:bCs/>
          <w:szCs w:val="18"/>
          <w:lang w:val="en-US"/>
        </w:rPr>
        <w:t xml:space="preserve"> 2 shows the proposed new design for the plates of plate heat exchangers, featuring a new corrugation geometry that prevents the accumulation of contaminants. Smooth, yet micro-textured micro-notches that create a self-cleaning effect due to turbulent vortices. Localized zones with slight vibrations (mechanical micro-actuators) to prevent solid particles from settling.</w:t>
      </w:r>
    </w:p>
    <w:p w14:paraId="1AE0D58F" w14:textId="77777777" w:rsidR="001B5D78" w:rsidRPr="004E6B34" w:rsidRDefault="001B5D78" w:rsidP="001B5D78">
      <w:pPr>
        <w:spacing w:line="240" w:lineRule="auto"/>
        <w:rPr>
          <w:rFonts w:cs="Arial"/>
          <w:szCs w:val="18"/>
          <w:lang w:val="en-US"/>
        </w:rPr>
      </w:pPr>
      <w:r w:rsidRPr="009C64B6">
        <w:rPr>
          <w:rFonts w:cs="Arial"/>
          <w:szCs w:val="18"/>
          <w:lang w:val="en-US"/>
        </w:rPr>
        <w:t xml:space="preserve">The innovative design facilitates the integration of microactuators into corrugations or the creation of a “living” surface with a variable micro-relief. The plate features a classic 30° smooth chevron pattern, but the corrugated surface is coated with a microtexture: micro-notches measuring 80 </w:t>
      </w:r>
      <w:r w:rsidRPr="009C64B6">
        <w:rPr>
          <w:rFonts w:cs="Arial"/>
          <w:szCs w:val="18"/>
        </w:rPr>
        <w:t>μ</w:t>
      </w:r>
      <w:r w:rsidRPr="009C64B6">
        <w:rPr>
          <w:rFonts w:cs="Arial"/>
          <w:szCs w:val="18"/>
          <w:lang w:val="en-US"/>
        </w:rPr>
        <w:t xml:space="preserve">m. The spiral shape of the notches creates local turbulent vortices. This structure facilitates the continuous removal of contaminant films and prevents their adhesion. Micro-vibrators (piezoelectric elements) are built into the plates: periodic vibration at a frequency of 50–60 kHz. The vibration amplitude is sufficiently small (micrometers) to avoid damaging the plate, yet effectively dislodges contaminants and biofilm. Vibration is activated periodically in response to signals from contamination sensors. The microstructure creates conditions for the formation of vortices that “loosen” contaminants. Vibrations enhance the removal of contaminants, increasing the efficiency of self-cleaning. This approach reduces the need for chemical cleaning agents and frequent shutdowns of the heat exchanger </w:t>
      </w:r>
      <w:r>
        <w:rPr>
          <w:rFonts w:cs="Arial"/>
          <w:szCs w:val="18"/>
          <w:lang w:val="en-US"/>
        </w:rPr>
        <w:t>(</w:t>
      </w:r>
      <w:r w:rsidRPr="006852DC">
        <w:rPr>
          <w:rFonts w:cs="Arial"/>
          <w:szCs w:val="18"/>
          <w:shd w:val="clear" w:color="auto" w:fill="FFFFFF"/>
          <w:lang w:val="en-US"/>
        </w:rPr>
        <w:t>Khurmamatov</w:t>
      </w:r>
      <w:r>
        <w:rPr>
          <w:rFonts w:cs="Arial"/>
          <w:szCs w:val="18"/>
          <w:shd w:val="clear" w:color="auto" w:fill="FFFFFF"/>
          <w:lang w:val="en-US"/>
        </w:rPr>
        <w:t xml:space="preserve"> et al., 2025)</w:t>
      </w:r>
      <w:r w:rsidRPr="009C64B6">
        <w:rPr>
          <w:rFonts w:cs="Arial"/>
          <w:szCs w:val="18"/>
          <w:lang w:val="en-US"/>
        </w:rPr>
        <w:t>.</w:t>
      </w:r>
    </w:p>
    <w:p w14:paraId="3E6D7E01" w14:textId="77777777" w:rsidR="001B5D78" w:rsidRPr="00AE6F69" w:rsidRDefault="001B5D78" w:rsidP="001B5D78">
      <w:pPr>
        <w:spacing w:before="80" w:line="240" w:lineRule="auto"/>
        <w:rPr>
          <w:rFonts w:cs="Arial"/>
          <w:i/>
          <w:iCs/>
          <w:szCs w:val="18"/>
          <w:lang w:val="en-US"/>
        </w:rPr>
      </w:pPr>
      <w:r w:rsidRPr="00AE6F69">
        <w:rPr>
          <w:rFonts w:eastAsiaTheme="majorEastAsia" w:cs="Arial"/>
          <w:i/>
          <w:iCs/>
          <w:szCs w:val="18"/>
          <w:lang w:val="en-US"/>
        </w:rPr>
        <w:t>Table 4: Technical Specifications of the Proposed Plate Heat Exchanger</w:t>
      </w:r>
    </w:p>
    <w:tbl>
      <w:tblPr>
        <w:tblStyle w:val="af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5954"/>
      </w:tblGrid>
      <w:tr w:rsidR="001B5D78" w:rsidRPr="009C64B6" w14:paraId="757673C3" w14:textId="77777777" w:rsidTr="00852B33">
        <w:trPr>
          <w:trHeight w:val="219"/>
        </w:trPr>
        <w:tc>
          <w:tcPr>
            <w:tcW w:w="1838" w:type="dxa"/>
            <w:tcBorders>
              <w:top w:val="single" w:sz="12" w:space="0" w:color="F79646" w:themeColor="accent6"/>
              <w:bottom w:val="single" w:sz="8" w:space="0" w:color="F79646" w:themeColor="accent6"/>
            </w:tcBorders>
          </w:tcPr>
          <w:p w14:paraId="0987C8E7" w14:textId="77777777" w:rsidR="001B5D78" w:rsidRPr="00BF34B2" w:rsidRDefault="001B5D78" w:rsidP="00852B33">
            <w:pPr>
              <w:spacing w:line="240" w:lineRule="auto"/>
              <w:ind w:right="-68"/>
              <w:rPr>
                <w:rFonts w:cs="Arial"/>
                <w:bCs/>
                <w:szCs w:val="18"/>
              </w:rPr>
            </w:pPr>
            <w:r w:rsidRPr="00BF34B2">
              <w:rPr>
                <w:rFonts w:cs="Arial"/>
                <w:bCs/>
                <w:szCs w:val="18"/>
              </w:rPr>
              <w:t>Component</w:t>
            </w:r>
          </w:p>
        </w:tc>
        <w:tc>
          <w:tcPr>
            <w:tcW w:w="5954" w:type="dxa"/>
            <w:tcBorders>
              <w:top w:val="single" w:sz="12" w:space="0" w:color="F79646" w:themeColor="accent6"/>
              <w:bottom w:val="single" w:sz="8" w:space="0" w:color="F79646" w:themeColor="accent6"/>
            </w:tcBorders>
          </w:tcPr>
          <w:p w14:paraId="393305E8" w14:textId="77777777" w:rsidR="001B5D78" w:rsidRPr="00BF34B2" w:rsidRDefault="001B5D78" w:rsidP="00852B33">
            <w:pPr>
              <w:pStyle w:val="aff1"/>
              <w:rPr>
                <w:rFonts w:cs="Arial"/>
                <w:bCs/>
                <w:sz w:val="18"/>
                <w:szCs w:val="18"/>
              </w:rPr>
            </w:pPr>
            <w:r w:rsidRPr="00BF34B2">
              <w:rPr>
                <w:rFonts w:cs="Arial"/>
                <w:bCs/>
                <w:sz w:val="18"/>
                <w:szCs w:val="18"/>
              </w:rPr>
              <w:t>Description</w:t>
            </w:r>
          </w:p>
        </w:tc>
      </w:tr>
      <w:tr w:rsidR="001B5D78" w:rsidRPr="000216D9" w14:paraId="7F560BC6" w14:textId="77777777" w:rsidTr="00852B33">
        <w:tc>
          <w:tcPr>
            <w:tcW w:w="1838" w:type="dxa"/>
            <w:tcBorders>
              <w:top w:val="single" w:sz="8" w:space="0" w:color="F79646" w:themeColor="accent6"/>
            </w:tcBorders>
          </w:tcPr>
          <w:p w14:paraId="5C4401EA" w14:textId="77777777" w:rsidR="001B5D78" w:rsidRPr="009C64B6" w:rsidRDefault="001B5D78" w:rsidP="00852B33">
            <w:pPr>
              <w:spacing w:line="240" w:lineRule="auto"/>
              <w:rPr>
                <w:rFonts w:cs="Arial"/>
                <w:szCs w:val="18"/>
              </w:rPr>
            </w:pPr>
            <w:r w:rsidRPr="009C64B6">
              <w:rPr>
                <w:rFonts w:cs="Arial"/>
                <w:szCs w:val="18"/>
              </w:rPr>
              <w:t>Microstructure</w:t>
            </w:r>
          </w:p>
        </w:tc>
        <w:tc>
          <w:tcPr>
            <w:tcW w:w="5954" w:type="dxa"/>
            <w:tcBorders>
              <w:top w:val="single" w:sz="8" w:space="0" w:color="F79646" w:themeColor="accent6"/>
            </w:tcBorders>
          </w:tcPr>
          <w:p w14:paraId="380A5470" w14:textId="77777777" w:rsidR="001B5D78" w:rsidRPr="009C64B6" w:rsidRDefault="001B5D78" w:rsidP="00852B33">
            <w:pPr>
              <w:pStyle w:val="aff1"/>
              <w:rPr>
                <w:rFonts w:cs="Arial"/>
                <w:sz w:val="18"/>
                <w:szCs w:val="18"/>
                <w:lang w:val="en-US"/>
              </w:rPr>
            </w:pPr>
            <w:r w:rsidRPr="009C64B6">
              <w:rPr>
                <w:rFonts w:cs="Arial"/>
                <w:sz w:val="18"/>
                <w:szCs w:val="18"/>
                <w:lang w:val="en-US"/>
              </w:rPr>
              <w:t xml:space="preserve">Dimensions: 80 </w:t>
            </w:r>
            <w:r w:rsidRPr="009C64B6">
              <w:rPr>
                <w:rFonts w:cs="Arial"/>
                <w:sz w:val="18"/>
                <w:szCs w:val="18"/>
              </w:rPr>
              <w:t>μ</w:t>
            </w:r>
            <w:r w:rsidRPr="009C64B6">
              <w:rPr>
                <w:rFonts w:cs="Arial"/>
                <w:sz w:val="18"/>
                <w:szCs w:val="18"/>
                <w:lang w:val="en-US"/>
              </w:rPr>
              <w:t>m; groove pattern: spiral</w:t>
            </w:r>
          </w:p>
        </w:tc>
      </w:tr>
      <w:tr w:rsidR="001B5D78" w:rsidRPr="000216D9" w14:paraId="1CD17BB9" w14:textId="77777777" w:rsidTr="00852B33">
        <w:tc>
          <w:tcPr>
            <w:tcW w:w="1838" w:type="dxa"/>
          </w:tcPr>
          <w:p w14:paraId="230EA8E3" w14:textId="77777777" w:rsidR="001B5D78" w:rsidRPr="009C64B6" w:rsidRDefault="001B5D78" w:rsidP="00852B33">
            <w:pPr>
              <w:spacing w:line="240" w:lineRule="auto"/>
              <w:rPr>
                <w:rFonts w:cs="Arial"/>
                <w:szCs w:val="18"/>
              </w:rPr>
            </w:pPr>
            <w:r w:rsidRPr="009C64B6">
              <w:rPr>
                <w:rFonts w:cs="Arial"/>
                <w:szCs w:val="18"/>
              </w:rPr>
              <w:t>Microactuators</w:t>
            </w:r>
          </w:p>
        </w:tc>
        <w:tc>
          <w:tcPr>
            <w:tcW w:w="5954" w:type="dxa"/>
          </w:tcPr>
          <w:p w14:paraId="0471CCFB" w14:textId="77777777" w:rsidR="001B5D78" w:rsidRPr="009C64B6" w:rsidRDefault="001B5D78" w:rsidP="00852B33">
            <w:pPr>
              <w:pStyle w:val="aff1"/>
              <w:rPr>
                <w:rFonts w:cs="Arial"/>
                <w:sz w:val="18"/>
                <w:szCs w:val="18"/>
                <w:lang w:val="en-US"/>
              </w:rPr>
            </w:pPr>
            <w:r w:rsidRPr="009C64B6">
              <w:rPr>
                <w:rFonts w:cs="Arial"/>
                <w:sz w:val="18"/>
                <w:szCs w:val="18"/>
                <w:lang w:val="en-US"/>
              </w:rPr>
              <w:t>Piezoelectric plates integrated into the edge of the plate or into the frame</w:t>
            </w:r>
          </w:p>
        </w:tc>
      </w:tr>
      <w:tr w:rsidR="001B5D78" w:rsidRPr="009C64B6" w14:paraId="155E5BA9" w14:textId="77777777" w:rsidTr="00852B33">
        <w:tc>
          <w:tcPr>
            <w:tcW w:w="1838" w:type="dxa"/>
          </w:tcPr>
          <w:p w14:paraId="2B842713" w14:textId="77777777" w:rsidR="001B5D78" w:rsidRPr="009C64B6" w:rsidRDefault="001B5D78" w:rsidP="00852B33">
            <w:pPr>
              <w:spacing w:line="240" w:lineRule="auto"/>
              <w:rPr>
                <w:rFonts w:cs="Arial"/>
                <w:szCs w:val="18"/>
              </w:rPr>
            </w:pPr>
            <w:r w:rsidRPr="009C64B6">
              <w:rPr>
                <w:rFonts w:cs="Arial"/>
                <w:szCs w:val="18"/>
              </w:rPr>
              <w:t>Vibration frequency</w:t>
            </w:r>
          </w:p>
        </w:tc>
        <w:tc>
          <w:tcPr>
            <w:tcW w:w="5954" w:type="dxa"/>
          </w:tcPr>
          <w:p w14:paraId="07DBC698" w14:textId="77777777" w:rsidR="001B5D78" w:rsidRPr="009C64B6" w:rsidRDefault="001B5D78" w:rsidP="00852B33">
            <w:pPr>
              <w:pStyle w:val="aff1"/>
              <w:rPr>
                <w:rFonts w:cs="Arial"/>
                <w:sz w:val="18"/>
                <w:szCs w:val="18"/>
              </w:rPr>
            </w:pPr>
            <w:r w:rsidRPr="009C64B6">
              <w:rPr>
                <w:rFonts w:cs="Arial"/>
                <w:sz w:val="18"/>
                <w:szCs w:val="18"/>
              </w:rPr>
              <w:t>50–60 kHz</w:t>
            </w:r>
          </w:p>
        </w:tc>
      </w:tr>
      <w:tr w:rsidR="001B5D78" w:rsidRPr="000216D9" w14:paraId="67A7D3CB" w14:textId="77777777" w:rsidTr="00852B33">
        <w:tc>
          <w:tcPr>
            <w:tcW w:w="1838" w:type="dxa"/>
          </w:tcPr>
          <w:p w14:paraId="5FEF1CD6" w14:textId="77777777" w:rsidR="001B5D78" w:rsidRPr="009C64B6" w:rsidRDefault="001B5D78" w:rsidP="00852B33">
            <w:pPr>
              <w:spacing w:line="240" w:lineRule="auto"/>
              <w:rPr>
                <w:rFonts w:cs="Arial"/>
                <w:szCs w:val="18"/>
              </w:rPr>
            </w:pPr>
            <w:r w:rsidRPr="009C64B6">
              <w:rPr>
                <w:rFonts w:cs="Arial"/>
                <w:szCs w:val="18"/>
              </w:rPr>
              <w:t>Control</w:t>
            </w:r>
          </w:p>
        </w:tc>
        <w:tc>
          <w:tcPr>
            <w:tcW w:w="5954" w:type="dxa"/>
          </w:tcPr>
          <w:p w14:paraId="733231A7" w14:textId="77777777" w:rsidR="001B5D78" w:rsidRPr="009C64B6" w:rsidRDefault="001B5D78" w:rsidP="00852B33">
            <w:pPr>
              <w:pStyle w:val="aff1"/>
              <w:rPr>
                <w:rFonts w:cs="Arial"/>
                <w:sz w:val="18"/>
                <w:szCs w:val="18"/>
                <w:lang w:val="en-US"/>
              </w:rPr>
            </w:pPr>
            <w:r w:rsidRPr="009C64B6">
              <w:rPr>
                <w:rFonts w:cs="Arial"/>
                <w:sz w:val="18"/>
                <w:szCs w:val="18"/>
                <w:lang w:val="en-US"/>
              </w:rPr>
              <w:t>Automatic, using pressure and temperature sensors</w:t>
            </w:r>
          </w:p>
        </w:tc>
      </w:tr>
      <w:tr w:rsidR="001B5D78" w:rsidRPr="009C64B6" w14:paraId="68081A88" w14:textId="77777777" w:rsidTr="00852B33">
        <w:tc>
          <w:tcPr>
            <w:tcW w:w="1838" w:type="dxa"/>
            <w:tcBorders>
              <w:bottom w:val="single" w:sz="12" w:space="0" w:color="F79646" w:themeColor="accent6"/>
            </w:tcBorders>
          </w:tcPr>
          <w:p w14:paraId="2C7503F7" w14:textId="77777777" w:rsidR="001B5D78" w:rsidRPr="009C64B6" w:rsidRDefault="001B5D78" w:rsidP="00852B33">
            <w:pPr>
              <w:spacing w:line="240" w:lineRule="auto"/>
              <w:rPr>
                <w:rFonts w:cs="Arial"/>
                <w:szCs w:val="18"/>
              </w:rPr>
            </w:pPr>
            <w:r w:rsidRPr="009C64B6">
              <w:rPr>
                <w:rFonts w:cs="Arial"/>
                <w:szCs w:val="18"/>
              </w:rPr>
              <w:t>Plate material</w:t>
            </w:r>
          </w:p>
        </w:tc>
        <w:tc>
          <w:tcPr>
            <w:tcW w:w="5954" w:type="dxa"/>
            <w:tcBorders>
              <w:bottom w:val="single" w:sz="12" w:space="0" w:color="F79646" w:themeColor="accent6"/>
            </w:tcBorders>
          </w:tcPr>
          <w:p w14:paraId="2025DFD1" w14:textId="77777777" w:rsidR="001B5D78" w:rsidRPr="009C64B6" w:rsidRDefault="001B5D78" w:rsidP="00852B33">
            <w:pPr>
              <w:pStyle w:val="aff1"/>
              <w:rPr>
                <w:rFonts w:cs="Arial"/>
                <w:sz w:val="18"/>
                <w:szCs w:val="18"/>
              </w:rPr>
            </w:pPr>
            <w:r w:rsidRPr="009C64B6">
              <w:rPr>
                <w:rFonts w:cs="Arial"/>
                <w:sz w:val="18"/>
                <w:szCs w:val="18"/>
              </w:rPr>
              <w:t>Stainless steel</w:t>
            </w:r>
          </w:p>
        </w:tc>
      </w:tr>
    </w:tbl>
    <w:p w14:paraId="19EEC9CC" w14:textId="77777777" w:rsidR="001B5D78" w:rsidRPr="009C64B6" w:rsidRDefault="001B5D78" w:rsidP="001B5D78">
      <w:pPr>
        <w:spacing w:before="80" w:line="240" w:lineRule="auto"/>
        <w:rPr>
          <w:rFonts w:cs="Arial"/>
          <w:szCs w:val="18"/>
          <w:lang w:val="en-US"/>
        </w:rPr>
      </w:pPr>
      <w:r w:rsidRPr="009C64B6">
        <w:rPr>
          <w:rFonts w:cs="Arial"/>
          <w:szCs w:val="18"/>
          <w:lang w:val="en-US"/>
        </w:rPr>
        <w:t xml:space="preserve">Table 4 lists the main structural and functional elements of the improved plate in a plate heat exchanger with active heat transfer intensification. The plate surface features a microstructure characterized by spiral grooves approximately 80 </w:t>
      </w:r>
      <w:r w:rsidRPr="009C64B6">
        <w:rPr>
          <w:rFonts w:cs="Arial"/>
          <w:szCs w:val="18"/>
        </w:rPr>
        <w:t>μ</w:t>
      </w:r>
      <w:r w:rsidRPr="009C64B6">
        <w:rPr>
          <w:rFonts w:cs="Arial"/>
          <w:szCs w:val="18"/>
          <w:lang w:val="en-US"/>
        </w:rPr>
        <w:t>m in size, which promotes the formation of a developed turbulent flow structure and increases heat transfer intensity. To further intensify heat transfer and prevent deposits, the design incorporates microactuators based on piezoelectric plates, which are integrated into the edge of the plate or into the frame of the heat exchanger. The microactuators operate in the 50–60 kHz frequency range, which ensures the generation of high-frequency vibrations on the plate surfaces without compromising the unit’s integrity. The operating modes of the microactuators are controlled automatically using pressure and temperature sensors, which allows the intensity of the vibration to be adapted to current operating conditions. Stainless steel was selected as the plate material, providing the necessary corrosion resistance, mechanical strength, and compatibility with the working media.</w:t>
      </w:r>
    </w:p>
    <w:p w14:paraId="78C04A48" w14:textId="77777777" w:rsidR="001B5D78" w:rsidRPr="009C64B6" w:rsidRDefault="001B5D78" w:rsidP="001B5D78">
      <w:pPr>
        <w:spacing w:before="120" w:after="120" w:line="240" w:lineRule="auto"/>
        <w:rPr>
          <w:rFonts w:cs="Arial"/>
          <w:b/>
          <w:szCs w:val="18"/>
          <w:lang w:val="en-US"/>
        </w:rPr>
      </w:pPr>
      <w:r>
        <w:rPr>
          <w:rFonts w:cs="Arial"/>
          <w:b/>
          <w:szCs w:val="18"/>
          <w:lang w:val="en-US"/>
        </w:rPr>
        <w:t xml:space="preserve">4. </w:t>
      </w:r>
      <w:r w:rsidRPr="009C64B6">
        <w:rPr>
          <w:rFonts w:cs="Arial"/>
          <w:b/>
          <w:szCs w:val="18"/>
          <w:lang w:val="en-US"/>
        </w:rPr>
        <w:t>Conclusions</w:t>
      </w:r>
    </w:p>
    <w:p w14:paraId="03EEAEAF" w14:textId="77777777" w:rsidR="001B5D78" w:rsidRPr="00D732E5" w:rsidRDefault="001B5D78" w:rsidP="001B5D78">
      <w:pPr>
        <w:spacing w:line="240" w:lineRule="auto"/>
        <w:rPr>
          <w:rFonts w:cs="Arial"/>
          <w:szCs w:val="18"/>
          <w:lang w:val="en-US"/>
        </w:rPr>
      </w:pPr>
      <w:r w:rsidRPr="00D732E5">
        <w:rPr>
          <w:rFonts w:cs="Arial"/>
          <w:szCs w:val="18"/>
          <w:lang w:val="en-US"/>
        </w:rPr>
        <w:t>The analysis of local hydraulic resistances and the hydrodynamic resistance of agitator blades demonstrated that the correct selection of drive power and plate heat exchanger capacity is essential for efficient mixing and heating of highly viscous media such as bitumen and its modified compositions.</w:t>
      </w:r>
    </w:p>
    <w:p w14:paraId="76B0333B" w14:textId="77777777" w:rsidR="001B5D78" w:rsidRPr="00D732E5" w:rsidRDefault="001B5D78" w:rsidP="001B5D78">
      <w:pPr>
        <w:spacing w:line="240" w:lineRule="auto"/>
        <w:rPr>
          <w:rFonts w:cs="Arial"/>
          <w:szCs w:val="18"/>
          <w:lang w:val="en-US"/>
        </w:rPr>
      </w:pPr>
      <w:r w:rsidRPr="00D732E5">
        <w:rPr>
          <w:rFonts w:cs="Arial"/>
          <w:szCs w:val="18"/>
          <w:lang w:val="en-US"/>
        </w:rPr>
        <w:t>The calculated parameters of the plate heat exchanger ensure optimal heating times for different masses of crude oil while maintaining high heat transfer rates, energy efficiency, and process stability. The obtained overall heat transfer coefficient of approximately 750 W/(m²·K) confirms the high thermal performance of the system.</w:t>
      </w:r>
    </w:p>
    <w:p w14:paraId="60AA5F75" w14:textId="77777777" w:rsidR="001B5D78" w:rsidRDefault="001B5D78" w:rsidP="001B5D78">
      <w:pPr>
        <w:spacing w:line="240" w:lineRule="auto"/>
        <w:rPr>
          <w:rFonts w:cs="Arial"/>
          <w:szCs w:val="18"/>
          <w:lang w:val="en-US"/>
        </w:rPr>
      </w:pPr>
      <w:r w:rsidRPr="00D732E5">
        <w:rPr>
          <w:rFonts w:cs="Arial"/>
          <w:szCs w:val="18"/>
          <w:lang w:val="en-US"/>
        </w:rPr>
        <w:lastRenderedPageBreak/>
        <w:t>The proposed innovative plate design, combining a spiral microstructure (80 μm grooves) with integrated piezoelectric microactuators operating at 50–60 kHz, significantly enhances heat transfer efficiency by generating local turbulent vortices and inducing high-frequency vibrations. This self-cleaning mechanism effectively prevents deposit formation and reduces the need for frequent maintenance. The automatic control system based on pressure and temperature sensors allows adaptive operation, ensuring stable performance and lower operating costs of the heat exchanger.</w:t>
      </w:r>
    </w:p>
    <w:p w14:paraId="031D039E" w14:textId="77777777" w:rsidR="001B5D78" w:rsidRDefault="001B5D78" w:rsidP="001B5D78">
      <w:pPr>
        <w:spacing w:line="240" w:lineRule="auto"/>
        <w:rPr>
          <w:rFonts w:cs="Arial"/>
          <w:szCs w:val="18"/>
          <w:lang w:val="en-US"/>
        </w:rPr>
      </w:pPr>
    </w:p>
    <w:p w14:paraId="0B207E66" w14:textId="77777777" w:rsidR="001B5D78" w:rsidRDefault="001B5D78" w:rsidP="001B5D78">
      <w:pPr>
        <w:spacing w:line="240" w:lineRule="auto"/>
        <w:rPr>
          <w:rFonts w:cs="Arial"/>
          <w:szCs w:val="18"/>
          <w:lang w:val="en-US"/>
        </w:rPr>
      </w:pPr>
      <w:r w:rsidRPr="004E6B34">
        <w:rPr>
          <w:rFonts w:cs="Arial"/>
          <w:b/>
          <w:bCs/>
          <w:szCs w:val="18"/>
          <w:lang w:val="en-US"/>
        </w:rPr>
        <w:t>Acknowledgments.</w:t>
      </w:r>
      <w:r w:rsidRPr="004E6B34">
        <w:rPr>
          <w:rFonts w:cs="Arial"/>
          <w:szCs w:val="18"/>
          <w:lang w:val="en-US"/>
        </w:rPr>
        <w:t xml:space="preserve"> We express our sincere gratitude to the Almalyk State Technical Institute and the Tashkent Institute of Chemical Technology for their support in conducting this research.</w:t>
      </w:r>
    </w:p>
    <w:p w14:paraId="789DB2CB" w14:textId="77777777" w:rsidR="001B5D78" w:rsidRPr="00D732E5" w:rsidRDefault="001B5D78" w:rsidP="001B5D78">
      <w:pPr>
        <w:spacing w:before="240" w:after="120" w:line="240" w:lineRule="auto"/>
        <w:rPr>
          <w:rFonts w:eastAsia="SimSun" w:cs="Arial"/>
          <w:b/>
          <w:color w:val="000000"/>
          <w:szCs w:val="18"/>
          <w:lang w:val="en-US" w:eastAsia="zh-CN" w:bidi="ar"/>
        </w:rPr>
      </w:pPr>
      <w:r w:rsidRPr="00D732E5">
        <w:rPr>
          <w:rFonts w:eastAsia="SimSun" w:cs="Arial"/>
          <w:b/>
          <w:color w:val="000000"/>
          <w:szCs w:val="18"/>
          <w:lang w:val="en-US" w:eastAsia="zh-CN" w:bidi="ar"/>
        </w:rPr>
        <w:t>References</w:t>
      </w:r>
    </w:p>
    <w:p w14:paraId="1E21E36C"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Basha M., Shaahid S.M., Alhems L.M., 2020, Effect of Viscosity on Pressure Drop of Oil-Water Two Phase Flow in 6″ Horizontal and Inclined Stainless Steel Annulus Pipe, Journal of Advanced Research in Fluid Mechanics and Thermal Sciences, Vol 69, 2, 156–167.</w:t>
      </w:r>
    </w:p>
    <w:p w14:paraId="098381BA"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Bekibayev T., Zhapbasbayev U., Ramazanova G., Bossinov D., 2021, Oil pipeline hydraulic resistance coefficient identification, Cogent Engineering, Vol 8, 1, 1950303. doi.org/10.1080/23311916.2021.1950303</w:t>
      </w:r>
    </w:p>
    <w:p w14:paraId="44FBA874"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Bekibayev T., Zhapbasbayev U., Ramazanova G., 2022, Optimal regimes of heavy oil transportation through a heated pipeline, Journal of Process Control, Vol 115, 27–35. doi.org/10.1016/j.jprocont.2022.04.020</w:t>
      </w:r>
    </w:p>
    <w:p w14:paraId="4F2343F6"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Brito A., Guzmán N., Rojas-Solórzano L.R., 2018, Rheological study of two- and three-phase highly viscous fluid flow in pipelines, Journal of Petroleum Science and Engineering, Vol 170, 772–784.</w:t>
      </w:r>
    </w:p>
    <w:p w14:paraId="7568D6BF"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Bulgakov I.S., Sekisova I.A., Terekhin Y.P., 2014, Issledovanie zavisimosti koeffitsienta gidravlicheskogo treniya zhidkosti (λ) ot chisla Reynoldsa (Re) primenitelno k gidroprivodu, GIAB, 6. (in Russian).</w:t>
      </w:r>
    </w:p>
    <w:p w14:paraId="30B113CD"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Hapanowicz J., Szydłowska A., Żak K., 2024, A method of predicting the two-phase liquid-liquid flow resistance in a horizontal pipe with a layer of metal foam, International Journal of Multiphase Flow, Vol 171, 104687. doi.org/10.1016/j.ijmultiphaseflow.2023.104687</w:t>
      </w:r>
    </w:p>
    <w:p w14:paraId="0DD7240F" w14:textId="77777777" w:rsidR="005A0E73" w:rsidRDefault="005A0E73" w:rsidP="000108C7">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Ilina L., Goncharov N., Shagarova A., 2019, Experimental Research on Reducing Hydraulic Resistance When Transporting High-Viscosity Mediums, In: Proceedings of the 5th International Conference on Industrial Engineering (ICIE 2019), Lecture Notes in Mechanical Engineering, Springer, Cham, pp. 1369–1376. doi.org/10.1007/978-3-030-22063-1_144</w:t>
      </w:r>
    </w:p>
    <w:p w14:paraId="45AA8D3F" w14:textId="77777777" w:rsidR="005A0E73" w:rsidRDefault="005A0E73" w:rsidP="000108C7">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Ilina L., Goncharov N., Shagarova A., 2020, Experimental Research on Reducing Hydraulic Resistance When Transporting High-Viscosity Fluids by Pipeline, Lecture Notes in Mechanical Engineering, pp. 1369–1376. doi.org/10.1007/978-3-030-22063-1_144</w:t>
      </w:r>
    </w:p>
    <w:p w14:paraId="44ACC2A9"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Khurmamatov A.M., Yusupova N.K., Alimov N.P., Berdimbetov S.B., Khametov Z.M., 2024, Method for Increasing the Volume of Hydrocarbon Raw Materials Through Waste Processing, Doklady Chemistry, Vol 515, Parts 1–2, pp. 63–69. doi.org/10.1134/S0012500824600627</w:t>
      </w:r>
    </w:p>
    <w:p w14:paraId="48B3716A"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Khurmamatov A.M., Akhmedova K.Sh., Sidikov G.O., Xudoyberganov A.A., 2025, Waste Tire-Based Pyrolysis for Synthetic Fuel and Study of Its Properties, Nafta-Gaz, No 6, pp. 389–396. doi.org/10.18668/NG.2025.06.03</w:t>
      </w:r>
    </w:p>
    <w:p w14:paraId="34762B2C"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Konakhina I.A., Dmitriev A.V., Terekhov V.I., 2018, Heat Transfer for Laminar Viscous Flows in a Tube Fitted with Triple Twisted Fins on Rod Under Large Peclet Numbers, Izvestiya Vysshikh Uchebnykh Zavedenii. Problemy Energetiki, Vol 20, 11–12, pp. 161–169.</w:t>
      </w:r>
    </w:p>
    <w:p w14:paraId="542BBDCC"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Mitishita R.S., Chhabra R.P., Oliveira M.S.N., 2018, Pressure Transmission in Yield Stress Fluids – An Experimental Analysis, Journal of Non-Newtonian Fluid Mechanics, Vol 261, pp. 50–59. doi.org/10.1016/j.jnnfm.2018.08.006</w:t>
      </w:r>
    </w:p>
    <w:p w14:paraId="590A7647"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Muratov M., Kurniawan T.A., Eshmetov R., Salikhanova D., Eshmetov I., Adizov B., Onn W., 2024, Promoting Sustainability: Micellization and Surface Dynamics of Recycled Monoethanolamine Surfactants, Journal of Molecular Liquids, Vol 414, 126010. doi.org/10.1016/j.molliq.2024.126010</w:t>
      </w:r>
    </w:p>
    <w:p w14:paraId="464A5F33"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Muratov M., Abdikamalova A., Eshmetov I., Mamataliyev N., Xudoyberdiyev N., Raximov U., Ergashev O., Seitnazarova O., Mamajonov B., 2025, Waste-Derived Activated Carbons from Phenol-Formaldehyde and Polystyrene: The Role of PAN and Alkali Treatment, Chemical Review and Letters, Vol 8, 5, pp. 981–1002. doi.org/10.22034/crl.2025.532995.1651</w:t>
      </w:r>
    </w:p>
    <w:p w14:paraId="44A5BB96"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Nurmukhamedov C., 2024, Analysis of Dependencies for Determination of Friction Head Losses During Pumping of Oil with Non-Newtonian Properties, Liquid and Gaseous Energy Resources, Vol 4, 2, pp. 30–38.</w:t>
      </w:r>
    </w:p>
    <w:p w14:paraId="25DDADF9"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Sigalotti L.D.G., Guzmán E., 2025, An Overview of Viscous and Highly Viscous Fluid Flows in Straight and Elbow Pipes: I – Single-Phase Flows, Fluids, Vol 10, 5, 125. doi.org/10.3390/fluids10050125</w:t>
      </w:r>
    </w:p>
    <w:p w14:paraId="721B05D1"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Trapeznikov S.Yu., Lushkin K.A., 2011, Investigation of the Hydraulic Resistance Coefficient in Non-Isothermal Motion of Highly Viscous Oil in Pipelines, Neftegazovoe Delo, 2, pp. 304–310.</w:t>
      </w:r>
    </w:p>
    <w:p w14:paraId="3A8EB480"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Warnakulasuriya F.S.K., Worek W.M., 2008, Heat Transfer and Pressure Drop Properties of High Viscous Solutions in Plate Heat Exchangers, International Journal of Heat and Mass Transfer, Vol 51, 1–2, pp. 52–67. doi.org/10.1016/j.ijheatmasstransfer.2007.04.024</w:t>
      </w:r>
    </w:p>
    <w:p w14:paraId="0C4338CF" w14:textId="77777777" w:rsidR="005A0E73" w:rsidRDefault="005A0E73" w:rsidP="001B5D78">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White F.M., 2016, Fluid Mechanics, 8th ed., McGraw-Hill Education, New York.</w:t>
      </w:r>
    </w:p>
    <w:p w14:paraId="14B7A05F" w14:textId="63900E7D" w:rsidR="005858B7" w:rsidRPr="005858B7" w:rsidRDefault="005A0E73" w:rsidP="005858B7">
      <w:pPr>
        <w:spacing w:line="240" w:lineRule="auto"/>
        <w:ind w:left="284" w:hanging="284"/>
        <w:rPr>
          <w:rFonts w:cs="Arial"/>
          <w:color w:val="222222"/>
          <w:szCs w:val="18"/>
          <w:shd w:val="clear" w:color="auto" w:fill="FFFFFF"/>
          <w:lang w:val="en-US"/>
        </w:rPr>
      </w:pPr>
      <w:r w:rsidRPr="005A0E73">
        <w:rPr>
          <w:rFonts w:cs="Arial"/>
          <w:color w:val="222222"/>
          <w:szCs w:val="18"/>
          <w:shd w:val="clear" w:color="auto" w:fill="FFFFFF"/>
          <w:lang w:val="en-US"/>
        </w:rPr>
        <w:t>Yusupova N.K., Khurmamatov A.M., Berdimbetov S.B., Naubeev T.Kh., 2026, Technology for Processing Oil Waste and Producing Construction Material, Chemical Papers. doi.org/10.1007/s11696-026-04652-5</w:t>
      </w:r>
    </w:p>
    <w:sectPr w:rsidR="005858B7" w:rsidRPr="005858B7" w:rsidSect="001B5D78">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07601B" w14:textId="77777777" w:rsidR="00A67C6D" w:rsidRDefault="00A67C6D" w:rsidP="004F5E36">
      <w:r>
        <w:separator/>
      </w:r>
    </w:p>
  </w:endnote>
  <w:endnote w:type="continuationSeparator" w:id="0">
    <w:p w14:paraId="7CEB00B4" w14:textId="77777777" w:rsidR="00A67C6D" w:rsidRDefault="00A67C6D"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Cambria"/>
    <w:panose1 w:val="00000000000000000000"/>
    <w:charset w:val="4D"/>
    <w:family w:val="roman"/>
    <w:notTrueType/>
    <w:pitch w:val="default"/>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F60662" w14:textId="77777777" w:rsidR="00A67C6D" w:rsidRDefault="00A67C6D" w:rsidP="004F5E36">
      <w:r>
        <w:separator/>
      </w:r>
    </w:p>
  </w:footnote>
  <w:footnote w:type="continuationSeparator" w:id="0">
    <w:p w14:paraId="6DE85FEE" w14:textId="77777777" w:rsidR="00A67C6D" w:rsidRDefault="00A67C6D"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2266B64"/>
    <w:multiLevelType w:val="hybridMultilevel"/>
    <w:tmpl w:val="059214A0"/>
    <w:lvl w:ilvl="0" w:tplc="04100003">
      <w:start w:val="1"/>
      <w:numFmt w:val="bullet"/>
      <w:lvlText w:val="o"/>
      <w:lvlJc w:val="left"/>
      <w:pPr>
        <w:tabs>
          <w:tab w:val="num" w:pos="1080"/>
        </w:tabs>
        <w:ind w:left="1080" w:hanging="360"/>
      </w:pPr>
      <w:rPr>
        <w:rFonts w:ascii="Courier New" w:hAnsi="Courier New" w:cs="Courier New" w:hint="default"/>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A2F3E61"/>
    <w:multiLevelType w:val="multilevel"/>
    <w:tmpl w:val="4A2F3E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0"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9"/>
  </w:num>
  <w:num w:numId="13">
    <w:abstractNumId w:val="13"/>
  </w:num>
  <w:num w:numId="14">
    <w:abstractNumId w:val="20"/>
  </w:num>
  <w:num w:numId="15">
    <w:abstractNumId w:val="22"/>
  </w:num>
  <w:num w:numId="16">
    <w:abstractNumId w:val="21"/>
  </w:num>
  <w:num w:numId="17">
    <w:abstractNumId w:val="12"/>
  </w:num>
  <w:num w:numId="18">
    <w:abstractNumId w:val="13"/>
    <w:lvlOverride w:ilvl="0">
      <w:startOverride w:val="1"/>
    </w:lvlOverride>
  </w:num>
  <w:num w:numId="19">
    <w:abstractNumId w:val="18"/>
  </w:num>
  <w:num w:numId="20">
    <w:abstractNumId w:val="17"/>
  </w:num>
  <w:num w:numId="21">
    <w:abstractNumId w:val="15"/>
  </w:num>
  <w:num w:numId="22">
    <w:abstractNumId w:val="14"/>
  </w:num>
  <w:num w:numId="23">
    <w:abstractNumId w:val="1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A19"/>
    <w:rsid w:val="000108C7"/>
    <w:rsid w:val="000117CB"/>
    <w:rsid w:val="0003148D"/>
    <w:rsid w:val="00031EEC"/>
    <w:rsid w:val="000418B3"/>
    <w:rsid w:val="00051566"/>
    <w:rsid w:val="000562A9"/>
    <w:rsid w:val="00062A9A"/>
    <w:rsid w:val="00062E51"/>
    <w:rsid w:val="00065058"/>
    <w:rsid w:val="00086C39"/>
    <w:rsid w:val="00092FCC"/>
    <w:rsid w:val="000A03B2"/>
    <w:rsid w:val="000D0268"/>
    <w:rsid w:val="000D34BE"/>
    <w:rsid w:val="000E0B3C"/>
    <w:rsid w:val="000E102F"/>
    <w:rsid w:val="000E36F1"/>
    <w:rsid w:val="000E3A73"/>
    <w:rsid w:val="000E414A"/>
    <w:rsid w:val="000E75FD"/>
    <w:rsid w:val="000F093C"/>
    <w:rsid w:val="000F787B"/>
    <w:rsid w:val="0012091F"/>
    <w:rsid w:val="00126BC2"/>
    <w:rsid w:val="001308B6"/>
    <w:rsid w:val="0013121F"/>
    <w:rsid w:val="00131FE6"/>
    <w:rsid w:val="0013263F"/>
    <w:rsid w:val="001331DF"/>
    <w:rsid w:val="00134DE4"/>
    <w:rsid w:val="0014034D"/>
    <w:rsid w:val="00140FE3"/>
    <w:rsid w:val="00144D16"/>
    <w:rsid w:val="00150E59"/>
    <w:rsid w:val="00152DE3"/>
    <w:rsid w:val="001535A8"/>
    <w:rsid w:val="00164CF9"/>
    <w:rsid w:val="00165476"/>
    <w:rsid w:val="001667A6"/>
    <w:rsid w:val="0018171E"/>
    <w:rsid w:val="00184AD6"/>
    <w:rsid w:val="001A4AF7"/>
    <w:rsid w:val="001B0349"/>
    <w:rsid w:val="001B1E93"/>
    <w:rsid w:val="001B5D78"/>
    <w:rsid w:val="001B65C1"/>
    <w:rsid w:val="001C260F"/>
    <w:rsid w:val="001C5C3A"/>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56A"/>
    <w:rsid w:val="00321CA6"/>
    <w:rsid w:val="00323763"/>
    <w:rsid w:val="00323C5F"/>
    <w:rsid w:val="00334C09"/>
    <w:rsid w:val="00364001"/>
    <w:rsid w:val="003723D4"/>
    <w:rsid w:val="00381905"/>
    <w:rsid w:val="00384CC8"/>
    <w:rsid w:val="003871FD"/>
    <w:rsid w:val="003A1E30"/>
    <w:rsid w:val="003A2829"/>
    <w:rsid w:val="003A7D1C"/>
    <w:rsid w:val="003B1163"/>
    <w:rsid w:val="003B304B"/>
    <w:rsid w:val="003B3146"/>
    <w:rsid w:val="003B49CD"/>
    <w:rsid w:val="003C0CF1"/>
    <w:rsid w:val="003D1E02"/>
    <w:rsid w:val="003D76E1"/>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91427"/>
    <w:rsid w:val="004A004E"/>
    <w:rsid w:val="004A24CF"/>
    <w:rsid w:val="004C3D1D"/>
    <w:rsid w:val="004C3D84"/>
    <w:rsid w:val="004C7913"/>
    <w:rsid w:val="004E4DD6"/>
    <w:rsid w:val="004F5E36"/>
    <w:rsid w:val="00507B47"/>
    <w:rsid w:val="00507BEF"/>
    <w:rsid w:val="00507CC9"/>
    <w:rsid w:val="005119A5"/>
    <w:rsid w:val="00515EDD"/>
    <w:rsid w:val="005278B7"/>
    <w:rsid w:val="00532016"/>
    <w:rsid w:val="005346C8"/>
    <w:rsid w:val="005424FC"/>
    <w:rsid w:val="00543E7D"/>
    <w:rsid w:val="00547A68"/>
    <w:rsid w:val="005531C9"/>
    <w:rsid w:val="00554879"/>
    <w:rsid w:val="00555A1D"/>
    <w:rsid w:val="00570C43"/>
    <w:rsid w:val="005858B7"/>
    <w:rsid w:val="00592274"/>
    <w:rsid w:val="005A0BCC"/>
    <w:rsid w:val="005A0E73"/>
    <w:rsid w:val="005B2110"/>
    <w:rsid w:val="005B2A0B"/>
    <w:rsid w:val="005B350B"/>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80C23"/>
    <w:rsid w:val="00683E23"/>
    <w:rsid w:val="00686B64"/>
    <w:rsid w:val="00693766"/>
    <w:rsid w:val="006A3281"/>
    <w:rsid w:val="006A6DE5"/>
    <w:rsid w:val="006B4888"/>
    <w:rsid w:val="006C2E45"/>
    <w:rsid w:val="006C359C"/>
    <w:rsid w:val="006C5579"/>
    <w:rsid w:val="006D6E8B"/>
    <w:rsid w:val="006D7209"/>
    <w:rsid w:val="006E737D"/>
    <w:rsid w:val="00707DD1"/>
    <w:rsid w:val="00713973"/>
    <w:rsid w:val="00720A24"/>
    <w:rsid w:val="00732386"/>
    <w:rsid w:val="0073514D"/>
    <w:rsid w:val="00742CF1"/>
    <w:rsid w:val="007447F3"/>
    <w:rsid w:val="0075499F"/>
    <w:rsid w:val="007661C8"/>
    <w:rsid w:val="0077098D"/>
    <w:rsid w:val="00785BF9"/>
    <w:rsid w:val="007931FA"/>
    <w:rsid w:val="007A0F9C"/>
    <w:rsid w:val="007A4861"/>
    <w:rsid w:val="007A7BBA"/>
    <w:rsid w:val="007B0C50"/>
    <w:rsid w:val="007B48F9"/>
    <w:rsid w:val="007C1A43"/>
    <w:rsid w:val="007D0951"/>
    <w:rsid w:val="007D610D"/>
    <w:rsid w:val="0080013E"/>
    <w:rsid w:val="00801759"/>
    <w:rsid w:val="00813288"/>
    <w:rsid w:val="008168FC"/>
    <w:rsid w:val="00830996"/>
    <w:rsid w:val="008345F1"/>
    <w:rsid w:val="00865B07"/>
    <w:rsid w:val="008667EA"/>
    <w:rsid w:val="00871BD3"/>
    <w:rsid w:val="0087637F"/>
    <w:rsid w:val="00892AD5"/>
    <w:rsid w:val="008A1512"/>
    <w:rsid w:val="008A7956"/>
    <w:rsid w:val="008B1AC2"/>
    <w:rsid w:val="008D32B9"/>
    <w:rsid w:val="008D433B"/>
    <w:rsid w:val="008D4A16"/>
    <w:rsid w:val="008E1AA4"/>
    <w:rsid w:val="008E5401"/>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4C6A"/>
    <w:rsid w:val="00996483"/>
    <w:rsid w:val="00996F5A"/>
    <w:rsid w:val="009B041A"/>
    <w:rsid w:val="009C37C3"/>
    <w:rsid w:val="009C7C86"/>
    <w:rsid w:val="009D2FF7"/>
    <w:rsid w:val="009E7884"/>
    <w:rsid w:val="009E788A"/>
    <w:rsid w:val="009F0E08"/>
    <w:rsid w:val="009F600E"/>
    <w:rsid w:val="00A079AE"/>
    <w:rsid w:val="00A1763D"/>
    <w:rsid w:val="00A17CEC"/>
    <w:rsid w:val="00A27EF0"/>
    <w:rsid w:val="00A42361"/>
    <w:rsid w:val="00A50B20"/>
    <w:rsid w:val="00A51390"/>
    <w:rsid w:val="00A525C0"/>
    <w:rsid w:val="00A60D13"/>
    <w:rsid w:val="00A67C6D"/>
    <w:rsid w:val="00A7223D"/>
    <w:rsid w:val="00A72745"/>
    <w:rsid w:val="00A76EFC"/>
    <w:rsid w:val="00A87D50"/>
    <w:rsid w:val="00A91010"/>
    <w:rsid w:val="00A97F29"/>
    <w:rsid w:val="00A97F5A"/>
    <w:rsid w:val="00AA702E"/>
    <w:rsid w:val="00AA7D26"/>
    <w:rsid w:val="00AB0964"/>
    <w:rsid w:val="00AB3F7E"/>
    <w:rsid w:val="00AB5011"/>
    <w:rsid w:val="00AC7368"/>
    <w:rsid w:val="00AD16B9"/>
    <w:rsid w:val="00AE377D"/>
    <w:rsid w:val="00AF0EBA"/>
    <w:rsid w:val="00AF2463"/>
    <w:rsid w:val="00B02C8A"/>
    <w:rsid w:val="00B17FBD"/>
    <w:rsid w:val="00B315A6"/>
    <w:rsid w:val="00B31813"/>
    <w:rsid w:val="00B33365"/>
    <w:rsid w:val="00B57B36"/>
    <w:rsid w:val="00B57E6F"/>
    <w:rsid w:val="00B8686D"/>
    <w:rsid w:val="00B93F69"/>
    <w:rsid w:val="00BB1DDC"/>
    <w:rsid w:val="00BC30C9"/>
    <w:rsid w:val="00BD077D"/>
    <w:rsid w:val="00BE3E58"/>
    <w:rsid w:val="00BF13CE"/>
    <w:rsid w:val="00C01616"/>
    <w:rsid w:val="00C0162B"/>
    <w:rsid w:val="00C068ED"/>
    <w:rsid w:val="00C22E0C"/>
    <w:rsid w:val="00C345B1"/>
    <w:rsid w:val="00C40142"/>
    <w:rsid w:val="00C52C3C"/>
    <w:rsid w:val="00C57182"/>
    <w:rsid w:val="00C57863"/>
    <w:rsid w:val="00C640AF"/>
    <w:rsid w:val="00C64B63"/>
    <w:rsid w:val="00C655FD"/>
    <w:rsid w:val="00C75407"/>
    <w:rsid w:val="00C841C6"/>
    <w:rsid w:val="00C870A8"/>
    <w:rsid w:val="00C94434"/>
    <w:rsid w:val="00CA0D75"/>
    <w:rsid w:val="00CA1C95"/>
    <w:rsid w:val="00CA5A9C"/>
    <w:rsid w:val="00CC4C20"/>
    <w:rsid w:val="00CD3517"/>
    <w:rsid w:val="00CD5FE2"/>
    <w:rsid w:val="00CE7C68"/>
    <w:rsid w:val="00D02B4C"/>
    <w:rsid w:val="00D040C4"/>
    <w:rsid w:val="00D20AD1"/>
    <w:rsid w:val="00D2582C"/>
    <w:rsid w:val="00D46B7E"/>
    <w:rsid w:val="00D56DC8"/>
    <w:rsid w:val="00D57C84"/>
    <w:rsid w:val="00D6057D"/>
    <w:rsid w:val="00D71640"/>
    <w:rsid w:val="00D836C5"/>
    <w:rsid w:val="00D84576"/>
    <w:rsid w:val="00D852D7"/>
    <w:rsid w:val="00DA1399"/>
    <w:rsid w:val="00DA24C6"/>
    <w:rsid w:val="00DA4D7B"/>
    <w:rsid w:val="00DC0AAC"/>
    <w:rsid w:val="00DC2840"/>
    <w:rsid w:val="00DC73A8"/>
    <w:rsid w:val="00DC73EE"/>
    <w:rsid w:val="00DD271C"/>
    <w:rsid w:val="00DE264A"/>
    <w:rsid w:val="00DE7763"/>
    <w:rsid w:val="00DF5072"/>
    <w:rsid w:val="00E02D18"/>
    <w:rsid w:val="00E041E7"/>
    <w:rsid w:val="00E23CA1"/>
    <w:rsid w:val="00E409A8"/>
    <w:rsid w:val="00E4663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F27EE4"/>
    <w:rsid w:val="00F3049E"/>
    <w:rsid w:val="00F30C64"/>
    <w:rsid w:val="00F32BA2"/>
    <w:rsid w:val="00F32CDB"/>
    <w:rsid w:val="00F41EE4"/>
    <w:rsid w:val="00F565FE"/>
    <w:rsid w:val="00F63A70"/>
    <w:rsid w:val="00F63D8C"/>
    <w:rsid w:val="00F7534E"/>
    <w:rsid w:val="00F93EDF"/>
    <w:rsid w:val="00FA1802"/>
    <w:rsid w:val="00FA21D0"/>
    <w:rsid w:val="00FA2B8F"/>
    <w:rsid w:val="00FA5F5F"/>
    <w:rsid w:val="00FB730C"/>
    <w:rsid w:val="00FC1BEF"/>
    <w:rsid w:val="00FC2695"/>
    <w:rsid w:val="00FC3E03"/>
    <w:rsid w:val="00FC3FC1"/>
    <w:rsid w:val="00FE1D2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unhideWhenUsed/>
    <w:qFormat/>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qFormat/>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qFormat/>
    <w:rsid w:val="00280FAF"/>
    <w:pPr>
      <w:ind w:left="720"/>
      <w:contextualSpacing/>
    </w:pPr>
  </w:style>
  <w:style w:type="character" w:customStyle="1" w:styleId="gmail-apple-converted-space">
    <w:name w:val="gmail-apple-converted-space"/>
    <w:basedOn w:val="a2"/>
    <w:rsid w:val="00005A19"/>
  </w:style>
  <w:style w:type="character" w:styleId="afffe">
    <w:name w:val="Strong"/>
    <w:uiPriority w:val="22"/>
    <w:qFormat/>
    <w:rsid w:val="001B5D78"/>
    <w:rPr>
      <w:b/>
    </w:rPr>
  </w:style>
  <w:style w:type="character" w:customStyle="1" w:styleId="given-name">
    <w:name w:val="given-name"/>
    <w:basedOn w:val="a2"/>
    <w:qFormat/>
    <w:rsid w:val="001B5D78"/>
  </w:style>
  <w:style w:type="character" w:styleId="affff">
    <w:name w:val="Unresolved Mention"/>
    <w:basedOn w:val="a2"/>
    <w:uiPriority w:val="99"/>
    <w:semiHidden/>
    <w:unhideWhenUsed/>
    <w:rsid w:val="00165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580162">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7639">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1039078">
      <w:bodyDiv w:val="1"/>
      <w:marLeft w:val="0"/>
      <w:marRight w:val="0"/>
      <w:marTop w:val="0"/>
      <w:marBottom w:val="0"/>
      <w:divBdr>
        <w:top w:val="none" w:sz="0" w:space="0" w:color="auto"/>
        <w:left w:val="none" w:sz="0" w:space="0" w:color="auto"/>
        <w:bottom w:val="none" w:sz="0" w:space="0" w:color="auto"/>
        <w:right w:val="none" w:sz="0" w:space="0" w:color="auto"/>
      </w:divBdr>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4460">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91600">
      <w:bodyDiv w:val="1"/>
      <w:marLeft w:val="0"/>
      <w:marRight w:val="0"/>
      <w:marTop w:val="0"/>
      <w:marBottom w:val="0"/>
      <w:divBdr>
        <w:top w:val="none" w:sz="0" w:space="0" w:color="auto"/>
        <w:left w:val="none" w:sz="0" w:space="0" w:color="auto"/>
        <w:bottom w:val="none" w:sz="0" w:space="0" w:color="auto"/>
        <w:right w:val="none" w:sz="0" w:space="0" w:color="auto"/>
      </w:divBdr>
    </w:div>
    <w:div w:id="1805198116">
      <w:bodyDiv w:val="1"/>
      <w:marLeft w:val="0"/>
      <w:marRight w:val="0"/>
      <w:marTop w:val="0"/>
      <w:marBottom w:val="0"/>
      <w:divBdr>
        <w:top w:val="none" w:sz="0" w:space="0" w:color="auto"/>
        <w:left w:val="none" w:sz="0" w:space="0" w:color="auto"/>
        <w:bottom w:val="none" w:sz="0" w:space="0" w:color="auto"/>
        <w:right w:val="none" w:sz="0" w:space="0" w:color="auto"/>
      </w:divBdr>
    </w:div>
    <w:div w:id="1835795597">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erdimbetovsalamat@mail.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Pages>
  <Words>3774</Words>
  <Characters>21512</Characters>
  <Application>Microsoft Office Word</Application>
  <DocSecurity>0</DocSecurity>
  <Lines>179</Lines>
  <Paragraphs>50</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Пользователь</cp:lastModifiedBy>
  <cp:revision>24</cp:revision>
  <cp:lastPrinted>2015-05-12T18:31:00Z</cp:lastPrinted>
  <dcterms:created xsi:type="dcterms:W3CDTF">2026-04-02T12:02:00Z</dcterms:created>
  <dcterms:modified xsi:type="dcterms:W3CDTF">2026-07-01T15:37:00Z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