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bottom w:val="single" w:sz="4" w:space="0" w:color="auto"/>
        </w:tblBorders>
        <w:tblLook w:val="01E0" w:firstRow="1" w:lastRow="1" w:firstColumn="1" w:lastColumn="1" w:noHBand="0" w:noVBand="0"/>
      </w:tblPr>
      <w:tblGrid>
        <w:gridCol w:w="6940"/>
        <w:gridCol w:w="1842"/>
      </w:tblGrid>
      <w:tr w:rsidR="000A03B2" w:rsidRPr="00B57B36" w14:paraId="2A131A54" w14:textId="77777777" w:rsidTr="004E51ED">
        <w:trPr>
          <w:trHeight w:val="852"/>
          <w:jc w:val="center"/>
        </w:trPr>
        <w:tc>
          <w:tcPr>
            <w:tcW w:w="6940" w:type="dxa"/>
            <w:vMerge w:val="restart"/>
            <w:tcBorders>
              <w:right w:val="single" w:sz="4" w:space="0" w:color="auto"/>
            </w:tcBorders>
          </w:tcPr>
          <w:p w14:paraId="38C3D2BA" w14:textId="77777777" w:rsidR="000A03B2" w:rsidRPr="00B57B36" w:rsidRDefault="000A03B2" w:rsidP="00DE264A">
            <w:pPr>
              <w:tabs>
                <w:tab w:val="left" w:pos="-108"/>
              </w:tabs>
              <w:ind w:left="-108"/>
              <w:jc w:val="left"/>
              <w:rPr>
                <w:rFonts w:cs="Arial"/>
                <w:b/>
                <w:bCs/>
                <w:i/>
                <w:iCs/>
                <w:color w:val="000066"/>
                <w:sz w:val="12"/>
                <w:szCs w:val="12"/>
                <w:lang w:eastAsia="it-IT"/>
              </w:rPr>
            </w:pPr>
            <w:bookmarkStart w:id="0" w:name="_Hlk227961488"/>
            <w:bookmarkStart w:id="1" w:name="_Hlk145068772"/>
            <w:bookmarkEnd w:id="0"/>
            <w:r w:rsidRPr="00B57B36">
              <w:rPr>
                <w:rFonts w:ascii="AdvP6960" w:hAnsi="AdvP6960" w:cs="AdvP6960"/>
                <w:noProof/>
                <w:color w:val="241F20"/>
                <w:szCs w:val="18"/>
                <w:lang w:val="it-IT" w:eastAsia="it-IT"/>
              </w:rPr>
              <w:drawing>
                <wp:inline distT="0" distB="0" distL="0" distR="0" wp14:anchorId="02B7C3D3" wp14:editId="5EE03112">
                  <wp:extent cx="640080" cy="373380"/>
                  <wp:effectExtent l="0" t="0" r="7620" b="7620"/>
                  <wp:docPr id="5" name="Immagine 5" descr="cet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et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373380"/>
                          </a:xfrm>
                          <a:prstGeom prst="rect">
                            <a:avLst/>
                          </a:prstGeom>
                          <a:noFill/>
                          <a:ln>
                            <a:noFill/>
                          </a:ln>
                        </pic:spPr>
                      </pic:pic>
                    </a:graphicData>
                  </a:graphic>
                </wp:inline>
              </w:drawing>
            </w:r>
            <w:r w:rsidRPr="00B57B36">
              <w:rPr>
                <w:rFonts w:ascii="AdvP6960" w:hAnsi="AdvP6960" w:cs="AdvP6960"/>
                <w:color w:val="241F20"/>
                <w:szCs w:val="18"/>
                <w:lang w:eastAsia="it-IT"/>
              </w:rPr>
              <w:t xml:space="preserve"> </w:t>
            </w:r>
            <w:r w:rsidRPr="00B57B36">
              <w:rPr>
                <w:rFonts w:cs="Arial"/>
                <w:b/>
                <w:bCs/>
                <w:i/>
                <w:iCs/>
                <w:color w:val="000066"/>
                <w:sz w:val="24"/>
                <w:szCs w:val="24"/>
                <w:lang w:eastAsia="it-IT"/>
              </w:rPr>
              <w:t>CHEMICAL ENGINEERING</w:t>
            </w:r>
            <w:r w:rsidRPr="00B57B36">
              <w:rPr>
                <w:rFonts w:cs="Arial"/>
                <w:b/>
                <w:bCs/>
                <w:i/>
                <w:iCs/>
                <w:color w:val="0033FF"/>
                <w:sz w:val="24"/>
                <w:szCs w:val="24"/>
                <w:lang w:eastAsia="it-IT"/>
              </w:rPr>
              <w:t xml:space="preserve"> </w:t>
            </w:r>
            <w:r w:rsidRPr="00B57B36">
              <w:rPr>
                <w:rFonts w:cs="Arial"/>
                <w:b/>
                <w:bCs/>
                <w:i/>
                <w:iCs/>
                <w:color w:val="666666"/>
                <w:sz w:val="24"/>
                <w:szCs w:val="24"/>
                <w:lang w:eastAsia="it-IT"/>
              </w:rPr>
              <w:t>TRANSACTIONS</w:t>
            </w:r>
            <w:r w:rsidRPr="00B57B36">
              <w:rPr>
                <w:color w:val="333333"/>
                <w:sz w:val="24"/>
                <w:szCs w:val="24"/>
                <w:lang w:eastAsia="it-IT"/>
              </w:rPr>
              <w:t xml:space="preserve"> </w:t>
            </w:r>
            <w:r w:rsidRPr="00B57B36">
              <w:rPr>
                <w:rFonts w:cs="Arial"/>
                <w:b/>
                <w:bCs/>
                <w:i/>
                <w:iCs/>
                <w:color w:val="000066"/>
                <w:sz w:val="27"/>
                <w:szCs w:val="27"/>
                <w:lang w:eastAsia="it-IT"/>
              </w:rPr>
              <w:br/>
            </w:r>
          </w:p>
          <w:p w14:paraId="4B780582" w14:textId="753620B8" w:rsidR="000A03B2" w:rsidRPr="00B57B36" w:rsidRDefault="00A76EFC" w:rsidP="001D21AF">
            <w:pPr>
              <w:tabs>
                <w:tab w:val="left" w:pos="-108"/>
              </w:tabs>
              <w:ind w:left="-108"/>
              <w:rPr>
                <w:rFonts w:cs="Arial"/>
                <w:b/>
                <w:bCs/>
                <w:i/>
                <w:iCs/>
                <w:color w:val="000066"/>
                <w:sz w:val="22"/>
                <w:szCs w:val="22"/>
                <w:lang w:eastAsia="it-IT"/>
              </w:rPr>
            </w:pPr>
            <w:r w:rsidRPr="00B57B36">
              <w:rPr>
                <w:rFonts w:cs="Arial"/>
                <w:b/>
                <w:bCs/>
                <w:i/>
                <w:iCs/>
                <w:color w:val="000066"/>
                <w:sz w:val="22"/>
                <w:szCs w:val="22"/>
                <w:lang w:eastAsia="it-IT"/>
              </w:rPr>
              <w:t>VOL.</w:t>
            </w:r>
            <w:r w:rsidR="00785BF9">
              <w:rPr>
                <w:rFonts w:cs="Arial"/>
                <w:b/>
                <w:bCs/>
                <w:i/>
                <w:iCs/>
                <w:color w:val="000066"/>
                <w:sz w:val="22"/>
                <w:szCs w:val="22"/>
                <w:lang w:eastAsia="it-IT"/>
              </w:rPr>
              <w:t xml:space="preserve"> </w:t>
            </w:r>
            <w:r w:rsidR="00AD0278">
              <w:rPr>
                <w:rFonts w:cs="Arial"/>
                <w:b/>
                <w:bCs/>
                <w:i/>
                <w:iCs/>
                <w:color w:val="000066"/>
                <w:sz w:val="22"/>
                <w:szCs w:val="22"/>
                <w:lang w:eastAsia="it-IT"/>
              </w:rPr>
              <w:t>xxx</w:t>
            </w:r>
            <w:r w:rsidR="007B48F9">
              <w:rPr>
                <w:rFonts w:cs="Arial"/>
                <w:b/>
                <w:bCs/>
                <w:i/>
                <w:iCs/>
                <w:color w:val="000066"/>
                <w:sz w:val="22"/>
                <w:szCs w:val="22"/>
                <w:lang w:eastAsia="it-IT"/>
              </w:rPr>
              <w:t>,</w:t>
            </w:r>
            <w:r w:rsidR="00FA5F5F">
              <w:rPr>
                <w:rFonts w:cs="Arial"/>
                <w:b/>
                <w:bCs/>
                <w:i/>
                <w:iCs/>
                <w:color w:val="000066"/>
                <w:sz w:val="22"/>
                <w:szCs w:val="22"/>
                <w:lang w:eastAsia="it-IT"/>
              </w:rPr>
              <w:t xml:space="preserve"> </w:t>
            </w:r>
            <w:r w:rsidR="0030152C">
              <w:rPr>
                <w:rFonts w:cs="Arial"/>
                <w:b/>
                <w:bCs/>
                <w:i/>
                <w:iCs/>
                <w:color w:val="000066"/>
                <w:sz w:val="22"/>
                <w:szCs w:val="22"/>
                <w:lang w:eastAsia="it-IT"/>
              </w:rPr>
              <w:t>202</w:t>
            </w:r>
            <w:r w:rsidR="00AD0278">
              <w:rPr>
                <w:rFonts w:cs="Arial"/>
                <w:b/>
                <w:bCs/>
                <w:i/>
                <w:iCs/>
                <w:color w:val="000066"/>
                <w:sz w:val="22"/>
                <w:szCs w:val="22"/>
                <w:lang w:eastAsia="it-IT"/>
              </w:rPr>
              <w:t>6</w:t>
            </w:r>
          </w:p>
        </w:tc>
        <w:tc>
          <w:tcPr>
            <w:tcW w:w="1842" w:type="dxa"/>
            <w:tcBorders>
              <w:left w:val="single" w:sz="4" w:space="0" w:color="auto"/>
              <w:bottom w:val="nil"/>
              <w:right w:val="single" w:sz="4" w:space="0" w:color="auto"/>
            </w:tcBorders>
          </w:tcPr>
          <w:p w14:paraId="56782132" w14:textId="77777777" w:rsidR="000A03B2" w:rsidRPr="00B57B36" w:rsidRDefault="000A03B2" w:rsidP="00CD5FE2">
            <w:pPr>
              <w:spacing w:line="140" w:lineRule="atLeast"/>
              <w:jc w:val="right"/>
              <w:rPr>
                <w:rFonts w:cs="Arial"/>
                <w:sz w:val="14"/>
                <w:szCs w:val="14"/>
              </w:rPr>
            </w:pPr>
            <w:r w:rsidRPr="00B57B36">
              <w:rPr>
                <w:rFonts w:cs="Arial"/>
                <w:sz w:val="14"/>
                <w:szCs w:val="14"/>
              </w:rPr>
              <w:t>A publication of</w:t>
            </w:r>
          </w:p>
          <w:p w14:paraId="599E5441" w14:textId="77777777" w:rsidR="000A03B2" w:rsidRPr="00B57B36" w:rsidRDefault="000A03B2" w:rsidP="00CD5FE2">
            <w:pPr>
              <w:jc w:val="right"/>
            </w:pPr>
            <w:r w:rsidRPr="00B57B36">
              <w:rPr>
                <w:noProof/>
                <w:lang w:val="it-IT" w:eastAsia="it-IT"/>
              </w:rPr>
              <w:drawing>
                <wp:inline distT="0" distB="0" distL="0" distR="0" wp14:anchorId="59C75AF4" wp14:editId="4FF92432">
                  <wp:extent cx="670560" cy="358140"/>
                  <wp:effectExtent l="0" t="0" r="0" b="3810"/>
                  <wp:docPr id="6" name="Immagine 6" descr="aidiclogo_gran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aidiclogo_grand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70560" cy="358140"/>
                          </a:xfrm>
                          <a:prstGeom prst="rect">
                            <a:avLst/>
                          </a:prstGeom>
                          <a:noFill/>
                          <a:ln>
                            <a:noFill/>
                          </a:ln>
                        </pic:spPr>
                      </pic:pic>
                    </a:graphicData>
                  </a:graphic>
                </wp:inline>
              </w:drawing>
            </w:r>
          </w:p>
        </w:tc>
      </w:tr>
      <w:tr w:rsidR="000A03B2" w:rsidRPr="00B57B36" w14:paraId="380FA3CD" w14:textId="77777777" w:rsidTr="004E51ED">
        <w:trPr>
          <w:trHeight w:val="567"/>
          <w:jc w:val="center"/>
        </w:trPr>
        <w:tc>
          <w:tcPr>
            <w:tcW w:w="6940" w:type="dxa"/>
            <w:vMerge/>
            <w:tcBorders>
              <w:right w:val="single" w:sz="4" w:space="0" w:color="auto"/>
            </w:tcBorders>
          </w:tcPr>
          <w:p w14:paraId="39E5E4C1" w14:textId="77777777" w:rsidR="000A03B2" w:rsidRPr="00B57B36" w:rsidRDefault="000A03B2" w:rsidP="00CD5FE2">
            <w:pPr>
              <w:tabs>
                <w:tab w:val="left" w:pos="-108"/>
              </w:tabs>
            </w:pPr>
          </w:p>
        </w:tc>
        <w:tc>
          <w:tcPr>
            <w:tcW w:w="1842" w:type="dxa"/>
            <w:tcBorders>
              <w:left w:val="single" w:sz="4" w:space="0" w:color="auto"/>
              <w:bottom w:val="nil"/>
              <w:right w:val="single" w:sz="4" w:space="0" w:color="auto"/>
            </w:tcBorders>
          </w:tcPr>
          <w:p w14:paraId="43858A98" w14:textId="77777777" w:rsidR="000A03B2" w:rsidRPr="00B57B36" w:rsidRDefault="000A03B2" w:rsidP="00CD5FE2">
            <w:pPr>
              <w:spacing w:line="140" w:lineRule="atLeast"/>
              <w:jc w:val="right"/>
              <w:rPr>
                <w:rFonts w:cs="Arial"/>
                <w:sz w:val="14"/>
                <w:szCs w:val="14"/>
              </w:rPr>
            </w:pPr>
            <w:r w:rsidRPr="00B57B36">
              <w:rPr>
                <w:rFonts w:cs="Arial"/>
                <w:sz w:val="14"/>
                <w:szCs w:val="14"/>
              </w:rPr>
              <w:t>The Italian Association</w:t>
            </w:r>
          </w:p>
          <w:p w14:paraId="7522B1D2" w14:textId="77777777" w:rsidR="000A03B2" w:rsidRPr="00B57B36" w:rsidRDefault="000A03B2" w:rsidP="00CD5FE2">
            <w:pPr>
              <w:spacing w:line="140" w:lineRule="atLeast"/>
              <w:jc w:val="right"/>
              <w:rPr>
                <w:rFonts w:cs="Arial"/>
                <w:sz w:val="14"/>
                <w:szCs w:val="14"/>
              </w:rPr>
            </w:pPr>
            <w:r w:rsidRPr="00B57B36">
              <w:rPr>
                <w:rFonts w:cs="Arial"/>
                <w:sz w:val="14"/>
                <w:szCs w:val="14"/>
              </w:rPr>
              <w:t>of Chemical Engineering</w:t>
            </w:r>
          </w:p>
          <w:p w14:paraId="4F0CC5DE" w14:textId="47FDB2FC" w:rsidR="000A03B2" w:rsidRPr="000D0268" w:rsidRDefault="000D0268" w:rsidP="00CD5FE2">
            <w:pPr>
              <w:spacing w:line="140" w:lineRule="atLeast"/>
              <w:jc w:val="right"/>
              <w:rPr>
                <w:rFonts w:cs="Arial"/>
                <w:sz w:val="13"/>
                <w:szCs w:val="13"/>
              </w:rPr>
            </w:pPr>
            <w:r w:rsidRPr="000D0268">
              <w:rPr>
                <w:rFonts w:cs="Arial"/>
                <w:sz w:val="13"/>
                <w:szCs w:val="13"/>
              </w:rPr>
              <w:t>Online at www.cetjournal.it</w:t>
            </w:r>
          </w:p>
        </w:tc>
      </w:tr>
      <w:tr w:rsidR="000A03B2" w:rsidRPr="00B57B36" w14:paraId="2D1B7169" w14:textId="77777777" w:rsidTr="004E51ED">
        <w:trPr>
          <w:trHeight w:val="68"/>
          <w:jc w:val="center"/>
        </w:trPr>
        <w:tc>
          <w:tcPr>
            <w:tcW w:w="8782" w:type="dxa"/>
            <w:gridSpan w:val="2"/>
          </w:tcPr>
          <w:p w14:paraId="1D8DD3C9" w14:textId="174205F6" w:rsidR="00AA7D26" w:rsidRPr="00CB2614" w:rsidRDefault="004A5E57" w:rsidP="00CB2614">
            <w:pPr>
              <w:ind w:left="-107"/>
              <w:outlineLvl w:val="2"/>
              <w:rPr>
                <w:rFonts w:ascii="Tahoma" w:hAnsi="Tahoma" w:cs="Tahoma"/>
                <w:color w:val="000000"/>
                <w:sz w:val="14"/>
                <w:szCs w:val="14"/>
                <w:shd w:val="clear" w:color="auto" w:fill="FFFFFF"/>
                <w:lang w:val="it-IT"/>
              </w:rPr>
            </w:pPr>
            <w:r w:rsidRPr="00CB2614">
              <w:rPr>
                <w:rFonts w:ascii="Tahoma" w:hAnsi="Tahoma" w:cs="Tahoma"/>
                <w:iCs/>
                <w:color w:val="333333"/>
                <w:sz w:val="14"/>
                <w:szCs w:val="14"/>
                <w:lang w:val="it-IT" w:eastAsia="it-IT"/>
              </w:rPr>
              <w:t>Guest Editors:</w:t>
            </w:r>
            <w:r w:rsidRPr="00CB2614">
              <w:rPr>
                <w:rFonts w:ascii="Tahoma" w:hAnsi="Tahoma" w:cs="Tahoma"/>
                <w:color w:val="000000"/>
                <w:sz w:val="14"/>
                <w:szCs w:val="14"/>
                <w:shd w:val="clear" w:color="auto" w:fill="FFFFFF"/>
                <w:lang w:val="it-IT"/>
              </w:rPr>
              <w:t xml:space="preserve"> </w:t>
            </w:r>
            <w:r w:rsidR="00CB2614" w:rsidRPr="00CB2614">
              <w:rPr>
                <w:rFonts w:ascii="Tahoma" w:hAnsi="Tahoma" w:cs="Tahoma"/>
                <w:color w:val="000000"/>
                <w:sz w:val="14"/>
                <w:szCs w:val="14"/>
                <w:shd w:val="clear" w:color="auto" w:fill="FFFFFF"/>
                <w:lang w:val="it-IT"/>
              </w:rPr>
              <w:t>Flavio Manenti, Botir Usmonov, Alessandro Di Pretoro</w:t>
            </w:r>
          </w:p>
          <w:p w14:paraId="1B0F1814" w14:textId="710B7B96" w:rsidR="000A03B2" w:rsidRPr="00B57B36" w:rsidRDefault="00AA7D26" w:rsidP="00AA7D26">
            <w:pPr>
              <w:tabs>
                <w:tab w:val="left" w:pos="-108"/>
              </w:tabs>
              <w:spacing w:line="140" w:lineRule="atLeast"/>
              <w:ind w:left="-107"/>
              <w:jc w:val="left"/>
            </w:pPr>
            <w:r>
              <w:rPr>
                <w:rFonts w:ascii="Tahoma" w:hAnsi="Tahoma" w:cs="Tahoma"/>
                <w:iCs/>
                <w:color w:val="333333"/>
                <w:sz w:val="14"/>
                <w:szCs w:val="14"/>
                <w:lang w:eastAsia="it-IT"/>
              </w:rPr>
              <w:t>Copyright © 202</w:t>
            </w:r>
            <w:r w:rsidR="00005884">
              <w:rPr>
                <w:rFonts w:ascii="Tahoma" w:hAnsi="Tahoma" w:cs="Tahoma"/>
                <w:iCs/>
                <w:color w:val="333333"/>
                <w:sz w:val="14"/>
                <w:szCs w:val="14"/>
                <w:lang w:eastAsia="it-IT"/>
              </w:rPr>
              <w:t>6</w:t>
            </w:r>
            <w:r w:rsidRPr="00B57B36">
              <w:rPr>
                <w:rFonts w:ascii="Tahoma" w:hAnsi="Tahoma" w:cs="Tahoma"/>
                <w:iCs/>
                <w:color w:val="333333"/>
                <w:sz w:val="14"/>
                <w:szCs w:val="14"/>
                <w:lang w:eastAsia="it-IT"/>
              </w:rPr>
              <w:t xml:space="preserve">, AIDIC </w:t>
            </w:r>
            <w:proofErr w:type="spellStart"/>
            <w:r w:rsidRPr="00B57B36">
              <w:rPr>
                <w:rFonts w:ascii="Tahoma" w:hAnsi="Tahoma" w:cs="Tahoma"/>
                <w:iCs/>
                <w:color w:val="333333"/>
                <w:sz w:val="14"/>
                <w:szCs w:val="14"/>
                <w:lang w:eastAsia="it-IT"/>
              </w:rPr>
              <w:t>Servizi</w:t>
            </w:r>
            <w:proofErr w:type="spellEnd"/>
            <w:r w:rsidRPr="00B57B36">
              <w:rPr>
                <w:rFonts w:ascii="Tahoma" w:hAnsi="Tahoma" w:cs="Tahoma"/>
                <w:iCs/>
                <w:color w:val="333333"/>
                <w:sz w:val="14"/>
                <w:szCs w:val="14"/>
                <w:lang w:eastAsia="it-IT"/>
              </w:rPr>
              <w:t xml:space="preserve"> </w:t>
            </w:r>
            <w:proofErr w:type="spellStart"/>
            <w:r w:rsidRPr="00B57B36">
              <w:rPr>
                <w:rFonts w:ascii="Tahoma" w:hAnsi="Tahoma" w:cs="Tahoma"/>
                <w:iCs/>
                <w:color w:val="333333"/>
                <w:sz w:val="14"/>
                <w:szCs w:val="14"/>
                <w:lang w:eastAsia="it-IT"/>
              </w:rPr>
              <w:t>S.r.l</w:t>
            </w:r>
            <w:proofErr w:type="spellEnd"/>
            <w:r w:rsidRPr="00B57B36">
              <w:rPr>
                <w:rFonts w:ascii="Tahoma" w:hAnsi="Tahoma" w:cs="Tahoma"/>
                <w:iCs/>
                <w:color w:val="333333"/>
                <w:sz w:val="14"/>
                <w:szCs w:val="14"/>
                <w:lang w:eastAsia="it-IT"/>
              </w:rPr>
              <w:t>.</w:t>
            </w:r>
            <w:r w:rsidRPr="00B57B36">
              <w:rPr>
                <w:rFonts w:ascii="Tahoma" w:hAnsi="Tahoma" w:cs="Tahoma"/>
                <w:iCs/>
                <w:color w:val="333333"/>
                <w:sz w:val="14"/>
                <w:szCs w:val="14"/>
                <w:lang w:eastAsia="it-IT"/>
              </w:rPr>
              <w:br/>
            </w:r>
            <w:r w:rsidRPr="00B57B36">
              <w:rPr>
                <w:rFonts w:ascii="Tahoma" w:hAnsi="Tahoma" w:cs="Tahoma"/>
                <w:b/>
                <w:iCs/>
                <w:color w:val="000000"/>
                <w:sz w:val="14"/>
                <w:szCs w:val="14"/>
                <w:lang w:eastAsia="it-IT"/>
              </w:rPr>
              <w:t>ISBN</w:t>
            </w:r>
            <w:r w:rsidRPr="00B57B36">
              <w:rPr>
                <w:rFonts w:ascii="Tahoma" w:hAnsi="Tahoma" w:cs="Tahoma"/>
                <w:iCs/>
                <w:color w:val="000000"/>
                <w:sz w:val="14"/>
                <w:szCs w:val="14"/>
                <w:lang w:eastAsia="it-IT"/>
              </w:rPr>
              <w:t xml:space="preserve"> </w:t>
            </w:r>
            <w:r w:rsidR="00D2582C" w:rsidRPr="000562A9">
              <w:rPr>
                <w:rFonts w:ascii="Tahoma" w:hAnsi="Tahoma" w:cs="Tahoma"/>
                <w:sz w:val="14"/>
                <w:szCs w:val="14"/>
              </w:rPr>
              <w:t>97</w:t>
            </w:r>
            <w:r w:rsidR="00D2582C">
              <w:rPr>
                <w:rFonts w:ascii="Tahoma" w:hAnsi="Tahoma" w:cs="Tahoma"/>
                <w:sz w:val="14"/>
                <w:szCs w:val="14"/>
              </w:rPr>
              <w:t>9</w:t>
            </w:r>
            <w:r w:rsidR="00D2582C" w:rsidRPr="000562A9">
              <w:rPr>
                <w:rFonts w:ascii="Tahoma" w:hAnsi="Tahoma" w:cs="Tahoma"/>
                <w:sz w:val="14"/>
                <w:szCs w:val="14"/>
              </w:rPr>
              <w:t>-</w:t>
            </w:r>
            <w:r w:rsidR="00D2582C">
              <w:rPr>
                <w:rFonts w:ascii="Tahoma" w:hAnsi="Tahoma" w:cs="Tahoma"/>
                <w:sz w:val="14"/>
                <w:szCs w:val="14"/>
              </w:rPr>
              <w:t>12</w:t>
            </w:r>
            <w:r w:rsidR="00D2582C" w:rsidRPr="000562A9">
              <w:rPr>
                <w:rFonts w:ascii="Tahoma" w:hAnsi="Tahoma" w:cs="Tahoma"/>
                <w:sz w:val="14"/>
                <w:szCs w:val="14"/>
              </w:rPr>
              <w:t>-</w:t>
            </w:r>
            <w:r w:rsidR="00D2582C">
              <w:rPr>
                <w:rFonts w:ascii="Tahoma" w:hAnsi="Tahoma" w:cs="Tahoma"/>
                <w:sz w:val="14"/>
                <w:szCs w:val="14"/>
              </w:rPr>
              <w:t>81206-</w:t>
            </w:r>
            <w:r w:rsidR="00005884">
              <w:rPr>
                <w:rFonts w:ascii="Tahoma" w:hAnsi="Tahoma" w:cs="Tahoma"/>
                <w:sz w:val="14"/>
                <w:szCs w:val="14"/>
              </w:rPr>
              <w:t>xx</w:t>
            </w:r>
            <w:r w:rsidR="009041F8">
              <w:rPr>
                <w:rFonts w:ascii="Tahoma" w:hAnsi="Tahoma" w:cs="Tahoma"/>
                <w:sz w:val="14"/>
                <w:szCs w:val="14"/>
              </w:rPr>
              <w:t>-</w:t>
            </w:r>
            <w:r w:rsidR="00005884">
              <w:rPr>
                <w:rFonts w:ascii="Tahoma" w:hAnsi="Tahoma" w:cs="Tahoma"/>
                <w:sz w:val="14"/>
                <w:szCs w:val="14"/>
              </w:rPr>
              <w:t>x</w:t>
            </w:r>
            <w:r w:rsidRPr="00EF06D9">
              <w:rPr>
                <w:rFonts w:ascii="Tahoma" w:hAnsi="Tahoma" w:cs="Tahoma"/>
                <w:iCs/>
                <w:color w:val="333333"/>
                <w:sz w:val="14"/>
                <w:szCs w:val="14"/>
                <w:lang w:eastAsia="it-IT"/>
              </w:rPr>
              <w:t>;</w:t>
            </w:r>
            <w:r w:rsidRPr="00B57B36">
              <w:rPr>
                <w:rFonts w:ascii="Tahoma" w:hAnsi="Tahoma" w:cs="Tahoma"/>
                <w:iCs/>
                <w:color w:val="333333"/>
                <w:sz w:val="14"/>
                <w:szCs w:val="14"/>
                <w:lang w:eastAsia="it-IT"/>
              </w:rPr>
              <w:t xml:space="preserve"> </w:t>
            </w:r>
            <w:r w:rsidRPr="00B57B36">
              <w:rPr>
                <w:rFonts w:ascii="Tahoma" w:hAnsi="Tahoma" w:cs="Tahoma"/>
                <w:b/>
                <w:iCs/>
                <w:color w:val="333333"/>
                <w:sz w:val="14"/>
                <w:szCs w:val="14"/>
                <w:lang w:eastAsia="it-IT"/>
              </w:rPr>
              <w:t>ISSN</w:t>
            </w:r>
            <w:r w:rsidRPr="00B57B36">
              <w:rPr>
                <w:rFonts w:ascii="Tahoma" w:hAnsi="Tahoma" w:cs="Tahoma"/>
                <w:iCs/>
                <w:color w:val="333333"/>
                <w:sz w:val="14"/>
                <w:szCs w:val="14"/>
                <w:lang w:eastAsia="it-IT"/>
              </w:rPr>
              <w:t xml:space="preserve"> 2283-9216</w:t>
            </w:r>
          </w:p>
        </w:tc>
      </w:tr>
    </w:tbl>
    <w:bookmarkEnd w:id="1"/>
    <w:p w14:paraId="2E667253" w14:textId="23C939AF" w:rsidR="00E978D0" w:rsidRPr="00667B1A" w:rsidRDefault="004E51ED" w:rsidP="00667B1A">
      <w:pPr>
        <w:pStyle w:val="CETTitle"/>
      </w:pPr>
      <w:r w:rsidRPr="00667B1A">
        <w:t>Development of Functional Barley Flour from Local Hulled and Hull-Less Barley Grains through Heat-Moisture Treatment: Effects on Resistant Starch and Technological Properties</w:t>
      </w:r>
    </w:p>
    <w:p w14:paraId="511139FB" w14:textId="289E9538" w:rsidR="004E51ED" w:rsidRDefault="004E51ED" w:rsidP="00D872AB">
      <w:pPr>
        <w:pStyle w:val="CETAuthors"/>
        <w:rPr>
          <w:lang w:val="en-US"/>
        </w:rPr>
      </w:pPr>
      <w:r w:rsidRPr="004E51ED">
        <w:rPr>
          <w:lang w:val="en-US"/>
        </w:rPr>
        <w:t>Shokhrukh Bekmirzayev</w:t>
      </w:r>
      <w:r w:rsidRPr="004E51ED">
        <w:rPr>
          <w:vertAlign w:val="superscript"/>
          <w:lang w:val="en-US"/>
        </w:rPr>
        <w:t>a,*</w:t>
      </w:r>
      <w:r w:rsidRPr="004E51ED">
        <w:rPr>
          <w:lang w:val="en-US"/>
        </w:rPr>
        <w:t xml:space="preserve">, Gulnoza </w:t>
      </w:r>
      <w:hyperlink r:id="rId10" w:history="1">
        <w:r w:rsidRPr="004E51ED">
          <w:rPr>
            <w:lang w:val="en-US"/>
          </w:rPr>
          <w:t>Djakhangirova</w:t>
        </w:r>
      </w:hyperlink>
      <w:r w:rsidR="00ED734F">
        <w:rPr>
          <w:vertAlign w:val="superscript"/>
          <w:lang w:val="en-US"/>
        </w:rPr>
        <w:t>b</w:t>
      </w:r>
      <w:r w:rsidRPr="004E51ED">
        <w:rPr>
          <w:lang w:val="en-US"/>
        </w:rPr>
        <w:t>, Farrukhbek Sarbolaev</w:t>
      </w:r>
      <w:r w:rsidR="00ED734F">
        <w:rPr>
          <w:vertAlign w:val="superscript"/>
          <w:lang w:val="en-US"/>
        </w:rPr>
        <w:t>b</w:t>
      </w:r>
      <w:r w:rsidRPr="004E51ED">
        <w:rPr>
          <w:lang w:val="en-US"/>
        </w:rPr>
        <w:t>, Nadira Ayxodjayeva</w:t>
      </w:r>
      <w:r w:rsidR="00ED734F">
        <w:rPr>
          <w:vertAlign w:val="superscript"/>
          <w:lang w:val="en-US"/>
        </w:rPr>
        <w:t>b</w:t>
      </w:r>
      <w:r w:rsidRPr="004E51ED">
        <w:rPr>
          <w:lang w:val="en-US"/>
        </w:rPr>
        <w:t>, Umid Azamatov</w:t>
      </w:r>
      <w:r w:rsidR="00ED734F">
        <w:rPr>
          <w:vertAlign w:val="superscript"/>
          <w:lang w:val="en-US"/>
        </w:rPr>
        <w:t>a</w:t>
      </w:r>
      <w:r w:rsidR="00ED734F">
        <w:rPr>
          <w:lang w:val="en-US"/>
        </w:rPr>
        <w:t xml:space="preserve">, </w:t>
      </w:r>
      <w:r w:rsidR="00ED734F" w:rsidRPr="00ED734F">
        <w:rPr>
          <w:lang w:val="en-US"/>
        </w:rPr>
        <w:t>F</w:t>
      </w:r>
      <w:r w:rsidR="00ED734F">
        <w:rPr>
          <w:lang w:val="en-US"/>
        </w:rPr>
        <w:t>urqat</w:t>
      </w:r>
      <w:r w:rsidR="00ED734F">
        <w:rPr>
          <w:lang w:val="en-US"/>
        </w:rPr>
        <w:t xml:space="preserve"> </w:t>
      </w:r>
      <w:r w:rsidR="00ED734F" w:rsidRPr="00ED734F">
        <w:rPr>
          <w:lang w:val="en-US"/>
        </w:rPr>
        <w:t>Rakhmatov</w:t>
      </w:r>
      <w:r w:rsidR="00ED734F">
        <w:rPr>
          <w:vertAlign w:val="superscript"/>
          <w:lang w:val="en-US"/>
        </w:rPr>
        <w:t>a</w:t>
      </w:r>
    </w:p>
    <w:p w14:paraId="3E4910AB" w14:textId="77777777" w:rsidR="00ED734F" w:rsidRPr="00F270E4" w:rsidRDefault="00ED734F" w:rsidP="00ED734F">
      <w:pPr>
        <w:pStyle w:val="CETAddress"/>
        <w:rPr>
          <w:lang w:val="en-US"/>
        </w:rPr>
      </w:pPr>
      <w:r>
        <w:rPr>
          <w:vertAlign w:val="superscript"/>
          <w:lang w:val="en-US"/>
        </w:rPr>
        <w:t>a</w:t>
      </w:r>
      <w:r w:rsidRPr="00F270E4">
        <w:rPr>
          <w:lang w:val="en-US"/>
        </w:rPr>
        <w:t xml:space="preserve"> </w:t>
      </w:r>
      <w:r w:rsidRPr="00ED734F">
        <w:rPr>
          <w:lang w:val="en-US"/>
        </w:rPr>
        <w:t>Department of Food Technologies, Yangiyer Branch of Tashkent Institute of Chemical Technology, 1 Tinchlik Street, Yangiyer, Sirdarya Region, 100021, Uzbekistan</w:t>
      </w:r>
    </w:p>
    <w:p w14:paraId="26BB56D0" w14:textId="5C674FFB" w:rsidR="004E51ED" w:rsidRPr="00F270E4" w:rsidRDefault="00ED734F" w:rsidP="00D872AB">
      <w:pPr>
        <w:pStyle w:val="CETAddress"/>
        <w:rPr>
          <w:lang w:val="en-US"/>
        </w:rPr>
      </w:pPr>
      <w:r>
        <w:rPr>
          <w:vertAlign w:val="superscript"/>
          <w:lang w:val="en-US"/>
        </w:rPr>
        <w:t>b</w:t>
      </w:r>
      <w:r w:rsidR="004E51ED" w:rsidRPr="00F270E4">
        <w:rPr>
          <w:lang w:val="en-US"/>
        </w:rPr>
        <w:t xml:space="preserve"> Department of Food and </w:t>
      </w:r>
      <w:r w:rsidR="004E51ED">
        <w:rPr>
          <w:lang w:val="en-US"/>
        </w:rPr>
        <w:t>P</w:t>
      </w:r>
      <w:r w:rsidR="004E51ED" w:rsidRPr="00F270E4">
        <w:rPr>
          <w:lang w:val="en-US"/>
        </w:rPr>
        <w:t>erfumery-</w:t>
      </w:r>
      <w:r w:rsidR="004E51ED">
        <w:rPr>
          <w:lang w:val="en-US"/>
        </w:rPr>
        <w:t>C</w:t>
      </w:r>
      <w:r w:rsidR="004E51ED" w:rsidRPr="00F270E4">
        <w:rPr>
          <w:lang w:val="en-US"/>
        </w:rPr>
        <w:t xml:space="preserve">osmetic </w:t>
      </w:r>
      <w:r w:rsidR="004E51ED">
        <w:rPr>
          <w:lang w:val="en-US"/>
        </w:rPr>
        <w:t>P</w:t>
      </w:r>
      <w:r w:rsidR="004E51ED" w:rsidRPr="00F270E4">
        <w:rPr>
          <w:lang w:val="en-US"/>
        </w:rPr>
        <w:t xml:space="preserve">roducts </w:t>
      </w:r>
      <w:r w:rsidR="004E51ED">
        <w:rPr>
          <w:lang w:val="en-US"/>
        </w:rPr>
        <w:t>T</w:t>
      </w:r>
      <w:r w:rsidR="004E51ED" w:rsidRPr="00F270E4">
        <w:rPr>
          <w:lang w:val="en-US"/>
        </w:rPr>
        <w:t>echnology, Tashkent Institute of Chemical Technology, Tashkent 100000, Uzbekistan</w:t>
      </w:r>
    </w:p>
    <w:p w14:paraId="5F1CF542" w14:textId="50D001BF" w:rsidR="004E51ED" w:rsidRPr="00D872AB" w:rsidRDefault="004E51ED" w:rsidP="00D872AB">
      <w:pPr>
        <w:pStyle w:val="CETemail"/>
      </w:pPr>
      <w:r w:rsidRPr="00D872AB">
        <w:t xml:space="preserve">*  </w:t>
      </w:r>
      <w:hyperlink r:id="rId11" w:history="1">
        <w:r w:rsidRPr="00D872AB">
          <w:rPr>
            <w:rStyle w:val="afffc"/>
            <w:color w:val="auto"/>
            <w:u w:val="none"/>
          </w:rPr>
          <w:t>sh.bekmirzayev@tkti.uz</w:t>
        </w:r>
      </w:hyperlink>
    </w:p>
    <w:p w14:paraId="37A61FCE" w14:textId="067E82BE" w:rsidR="00DA24C6" w:rsidRPr="00D872AB" w:rsidRDefault="004E51ED" w:rsidP="00D872AB">
      <w:pPr>
        <w:pStyle w:val="CETBodytext"/>
      </w:pPr>
      <w:r w:rsidRPr="00D872AB">
        <w:t xml:space="preserve">The production of functional flour from local barley grains represents a promising approach to expand the range of health-oriented food products. This study aimed to develop a technology for producing barley flour enriched with resistant starch by evaluating the chemical composition, bioactive compounds, and technological properties of hulled and hull-less barley varieties. The “Abu </w:t>
      </w:r>
      <w:proofErr w:type="spellStart"/>
      <w:r w:rsidRPr="00D872AB">
        <w:t>G‘ofur</w:t>
      </w:r>
      <w:proofErr w:type="spellEnd"/>
      <w:r w:rsidRPr="00D872AB">
        <w:t>” and “HM-140” varieties were selected and subjected to hydrothermal treatment, followed by physicochemical, rheological, microbiological, biochemical, and organoleptic analyses. The results showed that steaming for 6 min at 0.4 MPa, followed by moistening to 15</w:t>
      </w:r>
      <w:r w:rsidR="008E063A">
        <w:t xml:space="preserve"> </w:t>
      </w:r>
      <w:r w:rsidRPr="00D872AB">
        <w:t>% and drying at 110 °C, was optimal for functional flour production, increasing resistant starch content by 8.63</w:t>
      </w:r>
      <w:r w:rsidR="008E063A">
        <w:t xml:space="preserve"> </w:t>
      </w:r>
      <w:r w:rsidRPr="00D872AB">
        <w:t>%. The obtained flours demonstrated a water absorption capacity of 70.1–76.4</w:t>
      </w:r>
      <w:r w:rsidR="008E063A">
        <w:t xml:space="preserve"> </w:t>
      </w:r>
      <w:r w:rsidRPr="00D872AB">
        <w:t>% and dough stability of 10.2–11.5 min, confirming their suitability for bakery applications. Sugar-free cookies produced from barley flour exhibited higher total dietary fiber content (15.47–16.0</w:t>
      </w:r>
      <w:r w:rsidR="008E063A">
        <w:t xml:space="preserve"> </w:t>
      </w:r>
      <w:r w:rsidRPr="00D872AB">
        <w:t>%) and insoluble fiber (9.52–9.80</w:t>
      </w:r>
      <w:r w:rsidR="008E063A">
        <w:t xml:space="preserve"> </w:t>
      </w:r>
      <w:r w:rsidRPr="00D872AB">
        <w:t>%) compared to wheat-based products, along with a low glycemic index (GI 48–50). Hydrothermal treatment also improved microbiological stability, extending shelf life from 4 to 6 months. The developed technology enables the production of functional flour from hull-less barley and supports the manufacture of low-glycemic, resistant starch-rich food products using local raw materials.</w:t>
      </w:r>
    </w:p>
    <w:p w14:paraId="1AED3853" w14:textId="6D18207C" w:rsidR="00600535" w:rsidRPr="00D872AB" w:rsidRDefault="00600535" w:rsidP="00D872AB">
      <w:pPr>
        <w:pStyle w:val="CETHeading1"/>
      </w:pPr>
      <w:r w:rsidRPr="00D872AB">
        <w:t>Introduction</w:t>
      </w:r>
    </w:p>
    <w:p w14:paraId="633E2767" w14:textId="77777777" w:rsidR="008A2DC9" w:rsidRPr="008A2DC9" w:rsidRDefault="008A2DC9" w:rsidP="008A2DC9">
      <w:pPr>
        <w:pStyle w:val="CETBodytext"/>
        <w:rPr>
          <w:rFonts w:eastAsia="Calibri"/>
        </w:rPr>
      </w:pPr>
      <w:bookmarkStart w:id="2" w:name="_Hlk227843720"/>
      <w:r w:rsidRPr="008A2DC9">
        <w:rPr>
          <w:rFonts w:eastAsia="Calibri"/>
        </w:rPr>
        <w:t>Barley (</w:t>
      </w:r>
      <w:r w:rsidRPr="008A2DC9">
        <w:rPr>
          <w:rFonts w:eastAsia="Calibri"/>
          <w:i/>
          <w:iCs/>
        </w:rPr>
        <w:t>Hordeum vulgare</w:t>
      </w:r>
      <w:r w:rsidRPr="008A2DC9">
        <w:rPr>
          <w:rFonts w:eastAsia="Calibri"/>
        </w:rPr>
        <w:t xml:space="preserve"> L.) is one of the oldest and most versatile cereal crops, widely cultivated for food, fodder, and industrial purposes. Due to its resilience to adverse conditions, short growing season, and adaptability, barley is considered important for food security and sustainable agriculture (Sangwan et al., 2026). Recently, its physicochemical, nutritional, and processing properties have gained attention because of their role in human health, food innovation, and industrial applications (Xia et al., 2024). Studying these properties is essential for fully utilizing barley in modern food systems and the bioeconomy (Hu and Gilbert, 2025).</w:t>
      </w:r>
    </w:p>
    <w:p w14:paraId="627A936D" w14:textId="004AD0EB" w:rsidR="008A2DC9" w:rsidRPr="008A2DC9" w:rsidRDefault="008A2DC9" w:rsidP="008A2DC9">
      <w:pPr>
        <w:pStyle w:val="CETBodytext"/>
        <w:rPr>
          <w:rFonts w:eastAsia="Calibri"/>
        </w:rPr>
      </w:pPr>
      <w:r w:rsidRPr="008A2DC9">
        <w:rPr>
          <w:rFonts w:eastAsia="Calibri"/>
        </w:rPr>
        <w:t>The use of barley flour in food products is limited by its weak gluten-forming ability, high fiber content, and starch sensitivity to processing conditions (</w:t>
      </w:r>
      <w:proofErr w:type="spellStart"/>
      <w:r w:rsidRPr="008A2DC9">
        <w:rPr>
          <w:rFonts w:eastAsia="Calibri"/>
        </w:rPr>
        <w:t>Oscarsson</w:t>
      </w:r>
      <w:proofErr w:type="spellEnd"/>
      <w:r w:rsidRPr="008A2DC9">
        <w:rPr>
          <w:rFonts w:eastAsia="Calibri"/>
        </w:rPr>
        <w:t xml:space="preserve"> et al., 1996). Hydrothermal treatment has been shown to modify barley’s structural and functional properties by transforming starch, affecting amylose-amylopectin interactions, reducing anti-nutritional factors, and improving the bioavailability of beneficial compounds (Hu et al., 2025). These changes influence dough rheology, digestibility, and final product quality, which are important for industrial production (</w:t>
      </w:r>
      <w:proofErr w:type="spellStart"/>
      <w:r w:rsidRPr="008A2DC9">
        <w:rPr>
          <w:rFonts w:eastAsia="Calibri"/>
        </w:rPr>
        <w:t>Emami</w:t>
      </w:r>
      <w:proofErr w:type="spellEnd"/>
      <w:r w:rsidRPr="008A2DC9">
        <w:rPr>
          <w:rFonts w:eastAsia="Calibri"/>
        </w:rPr>
        <w:t xml:space="preserve"> et al., 2010). However, data on the effects of controlled moisture and temperature regimes on different barley varieties remain insufficient. In particular, local hulled “Abu </w:t>
      </w:r>
      <w:proofErr w:type="spellStart"/>
      <w:r w:rsidRPr="008A2DC9">
        <w:rPr>
          <w:rFonts w:eastAsia="Calibri"/>
        </w:rPr>
        <w:t>G‘ofur</w:t>
      </w:r>
      <w:proofErr w:type="spellEnd"/>
      <w:r w:rsidRPr="008A2DC9">
        <w:rPr>
          <w:rFonts w:eastAsia="Calibri"/>
        </w:rPr>
        <w:t xml:space="preserve">” and hull-less “HM-140” barley varieties have not been comparatively studied under hydrothermal treatment. Therefore, this study aims to evaluate how grain structure affects resistant starch formation, dough rheology, </w:t>
      </w:r>
      <w:r w:rsidR="0029442F">
        <w:rPr>
          <w:rFonts w:eastAsia="Calibri"/>
        </w:rPr>
        <w:t>glycemic</w:t>
      </w:r>
      <w:r w:rsidRPr="008A2DC9">
        <w:rPr>
          <w:rFonts w:eastAsia="Calibri"/>
        </w:rPr>
        <w:t xml:space="preserve"> response, </w:t>
      </w:r>
      <w:r w:rsidRPr="008A2DC9">
        <w:rPr>
          <w:rFonts w:eastAsia="Calibri"/>
        </w:rPr>
        <w:lastRenderedPageBreak/>
        <w:t>sensory quality, and microbiological stability, with the goal of developing sugar-free, low-</w:t>
      </w:r>
      <w:r w:rsidR="0029442F">
        <w:rPr>
          <w:rFonts w:eastAsia="Calibri"/>
        </w:rPr>
        <w:t>glycemic</w:t>
      </w:r>
      <w:r w:rsidRPr="008A2DC9">
        <w:rPr>
          <w:rFonts w:eastAsia="Calibri"/>
        </w:rPr>
        <w:t xml:space="preserve"> bakery products from nutritionally valuable barley flour.</w:t>
      </w:r>
    </w:p>
    <w:bookmarkEnd w:id="2"/>
    <w:p w14:paraId="5741900F" w14:textId="0C51A33A" w:rsidR="00453E24" w:rsidRPr="00D872AB" w:rsidRDefault="00D872AB" w:rsidP="00D872AB">
      <w:pPr>
        <w:pStyle w:val="CETHeading1"/>
        <w:numPr>
          <w:ilvl w:val="0"/>
          <w:numId w:val="0"/>
        </w:numPr>
      </w:pPr>
      <w:r>
        <w:t>2.</w:t>
      </w:r>
      <w:r w:rsidR="006F57E5" w:rsidRPr="00D872AB">
        <w:t xml:space="preserve"> Methods</w:t>
      </w:r>
    </w:p>
    <w:p w14:paraId="593C8115" w14:textId="77777777" w:rsidR="009448A7" w:rsidRPr="009448A7" w:rsidRDefault="009448A7" w:rsidP="00D872AB">
      <w:pPr>
        <w:pStyle w:val="CETheadingx"/>
      </w:pPr>
      <w:r w:rsidRPr="009448A7">
        <w:t>2.1 Materials and sample preparation</w:t>
      </w:r>
    </w:p>
    <w:p w14:paraId="09EA88E9" w14:textId="77777777" w:rsidR="008A2DC9" w:rsidRPr="008A2DC9" w:rsidRDefault="008A2DC9" w:rsidP="008A2DC9">
      <w:pPr>
        <w:pStyle w:val="CETBodytext"/>
      </w:pPr>
      <w:r w:rsidRPr="008A2DC9">
        <w:t xml:space="preserve">Barley grains harvested in 2024 from two local genotypes—hulled “Abu </w:t>
      </w:r>
      <w:proofErr w:type="spellStart"/>
      <w:r w:rsidRPr="008A2DC9">
        <w:t>G‘ofur</w:t>
      </w:r>
      <w:proofErr w:type="spellEnd"/>
      <w:r w:rsidRPr="008A2DC9">
        <w:t xml:space="preserve">” and hull-less “HM-140”—were used in the study. The samples were cleaned using laboratory sieves. “Abu </w:t>
      </w:r>
      <w:proofErr w:type="spellStart"/>
      <w:r w:rsidRPr="008A2DC9">
        <w:t>G‘ofur</w:t>
      </w:r>
      <w:proofErr w:type="spellEnd"/>
      <w:r w:rsidRPr="008A2DC9">
        <w:t>” grains were dehulled, whereas “HM-140” was processed without dehulling, ensuring uniform and high-quality barley samples for further analysis.</w:t>
      </w:r>
    </w:p>
    <w:p w14:paraId="6BE43D0A" w14:textId="3E5E500B" w:rsidR="008A2DC9" w:rsidRPr="008A2DC9" w:rsidRDefault="008A2DC9" w:rsidP="008A2DC9">
      <w:pPr>
        <w:pStyle w:val="CETBodytext"/>
      </w:pPr>
      <w:r w:rsidRPr="008A2DC9">
        <w:t>Barley grains of each variety were subjected to heat-moisture treatment in 1 kg batches. The samples were steamed at 0.4 MPa for 6 minutes, with pressure controlled by a gauge and maintained through steam regulation. After steaming, grain moisture was adjusted to 15 %, 25 %, and 35 % by adding the calculated amount of distilled water, followed by uniform spraying and manual mixing. The moistened grains were sealed in polyethylene bags and equilibrated for 12 hours at room temperature to achieve even moisture distribution.</w:t>
      </w:r>
      <w:r>
        <w:t xml:space="preserve"> </w:t>
      </w:r>
      <w:r w:rsidRPr="008A2DC9">
        <w:t>The conditioned samples were dried in a hot-air oven at 90 °C, 110 °C, and 130 °C for 2 hours. During drying, the grains were spread in a thin layer on stainless-steel trays, exposed to forced-air circulation, and periodically mixed to prevent local overheating. The dried grains were then cooled at 4 ± 1 °C for 12 hours and stored in airtight containers under refrigerated conditions until milling and analysis. This step stabilized the grain structure before milling.</w:t>
      </w:r>
      <w:r>
        <w:t xml:space="preserve"> </w:t>
      </w:r>
      <w:r w:rsidRPr="008A2DC9">
        <w:t xml:space="preserve">The stabilized samples were milled using a pin mill and sieved through a 250 </w:t>
      </w:r>
      <w:r w:rsidRPr="008A2DC9">
        <w:rPr>
          <w:lang w:val="ru-RU"/>
        </w:rPr>
        <w:t>μ</w:t>
      </w:r>
      <w:r w:rsidRPr="008A2DC9">
        <w:t>m mesh to obtain fine flour. Untreated barley flour served as the control sample. This methodological approach allowed a detailed evaluation of the effects of controlled heat-moisture treatment parameters on the physicochemical properties of barley flour. All experiments were carried out in triplicate to ensure reliability and reproducibility of the results.</w:t>
      </w:r>
    </w:p>
    <w:p w14:paraId="7270FEB7" w14:textId="4FD71918" w:rsidR="009448A7" w:rsidRDefault="009448A7" w:rsidP="00667B1A">
      <w:pPr>
        <w:pStyle w:val="CETBodytext"/>
      </w:pPr>
    </w:p>
    <w:p w14:paraId="3DF6D988" w14:textId="77777777" w:rsidR="009448A7" w:rsidRPr="009448A7" w:rsidRDefault="009448A7" w:rsidP="005D3F77">
      <w:pPr>
        <w:pStyle w:val="CETheadingx"/>
      </w:pPr>
      <w:r w:rsidRPr="009448A7">
        <w:t>2.2 Physicochemical and biochemical analyses</w:t>
      </w:r>
    </w:p>
    <w:p w14:paraId="4B07DEC9" w14:textId="3A7DF3C2" w:rsidR="009448A7" w:rsidRPr="005D3F77" w:rsidRDefault="00E21B1E" w:rsidP="005D3F77">
      <w:pPr>
        <w:pStyle w:val="CETBodytext"/>
      </w:pPr>
      <w:r w:rsidRPr="005D3F77">
        <w:t>Resistant starch and starch digestibility fractions were determined using an in vitro enzymatic assay</w:t>
      </w:r>
      <w:r w:rsidR="00C777E7" w:rsidRPr="005D3F77">
        <w:t xml:space="preserve"> </w:t>
      </w:r>
      <w:r w:rsidR="00C777E7" w:rsidRPr="005D3F77">
        <w:fldChar w:fldCharType="begin"/>
      </w:r>
      <w:r w:rsidR="005025DA">
        <w:instrText xml:space="preserve"> ADDIN ZOTERO_ITEM CSL_CITATION {"citationID":"7G5jhem5","properties":{"unsorted":false,"formattedCitation":"(McCleary, 2023)","plainCitation":"(McCleary, 2023)","noteIndex":0},"citationItems":[{"id":145,"uris":["http://zotero.org/users/19662240/items/88XR7UP5"],"itemData":{"id":145,"type":"article-journal","abstract":"A broad range of AOAC Official Methods of AnalysisSM (OMA) have been developed and approved for the measurement of dietary fiber (DF) and DF components since the adoption of the Prosky method (OMA 985.29). OMA 985.29 and other OMA were developed to support the Trowell definition of DF. However, these methods do not measure DF as defined by the “new,” physiologically relevant, Codex Alimentarius definition. Methodology to support the Codex definition has been developed and updated in recent years. In this article, the relevance of each OMA in supporting the Codex definition of DF is described and suggestions are presented on the most appropriate method, together with proposals for changes in title and application statements for the “historic” OMA methods.","container-title":"Journal of AOAC International","DOI":"10.1093/jaoacint/qsad051","ISSN":"1060-3271","issue":"4","journalAbbreviation":"J AOAC Int","page":"917-930","PMID":"37129539","PMCID":"PMC10350623","source":"PubMed Central","title":"Measurement of Dietary Fiber: Which AOAC Official Method of AnalysisSM to Use","title-short":"Measurement of Dietary Fiber","volume":"106","author":[{"family":"McCleary","given":"Barry V"}],"issued":{"date-parts":[["2023",5,2]]}}}],"schema":"https://github.com/citation-style-language/schema/raw/master/csl-citation.json"} </w:instrText>
      </w:r>
      <w:r w:rsidR="00C777E7" w:rsidRPr="005D3F77">
        <w:fldChar w:fldCharType="separate"/>
      </w:r>
      <w:r w:rsidR="005025DA" w:rsidRPr="005025DA">
        <w:rPr>
          <w:rFonts w:cs="Arial"/>
        </w:rPr>
        <w:t>(McCleary, 2023)</w:t>
      </w:r>
      <w:r w:rsidR="00C777E7" w:rsidRPr="005D3F77">
        <w:fldChar w:fldCharType="end"/>
      </w:r>
      <w:r w:rsidRPr="005D3F77">
        <w:t>. A 200 mg sample was suspended in 10 mL of 0.1 M sodium acetate buffer at pH 5.2 and incubated at 37</w:t>
      </w:r>
      <w:r w:rsidR="00724366">
        <w:t> </w:t>
      </w:r>
      <w:r w:rsidRPr="005D3F77">
        <w:t xml:space="preserve">°C for 10 </w:t>
      </w:r>
      <w:r w:rsidR="00E01151" w:rsidRPr="005D3F77">
        <w:t>min</w:t>
      </w:r>
      <w:r w:rsidRPr="005D3F77">
        <w:t>. Subsequently, 4 mL of α-amylase solution (300 U/mL) and 0.2 mL of glucoamylase solution (330 U/mL) were added. The reaction mixture was maintained at 37</w:t>
      </w:r>
      <w:r w:rsidR="009F562E">
        <w:t xml:space="preserve"> </w:t>
      </w:r>
      <w:r w:rsidRPr="005D3F77">
        <w:t xml:space="preserve">°C under continuous stirring. Aliquots were collected at 20 and 120 </w:t>
      </w:r>
      <w:r w:rsidR="00E01151" w:rsidRPr="005D3F77">
        <w:t>min</w:t>
      </w:r>
      <w:r w:rsidRPr="005D3F77">
        <w:t xml:space="preserve">, then boiled for 10 </w:t>
      </w:r>
      <w:r w:rsidR="00E01151" w:rsidRPr="005D3F77">
        <w:t>min</w:t>
      </w:r>
      <w:r w:rsidRPr="005D3F77">
        <w:t xml:space="preserve"> to inactivate enzymes and centrifuged at 6,000 × g for 10 </w:t>
      </w:r>
      <w:r w:rsidR="00E01151" w:rsidRPr="005D3F77">
        <w:t>min</w:t>
      </w:r>
      <w:r w:rsidRPr="005D3F77">
        <w:t xml:space="preserve">. The released reducing sugars were quantified using the DNS method with a UV-755 spectrophotometer at 530 nm. The amounts of rapidly digestible starch, slowly digestible starch, and resistant starch were calculated </w:t>
      </w:r>
      <w:r w:rsidR="00F64F0B" w:rsidRPr="005D3F77">
        <w:t xml:space="preserve">from glucose released at 20 and 120 </w:t>
      </w:r>
      <w:r w:rsidR="00E01151" w:rsidRPr="005D3F77">
        <w:t>min</w:t>
      </w:r>
      <w:r w:rsidR="00F64F0B" w:rsidRPr="005D3F77">
        <w:t>, using</w:t>
      </w:r>
      <w:r w:rsidRPr="005D3F77">
        <w:t xml:space="preserve"> a conversion factor of 0.9.</w:t>
      </w:r>
    </w:p>
    <w:p w14:paraId="3400B75B" w14:textId="77777777" w:rsidR="009448A7" w:rsidRPr="009448A7" w:rsidRDefault="009448A7" w:rsidP="005D3F77">
      <w:pPr>
        <w:pStyle w:val="CETheadingx"/>
      </w:pPr>
      <w:r w:rsidRPr="009448A7">
        <w:t>2.3 Rheological analysis</w:t>
      </w:r>
    </w:p>
    <w:p w14:paraId="439F69BB" w14:textId="0B2C6F8C" w:rsidR="009448A7" w:rsidRPr="005D3F77" w:rsidRDefault="00365650" w:rsidP="005D3F77">
      <w:pPr>
        <w:pStyle w:val="CETBodytext"/>
      </w:pPr>
      <w:r w:rsidRPr="00365650">
        <w:t xml:space="preserve">The rheological properties of barley flour dough were evaluated using the </w:t>
      </w:r>
      <w:proofErr w:type="spellStart"/>
      <w:r w:rsidRPr="00365650">
        <w:t>Mixolab</w:t>
      </w:r>
      <w:proofErr w:type="spellEnd"/>
      <w:r w:rsidRPr="00365650">
        <w:t xml:space="preserve"> instrument according to standard protocols. The test determined water absorption capacity (WA), dough development, thermal and enzymatic stability, starch gelatinization, and retrogradation. Torque values C2, C3, C4, and C5 represented protein/gluten weakening during heating, maximum starch swelling and gelatinization, starch stability under heat, and retrogradation during cooling, respectively. The C3–C2 value indicated gelatinization intensity. These parameters provided a reliable basis for assessing the suitability of barley flour in bakery and flour confectionery products.</w:t>
      </w:r>
    </w:p>
    <w:p w14:paraId="2A9AE84B" w14:textId="77777777" w:rsidR="009448A7" w:rsidRPr="009448A7" w:rsidRDefault="009448A7" w:rsidP="005D3F77">
      <w:pPr>
        <w:pStyle w:val="CETheadingx"/>
      </w:pPr>
      <w:r w:rsidRPr="009448A7">
        <w:t>2.4 Preparation and evaluation of sugar-free cookies</w:t>
      </w:r>
    </w:p>
    <w:p w14:paraId="1C84E624" w14:textId="6D715DC9" w:rsidR="0020408D" w:rsidRPr="0020408D" w:rsidRDefault="0020408D" w:rsidP="0020408D">
      <w:pPr>
        <w:pStyle w:val="CETBodytext"/>
      </w:pPr>
      <w:r w:rsidRPr="0020408D">
        <w:t xml:space="preserve">Sugar-free cookies were prepared using wheat flour and barley flours from the “Abu </w:t>
      </w:r>
      <w:proofErr w:type="spellStart"/>
      <w:r w:rsidRPr="0020408D">
        <w:t>G‘ofur</w:t>
      </w:r>
      <w:proofErr w:type="spellEnd"/>
      <w:r w:rsidRPr="0020408D">
        <w:t>” (hulled) and “HM-140” (hull-less) varieties. A standardized dough formulation (225 g flour, 64 g fat, 2.1 g salt, 2.5 g baking soda, one egg ≈50 g, 50 g water) was followed, with homogenization of fat, salt, baking soda, and water, then incorporation of flour and egg and mixing for 6 min. The dough was sheeted (5 mm), cut (45 mm diameter), baked at 205</w:t>
      </w:r>
      <w:r w:rsidR="009F562E">
        <w:t xml:space="preserve"> </w:t>
      </w:r>
      <w:r w:rsidRPr="0020408D">
        <w:t>°C for 10 min, cooled, and stored in sealed containers. This protocol ensured consistent processing for all samples.</w:t>
      </w:r>
    </w:p>
    <w:p w14:paraId="3F3A06ED" w14:textId="4D67BDD1" w:rsidR="0020408D" w:rsidRDefault="0020408D" w:rsidP="0020408D">
      <w:pPr>
        <w:pStyle w:val="CETBodytext"/>
      </w:pPr>
      <w:r w:rsidRPr="0020408D">
        <w:t>Comprehensive evaluation encompassed organoleptic, physicochemical, nutritional, and functional properties, including dietary fiber content (total, soluble, insoluble), in vitro starch digestibility, and glycemic index (GI), using standard protocols. Microbiological stability was monitored by quantifying mesophilic aerobic and facultative anaerobic microorganisms</w:t>
      </w:r>
      <w:r>
        <w:t>, as well as</w:t>
      </w:r>
      <w:r w:rsidRPr="0020408D">
        <w:t xml:space="preserve"> </w:t>
      </w:r>
      <w:r>
        <w:t>molds</w:t>
      </w:r>
      <w:r w:rsidRPr="0020408D">
        <w:t>. Toxic elements and mycotoxins were analyzed to ensure safety and compliance. These analyses provided a holistic assessment of the technological, nutritional, and safety attributes of the sugar-free cookies.</w:t>
      </w:r>
    </w:p>
    <w:p w14:paraId="0D663D25" w14:textId="35F818F3" w:rsidR="00F832D4" w:rsidRDefault="00F832D4" w:rsidP="00F832D4">
      <w:pPr>
        <w:pStyle w:val="CETheadingx"/>
      </w:pPr>
      <w:r w:rsidRPr="00F832D4">
        <w:lastRenderedPageBreak/>
        <w:t>2.5 Statistical analysis</w:t>
      </w:r>
    </w:p>
    <w:p w14:paraId="644B6A6E" w14:textId="6D8D8315" w:rsidR="00F832D4" w:rsidRPr="0020408D" w:rsidRDefault="00F832D4" w:rsidP="0020408D">
      <w:pPr>
        <w:pStyle w:val="CETBodytext"/>
      </w:pPr>
      <w:r w:rsidRPr="00F832D4">
        <w:rPr>
          <w:lang w:val="en-GB"/>
        </w:rPr>
        <w:t>All experiments were carried out in triplicate. The obtained results were expressed as mean ± standard deviation (SD). Statistical analysis was performed using one-way analysis of variance (ANOVA). When significant differences were detected, Tukey’s post hoc test was applied to compare the mean values. Differences were considered statistically significant at p &lt; 0.05.</w:t>
      </w:r>
    </w:p>
    <w:p w14:paraId="1D1D02AF" w14:textId="2E47AFA4" w:rsidR="002B4F21" w:rsidRDefault="009A67AC" w:rsidP="005D3F77">
      <w:pPr>
        <w:pStyle w:val="CETHeading1"/>
        <w:numPr>
          <w:ilvl w:val="0"/>
          <w:numId w:val="0"/>
        </w:numPr>
      </w:pPr>
      <w:r>
        <w:t xml:space="preserve">3. </w:t>
      </w:r>
      <w:r w:rsidR="00E01151" w:rsidRPr="00E01151">
        <w:t>Results and discussion</w:t>
      </w:r>
    </w:p>
    <w:p w14:paraId="209C9682" w14:textId="77777777" w:rsidR="009448A7" w:rsidRDefault="009448A7" w:rsidP="005D3F77">
      <w:pPr>
        <w:pStyle w:val="CETheadingx"/>
      </w:pPr>
      <w:r w:rsidRPr="009448A7">
        <w:t>3.1 Effect of heat-moisture treatment on resistant starch formation</w:t>
      </w:r>
    </w:p>
    <w:p w14:paraId="6052F969" w14:textId="197B1968" w:rsidR="009448A7" w:rsidRPr="005D3F77" w:rsidRDefault="00365650" w:rsidP="005D3F77">
      <w:pPr>
        <w:pStyle w:val="CETBodytext"/>
      </w:pPr>
      <w:r w:rsidRPr="00365650">
        <w:rPr>
          <w:lang w:val="en-GB"/>
        </w:rPr>
        <w:t>Heat-moisture treatment significantly changed the starch digestibility of both barley varieties (</w:t>
      </w:r>
      <w:proofErr w:type="spellStart"/>
      <w:r w:rsidRPr="00365650">
        <w:rPr>
          <w:lang w:val="en-GB"/>
        </w:rPr>
        <w:t>Lv</w:t>
      </w:r>
      <w:proofErr w:type="spellEnd"/>
      <w:r w:rsidRPr="00365650">
        <w:rPr>
          <w:lang w:val="en-GB"/>
        </w:rPr>
        <w:t xml:space="preserve"> et al., 2022). In untreated HM-140 flour, rapidly digestible, slowly digestible, and resistant starch contents were 60.35 %, 14.88 %, and 24.77 %, respectively. The best result was observed at 110 °C and 15 % moisture, where rapidly digestible starch decreased to 54.98 %, while resistant starch increased to 33.40 %. In Abu </w:t>
      </w:r>
      <w:proofErr w:type="spellStart"/>
      <w:r w:rsidRPr="00365650">
        <w:rPr>
          <w:lang w:val="en-GB"/>
        </w:rPr>
        <w:t>G‘ofur</w:t>
      </w:r>
      <w:proofErr w:type="spellEnd"/>
      <w:r w:rsidRPr="00365650">
        <w:rPr>
          <w:lang w:val="en-GB"/>
        </w:rPr>
        <w:t>, the same treatment reduced rapidly digestible starch from 62.47 to 57.10 % and increased resistant starch from 22.31 to 30.94 %.</w:t>
      </w:r>
    </w:p>
    <w:p w14:paraId="056C50DE" w14:textId="7CFAEE1B" w:rsidR="009448A7" w:rsidRPr="005D3F77" w:rsidRDefault="009448A7" w:rsidP="005D3F77">
      <w:pPr>
        <w:pStyle w:val="CETTabletitle"/>
      </w:pPr>
      <w:r w:rsidRPr="005D3F77">
        <w:t xml:space="preserve">Table 1: Effect of hydrothermal treatment on starch fractions in HM-140 and </w:t>
      </w:r>
      <w:r w:rsidR="00D94474" w:rsidRPr="005D3F77">
        <w:t xml:space="preserve">Abu </w:t>
      </w:r>
      <w:proofErr w:type="spellStart"/>
      <w:r w:rsidR="00D94474" w:rsidRPr="005D3F77">
        <w:t>G‘ofur</w:t>
      </w:r>
      <w:proofErr w:type="spellEnd"/>
      <w:r w:rsidR="00D94474" w:rsidRPr="005D3F77">
        <w:t xml:space="preserve"> </w:t>
      </w:r>
      <w:r w:rsidRPr="005D3F77">
        <w:t>barley varieties</w:t>
      </w:r>
    </w:p>
    <w:tbl>
      <w:tblPr>
        <w:tblStyle w:val="-161"/>
        <w:tblW w:w="6516" w:type="dxa"/>
        <w:tblLook w:val="04A0" w:firstRow="1" w:lastRow="0" w:firstColumn="1" w:lastColumn="0" w:noHBand="0" w:noVBand="1"/>
      </w:tblPr>
      <w:tblGrid>
        <w:gridCol w:w="1838"/>
        <w:gridCol w:w="1559"/>
        <w:gridCol w:w="1418"/>
        <w:gridCol w:w="1701"/>
      </w:tblGrid>
      <w:tr w:rsidR="009448A7" w:rsidRPr="005D3F77" w14:paraId="4522BFE1" w14:textId="77777777" w:rsidTr="00A45DDF">
        <w:trPr>
          <w:cnfStyle w:val="100000000000" w:firstRow="1" w:lastRow="0" w:firstColumn="0" w:lastColumn="0" w:oddVBand="0" w:evenVBand="0" w:oddHBand="0" w:evenHBand="0" w:firstRowFirstColumn="0" w:firstRowLastColumn="0" w:lastRowFirstColumn="0" w:lastRowLastColumn="0"/>
          <w:trHeight w:val="408"/>
        </w:trPr>
        <w:tc>
          <w:tcPr>
            <w:cnfStyle w:val="001000000000" w:firstRow="0" w:lastRow="0" w:firstColumn="1" w:lastColumn="0" w:oddVBand="0" w:evenVBand="0" w:oddHBand="0" w:evenHBand="0" w:firstRowFirstColumn="0" w:firstRowLastColumn="0" w:lastRowFirstColumn="0" w:lastRowLastColumn="0"/>
            <w:tcW w:w="1838" w:type="dxa"/>
            <w:tcBorders>
              <w:top w:val="single" w:sz="12" w:space="0" w:color="9BBB59" w:themeColor="accent3"/>
              <w:left w:val="single" w:sz="12" w:space="0" w:color="FFFFFF"/>
              <w:bottom w:val="single" w:sz="12" w:space="0" w:color="9BBB59" w:themeColor="accent3"/>
              <w:right w:val="single" w:sz="4" w:space="0" w:color="FFFFFF" w:themeColor="background1"/>
            </w:tcBorders>
            <w:noWrap/>
            <w:vAlign w:val="center"/>
          </w:tcPr>
          <w:p w14:paraId="2766FAF0" w14:textId="77777777" w:rsidR="009448A7" w:rsidRPr="005D3F77" w:rsidRDefault="009448A7" w:rsidP="000753B9">
            <w:pPr>
              <w:pStyle w:val="CETBodytext"/>
              <w:rPr>
                <w:i/>
                <w:lang w:eastAsia="ru-RU"/>
              </w:rPr>
            </w:pPr>
            <w:r w:rsidRPr="005D3F77">
              <w:rPr>
                <w:lang w:eastAsia="ru-RU"/>
              </w:rPr>
              <w:t>Samples</w:t>
            </w:r>
          </w:p>
        </w:tc>
        <w:tc>
          <w:tcPr>
            <w:tcW w:w="1559" w:type="dxa"/>
            <w:tcBorders>
              <w:top w:val="single" w:sz="12" w:space="0" w:color="9BBB59" w:themeColor="accent3"/>
              <w:left w:val="single" w:sz="4" w:space="0" w:color="FFFFFF" w:themeColor="background1"/>
              <w:bottom w:val="single" w:sz="12" w:space="0" w:color="9BBB59" w:themeColor="accent3"/>
              <w:right w:val="single" w:sz="4" w:space="0" w:color="FFFFFF" w:themeColor="background1"/>
            </w:tcBorders>
            <w:noWrap/>
            <w:vAlign w:val="center"/>
          </w:tcPr>
          <w:p w14:paraId="34B59C0F" w14:textId="1004A9FB" w:rsidR="009448A7" w:rsidRPr="005D3F77" w:rsidRDefault="009448A7" w:rsidP="000753B9">
            <w:pPr>
              <w:pStyle w:val="CETBodytext"/>
              <w:cnfStyle w:val="100000000000" w:firstRow="1" w:lastRow="0" w:firstColumn="0" w:lastColumn="0" w:oddVBand="0" w:evenVBand="0" w:oddHBand="0" w:evenHBand="0" w:firstRowFirstColumn="0" w:firstRowLastColumn="0" w:lastRowFirstColumn="0" w:lastRowLastColumn="0"/>
              <w:rPr>
                <w:i/>
                <w:lang w:eastAsia="ru-RU"/>
              </w:rPr>
            </w:pPr>
            <w:r w:rsidRPr="005D3F77">
              <w:rPr>
                <w:lang w:eastAsia="ru-RU"/>
              </w:rPr>
              <w:t>RDS (%)</w:t>
            </w:r>
            <w:r w:rsidR="009F562E" w:rsidRPr="005D3F77">
              <w:rPr>
                <w:lang w:eastAsia="ru-RU"/>
              </w:rPr>
              <w:t>*</w:t>
            </w:r>
          </w:p>
        </w:tc>
        <w:tc>
          <w:tcPr>
            <w:tcW w:w="1418" w:type="dxa"/>
            <w:tcBorders>
              <w:top w:val="single" w:sz="12" w:space="0" w:color="9BBB59" w:themeColor="accent3"/>
              <w:left w:val="single" w:sz="4" w:space="0" w:color="FFFFFF" w:themeColor="background1"/>
              <w:bottom w:val="single" w:sz="12" w:space="0" w:color="9BBB59" w:themeColor="accent3"/>
              <w:right w:val="single" w:sz="4" w:space="0" w:color="FFFFFF" w:themeColor="background1"/>
            </w:tcBorders>
            <w:noWrap/>
            <w:vAlign w:val="center"/>
          </w:tcPr>
          <w:p w14:paraId="3630C13E" w14:textId="0D711F9D" w:rsidR="009448A7" w:rsidRPr="005D3F77" w:rsidRDefault="009448A7" w:rsidP="000753B9">
            <w:pPr>
              <w:pStyle w:val="CETBodytext"/>
              <w:cnfStyle w:val="100000000000" w:firstRow="1" w:lastRow="0" w:firstColumn="0" w:lastColumn="0" w:oddVBand="0" w:evenVBand="0" w:oddHBand="0" w:evenHBand="0" w:firstRowFirstColumn="0" w:firstRowLastColumn="0" w:lastRowFirstColumn="0" w:lastRowLastColumn="0"/>
              <w:rPr>
                <w:i/>
                <w:lang w:eastAsia="ru-RU"/>
              </w:rPr>
            </w:pPr>
            <w:r w:rsidRPr="005D3F77">
              <w:rPr>
                <w:lang w:eastAsia="ru-RU"/>
              </w:rPr>
              <w:t>SDS (%)</w:t>
            </w:r>
            <w:r w:rsidR="009F562E" w:rsidRPr="005D3F77">
              <w:rPr>
                <w:lang w:eastAsia="ru-RU"/>
              </w:rPr>
              <w:t>*</w:t>
            </w:r>
          </w:p>
        </w:tc>
        <w:tc>
          <w:tcPr>
            <w:tcW w:w="1701" w:type="dxa"/>
            <w:tcBorders>
              <w:top w:val="single" w:sz="12" w:space="0" w:color="9BBB59" w:themeColor="accent3"/>
              <w:left w:val="single" w:sz="4" w:space="0" w:color="FFFFFF" w:themeColor="background1"/>
              <w:right w:val="single" w:sz="12" w:space="0" w:color="FFFFFF"/>
            </w:tcBorders>
            <w:noWrap/>
            <w:vAlign w:val="center"/>
          </w:tcPr>
          <w:p w14:paraId="0772408B" w14:textId="38957CA0" w:rsidR="009448A7" w:rsidRPr="005D3F77" w:rsidRDefault="009448A7" w:rsidP="000753B9">
            <w:pPr>
              <w:pStyle w:val="CETBodytext"/>
              <w:cnfStyle w:val="100000000000" w:firstRow="1" w:lastRow="0" w:firstColumn="0" w:lastColumn="0" w:oddVBand="0" w:evenVBand="0" w:oddHBand="0" w:evenHBand="0" w:firstRowFirstColumn="0" w:firstRowLastColumn="0" w:lastRowFirstColumn="0" w:lastRowLastColumn="0"/>
              <w:rPr>
                <w:i/>
                <w:lang w:eastAsia="ru-RU"/>
              </w:rPr>
            </w:pPr>
            <w:r w:rsidRPr="005D3F77">
              <w:rPr>
                <w:lang w:eastAsia="ru-RU"/>
              </w:rPr>
              <w:t>RS (%)</w:t>
            </w:r>
            <w:r w:rsidR="009F562E" w:rsidRPr="005D3F77">
              <w:rPr>
                <w:lang w:eastAsia="ru-RU"/>
              </w:rPr>
              <w:t>*</w:t>
            </w:r>
          </w:p>
        </w:tc>
      </w:tr>
      <w:tr w:rsidR="009448A7" w:rsidRPr="005D3F77" w14:paraId="55D8B82F" w14:textId="77777777" w:rsidTr="00A45DDF">
        <w:trPr>
          <w:trHeight w:val="167"/>
        </w:trPr>
        <w:tc>
          <w:tcPr>
            <w:cnfStyle w:val="001000000000" w:firstRow="0" w:lastRow="0" w:firstColumn="1" w:lastColumn="0" w:oddVBand="0" w:evenVBand="0" w:oddHBand="0" w:evenHBand="0" w:firstRowFirstColumn="0" w:firstRowLastColumn="0" w:lastRowFirstColumn="0" w:lastRowLastColumn="0"/>
            <w:tcW w:w="6516" w:type="dxa"/>
            <w:gridSpan w:val="4"/>
            <w:tcBorders>
              <w:top w:val="single" w:sz="12" w:space="0" w:color="9BBB59" w:themeColor="accent3"/>
              <w:left w:val="single" w:sz="12" w:space="0" w:color="FFFFFF"/>
              <w:right w:val="single" w:sz="12" w:space="0" w:color="FFFFFF"/>
            </w:tcBorders>
            <w:noWrap/>
            <w:vAlign w:val="center"/>
          </w:tcPr>
          <w:p w14:paraId="6127FB18" w14:textId="77777777" w:rsidR="009448A7" w:rsidRPr="005D3F77" w:rsidRDefault="009448A7" w:rsidP="000753B9">
            <w:pPr>
              <w:pStyle w:val="CETBodytext"/>
              <w:rPr>
                <w:i/>
                <w:lang w:eastAsia="ru-RU"/>
              </w:rPr>
            </w:pPr>
            <w:r w:rsidRPr="005D3F77">
              <w:rPr>
                <w:lang w:eastAsia="ru-RU"/>
              </w:rPr>
              <w:t>HM-140</w:t>
            </w:r>
          </w:p>
        </w:tc>
      </w:tr>
      <w:tr w:rsidR="00B63ECB" w:rsidRPr="005D3F77" w14:paraId="62A9E207" w14:textId="77777777" w:rsidTr="00F765A3">
        <w:trPr>
          <w:trHeight w:val="206"/>
        </w:trPr>
        <w:tc>
          <w:tcPr>
            <w:cnfStyle w:val="001000000000" w:firstRow="0" w:lastRow="0" w:firstColumn="1" w:lastColumn="0" w:oddVBand="0" w:evenVBand="0" w:oddHBand="0" w:evenHBand="0" w:firstRowFirstColumn="0" w:firstRowLastColumn="0" w:lastRowFirstColumn="0" w:lastRowLastColumn="0"/>
            <w:tcW w:w="1838" w:type="dxa"/>
            <w:tcBorders>
              <w:left w:val="single" w:sz="12" w:space="0" w:color="FFFFFF"/>
              <w:right w:val="single" w:sz="4" w:space="0" w:color="FFFFFF" w:themeColor="background1"/>
            </w:tcBorders>
            <w:noWrap/>
          </w:tcPr>
          <w:p w14:paraId="761ED590" w14:textId="5522EF79" w:rsidR="00B63ECB" w:rsidRPr="00B63ECB" w:rsidRDefault="00B63ECB" w:rsidP="00B63ECB">
            <w:pPr>
              <w:pStyle w:val="CETBodytext"/>
              <w:rPr>
                <w:b w:val="0"/>
                <w:bCs w:val="0"/>
                <w:i/>
                <w:vertAlign w:val="superscript"/>
                <w:lang w:eastAsia="ru-RU"/>
              </w:rPr>
            </w:pPr>
            <w:r w:rsidRPr="00B63ECB">
              <w:rPr>
                <w:b w:val="0"/>
                <w:bCs w:val="0"/>
              </w:rPr>
              <w:t>NA</w:t>
            </w:r>
          </w:p>
        </w:tc>
        <w:tc>
          <w:tcPr>
            <w:tcW w:w="1559" w:type="dxa"/>
            <w:tcBorders>
              <w:left w:val="single" w:sz="4" w:space="0" w:color="FFFFFF" w:themeColor="background1"/>
              <w:right w:val="single" w:sz="4" w:space="0" w:color="FFFFFF" w:themeColor="background1"/>
            </w:tcBorders>
            <w:noWrap/>
          </w:tcPr>
          <w:p w14:paraId="17F3E422" w14:textId="06BC89AD" w:rsidR="00B63ECB" w:rsidRPr="00B63ECB" w:rsidRDefault="00B63ECB" w:rsidP="00B63ECB">
            <w:pPr>
              <w:pStyle w:val="CETBodytext"/>
              <w:cnfStyle w:val="000000000000" w:firstRow="0" w:lastRow="0" w:firstColumn="0" w:lastColumn="0" w:oddVBand="0" w:evenVBand="0" w:oddHBand="0" w:evenHBand="0" w:firstRowFirstColumn="0" w:firstRowLastColumn="0" w:lastRowFirstColumn="0" w:lastRowLastColumn="0"/>
              <w:rPr>
                <w:i/>
                <w:lang w:eastAsia="ru-RU"/>
              </w:rPr>
            </w:pPr>
            <w:r w:rsidRPr="00B63ECB">
              <w:t>60.35 ± 0.31</w:t>
            </w:r>
            <w:r w:rsidRPr="00554B2D">
              <w:rPr>
                <w:vertAlign w:val="superscript"/>
              </w:rPr>
              <w:t>d</w:t>
            </w:r>
          </w:p>
        </w:tc>
        <w:tc>
          <w:tcPr>
            <w:tcW w:w="1418" w:type="dxa"/>
            <w:tcBorders>
              <w:left w:val="single" w:sz="4" w:space="0" w:color="FFFFFF" w:themeColor="background1"/>
              <w:right w:val="single" w:sz="4" w:space="0" w:color="FFFFFF" w:themeColor="background1"/>
            </w:tcBorders>
            <w:noWrap/>
          </w:tcPr>
          <w:p w14:paraId="0283B8B5" w14:textId="66363103" w:rsidR="00B63ECB" w:rsidRPr="00B63ECB" w:rsidRDefault="00B63ECB" w:rsidP="00B63ECB">
            <w:pPr>
              <w:pStyle w:val="CETBodytext"/>
              <w:cnfStyle w:val="000000000000" w:firstRow="0" w:lastRow="0" w:firstColumn="0" w:lastColumn="0" w:oddVBand="0" w:evenVBand="0" w:oddHBand="0" w:evenHBand="0" w:firstRowFirstColumn="0" w:firstRowLastColumn="0" w:lastRowFirstColumn="0" w:lastRowLastColumn="0"/>
              <w:rPr>
                <w:i/>
                <w:lang w:eastAsia="ru-RU"/>
              </w:rPr>
            </w:pPr>
            <w:r w:rsidRPr="00B63ECB">
              <w:t>14.88 ± 0.18</w:t>
            </w:r>
            <w:r w:rsidRPr="00E00F4D">
              <w:rPr>
                <w:vertAlign w:val="superscript"/>
              </w:rPr>
              <w:t>b</w:t>
            </w:r>
          </w:p>
        </w:tc>
        <w:tc>
          <w:tcPr>
            <w:tcW w:w="1701" w:type="dxa"/>
            <w:tcBorders>
              <w:left w:val="single" w:sz="4" w:space="0" w:color="FFFFFF" w:themeColor="background1"/>
              <w:right w:val="single" w:sz="12" w:space="0" w:color="FFFFFF"/>
            </w:tcBorders>
            <w:noWrap/>
          </w:tcPr>
          <w:p w14:paraId="1251AEC1" w14:textId="3CCF710F" w:rsidR="00B63ECB" w:rsidRPr="00B63ECB" w:rsidRDefault="00B63ECB" w:rsidP="00B63ECB">
            <w:pPr>
              <w:pStyle w:val="CETBodytext"/>
              <w:cnfStyle w:val="000000000000" w:firstRow="0" w:lastRow="0" w:firstColumn="0" w:lastColumn="0" w:oddVBand="0" w:evenVBand="0" w:oddHBand="0" w:evenHBand="0" w:firstRowFirstColumn="0" w:firstRowLastColumn="0" w:lastRowFirstColumn="0" w:lastRowLastColumn="0"/>
              <w:rPr>
                <w:i/>
                <w:lang w:eastAsia="ru-RU"/>
              </w:rPr>
            </w:pPr>
            <w:r w:rsidRPr="00B63ECB">
              <w:t>24.77 ± 0.24</w:t>
            </w:r>
            <w:r w:rsidRPr="00E00F4D">
              <w:rPr>
                <w:vertAlign w:val="superscript"/>
              </w:rPr>
              <w:t>e</w:t>
            </w:r>
          </w:p>
        </w:tc>
      </w:tr>
      <w:tr w:rsidR="00B63ECB" w:rsidRPr="005D3F77" w14:paraId="56453E8C" w14:textId="77777777" w:rsidTr="00F765A3">
        <w:trPr>
          <w:trHeight w:val="238"/>
        </w:trPr>
        <w:tc>
          <w:tcPr>
            <w:cnfStyle w:val="001000000000" w:firstRow="0" w:lastRow="0" w:firstColumn="1" w:lastColumn="0" w:oddVBand="0" w:evenVBand="0" w:oddHBand="0" w:evenHBand="0" w:firstRowFirstColumn="0" w:firstRowLastColumn="0" w:lastRowFirstColumn="0" w:lastRowLastColumn="0"/>
            <w:tcW w:w="1838" w:type="dxa"/>
            <w:tcBorders>
              <w:left w:val="single" w:sz="12" w:space="0" w:color="FFFFFF"/>
              <w:right w:val="single" w:sz="4" w:space="0" w:color="FFFFFF" w:themeColor="background1"/>
            </w:tcBorders>
            <w:noWrap/>
          </w:tcPr>
          <w:p w14:paraId="2A511510" w14:textId="63965F88" w:rsidR="00B63ECB" w:rsidRPr="00B63ECB" w:rsidRDefault="00B63ECB" w:rsidP="00B63ECB">
            <w:pPr>
              <w:pStyle w:val="CETBodytext"/>
              <w:rPr>
                <w:b w:val="0"/>
                <w:bCs w:val="0"/>
                <w:i/>
                <w:lang w:eastAsia="ru-RU"/>
              </w:rPr>
            </w:pPr>
            <w:r w:rsidRPr="00B63ECB">
              <w:rPr>
                <w:b w:val="0"/>
                <w:bCs w:val="0"/>
              </w:rPr>
              <w:t>90 °C – 15 %</w:t>
            </w:r>
          </w:p>
        </w:tc>
        <w:tc>
          <w:tcPr>
            <w:tcW w:w="1559" w:type="dxa"/>
            <w:tcBorders>
              <w:left w:val="single" w:sz="4" w:space="0" w:color="FFFFFF" w:themeColor="background1"/>
              <w:right w:val="single" w:sz="4" w:space="0" w:color="FFFFFF" w:themeColor="background1"/>
            </w:tcBorders>
            <w:noWrap/>
          </w:tcPr>
          <w:p w14:paraId="03A1DD95" w14:textId="001A8F24" w:rsidR="00B63ECB" w:rsidRPr="00B63ECB" w:rsidRDefault="00B63ECB" w:rsidP="00B63ECB">
            <w:pPr>
              <w:pStyle w:val="CETBodytext"/>
              <w:cnfStyle w:val="000000000000" w:firstRow="0" w:lastRow="0" w:firstColumn="0" w:lastColumn="0" w:oddVBand="0" w:evenVBand="0" w:oddHBand="0" w:evenHBand="0" w:firstRowFirstColumn="0" w:firstRowLastColumn="0" w:lastRowFirstColumn="0" w:lastRowLastColumn="0"/>
              <w:rPr>
                <w:i/>
                <w:lang w:eastAsia="ru-RU"/>
              </w:rPr>
            </w:pPr>
            <w:r w:rsidRPr="00B63ECB">
              <w:t>61.57 ± 0.28</w:t>
            </w:r>
            <w:r w:rsidRPr="00554B2D">
              <w:rPr>
                <w:vertAlign w:val="superscript"/>
              </w:rPr>
              <w:t>c</w:t>
            </w:r>
          </w:p>
        </w:tc>
        <w:tc>
          <w:tcPr>
            <w:tcW w:w="1418" w:type="dxa"/>
            <w:tcBorders>
              <w:left w:val="single" w:sz="4" w:space="0" w:color="FFFFFF" w:themeColor="background1"/>
              <w:right w:val="single" w:sz="4" w:space="0" w:color="FFFFFF" w:themeColor="background1"/>
            </w:tcBorders>
            <w:noWrap/>
          </w:tcPr>
          <w:p w14:paraId="73BE5DA4" w14:textId="036144DD" w:rsidR="00B63ECB" w:rsidRPr="00B63ECB" w:rsidRDefault="00B63ECB" w:rsidP="00B63ECB">
            <w:pPr>
              <w:pStyle w:val="CETBodytext"/>
              <w:cnfStyle w:val="000000000000" w:firstRow="0" w:lastRow="0" w:firstColumn="0" w:lastColumn="0" w:oddVBand="0" w:evenVBand="0" w:oddHBand="0" w:evenHBand="0" w:firstRowFirstColumn="0" w:firstRowLastColumn="0" w:lastRowFirstColumn="0" w:lastRowLastColumn="0"/>
              <w:rPr>
                <w:i/>
                <w:lang w:eastAsia="ru-RU"/>
              </w:rPr>
            </w:pPr>
            <w:r w:rsidRPr="00B63ECB">
              <w:t>10.96 ± 0.15</w:t>
            </w:r>
            <w:r w:rsidRPr="00E00F4D">
              <w:rPr>
                <w:vertAlign w:val="superscript"/>
              </w:rPr>
              <w:t>g</w:t>
            </w:r>
          </w:p>
        </w:tc>
        <w:tc>
          <w:tcPr>
            <w:tcW w:w="1701" w:type="dxa"/>
            <w:tcBorders>
              <w:left w:val="single" w:sz="4" w:space="0" w:color="FFFFFF" w:themeColor="background1"/>
              <w:right w:val="single" w:sz="12" w:space="0" w:color="FFFFFF"/>
            </w:tcBorders>
            <w:noWrap/>
          </w:tcPr>
          <w:p w14:paraId="691B457A" w14:textId="7BD692FD" w:rsidR="00B63ECB" w:rsidRPr="00B63ECB" w:rsidRDefault="00B63ECB" w:rsidP="00B63ECB">
            <w:pPr>
              <w:pStyle w:val="CETBodytext"/>
              <w:cnfStyle w:val="000000000000" w:firstRow="0" w:lastRow="0" w:firstColumn="0" w:lastColumn="0" w:oddVBand="0" w:evenVBand="0" w:oddHBand="0" w:evenHBand="0" w:firstRowFirstColumn="0" w:firstRowLastColumn="0" w:lastRowFirstColumn="0" w:lastRowLastColumn="0"/>
              <w:rPr>
                <w:i/>
                <w:lang w:eastAsia="ru-RU"/>
              </w:rPr>
            </w:pPr>
            <w:r w:rsidRPr="00B63ECB">
              <w:t>27.47 ± 0.26</w:t>
            </w:r>
            <w:r w:rsidRPr="00E00F4D">
              <w:rPr>
                <w:vertAlign w:val="superscript"/>
              </w:rPr>
              <w:t>c</w:t>
            </w:r>
          </w:p>
        </w:tc>
      </w:tr>
      <w:tr w:rsidR="00B63ECB" w:rsidRPr="005D3F77" w14:paraId="389427BE" w14:textId="77777777" w:rsidTr="00F765A3">
        <w:trPr>
          <w:trHeight w:val="127"/>
        </w:trPr>
        <w:tc>
          <w:tcPr>
            <w:cnfStyle w:val="001000000000" w:firstRow="0" w:lastRow="0" w:firstColumn="1" w:lastColumn="0" w:oddVBand="0" w:evenVBand="0" w:oddHBand="0" w:evenHBand="0" w:firstRowFirstColumn="0" w:firstRowLastColumn="0" w:lastRowFirstColumn="0" w:lastRowLastColumn="0"/>
            <w:tcW w:w="1838" w:type="dxa"/>
            <w:tcBorders>
              <w:left w:val="single" w:sz="12" w:space="0" w:color="FFFFFF"/>
              <w:right w:val="single" w:sz="4" w:space="0" w:color="FFFFFF" w:themeColor="background1"/>
            </w:tcBorders>
            <w:noWrap/>
          </w:tcPr>
          <w:p w14:paraId="397D69E9" w14:textId="1BC5EE5B" w:rsidR="00B63ECB" w:rsidRPr="00B63ECB" w:rsidRDefault="00B63ECB" w:rsidP="00B63ECB">
            <w:pPr>
              <w:pStyle w:val="CETBodytext"/>
              <w:rPr>
                <w:b w:val="0"/>
                <w:bCs w:val="0"/>
                <w:i/>
                <w:lang w:eastAsia="ru-RU"/>
              </w:rPr>
            </w:pPr>
            <w:r w:rsidRPr="00B63ECB">
              <w:rPr>
                <w:b w:val="0"/>
                <w:bCs w:val="0"/>
              </w:rPr>
              <w:t>90 °C – 25 %</w:t>
            </w:r>
          </w:p>
        </w:tc>
        <w:tc>
          <w:tcPr>
            <w:tcW w:w="1559" w:type="dxa"/>
            <w:tcBorders>
              <w:left w:val="single" w:sz="4" w:space="0" w:color="FFFFFF" w:themeColor="background1"/>
              <w:right w:val="single" w:sz="4" w:space="0" w:color="FFFFFF" w:themeColor="background1"/>
            </w:tcBorders>
            <w:noWrap/>
          </w:tcPr>
          <w:p w14:paraId="1B54DC73" w14:textId="62403FA4" w:rsidR="00B63ECB" w:rsidRPr="00B63ECB" w:rsidRDefault="00B63ECB" w:rsidP="00B63ECB">
            <w:pPr>
              <w:pStyle w:val="CETBodytext"/>
              <w:cnfStyle w:val="000000000000" w:firstRow="0" w:lastRow="0" w:firstColumn="0" w:lastColumn="0" w:oddVBand="0" w:evenVBand="0" w:oddHBand="0" w:evenHBand="0" w:firstRowFirstColumn="0" w:firstRowLastColumn="0" w:lastRowFirstColumn="0" w:lastRowLastColumn="0"/>
              <w:rPr>
                <w:i/>
                <w:lang w:eastAsia="ru-RU"/>
              </w:rPr>
            </w:pPr>
            <w:r w:rsidRPr="00B63ECB">
              <w:t>63.23 ± 0.35</w:t>
            </w:r>
            <w:r w:rsidRPr="00554B2D">
              <w:rPr>
                <w:vertAlign w:val="superscript"/>
              </w:rPr>
              <w:t>b</w:t>
            </w:r>
          </w:p>
        </w:tc>
        <w:tc>
          <w:tcPr>
            <w:tcW w:w="1418" w:type="dxa"/>
            <w:tcBorders>
              <w:left w:val="single" w:sz="4" w:space="0" w:color="FFFFFF" w:themeColor="background1"/>
              <w:right w:val="single" w:sz="4" w:space="0" w:color="FFFFFF" w:themeColor="background1"/>
            </w:tcBorders>
            <w:noWrap/>
          </w:tcPr>
          <w:p w14:paraId="2199E239" w14:textId="1B9296A1" w:rsidR="00B63ECB" w:rsidRPr="00B63ECB" w:rsidRDefault="00B63ECB" w:rsidP="00B63ECB">
            <w:pPr>
              <w:pStyle w:val="CETBodytext"/>
              <w:cnfStyle w:val="000000000000" w:firstRow="0" w:lastRow="0" w:firstColumn="0" w:lastColumn="0" w:oddVBand="0" w:evenVBand="0" w:oddHBand="0" w:evenHBand="0" w:firstRowFirstColumn="0" w:firstRowLastColumn="0" w:lastRowFirstColumn="0" w:lastRowLastColumn="0"/>
              <w:rPr>
                <w:i/>
                <w:lang w:eastAsia="ru-RU"/>
              </w:rPr>
            </w:pPr>
            <w:r w:rsidRPr="00B63ECB">
              <w:t>12.99 ± 0.19</w:t>
            </w:r>
            <w:r w:rsidRPr="00E00F4D">
              <w:rPr>
                <w:vertAlign w:val="superscript"/>
              </w:rPr>
              <w:t>e</w:t>
            </w:r>
          </w:p>
        </w:tc>
        <w:tc>
          <w:tcPr>
            <w:tcW w:w="1701" w:type="dxa"/>
            <w:tcBorders>
              <w:left w:val="single" w:sz="4" w:space="0" w:color="FFFFFF" w:themeColor="background1"/>
              <w:right w:val="single" w:sz="12" w:space="0" w:color="FFFFFF"/>
            </w:tcBorders>
            <w:noWrap/>
          </w:tcPr>
          <w:p w14:paraId="27887242" w14:textId="3A49A4EB" w:rsidR="00B63ECB" w:rsidRPr="00B63ECB" w:rsidRDefault="00B63ECB" w:rsidP="00B63ECB">
            <w:pPr>
              <w:pStyle w:val="CETBodytext"/>
              <w:cnfStyle w:val="000000000000" w:firstRow="0" w:lastRow="0" w:firstColumn="0" w:lastColumn="0" w:oddVBand="0" w:evenVBand="0" w:oddHBand="0" w:evenHBand="0" w:firstRowFirstColumn="0" w:firstRowLastColumn="0" w:lastRowFirstColumn="0" w:lastRowLastColumn="0"/>
              <w:rPr>
                <w:i/>
                <w:lang w:eastAsia="ru-RU"/>
              </w:rPr>
            </w:pPr>
            <w:r w:rsidRPr="00B63ECB">
              <w:t>23.78 ± 0.21</w:t>
            </w:r>
            <w:r w:rsidRPr="00E00F4D">
              <w:rPr>
                <w:vertAlign w:val="superscript"/>
              </w:rPr>
              <w:t>f</w:t>
            </w:r>
          </w:p>
        </w:tc>
      </w:tr>
      <w:tr w:rsidR="00B63ECB" w:rsidRPr="005D3F77" w14:paraId="646CEA75" w14:textId="77777777" w:rsidTr="00F765A3">
        <w:trPr>
          <w:trHeight w:val="174"/>
        </w:trPr>
        <w:tc>
          <w:tcPr>
            <w:cnfStyle w:val="001000000000" w:firstRow="0" w:lastRow="0" w:firstColumn="1" w:lastColumn="0" w:oddVBand="0" w:evenVBand="0" w:oddHBand="0" w:evenHBand="0" w:firstRowFirstColumn="0" w:firstRowLastColumn="0" w:lastRowFirstColumn="0" w:lastRowLastColumn="0"/>
            <w:tcW w:w="1838" w:type="dxa"/>
            <w:tcBorders>
              <w:left w:val="single" w:sz="12" w:space="0" w:color="FFFFFF"/>
              <w:right w:val="single" w:sz="4" w:space="0" w:color="FFFFFF" w:themeColor="background1"/>
            </w:tcBorders>
            <w:noWrap/>
          </w:tcPr>
          <w:p w14:paraId="26C56EBB" w14:textId="19113BA8" w:rsidR="00B63ECB" w:rsidRPr="00B63ECB" w:rsidRDefault="00B63ECB" w:rsidP="00B63ECB">
            <w:pPr>
              <w:pStyle w:val="CETBodytext"/>
              <w:rPr>
                <w:b w:val="0"/>
                <w:bCs w:val="0"/>
                <w:i/>
                <w:lang w:eastAsia="ru-RU"/>
              </w:rPr>
            </w:pPr>
            <w:r w:rsidRPr="00B63ECB">
              <w:rPr>
                <w:b w:val="0"/>
                <w:bCs w:val="0"/>
              </w:rPr>
              <w:t>90 °C – 35 %</w:t>
            </w:r>
          </w:p>
        </w:tc>
        <w:tc>
          <w:tcPr>
            <w:tcW w:w="1559" w:type="dxa"/>
            <w:tcBorders>
              <w:left w:val="single" w:sz="4" w:space="0" w:color="FFFFFF" w:themeColor="background1"/>
              <w:right w:val="single" w:sz="4" w:space="0" w:color="FFFFFF" w:themeColor="background1"/>
            </w:tcBorders>
            <w:noWrap/>
          </w:tcPr>
          <w:p w14:paraId="7F35B314" w14:textId="0743D158" w:rsidR="00B63ECB" w:rsidRPr="00B63ECB" w:rsidRDefault="00B63ECB" w:rsidP="00B63ECB">
            <w:pPr>
              <w:pStyle w:val="CETBodytext"/>
              <w:cnfStyle w:val="000000000000" w:firstRow="0" w:lastRow="0" w:firstColumn="0" w:lastColumn="0" w:oddVBand="0" w:evenVBand="0" w:oddHBand="0" w:evenHBand="0" w:firstRowFirstColumn="0" w:firstRowLastColumn="0" w:lastRowFirstColumn="0" w:lastRowLastColumn="0"/>
              <w:rPr>
                <w:i/>
                <w:lang w:eastAsia="ru-RU"/>
              </w:rPr>
            </w:pPr>
            <w:r w:rsidRPr="00B63ECB">
              <w:t>64.27 ± 0.37</w:t>
            </w:r>
            <w:r w:rsidRPr="00554B2D">
              <w:rPr>
                <w:vertAlign w:val="superscript"/>
              </w:rPr>
              <w:t>b</w:t>
            </w:r>
          </w:p>
        </w:tc>
        <w:tc>
          <w:tcPr>
            <w:tcW w:w="1418" w:type="dxa"/>
            <w:tcBorders>
              <w:left w:val="single" w:sz="4" w:space="0" w:color="FFFFFF" w:themeColor="background1"/>
              <w:right w:val="single" w:sz="4" w:space="0" w:color="FFFFFF" w:themeColor="background1"/>
            </w:tcBorders>
            <w:noWrap/>
          </w:tcPr>
          <w:p w14:paraId="4A23FA7B" w14:textId="01952224" w:rsidR="00B63ECB" w:rsidRPr="00B63ECB" w:rsidRDefault="00B63ECB" w:rsidP="00B63ECB">
            <w:pPr>
              <w:pStyle w:val="CETBodytext"/>
              <w:cnfStyle w:val="000000000000" w:firstRow="0" w:lastRow="0" w:firstColumn="0" w:lastColumn="0" w:oddVBand="0" w:evenVBand="0" w:oddHBand="0" w:evenHBand="0" w:firstRowFirstColumn="0" w:firstRowLastColumn="0" w:lastRowFirstColumn="0" w:lastRowLastColumn="0"/>
              <w:rPr>
                <w:i/>
                <w:lang w:eastAsia="ru-RU"/>
              </w:rPr>
            </w:pPr>
            <w:r w:rsidRPr="00B63ECB">
              <w:t>15.18 ± 0.20</w:t>
            </w:r>
            <w:r w:rsidRPr="00E00F4D">
              <w:rPr>
                <w:vertAlign w:val="superscript"/>
              </w:rPr>
              <w:t>b</w:t>
            </w:r>
          </w:p>
        </w:tc>
        <w:tc>
          <w:tcPr>
            <w:tcW w:w="1701" w:type="dxa"/>
            <w:tcBorders>
              <w:left w:val="single" w:sz="4" w:space="0" w:color="FFFFFF" w:themeColor="background1"/>
              <w:right w:val="single" w:sz="12" w:space="0" w:color="FFFFFF"/>
            </w:tcBorders>
            <w:noWrap/>
          </w:tcPr>
          <w:p w14:paraId="614D1008" w14:textId="54151EAD" w:rsidR="00B63ECB" w:rsidRPr="00B63ECB" w:rsidRDefault="00B63ECB" w:rsidP="00B63ECB">
            <w:pPr>
              <w:pStyle w:val="CETBodytext"/>
              <w:cnfStyle w:val="000000000000" w:firstRow="0" w:lastRow="0" w:firstColumn="0" w:lastColumn="0" w:oddVBand="0" w:evenVBand="0" w:oddHBand="0" w:evenHBand="0" w:firstRowFirstColumn="0" w:firstRowLastColumn="0" w:lastRowFirstColumn="0" w:lastRowLastColumn="0"/>
              <w:rPr>
                <w:i/>
                <w:lang w:eastAsia="ru-RU"/>
              </w:rPr>
            </w:pPr>
            <w:r w:rsidRPr="00B63ECB">
              <w:t>20.55 ± 0.19</w:t>
            </w:r>
            <w:r w:rsidRPr="00E00F4D">
              <w:rPr>
                <w:vertAlign w:val="superscript"/>
              </w:rPr>
              <w:t>h</w:t>
            </w:r>
          </w:p>
        </w:tc>
      </w:tr>
      <w:tr w:rsidR="00B63ECB" w:rsidRPr="005D3F77" w14:paraId="122C69B6" w14:textId="77777777" w:rsidTr="00F765A3">
        <w:trPr>
          <w:trHeight w:val="205"/>
        </w:trPr>
        <w:tc>
          <w:tcPr>
            <w:cnfStyle w:val="001000000000" w:firstRow="0" w:lastRow="0" w:firstColumn="1" w:lastColumn="0" w:oddVBand="0" w:evenVBand="0" w:oddHBand="0" w:evenHBand="0" w:firstRowFirstColumn="0" w:firstRowLastColumn="0" w:lastRowFirstColumn="0" w:lastRowLastColumn="0"/>
            <w:tcW w:w="1838" w:type="dxa"/>
            <w:tcBorders>
              <w:left w:val="single" w:sz="12" w:space="0" w:color="FFFFFF"/>
              <w:right w:val="single" w:sz="4" w:space="0" w:color="FFFFFF" w:themeColor="background1"/>
            </w:tcBorders>
            <w:noWrap/>
          </w:tcPr>
          <w:p w14:paraId="416B6564" w14:textId="37B4C99A" w:rsidR="00B63ECB" w:rsidRPr="00B63ECB" w:rsidRDefault="00B63ECB" w:rsidP="00B63ECB">
            <w:pPr>
              <w:pStyle w:val="CETBodytext"/>
              <w:rPr>
                <w:b w:val="0"/>
                <w:bCs w:val="0"/>
                <w:i/>
                <w:lang w:eastAsia="ru-RU"/>
              </w:rPr>
            </w:pPr>
            <w:r w:rsidRPr="00B63ECB">
              <w:rPr>
                <w:b w:val="0"/>
                <w:bCs w:val="0"/>
              </w:rPr>
              <w:t>110 °C – 15 %</w:t>
            </w:r>
          </w:p>
        </w:tc>
        <w:tc>
          <w:tcPr>
            <w:tcW w:w="1559" w:type="dxa"/>
            <w:tcBorders>
              <w:left w:val="single" w:sz="4" w:space="0" w:color="FFFFFF" w:themeColor="background1"/>
              <w:right w:val="single" w:sz="4" w:space="0" w:color="FFFFFF" w:themeColor="background1"/>
            </w:tcBorders>
            <w:noWrap/>
          </w:tcPr>
          <w:p w14:paraId="501D93D4" w14:textId="76C5D152" w:rsidR="00B63ECB" w:rsidRPr="00B63ECB" w:rsidRDefault="00B63ECB" w:rsidP="00B63ECB">
            <w:pPr>
              <w:pStyle w:val="CETBodytext"/>
              <w:cnfStyle w:val="000000000000" w:firstRow="0" w:lastRow="0" w:firstColumn="0" w:lastColumn="0" w:oddVBand="0" w:evenVBand="0" w:oddHBand="0" w:evenHBand="0" w:firstRowFirstColumn="0" w:firstRowLastColumn="0" w:lastRowFirstColumn="0" w:lastRowLastColumn="0"/>
              <w:rPr>
                <w:i/>
                <w:lang w:eastAsia="ru-RU"/>
              </w:rPr>
            </w:pPr>
            <w:r w:rsidRPr="00B63ECB">
              <w:t>54.98 ± 0.26</w:t>
            </w:r>
            <w:r w:rsidRPr="00554B2D">
              <w:rPr>
                <w:vertAlign w:val="superscript"/>
              </w:rPr>
              <w:t>f</w:t>
            </w:r>
          </w:p>
        </w:tc>
        <w:tc>
          <w:tcPr>
            <w:tcW w:w="1418" w:type="dxa"/>
            <w:tcBorders>
              <w:left w:val="single" w:sz="4" w:space="0" w:color="FFFFFF" w:themeColor="background1"/>
              <w:right w:val="single" w:sz="4" w:space="0" w:color="FFFFFF" w:themeColor="background1"/>
            </w:tcBorders>
            <w:noWrap/>
          </w:tcPr>
          <w:p w14:paraId="19BD1871" w14:textId="6E9D2E30" w:rsidR="00B63ECB" w:rsidRPr="00B63ECB" w:rsidRDefault="00B63ECB" w:rsidP="00B63ECB">
            <w:pPr>
              <w:pStyle w:val="CETBodytext"/>
              <w:cnfStyle w:val="000000000000" w:firstRow="0" w:lastRow="0" w:firstColumn="0" w:lastColumn="0" w:oddVBand="0" w:evenVBand="0" w:oddHBand="0" w:evenHBand="0" w:firstRowFirstColumn="0" w:firstRowLastColumn="0" w:lastRowFirstColumn="0" w:lastRowLastColumn="0"/>
              <w:rPr>
                <w:i/>
                <w:lang w:eastAsia="ru-RU"/>
              </w:rPr>
            </w:pPr>
            <w:r w:rsidRPr="00B63ECB">
              <w:t>11.62 ± 0.16</w:t>
            </w:r>
            <w:r w:rsidRPr="00E00F4D">
              <w:rPr>
                <w:vertAlign w:val="superscript"/>
              </w:rPr>
              <w:t>f</w:t>
            </w:r>
          </w:p>
        </w:tc>
        <w:tc>
          <w:tcPr>
            <w:tcW w:w="1701" w:type="dxa"/>
            <w:tcBorders>
              <w:left w:val="single" w:sz="4" w:space="0" w:color="FFFFFF" w:themeColor="background1"/>
              <w:right w:val="single" w:sz="12" w:space="0" w:color="FFFFFF"/>
            </w:tcBorders>
            <w:noWrap/>
          </w:tcPr>
          <w:p w14:paraId="065F5429" w14:textId="27796C64" w:rsidR="00B63ECB" w:rsidRPr="00B63ECB" w:rsidRDefault="00B63ECB" w:rsidP="00B63ECB">
            <w:pPr>
              <w:pStyle w:val="CETBodytext"/>
              <w:cnfStyle w:val="000000000000" w:firstRow="0" w:lastRow="0" w:firstColumn="0" w:lastColumn="0" w:oddVBand="0" w:evenVBand="0" w:oddHBand="0" w:evenHBand="0" w:firstRowFirstColumn="0" w:firstRowLastColumn="0" w:lastRowFirstColumn="0" w:lastRowLastColumn="0"/>
              <w:rPr>
                <w:i/>
                <w:lang w:eastAsia="ru-RU"/>
              </w:rPr>
            </w:pPr>
            <w:r w:rsidRPr="00B63ECB">
              <w:t>33.40 ± 0.32</w:t>
            </w:r>
            <w:r w:rsidRPr="00E00F4D">
              <w:rPr>
                <w:vertAlign w:val="superscript"/>
              </w:rPr>
              <w:t>a</w:t>
            </w:r>
          </w:p>
        </w:tc>
      </w:tr>
      <w:tr w:rsidR="00B63ECB" w:rsidRPr="005D3F77" w14:paraId="02EFC24E" w14:textId="77777777" w:rsidTr="00F765A3">
        <w:trPr>
          <w:trHeight w:val="252"/>
        </w:trPr>
        <w:tc>
          <w:tcPr>
            <w:cnfStyle w:val="001000000000" w:firstRow="0" w:lastRow="0" w:firstColumn="1" w:lastColumn="0" w:oddVBand="0" w:evenVBand="0" w:oddHBand="0" w:evenHBand="0" w:firstRowFirstColumn="0" w:firstRowLastColumn="0" w:lastRowFirstColumn="0" w:lastRowLastColumn="0"/>
            <w:tcW w:w="1838" w:type="dxa"/>
            <w:tcBorders>
              <w:left w:val="single" w:sz="12" w:space="0" w:color="FFFFFF"/>
              <w:right w:val="single" w:sz="4" w:space="0" w:color="FFFFFF" w:themeColor="background1"/>
            </w:tcBorders>
            <w:noWrap/>
          </w:tcPr>
          <w:p w14:paraId="4CE0232A" w14:textId="4D256BDF" w:rsidR="00B63ECB" w:rsidRPr="00B63ECB" w:rsidRDefault="00B63ECB" w:rsidP="00B63ECB">
            <w:pPr>
              <w:pStyle w:val="CETBodytext"/>
              <w:rPr>
                <w:b w:val="0"/>
                <w:bCs w:val="0"/>
                <w:i/>
                <w:lang w:eastAsia="ru-RU"/>
              </w:rPr>
            </w:pPr>
            <w:r w:rsidRPr="00B63ECB">
              <w:rPr>
                <w:b w:val="0"/>
                <w:bCs w:val="0"/>
              </w:rPr>
              <w:t>110 °C – 25 %</w:t>
            </w:r>
          </w:p>
        </w:tc>
        <w:tc>
          <w:tcPr>
            <w:tcW w:w="1559" w:type="dxa"/>
            <w:tcBorders>
              <w:left w:val="single" w:sz="4" w:space="0" w:color="FFFFFF" w:themeColor="background1"/>
              <w:right w:val="single" w:sz="4" w:space="0" w:color="FFFFFF" w:themeColor="background1"/>
            </w:tcBorders>
            <w:noWrap/>
          </w:tcPr>
          <w:p w14:paraId="4DB1D700" w14:textId="5F5A808A" w:rsidR="00B63ECB" w:rsidRPr="00B63ECB" w:rsidRDefault="00B63ECB" w:rsidP="00B63ECB">
            <w:pPr>
              <w:pStyle w:val="CETBodytext"/>
              <w:cnfStyle w:val="000000000000" w:firstRow="0" w:lastRow="0" w:firstColumn="0" w:lastColumn="0" w:oddVBand="0" w:evenVBand="0" w:oddHBand="0" w:evenHBand="0" w:firstRowFirstColumn="0" w:firstRowLastColumn="0" w:lastRowFirstColumn="0" w:lastRowLastColumn="0"/>
              <w:rPr>
                <w:i/>
                <w:lang w:eastAsia="ru-RU"/>
              </w:rPr>
            </w:pPr>
            <w:r w:rsidRPr="00B63ECB">
              <w:t>61.48 ± 0.30</w:t>
            </w:r>
            <w:r w:rsidRPr="00554B2D">
              <w:rPr>
                <w:vertAlign w:val="superscript"/>
              </w:rPr>
              <w:t>c</w:t>
            </w:r>
          </w:p>
        </w:tc>
        <w:tc>
          <w:tcPr>
            <w:tcW w:w="1418" w:type="dxa"/>
            <w:tcBorders>
              <w:left w:val="single" w:sz="4" w:space="0" w:color="FFFFFF" w:themeColor="background1"/>
              <w:right w:val="single" w:sz="4" w:space="0" w:color="FFFFFF" w:themeColor="background1"/>
            </w:tcBorders>
            <w:noWrap/>
          </w:tcPr>
          <w:p w14:paraId="3A92058C" w14:textId="21EF8AFD" w:rsidR="00B63ECB" w:rsidRPr="00B63ECB" w:rsidRDefault="00B63ECB" w:rsidP="00B63ECB">
            <w:pPr>
              <w:pStyle w:val="CETBodytext"/>
              <w:cnfStyle w:val="000000000000" w:firstRow="0" w:lastRow="0" w:firstColumn="0" w:lastColumn="0" w:oddVBand="0" w:evenVBand="0" w:oddHBand="0" w:evenHBand="0" w:firstRowFirstColumn="0" w:firstRowLastColumn="0" w:lastRowFirstColumn="0" w:lastRowLastColumn="0"/>
              <w:rPr>
                <w:i/>
                <w:lang w:eastAsia="ru-RU"/>
              </w:rPr>
            </w:pPr>
            <w:r w:rsidRPr="00B63ECB">
              <w:t>10.37 ± 0.14</w:t>
            </w:r>
            <w:r w:rsidRPr="00E00F4D">
              <w:rPr>
                <w:vertAlign w:val="superscript"/>
              </w:rPr>
              <w:t>g</w:t>
            </w:r>
          </w:p>
        </w:tc>
        <w:tc>
          <w:tcPr>
            <w:tcW w:w="1701" w:type="dxa"/>
            <w:tcBorders>
              <w:left w:val="single" w:sz="4" w:space="0" w:color="FFFFFF" w:themeColor="background1"/>
              <w:right w:val="single" w:sz="12" w:space="0" w:color="FFFFFF"/>
            </w:tcBorders>
            <w:noWrap/>
          </w:tcPr>
          <w:p w14:paraId="0EEBB0F1" w14:textId="775FA0FE" w:rsidR="00B63ECB" w:rsidRPr="00B63ECB" w:rsidRDefault="00B63ECB" w:rsidP="00B63ECB">
            <w:pPr>
              <w:pStyle w:val="CETBodytext"/>
              <w:cnfStyle w:val="000000000000" w:firstRow="0" w:lastRow="0" w:firstColumn="0" w:lastColumn="0" w:oddVBand="0" w:evenVBand="0" w:oddHBand="0" w:evenHBand="0" w:firstRowFirstColumn="0" w:firstRowLastColumn="0" w:lastRowFirstColumn="0" w:lastRowLastColumn="0"/>
              <w:rPr>
                <w:i/>
                <w:lang w:eastAsia="ru-RU"/>
              </w:rPr>
            </w:pPr>
            <w:r w:rsidRPr="00B63ECB">
              <w:t>28.15 ± 0.27</w:t>
            </w:r>
            <w:r w:rsidRPr="00E00F4D">
              <w:rPr>
                <w:vertAlign w:val="superscript"/>
              </w:rPr>
              <w:t>b</w:t>
            </w:r>
          </w:p>
        </w:tc>
      </w:tr>
      <w:tr w:rsidR="00B63ECB" w:rsidRPr="005D3F77" w14:paraId="2E103A54" w14:textId="77777777" w:rsidTr="00F765A3">
        <w:trPr>
          <w:trHeight w:val="269"/>
        </w:trPr>
        <w:tc>
          <w:tcPr>
            <w:cnfStyle w:val="001000000000" w:firstRow="0" w:lastRow="0" w:firstColumn="1" w:lastColumn="0" w:oddVBand="0" w:evenVBand="0" w:oddHBand="0" w:evenHBand="0" w:firstRowFirstColumn="0" w:firstRowLastColumn="0" w:lastRowFirstColumn="0" w:lastRowLastColumn="0"/>
            <w:tcW w:w="1838" w:type="dxa"/>
            <w:tcBorders>
              <w:left w:val="single" w:sz="12" w:space="0" w:color="FFFFFF"/>
              <w:right w:val="single" w:sz="4" w:space="0" w:color="FFFFFF" w:themeColor="background1"/>
            </w:tcBorders>
            <w:noWrap/>
          </w:tcPr>
          <w:p w14:paraId="42FDD904" w14:textId="40CB31E6" w:rsidR="00B63ECB" w:rsidRPr="00B63ECB" w:rsidRDefault="00B63ECB" w:rsidP="00B63ECB">
            <w:pPr>
              <w:pStyle w:val="CETBodytext"/>
              <w:rPr>
                <w:b w:val="0"/>
                <w:bCs w:val="0"/>
                <w:i/>
                <w:lang w:eastAsia="ru-RU"/>
              </w:rPr>
            </w:pPr>
            <w:r w:rsidRPr="00B63ECB">
              <w:rPr>
                <w:b w:val="0"/>
                <w:bCs w:val="0"/>
              </w:rPr>
              <w:t>110 °C – 35 %</w:t>
            </w:r>
          </w:p>
        </w:tc>
        <w:tc>
          <w:tcPr>
            <w:tcW w:w="1559" w:type="dxa"/>
            <w:tcBorders>
              <w:left w:val="single" w:sz="4" w:space="0" w:color="FFFFFF" w:themeColor="background1"/>
              <w:right w:val="single" w:sz="4" w:space="0" w:color="FFFFFF" w:themeColor="background1"/>
            </w:tcBorders>
            <w:noWrap/>
          </w:tcPr>
          <w:p w14:paraId="1F7B4E84" w14:textId="7481696B" w:rsidR="00B63ECB" w:rsidRPr="00B63ECB" w:rsidRDefault="00B63ECB" w:rsidP="00B63ECB">
            <w:pPr>
              <w:pStyle w:val="CETBodytext"/>
              <w:cnfStyle w:val="000000000000" w:firstRow="0" w:lastRow="0" w:firstColumn="0" w:lastColumn="0" w:oddVBand="0" w:evenVBand="0" w:oddHBand="0" w:evenHBand="0" w:firstRowFirstColumn="0" w:firstRowLastColumn="0" w:lastRowFirstColumn="0" w:lastRowLastColumn="0"/>
              <w:rPr>
                <w:i/>
                <w:lang w:eastAsia="ru-RU"/>
              </w:rPr>
            </w:pPr>
            <w:r w:rsidRPr="00B63ECB">
              <w:t>63.74 ± 0.34</w:t>
            </w:r>
            <w:r w:rsidRPr="00554B2D">
              <w:rPr>
                <w:vertAlign w:val="superscript"/>
              </w:rPr>
              <w:t>b</w:t>
            </w:r>
          </w:p>
        </w:tc>
        <w:tc>
          <w:tcPr>
            <w:tcW w:w="1418" w:type="dxa"/>
            <w:tcBorders>
              <w:left w:val="single" w:sz="4" w:space="0" w:color="FFFFFF" w:themeColor="background1"/>
              <w:right w:val="single" w:sz="4" w:space="0" w:color="FFFFFF" w:themeColor="background1"/>
            </w:tcBorders>
            <w:noWrap/>
          </w:tcPr>
          <w:p w14:paraId="587FE330" w14:textId="1E96C623" w:rsidR="00B63ECB" w:rsidRPr="00B63ECB" w:rsidRDefault="00B63ECB" w:rsidP="00B63ECB">
            <w:pPr>
              <w:pStyle w:val="CETBodytext"/>
              <w:cnfStyle w:val="000000000000" w:firstRow="0" w:lastRow="0" w:firstColumn="0" w:lastColumn="0" w:oddVBand="0" w:evenVBand="0" w:oddHBand="0" w:evenHBand="0" w:firstRowFirstColumn="0" w:firstRowLastColumn="0" w:lastRowFirstColumn="0" w:lastRowLastColumn="0"/>
              <w:rPr>
                <w:i/>
                <w:lang w:eastAsia="ru-RU"/>
              </w:rPr>
            </w:pPr>
            <w:r w:rsidRPr="00B63ECB">
              <w:t>14.64 ± 0.18</w:t>
            </w:r>
            <w:r w:rsidRPr="00E00F4D">
              <w:rPr>
                <w:vertAlign w:val="superscript"/>
              </w:rPr>
              <w:t>c</w:t>
            </w:r>
          </w:p>
        </w:tc>
        <w:tc>
          <w:tcPr>
            <w:tcW w:w="1701" w:type="dxa"/>
            <w:tcBorders>
              <w:left w:val="single" w:sz="4" w:space="0" w:color="FFFFFF" w:themeColor="background1"/>
              <w:right w:val="single" w:sz="12" w:space="0" w:color="FFFFFF"/>
            </w:tcBorders>
            <w:noWrap/>
          </w:tcPr>
          <w:p w14:paraId="3D3B7BFC" w14:textId="2C928141" w:rsidR="00B63ECB" w:rsidRPr="00B63ECB" w:rsidRDefault="00B63ECB" w:rsidP="00B63ECB">
            <w:pPr>
              <w:pStyle w:val="CETBodytext"/>
              <w:cnfStyle w:val="000000000000" w:firstRow="0" w:lastRow="0" w:firstColumn="0" w:lastColumn="0" w:oddVBand="0" w:evenVBand="0" w:oddHBand="0" w:evenHBand="0" w:firstRowFirstColumn="0" w:firstRowLastColumn="0" w:lastRowFirstColumn="0" w:lastRowLastColumn="0"/>
              <w:rPr>
                <w:i/>
                <w:lang w:eastAsia="ru-RU"/>
              </w:rPr>
            </w:pPr>
            <w:r w:rsidRPr="00B63ECB">
              <w:t>21.62 ± 0.20</w:t>
            </w:r>
            <w:r w:rsidRPr="00E00F4D">
              <w:rPr>
                <w:vertAlign w:val="superscript"/>
              </w:rPr>
              <w:t>g</w:t>
            </w:r>
          </w:p>
        </w:tc>
      </w:tr>
      <w:tr w:rsidR="00B63ECB" w:rsidRPr="005D3F77" w14:paraId="6090645A" w14:textId="77777777" w:rsidTr="00F765A3">
        <w:trPr>
          <w:trHeight w:val="274"/>
        </w:trPr>
        <w:tc>
          <w:tcPr>
            <w:cnfStyle w:val="001000000000" w:firstRow="0" w:lastRow="0" w:firstColumn="1" w:lastColumn="0" w:oddVBand="0" w:evenVBand="0" w:oddHBand="0" w:evenHBand="0" w:firstRowFirstColumn="0" w:firstRowLastColumn="0" w:lastRowFirstColumn="0" w:lastRowLastColumn="0"/>
            <w:tcW w:w="1838" w:type="dxa"/>
            <w:tcBorders>
              <w:left w:val="single" w:sz="12" w:space="0" w:color="FFFFFF"/>
              <w:right w:val="single" w:sz="4" w:space="0" w:color="FFFFFF" w:themeColor="background1"/>
            </w:tcBorders>
            <w:noWrap/>
          </w:tcPr>
          <w:p w14:paraId="3F9A82CE" w14:textId="3197539E" w:rsidR="00B63ECB" w:rsidRPr="00B63ECB" w:rsidRDefault="00B63ECB" w:rsidP="00B63ECB">
            <w:pPr>
              <w:pStyle w:val="CETBodytext"/>
              <w:rPr>
                <w:b w:val="0"/>
                <w:bCs w:val="0"/>
                <w:i/>
                <w:lang w:eastAsia="ru-RU"/>
              </w:rPr>
            </w:pPr>
            <w:r w:rsidRPr="00B63ECB">
              <w:rPr>
                <w:b w:val="0"/>
                <w:bCs w:val="0"/>
              </w:rPr>
              <w:t>130 °C – 15 %</w:t>
            </w:r>
          </w:p>
        </w:tc>
        <w:tc>
          <w:tcPr>
            <w:tcW w:w="1559" w:type="dxa"/>
            <w:tcBorders>
              <w:left w:val="single" w:sz="4" w:space="0" w:color="FFFFFF" w:themeColor="background1"/>
              <w:right w:val="single" w:sz="4" w:space="0" w:color="FFFFFF" w:themeColor="background1"/>
            </w:tcBorders>
            <w:noWrap/>
          </w:tcPr>
          <w:p w14:paraId="2598EDF5" w14:textId="78F7C645" w:rsidR="00B63ECB" w:rsidRPr="00B63ECB" w:rsidRDefault="00B63ECB" w:rsidP="00B63ECB">
            <w:pPr>
              <w:pStyle w:val="CETBodytext"/>
              <w:cnfStyle w:val="000000000000" w:firstRow="0" w:lastRow="0" w:firstColumn="0" w:lastColumn="0" w:oddVBand="0" w:evenVBand="0" w:oddHBand="0" w:evenHBand="0" w:firstRowFirstColumn="0" w:firstRowLastColumn="0" w:lastRowFirstColumn="0" w:lastRowLastColumn="0"/>
              <w:rPr>
                <w:i/>
                <w:lang w:eastAsia="ru-RU"/>
              </w:rPr>
            </w:pPr>
            <w:r w:rsidRPr="00B63ECB">
              <w:t>59.96 ± 0.29</w:t>
            </w:r>
            <w:r w:rsidRPr="00554B2D">
              <w:rPr>
                <w:vertAlign w:val="superscript"/>
              </w:rPr>
              <w:t>d</w:t>
            </w:r>
          </w:p>
        </w:tc>
        <w:tc>
          <w:tcPr>
            <w:tcW w:w="1418" w:type="dxa"/>
            <w:tcBorders>
              <w:left w:val="single" w:sz="4" w:space="0" w:color="FFFFFF" w:themeColor="background1"/>
              <w:right w:val="single" w:sz="4" w:space="0" w:color="FFFFFF" w:themeColor="background1"/>
            </w:tcBorders>
            <w:noWrap/>
          </w:tcPr>
          <w:p w14:paraId="76ED90AA" w14:textId="0793C384" w:rsidR="00B63ECB" w:rsidRPr="00B63ECB" w:rsidRDefault="00B63ECB" w:rsidP="00B63ECB">
            <w:pPr>
              <w:pStyle w:val="CETBodytext"/>
              <w:cnfStyle w:val="000000000000" w:firstRow="0" w:lastRow="0" w:firstColumn="0" w:lastColumn="0" w:oddVBand="0" w:evenVBand="0" w:oddHBand="0" w:evenHBand="0" w:firstRowFirstColumn="0" w:firstRowLastColumn="0" w:lastRowFirstColumn="0" w:lastRowLastColumn="0"/>
              <w:rPr>
                <w:i/>
                <w:lang w:eastAsia="ru-RU"/>
              </w:rPr>
            </w:pPr>
            <w:r w:rsidRPr="00B63ECB">
              <w:t>13.53 ± 0.17</w:t>
            </w:r>
            <w:r w:rsidRPr="00E00F4D">
              <w:rPr>
                <w:vertAlign w:val="superscript"/>
              </w:rPr>
              <w:t>d</w:t>
            </w:r>
          </w:p>
        </w:tc>
        <w:tc>
          <w:tcPr>
            <w:tcW w:w="1701" w:type="dxa"/>
            <w:tcBorders>
              <w:left w:val="single" w:sz="4" w:space="0" w:color="FFFFFF" w:themeColor="background1"/>
              <w:right w:val="single" w:sz="12" w:space="0" w:color="FFFFFF"/>
            </w:tcBorders>
            <w:noWrap/>
          </w:tcPr>
          <w:p w14:paraId="12D3C099" w14:textId="4D584C74" w:rsidR="00B63ECB" w:rsidRPr="00B63ECB" w:rsidRDefault="00B63ECB" w:rsidP="00B63ECB">
            <w:pPr>
              <w:pStyle w:val="CETBodytext"/>
              <w:cnfStyle w:val="000000000000" w:firstRow="0" w:lastRow="0" w:firstColumn="0" w:lastColumn="0" w:oddVBand="0" w:evenVBand="0" w:oddHBand="0" w:evenHBand="0" w:firstRowFirstColumn="0" w:firstRowLastColumn="0" w:lastRowFirstColumn="0" w:lastRowLastColumn="0"/>
              <w:rPr>
                <w:i/>
                <w:lang w:eastAsia="ru-RU"/>
              </w:rPr>
            </w:pPr>
            <w:r w:rsidRPr="00B63ECB">
              <w:t>26.51 ± 0.25</w:t>
            </w:r>
            <w:r w:rsidRPr="00E00F4D">
              <w:rPr>
                <w:vertAlign w:val="superscript"/>
              </w:rPr>
              <w:t>d</w:t>
            </w:r>
          </w:p>
        </w:tc>
      </w:tr>
      <w:tr w:rsidR="00B63ECB" w:rsidRPr="005D3F77" w14:paraId="031253C7" w14:textId="77777777" w:rsidTr="00F765A3">
        <w:trPr>
          <w:trHeight w:val="135"/>
        </w:trPr>
        <w:tc>
          <w:tcPr>
            <w:cnfStyle w:val="001000000000" w:firstRow="0" w:lastRow="0" w:firstColumn="1" w:lastColumn="0" w:oddVBand="0" w:evenVBand="0" w:oddHBand="0" w:evenHBand="0" w:firstRowFirstColumn="0" w:firstRowLastColumn="0" w:lastRowFirstColumn="0" w:lastRowLastColumn="0"/>
            <w:tcW w:w="1838" w:type="dxa"/>
            <w:tcBorders>
              <w:left w:val="single" w:sz="12" w:space="0" w:color="FFFFFF"/>
              <w:right w:val="single" w:sz="4" w:space="0" w:color="FFFFFF" w:themeColor="background1"/>
            </w:tcBorders>
            <w:noWrap/>
          </w:tcPr>
          <w:p w14:paraId="1E66C86F" w14:textId="1200571B" w:rsidR="00B63ECB" w:rsidRPr="00B63ECB" w:rsidRDefault="00B63ECB" w:rsidP="00B63ECB">
            <w:pPr>
              <w:pStyle w:val="CETBodytext"/>
              <w:rPr>
                <w:b w:val="0"/>
                <w:bCs w:val="0"/>
                <w:i/>
                <w:lang w:eastAsia="ru-RU"/>
              </w:rPr>
            </w:pPr>
            <w:r w:rsidRPr="00B63ECB">
              <w:rPr>
                <w:b w:val="0"/>
                <w:bCs w:val="0"/>
              </w:rPr>
              <w:t>130 °C – 25 %</w:t>
            </w:r>
          </w:p>
        </w:tc>
        <w:tc>
          <w:tcPr>
            <w:tcW w:w="1559" w:type="dxa"/>
            <w:tcBorders>
              <w:left w:val="single" w:sz="4" w:space="0" w:color="FFFFFF" w:themeColor="background1"/>
              <w:right w:val="single" w:sz="4" w:space="0" w:color="FFFFFF" w:themeColor="background1"/>
            </w:tcBorders>
            <w:noWrap/>
          </w:tcPr>
          <w:p w14:paraId="682407D7" w14:textId="3A64F8E7" w:rsidR="00B63ECB" w:rsidRPr="00B63ECB" w:rsidRDefault="00B63ECB" w:rsidP="00B63ECB">
            <w:pPr>
              <w:pStyle w:val="CETBodytext"/>
              <w:cnfStyle w:val="000000000000" w:firstRow="0" w:lastRow="0" w:firstColumn="0" w:lastColumn="0" w:oddVBand="0" w:evenVBand="0" w:oddHBand="0" w:evenHBand="0" w:firstRowFirstColumn="0" w:firstRowLastColumn="0" w:lastRowFirstColumn="0" w:lastRowLastColumn="0"/>
              <w:rPr>
                <w:i/>
                <w:lang w:eastAsia="ru-RU"/>
              </w:rPr>
            </w:pPr>
            <w:r w:rsidRPr="00B63ECB">
              <w:t>62.75 ± 0.33</w:t>
            </w:r>
            <w:r w:rsidRPr="00554B2D">
              <w:rPr>
                <w:vertAlign w:val="superscript"/>
              </w:rPr>
              <w:t>c</w:t>
            </w:r>
          </w:p>
        </w:tc>
        <w:tc>
          <w:tcPr>
            <w:tcW w:w="1418" w:type="dxa"/>
            <w:tcBorders>
              <w:left w:val="single" w:sz="4" w:space="0" w:color="FFFFFF" w:themeColor="background1"/>
              <w:right w:val="single" w:sz="4" w:space="0" w:color="FFFFFF" w:themeColor="background1"/>
            </w:tcBorders>
            <w:noWrap/>
          </w:tcPr>
          <w:p w14:paraId="494DA1D1" w14:textId="754B21CF" w:rsidR="00B63ECB" w:rsidRPr="00B63ECB" w:rsidRDefault="00B63ECB" w:rsidP="00B63ECB">
            <w:pPr>
              <w:pStyle w:val="CETBodytext"/>
              <w:cnfStyle w:val="000000000000" w:firstRow="0" w:lastRow="0" w:firstColumn="0" w:lastColumn="0" w:oddVBand="0" w:evenVBand="0" w:oddHBand="0" w:evenHBand="0" w:firstRowFirstColumn="0" w:firstRowLastColumn="0" w:lastRowFirstColumn="0" w:lastRowLastColumn="0"/>
              <w:rPr>
                <w:i/>
                <w:lang w:eastAsia="ru-RU"/>
              </w:rPr>
            </w:pPr>
            <w:r w:rsidRPr="00B63ECB">
              <w:t>16.90 ± 0.22</w:t>
            </w:r>
            <w:r w:rsidRPr="00E00F4D">
              <w:rPr>
                <w:vertAlign w:val="superscript"/>
              </w:rPr>
              <w:t>a</w:t>
            </w:r>
          </w:p>
        </w:tc>
        <w:tc>
          <w:tcPr>
            <w:tcW w:w="1701" w:type="dxa"/>
            <w:tcBorders>
              <w:left w:val="single" w:sz="4" w:space="0" w:color="FFFFFF" w:themeColor="background1"/>
              <w:right w:val="single" w:sz="12" w:space="0" w:color="FFFFFF"/>
            </w:tcBorders>
            <w:noWrap/>
          </w:tcPr>
          <w:p w14:paraId="4245992E" w14:textId="2CF64BFF" w:rsidR="00B63ECB" w:rsidRPr="00B63ECB" w:rsidRDefault="00B63ECB" w:rsidP="00B63ECB">
            <w:pPr>
              <w:pStyle w:val="CETBodytext"/>
              <w:cnfStyle w:val="000000000000" w:firstRow="0" w:lastRow="0" w:firstColumn="0" w:lastColumn="0" w:oddVBand="0" w:evenVBand="0" w:oddHBand="0" w:evenHBand="0" w:firstRowFirstColumn="0" w:firstRowLastColumn="0" w:lastRowFirstColumn="0" w:lastRowLastColumn="0"/>
              <w:rPr>
                <w:i/>
                <w:lang w:eastAsia="ru-RU"/>
              </w:rPr>
            </w:pPr>
            <w:r w:rsidRPr="00B63ECB">
              <w:t>20.35 ± 0.18</w:t>
            </w:r>
            <w:r w:rsidRPr="00E00F4D">
              <w:rPr>
                <w:vertAlign w:val="superscript"/>
              </w:rPr>
              <w:t>h</w:t>
            </w:r>
          </w:p>
        </w:tc>
      </w:tr>
      <w:tr w:rsidR="00B63ECB" w:rsidRPr="005D3F77" w14:paraId="476F0995" w14:textId="77777777" w:rsidTr="00F765A3">
        <w:trPr>
          <w:trHeight w:val="168"/>
        </w:trPr>
        <w:tc>
          <w:tcPr>
            <w:cnfStyle w:val="001000000000" w:firstRow="0" w:lastRow="0" w:firstColumn="1" w:lastColumn="0" w:oddVBand="0" w:evenVBand="0" w:oddHBand="0" w:evenHBand="0" w:firstRowFirstColumn="0" w:firstRowLastColumn="0" w:lastRowFirstColumn="0" w:lastRowLastColumn="0"/>
            <w:tcW w:w="1838" w:type="dxa"/>
            <w:tcBorders>
              <w:left w:val="single" w:sz="12" w:space="0" w:color="FFFFFF"/>
              <w:right w:val="single" w:sz="4" w:space="0" w:color="FFFFFF" w:themeColor="background1"/>
            </w:tcBorders>
            <w:noWrap/>
          </w:tcPr>
          <w:p w14:paraId="7124B981" w14:textId="27EE76F4" w:rsidR="00B63ECB" w:rsidRPr="00B63ECB" w:rsidRDefault="00B63ECB" w:rsidP="00B63ECB">
            <w:pPr>
              <w:pStyle w:val="CETBodytext"/>
              <w:rPr>
                <w:b w:val="0"/>
                <w:bCs w:val="0"/>
                <w:i/>
                <w:lang w:eastAsia="ru-RU"/>
              </w:rPr>
            </w:pPr>
            <w:r w:rsidRPr="00B63ECB">
              <w:rPr>
                <w:b w:val="0"/>
                <w:bCs w:val="0"/>
              </w:rPr>
              <w:t>130 °C – 35 %</w:t>
            </w:r>
          </w:p>
        </w:tc>
        <w:tc>
          <w:tcPr>
            <w:tcW w:w="1559" w:type="dxa"/>
            <w:tcBorders>
              <w:left w:val="single" w:sz="4" w:space="0" w:color="FFFFFF" w:themeColor="background1"/>
              <w:right w:val="single" w:sz="4" w:space="0" w:color="FFFFFF" w:themeColor="background1"/>
            </w:tcBorders>
            <w:noWrap/>
          </w:tcPr>
          <w:p w14:paraId="28ED7D42" w14:textId="3EE8D93E" w:rsidR="00B63ECB" w:rsidRPr="00B63ECB" w:rsidRDefault="00B63ECB" w:rsidP="00B63ECB">
            <w:pPr>
              <w:pStyle w:val="CETBodytext"/>
              <w:cnfStyle w:val="000000000000" w:firstRow="0" w:lastRow="0" w:firstColumn="0" w:lastColumn="0" w:oddVBand="0" w:evenVBand="0" w:oddHBand="0" w:evenHBand="0" w:firstRowFirstColumn="0" w:firstRowLastColumn="0" w:lastRowFirstColumn="0" w:lastRowLastColumn="0"/>
              <w:rPr>
                <w:i/>
                <w:lang w:eastAsia="ru-RU"/>
              </w:rPr>
            </w:pPr>
            <w:r w:rsidRPr="00B63ECB">
              <w:t>67.30 ± 0.41</w:t>
            </w:r>
            <w:r w:rsidRPr="00554B2D">
              <w:rPr>
                <w:vertAlign w:val="superscript"/>
              </w:rPr>
              <w:t>a</w:t>
            </w:r>
          </w:p>
        </w:tc>
        <w:tc>
          <w:tcPr>
            <w:tcW w:w="1418" w:type="dxa"/>
            <w:tcBorders>
              <w:left w:val="single" w:sz="4" w:space="0" w:color="FFFFFF" w:themeColor="background1"/>
              <w:right w:val="single" w:sz="4" w:space="0" w:color="FFFFFF" w:themeColor="background1"/>
            </w:tcBorders>
            <w:noWrap/>
          </w:tcPr>
          <w:p w14:paraId="39EB0D0A" w14:textId="6D2F685B" w:rsidR="00B63ECB" w:rsidRPr="00B63ECB" w:rsidRDefault="00B63ECB" w:rsidP="00B63ECB">
            <w:pPr>
              <w:pStyle w:val="CETBodytext"/>
              <w:cnfStyle w:val="000000000000" w:firstRow="0" w:lastRow="0" w:firstColumn="0" w:lastColumn="0" w:oddVBand="0" w:evenVBand="0" w:oddHBand="0" w:evenHBand="0" w:firstRowFirstColumn="0" w:firstRowLastColumn="0" w:lastRowFirstColumn="0" w:lastRowLastColumn="0"/>
              <w:rPr>
                <w:i/>
                <w:lang w:eastAsia="ru-RU"/>
              </w:rPr>
            </w:pPr>
            <w:r w:rsidRPr="00B63ECB">
              <w:t>17.12 ± 0.24</w:t>
            </w:r>
            <w:r w:rsidRPr="00E00F4D">
              <w:rPr>
                <w:vertAlign w:val="superscript"/>
              </w:rPr>
              <w:t>a</w:t>
            </w:r>
          </w:p>
        </w:tc>
        <w:tc>
          <w:tcPr>
            <w:tcW w:w="1701" w:type="dxa"/>
            <w:tcBorders>
              <w:left w:val="single" w:sz="4" w:space="0" w:color="FFFFFF" w:themeColor="background1"/>
              <w:right w:val="single" w:sz="12" w:space="0" w:color="FFFFFF"/>
            </w:tcBorders>
            <w:noWrap/>
          </w:tcPr>
          <w:p w14:paraId="09601E17" w14:textId="3A8394AD" w:rsidR="00B63ECB" w:rsidRPr="00B63ECB" w:rsidRDefault="00B63ECB" w:rsidP="00B63ECB">
            <w:pPr>
              <w:pStyle w:val="CETBodytext"/>
              <w:cnfStyle w:val="000000000000" w:firstRow="0" w:lastRow="0" w:firstColumn="0" w:lastColumn="0" w:oddVBand="0" w:evenVBand="0" w:oddHBand="0" w:evenHBand="0" w:firstRowFirstColumn="0" w:firstRowLastColumn="0" w:lastRowFirstColumn="0" w:lastRowLastColumn="0"/>
              <w:rPr>
                <w:i/>
                <w:lang w:eastAsia="ru-RU"/>
              </w:rPr>
            </w:pPr>
            <w:r w:rsidRPr="00B63ECB">
              <w:t>15.58 ± 0.16</w:t>
            </w:r>
            <w:r w:rsidRPr="00E00F4D">
              <w:rPr>
                <w:vertAlign w:val="superscript"/>
              </w:rPr>
              <w:t>i</w:t>
            </w:r>
          </w:p>
        </w:tc>
      </w:tr>
      <w:tr w:rsidR="009448A7" w:rsidRPr="005D3F77" w14:paraId="786BAF64" w14:textId="77777777">
        <w:trPr>
          <w:trHeight w:val="248"/>
        </w:trPr>
        <w:tc>
          <w:tcPr>
            <w:cnfStyle w:val="001000000000" w:firstRow="0" w:lastRow="0" w:firstColumn="1" w:lastColumn="0" w:oddVBand="0" w:evenVBand="0" w:oddHBand="0" w:evenHBand="0" w:firstRowFirstColumn="0" w:firstRowLastColumn="0" w:lastRowFirstColumn="0" w:lastRowLastColumn="0"/>
            <w:tcW w:w="6516" w:type="dxa"/>
            <w:gridSpan w:val="4"/>
            <w:tcBorders>
              <w:left w:val="single" w:sz="12" w:space="0" w:color="FFFFFF"/>
              <w:right w:val="single" w:sz="12" w:space="0" w:color="FFFFFF"/>
            </w:tcBorders>
            <w:noWrap/>
            <w:vAlign w:val="center"/>
          </w:tcPr>
          <w:p w14:paraId="09CF7FEF" w14:textId="07A29418" w:rsidR="009448A7" w:rsidRPr="005D3F77" w:rsidRDefault="00D94474" w:rsidP="000753B9">
            <w:pPr>
              <w:pStyle w:val="CETBodytext"/>
              <w:rPr>
                <w:i/>
                <w:lang w:eastAsia="ru-RU"/>
              </w:rPr>
            </w:pPr>
            <w:r w:rsidRPr="005D3F77">
              <w:rPr>
                <w:lang w:eastAsia="ru-RU"/>
              </w:rPr>
              <w:t xml:space="preserve">Abu </w:t>
            </w:r>
            <w:proofErr w:type="spellStart"/>
            <w:r w:rsidRPr="005D3F77">
              <w:rPr>
                <w:lang w:eastAsia="ru-RU"/>
              </w:rPr>
              <w:t>G‘ofur</w:t>
            </w:r>
            <w:proofErr w:type="spellEnd"/>
          </w:p>
        </w:tc>
      </w:tr>
      <w:tr w:rsidR="00B63ECB" w:rsidRPr="005D3F77" w14:paraId="3CF53D97" w14:textId="77777777" w:rsidTr="002A4DD3">
        <w:trPr>
          <w:trHeight w:val="218"/>
        </w:trPr>
        <w:tc>
          <w:tcPr>
            <w:cnfStyle w:val="001000000000" w:firstRow="0" w:lastRow="0" w:firstColumn="1" w:lastColumn="0" w:oddVBand="0" w:evenVBand="0" w:oddHBand="0" w:evenHBand="0" w:firstRowFirstColumn="0" w:firstRowLastColumn="0" w:lastRowFirstColumn="0" w:lastRowLastColumn="0"/>
            <w:tcW w:w="1838" w:type="dxa"/>
            <w:tcBorders>
              <w:left w:val="single" w:sz="12" w:space="0" w:color="FFFFFF"/>
              <w:right w:val="single" w:sz="4" w:space="0" w:color="FFFFFF" w:themeColor="background1"/>
            </w:tcBorders>
            <w:noWrap/>
          </w:tcPr>
          <w:p w14:paraId="563478AD" w14:textId="3962CDFB" w:rsidR="00B63ECB" w:rsidRPr="00B63ECB" w:rsidRDefault="00B63ECB" w:rsidP="00B63ECB">
            <w:pPr>
              <w:pStyle w:val="CETBodytext"/>
              <w:rPr>
                <w:b w:val="0"/>
                <w:bCs w:val="0"/>
                <w:i/>
                <w:lang w:eastAsia="ru-RU"/>
              </w:rPr>
            </w:pPr>
            <w:r w:rsidRPr="00B63ECB">
              <w:rPr>
                <w:b w:val="0"/>
                <w:bCs w:val="0"/>
              </w:rPr>
              <w:t>NA</w:t>
            </w:r>
          </w:p>
        </w:tc>
        <w:tc>
          <w:tcPr>
            <w:tcW w:w="1559" w:type="dxa"/>
            <w:tcBorders>
              <w:left w:val="single" w:sz="4" w:space="0" w:color="FFFFFF" w:themeColor="background1"/>
              <w:right w:val="single" w:sz="4" w:space="0" w:color="FFFFFF" w:themeColor="background1"/>
            </w:tcBorders>
            <w:noWrap/>
          </w:tcPr>
          <w:p w14:paraId="36066DAC" w14:textId="6DD35E05" w:rsidR="00B63ECB" w:rsidRPr="00B63ECB" w:rsidRDefault="00B63ECB" w:rsidP="00B63ECB">
            <w:pPr>
              <w:pStyle w:val="CETBodytext"/>
              <w:cnfStyle w:val="000000000000" w:firstRow="0" w:lastRow="0" w:firstColumn="0" w:lastColumn="0" w:oddVBand="0" w:evenVBand="0" w:oddHBand="0" w:evenHBand="0" w:firstRowFirstColumn="0" w:firstRowLastColumn="0" w:lastRowFirstColumn="0" w:lastRowLastColumn="0"/>
              <w:rPr>
                <w:i/>
                <w:lang w:eastAsia="ru-RU"/>
              </w:rPr>
            </w:pPr>
            <w:r w:rsidRPr="00B63ECB">
              <w:t>62.47 ± 0.32</w:t>
            </w:r>
            <w:r w:rsidRPr="00E00F4D">
              <w:rPr>
                <w:vertAlign w:val="superscript"/>
              </w:rPr>
              <w:t>d</w:t>
            </w:r>
          </w:p>
        </w:tc>
        <w:tc>
          <w:tcPr>
            <w:tcW w:w="1418" w:type="dxa"/>
            <w:tcBorders>
              <w:left w:val="single" w:sz="4" w:space="0" w:color="FFFFFF" w:themeColor="background1"/>
              <w:right w:val="single" w:sz="4" w:space="0" w:color="FFFFFF" w:themeColor="background1"/>
            </w:tcBorders>
            <w:noWrap/>
          </w:tcPr>
          <w:p w14:paraId="2FAA3DBF" w14:textId="61E46B33" w:rsidR="00B63ECB" w:rsidRPr="00B63ECB" w:rsidRDefault="00B63ECB" w:rsidP="00B63ECB">
            <w:pPr>
              <w:pStyle w:val="CETBodytext"/>
              <w:cnfStyle w:val="000000000000" w:firstRow="0" w:lastRow="0" w:firstColumn="0" w:lastColumn="0" w:oddVBand="0" w:evenVBand="0" w:oddHBand="0" w:evenHBand="0" w:firstRowFirstColumn="0" w:firstRowLastColumn="0" w:lastRowFirstColumn="0" w:lastRowLastColumn="0"/>
              <w:rPr>
                <w:i/>
                <w:lang w:eastAsia="ru-RU"/>
              </w:rPr>
            </w:pPr>
            <w:r w:rsidRPr="00B63ECB">
              <w:t>15.22 ± 0.19</w:t>
            </w:r>
            <w:r w:rsidRPr="00E00F4D">
              <w:rPr>
                <w:vertAlign w:val="superscript"/>
              </w:rPr>
              <w:t>c</w:t>
            </w:r>
          </w:p>
        </w:tc>
        <w:tc>
          <w:tcPr>
            <w:tcW w:w="1701" w:type="dxa"/>
            <w:tcBorders>
              <w:left w:val="single" w:sz="4" w:space="0" w:color="FFFFFF" w:themeColor="background1"/>
              <w:right w:val="single" w:sz="12" w:space="0" w:color="FFFFFF"/>
            </w:tcBorders>
            <w:noWrap/>
          </w:tcPr>
          <w:p w14:paraId="310F8F32" w14:textId="5568D957" w:rsidR="00B63ECB" w:rsidRPr="00B63ECB" w:rsidRDefault="00B63ECB" w:rsidP="00B63ECB">
            <w:pPr>
              <w:pStyle w:val="CETBodytext"/>
              <w:cnfStyle w:val="000000000000" w:firstRow="0" w:lastRow="0" w:firstColumn="0" w:lastColumn="0" w:oddVBand="0" w:evenVBand="0" w:oddHBand="0" w:evenHBand="0" w:firstRowFirstColumn="0" w:firstRowLastColumn="0" w:lastRowFirstColumn="0" w:lastRowLastColumn="0"/>
              <w:rPr>
                <w:i/>
                <w:lang w:eastAsia="ru-RU"/>
              </w:rPr>
            </w:pPr>
            <w:r w:rsidRPr="00B63ECB">
              <w:t>22.31 ± 0.22</w:t>
            </w:r>
            <w:r w:rsidRPr="00E00F4D">
              <w:rPr>
                <w:vertAlign w:val="superscript"/>
              </w:rPr>
              <w:t>e</w:t>
            </w:r>
          </w:p>
        </w:tc>
      </w:tr>
      <w:tr w:rsidR="00B63ECB" w:rsidRPr="005D3F77" w14:paraId="0BB458AE" w14:textId="77777777" w:rsidTr="002A4DD3">
        <w:trPr>
          <w:trHeight w:val="108"/>
        </w:trPr>
        <w:tc>
          <w:tcPr>
            <w:cnfStyle w:val="001000000000" w:firstRow="0" w:lastRow="0" w:firstColumn="1" w:lastColumn="0" w:oddVBand="0" w:evenVBand="0" w:oddHBand="0" w:evenHBand="0" w:firstRowFirstColumn="0" w:firstRowLastColumn="0" w:lastRowFirstColumn="0" w:lastRowLastColumn="0"/>
            <w:tcW w:w="1838" w:type="dxa"/>
            <w:tcBorders>
              <w:left w:val="single" w:sz="12" w:space="0" w:color="FFFFFF"/>
              <w:right w:val="single" w:sz="4" w:space="0" w:color="FFFFFF" w:themeColor="background1"/>
            </w:tcBorders>
            <w:noWrap/>
          </w:tcPr>
          <w:p w14:paraId="2748AE30" w14:textId="2931E56D" w:rsidR="00B63ECB" w:rsidRPr="00B63ECB" w:rsidRDefault="00B63ECB" w:rsidP="00B63ECB">
            <w:pPr>
              <w:pStyle w:val="CETBodytext"/>
              <w:rPr>
                <w:b w:val="0"/>
                <w:bCs w:val="0"/>
                <w:i/>
                <w:lang w:eastAsia="ru-RU"/>
              </w:rPr>
            </w:pPr>
            <w:r w:rsidRPr="00B63ECB">
              <w:rPr>
                <w:b w:val="0"/>
                <w:bCs w:val="0"/>
              </w:rPr>
              <w:t>90 °C – 15 %</w:t>
            </w:r>
          </w:p>
        </w:tc>
        <w:tc>
          <w:tcPr>
            <w:tcW w:w="1559" w:type="dxa"/>
            <w:tcBorders>
              <w:left w:val="single" w:sz="4" w:space="0" w:color="FFFFFF" w:themeColor="background1"/>
              <w:right w:val="single" w:sz="4" w:space="0" w:color="FFFFFF" w:themeColor="background1"/>
            </w:tcBorders>
            <w:noWrap/>
          </w:tcPr>
          <w:p w14:paraId="2A4F233B" w14:textId="4EA28BE4" w:rsidR="00B63ECB" w:rsidRPr="00B63ECB" w:rsidRDefault="00B63ECB" w:rsidP="00B63ECB">
            <w:pPr>
              <w:pStyle w:val="CETBodytext"/>
              <w:cnfStyle w:val="000000000000" w:firstRow="0" w:lastRow="0" w:firstColumn="0" w:lastColumn="0" w:oddVBand="0" w:evenVBand="0" w:oddHBand="0" w:evenHBand="0" w:firstRowFirstColumn="0" w:firstRowLastColumn="0" w:lastRowFirstColumn="0" w:lastRowLastColumn="0"/>
              <w:rPr>
                <w:i/>
                <w:lang w:eastAsia="ru-RU"/>
              </w:rPr>
            </w:pPr>
            <w:r w:rsidRPr="00B63ECB">
              <w:t>63.68 ± 0.35</w:t>
            </w:r>
            <w:r w:rsidRPr="00E00F4D">
              <w:rPr>
                <w:vertAlign w:val="superscript"/>
              </w:rPr>
              <w:t>c</w:t>
            </w:r>
          </w:p>
        </w:tc>
        <w:tc>
          <w:tcPr>
            <w:tcW w:w="1418" w:type="dxa"/>
            <w:tcBorders>
              <w:left w:val="single" w:sz="4" w:space="0" w:color="FFFFFF" w:themeColor="background1"/>
              <w:right w:val="single" w:sz="4" w:space="0" w:color="FFFFFF" w:themeColor="background1"/>
            </w:tcBorders>
            <w:noWrap/>
          </w:tcPr>
          <w:p w14:paraId="39076653" w14:textId="69D47FFF" w:rsidR="00B63ECB" w:rsidRPr="00B63ECB" w:rsidRDefault="00B63ECB" w:rsidP="00B63ECB">
            <w:pPr>
              <w:pStyle w:val="CETBodytext"/>
              <w:cnfStyle w:val="000000000000" w:firstRow="0" w:lastRow="0" w:firstColumn="0" w:lastColumn="0" w:oddVBand="0" w:evenVBand="0" w:oddHBand="0" w:evenHBand="0" w:firstRowFirstColumn="0" w:firstRowLastColumn="0" w:lastRowFirstColumn="0" w:lastRowLastColumn="0"/>
              <w:rPr>
                <w:i/>
                <w:lang w:eastAsia="ru-RU"/>
              </w:rPr>
            </w:pPr>
            <w:r w:rsidRPr="00B63ECB">
              <w:t>11.31 ± 0.15</w:t>
            </w:r>
            <w:r w:rsidRPr="00E00F4D">
              <w:rPr>
                <w:vertAlign w:val="superscript"/>
              </w:rPr>
              <w:t>f</w:t>
            </w:r>
          </w:p>
        </w:tc>
        <w:tc>
          <w:tcPr>
            <w:tcW w:w="1701" w:type="dxa"/>
            <w:tcBorders>
              <w:left w:val="single" w:sz="4" w:space="0" w:color="FFFFFF" w:themeColor="background1"/>
              <w:right w:val="single" w:sz="12" w:space="0" w:color="FFFFFF"/>
            </w:tcBorders>
            <w:noWrap/>
          </w:tcPr>
          <w:p w14:paraId="6BED5A76" w14:textId="4F94B3BA" w:rsidR="00B63ECB" w:rsidRPr="00B63ECB" w:rsidRDefault="00B63ECB" w:rsidP="00B63ECB">
            <w:pPr>
              <w:pStyle w:val="CETBodytext"/>
              <w:cnfStyle w:val="000000000000" w:firstRow="0" w:lastRow="0" w:firstColumn="0" w:lastColumn="0" w:oddVBand="0" w:evenVBand="0" w:oddHBand="0" w:evenHBand="0" w:firstRowFirstColumn="0" w:firstRowLastColumn="0" w:lastRowFirstColumn="0" w:lastRowLastColumn="0"/>
              <w:rPr>
                <w:i/>
                <w:lang w:eastAsia="ru-RU"/>
              </w:rPr>
            </w:pPr>
            <w:r w:rsidRPr="00B63ECB">
              <w:t>25.01 ± 0.24</w:t>
            </w:r>
            <w:r w:rsidRPr="00E00F4D">
              <w:rPr>
                <w:vertAlign w:val="superscript"/>
              </w:rPr>
              <w:t>c</w:t>
            </w:r>
          </w:p>
        </w:tc>
      </w:tr>
      <w:tr w:rsidR="00B63ECB" w:rsidRPr="005D3F77" w14:paraId="10C29C85" w14:textId="77777777" w:rsidTr="002A4DD3">
        <w:trPr>
          <w:trHeight w:val="153"/>
        </w:trPr>
        <w:tc>
          <w:tcPr>
            <w:cnfStyle w:val="001000000000" w:firstRow="0" w:lastRow="0" w:firstColumn="1" w:lastColumn="0" w:oddVBand="0" w:evenVBand="0" w:oddHBand="0" w:evenHBand="0" w:firstRowFirstColumn="0" w:firstRowLastColumn="0" w:lastRowFirstColumn="0" w:lastRowLastColumn="0"/>
            <w:tcW w:w="1838" w:type="dxa"/>
            <w:tcBorders>
              <w:left w:val="single" w:sz="12" w:space="0" w:color="FFFFFF"/>
              <w:right w:val="single" w:sz="4" w:space="0" w:color="FFFFFF" w:themeColor="background1"/>
            </w:tcBorders>
            <w:noWrap/>
          </w:tcPr>
          <w:p w14:paraId="20BACFC6" w14:textId="578433F3" w:rsidR="00B63ECB" w:rsidRPr="00B63ECB" w:rsidRDefault="00B63ECB" w:rsidP="00B63ECB">
            <w:pPr>
              <w:pStyle w:val="CETBodytext"/>
              <w:rPr>
                <w:b w:val="0"/>
                <w:bCs w:val="0"/>
                <w:i/>
                <w:lang w:eastAsia="ru-RU"/>
              </w:rPr>
            </w:pPr>
            <w:r w:rsidRPr="00B63ECB">
              <w:rPr>
                <w:b w:val="0"/>
                <w:bCs w:val="0"/>
              </w:rPr>
              <w:t>90 °C – 25 %</w:t>
            </w:r>
          </w:p>
        </w:tc>
        <w:tc>
          <w:tcPr>
            <w:tcW w:w="1559" w:type="dxa"/>
            <w:tcBorders>
              <w:left w:val="single" w:sz="4" w:space="0" w:color="FFFFFF" w:themeColor="background1"/>
              <w:right w:val="single" w:sz="4" w:space="0" w:color="FFFFFF" w:themeColor="background1"/>
            </w:tcBorders>
            <w:noWrap/>
          </w:tcPr>
          <w:p w14:paraId="39C19A20" w14:textId="2C67AE35" w:rsidR="00B63ECB" w:rsidRPr="00B63ECB" w:rsidRDefault="00B63ECB" w:rsidP="00B63ECB">
            <w:pPr>
              <w:pStyle w:val="CETBodytext"/>
              <w:cnfStyle w:val="000000000000" w:firstRow="0" w:lastRow="0" w:firstColumn="0" w:lastColumn="0" w:oddVBand="0" w:evenVBand="0" w:oddHBand="0" w:evenHBand="0" w:firstRowFirstColumn="0" w:firstRowLastColumn="0" w:lastRowFirstColumn="0" w:lastRowLastColumn="0"/>
              <w:rPr>
                <w:i/>
                <w:lang w:eastAsia="ru-RU"/>
              </w:rPr>
            </w:pPr>
            <w:r w:rsidRPr="00B63ECB">
              <w:t>64.45 ± 0.36</w:t>
            </w:r>
            <w:r w:rsidRPr="00E00F4D">
              <w:rPr>
                <w:vertAlign w:val="superscript"/>
              </w:rPr>
              <w:t>c</w:t>
            </w:r>
          </w:p>
        </w:tc>
        <w:tc>
          <w:tcPr>
            <w:tcW w:w="1418" w:type="dxa"/>
            <w:tcBorders>
              <w:left w:val="single" w:sz="4" w:space="0" w:color="FFFFFF" w:themeColor="background1"/>
              <w:right w:val="single" w:sz="4" w:space="0" w:color="FFFFFF" w:themeColor="background1"/>
            </w:tcBorders>
            <w:noWrap/>
          </w:tcPr>
          <w:p w14:paraId="53428422" w14:textId="3E707780" w:rsidR="00B63ECB" w:rsidRPr="00B63ECB" w:rsidRDefault="00B63ECB" w:rsidP="00B63ECB">
            <w:pPr>
              <w:pStyle w:val="CETBodytext"/>
              <w:cnfStyle w:val="000000000000" w:firstRow="0" w:lastRow="0" w:firstColumn="0" w:lastColumn="0" w:oddVBand="0" w:evenVBand="0" w:oddHBand="0" w:evenHBand="0" w:firstRowFirstColumn="0" w:firstRowLastColumn="0" w:lastRowFirstColumn="0" w:lastRowLastColumn="0"/>
              <w:rPr>
                <w:i/>
                <w:lang w:eastAsia="ru-RU"/>
              </w:rPr>
            </w:pPr>
            <w:r w:rsidRPr="00B63ECB">
              <w:t>13.57 ± 0.17</w:t>
            </w:r>
            <w:r w:rsidRPr="00E00F4D">
              <w:rPr>
                <w:vertAlign w:val="superscript"/>
              </w:rPr>
              <w:t>e</w:t>
            </w:r>
          </w:p>
        </w:tc>
        <w:tc>
          <w:tcPr>
            <w:tcW w:w="1701" w:type="dxa"/>
            <w:tcBorders>
              <w:left w:val="single" w:sz="4" w:space="0" w:color="FFFFFF" w:themeColor="background1"/>
              <w:right w:val="single" w:sz="12" w:space="0" w:color="FFFFFF"/>
            </w:tcBorders>
            <w:noWrap/>
          </w:tcPr>
          <w:p w14:paraId="39D3E345" w14:textId="0DCA75A5" w:rsidR="00B63ECB" w:rsidRPr="00B63ECB" w:rsidRDefault="00B63ECB" w:rsidP="00B63ECB">
            <w:pPr>
              <w:pStyle w:val="CETBodytext"/>
              <w:cnfStyle w:val="000000000000" w:firstRow="0" w:lastRow="0" w:firstColumn="0" w:lastColumn="0" w:oddVBand="0" w:evenVBand="0" w:oddHBand="0" w:evenHBand="0" w:firstRowFirstColumn="0" w:firstRowLastColumn="0" w:lastRowFirstColumn="0" w:lastRowLastColumn="0"/>
              <w:rPr>
                <w:i/>
                <w:lang w:eastAsia="ru-RU"/>
              </w:rPr>
            </w:pPr>
            <w:r w:rsidRPr="00B63ECB">
              <w:t>21.98 ± 0.21</w:t>
            </w:r>
            <w:r w:rsidRPr="00E00F4D">
              <w:rPr>
                <w:vertAlign w:val="superscript"/>
              </w:rPr>
              <w:t>e</w:t>
            </w:r>
          </w:p>
        </w:tc>
      </w:tr>
      <w:tr w:rsidR="00B63ECB" w:rsidRPr="005D3F77" w14:paraId="5FD80D01" w14:textId="77777777" w:rsidTr="002A4DD3">
        <w:trPr>
          <w:trHeight w:val="186"/>
        </w:trPr>
        <w:tc>
          <w:tcPr>
            <w:cnfStyle w:val="001000000000" w:firstRow="0" w:lastRow="0" w:firstColumn="1" w:lastColumn="0" w:oddVBand="0" w:evenVBand="0" w:oddHBand="0" w:evenHBand="0" w:firstRowFirstColumn="0" w:firstRowLastColumn="0" w:lastRowFirstColumn="0" w:lastRowLastColumn="0"/>
            <w:tcW w:w="1838" w:type="dxa"/>
            <w:tcBorders>
              <w:left w:val="single" w:sz="12" w:space="0" w:color="FFFFFF"/>
              <w:right w:val="single" w:sz="4" w:space="0" w:color="FFFFFF" w:themeColor="background1"/>
            </w:tcBorders>
            <w:noWrap/>
          </w:tcPr>
          <w:p w14:paraId="14FB549D" w14:textId="1BF85F08" w:rsidR="00B63ECB" w:rsidRPr="00B63ECB" w:rsidRDefault="00B63ECB" w:rsidP="00B63ECB">
            <w:pPr>
              <w:pStyle w:val="CETBodytext"/>
              <w:rPr>
                <w:b w:val="0"/>
                <w:bCs w:val="0"/>
                <w:i/>
                <w:lang w:eastAsia="ru-RU"/>
              </w:rPr>
            </w:pPr>
            <w:r w:rsidRPr="00B63ECB">
              <w:rPr>
                <w:b w:val="0"/>
                <w:bCs w:val="0"/>
              </w:rPr>
              <w:t>90 °C – 35 %</w:t>
            </w:r>
          </w:p>
        </w:tc>
        <w:tc>
          <w:tcPr>
            <w:tcW w:w="1559" w:type="dxa"/>
            <w:tcBorders>
              <w:left w:val="single" w:sz="4" w:space="0" w:color="FFFFFF" w:themeColor="background1"/>
              <w:right w:val="single" w:sz="4" w:space="0" w:color="FFFFFF" w:themeColor="background1"/>
            </w:tcBorders>
            <w:noWrap/>
          </w:tcPr>
          <w:p w14:paraId="08E9CAA7" w14:textId="348E64FB" w:rsidR="00B63ECB" w:rsidRPr="00B63ECB" w:rsidRDefault="00B63ECB" w:rsidP="00B63ECB">
            <w:pPr>
              <w:pStyle w:val="CETBodytext"/>
              <w:cnfStyle w:val="000000000000" w:firstRow="0" w:lastRow="0" w:firstColumn="0" w:lastColumn="0" w:oddVBand="0" w:evenVBand="0" w:oddHBand="0" w:evenHBand="0" w:firstRowFirstColumn="0" w:firstRowLastColumn="0" w:lastRowFirstColumn="0" w:lastRowLastColumn="0"/>
              <w:rPr>
                <w:i/>
                <w:lang w:eastAsia="ru-RU"/>
              </w:rPr>
            </w:pPr>
            <w:r w:rsidRPr="00B63ECB">
              <w:t>65.39 ± 0.38</w:t>
            </w:r>
            <w:r w:rsidRPr="00E00F4D">
              <w:rPr>
                <w:vertAlign w:val="superscript"/>
              </w:rPr>
              <w:t>b</w:t>
            </w:r>
          </w:p>
        </w:tc>
        <w:tc>
          <w:tcPr>
            <w:tcW w:w="1418" w:type="dxa"/>
            <w:tcBorders>
              <w:left w:val="single" w:sz="4" w:space="0" w:color="FFFFFF" w:themeColor="background1"/>
              <w:right w:val="single" w:sz="4" w:space="0" w:color="FFFFFF" w:themeColor="background1"/>
            </w:tcBorders>
            <w:noWrap/>
          </w:tcPr>
          <w:p w14:paraId="0C102450" w14:textId="792EFC8A" w:rsidR="00B63ECB" w:rsidRPr="00B63ECB" w:rsidRDefault="00B63ECB" w:rsidP="00B63ECB">
            <w:pPr>
              <w:pStyle w:val="CETBodytext"/>
              <w:cnfStyle w:val="000000000000" w:firstRow="0" w:lastRow="0" w:firstColumn="0" w:lastColumn="0" w:oddVBand="0" w:evenVBand="0" w:oddHBand="0" w:evenHBand="0" w:firstRowFirstColumn="0" w:firstRowLastColumn="0" w:lastRowFirstColumn="0" w:lastRowLastColumn="0"/>
              <w:rPr>
                <w:i/>
                <w:lang w:eastAsia="ru-RU"/>
              </w:rPr>
            </w:pPr>
            <w:r w:rsidRPr="00B63ECB">
              <w:t>15.52 ± 0.20</w:t>
            </w:r>
            <w:r w:rsidRPr="00E00F4D">
              <w:rPr>
                <w:vertAlign w:val="superscript"/>
              </w:rPr>
              <w:t>b</w:t>
            </w:r>
          </w:p>
        </w:tc>
        <w:tc>
          <w:tcPr>
            <w:tcW w:w="1701" w:type="dxa"/>
            <w:tcBorders>
              <w:left w:val="single" w:sz="4" w:space="0" w:color="FFFFFF" w:themeColor="background1"/>
              <w:right w:val="single" w:sz="12" w:space="0" w:color="FFFFFF"/>
            </w:tcBorders>
            <w:noWrap/>
          </w:tcPr>
          <w:p w14:paraId="624DDB04" w14:textId="4E7619DF" w:rsidR="00B63ECB" w:rsidRPr="00B63ECB" w:rsidRDefault="00B63ECB" w:rsidP="00B63ECB">
            <w:pPr>
              <w:pStyle w:val="CETBodytext"/>
              <w:cnfStyle w:val="000000000000" w:firstRow="0" w:lastRow="0" w:firstColumn="0" w:lastColumn="0" w:oddVBand="0" w:evenVBand="0" w:oddHBand="0" w:evenHBand="0" w:firstRowFirstColumn="0" w:firstRowLastColumn="0" w:lastRowFirstColumn="0" w:lastRowLastColumn="0"/>
              <w:rPr>
                <w:i/>
                <w:lang w:eastAsia="ru-RU"/>
              </w:rPr>
            </w:pPr>
            <w:r w:rsidRPr="00B63ECB">
              <w:t>19.09 ± 0.18</w:t>
            </w:r>
            <w:r w:rsidRPr="00E00F4D">
              <w:rPr>
                <w:vertAlign w:val="superscript"/>
              </w:rPr>
              <w:t>g</w:t>
            </w:r>
          </w:p>
        </w:tc>
      </w:tr>
      <w:tr w:rsidR="00B63ECB" w:rsidRPr="005D3F77" w14:paraId="451E880F" w14:textId="77777777" w:rsidTr="002A4DD3">
        <w:trPr>
          <w:trHeight w:val="231"/>
        </w:trPr>
        <w:tc>
          <w:tcPr>
            <w:cnfStyle w:val="001000000000" w:firstRow="0" w:lastRow="0" w:firstColumn="1" w:lastColumn="0" w:oddVBand="0" w:evenVBand="0" w:oddHBand="0" w:evenHBand="0" w:firstRowFirstColumn="0" w:firstRowLastColumn="0" w:lastRowFirstColumn="0" w:lastRowLastColumn="0"/>
            <w:tcW w:w="1838" w:type="dxa"/>
            <w:tcBorders>
              <w:left w:val="single" w:sz="12" w:space="0" w:color="FFFFFF"/>
              <w:right w:val="single" w:sz="4" w:space="0" w:color="FFFFFF" w:themeColor="background1"/>
            </w:tcBorders>
            <w:noWrap/>
          </w:tcPr>
          <w:p w14:paraId="7E77D66C" w14:textId="4A6B3B91" w:rsidR="00B63ECB" w:rsidRPr="00B63ECB" w:rsidRDefault="00B63ECB" w:rsidP="00B63ECB">
            <w:pPr>
              <w:pStyle w:val="CETBodytext"/>
              <w:rPr>
                <w:b w:val="0"/>
                <w:bCs w:val="0"/>
                <w:i/>
                <w:lang w:eastAsia="ru-RU"/>
              </w:rPr>
            </w:pPr>
            <w:r w:rsidRPr="00B63ECB">
              <w:rPr>
                <w:b w:val="0"/>
                <w:bCs w:val="0"/>
              </w:rPr>
              <w:t>110 °C – 15 %</w:t>
            </w:r>
          </w:p>
        </w:tc>
        <w:tc>
          <w:tcPr>
            <w:tcW w:w="1559" w:type="dxa"/>
            <w:tcBorders>
              <w:left w:val="single" w:sz="4" w:space="0" w:color="FFFFFF" w:themeColor="background1"/>
              <w:right w:val="single" w:sz="4" w:space="0" w:color="FFFFFF" w:themeColor="background1"/>
            </w:tcBorders>
            <w:noWrap/>
          </w:tcPr>
          <w:p w14:paraId="5669DF20" w14:textId="36AACDA7" w:rsidR="00B63ECB" w:rsidRPr="00B63ECB" w:rsidRDefault="00B63ECB" w:rsidP="00B63ECB">
            <w:pPr>
              <w:pStyle w:val="CETBodytext"/>
              <w:cnfStyle w:val="000000000000" w:firstRow="0" w:lastRow="0" w:firstColumn="0" w:lastColumn="0" w:oddVBand="0" w:evenVBand="0" w:oddHBand="0" w:evenHBand="0" w:firstRowFirstColumn="0" w:firstRowLastColumn="0" w:lastRowFirstColumn="0" w:lastRowLastColumn="0"/>
              <w:rPr>
                <w:i/>
                <w:lang w:eastAsia="ru-RU"/>
              </w:rPr>
            </w:pPr>
            <w:r w:rsidRPr="00B63ECB">
              <w:t>57.10 ± 0.27</w:t>
            </w:r>
            <w:r w:rsidRPr="00E00F4D">
              <w:rPr>
                <w:vertAlign w:val="superscript"/>
              </w:rPr>
              <w:t>f</w:t>
            </w:r>
          </w:p>
        </w:tc>
        <w:tc>
          <w:tcPr>
            <w:tcW w:w="1418" w:type="dxa"/>
            <w:tcBorders>
              <w:left w:val="single" w:sz="4" w:space="0" w:color="FFFFFF" w:themeColor="background1"/>
              <w:right w:val="single" w:sz="4" w:space="0" w:color="FFFFFF" w:themeColor="background1"/>
            </w:tcBorders>
            <w:noWrap/>
          </w:tcPr>
          <w:p w14:paraId="36A1AC10" w14:textId="0CD0A1D8" w:rsidR="00B63ECB" w:rsidRPr="00B63ECB" w:rsidRDefault="00B63ECB" w:rsidP="00B63ECB">
            <w:pPr>
              <w:pStyle w:val="CETBodytext"/>
              <w:cnfStyle w:val="000000000000" w:firstRow="0" w:lastRow="0" w:firstColumn="0" w:lastColumn="0" w:oddVBand="0" w:evenVBand="0" w:oddHBand="0" w:evenHBand="0" w:firstRowFirstColumn="0" w:firstRowLastColumn="0" w:lastRowFirstColumn="0" w:lastRowLastColumn="0"/>
              <w:rPr>
                <w:i/>
                <w:lang w:eastAsia="ru-RU"/>
              </w:rPr>
            </w:pPr>
            <w:r w:rsidRPr="00B63ECB">
              <w:t>11.96 ± 0.16</w:t>
            </w:r>
            <w:r w:rsidRPr="00E00F4D">
              <w:rPr>
                <w:vertAlign w:val="superscript"/>
              </w:rPr>
              <w:t>f</w:t>
            </w:r>
          </w:p>
        </w:tc>
        <w:tc>
          <w:tcPr>
            <w:tcW w:w="1701" w:type="dxa"/>
            <w:tcBorders>
              <w:left w:val="single" w:sz="4" w:space="0" w:color="FFFFFF" w:themeColor="background1"/>
              <w:right w:val="single" w:sz="12" w:space="0" w:color="FFFFFF"/>
            </w:tcBorders>
            <w:noWrap/>
          </w:tcPr>
          <w:p w14:paraId="7352A8B1" w14:textId="63C1290E" w:rsidR="00B63ECB" w:rsidRPr="00B63ECB" w:rsidRDefault="00B63ECB" w:rsidP="00B63ECB">
            <w:pPr>
              <w:pStyle w:val="CETBodytext"/>
              <w:cnfStyle w:val="000000000000" w:firstRow="0" w:lastRow="0" w:firstColumn="0" w:lastColumn="0" w:oddVBand="0" w:evenVBand="0" w:oddHBand="0" w:evenHBand="0" w:firstRowFirstColumn="0" w:firstRowLastColumn="0" w:lastRowFirstColumn="0" w:lastRowLastColumn="0"/>
              <w:rPr>
                <w:i/>
                <w:lang w:eastAsia="ru-RU"/>
              </w:rPr>
            </w:pPr>
            <w:r w:rsidRPr="00B63ECB">
              <w:t>30.94 ± 0.30</w:t>
            </w:r>
            <w:r w:rsidRPr="00E00F4D">
              <w:rPr>
                <w:vertAlign w:val="superscript"/>
              </w:rPr>
              <w:t>a</w:t>
            </w:r>
          </w:p>
        </w:tc>
      </w:tr>
      <w:tr w:rsidR="00B63ECB" w:rsidRPr="005D3F77" w14:paraId="1C43DBB8" w14:textId="77777777" w:rsidTr="002A4DD3">
        <w:trPr>
          <w:trHeight w:val="108"/>
        </w:trPr>
        <w:tc>
          <w:tcPr>
            <w:cnfStyle w:val="001000000000" w:firstRow="0" w:lastRow="0" w:firstColumn="1" w:lastColumn="0" w:oddVBand="0" w:evenVBand="0" w:oddHBand="0" w:evenHBand="0" w:firstRowFirstColumn="0" w:firstRowLastColumn="0" w:lastRowFirstColumn="0" w:lastRowLastColumn="0"/>
            <w:tcW w:w="1838" w:type="dxa"/>
            <w:tcBorders>
              <w:left w:val="single" w:sz="12" w:space="0" w:color="FFFFFF"/>
              <w:right w:val="single" w:sz="4" w:space="0" w:color="FFFFFF" w:themeColor="background1"/>
            </w:tcBorders>
            <w:noWrap/>
          </w:tcPr>
          <w:p w14:paraId="3F5687BC" w14:textId="2E3BBC77" w:rsidR="00B63ECB" w:rsidRPr="00B63ECB" w:rsidRDefault="00B63ECB" w:rsidP="00B63ECB">
            <w:pPr>
              <w:pStyle w:val="CETBodytext"/>
              <w:rPr>
                <w:b w:val="0"/>
                <w:bCs w:val="0"/>
                <w:i/>
                <w:lang w:eastAsia="ru-RU"/>
              </w:rPr>
            </w:pPr>
            <w:r w:rsidRPr="00B63ECB">
              <w:rPr>
                <w:b w:val="0"/>
                <w:bCs w:val="0"/>
              </w:rPr>
              <w:t>110 °C – 25 %</w:t>
            </w:r>
          </w:p>
        </w:tc>
        <w:tc>
          <w:tcPr>
            <w:tcW w:w="1559" w:type="dxa"/>
            <w:tcBorders>
              <w:left w:val="single" w:sz="4" w:space="0" w:color="FFFFFF" w:themeColor="background1"/>
              <w:right w:val="single" w:sz="4" w:space="0" w:color="FFFFFF" w:themeColor="background1"/>
            </w:tcBorders>
            <w:noWrap/>
          </w:tcPr>
          <w:p w14:paraId="75A1FA6E" w14:textId="2E96CB11" w:rsidR="00B63ECB" w:rsidRPr="00B63ECB" w:rsidRDefault="00B63ECB" w:rsidP="00B63ECB">
            <w:pPr>
              <w:pStyle w:val="CETBodytext"/>
              <w:cnfStyle w:val="000000000000" w:firstRow="0" w:lastRow="0" w:firstColumn="0" w:lastColumn="0" w:oddVBand="0" w:evenVBand="0" w:oddHBand="0" w:evenHBand="0" w:firstRowFirstColumn="0" w:firstRowLastColumn="0" w:lastRowFirstColumn="0" w:lastRowLastColumn="0"/>
              <w:rPr>
                <w:i/>
                <w:lang w:eastAsia="ru-RU"/>
              </w:rPr>
            </w:pPr>
            <w:r w:rsidRPr="00B63ECB">
              <w:t>61.60 ± 0.31</w:t>
            </w:r>
            <w:r w:rsidRPr="00E00F4D">
              <w:rPr>
                <w:vertAlign w:val="superscript"/>
              </w:rPr>
              <w:t>e</w:t>
            </w:r>
          </w:p>
        </w:tc>
        <w:tc>
          <w:tcPr>
            <w:tcW w:w="1418" w:type="dxa"/>
            <w:tcBorders>
              <w:left w:val="single" w:sz="4" w:space="0" w:color="FFFFFF" w:themeColor="background1"/>
              <w:right w:val="single" w:sz="4" w:space="0" w:color="FFFFFF" w:themeColor="background1"/>
            </w:tcBorders>
            <w:noWrap/>
          </w:tcPr>
          <w:p w14:paraId="62114492" w14:textId="1192EFBB" w:rsidR="00B63ECB" w:rsidRPr="00B63ECB" w:rsidRDefault="00B63ECB" w:rsidP="00B63ECB">
            <w:pPr>
              <w:pStyle w:val="CETBodytext"/>
              <w:cnfStyle w:val="000000000000" w:firstRow="0" w:lastRow="0" w:firstColumn="0" w:lastColumn="0" w:oddVBand="0" w:evenVBand="0" w:oddHBand="0" w:evenHBand="0" w:firstRowFirstColumn="0" w:firstRowLastColumn="0" w:lastRowFirstColumn="0" w:lastRowLastColumn="0"/>
              <w:rPr>
                <w:i/>
                <w:lang w:eastAsia="ru-RU"/>
              </w:rPr>
            </w:pPr>
            <w:r w:rsidRPr="00B63ECB">
              <w:t>9.71 ± 0.13</w:t>
            </w:r>
            <w:r w:rsidRPr="00E00F4D">
              <w:rPr>
                <w:vertAlign w:val="superscript"/>
              </w:rPr>
              <w:t>g</w:t>
            </w:r>
          </w:p>
        </w:tc>
        <w:tc>
          <w:tcPr>
            <w:tcW w:w="1701" w:type="dxa"/>
            <w:tcBorders>
              <w:left w:val="single" w:sz="4" w:space="0" w:color="FFFFFF" w:themeColor="background1"/>
              <w:right w:val="single" w:sz="12" w:space="0" w:color="FFFFFF"/>
            </w:tcBorders>
            <w:noWrap/>
          </w:tcPr>
          <w:p w14:paraId="4B80838F" w14:textId="1B5113C7" w:rsidR="00B63ECB" w:rsidRPr="00B63ECB" w:rsidRDefault="00B63ECB" w:rsidP="00B63ECB">
            <w:pPr>
              <w:pStyle w:val="CETBodytext"/>
              <w:cnfStyle w:val="000000000000" w:firstRow="0" w:lastRow="0" w:firstColumn="0" w:lastColumn="0" w:oddVBand="0" w:evenVBand="0" w:oddHBand="0" w:evenHBand="0" w:firstRowFirstColumn="0" w:firstRowLastColumn="0" w:lastRowFirstColumn="0" w:lastRowLastColumn="0"/>
              <w:rPr>
                <w:i/>
                <w:lang w:eastAsia="ru-RU"/>
              </w:rPr>
            </w:pPr>
            <w:r w:rsidRPr="00B63ECB">
              <w:t>28.69 ± 0.28</w:t>
            </w:r>
            <w:r w:rsidRPr="00E00F4D">
              <w:rPr>
                <w:vertAlign w:val="superscript"/>
              </w:rPr>
              <w:t>b</w:t>
            </w:r>
          </w:p>
        </w:tc>
      </w:tr>
      <w:tr w:rsidR="00B63ECB" w:rsidRPr="005D3F77" w14:paraId="7EB8D6FF" w14:textId="77777777" w:rsidTr="002A4DD3">
        <w:trPr>
          <w:trHeight w:val="153"/>
        </w:trPr>
        <w:tc>
          <w:tcPr>
            <w:cnfStyle w:val="001000000000" w:firstRow="0" w:lastRow="0" w:firstColumn="1" w:lastColumn="0" w:oddVBand="0" w:evenVBand="0" w:oddHBand="0" w:evenHBand="0" w:firstRowFirstColumn="0" w:firstRowLastColumn="0" w:lastRowFirstColumn="0" w:lastRowLastColumn="0"/>
            <w:tcW w:w="1838" w:type="dxa"/>
            <w:tcBorders>
              <w:left w:val="single" w:sz="12" w:space="0" w:color="FFFFFF"/>
              <w:right w:val="single" w:sz="4" w:space="0" w:color="FFFFFF" w:themeColor="background1"/>
            </w:tcBorders>
            <w:noWrap/>
          </w:tcPr>
          <w:p w14:paraId="7250E25B" w14:textId="4587E20A" w:rsidR="00B63ECB" w:rsidRPr="00B63ECB" w:rsidRDefault="00B63ECB" w:rsidP="00B63ECB">
            <w:pPr>
              <w:pStyle w:val="CETBodytext"/>
              <w:rPr>
                <w:b w:val="0"/>
                <w:bCs w:val="0"/>
                <w:i/>
                <w:lang w:eastAsia="ru-RU"/>
              </w:rPr>
            </w:pPr>
            <w:r w:rsidRPr="00B63ECB">
              <w:rPr>
                <w:b w:val="0"/>
                <w:bCs w:val="0"/>
              </w:rPr>
              <w:t>110 °C – 35 %</w:t>
            </w:r>
          </w:p>
        </w:tc>
        <w:tc>
          <w:tcPr>
            <w:tcW w:w="1559" w:type="dxa"/>
            <w:tcBorders>
              <w:left w:val="single" w:sz="4" w:space="0" w:color="FFFFFF" w:themeColor="background1"/>
              <w:right w:val="single" w:sz="4" w:space="0" w:color="FFFFFF" w:themeColor="background1"/>
            </w:tcBorders>
            <w:noWrap/>
          </w:tcPr>
          <w:p w14:paraId="2408A5F6" w14:textId="165DEE6B" w:rsidR="00B63ECB" w:rsidRPr="00B63ECB" w:rsidRDefault="00B63ECB" w:rsidP="00B63ECB">
            <w:pPr>
              <w:pStyle w:val="CETBodytext"/>
              <w:cnfStyle w:val="000000000000" w:firstRow="0" w:lastRow="0" w:firstColumn="0" w:lastColumn="0" w:oddVBand="0" w:evenVBand="0" w:oddHBand="0" w:evenHBand="0" w:firstRowFirstColumn="0" w:firstRowLastColumn="0" w:lastRowFirstColumn="0" w:lastRowLastColumn="0"/>
              <w:rPr>
                <w:i/>
                <w:lang w:eastAsia="ru-RU"/>
              </w:rPr>
            </w:pPr>
            <w:r w:rsidRPr="00B63ECB">
              <w:t>62.86 ± 0.33</w:t>
            </w:r>
            <w:r w:rsidRPr="00E00F4D">
              <w:rPr>
                <w:vertAlign w:val="superscript"/>
              </w:rPr>
              <w:t>d</w:t>
            </w:r>
          </w:p>
        </w:tc>
        <w:tc>
          <w:tcPr>
            <w:tcW w:w="1418" w:type="dxa"/>
            <w:tcBorders>
              <w:left w:val="single" w:sz="4" w:space="0" w:color="FFFFFF" w:themeColor="background1"/>
              <w:right w:val="single" w:sz="4" w:space="0" w:color="FFFFFF" w:themeColor="background1"/>
            </w:tcBorders>
            <w:noWrap/>
          </w:tcPr>
          <w:p w14:paraId="7AD38D3B" w14:textId="355815F1" w:rsidR="00B63ECB" w:rsidRPr="00B63ECB" w:rsidRDefault="00B63ECB" w:rsidP="00B63ECB">
            <w:pPr>
              <w:pStyle w:val="CETBodytext"/>
              <w:cnfStyle w:val="000000000000" w:firstRow="0" w:lastRow="0" w:firstColumn="0" w:lastColumn="0" w:oddVBand="0" w:evenVBand="0" w:oddHBand="0" w:evenHBand="0" w:firstRowFirstColumn="0" w:firstRowLastColumn="0" w:lastRowFirstColumn="0" w:lastRowLastColumn="0"/>
              <w:rPr>
                <w:i/>
                <w:lang w:eastAsia="ru-RU"/>
              </w:rPr>
            </w:pPr>
            <w:r w:rsidRPr="00B63ECB">
              <w:t>16.98 ± 0.23</w:t>
            </w:r>
            <w:r w:rsidRPr="00E00F4D">
              <w:rPr>
                <w:vertAlign w:val="superscript"/>
              </w:rPr>
              <w:t>a</w:t>
            </w:r>
          </w:p>
        </w:tc>
        <w:tc>
          <w:tcPr>
            <w:tcW w:w="1701" w:type="dxa"/>
            <w:tcBorders>
              <w:left w:val="single" w:sz="4" w:space="0" w:color="FFFFFF" w:themeColor="background1"/>
              <w:right w:val="single" w:sz="12" w:space="0" w:color="FFFFFF"/>
            </w:tcBorders>
            <w:noWrap/>
          </w:tcPr>
          <w:p w14:paraId="20DDF97C" w14:textId="535EBB56" w:rsidR="00B63ECB" w:rsidRPr="00B63ECB" w:rsidRDefault="00B63ECB" w:rsidP="00B63ECB">
            <w:pPr>
              <w:pStyle w:val="CETBodytext"/>
              <w:cnfStyle w:val="000000000000" w:firstRow="0" w:lastRow="0" w:firstColumn="0" w:lastColumn="0" w:oddVBand="0" w:evenVBand="0" w:oddHBand="0" w:evenHBand="0" w:firstRowFirstColumn="0" w:firstRowLastColumn="0" w:lastRowFirstColumn="0" w:lastRowLastColumn="0"/>
              <w:rPr>
                <w:i/>
                <w:lang w:eastAsia="ru-RU"/>
              </w:rPr>
            </w:pPr>
            <w:r w:rsidRPr="00B63ECB">
              <w:t>20.16 ± 0.19</w:t>
            </w:r>
            <w:r w:rsidRPr="00E00F4D">
              <w:rPr>
                <w:vertAlign w:val="superscript"/>
              </w:rPr>
              <w:t>f</w:t>
            </w:r>
          </w:p>
        </w:tc>
      </w:tr>
      <w:tr w:rsidR="00B63ECB" w:rsidRPr="005D3F77" w14:paraId="5F0F4EA8" w14:textId="77777777" w:rsidTr="002A4DD3">
        <w:trPr>
          <w:trHeight w:val="186"/>
        </w:trPr>
        <w:tc>
          <w:tcPr>
            <w:cnfStyle w:val="001000000000" w:firstRow="0" w:lastRow="0" w:firstColumn="1" w:lastColumn="0" w:oddVBand="0" w:evenVBand="0" w:oddHBand="0" w:evenHBand="0" w:firstRowFirstColumn="0" w:firstRowLastColumn="0" w:lastRowFirstColumn="0" w:lastRowLastColumn="0"/>
            <w:tcW w:w="1838" w:type="dxa"/>
            <w:tcBorders>
              <w:left w:val="single" w:sz="12" w:space="0" w:color="FFFFFF"/>
              <w:right w:val="single" w:sz="4" w:space="0" w:color="FFFFFF" w:themeColor="background1"/>
            </w:tcBorders>
            <w:noWrap/>
          </w:tcPr>
          <w:p w14:paraId="141CE362" w14:textId="3400A419" w:rsidR="00B63ECB" w:rsidRPr="00B63ECB" w:rsidRDefault="00B63ECB" w:rsidP="00B63ECB">
            <w:pPr>
              <w:pStyle w:val="CETBodytext"/>
              <w:rPr>
                <w:b w:val="0"/>
                <w:bCs w:val="0"/>
                <w:i/>
                <w:lang w:eastAsia="ru-RU"/>
              </w:rPr>
            </w:pPr>
            <w:r w:rsidRPr="00B63ECB">
              <w:rPr>
                <w:b w:val="0"/>
                <w:bCs w:val="0"/>
              </w:rPr>
              <w:t>130 °C – 15 %</w:t>
            </w:r>
          </w:p>
        </w:tc>
        <w:tc>
          <w:tcPr>
            <w:tcW w:w="1559" w:type="dxa"/>
            <w:tcBorders>
              <w:left w:val="single" w:sz="4" w:space="0" w:color="FFFFFF" w:themeColor="background1"/>
              <w:right w:val="single" w:sz="4" w:space="0" w:color="FFFFFF" w:themeColor="background1"/>
            </w:tcBorders>
            <w:noWrap/>
          </w:tcPr>
          <w:p w14:paraId="334BEC10" w14:textId="0F1A39E5" w:rsidR="00B63ECB" w:rsidRPr="00B63ECB" w:rsidRDefault="00B63ECB" w:rsidP="00B63ECB">
            <w:pPr>
              <w:pStyle w:val="CETBodytext"/>
              <w:cnfStyle w:val="000000000000" w:firstRow="0" w:lastRow="0" w:firstColumn="0" w:lastColumn="0" w:oddVBand="0" w:evenVBand="0" w:oddHBand="0" w:evenHBand="0" w:firstRowFirstColumn="0" w:firstRowLastColumn="0" w:lastRowFirstColumn="0" w:lastRowLastColumn="0"/>
              <w:rPr>
                <w:i/>
                <w:lang w:eastAsia="ru-RU"/>
              </w:rPr>
            </w:pPr>
            <w:r w:rsidRPr="00B63ECB">
              <w:t>62.08 ± 0.32</w:t>
            </w:r>
            <w:r w:rsidRPr="00E00F4D">
              <w:rPr>
                <w:vertAlign w:val="superscript"/>
              </w:rPr>
              <w:t>d</w:t>
            </w:r>
          </w:p>
        </w:tc>
        <w:tc>
          <w:tcPr>
            <w:tcW w:w="1418" w:type="dxa"/>
            <w:tcBorders>
              <w:left w:val="single" w:sz="4" w:space="0" w:color="FFFFFF" w:themeColor="background1"/>
              <w:right w:val="single" w:sz="4" w:space="0" w:color="FFFFFF" w:themeColor="background1"/>
            </w:tcBorders>
            <w:noWrap/>
          </w:tcPr>
          <w:p w14:paraId="02ABE3E7" w14:textId="349B6580" w:rsidR="00B63ECB" w:rsidRPr="00B63ECB" w:rsidRDefault="00B63ECB" w:rsidP="00B63ECB">
            <w:pPr>
              <w:pStyle w:val="CETBodytext"/>
              <w:cnfStyle w:val="000000000000" w:firstRow="0" w:lastRow="0" w:firstColumn="0" w:lastColumn="0" w:oddVBand="0" w:evenVBand="0" w:oddHBand="0" w:evenHBand="0" w:firstRowFirstColumn="0" w:firstRowLastColumn="0" w:lastRowFirstColumn="0" w:lastRowLastColumn="0"/>
              <w:rPr>
                <w:i/>
                <w:lang w:eastAsia="ru-RU"/>
              </w:rPr>
            </w:pPr>
            <w:r w:rsidRPr="00B63ECB">
              <w:t>13.87 ± 0.18</w:t>
            </w:r>
            <w:r w:rsidRPr="00E00F4D">
              <w:rPr>
                <w:vertAlign w:val="superscript"/>
              </w:rPr>
              <w:t>d</w:t>
            </w:r>
          </w:p>
        </w:tc>
        <w:tc>
          <w:tcPr>
            <w:tcW w:w="1701" w:type="dxa"/>
            <w:tcBorders>
              <w:left w:val="single" w:sz="4" w:space="0" w:color="FFFFFF" w:themeColor="background1"/>
              <w:right w:val="single" w:sz="12" w:space="0" w:color="FFFFFF"/>
            </w:tcBorders>
            <w:noWrap/>
          </w:tcPr>
          <w:p w14:paraId="1752D057" w14:textId="190195F8" w:rsidR="00B63ECB" w:rsidRPr="00B63ECB" w:rsidRDefault="00B63ECB" w:rsidP="00B63ECB">
            <w:pPr>
              <w:pStyle w:val="CETBodytext"/>
              <w:cnfStyle w:val="000000000000" w:firstRow="0" w:lastRow="0" w:firstColumn="0" w:lastColumn="0" w:oddVBand="0" w:evenVBand="0" w:oddHBand="0" w:evenHBand="0" w:firstRowFirstColumn="0" w:firstRowLastColumn="0" w:lastRowFirstColumn="0" w:lastRowLastColumn="0"/>
              <w:rPr>
                <w:i/>
                <w:lang w:eastAsia="ru-RU"/>
              </w:rPr>
            </w:pPr>
            <w:r w:rsidRPr="00B63ECB">
              <w:t>24.05 ± 0.23</w:t>
            </w:r>
            <w:r w:rsidRPr="00E00F4D">
              <w:rPr>
                <w:vertAlign w:val="superscript"/>
              </w:rPr>
              <w:t>d</w:t>
            </w:r>
          </w:p>
        </w:tc>
      </w:tr>
      <w:tr w:rsidR="00B63ECB" w:rsidRPr="005D3F77" w14:paraId="37AD80C4" w14:textId="77777777" w:rsidTr="002A4DD3">
        <w:trPr>
          <w:trHeight w:val="232"/>
        </w:trPr>
        <w:tc>
          <w:tcPr>
            <w:cnfStyle w:val="001000000000" w:firstRow="0" w:lastRow="0" w:firstColumn="1" w:lastColumn="0" w:oddVBand="0" w:evenVBand="0" w:oddHBand="0" w:evenHBand="0" w:firstRowFirstColumn="0" w:firstRowLastColumn="0" w:lastRowFirstColumn="0" w:lastRowLastColumn="0"/>
            <w:tcW w:w="1838" w:type="dxa"/>
            <w:tcBorders>
              <w:left w:val="single" w:sz="12" w:space="0" w:color="FFFFFF"/>
              <w:right w:val="single" w:sz="4" w:space="0" w:color="FFFFFF" w:themeColor="background1"/>
            </w:tcBorders>
            <w:noWrap/>
          </w:tcPr>
          <w:p w14:paraId="69496496" w14:textId="5F690960" w:rsidR="00B63ECB" w:rsidRPr="00B63ECB" w:rsidRDefault="00B63ECB" w:rsidP="00B63ECB">
            <w:pPr>
              <w:pStyle w:val="CETBodytext"/>
              <w:rPr>
                <w:b w:val="0"/>
                <w:bCs w:val="0"/>
                <w:i/>
                <w:lang w:eastAsia="ru-RU"/>
              </w:rPr>
            </w:pPr>
            <w:r w:rsidRPr="00B63ECB">
              <w:rPr>
                <w:b w:val="0"/>
                <w:bCs w:val="0"/>
              </w:rPr>
              <w:t>130 °C – 25 %</w:t>
            </w:r>
          </w:p>
        </w:tc>
        <w:tc>
          <w:tcPr>
            <w:tcW w:w="1559" w:type="dxa"/>
            <w:tcBorders>
              <w:left w:val="single" w:sz="4" w:space="0" w:color="FFFFFF" w:themeColor="background1"/>
              <w:right w:val="single" w:sz="4" w:space="0" w:color="FFFFFF" w:themeColor="background1"/>
            </w:tcBorders>
            <w:noWrap/>
          </w:tcPr>
          <w:p w14:paraId="3FA4BB5D" w14:textId="2EEEEEAA" w:rsidR="00B63ECB" w:rsidRPr="00B63ECB" w:rsidRDefault="00B63ECB" w:rsidP="00B63ECB">
            <w:pPr>
              <w:pStyle w:val="CETBodytext"/>
              <w:cnfStyle w:val="000000000000" w:firstRow="0" w:lastRow="0" w:firstColumn="0" w:lastColumn="0" w:oddVBand="0" w:evenVBand="0" w:oddHBand="0" w:evenHBand="0" w:firstRowFirstColumn="0" w:firstRowLastColumn="0" w:lastRowFirstColumn="0" w:lastRowLastColumn="0"/>
              <w:rPr>
                <w:i/>
                <w:lang w:eastAsia="ru-RU"/>
              </w:rPr>
            </w:pPr>
            <w:r w:rsidRPr="00B63ECB">
              <w:t>63.87 ± 0.34</w:t>
            </w:r>
            <w:r w:rsidRPr="00E00F4D">
              <w:rPr>
                <w:vertAlign w:val="superscript"/>
              </w:rPr>
              <w:t>c</w:t>
            </w:r>
          </w:p>
        </w:tc>
        <w:tc>
          <w:tcPr>
            <w:tcW w:w="1418" w:type="dxa"/>
            <w:tcBorders>
              <w:left w:val="single" w:sz="4" w:space="0" w:color="FFFFFF" w:themeColor="background1"/>
              <w:right w:val="single" w:sz="4" w:space="0" w:color="FFFFFF" w:themeColor="background1"/>
            </w:tcBorders>
            <w:noWrap/>
          </w:tcPr>
          <w:p w14:paraId="2DB4B5B4" w14:textId="79E481EC" w:rsidR="00B63ECB" w:rsidRPr="00B63ECB" w:rsidRDefault="00B63ECB" w:rsidP="00B63ECB">
            <w:pPr>
              <w:pStyle w:val="CETBodytext"/>
              <w:cnfStyle w:val="000000000000" w:firstRow="0" w:lastRow="0" w:firstColumn="0" w:lastColumn="0" w:oddVBand="0" w:evenVBand="0" w:oddHBand="0" w:evenHBand="0" w:firstRowFirstColumn="0" w:firstRowLastColumn="0" w:lastRowFirstColumn="0" w:lastRowLastColumn="0"/>
              <w:rPr>
                <w:i/>
                <w:lang w:eastAsia="ru-RU"/>
              </w:rPr>
            </w:pPr>
            <w:r w:rsidRPr="00B63ECB">
              <w:t>14.24 ± 0.18</w:t>
            </w:r>
            <w:r w:rsidRPr="00E00F4D">
              <w:rPr>
                <w:vertAlign w:val="superscript"/>
              </w:rPr>
              <w:t>d</w:t>
            </w:r>
          </w:p>
        </w:tc>
        <w:tc>
          <w:tcPr>
            <w:tcW w:w="1701" w:type="dxa"/>
            <w:tcBorders>
              <w:left w:val="single" w:sz="4" w:space="0" w:color="FFFFFF" w:themeColor="background1"/>
              <w:right w:val="single" w:sz="12" w:space="0" w:color="FFFFFF"/>
            </w:tcBorders>
            <w:noWrap/>
          </w:tcPr>
          <w:p w14:paraId="08AB88D8" w14:textId="50875750" w:rsidR="00B63ECB" w:rsidRPr="00B63ECB" w:rsidRDefault="00B63ECB" w:rsidP="00B63ECB">
            <w:pPr>
              <w:pStyle w:val="CETBodytext"/>
              <w:cnfStyle w:val="000000000000" w:firstRow="0" w:lastRow="0" w:firstColumn="0" w:lastColumn="0" w:oddVBand="0" w:evenVBand="0" w:oddHBand="0" w:evenHBand="0" w:firstRowFirstColumn="0" w:firstRowLastColumn="0" w:lastRowFirstColumn="0" w:lastRowLastColumn="0"/>
              <w:rPr>
                <w:i/>
                <w:lang w:eastAsia="ru-RU"/>
              </w:rPr>
            </w:pPr>
            <w:r w:rsidRPr="00B63ECB">
              <w:t>21.89 ± 0.20</w:t>
            </w:r>
            <w:r w:rsidRPr="00E00F4D">
              <w:rPr>
                <w:vertAlign w:val="superscript"/>
              </w:rPr>
              <w:t>e</w:t>
            </w:r>
          </w:p>
        </w:tc>
      </w:tr>
      <w:tr w:rsidR="00B63ECB" w:rsidRPr="005D3F77" w14:paraId="5F595AAE" w14:textId="77777777" w:rsidTr="002A4DD3">
        <w:trPr>
          <w:trHeight w:val="264"/>
        </w:trPr>
        <w:tc>
          <w:tcPr>
            <w:cnfStyle w:val="001000000000" w:firstRow="0" w:lastRow="0" w:firstColumn="1" w:lastColumn="0" w:oddVBand="0" w:evenVBand="0" w:oddHBand="0" w:evenHBand="0" w:firstRowFirstColumn="0" w:firstRowLastColumn="0" w:lastRowFirstColumn="0" w:lastRowLastColumn="0"/>
            <w:tcW w:w="1838" w:type="dxa"/>
            <w:tcBorders>
              <w:left w:val="single" w:sz="12" w:space="0" w:color="FFFFFF"/>
              <w:right w:val="single" w:sz="4" w:space="0" w:color="FFFFFF" w:themeColor="background1"/>
            </w:tcBorders>
            <w:noWrap/>
          </w:tcPr>
          <w:p w14:paraId="16319ED2" w14:textId="326611DB" w:rsidR="00B63ECB" w:rsidRPr="00B63ECB" w:rsidRDefault="00B63ECB" w:rsidP="00B63ECB">
            <w:pPr>
              <w:pStyle w:val="CETBodytext"/>
              <w:rPr>
                <w:b w:val="0"/>
                <w:bCs w:val="0"/>
                <w:i/>
                <w:lang w:eastAsia="ru-RU"/>
              </w:rPr>
            </w:pPr>
            <w:r w:rsidRPr="00B63ECB">
              <w:rPr>
                <w:b w:val="0"/>
                <w:bCs w:val="0"/>
              </w:rPr>
              <w:t>130 °C – 35 %</w:t>
            </w:r>
          </w:p>
        </w:tc>
        <w:tc>
          <w:tcPr>
            <w:tcW w:w="1559" w:type="dxa"/>
            <w:tcBorders>
              <w:left w:val="single" w:sz="4" w:space="0" w:color="FFFFFF" w:themeColor="background1"/>
              <w:bottom w:val="single" w:sz="12" w:space="0" w:color="9BBB59" w:themeColor="accent3"/>
              <w:right w:val="single" w:sz="4" w:space="0" w:color="FFFFFF" w:themeColor="background1"/>
            </w:tcBorders>
            <w:noWrap/>
          </w:tcPr>
          <w:p w14:paraId="08A699F0" w14:textId="5E32CDD0" w:rsidR="00B63ECB" w:rsidRPr="00B63ECB" w:rsidRDefault="00B63ECB" w:rsidP="00B63ECB">
            <w:pPr>
              <w:pStyle w:val="CETBodytext"/>
              <w:cnfStyle w:val="000000000000" w:firstRow="0" w:lastRow="0" w:firstColumn="0" w:lastColumn="0" w:oddVBand="0" w:evenVBand="0" w:oddHBand="0" w:evenHBand="0" w:firstRowFirstColumn="0" w:firstRowLastColumn="0" w:lastRowFirstColumn="0" w:lastRowLastColumn="0"/>
              <w:rPr>
                <w:i/>
                <w:lang w:eastAsia="ru-RU"/>
              </w:rPr>
            </w:pPr>
            <w:r w:rsidRPr="00B63ECB">
              <w:t>69.42 ± 0.44</w:t>
            </w:r>
            <w:r w:rsidRPr="00E00F4D">
              <w:rPr>
                <w:vertAlign w:val="superscript"/>
              </w:rPr>
              <w:t>a</w:t>
            </w:r>
          </w:p>
        </w:tc>
        <w:tc>
          <w:tcPr>
            <w:tcW w:w="1418" w:type="dxa"/>
            <w:tcBorders>
              <w:left w:val="single" w:sz="4" w:space="0" w:color="FFFFFF" w:themeColor="background1"/>
              <w:bottom w:val="single" w:sz="12" w:space="0" w:color="9BBB59" w:themeColor="accent3"/>
              <w:right w:val="single" w:sz="4" w:space="0" w:color="FFFFFF" w:themeColor="background1"/>
            </w:tcBorders>
            <w:noWrap/>
          </w:tcPr>
          <w:p w14:paraId="7A6C2FC6" w14:textId="6C8A0D4C" w:rsidR="00B63ECB" w:rsidRPr="00B63ECB" w:rsidRDefault="00B63ECB" w:rsidP="00B63ECB">
            <w:pPr>
              <w:pStyle w:val="CETBodytext"/>
              <w:cnfStyle w:val="000000000000" w:firstRow="0" w:lastRow="0" w:firstColumn="0" w:lastColumn="0" w:oddVBand="0" w:evenVBand="0" w:oddHBand="0" w:evenHBand="0" w:firstRowFirstColumn="0" w:firstRowLastColumn="0" w:lastRowFirstColumn="0" w:lastRowLastColumn="0"/>
              <w:rPr>
                <w:i/>
                <w:lang w:eastAsia="ru-RU"/>
              </w:rPr>
            </w:pPr>
            <w:r w:rsidRPr="00B63ECB">
              <w:t>15.46 ± 0.21</w:t>
            </w:r>
            <w:r w:rsidRPr="00E00F4D">
              <w:rPr>
                <w:vertAlign w:val="superscript"/>
              </w:rPr>
              <w:t>b</w:t>
            </w:r>
          </w:p>
        </w:tc>
        <w:tc>
          <w:tcPr>
            <w:tcW w:w="1701" w:type="dxa"/>
            <w:tcBorders>
              <w:left w:val="single" w:sz="4" w:space="0" w:color="FFFFFF" w:themeColor="background1"/>
              <w:bottom w:val="single" w:sz="12" w:space="0" w:color="9BBB59" w:themeColor="accent3"/>
              <w:right w:val="single" w:sz="12" w:space="0" w:color="FFFFFF"/>
            </w:tcBorders>
            <w:noWrap/>
          </w:tcPr>
          <w:p w14:paraId="2371C9D9" w14:textId="63CC21F4" w:rsidR="00B63ECB" w:rsidRPr="00B63ECB" w:rsidRDefault="00B63ECB" w:rsidP="00B63ECB">
            <w:pPr>
              <w:pStyle w:val="CETBodytext"/>
              <w:cnfStyle w:val="000000000000" w:firstRow="0" w:lastRow="0" w:firstColumn="0" w:lastColumn="0" w:oddVBand="0" w:evenVBand="0" w:oddHBand="0" w:evenHBand="0" w:firstRowFirstColumn="0" w:firstRowLastColumn="0" w:lastRowFirstColumn="0" w:lastRowLastColumn="0"/>
              <w:rPr>
                <w:i/>
                <w:lang w:eastAsia="ru-RU"/>
              </w:rPr>
            </w:pPr>
            <w:r w:rsidRPr="00B63ECB">
              <w:t>15.12 ± 0.15</w:t>
            </w:r>
            <w:r w:rsidRPr="00E00F4D">
              <w:rPr>
                <w:vertAlign w:val="superscript"/>
              </w:rPr>
              <w:t>h</w:t>
            </w:r>
          </w:p>
        </w:tc>
      </w:tr>
    </w:tbl>
    <w:p w14:paraId="2D1D60FD" w14:textId="77777777" w:rsidR="0020408D" w:rsidRPr="00365650" w:rsidRDefault="009448A7" w:rsidP="00667B1A">
      <w:pPr>
        <w:pStyle w:val="CETBodytext"/>
        <w:rPr>
          <w:rFonts w:eastAsia="Aptos"/>
          <w:i/>
          <w:iCs/>
          <w:sz w:val="16"/>
          <w:szCs w:val="16"/>
        </w:rPr>
      </w:pPr>
      <w:r w:rsidRPr="00365650">
        <w:rPr>
          <w:rFonts w:eastAsia="Aptos"/>
          <w:i/>
          <w:iCs/>
          <w:sz w:val="16"/>
          <w:szCs w:val="16"/>
        </w:rPr>
        <w:t>*RS-Resistant starch; RDS-Rapidly digestible starch; SDS-Slowly digestible starch; N</w:t>
      </w:r>
      <w:r w:rsidRPr="00365650">
        <w:rPr>
          <w:rFonts w:eastAsia="Aptos"/>
          <w:i/>
          <w:iCs/>
          <w:sz w:val="16"/>
          <w:szCs w:val="16"/>
          <w:vertAlign w:val="subscript"/>
        </w:rPr>
        <w:t>A-</w:t>
      </w:r>
      <w:r w:rsidRPr="00365650">
        <w:rPr>
          <w:rFonts w:eastAsia="Aptos"/>
          <w:i/>
          <w:iCs/>
          <w:sz w:val="16"/>
          <w:szCs w:val="16"/>
        </w:rPr>
        <w:t>untreated native sample</w:t>
      </w:r>
    </w:p>
    <w:p w14:paraId="6009EC09" w14:textId="38D0906A" w:rsidR="00F832D4" w:rsidRDefault="00F832D4" w:rsidP="00667B1A">
      <w:pPr>
        <w:pStyle w:val="CETBodytext"/>
        <w:rPr>
          <w:rFonts w:eastAsia="Aptos"/>
        </w:rPr>
      </w:pPr>
      <w:r w:rsidRPr="00365650">
        <w:rPr>
          <w:rFonts w:eastAsia="Aptos"/>
          <w:i/>
          <w:iCs/>
          <w:sz w:val="16"/>
          <w:szCs w:val="16"/>
        </w:rPr>
        <w:t>Values are expressed as mean ± standard deviation (n = 3). Different superscript letters within the same column indicate statistically significant differences at p &lt; 0.05</w:t>
      </w:r>
      <w:r w:rsidRPr="00E00F4D">
        <w:rPr>
          <w:rFonts w:eastAsia="Aptos"/>
          <w:i/>
          <w:iCs/>
        </w:rPr>
        <w:t>.</w:t>
      </w:r>
    </w:p>
    <w:p w14:paraId="20AE5217" w14:textId="77777777" w:rsidR="00667B1A" w:rsidRDefault="00667B1A" w:rsidP="00667B1A">
      <w:pPr>
        <w:pStyle w:val="CETBodytext"/>
        <w:rPr>
          <w:rFonts w:eastAsia="Aptos"/>
        </w:rPr>
      </w:pPr>
    </w:p>
    <w:p w14:paraId="5D11D2B1" w14:textId="48122C4C" w:rsidR="009448A7" w:rsidRPr="005D3F77" w:rsidRDefault="00365650" w:rsidP="0020408D">
      <w:pPr>
        <w:pStyle w:val="CETBodytext"/>
      </w:pPr>
      <w:r w:rsidRPr="00365650">
        <w:rPr>
          <w:lang w:val="en-GB"/>
        </w:rPr>
        <w:t xml:space="preserve">The increase in resistant starch after moderate heat-moisture treatment was associated with partial gelatinization, amylose redistribution, amylose-lipid complex formation, and starch retrogradation (Liu et al., 2019), which reduced enzyme access to starch granules. However, intensive treatment at 130 °C and 35 % moisture decreased resistant starch to 15.58 % in HM-140 and 15.12 % in Abu </w:t>
      </w:r>
      <w:proofErr w:type="spellStart"/>
      <w:r w:rsidRPr="00365650">
        <w:rPr>
          <w:lang w:val="en-GB"/>
        </w:rPr>
        <w:t>G‘ofur</w:t>
      </w:r>
      <w:proofErr w:type="spellEnd"/>
      <w:r w:rsidRPr="00365650">
        <w:rPr>
          <w:lang w:val="en-GB"/>
        </w:rPr>
        <w:t>, indicating structural disruption and higher enzymatic susceptibility. Therefore, steaming at 0.4 MPa for 6 min, moistening to 15 %, and drying at 110 °C was the optimal condition for producing resistant starch-rich barley flour.</w:t>
      </w:r>
    </w:p>
    <w:p w14:paraId="3AF8499F" w14:textId="77777777" w:rsidR="009448A7" w:rsidRDefault="009448A7" w:rsidP="005D3F77">
      <w:pPr>
        <w:pStyle w:val="CETheadingx"/>
      </w:pPr>
      <w:r w:rsidRPr="009448A7">
        <w:t>3.2 Rheological properties of functional barley flour</w:t>
      </w:r>
    </w:p>
    <w:p w14:paraId="40C168DE" w14:textId="2F9604D7" w:rsidR="0020408D" w:rsidRDefault="000C3079" w:rsidP="0020408D">
      <w:pPr>
        <w:pStyle w:val="CETBodytext"/>
      </w:pPr>
      <w:r w:rsidRPr="005D3F77">
        <w:t xml:space="preserve">The </w:t>
      </w:r>
      <w:proofErr w:type="spellStart"/>
      <w:r w:rsidRPr="005D3F77">
        <w:t>Mixolab</w:t>
      </w:r>
      <w:proofErr w:type="spellEnd"/>
      <w:r w:rsidRPr="005D3F77">
        <w:t xml:space="preserve"> analysis revealed distinct rheological differences between barley and wheat flours. HM-140 barley flour exhibited a water absorption capacity of 70.1</w:t>
      </w:r>
      <w:r w:rsidR="002703BC">
        <w:t xml:space="preserve"> </w:t>
      </w:r>
      <w:r w:rsidRPr="005D3F77">
        <w:t xml:space="preserve">%, closely resembling that of wheat flour, whereas </w:t>
      </w:r>
      <w:r w:rsidR="00D94474" w:rsidRPr="005D3F77">
        <w:t xml:space="preserve">Abu </w:t>
      </w:r>
      <w:proofErr w:type="spellStart"/>
      <w:r w:rsidR="00D94474" w:rsidRPr="005D3F77">
        <w:t>G‘ofur</w:t>
      </w:r>
      <w:proofErr w:type="spellEnd"/>
      <w:r w:rsidRPr="005D3F77">
        <w:t xml:space="preserve"> barley flour demonstrated a notably higher absorption capacity of 76.4</w:t>
      </w:r>
      <w:r w:rsidR="007F265D" w:rsidRPr="005D3F77">
        <w:t xml:space="preserve"> </w:t>
      </w:r>
      <w:r w:rsidRPr="005D3F77">
        <w:t xml:space="preserve">%. This elevated value is likely </w:t>
      </w:r>
      <w:r w:rsidRPr="005D3F77">
        <w:lastRenderedPageBreak/>
        <w:t xml:space="preserve">attributable to increased </w:t>
      </w:r>
      <w:r w:rsidR="008E063A">
        <w:t>dietary fiber</w:t>
      </w:r>
      <w:r w:rsidRPr="005D3F77">
        <w:t xml:space="preserve"> content and the enhanced water-binding capacity of barley flour constituents. Such findings underscore the unique hydration properties of barley genotypes, which may influence end-product quality in food processing applications.</w:t>
      </w:r>
    </w:p>
    <w:p w14:paraId="732E4DBA" w14:textId="56E0D22E" w:rsidR="002D4712" w:rsidRPr="002D4712" w:rsidRDefault="002D4712" w:rsidP="00667B1A">
      <w:pPr>
        <w:pStyle w:val="CETTabletitle"/>
        <w:rPr>
          <w:rFonts w:eastAsia="Aptos"/>
        </w:rPr>
      </w:pPr>
      <w:r w:rsidRPr="002D4712">
        <w:rPr>
          <w:rFonts w:eastAsia="Aptos"/>
        </w:rPr>
        <w:t>Table</w:t>
      </w:r>
      <w:r>
        <w:rPr>
          <w:rFonts w:eastAsia="Aptos"/>
        </w:rPr>
        <w:t xml:space="preserve"> 2:</w:t>
      </w:r>
      <w:r w:rsidRPr="002D4712">
        <w:rPr>
          <w:rFonts w:eastAsia="Aptos"/>
        </w:rPr>
        <w:t xml:space="preserve"> </w:t>
      </w:r>
      <w:r w:rsidR="00A45DDF" w:rsidRPr="00A45DDF">
        <w:rPr>
          <w:rFonts w:eastAsia="Aptos"/>
        </w:rPr>
        <w:t xml:space="preserve">Rheological </w:t>
      </w:r>
      <w:r w:rsidR="00A45DDF" w:rsidRPr="00667B1A">
        <w:t>properties</w:t>
      </w:r>
      <w:r w:rsidR="00A45DDF" w:rsidRPr="00A45DDF">
        <w:rPr>
          <w:rFonts w:eastAsia="Aptos"/>
        </w:rPr>
        <w:t xml:space="preserve"> of wheat and barley flour doughs</w:t>
      </w:r>
    </w:p>
    <w:tbl>
      <w:tblPr>
        <w:tblStyle w:val="-163"/>
        <w:tblW w:w="0" w:type="auto"/>
        <w:tblLook w:val="04A0" w:firstRow="1" w:lastRow="0" w:firstColumn="1" w:lastColumn="0" w:noHBand="0" w:noVBand="1"/>
      </w:tblPr>
      <w:tblGrid>
        <w:gridCol w:w="1129"/>
        <w:gridCol w:w="993"/>
        <w:gridCol w:w="1134"/>
        <w:gridCol w:w="1134"/>
        <w:gridCol w:w="1134"/>
        <w:gridCol w:w="1134"/>
        <w:gridCol w:w="992"/>
        <w:gridCol w:w="1127"/>
      </w:tblGrid>
      <w:tr w:rsidR="00554B2D" w:rsidRPr="00554B2D" w14:paraId="2941DB02" w14:textId="77777777" w:rsidTr="00554B2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Borders>
              <w:top w:val="single" w:sz="12" w:space="0" w:color="92D050"/>
              <w:left w:val="single" w:sz="4" w:space="0" w:color="FFFFFF"/>
              <w:right w:val="single" w:sz="12" w:space="0" w:color="FFFFFF" w:themeColor="background1"/>
            </w:tcBorders>
            <w:hideMark/>
          </w:tcPr>
          <w:p w14:paraId="5268CA9C" w14:textId="77777777" w:rsidR="002D4712" w:rsidRPr="00554B2D" w:rsidRDefault="002D4712" w:rsidP="000753B9">
            <w:pPr>
              <w:pStyle w:val="CETBodytext"/>
              <w:rPr>
                <w:i/>
                <w:sz w:val="16"/>
                <w:szCs w:val="16"/>
                <w:lang w:eastAsia="ru-RU"/>
              </w:rPr>
            </w:pPr>
            <w:r w:rsidRPr="00554B2D">
              <w:rPr>
                <w:sz w:val="16"/>
                <w:szCs w:val="16"/>
                <w:lang w:eastAsia="ru-RU"/>
              </w:rPr>
              <w:t>Flour sample</w:t>
            </w:r>
          </w:p>
        </w:tc>
        <w:tc>
          <w:tcPr>
            <w:tcW w:w="993" w:type="dxa"/>
            <w:tcBorders>
              <w:top w:val="single" w:sz="12" w:space="0" w:color="92D050"/>
              <w:left w:val="single" w:sz="12" w:space="0" w:color="FFFFFF" w:themeColor="background1"/>
              <w:right w:val="single" w:sz="12" w:space="0" w:color="FFFFFF" w:themeColor="background1"/>
            </w:tcBorders>
            <w:vAlign w:val="center"/>
            <w:hideMark/>
          </w:tcPr>
          <w:p w14:paraId="1931AE32" w14:textId="77777777" w:rsidR="002D4712" w:rsidRPr="00554B2D" w:rsidRDefault="002D4712" w:rsidP="000753B9">
            <w:pPr>
              <w:pStyle w:val="CETBodytext"/>
              <w:cnfStyle w:val="100000000000" w:firstRow="1" w:lastRow="0" w:firstColumn="0" w:lastColumn="0" w:oddVBand="0" w:evenVBand="0" w:oddHBand="0" w:evenHBand="0" w:firstRowFirstColumn="0" w:firstRowLastColumn="0" w:lastRowFirstColumn="0" w:lastRowLastColumn="0"/>
              <w:rPr>
                <w:i/>
                <w:sz w:val="16"/>
                <w:szCs w:val="16"/>
                <w:lang w:eastAsia="ru-RU"/>
              </w:rPr>
            </w:pPr>
            <w:r w:rsidRPr="00554B2D">
              <w:rPr>
                <w:sz w:val="16"/>
                <w:szCs w:val="16"/>
                <w:lang w:eastAsia="ru-RU"/>
              </w:rPr>
              <w:t>WA (%)</w:t>
            </w:r>
          </w:p>
        </w:tc>
        <w:tc>
          <w:tcPr>
            <w:tcW w:w="1134" w:type="dxa"/>
            <w:tcBorders>
              <w:top w:val="single" w:sz="12" w:space="0" w:color="92D050"/>
              <w:left w:val="single" w:sz="12" w:space="0" w:color="FFFFFF" w:themeColor="background1"/>
              <w:right w:val="single" w:sz="12" w:space="0" w:color="FFFFFF" w:themeColor="background1"/>
            </w:tcBorders>
            <w:vAlign w:val="center"/>
            <w:hideMark/>
          </w:tcPr>
          <w:p w14:paraId="21F480BE" w14:textId="77777777" w:rsidR="002D4712" w:rsidRPr="00554B2D" w:rsidRDefault="002D4712" w:rsidP="000753B9">
            <w:pPr>
              <w:pStyle w:val="CETBodytext"/>
              <w:cnfStyle w:val="100000000000" w:firstRow="1" w:lastRow="0" w:firstColumn="0" w:lastColumn="0" w:oddVBand="0" w:evenVBand="0" w:oddHBand="0" w:evenHBand="0" w:firstRowFirstColumn="0" w:firstRowLastColumn="0" w:lastRowFirstColumn="0" w:lastRowLastColumn="0"/>
              <w:rPr>
                <w:i/>
                <w:sz w:val="16"/>
                <w:szCs w:val="16"/>
                <w:lang w:eastAsia="ru-RU"/>
              </w:rPr>
            </w:pPr>
            <w:r w:rsidRPr="00554B2D">
              <w:rPr>
                <w:sz w:val="16"/>
                <w:szCs w:val="16"/>
                <w:lang w:eastAsia="ru-RU"/>
              </w:rPr>
              <w:t>C2 (Nm)</w:t>
            </w:r>
          </w:p>
        </w:tc>
        <w:tc>
          <w:tcPr>
            <w:tcW w:w="1134" w:type="dxa"/>
            <w:tcBorders>
              <w:top w:val="single" w:sz="12" w:space="0" w:color="92D050"/>
              <w:left w:val="single" w:sz="12" w:space="0" w:color="FFFFFF" w:themeColor="background1"/>
              <w:right w:val="single" w:sz="12" w:space="0" w:color="FFFFFF" w:themeColor="background1"/>
            </w:tcBorders>
            <w:vAlign w:val="center"/>
            <w:hideMark/>
          </w:tcPr>
          <w:p w14:paraId="3BFBC4ED" w14:textId="77777777" w:rsidR="002D4712" w:rsidRPr="00554B2D" w:rsidRDefault="002D4712" w:rsidP="000753B9">
            <w:pPr>
              <w:pStyle w:val="CETBodytext"/>
              <w:cnfStyle w:val="100000000000" w:firstRow="1" w:lastRow="0" w:firstColumn="0" w:lastColumn="0" w:oddVBand="0" w:evenVBand="0" w:oddHBand="0" w:evenHBand="0" w:firstRowFirstColumn="0" w:firstRowLastColumn="0" w:lastRowFirstColumn="0" w:lastRowLastColumn="0"/>
              <w:rPr>
                <w:i/>
                <w:sz w:val="16"/>
                <w:szCs w:val="16"/>
                <w:lang w:eastAsia="ru-RU"/>
              </w:rPr>
            </w:pPr>
            <w:r w:rsidRPr="00554B2D">
              <w:rPr>
                <w:sz w:val="16"/>
                <w:szCs w:val="16"/>
                <w:lang w:eastAsia="ru-RU"/>
              </w:rPr>
              <w:t>C3 (Nm)</w:t>
            </w:r>
          </w:p>
        </w:tc>
        <w:tc>
          <w:tcPr>
            <w:tcW w:w="1134" w:type="dxa"/>
            <w:tcBorders>
              <w:top w:val="single" w:sz="12" w:space="0" w:color="92D050"/>
              <w:left w:val="single" w:sz="12" w:space="0" w:color="FFFFFF" w:themeColor="background1"/>
              <w:right w:val="single" w:sz="12" w:space="0" w:color="FFFFFF" w:themeColor="background1"/>
            </w:tcBorders>
            <w:vAlign w:val="center"/>
            <w:hideMark/>
          </w:tcPr>
          <w:p w14:paraId="44BE9203" w14:textId="77777777" w:rsidR="002D4712" w:rsidRPr="00554B2D" w:rsidRDefault="002D4712" w:rsidP="000753B9">
            <w:pPr>
              <w:pStyle w:val="CETBodytext"/>
              <w:cnfStyle w:val="100000000000" w:firstRow="1" w:lastRow="0" w:firstColumn="0" w:lastColumn="0" w:oddVBand="0" w:evenVBand="0" w:oddHBand="0" w:evenHBand="0" w:firstRowFirstColumn="0" w:firstRowLastColumn="0" w:lastRowFirstColumn="0" w:lastRowLastColumn="0"/>
              <w:rPr>
                <w:i/>
                <w:sz w:val="16"/>
                <w:szCs w:val="16"/>
                <w:lang w:eastAsia="ru-RU"/>
              </w:rPr>
            </w:pPr>
            <w:r w:rsidRPr="00554B2D">
              <w:rPr>
                <w:sz w:val="16"/>
                <w:szCs w:val="16"/>
                <w:lang w:eastAsia="ru-RU"/>
              </w:rPr>
              <w:t>C4 (Nm)</w:t>
            </w:r>
          </w:p>
        </w:tc>
        <w:tc>
          <w:tcPr>
            <w:tcW w:w="1134" w:type="dxa"/>
            <w:tcBorders>
              <w:top w:val="single" w:sz="12" w:space="0" w:color="92D050"/>
              <w:left w:val="single" w:sz="12" w:space="0" w:color="FFFFFF" w:themeColor="background1"/>
              <w:right w:val="single" w:sz="12" w:space="0" w:color="FFFFFF" w:themeColor="background1"/>
            </w:tcBorders>
            <w:vAlign w:val="center"/>
            <w:hideMark/>
          </w:tcPr>
          <w:p w14:paraId="5DF455BA" w14:textId="77777777" w:rsidR="002D4712" w:rsidRPr="00554B2D" w:rsidRDefault="002D4712" w:rsidP="000753B9">
            <w:pPr>
              <w:pStyle w:val="CETBodytext"/>
              <w:cnfStyle w:val="100000000000" w:firstRow="1" w:lastRow="0" w:firstColumn="0" w:lastColumn="0" w:oddVBand="0" w:evenVBand="0" w:oddHBand="0" w:evenHBand="0" w:firstRowFirstColumn="0" w:firstRowLastColumn="0" w:lastRowFirstColumn="0" w:lastRowLastColumn="0"/>
              <w:rPr>
                <w:i/>
                <w:sz w:val="16"/>
                <w:szCs w:val="16"/>
                <w:lang w:eastAsia="ru-RU"/>
              </w:rPr>
            </w:pPr>
            <w:r w:rsidRPr="00554B2D">
              <w:rPr>
                <w:sz w:val="16"/>
                <w:szCs w:val="16"/>
                <w:lang w:eastAsia="ru-RU"/>
              </w:rPr>
              <w:t>C5 (Nm)</w:t>
            </w:r>
          </w:p>
        </w:tc>
        <w:tc>
          <w:tcPr>
            <w:tcW w:w="992" w:type="dxa"/>
            <w:tcBorders>
              <w:top w:val="single" w:sz="12" w:space="0" w:color="92D050"/>
              <w:left w:val="single" w:sz="12" w:space="0" w:color="FFFFFF" w:themeColor="background1"/>
              <w:right w:val="single" w:sz="12" w:space="0" w:color="FFFFFF" w:themeColor="background1"/>
            </w:tcBorders>
            <w:vAlign w:val="center"/>
            <w:hideMark/>
          </w:tcPr>
          <w:p w14:paraId="0189BC35" w14:textId="77777777" w:rsidR="002D4712" w:rsidRPr="00554B2D" w:rsidRDefault="002D4712" w:rsidP="000753B9">
            <w:pPr>
              <w:pStyle w:val="CETBodytext"/>
              <w:cnfStyle w:val="100000000000" w:firstRow="1" w:lastRow="0" w:firstColumn="0" w:lastColumn="0" w:oddVBand="0" w:evenVBand="0" w:oddHBand="0" w:evenHBand="0" w:firstRowFirstColumn="0" w:firstRowLastColumn="0" w:lastRowFirstColumn="0" w:lastRowLastColumn="0"/>
              <w:rPr>
                <w:i/>
                <w:sz w:val="16"/>
                <w:szCs w:val="16"/>
                <w:lang w:eastAsia="ru-RU"/>
              </w:rPr>
            </w:pPr>
            <w:r w:rsidRPr="00554B2D">
              <w:rPr>
                <w:sz w:val="16"/>
                <w:szCs w:val="16"/>
                <w:lang w:eastAsia="ru-RU"/>
              </w:rPr>
              <w:t>Stability (min)</w:t>
            </w:r>
          </w:p>
        </w:tc>
        <w:tc>
          <w:tcPr>
            <w:tcW w:w="1127" w:type="dxa"/>
            <w:tcBorders>
              <w:top w:val="single" w:sz="12" w:space="0" w:color="92D050"/>
              <w:left w:val="single" w:sz="12" w:space="0" w:color="FFFFFF" w:themeColor="background1"/>
              <w:right w:val="single" w:sz="4" w:space="0" w:color="FFFFFF"/>
            </w:tcBorders>
            <w:vAlign w:val="center"/>
            <w:hideMark/>
          </w:tcPr>
          <w:p w14:paraId="1C05E57E" w14:textId="77777777" w:rsidR="002D4712" w:rsidRPr="00554B2D" w:rsidRDefault="002D4712" w:rsidP="000753B9">
            <w:pPr>
              <w:pStyle w:val="CETBodytext"/>
              <w:cnfStyle w:val="100000000000" w:firstRow="1" w:lastRow="0" w:firstColumn="0" w:lastColumn="0" w:oddVBand="0" w:evenVBand="0" w:oddHBand="0" w:evenHBand="0" w:firstRowFirstColumn="0" w:firstRowLastColumn="0" w:lastRowFirstColumn="0" w:lastRowLastColumn="0"/>
              <w:rPr>
                <w:i/>
                <w:sz w:val="16"/>
                <w:szCs w:val="16"/>
                <w:lang w:eastAsia="ru-RU"/>
              </w:rPr>
            </w:pPr>
            <w:r w:rsidRPr="00554B2D">
              <w:rPr>
                <w:sz w:val="16"/>
                <w:szCs w:val="16"/>
                <w:lang w:eastAsia="ru-RU"/>
              </w:rPr>
              <w:t>C3–C2 (Nm)</w:t>
            </w:r>
          </w:p>
        </w:tc>
      </w:tr>
      <w:tr w:rsidR="00554B2D" w:rsidRPr="00554B2D" w14:paraId="6EF91543" w14:textId="77777777" w:rsidTr="00554B2D">
        <w:tc>
          <w:tcPr>
            <w:cnfStyle w:val="001000000000" w:firstRow="0" w:lastRow="0" w:firstColumn="1" w:lastColumn="0" w:oddVBand="0" w:evenVBand="0" w:oddHBand="0" w:evenHBand="0" w:firstRowFirstColumn="0" w:firstRowLastColumn="0" w:lastRowFirstColumn="0" w:lastRowLastColumn="0"/>
            <w:tcW w:w="1129" w:type="dxa"/>
            <w:tcBorders>
              <w:left w:val="single" w:sz="4" w:space="0" w:color="FFFFFF"/>
              <w:right w:val="single" w:sz="12" w:space="0" w:color="FFFFFF" w:themeColor="background1"/>
            </w:tcBorders>
            <w:hideMark/>
          </w:tcPr>
          <w:p w14:paraId="5E7B9E99" w14:textId="3350E320" w:rsidR="00554B2D" w:rsidRPr="00554B2D" w:rsidRDefault="00554B2D" w:rsidP="00554B2D">
            <w:pPr>
              <w:pStyle w:val="CETBodytext"/>
              <w:rPr>
                <w:b w:val="0"/>
                <w:bCs w:val="0"/>
                <w:i/>
                <w:sz w:val="16"/>
                <w:szCs w:val="16"/>
                <w:lang w:eastAsia="ru-RU"/>
              </w:rPr>
            </w:pPr>
            <w:r w:rsidRPr="00554B2D">
              <w:rPr>
                <w:b w:val="0"/>
                <w:bCs w:val="0"/>
                <w:sz w:val="16"/>
                <w:szCs w:val="16"/>
              </w:rPr>
              <w:t>First-grade wheat flour</w:t>
            </w:r>
          </w:p>
        </w:tc>
        <w:tc>
          <w:tcPr>
            <w:tcW w:w="993" w:type="dxa"/>
            <w:tcBorders>
              <w:left w:val="single" w:sz="12" w:space="0" w:color="FFFFFF" w:themeColor="background1"/>
              <w:right w:val="single" w:sz="12" w:space="0" w:color="FFFFFF" w:themeColor="background1"/>
            </w:tcBorders>
            <w:hideMark/>
          </w:tcPr>
          <w:p w14:paraId="478044FC" w14:textId="69FFE25D" w:rsidR="00554B2D" w:rsidRPr="00554B2D" w:rsidRDefault="00554B2D" w:rsidP="00554B2D">
            <w:pPr>
              <w:pStyle w:val="CETBodytext"/>
              <w:cnfStyle w:val="000000000000" w:firstRow="0" w:lastRow="0" w:firstColumn="0" w:lastColumn="0" w:oddVBand="0" w:evenVBand="0" w:oddHBand="0" w:evenHBand="0" w:firstRowFirstColumn="0" w:firstRowLastColumn="0" w:lastRowFirstColumn="0" w:lastRowLastColumn="0"/>
              <w:rPr>
                <w:i/>
                <w:sz w:val="16"/>
                <w:szCs w:val="16"/>
                <w:lang w:eastAsia="ru-RU"/>
              </w:rPr>
            </w:pPr>
            <w:r w:rsidRPr="00554B2D">
              <w:rPr>
                <w:sz w:val="16"/>
                <w:szCs w:val="16"/>
              </w:rPr>
              <w:t>69.2 ± 0.4</w:t>
            </w:r>
            <w:r w:rsidRPr="00554B2D">
              <w:rPr>
                <w:rFonts w:cs="Arial"/>
                <w:sz w:val="16"/>
                <w:szCs w:val="16"/>
              </w:rPr>
              <w:t>ᵇ</w:t>
            </w:r>
          </w:p>
        </w:tc>
        <w:tc>
          <w:tcPr>
            <w:tcW w:w="1134" w:type="dxa"/>
            <w:tcBorders>
              <w:left w:val="single" w:sz="12" w:space="0" w:color="FFFFFF" w:themeColor="background1"/>
              <w:right w:val="single" w:sz="12" w:space="0" w:color="FFFFFF" w:themeColor="background1"/>
            </w:tcBorders>
            <w:hideMark/>
          </w:tcPr>
          <w:p w14:paraId="1EE36133" w14:textId="31D6C783" w:rsidR="00554B2D" w:rsidRPr="00554B2D" w:rsidRDefault="00554B2D" w:rsidP="00554B2D">
            <w:pPr>
              <w:pStyle w:val="CETBodytext"/>
              <w:cnfStyle w:val="000000000000" w:firstRow="0" w:lastRow="0" w:firstColumn="0" w:lastColumn="0" w:oddVBand="0" w:evenVBand="0" w:oddHBand="0" w:evenHBand="0" w:firstRowFirstColumn="0" w:firstRowLastColumn="0" w:lastRowFirstColumn="0" w:lastRowLastColumn="0"/>
              <w:rPr>
                <w:i/>
                <w:sz w:val="16"/>
                <w:szCs w:val="16"/>
                <w:lang w:eastAsia="ru-RU"/>
              </w:rPr>
            </w:pPr>
            <w:r w:rsidRPr="00554B2D">
              <w:rPr>
                <w:sz w:val="16"/>
                <w:szCs w:val="16"/>
              </w:rPr>
              <w:t>0.54 ± 0.02</w:t>
            </w:r>
            <w:r w:rsidRPr="00554B2D">
              <w:rPr>
                <w:rFonts w:cs="Arial"/>
                <w:sz w:val="16"/>
                <w:szCs w:val="16"/>
              </w:rPr>
              <w:t>ᶜ</w:t>
            </w:r>
          </w:p>
        </w:tc>
        <w:tc>
          <w:tcPr>
            <w:tcW w:w="1134" w:type="dxa"/>
            <w:tcBorders>
              <w:left w:val="single" w:sz="12" w:space="0" w:color="FFFFFF" w:themeColor="background1"/>
              <w:right w:val="single" w:sz="12" w:space="0" w:color="FFFFFF" w:themeColor="background1"/>
            </w:tcBorders>
            <w:hideMark/>
          </w:tcPr>
          <w:p w14:paraId="1414995A" w14:textId="6FD3C882" w:rsidR="00554B2D" w:rsidRPr="00554B2D" w:rsidRDefault="00554B2D" w:rsidP="00554B2D">
            <w:pPr>
              <w:pStyle w:val="CETBodytext"/>
              <w:cnfStyle w:val="000000000000" w:firstRow="0" w:lastRow="0" w:firstColumn="0" w:lastColumn="0" w:oddVBand="0" w:evenVBand="0" w:oddHBand="0" w:evenHBand="0" w:firstRowFirstColumn="0" w:firstRowLastColumn="0" w:lastRowFirstColumn="0" w:lastRowLastColumn="0"/>
              <w:rPr>
                <w:i/>
                <w:sz w:val="16"/>
                <w:szCs w:val="16"/>
                <w:lang w:eastAsia="ru-RU"/>
              </w:rPr>
            </w:pPr>
            <w:r w:rsidRPr="00554B2D">
              <w:rPr>
                <w:sz w:val="16"/>
                <w:szCs w:val="16"/>
              </w:rPr>
              <w:t>1.77 ± 0.04</w:t>
            </w:r>
            <w:r w:rsidRPr="00554B2D">
              <w:rPr>
                <w:rFonts w:cs="Arial"/>
                <w:sz w:val="16"/>
                <w:szCs w:val="16"/>
              </w:rPr>
              <w:t>ᵃ</w:t>
            </w:r>
          </w:p>
        </w:tc>
        <w:tc>
          <w:tcPr>
            <w:tcW w:w="1134" w:type="dxa"/>
            <w:tcBorders>
              <w:left w:val="single" w:sz="12" w:space="0" w:color="FFFFFF" w:themeColor="background1"/>
              <w:right w:val="single" w:sz="12" w:space="0" w:color="FFFFFF" w:themeColor="background1"/>
            </w:tcBorders>
            <w:hideMark/>
          </w:tcPr>
          <w:p w14:paraId="754BD188" w14:textId="23E0558A" w:rsidR="00554B2D" w:rsidRPr="00554B2D" w:rsidRDefault="00554B2D" w:rsidP="00554B2D">
            <w:pPr>
              <w:pStyle w:val="CETBodytext"/>
              <w:cnfStyle w:val="000000000000" w:firstRow="0" w:lastRow="0" w:firstColumn="0" w:lastColumn="0" w:oddVBand="0" w:evenVBand="0" w:oddHBand="0" w:evenHBand="0" w:firstRowFirstColumn="0" w:firstRowLastColumn="0" w:lastRowFirstColumn="0" w:lastRowLastColumn="0"/>
              <w:rPr>
                <w:i/>
                <w:sz w:val="16"/>
                <w:szCs w:val="16"/>
                <w:lang w:eastAsia="ru-RU"/>
              </w:rPr>
            </w:pPr>
            <w:r w:rsidRPr="00554B2D">
              <w:rPr>
                <w:sz w:val="16"/>
                <w:szCs w:val="16"/>
              </w:rPr>
              <w:t>1.40 ± 0.03</w:t>
            </w:r>
            <w:r w:rsidRPr="00554B2D">
              <w:rPr>
                <w:rFonts w:cs="Arial"/>
                <w:sz w:val="16"/>
                <w:szCs w:val="16"/>
              </w:rPr>
              <w:t>ᵃ</w:t>
            </w:r>
          </w:p>
        </w:tc>
        <w:tc>
          <w:tcPr>
            <w:tcW w:w="1134" w:type="dxa"/>
            <w:tcBorders>
              <w:left w:val="single" w:sz="12" w:space="0" w:color="FFFFFF" w:themeColor="background1"/>
              <w:right w:val="single" w:sz="12" w:space="0" w:color="FFFFFF" w:themeColor="background1"/>
            </w:tcBorders>
            <w:hideMark/>
          </w:tcPr>
          <w:p w14:paraId="78B24550" w14:textId="24709417" w:rsidR="00554B2D" w:rsidRPr="00554B2D" w:rsidRDefault="00554B2D" w:rsidP="00554B2D">
            <w:pPr>
              <w:pStyle w:val="CETBodytext"/>
              <w:cnfStyle w:val="000000000000" w:firstRow="0" w:lastRow="0" w:firstColumn="0" w:lastColumn="0" w:oddVBand="0" w:evenVBand="0" w:oddHBand="0" w:evenHBand="0" w:firstRowFirstColumn="0" w:firstRowLastColumn="0" w:lastRowFirstColumn="0" w:lastRowLastColumn="0"/>
              <w:rPr>
                <w:i/>
                <w:sz w:val="16"/>
                <w:szCs w:val="16"/>
                <w:lang w:eastAsia="ru-RU"/>
              </w:rPr>
            </w:pPr>
            <w:r w:rsidRPr="00554B2D">
              <w:rPr>
                <w:sz w:val="16"/>
                <w:szCs w:val="16"/>
              </w:rPr>
              <w:t>2.10 ± 0.05</w:t>
            </w:r>
            <w:r w:rsidRPr="00554B2D">
              <w:rPr>
                <w:rFonts w:cs="Arial"/>
                <w:sz w:val="16"/>
                <w:szCs w:val="16"/>
              </w:rPr>
              <w:t>ᵃ</w:t>
            </w:r>
          </w:p>
        </w:tc>
        <w:tc>
          <w:tcPr>
            <w:tcW w:w="992" w:type="dxa"/>
            <w:tcBorders>
              <w:left w:val="single" w:sz="12" w:space="0" w:color="FFFFFF" w:themeColor="background1"/>
              <w:right w:val="single" w:sz="12" w:space="0" w:color="FFFFFF" w:themeColor="background1"/>
            </w:tcBorders>
            <w:hideMark/>
          </w:tcPr>
          <w:p w14:paraId="6A1A1874" w14:textId="7CB190B8" w:rsidR="00554B2D" w:rsidRPr="00554B2D" w:rsidRDefault="00554B2D" w:rsidP="00554B2D">
            <w:pPr>
              <w:pStyle w:val="CETBodytext"/>
              <w:cnfStyle w:val="000000000000" w:firstRow="0" w:lastRow="0" w:firstColumn="0" w:lastColumn="0" w:oddVBand="0" w:evenVBand="0" w:oddHBand="0" w:evenHBand="0" w:firstRowFirstColumn="0" w:firstRowLastColumn="0" w:lastRowFirstColumn="0" w:lastRowLastColumn="0"/>
              <w:rPr>
                <w:i/>
                <w:sz w:val="16"/>
                <w:szCs w:val="16"/>
                <w:lang w:eastAsia="ru-RU"/>
              </w:rPr>
            </w:pPr>
            <w:r w:rsidRPr="00554B2D">
              <w:rPr>
                <w:sz w:val="16"/>
                <w:szCs w:val="16"/>
              </w:rPr>
              <w:t>9.8 ± 0.3</w:t>
            </w:r>
            <w:r w:rsidRPr="00554B2D">
              <w:rPr>
                <w:rFonts w:cs="Arial"/>
                <w:sz w:val="16"/>
                <w:szCs w:val="16"/>
              </w:rPr>
              <w:t>ᶜ</w:t>
            </w:r>
          </w:p>
        </w:tc>
        <w:tc>
          <w:tcPr>
            <w:tcW w:w="1127" w:type="dxa"/>
            <w:tcBorders>
              <w:left w:val="single" w:sz="12" w:space="0" w:color="FFFFFF" w:themeColor="background1"/>
              <w:right w:val="single" w:sz="4" w:space="0" w:color="FFFFFF"/>
            </w:tcBorders>
            <w:hideMark/>
          </w:tcPr>
          <w:p w14:paraId="062906DE" w14:textId="6B023001" w:rsidR="00554B2D" w:rsidRPr="00554B2D" w:rsidRDefault="00554B2D" w:rsidP="00554B2D">
            <w:pPr>
              <w:pStyle w:val="CETBodytext"/>
              <w:cnfStyle w:val="000000000000" w:firstRow="0" w:lastRow="0" w:firstColumn="0" w:lastColumn="0" w:oddVBand="0" w:evenVBand="0" w:oddHBand="0" w:evenHBand="0" w:firstRowFirstColumn="0" w:firstRowLastColumn="0" w:lastRowFirstColumn="0" w:lastRowLastColumn="0"/>
              <w:rPr>
                <w:i/>
                <w:sz w:val="16"/>
                <w:szCs w:val="16"/>
                <w:lang w:eastAsia="ru-RU"/>
              </w:rPr>
            </w:pPr>
            <w:r w:rsidRPr="00554B2D">
              <w:rPr>
                <w:sz w:val="16"/>
                <w:szCs w:val="16"/>
              </w:rPr>
              <w:t>1.30 ± 0.04</w:t>
            </w:r>
            <w:r w:rsidRPr="00554B2D">
              <w:rPr>
                <w:rFonts w:cs="Arial"/>
                <w:sz w:val="16"/>
                <w:szCs w:val="16"/>
              </w:rPr>
              <w:t>ᶜ</w:t>
            </w:r>
          </w:p>
        </w:tc>
      </w:tr>
      <w:tr w:rsidR="00554B2D" w:rsidRPr="00554B2D" w14:paraId="5CF05225" w14:textId="77777777" w:rsidTr="00554B2D">
        <w:tc>
          <w:tcPr>
            <w:cnfStyle w:val="001000000000" w:firstRow="0" w:lastRow="0" w:firstColumn="1" w:lastColumn="0" w:oddVBand="0" w:evenVBand="0" w:oddHBand="0" w:evenHBand="0" w:firstRowFirstColumn="0" w:firstRowLastColumn="0" w:lastRowFirstColumn="0" w:lastRowLastColumn="0"/>
            <w:tcW w:w="1129" w:type="dxa"/>
            <w:tcBorders>
              <w:left w:val="single" w:sz="4" w:space="0" w:color="FFFFFF"/>
              <w:right w:val="single" w:sz="12" w:space="0" w:color="FFFFFF" w:themeColor="background1"/>
            </w:tcBorders>
            <w:hideMark/>
          </w:tcPr>
          <w:p w14:paraId="64B1A865" w14:textId="51E94AB3" w:rsidR="00554B2D" w:rsidRPr="00554B2D" w:rsidRDefault="00554B2D" w:rsidP="00554B2D">
            <w:pPr>
              <w:pStyle w:val="CETBodytext"/>
              <w:rPr>
                <w:b w:val="0"/>
                <w:bCs w:val="0"/>
                <w:i/>
                <w:sz w:val="16"/>
                <w:szCs w:val="16"/>
                <w:lang w:eastAsia="ru-RU"/>
              </w:rPr>
            </w:pPr>
            <w:r w:rsidRPr="00554B2D">
              <w:rPr>
                <w:b w:val="0"/>
                <w:bCs w:val="0"/>
                <w:sz w:val="16"/>
                <w:szCs w:val="16"/>
              </w:rPr>
              <w:t xml:space="preserve">Abu </w:t>
            </w:r>
            <w:proofErr w:type="spellStart"/>
            <w:r w:rsidRPr="00554B2D">
              <w:rPr>
                <w:b w:val="0"/>
                <w:bCs w:val="0"/>
                <w:sz w:val="16"/>
                <w:szCs w:val="16"/>
              </w:rPr>
              <w:t>G‘ofur</w:t>
            </w:r>
            <w:proofErr w:type="spellEnd"/>
            <w:r w:rsidRPr="00554B2D">
              <w:rPr>
                <w:b w:val="0"/>
                <w:bCs w:val="0"/>
                <w:sz w:val="16"/>
                <w:szCs w:val="16"/>
              </w:rPr>
              <w:t xml:space="preserve"> barley flour</w:t>
            </w:r>
          </w:p>
        </w:tc>
        <w:tc>
          <w:tcPr>
            <w:tcW w:w="993" w:type="dxa"/>
            <w:tcBorders>
              <w:left w:val="single" w:sz="12" w:space="0" w:color="FFFFFF" w:themeColor="background1"/>
              <w:right w:val="single" w:sz="12" w:space="0" w:color="FFFFFF" w:themeColor="background1"/>
            </w:tcBorders>
            <w:hideMark/>
          </w:tcPr>
          <w:p w14:paraId="0E960AAE" w14:textId="1E7F45BA" w:rsidR="00554B2D" w:rsidRPr="00554B2D" w:rsidRDefault="00554B2D" w:rsidP="00554B2D">
            <w:pPr>
              <w:pStyle w:val="CETBodytext"/>
              <w:cnfStyle w:val="000000000000" w:firstRow="0" w:lastRow="0" w:firstColumn="0" w:lastColumn="0" w:oddVBand="0" w:evenVBand="0" w:oddHBand="0" w:evenHBand="0" w:firstRowFirstColumn="0" w:firstRowLastColumn="0" w:lastRowFirstColumn="0" w:lastRowLastColumn="0"/>
              <w:rPr>
                <w:i/>
                <w:sz w:val="16"/>
                <w:szCs w:val="16"/>
                <w:lang w:eastAsia="ru-RU"/>
              </w:rPr>
            </w:pPr>
            <w:r w:rsidRPr="00554B2D">
              <w:rPr>
                <w:sz w:val="16"/>
                <w:szCs w:val="16"/>
              </w:rPr>
              <w:t>76.4 ± 0.5</w:t>
            </w:r>
            <w:r w:rsidRPr="00554B2D">
              <w:rPr>
                <w:rFonts w:cs="Arial"/>
                <w:sz w:val="16"/>
                <w:szCs w:val="16"/>
              </w:rPr>
              <w:t>ᵃ</w:t>
            </w:r>
          </w:p>
        </w:tc>
        <w:tc>
          <w:tcPr>
            <w:tcW w:w="1134" w:type="dxa"/>
            <w:tcBorders>
              <w:left w:val="single" w:sz="12" w:space="0" w:color="FFFFFF" w:themeColor="background1"/>
              <w:right w:val="single" w:sz="12" w:space="0" w:color="FFFFFF" w:themeColor="background1"/>
            </w:tcBorders>
            <w:hideMark/>
          </w:tcPr>
          <w:p w14:paraId="2D245C7A" w14:textId="646D5025" w:rsidR="00554B2D" w:rsidRPr="00554B2D" w:rsidRDefault="00554B2D" w:rsidP="00554B2D">
            <w:pPr>
              <w:pStyle w:val="CETBodytext"/>
              <w:cnfStyle w:val="000000000000" w:firstRow="0" w:lastRow="0" w:firstColumn="0" w:lastColumn="0" w:oddVBand="0" w:evenVBand="0" w:oddHBand="0" w:evenHBand="0" w:firstRowFirstColumn="0" w:firstRowLastColumn="0" w:lastRowFirstColumn="0" w:lastRowLastColumn="0"/>
              <w:rPr>
                <w:i/>
                <w:sz w:val="16"/>
                <w:szCs w:val="16"/>
                <w:lang w:eastAsia="ru-RU"/>
              </w:rPr>
            </w:pPr>
            <w:r w:rsidRPr="00554B2D">
              <w:rPr>
                <w:sz w:val="16"/>
                <w:szCs w:val="16"/>
              </w:rPr>
              <w:t>0.78 ± 0.03</w:t>
            </w:r>
            <w:r w:rsidRPr="00554B2D">
              <w:rPr>
                <w:rFonts w:cs="Arial"/>
                <w:sz w:val="16"/>
                <w:szCs w:val="16"/>
              </w:rPr>
              <w:t>ᵃ</w:t>
            </w:r>
          </w:p>
        </w:tc>
        <w:tc>
          <w:tcPr>
            <w:tcW w:w="1134" w:type="dxa"/>
            <w:tcBorders>
              <w:left w:val="single" w:sz="12" w:space="0" w:color="FFFFFF" w:themeColor="background1"/>
              <w:right w:val="single" w:sz="12" w:space="0" w:color="FFFFFF" w:themeColor="background1"/>
            </w:tcBorders>
            <w:hideMark/>
          </w:tcPr>
          <w:p w14:paraId="66FC6EB0" w14:textId="6E81E4F5" w:rsidR="00554B2D" w:rsidRPr="00554B2D" w:rsidRDefault="00554B2D" w:rsidP="00554B2D">
            <w:pPr>
              <w:pStyle w:val="CETBodytext"/>
              <w:cnfStyle w:val="000000000000" w:firstRow="0" w:lastRow="0" w:firstColumn="0" w:lastColumn="0" w:oddVBand="0" w:evenVBand="0" w:oddHBand="0" w:evenHBand="0" w:firstRowFirstColumn="0" w:firstRowLastColumn="0" w:lastRowFirstColumn="0" w:lastRowLastColumn="0"/>
              <w:rPr>
                <w:i/>
                <w:sz w:val="16"/>
                <w:szCs w:val="16"/>
                <w:lang w:eastAsia="ru-RU"/>
              </w:rPr>
            </w:pPr>
            <w:r w:rsidRPr="00554B2D">
              <w:rPr>
                <w:sz w:val="16"/>
                <w:szCs w:val="16"/>
              </w:rPr>
              <w:t>1.40 ± 0.03</w:t>
            </w:r>
            <w:r w:rsidRPr="00554B2D">
              <w:rPr>
                <w:rFonts w:cs="Arial"/>
                <w:sz w:val="16"/>
                <w:szCs w:val="16"/>
              </w:rPr>
              <w:t>ᶜ</w:t>
            </w:r>
          </w:p>
        </w:tc>
        <w:tc>
          <w:tcPr>
            <w:tcW w:w="1134" w:type="dxa"/>
            <w:tcBorders>
              <w:left w:val="single" w:sz="12" w:space="0" w:color="FFFFFF" w:themeColor="background1"/>
              <w:right w:val="single" w:sz="12" w:space="0" w:color="FFFFFF" w:themeColor="background1"/>
            </w:tcBorders>
            <w:hideMark/>
          </w:tcPr>
          <w:p w14:paraId="7D2F42E1" w14:textId="20371DAE" w:rsidR="00554B2D" w:rsidRPr="00554B2D" w:rsidRDefault="00554B2D" w:rsidP="00554B2D">
            <w:pPr>
              <w:pStyle w:val="CETBodytext"/>
              <w:cnfStyle w:val="000000000000" w:firstRow="0" w:lastRow="0" w:firstColumn="0" w:lastColumn="0" w:oddVBand="0" w:evenVBand="0" w:oddHBand="0" w:evenHBand="0" w:firstRowFirstColumn="0" w:firstRowLastColumn="0" w:lastRowFirstColumn="0" w:lastRowLastColumn="0"/>
              <w:rPr>
                <w:i/>
                <w:sz w:val="16"/>
                <w:szCs w:val="16"/>
                <w:lang w:eastAsia="ru-RU"/>
              </w:rPr>
            </w:pPr>
            <w:r w:rsidRPr="00554B2D">
              <w:rPr>
                <w:sz w:val="16"/>
                <w:szCs w:val="16"/>
              </w:rPr>
              <w:t>1.38 ± 0.03</w:t>
            </w:r>
            <w:r w:rsidRPr="00554B2D">
              <w:rPr>
                <w:rFonts w:cs="Arial"/>
                <w:sz w:val="16"/>
                <w:szCs w:val="16"/>
              </w:rPr>
              <w:t>ᵃ</w:t>
            </w:r>
          </w:p>
        </w:tc>
        <w:tc>
          <w:tcPr>
            <w:tcW w:w="1134" w:type="dxa"/>
            <w:tcBorders>
              <w:left w:val="single" w:sz="12" w:space="0" w:color="FFFFFF" w:themeColor="background1"/>
              <w:right w:val="single" w:sz="12" w:space="0" w:color="FFFFFF" w:themeColor="background1"/>
            </w:tcBorders>
            <w:hideMark/>
          </w:tcPr>
          <w:p w14:paraId="1925B5FD" w14:textId="5938BA22" w:rsidR="00554B2D" w:rsidRPr="00554B2D" w:rsidRDefault="00554B2D" w:rsidP="00554B2D">
            <w:pPr>
              <w:pStyle w:val="CETBodytext"/>
              <w:cnfStyle w:val="000000000000" w:firstRow="0" w:lastRow="0" w:firstColumn="0" w:lastColumn="0" w:oddVBand="0" w:evenVBand="0" w:oddHBand="0" w:evenHBand="0" w:firstRowFirstColumn="0" w:firstRowLastColumn="0" w:lastRowFirstColumn="0" w:lastRowLastColumn="0"/>
              <w:rPr>
                <w:i/>
                <w:sz w:val="16"/>
                <w:szCs w:val="16"/>
                <w:lang w:eastAsia="ru-RU"/>
              </w:rPr>
            </w:pPr>
            <w:r w:rsidRPr="00554B2D">
              <w:rPr>
                <w:sz w:val="16"/>
                <w:szCs w:val="16"/>
              </w:rPr>
              <w:t>1.84 ± 0.04</w:t>
            </w:r>
            <w:r w:rsidRPr="00554B2D">
              <w:rPr>
                <w:rFonts w:cs="Arial"/>
                <w:sz w:val="16"/>
                <w:szCs w:val="16"/>
              </w:rPr>
              <w:t>ᶜ</w:t>
            </w:r>
          </w:p>
        </w:tc>
        <w:tc>
          <w:tcPr>
            <w:tcW w:w="992" w:type="dxa"/>
            <w:tcBorders>
              <w:left w:val="single" w:sz="12" w:space="0" w:color="FFFFFF" w:themeColor="background1"/>
              <w:right w:val="single" w:sz="12" w:space="0" w:color="FFFFFF" w:themeColor="background1"/>
            </w:tcBorders>
            <w:hideMark/>
          </w:tcPr>
          <w:p w14:paraId="56C37550" w14:textId="510A8A55" w:rsidR="00554B2D" w:rsidRPr="00554B2D" w:rsidRDefault="00554B2D" w:rsidP="00554B2D">
            <w:pPr>
              <w:pStyle w:val="CETBodytext"/>
              <w:cnfStyle w:val="000000000000" w:firstRow="0" w:lastRow="0" w:firstColumn="0" w:lastColumn="0" w:oddVBand="0" w:evenVBand="0" w:oddHBand="0" w:evenHBand="0" w:firstRowFirstColumn="0" w:firstRowLastColumn="0" w:lastRowFirstColumn="0" w:lastRowLastColumn="0"/>
              <w:rPr>
                <w:i/>
                <w:sz w:val="16"/>
                <w:szCs w:val="16"/>
                <w:lang w:eastAsia="ru-RU"/>
              </w:rPr>
            </w:pPr>
            <w:r w:rsidRPr="00554B2D">
              <w:rPr>
                <w:sz w:val="16"/>
                <w:szCs w:val="16"/>
              </w:rPr>
              <w:t>11.5 ± 0.4</w:t>
            </w:r>
            <w:r w:rsidRPr="00554B2D">
              <w:rPr>
                <w:rFonts w:cs="Arial"/>
                <w:sz w:val="16"/>
                <w:szCs w:val="16"/>
              </w:rPr>
              <w:t>ᵃ</w:t>
            </w:r>
          </w:p>
        </w:tc>
        <w:tc>
          <w:tcPr>
            <w:tcW w:w="1127" w:type="dxa"/>
            <w:tcBorders>
              <w:left w:val="single" w:sz="12" w:space="0" w:color="FFFFFF" w:themeColor="background1"/>
              <w:right w:val="single" w:sz="4" w:space="0" w:color="FFFFFF"/>
            </w:tcBorders>
            <w:hideMark/>
          </w:tcPr>
          <w:p w14:paraId="23786611" w14:textId="1F6A364F" w:rsidR="00554B2D" w:rsidRPr="00554B2D" w:rsidRDefault="00554B2D" w:rsidP="00554B2D">
            <w:pPr>
              <w:pStyle w:val="CETBodytext"/>
              <w:cnfStyle w:val="000000000000" w:firstRow="0" w:lastRow="0" w:firstColumn="0" w:lastColumn="0" w:oddVBand="0" w:evenVBand="0" w:oddHBand="0" w:evenHBand="0" w:firstRowFirstColumn="0" w:firstRowLastColumn="0" w:lastRowFirstColumn="0" w:lastRowLastColumn="0"/>
              <w:rPr>
                <w:i/>
                <w:sz w:val="16"/>
                <w:szCs w:val="16"/>
                <w:lang w:eastAsia="ru-RU"/>
              </w:rPr>
            </w:pPr>
            <w:r w:rsidRPr="00554B2D">
              <w:rPr>
                <w:sz w:val="16"/>
                <w:szCs w:val="16"/>
              </w:rPr>
              <w:t>1.70 ± 0.05</w:t>
            </w:r>
            <w:r w:rsidRPr="00554B2D">
              <w:rPr>
                <w:rFonts w:cs="Arial"/>
                <w:sz w:val="16"/>
                <w:szCs w:val="16"/>
              </w:rPr>
              <w:t>ᵃ</w:t>
            </w:r>
          </w:p>
        </w:tc>
      </w:tr>
      <w:tr w:rsidR="00554B2D" w:rsidRPr="00554B2D" w14:paraId="716D7B50" w14:textId="77777777" w:rsidTr="00554B2D">
        <w:tc>
          <w:tcPr>
            <w:cnfStyle w:val="001000000000" w:firstRow="0" w:lastRow="0" w:firstColumn="1" w:lastColumn="0" w:oddVBand="0" w:evenVBand="0" w:oddHBand="0" w:evenHBand="0" w:firstRowFirstColumn="0" w:firstRowLastColumn="0" w:lastRowFirstColumn="0" w:lastRowLastColumn="0"/>
            <w:tcW w:w="1129" w:type="dxa"/>
            <w:tcBorders>
              <w:left w:val="single" w:sz="4" w:space="0" w:color="FFFFFF"/>
              <w:bottom w:val="single" w:sz="12" w:space="0" w:color="92D050"/>
              <w:right w:val="single" w:sz="12" w:space="0" w:color="FFFFFF" w:themeColor="background1"/>
            </w:tcBorders>
            <w:hideMark/>
          </w:tcPr>
          <w:p w14:paraId="0A8C4995" w14:textId="7A84A0EC" w:rsidR="00554B2D" w:rsidRPr="00554B2D" w:rsidRDefault="00554B2D" w:rsidP="00554B2D">
            <w:pPr>
              <w:pStyle w:val="CETBodytext"/>
              <w:rPr>
                <w:b w:val="0"/>
                <w:bCs w:val="0"/>
                <w:i/>
                <w:sz w:val="16"/>
                <w:szCs w:val="16"/>
                <w:lang w:eastAsia="ru-RU"/>
              </w:rPr>
            </w:pPr>
            <w:r w:rsidRPr="00554B2D">
              <w:rPr>
                <w:b w:val="0"/>
                <w:bCs w:val="0"/>
                <w:sz w:val="16"/>
                <w:szCs w:val="16"/>
              </w:rPr>
              <w:t>HM-140 barley flour</w:t>
            </w:r>
          </w:p>
        </w:tc>
        <w:tc>
          <w:tcPr>
            <w:tcW w:w="993" w:type="dxa"/>
            <w:tcBorders>
              <w:left w:val="single" w:sz="12" w:space="0" w:color="FFFFFF" w:themeColor="background1"/>
              <w:bottom w:val="single" w:sz="12" w:space="0" w:color="92D050"/>
              <w:right w:val="single" w:sz="12" w:space="0" w:color="FFFFFF" w:themeColor="background1"/>
            </w:tcBorders>
            <w:hideMark/>
          </w:tcPr>
          <w:p w14:paraId="42EFA16F" w14:textId="271FA2EF" w:rsidR="00554B2D" w:rsidRPr="00554B2D" w:rsidRDefault="00554B2D" w:rsidP="00554B2D">
            <w:pPr>
              <w:pStyle w:val="CETBodytext"/>
              <w:cnfStyle w:val="000000000000" w:firstRow="0" w:lastRow="0" w:firstColumn="0" w:lastColumn="0" w:oddVBand="0" w:evenVBand="0" w:oddHBand="0" w:evenHBand="0" w:firstRowFirstColumn="0" w:firstRowLastColumn="0" w:lastRowFirstColumn="0" w:lastRowLastColumn="0"/>
              <w:rPr>
                <w:i/>
                <w:sz w:val="16"/>
                <w:szCs w:val="16"/>
                <w:lang w:eastAsia="ru-RU"/>
              </w:rPr>
            </w:pPr>
            <w:r w:rsidRPr="00554B2D">
              <w:rPr>
                <w:sz w:val="16"/>
                <w:szCs w:val="16"/>
              </w:rPr>
              <w:t>70.1 ± 0.4</w:t>
            </w:r>
            <w:r w:rsidRPr="00554B2D">
              <w:rPr>
                <w:rFonts w:cs="Arial"/>
                <w:sz w:val="16"/>
                <w:szCs w:val="16"/>
              </w:rPr>
              <w:t>ᵇ</w:t>
            </w:r>
          </w:p>
        </w:tc>
        <w:tc>
          <w:tcPr>
            <w:tcW w:w="1134" w:type="dxa"/>
            <w:tcBorders>
              <w:left w:val="single" w:sz="12" w:space="0" w:color="FFFFFF" w:themeColor="background1"/>
              <w:bottom w:val="single" w:sz="12" w:space="0" w:color="92D050"/>
              <w:right w:val="single" w:sz="12" w:space="0" w:color="FFFFFF" w:themeColor="background1"/>
            </w:tcBorders>
            <w:hideMark/>
          </w:tcPr>
          <w:p w14:paraId="7E110406" w14:textId="23D3F2B4" w:rsidR="00554B2D" w:rsidRPr="00554B2D" w:rsidRDefault="00554B2D" w:rsidP="00554B2D">
            <w:pPr>
              <w:pStyle w:val="CETBodytext"/>
              <w:cnfStyle w:val="000000000000" w:firstRow="0" w:lastRow="0" w:firstColumn="0" w:lastColumn="0" w:oddVBand="0" w:evenVBand="0" w:oddHBand="0" w:evenHBand="0" w:firstRowFirstColumn="0" w:firstRowLastColumn="0" w:lastRowFirstColumn="0" w:lastRowLastColumn="0"/>
              <w:rPr>
                <w:i/>
                <w:sz w:val="16"/>
                <w:szCs w:val="16"/>
                <w:lang w:eastAsia="ru-RU"/>
              </w:rPr>
            </w:pPr>
            <w:r w:rsidRPr="00554B2D">
              <w:rPr>
                <w:sz w:val="16"/>
                <w:szCs w:val="16"/>
              </w:rPr>
              <w:t>0.60 ± 0.02</w:t>
            </w:r>
            <w:r w:rsidRPr="00554B2D">
              <w:rPr>
                <w:rFonts w:cs="Arial"/>
                <w:sz w:val="16"/>
                <w:szCs w:val="16"/>
              </w:rPr>
              <w:t>ᵇ</w:t>
            </w:r>
          </w:p>
        </w:tc>
        <w:tc>
          <w:tcPr>
            <w:tcW w:w="1134" w:type="dxa"/>
            <w:tcBorders>
              <w:left w:val="single" w:sz="12" w:space="0" w:color="FFFFFF" w:themeColor="background1"/>
              <w:bottom w:val="single" w:sz="12" w:space="0" w:color="92D050"/>
              <w:right w:val="single" w:sz="12" w:space="0" w:color="FFFFFF" w:themeColor="background1"/>
            </w:tcBorders>
            <w:hideMark/>
          </w:tcPr>
          <w:p w14:paraId="6DD45F2D" w14:textId="0529F4B6" w:rsidR="00554B2D" w:rsidRPr="00554B2D" w:rsidRDefault="00554B2D" w:rsidP="00554B2D">
            <w:pPr>
              <w:pStyle w:val="CETBodytext"/>
              <w:cnfStyle w:val="000000000000" w:firstRow="0" w:lastRow="0" w:firstColumn="0" w:lastColumn="0" w:oddVBand="0" w:evenVBand="0" w:oddHBand="0" w:evenHBand="0" w:firstRowFirstColumn="0" w:firstRowLastColumn="0" w:lastRowFirstColumn="0" w:lastRowLastColumn="0"/>
              <w:rPr>
                <w:i/>
                <w:sz w:val="16"/>
                <w:szCs w:val="16"/>
                <w:lang w:eastAsia="ru-RU"/>
              </w:rPr>
            </w:pPr>
            <w:r w:rsidRPr="00554B2D">
              <w:rPr>
                <w:sz w:val="16"/>
                <w:szCs w:val="16"/>
              </w:rPr>
              <w:t>1.70 ± 0.04</w:t>
            </w:r>
            <w:r w:rsidRPr="00554B2D">
              <w:rPr>
                <w:rFonts w:cs="Arial"/>
                <w:sz w:val="16"/>
                <w:szCs w:val="16"/>
              </w:rPr>
              <w:t>ᵇ</w:t>
            </w:r>
          </w:p>
        </w:tc>
        <w:tc>
          <w:tcPr>
            <w:tcW w:w="1134" w:type="dxa"/>
            <w:tcBorders>
              <w:left w:val="single" w:sz="12" w:space="0" w:color="FFFFFF" w:themeColor="background1"/>
              <w:bottom w:val="single" w:sz="12" w:space="0" w:color="92D050"/>
              <w:right w:val="single" w:sz="12" w:space="0" w:color="FFFFFF" w:themeColor="background1"/>
            </w:tcBorders>
            <w:hideMark/>
          </w:tcPr>
          <w:p w14:paraId="07542B13" w14:textId="7C7CAD53" w:rsidR="00554B2D" w:rsidRPr="00554B2D" w:rsidRDefault="00554B2D" w:rsidP="00554B2D">
            <w:pPr>
              <w:pStyle w:val="CETBodytext"/>
              <w:cnfStyle w:val="000000000000" w:firstRow="0" w:lastRow="0" w:firstColumn="0" w:lastColumn="0" w:oddVBand="0" w:evenVBand="0" w:oddHBand="0" w:evenHBand="0" w:firstRowFirstColumn="0" w:firstRowLastColumn="0" w:lastRowFirstColumn="0" w:lastRowLastColumn="0"/>
              <w:rPr>
                <w:i/>
                <w:sz w:val="16"/>
                <w:szCs w:val="16"/>
                <w:lang w:eastAsia="ru-RU"/>
              </w:rPr>
            </w:pPr>
            <w:r w:rsidRPr="00554B2D">
              <w:rPr>
                <w:sz w:val="16"/>
                <w:szCs w:val="16"/>
              </w:rPr>
              <w:t>1.41 ± 0.03</w:t>
            </w:r>
            <w:r w:rsidRPr="00554B2D">
              <w:rPr>
                <w:rFonts w:cs="Arial"/>
                <w:sz w:val="16"/>
                <w:szCs w:val="16"/>
              </w:rPr>
              <w:t>ᵃ</w:t>
            </w:r>
          </w:p>
        </w:tc>
        <w:tc>
          <w:tcPr>
            <w:tcW w:w="1134" w:type="dxa"/>
            <w:tcBorders>
              <w:left w:val="single" w:sz="12" w:space="0" w:color="FFFFFF" w:themeColor="background1"/>
              <w:bottom w:val="single" w:sz="12" w:space="0" w:color="92D050"/>
              <w:right w:val="single" w:sz="12" w:space="0" w:color="FFFFFF" w:themeColor="background1"/>
            </w:tcBorders>
            <w:hideMark/>
          </w:tcPr>
          <w:p w14:paraId="430536C4" w14:textId="160DDFD0" w:rsidR="00554B2D" w:rsidRPr="00554B2D" w:rsidRDefault="00554B2D" w:rsidP="00554B2D">
            <w:pPr>
              <w:pStyle w:val="CETBodytext"/>
              <w:cnfStyle w:val="000000000000" w:firstRow="0" w:lastRow="0" w:firstColumn="0" w:lastColumn="0" w:oddVBand="0" w:evenVBand="0" w:oddHBand="0" w:evenHBand="0" w:firstRowFirstColumn="0" w:firstRowLastColumn="0" w:lastRowFirstColumn="0" w:lastRowLastColumn="0"/>
              <w:rPr>
                <w:i/>
                <w:sz w:val="16"/>
                <w:szCs w:val="16"/>
                <w:lang w:eastAsia="ru-RU"/>
              </w:rPr>
            </w:pPr>
            <w:r w:rsidRPr="00554B2D">
              <w:rPr>
                <w:sz w:val="16"/>
                <w:szCs w:val="16"/>
              </w:rPr>
              <w:t>1.98 ± 0.04</w:t>
            </w:r>
            <w:r w:rsidRPr="00554B2D">
              <w:rPr>
                <w:rFonts w:cs="Arial"/>
                <w:sz w:val="16"/>
                <w:szCs w:val="16"/>
              </w:rPr>
              <w:t>ᵇ</w:t>
            </w:r>
          </w:p>
        </w:tc>
        <w:tc>
          <w:tcPr>
            <w:tcW w:w="992" w:type="dxa"/>
            <w:tcBorders>
              <w:left w:val="single" w:sz="12" w:space="0" w:color="FFFFFF" w:themeColor="background1"/>
              <w:bottom w:val="single" w:sz="12" w:space="0" w:color="92D050"/>
              <w:right w:val="single" w:sz="12" w:space="0" w:color="FFFFFF" w:themeColor="background1"/>
            </w:tcBorders>
            <w:hideMark/>
          </w:tcPr>
          <w:p w14:paraId="3A12E641" w14:textId="6CD608D8" w:rsidR="00554B2D" w:rsidRPr="00554B2D" w:rsidRDefault="00554B2D" w:rsidP="00554B2D">
            <w:pPr>
              <w:pStyle w:val="CETBodytext"/>
              <w:cnfStyle w:val="000000000000" w:firstRow="0" w:lastRow="0" w:firstColumn="0" w:lastColumn="0" w:oddVBand="0" w:evenVBand="0" w:oddHBand="0" w:evenHBand="0" w:firstRowFirstColumn="0" w:firstRowLastColumn="0" w:lastRowFirstColumn="0" w:lastRowLastColumn="0"/>
              <w:rPr>
                <w:i/>
                <w:sz w:val="16"/>
                <w:szCs w:val="16"/>
                <w:lang w:eastAsia="ru-RU"/>
              </w:rPr>
            </w:pPr>
            <w:r w:rsidRPr="00554B2D">
              <w:rPr>
                <w:sz w:val="16"/>
                <w:szCs w:val="16"/>
              </w:rPr>
              <w:t>10.2 ± 0.3</w:t>
            </w:r>
            <w:r w:rsidRPr="00554B2D">
              <w:rPr>
                <w:rFonts w:cs="Arial"/>
                <w:sz w:val="16"/>
                <w:szCs w:val="16"/>
              </w:rPr>
              <w:t>ᵇ</w:t>
            </w:r>
          </w:p>
        </w:tc>
        <w:tc>
          <w:tcPr>
            <w:tcW w:w="1127" w:type="dxa"/>
            <w:tcBorders>
              <w:left w:val="single" w:sz="12" w:space="0" w:color="FFFFFF" w:themeColor="background1"/>
              <w:bottom w:val="single" w:sz="12" w:space="0" w:color="92D050"/>
              <w:right w:val="single" w:sz="4" w:space="0" w:color="FFFFFF"/>
            </w:tcBorders>
            <w:hideMark/>
          </w:tcPr>
          <w:p w14:paraId="0218186B" w14:textId="263C69A6" w:rsidR="00554B2D" w:rsidRPr="00554B2D" w:rsidRDefault="00554B2D" w:rsidP="00554B2D">
            <w:pPr>
              <w:pStyle w:val="CETBodytext"/>
              <w:cnfStyle w:val="000000000000" w:firstRow="0" w:lastRow="0" w:firstColumn="0" w:lastColumn="0" w:oddVBand="0" w:evenVBand="0" w:oddHBand="0" w:evenHBand="0" w:firstRowFirstColumn="0" w:firstRowLastColumn="0" w:lastRowFirstColumn="0" w:lastRowLastColumn="0"/>
              <w:rPr>
                <w:i/>
                <w:sz w:val="16"/>
                <w:szCs w:val="16"/>
                <w:lang w:eastAsia="ru-RU"/>
              </w:rPr>
            </w:pPr>
            <w:r w:rsidRPr="00554B2D">
              <w:rPr>
                <w:sz w:val="16"/>
                <w:szCs w:val="16"/>
              </w:rPr>
              <w:t>1.41 ± 0.04</w:t>
            </w:r>
            <w:r w:rsidRPr="00554B2D">
              <w:rPr>
                <w:rFonts w:cs="Arial"/>
                <w:sz w:val="16"/>
                <w:szCs w:val="16"/>
              </w:rPr>
              <w:t>ᵇ</w:t>
            </w:r>
          </w:p>
        </w:tc>
      </w:tr>
    </w:tbl>
    <w:p w14:paraId="32AC05A6" w14:textId="43F97BDD" w:rsidR="00554B2D" w:rsidRPr="00365650" w:rsidRDefault="00554B2D" w:rsidP="000E075A">
      <w:pPr>
        <w:pStyle w:val="CETBodytext"/>
        <w:rPr>
          <w:i/>
          <w:iCs/>
          <w:sz w:val="16"/>
          <w:szCs w:val="16"/>
          <w:lang w:val="en-GB"/>
        </w:rPr>
      </w:pPr>
      <w:r w:rsidRPr="00365650">
        <w:rPr>
          <w:i/>
          <w:iCs/>
          <w:sz w:val="16"/>
          <w:szCs w:val="16"/>
          <w:lang w:val="en-GB"/>
        </w:rPr>
        <w:t>Values are expressed as mean ± standard deviation (n = 3). Different superscript letters within the same column indicate statistically significant differences at p &lt; 0.05. WA — water absorption capacity.</w:t>
      </w:r>
    </w:p>
    <w:p w14:paraId="3AE7EA37" w14:textId="77777777" w:rsidR="00554B2D" w:rsidRDefault="00554B2D" w:rsidP="000E075A">
      <w:pPr>
        <w:pStyle w:val="CETBodytext"/>
      </w:pPr>
    </w:p>
    <w:p w14:paraId="29FC7C63" w14:textId="7F9752D1" w:rsidR="009448A7" w:rsidRPr="000E075A" w:rsidRDefault="00AC7CC6" w:rsidP="000E075A">
      <w:pPr>
        <w:pStyle w:val="CETBodytext"/>
      </w:pPr>
      <w:r w:rsidRPr="00AC7CC6">
        <w:rPr>
          <w:lang w:val="en-GB"/>
        </w:rPr>
        <w:t xml:space="preserve">The rheological analysis showed that barley flours had higher dough stability than wheat flour, ranging from 10.2 to 11.5 min. Abu </w:t>
      </w:r>
      <w:proofErr w:type="spellStart"/>
      <w:r w:rsidRPr="00AC7CC6">
        <w:rPr>
          <w:lang w:val="en-GB"/>
        </w:rPr>
        <w:t>G‘ofur</w:t>
      </w:r>
      <w:proofErr w:type="spellEnd"/>
      <w:r w:rsidRPr="00AC7CC6">
        <w:rPr>
          <w:lang w:val="en-GB"/>
        </w:rPr>
        <w:t xml:space="preserve"> showed the highest stability (11.5 min), followed by HM-140 (10.2 min), confirming their suitability for confectionery products. Higher C2 values indicated improved protein thermal stability, while the C3 value of HM-140 (1.70 Nm) reflected strong starch swelling and gelatinization. The C3–C2 difference (1.41–1.70 Nm) further confirmed intensive gelatinization in barley dough. Thus, heat-moisture-treated barley flours can improve technological functionality, texture, and structure, especially in sugar-free cookies where reduced gluten strength is beneficial (Li et al., 2018).</w:t>
      </w:r>
    </w:p>
    <w:p w14:paraId="7265465C" w14:textId="3788FD21" w:rsidR="009448A7" w:rsidRPr="009448A7" w:rsidRDefault="009448A7" w:rsidP="000E075A">
      <w:pPr>
        <w:pStyle w:val="CETheadingx"/>
      </w:pPr>
      <w:r w:rsidRPr="009448A7">
        <w:t xml:space="preserve">3.3 </w:t>
      </w:r>
      <w:r w:rsidR="008E063A">
        <w:t>Dietary fiber</w:t>
      </w:r>
      <w:r w:rsidRPr="009448A7">
        <w:t xml:space="preserve"> and </w:t>
      </w:r>
      <w:r w:rsidR="00E01151">
        <w:t>glycemic</w:t>
      </w:r>
      <w:r w:rsidRPr="009448A7">
        <w:t xml:space="preserve"> response of sugar-free cookies</w:t>
      </w:r>
    </w:p>
    <w:p w14:paraId="209358C5" w14:textId="77777777" w:rsidR="007F265D" w:rsidRPr="000E075A" w:rsidRDefault="000C3079" w:rsidP="000E075A">
      <w:pPr>
        <w:pStyle w:val="CETBodytext"/>
      </w:pPr>
      <w:r w:rsidRPr="000E075A">
        <w:t>Enriching sugar-free cookies with barley flour significantly increased their nutritional value, particularly the dietary fiber content.</w:t>
      </w:r>
    </w:p>
    <w:p w14:paraId="04AE5FC9" w14:textId="432ACCDB" w:rsidR="000C3079" w:rsidRPr="00601CE9" w:rsidRDefault="000C3079" w:rsidP="000E075A">
      <w:pPr>
        <w:pStyle w:val="CETTabletitle"/>
        <w:rPr>
          <w:rFonts w:eastAsia="Aptos"/>
        </w:rPr>
      </w:pPr>
      <w:r w:rsidRPr="00601CE9">
        <w:rPr>
          <w:rFonts w:eastAsia="Aptos"/>
        </w:rPr>
        <w:t>Table</w:t>
      </w:r>
      <w:r w:rsidR="00CA2151">
        <w:rPr>
          <w:rFonts w:eastAsia="Aptos"/>
        </w:rPr>
        <w:t xml:space="preserve"> 3:</w:t>
      </w:r>
      <w:r w:rsidRPr="00601CE9">
        <w:rPr>
          <w:rFonts w:eastAsia="Aptos"/>
        </w:rPr>
        <w:t xml:space="preserve"> Dietary </w:t>
      </w:r>
      <w:proofErr w:type="spellStart"/>
      <w:r w:rsidRPr="00601CE9">
        <w:rPr>
          <w:rFonts w:eastAsia="Aptos"/>
        </w:rPr>
        <w:t>fiber</w:t>
      </w:r>
      <w:proofErr w:type="spellEnd"/>
      <w:r w:rsidRPr="00601CE9">
        <w:rPr>
          <w:rFonts w:eastAsia="Aptos"/>
        </w:rPr>
        <w:t xml:space="preserve"> content of cookie samples prepared from barley and wheat flours</w:t>
      </w:r>
    </w:p>
    <w:tbl>
      <w:tblPr>
        <w:tblStyle w:val="-164"/>
        <w:tblW w:w="0" w:type="auto"/>
        <w:tblLook w:val="04A0" w:firstRow="1" w:lastRow="0" w:firstColumn="1" w:lastColumn="0" w:noHBand="0" w:noVBand="1"/>
      </w:tblPr>
      <w:tblGrid>
        <w:gridCol w:w="2257"/>
        <w:gridCol w:w="2167"/>
        <w:gridCol w:w="1283"/>
        <w:gridCol w:w="1283"/>
      </w:tblGrid>
      <w:tr w:rsidR="000C3079" w:rsidRPr="000E075A" w14:paraId="134F0309" w14:textId="77777777" w:rsidTr="00A45DD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12" w:space="0" w:color="92D050"/>
              <w:left w:val="single" w:sz="4" w:space="0" w:color="FFFFFF"/>
              <w:right w:val="single" w:sz="12" w:space="0" w:color="FFFFFF" w:themeColor="background1"/>
            </w:tcBorders>
            <w:hideMark/>
          </w:tcPr>
          <w:p w14:paraId="309D4A42" w14:textId="77777777" w:rsidR="000C3079" w:rsidRPr="000E075A" w:rsidRDefault="000C3079" w:rsidP="000753B9">
            <w:pPr>
              <w:pStyle w:val="CETBodytext"/>
              <w:rPr>
                <w:i/>
                <w:lang w:eastAsia="ru-RU"/>
              </w:rPr>
            </w:pPr>
            <w:r w:rsidRPr="000E075A">
              <w:rPr>
                <w:lang w:eastAsia="ru-RU"/>
              </w:rPr>
              <w:t>Samples</w:t>
            </w:r>
          </w:p>
        </w:tc>
        <w:tc>
          <w:tcPr>
            <w:tcW w:w="0" w:type="auto"/>
            <w:tcBorders>
              <w:top w:val="single" w:sz="12" w:space="0" w:color="92D050"/>
              <w:left w:val="single" w:sz="12" w:space="0" w:color="FFFFFF" w:themeColor="background1"/>
              <w:right w:val="single" w:sz="12" w:space="0" w:color="FFFFFF" w:themeColor="background1"/>
            </w:tcBorders>
            <w:hideMark/>
          </w:tcPr>
          <w:p w14:paraId="1D368E36" w14:textId="77777777" w:rsidR="000C3079" w:rsidRPr="000E075A" w:rsidRDefault="000C3079" w:rsidP="000753B9">
            <w:pPr>
              <w:pStyle w:val="CETBodytext"/>
              <w:cnfStyle w:val="100000000000" w:firstRow="1" w:lastRow="0" w:firstColumn="0" w:lastColumn="0" w:oddVBand="0" w:evenVBand="0" w:oddHBand="0" w:evenHBand="0" w:firstRowFirstColumn="0" w:firstRowLastColumn="0" w:lastRowFirstColumn="0" w:lastRowLastColumn="0"/>
              <w:rPr>
                <w:i/>
                <w:lang w:eastAsia="ru-RU"/>
              </w:rPr>
            </w:pPr>
            <w:r w:rsidRPr="000E075A">
              <w:rPr>
                <w:lang w:eastAsia="ru-RU"/>
              </w:rPr>
              <w:t>First-grade wheat flour</w:t>
            </w:r>
          </w:p>
        </w:tc>
        <w:tc>
          <w:tcPr>
            <w:tcW w:w="0" w:type="auto"/>
            <w:tcBorders>
              <w:top w:val="single" w:sz="12" w:space="0" w:color="92D050"/>
              <w:left w:val="single" w:sz="12" w:space="0" w:color="FFFFFF" w:themeColor="background1"/>
              <w:right w:val="single" w:sz="12" w:space="0" w:color="FFFFFF" w:themeColor="background1"/>
            </w:tcBorders>
            <w:hideMark/>
          </w:tcPr>
          <w:p w14:paraId="50FA64FD" w14:textId="4491333B" w:rsidR="000C3079" w:rsidRPr="000E075A" w:rsidRDefault="00D94474" w:rsidP="000753B9">
            <w:pPr>
              <w:pStyle w:val="CETBodytext"/>
              <w:cnfStyle w:val="100000000000" w:firstRow="1" w:lastRow="0" w:firstColumn="0" w:lastColumn="0" w:oddVBand="0" w:evenVBand="0" w:oddHBand="0" w:evenHBand="0" w:firstRowFirstColumn="0" w:firstRowLastColumn="0" w:lastRowFirstColumn="0" w:lastRowLastColumn="0"/>
              <w:rPr>
                <w:i/>
                <w:lang w:eastAsia="ru-RU"/>
              </w:rPr>
            </w:pPr>
            <w:r w:rsidRPr="000E075A">
              <w:rPr>
                <w:lang w:eastAsia="ru-RU"/>
              </w:rPr>
              <w:t xml:space="preserve">Abu </w:t>
            </w:r>
            <w:proofErr w:type="spellStart"/>
            <w:r w:rsidRPr="000E075A">
              <w:rPr>
                <w:lang w:eastAsia="ru-RU"/>
              </w:rPr>
              <w:t>G‘ofur</w:t>
            </w:r>
            <w:proofErr w:type="spellEnd"/>
          </w:p>
        </w:tc>
        <w:tc>
          <w:tcPr>
            <w:tcW w:w="0" w:type="auto"/>
            <w:tcBorders>
              <w:top w:val="single" w:sz="12" w:space="0" w:color="92D050"/>
              <w:left w:val="single" w:sz="12" w:space="0" w:color="FFFFFF" w:themeColor="background1"/>
              <w:right w:val="single" w:sz="4" w:space="0" w:color="FFFFFF"/>
            </w:tcBorders>
            <w:hideMark/>
          </w:tcPr>
          <w:p w14:paraId="310120AB" w14:textId="77777777" w:rsidR="000C3079" w:rsidRPr="000E075A" w:rsidRDefault="000C3079" w:rsidP="000753B9">
            <w:pPr>
              <w:pStyle w:val="CETBodytext"/>
              <w:cnfStyle w:val="100000000000" w:firstRow="1" w:lastRow="0" w:firstColumn="0" w:lastColumn="0" w:oddVBand="0" w:evenVBand="0" w:oddHBand="0" w:evenHBand="0" w:firstRowFirstColumn="0" w:firstRowLastColumn="0" w:lastRowFirstColumn="0" w:lastRowLastColumn="0"/>
              <w:rPr>
                <w:i/>
                <w:lang w:eastAsia="ru-RU"/>
              </w:rPr>
            </w:pPr>
            <w:r w:rsidRPr="000E075A">
              <w:rPr>
                <w:lang w:eastAsia="ru-RU"/>
              </w:rPr>
              <w:t>HM-140</w:t>
            </w:r>
          </w:p>
        </w:tc>
      </w:tr>
      <w:tr w:rsidR="00B63ECB" w:rsidRPr="000E075A" w14:paraId="659FAC73" w14:textId="77777777" w:rsidTr="00753DB0">
        <w:tc>
          <w:tcPr>
            <w:cnfStyle w:val="001000000000" w:firstRow="0" w:lastRow="0" w:firstColumn="1" w:lastColumn="0" w:oddVBand="0" w:evenVBand="0" w:oddHBand="0" w:evenHBand="0" w:firstRowFirstColumn="0" w:firstRowLastColumn="0" w:lastRowFirstColumn="0" w:lastRowLastColumn="0"/>
            <w:tcW w:w="0" w:type="auto"/>
            <w:tcBorders>
              <w:left w:val="single" w:sz="4" w:space="0" w:color="FFFFFF"/>
              <w:right w:val="single" w:sz="12" w:space="0" w:color="FFFFFF" w:themeColor="background1"/>
            </w:tcBorders>
            <w:hideMark/>
          </w:tcPr>
          <w:p w14:paraId="59342B9D" w14:textId="390EC3D2" w:rsidR="00B63ECB" w:rsidRPr="00B63ECB" w:rsidRDefault="00B63ECB" w:rsidP="00B63ECB">
            <w:pPr>
              <w:pStyle w:val="CETBodytext"/>
              <w:rPr>
                <w:b w:val="0"/>
                <w:bCs w:val="0"/>
                <w:i/>
                <w:lang w:eastAsia="ru-RU"/>
              </w:rPr>
            </w:pPr>
            <w:r w:rsidRPr="00B63ECB">
              <w:rPr>
                <w:b w:val="0"/>
                <w:bCs w:val="0"/>
              </w:rPr>
              <w:t>Total dietary fiber (%)</w:t>
            </w:r>
          </w:p>
        </w:tc>
        <w:tc>
          <w:tcPr>
            <w:tcW w:w="0" w:type="auto"/>
            <w:tcBorders>
              <w:left w:val="single" w:sz="12" w:space="0" w:color="FFFFFF" w:themeColor="background1"/>
              <w:right w:val="single" w:sz="12" w:space="0" w:color="FFFFFF" w:themeColor="background1"/>
            </w:tcBorders>
            <w:hideMark/>
          </w:tcPr>
          <w:p w14:paraId="4179FA7B" w14:textId="3C367C0F" w:rsidR="00B63ECB" w:rsidRPr="000E075A" w:rsidRDefault="00B63ECB" w:rsidP="00B63ECB">
            <w:pPr>
              <w:pStyle w:val="CETBodytext"/>
              <w:cnfStyle w:val="000000000000" w:firstRow="0" w:lastRow="0" w:firstColumn="0" w:lastColumn="0" w:oddVBand="0" w:evenVBand="0" w:oddHBand="0" w:evenHBand="0" w:firstRowFirstColumn="0" w:firstRowLastColumn="0" w:lastRowFirstColumn="0" w:lastRowLastColumn="0"/>
              <w:rPr>
                <w:i/>
                <w:lang w:eastAsia="ru-RU"/>
              </w:rPr>
            </w:pPr>
            <w:r w:rsidRPr="006C679D">
              <w:t>11.40 ± 0.21</w:t>
            </w:r>
            <w:r w:rsidRPr="00554B2D">
              <w:rPr>
                <w:vertAlign w:val="superscript"/>
              </w:rPr>
              <w:t>c</w:t>
            </w:r>
          </w:p>
        </w:tc>
        <w:tc>
          <w:tcPr>
            <w:tcW w:w="0" w:type="auto"/>
            <w:tcBorders>
              <w:left w:val="single" w:sz="12" w:space="0" w:color="FFFFFF" w:themeColor="background1"/>
              <w:right w:val="single" w:sz="12" w:space="0" w:color="FFFFFF" w:themeColor="background1"/>
            </w:tcBorders>
            <w:hideMark/>
          </w:tcPr>
          <w:p w14:paraId="7F8B0F5B" w14:textId="3232D2D5" w:rsidR="00B63ECB" w:rsidRPr="000E075A" w:rsidRDefault="00B63ECB" w:rsidP="00B63ECB">
            <w:pPr>
              <w:pStyle w:val="CETBodytext"/>
              <w:cnfStyle w:val="000000000000" w:firstRow="0" w:lastRow="0" w:firstColumn="0" w:lastColumn="0" w:oddVBand="0" w:evenVBand="0" w:oddHBand="0" w:evenHBand="0" w:firstRowFirstColumn="0" w:firstRowLastColumn="0" w:lastRowFirstColumn="0" w:lastRowLastColumn="0"/>
              <w:rPr>
                <w:i/>
                <w:lang w:eastAsia="ru-RU"/>
              </w:rPr>
            </w:pPr>
            <w:r w:rsidRPr="006C679D">
              <w:t>15.47 ± 0.28</w:t>
            </w:r>
            <w:r w:rsidRPr="00554B2D">
              <w:rPr>
                <w:vertAlign w:val="superscript"/>
              </w:rPr>
              <w:t>b</w:t>
            </w:r>
          </w:p>
        </w:tc>
        <w:tc>
          <w:tcPr>
            <w:tcW w:w="0" w:type="auto"/>
            <w:tcBorders>
              <w:left w:val="single" w:sz="12" w:space="0" w:color="FFFFFF" w:themeColor="background1"/>
              <w:right w:val="single" w:sz="4" w:space="0" w:color="FFFFFF"/>
            </w:tcBorders>
            <w:hideMark/>
          </w:tcPr>
          <w:p w14:paraId="14D90BA0" w14:textId="39181097" w:rsidR="00B63ECB" w:rsidRPr="000E075A" w:rsidRDefault="00B63ECB" w:rsidP="00B63ECB">
            <w:pPr>
              <w:pStyle w:val="CETBodytext"/>
              <w:cnfStyle w:val="000000000000" w:firstRow="0" w:lastRow="0" w:firstColumn="0" w:lastColumn="0" w:oddVBand="0" w:evenVBand="0" w:oddHBand="0" w:evenHBand="0" w:firstRowFirstColumn="0" w:firstRowLastColumn="0" w:lastRowFirstColumn="0" w:lastRowLastColumn="0"/>
              <w:rPr>
                <w:i/>
                <w:lang w:eastAsia="ru-RU"/>
              </w:rPr>
            </w:pPr>
            <w:r w:rsidRPr="006C679D">
              <w:t>16.00 ± 0.30</w:t>
            </w:r>
            <w:r w:rsidRPr="00554B2D">
              <w:rPr>
                <w:vertAlign w:val="superscript"/>
              </w:rPr>
              <w:t>a</w:t>
            </w:r>
          </w:p>
        </w:tc>
      </w:tr>
      <w:tr w:rsidR="00B63ECB" w:rsidRPr="000E075A" w14:paraId="0ED51182" w14:textId="77777777" w:rsidTr="00753DB0">
        <w:tc>
          <w:tcPr>
            <w:cnfStyle w:val="001000000000" w:firstRow="0" w:lastRow="0" w:firstColumn="1" w:lastColumn="0" w:oddVBand="0" w:evenVBand="0" w:oddHBand="0" w:evenHBand="0" w:firstRowFirstColumn="0" w:firstRowLastColumn="0" w:lastRowFirstColumn="0" w:lastRowLastColumn="0"/>
            <w:tcW w:w="0" w:type="auto"/>
            <w:tcBorders>
              <w:left w:val="single" w:sz="4" w:space="0" w:color="FFFFFF"/>
              <w:right w:val="single" w:sz="12" w:space="0" w:color="FFFFFF" w:themeColor="background1"/>
            </w:tcBorders>
            <w:hideMark/>
          </w:tcPr>
          <w:p w14:paraId="39A7A1E0" w14:textId="420C69A6" w:rsidR="00B63ECB" w:rsidRPr="00B63ECB" w:rsidRDefault="00B63ECB" w:rsidP="00B63ECB">
            <w:pPr>
              <w:pStyle w:val="CETBodytext"/>
              <w:rPr>
                <w:b w:val="0"/>
                <w:bCs w:val="0"/>
                <w:i/>
                <w:lang w:eastAsia="ru-RU"/>
              </w:rPr>
            </w:pPr>
            <w:r w:rsidRPr="00B63ECB">
              <w:rPr>
                <w:b w:val="0"/>
                <w:bCs w:val="0"/>
              </w:rPr>
              <w:t>Soluble dietary fiber (%)</w:t>
            </w:r>
          </w:p>
        </w:tc>
        <w:tc>
          <w:tcPr>
            <w:tcW w:w="0" w:type="auto"/>
            <w:tcBorders>
              <w:left w:val="single" w:sz="12" w:space="0" w:color="FFFFFF" w:themeColor="background1"/>
              <w:right w:val="single" w:sz="12" w:space="0" w:color="FFFFFF" w:themeColor="background1"/>
            </w:tcBorders>
            <w:hideMark/>
          </w:tcPr>
          <w:p w14:paraId="6EF9F001" w14:textId="6C13F237" w:rsidR="00B63ECB" w:rsidRPr="000E075A" w:rsidRDefault="00B63ECB" w:rsidP="00B63ECB">
            <w:pPr>
              <w:pStyle w:val="CETBodytext"/>
              <w:cnfStyle w:val="000000000000" w:firstRow="0" w:lastRow="0" w:firstColumn="0" w:lastColumn="0" w:oddVBand="0" w:evenVBand="0" w:oddHBand="0" w:evenHBand="0" w:firstRowFirstColumn="0" w:firstRowLastColumn="0" w:lastRowFirstColumn="0" w:lastRowLastColumn="0"/>
              <w:rPr>
                <w:i/>
                <w:lang w:eastAsia="ru-RU"/>
              </w:rPr>
            </w:pPr>
            <w:r w:rsidRPr="006C679D">
              <w:t>3.34 ± 0.08</w:t>
            </w:r>
            <w:r w:rsidRPr="00554B2D">
              <w:rPr>
                <w:vertAlign w:val="superscript"/>
              </w:rPr>
              <w:t>c</w:t>
            </w:r>
          </w:p>
        </w:tc>
        <w:tc>
          <w:tcPr>
            <w:tcW w:w="0" w:type="auto"/>
            <w:tcBorders>
              <w:left w:val="single" w:sz="12" w:space="0" w:color="FFFFFF" w:themeColor="background1"/>
              <w:right w:val="single" w:sz="12" w:space="0" w:color="FFFFFF" w:themeColor="background1"/>
            </w:tcBorders>
            <w:hideMark/>
          </w:tcPr>
          <w:p w14:paraId="05794A35" w14:textId="3C8062C1" w:rsidR="00B63ECB" w:rsidRPr="000E075A" w:rsidRDefault="00B63ECB" w:rsidP="00B63ECB">
            <w:pPr>
              <w:pStyle w:val="CETBodytext"/>
              <w:cnfStyle w:val="000000000000" w:firstRow="0" w:lastRow="0" w:firstColumn="0" w:lastColumn="0" w:oddVBand="0" w:evenVBand="0" w:oddHBand="0" w:evenHBand="0" w:firstRowFirstColumn="0" w:firstRowLastColumn="0" w:lastRowFirstColumn="0" w:lastRowLastColumn="0"/>
              <w:rPr>
                <w:i/>
                <w:lang w:eastAsia="ru-RU"/>
              </w:rPr>
            </w:pPr>
            <w:r w:rsidRPr="006C679D">
              <w:t>5.67 ± 0.12</w:t>
            </w:r>
            <w:r w:rsidRPr="00554B2D">
              <w:rPr>
                <w:vertAlign w:val="superscript"/>
              </w:rPr>
              <w:t>b</w:t>
            </w:r>
          </w:p>
        </w:tc>
        <w:tc>
          <w:tcPr>
            <w:tcW w:w="0" w:type="auto"/>
            <w:tcBorders>
              <w:left w:val="single" w:sz="12" w:space="0" w:color="FFFFFF" w:themeColor="background1"/>
              <w:right w:val="single" w:sz="4" w:space="0" w:color="FFFFFF"/>
            </w:tcBorders>
            <w:hideMark/>
          </w:tcPr>
          <w:p w14:paraId="19207FD7" w14:textId="109B29A8" w:rsidR="00B63ECB" w:rsidRPr="000E075A" w:rsidRDefault="00B63ECB" w:rsidP="00B63ECB">
            <w:pPr>
              <w:pStyle w:val="CETBodytext"/>
              <w:cnfStyle w:val="000000000000" w:firstRow="0" w:lastRow="0" w:firstColumn="0" w:lastColumn="0" w:oddVBand="0" w:evenVBand="0" w:oddHBand="0" w:evenHBand="0" w:firstRowFirstColumn="0" w:firstRowLastColumn="0" w:lastRowFirstColumn="0" w:lastRowLastColumn="0"/>
              <w:rPr>
                <w:i/>
                <w:lang w:eastAsia="ru-RU"/>
              </w:rPr>
            </w:pPr>
            <w:r w:rsidRPr="006C679D">
              <w:t>6.48 ± 0.15</w:t>
            </w:r>
            <w:r w:rsidRPr="00554B2D">
              <w:rPr>
                <w:vertAlign w:val="superscript"/>
              </w:rPr>
              <w:t>a</w:t>
            </w:r>
          </w:p>
        </w:tc>
      </w:tr>
      <w:tr w:rsidR="00B63ECB" w:rsidRPr="000E075A" w14:paraId="552A124C" w14:textId="77777777" w:rsidTr="00753DB0">
        <w:tc>
          <w:tcPr>
            <w:cnfStyle w:val="001000000000" w:firstRow="0" w:lastRow="0" w:firstColumn="1" w:lastColumn="0" w:oddVBand="0" w:evenVBand="0" w:oddHBand="0" w:evenHBand="0" w:firstRowFirstColumn="0" w:firstRowLastColumn="0" w:lastRowFirstColumn="0" w:lastRowLastColumn="0"/>
            <w:tcW w:w="0" w:type="auto"/>
            <w:tcBorders>
              <w:left w:val="single" w:sz="4" w:space="0" w:color="FFFFFF"/>
              <w:bottom w:val="single" w:sz="12" w:space="0" w:color="92D050"/>
              <w:right w:val="single" w:sz="12" w:space="0" w:color="FFFFFF" w:themeColor="background1"/>
            </w:tcBorders>
            <w:hideMark/>
          </w:tcPr>
          <w:p w14:paraId="1F0D56C2" w14:textId="463AB263" w:rsidR="00B63ECB" w:rsidRPr="00B63ECB" w:rsidRDefault="00B63ECB" w:rsidP="00B63ECB">
            <w:pPr>
              <w:pStyle w:val="CETBodytext"/>
              <w:rPr>
                <w:b w:val="0"/>
                <w:bCs w:val="0"/>
                <w:i/>
                <w:lang w:eastAsia="ru-RU"/>
              </w:rPr>
            </w:pPr>
            <w:r w:rsidRPr="00B63ECB">
              <w:rPr>
                <w:b w:val="0"/>
                <w:bCs w:val="0"/>
              </w:rPr>
              <w:t>Insoluble dietary fiber (%)</w:t>
            </w:r>
          </w:p>
        </w:tc>
        <w:tc>
          <w:tcPr>
            <w:tcW w:w="0" w:type="auto"/>
            <w:tcBorders>
              <w:left w:val="single" w:sz="12" w:space="0" w:color="FFFFFF" w:themeColor="background1"/>
              <w:bottom w:val="single" w:sz="12" w:space="0" w:color="92D050"/>
              <w:right w:val="single" w:sz="12" w:space="0" w:color="FFFFFF" w:themeColor="background1"/>
            </w:tcBorders>
            <w:hideMark/>
          </w:tcPr>
          <w:p w14:paraId="5DC62299" w14:textId="5A29892F" w:rsidR="00B63ECB" w:rsidRPr="000E075A" w:rsidRDefault="00B63ECB" w:rsidP="00B63ECB">
            <w:pPr>
              <w:pStyle w:val="CETBodytext"/>
              <w:cnfStyle w:val="000000000000" w:firstRow="0" w:lastRow="0" w:firstColumn="0" w:lastColumn="0" w:oddVBand="0" w:evenVBand="0" w:oddHBand="0" w:evenHBand="0" w:firstRowFirstColumn="0" w:firstRowLastColumn="0" w:lastRowFirstColumn="0" w:lastRowLastColumn="0"/>
              <w:rPr>
                <w:i/>
                <w:lang w:eastAsia="ru-RU"/>
              </w:rPr>
            </w:pPr>
            <w:r w:rsidRPr="006C679D">
              <w:t>8.06 ± 0.17</w:t>
            </w:r>
            <w:r w:rsidRPr="00554B2D">
              <w:rPr>
                <w:vertAlign w:val="superscript"/>
              </w:rPr>
              <w:t>b</w:t>
            </w:r>
          </w:p>
        </w:tc>
        <w:tc>
          <w:tcPr>
            <w:tcW w:w="0" w:type="auto"/>
            <w:tcBorders>
              <w:left w:val="single" w:sz="12" w:space="0" w:color="FFFFFF" w:themeColor="background1"/>
              <w:bottom w:val="single" w:sz="12" w:space="0" w:color="92D050"/>
              <w:right w:val="single" w:sz="12" w:space="0" w:color="FFFFFF" w:themeColor="background1"/>
            </w:tcBorders>
            <w:hideMark/>
          </w:tcPr>
          <w:p w14:paraId="152A246C" w14:textId="13AC8908" w:rsidR="00B63ECB" w:rsidRPr="000E075A" w:rsidRDefault="00B63ECB" w:rsidP="00B63ECB">
            <w:pPr>
              <w:pStyle w:val="CETBodytext"/>
              <w:cnfStyle w:val="000000000000" w:firstRow="0" w:lastRow="0" w:firstColumn="0" w:lastColumn="0" w:oddVBand="0" w:evenVBand="0" w:oddHBand="0" w:evenHBand="0" w:firstRowFirstColumn="0" w:firstRowLastColumn="0" w:lastRowFirstColumn="0" w:lastRowLastColumn="0"/>
              <w:rPr>
                <w:i/>
                <w:lang w:eastAsia="ru-RU"/>
              </w:rPr>
            </w:pPr>
            <w:r w:rsidRPr="006C679D">
              <w:t>9.80 ± 0.20</w:t>
            </w:r>
            <w:r w:rsidRPr="00554B2D">
              <w:rPr>
                <w:vertAlign w:val="superscript"/>
              </w:rPr>
              <w:t>a</w:t>
            </w:r>
          </w:p>
        </w:tc>
        <w:tc>
          <w:tcPr>
            <w:tcW w:w="0" w:type="auto"/>
            <w:tcBorders>
              <w:left w:val="single" w:sz="12" w:space="0" w:color="FFFFFF" w:themeColor="background1"/>
              <w:bottom w:val="single" w:sz="12" w:space="0" w:color="92D050"/>
              <w:right w:val="single" w:sz="4" w:space="0" w:color="FFFFFF"/>
            </w:tcBorders>
            <w:hideMark/>
          </w:tcPr>
          <w:p w14:paraId="0CC3F8BD" w14:textId="0CF39D3B" w:rsidR="00B63ECB" w:rsidRPr="000E075A" w:rsidRDefault="00B63ECB" w:rsidP="00B63ECB">
            <w:pPr>
              <w:pStyle w:val="CETBodytext"/>
              <w:cnfStyle w:val="000000000000" w:firstRow="0" w:lastRow="0" w:firstColumn="0" w:lastColumn="0" w:oddVBand="0" w:evenVBand="0" w:oddHBand="0" w:evenHBand="0" w:firstRowFirstColumn="0" w:firstRowLastColumn="0" w:lastRowFirstColumn="0" w:lastRowLastColumn="0"/>
              <w:rPr>
                <w:i/>
                <w:lang w:eastAsia="ru-RU"/>
              </w:rPr>
            </w:pPr>
            <w:r w:rsidRPr="006C679D">
              <w:t>9.52 ± 0.19</w:t>
            </w:r>
            <w:r w:rsidRPr="00554B2D">
              <w:rPr>
                <w:vertAlign w:val="superscript"/>
              </w:rPr>
              <w:t>a</w:t>
            </w:r>
          </w:p>
        </w:tc>
      </w:tr>
    </w:tbl>
    <w:p w14:paraId="3D38F2E0" w14:textId="686F3AC7" w:rsidR="00F832D4" w:rsidRPr="00E00F4D" w:rsidRDefault="00F832D4" w:rsidP="000E075A">
      <w:pPr>
        <w:pStyle w:val="CETBodytext"/>
        <w:rPr>
          <w:i/>
          <w:iCs/>
        </w:rPr>
      </w:pPr>
      <w:r w:rsidRPr="00E00F4D">
        <w:rPr>
          <w:i/>
          <w:iCs/>
        </w:rPr>
        <w:t>Values are expressed as mean ± standard deviation (n = 3). Different superscript letters within the same row indicate statistically significant differences at p &lt; 0.05.</w:t>
      </w:r>
    </w:p>
    <w:p w14:paraId="37AA71B0" w14:textId="77777777" w:rsidR="00F832D4" w:rsidRDefault="00F832D4" w:rsidP="000E075A">
      <w:pPr>
        <w:pStyle w:val="CETBodytext"/>
      </w:pPr>
    </w:p>
    <w:p w14:paraId="3C133BE1" w14:textId="344103BB" w:rsidR="009448A7" w:rsidRPr="000E075A" w:rsidRDefault="000C3079" w:rsidP="000E075A">
      <w:pPr>
        <w:pStyle w:val="CETBodytext"/>
      </w:pPr>
      <w:r w:rsidRPr="000E075A">
        <w:t>Specifically, while the total dietary fiber content in cookies made with wheat flour was 11.40</w:t>
      </w:r>
      <w:r w:rsidR="00E01151" w:rsidRPr="000E075A">
        <w:t xml:space="preserve"> </w:t>
      </w:r>
      <w:r w:rsidRPr="000E075A">
        <w:t xml:space="preserve">%, substituting it with </w:t>
      </w:r>
      <w:r w:rsidR="00D94474" w:rsidRPr="000E075A">
        <w:t xml:space="preserve">Abu </w:t>
      </w:r>
      <w:proofErr w:type="spellStart"/>
      <w:r w:rsidR="00D94474" w:rsidRPr="000E075A">
        <w:t>G‘ofur</w:t>
      </w:r>
      <w:proofErr w:type="spellEnd"/>
      <w:r w:rsidRPr="000E075A">
        <w:t xml:space="preserve"> and HM-140 barley flours increased the fiber content to 15.47</w:t>
      </w:r>
      <w:r w:rsidR="00E01151" w:rsidRPr="000E075A">
        <w:t xml:space="preserve"> </w:t>
      </w:r>
      <w:r w:rsidRPr="000E075A">
        <w:t>% and 16.00</w:t>
      </w:r>
      <w:r w:rsidR="00E01151" w:rsidRPr="000E075A">
        <w:t xml:space="preserve"> </w:t>
      </w:r>
      <w:r w:rsidRPr="000E075A">
        <w:t>%, respectively. Notably, the soluble dietary fiber fraction increased from 3.34</w:t>
      </w:r>
      <w:r w:rsidR="00E01151" w:rsidRPr="000E075A">
        <w:t xml:space="preserve"> </w:t>
      </w:r>
      <w:r w:rsidRPr="000E075A">
        <w:t>% in the wheat-based cookies to 5.67</w:t>
      </w:r>
      <w:r w:rsidR="00E01151" w:rsidRPr="000E075A">
        <w:t xml:space="preserve"> </w:t>
      </w:r>
      <w:r w:rsidRPr="000E075A">
        <w:t xml:space="preserve">% in the </w:t>
      </w:r>
      <w:r w:rsidR="00D94474" w:rsidRPr="000E075A">
        <w:t xml:space="preserve">Abu </w:t>
      </w:r>
      <w:proofErr w:type="spellStart"/>
      <w:r w:rsidR="00D94474" w:rsidRPr="000E075A">
        <w:t>G‘ofur</w:t>
      </w:r>
      <w:proofErr w:type="spellEnd"/>
      <w:r w:rsidRPr="000E075A">
        <w:t xml:space="preserve"> cookies and 6.48</w:t>
      </w:r>
      <w:r w:rsidR="00E01151" w:rsidRPr="000E075A">
        <w:t xml:space="preserve"> </w:t>
      </w:r>
      <w:r w:rsidRPr="000E075A">
        <w:t xml:space="preserve">% in the HM-140 cookies. Similarly, the amount of insoluble dietary fiber in the cookies containing </w:t>
      </w:r>
      <w:r w:rsidR="00D94474" w:rsidRPr="000E075A">
        <w:t xml:space="preserve">Abu </w:t>
      </w:r>
      <w:proofErr w:type="spellStart"/>
      <w:r w:rsidR="00D94474" w:rsidRPr="000E075A">
        <w:t>G‘ofur</w:t>
      </w:r>
      <w:proofErr w:type="spellEnd"/>
      <w:r w:rsidRPr="000E075A">
        <w:t xml:space="preserve"> and HM-140 flours rose to 9.80</w:t>
      </w:r>
      <w:r w:rsidR="005025DA">
        <w:t xml:space="preserve"> </w:t>
      </w:r>
      <w:r w:rsidRPr="000E075A">
        <w:t>% and 9.52</w:t>
      </w:r>
      <w:r w:rsidR="00E01151" w:rsidRPr="000E075A">
        <w:t xml:space="preserve"> </w:t>
      </w:r>
      <w:r w:rsidRPr="000E075A">
        <w:t>%, respectively. These results indicate that incorporating barley flour can significantly enhance the functional and nutritional properties of sugar-free baked goods, aligning with current trends in developing health-conscious confectionery products.</w:t>
      </w:r>
    </w:p>
    <w:p w14:paraId="5A3C038B" w14:textId="5A0F1D27" w:rsidR="00CA2151" w:rsidRPr="000E075A" w:rsidRDefault="00E16910" w:rsidP="000E075A">
      <w:pPr>
        <w:pStyle w:val="CETTabletitle"/>
      </w:pPr>
      <w:r w:rsidRPr="000E075A">
        <w:t>Table 4</w:t>
      </w:r>
      <w:r w:rsidR="00CA2151" w:rsidRPr="000E075A">
        <w:t>:</w:t>
      </w:r>
      <w:r w:rsidRPr="000E075A">
        <w:t xml:space="preserve"> Digestibility and </w:t>
      </w:r>
      <w:proofErr w:type="spellStart"/>
      <w:r w:rsidRPr="000E075A">
        <w:t>glycemic</w:t>
      </w:r>
      <w:proofErr w:type="spellEnd"/>
      <w:r w:rsidRPr="000E075A">
        <w:t xml:space="preserve"> index indicators of flour and cookie samples</w:t>
      </w:r>
    </w:p>
    <w:tbl>
      <w:tblPr>
        <w:tblStyle w:val="-165"/>
        <w:tblW w:w="0" w:type="auto"/>
        <w:tblLook w:val="04A0" w:firstRow="1" w:lastRow="0" w:firstColumn="1" w:lastColumn="0" w:noHBand="0" w:noVBand="1"/>
      </w:tblPr>
      <w:tblGrid>
        <w:gridCol w:w="978"/>
        <w:gridCol w:w="1275"/>
        <w:gridCol w:w="1276"/>
        <w:gridCol w:w="1276"/>
        <w:gridCol w:w="1417"/>
        <w:gridCol w:w="1276"/>
        <w:gridCol w:w="1259"/>
      </w:tblGrid>
      <w:tr w:rsidR="000753B9" w:rsidRPr="000E075A" w14:paraId="03C1EEAD" w14:textId="77777777" w:rsidTr="00B63EC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8" w:type="dxa"/>
            <w:vMerge w:val="restart"/>
            <w:tcBorders>
              <w:left w:val="single" w:sz="12" w:space="0" w:color="FFFFFF" w:themeColor="background1"/>
              <w:right w:val="single" w:sz="12" w:space="0" w:color="FFFFFF" w:themeColor="background1"/>
            </w:tcBorders>
            <w:vAlign w:val="center"/>
          </w:tcPr>
          <w:p w14:paraId="61F432E3" w14:textId="43ED9EF7" w:rsidR="000753B9" w:rsidRPr="000E075A" w:rsidRDefault="008E063A" w:rsidP="008E063A">
            <w:pPr>
              <w:pStyle w:val="CETBodytext"/>
              <w:jc w:val="center"/>
              <w:rPr>
                <w:rFonts w:eastAsia="Calibri"/>
                <w:i/>
              </w:rPr>
            </w:pPr>
            <w:r w:rsidRPr="008E063A">
              <w:rPr>
                <w:rFonts w:eastAsia="Calibri"/>
              </w:rPr>
              <w:t>Samples</w:t>
            </w:r>
          </w:p>
        </w:tc>
        <w:tc>
          <w:tcPr>
            <w:tcW w:w="2551" w:type="dxa"/>
            <w:gridSpan w:val="2"/>
            <w:tcBorders>
              <w:left w:val="single" w:sz="12" w:space="0" w:color="FFFFFF" w:themeColor="background1"/>
              <w:right w:val="single" w:sz="12" w:space="0" w:color="FFFFFF" w:themeColor="background1"/>
            </w:tcBorders>
            <w:vAlign w:val="center"/>
          </w:tcPr>
          <w:p w14:paraId="70512380" w14:textId="4104DC42" w:rsidR="000753B9" w:rsidRPr="000E075A" w:rsidRDefault="000753B9" w:rsidP="008E063A">
            <w:pPr>
              <w:pStyle w:val="CETBodytext"/>
              <w:jc w:val="center"/>
              <w:cnfStyle w:val="100000000000" w:firstRow="1" w:lastRow="0" w:firstColumn="0" w:lastColumn="0" w:oddVBand="0" w:evenVBand="0" w:oddHBand="0" w:evenHBand="0" w:firstRowFirstColumn="0" w:firstRowLastColumn="0" w:lastRowFirstColumn="0" w:lastRowLastColumn="0"/>
              <w:rPr>
                <w:rFonts w:eastAsia="Calibri"/>
                <w:i/>
              </w:rPr>
            </w:pPr>
            <w:r w:rsidRPr="000E075A">
              <w:rPr>
                <w:rFonts w:eastAsia="Calibri"/>
              </w:rPr>
              <w:t>soft wheat</w:t>
            </w:r>
          </w:p>
        </w:tc>
        <w:tc>
          <w:tcPr>
            <w:tcW w:w="2693" w:type="dxa"/>
            <w:gridSpan w:val="2"/>
            <w:tcBorders>
              <w:left w:val="single" w:sz="12" w:space="0" w:color="FFFFFF" w:themeColor="background1"/>
              <w:right w:val="single" w:sz="12" w:space="0" w:color="FFFFFF" w:themeColor="background1"/>
            </w:tcBorders>
            <w:vAlign w:val="center"/>
          </w:tcPr>
          <w:p w14:paraId="73CBDB0F" w14:textId="413639CF" w:rsidR="000753B9" w:rsidRPr="000E075A" w:rsidRDefault="000753B9" w:rsidP="008E063A">
            <w:pPr>
              <w:pStyle w:val="CETBodytext"/>
              <w:jc w:val="center"/>
              <w:cnfStyle w:val="100000000000" w:firstRow="1" w:lastRow="0" w:firstColumn="0" w:lastColumn="0" w:oddVBand="0" w:evenVBand="0" w:oddHBand="0" w:evenHBand="0" w:firstRowFirstColumn="0" w:firstRowLastColumn="0" w:lastRowFirstColumn="0" w:lastRowLastColumn="0"/>
              <w:rPr>
                <w:rFonts w:eastAsia="Calibri"/>
                <w:i/>
              </w:rPr>
            </w:pPr>
            <w:r w:rsidRPr="000E075A">
              <w:rPr>
                <w:rFonts w:eastAsia="Calibri"/>
              </w:rPr>
              <w:t xml:space="preserve">Abu </w:t>
            </w:r>
            <w:proofErr w:type="spellStart"/>
            <w:r w:rsidRPr="000E075A">
              <w:rPr>
                <w:rFonts w:eastAsia="Calibri"/>
              </w:rPr>
              <w:t>G‘ofur</w:t>
            </w:r>
            <w:proofErr w:type="spellEnd"/>
          </w:p>
        </w:tc>
        <w:tc>
          <w:tcPr>
            <w:tcW w:w="2535" w:type="dxa"/>
            <w:gridSpan w:val="2"/>
            <w:tcBorders>
              <w:left w:val="single" w:sz="12" w:space="0" w:color="FFFFFF" w:themeColor="background1"/>
              <w:right w:val="single" w:sz="12" w:space="0" w:color="FFFFFF" w:themeColor="background1"/>
            </w:tcBorders>
            <w:vAlign w:val="center"/>
          </w:tcPr>
          <w:p w14:paraId="6E9FCE80" w14:textId="58549875" w:rsidR="000753B9" w:rsidRPr="000E075A" w:rsidRDefault="000753B9" w:rsidP="008E063A">
            <w:pPr>
              <w:pStyle w:val="CETBodytext"/>
              <w:jc w:val="center"/>
              <w:cnfStyle w:val="100000000000" w:firstRow="1" w:lastRow="0" w:firstColumn="0" w:lastColumn="0" w:oddVBand="0" w:evenVBand="0" w:oddHBand="0" w:evenHBand="0" w:firstRowFirstColumn="0" w:firstRowLastColumn="0" w:lastRowFirstColumn="0" w:lastRowLastColumn="0"/>
              <w:rPr>
                <w:rFonts w:eastAsia="Calibri"/>
                <w:i/>
              </w:rPr>
            </w:pPr>
            <w:r w:rsidRPr="000E075A">
              <w:rPr>
                <w:rFonts w:eastAsia="Calibri"/>
              </w:rPr>
              <w:t>HM-140</w:t>
            </w:r>
          </w:p>
        </w:tc>
      </w:tr>
      <w:tr w:rsidR="00B63ECB" w:rsidRPr="000E075A" w14:paraId="32DA6870" w14:textId="77777777" w:rsidTr="00B63ECB">
        <w:tc>
          <w:tcPr>
            <w:cnfStyle w:val="001000000000" w:firstRow="0" w:lastRow="0" w:firstColumn="1" w:lastColumn="0" w:oddVBand="0" w:evenVBand="0" w:oddHBand="0" w:evenHBand="0" w:firstRowFirstColumn="0" w:firstRowLastColumn="0" w:lastRowFirstColumn="0" w:lastRowLastColumn="0"/>
            <w:tcW w:w="978" w:type="dxa"/>
            <w:vMerge/>
            <w:tcBorders>
              <w:left w:val="single" w:sz="12" w:space="0" w:color="FFFFFF" w:themeColor="background1"/>
              <w:right w:val="single" w:sz="12" w:space="0" w:color="FFFFFF" w:themeColor="background1"/>
            </w:tcBorders>
            <w:vAlign w:val="center"/>
          </w:tcPr>
          <w:p w14:paraId="41EE2529" w14:textId="77777777" w:rsidR="000753B9" w:rsidRPr="000E075A" w:rsidRDefault="000753B9" w:rsidP="008E063A">
            <w:pPr>
              <w:pStyle w:val="CETBodytext"/>
              <w:jc w:val="center"/>
              <w:rPr>
                <w:rFonts w:eastAsia="Calibri"/>
                <w:i/>
              </w:rPr>
            </w:pPr>
          </w:p>
        </w:tc>
        <w:tc>
          <w:tcPr>
            <w:tcW w:w="1275" w:type="dxa"/>
            <w:tcBorders>
              <w:left w:val="single" w:sz="12" w:space="0" w:color="FFFFFF" w:themeColor="background1"/>
              <w:right w:val="single" w:sz="12" w:space="0" w:color="FFFFFF" w:themeColor="background1"/>
            </w:tcBorders>
            <w:vAlign w:val="center"/>
          </w:tcPr>
          <w:p w14:paraId="68146637" w14:textId="3E58C19B" w:rsidR="000753B9" w:rsidRPr="000E075A" w:rsidRDefault="000753B9" w:rsidP="008E063A">
            <w:pPr>
              <w:pStyle w:val="CETBodytext"/>
              <w:jc w:val="center"/>
              <w:cnfStyle w:val="000000000000" w:firstRow="0" w:lastRow="0" w:firstColumn="0" w:lastColumn="0" w:oddVBand="0" w:evenVBand="0" w:oddHBand="0" w:evenHBand="0" w:firstRowFirstColumn="0" w:firstRowLastColumn="0" w:lastRowFirstColumn="0" w:lastRowLastColumn="0"/>
              <w:rPr>
                <w:rFonts w:eastAsia="Calibri"/>
                <w:i/>
              </w:rPr>
            </w:pPr>
            <w:r w:rsidRPr="000E075A">
              <w:rPr>
                <w:rFonts w:eastAsia="Calibri"/>
              </w:rPr>
              <w:t>flour</w:t>
            </w:r>
          </w:p>
        </w:tc>
        <w:tc>
          <w:tcPr>
            <w:tcW w:w="1276" w:type="dxa"/>
            <w:tcBorders>
              <w:left w:val="single" w:sz="12" w:space="0" w:color="FFFFFF" w:themeColor="background1"/>
              <w:right w:val="single" w:sz="12" w:space="0" w:color="FFFFFF" w:themeColor="background1"/>
            </w:tcBorders>
            <w:vAlign w:val="center"/>
          </w:tcPr>
          <w:p w14:paraId="71A24164" w14:textId="06A8FE80" w:rsidR="000753B9" w:rsidRPr="000E075A" w:rsidRDefault="000753B9" w:rsidP="008E063A">
            <w:pPr>
              <w:pStyle w:val="CETBodytext"/>
              <w:jc w:val="center"/>
              <w:cnfStyle w:val="000000000000" w:firstRow="0" w:lastRow="0" w:firstColumn="0" w:lastColumn="0" w:oddVBand="0" w:evenVBand="0" w:oddHBand="0" w:evenHBand="0" w:firstRowFirstColumn="0" w:firstRowLastColumn="0" w:lastRowFirstColumn="0" w:lastRowLastColumn="0"/>
              <w:rPr>
                <w:rFonts w:eastAsia="Calibri"/>
                <w:i/>
              </w:rPr>
            </w:pPr>
            <w:r w:rsidRPr="000E075A">
              <w:rPr>
                <w:rFonts w:eastAsia="Calibri"/>
              </w:rPr>
              <w:t>cookie</w:t>
            </w:r>
          </w:p>
        </w:tc>
        <w:tc>
          <w:tcPr>
            <w:tcW w:w="1276" w:type="dxa"/>
            <w:tcBorders>
              <w:left w:val="single" w:sz="12" w:space="0" w:color="FFFFFF" w:themeColor="background1"/>
              <w:right w:val="single" w:sz="12" w:space="0" w:color="FFFFFF" w:themeColor="background1"/>
            </w:tcBorders>
            <w:vAlign w:val="center"/>
          </w:tcPr>
          <w:p w14:paraId="78B38B5E" w14:textId="4B18D310" w:rsidR="000753B9" w:rsidRPr="000E075A" w:rsidRDefault="000753B9" w:rsidP="008E063A">
            <w:pPr>
              <w:pStyle w:val="CETBodytext"/>
              <w:jc w:val="center"/>
              <w:cnfStyle w:val="000000000000" w:firstRow="0" w:lastRow="0" w:firstColumn="0" w:lastColumn="0" w:oddVBand="0" w:evenVBand="0" w:oddHBand="0" w:evenHBand="0" w:firstRowFirstColumn="0" w:firstRowLastColumn="0" w:lastRowFirstColumn="0" w:lastRowLastColumn="0"/>
              <w:rPr>
                <w:rFonts w:eastAsia="Calibri"/>
                <w:i/>
              </w:rPr>
            </w:pPr>
            <w:r w:rsidRPr="000E075A">
              <w:rPr>
                <w:rFonts w:eastAsia="Calibri"/>
              </w:rPr>
              <w:t>flour</w:t>
            </w:r>
          </w:p>
        </w:tc>
        <w:tc>
          <w:tcPr>
            <w:tcW w:w="1417" w:type="dxa"/>
            <w:tcBorders>
              <w:left w:val="single" w:sz="12" w:space="0" w:color="FFFFFF" w:themeColor="background1"/>
              <w:right w:val="single" w:sz="12" w:space="0" w:color="FFFFFF" w:themeColor="background1"/>
            </w:tcBorders>
            <w:vAlign w:val="center"/>
          </w:tcPr>
          <w:p w14:paraId="1AF680AC" w14:textId="2FA31195" w:rsidR="000753B9" w:rsidRPr="000E075A" w:rsidRDefault="000753B9" w:rsidP="008E063A">
            <w:pPr>
              <w:pStyle w:val="CETBodytext"/>
              <w:jc w:val="center"/>
              <w:cnfStyle w:val="000000000000" w:firstRow="0" w:lastRow="0" w:firstColumn="0" w:lastColumn="0" w:oddVBand="0" w:evenVBand="0" w:oddHBand="0" w:evenHBand="0" w:firstRowFirstColumn="0" w:firstRowLastColumn="0" w:lastRowFirstColumn="0" w:lastRowLastColumn="0"/>
              <w:rPr>
                <w:rFonts w:eastAsia="Calibri"/>
                <w:i/>
              </w:rPr>
            </w:pPr>
            <w:r w:rsidRPr="000E075A">
              <w:rPr>
                <w:rFonts w:eastAsia="Calibri"/>
              </w:rPr>
              <w:t>cookie</w:t>
            </w:r>
          </w:p>
        </w:tc>
        <w:tc>
          <w:tcPr>
            <w:tcW w:w="1276" w:type="dxa"/>
            <w:tcBorders>
              <w:left w:val="single" w:sz="12" w:space="0" w:color="FFFFFF" w:themeColor="background1"/>
              <w:right w:val="single" w:sz="12" w:space="0" w:color="FFFFFF" w:themeColor="background1"/>
            </w:tcBorders>
            <w:vAlign w:val="center"/>
          </w:tcPr>
          <w:p w14:paraId="7DB31322" w14:textId="6B1D5D07" w:rsidR="000753B9" w:rsidRPr="000E075A" w:rsidRDefault="000753B9" w:rsidP="008E063A">
            <w:pPr>
              <w:pStyle w:val="CETBodytext"/>
              <w:jc w:val="center"/>
              <w:cnfStyle w:val="000000000000" w:firstRow="0" w:lastRow="0" w:firstColumn="0" w:lastColumn="0" w:oddVBand="0" w:evenVBand="0" w:oddHBand="0" w:evenHBand="0" w:firstRowFirstColumn="0" w:firstRowLastColumn="0" w:lastRowFirstColumn="0" w:lastRowLastColumn="0"/>
              <w:rPr>
                <w:rFonts w:eastAsia="Calibri"/>
                <w:i/>
              </w:rPr>
            </w:pPr>
            <w:r w:rsidRPr="000E075A">
              <w:rPr>
                <w:rFonts w:eastAsia="Calibri"/>
              </w:rPr>
              <w:t>flour</w:t>
            </w:r>
          </w:p>
        </w:tc>
        <w:tc>
          <w:tcPr>
            <w:tcW w:w="1259" w:type="dxa"/>
            <w:tcBorders>
              <w:left w:val="single" w:sz="12" w:space="0" w:color="FFFFFF" w:themeColor="background1"/>
              <w:right w:val="single" w:sz="12" w:space="0" w:color="FFFFFF" w:themeColor="background1"/>
            </w:tcBorders>
            <w:vAlign w:val="center"/>
          </w:tcPr>
          <w:p w14:paraId="59F1F896" w14:textId="14F43CFA" w:rsidR="000753B9" w:rsidRPr="000E075A" w:rsidRDefault="000753B9" w:rsidP="008E063A">
            <w:pPr>
              <w:pStyle w:val="CETBodytext"/>
              <w:jc w:val="center"/>
              <w:cnfStyle w:val="000000000000" w:firstRow="0" w:lastRow="0" w:firstColumn="0" w:lastColumn="0" w:oddVBand="0" w:evenVBand="0" w:oddHBand="0" w:evenHBand="0" w:firstRowFirstColumn="0" w:firstRowLastColumn="0" w:lastRowFirstColumn="0" w:lastRowLastColumn="0"/>
              <w:rPr>
                <w:rFonts w:eastAsia="Calibri"/>
                <w:i/>
              </w:rPr>
            </w:pPr>
            <w:r w:rsidRPr="000E075A">
              <w:rPr>
                <w:rFonts w:eastAsia="Calibri"/>
              </w:rPr>
              <w:t>cookie</w:t>
            </w:r>
          </w:p>
        </w:tc>
      </w:tr>
      <w:tr w:rsidR="00B63ECB" w:rsidRPr="000E075A" w14:paraId="7EE5334C" w14:textId="77777777" w:rsidTr="00B63ECB">
        <w:tc>
          <w:tcPr>
            <w:cnfStyle w:val="001000000000" w:firstRow="0" w:lastRow="0" w:firstColumn="1" w:lastColumn="0" w:oddVBand="0" w:evenVBand="0" w:oddHBand="0" w:evenHBand="0" w:firstRowFirstColumn="0" w:firstRowLastColumn="0" w:lastRowFirstColumn="0" w:lastRowLastColumn="0"/>
            <w:tcW w:w="978" w:type="dxa"/>
            <w:tcBorders>
              <w:left w:val="single" w:sz="12" w:space="0" w:color="FFFFFF" w:themeColor="background1"/>
              <w:right w:val="single" w:sz="12" w:space="0" w:color="FFFFFF" w:themeColor="background1"/>
            </w:tcBorders>
          </w:tcPr>
          <w:p w14:paraId="7FE55146" w14:textId="6C9CEDE0" w:rsidR="00B63ECB" w:rsidRPr="00B63ECB" w:rsidRDefault="00B63ECB" w:rsidP="00B63ECB">
            <w:pPr>
              <w:pStyle w:val="CETBodytext"/>
              <w:rPr>
                <w:rFonts w:eastAsia="Calibri"/>
                <w:b w:val="0"/>
                <w:bCs w:val="0"/>
                <w:i/>
              </w:rPr>
            </w:pPr>
            <w:r w:rsidRPr="00B63ECB">
              <w:rPr>
                <w:b w:val="0"/>
                <w:bCs w:val="0"/>
              </w:rPr>
              <w:t>RDS (%)</w:t>
            </w:r>
          </w:p>
        </w:tc>
        <w:tc>
          <w:tcPr>
            <w:tcW w:w="1275" w:type="dxa"/>
            <w:tcBorders>
              <w:left w:val="single" w:sz="12" w:space="0" w:color="FFFFFF" w:themeColor="background1"/>
              <w:right w:val="single" w:sz="12" w:space="0" w:color="FFFFFF" w:themeColor="background1"/>
            </w:tcBorders>
          </w:tcPr>
          <w:p w14:paraId="1B6BDA4D" w14:textId="574D3DC2" w:rsidR="00B63ECB" w:rsidRPr="00B63ECB" w:rsidRDefault="00B63ECB" w:rsidP="00B63ECB">
            <w:pPr>
              <w:pStyle w:val="CETBodytext"/>
              <w:cnfStyle w:val="000000000000" w:firstRow="0" w:lastRow="0" w:firstColumn="0" w:lastColumn="0" w:oddVBand="0" w:evenVBand="0" w:oddHBand="0" w:evenHBand="0" w:firstRowFirstColumn="0" w:firstRowLastColumn="0" w:lastRowFirstColumn="0" w:lastRowLastColumn="0"/>
              <w:rPr>
                <w:rFonts w:eastAsia="Calibri"/>
                <w:i/>
                <w:sz w:val="16"/>
                <w:szCs w:val="16"/>
              </w:rPr>
            </w:pPr>
            <w:r w:rsidRPr="00B63ECB">
              <w:rPr>
                <w:sz w:val="16"/>
                <w:szCs w:val="16"/>
              </w:rPr>
              <w:t>70.21 ± 0.42</w:t>
            </w:r>
            <w:r w:rsidRPr="00E00F4D">
              <w:rPr>
                <w:sz w:val="16"/>
                <w:szCs w:val="16"/>
                <w:vertAlign w:val="superscript"/>
              </w:rPr>
              <w:t>a</w:t>
            </w:r>
          </w:p>
        </w:tc>
        <w:tc>
          <w:tcPr>
            <w:tcW w:w="1276" w:type="dxa"/>
            <w:tcBorders>
              <w:left w:val="single" w:sz="12" w:space="0" w:color="FFFFFF" w:themeColor="background1"/>
              <w:right w:val="single" w:sz="12" w:space="0" w:color="FFFFFF" w:themeColor="background1"/>
            </w:tcBorders>
          </w:tcPr>
          <w:p w14:paraId="13A276CB" w14:textId="49FD9416" w:rsidR="00B63ECB" w:rsidRPr="00B63ECB" w:rsidRDefault="00B63ECB" w:rsidP="00B63ECB">
            <w:pPr>
              <w:pStyle w:val="CETBodytext"/>
              <w:cnfStyle w:val="000000000000" w:firstRow="0" w:lastRow="0" w:firstColumn="0" w:lastColumn="0" w:oddVBand="0" w:evenVBand="0" w:oddHBand="0" w:evenHBand="0" w:firstRowFirstColumn="0" w:firstRowLastColumn="0" w:lastRowFirstColumn="0" w:lastRowLastColumn="0"/>
              <w:rPr>
                <w:rFonts w:eastAsia="Calibri"/>
                <w:i/>
                <w:sz w:val="16"/>
                <w:szCs w:val="16"/>
              </w:rPr>
            </w:pPr>
            <w:r w:rsidRPr="00B63ECB">
              <w:rPr>
                <w:sz w:val="16"/>
                <w:szCs w:val="16"/>
              </w:rPr>
              <w:t>65.33 ± 0.36</w:t>
            </w:r>
            <w:r w:rsidRPr="00E00F4D">
              <w:rPr>
                <w:sz w:val="16"/>
                <w:szCs w:val="16"/>
                <w:vertAlign w:val="superscript"/>
              </w:rPr>
              <w:t>b</w:t>
            </w:r>
          </w:p>
        </w:tc>
        <w:tc>
          <w:tcPr>
            <w:tcW w:w="1276" w:type="dxa"/>
            <w:tcBorders>
              <w:left w:val="single" w:sz="12" w:space="0" w:color="FFFFFF" w:themeColor="background1"/>
              <w:right w:val="single" w:sz="12" w:space="0" w:color="FFFFFF" w:themeColor="background1"/>
            </w:tcBorders>
          </w:tcPr>
          <w:p w14:paraId="5AB413C6" w14:textId="0E615383" w:rsidR="00B63ECB" w:rsidRPr="00B63ECB" w:rsidRDefault="00B63ECB" w:rsidP="00B63ECB">
            <w:pPr>
              <w:pStyle w:val="CETBodytext"/>
              <w:cnfStyle w:val="000000000000" w:firstRow="0" w:lastRow="0" w:firstColumn="0" w:lastColumn="0" w:oddVBand="0" w:evenVBand="0" w:oddHBand="0" w:evenHBand="0" w:firstRowFirstColumn="0" w:firstRowLastColumn="0" w:lastRowFirstColumn="0" w:lastRowLastColumn="0"/>
              <w:rPr>
                <w:rFonts w:eastAsia="Calibri"/>
                <w:i/>
                <w:sz w:val="16"/>
                <w:szCs w:val="16"/>
              </w:rPr>
            </w:pPr>
            <w:r w:rsidRPr="00B63ECB">
              <w:rPr>
                <w:sz w:val="16"/>
                <w:szCs w:val="16"/>
              </w:rPr>
              <w:t>64.74 ± 0.35</w:t>
            </w:r>
            <w:r w:rsidRPr="00E00F4D">
              <w:rPr>
                <w:sz w:val="16"/>
                <w:szCs w:val="16"/>
                <w:vertAlign w:val="superscript"/>
              </w:rPr>
              <w:t>c</w:t>
            </w:r>
          </w:p>
        </w:tc>
        <w:tc>
          <w:tcPr>
            <w:tcW w:w="1417" w:type="dxa"/>
            <w:tcBorders>
              <w:left w:val="single" w:sz="12" w:space="0" w:color="FFFFFF" w:themeColor="background1"/>
              <w:right w:val="single" w:sz="12" w:space="0" w:color="FFFFFF" w:themeColor="background1"/>
            </w:tcBorders>
          </w:tcPr>
          <w:p w14:paraId="49677E74" w14:textId="56EEE963" w:rsidR="00B63ECB" w:rsidRPr="00B63ECB" w:rsidRDefault="00B63ECB" w:rsidP="00B63ECB">
            <w:pPr>
              <w:pStyle w:val="CETBodytext"/>
              <w:cnfStyle w:val="000000000000" w:firstRow="0" w:lastRow="0" w:firstColumn="0" w:lastColumn="0" w:oddVBand="0" w:evenVBand="0" w:oddHBand="0" w:evenHBand="0" w:firstRowFirstColumn="0" w:firstRowLastColumn="0" w:lastRowFirstColumn="0" w:lastRowLastColumn="0"/>
              <w:rPr>
                <w:rFonts w:eastAsia="Calibri"/>
                <w:i/>
                <w:sz w:val="16"/>
                <w:szCs w:val="16"/>
              </w:rPr>
            </w:pPr>
            <w:r w:rsidRPr="00B63ECB">
              <w:rPr>
                <w:sz w:val="16"/>
                <w:szCs w:val="16"/>
              </w:rPr>
              <w:t>50.50 ± 0.28</w:t>
            </w:r>
            <w:r w:rsidRPr="00E00F4D">
              <w:rPr>
                <w:sz w:val="16"/>
                <w:szCs w:val="16"/>
                <w:vertAlign w:val="superscript"/>
              </w:rPr>
              <w:t>e</w:t>
            </w:r>
          </w:p>
        </w:tc>
        <w:tc>
          <w:tcPr>
            <w:tcW w:w="1276" w:type="dxa"/>
            <w:tcBorders>
              <w:left w:val="single" w:sz="12" w:space="0" w:color="FFFFFF" w:themeColor="background1"/>
              <w:right w:val="single" w:sz="12" w:space="0" w:color="FFFFFF" w:themeColor="background1"/>
            </w:tcBorders>
          </w:tcPr>
          <w:p w14:paraId="226AF4B8" w14:textId="0AF392D5" w:rsidR="00B63ECB" w:rsidRPr="00B63ECB" w:rsidRDefault="00B63ECB" w:rsidP="00B63ECB">
            <w:pPr>
              <w:pStyle w:val="CETBodytext"/>
              <w:cnfStyle w:val="000000000000" w:firstRow="0" w:lastRow="0" w:firstColumn="0" w:lastColumn="0" w:oddVBand="0" w:evenVBand="0" w:oddHBand="0" w:evenHBand="0" w:firstRowFirstColumn="0" w:firstRowLastColumn="0" w:lastRowFirstColumn="0" w:lastRowLastColumn="0"/>
              <w:rPr>
                <w:rFonts w:eastAsia="Calibri"/>
                <w:i/>
                <w:sz w:val="16"/>
                <w:szCs w:val="16"/>
              </w:rPr>
            </w:pPr>
            <w:r w:rsidRPr="00B63ECB">
              <w:rPr>
                <w:sz w:val="16"/>
                <w:szCs w:val="16"/>
              </w:rPr>
              <w:t>61.98 ± 0.33</w:t>
            </w:r>
            <w:r w:rsidRPr="00E00F4D">
              <w:rPr>
                <w:sz w:val="16"/>
                <w:szCs w:val="16"/>
                <w:vertAlign w:val="superscript"/>
              </w:rPr>
              <w:t>d</w:t>
            </w:r>
          </w:p>
        </w:tc>
        <w:tc>
          <w:tcPr>
            <w:tcW w:w="1259" w:type="dxa"/>
            <w:tcBorders>
              <w:left w:val="single" w:sz="12" w:space="0" w:color="FFFFFF" w:themeColor="background1"/>
              <w:right w:val="single" w:sz="12" w:space="0" w:color="FFFFFF" w:themeColor="background1"/>
            </w:tcBorders>
          </w:tcPr>
          <w:p w14:paraId="7C3B02BE" w14:textId="7185E642" w:rsidR="00B63ECB" w:rsidRPr="00B63ECB" w:rsidRDefault="00B63ECB" w:rsidP="00B63ECB">
            <w:pPr>
              <w:pStyle w:val="CETBodytext"/>
              <w:cnfStyle w:val="000000000000" w:firstRow="0" w:lastRow="0" w:firstColumn="0" w:lastColumn="0" w:oddVBand="0" w:evenVBand="0" w:oddHBand="0" w:evenHBand="0" w:firstRowFirstColumn="0" w:firstRowLastColumn="0" w:lastRowFirstColumn="0" w:lastRowLastColumn="0"/>
              <w:rPr>
                <w:rFonts w:eastAsia="Calibri"/>
                <w:i/>
                <w:sz w:val="16"/>
                <w:szCs w:val="16"/>
              </w:rPr>
            </w:pPr>
            <w:r w:rsidRPr="00B63ECB">
              <w:rPr>
                <w:sz w:val="16"/>
                <w:szCs w:val="16"/>
              </w:rPr>
              <w:t>48.50 ± 0.26</w:t>
            </w:r>
            <w:r w:rsidRPr="00E00F4D">
              <w:rPr>
                <w:sz w:val="16"/>
                <w:szCs w:val="16"/>
                <w:vertAlign w:val="superscript"/>
              </w:rPr>
              <w:t>f</w:t>
            </w:r>
          </w:p>
        </w:tc>
      </w:tr>
      <w:tr w:rsidR="00B63ECB" w:rsidRPr="000E075A" w14:paraId="15464EFB" w14:textId="77777777" w:rsidTr="00B63ECB">
        <w:tc>
          <w:tcPr>
            <w:cnfStyle w:val="001000000000" w:firstRow="0" w:lastRow="0" w:firstColumn="1" w:lastColumn="0" w:oddVBand="0" w:evenVBand="0" w:oddHBand="0" w:evenHBand="0" w:firstRowFirstColumn="0" w:firstRowLastColumn="0" w:lastRowFirstColumn="0" w:lastRowLastColumn="0"/>
            <w:tcW w:w="978" w:type="dxa"/>
            <w:tcBorders>
              <w:left w:val="single" w:sz="12" w:space="0" w:color="FFFFFF" w:themeColor="background1"/>
              <w:right w:val="single" w:sz="12" w:space="0" w:color="FFFFFF" w:themeColor="background1"/>
            </w:tcBorders>
          </w:tcPr>
          <w:p w14:paraId="39EDE99D" w14:textId="6BF3257F" w:rsidR="00B63ECB" w:rsidRPr="00B63ECB" w:rsidRDefault="00B63ECB" w:rsidP="00B63ECB">
            <w:pPr>
              <w:pStyle w:val="CETBodytext"/>
              <w:rPr>
                <w:rFonts w:eastAsia="Calibri"/>
                <w:b w:val="0"/>
                <w:bCs w:val="0"/>
                <w:i/>
              </w:rPr>
            </w:pPr>
            <w:r w:rsidRPr="00B63ECB">
              <w:rPr>
                <w:b w:val="0"/>
                <w:bCs w:val="0"/>
              </w:rPr>
              <w:t>SDS (%)</w:t>
            </w:r>
          </w:p>
        </w:tc>
        <w:tc>
          <w:tcPr>
            <w:tcW w:w="1275" w:type="dxa"/>
            <w:tcBorders>
              <w:left w:val="single" w:sz="12" w:space="0" w:color="FFFFFF" w:themeColor="background1"/>
              <w:right w:val="single" w:sz="12" w:space="0" w:color="FFFFFF" w:themeColor="background1"/>
            </w:tcBorders>
          </w:tcPr>
          <w:p w14:paraId="77280160" w14:textId="151A7C75" w:rsidR="00B63ECB" w:rsidRPr="00B63ECB" w:rsidRDefault="00B63ECB" w:rsidP="00B63ECB">
            <w:pPr>
              <w:pStyle w:val="CETBodytext"/>
              <w:cnfStyle w:val="000000000000" w:firstRow="0" w:lastRow="0" w:firstColumn="0" w:lastColumn="0" w:oddVBand="0" w:evenVBand="0" w:oddHBand="0" w:evenHBand="0" w:firstRowFirstColumn="0" w:firstRowLastColumn="0" w:lastRowFirstColumn="0" w:lastRowLastColumn="0"/>
              <w:rPr>
                <w:rFonts w:eastAsia="Calibri"/>
                <w:i/>
                <w:sz w:val="16"/>
                <w:szCs w:val="16"/>
              </w:rPr>
            </w:pPr>
            <w:r w:rsidRPr="00B63ECB">
              <w:rPr>
                <w:sz w:val="16"/>
                <w:szCs w:val="16"/>
              </w:rPr>
              <w:t>14.38 ± 0.20</w:t>
            </w:r>
            <w:r w:rsidRPr="00E00F4D">
              <w:rPr>
                <w:sz w:val="16"/>
                <w:szCs w:val="16"/>
                <w:vertAlign w:val="superscript"/>
              </w:rPr>
              <w:t>a</w:t>
            </w:r>
          </w:p>
        </w:tc>
        <w:tc>
          <w:tcPr>
            <w:tcW w:w="1276" w:type="dxa"/>
            <w:tcBorders>
              <w:left w:val="single" w:sz="12" w:space="0" w:color="FFFFFF" w:themeColor="background1"/>
              <w:right w:val="single" w:sz="12" w:space="0" w:color="FFFFFF" w:themeColor="background1"/>
            </w:tcBorders>
          </w:tcPr>
          <w:p w14:paraId="54C9BBCE" w14:textId="173E433A" w:rsidR="00B63ECB" w:rsidRPr="00B63ECB" w:rsidRDefault="00B63ECB" w:rsidP="00B63ECB">
            <w:pPr>
              <w:pStyle w:val="CETBodytext"/>
              <w:cnfStyle w:val="000000000000" w:firstRow="0" w:lastRow="0" w:firstColumn="0" w:lastColumn="0" w:oddVBand="0" w:evenVBand="0" w:oddHBand="0" w:evenHBand="0" w:firstRowFirstColumn="0" w:firstRowLastColumn="0" w:lastRowFirstColumn="0" w:lastRowLastColumn="0"/>
              <w:rPr>
                <w:rFonts w:eastAsia="Calibri"/>
                <w:i/>
                <w:sz w:val="16"/>
                <w:szCs w:val="16"/>
              </w:rPr>
            </w:pPr>
            <w:r w:rsidRPr="00B63ECB">
              <w:rPr>
                <w:sz w:val="16"/>
                <w:szCs w:val="16"/>
              </w:rPr>
              <w:t>12.47 ± 0.18</w:t>
            </w:r>
            <w:r w:rsidRPr="00E00F4D">
              <w:rPr>
                <w:sz w:val="16"/>
                <w:szCs w:val="16"/>
                <w:vertAlign w:val="superscript"/>
              </w:rPr>
              <w:t>b</w:t>
            </w:r>
          </w:p>
        </w:tc>
        <w:tc>
          <w:tcPr>
            <w:tcW w:w="1276" w:type="dxa"/>
            <w:tcBorders>
              <w:left w:val="single" w:sz="12" w:space="0" w:color="FFFFFF" w:themeColor="background1"/>
              <w:right w:val="single" w:sz="12" w:space="0" w:color="FFFFFF" w:themeColor="background1"/>
            </w:tcBorders>
          </w:tcPr>
          <w:p w14:paraId="5A36B875" w14:textId="542F8EFC" w:rsidR="00B63ECB" w:rsidRPr="00B63ECB" w:rsidRDefault="00B63ECB" w:rsidP="00B63ECB">
            <w:pPr>
              <w:pStyle w:val="CETBodytext"/>
              <w:cnfStyle w:val="000000000000" w:firstRow="0" w:lastRow="0" w:firstColumn="0" w:lastColumn="0" w:oddVBand="0" w:evenVBand="0" w:oddHBand="0" w:evenHBand="0" w:firstRowFirstColumn="0" w:firstRowLastColumn="0" w:lastRowFirstColumn="0" w:lastRowLastColumn="0"/>
              <w:rPr>
                <w:rFonts w:eastAsia="Calibri"/>
                <w:i/>
                <w:sz w:val="16"/>
                <w:szCs w:val="16"/>
              </w:rPr>
            </w:pPr>
            <w:r w:rsidRPr="00B63ECB">
              <w:rPr>
                <w:sz w:val="16"/>
                <w:szCs w:val="16"/>
              </w:rPr>
              <w:t>3.96 ± 0.07</w:t>
            </w:r>
            <w:r w:rsidRPr="00E00F4D">
              <w:rPr>
                <w:sz w:val="16"/>
                <w:szCs w:val="16"/>
                <w:vertAlign w:val="superscript"/>
              </w:rPr>
              <w:t>f</w:t>
            </w:r>
          </w:p>
        </w:tc>
        <w:tc>
          <w:tcPr>
            <w:tcW w:w="1417" w:type="dxa"/>
            <w:tcBorders>
              <w:left w:val="single" w:sz="12" w:space="0" w:color="FFFFFF" w:themeColor="background1"/>
              <w:right w:val="single" w:sz="12" w:space="0" w:color="FFFFFF" w:themeColor="background1"/>
            </w:tcBorders>
          </w:tcPr>
          <w:p w14:paraId="004F4C8E" w14:textId="2A3DA901" w:rsidR="00B63ECB" w:rsidRPr="00B63ECB" w:rsidRDefault="00B63ECB" w:rsidP="00B63ECB">
            <w:pPr>
              <w:pStyle w:val="CETBodytext"/>
              <w:cnfStyle w:val="000000000000" w:firstRow="0" w:lastRow="0" w:firstColumn="0" w:lastColumn="0" w:oddVBand="0" w:evenVBand="0" w:oddHBand="0" w:evenHBand="0" w:firstRowFirstColumn="0" w:firstRowLastColumn="0" w:lastRowFirstColumn="0" w:lastRowLastColumn="0"/>
              <w:rPr>
                <w:rFonts w:eastAsia="Calibri"/>
                <w:i/>
                <w:sz w:val="16"/>
                <w:szCs w:val="16"/>
              </w:rPr>
            </w:pPr>
            <w:r w:rsidRPr="00B63ECB">
              <w:rPr>
                <w:sz w:val="16"/>
                <w:szCs w:val="16"/>
              </w:rPr>
              <w:t>9.14 ± 0.14</w:t>
            </w:r>
            <w:r w:rsidRPr="00E00F4D">
              <w:rPr>
                <w:sz w:val="16"/>
                <w:szCs w:val="16"/>
                <w:vertAlign w:val="superscript"/>
              </w:rPr>
              <w:t>c</w:t>
            </w:r>
          </w:p>
        </w:tc>
        <w:tc>
          <w:tcPr>
            <w:tcW w:w="1276" w:type="dxa"/>
            <w:tcBorders>
              <w:left w:val="single" w:sz="12" w:space="0" w:color="FFFFFF" w:themeColor="background1"/>
              <w:right w:val="single" w:sz="12" w:space="0" w:color="FFFFFF" w:themeColor="background1"/>
            </w:tcBorders>
          </w:tcPr>
          <w:p w14:paraId="7D389436" w14:textId="226CBF8A" w:rsidR="00B63ECB" w:rsidRPr="00B63ECB" w:rsidRDefault="00B63ECB" w:rsidP="00B63ECB">
            <w:pPr>
              <w:pStyle w:val="CETBodytext"/>
              <w:cnfStyle w:val="000000000000" w:firstRow="0" w:lastRow="0" w:firstColumn="0" w:lastColumn="0" w:oddVBand="0" w:evenVBand="0" w:oddHBand="0" w:evenHBand="0" w:firstRowFirstColumn="0" w:firstRowLastColumn="0" w:lastRowFirstColumn="0" w:lastRowLastColumn="0"/>
              <w:rPr>
                <w:rFonts w:eastAsia="Calibri"/>
                <w:i/>
                <w:sz w:val="16"/>
                <w:szCs w:val="16"/>
              </w:rPr>
            </w:pPr>
            <w:r w:rsidRPr="00B63ECB">
              <w:rPr>
                <w:sz w:val="16"/>
                <w:szCs w:val="16"/>
              </w:rPr>
              <w:t>4.62 ± 0.08</w:t>
            </w:r>
            <w:r w:rsidRPr="00E00F4D">
              <w:rPr>
                <w:sz w:val="16"/>
                <w:szCs w:val="16"/>
                <w:vertAlign w:val="superscript"/>
              </w:rPr>
              <w:t>e</w:t>
            </w:r>
          </w:p>
        </w:tc>
        <w:tc>
          <w:tcPr>
            <w:tcW w:w="1259" w:type="dxa"/>
            <w:tcBorders>
              <w:left w:val="single" w:sz="12" w:space="0" w:color="FFFFFF" w:themeColor="background1"/>
              <w:right w:val="single" w:sz="12" w:space="0" w:color="FFFFFF" w:themeColor="background1"/>
            </w:tcBorders>
          </w:tcPr>
          <w:p w14:paraId="7E9AD766" w14:textId="4159496E" w:rsidR="00B63ECB" w:rsidRPr="00B63ECB" w:rsidRDefault="00B63ECB" w:rsidP="00B63ECB">
            <w:pPr>
              <w:pStyle w:val="CETBodytext"/>
              <w:cnfStyle w:val="000000000000" w:firstRow="0" w:lastRow="0" w:firstColumn="0" w:lastColumn="0" w:oddVBand="0" w:evenVBand="0" w:oddHBand="0" w:evenHBand="0" w:firstRowFirstColumn="0" w:firstRowLastColumn="0" w:lastRowFirstColumn="0" w:lastRowLastColumn="0"/>
              <w:rPr>
                <w:rFonts w:eastAsia="Calibri"/>
                <w:i/>
                <w:sz w:val="16"/>
                <w:szCs w:val="16"/>
              </w:rPr>
            </w:pPr>
            <w:r w:rsidRPr="00B63ECB">
              <w:rPr>
                <w:sz w:val="16"/>
                <w:szCs w:val="16"/>
              </w:rPr>
              <w:t>8.28 ± 0.13</w:t>
            </w:r>
            <w:r w:rsidRPr="00E00F4D">
              <w:rPr>
                <w:sz w:val="16"/>
                <w:szCs w:val="16"/>
                <w:vertAlign w:val="superscript"/>
              </w:rPr>
              <w:t>d</w:t>
            </w:r>
          </w:p>
        </w:tc>
      </w:tr>
      <w:tr w:rsidR="00B63ECB" w:rsidRPr="000E075A" w14:paraId="50DA4045" w14:textId="77777777" w:rsidTr="00B63ECB">
        <w:tc>
          <w:tcPr>
            <w:cnfStyle w:val="001000000000" w:firstRow="0" w:lastRow="0" w:firstColumn="1" w:lastColumn="0" w:oddVBand="0" w:evenVBand="0" w:oddHBand="0" w:evenHBand="0" w:firstRowFirstColumn="0" w:firstRowLastColumn="0" w:lastRowFirstColumn="0" w:lastRowLastColumn="0"/>
            <w:tcW w:w="978" w:type="dxa"/>
            <w:tcBorders>
              <w:left w:val="single" w:sz="12" w:space="0" w:color="FFFFFF" w:themeColor="background1"/>
              <w:right w:val="single" w:sz="12" w:space="0" w:color="FFFFFF" w:themeColor="background1"/>
            </w:tcBorders>
          </w:tcPr>
          <w:p w14:paraId="4550AE74" w14:textId="02B28227" w:rsidR="00B63ECB" w:rsidRPr="00B63ECB" w:rsidRDefault="00B63ECB" w:rsidP="00B63ECB">
            <w:pPr>
              <w:pStyle w:val="CETBodytext"/>
              <w:rPr>
                <w:rFonts w:eastAsia="Calibri"/>
                <w:b w:val="0"/>
                <w:bCs w:val="0"/>
                <w:i/>
              </w:rPr>
            </w:pPr>
            <w:r w:rsidRPr="00B63ECB">
              <w:rPr>
                <w:b w:val="0"/>
                <w:bCs w:val="0"/>
              </w:rPr>
              <w:t>RS (%)</w:t>
            </w:r>
          </w:p>
        </w:tc>
        <w:tc>
          <w:tcPr>
            <w:tcW w:w="1275" w:type="dxa"/>
            <w:tcBorders>
              <w:left w:val="single" w:sz="12" w:space="0" w:color="FFFFFF" w:themeColor="background1"/>
              <w:right w:val="single" w:sz="12" w:space="0" w:color="FFFFFF" w:themeColor="background1"/>
            </w:tcBorders>
          </w:tcPr>
          <w:p w14:paraId="4341659E" w14:textId="19EDA25D" w:rsidR="00B63ECB" w:rsidRPr="00B63ECB" w:rsidRDefault="00B63ECB" w:rsidP="00B63ECB">
            <w:pPr>
              <w:pStyle w:val="CETBodytext"/>
              <w:cnfStyle w:val="000000000000" w:firstRow="0" w:lastRow="0" w:firstColumn="0" w:lastColumn="0" w:oddVBand="0" w:evenVBand="0" w:oddHBand="0" w:evenHBand="0" w:firstRowFirstColumn="0" w:firstRowLastColumn="0" w:lastRowFirstColumn="0" w:lastRowLastColumn="0"/>
              <w:rPr>
                <w:rFonts w:eastAsia="Calibri"/>
                <w:i/>
                <w:sz w:val="16"/>
                <w:szCs w:val="16"/>
              </w:rPr>
            </w:pPr>
            <w:r w:rsidRPr="00B63ECB">
              <w:rPr>
                <w:sz w:val="16"/>
                <w:szCs w:val="16"/>
              </w:rPr>
              <w:t>15.41 ± 0.19</w:t>
            </w:r>
            <w:r w:rsidRPr="00E00F4D">
              <w:rPr>
                <w:sz w:val="16"/>
                <w:szCs w:val="16"/>
                <w:vertAlign w:val="superscript"/>
              </w:rPr>
              <w:t>f</w:t>
            </w:r>
          </w:p>
        </w:tc>
        <w:tc>
          <w:tcPr>
            <w:tcW w:w="1276" w:type="dxa"/>
            <w:tcBorders>
              <w:left w:val="single" w:sz="12" w:space="0" w:color="FFFFFF" w:themeColor="background1"/>
              <w:right w:val="single" w:sz="12" w:space="0" w:color="FFFFFF" w:themeColor="background1"/>
            </w:tcBorders>
          </w:tcPr>
          <w:p w14:paraId="3EE43132" w14:textId="16A21149" w:rsidR="00B63ECB" w:rsidRPr="00B63ECB" w:rsidRDefault="00B63ECB" w:rsidP="00B63ECB">
            <w:pPr>
              <w:pStyle w:val="CETBodytext"/>
              <w:cnfStyle w:val="000000000000" w:firstRow="0" w:lastRow="0" w:firstColumn="0" w:lastColumn="0" w:oddVBand="0" w:evenVBand="0" w:oddHBand="0" w:evenHBand="0" w:firstRowFirstColumn="0" w:firstRowLastColumn="0" w:lastRowFirstColumn="0" w:lastRowLastColumn="0"/>
              <w:rPr>
                <w:rFonts w:eastAsia="Calibri"/>
                <w:i/>
                <w:sz w:val="16"/>
                <w:szCs w:val="16"/>
              </w:rPr>
            </w:pPr>
            <w:r w:rsidRPr="00B63ECB">
              <w:rPr>
                <w:sz w:val="16"/>
                <w:szCs w:val="16"/>
              </w:rPr>
              <w:t>22.20 ± 0.25</w:t>
            </w:r>
            <w:r w:rsidRPr="00E00F4D">
              <w:rPr>
                <w:sz w:val="16"/>
                <w:szCs w:val="16"/>
                <w:vertAlign w:val="superscript"/>
              </w:rPr>
              <w:t>e</w:t>
            </w:r>
          </w:p>
        </w:tc>
        <w:tc>
          <w:tcPr>
            <w:tcW w:w="1276" w:type="dxa"/>
            <w:tcBorders>
              <w:left w:val="single" w:sz="12" w:space="0" w:color="FFFFFF" w:themeColor="background1"/>
              <w:right w:val="single" w:sz="12" w:space="0" w:color="FFFFFF" w:themeColor="background1"/>
            </w:tcBorders>
          </w:tcPr>
          <w:p w14:paraId="534019FD" w14:textId="0FE45705" w:rsidR="00B63ECB" w:rsidRPr="00B63ECB" w:rsidRDefault="00B63ECB" w:rsidP="00B63ECB">
            <w:pPr>
              <w:pStyle w:val="CETBodytext"/>
              <w:cnfStyle w:val="000000000000" w:firstRow="0" w:lastRow="0" w:firstColumn="0" w:lastColumn="0" w:oddVBand="0" w:evenVBand="0" w:oddHBand="0" w:evenHBand="0" w:firstRowFirstColumn="0" w:firstRowLastColumn="0" w:lastRowFirstColumn="0" w:lastRowLastColumn="0"/>
              <w:rPr>
                <w:rFonts w:eastAsia="Calibri"/>
                <w:i/>
                <w:sz w:val="16"/>
                <w:szCs w:val="16"/>
              </w:rPr>
            </w:pPr>
            <w:r w:rsidRPr="00B63ECB">
              <w:rPr>
                <w:sz w:val="16"/>
                <w:szCs w:val="16"/>
              </w:rPr>
              <w:t>31.30 ± 0.31</w:t>
            </w:r>
            <w:r w:rsidRPr="00E00F4D">
              <w:rPr>
                <w:sz w:val="16"/>
                <w:szCs w:val="16"/>
                <w:vertAlign w:val="superscript"/>
              </w:rPr>
              <w:t>d</w:t>
            </w:r>
          </w:p>
        </w:tc>
        <w:tc>
          <w:tcPr>
            <w:tcW w:w="1417" w:type="dxa"/>
            <w:tcBorders>
              <w:left w:val="single" w:sz="12" w:space="0" w:color="FFFFFF" w:themeColor="background1"/>
              <w:right w:val="single" w:sz="12" w:space="0" w:color="FFFFFF" w:themeColor="background1"/>
            </w:tcBorders>
          </w:tcPr>
          <w:p w14:paraId="5D31DC0B" w14:textId="6511AA9B" w:rsidR="00B63ECB" w:rsidRPr="00B63ECB" w:rsidRDefault="00B63ECB" w:rsidP="00B63ECB">
            <w:pPr>
              <w:pStyle w:val="CETBodytext"/>
              <w:cnfStyle w:val="000000000000" w:firstRow="0" w:lastRow="0" w:firstColumn="0" w:lastColumn="0" w:oddVBand="0" w:evenVBand="0" w:oddHBand="0" w:evenHBand="0" w:firstRowFirstColumn="0" w:firstRowLastColumn="0" w:lastRowFirstColumn="0" w:lastRowLastColumn="0"/>
              <w:rPr>
                <w:rFonts w:eastAsia="Calibri"/>
                <w:i/>
                <w:sz w:val="16"/>
                <w:szCs w:val="16"/>
              </w:rPr>
            </w:pPr>
            <w:r w:rsidRPr="00B63ECB">
              <w:rPr>
                <w:sz w:val="16"/>
                <w:szCs w:val="16"/>
              </w:rPr>
              <w:t>40.36 ± 0.39</w:t>
            </w:r>
            <w:r w:rsidRPr="00E00F4D">
              <w:rPr>
                <w:sz w:val="16"/>
                <w:szCs w:val="16"/>
                <w:vertAlign w:val="superscript"/>
              </w:rPr>
              <w:t>b</w:t>
            </w:r>
          </w:p>
        </w:tc>
        <w:tc>
          <w:tcPr>
            <w:tcW w:w="1276" w:type="dxa"/>
            <w:tcBorders>
              <w:left w:val="single" w:sz="12" w:space="0" w:color="FFFFFF" w:themeColor="background1"/>
              <w:right w:val="single" w:sz="12" w:space="0" w:color="FFFFFF" w:themeColor="background1"/>
            </w:tcBorders>
          </w:tcPr>
          <w:p w14:paraId="5CD389BB" w14:textId="11A25225" w:rsidR="00B63ECB" w:rsidRPr="00B63ECB" w:rsidRDefault="00B63ECB" w:rsidP="00B63ECB">
            <w:pPr>
              <w:pStyle w:val="CETBodytext"/>
              <w:cnfStyle w:val="000000000000" w:firstRow="0" w:lastRow="0" w:firstColumn="0" w:lastColumn="0" w:oddVBand="0" w:evenVBand="0" w:oddHBand="0" w:evenHBand="0" w:firstRowFirstColumn="0" w:firstRowLastColumn="0" w:lastRowFirstColumn="0" w:lastRowLastColumn="0"/>
              <w:rPr>
                <w:rFonts w:eastAsia="Calibri"/>
                <w:i/>
                <w:sz w:val="16"/>
                <w:szCs w:val="16"/>
              </w:rPr>
            </w:pPr>
            <w:r w:rsidRPr="00B63ECB">
              <w:rPr>
                <w:sz w:val="16"/>
                <w:szCs w:val="16"/>
              </w:rPr>
              <w:t>33.40 ± 0.32</w:t>
            </w:r>
            <w:r w:rsidRPr="00E00F4D">
              <w:rPr>
                <w:sz w:val="16"/>
                <w:szCs w:val="16"/>
                <w:vertAlign w:val="superscript"/>
              </w:rPr>
              <w:t>c</w:t>
            </w:r>
          </w:p>
        </w:tc>
        <w:tc>
          <w:tcPr>
            <w:tcW w:w="1259" w:type="dxa"/>
            <w:tcBorders>
              <w:left w:val="single" w:sz="12" w:space="0" w:color="FFFFFF" w:themeColor="background1"/>
              <w:right w:val="single" w:sz="12" w:space="0" w:color="FFFFFF" w:themeColor="background1"/>
            </w:tcBorders>
          </w:tcPr>
          <w:p w14:paraId="3A57AED0" w14:textId="06DDC48F" w:rsidR="00B63ECB" w:rsidRPr="00B63ECB" w:rsidRDefault="00B63ECB" w:rsidP="00B63ECB">
            <w:pPr>
              <w:pStyle w:val="CETBodytext"/>
              <w:cnfStyle w:val="000000000000" w:firstRow="0" w:lastRow="0" w:firstColumn="0" w:lastColumn="0" w:oddVBand="0" w:evenVBand="0" w:oddHBand="0" w:evenHBand="0" w:firstRowFirstColumn="0" w:firstRowLastColumn="0" w:lastRowFirstColumn="0" w:lastRowLastColumn="0"/>
              <w:rPr>
                <w:rFonts w:eastAsia="Calibri"/>
                <w:i/>
                <w:sz w:val="16"/>
                <w:szCs w:val="16"/>
              </w:rPr>
            </w:pPr>
            <w:r w:rsidRPr="00B63ECB">
              <w:rPr>
                <w:sz w:val="16"/>
                <w:szCs w:val="16"/>
              </w:rPr>
              <w:t>43.22 ± 0.41</w:t>
            </w:r>
            <w:r w:rsidRPr="00E00F4D">
              <w:rPr>
                <w:sz w:val="16"/>
                <w:szCs w:val="16"/>
                <w:vertAlign w:val="superscript"/>
              </w:rPr>
              <w:t>a</w:t>
            </w:r>
          </w:p>
        </w:tc>
      </w:tr>
      <w:tr w:rsidR="00B63ECB" w:rsidRPr="000E075A" w14:paraId="38CE6110" w14:textId="77777777" w:rsidTr="00B63ECB">
        <w:tc>
          <w:tcPr>
            <w:cnfStyle w:val="001000000000" w:firstRow="0" w:lastRow="0" w:firstColumn="1" w:lastColumn="0" w:oddVBand="0" w:evenVBand="0" w:oddHBand="0" w:evenHBand="0" w:firstRowFirstColumn="0" w:firstRowLastColumn="0" w:lastRowFirstColumn="0" w:lastRowLastColumn="0"/>
            <w:tcW w:w="978" w:type="dxa"/>
            <w:tcBorders>
              <w:left w:val="single" w:sz="12" w:space="0" w:color="FFFFFF" w:themeColor="background1"/>
              <w:right w:val="single" w:sz="12" w:space="0" w:color="FFFFFF" w:themeColor="background1"/>
            </w:tcBorders>
          </w:tcPr>
          <w:p w14:paraId="5FE087AF" w14:textId="616FC5F1" w:rsidR="00B63ECB" w:rsidRPr="00B63ECB" w:rsidRDefault="00B63ECB" w:rsidP="00B63ECB">
            <w:pPr>
              <w:pStyle w:val="CETBodytext"/>
              <w:rPr>
                <w:rFonts w:eastAsia="Calibri"/>
                <w:b w:val="0"/>
                <w:bCs w:val="0"/>
                <w:i/>
              </w:rPr>
            </w:pPr>
            <w:r w:rsidRPr="00B63ECB">
              <w:rPr>
                <w:b w:val="0"/>
                <w:bCs w:val="0"/>
              </w:rPr>
              <w:t>GI</w:t>
            </w:r>
          </w:p>
        </w:tc>
        <w:tc>
          <w:tcPr>
            <w:tcW w:w="1275" w:type="dxa"/>
            <w:tcBorders>
              <w:left w:val="single" w:sz="12" w:space="0" w:color="FFFFFF" w:themeColor="background1"/>
              <w:right w:val="single" w:sz="12" w:space="0" w:color="FFFFFF" w:themeColor="background1"/>
            </w:tcBorders>
          </w:tcPr>
          <w:p w14:paraId="43C21EA3" w14:textId="4112B261" w:rsidR="00B63ECB" w:rsidRPr="00B63ECB" w:rsidRDefault="00B63ECB" w:rsidP="00B63ECB">
            <w:pPr>
              <w:pStyle w:val="CETBodytext"/>
              <w:cnfStyle w:val="000000000000" w:firstRow="0" w:lastRow="0" w:firstColumn="0" w:lastColumn="0" w:oddVBand="0" w:evenVBand="0" w:oddHBand="0" w:evenHBand="0" w:firstRowFirstColumn="0" w:firstRowLastColumn="0" w:lastRowFirstColumn="0" w:lastRowLastColumn="0"/>
              <w:rPr>
                <w:rFonts w:eastAsia="Calibri"/>
                <w:i/>
                <w:sz w:val="16"/>
                <w:szCs w:val="16"/>
              </w:rPr>
            </w:pPr>
            <w:r w:rsidRPr="00B63ECB">
              <w:rPr>
                <w:sz w:val="16"/>
                <w:szCs w:val="16"/>
              </w:rPr>
              <w:t>70.22 ± 0.45</w:t>
            </w:r>
            <w:r w:rsidRPr="00E00F4D">
              <w:rPr>
                <w:sz w:val="16"/>
                <w:szCs w:val="16"/>
                <w:vertAlign w:val="superscript"/>
              </w:rPr>
              <w:t>a</w:t>
            </w:r>
          </w:p>
        </w:tc>
        <w:tc>
          <w:tcPr>
            <w:tcW w:w="1276" w:type="dxa"/>
            <w:tcBorders>
              <w:left w:val="single" w:sz="12" w:space="0" w:color="FFFFFF" w:themeColor="background1"/>
              <w:right w:val="single" w:sz="12" w:space="0" w:color="FFFFFF" w:themeColor="background1"/>
            </w:tcBorders>
          </w:tcPr>
          <w:p w14:paraId="091E39CC" w14:textId="37AFCB3B" w:rsidR="00B63ECB" w:rsidRPr="00B63ECB" w:rsidRDefault="00B63ECB" w:rsidP="00B63ECB">
            <w:pPr>
              <w:pStyle w:val="CETBodytext"/>
              <w:cnfStyle w:val="000000000000" w:firstRow="0" w:lastRow="0" w:firstColumn="0" w:lastColumn="0" w:oddVBand="0" w:evenVBand="0" w:oddHBand="0" w:evenHBand="0" w:firstRowFirstColumn="0" w:firstRowLastColumn="0" w:lastRowFirstColumn="0" w:lastRowLastColumn="0"/>
              <w:rPr>
                <w:rFonts w:eastAsia="Calibri"/>
                <w:i/>
                <w:sz w:val="16"/>
                <w:szCs w:val="16"/>
              </w:rPr>
            </w:pPr>
            <w:r w:rsidRPr="00B63ECB">
              <w:rPr>
                <w:sz w:val="16"/>
                <w:szCs w:val="16"/>
              </w:rPr>
              <w:t>66.85 ± 0.40</w:t>
            </w:r>
            <w:r w:rsidRPr="00E00F4D">
              <w:rPr>
                <w:sz w:val="16"/>
                <w:szCs w:val="16"/>
                <w:vertAlign w:val="superscript"/>
              </w:rPr>
              <w:t>b</w:t>
            </w:r>
          </w:p>
        </w:tc>
        <w:tc>
          <w:tcPr>
            <w:tcW w:w="1276" w:type="dxa"/>
            <w:tcBorders>
              <w:left w:val="single" w:sz="12" w:space="0" w:color="FFFFFF" w:themeColor="background1"/>
              <w:right w:val="single" w:sz="12" w:space="0" w:color="FFFFFF" w:themeColor="background1"/>
            </w:tcBorders>
          </w:tcPr>
          <w:p w14:paraId="679BEDC5" w14:textId="217FFAF7" w:rsidR="00B63ECB" w:rsidRPr="00B63ECB" w:rsidRDefault="00B63ECB" w:rsidP="00B63ECB">
            <w:pPr>
              <w:pStyle w:val="CETBodytext"/>
              <w:cnfStyle w:val="000000000000" w:firstRow="0" w:lastRow="0" w:firstColumn="0" w:lastColumn="0" w:oddVBand="0" w:evenVBand="0" w:oddHBand="0" w:evenHBand="0" w:firstRowFirstColumn="0" w:firstRowLastColumn="0" w:lastRowFirstColumn="0" w:lastRowLastColumn="0"/>
              <w:rPr>
                <w:rFonts w:eastAsia="Calibri"/>
                <w:i/>
                <w:sz w:val="16"/>
                <w:szCs w:val="16"/>
              </w:rPr>
            </w:pPr>
            <w:r w:rsidRPr="00B63ECB">
              <w:rPr>
                <w:sz w:val="16"/>
                <w:szCs w:val="16"/>
              </w:rPr>
              <w:t>58.85 ± 0.34</w:t>
            </w:r>
            <w:r w:rsidRPr="00E00F4D">
              <w:rPr>
                <w:sz w:val="16"/>
                <w:szCs w:val="16"/>
                <w:vertAlign w:val="superscript"/>
              </w:rPr>
              <w:t>c</w:t>
            </w:r>
          </w:p>
        </w:tc>
        <w:tc>
          <w:tcPr>
            <w:tcW w:w="1417" w:type="dxa"/>
            <w:tcBorders>
              <w:left w:val="single" w:sz="12" w:space="0" w:color="FFFFFF" w:themeColor="background1"/>
              <w:right w:val="single" w:sz="12" w:space="0" w:color="FFFFFF" w:themeColor="background1"/>
            </w:tcBorders>
          </w:tcPr>
          <w:p w14:paraId="63FD9447" w14:textId="2F8BE333" w:rsidR="00B63ECB" w:rsidRPr="00B63ECB" w:rsidRDefault="00B63ECB" w:rsidP="00B63ECB">
            <w:pPr>
              <w:pStyle w:val="CETBodytext"/>
              <w:cnfStyle w:val="000000000000" w:firstRow="0" w:lastRow="0" w:firstColumn="0" w:lastColumn="0" w:oddVBand="0" w:evenVBand="0" w:oddHBand="0" w:evenHBand="0" w:firstRowFirstColumn="0" w:firstRowLastColumn="0" w:lastRowFirstColumn="0" w:lastRowLastColumn="0"/>
              <w:rPr>
                <w:rFonts w:eastAsia="Calibri"/>
                <w:i/>
                <w:sz w:val="16"/>
                <w:szCs w:val="16"/>
              </w:rPr>
            </w:pPr>
            <w:r w:rsidRPr="00B63ECB">
              <w:rPr>
                <w:sz w:val="16"/>
                <w:szCs w:val="16"/>
              </w:rPr>
              <w:t>50.15 ± 0.29</w:t>
            </w:r>
            <w:r w:rsidRPr="00E00F4D">
              <w:rPr>
                <w:sz w:val="16"/>
                <w:szCs w:val="16"/>
                <w:vertAlign w:val="superscript"/>
              </w:rPr>
              <w:t>e</w:t>
            </w:r>
          </w:p>
        </w:tc>
        <w:tc>
          <w:tcPr>
            <w:tcW w:w="1276" w:type="dxa"/>
            <w:tcBorders>
              <w:left w:val="single" w:sz="12" w:space="0" w:color="FFFFFF" w:themeColor="background1"/>
              <w:right w:val="single" w:sz="12" w:space="0" w:color="FFFFFF" w:themeColor="background1"/>
            </w:tcBorders>
          </w:tcPr>
          <w:p w14:paraId="122E4F59" w14:textId="71B04B38" w:rsidR="00B63ECB" w:rsidRPr="00B63ECB" w:rsidRDefault="00B63ECB" w:rsidP="00B63ECB">
            <w:pPr>
              <w:pStyle w:val="CETBodytext"/>
              <w:cnfStyle w:val="000000000000" w:firstRow="0" w:lastRow="0" w:firstColumn="0" w:lastColumn="0" w:oddVBand="0" w:evenVBand="0" w:oddHBand="0" w:evenHBand="0" w:firstRowFirstColumn="0" w:firstRowLastColumn="0" w:lastRowFirstColumn="0" w:lastRowLastColumn="0"/>
              <w:rPr>
                <w:rFonts w:eastAsia="Calibri"/>
                <w:i/>
                <w:sz w:val="16"/>
                <w:szCs w:val="16"/>
              </w:rPr>
            </w:pPr>
            <w:r w:rsidRPr="00B63ECB">
              <w:rPr>
                <w:sz w:val="16"/>
                <w:szCs w:val="16"/>
              </w:rPr>
              <w:t>56.25 ± 0.33</w:t>
            </w:r>
            <w:r w:rsidRPr="00E00F4D">
              <w:rPr>
                <w:sz w:val="16"/>
                <w:szCs w:val="16"/>
                <w:vertAlign w:val="superscript"/>
              </w:rPr>
              <w:t>d</w:t>
            </w:r>
          </w:p>
        </w:tc>
        <w:tc>
          <w:tcPr>
            <w:tcW w:w="1259" w:type="dxa"/>
            <w:tcBorders>
              <w:left w:val="single" w:sz="12" w:space="0" w:color="FFFFFF" w:themeColor="background1"/>
              <w:right w:val="single" w:sz="12" w:space="0" w:color="FFFFFF" w:themeColor="background1"/>
            </w:tcBorders>
          </w:tcPr>
          <w:p w14:paraId="15A6BDDC" w14:textId="7C052092" w:rsidR="00B63ECB" w:rsidRPr="00B63ECB" w:rsidRDefault="00B63ECB" w:rsidP="00B63ECB">
            <w:pPr>
              <w:pStyle w:val="CETBodytext"/>
              <w:cnfStyle w:val="000000000000" w:firstRow="0" w:lastRow="0" w:firstColumn="0" w:lastColumn="0" w:oddVBand="0" w:evenVBand="0" w:oddHBand="0" w:evenHBand="0" w:firstRowFirstColumn="0" w:firstRowLastColumn="0" w:lastRowFirstColumn="0" w:lastRowLastColumn="0"/>
              <w:rPr>
                <w:rFonts w:eastAsia="Calibri"/>
                <w:i/>
                <w:sz w:val="16"/>
                <w:szCs w:val="16"/>
              </w:rPr>
            </w:pPr>
            <w:r w:rsidRPr="00B63ECB">
              <w:rPr>
                <w:sz w:val="16"/>
                <w:szCs w:val="16"/>
              </w:rPr>
              <w:t>48.37 ± 0.27</w:t>
            </w:r>
            <w:r w:rsidRPr="00E00F4D">
              <w:rPr>
                <w:sz w:val="16"/>
                <w:szCs w:val="16"/>
                <w:vertAlign w:val="superscript"/>
              </w:rPr>
              <w:t>f</w:t>
            </w:r>
          </w:p>
        </w:tc>
      </w:tr>
    </w:tbl>
    <w:p w14:paraId="20D6C21F" w14:textId="6086B91F" w:rsidR="00E16910" w:rsidRPr="00365650" w:rsidRDefault="00E16910" w:rsidP="00365650">
      <w:pPr>
        <w:pStyle w:val="CETBodytext"/>
        <w:rPr>
          <w:i/>
          <w:iCs/>
          <w:sz w:val="16"/>
          <w:szCs w:val="16"/>
        </w:rPr>
      </w:pPr>
      <w:r w:rsidRPr="00365650">
        <w:rPr>
          <w:i/>
          <w:iCs/>
          <w:sz w:val="16"/>
          <w:szCs w:val="16"/>
        </w:rPr>
        <w:t>RDS - rapidly digestible starch</w:t>
      </w:r>
      <w:r w:rsidR="00CA2151" w:rsidRPr="00365650">
        <w:rPr>
          <w:i/>
          <w:iCs/>
          <w:sz w:val="16"/>
          <w:szCs w:val="16"/>
        </w:rPr>
        <w:t xml:space="preserve">: </w:t>
      </w:r>
      <w:r w:rsidRPr="00365650">
        <w:rPr>
          <w:i/>
          <w:iCs/>
          <w:sz w:val="16"/>
          <w:szCs w:val="16"/>
        </w:rPr>
        <w:t>SDS - slowly digestible starch</w:t>
      </w:r>
      <w:r w:rsidR="00CA2151" w:rsidRPr="00365650">
        <w:rPr>
          <w:i/>
          <w:iCs/>
          <w:sz w:val="16"/>
          <w:szCs w:val="16"/>
        </w:rPr>
        <w:t xml:space="preserve">: </w:t>
      </w:r>
      <w:r w:rsidRPr="00365650">
        <w:rPr>
          <w:i/>
          <w:iCs/>
          <w:sz w:val="16"/>
          <w:szCs w:val="16"/>
        </w:rPr>
        <w:t>RS - resistant starch</w:t>
      </w:r>
      <w:r w:rsidR="00CA2151" w:rsidRPr="00365650">
        <w:rPr>
          <w:i/>
          <w:iCs/>
          <w:sz w:val="16"/>
          <w:szCs w:val="16"/>
        </w:rPr>
        <w:t xml:space="preserve">: </w:t>
      </w:r>
      <w:r w:rsidRPr="00365650">
        <w:rPr>
          <w:i/>
          <w:iCs/>
          <w:sz w:val="16"/>
          <w:szCs w:val="16"/>
        </w:rPr>
        <w:t>GI - glycemic index.</w:t>
      </w:r>
    </w:p>
    <w:p w14:paraId="25568400" w14:textId="4400C024" w:rsidR="00F832D4" w:rsidRPr="00365650" w:rsidRDefault="00F832D4" w:rsidP="00365650">
      <w:pPr>
        <w:pStyle w:val="CETBodytext"/>
        <w:rPr>
          <w:i/>
          <w:iCs/>
          <w:sz w:val="16"/>
          <w:szCs w:val="16"/>
        </w:rPr>
      </w:pPr>
      <w:r w:rsidRPr="00365650">
        <w:rPr>
          <w:i/>
          <w:iCs/>
          <w:sz w:val="16"/>
          <w:szCs w:val="16"/>
        </w:rPr>
        <w:t>Values are expressed as mean ± standard deviation (n = 3). Different superscript letters within the same row indicate statistically significant differences at p &lt; 0.05.</w:t>
      </w:r>
    </w:p>
    <w:p w14:paraId="52F2407A" w14:textId="77777777" w:rsidR="00CA2151" w:rsidRPr="00E16910" w:rsidRDefault="00CA2151" w:rsidP="007C67DD">
      <w:pPr>
        <w:pStyle w:val="CETBodytext"/>
        <w:spacing w:line="240" w:lineRule="auto"/>
        <w:rPr>
          <w:i/>
          <w:iCs/>
        </w:rPr>
      </w:pPr>
    </w:p>
    <w:p w14:paraId="445940AD" w14:textId="68D5857D" w:rsidR="009448A7" w:rsidRPr="000E075A" w:rsidRDefault="00AC7CC6" w:rsidP="000E075A">
      <w:pPr>
        <w:pStyle w:val="CETBodytext"/>
      </w:pPr>
      <w:r w:rsidRPr="00AC7CC6">
        <w:t xml:space="preserve">The changes in flour composition significantly affected starch digestibility and the glycemic index (GI) of cookies. Wheat flour cookies showed the highest rapidly digestible starch content and GI values, whereas barley flour </w:t>
      </w:r>
      <w:r w:rsidRPr="00AC7CC6">
        <w:lastRenderedPageBreak/>
        <w:t xml:space="preserve">cookies contained more resistant starch and less rapidly digestible starch. The GI values of barley-based cookies were 50.15 for Abu </w:t>
      </w:r>
      <w:proofErr w:type="spellStart"/>
      <w:r w:rsidRPr="00AC7CC6">
        <w:t>G‘ofur</w:t>
      </w:r>
      <w:proofErr w:type="spellEnd"/>
      <w:r w:rsidRPr="00AC7CC6">
        <w:t xml:space="preserve"> and 48.37 for HM-140, classifying them as low-glycemic products. This reduction is mainly related to the combined effects of resistant starch, soluble and insoluble fibers, which slow starch hydrolysis, increase intestinal viscosity, and reduce postprandial glucose release (Yang et al., 2019). These results confirm the potential of barley flour for producing functional bakery products with improved glycemic response.</w:t>
      </w:r>
    </w:p>
    <w:p w14:paraId="05A15A62" w14:textId="4FC13E27" w:rsidR="009448A7" w:rsidRPr="002703BC" w:rsidRDefault="009448A7" w:rsidP="002703BC">
      <w:pPr>
        <w:pStyle w:val="CETheadingx"/>
      </w:pPr>
      <w:r w:rsidRPr="002703BC">
        <w:t>3.4 Organoleptic and technological quality of cookies</w:t>
      </w:r>
    </w:p>
    <w:p w14:paraId="37210311" w14:textId="0F796B5A" w:rsidR="009448A7" w:rsidRPr="000E075A" w:rsidRDefault="00734E1D" w:rsidP="000E075A">
      <w:pPr>
        <w:pStyle w:val="CETBodytext"/>
      </w:pPr>
      <w:r w:rsidRPr="000E075A">
        <w:t xml:space="preserve">The organoleptic assessment demonstrated that cookies formulated with barley flour exhibited favorable sensory attributes, surpassing those of wheat flour counterparts. Total sensory scores were 3.6 for wheat flour cookies, 4.2 for Abu </w:t>
      </w:r>
      <w:proofErr w:type="spellStart"/>
      <w:r w:rsidRPr="000E075A">
        <w:t>G‘ofur</w:t>
      </w:r>
      <w:proofErr w:type="spellEnd"/>
      <w:r w:rsidRPr="000E075A">
        <w:t xml:space="preserve">, and 4.5 for HM-140, respectively. </w:t>
      </w:r>
      <w:r w:rsidR="00AC7CC6" w:rsidRPr="00AC7CC6">
        <w:t xml:space="preserve">The organoleptic evaluation was performed using a 5-point scoring system. The total score included product structure and appearance at breakage (maximum 0.6 points), surface shape and condition (maximum 0.9 points), color (maximum 1.0 point), taste (maximum 1.5 points), and odor (maximum 1.0 point). </w:t>
      </w:r>
      <w:r w:rsidR="00365650" w:rsidRPr="00365650">
        <w:t>Higher scores reflected better sensory acceptability. Barley-based cookies had a uniform surface, attractive color, and characteristic barley flavor. Cookies made with HM-140 flour received the highest sensory score, confirming the potential of hull-less barley flour for producing sugar-free cookies with improved consumer acceptability. These findings support the use of barley flour in functional bakery formulations to enhance both nutritional and sensory quality.</w:t>
      </w:r>
    </w:p>
    <w:p w14:paraId="7831B496" w14:textId="340389C5" w:rsidR="00601CE9" w:rsidRPr="000E075A" w:rsidRDefault="00601CE9" w:rsidP="000E075A">
      <w:pPr>
        <w:pStyle w:val="CETTabletitle"/>
        <w:rPr>
          <w:rFonts w:eastAsia="Aptos"/>
        </w:rPr>
      </w:pPr>
      <w:r w:rsidRPr="000E075A">
        <w:rPr>
          <w:rFonts w:eastAsia="Aptos"/>
        </w:rPr>
        <w:t>Table 5</w:t>
      </w:r>
      <w:r w:rsidR="00CA2151" w:rsidRPr="000E075A">
        <w:rPr>
          <w:rFonts w:eastAsia="Aptos"/>
        </w:rPr>
        <w:t>:</w:t>
      </w:r>
      <w:r w:rsidRPr="000E075A">
        <w:rPr>
          <w:rFonts w:eastAsia="Aptos"/>
        </w:rPr>
        <w:t xml:space="preserve"> Organoleptic evaluation results of sugar-free cookies prepared from wheat and barley flours</w:t>
      </w:r>
    </w:p>
    <w:tbl>
      <w:tblPr>
        <w:tblStyle w:val="-165"/>
        <w:tblW w:w="0" w:type="auto"/>
        <w:tblLook w:val="04A0" w:firstRow="1" w:lastRow="0" w:firstColumn="1" w:lastColumn="0" w:noHBand="0" w:noVBand="1"/>
      </w:tblPr>
      <w:tblGrid>
        <w:gridCol w:w="2547"/>
        <w:gridCol w:w="2104"/>
        <w:gridCol w:w="2093"/>
        <w:gridCol w:w="2013"/>
      </w:tblGrid>
      <w:tr w:rsidR="00601CE9" w:rsidRPr="00365650" w14:paraId="32872F11" w14:textId="77777777" w:rsidTr="0036565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Borders>
              <w:top w:val="single" w:sz="12" w:space="0" w:color="92D050"/>
              <w:left w:val="single" w:sz="12" w:space="0" w:color="FFFFFF" w:themeColor="background1"/>
              <w:right w:val="single" w:sz="12" w:space="0" w:color="FFFFFF" w:themeColor="background1"/>
            </w:tcBorders>
            <w:vAlign w:val="center"/>
            <w:hideMark/>
          </w:tcPr>
          <w:p w14:paraId="25E9D209" w14:textId="77777777" w:rsidR="00601CE9" w:rsidRPr="00365650" w:rsidRDefault="00601CE9" w:rsidP="000753B9">
            <w:pPr>
              <w:pStyle w:val="CETBodytext"/>
              <w:spacing w:line="240" w:lineRule="auto"/>
              <w:rPr>
                <w:i/>
                <w:sz w:val="16"/>
                <w:szCs w:val="16"/>
                <w:lang w:eastAsia="ru-RU"/>
              </w:rPr>
            </w:pPr>
            <w:r w:rsidRPr="00365650">
              <w:rPr>
                <w:sz w:val="16"/>
                <w:szCs w:val="16"/>
                <w:lang w:eastAsia="ru-RU"/>
              </w:rPr>
              <w:t>Product quality indicators</w:t>
            </w:r>
          </w:p>
        </w:tc>
        <w:tc>
          <w:tcPr>
            <w:tcW w:w="2104" w:type="dxa"/>
            <w:tcBorders>
              <w:top w:val="single" w:sz="12" w:space="0" w:color="92D050"/>
              <w:left w:val="single" w:sz="12" w:space="0" w:color="FFFFFF" w:themeColor="background1"/>
              <w:right w:val="single" w:sz="12" w:space="0" w:color="FFFFFF" w:themeColor="background1"/>
            </w:tcBorders>
            <w:hideMark/>
          </w:tcPr>
          <w:p w14:paraId="162B5A58" w14:textId="77777777" w:rsidR="00601CE9" w:rsidRPr="00365650" w:rsidRDefault="00601CE9" w:rsidP="000753B9">
            <w:pPr>
              <w:pStyle w:val="CETBodytext"/>
              <w:spacing w:line="240" w:lineRule="auto"/>
              <w:jc w:val="center"/>
              <w:cnfStyle w:val="100000000000" w:firstRow="1" w:lastRow="0" w:firstColumn="0" w:lastColumn="0" w:oddVBand="0" w:evenVBand="0" w:oddHBand="0" w:evenHBand="0" w:firstRowFirstColumn="0" w:firstRowLastColumn="0" w:lastRowFirstColumn="0" w:lastRowLastColumn="0"/>
              <w:rPr>
                <w:i/>
                <w:sz w:val="16"/>
                <w:szCs w:val="16"/>
                <w:lang w:eastAsia="ru-RU"/>
              </w:rPr>
            </w:pPr>
            <w:r w:rsidRPr="00365650">
              <w:rPr>
                <w:sz w:val="16"/>
                <w:szCs w:val="16"/>
                <w:lang w:eastAsia="ru-RU"/>
              </w:rPr>
              <w:t>Sugar-free cookie prepared from first-grade wheat flour</w:t>
            </w:r>
          </w:p>
        </w:tc>
        <w:tc>
          <w:tcPr>
            <w:tcW w:w="2093" w:type="dxa"/>
            <w:tcBorders>
              <w:top w:val="single" w:sz="12" w:space="0" w:color="92D050"/>
              <w:left w:val="single" w:sz="12" w:space="0" w:color="FFFFFF" w:themeColor="background1"/>
              <w:right w:val="single" w:sz="12" w:space="0" w:color="FFFFFF" w:themeColor="background1"/>
            </w:tcBorders>
            <w:hideMark/>
          </w:tcPr>
          <w:p w14:paraId="1835A8DB" w14:textId="2333505B" w:rsidR="00601CE9" w:rsidRPr="00365650" w:rsidRDefault="00601CE9" w:rsidP="000753B9">
            <w:pPr>
              <w:pStyle w:val="CETBodytext"/>
              <w:spacing w:line="240" w:lineRule="auto"/>
              <w:jc w:val="center"/>
              <w:cnfStyle w:val="100000000000" w:firstRow="1" w:lastRow="0" w:firstColumn="0" w:lastColumn="0" w:oddVBand="0" w:evenVBand="0" w:oddHBand="0" w:evenHBand="0" w:firstRowFirstColumn="0" w:firstRowLastColumn="0" w:lastRowFirstColumn="0" w:lastRowLastColumn="0"/>
              <w:rPr>
                <w:i/>
                <w:sz w:val="16"/>
                <w:szCs w:val="16"/>
                <w:lang w:eastAsia="ru-RU"/>
              </w:rPr>
            </w:pPr>
            <w:r w:rsidRPr="00365650">
              <w:rPr>
                <w:sz w:val="16"/>
                <w:szCs w:val="16"/>
                <w:lang w:eastAsia="ru-RU"/>
              </w:rPr>
              <w:t xml:space="preserve">Sugar-free cookie prepared from </w:t>
            </w:r>
            <w:r w:rsidR="00724366" w:rsidRPr="00365650">
              <w:rPr>
                <w:sz w:val="16"/>
                <w:szCs w:val="16"/>
                <w:lang w:eastAsia="ru-RU"/>
              </w:rPr>
              <w:t xml:space="preserve">Abu </w:t>
            </w:r>
            <w:proofErr w:type="spellStart"/>
            <w:r w:rsidR="00724366" w:rsidRPr="00365650">
              <w:rPr>
                <w:sz w:val="16"/>
                <w:szCs w:val="16"/>
                <w:lang w:eastAsia="ru-RU"/>
              </w:rPr>
              <w:t>G‘ofur</w:t>
            </w:r>
            <w:proofErr w:type="spellEnd"/>
            <w:r w:rsidRPr="00365650">
              <w:rPr>
                <w:sz w:val="16"/>
                <w:szCs w:val="16"/>
                <w:lang w:eastAsia="ru-RU"/>
              </w:rPr>
              <w:t xml:space="preserve"> barley flour</w:t>
            </w:r>
          </w:p>
        </w:tc>
        <w:tc>
          <w:tcPr>
            <w:tcW w:w="2013" w:type="dxa"/>
            <w:tcBorders>
              <w:top w:val="single" w:sz="12" w:space="0" w:color="92D050"/>
              <w:left w:val="single" w:sz="12" w:space="0" w:color="FFFFFF" w:themeColor="background1"/>
              <w:right w:val="single" w:sz="12" w:space="0" w:color="FFFFFF" w:themeColor="background1"/>
            </w:tcBorders>
            <w:hideMark/>
          </w:tcPr>
          <w:p w14:paraId="5D9B8697" w14:textId="77777777" w:rsidR="00601CE9" w:rsidRPr="00365650" w:rsidRDefault="00601CE9" w:rsidP="000753B9">
            <w:pPr>
              <w:pStyle w:val="CETBodytext"/>
              <w:spacing w:line="240" w:lineRule="auto"/>
              <w:jc w:val="center"/>
              <w:cnfStyle w:val="100000000000" w:firstRow="1" w:lastRow="0" w:firstColumn="0" w:lastColumn="0" w:oddVBand="0" w:evenVBand="0" w:oddHBand="0" w:evenHBand="0" w:firstRowFirstColumn="0" w:firstRowLastColumn="0" w:lastRowFirstColumn="0" w:lastRowLastColumn="0"/>
              <w:rPr>
                <w:i/>
                <w:sz w:val="16"/>
                <w:szCs w:val="16"/>
                <w:lang w:eastAsia="ru-RU"/>
              </w:rPr>
            </w:pPr>
            <w:r w:rsidRPr="00365650">
              <w:rPr>
                <w:sz w:val="16"/>
                <w:szCs w:val="16"/>
                <w:lang w:eastAsia="ru-RU"/>
              </w:rPr>
              <w:t>Sugar-free cookie prepared from HM-140 barley flour</w:t>
            </w:r>
          </w:p>
        </w:tc>
      </w:tr>
      <w:tr w:rsidR="00554B2D" w:rsidRPr="00365650" w14:paraId="4B4F90D7" w14:textId="77777777" w:rsidTr="00365650">
        <w:tc>
          <w:tcPr>
            <w:cnfStyle w:val="001000000000" w:firstRow="0" w:lastRow="0" w:firstColumn="1" w:lastColumn="0" w:oddVBand="0" w:evenVBand="0" w:oddHBand="0" w:evenHBand="0" w:firstRowFirstColumn="0" w:firstRowLastColumn="0" w:lastRowFirstColumn="0" w:lastRowLastColumn="0"/>
            <w:tcW w:w="2547" w:type="dxa"/>
            <w:tcBorders>
              <w:left w:val="single" w:sz="12" w:space="0" w:color="FFFFFF" w:themeColor="background1"/>
              <w:right w:val="single" w:sz="12" w:space="0" w:color="FFFFFF" w:themeColor="background1"/>
            </w:tcBorders>
            <w:hideMark/>
          </w:tcPr>
          <w:p w14:paraId="07255B59" w14:textId="20DC58E7" w:rsidR="00554B2D" w:rsidRPr="00365650" w:rsidRDefault="00554B2D" w:rsidP="00554B2D">
            <w:pPr>
              <w:pStyle w:val="CETBodytext"/>
              <w:spacing w:line="240" w:lineRule="auto"/>
              <w:jc w:val="left"/>
              <w:rPr>
                <w:b w:val="0"/>
                <w:bCs w:val="0"/>
                <w:i/>
                <w:sz w:val="16"/>
                <w:szCs w:val="16"/>
                <w:lang w:eastAsia="ru-RU"/>
              </w:rPr>
            </w:pPr>
            <w:r w:rsidRPr="00365650">
              <w:rPr>
                <w:b w:val="0"/>
                <w:bCs w:val="0"/>
                <w:sz w:val="16"/>
                <w:szCs w:val="16"/>
              </w:rPr>
              <w:t>Product structure / appearance at breakage (max 0.6)</w:t>
            </w:r>
          </w:p>
        </w:tc>
        <w:tc>
          <w:tcPr>
            <w:tcW w:w="2104" w:type="dxa"/>
            <w:tcBorders>
              <w:left w:val="single" w:sz="12" w:space="0" w:color="FFFFFF" w:themeColor="background1"/>
              <w:right w:val="single" w:sz="12" w:space="0" w:color="FFFFFF" w:themeColor="background1"/>
            </w:tcBorders>
            <w:hideMark/>
          </w:tcPr>
          <w:p w14:paraId="3F2E1357" w14:textId="233A3A24" w:rsidR="00554B2D" w:rsidRPr="00365650" w:rsidRDefault="00554B2D" w:rsidP="00554B2D">
            <w:pPr>
              <w:pStyle w:val="CETBodytext"/>
              <w:spacing w:line="240" w:lineRule="auto"/>
              <w:jc w:val="center"/>
              <w:cnfStyle w:val="000000000000" w:firstRow="0" w:lastRow="0" w:firstColumn="0" w:lastColumn="0" w:oddVBand="0" w:evenVBand="0" w:oddHBand="0" w:evenHBand="0" w:firstRowFirstColumn="0" w:firstRowLastColumn="0" w:lastRowFirstColumn="0" w:lastRowLastColumn="0"/>
              <w:rPr>
                <w:i/>
                <w:sz w:val="16"/>
                <w:szCs w:val="16"/>
                <w:lang w:eastAsia="ru-RU"/>
              </w:rPr>
            </w:pPr>
            <w:r w:rsidRPr="00365650">
              <w:rPr>
                <w:sz w:val="16"/>
                <w:szCs w:val="16"/>
              </w:rPr>
              <w:t>0.40 ± 0.03</w:t>
            </w:r>
            <w:r w:rsidRPr="00365650">
              <w:rPr>
                <w:rFonts w:cs="Arial"/>
                <w:sz w:val="16"/>
                <w:szCs w:val="16"/>
              </w:rPr>
              <w:t>ᵇ</w:t>
            </w:r>
          </w:p>
        </w:tc>
        <w:tc>
          <w:tcPr>
            <w:tcW w:w="2093" w:type="dxa"/>
            <w:tcBorders>
              <w:left w:val="single" w:sz="12" w:space="0" w:color="FFFFFF" w:themeColor="background1"/>
              <w:right w:val="single" w:sz="12" w:space="0" w:color="FFFFFF" w:themeColor="background1"/>
            </w:tcBorders>
            <w:hideMark/>
          </w:tcPr>
          <w:p w14:paraId="65A8B84F" w14:textId="0F71B15C" w:rsidR="00554B2D" w:rsidRPr="00365650" w:rsidRDefault="00554B2D" w:rsidP="00554B2D">
            <w:pPr>
              <w:pStyle w:val="CETBodytext"/>
              <w:spacing w:line="240" w:lineRule="auto"/>
              <w:jc w:val="center"/>
              <w:cnfStyle w:val="000000000000" w:firstRow="0" w:lastRow="0" w:firstColumn="0" w:lastColumn="0" w:oddVBand="0" w:evenVBand="0" w:oddHBand="0" w:evenHBand="0" w:firstRowFirstColumn="0" w:firstRowLastColumn="0" w:lastRowFirstColumn="0" w:lastRowLastColumn="0"/>
              <w:rPr>
                <w:i/>
                <w:sz w:val="16"/>
                <w:szCs w:val="16"/>
                <w:lang w:eastAsia="ru-RU"/>
              </w:rPr>
            </w:pPr>
            <w:r w:rsidRPr="00365650">
              <w:rPr>
                <w:sz w:val="16"/>
                <w:szCs w:val="16"/>
              </w:rPr>
              <w:t>0.50 ± 0.03</w:t>
            </w:r>
            <w:r w:rsidRPr="00365650">
              <w:rPr>
                <w:rFonts w:cs="Arial"/>
                <w:sz w:val="16"/>
                <w:szCs w:val="16"/>
              </w:rPr>
              <w:t>ᵃ</w:t>
            </w:r>
          </w:p>
        </w:tc>
        <w:tc>
          <w:tcPr>
            <w:tcW w:w="2013" w:type="dxa"/>
            <w:tcBorders>
              <w:left w:val="single" w:sz="12" w:space="0" w:color="FFFFFF" w:themeColor="background1"/>
              <w:right w:val="single" w:sz="12" w:space="0" w:color="FFFFFF" w:themeColor="background1"/>
            </w:tcBorders>
            <w:hideMark/>
          </w:tcPr>
          <w:p w14:paraId="14B3A863" w14:textId="02358213" w:rsidR="00554B2D" w:rsidRPr="00365650" w:rsidRDefault="00554B2D" w:rsidP="00554B2D">
            <w:pPr>
              <w:pStyle w:val="CETBodytext"/>
              <w:spacing w:line="240" w:lineRule="auto"/>
              <w:jc w:val="center"/>
              <w:cnfStyle w:val="000000000000" w:firstRow="0" w:lastRow="0" w:firstColumn="0" w:lastColumn="0" w:oddVBand="0" w:evenVBand="0" w:oddHBand="0" w:evenHBand="0" w:firstRowFirstColumn="0" w:firstRowLastColumn="0" w:lastRowFirstColumn="0" w:lastRowLastColumn="0"/>
              <w:rPr>
                <w:i/>
                <w:sz w:val="16"/>
                <w:szCs w:val="16"/>
                <w:lang w:eastAsia="ru-RU"/>
              </w:rPr>
            </w:pPr>
            <w:r w:rsidRPr="00365650">
              <w:rPr>
                <w:sz w:val="16"/>
                <w:szCs w:val="16"/>
              </w:rPr>
              <w:t>0.50 ± 0.02</w:t>
            </w:r>
            <w:r w:rsidRPr="00365650">
              <w:rPr>
                <w:rFonts w:cs="Arial"/>
                <w:sz w:val="16"/>
                <w:szCs w:val="16"/>
              </w:rPr>
              <w:t>ᵃ</w:t>
            </w:r>
          </w:p>
        </w:tc>
      </w:tr>
      <w:tr w:rsidR="00554B2D" w:rsidRPr="00365650" w14:paraId="4D707F5E" w14:textId="77777777" w:rsidTr="00365650">
        <w:tc>
          <w:tcPr>
            <w:cnfStyle w:val="001000000000" w:firstRow="0" w:lastRow="0" w:firstColumn="1" w:lastColumn="0" w:oddVBand="0" w:evenVBand="0" w:oddHBand="0" w:evenHBand="0" w:firstRowFirstColumn="0" w:firstRowLastColumn="0" w:lastRowFirstColumn="0" w:lastRowLastColumn="0"/>
            <w:tcW w:w="2547" w:type="dxa"/>
            <w:tcBorders>
              <w:left w:val="single" w:sz="12" w:space="0" w:color="FFFFFF" w:themeColor="background1"/>
              <w:right w:val="single" w:sz="12" w:space="0" w:color="FFFFFF" w:themeColor="background1"/>
            </w:tcBorders>
            <w:hideMark/>
          </w:tcPr>
          <w:p w14:paraId="46746EC2" w14:textId="78E55027" w:rsidR="00554B2D" w:rsidRPr="00365650" w:rsidRDefault="00554B2D" w:rsidP="00554B2D">
            <w:pPr>
              <w:pStyle w:val="CETBodytext"/>
              <w:spacing w:line="240" w:lineRule="auto"/>
              <w:jc w:val="left"/>
              <w:rPr>
                <w:b w:val="0"/>
                <w:bCs w:val="0"/>
                <w:i/>
                <w:sz w:val="16"/>
                <w:szCs w:val="16"/>
                <w:lang w:eastAsia="ru-RU"/>
              </w:rPr>
            </w:pPr>
            <w:r w:rsidRPr="00365650">
              <w:rPr>
                <w:b w:val="0"/>
                <w:bCs w:val="0"/>
                <w:sz w:val="16"/>
                <w:szCs w:val="16"/>
              </w:rPr>
              <w:t>Surface shape and condition (max 0.9)</w:t>
            </w:r>
          </w:p>
        </w:tc>
        <w:tc>
          <w:tcPr>
            <w:tcW w:w="2104" w:type="dxa"/>
            <w:tcBorders>
              <w:left w:val="single" w:sz="12" w:space="0" w:color="FFFFFF" w:themeColor="background1"/>
              <w:right w:val="single" w:sz="12" w:space="0" w:color="FFFFFF" w:themeColor="background1"/>
            </w:tcBorders>
            <w:hideMark/>
          </w:tcPr>
          <w:p w14:paraId="7BC9DC78" w14:textId="22D7D070" w:rsidR="00554B2D" w:rsidRPr="00365650" w:rsidRDefault="00554B2D" w:rsidP="00554B2D">
            <w:pPr>
              <w:pStyle w:val="CETBodytext"/>
              <w:spacing w:line="240" w:lineRule="auto"/>
              <w:jc w:val="center"/>
              <w:cnfStyle w:val="000000000000" w:firstRow="0" w:lastRow="0" w:firstColumn="0" w:lastColumn="0" w:oddVBand="0" w:evenVBand="0" w:oddHBand="0" w:evenHBand="0" w:firstRowFirstColumn="0" w:firstRowLastColumn="0" w:lastRowFirstColumn="0" w:lastRowLastColumn="0"/>
              <w:rPr>
                <w:i/>
                <w:sz w:val="16"/>
                <w:szCs w:val="16"/>
                <w:lang w:eastAsia="ru-RU"/>
              </w:rPr>
            </w:pPr>
            <w:r w:rsidRPr="00365650">
              <w:rPr>
                <w:sz w:val="16"/>
                <w:szCs w:val="16"/>
              </w:rPr>
              <w:t>0.40 ± 0.04</w:t>
            </w:r>
            <w:r w:rsidRPr="00365650">
              <w:rPr>
                <w:rFonts w:cs="Arial"/>
                <w:sz w:val="16"/>
                <w:szCs w:val="16"/>
              </w:rPr>
              <w:t>ᶜ</w:t>
            </w:r>
          </w:p>
        </w:tc>
        <w:tc>
          <w:tcPr>
            <w:tcW w:w="2093" w:type="dxa"/>
            <w:tcBorders>
              <w:left w:val="single" w:sz="12" w:space="0" w:color="FFFFFF" w:themeColor="background1"/>
              <w:right w:val="single" w:sz="12" w:space="0" w:color="FFFFFF" w:themeColor="background1"/>
            </w:tcBorders>
            <w:hideMark/>
          </w:tcPr>
          <w:p w14:paraId="0A1BD930" w14:textId="39C5644B" w:rsidR="00554B2D" w:rsidRPr="00365650" w:rsidRDefault="00554B2D" w:rsidP="00554B2D">
            <w:pPr>
              <w:pStyle w:val="CETBodytext"/>
              <w:spacing w:line="240" w:lineRule="auto"/>
              <w:jc w:val="center"/>
              <w:cnfStyle w:val="000000000000" w:firstRow="0" w:lastRow="0" w:firstColumn="0" w:lastColumn="0" w:oddVBand="0" w:evenVBand="0" w:oddHBand="0" w:evenHBand="0" w:firstRowFirstColumn="0" w:firstRowLastColumn="0" w:lastRowFirstColumn="0" w:lastRowLastColumn="0"/>
              <w:rPr>
                <w:i/>
                <w:sz w:val="16"/>
                <w:szCs w:val="16"/>
                <w:lang w:eastAsia="ru-RU"/>
              </w:rPr>
            </w:pPr>
            <w:r w:rsidRPr="00365650">
              <w:rPr>
                <w:sz w:val="16"/>
                <w:szCs w:val="16"/>
              </w:rPr>
              <w:t>0.80 ± 0.05</w:t>
            </w:r>
            <w:r w:rsidRPr="00365650">
              <w:rPr>
                <w:rFonts w:cs="Arial"/>
                <w:sz w:val="16"/>
                <w:szCs w:val="16"/>
              </w:rPr>
              <w:t>ᵇ</w:t>
            </w:r>
          </w:p>
        </w:tc>
        <w:tc>
          <w:tcPr>
            <w:tcW w:w="2013" w:type="dxa"/>
            <w:tcBorders>
              <w:left w:val="single" w:sz="12" w:space="0" w:color="FFFFFF" w:themeColor="background1"/>
              <w:right w:val="single" w:sz="12" w:space="0" w:color="FFFFFF" w:themeColor="background1"/>
            </w:tcBorders>
            <w:hideMark/>
          </w:tcPr>
          <w:p w14:paraId="6967C7FF" w14:textId="3A93CAF2" w:rsidR="00554B2D" w:rsidRPr="00365650" w:rsidRDefault="00554B2D" w:rsidP="00554B2D">
            <w:pPr>
              <w:pStyle w:val="CETBodytext"/>
              <w:spacing w:line="240" w:lineRule="auto"/>
              <w:jc w:val="center"/>
              <w:cnfStyle w:val="000000000000" w:firstRow="0" w:lastRow="0" w:firstColumn="0" w:lastColumn="0" w:oddVBand="0" w:evenVBand="0" w:oddHBand="0" w:evenHBand="0" w:firstRowFirstColumn="0" w:firstRowLastColumn="0" w:lastRowFirstColumn="0" w:lastRowLastColumn="0"/>
              <w:rPr>
                <w:i/>
                <w:sz w:val="16"/>
                <w:szCs w:val="16"/>
                <w:lang w:eastAsia="ru-RU"/>
              </w:rPr>
            </w:pPr>
            <w:r w:rsidRPr="00365650">
              <w:rPr>
                <w:sz w:val="16"/>
                <w:szCs w:val="16"/>
              </w:rPr>
              <w:t>0.90 ± 0.04</w:t>
            </w:r>
            <w:r w:rsidRPr="00365650">
              <w:rPr>
                <w:rFonts w:cs="Arial"/>
                <w:sz w:val="16"/>
                <w:szCs w:val="16"/>
              </w:rPr>
              <w:t>ᵃ</w:t>
            </w:r>
          </w:p>
        </w:tc>
      </w:tr>
      <w:tr w:rsidR="00554B2D" w:rsidRPr="00365650" w14:paraId="2FD16D23" w14:textId="77777777" w:rsidTr="00365650">
        <w:tc>
          <w:tcPr>
            <w:cnfStyle w:val="001000000000" w:firstRow="0" w:lastRow="0" w:firstColumn="1" w:lastColumn="0" w:oddVBand="0" w:evenVBand="0" w:oddHBand="0" w:evenHBand="0" w:firstRowFirstColumn="0" w:firstRowLastColumn="0" w:lastRowFirstColumn="0" w:lastRowLastColumn="0"/>
            <w:tcW w:w="2547" w:type="dxa"/>
            <w:tcBorders>
              <w:left w:val="single" w:sz="12" w:space="0" w:color="FFFFFF" w:themeColor="background1"/>
              <w:right w:val="single" w:sz="12" w:space="0" w:color="FFFFFF" w:themeColor="background1"/>
            </w:tcBorders>
            <w:hideMark/>
          </w:tcPr>
          <w:p w14:paraId="6FD30B0B" w14:textId="180A6ED0" w:rsidR="00554B2D" w:rsidRPr="00365650" w:rsidRDefault="00554B2D" w:rsidP="00554B2D">
            <w:pPr>
              <w:pStyle w:val="CETBodytext"/>
              <w:spacing w:line="240" w:lineRule="auto"/>
              <w:jc w:val="left"/>
              <w:rPr>
                <w:b w:val="0"/>
                <w:bCs w:val="0"/>
                <w:i/>
                <w:sz w:val="16"/>
                <w:szCs w:val="16"/>
                <w:lang w:eastAsia="ru-RU"/>
              </w:rPr>
            </w:pPr>
            <w:r w:rsidRPr="00365650">
              <w:rPr>
                <w:b w:val="0"/>
                <w:bCs w:val="0"/>
                <w:sz w:val="16"/>
                <w:szCs w:val="16"/>
              </w:rPr>
              <w:t>Color (max 1.0)</w:t>
            </w:r>
          </w:p>
        </w:tc>
        <w:tc>
          <w:tcPr>
            <w:tcW w:w="2104" w:type="dxa"/>
            <w:tcBorders>
              <w:left w:val="single" w:sz="12" w:space="0" w:color="FFFFFF" w:themeColor="background1"/>
              <w:right w:val="single" w:sz="12" w:space="0" w:color="FFFFFF" w:themeColor="background1"/>
            </w:tcBorders>
            <w:hideMark/>
          </w:tcPr>
          <w:p w14:paraId="0E5B934B" w14:textId="22D20E8E" w:rsidR="00554B2D" w:rsidRPr="00365650" w:rsidRDefault="00554B2D" w:rsidP="00554B2D">
            <w:pPr>
              <w:pStyle w:val="CETBodytext"/>
              <w:spacing w:line="240" w:lineRule="auto"/>
              <w:jc w:val="center"/>
              <w:cnfStyle w:val="000000000000" w:firstRow="0" w:lastRow="0" w:firstColumn="0" w:lastColumn="0" w:oddVBand="0" w:evenVBand="0" w:oddHBand="0" w:evenHBand="0" w:firstRowFirstColumn="0" w:firstRowLastColumn="0" w:lastRowFirstColumn="0" w:lastRowLastColumn="0"/>
              <w:rPr>
                <w:i/>
                <w:sz w:val="16"/>
                <w:szCs w:val="16"/>
                <w:lang w:eastAsia="ru-RU"/>
              </w:rPr>
            </w:pPr>
            <w:r w:rsidRPr="00365650">
              <w:rPr>
                <w:sz w:val="16"/>
                <w:szCs w:val="16"/>
              </w:rPr>
              <w:t>0.80 ± 0.04</w:t>
            </w:r>
            <w:r w:rsidRPr="00365650">
              <w:rPr>
                <w:rFonts w:cs="Arial"/>
                <w:sz w:val="16"/>
                <w:szCs w:val="16"/>
              </w:rPr>
              <w:t>ᵇ</w:t>
            </w:r>
          </w:p>
        </w:tc>
        <w:tc>
          <w:tcPr>
            <w:tcW w:w="2093" w:type="dxa"/>
            <w:tcBorders>
              <w:left w:val="single" w:sz="12" w:space="0" w:color="FFFFFF" w:themeColor="background1"/>
              <w:right w:val="single" w:sz="12" w:space="0" w:color="FFFFFF" w:themeColor="background1"/>
            </w:tcBorders>
            <w:hideMark/>
          </w:tcPr>
          <w:p w14:paraId="6A2E661B" w14:textId="63F14AAC" w:rsidR="00554B2D" w:rsidRPr="00365650" w:rsidRDefault="00554B2D" w:rsidP="00554B2D">
            <w:pPr>
              <w:pStyle w:val="CETBodytext"/>
              <w:spacing w:line="240" w:lineRule="auto"/>
              <w:jc w:val="center"/>
              <w:cnfStyle w:val="000000000000" w:firstRow="0" w:lastRow="0" w:firstColumn="0" w:lastColumn="0" w:oddVBand="0" w:evenVBand="0" w:oddHBand="0" w:evenHBand="0" w:firstRowFirstColumn="0" w:firstRowLastColumn="0" w:lastRowFirstColumn="0" w:lastRowLastColumn="0"/>
              <w:rPr>
                <w:i/>
                <w:sz w:val="16"/>
                <w:szCs w:val="16"/>
                <w:lang w:eastAsia="ru-RU"/>
              </w:rPr>
            </w:pPr>
            <w:r w:rsidRPr="00365650">
              <w:rPr>
                <w:sz w:val="16"/>
                <w:szCs w:val="16"/>
              </w:rPr>
              <w:t>0.80 ± 0.04</w:t>
            </w:r>
            <w:r w:rsidRPr="00365650">
              <w:rPr>
                <w:rFonts w:cs="Arial"/>
                <w:sz w:val="16"/>
                <w:szCs w:val="16"/>
              </w:rPr>
              <w:t>ᵇ</w:t>
            </w:r>
          </w:p>
        </w:tc>
        <w:tc>
          <w:tcPr>
            <w:tcW w:w="2013" w:type="dxa"/>
            <w:tcBorders>
              <w:left w:val="single" w:sz="12" w:space="0" w:color="FFFFFF" w:themeColor="background1"/>
              <w:right w:val="single" w:sz="12" w:space="0" w:color="FFFFFF" w:themeColor="background1"/>
            </w:tcBorders>
            <w:hideMark/>
          </w:tcPr>
          <w:p w14:paraId="11100D0D" w14:textId="0B8DFB6C" w:rsidR="00554B2D" w:rsidRPr="00365650" w:rsidRDefault="00554B2D" w:rsidP="00554B2D">
            <w:pPr>
              <w:pStyle w:val="CETBodytext"/>
              <w:spacing w:line="240" w:lineRule="auto"/>
              <w:jc w:val="center"/>
              <w:cnfStyle w:val="000000000000" w:firstRow="0" w:lastRow="0" w:firstColumn="0" w:lastColumn="0" w:oddVBand="0" w:evenVBand="0" w:oddHBand="0" w:evenHBand="0" w:firstRowFirstColumn="0" w:firstRowLastColumn="0" w:lastRowFirstColumn="0" w:lastRowLastColumn="0"/>
              <w:rPr>
                <w:i/>
                <w:sz w:val="16"/>
                <w:szCs w:val="16"/>
                <w:lang w:eastAsia="ru-RU"/>
              </w:rPr>
            </w:pPr>
            <w:r w:rsidRPr="00365650">
              <w:rPr>
                <w:sz w:val="16"/>
                <w:szCs w:val="16"/>
              </w:rPr>
              <w:t>0.90 ± 0.05</w:t>
            </w:r>
            <w:r w:rsidRPr="00365650">
              <w:rPr>
                <w:rFonts w:cs="Arial"/>
                <w:sz w:val="16"/>
                <w:szCs w:val="16"/>
              </w:rPr>
              <w:t>ᵃ</w:t>
            </w:r>
          </w:p>
        </w:tc>
      </w:tr>
      <w:tr w:rsidR="00554B2D" w:rsidRPr="00365650" w14:paraId="261127D2" w14:textId="77777777" w:rsidTr="00365650">
        <w:tc>
          <w:tcPr>
            <w:cnfStyle w:val="001000000000" w:firstRow="0" w:lastRow="0" w:firstColumn="1" w:lastColumn="0" w:oddVBand="0" w:evenVBand="0" w:oddHBand="0" w:evenHBand="0" w:firstRowFirstColumn="0" w:firstRowLastColumn="0" w:lastRowFirstColumn="0" w:lastRowLastColumn="0"/>
            <w:tcW w:w="2547" w:type="dxa"/>
            <w:tcBorders>
              <w:left w:val="single" w:sz="12" w:space="0" w:color="FFFFFF" w:themeColor="background1"/>
              <w:right w:val="single" w:sz="12" w:space="0" w:color="FFFFFF" w:themeColor="background1"/>
            </w:tcBorders>
            <w:hideMark/>
          </w:tcPr>
          <w:p w14:paraId="1054A126" w14:textId="6ACFA432" w:rsidR="00554B2D" w:rsidRPr="00365650" w:rsidRDefault="00554B2D" w:rsidP="00554B2D">
            <w:pPr>
              <w:pStyle w:val="CETBodytext"/>
              <w:spacing w:line="240" w:lineRule="auto"/>
              <w:jc w:val="left"/>
              <w:rPr>
                <w:b w:val="0"/>
                <w:bCs w:val="0"/>
                <w:i/>
                <w:sz w:val="16"/>
                <w:szCs w:val="16"/>
                <w:lang w:eastAsia="ru-RU"/>
              </w:rPr>
            </w:pPr>
            <w:r w:rsidRPr="00365650">
              <w:rPr>
                <w:b w:val="0"/>
                <w:bCs w:val="0"/>
                <w:sz w:val="16"/>
                <w:szCs w:val="16"/>
              </w:rPr>
              <w:t>Taste (max 1.5)</w:t>
            </w:r>
          </w:p>
        </w:tc>
        <w:tc>
          <w:tcPr>
            <w:tcW w:w="2104" w:type="dxa"/>
            <w:tcBorders>
              <w:left w:val="single" w:sz="12" w:space="0" w:color="FFFFFF" w:themeColor="background1"/>
              <w:right w:val="single" w:sz="12" w:space="0" w:color="FFFFFF" w:themeColor="background1"/>
            </w:tcBorders>
            <w:hideMark/>
          </w:tcPr>
          <w:p w14:paraId="19B6E295" w14:textId="00E3B755" w:rsidR="00554B2D" w:rsidRPr="00365650" w:rsidRDefault="00554B2D" w:rsidP="00554B2D">
            <w:pPr>
              <w:pStyle w:val="CETBodytext"/>
              <w:spacing w:line="240" w:lineRule="auto"/>
              <w:jc w:val="center"/>
              <w:cnfStyle w:val="000000000000" w:firstRow="0" w:lastRow="0" w:firstColumn="0" w:lastColumn="0" w:oddVBand="0" w:evenVBand="0" w:oddHBand="0" w:evenHBand="0" w:firstRowFirstColumn="0" w:firstRowLastColumn="0" w:lastRowFirstColumn="0" w:lastRowLastColumn="0"/>
              <w:rPr>
                <w:i/>
                <w:sz w:val="16"/>
                <w:szCs w:val="16"/>
                <w:lang w:eastAsia="ru-RU"/>
              </w:rPr>
            </w:pPr>
            <w:r w:rsidRPr="00365650">
              <w:rPr>
                <w:sz w:val="16"/>
                <w:szCs w:val="16"/>
              </w:rPr>
              <w:t>1.20 ± 0.06</w:t>
            </w:r>
            <w:r w:rsidRPr="00365650">
              <w:rPr>
                <w:rFonts w:cs="Arial"/>
                <w:sz w:val="16"/>
                <w:szCs w:val="16"/>
              </w:rPr>
              <w:t>ᶜ</w:t>
            </w:r>
          </w:p>
        </w:tc>
        <w:tc>
          <w:tcPr>
            <w:tcW w:w="2093" w:type="dxa"/>
            <w:tcBorders>
              <w:left w:val="single" w:sz="12" w:space="0" w:color="FFFFFF" w:themeColor="background1"/>
              <w:right w:val="single" w:sz="12" w:space="0" w:color="FFFFFF" w:themeColor="background1"/>
            </w:tcBorders>
            <w:hideMark/>
          </w:tcPr>
          <w:p w14:paraId="181F3550" w14:textId="120948D1" w:rsidR="00554B2D" w:rsidRPr="00365650" w:rsidRDefault="00554B2D" w:rsidP="00554B2D">
            <w:pPr>
              <w:pStyle w:val="CETBodytext"/>
              <w:spacing w:line="240" w:lineRule="auto"/>
              <w:jc w:val="center"/>
              <w:cnfStyle w:val="000000000000" w:firstRow="0" w:lastRow="0" w:firstColumn="0" w:lastColumn="0" w:oddVBand="0" w:evenVBand="0" w:oddHBand="0" w:evenHBand="0" w:firstRowFirstColumn="0" w:firstRowLastColumn="0" w:lastRowFirstColumn="0" w:lastRowLastColumn="0"/>
              <w:rPr>
                <w:i/>
                <w:sz w:val="16"/>
                <w:szCs w:val="16"/>
                <w:lang w:eastAsia="ru-RU"/>
              </w:rPr>
            </w:pPr>
            <w:r w:rsidRPr="00365650">
              <w:rPr>
                <w:sz w:val="16"/>
                <w:szCs w:val="16"/>
              </w:rPr>
              <w:t>1.30 ± 0.07</w:t>
            </w:r>
            <w:r w:rsidRPr="00365650">
              <w:rPr>
                <w:rFonts w:cs="Arial"/>
                <w:sz w:val="16"/>
                <w:szCs w:val="16"/>
              </w:rPr>
              <w:t>ᵇ</w:t>
            </w:r>
          </w:p>
        </w:tc>
        <w:tc>
          <w:tcPr>
            <w:tcW w:w="2013" w:type="dxa"/>
            <w:tcBorders>
              <w:left w:val="single" w:sz="12" w:space="0" w:color="FFFFFF" w:themeColor="background1"/>
              <w:right w:val="single" w:sz="12" w:space="0" w:color="FFFFFF" w:themeColor="background1"/>
            </w:tcBorders>
            <w:hideMark/>
          </w:tcPr>
          <w:p w14:paraId="004D06F9" w14:textId="3D1EA78A" w:rsidR="00554B2D" w:rsidRPr="00365650" w:rsidRDefault="00554B2D" w:rsidP="00554B2D">
            <w:pPr>
              <w:pStyle w:val="CETBodytext"/>
              <w:spacing w:line="240" w:lineRule="auto"/>
              <w:jc w:val="center"/>
              <w:cnfStyle w:val="000000000000" w:firstRow="0" w:lastRow="0" w:firstColumn="0" w:lastColumn="0" w:oddVBand="0" w:evenVBand="0" w:oddHBand="0" w:evenHBand="0" w:firstRowFirstColumn="0" w:firstRowLastColumn="0" w:lastRowFirstColumn="0" w:lastRowLastColumn="0"/>
              <w:rPr>
                <w:i/>
                <w:sz w:val="16"/>
                <w:szCs w:val="16"/>
                <w:lang w:eastAsia="ru-RU"/>
              </w:rPr>
            </w:pPr>
            <w:r w:rsidRPr="00365650">
              <w:rPr>
                <w:sz w:val="16"/>
                <w:szCs w:val="16"/>
              </w:rPr>
              <w:t>1.40 ± 0.06</w:t>
            </w:r>
            <w:r w:rsidRPr="00365650">
              <w:rPr>
                <w:rFonts w:cs="Arial"/>
                <w:sz w:val="16"/>
                <w:szCs w:val="16"/>
              </w:rPr>
              <w:t>ᵃ</w:t>
            </w:r>
          </w:p>
        </w:tc>
      </w:tr>
      <w:tr w:rsidR="00554B2D" w:rsidRPr="00365650" w14:paraId="0340659D" w14:textId="77777777" w:rsidTr="00365650">
        <w:tc>
          <w:tcPr>
            <w:cnfStyle w:val="001000000000" w:firstRow="0" w:lastRow="0" w:firstColumn="1" w:lastColumn="0" w:oddVBand="0" w:evenVBand="0" w:oddHBand="0" w:evenHBand="0" w:firstRowFirstColumn="0" w:firstRowLastColumn="0" w:lastRowFirstColumn="0" w:lastRowLastColumn="0"/>
            <w:tcW w:w="2547" w:type="dxa"/>
            <w:tcBorders>
              <w:left w:val="single" w:sz="12" w:space="0" w:color="FFFFFF" w:themeColor="background1"/>
              <w:right w:val="single" w:sz="12" w:space="0" w:color="FFFFFF" w:themeColor="background1"/>
            </w:tcBorders>
            <w:hideMark/>
          </w:tcPr>
          <w:p w14:paraId="7B3160F4" w14:textId="28B20187" w:rsidR="00554B2D" w:rsidRPr="00365650" w:rsidRDefault="00554B2D" w:rsidP="00554B2D">
            <w:pPr>
              <w:pStyle w:val="CETBodytext"/>
              <w:spacing w:line="240" w:lineRule="auto"/>
              <w:jc w:val="left"/>
              <w:rPr>
                <w:b w:val="0"/>
                <w:bCs w:val="0"/>
                <w:i/>
                <w:sz w:val="16"/>
                <w:szCs w:val="16"/>
                <w:lang w:eastAsia="ru-RU"/>
              </w:rPr>
            </w:pPr>
            <w:r w:rsidRPr="00365650">
              <w:rPr>
                <w:b w:val="0"/>
                <w:bCs w:val="0"/>
                <w:sz w:val="16"/>
                <w:szCs w:val="16"/>
              </w:rPr>
              <w:t>Odor (max 1.0)</w:t>
            </w:r>
          </w:p>
        </w:tc>
        <w:tc>
          <w:tcPr>
            <w:tcW w:w="2104" w:type="dxa"/>
            <w:tcBorders>
              <w:left w:val="single" w:sz="12" w:space="0" w:color="FFFFFF" w:themeColor="background1"/>
              <w:right w:val="single" w:sz="12" w:space="0" w:color="FFFFFF" w:themeColor="background1"/>
            </w:tcBorders>
            <w:hideMark/>
          </w:tcPr>
          <w:p w14:paraId="30616BAD" w14:textId="77F37316" w:rsidR="00554B2D" w:rsidRPr="00365650" w:rsidRDefault="00554B2D" w:rsidP="00554B2D">
            <w:pPr>
              <w:pStyle w:val="CETBodytext"/>
              <w:spacing w:line="240" w:lineRule="auto"/>
              <w:jc w:val="center"/>
              <w:cnfStyle w:val="000000000000" w:firstRow="0" w:lastRow="0" w:firstColumn="0" w:lastColumn="0" w:oddVBand="0" w:evenVBand="0" w:oddHBand="0" w:evenHBand="0" w:firstRowFirstColumn="0" w:firstRowLastColumn="0" w:lastRowFirstColumn="0" w:lastRowLastColumn="0"/>
              <w:rPr>
                <w:i/>
                <w:sz w:val="16"/>
                <w:szCs w:val="16"/>
                <w:lang w:eastAsia="ru-RU"/>
              </w:rPr>
            </w:pPr>
            <w:r w:rsidRPr="00365650">
              <w:rPr>
                <w:sz w:val="16"/>
                <w:szCs w:val="16"/>
              </w:rPr>
              <w:t>0.80 ± 0.04</w:t>
            </w:r>
            <w:r w:rsidRPr="00365650">
              <w:rPr>
                <w:rFonts w:cs="Arial"/>
                <w:sz w:val="16"/>
                <w:szCs w:val="16"/>
              </w:rPr>
              <w:t>ᵃ</w:t>
            </w:r>
          </w:p>
        </w:tc>
        <w:tc>
          <w:tcPr>
            <w:tcW w:w="2093" w:type="dxa"/>
            <w:tcBorders>
              <w:left w:val="single" w:sz="12" w:space="0" w:color="FFFFFF" w:themeColor="background1"/>
              <w:right w:val="single" w:sz="12" w:space="0" w:color="FFFFFF" w:themeColor="background1"/>
            </w:tcBorders>
            <w:hideMark/>
          </w:tcPr>
          <w:p w14:paraId="246C8937" w14:textId="12EF6FEE" w:rsidR="00554B2D" w:rsidRPr="00365650" w:rsidRDefault="00554B2D" w:rsidP="00554B2D">
            <w:pPr>
              <w:pStyle w:val="CETBodytext"/>
              <w:spacing w:line="240" w:lineRule="auto"/>
              <w:jc w:val="center"/>
              <w:cnfStyle w:val="000000000000" w:firstRow="0" w:lastRow="0" w:firstColumn="0" w:lastColumn="0" w:oddVBand="0" w:evenVBand="0" w:oddHBand="0" w:evenHBand="0" w:firstRowFirstColumn="0" w:firstRowLastColumn="0" w:lastRowFirstColumn="0" w:lastRowLastColumn="0"/>
              <w:rPr>
                <w:i/>
                <w:sz w:val="16"/>
                <w:szCs w:val="16"/>
                <w:lang w:eastAsia="ru-RU"/>
              </w:rPr>
            </w:pPr>
            <w:r w:rsidRPr="00365650">
              <w:rPr>
                <w:sz w:val="16"/>
                <w:szCs w:val="16"/>
              </w:rPr>
              <w:t>0.80 ± 0.04</w:t>
            </w:r>
            <w:r w:rsidRPr="00365650">
              <w:rPr>
                <w:rFonts w:cs="Arial"/>
                <w:sz w:val="16"/>
                <w:szCs w:val="16"/>
              </w:rPr>
              <w:t>ᵃ</w:t>
            </w:r>
          </w:p>
        </w:tc>
        <w:tc>
          <w:tcPr>
            <w:tcW w:w="2013" w:type="dxa"/>
            <w:tcBorders>
              <w:left w:val="single" w:sz="12" w:space="0" w:color="FFFFFF" w:themeColor="background1"/>
              <w:right w:val="single" w:sz="12" w:space="0" w:color="FFFFFF" w:themeColor="background1"/>
            </w:tcBorders>
            <w:hideMark/>
          </w:tcPr>
          <w:p w14:paraId="72D8D3C0" w14:textId="1FA1006B" w:rsidR="00554B2D" w:rsidRPr="00365650" w:rsidRDefault="00554B2D" w:rsidP="00554B2D">
            <w:pPr>
              <w:pStyle w:val="CETBodytext"/>
              <w:spacing w:line="240" w:lineRule="auto"/>
              <w:jc w:val="center"/>
              <w:cnfStyle w:val="000000000000" w:firstRow="0" w:lastRow="0" w:firstColumn="0" w:lastColumn="0" w:oddVBand="0" w:evenVBand="0" w:oddHBand="0" w:evenHBand="0" w:firstRowFirstColumn="0" w:firstRowLastColumn="0" w:lastRowFirstColumn="0" w:lastRowLastColumn="0"/>
              <w:rPr>
                <w:i/>
                <w:sz w:val="16"/>
                <w:szCs w:val="16"/>
                <w:lang w:eastAsia="ru-RU"/>
              </w:rPr>
            </w:pPr>
            <w:r w:rsidRPr="00365650">
              <w:rPr>
                <w:sz w:val="16"/>
                <w:szCs w:val="16"/>
              </w:rPr>
              <w:t>0.80 ± 0.03</w:t>
            </w:r>
            <w:r w:rsidRPr="00365650">
              <w:rPr>
                <w:rFonts w:cs="Arial"/>
                <w:sz w:val="16"/>
                <w:szCs w:val="16"/>
              </w:rPr>
              <w:t>ᵃ</w:t>
            </w:r>
          </w:p>
        </w:tc>
      </w:tr>
      <w:tr w:rsidR="00554B2D" w:rsidRPr="00365650" w14:paraId="3FC839DE" w14:textId="77777777" w:rsidTr="00365650">
        <w:tc>
          <w:tcPr>
            <w:cnfStyle w:val="001000000000" w:firstRow="0" w:lastRow="0" w:firstColumn="1" w:lastColumn="0" w:oddVBand="0" w:evenVBand="0" w:oddHBand="0" w:evenHBand="0" w:firstRowFirstColumn="0" w:firstRowLastColumn="0" w:lastRowFirstColumn="0" w:lastRowLastColumn="0"/>
            <w:tcW w:w="2547" w:type="dxa"/>
            <w:tcBorders>
              <w:left w:val="single" w:sz="12" w:space="0" w:color="FFFFFF" w:themeColor="background1"/>
              <w:bottom w:val="single" w:sz="12" w:space="0" w:color="92D050"/>
              <w:right w:val="single" w:sz="12" w:space="0" w:color="FFFFFF" w:themeColor="background1"/>
            </w:tcBorders>
            <w:hideMark/>
          </w:tcPr>
          <w:p w14:paraId="5886EB0F" w14:textId="6ECC669C" w:rsidR="00554B2D" w:rsidRPr="00365650" w:rsidRDefault="00554B2D" w:rsidP="00554B2D">
            <w:pPr>
              <w:pStyle w:val="CETBodytext"/>
              <w:spacing w:line="240" w:lineRule="auto"/>
              <w:jc w:val="left"/>
              <w:rPr>
                <w:b w:val="0"/>
                <w:bCs w:val="0"/>
                <w:i/>
                <w:sz w:val="16"/>
                <w:szCs w:val="16"/>
                <w:lang w:eastAsia="ru-RU"/>
              </w:rPr>
            </w:pPr>
            <w:r w:rsidRPr="00365650">
              <w:rPr>
                <w:b w:val="0"/>
                <w:bCs w:val="0"/>
                <w:sz w:val="16"/>
                <w:szCs w:val="16"/>
              </w:rPr>
              <w:t>Total score (maximum 5.0)</w:t>
            </w:r>
          </w:p>
        </w:tc>
        <w:tc>
          <w:tcPr>
            <w:tcW w:w="2104" w:type="dxa"/>
            <w:tcBorders>
              <w:left w:val="single" w:sz="12" w:space="0" w:color="FFFFFF" w:themeColor="background1"/>
              <w:bottom w:val="single" w:sz="12" w:space="0" w:color="92D050"/>
              <w:right w:val="single" w:sz="12" w:space="0" w:color="FFFFFF" w:themeColor="background1"/>
            </w:tcBorders>
            <w:hideMark/>
          </w:tcPr>
          <w:p w14:paraId="4AF4930A" w14:textId="59534874" w:rsidR="00554B2D" w:rsidRPr="00365650" w:rsidRDefault="00554B2D" w:rsidP="00554B2D">
            <w:pPr>
              <w:pStyle w:val="CETBodytext"/>
              <w:spacing w:line="240" w:lineRule="auto"/>
              <w:jc w:val="center"/>
              <w:cnfStyle w:val="000000000000" w:firstRow="0" w:lastRow="0" w:firstColumn="0" w:lastColumn="0" w:oddVBand="0" w:evenVBand="0" w:oddHBand="0" w:evenHBand="0" w:firstRowFirstColumn="0" w:firstRowLastColumn="0" w:lastRowFirstColumn="0" w:lastRowLastColumn="0"/>
              <w:rPr>
                <w:i/>
                <w:sz w:val="16"/>
                <w:szCs w:val="16"/>
                <w:lang w:eastAsia="ru-RU"/>
              </w:rPr>
            </w:pPr>
            <w:r w:rsidRPr="00365650">
              <w:rPr>
                <w:sz w:val="16"/>
                <w:szCs w:val="16"/>
              </w:rPr>
              <w:t>3.60 ± 0.12</w:t>
            </w:r>
            <w:r w:rsidRPr="00365650">
              <w:rPr>
                <w:rFonts w:cs="Arial"/>
                <w:sz w:val="16"/>
                <w:szCs w:val="16"/>
              </w:rPr>
              <w:t>ᶜ</w:t>
            </w:r>
          </w:p>
        </w:tc>
        <w:tc>
          <w:tcPr>
            <w:tcW w:w="2093" w:type="dxa"/>
            <w:tcBorders>
              <w:left w:val="single" w:sz="12" w:space="0" w:color="FFFFFF" w:themeColor="background1"/>
              <w:bottom w:val="single" w:sz="12" w:space="0" w:color="92D050"/>
              <w:right w:val="single" w:sz="12" w:space="0" w:color="FFFFFF" w:themeColor="background1"/>
            </w:tcBorders>
            <w:hideMark/>
          </w:tcPr>
          <w:p w14:paraId="23B9C964" w14:textId="4B4725A7" w:rsidR="00554B2D" w:rsidRPr="00365650" w:rsidRDefault="00554B2D" w:rsidP="00554B2D">
            <w:pPr>
              <w:pStyle w:val="CETBodytext"/>
              <w:spacing w:line="240" w:lineRule="auto"/>
              <w:jc w:val="center"/>
              <w:cnfStyle w:val="000000000000" w:firstRow="0" w:lastRow="0" w:firstColumn="0" w:lastColumn="0" w:oddVBand="0" w:evenVBand="0" w:oddHBand="0" w:evenHBand="0" w:firstRowFirstColumn="0" w:firstRowLastColumn="0" w:lastRowFirstColumn="0" w:lastRowLastColumn="0"/>
              <w:rPr>
                <w:i/>
                <w:sz w:val="16"/>
                <w:szCs w:val="16"/>
                <w:lang w:eastAsia="ru-RU"/>
              </w:rPr>
            </w:pPr>
            <w:r w:rsidRPr="00365650">
              <w:rPr>
                <w:sz w:val="16"/>
                <w:szCs w:val="16"/>
              </w:rPr>
              <w:t>4.20 ± 0.14</w:t>
            </w:r>
            <w:r w:rsidRPr="00365650">
              <w:rPr>
                <w:rFonts w:cs="Arial"/>
                <w:sz w:val="16"/>
                <w:szCs w:val="16"/>
              </w:rPr>
              <w:t>ᵇ</w:t>
            </w:r>
          </w:p>
        </w:tc>
        <w:tc>
          <w:tcPr>
            <w:tcW w:w="2013" w:type="dxa"/>
            <w:tcBorders>
              <w:left w:val="single" w:sz="12" w:space="0" w:color="FFFFFF" w:themeColor="background1"/>
              <w:bottom w:val="single" w:sz="12" w:space="0" w:color="92D050"/>
              <w:right w:val="single" w:sz="12" w:space="0" w:color="FFFFFF" w:themeColor="background1"/>
            </w:tcBorders>
            <w:hideMark/>
          </w:tcPr>
          <w:p w14:paraId="296FC43E" w14:textId="54B429DC" w:rsidR="00554B2D" w:rsidRPr="00365650" w:rsidRDefault="00554B2D" w:rsidP="00554B2D">
            <w:pPr>
              <w:pStyle w:val="CETBodytext"/>
              <w:spacing w:line="240" w:lineRule="auto"/>
              <w:jc w:val="center"/>
              <w:cnfStyle w:val="000000000000" w:firstRow="0" w:lastRow="0" w:firstColumn="0" w:lastColumn="0" w:oddVBand="0" w:evenVBand="0" w:oddHBand="0" w:evenHBand="0" w:firstRowFirstColumn="0" w:firstRowLastColumn="0" w:lastRowFirstColumn="0" w:lastRowLastColumn="0"/>
              <w:rPr>
                <w:i/>
                <w:sz w:val="16"/>
                <w:szCs w:val="16"/>
                <w:lang w:eastAsia="ru-RU"/>
              </w:rPr>
            </w:pPr>
            <w:r w:rsidRPr="00365650">
              <w:rPr>
                <w:sz w:val="16"/>
                <w:szCs w:val="16"/>
              </w:rPr>
              <w:t>4.50 ± 0.15</w:t>
            </w:r>
            <w:r w:rsidRPr="00365650">
              <w:rPr>
                <w:rFonts w:cs="Arial"/>
                <w:sz w:val="16"/>
                <w:szCs w:val="16"/>
              </w:rPr>
              <w:t>ᵃ</w:t>
            </w:r>
          </w:p>
        </w:tc>
      </w:tr>
    </w:tbl>
    <w:p w14:paraId="3A08A1BD" w14:textId="6C604276" w:rsidR="00601CE9" w:rsidRPr="00365650" w:rsidRDefault="00E00F4D" w:rsidP="007C67DD">
      <w:pPr>
        <w:pStyle w:val="CETBodytext"/>
        <w:spacing w:line="240" w:lineRule="auto"/>
        <w:rPr>
          <w:i/>
          <w:iCs/>
          <w:sz w:val="16"/>
          <w:szCs w:val="16"/>
        </w:rPr>
      </w:pPr>
      <w:r w:rsidRPr="00365650">
        <w:rPr>
          <w:i/>
          <w:iCs/>
          <w:sz w:val="16"/>
          <w:szCs w:val="16"/>
        </w:rPr>
        <w:t>Values are expressed as mean ± standard deviation (n = 3). Different superscript letters within the same row indicate statistically significant differences at p &lt; 0.05. Higher scores indicate better sensory acceptability.</w:t>
      </w:r>
    </w:p>
    <w:p w14:paraId="684C36FE" w14:textId="77777777" w:rsidR="00E00F4D" w:rsidRDefault="00E00F4D" w:rsidP="007C67DD">
      <w:pPr>
        <w:pStyle w:val="CETBodytext"/>
        <w:spacing w:line="240" w:lineRule="auto"/>
      </w:pPr>
    </w:p>
    <w:p w14:paraId="1BD24C50" w14:textId="6B63BA99" w:rsidR="009448A7" w:rsidRPr="000E075A" w:rsidRDefault="00365650" w:rsidP="000E075A">
      <w:pPr>
        <w:pStyle w:val="CETBodytext"/>
      </w:pPr>
      <w:r w:rsidRPr="00734E1D">
        <w:rPr>
          <w:rFonts w:ascii="Calibri" w:eastAsia="Calibri" w:hAnsi="Calibri"/>
          <w:noProof/>
          <w:sz w:val="22"/>
          <w:szCs w:val="22"/>
          <w:lang w:val="ru-RU" w:eastAsia="ru-RU"/>
        </w:rPr>
        <w:drawing>
          <wp:anchor distT="0" distB="0" distL="114300" distR="114300" simplePos="0" relativeHeight="251660288" behindDoc="0" locked="0" layoutInCell="1" allowOverlap="1" wp14:anchorId="6D6B72DA" wp14:editId="790C762C">
            <wp:simplePos x="0" y="0"/>
            <wp:positionH relativeFrom="column">
              <wp:posOffset>3110865</wp:posOffset>
            </wp:positionH>
            <wp:positionV relativeFrom="paragraph">
              <wp:posOffset>726440</wp:posOffset>
            </wp:positionV>
            <wp:extent cx="1362075" cy="1102360"/>
            <wp:effectExtent l="0" t="0" r="9525" b="2540"/>
            <wp:wrapTopAndBottom/>
            <wp:docPr id="192250913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2509132" name=""/>
                    <pic:cNvPicPr/>
                  </pic:nvPicPr>
                  <pic:blipFill rotWithShape="1">
                    <a:blip r:embed="rId12"/>
                    <a:srcRect l="14885" t="2836" r="12662" b="18912"/>
                    <a:stretch>
                      <a:fillRect/>
                    </a:stretch>
                  </pic:blipFill>
                  <pic:spPr bwMode="auto">
                    <a:xfrm>
                      <a:off x="0" y="0"/>
                      <a:ext cx="1362075" cy="11023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734E1D">
        <w:rPr>
          <w:rFonts w:ascii="Times New Roman" w:eastAsia="Calibri" w:hAnsi="Times New Roman"/>
          <w:noProof/>
          <w:color w:val="000000"/>
          <w:sz w:val="28"/>
          <w:szCs w:val="28"/>
          <w:lang w:val="ru-RU" w:eastAsia="ru-RU"/>
        </w:rPr>
        <w:drawing>
          <wp:anchor distT="0" distB="0" distL="114300" distR="114300" simplePos="0" relativeHeight="251659264" behindDoc="0" locked="0" layoutInCell="1" allowOverlap="1" wp14:anchorId="136A769C" wp14:editId="29808B63">
            <wp:simplePos x="0" y="0"/>
            <wp:positionH relativeFrom="column">
              <wp:posOffset>1586865</wp:posOffset>
            </wp:positionH>
            <wp:positionV relativeFrom="paragraph">
              <wp:posOffset>726440</wp:posOffset>
            </wp:positionV>
            <wp:extent cx="1276350" cy="1085850"/>
            <wp:effectExtent l="0" t="0" r="0" b="0"/>
            <wp:wrapSquare wrapText="bothSides"/>
            <wp:docPr id="223351877"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3">
                      <a:extLst>
                        <a:ext uri="{28A0092B-C50C-407E-A947-70E740481C1C}">
                          <a14:useLocalDpi xmlns:a14="http://schemas.microsoft.com/office/drawing/2010/main" val="0"/>
                        </a:ext>
                      </a:extLst>
                    </a:blip>
                    <a:srcRect l="20849" t="17677" r="18872" b="11638"/>
                    <a:stretch>
                      <a:fillRect/>
                    </a:stretch>
                  </pic:blipFill>
                  <pic:spPr bwMode="auto">
                    <a:xfrm>
                      <a:off x="0" y="0"/>
                      <a:ext cx="1276350" cy="10858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734E1D">
        <w:rPr>
          <w:rFonts w:ascii="Times New Roman" w:eastAsia="Calibri" w:hAnsi="Times New Roman"/>
          <w:noProof/>
          <w:color w:val="000000"/>
          <w:sz w:val="28"/>
          <w:szCs w:val="28"/>
          <w:lang w:val="ru-RU" w:eastAsia="ru-RU"/>
        </w:rPr>
        <w:drawing>
          <wp:anchor distT="0" distB="0" distL="114300" distR="114300" simplePos="0" relativeHeight="251658240" behindDoc="0" locked="0" layoutInCell="1" allowOverlap="1" wp14:anchorId="444B0E9C" wp14:editId="52AC973C">
            <wp:simplePos x="0" y="0"/>
            <wp:positionH relativeFrom="column">
              <wp:posOffset>5715</wp:posOffset>
            </wp:positionH>
            <wp:positionV relativeFrom="paragraph">
              <wp:posOffset>726440</wp:posOffset>
            </wp:positionV>
            <wp:extent cx="1353820" cy="1095375"/>
            <wp:effectExtent l="0" t="0" r="0" b="9525"/>
            <wp:wrapSquare wrapText="bothSides"/>
            <wp:docPr id="1748696107"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4">
                      <a:extLst>
                        <a:ext uri="{28A0092B-C50C-407E-A947-70E740481C1C}">
                          <a14:useLocalDpi xmlns:a14="http://schemas.microsoft.com/office/drawing/2010/main" val="0"/>
                        </a:ext>
                      </a:extLst>
                    </a:blip>
                    <a:srcRect l="12858" t="9609" r="7551" b="15811"/>
                    <a:stretch>
                      <a:fillRect/>
                    </a:stretch>
                  </pic:blipFill>
                  <pic:spPr bwMode="auto">
                    <a:xfrm>
                      <a:off x="0" y="0"/>
                      <a:ext cx="1353820" cy="10953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C7CC6" w:rsidRPr="00AC7CC6">
        <w:t>The firmer texture of barley-based cookies compared with wheat flour cookies can be explained by their higher dietary fiber content and coarser particle structure caused by heat-moisture treatment and milling. However, this firmness remained within acceptable sensory limits and improved product stability. These findings confirm the potential of heat-moisture-treated barley flour as a functional ingredient for sugar-free bakery and confectionery products aimed at health-oriented food development</w:t>
      </w:r>
      <w:r>
        <w:t>.</w:t>
      </w:r>
    </w:p>
    <w:p w14:paraId="53EFE2AA" w14:textId="5BF75D02" w:rsidR="008A5C58" w:rsidRPr="00667B1A" w:rsidRDefault="000753B9" w:rsidP="00667B1A">
      <w:pPr>
        <w:pStyle w:val="CETBodytext"/>
        <w:spacing w:line="240" w:lineRule="auto"/>
        <w:rPr>
          <w:rFonts w:eastAsia="Calibri"/>
          <w:i/>
        </w:rPr>
      </w:pPr>
      <w:r>
        <w:rPr>
          <w:rFonts w:eastAsia="Calibri"/>
          <w:i/>
        </w:rPr>
        <w:t>(</w:t>
      </w:r>
      <w:r w:rsidR="008A5C58" w:rsidRPr="00734E1D">
        <w:rPr>
          <w:rFonts w:eastAsia="Calibri"/>
          <w:i/>
        </w:rPr>
        <w:t>a</w:t>
      </w:r>
      <w:r>
        <w:rPr>
          <w:rFonts w:eastAsia="Calibri"/>
          <w:i/>
        </w:rPr>
        <w:t>)</w:t>
      </w:r>
      <w:r w:rsidR="008A5C58">
        <w:rPr>
          <w:rFonts w:eastAsia="Calibri"/>
          <w:i/>
        </w:rPr>
        <w:t xml:space="preserve">                                    </w:t>
      </w:r>
      <w:r>
        <w:rPr>
          <w:rFonts w:eastAsia="Calibri"/>
          <w:i/>
        </w:rPr>
        <w:t xml:space="preserve">      </w:t>
      </w:r>
      <w:r w:rsidR="002703BC">
        <w:rPr>
          <w:rFonts w:eastAsia="Calibri"/>
          <w:i/>
        </w:rPr>
        <w:t xml:space="preserve">   </w:t>
      </w:r>
      <w:r>
        <w:rPr>
          <w:rFonts w:eastAsia="Calibri"/>
          <w:i/>
        </w:rPr>
        <w:t>(</w:t>
      </w:r>
      <w:r w:rsidR="008A5C58" w:rsidRPr="00734E1D">
        <w:rPr>
          <w:rFonts w:eastAsia="Calibri"/>
          <w:i/>
        </w:rPr>
        <w:t>b</w:t>
      </w:r>
      <w:r>
        <w:rPr>
          <w:rFonts w:eastAsia="Calibri"/>
          <w:i/>
        </w:rPr>
        <w:t>)</w:t>
      </w:r>
      <w:r w:rsidR="008A5C58">
        <w:rPr>
          <w:rFonts w:eastAsia="Calibri"/>
          <w:i/>
        </w:rPr>
        <w:t xml:space="preserve">        </w:t>
      </w:r>
      <w:r w:rsidR="00667B1A">
        <w:rPr>
          <w:rFonts w:eastAsia="Calibri"/>
          <w:i/>
        </w:rPr>
        <w:t xml:space="preserve">                 </w:t>
      </w:r>
      <w:r w:rsidR="008A5C58">
        <w:rPr>
          <w:rFonts w:eastAsia="Calibri"/>
          <w:i/>
        </w:rPr>
        <w:t xml:space="preserve">       </w:t>
      </w:r>
      <w:r>
        <w:rPr>
          <w:rFonts w:eastAsia="Calibri"/>
          <w:i/>
        </w:rPr>
        <w:t xml:space="preserve">            (</w:t>
      </w:r>
      <w:r w:rsidR="008A5C58" w:rsidRPr="008A5C58">
        <w:rPr>
          <w:rFonts w:eastAsia="Calibri"/>
          <w:i/>
        </w:rPr>
        <w:t>c</w:t>
      </w:r>
      <w:r>
        <w:rPr>
          <w:rFonts w:eastAsia="Calibri"/>
          <w:i/>
        </w:rPr>
        <w:t>)</w:t>
      </w:r>
    </w:p>
    <w:p w14:paraId="3824362E" w14:textId="2D4587E9" w:rsidR="008A5C58" w:rsidRDefault="008E063A" w:rsidP="0020408D">
      <w:pPr>
        <w:pStyle w:val="CETCaption"/>
      </w:pPr>
      <w:r w:rsidRPr="008E063A">
        <w:t xml:space="preserve">Figure 1: Appearance of sugar-free cookies after baking: (a) wheat flour, (b) Abu </w:t>
      </w:r>
      <w:proofErr w:type="spellStart"/>
      <w:r w:rsidRPr="008E063A">
        <w:t>G‘ofur</w:t>
      </w:r>
      <w:proofErr w:type="spellEnd"/>
      <w:r w:rsidRPr="008E063A">
        <w:t xml:space="preserve"> barley flour, and (c) HM-140 barley flour</w:t>
      </w:r>
    </w:p>
    <w:p w14:paraId="6BE336C2" w14:textId="77777777" w:rsidR="009448A7" w:rsidRDefault="009448A7" w:rsidP="0020408D">
      <w:pPr>
        <w:pStyle w:val="CETheadingx"/>
      </w:pPr>
      <w:r w:rsidRPr="009448A7">
        <w:t>3.5 Microbiological stability and shelf-life</w:t>
      </w:r>
    </w:p>
    <w:p w14:paraId="1C9781A9" w14:textId="77777777" w:rsidR="0015337A" w:rsidRDefault="0015337A" w:rsidP="0020408D">
      <w:pPr>
        <w:pStyle w:val="CETBodytext"/>
      </w:pPr>
      <w:r w:rsidRPr="0020408D">
        <w:t>Microbiological data confirm that hydrothermal treatment significantly improves storage stability.</w:t>
      </w:r>
    </w:p>
    <w:p w14:paraId="17AD0C6F" w14:textId="77777777" w:rsidR="00365650" w:rsidRDefault="00365650" w:rsidP="0020408D">
      <w:pPr>
        <w:pStyle w:val="CETBodytext"/>
      </w:pPr>
    </w:p>
    <w:p w14:paraId="5F85813B" w14:textId="45D5D51C" w:rsidR="00365650" w:rsidRPr="0020408D" w:rsidRDefault="00365650" w:rsidP="0020408D">
      <w:pPr>
        <w:pStyle w:val="CETBodytext"/>
      </w:pPr>
      <w:r w:rsidRPr="00365650">
        <w:t>Specifically, mesophilic aerobic and facultative anaerobic microorganisms stay well below the permissible limit of 5×104 CFU/g throughout storage. Additionally, the mold count rises only slightly from 7 to 29 CFU/g and remains within the permissible level of 100 CFU/g. Together, these results not only demonstrate enhanced microbial safety but also strongly support confidently extending the safe shelf life of barley-flour-based products from 4 to 6 months.</w:t>
      </w:r>
    </w:p>
    <w:p w14:paraId="79F87863" w14:textId="5C01C2C0" w:rsidR="00FA6D1A" w:rsidRPr="0020408D" w:rsidRDefault="008E063A" w:rsidP="0020408D">
      <w:pPr>
        <w:pStyle w:val="CETTabletitle"/>
      </w:pPr>
      <w:r w:rsidRPr="008E063A">
        <w:lastRenderedPageBreak/>
        <w:t>Table 6: Microbiological stability of barley flour cookies during storage</w:t>
      </w:r>
    </w:p>
    <w:tbl>
      <w:tblPr>
        <w:tblStyle w:val="-165"/>
        <w:tblW w:w="8784" w:type="dxa"/>
        <w:tblLayout w:type="fixed"/>
        <w:tblLook w:val="04A0" w:firstRow="1" w:lastRow="0" w:firstColumn="1" w:lastColumn="0" w:noHBand="0" w:noVBand="1"/>
      </w:tblPr>
      <w:tblGrid>
        <w:gridCol w:w="2689"/>
        <w:gridCol w:w="992"/>
        <w:gridCol w:w="992"/>
        <w:gridCol w:w="992"/>
        <w:gridCol w:w="993"/>
        <w:gridCol w:w="1134"/>
        <w:gridCol w:w="992"/>
      </w:tblGrid>
      <w:tr w:rsidR="001C0331" w:rsidRPr="00365650" w14:paraId="77B14A5F" w14:textId="77777777" w:rsidTr="00E00F4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vMerge w:val="restart"/>
            <w:tcBorders>
              <w:top w:val="single" w:sz="12" w:space="0" w:color="92D050"/>
              <w:left w:val="single" w:sz="4" w:space="0" w:color="FFFFFF" w:themeColor="background1"/>
              <w:right w:val="single" w:sz="12" w:space="0" w:color="FFFFFF" w:themeColor="background1"/>
            </w:tcBorders>
            <w:vAlign w:val="center"/>
          </w:tcPr>
          <w:p w14:paraId="367D8940" w14:textId="47D6FED6" w:rsidR="001C0331" w:rsidRPr="00365650" w:rsidRDefault="001C0331" w:rsidP="000753B9">
            <w:pPr>
              <w:pStyle w:val="CETBodytext"/>
              <w:rPr>
                <w:i/>
                <w:sz w:val="16"/>
                <w:szCs w:val="16"/>
              </w:rPr>
            </w:pPr>
            <w:bookmarkStart w:id="3" w:name="_Hlk196163922"/>
            <w:r w:rsidRPr="00365650">
              <w:rPr>
                <w:sz w:val="16"/>
                <w:szCs w:val="16"/>
              </w:rPr>
              <w:t>Indicator name</w:t>
            </w:r>
          </w:p>
        </w:tc>
        <w:tc>
          <w:tcPr>
            <w:tcW w:w="992" w:type="dxa"/>
            <w:vMerge w:val="restart"/>
            <w:tcBorders>
              <w:top w:val="single" w:sz="12" w:space="0" w:color="92D050"/>
              <w:left w:val="single" w:sz="12" w:space="0" w:color="FFFFFF" w:themeColor="background1"/>
              <w:right w:val="single" w:sz="12" w:space="0" w:color="FFFFFF" w:themeColor="background1"/>
            </w:tcBorders>
            <w:vAlign w:val="center"/>
          </w:tcPr>
          <w:p w14:paraId="09073F62" w14:textId="77777777" w:rsidR="001C0331" w:rsidRPr="00365650" w:rsidRDefault="001C0331" w:rsidP="000753B9">
            <w:pPr>
              <w:pStyle w:val="CETBodytext"/>
              <w:cnfStyle w:val="100000000000" w:firstRow="1" w:lastRow="0" w:firstColumn="0" w:lastColumn="0" w:oddVBand="0" w:evenVBand="0" w:oddHBand="0" w:evenHBand="0" w:firstRowFirstColumn="0" w:firstRowLastColumn="0" w:lastRowFirstColumn="0" w:lastRowLastColumn="0"/>
              <w:rPr>
                <w:i/>
                <w:sz w:val="16"/>
                <w:szCs w:val="16"/>
              </w:rPr>
            </w:pPr>
            <w:r w:rsidRPr="00365650">
              <w:rPr>
                <w:sz w:val="16"/>
                <w:szCs w:val="16"/>
                <w:lang w:val="ru-RU" w:eastAsia="ru-RU"/>
              </w:rPr>
              <w:t>GOST 31743-2012</w:t>
            </w:r>
          </w:p>
        </w:tc>
        <w:tc>
          <w:tcPr>
            <w:tcW w:w="5103" w:type="dxa"/>
            <w:gridSpan w:val="5"/>
            <w:tcBorders>
              <w:top w:val="single" w:sz="12" w:space="0" w:color="92D050"/>
              <w:left w:val="single" w:sz="12" w:space="0" w:color="FFFFFF" w:themeColor="background1"/>
              <w:right w:val="single" w:sz="4" w:space="0" w:color="FFFFFF" w:themeColor="background1"/>
            </w:tcBorders>
            <w:vAlign w:val="center"/>
          </w:tcPr>
          <w:p w14:paraId="761751FD" w14:textId="07A91231" w:rsidR="001C0331" w:rsidRPr="00365650" w:rsidRDefault="008E063A" w:rsidP="008E063A">
            <w:pPr>
              <w:pStyle w:val="CETBodytext"/>
              <w:jc w:val="center"/>
              <w:cnfStyle w:val="100000000000" w:firstRow="1" w:lastRow="0" w:firstColumn="0" w:lastColumn="0" w:oddVBand="0" w:evenVBand="0" w:oddHBand="0" w:evenHBand="0" w:firstRowFirstColumn="0" w:firstRowLastColumn="0" w:lastRowFirstColumn="0" w:lastRowLastColumn="0"/>
              <w:rPr>
                <w:i/>
                <w:sz w:val="16"/>
                <w:szCs w:val="16"/>
              </w:rPr>
            </w:pPr>
            <w:r w:rsidRPr="00365650">
              <w:rPr>
                <w:sz w:val="16"/>
                <w:szCs w:val="16"/>
              </w:rPr>
              <w:t>Shelf life (months)</w:t>
            </w:r>
          </w:p>
        </w:tc>
      </w:tr>
      <w:tr w:rsidR="001C0331" w:rsidRPr="00365650" w14:paraId="7743A7EE" w14:textId="77777777" w:rsidTr="00E00F4D">
        <w:trPr>
          <w:trHeight w:val="436"/>
        </w:trPr>
        <w:tc>
          <w:tcPr>
            <w:cnfStyle w:val="001000000000" w:firstRow="0" w:lastRow="0" w:firstColumn="1" w:lastColumn="0" w:oddVBand="0" w:evenVBand="0" w:oddHBand="0" w:evenHBand="0" w:firstRowFirstColumn="0" w:firstRowLastColumn="0" w:lastRowFirstColumn="0" w:lastRowLastColumn="0"/>
            <w:tcW w:w="2689" w:type="dxa"/>
            <w:vMerge/>
            <w:tcBorders>
              <w:left w:val="single" w:sz="4" w:space="0" w:color="FFFFFF" w:themeColor="background1"/>
              <w:right w:val="single" w:sz="12" w:space="0" w:color="FFFFFF" w:themeColor="background1"/>
            </w:tcBorders>
          </w:tcPr>
          <w:p w14:paraId="677F1B44" w14:textId="77777777" w:rsidR="001C0331" w:rsidRPr="00365650" w:rsidRDefault="001C0331" w:rsidP="000753B9">
            <w:pPr>
              <w:pStyle w:val="CETBodytext"/>
              <w:rPr>
                <w:i/>
                <w:sz w:val="16"/>
                <w:szCs w:val="16"/>
                <w:lang w:val="ru-RU"/>
              </w:rPr>
            </w:pPr>
          </w:p>
        </w:tc>
        <w:tc>
          <w:tcPr>
            <w:tcW w:w="992" w:type="dxa"/>
            <w:vMerge/>
            <w:tcBorders>
              <w:left w:val="single" w:sz="12" w:space="0" w:color="FFFFFF" w:themeColor="background1"/>
              <w:right w:val="single" w:sz="12" w:space="0" w:color="FFFFFF" w:themeColor="background1"/>
            </w:tcBorders>
            <w:vAlign w:val="center"/>
          </w:tcPr>
          <w:p w14:paraId="1245EA2E" w14:textId="77777777" w:rsidR="001C0331" w:rsidRPr="00365650" w:rsidRDefault="001C0331" w:rsidP="000753B9">
            <w:pPr>
              <w:pStyle w:val="CETBodytext"/>
              <w:cnfStyle w:val="000000000000" w:firstRow="0" w:lastRow="0" w:firstColumn="0" w:lastColumn="0" w:oddVBand="0" w:evenVBand="0" w:oddHBand="0" w:evenHBand="0" w:firstRowFirstColumn="0" w:firstRowLastColumn="0" w:lastRowFirstColumn="0" w:lastRowLastColumn="0"/>
              <w:rPr>
                <w:i/>
                <w:sz w:val="16"/>
                <w:szCs w:val="16"/>
                <w:lang w:val="ru-RU"/>
              </w:rPr>
            </w:pPr>
          </w:p>
        </w:tc>
        <w:tc>
          <w:tcPr>
            <w:tcW w:w="992" w:type="dxa"/>
            <w:tcBorders>
              <w:left w:val="single" w:sz="12" w:space="0" w:color="FFFFFF" w:themeColor="background1"/>
              <w:right w:val="single" w:sz="12" w:space="0" w:color="FFFFFF" w:themeColor="background1"/>
            </w:tcBorders>
            <w:vAlign w:val="center"/>
          </w:tcPr>
          <w:p w14:paraId="1F359E76" w14:textId="77777777" w:rsidR="001C0331" w:rsidRPr="00365650" w:rsidRDefault="001C0331" w:rsidP="000753B9">
            <w:pPr>
              <w:pStyle w:val="CETBodytext"/>
              <w:cnfStyle w:val="000000000000" w:firstRow="0" w:lastRow="0" w:firstColumn="0" w:lastColumn="0" w:oddVBand="0" w:evenVBand="0" w:oddHBand="0" w:evenHBand="0" w:firstRowFirstColumn="0" w:firstRowLastColumn="0" w:lastRowFirstColumn="0" w:lastRowLastColumn="0"/>
              <w:rPr>
                <w:i/>
                <w:sz w:val="16"/>
                <w:szCs w:val="16"/>
              </w:rPr>
            </w:pPr>
            <w:r w:rsidRPr="00365650">
              <w:rPr>
                <w:sz w:val="16"/>
                <w:szCs w:val="16"/>
              </w:rPr>
              <w:t>1</w:t>
            </w:r>
          </w:p>
        </w:tc>
        <w:tc>
          <w:tcPr>
            <w:tcW w:w="992" w:type="dxa"/>
            <w:tcBorders>
              <w:left w:val="single" w:sz="12" w:space="0" w:color="FFFFFF" w:themeColor="background1"/>
              <w:right w:val="single" w:sz="12" w:space="0" w:color="FFFFFF" w:themeColor="background1"/>
            </w:tcBorders>
            <w:vAlign w:val="center"/>
          </w:tcPr>
          <w:p w14:paraId="670CCDBC" w14:textId="77777777" w:rsidR="001C0331" w:rsidRPr="00365650" w:rsidRDefault="001C0331" w:rsidP="000753B9">
            <w:pPr>
              <w:pStyle w:val="CETBodytext"/>
              <w:cnfStyle w:val="000000000000" w:firstRow="0" w:lastRow="0" w:firstColumn="0" w:lastColumn="0" w:oddVBand="0" w:evenVBand="0" w:oddHBand="0" w:evenHBand="0" w:firstRowFirstColumn="0" w:firstRowLastColumn="0" w:lastRowFirstColumn="0" w:lastRowLastColumn="0"/>
              <w:rPr>
                <w:i/>
                <w:sz w:val="16"/>
                <w:szCs w:val="16"/>
              </w:rPr>
            </w:pPr>
            <w:r w:rsidRPr="00365650">
              <w:rPr>
                <w:sz w:val="16"/>
                <w:szCs w:val="16"/>
              </w:rPr>
              <w:t>3</w:t>
            </w:r>
          </w:p>
        </w:tc>
        <w:tc>
          <w:tcPr>
            <w:tcW w:w="993" w:type="dxa"/>
            <w:tcBorders>
              <w:left w:val="single" w:sz="12" w:space="0" w:color="FFFFFF" w:themeColor="background1"/>
              <w:right w:val="single" w:sz="12" w:space="0" w:color="FFFFFF" w:themeColor="background1"/>
            </w:tcBorders>
            <w:vAlign w:val="center"/>
          </w:tcPr>
          <w:p w14:paraId="713DA054" w14:textId="77777777" w:rsidR="001C0331" w:rsidRPr="00365650" w:rsidRDefault="001C0331" w:rsidP="000753B9">
            <w:pPr>
              <w:pStyle w:val="CETBodytext"/>
              <w:cnfStyle w:val="000000000000" w:firstRow="0" w:lastRow="0" w:firstColumn="0" w:lastColumn="0" w:oddVBand="0" w:evenVBand="0" w:oddHBand="0" w:evenHBand="0" w:firstRowFirstColumn="0" w:firstRowLastColumn="0" w:lastRowFirstColumn="0" w:lastRowLastColumn="0"/>
              <w:rPr>
                <w:i/>
                <w:sz w:val="16"/>
                <w:szCs w:val="16"/>
              </w:rPr>
            </w:pPr>
            <w:r w:rsidRPr="00365650">
              <w:rPr>
                <w:sz w:val="16"/>
                <w:szCs w:val="16"/>
              </w:rPr>
              <w:t>6</w:t>
            </w:r>
          </w:p>
        </w:tc>
        <w:tc>
          <w:tcPr>
            <w:tcW w:w="1134" w:type="dxa"/>
            <w:tcBorders>
              <w:left w:val="single" w:sz="12" w:space="0" w:color="FFFFFF" w:themeColor="background1"/>
              <w:right w:val="single" w:sz="12" w:space="0" w:color="FFFFFF" w:themeColor="background1"/>
            </w:tcBorders>
            <w:vAlign w:val="center"/>
          </w:tcPr>
          <w:p w14:paraId="643C9A18" w14:textId="77777777" w:rsidR="001C0331" w:rsidRPr="00365650" w:rsidRDefault="001C0331" w:rsidP="000753B9">
            <w:pPr>
              <w:pStyle w:val="CETBodytext"/>
              <w:cnfStyle w:val="000000000000" w:firstRow="0" w:lastRow="0" w:firstColumn="0" w:lastColumn="0" w:oddVBand="0" w:evenVBand="0" w:oddHBand="0" w:evenHBand="0" w:firstRowFirstColumn="0" w:firstRowLastColumn="0" w:lastRowFirstColumn="0" w:lastRowLastColumn="0"/>
              <w:rPr>
                <w:i/>
                <w:sz w:val="16"/>
                <w:szCs w:val="16"/>
              </w:rPr>
            </w:pPr>
            <w:r w:rsidRPr="00365650">
              <w:rPr>
                <w:sz w:val="16"/>
                <w:szCs w:val="16"/>
              </w:rPr>
              <w:t>9</w:t>
            </w:r>
          </w:p>
        </w:tc>
        <w:tc>
          <w:tcPr>
            <w:tcW w:w="992" w:type="dxa"/>
            <w:tcBorders>
              <w:left w:val="single" w:sz="12" w:space="0" w:color="FFFFFF" w:themeColor="background1"/>
              <w:right w:val="single" w:sz="4" w:space="0" w:color="FFFFFF" w:themeColor="background1"/>
            </w:tcBorders>
            <w:vAlign w:val="center"/>
          </w:tcPr>
          <w:p w14:paraId="03F073FF" w14:textId="77777777" w:rsidR="001C0331" w:rsidRPr="00365650" w:rsidRDefault="001C0331" w:rsidP="000753B9">
            <w:pPr>
              <w:pStyle w:val="CETBodytext"/>
              <w:cnfStyle w:val="000000000000" w:firstRow="0" w:lastRow="0" w:firstColumn="0" w:lastColumn="0" w:oddVBand="0" w:evenVBand="0" w:oddHBand="0" w:evenHBand="0" w:firstRowFirstColumn="0" w:firstRowLastColumn="0" w:lastRowFirstColumn="0" w:lastRowLastColumn="0"/>
              <w:rPr>
                <w:i/>
                <w:sz w:val="16"/>
                <w:szCs w:val="16"/>
              </w:rPr>
            </w:pPr>
            <w:r w:rsidRPr="00365650">
              <w:rPr>
                <w:sz w:val="16"/>
                <w:szCs w:val="16"/>
              </w:rPr>
              <w:t>12</w:t>
            </w:r>
          </w:p>
        </w:tc>
      </w:tr>
      <w:tr w:rsidR="00E00F4D" w:rsidRPr="00365650" w14:paraId="3966D83F" w14:textId="77777777" w:rsidTr="00E00F4D">
        <w:tc>
          <w:tcPr>
            <w:cnfStyle w:val="001000000000" w:firstRow="0" w:lastRow="0" w:firstColumn="1" w:lastColumn="0" w:oddVBand="0" w:evenVBand="0" w:oddHBand="0" w:evenHBand="0" w:firstRowFirstColumn="0" w:firstRowLastColumn="0" w:lastRowFirstColumn="0" w:lastRowLastColumn="0"/>
            <w:tcW w:w="2689" w:type="dxa"/>
            <w:tcBorders>
              <w:left w:val="single" w:sz="4" w:space="0" w:color="FFFFFF" w:themeColor="background1"/>
              <w:right w:val="single" w:sz="12" w:space="0" w:color="FFFFFF" w:themeColor="background1"/>
            </w:tcBorders>
          </w:tcPr>
          <w:p w14:paraId="798E5DAD" w14:textId="777A4ECC" w:rsidR="00E00F4D" w:rsidRPr="00365650" w:rsidRDefault="00E00F4D" w:rsidP="00E00F4D">
            <w:pPr>
              <w:pStyle w:val="CETBodytext"/>
              <w:rPr>
                <w:b w:val="0"/>
                <w:bCs w:val="0"/>
                <w:i/>
                <w:sz w:val="16"/>
                <w:szCs w:val="16"/>
              </w:rPr>
            </w:pPr>
            <w:r w:rsidRPr="00365650">
              <w:rPr>
                <w:b w:val="0"/>
                <w:bCs w:val="0"/>
                <w:sz w:val="16"/>
                <w:szCs w:val="16"/>
              </w:rPr>
              <w:t>The count of mesophilic aerobic and facultative anaerobic microorganisms, CFU/g</w:t>
            </w:r>
          </w:p>
        </w:tc>
        <w:tc>
          <w:tcPr>
            <w:tcW w:w="992" w:type="dxa"/>
            <w:tcBorders>
              <w:left w:val="single" w:sz="12" w:space="0" w:color="FFFFFF" w:themeColor="background1"/>
              <w:right w:val="single" w:sz="12" w:space="0" w:color="FFFFFF" w:themeColor="background1"/>
            </w:tcBorders>
          </w:tcPr>
          <w:p w14:paraId="65ACBEBD" w14:textId="3CE5C604" w:rsidR="00E00F4D" w:rsidRPr="00365650" w:rsidRDefault="00E00F4D" w:rsidP="00E00F4D">
            <w:pPr>
              <w:pStyle w:val="CETBodytext"/>
              <w:cnfStyle w:val="000000000000" w:firstRow="0" w:lastRow="0" w:firstColumn="0" w:lastColumn="0" w:oddVBand="0" w:evenVBand="0" w:oddHBand="0" w:evenHBand="0" w:firstRowFirstColumn="0" w:firstRowLastColumn="0" w:lastRowFirstColumn="0" w:lastRowLastColumn="0"/>
              <w:rPr>
                <w:i/>
                <w:sz w:val="16"/>
                <w:szCs w:val="16"/>
                <w:vertAlign w:val="superscript"/>
              </w:rPr>
            </w:pPr>
            <w:r w:rsidRPr="00365650">
              <w:rPr>
                <w:sz w:val="16"/>
                <w:szCs w:val="16"/>
              </w:rPr>
              <w:t>≤ 5×10⁴</w:t>
            </w:r>
          </w:p>
        </w:tc>
        <w:tc>
          <w:tcPr>
            <w:tcW w:w="992" w:type="dxa"/>
            <w:tcBorders>
              <w:left w:val="single" w:sz="12" w:space="0" w:color="FFFFFF" w:themeColor="background1"/>
              <w:right w:val="single" w:sz="12" w:space="0" w:color="FFFFFF" w:themeColor="background1"/>
            </w:tcBorders>
          </w:tcPr>
          <w:p w14:paraId="2F1E5378" w14:textId="1B2D7139" w:rsidR="00E00F4D" w:rsidRPr="00365650" w:rsidRDefault="00E00F4D" w:rsidP="00E00F4D">
            <w:pPr>
              <w:pStyle w:val="CETBodytext"/>
              <w:cnfStyle w:val="000000000000" w:firstRow="0" w:lastRow="0" w:firstColumn="0" w:lastColumn="0" w:oddVBand="0" w:evenVBand="0" w:oddHBand="0" w:evenHBand="0" w:firstRowFirstColumn="0" w:firstRowLastColumn="0" w:lastRowFirstColumn="0" w:lastRowLastColumn="0"/>
              <w:rPr>
                <w:i/>
                <w:sz w:val="16"/>
                <w:szCs w:val="16"/>
                <w:vertAlign w:val="superscript"/>
              </w:rPr>
            </w:pPr>
            <w:r w:rsidRPr="00365650">
              <w:rPr>
                <w:sz w:val="16"/>
                <w:szCs w:val="16"/>
              </w:rPr>
              <w:t>2.0×10² ± 0.2×10²</w:t>
            </w:r>
            <w:r w:rsidRPr="00365650">
              <w:rPr>
                <w:rFonts w:cs="Arial"/>
                <w:sz w:val="16"/>
                <w:szCs w:val="16"/>
              </w:rPr>
              <w:t>ᵈ</w:t>
            </w:r>
          </w:p>
        </w:tc>
        <w:tc>
          <w:tcPr>
            <w:tcW w:w="992" w:type="dxa"/>
            <w:tcBorders>
              <w:left w:val="single" w:sz="12" w:space="0" w:color="FFFFFF" w:themeColor="background1"/>
              <w:right w:val="single" w:sz="12" w:space="0" w:color="FFFFFF" w:themeColor="background1"/>
            </w:tcBorders>
          </w:tcPr>
          <w:p w14:paraId="3974F145" w14:textId="4D5BE1C0" w:rsidR="00E00F4D" w:rsidRPr="00365650" w:rsidRDefault="00E00F4D" w:rsidP="00E00F4D">
            <w:pPr>
              <w:pStyle w:val="CETBodytext"/>
              <w:cnfStyle w:val="000000000000" w:firstRow="0" w:lastRow="0" w:firstColumn="0" w:lastColumn="0" w:oddVBand="0" w:evenVBand="0" w:oddHBand="0" w:evenHBand="0" w:firstRowFirstColumn="0" w:firstRowLastColumn="0" w:lastRowFirstColumn="0" w:lastRowLastColumn="0"/>
              <w:rPr>
                <w:i/>
                <w:sz w:val="16"/>
                <w:szCs w:val="16"/>
                <w:lang w:val="ru-RU"/>
              </w:rPr>
            </w:pPr>
            <w:r w:rsidRPr="00365650">
              <w:rPr>
                <w:sz w:val="16"/>
                <w:szCs w:val="16"/>
              </w:rPr>
              <w:t>3.0×10² ± 0.3×10²</w:t>
            </w:r>
            <w:r w:rsidRPr="00365650">
              <w:rPr>
                <w:rFonts w:cs="Arial"/>
                <w:sz w:val="16"/>
                <w:szCs w:val="16"/>
              </w:rPr>
              <w:t>ᶜ</w:t>
            </w:r>
          </w:p>
        </w:tc>
        <w:tc>
          <w:tcPr>
            <w:tcW w:w="993" w:type="dxa"/>
            <w:tcBorders>
              <w:left w:val="single" w:sz="12" w:space="0" w:color="FFFFFF" w:themeColor="background1"/>
              <w:right w:val="single" w:sz="12" w:space="0" w:color="FFFFFF" w:themeColor="background1"/>
            </w:tcBorders>
          </w:tcPr>
          <w:p w14:paraId="5658B344" w14:textId="1A646447" w:rsidR="00E00F4D" w:rsidRPr="00365650" w:rsidRDefault="00E00F4D" w:rsidP="00E00F4D">
            <w:pPr>
              <w:pStyle w:val="CETBodytext"/>
              <w:cnfStyle w:val="000000000000" w:firstRow="0" w:lastRow="0" w:firstColumn="0" w:lastColumn="0" w:oddVBand="0" w:evenVBand="0" w:oddHBand="0" w:evenHBand="0" w:firstRowFirstColumn="0" w:firstRowLastColumn="0" w:lastRowFirstColumn="0" w:lastRowLastColumn="0"/>
              <w:rPr>
                <w:i/>
                <w:sz w:val="16"/>
                <w:szCs w:val="16"/>
                <w:lang w:val="ru-RU"/>
              </w:rPr>
            </w:pPr>
            <w:r w:rsidRPr="00365650">
              <w:rPr>
                <w:sz w:val="16"/>
                <w:szCs w:val="16"/>
              </w:rPr>
              <w:t>6.0×10² ± 0.4×10²</w:t>
            </w:r>
            <w:r w:rsidRPr="00365650">
              <w:rPr>
                <w:rFonts w:cs="Arial"/>
                <w:sz w:val="16"/>
                <w:szCs w:val="16"/>
              </w:rPr>
              <w:t>ᵇ</w:t>
            </w:r>
          </w:p>
        </w:tc>
        <w:tc>
          <w:tcPr>
            <w:tcW w:w="1134" w:type="dxa"/>
            <w:tcBorders>
              <w:left w:val="single" w:sz="12" w:space="0" w:color="FFFFFF" w:themeColor="background1"/>
              <w:right w:val="single" w:sz="12" w:space="0" w:color="FFFFFF" w:themeColor="background1"/>
            </w:tcBorders>
          </w:tcPr>
          <w:p w14:paraId="23E21152" w14:textId="5D2D9BB6" w:rsidR="00E00F4D" w:rsidRPr="00365650" w:rsidRDefault="00E00F4D" w:rsidP="00E00F4D">
            <w:pPr>
              <w:pStyle w:val="CETBodytext"/>
              <w:cnfStyle w:val="000000000000" w:firstRow="0" w:lastRow="0" w:firstColumn="0" w:lastColumn="0" w:oddVBand="0" w:evenVBand="0" w:oddHBand="0" w:evenHBand="0" w:firstRowFirstColumn="0" w:firstRowLastColumn="0" w:lastRowFirstColumn="0" w:lastRowLastColumn="0"/>
              <w:rPr>
                <w:i/>
                <w:sz w:val="16"/>
                <w:szCs w:val="16"/>
                <w:lang w:val="ru-RU"/>
              </w:rPr>
            </w:pPr>
            <w:r w:rsidRPr="00365650">
              <w:rPr>
                <w:sz w:val="16"/>
                <w:szCs w:val="16"/>
              </w:rPr>
              <w:t>7.0×10² ± 0.5×10²</w:t>
            </w:r>
            <w:r w:rsidRPr="00365650">
              <w:rPr>
                <w:rFonts w:cs="Arial"/>
                <w:sz w:val="16"/>
                <w:szCs w:val="16"/>
              </w:rPr>
              <w:t>ᵃ</w:t>
            </w:r>
          </w:p>
        </w:tc>
        <w:tc>
          <w:tcPr>
            <w:tcW w:w="992" w:type="dxa"/>
            <w:tcBorders>
              <w:left w:val="single" w:sz="12" w:space="0" w:color="FFFFFF" w:themeColor="background1"/>
              <w:right w:val="single" w:sz="4" w:space="0" w:color="FFFFFF" w:themeColor="background1"/>
            </w:tcBorders>
          </w:tcPr>
          <w:p w14:paraId="32BF338F" w14:textId="66999ECE" w:rsidR="00E00F4D" w:rsidRPr="00365650" w:rsidRDefault="00E00F4D" w:rsidP="00E00F4D">
            <w:pPr>
              <w:pStyle w:val="CETBodytext"/>
              <w:cnfStyle w:val="000000000000" w:firstRow="0" w:lastRow="0" w:firstColumn="0" w:lastColumn="0" w:oddVBand="0" w:evenVBand="0" w:oddHBand="0" w:evenHBand="0" w:firstRowFirstColumn="0" w:firstRowLastColumn="0" w:lastRowFirstColumn="0" w:lastRowLastColumn="0"/>
              <w:rPr>
                <w:i/>
                <w:sz w:val="16"/>
                <w:szCs w:val="16"/>
                <w:lang w:val="ru-RU"/>
              </w:rPr>
            </w:pPr>
            <w:r w:rsidRPr="00365650">
              <w:rPr>
                <w:sz w:val="16"/>
                <w:szCs w:val="16"/>
              </w:rPr>
              <w:t>7.0×10² ± 0.5×10²</w:t>
            </w:r>
            <w:r w:rsidRPr="00365650">
              <w:rPr>
                <w:rFonts w:cs="Arial"/>
                <w:sz w:val="16"/>
                <w:szCs w:val="16"/>
              </w:rPr>
              <w:t>ᵃ</w:t>
            </w:r>
          </w:p>
        </w:tc>
      </w:tr>
      <w:tr w:rsidR="00E00F4D" w:rsidRPr="00365650" w14:paraId="4626DF33" w14:textId="77777777" w:rsidTr="00E00F4D">
        <w:tc>
          <w:tcPr>
            <w:cnfStyle w:val="001000000000" w:firstRow="0" w:lastRow="0" w:firstColumn="1" w:lastColumn="0" w:oddVBand="0" w:evenVBand="0" w:oddHBand="0" w:evenHBand="0" w:firstRowFirstColumn="0" w:firstRowLastColumn="0" w:lastRowFirstColumn="0" w:lastRowLastColumn="0"/>
            <w:tcW w:w="2689" w:type="dxa"/>
            <w:tcBorders>
              <w:left w:val="single" w:sz="4" w:space="0" w:color="FFFFFF" w:themeColor="background1"/>
              <w:right w:val="single" w:sz="12" w:space="0" w:color="FFFFFF" w:themeColor="background1"/>
            </w:tcBorders>
          </w:tcPr>
          <w:p w14:paraId="3982CC51" w14:textId="52287E2F" w:rsidR="00E00F4D" w:rsidRPr="00365650" w:rsidRDefault="00E00F4D" w:rsidP="00E00F4D">
            <w:pPr>
              <w:pStyle w:val="CETBodytext"/>
              <w:rPr>
                <w:b w:val="0"/>
                <w:bCs w:val="0"/>
                <w:i/>
                <w:sz w:val="16"/>
                <w:szCs w:val="16"/>
              </w:rPr>
            </w:pPr>
            <w:r w:rsidRPr="00365650">
              <w:rPr>
                <w:b w:val="0"/>
                <w:bCs w:val="0"/>
                <w:sz w:val="16"/>
                <w:szCs w:val="16"/>
              </w:rPr>
              <w:t>Coliform group bacteria, g</w:t>
            </w:r>
          </w:p>
        </w:tc>
        <w:tc>
          <w:tcPr>
            <w:tcW w:w="992" w:type="dxa"/>
            <w:tcBorders>
              <w:left w:val="single" w:sz="12" w:space="0" w:color="FFFFFF" w:themeColor="background1"/>
              <w:right w:val="single" w:sz="12" w:space="0" w:color="FFFFFF" w:themeColor="background1"/>
            </w:tcBorders>
          </w:tcPr>
          <w:p w14:paraId="69E51AB0" w14:textId="4C7D56EA" w:rsidR="00E00F4D" w:rsidRPr="00365650" w:rsidRDefault="00E00F4D" w:rsidP="00E00F4D">
            <w:pPr>
              <w:pStyle w:val="CETBodytext"/>
              <w:cnfStyle w:val="000000000000" w:firstRow="0" w:lastRow="0" w:firstColumn="0" w:lastColumn="0" w:oddVBand="0" w:evenVBand="0" w:oddHBand="0" w:evenHBand="0" w:firstRowFirstColumn="0" w:firstRowLastColumn="0" w:lastRowFirstColumn="0" w:lastRowLastColumn="0"/>
              <w:rPr>
                <w:i/>
                <w:sz w:val="16"/>
                <w:szCs w:val="16"/>
              </w:rPr>
            </w:pPr>
            <w:r w:rsidRPr="00365650">
              <w:rPr>
                <w:sz w:val="16"/>
                <w:szCs w:val="16"/>
              </w:rPr>
              <w:t>Not permitted in 0.1 g</w:t>
            </w:r>
          </w:p>
        </w:tc>
        <w:tc>
          <w:tcPr>
            <w:tcW w:w="992" w:type="dxa"/>
            <w:tcBorders>
              <w:left w:val="single" w:sz="12" w:space="0" w:color="FFFFFF" w:themeColor="background1"/>
              <w:right w:val="single" w:sz="12" w:space="0" w:color="FFFFFF" w:themeColor="background1"/>
            </w:tcBorders>
          </w:tcPr>
          <w:p w14:paraId="153DB4EC" w14:textId="5A011573" w:rsidR="00E00F4D" w:rsidRPr="00365650" w:rsidRDefault="00E00F4D" w:rsidP="00E00F4D">
            <w:pPr>
              <w:pStyle w:val="CETBodytext"/>
              <w:cnfStyle w:val="000000000000" w:firstRow="0" w:lastRow="0" w:firstColumn="0" w:lastColumn="0" w:oddVBand="0" w:evenVBand="0" w:oddHBand="0" w:evenHBand="0" w:firstRowFirstColumn="0" w:firstRowLastColumn="0" w:lastRowFirstColumn="0" w:lastRowLastColumn="0"/>
              <w:rPr>
                <w:i/>
                <w:sz w:val="16"/>
                <w:szCs w:val="16"/>
              </w:rPr>
            </w:pPr>
            <w:r w:rsidRPr="00365650">
              <w:rPr>
                <w:sz w:val="16"/>
                <w:szCs w:val="16"/>
              </w:rPr>
              <w:t>Not detected</w:t>
            </w:r>
          </w:p>
        </w:tc>
        <w:tc>
          <w:tcPr>
            <w:tcW w:w="992" w:type="dxa"/>
            <w:tcBorders>
              <w:left w:val="single" w:sz="12" w:space="0" w:color="FFFFFF" w:themeColor="background1"/>
              <w:right w:val="single" w:sz="12" w:space="0" w:color="FFFFFF" w:themeColor="background1"/>
            </w:tcBorders>
          </w:tcPr>
          <w:p w14:paraId="7B52732F" w14:textId="113C7E09" w:rsidR="00E00F4D" w:rsidRPr="00365650" w:rsidRDefault="00E00F4D" w:rsidP="00E00F4D">
            <w:pPr>
              <w:pStyle w:val="CETBodytext"/>
              <w:cnfStyle w:val="000000000000" w:firstRow="0" w:lastRow="0" w:firstColumn="0" w:lastColumn="0" w:oddVBand="0" w:evenVBand="0" w:oddHBand="0" w:evenHBand="0" w:firstRowFirstColumn="0" w:firstRowLastColumn="0" w:lastRowFirstColumn="0" w:lastRowLastColumn="0"/>
              <w:rPr>
                <w:i/>
                <w:sz w:val="16"/>
                <w:szCs w:val="16"/>
              </w:rPr>
            </w:pPr>
            <w:r w:rsidRPr="00365650">
              <w:rPr>
                <w:sz w:val="16"/>
                <w:szCs w:val="16"/>
              </w:rPr>
              <w:t>Not detected</w:t>
            </w:r>
          </w:p>
        </w:tc>
        <w:tc>
          <w:tcPr>
            <w:tcW w:w="993" w:type="dxa"/>
            <w:tcBorders>
              <w:left w:val="single" w:sz="12" w:space="0" w:color="FFFFFF" w:themeColor="background1"/>
              <w:right w:val="single" w:sz="12" w:space="0" w:color="FFFFFF" w:themeColor="background1"/>
            </w:tcBorders>
          </w:tcPr>
          <w:p w14:paraId="2519CDC8" w14:textId="39C72D18" w:rsidR="00E00F4D" w:rsidRPr="00365650" w:rsidRDefault="00E00F4D" w:rsidP="00E00F4D">
            <w:pPr>
              <w:pStyle w:val="CETBodytext"/>
              <w:cnfStyle w:val="000000000000" w:firstRow="0" w:lastRow="0" w:firstColumn="0" w:lastColumn="0" w:oddVBand="0" w:evenVBand="0" w:oddHBand="0" w:evenHBand="0" w:firstRowFirstColumn="0" w:firstRowLastColumn="0" w:lastRowFirstColumn="0" w:lastRowLastColumn="0"/>
              <w:rPr>
                <w:i/>
                <w:sz w:val="16"/>
                <w:szCs w:val="16"/>
              </w:rPr>
            </w:pPr>
            <w:r w:rsidRPr="00365650">
              <w:rPr>
                <w:sz w:val="16"/>
                <w:szCs w:val="16"/>
              </w:rPr>
              <w:t>Not detected</w:t>
            </w:r>
          </w:p>
        </w:tc>
        <w:tc>
          <w:tcPr>
            <w:tcW w:w="1134" w:type="dxa"/>
            <w:tcBorders>
              <w:left w:val="single" w:sz="12" w:space="0" w:color="FFFFFF" w:themeColor="background1"/>
              <w:right w:val="single" w:sz="12" w:space="0" w:color="FFFFFF" w:themeColor="background1"/>
            </w:tcBorders>
          </w:tcPr>
          <w:p w14:paraId="69F8474C" w14:textId="5A1C673A" w:rsidR="00E00F4D" w:rsidRPr="00365650" w:rsidRDefault="00E00F4D" w:rsidP="00E00F4D">
            <w:pPr>
              <w:pStyle w:val="CETBodytext"/>
              <w:cnfStyle w:val="000000000000" w:firstRow="0" w:lastRow="0" w:firstColumn="0" w:lastColumn="0" w:oddVBand="0" w:evenVBand="0" w:oddHBand="0" w:evenHBand="0" w:firstRowFirstColumn="0" w:firstRowLastColumn="0" w:lastRowFirstColumn="0" w:lastRowLastColumn="0"/>
              <w:rPr>
                <w:i/>
                <w:sz w:val="16"/>
                <w:szCs w:val="16"/>
              </w:rPr>
            </w:pPr>
            <w:r w:rsidRPr="00365650">
              <w:rPr>
                <w:sz w:val="16"/>
                <w:szCs w:val="16"/>
              </w:rPr>
              <w:t>Not detected</w:t>
            </w:r>
          </w:p>
        </w:tc>
        <w:tc>
          <w:tcPr>
            <w:tcW w:w="992" w:type="dxa"/>
            <w:tcBorders>
              <w:left w:val="single" w:sz="12" w:space="0" w:color="FFFFFF" w:themeColor="background1"/>
              <w:right w:val="single" w:sz="4" w:space="0" w:color="FFFFFF" w:themeColor="background1"/>
            </w:tcBorders>
          </w:tcPr>
          <w:p w14:paraId="74D4200C" w14:textId="39F88DBA" w:rsidR="00E00F4D" w:rsidRPr="00365650" w:rsidRDefault="00E00F4D" w:rsidP="00E00F4D">
            <w:pPr>
              <w:pStyle w:val="CETBodytext"/>
              <w:cnfStyle w:val="000000000000" w:firstRow="0" w:lastRow="0" w:firstColumn="0" w:lastColumn="0" w:oddVBand="0" w:evenVBand="0" w:oddHBand="0" w:evenHBand="0" w:firstRowFirstColumn="0" w:firstRowLastColumn="0" w:lastRowFirstColumn="0" w:lastRowLastColumn="0"/>
              <w:rPr>
                <w:i/>
                <w:sz w:val="16"/>
                <w:szCs w:val="16"/>
              </w:rPr>
            </w:pPr>
            <w:r w:rsidRPr="00365650">
              <w:rPr>
                <w:sz w:val="16"/>
                <w:szCs w:val="16"/>
              </w:rPr>
              <w:t>Not detected</w:t>
            </w:r>
          </w:p>
        </w:tc>
      </w:tr>
      <w:tr w:rsidR="00E00F4D" w:rsidRPr="00365650" w14:paraId="29C2E12B" w14:textId="77777777" w:rsidTr="00E00F4D">
        <w:tc>
          <w:tcPr>
            <w:cnfStyle w:val="001000000000" w:firstRow="0" w:lastRow="0" w:firstColumn="1" w:lastColumn="0" w:oddVBand="0" w:evenVBand="0" w:oddHBand="0" w:evenHBand="0" w:firstRowFirstColumn="0" w:firstRowLastColumn="0" w:lastRowFirstColumn="0" w:lastRowLastColumn="0"/>
            <w:tcW w:w="2689" w:type="dxa"/>
            <w:tcBorders>
              <w:left w:val="single" w:sz="4" w:space="0" w:color="FFFFFF" w:themeColor="background1"/>
              <w:bottom w:val="single" w:sz="12" w:space="0" w:color="92D050"/>
              <w:right w:val="single" w:sz="12" w:space="0" w:color="FFFFFF" w:themeColor="background1"/>
            </w:tcBorders>
          </w:tcPr>
          <w:p w14:paraId="5C4D93A6" w14:textId="387E5BC5" w:rsidR="00E00F4D" w:rsidRPr="00365650" w:rsidRDefault="00E00F4D" w:rsidP="00E00F4D">
            <w:pPr>
              <w:pStyle w:val="CETBodytext"/>
              <w:rPr>
                <w:b w:val="0"/>
                <w:bCs w:val="0"/>
                <w:i/>
                <w:sz w:val="16"/>
                <w:szCs w:val="16"/>
              </w:rPr>
            </w:pPr>
            <w:r w:rsidRPr="00365650">
              <w:rPr>
                <w:b w:val="0"/>
                <w:bCs w:val="0"/>
                <w:sz w:val="16"/>
                <w:szCs w:val="16"/>
              </w:rPr>
              <w:t>Mold, CFU/g, not more than</w:t>
            </w:r>
          </w:p>
        </w:tc>
        <w:tc>
          <w:tcPr>
            <w:tcW w:w="992" w:type="dxa"/>
            <w:tcBorders>
              <w:left w:val="single" w:sz="12" w:space="0" w:color="FFFFFF" w:themeColor="background1"/>
              <w:bottom w:val="single" w:sz="12" w:space="0" w:color="92D050"/>
              <w:right w:val="single" w:sz="12" w:space="0" w:color="FFFFFF" w:themeColor="background1"/>
            </w:tcBorders>
          </w:tcPr>
          <w:p w14:paraId="27262544" w14:textId="4C24E748" w:rsidR="00E00F4D" w:rsidRPr="00365650" w:rsidRDefault="00E00F4D" w:rsidP="00E00F4D">
            <w:pPr>
              <w:pStyle w:val="CETBodytext"/>
              <w:cnfStyle w:val="000000000000" w:firstRow="0" w:lastRow="0" w:firstColumn="0" w:lastColumn="0" w:oddVBand="0" w:evenVBand="0" w:oddHBand="0" w:evenHBand="0" w:firstRowFirstColumn="0" w:firstRowLastColumn="0" w:lastRowFirstColumn="0" w:lastRowLastColumn="0"/>
              <w:rPr>
                <w:i/>
                <w:sz w:val="16"/>
                <w:szCs w:val="16"/>
              </w:rPr>
            </w:pPr>
            <w:r w:rsidRPr="00365650">
              <w:rPr>
                <w:sz w:val="16"/>
                <w:szCs w:val="16"/>
              </w:rPr>
              <w:t>≤ 100</w:t>
            </w:r>
          </w:p>
        </w:tc>
        <w:tc>
          <w:tcPr>
            <w:tcW w:w="992" w:type="dxa"/>
            <w:tcBorders>
              <w:left w:val="single" w:sz="12" w:space="0" w:color="FFFFFF" w:themeColor="background1"/>
              <w:bottom w:val="single" w:sz="12" w:space="0" w:color="92D050"/>
              <w:right w:val="single" w:sz="12" w:space="0" w:color="FFFFFF" w:themeColor="background1"/>
            </w:tcBorders>
          </w:tcPr>
          <w:p w14:paraId="7D7072FF" w14:textId="565FD438" w:rsidR="00E00F4D" w:rsidRPr="00365650" w:rsidRDefault="00E00F4D" w:rsidP="00E00F4D">
            <w:pPr>
              <w:pStyle w:val="CETBodytext"/>
              <w:cnfStyle w:val="000000000000" w:firstRow="0" w:lastRow="0" w:firstColumn="0" w:lastColumn="0" w:oddVBand="0" w:evenVBand="0" w:oddHBand="0" w:evenHBand="0" w:firstRowFirstColumn="0" w:firstRowLastColumn="0" w:lastRowFirstColumn="0" w:lastRowLastColumn="0"/>
              <w:rPr>
                <w:i/>
                <w:sz w:val="16"/>
                <w:szCs w:val="16"/>
              </w:rPr>
            </w:pPr>
            <w:r w:rsidRPr="00365650">
              <w:rPr>
                <w:sz w:val="16"/>
                <w:szCs w:val="16"/>
              </w:rPr>
              <w:t>7 ± 1</w:t>
            </w:r>
            <w:r w:rsidRPr="00365650">
              <w:rPr>
                <w:rFonts w:cs="Arial"/>
                <w:sz w:val="16"/>
                <w:szCs w:val="16"/>
              </w:rPr>
              <w:t>ᵉ</w:t>
            </w:r>
          </w:p>
        </w:tc>
        <w:tc>
          <w:tcPr>
            <w:tcW w:w="992" w:type="dxa"/>
            <w:tcBorders>
              <w:left w:val="single" w:sz="12" w:space="0" w:color="FFFFFF" w:themeColor="background1"/>
              <w:bottom w:val="single" w:sz="12" w:space="0" w:color="92D050"/>
              <w:right w:val="single" w:sz="12" w:space="0" w:color="FFFFFF" w:themeColor="background1"/>
            </w:tcBorders>
          </w:tcPr>
          <w:p w14:paraId="5DF8A3E9" w14:textId="5941AE65" w:rsidR="00E00F4D" w:rsidRPr="00365650" w:rsidRDefault="00E00F4D" w:rsidP="00E00F4D">
            <w:pPr>
              <w:pStyle w:val="CETBodytext"/>
              <w:cnfStyle w:val="000000000000" w:firstRow="0" w:lastRow="0" w:firstColumn="0" w:lastColumn="0" w:oddVBand="0" w:evenVBand="0" w:oddHBand="0" w:evenHBand="0" w:firstRowFirstColumn="0" w:firstRowLastColumn="0" w:lastRowFirstColumn="0" w:lastRowLastColumn="0"/>
              <w:rPr>
                <w:i/>
                <w:sz w:val="16"/>
                <w:szCs w:val="16"/>
              </w:rPr>
            </w:pPr>
            <w:r w:rsidRPr="00365650">
              <w:rPr>
                <w:sz w:val="16"/>
                <w:szCs w:val="16"/>
              </w:rPr>
              <w:t>10 ± 1</w:t>
            </w:r>
            <w:r w:rsidRPr="00365650">
              <w:rPr>
                <w:rFonts w:cs="Arial"/>
                <w:sz w:val="16"/>
                <w:szCs w:val="16"/>
              </w:rPr>
              <w:t>ᵈ</w:t>
            </w:r>
          </w:p>
        </w:tc>
        <w:tc>
          <w:tcPr>
            <w:tcW w:w="993" w:type="dxa"/>
            <w:tcBorders>
              <w:left w:val="single" w:sz="12" w:space="0" w:color="FFFFFF" w:themeColor="background1"/>
              <w:bottom w:val="single" w:sz="12" w:space="0" w:color="92D050"/>
              <w:right w:val="single" w:sz="12" w:space="0" w:color="FFFFFF" w:themeColor="background1"/>
            </w:tcBorders>
          </w:tcPr>
          <w:p w14:paraId="26B5047A" w14:textId="0272FDC9" w:rsidR="00E00F4D" w:rsidRPr="00365650" w:rsidRDefault="00E00F4D" w:rsidP="00E00F4D">
            <w:pPr>
              <w:pStyle w:val="CETBodytext"/>
              <w:cnfStyle w:val="000000000000" w:firstRow="0" w:lastRow="0" w:firstColumn="0" w:lastColumn="0" w:oddVBand="0" w:evenVBand="0" w:oddHBand="0" w:evenHBand="0" w:firstRowFirstColumn="0" w:firstRowLastColumn="0" w:lastRowFirstColumn="0" w:lastRowLastColumn="0"/>
              <w:rPr>
                <w:i/>
                <w:sz w:val="16"/>
                <w:szCs w:val="16"/>
              </w:rPr>
            </w:pPr>
            <w:r w:rsidRPr="00365650">
              <w:rPr>
                <w:sz w:val="16"/>
                <w:szCs w:val="16"/>
              </w:rPr>
              <w:t>13 ± 2</w:t>
            </w:r>
            <w:r w:rsidRPr="00365650">
              <w:rPr>
                <w:rFonts w:cs="Arial"/>
                <w:sz w:val="16"/>
                <w:szCs w:val="16"/>
              </w:rPr>
              <w:t>ᶜ</w:t>
            </w:r>
          </w:p>
        </w:tc>
        <w:tc>
          <w:tcPr>
            <w:tcW w:w="1134" w:type="dxa"/>
            <w:tcBorders>
              <w:left w:val="single" w:sz="12" w:space="0" w:color="FFFFFF" w:themeColor="background1"/>
              <w:bottom w:val="single" w:sz="12" w:space="0" w:color="92D050"/>
              <w:right w:val="single" w:sz="12" w:space="0" w:color="FFFFFF" w:themeColor="background1"/>
            </w:tcBorders>
          </w:tcPr>
          <w:p w14:paraId="09798634" w14:textId="68E04953" w:rsidR="00E00F4D" w:rsidRPr="00365650" w:rsidRDefault="00E00F4D" w:rsidP="00E00F4D">
            <w:pPr>
              <w:pStyle w:val="CETBodytext"/>
              <w:cnfStyle w:val="000000000000" w:firstRow="0" w:lastRow="0" w:firstColumn="0" w:lastColumn="0" w:oddVBand="0" w:evenVBand="0" w:oddHBand="0" w:evenHBand="0" w:firstRowFirstColumn="0" w:firstRowLastColumn="0" w:lastRowFirstColumn="0" w:lastRowLastColumn="0"/>
              <w:rPr>
                <w:i/>
                <w:sz w:val="16"/>
                <w:szCs w:val="16"/>
              </w:rPr>
            </w:pPr>
            <w:r w:rsidRPr="00365650">
              <w:rPr>
                <w:sz w:val="16"/>
                <w:szCs w:val="16"/>
              </w:rPr>
              <w:t>19 ± 2</w:t>
            </w:r>
            <w:r w:rsidRPr="00365650">
              <w:rPr>
                <w:rFonts w:cs="Arial"/>
                <w:sz w:val="16"/>
                <w:szCs w:val="16"/>
              </w:rPr>
              <w:t>ᵇ</w:t>
            </w:r>
          </w:p>
        </w:tc>
        <w:tc>
          <w:tcPr>
            <w:tcW w:w="992" w:type="dxa"/>
            <w:tcBorders>
              <w:left w:val="single" w:sz="12" w:space="0" w:color="FFFFFF" w:themeColor="background1"/>
              <w:bottom w:val="single" w:sz="12" w:space="0" w:color="92D050"/>
              <w:right w:val="single" w:sz="4" w:space="0" w:color="FFFFFF" w:themeColor="background1"/>
            </w:tcBorders>
          </w:tcPr>
          <w:p w14:paraId="161E301E" w14:textId="1F105492" w:rsidR="00E00F4D" w:rsidRPr="00365650" w:rsidRDefault="00E00F4D" w:rsidP="00E00F4D">
            <w:pPr>
              <w:pStyle w:val="CETBodytext"/>
              <w:cnfStyle w:val="000000000000" w:firstRow="0" w:lastRow="0" w:firstColumn="0" w:lastColumn="0" w:oddVBand="0" w:evenVBand="0" w:oddHBand="0" w:evenHBand="0" w:firstRowFirstColumn="0" w:firstRowLastColumn="0" w:lastRowFirstColumn="0" w:lastRowLastColumn="0"/>
              <w:rPr>
                <w:i/>
                <w:sz w:val="16"/>
                <w:szCs w:val="16"/>
              </w:rPr>
            </w:pPr>
            <w:r w:rsidRPr="00365650">
              <w:rPr>
                <w:sz w:val="16"/>
                <w:szCs w:val="16"/>
              </w:rPr>
              <w:t>29 ± 3</w:t>
            </w:r>
            <w:r w:rsidRPr="00365650">
              <w:rPr>
                <w:rFonts w:cs="Arial"/>
                <w:sz w:val="16"/>
                <w:szCs w:val="16"/>
              </w:rPr>
              <w:t>ᵃ</w:t>
            </w:r>
          </w:p>
        </w:tc>
      </w:tr>
    </w:tbl>
    <w:bookmarkEnd w:id="3"/>
    <w:p w14:paraId="3AD9C09A" w14:textId="3CE83A2E" w:rsidR="00FA6D1A" w:rsidRPr="00365650" w:rsidRDefault="00E00F4D" w:rsidP="0020408D">
      <w:pPr>
        <w:pStyle w:val="CETBodytext"/>
        <w:rPr>
          <w:i/>
          <w:iCs/>
          <w:sz w:val="16"/>
          <w:szCs w:val="16"/>
        </w:rPr>
      </w:pPr>
      <w:r w:rsidRPr="00365650">
        <w:rPr>
          <w:i/>
          <w:iCs/>
          <w:sz w:val="16"/>
          <w:szCs w:val="16"/>
          <w:lang w:val="en-GB"/>
        </w:rPr>
        <w:t>Values are expressed as mean ± standard deviation (n = 3). Different superscript letters within the same row indicate statistically significant differences at p &lt; 0.05. CFU/g — colony-forming units per gram. GOST 31743-2012 — microbiological standard requirement. “Not detected” indicates the absence of coliform bacteria in the tested product mass.</w:t>
      </w:r>
    </w:p>
    <w:p w14:paraId="3A257CC3" w14:textId="56730814" w:rsidR="00D5569F" w:rsidRDefault="00A618CE" w:rsidP="0020408D">
      <w:pPr>
        <w:pStyle w:val="CETHeading1"/>
        <w:numPr>
          <w:ilvl w:val="0"/>
          <w:numId w:val="0"/>
        </w:numPr>
        <w:rPr>
          <w:rFonts w:eastAsiaTheme="minorHAnsi"/>
        </w:rPr>
      </w:pPr>
      <w:r w:rsidRPr="00D5569F">
        <w:rPr>
          <w:rFonts w:eastAsiaTheme="minorHAnsi"/>
        </w:rPr>
        <w:t xml:space="preserve">4. </w:t>
      </w:r>
      <w:r w:rsidR="00E01151" w:rsidRPr="00E01151">
        <w:rPr>
          <w:rFonts w:eastAsiaTheme="minorHAnsi"/>
        </w:rPr>
        <w:t>Conclusions</w:t>
      </w:r>
    </w:p>
    <w:p w14:paraId="3F386D96" w14:textId="746C887A" w:rsidR="00A618CE" w:rsidRPr="004539A4" w:rsidRDefault="00365650" w:rsidP="0020408D">
      <w:pPr>
        <w:pStyle w:val="CETBodytext"/>
        <w:rPr>
          <w:rFonts w:eastAsiaTheme="minorHAnsi"/>
        </w:rPr>
      </w:pPr>
      <w:r w:rsidRPr="00365650">
        <w:rPr>
          <w:rFonts w:eastAsiaTheme="minorHAnsi"/>
          <w:lang w:val="en-GB"/>
        </w:rPr>
        <w:t xml:space="preserve">In conclusion, this study shows that controlled hydrothermal treatment is an effective method for producing value-added functional flours from local hulled “Abu </w:t>
      </w:r>
      <w:proofErr w:type="spellStart"/>
      <w:r w:rsidRPr="00365650">
        <w:rPr>
          <w:rFonts w:eastAsiaTheme="minorHAnsi"/>
          <w:lang w:val="en-GB"/>
        </w:rPr>
        <w:t>G‘ofur</w:t>
      </w:r>
      <w:proofErr w:type="spellEnd"/>
      <w:r w:rsidRPr="00365650">
        <w:rPr>
          <w:rFonts w:eastAsiaTheme="minorHAnsi"/>
          <w:lang w:val="en-GB"/>
        </w:rPr>
        <w:t xml:space="preserve">” and hull-less “HM-140” barley varieties. The optimal conditions—steaming at 0.4 MPa for 6 min, moistening to 15 %, and drying at 110 °C—promoted resistant starch formation and reduced rapidly digestible starch, particularly in HM-140. The treated barley flours showed improved water absorption, dough stability, and suitability for sugar-free bakery products. Their use in cookie formulations increased dietary </w:t>
      </w:r>
      <w:proofErr w:type="spellStart"/>
      <w:r w:rsidRPr="00365650">
        <w:rPr>
          <w:rFonts w:eastAsiaTheme="minorHAnsi"/>
          <w:lang w:val="en-GB"/>
        </w:rPr>
        <w:t>fiber</w:t>
      </w:r>
      <w:proofErr w:type="spellEnd"/>
      <w:r w:rsidRPr="00365650">
        <w:rPr>
          <w:rFonts w:eastAsiaTheme="minorHAnsi"/>
          <w:lang w:val="en-GB"/>
        </w:rPr>
        <w:t xml:space="preserve"> content and reduced the </w:t>
      </w:r>
      <w:proofErr w:type="spellStart"/>
      <w:r w:rsidRPr="00365650">
        <w:rPr>
          <w:rFonts w:eastAsiaTheme="minorHAnsi"/>
          <w:lang w:val="en-GB"/>
        </w:rPr>
        <w:t>glycemic</w:t>
      </w:r>
      <w:proofErr w:type="spellEnd"/>
      <w:r w:rsidRPr="00365650">
        <w:rPr>
          <w:rFonts w:eastAsiaTheme="minorHAnsi"/>
          <w:lang w:val="en-GB"/>
        </w:rPr>
        <w:t xml:space="preserve"> index while maintaining acceptable sensory quality. In addition, improved microbiological stability supported a shelf life of up to six months and confirmed product safety. Overall, local barley genotypes have strong potential as sustainable ingredients for developing functional and health-promoting bakery products.</w:t>
      </w:r>
    </w:p>
    <w:p w14:paraId="7C0C9C68" w14:textId="023F8BDA" w:rsidR="002B4F21" w:rsidRPr="004539A4" w:rsidRDefault="004539A4" w:rsidP="0020408D">
      <w:pPr>
        <w:pStyle w:val="CETHeading1"/>
        <w:numPr>
          <w:ilvl w:val="0"/>
          <w:numId w:val="0"/>
        </w:numPr>
      </w:pPr>
      <w:r w:rsidRPr="004539A4">
        <w:t>References</w:t>
      </w:r>
    </w:p>
    <w:p w14:paraId="5E9574F0" w14:textId="77777777" w:rsidR="005025DA" w:rsidRPr="005025DA" w:rsidRDefault="0078435D" w:rsidP="005025DA">
      <w:pPr>
        <w:pStyle w:val="a8"/>
      </w:pPr>
      <w:r w:rsidRPr="00724366">
        <w:fldChar w:fldCharType="begin"/>
      </w:r>
      <w:r w:rsidR="005025DA" w:rsidRPr="007C4F19">
        <w:rPr>
          <w:lang w:val="en-US"/>
        </w:rPr>
        <w:instrText xml:space="preserve"> ADDIN ZOTERO_BIBL {"uncited":[],"omitted":[],"custom":[]} CSL_BIBLIOGRAPHY </w:instrText>
      </w:r>
      <w:r w:rsidRPr="00724366">
        <w:fldChar w:fldCharType="separate"/>
      </w:r>
      <w:r w:rsidR="005025DA" w:rsidRPr="007C4F19">
        <w:rPr>
          <w:lang w:val="en-US"/>
        </w:rPr>
        <w:t xml:space="preserve">Emami, S., Meda, V., Pickard, M.D., Tyler, R.T., 2010. </w:t>
      </w:r>
      <w:r w:rsidR="005025DA" w:rsidRPr="005025DA">
        <w:t>Impact of Micronization on Rapidly Digestible, Slowly Digestible, and Resistant Starch Concentrations in Normal, High-Amylose, and Waxy Barley. J. Agric. Food Chem. 58, 9793–9799. https://doi.org/10.1021/jf101702e</w:t>
      </w:r>
    </w:p>
    <w:p w14:paraId="64B43235" w14:textId="77777777" w:rsidR="005025DA" w:rsidRPr="005025DA" w:rsidRDefault="005025DA" w:rsidP="005025DA">
      <w:pPr>
        <w:pStyle w:val="a8"/>
        <w:rPr>
          <w:lang w:val="sv-SE"/>
        </w:rPr>
      </w:pPr>
      <w:r w:rsidRPr="0029442F">
        <w:rPr>
          <w:lang w:val="en-US"/>
        </w:rPr>
        <w:t xml:space="preserve">Hu, W., Gu, J., Yang, K., Zhang, Z., Liu, D., Wu, W., 2025. </w:t>
      </w:r>
      <w:r w:rsidRPr="005025DA">
        <w:t xml:space="preserve">Thermally induced structural and digestive modifications of endosperm starch in whole highland barley kernels: A closer insight from </w:t>
      </w:r>
      <w:r w:rsidRPr="005025DA">
        <w:rPr>
          <w:i/>
          <w:iCs/>
        </w:rPr>
        <w:t>in situ</w:t>
      </w:r>
      <w:r w:rsidRPr="005025DA">
        <w:t xml:space="preserve"> cell wall permeability. </w:t>
      </w:r>
      <w:r w:rsidRPr="005025DA">
        <w:rPr>
          <w:lang w:val="sv-SE"/>
        </w:rPr>
        <w:t>LWT 237, 118795. https://doi.org/10.1016/j.lwt.2025.118795</w:t>
      </w:r>
    </w:p>
    <w:p w14:paraId="6FF70C51" w14:textId="77777777" w:rsidR="005025DA" w:rsidRPr="005025DA" w:rsidRDefault="005025DA" w:rsidP="005025DA">
      <w:pPr>
        <w:pStyle w:val="a8"/>
      </w:pPr>
      <w:r w:rsidRPr="005025DA">
        <w:rPr>
          <w:lang w:val="sv-SE"/>
        </w:rPr>
        <w:t xml:space="preserve">Hu, X., Gilbert, R.G., 2025. </w:t>
      </w:r>
      <w:r w:rsidRPr="005025DA">
        <w:t>Value Adding to Barley Byproducts: A Perspective of Bran and Husk in the Food Industry. Comprehensive Reviews in Food Science and Food Safety 24, e70316. https://doi.org/10.1111/1541-4337.70316</w:t>
      </w:r>
    </w:p>
    <w:p w14:paraId="73A0834C" w14:textId="77777777" w:rsidR="005025DA" w:rsidRPr="005025DA" w:rsidRDefault="005025DA" w:rsidP="005025DA">
      <w:pPr>
        <w:pStyle w:val="a8"/>
      </w:pPr>
      <w:r w:rsidRPr="005025DA">
        <w:t xml:space="preserve">Li, S., Wang, C., Fu, X., Li, C., He, X., Zhang, B., Huang, Q., 2018. Encapsulation of lutein into swelled cornstarch granules: Structure, stability and </w:t>
      </w:r>
      <w:r w:rsidRPr="005025DA">
        <w:rPr>
          <w:i/>
          <w:iCs/>
        </w:rPr>
        <w:t>in vitro</w:t>
      </w:r>
      <w:r w:rsidRPr="005025DA">
        <w:t xml:space="preserve"> digestion. Food Chemistry 268, 362–368. https://doi.org/10.1016/j.foodchem.2018.06.078</w:t>
      </w:r>
    </w:p>
    <w:p w14:paraId="6FD9EED2" w14:textId="77777777" w:rsidR="005025DA" w:rsidRPr="005025DA" w:rsidRDefault="005025DA" w:rsidP="005025DA">
      <w:pPr>
        <w:pStyle w:val="a8"/>
      </w:pPr>
      <w:r w:rsidRPr="005025DA">
        <w:t>Liu, K., Zhang, B., Chen, L., Li, X., Zheng, B., 2019. Hierarchical structure and physicochemical properties of highland barley starch following heat moisture treatment. Food Chemistry 271, 102–108. https://doi.org/10.1016/j.foodchem.2018.07.193</w:t>
      </w:r>
    </w:p>
    <w:p w14:paraId="16ABE401" w14:textId="77777777" w:rsidR="005025DA" w:rsidRPr="005025DA" w:rsidRDefault="005025DA" w:rsidP="005025DA">
      <w:pPr>
        <w:pStyle w:val="a8"/>
      </w:pPr>
      <w:r w:rsidRPr="005025DA">
        <w:t>Lv, Y., Ma, S., Yan, J., Sun, B., Wang, X., 2022. Effect of Heat–Moisture Treatment on the Physicochemical Properties, Structure, Morphology, and Starch Digestibility of Highland Barley (Hordeum vulgare L. var. nudum Hook. f) Flour. Foods 11, 3511. https://doi.org/10.3390/foods11213511</w:t>
      </w:r>
    </w:p>
    <w:p w14:paraId="5B56BBA0" w14:textId="77777777" w:rsidR="005025DA" w:rsidRPr="005025DA" w:rsidRDefault="005025DA" w:rsidP="005025DA">
      <w:pPr>
        <w:pStyle w:val="a8"/>
        <w:rPr>
          <w:lang w:val="sv-SE"/>
        </w:rPr>
      </w:pPr>
      <w:r w:rsidRPr="005025DA">
        <w:t xml:space="preserve">McCleary, B.V., 2023. Measurement of Dietary Fiber: Which AOAC Official Method of AnalysisSM to Use. </w:t>
      </w:r>
      <w:r w:rsidRPr="005025DA">
        <w:rPr>
          <w:lang w:val="sv-SE"/>
        </w:rPr>
        <w:t>J AOAC Int 106, 917–930. https://doi.org/10.1093/jaoacint/qsad051</w:t>
      </w:r>
    </w:p>
    <w:p w14:paraId="2968CAFC" w14:textId="77777777" w:rsidR="005025DA" w:rsidRPr="005025DA" w:rsidRDefault="005025DA" w:rsidP="005025DA">
      <w:pPr>
        <w:pStyle w:val="a8"/>
      </w:pPr>
      <w:r w:rsidRPr="005025DA">
        <w:rPr>
          <w:lang w:val="sv-SE"/>
        </w:rPr>
        <w:t xml:space="preserve">Oscarsson, M., Andersson, R., Salomonsson, A.-C., Åman, P., 1996. </w:t>
      </w:r>
      <w:r w:rsidRPr="005025DA">
        <w:t>Chemical Composition of Barley Samples Focusing on Dietary Fibre Components. Journal of Cereal Science 24, 161–170. https://doi.org/10.1006/jcrs.1996.0049</w:t>
      </w:r>
    </w:p>
    <w:p w14:paraId="343FE191" w14:textId="77777777" w:rsidR="005025DA" w:rsidRPr="005025DA" w:rsidRDefault="005025DA" w:rsidP="005025DA">
      <w:pPr>
        <w:pStyle w:val="a8"/>
      </w:pPr>
      <w:r w:rsidRPr="005025DA">
        <w:t>Sangwan, N., Jadaun, J.S., Budhwar, S., Yadav, N., Tripathi, S., Kumari, A., Deepika, D., Singh, A., Kumari, S., Farag, M.A., 2026. Innovative insights of barley genomics and biotechnology for nutraceuticals, sustainable agriculture, and bioeconomy. Discov Food 6, 117. https://doi.org/10.1007/s44187-026-00808-0</w:t>
      </w:r>
    </w:p>
    <w:p w14:paraId="2404881F" w14:textId="77777777" w:rsidR="005025DA" w:rsidRPr="005025DA" w:rsidRDefault="005025DA" w:rsidP="005025DA">
      <w:pPr>
        <w:pStyle w:val="a8"/>
      </w:pPr>
      <w:r w:rsidRPr="005025DA">
        <w:t>Xia, H., Yu, B., Yang, Y., Wan, Y., Zou, L., Peng, L., Lu, L., Ren, Y., 2024. The Quality Evaluation of Highland Barley and Its Suitability for Chinese Traditional Tsampa Processing. Foods 13, 613. https://doi.org/10.3390/foods13040613</w:t>
      </w:r>
    </w:p>
    <w:p w14:paraId="28E8379D" w14:textId="4E7699A1" w:rsidR="00C52C3C" w:rsidRPr="00724366" w:rsidRDefault="005025DA" w:rsidP="00365650">
      <w:pPr>
        <w:pStyle w:val="a8"/>
      </w:pPr>
      <w:r w:rsidRPr="005025DA">
        <w:t>Yang, X., Chi, C., Liu, X., Zhang, Y., Zhang, H., Wang, H., 2019. Understanding the structural and digestion changes of starch in heat-moisture treated polished rice grains with varying amylose content. International Journal of Biological Macromolecules 139, 785–792. https://doi.org/10.1016/j.ijbiomac.2019.08.051</w:t>
      </w:r>
      <w:r w:rsidR="0078435D" w:rsidRPr="00724366">
        <w:fldChar w:fldCharType="end"/>
      </w:r>
    </w:p>
    <w:sectPr w:rsidR="00C52C3C" w:rsidRPr="00724366" w:rsidSect="008314D7">
      <w:type w:val="continuous"/>
      <w:pgSz w:w="11906" w:h="16838" w:code="9"/>
      <w:pgMar w:top="1701" w:right="1418" w:bottom="1701" w:left="1701" w:header="1701" w:footer="0"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161B12" w14:textId="77777777" w:rsidR="00E8156E" w:rsidRDefault="00E8156E" w:rsidP="004F5E36">
      <w:r>
        <w:separator/>
      </w:r>
    </w:p>
  </w:endnote>
  <w:endnote w:type="continuationSeparator" w:id="0">
    <w:p w14:paraId="743D999D" w14:textId="77777777" w:rsidR="00E8156E" w:rsidRDefault="00E8156E" w:rsidP="004F5E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AdvP6960">
    <w:altName w:val="Times New Roman"/>
    <w:panose1 w:val="00000000000000000000"/>
    <w:charset w:val="4D"/>
    <w:family w:val="roman"/>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FCB100" w14:textId="77777777" w:rsidR="00E8156E" w:rsidRDefault="00E8156E" w:rsidP="004F5E36">
      <w:r>
        <w:separator/>
      </w:r>
    </w:p>
  </w:footnote>
  <w:footnote w:type="continuationSeparator" w:id="0">
    <w:p w14:paraId="686C946A" w14:textId="77777777" w:rsidR="00E8156E" w:rsidRDefault="00E8156E" w:rsidP="004F5E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58AF15E"/>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65EC884E"/>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408CBE96"/>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CFC0B388"/>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CA34EB48"/>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85C6BD6"/>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87A9968"/>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ED27934"/>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5F4206A"/>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206ACE1A"/>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2438217E"/>
    <w:multiLevelType w:val="multilevel"/>
    <w:tmpl w:val="F17228D6"/>
    <w:lvl w:ilvl="0">
      <w:start w:val="1"/>
      <w:numFmt w:val="decimal"/>
      <w:suff w:val="space"/>
      <w:lvlText w:val="Chapter %1"/>
      <w:lvlJc w:val="left"/>
      <w:pPr>
        <w:ind w:left="0" w:firstLine="0"/>
      </w:pPr>
      <w:rPr>
        <w:rFonts w:hint="default"/>
      </w:rPr>
    </w:lvl>
    <w:lvl w:ilvl="1">
      <w:start w:val="1"/>
      <w:numFmt w:val="decimal"/>
      <w:pStyle w:val="CETHeading1"/>
      <w:suff w:val="space"/>
      <w:lvlText w:val="%2."/>
      <w:lvlJc w:val="left"/>
      <w:pPr>
        <w:ind w:left="0" w:firstLine="0"/>
      </w:pPr>
      <w:rPr>
        <w:rFonts w:hint="default"/>
      </w:rPr>
    </w:lvl>
    <w:lvl w:ilvl="2">
      <w:start w:val="1"/>
      <w:numFmt w:val="decimal"/>
      <w:suff w:val="space"/>
      <w:lvlText w:val="%2.%3"/>
      <w:lvlJc w:val="left"/>
      <w:pPr>
        <w:ind w:left="0" w:firstLine="0"/>
      </w:pPr>
      <w:rPr>
        <w:rFonts w:hint="default"/>
      </w:rPr>
    </w:lvl>
    <w:lvl w:ilvl="3">
      <w:start w:val="1"/>
      <w:numFmt w:val="decimal"/>
      <w:pStyle w:val="1"/>
      <w:suff w:val="space"/>
      <w:lvlText w:val="%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3.%4.%5.%6.%7.%8.%9."/>
      <w:lvlJc w:val="left"/>
      <w:pPr>
        <w:ind w:left="0" w:firstLine="0"/>
      </w:pPr>
      <w:rPr>
        <w:rFonts w:hint="default"/>
      </w:rPr>
    </w:lvl>
  </w:abstractNum>
  <w:abstractNum w:abstractNumId="11" w15:restartNumberingAfterBreak="0">
    <w:nsid w:val="330B7370"/>
    <w:multiLevelType w:val="hybridMultilevel"/>
    <w:tmpl w:val="12E2AD3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351E0394"/>
    <w:multiLevelType w:val="hybridMultilevel"/>
    <w:tmpl w:val="806658E2"/>
    <w:lvl w:ilvl="0" w:tplc="14B0F7A8">
      <w:start w:val="1"/>
      <w:numFmt w:val="bullet"/>
      <w:pStyle w:val="CETnumberingbullets"/>
      <w:lvlText w:val=""/>
      <w:lvlJc w:val="left"/>
      <w:pPr>
        <w:ind w:left="340" w:hanging="227"/>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39C329B9"/>
    <w:multiLevelType w:val="hybridMultilevel"/>
    <w:tmpl w:val="A2E6C3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CB100E8"/>
    <w:multiLevelType w:val="hybridMultilevel"/>
    <w:tmpl w:val="6F34C070"/>
    <w:lvl w:ilvl="0" w:tplc="14090011">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5" w15:restartNumberingAfterBreak="0">
    <w:nsid w:val="50A87BA7"/>
    <w:multiLevelType w:val="hybridMultilevel"/>
    <w:tmpl w:val="1F6A8AD4"/>
    <w:lvl w:ilvl="0" w:tplc="14B0F7A8">
      <w:start w:val="1"/>
      <w:numFmt w:val="bullet"/>
      <w:lvlText w:val=""/>
      <w:lvlJc w:val="left"/>
      <w:pPr>
        <w:ind w:left="340" w:hanging="227"/>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52217387"/>
    <w:multiLevelType w:val="hybridMultilevel"/>
    <w:tmpl w:val="C2AE185A"/>
    <w:lvl w:ilvl="0" w:tplc="14090011">
      <w:start w:val="1"/>
      <w:numFmt w:val="decimal"/>
      <w:lvlText w:val="%1)"/>
      <w:lvlJc w:val="left"/>
      <w:pPr>
        <w:ind w:left="340" w:hanging="227"/>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56205803"/>
    <w:multiLevelType w:val="multilevel"/>
    <w:tmpl w:val="444C89D0"/>
    <w:lvl w:ilvl="0">
      <w:start w:val="1"/>
      <w:numFmt w:val="decimal"/>
      <w:suff w:val="space"/>
      <w:lvlText w:val="Chapter %1"/>
      <w:lvlJc w:val="left"/>
      <w:pPr>
        <w:ind w:left="0" w:firstLine="0"/>
      </w:pPr>
      <w:rPr>
        <w:rFonts w:hint="default"/>
      </w:rPr>
    </w:lvl>
    <w:lvl w:ilvl="1">
      <w:start w:val="1"/>
      <w:numFmt w:val="decimal"/>
      <w:suff w:val="space"/>
      <w:lvlText w:val="%2."/>
      <w:lvlJc w:val="left"/>
      <w:pPr>
        <w:ind w:left="0" w:firstLine="0"/>
      </w:pPr>
      <w:rPr>
        <w:rFonts w:hint="default"/>
      </w:rPr>
    </w:lvl>
    <w:lvl w:ilvl="2">
      <w:start w:val="1"/>
      <w:numFmt w:val="decimal"/>
      <w:suff w:val="space"/>
      <w:lvlText w:val="%2.%3."/>
      <w:lvlJc w:val="left"/>
      <w:pPr>
        <w:ind w:left="0" w:firstLine="0"/>
      </w:pPr>
      <w:rPr>
        <w:rFonts w:hint="default"/>
      </w:rPr>
    </w:lvl>
    <w:lvl w:ilvl="3">
      <w:start w:val="1"/>
      <w:numFmt w:val="decimal"/>
      <w:suff w:val="space"/>
      <w:lvlText w:val="%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3.%4.%5.%6.%7.%8.%9."/>
      <w:lvlJc w:val="left"/>
      <w:pPr>
        <w:ind w:left="0" w:firstLine="0"/>
      </w:pPr>
      <w:rPr>
        <w:rFonts w:hint="default"/>
      </w:rPr>
    </w:lvl>
  </w:abstractNum>
  <w:abstractNum w:abstractNumId="18" w15:restartNumberingAfterBreak="0">
    <w:nsid w:val="5AD311D0"/>
    <w:multiLevelType w:val="hybridMultilevel"/>
    <w:tmpl w:val="F198FF08"/>
    <w:lvl w:ilvl="0" w:tplc="62EA088C">
      <w:start w:val="1"/>
      <w:numFmt w:val="decimal"/>
      <w:pStyle w:val="CETnumbering1"/>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662015B5"/>
    <w:multiLevelType w:val="hybridMultilevel"/>
    <w:tmpl w:val="CCDE094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0" w15:restartNumberingAfterBreak="0">
    <w:nsid w:val="6865266D"/>
    <w:multiLevelType w:val="hybridMultilevel"/>
    <w:tmpl w:val="F5BE3C4A"/>
    <w:lvl w:ilvl="0" w:tplc="9FC4D28C">
      <w:start w:val="1"/>
      <w:numFmt w:val="lowerLetter"/>
      <w:pStyle w:val="CETnumberinga"/>
      <w:lvlText w:val="%1."/>
      <w:lvlJc w:val="left"/>
      <w:pPr>
        <w:ind w:left="340" w:hanging="227"/>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0"/>
  </w:num>
  <w:num w:numId="2">
    <w:abstractNumId w:val="8"/>
  </w:num>
  <w:num w:numId="3">
    <w:abstractNumId w:val="3"/>
  </w:num>
  <w:num w:numId="4">
    <w:abstractNumId w:val="2"/>
  </w:num>
  <w:num w:numId="5">
    <w:abstractNumId w:val="1"/>
  </w:num>
  <w:num w:numId="6">
    <w:abstractNumId w:val="0"/>
  </w:num>
  <w:num w:numId="7">
    <w:abstractNumId w:val="9"/>
  </w:num>
  <w:num w:numId="8">
    <w:abstractNumId w:val="7"/>
  </w:num>
  <w:num w:numId="9">
    <w:abstractNumId w:val="6"/>
  </w:num>
  <w:num w:numId="10">
    <w:abstractNumId w:val="5"/>
  </w:num>
  <w:num w:numId="11">
    <w:abstractNumId w:val="4"/>
  </w:num>
  <w:num w:numId="12">
    <w:abstractNumId w:val="17"/>
  </w:num>
  <w:num w:numId="13">
    <w:abstractNumId w:val="12"/>
  </w:num>
  <w:num w:numId="14">
    <w:abstractNumId w:val="18"/>
  </w:num>
  <w:num w:numId="15">
    <w:abstractNumId w:val="20"/>
  </w:num>
  <w:num w:numId="16">
    <w:abstractNumId w:val="19"/>
  </w:num>
  <w:num w:numId="17">
    <w:abstractNumId w:val="11"/>
  </w:num>
  <w:num w:numId="18">
    <w:abstractNumId w:val="12"/>
    <w:lvlOverride w:ilvl="0">
      <w:startOverride w:val="1"/>
    </w:lvlOverride>
  </w:num>
  <w:num w:numId="19">
    <w:abstractNumId w:val="16"/>
  </w:num>
  <w:num w:numId="20">
    <w:abstractNumId w:val="15"/>
  </w:num>
  <w:num w:numId="21">
    <w:abstractNumId w:val="14"/>
  </w:num>
  <w:num w:numId="2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ocumentProtection w:edit="forms" w:enforcement="0"/>
  <w:autoFormatOverride/>
  <w:styleLockTheme/>
  <w:styleLockQFSet/>
  <w:defaultTabStop w:val="708"/>
  <w:hyphenationZone w:val="283"/>
  <w:clickAndTypeStyle w:val="CETBodytext"/>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TI0NzezsDA3M7MwMTJW0lEKTi0uzszPAymwrAUAugS3IywAAAA="/>
  </w:docVars>
  <w:rsids>
    <w:rsidRoot w:val="000E414A"/>
    <w:rsid w:val="00000DFD"/>
    <w:rsid w:val="000027C0"/>
    <w:rsid w:val="000052FB"/>
    <w:rsid w:val="00005884"/>
    <w:rsid w:val="00005A19"/>
    <w:rsid w:val="000117CB"/>
    <w:rsid w:val="00014351"/>
    <w:rsid w:val="000173F9"/>
    <w:rsid w:val="0003148D"/>
    <w:rsid w:val="00031EEC"/>
    <w:rsid w:val="00051566"/>
    <w:rsid w:val="000562A9"/>
    <w:rsid w:val="00062A9A"/>
    <w:rsid w:val="00065058"/>
    <w:rsid w:val="000753B9"/>
    <w:rsid w:val="00086C39"/>
    <w:rsid w:val="00097772"/>
    <w:rsid w:val="000A03B2"/>
    <w:rsid w:val="000A5D14"/>
    <w:rsid w:val="000C2395"/>
    <w:rsid w:val="000C3079"/>
    <w:rsid w:val="000D0268"/>
    <w:rsid w:val="000D34BE"/>
    <w:rsid w:val="000E075A"/>
    <w:rsid w:val="000E102F"/>
    <w:rsid w:val="000E36F1"/>
    <w:rsid w:val="000E3A73"/>
    <w:rsid w:val="000E414A"/>
    <w:rsid w:val="000E75FD"/>
    <w:rsid w:val="000F093C"/>
    <w:rsid w:val="000F52B3"/>
    <w:rsid w:val="000F787B"/>
    <w:rsid w:val="00101F02"/>
    <w:rsid w:val="00106F76"/>
    <w:rsid w:val="0012091F"/>
    <w:rsid w:val="00124AAD"/>
    <w:rsid w:val="00126BC2"/>
    <w:rsid w:val="001308B6"/>
    <w:rsid w:val="0013121F"/>
    <w:rsid w:val="00131FE6"/>
    <w:rsid w:val="0013263F"/>
    <w:rsid w:val="001331DF"/>
    <w:rsid w:val="00134DE4"/>
    <w:rsid w:val="0014034D"/>
    <w:rsid w:val="00140FE3"/>
    <w:rsid w:val="00144D16"/>
    <w:rsid w:val="00150E59"/>
    <w:rsid w:val="0015166B"/>
    <w:rsid w:val="00152DE3"/>
    <w:rsid w:val="0015337A"/>
    <w:rsid w:val="00164CF9"/>
    <w:rsid w:val="001667A6"/>
    <w:rsid w:val="00184368"/>
    <w:rsid w:val="00184AD6"/>
    <w:rsid w:val="001A4AF7"/>
    <w:rsid w:val="001B0349"/>
    <w:rsid w:val="001B0BC9"/>
    <w:rsid w:val="001B1E93"/>
    <w:rsid w:val="001B65C1"/>
    <w:rsid w:val="001C0331"/>
    <w:rsid w:val="001C260F"/>
    <w:rsid w:val="001C33F1"/>
    <w:rsid w:val="001C684B"/>
    <w:rsid w:val="001D0CFB"/>
    <w:rsid w:val="001D21AF"/>
    <w:rsid w:val="001D3957"/>
    <w:rsid w:val="001D53FC"/>
    <w:rsid w:val="001F42A5"/>
    <w:rsid w:val="001F7B9D"/>
    <w:rsid w:val="00200619"/>
    <w:rsid w:val="00201C93"/>
    <w:rsid w:val="0020408D"/>
    <w:rsid w:val="002224B4"/>
    <w:rsid w:val="002447EF"/>
    <w:rsid w:val="00251550"/>
    <w:rsid w:val="00263B05"/>
    <w:rsid w:val="002703BC"/>
    <w:rsid w:val="0027221A"/>
    <w:rsid w:val="00275B61"/>
    <w:rsid w:val="00280FAF"/>
    <w:rsid w:val="00282656"/>
    <w:rsid w:val="0029442F"/>
    <w:rsid w:val="00296B83"/>
    <w:rsid w:val="002B4015"/>
    <w:rsid w:val="002B4F21"/>
    <w:rsid w:val="002B78CE"/>
    <w:rsid w:val="002C2FB6"/>
    <w:rsid w:val="002D4712"/>
    <w:rsid w:val="002E5FA7"/>
    <w:rsid w:val="002F3309"/>
    <w:rsid w:val="002F7742"/>
    <w:rsid w:val="003008CE"/>
    <w:rsid w:val="003009B7"/>
    <w:rsid w:val="00300E56"/>
    <w:rsid w:val="0030152C"/>
    <w:rsid w:val="00301860"/>
    <w:rsid w:val="0030469C"/>
    <w:rsid w:val="0031596E"/>
    <w:rsid w:val="00321CA6"/>
    <w:rsid w:val="00323763"/>
    <w:rsid w:val="00323C5F"/>
    <w:rsid w:val="00331010"/>
    <w:rsid w:val="00334C09"/>
    <w:rsid w:val="00365650"/>
    <w:rsid w:val="003723D4"/>
    <w:rsid w:val="00377D70"/>
    <w:rsid w:val="00381905"/>
    <w:rsid w:val="00384CC8"/>
    <w:rsid w:val="003871FD"/>
    <w:rsid w:val="003A1E30"/>
    <w:rsid w:val="003A2829"/>
    <w:rsid w:val="003A7D1C"/>
    <w:rsid w:val="003B304B"/>
    <w:rsid w:val="003B3146"/>
    <w:rsid w:val="003D1E02"/>
    <w:rsid w:val="003E0942"/>
    <w:rsid w:val="003F015E"/>
    <w:rsid w:val="003F4A50"/>
    <w:rsid w:val="00400414"/>
    <w:rsid w:val="00407676"/>
    <w:rsid w:val="0041446B"/>
    <w:rsid w:val="00416BD2"/>
    <w:rsid w:val="0044071E"/>
    <w:rsid w:val="0044329C"/>
    <w:rsid w:val="0045040C"/>
    <w:rsid w:val="004539A4"/>
    <w:rsid w:val="00453E24"/>
    <w:rsid w:val="00457456"/>
    <w:rsid w:val="004577FE"/>
    <w:rsid w:val="00457B9C"/>
    <w:rsid w:val="0046164A"/>
    <w:rsid w:val="004628D2"/>
    <w:rsid w:val="00462DCD"/>
    <w:rsid w:val="004648AD"/>
    <w:rsid w:val="00466643"/>
    <w:rsid w:val="0046791C"/>
    <w:rsid w:val="004703A9"/>
    <w:rsid w:val="004760DE"/>
    <w:rsid w:val="004763D7"/>
    <w:rsid w:val="004816B2"/>
    <w:rsid w:val="004A004E"/>
    <w:rsid w:val="004A24CF"/>
    <w:rsid w:val="004A5E57"/>
    <w:rsid w:val="004C194F"/>
    <w:rsid w:val="004C3D1D"/>
    <w:rsid w:val="004C3D84"/>
    <w:rsid w:val="004C7913"/>
    <w:rsid w:val="004E4DD6"/>
    <w:rsid w:val="004E51ED"/>
    <w:rsid w:val="004F5183"/>
    <w:rsid w:val="004F5E36"/>
    <w:rsid w:val="005025DA"/>
    <w:rsid w:val="00507B47"/>
    <w:rsid w:val="00507BEF"/>
    <w:rsid w:val="00507CC9"/>
    <w:rsid w:val="005119A5"/>
    <w:rsid w:val="005278B7"/>
    <w:rsid w:val="00532016"/>
    <w:rsid w:val="005346C8"/>
    <w:rsid w:val="00543E7D"/>
    <w:rsid w:val="00547A68"/>
    <w:rsid w:val="005531C9"/>
    <w:rsid w:val="00554482"/>
    <w:rsid w:val="00554B2D"/>
    <w:rsid w:val="00570C43"/>
    <w:rsid w:val="005724A6"/>
    <w:rsid w:val="00592274"/>
    <w:rsid w:val="005A445F"/>
    <w:rsid w:val="005B2110"/>
    <w:rsid w:val="005B61E6"/>
    <w:rsid w:val="005C77E1"/>
    <w:rsid w:val="005D3F77"/>
    <w:rsid w:val="005D668A"/>
    <w:rsid w:val="005D6A2F"/>
    <w:rsid w:val="005E0592"/>
    <w:rsid w:val="005E1A82"/>
    <w:rsid w:val="005E794C"/>
    <w:rsid w:val="005F0A28"/>
    <w:rsid w:val="005F0E5E"/>
    <w:rsid w:val="00600535"/>
    <w:rsid w:val="00601CE9"/>
    <w:rsid w:val="00610CD6"/>
    <w:rsid w:val="00617792"/>
    <w:rsid w:val="00620DEE"/>
    <w:rsid w:val="00621F92"/>
    <w:rsid w:val="0062280A"/>
    <w:rsid w:val="006231E1"/>
    <w:rsid w:val="00625639"/>
    <w:rsid w:val="00631B33"/>
    <w:rsid w:val="00637F31"/>
    <w:rsid w:val="0064184D"/>
    <w:rsid w:val="006422CC"/>
    <w:rsid w:val="00651D18"/>
    <w:rsid w:val="00660E3E"/>
    <w:rsid w:val="00662E74"/>
    <w:rsid w:val="00664F9F"/>
    <w:rsid w:val="00667B1A"/>
    <w:rsid w:val="00680C23"/>
    <w:rsid w:val="00683C4F"/>
    <w:rsid w:val="00683E23"/>
    <w:rsid w:val="00693766"/>
    <w:rsid w:val="006A3281"/>
    <w:rsid w:val="006B4888"/>
    <w:rsid w:val="006B7252"/>
    <w:rsid w:val="006C2E45"/>
    <w:rsid w:val="006C359C"/>
    <w:rsid w:val="006C5579"/>
    <w:rsid w:val="006C74B1"/>
    <w:rsid w:val="006D013D"/>
    <w:rsid w:val="006D09B1"/>
    <w:rsid w:val="006D6E8B"/>
    <w:rsid w:val="006D7209"/>
    <w:rsid w:val="006E737D"/>
    <w:rsid w:val="006F57E5"/>
    <w:rsid w:val="00703D59"/>
    <w:rsid w:val="00707DD1"/>
    <w:rsid w:val="00713973"/>
    <w:rsid w:val="00720A24"/>
    <w:rsid w:val="00724366"/>
    <w:rsid w:val="00732386"/>
    <w:rsid w:val="00734E1D"/>
    <w:rsid w:val="0073514D"/>
    <w:rsid w:val="007447F3"/>
    <w:rsid w:val="0075499F"/>
    <w:rsid w:val="007617CC"/>
    <w:rsid w:val="00765DF0"/>
    <w:rsid w:val="007661C8"/>
    <w:rsid w:val="0077098D"/>
    <w:rsid w:val="00776002"/>
    <w:rsid w:val="0078435D"/>
    <w:rsid w:val="00785BF9"/>
    <w:rsid w:val="007931FA"/>
    <w:rsid w:val="007A4861"/>
    <w:rsid w:val="007A7BBA"/>
    <w:rsid w:val="007B0C50"/>
    <w:rsid w:val="007B48F9"/>
    <w:rsid w:val="007C1A43"/>
    <w:rsid w:val="007C4F19"/>
    <w:rsid w:val="007C67DD"/>
    <w:rsid w:val="007D0951"/>
    <w:rsid w:val="007D76A1"/>
    <w:rsid w:val="007F265D"/>
    <w:rsid w:val="007F27C8"/>
    <w:rsid w:val="0080013E"/>
    <w:rsid w:val="00813288"/>
    <w:rsid w:val="008168FC"/>
    <w:rsid w:val="00821E6A"/>
    <w:rsid w:val="00830996"/>
    <w:rsid w:val="008314D7"/>
    <w:rsid w:val="008345F1"/>
    <w:rsid w:val="00834C15"/>
    <w:rsid w:val="00851F57"/>
    <w:rsid w:val="008553CC"/>
    <w:rsid w:val="00865B07"/>
    <w:rsid w:val="008667EA"/>
    <w:rsid w:val="0087637F"/>
    <w:rsid w:val="00892AD5"/>
    <w:rsid w:val="008A1512"/>
    <w:rsid w:val="008A2DC9"/>
    <w:rsid w:val="008A5B07"/>
    <w:rsid w:val="008A5C58"/>
    <w:rsid w:val="008D32B9"/>
    <w:rsid w:val="008D433B"/>
    <w:rsid w:val="008D4A16"/>
    <w:rsid w:val="008E063A"/>
    <w:rsid w:val="008E209A"/>
    <w:rsid w:val="008E45BC"/>
    <w:rsid w:val="008E566E"/>
    <w:rsid w:val="00900990"/>
    <w:rsid w:val="0090161A"/>
    <w:rsid w:val="00901EB6"/>
    <w:rsid w:val="009041F8"/>
    <w:rsid w:val="00904C62"/>
    <w:rsid w:val="00922BA8"/>
    <w:rsid w:val="00924DAC"/>
    <w:rsid w:val="00927058"/>
    <w:rsid w:val="00942750"/>
    <w:rsid w:val="009448A7"/>
    <w:rsid w:val="009450CE"/>
    <w:rsid w:val="009459BB"/>
    <w:rsid w:val="00947179"/>
    <w:rsid w:val="0095164B"/>
    <w:rsid w:val="00954090"/>
    <w:rsid w:val="009573E7"/>
    <w:rsid w:val="00963E05"/>
    <w:rsid w:val="00964A45"/>
    <w:rsid w:val="00967843"/>
    <w:rsid w:val="00967D54"/>
    <w:rsid w:val="00971028"/>
    <w:rsid w:val="00993B84"/>
    <w:rsid w:val="00996483"/>
    <w:rsid w:val="00996F5A"/>
    <w:rsid w:val="009A67AC"/>
    <w:rsid w:val="009B041A"/>
    <w:rsid w:val="009C37C3"/>
    <w:rsid w:val="009C7C86"/>
    <w:rsid w:val="009D11BA"/>
    <w:rsid w:val="009D2FF7"/>
    <w:rsid w:val="009E7884"/>
    <w:rsid w:val="009E788A"/>
    <w:rsid w:val="009F0E08"/>
    <w:rsid w:val="009F562E"/>
    <w:rsid w:val="009F581E"/>
    <w:rsid w:val="00A079AE"/>
    <w:rsid w:val="00A14D91"/>
    <w:rsid w:val="00A1763D"/>
    <w:rsid w:val="00A17CEC"/>
    <w:rsid w:val="00A26CBB"/>
    <w:rsid w:val="00A27EF0"/>
    <w:rsid w:val="00A40824"/>
    <w:rsid w:val="00A42361"/>
    <w:rsid w:val="00A45DDF"/>
    <w:rsid w:val="00A50B20"/>
    <w:rsid w:val="00A51390"/>
    <w:rsid w:val="00A60D13"/>
    <w:rsid w:val="00A618CE"/>
    <w:rsid w:val="00A664BB"/>
    <w:rsid w:val="00A7223D"/>
    <w:rsid w:val="00A72745"/>
    <w:rsid w:val="00A76EFC"/>
    <w:rsid w:val="00A87D50"/>
    <w:rsid w:val="00A91010"/>
    <w:rsid w:val="00A97F29"/>
    <w:rsid w:val="00AA702E"/>
    <w:rsid w:val="00AA7D26"/>
    <w:rsid w:val="00AB0964"/>
    <w:rsid w:val="00AB5011"/>
    <w:rsid w:val="00AC7368"/>
    <w:rsid w:val="00AC7CC6"/>
    <w:rsid w:val="00AD0278"/>
    <w:rsid w:val="00AD16B9"/>
    <w:rsid w:val="00AD528B"/>
    <w:rsid w:val="00AE11D9"/>
    <w:rsid w:val="00AE377D"/>
    <w:rsid w:val="00AF0EBA"/>
    <w:rsid w:val="00B02C8A"/>
    <w:rsid w:val="00B153DB"/>
    <w:rsid w:val="00B17FBD"/>
    <w:rsid w:val="00B315A6"/>
    <w:rsid w:val="00B31813"/>
    <w:rsid w:val="00B33365"/>
    <w:rsid w:val="00B402C3"/>
    <w:rsid w:val="00B41D41"/>
    <w:rsid w:val="00B44A2F"/>
    <w:rsid w:val="00B52814"/>
    <w:rsid w:val="00B559B9"/>
    <w:rsid w:val="00B57B36"/>
    <w:rsid w:val="00B57E6F"/>
    <w:rsid w:val="00B63ECB"/>
    <w:rsid w:val="00B75057"/>
    <w:rsid w:val="00B8686D"/>
    <w:rsid w:val="00B93F69"/>
    <w:rsid w:val="00BB1DDC"/>
    <w:rsid w:val="00BC30C9"/>
    <w:rsid w:val="00BD077D"/>
    <w:rsid w:val="00BE3E58"/>
    <w:rsid w:val="00C01616"/>
    <w:rsid w:val="00C0162B"/>
    <w:rsid w:val="00C068ED"/>
    <w:rsid w:val="00C208E9"/>
    <w:rsid w:val="00C22E0C"/>
    <w:rsid w:val="00C31AE3"/>
    <w:rsid w:val="00C330CE"/>
    <w:rsid w:val="00C345B1"/>
    <w:rsid w:val="00C40142"/>
    <w:rsid w:val="00C52C3C"/>
    <w:rsid w:val="00C57182"/>
    <w:rsid w:val="00C57863"/>
    <w:rsid w:val="00C640AF"/>
    <w:rsid w:val="00C655FD"/>
    <w:rsid w:val="00C75407"/>
    <w:rsid w:val="00C777E7"/>
    <w:rsid w:val="00C841C6"/>
    <w:rsid w:val="00C870A8"/>
    <w:rsid w:val="00C94434"/>
    <w:rsid w:val="00CA0D75"/>
    <w:rsid w:val="00CA1C95"/>
    <w:rsid w:val="00CA2151"/>
    <w:rsid w:val="00CA44D8"/>
    <w:rsid w:val="00CA5A9C"/>
    <w:rsid w:val="00CB2614"/>
    <w:rsid w:val="00CC4C20"/>
    <w:rsid w:val="00CC79BA"/>
    <w:rsid w:val="00CD32DC"/>
    <w:rsid w:val="00CD3517"/>
    <w:rsid w:val="00CD5FE2"/>
    <w:rsid w:val="00CE7C68"/>
    <w:rsid w:val="00CF1AD2"/>
    <w:rsid w:val="00CF7F0D"/>
    <w:rsid w:val="00D02B4C"/>
    <w:rsid w:val="00D040C4"/>
    <w:rsid w:val="00D066B3"/>
    <w:rsid w:val="00D14E4F"/>
    <w:rsid w:val="00D20AD1"/>
    <w:rsid w:val="00D24FD3"/>
    <w:rsid w:val="00D2582C"/>
    <w:rsid w:val="00D35075"/>
    <w:rsid w:val="00D46B7E"/>
    <w:rsid w:val="00D5569F"/>
    <w:rsid w:val="00D57C84"/>
    <w:rsid w:val="00D6057D"/>
    <w:rsid w:val="00D71640"/>
    <w:rsid w:val="00D836C5"/>
    <w:rsid w:val="00D84576"/>
    <w:rsid w:val="00D872AB"/>
    <w:rsid w:val="00D94474"/>
    <w:rsid w:val="00DA1399"/>
    <w:rsid w:val="00DA24C6"/>
    <w:rsid w:val="00DA4D7B"/>
    <w:rsid w:val="00DA755E"/>
    <w:rsid w:val="00DD271C"/>
    <w:rsid w:val="00DE264A"/>
    <w:rsid w:val="00DE43DC"/>
    <w:rsid w:val="00DF5072"/>
    <w:rsid w:val="00E00F4D"/>
    <w:rsid w:val="00E01151"/>
    <w:rsid w:val="00E02D18"/>
    <w:rsid w:val="00E041E7"/>
    <w:rsid w:val="00E16910"/>
    <w:rsid w:val="00E21B1E"/>
    <w:rsid w:val="00E23CA1"/>
    <w:rsid w:val="00E409A8"/>
    <w:rsid w:val="00E47D61"/>
    <w:rsid w:val="00E50C12"/>
    <w:rsid w:val="00E64BEC"/>
    <w:rsid w:val="00E65B91"/>
    <w:rsid w:val="00E7209D"/>
    <w:rsid w:val="00E72EAD"/>
    <w:rsid w:val="00E77223"/>
    <w:rsid w:val="00E8156E"/>
    <w:rsid w:val="00E8528B"/>
    <w:rsid w:val="00E85B94"/>
    <w:rsid w:val="00E978D0"/>
    <w:rsid w:val="00EA4613"/>
    <w:rsid w:val="00EA7F91"/>
    <w:rsid w:val="00EB0C74"/>
    <w:rsid w:val="00EB1523"/>
    <w:rsid w:val="00EC0E49"/>
    <w:rsid w:val="00EC101F"/>
    <w:rsid w:val="00EC1D9F"/>
    <w:rsid w:val="00ED734F"/>
    <w:rsid w:val="00EE0131"/>
    <w:rsid w:val="00EE17B0"/>
    <w:rsid w:val="00EF06D9"/>
    <w:rsid w:val="00EF0982"/>
    <w:rsid w:val="00EF0A31"/>
    <w:rsid w:val="00F126A5"/>
    <w:rsid w:val="00F16BA1"/>
    <w:rsid w:val="00F3049E"/>
    <w:rsid w:val="00F30B28"/>
    <w:rsid w:val="00F30C64"/>
    <w:rsid w:val="00F32BA2"/>
    <w:rsid w:val="00F32CDB"/>
    <w:rsid w:val="00F3348F"/>
    <w:rsid w:val="00F37280"/>
    <w:rsid w:val="00F41EE4"/>
    <w:rsid w:val="00F440AA"/>
    <w:rsid w:val="00F565FE"/>
    <w:rsid w:val="00F63A70"/>
    <w:rsid w:val="00F63D8C"/>
    <w:rsid w:val="00F64F0B"/>
    <w:rsid w:val="00F7534E"/>
    <w:rsid w:val="00F832D4"/>
    <w:rsid w:val="00F93EDF"/>
    <w:rsid w:val="00FA1802"/>
    <w:rsid w:val="00FA21D0"/>
    <w:rsid w:val="00FA5F5F"/>
    <w:rsid w:val="00FA6D1A"/>
    <w:rsid w:val="00FB730C"/>
    <w:rsid w:val="00FC2695"/>
    <w:rsid w:val="00FC3E03"/>
    <w:rsid w:val="00FC3FC1"/>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AE0CC22"/>
  <w14:defaultImageDpi w14:val="330"/>
  <w15:docId w15:val="{F90829C2-DB27-4F77-A63C-C1C03006C8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aliases w:val="CET Top_page"/>
    <w:rsid w:val="00620DEE"/>
    <w:pPr>
      <w:tabs>
        <w:tab w:val="right" w:pos="7100"/>
      </w:tabs>
      <w:spacing w:after="0" w:line="264" w:lineRule="auto"/>
      <w:jc w:val="both"/>
    </w:pPr>
    <w:rPr>
      <w:rFonts w:ascii="Arial" w:eastAsia="Times New Roman" w:hAnsi="Arial" w:cs="Times New Roman"/>
      <w:sz w:val="18"/>
      <w:szCs w:val="20"/>
      <w:lang w:val="en-GB"/>
    </w:rPr>
  </w:style>
  <w:style w:type="paragraph" w:styleId="10">
    <w:name w:val="heading 1"/>
    <w:basedOn w:val="CETHeading1"/>
    <w:next w:val="a1"/>
    <w:link w:val="11"/>
    <w:uiPriority w:val="9"/>
    <w:rsid w:val="004F5E36"/>
    <w:pPr>
      <w:tabs>
        <w:tab w:val="clear" w:pos="360"/>
        <w:tab w:val="right" w:pos="7100"/>
      </w:tabs>
      <w:jc w:val="both"/>
      <w:outlineLvl w:val="0"/>
    </w:pPr>
    <w:rPr>
      <w:lang w:val="en-GB"/>
    </w:rPr>
  </w:style>
  <w:style w:type="paragraph" w:styleId="21">
    <w:name w:val="heading 2"/>
    <w:basedOn w:val="a1"/>
    <w:next w:val="a1"/>
    <w:link w:val="22"/>
    <w:uiPriority w:val="9"/>
    <w:semiHidden/>
    <w:unhideWhenUsed/>
    <w:qFormat/>
    <w:rsid w:val="0003148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semiHidden/>
    <w:unhideWhenUsed/>
    <w:qFormat/>
    <w:rsid w:val="0003148D"/>
    <w:pPr>
      <w:keepNext/>
      <w:keepLines/>
      <w:spacing w:before="200"/>
      <w:outlineLvl w:val="2"/>
    </w:pPr>
    <w:rPr>
      <w:rFonts w:asciiTheme="majorHAnsi" w:eastAsiaTheme="majorEastAsia" w:hAnsiTheme="majorHAnsi" w:cstheme="majorBidi"/>
      <w:b/>
      <w:bCs/>
      <w:color w:val="4F81BD" w:themeColor="accent1"/>
    </w:rPr>
  </w:style>
  <w:style w:type="paragraph" w:styleId="41">
    <w:name w:val="heading 4"/>
    <w:basedOn w:val="a1"/>
    <w:next w:val="a1"/>
    <w:link w:val="42"/>
    <w:uiPriority w:val="9"/>
    <w:semiHidden/>
    <w:unhideWhenUsed/>
    <w:qFormat/>
    <w:rsid w:val="0003148D"/>
    <w:pPr>
      <w:keepNext/>
      <w:keepLines/>
      <w:spacing w:before="200"/>
      <w:outlineLvl w:val="3"/>
    </w:pPr>
    <w:rPr>
      <w:rFonts w:asciiTheme="majorHAnsi" w:eastAsiaTheme="majorEastAsia" w:hAnsiTheme="majorHAnsi" w:cstheme="majorBidi"/>
      <w:b/>
      <w:bCs/>
      <w:i/>
      <w:iCs/>
      <w:color w:val="4F81BD" w:themeColor="accent1"/>
    </w:rPr>
  </w:style>
  <w:style w:type="paragraph" w:styleId="51">
    <w:name w:val="heading 5"/>
    <w:basedOn w:val="a1"/>
    <w:next w:val="a1"/>
    <w:link w:val="52"/>
    <w:uiPriority w:val="9"/>
    <w:semiHidden/>
    <w:unhideWhenUsed/>
    <w:qFormat/>
    <w:rsid w:val="0003148D"/>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03148D"/>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03148D"/>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03148D"/>
    <w:pPr>
      <w:keepNext/>
      <w:keepLines/>
      <w:spacing w:before="200"/>
      <w:outlineLvl w:val="7"/>
    </w:pPr>
    <w:rPr>
      <w:rFonts w:asciiTheme="majorHAnsi" w:eastAsiaTheme="majorEastAsia" w:hAnsiTheme="majorHAnsi" w:cstheme="majorBidi"/>
      <w:color w:val="404040" w:themeColor="text1" w:themeTint="BF"/>
    </w:rPr>
  </w:style>
  <w:style w:type="paragraph" w:styleId="9">
    <w:name w:val="heading 9"/>
    <w:basedOn w:val="a1"/>
    <w:next w:val="a1"/>
    <w:link w:val="90"/>
    <w:uiPriority w:val="9"/>
    <w:semiHidden/>
    <w:unhideWhenUsed/>
    <w:qFormat/>
    <w:rsid w:val="0003148D"/>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CETAuthors">
    <w:name w:val="CET Authors"/>
    <w:basedOn w:val="CETBodytext"/>
    <w:link w:val="CETAuthorsCarattere"/>
    <w:qFormat/>
    <w:rsid w:val="000E414A"/>
    <w:pPr>
      <w:keepNext/>
      <w:suppressAutoHyphens/>
      <w:spacing w:after="120"/>
    </w:pPr>
    <w:rPr>
      <w:noProof/>
      <w:sz w:val="24"/>
      <w:lang w:val="en-GB"/>
    </w:rPr>
  </w:style>
  <w:style w:type="paragraph" w:customStyle="1" w:styleId="CETTitle">
    <w:name w:val="CET Title"/>
    <w:next w:val="CETAuthors"/>
    <w:link w:val="CETTitleCarattere"/>
    <w:rsid w:val="00FB730C"/>
    <w:pPr>
      <w:suppressAutoHyphens/>
      <w:spacing w:before="480" w:after="120" w:line="264" w:lineRule="auto"/>
      <w:jc w:val="center"/>
      <w:outlineLvl w:val="0"/>
    </w:pPr>
    <w:rPr>
      <w:rFonts w:ascii="Arial" w:eastAsia="Times New Roman" w:hAnsi="Arial" w:cs="Times New Roman"/>
      <w:sz w:val="32"/>
      <w:szCs w:val="20"/>
      <w:lang w:val="en-GB"/>
    </w:rPr>
  </w:style>
  <w:style w:type="character" w:customStyle="1" w:styleId="CETAuthorsCarattere">
    <w:name w:val="CET Authors Carattere"/>
    <w:link w:val="CETAuthors"/>
    <w:rsid w:val="009E788A"/>
    <w:rPr>
      <w:rFonts w:ascii="Arial" w:eastAsia="Times New Roman" w:hAnsi="Arial" w:cs="Times New Roman"/>
      <w:noProof/>
      <w:sz w:val="24"/>
      <w:szCs w:val="20"/>
      <w:lang w:val="en-GB"/>
    </w:rPr>
  </w:style>
  <w:style w:type="character" w:customStyle="1" w:styleId="CETTitleCarattere">
    <w:name w:val="CET Title Carattere"/>
    <w:link w:val="CETTitle"/>
    <w:rsid w:val="00FB730C"/>
    <w:rPr>
      <w:rFonts w:ascii="Arial" w:eastAsia="Times New Roman" w:hAnsi="Arial" w:cs="Times New Roman"/>
      <w:sz w:val="32"/>
      <w:szCs w:val="20"/>
      <w:lang w:val="en-GB"/>
    </w:rPr>
  </w:style>
  <w:style w:type="paragraph" w:customStyle="1" w:styleId="CETHeading1">
    <w:name w:val="CET Heading1"/>
    <w:next w:val="CETBodytext"/>
    <w:qFormat/>
    <w:rsid w:val="009E788A"/>
    <w:pPr>
      <w:keepNext/>
      <w:numPr>
        <w:ilvl w:val="1"/>
        <w:numId w:val="1"/>
      </w:numPr>
      <w:tabs>
        <w:tab w:val="num" w:pos="360"/>
      </w:tabs>
      <w:suppressAutoHyphens/>
      <w:spacing w:before="240" w:after="120" w:line="240" w:lineRule="auto"/>
    </w:pPr>
    <w:rPr>
      <w:rFonts w:ascii="Arial" w:eastAsia="Times New Roman" w:hAnsi="Arial" w:cs="Times New Roman"/>
      <w:b/>
      <w:sz w:val="20"/>
      <w:szCs w:val="20"/>
      <w:lang w:val="en-US"/>
    </w:rPr>
  </w:style>
  <w:style w:type="paragraph" w:customStyle="1" w:styleId="CETBodytext">
    <w:name w:val="CET Body text"/>
    <w:link w:val="CETBodytextCarattere"/>
    <w:qFormat/>
    <w:rsid w:val="000E414A"/>
    <w:pPr>
      <w:tabs>
        <w:tab w:val="right" w:pos="7100"/>
      </w:tabs>
      <w:spacing w:after="0" w:line="264" w:lineRule="auto"/>
      <w:jc w:val="both"/>
    </w:pPr>
    <w:rPr>
      <w:rFonts w:ascii="Arial" w:eastAsia="Times New Roman" w:hAnsi="Arial" w:cs="Times New Roman"/>
      <w:sz w:val="18"/>
      <w:szCs w:val="20"/>
      <w:lang w:val="en-US"/>
    </w:rPr>
  </w:style>
  <w:style w:type="paragraph" w:customStyle="1" w:styleId="CETheadingx">
    <w:name w:val="CET headingx"/>
    <w:next w:val="CETBodytext"/>
    <w:link w:val="CETheadingxCarattere"/>
    <w:autoRedefine/>
    <w:qFormat/>
    <w:rsid w:val="002703BC"/>
    <w:pPr>
      <w:keepNext/>
      <w:suppressAutoHyphens/>
      <w:spacing w:before="120" w:after="120" w:line="240" w:lineRule="auto"/>
    </w:pPr>
    <w:rPr>
      <w:rFonts w:ascii="Arial" w:eastAsia="Times New Roman" w:hAnsi="Arial" w:cs="Times New Roman"/>
      <w:b/>
      <w:sz w:val="18"/>
      <w:szCs w:val="20"/>
      <w:lang w:val="en-US"/>
    </w:rPr>
  </w:style>
  <w:style w:type="paragraph" w:customStyle="1" w:styleId="CETAddress">
    <w:name w:val="CET Address"/>
    <w:link w:val="CETAddressCarattere"/>
    <w:qFormat/>
    <w:rsid w:val="009E788A"/>
    <w:pPr>
      <w:keepNext/>
      <w:suppressAutoHyphens/>
      <w:spacing w:after="0"/>
      <w:contextualSpacing/>
    </w:pPr>
    <w:rPr>
      <w:rFonts w:ascii="Arial" w:eastAsia="Times New Roman" w:hAnsi="Arial" w:cs="Times New Roman"/>
      <w:noProof/>
      <w:sz w:val="16"/>
      <w:szCs w:val="20"/>
      <w:lang w:val="en-GB"/>
    </w:rPr>
  </w:style>
  <w:style w:type="table" w:styleId="1">
    <w:name w:val="Table Simple 1"/>
    <w:basedOn w:val="a3"/>
    <w:semiHidden/>
    <w:rsid w:val="000E414A"/>
    <w:pPr>
      <w:numPr>
        <w:ilvl w:val="3"/>
        <w:numId w:val="1"/>
      </w:numPr>
      <w:spacing w:after="0" w:line="264" w:lineRule="auto"/>
      <w:jc w:val="both"/>
    </w:pPr>
    <w:rPr>
      <w:rFonts w:ascii="Times New Roman" w:eastAsia="Times New Roman" w:hAnsi="Times New Roman" w:cs="Times New Roman"/>
      <w:sz w:val="20"/>
      <w:szCs w:val="20"/>
      <w:lang w:eastAsia="it-IT"/>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character" w:customStyle="1" w:styleId="CETBodytextCarattere">
    <w:name w:val="CET Body text Carattere"/>
    <w:link w:val="CETBodytext"/>
    <w:rsid w:val="000E414A"/>
    <w:rPr>
      <w:rFonts w:ascii="Arial" w:eastAsia="Times New Roman" w:hAnsi="Arial" w:cs="Times New Roman"/>
      <w:sz w:val="18"/>
      <w:szCs w:val="20"/>
      <w:lang w:val="en-US"/>
    </w:rPr>
  </w:style>
  <w:style w:type="paragraph" w:customStyle="1" w:styleId="CETReference">
    <w:name w:val="CET Reference"/>
    <w:qFormat/>
    <w:rsid w:val="00FC2695"/>
    <w:pPr>
      <w:spacing w:before="200" w:after="120" w:line="240" w:lineRule="auto"/>
    </w:pPr>
    <w:rPr>
      <w:rFonts w:ascii="Arial" w:eastAsia="Times New Roman" w:hAnsi="Arial" w:cs="Times New Roman"/>
      <w:b/>
      <w:sz w:val="18"/>
      <w:szCs w:val="20"/>
      <w:lang w:val="en-GB"/>
    </w:rPr>
  </w:style>
  <w:style w:type="paragraph" w:customStyle="1" w:styleId="CETCaption">
    <w:name w:val="CET Caption"/>
    <w:link w:val="CETCaptionCarattere"/>
    <w:qFormat/>
    <w:rsid w:val="00F7534E"/>
    <w:pPr>
      <w:spacing w:before="240" w:after="240" w:line="264" w:lineRule="auto"/>
      <w:jc w:val="both"/>
    </w:pPr>
    <w:rPr>
      <w:rFonts w:ascii="Arial" w:eastAsia="Times New Roman" w:hAnsi="Arial" w:cs="Times New Roman"/>
      <w:i/>
      <w:sz w:val="18"/>
      <w:szCs w:val="20"/>
      <w:lang w:val="en-GB"/>
    </w:rPr>
  </w:style>
  <w:style w:type="character" w:customStyle="1" w:styleId="CETheadingxCarattere">
    <w:name w:val="CET headingx Carattere"/>
    <w:link w:val="CETheadingx"/>
    <w:rsid w:val="002703BC"/>
    <w:rPr>
      <w:rFonts w:ascii="Arial" w:eastAsia="Times New Roman" w:hAnsi="Arial" w:cs="Times New Roman"/>
      <w:b/>
      <w:sz w:val="18"/>
      <w:szCs w:val="20"/>
      <w:lang w:val="en-US"/>
    </w:rPr>
  </w:style>
  <w:style w:type="character" w:customStyle="1" w:styleId="CETCaptionCarattere">
    <w:name w:val="CET Caption Carattere"/>
    <w:link w:val="CETCaption"/>
    <w:rsid w:val="00F7534E"/>
    <w:rPr>
      <w:rFonts w:ascii="Arial" w:eastAsia="Times New Roman" w:hAnsi="Arial" w:cs="Times New Roman"/>
      <w:i/>
      <w:sz w:val="18"/>
      <w:szCs w:val="20"/>
      <w:lang w:val="en-GB"/>
    </w:rPr>
  </w:style>
  <w:style w:type="paragraph" w:customStyle="1" w:styleId="CETBodytextItalic">
    <w:name w:val="CET Body text (Italic)"/>
    <w:basedOn w:val="CETBodytext"/>
    <w:qFormat/>
    <w:rsid w:val="004F5E36"/>
    <w:rPr>
      <w:i/>
      <w:lang w:val="en-GB"/>
    </w:rPr>
  </w:style>
  <w:style w:type="character" w:styleId="a5">
    <w:name w:val="annotation reference"/>
    <w:basedOn w:val="a2"/>
    <w:uiPriority w:val="99"/>
    <w:semiHidden/>
    <w:unhideWhenUsed/>
    <w:rsid w:val="004577FE"/>
    <w:rPr>
      <w:sz w:val="16"/>
      <w:szCs w:val="16"/>
    </w:rPr>
  </w:style>
  <w:style w:type="paragraph" w:styleId="a6">
    <w:name w:val="Balloon Text"/>
    <w:basedOn w:val="a1"/>
    <w:link w:val="a7"/>
    <w:uiPriority w:val="99"/>
    <w:semiHidden/>
    <w:unhideWhenUsed/>
    <w:rsid w:val="000D34BE"/>
    <w:pPr>
      <w:spacing w:line="240" w:lineRule="auto"/>
    </w:pPr>
    <w:rPr>
      <w:rFonts w:ascii="Tahoma" w:hAnsi="Tahoma" w:cs="Tahoma"/>
      <w:sz w:val="16"/>
      <w:szCs w:val="16"/>
    </w:rPr>
  </w:style>
  <w:style w:type="character" w:customStyle="1" w:styleId="a7">
    <w:name w:val="Текст выноски Знак"/>
    <w:basedOn w:val="a2"/>
    <w:link w:val="a6"/>
    <w:uiPriority w:val="99"/>
    <w:semiHidden/>
    <w:rsid w:val="000D34BE"/>
    <w:rPr>
      <w:rFonts w:ascii="Tahoma" w:hAnsi="Tahoma" w:cs="Tahoma"/>
      <w:sz w:val="16"/>
      <w:szCs w:val="16"/>
    </w:rPr>
  </w:style>
  <w:style w:type="paragraph" w:styleId="a8">
    <w:name w:val="Bibliography"/>
    <w:basedOn w:val="CETReferencetext"/>
    <w:uiPriority w:val="37"/>
    <w:unhideWhenUsed/>
    <w:rsid w:val="00631B33"/>
    <w:pPr>
      <w:spacing w:line="240" w:lineRule="auto"/>
      <w:ind w:left="720" w:hanging="720"/>
    </w:pPr>
  </w:style>
  <w:style w:type="paragraph" w:styleId="23">
    <w:name w:val="Body Text 2"/>
    <w:basedOn w:val="a1"/>
    <w:link w:val="24"/>
    <w:uiPriority w:val="99"/>
    <w:semiHidden/>
    <w:unhideWhenUsed/>
    <w:rsid w:val="0003148D"/>
    <w:pPr>
      <w:spacing w:after="120" w:line="480" w:lineRule="auto"/>
    </w:pPr>
  </w:style>
  <w:style w:type="character" w:customStyle="1" w:styleId="24">
    <w:name w:val="Основной текст 2 Знак"/>
    <w:basedOn w:val="a2"/>
    <w:link w:val="23"/>
    <w:uiPriority w:val="99"/>
    <w:semiHidden/>
    <w:rsid w:val="0003148D"/>
  </w:style>
  <w:style w:type="paragraph" w:styleId="33">
    <w:name w:val="Body Text 3"/>
    <w:basedOn w:val="a1"/>
    <w:link w:val="34"/>
    <w:uiPriority w:val="99"/>
    <w:semiHidden/>
    <w:unhideWhenUsed/>
    <w:rsid w:val="0003148D"/>
    <w:pPr>
      <w:spacing w:after="120"/>
    </w:pPr>
    <w:rPr>
      <w:sz w:val="16"/>
      <w:szCs w:val="16"/>
    </w:rPr>
  </w:style>
  <w:style w:type="character" w:customStyle="1" w:styleId="34">
    <w:name w:val="Основной текст 3 Знак"/>
    <w:basedOn w:val="a2"/>
    <w:link w:val="33"/>
    <w:uiPriority w:val="99"/>
    <w:semiHidden/>
    <w:rsid w:val="0003148D"/>
    <w:rPr>
      <w:sz w:val="16"/>
      <w:szCs w:val="16"/>
    </w:rPr>
  </w:style>
  <w:style w:type="paragraph" w:styleId="a9">
    <w:name w:val="Body Text"/>
    <w:basedOn w:val="a1"/>
    <w:link w:val="aa"/>
    <w:uiPriority w:val="99"/>
    <w:semiHidden/>
    <w:unhideWhenUsed/>
    <w:rsid w:val="0003148D"/>
    <w:pPr>
      <w:spacing w:after="120"/>
    </w:pPr>
  </w:style>
  <w:style w:type="character" w:customStyle="1" w:styleId="aa">
    <w:name w:val="Основной текст Знак"/>
    <w:basedOn w:val="a2"/>
    <w:link w:val="a9"/>
    <w:uiPriority w:val="99"/>
    <w:semiHidden/>
    <w:rsid w:val="0003148D"/>
  </w:style>
  <w:style w:type="paragraph" w:styleId="ab">
    <w:name w:val="Date"/>
    <w:basedOn w:val="a1"/>
    <w:next w:val="a1"/>
    <w:link w:val="ac"/>
    <w:uiPriority w:val="99"/>
    <w:semiHidden/>
    <w:unhideWhenUsed/>
    <w:rsid w:val="0003148D"/>
  </w:style>
  <w:style w:type="character" w:customStyle="1" w:styleId="ac">
    <w:name w:val="Дата Знак"/>
    <w:basedOn w:val="a2"/>
    <w:link w:val="ab"/>
    <w:uiPriority w:val="99"/>
    <w:semiHidden/>
    <w:rsid w:val="0003148D"/>
  </w:style>
  <w:style w:type="paragraph" w:styleId="ad">
    <w:name w:val="caption"/>
    <w:basedOn w:val="a1"/>
    <w:next w:val="a1"/>
    <w:uiPriority w:val="35"/>
    <w:semiHidden/>
    <w:unhideWhenUsed/>
    <w:qFormat/>
    <w:rsid w:val="0003148D"/>
    <w:pPr>
      <w:spacing w:line="240" w:lineRule="auto"/>
    </w:pPr>
    <w:rPr>
      <w:b/>
      <w:bCs/>
      <w:color w:val="4F81BD" w:themeColor="accent1"/>
      <w:szCs w:val="18"/>
    </w:rPr>
  </w:style>
  <w:style w:type="paragraph" w:styleId="ae">
    <w:name w:val="List"/>
    <w:basedOn w:val="a1"/>
    <w:uiPriority w:val="99"/>
    <w:semiHidden/>
    <w:unhideWhenUsed/>
    <w:rsid w:val="0003148D"/>
    <w:pPr>
      <w:ind w:left="283" w:hanging="283"/>
      <w:contextualSpacing/>
    </w:pPr>
  </w:style>
  <w:style w:type="paragraph" w:styleId="25">
    <w:name w:val="List 2"/>
    <w:basedOn w:val="a1"/>
    <w:uiPriority w:val="99"/>
    <w:semiHidden/>
    <w:unhideWhenUsed/>
    <w:rsid w:val="0003148D"/>
    <w:pPr>
      <w:ind w:left="566" w:hanging="283"/>
      <w:contextualSpacing/>
    </w:pPr>
  </w:style>
  <w:style w:type="paragraph" w:styleId="35">
    <w:name w:val="List 3"/>
    <w:basedOn w:val="a1"/>
    <w:uiPriority w:val="99"/>
    <w:semiHidden/>
    <w:unhideWhenUsed/>
    <w:rsid w:val="0003148D"/>
    <w:pPr>
      <w:ind w:left="849" w:hanging="283"/>
      <w:contextualSpacing/>
    </w:pPr>
  </w:style>
  <w:style w:type="paragraph" w:styleId="43">
    <w:name w:val="List 4"/>
    <w:basedOn w:val="a1"/>
    <w:uiPriority w:val="99"/>
    <w:semiHidden/>
    <w:unhideWhenUsed/>
    <w:rsid w:val="0003148D"/>
    <w:pPr>
      <w:ind w:left="1132" w:hanging="283"/>
      <w:contextualSpacing/>
    </w:pPr>
  </w:style>
  <w:style w:type="paragraph" w:styleId="53">
    <w:name w:val="List 5"/>
    <w:basedOn w:val="a1"/>
    <w:uiPriority w:val="99"/>
    <w:semiHidden/>
    <w:unhideWhenUsed/>
    <w:rsid w:val="0003148D"/>
    <w:pPr>
      <w:ind w:left="1415" w:hanging="283"/>
      <w:contextualSpacing/>
    </w:pPr>
  </w:style>
  <w:style w:type="paragraph" w:styleId="af">
    <w:name w:val="List Continue"/>
    <w:basedOn w:val="a1"/>
    <w:uiPriority w:val="99"/>
    <w:semiHidden/>
    <w:unhideWhenUsed/>
    <w:rsid w:val="0003148D"/>
    <w:pPr>
      <w:spacing w:after="120"/>
      <w:ind w:left="283"/>
      <w:contextualSpacing/>
    </w:pPr>
  </w:style>
  <w:style w:type="paragraph" w:styleId="26">
    <w:name w:val="List Continue 2"/>
    <w:basedOn w:val="a1"/>
    <w:uiPriority w:val="99"/>
    <w:semiHidden/>
    <w:unhideWhenUsed/>
    <w:rsid w:val="0003148D"/>
    <w:pPr>
      <w:spacing w:after="120"/>
      <w:ind w:left="566"/>
      <w:contextualSpacing/>
    </w:pPr>
  </w:style>
  <w:style w:type="paragraph" w:styleId="36">
    <w:name w:val="List Continue 3"/>
    <w:basedOn w:val="a1"/>
    <w:uiPriority w:val="99"/>
    <w:semiHidden/>
    <w:unhideWhenUsed/>
    <w:rsid w:val="0003148D"/>
    <w:pPr>
      <w:spacing w:after="120"/>
      <w:ind w:left="849"/>
      <w:contextualSpacing/>
    </w:pPr>
  </w:style>
  <w:style w:type="paragraph" w:styleId="44">
    <w:name w:val="List Continue 4"/>
    <w:basedOn w:val="a1"/>
    <w:uiPriority w:val="99"/>
    <w:semiHidden/>
    <w:unhideWhenUsed/>
    <w:rsid w:val="0003148D"/>
    <w:pPr>
      <w:spacing w:after="120"/>
      <w:ind w:left="1132"/>
      <w:contextualSpacing/>
    </w:pPr>
  </w:style>
  <w:style w:type="paragraph" w:styleId="54">
    <w:name w:val="List Continue 5"/>
    <w:basedOn w:val="a1"/>
    <w:uiPriority w:val="99"/>
    <w:semiHidden/>
    <w:unhideWhenUsed/>
    <w:rsid w:val="0003148D"/>
    <w:pPr>
      <w:spacing w:after="120"/>
      <w:ind w:left="1415"/>
      <w:contextualSpacing/>
    </w:pPr>
  </w:style>
  <w:style w:type="paragraph" w:styleId="af0">
    <w:name w:val="Signature"/>
    <w:basedOn w:val="a1"/>
    <w:link w:val="af1"/>
    <w:uiPriority w:val="99"/>
    <w:semiHidden/>
    <w:unhideWhenUsed/>
    <w:rsid w:val="0003148D"/>
    <w:pPr>
      <w:spacing w:line="240" w:lineRule="auto"/>
      <w:ind w:left="4252"/>
    </w:pPr>
  </w:style>
  <w:style w:type="character" w:customStyle="1" w:styleId="af1">
    <w:name w:val="Подпись Знак"/>
    <w:basedOn w:val="a2"/>
    <w:link w:val="af0"/>
    <w:uiPriority w:val="99"/>
    <w:semiHidden/>
    <w:rsid w:val="0003148D"/>
  </w:style>
  <w:style w:type="paragraph" w:styleId="af2">
    <w:name w:val="E-mail Signature"/>
    <w:basedOn w:val="a1"/>
    <w:link w:val="af3"/>
    <w:uiPriority w:val="99"/>
    <w:semiHidden/>
    <w:unhideWhenUsed/>
    <w:rsid w:val="0003148D"/>
    <w:pPr>
      <w:spacing w:line="240" w:lineRule="auto"/>
    </w:pPr>
  </w:style>
  <w:style w:type="character" w:customStyle="1" w:styleId="af3">
    <w:name w:val="Электронная подпись Знак"/>
    <w:basedOn w:val="a2"/>
    <w:link w:val="af2"/>
    <w:uiPriority w:val="99"/>
    <w:semiHidden/>
    <w:rsid w:val="0003148D"/>
  </w:style>
  <w:style w:type="paragraph" w:styleId="af4">
    <w:name w:val="Salutation"/>
    <w:basedOn w:val="a1"/>
    <w:next w:val="a1"/>
    <w:link w:val="af5"/>
    <w:uiPriority w:val="99"/>
    <w:semiHidden/>
    <w:unhideWhenUsed/>
    <w:rsid w:val="0003148D"/>
  </w:style>
  <w:style w:type="character" w:customStyle="1" w:styleId="af5">
    <w:name w:val="Приветствие Знак"/>
    <w:basedOn w:val="a2"/>
    <w:link w:val="af4"/>
    <w:uiPriority w:val="99"/>
    <w:semiHidden/>
    <w:rsid w:val="0003148D"/>
  </w:style>
  <w:style w:type="paragraph" w:styleId="af6">
    <w:name w:val="Closing"/>
    <w:basedOn w:val="a1"/>
    <w:link w:val="af7"/>
    <w:uiPriority w:val="99"/>
    <w:semiHidden/>
    <w:unhideWhenUsed/>
    <w:rsid w:val="0003148D"/>
    <w:pPr>
      <w:spacing w:line="240" w:lineRule="auto"/>
      <w:ind w:left="4252"/>
    </w:pPr>
  </w:style>
  <w:style w:type="character" w:customStyle="1" w:styleId="af7">
    <w:name w:val="Прощание Знак"/>
    <w:basedOn w:val="a2"/>
    <w:link w:val="af6"/>
    <w:uiPriority w:val="99"/>
    <w:semiHidden/>
    <w:rsid w:val="0003148D"/>
  </w:style>
  <w:style w:type="paragraph" w:styleId="12">
    <w:name w:val="index 1"/>
    <w:basedOn w:val="a1"/>
    <w:next w:val="a1"/>
    <w:autoRedefine/>
    <w:uiPriority w:val="99"/>
    <w:semiHidden/>
    <w:unhideWhenUsed/>
    <w:rsid w:val="0003148D"/>
    <w:pPr>
      <w:spacing w:line="240" w:lineRule="auto"/>
      <w:ind w:left="220" w:hanging="220"/>
    </w:pPr>
  </w:style>
  <w:style w:type="paragraph" w:styleId="27">
    <w:name w:val="index 2"/>
    <w:basedOn w:val="a1"/>
    <w:next w:val="a1"/>
    <w:autoRedefine/>
    <w:uiPriority w:val="99"/>
    <w:semiHidden/>
    <w:unhideWhenUsed/>
    <w:rsid w:val="0003148D"/>
    <w:pPr>
      <w:spacing w:line="240" w:lineRule="auto"/>
      <w:ind w:left="440" w:hanging="220"/>
    </w:pPr>
  </w:style>
  <w:style w:type="paragraph" w:styleId="37">
    <w:name w:val="index 3"/>
    <w:basedOn w:val="a1"/>
    <w:next w:val="a1"/>
    <w:autoRedefine/>
    <w:uiPriority w:val="99"/>
    <w:semiHidden/>
    <w:unhideWhenUsed/>
    <w:rsid w:val="0003148D"/>
    <w:pPr>
      <w:spacing w:line="240" w:lineRule="auto"/>
      <w:ind w:left="660" w:hanging="220"/>
    </w:pPr>
  </w:style>
  <w:style w:type="paragraph" w:styleId="45">
    <w:name w:val="index 4"/>
    <w:basedOn w:val="a1"/>
    <w:next w:val="a1"/>
    <w:autoRedefine/>
    <w:uiPriority w:val="99"/>
    <w:semiHidden/>
    <w:unhideWhenUsed/>
    <w:rsid w:val="0003148D"/>
    <w:pPr>
      <w:spacing w:line="240" w:lineRule="auto"/>
      <w:ind w:left="880" w:hanging="220"/>
    </w:pPr>
  </w:style>
  <w:style w:type="paragraph" w:styleId="55">
    <w:name w:val="index 5"/>
    <w:basedOn w:val="a1"/>
    <w:next w:val="a1"/>
    <w:autoRedefine/>
    <w:uiPriority w:val="99"/>
    <w:semiHidden/>
    <w:unhideWhenUsed/>
    <w:rsid w:val="0003148D"/>
    <w:pPr>
      <w:spacing w:line="240" w:lineRule="auto"/>
      <w:ind w:left="1100" w:hanging="220"/>
    </w:pPr>
  </w:style>
  <w:style w:type="paragraph" w:styleId="61">
    <w:name w:val="index 6"/>
    <w:basedOn w:val="a1"/>
    <w:next w:val="a1"/>
    <w:autoRedefine/>
    <w:uiPriority w:val="99"/>
    <w:semiHidden/>
    <w:unhideWhenUsed/>
    <w:rsid w:val="0003148D"/>
    <w:pPr>
      <w:spacing w:line="240" w:lineRule="auto"/>
      <w:ind w:left="1320" w:hanging="220"/>
    </w:pPr>
  </w:style>
  <w:style w:type="paragraph" w:styleId="71">
    <w:name w:val="index 7"/>
    <w:basedOn w:val="a1"/>
    <w:next w:val="a1"/>
    <w:autoRedefine/>
    <w:uiPriority w:val="99"/>
    <w:semiHidden/>
    <w:unhideWhenUsed/>
    <w:rsid w:val="0003148D"/>
    <w:pPr>
      <w:spacing w:line="240" w:lineRule="auto"/>
      <w:ind w:left="1540" w:hanging="220"/>
    </w:pPr>
  </w:style>
  <w:style w:type="paragraph" w:styleId="81">
    <w:name w:val="index 8"/>
    <w:basedOn w:val="a1"/>
    <w:next w:val="a1"/>
    <w:autoRedefine/>
    <w:uiPriority w:val="99"/>
    <w:semiHidden/>
    <w:unhideWhenUsed/>
    <w:rsid w:val="0003148D"/>
    <w:pPr>
      <w:spacing w:line="240" w:lineRule="auto"/>
      <w:ind w:left="1760" w:hanging="220"/>
    </w:pPr>
  </w:style>
  <w:style w:type="paragraph" w:styleId="91">
    <w:name w:val="index 9"/>
    <w:basedOn w:val="a1"/>
    <w:next w:val="a1"/>
    <w:autoRedefine/>
    <w:uiPriority w:val="99"/>
    <w:semiHidden/>
    <w:unhideWhenUsed/>
    <w:rsid w:val="0003148D"/>
    <w:pPr>
      <w:spacing w:line="240" w:lineRule="auto"/>
      <w:ind w:left="1980" w:hanging="220"/>
    </w:pPr>
  </w:style>
  <w:style w:type="paragraph" w:styleId="af8">
    <w:name w:val="table of figures"/>
    <w:basedOn w:val="a1"/>
    <w:next w:val="a1"/>
    <w:uiPriority w:val="99"/>
    <w:semiHidden/>
    <w:unhideWhenUsed/>
    <w:rsid w:val="0003148D"/>
  </w:style>
  <w:style w:type="paragraph" w:styleId="af9">
    <w:name w:val="table of authorities"/>
    <w:basedOn w:val="a1"/>
    <w:next w:val="a1"/>
    <w:uiPriority w:val="99"/>
    <w:semiHidden/>
    <w:unhideWhenUsed/>
    <w:rsid w:val="0003148D"/>
    <w:pPr>
      <w:ind w:left="220" w:hanging="220"/>
    </w:pPr>
  </w:style>
  <w:style w:type="paragraph" w:styleId="afa">
    <w:name w:val="envelope address"/>
    <w:basedOn w:val="a1"/>
    <w:uiPriority w:val="99"/>
    <w:semiHidden/>
    <w:unhideWhenUsed/>
    <w:rsid w:val="0003148D"/>
    <w:pPr>
      <w:framePr w:w="7920" w:h="1980" w:hRule="exact" w:hSpace="180" w:wrap="auto" w:hAnchor="page" w:xAlign="center" w:yAlign="bottom"/>
      <w:spacing w:line="240" w:lineRule="auto"/>
      <w:ind w:left="2880"/>
    </w:pPr>
    <w:rPr>
      <w:rFonts w:asciiTheme="majorHAnsi" w:eastAsiaTheme="majorEastAsia" w:hAnsiTheme="majorHAnsi" w:cstheme="majorBidi"/>
      <w:sz w:val="24"/>
      <w:szCs w:val="24"/>
    </w:rPr>
  </w:style>
  <w:style w:type="paragraph" w:styleId="HTML">
    <w:name w:val="HTML Address"/>
    <w:basedOn w:val="a1"/>
    <w:link w:val="HTML0"/>
    <w:uiPriority w:val="99"/>
    <w:semiHidden/>
    <w:unhideWhenUsed/>
    <w:rsid w:val="0003148D"/>
    <w:pPr>
      <w:spacing w:line="240" w:lineRule="auto"/>
    </w:pPr>
    <w:rPr>
      <w:i/>
      <w:iCs/>
    </w:rPr>
  </w:style>
  <w:style w:type="character" w:customStyle="1" w:styleId="HTML0">
    <w:name w:val="Адрес HTML Знак"/>
    <w:basedOn w:val="a2"/>
    <w:link w:val="HTML"/>
    <w:uiPriority w:val="99"/>
    <w:semiHidden/>
    <w:rsid w:val="0003148D"/>
    <w:rPr>
      <w:i/>
      <w:iCs/>
    </w:rPr>
  </w:style>
  <w:style w:type="paragraph" w:styleId="28">
    <w:name w:val="envelope return"/>
    <w:basedOn w:val="a1"/>
    <w:uiPriority w:val="99"/>
    <w:semiHidden/>
    <w:unhideWhenUsed/>
    <w:rsid w:val="0003148D"/>
    <w:pPr>
      <w:spacing w:line="240" w:lineRule="auto"/>
    </w:pPr>
    <w:rPr>
      <w:rFonts w:asciiTheme="majorHAnsi" w:eastAsiaTheme="majorEastAsia" w:hAnsiTheme="majorHAnsi" w:cstheme="majorBidi"/>
    </w:rPr>
  </w:style>
  <w:style w:type="paragraph" w:styleId="afb">
    <w:name w:val="Message Header"/>
    <w:basedOn w:val="a1"/>
    <w:link w:val="afc"/>
    <w:uiPriority w:val="99"/>
    <w:semiHidden/>
    <w:unhideWhenUsed/>
    <w:rsid w:val="0003148D"/>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afc">
    <w:name w:val="Шапка Знак"/>
    <w:basedOn w:val="a2"/>
    <w:link w:val="afb"/>
    <w:uiPriority w:val="99"/>
    <w:semiHidden/>
    <w:rsid w:val="0003148D"/>
    <w:rPr>
      <w:rFonts w:asciiTheme="majorHAnsi" w:eastAsiaTheme="majorEastAsia" w:hAnsiTheme="majorHAnsi" w:cstheme="majorBidi"/>
      <w:sz w:val="24"/>
      <w:szCs w:val="24"/>
      <w:shd w:val="pct20" w:color="auto" w:fill="auto"/>
    </w:rPr>
  </w:style>
  <w:style w:type="paragraph" w:styleId="afd">
    <w:name w:val="Note Heading"/>
    <w:basedOn w:val="a1"/>
    <w:next w:val="a1"/>
    <w:link w:val="afe"/>
    <w:uiPriority w:val="99"/>
    <w:semiHidden/>
    <w:unhideWhenUsed/>
    <w:rsid w:val="0003148D"/>
    <w:pPr>
      <w:spacing w:line="240" w:lineRule="auto"/>
    </w:pPr>
  </w:style>
  <w:style w:type="character" w:customStyle="1" w:styleId="afe">
    <w:name w:val="Заголовок записки Знак"/>
    <w:basedOn w:val="a2"/>
    <w:link w:val="afd"/>
    <w:uiPriority w:val="99"/>
    <w:semiHidden/>
    <w:rsid w:val="0003148D"/>
  </w:style>
  <w:style w:type="paragraph" w:styleId="aff">
    <w:name w:val="Document Map"/>
    <w:basedOn w:val="a1"/>
    <w:link w:val="aff0"/>
    <w:uiPriority w:val="99"/>
    <w:semiHidden/>
    <w:unhideWhenUsed/>
    <w:rsid w:val="0003148D"/>
    <w:pPr>
      <w:spacing w:line="240" w:lineRule="auto"/>
    </w:pPr>
    <w:rPr>
      <w:rFonts w:ascii="Tahoma" w:hAnsi="Tahoma" w:cs="Tahoma"/>
      <w:sz w:val="16"/>
      <w:szCs w:val="16"/>
    </w:rPr>
  </w:style>
  <w:style w:type="character" w:customStyle="1" w:styleId="aff0">
    <w:name w:val="Схема документа Знак"/>
    <w:basedOn w:val="a2"/>
    <w:link w:val="aff"/>
    <w:uiPriority w:val="99"/>
    <w:semiHidden/>
    <w:rsid w:val="0003148D"/>
    <w:rPr>
      <w:rFonts w:ascii="Tahoma" w:hAnsi="Tahoma" w:cs="Tahoma"/>
      <w:sz w:val="16"/>
      <w:szCs w:val="16"/>
    </w:rPr>
  </w:style>
  <w:style w:type="paragraph" w:styleId="aff1">
    <w:name w:val="Normal (Web)"/>
    <w:basedOn w:val="a1"/>
    <w:uiPriority w:val="99"/>
    <w:semiHidden/>
    <w:unhideWhenUsed/>
    <w:rsid w:val="0003148D"/>
    <w:rPr>
      <w:sz w:val="24"/>
      <w:szCs w:val="24"/>
    </w:rPr>
  </w:style>
  <w:style w:type="paragraph" w:styleId="a">
    <w:name w:val="List Number"/>
    <w:basedOn w:val="a1"/>
    <w:uiPriority w:val="99"/>
    <w:semiHidden/>
    <w:unhideWhenUsed/>
    <w:rsid w:val="0003148D"/>
    <w:pPr>
      <w:numPr>
        <w:numId w:val="2"/>
      </w:numPr>
      <w:contextualSpacing/>
    </w:pPr>
  </w:style>
  <w:style w:type="paragraph" w:styleId="2">
    <w:name w:val="List Number 2"/>
    <w:basedOn w:val="a1"/>
    <w:uiPriority w:val="99"/>
    <w:semiHidden/>
    <w:unhideWhenUsed/>
    <w:rsid w:val="0003148D"/>
    <w:pPr>
      <w:numPr>
        <w:numId w:val="3"/>
      </w:numPr>
      <w:contextualSpacing/>
    </w:pPr>
  </w:style>
  <w:style w:type="paragraph" w:styleId="3">
    <w:name w:val="List Number 3"/>
    <w:basedOn w:val="a1"/>
    <w:uiPriority w:val="99"/>
    <w:semiHidden/>
    <w:unhideWhenUsed/>
    <w:rsid w:val="0003148D"/>
    <w:pPr>
      <w:numPr>
        <w:numId w:val="4"/>
      </w:numPr>
      <w:contextualSpacing/>
    </w:pPr>
  </w:style>
  <w:style w:type="paragraph" w:styleId="4">
    <w:name w:val="List Number 4"/>
    <w:basedOn w:val="a1"/>
    <w:uiPriority w:val="99"/>
    <w:semiHidden/>
    <w:unhideWhenUsed/>
    <w:rsid w:val="0003148D"/>
    <w:pPr>
      <w:numPr>
        <w:numId w:val="5"/>
      </w:numPr>
      <w:contextualSpacing/>
    </w:pPr>
  </w:style>
  <w:style w:type="paragraph" w:styleId="5">
    <w:name w:val="List Number 5"/>
    <w:basedOn w:val="a1"/>
    <w:uiPriority w:val="99"/>
    <w:semiHidden/>
    <w:unhideWhenUsed/>
    <w:rsid w:val="0003148D"/>
    <w:pPr>
      <w:numPr>
        <w:numId w:val="6"/>
      </w:numPr>
      <w:contextualSpacing/>
    </w:pPr>
  </w:style>
  <w:style w:type="paragraph" w:styleId="HTML1">
    <w:name w:val="HTML Preformatted"/>
    <w:basedOn w:val="a1"/>
    <w:link w:val="HTML2"/>
    <w:uiPriority w:val="99"/>
    <w:semiHidden/>
    <w:unhideWhenUsed/>
    <w:rsid w:val="0003148D"/>
    <w:pPr>
      <w:spacing w:line="240" w:lineRule="auto"/>
    </w:pPr>
    <w:rPr>
      <w:rFonts w:ascii="Consolas" w:hAnsi="Consolas" w:cs="Consolas"/>
    </w:rPr>
  </w:style>
  <w:style w:type="character" w:customStyle="1" w:styleId="HTML2">
    <w:name w:val="Стандартный HTML Знак"/>
    <w:basedOn w:val="a2"/>
    <w:link w:val="HTML1"/>
    <w:uiPriority w:val="99"/>
    <w:semiHidden/>
    <w:rsid w:val="0003148D"/>
    <w:rPr>
      <w:rFonts w:ascii="Consolas" w:hAnsi="Consolas" w:cs="Consolas"/>
      <w:sz w:val="20"/>
      <w:szCs w:val="20"/>
    </w:rPr>
  </w:style>
  <w:style w:type="paragraph" w:styleId="aff2">
    <w:name w:val="Body Text First Indent"/>
    <w:basedOn w:val="a9"/>
    <w:link w:val="aff3"/>
    <w:uiPriority w:val="99"/>
    <w:semiHidden/>
    <w:unhideWhenUsed/>
    <w:rsid w:val="0003148D"/>
    <w:pPr>
      <w:spacing w:after="200"/>
      <w:ind w:firstLine="360"/>
    </w:pPr>
  </w:style>
  <w:style w:type="character" w:customStyle="1" w:styleId="aff3">
    <w:name w:val="Красная строка Знак"/>
    <w:basedOn w:val="aa"/>
    <w:link w:val="aff2"/>
    <w:uiPriority w:val="99"/>
    <w:semiHidden/>
    <w:rsid w:val="0003148D"/>
  </w:style>
  <w:style w:type="paragraph" w:styleId="aff4">
    <w:name w:val="Body Text Indent"/>
    <w:basedOn w:val="a1"/>
    <w:link w:val="aff5"/>
    <w:uiPriority w:val="99"/>
    <w:semiHidden/>
    <w:unhideWhenUsed/>
    <w:rsid w:val="0003148D"/>
    <w:pPr>
      <w:spacing w:after="120"/>
      <w:ind w:left="283"/>
    </w:pPr>
  </w:style>
  <w:style w:type="character" w:customStyle="1" w:styleId="aff5">
    <w:name w:val="Основной текст с отступом Знак"/>
    <w:basedOn w:val="a2"/>
    <w:link w:val="aff4"/>
    <w:uiPriority w:val="99"/>
    <w:semiHidden/>
    <w:rsid w:val="0003148D"/>
  </w:style>
  <w:style w:type="paragraph" w:styleId="29">
    <w:name w:val="Body Text First Indent 2"/>
    <w:basedOn w:val="aff4"/>
    <w:link w:val="2a"/>
    <w:uiPriority w:val="99"/>
    <w:semiHidden/>
    <w:unhideWhenUsed/>
    <w:rsid w:val="0003148D"/>
    <w:pPr>
      <w:spacing w:after="200"/>
      <w:ind w:left="360" w:firstLine="360"/>
    </w:pPr>
  </w:style>
  <w:style w:type="character" w:customStyle="1" w:styleId="2a">
    <w:name w:val="Красная строка 2 Знак"/>
    <w:basedOn w:val="aff5"/>
    <w:link w:val="29"/>
    <w:uiPriority w:val="99"/>
    <w:semiHidden/>
    <w:rsid w:val="0003148D"/>
  </w:style>
  <w:style w:type="paragraph" w:styleId="a0">
    <w:name w:val="List Bullet"/>
    <w:basedOn w:val="a1"/>
    <w:uiPriority w:val="99"/>
    <w:semiHidden/>
    <w:unhideWhenUsed/>
    <w:rsid w:val="0003148D"/>
    <w:pPr>
      <w:numPr>
        <w:numId w:val="7"/>
      </w:numPr>
      <w:contextualSpacing/>
    </w:pPr>
  </w:style>
  <w:style w:type="paragraph" w:styleId="20">
    <w:name w:val="List Bullet 2"/>
    <w:basedOn w:val="a1"/>
    <w:uiPriority w:val="99"/>
    <w:semiHidden/>
    <w:unhideWhenUsed/>
    <w:rsid w:val="0003148D"/>
    <w:pPr>
      <w:numPr>
        <w:numId w:val="8"/>
      </w:numPr>
      <w:contextualSpacing/>
    </w:pPr>
  </w:style>
  <w:style w:type="paragraph" w:styleId="30">
    <w:name w:val="List Bullet 3"/>
    <w:basedOn w:val="a1"/>
    <w:uiPriority w:val="99"/>
    <w:semiHidden/>
    <w:unhideWhenUsed/>
    <w:rsid w:val="0003148D"/>
    <w:pPr>
      <w:numPr>
        <w:numId w:val="9"/>
      </w:numPr>
      <w:contextualSpacing/>
    </w:pPr>
  </w:style>
  <w:style w:type="paragraph" w:styleId="40">
    <w:name w:val="List Bullet 4"/>
    <w:basedOn w:val="a1"/>
    <w:uiPriority w:val="99"/>
    <w:semiHidden/>
    <w:unhideWhenUsed/>
    <w:rsid w:val="0003148D"/>
    <w:pPr>
      <w:numPr>
        <w:numId w:val="10"/>
      </w:numPr>
      <w:contextualSpacing/>
    </w:pPr>
  </w:style>
  <w:style w:type="paragraph" w:styleId="50">
    <w:name w:val="List Bullet 5"/>
    <w:basedOn w:val="a1"/>
    <w:uiPriority w:val="99"/>
    <w:semiHidden/>
    <w:unhideWhenUsed/>
    <w:rsid w:val="0003148D"/>
    <w:pPr>
      <w:numPr>
        <w:numId w:val="11"/>
      </w:numPr>
      <w:contextualSpacing/>
    </w:pPr>
  </w:style>
  <w:style w:type="paragraph" w:styleId="2b">
    <w:name w:val="Body Text Indent 2"/>
    <w:basedOn w:val="a1"/>
    <w:link w:val="2c"/>
    <w:uiPriority w:val="99"/>
    <w:semiHidden/>
    <w:unhideWhenUsed/>
    <w:rsid w:val="0003148D"/>
    <w:pPr>
      <w:spacing w:after="120" w:line="480" w:lineRule="auto"/>
      <w:ind w:left="283"/>
    </w:pPr>
  </w:style>
  <w:style w:type="character" w:customStyle="1" w:styleId="2c">
    <w:name w:val="Основной текст с отступом 2 Знак"/>
    <w:basedOn w:val="a2"/>
    <w:link w:val="2b"/>
    <w:uiPriority w:val="99"/>
    <w:semiHidden/>
    <w:rsid w:val="0003148D"/>
  </w:style>
  <w:style w:type="paragraph" w:styleId="38">
    <w:name w:val="Body Text Indent 3"/>
    <w:basedOn w:val="a1"/>
    <w:link w:val="39"/>
    <w:uiPriority w:val="99"/>
    <w:semiHidden/>
    <w:unhideWhenUsed/>
    <w:rsid w:val="0003148D"/>
    <w:pPr>
      <w:spacing w:after="120"/>
      <w:ind w:left="283"/>
    </w:pPr>
    <w:rPr>
      <w:sz w:val="16"/>
      <w:szCs w:val="16"/>
    </w:rPr>
  </w:style>
  <w:style w:type="character" w:customStyle="1" w:styleId="39">
    <w:name w:val="Основной текст с отступом 3 Знак"/>
    <w:basedOn w:val="a2"/>
    <w:link w:val="38"/>
    <w:uiPriority w:val="99"/>
    <w:semiHidden/>
    <w:rsid w:val="0003148D"/>
    <w:rPr>
      <w:sz w:val="16"/>
      <w:szCs w:val="16"/>
    </w:rPr>
  </w:style>
  <w:style w:type="paragraph" w:styleId="aff6">
    <w:name w:val="Normal Indent"/>
    <w:basedOn w:val="a1"/>
    <w:uiPriority w:val="99"/>
    <w:semiHidden/>
    <w:unhideWhenUsed/>
    <w:rsid w:val="0003148D"/>
    <w:pPr>
      <w:ind w:left="720"/>
    </w:pPr>
  </w:style>
  <w:style w:type="paragraph" w:styleId="aff7">
    <w:name w:val="annotation text"/>
    <w:basedOn w:val="a1"/>
    <w:link w:val="aff8"/>
    <w:uiPriority w:val="99"/>
    <w:unhideWhenUsed/>
    <w:rsid w:val="0003148D"/>
    <w:pPr>
      <w:spacing w:line="240" w:lineRule="auto"/>
    </w:pPr>
  </w:style>
  <w:style w:type="character" w:customStyle="1" w:styleId="aff8">
    <w:name w:val="Текст примечания Знак"/>
    <w:basedOn w:val="a2"/>
    <w:link w:val="aff7"/>
    <w:uiPriority w:val="99"/>
    <w:rsid w:val="0003148D"/>
    <w:rPr>
      <w:sz w:val="20"/>
      <w:szCs w:val="20"/>
    </w:rPr>
  </w:style>
  <w:style w:type="paragraph" w:styleId="aff9">
    <w:name w:val="annotation subject"/>
    <w:basedOn w:val="aff7"/>
    <w:next w:val="aff7"/>
    <w:link w:val="affa"/>
    <w:uiPriority w:val="99"/>
    <w:semiHidden/>
    <w:unhideWhenUsed/>
    <w:rsid w:val="0003148D"/>
    <w:rPr>
      <w:b/>
      <w:bCs/>
    </w:rPr>
  </w:style>
  <w:style w:type="character" w:customStyle="1" w:styleId="affa">
    <w:name w:val="Тема примечания Знак"/>
    <w:basedOn w:val="aff8"/>
    <w:link w:val="aff9"/>
    <w:uiPriority w:val="99"/>
    <w:semiHidden/>
    <w:rsid w:val="0003148D"/>
    <w:rPr>
      <w:b/>
      <w:bCs/>
      <w:sz w:val="20"/>
      <w:szCs w:val="20"/>
    </w:rPr>
  </w:style>
  <w:style w:type="paragraph" w:styleId="13">
    <w:name w:val="toc 1"/>
    <w:basedOn w:val="a1"/>
    <w:next w:val="a1"/>
    <w:autoRedefine/>
    <w:uiPriority w:val="39"/>
    <w:semiHidden/>
    <w:unhideWhenUsed/>
    <w:rsid w:val="0003148D"/>
    <w:pPr>
      <w:spacing w:after="100"/>
    </w:pPr>
  </w:style>
  <w:style w:type="paragraph" w:styleId="2d">
    <w:name w:val="toc 2"/>
    <w:basedOn w:val="a1"/>
    <w:next w:val="a1"/>
    <w:autoRedefine/>
    <w:uiPriority w:val="39"/>
    <w:semiHidden/>
    <w:unhideWhenUsed/>
    <w:rsid w:val="0003148D"/>
    <w:pPr>
      <w:spacing w:after="100"/>
      <w:ind w:left="220"/>
    </w:pPr>
  </w:style>
  <w:style w:type="paragraph" w:styleId="3a">
    <w:name w:val="toc 3"/>
    <w:basedOn w:val="a1"/>
    <w:next w:val="a1"/>
    <w:autoRedefine/>
    <w:uiPriority w:val="39"/>
    <w:semiHidden/>
    <w:unhideWhenUsed/>
    <w:rsid w:val="0003148D"/>
    <w:pPr>
      <w:spacing w:after="100"/>
      <w:ind w:left="440"/>
    </w:pPr>
  </w:style>
  <w:style w:type="paragraph" w:styleId="46">
    <w:name w:val="toc 4"/>
    <w:basedOn w:val="a1"/>
    <w:next w:val="a1"/>
    <w:autoRedefine/>
    <w:uiPriority w:val="39"/>
    <w:semiHidden/>
    <w:unhideWhenUsed/>
    <w:rsid w:val="0003148D"/>
    <w:pPr>
      <w:spacing w:after="100"/>
      <w:ind w:left="660"/>
    </w:pPr>
  </w:style>
  <w:style w:type="paragraph" w:styleId="56">
    <w:name w:val="toc 5"/>
    <w:basedOn w:val="a1"/>
    <w:next w:val="a1"/>
    <w:autoRedefine/>
    <w:uiPriority w:val="39"/>
    <w:semiHidden/>
    <w:unhideWhenUsed/>
    <w:rsid w:val="0003148D"/>
    <w:pPr>
      <w:spacing w:after="100"/>
      <w:ind w:left="880"/>
    </w:pPr>
  </w:style>
  <w:style w:type="paragraph" w:styleId="62">
    <w:name w:val="toc 6"/>
    <w:basedOn w:val="a1"/>
    <w:next w:val="a1"/>
    <w:autoRedefine/>
    <w:uiPriority w:val="39"/>
    <w:semiHidden/>
    <w:unhideWhenUsed/>
    <w:rsid w:val="0003148D"/>
    <w:pPr>
      <w:spacing w:after="100"/>
      <w:ind w:left="1100"/>
    </w:pPr>
  </w:style>
  <w:style w:type="paragraph" w:styleId="72">
    <w:name w:val="toc 7"/>
    <w:basedOn w:val="a1"/>
    <w:next w:val="a1"/>
    <w:autoRedefine/>
    <w:uiPriority w:val="39"/>
    <w:semiHidden/>
    <w:unhideWhenUsed/>
    <w:rsid w:val="0003148D"/>
    <w:pPr>
      <w:spacing w:after="100"/>
      <w:ind w:left="1320"/>
    </w:pPr>
  </w:style>
  <w:style w:type="paragraph" w:styleId="82">
    <w:name w:val="toc 8"/>
    <w:basedOn w:val="a1"/>
    <w:next w:val="a1"/>
    <w:autoRedefine/>
    <w:uiPriority w:val="39"/>
    <w:semiHidden/>
    <w:unhideWhenUsed/>
    <w:rsid w:val="0003148D"/>
    <w:pPr>
      <w:spacing w:after="100"/>
      <w:ind w:left="1540"/>
    </w:pPr>
  </w:style>
  <w:style w:type="paragraph" w:styleId="92">
    <w:name w:val="toc 9"/>
    <w:basedOn w:val="a1"/>
    <w:next w:val="a1"/>
    <w:autoRedefine/>
    <w:uiPriority w:val="39"/>
    <w:semiHidden/>
    <w:unhideWhenUsed/>
    <w:rsid w:val="0003148D"/>
    <w:pPr>
      <w:spacing w:after="100"/>
      <w:ind w:left="1760"/>
    </w:pPr>
  </w:style>
  <w:style w:type="paragraph" w:styleId="affb">
    <w:name w:val="Block Text"/>
    <w:basedOn w:val="a1"/>
    <w:uiPriority w:val="99"/>
    <w:semiHidden/>
    <w:unhideWhenUsed/>
    <w:rsid w:val="0003148D"/>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eastAsiaTheme="minorEastAsia"/>
      <w:i/>
      <w:iCs/>
      <w:color w:val="4F81BD" w:themeColor="accent1"/>
    </w:rPr>
  </w:style>
  <w:style w:type="paragraph" w:styleId="affc">
    <w:name w:val="macro"/>
    <w:link w:val="affd"/>
    <w:uiPriority w:val="99"/>
    <w:semiHidden/>
    <w:unhideWhenUsed/>
    <w:rsid w:val="0003148D"/>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sz w:val="20"/>
      <w:szCs w:val="20"/>
    </w:rPr>
  </w:style>
  <w:style w:type="character" w:customStyle="1" w:styleId="affd">
    <w:name w:val="Текст макроса Знак"/>
    <w:basedOn w:val="a2"/>
    <w:link w:val="affc"/>
    <w:uiPriority w:val="99"/>
    <w:semiHidden/>
    <w:rsid w:val="0003148D"/>
    <w:rPr>
      <w:rFonts w:ascii="Consolas" w:hAnsi="Consolas" w:cs="Consolas"/>
      <w:sz w:val="20"/>
      <w:szCs w:val="20"/>
    </w:rPr>
  </w:style>
  <w:style w:type="paragraph" w:styleId="affe">
    <w:name w:val="Plain Text"/>
    <w:basedOn w:val="a1"/>
    <w:link w:val="afff"/>
    <w:uiPriority w:val="99"/>
    <w:semiHidden/>
    <w:unhideWhenUsed/>
    <w:rsid w:val="0003148D"/>
    <w:pPr>
      <w:spacing w:line="240" w:lineRule="auto"/>
    </w:pPr>
    <w:rPr>
      <w:rFonts w:ascii="Consolas" w:hAnsi="Consolas" w:cs="Consolas"/>
      <w:sz w:val="21"/>
      <w:szCs w:val="21"/>
    </w:rPr>
  </w:style>
  <w:style w:type="character" w:customStyle="1" w:styleId="afff">
    <w:name w:val="Текст Знак"/>
    <w:basedOn w:val="a2"/>
    <w:link w:val="affe"/>
    <w:uiPriority w:val="99"/>
    <w:semiHidden/>
    <w:rsid w:val="0003148D"/>
    <w:rPr>
      <w:rFonts w:ascii="Consolas" w:hAnsi="Consolas" w:cs="Consolas"/>
      <w:sz w:val="21"/>
      <w:szCs w:val="21"/>
    </w:rPr>
  </w:style>
  <w:style w:type="paragraph" w:styleId="afff0">
    <w:name w:val="footnote text"/>
    <w:basedOn w:val="a1"/>
    <w:link w:val="afff1"/>
    <w:uiPriority w:val="99"/>
    <w:semiHidden/>
    <w:unhideWhenUsed/>
    <w:rsid w:val="0003148D"/>
    <w:pPr>
      <w:spacing w:line="240" w:lineRule="auto"/>
    </w:pPr>
  </w:style>
  <w:style w:type="character" w:customStyle="1" w:styleId="afff1">
    <w:name w:val="Текст сноски Знак"/>
    <w:basedOn w:val="a2"/>
    <w:link w:val="afff0"/>
    <w:uiPriority w:val="99"/>
    <w:semiHidden/>
    <w:rsid w:val="0003148D"/>
    <w:rPr>
      <w:sz w:val="20"/>
      <w:szCs w:val="20"/>
    </w:rPr>
  </w:style>
  <w:style w:type="paragraph" w:styleId="afff2">
    <w:name w:val="endnote text"/>
    <w:basedOn w:val="a1"/>
    <w:link w:val="afff3"/>
    <w:uiPriority w:val="99"/>
    <w:semiHidden/>
    <w:unhideWhenUsed/>
    <w:rsid w:val="0003148D"/>
    <w:pPr>
      <w:spacing w:line="240" w:lineRule="auto"/>
    </w:pPr>
  </w:style>
  <w:style w:type="character" w:customStyle="1" w:styleId="afff3">
    <w:name w:val="Текст концевой сноски Знак"/>
    <w:basedOn w:val="a2"/>
    <w:link w:val="afff2"/>
    <w:uiPriority w:val="99"/>
    <w:semiHidden/>
    <w:rsid w:val="0003148D"/>
    <w:rPr>
      <w:sz w:val="20"/>
      <w:szCs w:val="20"/>
    </w:rPr>
  </w:style>
  <w:style w:type="character" w:customStyle="1" w:styleId="11">
    <w:name w:val="Заголовок 1 Знак"/>
    <w:basedOn w:val="a2"/>
    <w:link w:val="10"/>
    <w:uiPriority w:val="9"/>
    <w:rsid w:val="004F5E36"/>
    <w:rPr>
      <w:rFonts w:ascii="Arial" w:eastAsia="Times New Roman" w:hAnsi="Arial" w:cs="Times New Roman"/>
      <w:b/>
      <w:sz w:val="20"/>
      <w:szCs w:val="20"/>
      <w:lang w:val="en-GB"/>
    </w:rPr>
  </w:style>
  <w:style w:type="character" w:customStyle="1" w:styleId="22">
    <w:name w:val="Заголовок 2 Знак"/>
    <w:basedOn w:val="a2"/>
    <w:link w:val="21"/>
    <w:uiPriority w:val="9"/>
    <w:semiHidden/>
    <w:rsid w:val="0003148D"/>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semiHidden/>
    <w:rsid w:val="0003148D"/>
    <w:rPr>
      <w:rFonts w:asciiTheme="majorHAnsi" w:eastAsiaTheme="majorEastAsia" w:hAnsiTheme="majorHAnsi" w:cstheme="majorBidi"/>
      <w:b/>
      <w:bCs/>
      <w:color w:val="4F81BD" w:themeColor="accent1"/>
    </w:rPr>
  </w:style>
  <w:style w:type="character" w:customStyle="1" w:styleId="42">
    <w:name w:val="Заголовок 4 Знак"/>
    <w:basedOn w:val="a2"/>
    <w:link w:val="41"/>
    <w:uiPriority w:val="9"/>
    <w:semiHidden/>
    <w:rsid w:val="0003148D"/>
    <w:rPr>
      <w:rFonts w:asciiTheme="majorHAnsi" w:eastAsiaTheme="majorEastAsia" w:hAnsiTheme="majorHAnsi" w:cstheme="majorBidi"/>
      <w:b/>
      <w:bCs/>
      <w:i/>
      <w:iCs/>
      <w:color w:val="4F81BD" w:themeColor="accent1"/>
    </w:rPr>
  </w:style>
  <w:style w:type="character" w:customStyle="1" w:styleId="52">
    <w:name w:val="Заголовок 5 Знак"/>
    <w:basedOn w:val="a2"/>
    <w:link w:val="51"/>
    <w:uiPriority w:val="9"/>
    <w:semiHidden/>
    <w:rsid w:val="0003148D"/>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03148D"/>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03148D"/>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03148D"/>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2"/>
    <w:link w:val="9"/>
    <w:uiPriority w:val="9"/>
    <w:semiHidden/>
    <w:rsid w:val="0003148D"/>
    <w:rPr>
      <w:rFonts w:asciiTheme="majorHAnsi" w:eastAsiaTheme="majorEastAsia" w:hAnsiTheme="majorHAnsi" w:cstheme="majorBidi"/>
      <w:i/>
      <w:iCs/>
      <w:color w:val="404040" w:themeColor="text1" w:themeTint="BF"/>
      <w:sz w:val="20"/>
      <w:szCs w:val="20"/>
    </w:rPr>
  </w:style>
  <w:style w:type="paragraph" w:styleId="afff4">
    <w:name w:val="index heading"/>
    <w:basedOn w:val="a1"/>
    <w:next w:val="12"/>
    <w:uiPriority w:val="99"/>
    <w:semiHidden/>
    <w:unhideWhenUsed/>
    <w:rsid w:val="0003148D"/>
    <w:rPr>
      <w:rFonts w:asciiTheme="majorHAnsi" w:eastAsiaTheme="majorEastAsia" w:hAnsiTheme="majorHAnsi" w:cstheme="majorBidi"/>
      <w:b/>
      <w:bCs/>
    </w:rPr>
  </w:style>
  <w:style w:type="paragraph" w:styleId="afff5">
    <w:name w:val="toa heading"/>
    <w:basedOn w:val="a1"/>
    <w:next w:val="a1"/>
    <w:uiPriority w:val="99"/>
    <w:semiHidden/>
    <w:unhideWhenUsed/>
    <w:rsid w:val="0003148D"/>
    <w:pPr>
      <w:spacing w:before="120"/>
    </w:pPr>
    <w:rPr>
      <w:rFonts w:asciiTheme="majorHAnsi" w:eastAsiaTheme="majorEastAsia" w:hAnsiTheme="majorHAnsi" w:cstheme="majorBidi"/>
      <w:b/>
      <w:bCs/>
      <w:sz w:val="24"/>
      <w:szCs w:val="24"/>
    </w:rPr>
  </w:style>
  <w:style w:type="paragraph" w:styleId="afff6">
    <w:name w:val="TOC Heading"/>
    <w:basedOn w:val="10"/>
    <w:next w:val="a1"/>
    <w:uiPriority w:val="39"/>
    <w:semiHidden/>
    <w:unhideWhenUsed/>
    <w:qFormat/>
    <w:rsid w:val="0003148D"/>
    <w:pPr>
      <w:outlineLvl w:val="9"/>
    </w:pPr>
  </w:style>
  <w:style w:type="paragraph" w:customStyle="1" w:styleId="CETemail">
    <w:name w:val="CET email"/>
    <w:next w:val="CETBodytext"/>
    <w:rsid w:val="009E788A"/>
    <w:pPr>
      <w:spacing w:after="240"/>
    </w:pPr>
    <w:rPr>
      <w:rFonts w:ascii="Arial" w:eastAsia="Times New Roman" w:hAnsi="Arial" w:cs="Times New Roman"/>
      <w:noProof/>
      <w:sz w:val="16"/>
      <w:szCs w:val="20"/>
      <w:lang w:val="en-GB"/>
    </w:rPr>
  </w:style>
  <w:style w:type="character" w:customStyle="1" w:styleId="CETAddressCarattere">
    <w:name w:val="CET Address Carattere"/>
    <w:basedOn w:val="a2"/>
    <w:link w:val="CETAddress"/>
    <w:rsid w:val="009E788A"/>
    <w:rPr>
      <w:rFonts w:ascii="Arial" w:eastAsia="Times New Roman" w:hAnsi="Arial" w:cs="Times New Roman"/>
      <w:noProof/>
      <w:sz w:val="16"/>
      <w:szCs w:val="20"/>
      <w:lang w:val="en-GB"/>
    </w:rPr>
  </w:style>
  <w:style w:type="paragraph" w:customStyle="1" w:styleId="CETBodytextBold">
    <w:name w:val="CET Body text (Bold)"/>
    <w:basedOn w:val="CETBodytext"/>
    <w:rsid w:val="00901EB6"/>
    <w:rPr>
      <w:b/>
    </w:rPr>
  </w:style>
  <w:style w:type="paragraph" w:customStyle="1" w:styleId="CETnumberingbullets">
    <w:name w:val="CET numbering (bullets)"/>
    <w:rsid w:val="008D433B"/>
    <w:pPr>
      <w:numPr>
        <w:numId w:val="13"/>
      </w:numPr>
      <w:spacing w:after="0" w:line="264" w:lineRule="auto"/>
    </w:pPr>
    <w:rPr>
      <w:rFonts w:ascii="Arial" w:eastAsia="Times New Roman" w:hAnsi="Arial" w:cs="Times New Roman"/>
      <w:sz w:val="18"/>
      <w:szCs w:val="20"/>
      <w:lang w:val="en-GB"/>
    </w:rPr>
  </w:style>
  <w:style w:type="paragraph" w:customStyle="1" w:styleId="CETnumbering1">
    <w:name w:val="CET numbering (1"/>
    <w:aliases w:val="2..)"/>
    <w:rsid w:val="00B57B36"/>
    <w:pPr>
      <w:numPr>
        <w:numId w:val="14"/>
      </w:numPr>
      <w:spacing w:after="0" w:line="264" w:lineRule="auto"/>
      <w:ind w:left="340" w:hanging="227"/>
    </w:pPr>
    <w:rPr>
      <w:rFonts w:ascii="Arial" w:eastAsia="Times New Roman" w:hAnsi="Arial" w:cs="Times New Roman"/>
      <w:sz w:val="18"/>
      <w:szCs w:val="20"/>
      <w:lang w:val="en-US"/>
    </w:rPr>
  </w:style>
  <w:style w:type="paragraph" w:customStyle="1" w:styleId="CETnumberinga">
    <w:name w:val="CET numbering (a"/>
    <w:aliases w:val="b,..)"/>
    <w:rsid w:val="00B57B36"/>
    <w:pPr>
      <w:numPr>
        <w:numId w:val="15"/>
      </w:numPr>
      <w:spacing w:after="0" w:line="264" w:lineRule="auto"/>
    </w:pPr>
    <w:rPr>
      <w:rFonts w:ascii="Arial" w:eastAsia="Times New Roman" w:hAnsi="Arial" w:cs="Times New Roman"/>
      <w:sz w:val="18"/>
      <w:szCs w:val="20"/>
      <w:lang w:val="en-GB"/>
    </w:rPr>
  </w:style>
  <w:style w:type="paragraph" w:styleId="afff7">
    <w:name w:val="header"/>
    <w:basedOn w:val="a1"/>
    <w:link w:val="afff8"/>
    <w:uiPriority w:val="99"/>
    <w:unhideWhenUsed/>
    <w:rsid w:val="005278B7"/>
    <w:pPr>
      <w:tabs>
        <w:tab w:val="clear" w:pos="7100"/>
        <w:tab w:val="center" w:pos="4819"/>
        <w:tab w:val="right" w:pos="9638"/>
      </w:tabs>
      <w:spacing w:line="240" w:lineRule="auto"/>
    </w:pPr>
  </w:style>
  <w:style w:type="character" w:customStyle="1" w:styleId="afff8">
    <w:name w:val="Верхний колонтитул Знак"/>
    <w:basedOn w:val="a2"/>
    <w:link w:val="afff7"/>
    <w:uiPriority w:val="99"/>
    <w:rsid w:val="005278B7"/>
    <w:rPr>
      <w:rFonts w:ascii="Arial" w:eastAsia="Times New Roman" w:hAnsi="Arial" w:cs="Times New Roman"/>
      <w:sz w:val="18"/>
      <w:szCs w:val="20"/>
      <w:lang w:val="en-GB"/>
    </w:rPr>
  </w:style>
  <w:style w:type="paragraph" w:styleId="afff9">
    <w:name w:val="footer"/>
    <w:basedOn w:val="a1"/>
    <w:link w:val="afffa"/>
    <w:uiPriority w:val="99"/>
    <w:unhideWhenUsed/>
    <w:rsid w:val="005278B7"/>
    <w:pPr>
      <w:tabs>
        <w:tab w:val="clear" w:pos="7100"/>
        <w:tab w:val="center" w:pos="4819"/>
        <w:tab w:val="right" w:pos="9638"/>
      </w:tabs>
      <w:spacing w:line="240" w:lineRule="auto"/>
    </w:pPr>
  </w:style>
  <w:style w:type="character" w:customStyle="1" w:styleId="afffa">
    <w:name w:val="Нижний колонтитул Знак"/>
    <w:basedOn w:val="a2"/>
    <w:link w:val="afff9"/>
    <w:uiPriority w:val="99"/>
    <w:rsid w:val="005278B7"/>
    <w:rPr>
      <w:rFonts w:ascii="Arial" w:eastAsia="Times New Roman" w:hAnsi="Arial" w:cs="Times New Roman"/>
      <w:sz w:val="18"/>
      <w:szCs w:val="20"/>
      <w:lang w:val="en-GB"/>
    </w:rPr>
  </w:style>
  <w:style w:type="table" w:styleId="afffb">
    <w:name w:val="Table Grid"/>
    <w:basedOn w:val="a3"/>
    <w:uiPriority w:val="39"/>
    <w:rsid w:val="00660E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c">
    <w:name w:val="Hyperlink"/>
    <w:basedOn w:val="a2"/>
    <w:uiPriority w:val="99"/>
    <w:unhideWhenUsed/>
    <w:rsid w:val="00904C62"/>
    <w:rPr>
      <w:color w:val="0000FF" w:themeColor="hyperlink"/>
      <w:u w:val="single"/>
    </w:rPr>
  </w:style>
  <w:style w:type="character" w:customStyle="1" w:styleId="eudoraheader">
    <w:name w:val="eudoraheader"/>
    <w:basedOn w:val="a2"/>
    <w:rsid w:val="00904C62"/>
  </w:style>
  <w:style w:type="paragraph" w:customStyle="1" w:styleId="CETListbullets">
    <w:name w:val="CET List bullets"/>
    <w:qFormat/>
    <w:rsid w:val="004577FE"/>
    <w:pPr>
      <w:spacing w:after="0" w:line="264" w:lineRule="auto"/>
      <w:ind w:left="340" w:hanging="227"/>
      <w:jc w:val="both"/>
    </w:pPr>
    <w:rPr>
      <w:rFonts w:ascii="Arial" w:eastAsia="Times New Roman" w:hAnsi="Arial" w:cs="Times New Roman"/>
      <w:sz w:val="18"/>
      <w:szCs w:val="20"/>
      <w:lang w:val="en-GB"/>
    </w:rPr>
  </w:style>
  <w:style w:type="paragraph" w:customStyle="1" w:styleId="CETReferencetext">
    <w:name w:val="CET Reference text"/>
    <w:qFormat/>
    <w:rsid w:val="00600535"/>
    <w:pPr>
      <w:spacing w:after="0" w:line="264" w:lineRule="auto"/>
      <w:ind w:left="284" w:hanging="284"/>
      <w:jc w:val="both"/>
    </w:pPr>
    <w:rPr>
      <w:rFonts w:ascii="Arial" w:eastAsia="Times New Roman" w:hAnsi="Arial" w:cs="Times New Roman"/>
      <w:sz w:val="18"/>
      <w:szCs w:val="20"/>
      <w:lang w:val="en-GB"/>
    </w:rPr>
  </w:style>
  <w:style w:type="paragraph" w:customStyle="1" w:styleId="CETTabletitle">
    <w:name w:val="CET Table title"/>
    <w:qFormat/>
    <w:rsid w:val="00600535"/>
    <w:pPr>
      <w:keepNext/>
      <w:spacing w:before="240" w:after="80" w:line="240" w:lineRule="exact"/>
    </w:pPr>
    <w:rPr>
      <w:rFonts w:ascii="Arial" w:eastAsia="Times New Roman" w:hAnsi="Arial" w:cs="Times New Roman"/>
      <w:i/>
      <w:sz w:val="18"/>
      <w:szCs w:val="20"/>
      <w:lang w:val="en-GB"/>
    </w:rPr>
  </w:style>
  <w:style w:type="paragraph" w:customStyle="1" w:styleId="CETAcknowledgementstitle">
    <w:name w:val="CET Acknowledgements title"/>
    <w:next w:val="CETBodytext"/>
    <w:qFormat/>
    <w:rsid w:val="00600535"/>
    <w:pPr>
      <w:spacing w:before="200" w:after="120"/>
    </w:pPr>
    <w:rPr>
      <w:rFonts w:ascii="Arial" w:eastAsia="Times New Roman" w:hAnsi="Arial" w:cs="Times New Roman"/>
      <w:b/>
      <w:sz w:val="18"/>
      <w:szCs w:val="20"/>
      <w:lang w:val="en-GB"/>
    </w:rPr>
  </w:style>
  <w:style w:type="paragraph" w:customStyle="1" w:styleId="CETEquation">
    <w:name w:val="CET Equation"/>
    <w:basedOn w:val="CETBodytext"/>
    <w:next w:val="CETBodytext"/>
    <w:qFormat/>
    <w:rsid w:val="00600535"/>
    <w:pPr>
      <w:spacing w:before="120" w:after="120"/>
      <w:jc w:val="left"/>
    </w:pPr>
    <w:rPr>
      <w:lang w:val="en-GB"/>
    </w:rPr>
  </w:style>
  <w:style w:type="paragraph" w:customStyle="1" w:styleId="CETHeadingxx">
    <w:name w:val="CET Headingxx"/>
    <w:basedOn w:val="CETheadingx"/>
    <w:link w:val="CETHeadingxxChar"/>
    <w:qFormat/>
    <w:rsid w:val="000F787B"/>
  </w:style>
  <w:style w:type="character" w:customStyle="1" w:styleId="CETHeadingxxChar">
    <w:name w:val="CET Headingxx Char"/>
    <w:basedOn w:val="CETheadingxCarattere"/>
    <w:link w:val="CETHeadingxx"/>
    <w:rsid w:val="000F787B"/>
    <w:rPr>
      <w:rFonts w:ascii="Arial" w:eastAsia="Times New Roman" w:hAnsi="Arial" w:cs="Times New Roman"/>
      <w:b/>
      <w:sz w:val="18"/>
      <w:szCs w:val="20"/>
      <w:lang w:val="en-US"/>
    </w:rPr>
  </w:style>
  <w:style w:type="paragraph" w:styleId="afffd">
    <w:name w:val="List Paragraph"/>
    <w:basedOn w:val="a1"/>
    <w:uiPriority w:val="34"/>
    <w:rsid w:val="00280FAF"/>
    <w:pPr>
      <w:ind w:left="720"/>
      <w:contextualSpacing/>
    </w:pPr>
  </w:style>
  <w:style w:type="character" w:customStyle="1" w:styleId="gmail-apple-converted-space">
    <w:name w:val="gmail-apple-converted-space"/>
    <w:basedOn w:val="a2"/>
    <w:rsid w:val="00005A19"/>
  </w:style>
  <w:style w:type="character" w:styleId="afffe">
    <w:name w:val="Unresolved Mention"/>
    <w:basedOn w:val="a2"/>
    <w:uiPriority w:val="99"/>
    <w:semiHidden/>
    <w:unhideWhenUsed/>
    <w:rsid w:val="004E51ED"/>
    <w:rPr>
      <w:color w:val="605E5C"/>
      <w:shd w:val="clear" w:color="auto" w:fill="E1DFDD"/>
    </w:rPr>
  </w:style>
  <w:style w:type="table" w:customStyle="1" w:styleId="-161">
    <w:name w:val="Таблица-сетка 1 светлая — акцент 61"/>
    <w:basedOn w:val="a3"/>
    <w:next w:val="-16"/>
    <w:uiPriority w:val="46"/>
    <w:rsid w:val="00DE43DC"/>
    <w:pPr>
      <w:spacing w:after="0" w:line="240" w:lineRule="auto"/>
    </w:pPr>
    <w:rPr>
      <w:kern w:val="2"/>
      <w:sz w:val="24"/>
      <w:szCs w:val="24"/>
      <w:lang w:val="ru-RU"/>
      <w14:ligatures w14:val="standardContextual"/>
    </w:rPr>
    <w:tblPr>
      <w:tblStyleRowBandSize w:val="1"/>
      <w:tblStyleColBandSize w:val="1"/>
      <w:tblBorders>
        <w:top w:val="single" w:sz="4" w:space="0" w:color="B3E5A1"/>
        <w:left w:val="single" w:sz="4" w:space="0" w:color="B3E5A1"/>
        <w:bottom w:val="single" w:sz="4" w:space="0" w:color="B3E5A1"/>
        <w:right w:val="single" w:sz="4" w:space="0" w:color="B3E5A1"/>
        <w:insideH w:val="single" w:sz="4" w:space="0" w:color="B3E5A1"/>
        <w:insideV w:val="single" w:sz="4" w:space="0" w:color="B3E5A1"/>
      </w:tblBorders>
    </w:tblPr>
    <w:tblStylePr w:type="firstRow">
      <w:rPr>
        <w:b/>
        <w:bCs/>
      </w:rPr>
      <w:tblPr/>
      <w:tcPr>
        <w:tcBorders>
          <w:bottom w:val="single" w:sz="12" w:space="0" w:color="8DD873"/>
        </w:tcBorders>
      </w:tcPr>
    </w:tblStylePr>
    <w:tblStylePr w:type="lastRow">
      <w:rPr>
        <w:b/>
        <w:bCs/>
      </w:rPr>
      <w:tblPr/>
      <w:tcPr>
        <w:tcBorders>
          <w:top w:val="double" w:sz="2" w:space="0" w:color="8DD873"/>
        </w:tcBorders>
      </w:tcPr>
    </w:tblStylePr>
    <w:tblStylePr w:type="firstCol">
      <w:rPr>
        <w:b/>
        <w:bCs/>
      </w:rPr>
    </w:tblStylePr>
    <w:tblStylePr w:type="lastCol">
      <w:rPr>
        <w:b/>
        <w:bCs/>
      </w:rPr>
    </w:tblStylePr>
  </w:style>
  <w:style w:type="table" w:styleId="-16">
    <w:name w:val="Grid Table 1 Light Accent 6"/>
    <w:basedOn w:val="a3"/>
    <w:uiPriority w:val="46"/>
    <w:rsid w:val="00DE43DC"/>
    <w:pPr>
      <w:spacing w:after="0" w:line="240" w:lineRule="auto"/>
    </w:pPr>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customStyle="1" w:styleId="-162">
    <w:name w:val="Таблица-сетка 1 светлая — акцент 62"/>
    <w:basedOn w:val="a3"/>
    <w:next w:val="-16"/>
    <w:uiPriority w:val="46"/>
    <w:rsid w:val="00A618CE"/>
    <w:pPr>
      <w:spacing w:after="0" w:line="240" w:lineRule="auto"/>
    </w:pPr>
    <w:rPr>
      <w:kern w:val="2"/>
      <w:sz w:val="24"/>
      <w:szCs w:val="24"/>
      <w:lang w:val="ru-RU"/>
      <w14:ligatures w14:val="standardContextual"/>
    </w:rPr>
    <w:tblPr>
      <w:tblStyleRowBandSize w:val="1"/>
      <w:tblStyleColBandSize w:val="1"/>
      <w:tblBorders>
        <w:top w:val="single" w:sz="4" w:space="0" w:color="B3E5A1"/>
        <w:left w:val="single" w:sz="4" w:space="0" w:color="B3E5A1"/>
        <w:bottom w:val="single" w:sz="4" w:space="0" w:color="B3E5A1"/>
        <w:right w:val="single" w:sz="4" w:space="0" w:color="B3E5A1"/>
        <w:insideH w:val="single" w:sz="4" w:space="0" w:color="B3E5A1"/>
        <w:insideV w:val="single" w:sz="4" w:space="0" w:color="B3E5A1"/>
      </w:tblBorders>
    </w:tblPr>
    <w:tblStylePr w:type="firstRow">
      <w:rPr>
        <w:b/>
        <w:bCs/>
      </w:rPr>
      <w:tblPr/>
      <w:tcPr>
        <w:tcBorders>
          <w:bottom w:val="single" w:sz="12" w:space="0" w:color="8DD873"/>
        </w:tcBorders>
      </w:tcPr>
    </w:tblStylePr>
    <w:tblStylePr w:type="lastRow">
      <w:rPr>
        <w:b/>
        <w:bCs/>
      </w:rPr>
      <w:tblPr/>
      <w:tcPr>
        <w:tcBorders>
          <w:top w:val="double" w:sz="2" w:space="0" w:color="8DD873"/>
        </w:tcBorders>
      </w:tcPr>
    </w:tblStylePr>
    <w:tblStylePr w:type="firstCol">
      <w:rPr>
        <w:b/>
        <w:bCs/>
      </w:rPr>
    </w:tblStylePr>
    <w:tblStylePr w:type="lastCol">
      <w:rPr>
        <w:b/>
        <w:bCs/>
      </w:rPr>
    </w:tblStylePr>
  </w:style>
  <w:style w:type="table" w:customStyle="1" w:styleId="-163">
    <w:name w:val="Таблица-сетка 1 светлая — акцент 63"/>
    <w:basedOn w:val="a3"/>
    <w:next w:val="-16"/>
    <w:uiPriority w:val="46"/>
    <w:rsid w:val="002D4712"/>
    <w:pPr>
      <w:spacing w:after="0" w:line="240" w:lineRule="auto"/>
    </w:pPr>
    <w:rPr>
      <w:kern w:val="2"/>
      <w:sz w:val="24"/>
      <w:szCs w:val="24"/>
      <w:lang w:val="ru-RU"/>
      <w14:ligatures w14:val="standardContextual"/>
    </w:rPr>
    <w:tblPr>
      <w:tblStyleRowBandSize w:val="1"/>
      <w:tblStyleColBandSize w:val="1"/>
      <w:tblBorders>
        <w:top w:val="single" w:sz="4" w:space="0" w:color="B3E5A1"/>
        <w:left w:val="single" w:sz="4" w:space="0" w:color="B3E5A1"/>
        <w:bottom w:val="single" w:sz="4" w:space="0" w:color="B3E5A1"/>
        <w:right w:val="single" w:sz="4" w:space="0" w:color="B3E5A1"/>
        <w:insideH w:val="single" w:sz="4" w:space="0" w:color="B3E5A1"/>
        <w:insideV w:val="single" w:sz="4" w:space="0" w:color="B3E5A1"/>
      </w:tblBorders>
    </w:tblPr>
    <w:tblStylePr w:type="firstRow">
      <w:rPr>
        <w:b/>
        <w:bCs/>
      </w:rPr>
      <w:tblPr/>
      <w:tcPr>
        <w:tcBorders>
          <w:bottom w:val="single" w:sz="12" w:space="0" w:color="8DD873"/>
        </w:tcBorders>
      </w:tcPr>
    </w:tblStylePr>
    <w:tblStylePr w:type="lastRow">
      <w:rPr>
        <w:b/>
        <w:bCs/>
      </w:rPr>
      <w:tblPr/>
      <w:tcPr>
        <w:tcBorders>
          <w:top w:val="double" w:sz="2" w:space="0" w:color="8DD873"/>
        </w:tcBorders>
      </w:tcPr>
    </w:tblStylePr>
    <w:tblStylePr w:type="firstCol">
      <w:rPr>
        <w:b/>
        <w:bCs/>
      </w:rPr>
    </w:tblStylePr>
    <w:tblStylePr w:type="lastCol">
      <w:rPr>
        <w:b/>
        <w:bCs/>
      </w:rPr>
    </w:tblStylePr>
  </w:style>
  <w:style w:type="table" w:customStyle="1" w:styleId="-164">
    <w:name w:val="Таблица-сетка 1 светлая — акцент 64"/>
    <w:basedOn w:val="a3"/>
    <w:next w:val="-16"/>
    <w:uiPriority w:val="46"/>
    <w:rsid w:val="00601CE9"/>
    <w:pPr>
      <w:spacing w:after="0" w:line="240" w:lineRule="auto"/>
    </w:pPr>
    <w:rPr>
      <w:kern w:val="2"/>
      <w:sz w:val="24"/>
      <w:szCs w:val="24"/>
      <w:lang w:val="ru-RU"/>
      <w14:ligatures w14:val="standardContextual"/>
    </w:rPr>
    <w:tblPr>
      <w:tblStyleRowBandSize w:val="1"/>
      <w:tblStyleColBandSize w:val="1"/>
      <w:tblBorders>
        <w:top w:val="single" w:sz="4" w:space="0" w:color="B3E5A1"/>
        <w:left w:val="single" w:sz="4" w:space="0" w:color="B3E5A1"/>
        <w:bottom w:val="single" w:sz="4" w:space="0" w:color="B3E5A1"/>
        <w:right w:val="single" w:sz="4" w:space="0" w:color="B3E5A1"/>
        <w:insideH w:val="single" w:sz="4" w:space="0" w:color="B3E5A1"/>
        <w:insideV w:val="single" w:sz="4" w:space="0" w:color="B3E5A1"/>
      </w:tblBorders>
    </w:tblPr>
    <w:tblStylePr w:type="firstRow">
      <w:rPr>
        <w:b/>
        <w:bCs/>
      </w:rPr>
      <w:tblPr/>
      <w:tcPr>
        <w:tcBorders>
          <w:bottom w:val="single" w:sz="12" w:space="0" w:color="8DD873"/>
        </w:tcBorders>
      </w:tcPr>
    </w:tblStylePr>
    <w:tblStylePr w:type="lastRow">
      <w:rPr>
        <w:b/>
        <w:bCs/>
      </w:rPr>
      <w:tblPr/>
      <w:tcPr>
        <w:tcBorders>
          <w:top w:val="double" w:sz="2" w:space="0" w:color="8DD873"/>
        </w:tcBorders>
      </w:tcPr>
    </w:tblStylePr>
    <w:tblStylePr w:type="firstCol">
      <w:rPr>
        <w:b/>
        <w:bCs/>
      </w:rPr>
    </w:tblStylePr>
    <w:tblStylePr w:type="lastCol">
      <w:rPr>
        <w:b/>
        <w:bCs/>
      </w:rPr>
    </w:tblStylePr>
  </w:style>
  <w:style w:type="table" w:customStyle="1" w:styleId="-165">
    <w:name w:val="Таблица-сетка 1 светлая — акцент 65"/>
    <w:basedOn w:val="a3"/>
    <w:next w:val="-16"/>
    <w:uiPriority w:val="46"/>
    <w:rsid w:val="00601CE9"/>
    <w:pPr>
      <w:spacing w:after="0" w:line="240" w:lineRule="auto"/>
    </w:pPr>
    <w:rPr>
      <w:kern w:val="2"/>
      <w:sz w:val="24"/>
      <w:szCs w:val="24"/>
      <w:lang w:val="ru-RU"/>
      <w14:ligatures w14:val="standardContextual"/>
    </w:rPr>
    <w:tblPr>
      <w:tblStyleRowBandSize w:val="1"/>
      <w:tblStyleColBandSize w:val="1"/>
      <w:tblBorders>
        <w:top w:val="single" w:sz="4" w:space="0" w:color="B3E5A1"/>
        <w:left w:val="single" w:sz="4" w:space="0" w:color="B3E5A1"/>
        <w:bottom w:val="single" w:sz="4" w:space="0" w:color="B3E5A1"/>
        <w:right w:val="single" w:sz="4" w:space="0" w:color="B3E5A1"/>
        <w:insideH w:val="single" w:sz="4" w:space="0" w:color="B3E5A1"/>
        <w:insideV w:val="single" w:sz="4" w:space="0" w:color="B3E5A1"/>
      </w:tblBorders>
    </w:tblPr>
    <w:tblStylePr w:type="firstRow">
      <w:rPr>
        <w:b/>
        <w:bCs/>
      </w:rPr>
      <w:tblPr/>
      <w:tcPr>
        <w:tcBorders>
          <w:bottom w:val="single" w:sz="12" w:space="0" w:color="8DD873"/>
        </w:tcBorders>
      </w:tcPr>
    </w:tblStylePr>
    <w:tblStylePr w:type="lastRow">
      <w:rPr>
        <w:b/>
        <w:bCs/>
      </w:rPr>
      <w:tblPr/>
      <w:tcPr>
        <w:tcBorders>
          <w:top w:val="double" w:sz="2" w:space="0" w:color="8DD873"/>
        </w:tcBorders>
      </w:tcPr>
    </w:tblStylePr>
    <w:tblStylePr w:type="firstCol">
      <w:rPr>
        <w:b/>
        <w:bCs/>
      </w:rPr>
    </w:tblStylePr>
    <w:tblStylePr w:type="lastCol">
      <w:rPr>
        <w:b/>
        <w:bCs/>
      </w:rPr>
    </w:tblStylePr>
  </w:style>
  <w:style w:type="table" w:customStyle="1" w:styleId="14">
    <w:name w:val="Сетка таблицы1"/>
    <w:basedOn w:val="a3"/>
    <w:next w:val="afffb"/>
    <w:uiPriority w:val="39"/>
    <w:rsid w:val="001C0331"/>
    <w:pPr>
      <w:spacing w:after="0" w:line="240" w:lineRule="auto"/>
    </w:pPr>
    <w:rPr>
      <w:kern w:val="2"/>
      <w:sz w:val="24"/>
      <w:szCs w:val="24"/>
      <w:lang w:val="ru-RU"/>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
    <w:name w:val="Сетка таблицы5"/>
    <w:basedOn w:val="a3"/>
    <w:next w:val="afffb"/>
    <w:uiPriority w:val="59"/>
    <w:qFormat/>
    <w:rsid w:val="001C0331"/>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7972206">
      <w:bodyDiv w:val="1"/>
      <w:marLeft w:val="0"/>
      <w:marRight w:val="0"/>
      <w:marTop w:val="0"/>
      <w:marBottom w:val="0"/>
      <w:divBdr>
        <w:top w:val="none" w:sz="0" w:space="0" w:color="auto"/>
        <w:left w:val="none" w:sz="0" w:space="0" w:color="auto"/>
        <w:bottom w:val="none" w:sz="0" w:space="0" w:color="auto"/>
        <w:right w:val="none" w:sz="0" w:space="0" w:color="auto"/>
      </w:divBdr>
    </w:div>
    <w:div w:id="733704398">
      <w:bodyDiv w:val="1"/>
      <w:marLeft w:val="0"/>
      <w:marRight w:val="0"/>
      <w:marTop w:val="0"/>
      <w:marBottom w:val="0"/>
      <w:divBdr>
        <w:top w:val="none" w:sz="0" w:space="0" w:color="auto"/>
        <w:left w:val="none" w:sz="0" w:space="0" w:color="auto"/>
        <w:bottom w:val="none" w:sz="0" w:space="0" w:color="auto"/>
        <w:right w:val="none" w:sz="0" w:space="0" w:color="auto"/>
      </w:divBdr>
    </w:div>
    <w:div w:id="780609195">
      <w:bodyDiv w:val="1"/>
      <w:marLeft w:val="0"/>
      <w:marRight w:val="0"/>
      <w:marTop w:val="0"/>
      <w:marBottom w:val="0"/>
      <w:divBdr>
        <w:top w:val="none" w:sz="0" w:space="0" w:color="auto"/>
        <w:left w:val="none" w:sz="0" w:space="0" w:color="auto"/>
        <w:bottom w:val="none" w:sz="0" w:space="0" w:color="auto"/>
        <w:right w:val="none" w:sz="0" w:space="0" w:color="auto"/>
      </w:divBdr>
      <w:divsChild>
        <w:div w:id="1810825834">
          <w:marLeft w:val="0"/>
          <w:marRight w:val="0"/>
          <w:marTop w:val="0"/>
          <w:marBottom w:val="0"/>
          <w:divBdr>
            <w:top w:val="none" w:sz="0" w:space="0" w:color="auto"/>
            <w:left w:val="none" w:sz="0" w:space="0" w:color="auto"/>
            <w:bottom w:val="none" w:sz="0" w:space="0" w:color="auto"/>
            <w:right w:val="none" w:sz="0" w:space="0" w:color="auto"/>
          </w:divBdr>
          <w:divsChild>
            <w:div w:id="578832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3321189">
      <w:bodyDiv w:val="1"/>
      <w:marLeft w:val="0"/>
      <w:marRight w:val="0"/>
      <w:marTop w:val="0"/>
      <w:marBottom w:val="0"/>
      <w:divBdr>
        <w:top w:val="none" w:sz="0" w:space="0" w:color="auto"/>
        <w:left w:val="none" w:sz="0" w:space="0" w:color="auto"/>
        <w:bottom w:val="none" w:sz="0" w:space="0" w:color="auto"/>
        <w:right w:val="none" w:sz="0" w:space="0" w:color="auto"/>
      </w:divBdr>
      <w:divsChild>
        <w:div w:id="19673504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33056226">
      <w:bodyDiv w:val="1"/>
      <w:marLeft w:val="0"/>
      <w:marRight w:val="0"/>
      <w:marTop w:val="0"/>
      <w:marBottom w:val="0"/>
      <w:divBdr>
        <w:top w:val="none" w:sz="0" w:space="0" w:color="auto"/>
        <w:left w:val="none" w:sz="0" w:space="0" w:color="auto"/>
        <w:bottom w:val="none" w:sz="0" w:space="0" w:color="auto"/>
        <w:right w:val="none" w:sz="0" w:space="0" w:color="auto"/>
      </w:divBdr>
      <w:divsChild>
        <w:div w:id="790123951">
          <w:marLeft w:val="0"/>
          <w:marRight w:val="0"/>
          <w:marTop w:val="0"/>
          <w:marBottom w:val="0"/>
          <w:divBdr>
            <w:top w:val="none" w:sz="0" w:space="0" w:color="auto"/>
            <w:left w:val="none" w:sz="0" w:space="0" w:color="auto"/>
            <w:bottom w:val="none" w:sz="0" w:space="0" w:color="auto"/>
            <w:right w:val="none" w:sz="0" w:space="0" w:color="auto"/>
          </w:divBdr>
          <w:divsChild>
            <w:div w:id="1821461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4872127">
      <w:bodyDiv w:val="1"/>
      <w:marLeft w:val="0"/>
      <w:marRight w:val="0"/>
      <w:marTop w:val="0"/>
      <w:marBottom w:val="0"/>
      <w:divBdr>
        <w:top w:val="none" w:sz="0" w:space="0" w:color="auto"/>
        <w:left w:val="none" w:sz="0" w:space="0" w:color="auto"/>
        <w:bottom w:val="none" w:sz="0" w:space="0" w:color="auto"/>
        <w:right w:val="none" w:sz="0" w:space="0" w:color="auto"/>
      </w:divBdr>
    </w:div>
    <w:div w:id="1333681295">
      <w:bodyDiv w:val="1"/>
      <w:marLeft w:val="0"/>
      <w:marRight w:val="0"/>
      <w:marTop w:val="0"/>
      <w:marBottom w:val="0"/>
      <w:divBdr>
        <w:top w:val="none" w:sz="0" w:space="0" w:color="auto"/>
        <w:left w:val="none" w:sz="0" w:space="0" w:color="auto"/>
        <w:bottom w:val="none" w:sz="0" w:space="0" w:color="auto"/>
        <w:right w:val="none" w:sz="0" w:space="0" w:color="auto"/>
      </w:divBdr>
    </w:div>
    <w:div w:id="1429156813">
      <w:bodyDiv w:val="1"/>
      <w:marLeft w:val="0"/>
      <w:marRight w:val="0"/>
      <w:marTop w:val="0"/>
      <w:marBottom w:val="0"/>
      <w:divBdr>
        <w:top w:val="none" w:sz="0" w:space="0" w:color="auto"/>
        <w:left w:val="none" w:sz="0" w:space="0" w:color="auto"/>
        <w:bottom w:val="none" w:sz="0" w:space="0" w:color="auto"/>
        <w:right w:val="none" w:sz="0" w:space="0" w:color="auto"/>
      </w:divBdr>
    </w:div>
    <w:div w:id="1442145989">
      <w:bodyDiv w:val="1"/>
      <w:marLeft w:val="0"/>
      <w:marRight w:val="0"/>
      <w:marTop w:val="0"/>
      <w:marBottom w:val="0"/>
      <w:divBdr>
        <w:top w:val="none" w:sz="0" w:space="0" w:color="auto"/>
        <w:left w:val="none" w:sz="0" w:space="0" w:color="auto"/>
        <w:bottom w:val="none" w:sz="0" w:space="0" w:color="auto"/>
        <w:right w:val="none" w:sz="0" w:space="0" w:color="auto"/>
      </w:divBdr>
    </w:div>
    <w:div w:id="1489904563">
      <w:bodyDiv w:val="1"/>
      <w:marLeft w:val="0"/>
      <w:marRight w:val="0"/>
      <w:marTop w:val="0"/>
      <w:marBottom w:val="0"/>
      <w:divBdr>
        <w:top w:val="none" w:sz="0" w:space="0" w:color="auto"/>
        <w:left w:val="none" w:sz="0" w:space="0" w:color="auto"/>
        <w:bottom w:val="none" w:sz="0" w:space="0" w:color="auto"/>
        <w:right w:val="none" w:sz="0" w:space="0" w:color="auto"/>
      </w:divBdr>
    </w:div>
    <w:div w:id="1682856157">
      <w:bodyDiv w:val="1"/>
      <w:marLeft w:val="0"/>
      <w:marRight w:val="0"/>
      <w:marTop w:val="0"/>
      <w:marBottom w:val="0"/>
      <w:divBdr>
        <w:top w:val="none" w:sz="0" w:space="0" w:color="auto"/>
        <w:left w:val="none" w:sz="0" w:space="0" w:color="auto"/>
        <w:bottom w:val="none" w:sz="0" w:space="0" w:color="auto"/>
        <w:right w:val="none" w:sz="0" w:space="0" w:color="auto"/>
      </w:divBdr>
      <w:divsChild>
        <w:div w:id="2102991222">
          <w:marLeft w:val="0"/>
          <w:marRight w:val="0"/>
          <w:marTop w:val="0"/>
          <w:marBottom w:val="0"/>
          <w:divBdr>
            <w:top w:val="none" w:sz="0" w:space="0" w:color="auto"/>
            <w:left w:val="none" w:sz="0" w:space="0" w:color="auto"/>
            <w:bottom w:val="none" w:sz="0" w:space="0" w:color="auto"/>
            <w:right w:val="none" w:sz="0" w:space="0" w:color="auto"/>
          </w:divBdr>
          <w:divsChild>
            <w:div w:id="1089083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451695">
      <w:bodyDiv w:val="1"/>
      <w:marLeft w:val="0"/>
      <w:marRight w:val="0"/>
      <w:marTop w:val="0"/>
      <w:marBottom w:val="0"/>
      <w:divBdr>
        <w:top w:val="none" w:sz="0" w:space="0" w:color="auto"/>
        <w:left w:val="none" w:sz="0" w:space="0" w:color="auto"/>
        <w:bottom w:val="none" w:sz="0" w:space="0" w:color="auto"/>
        <w:right w:val="none" w:sz="0" w:space="0" w:color="auto"/>
      </w:divBdr>
    </w:div>
    <w:div w:id="1857042263">
      <w:bodyDiv w:val="1"/>
      <w:marLeft w:val="0"/>
      <w:marRight w:val="0"/>
      <w:marTop w:val="0"/>
      <w:marBottom w:val="0"/>
      <w:divBdr>
        <w:top w:val="none" w:sz="0" w:space="0" w:color="auto"/>
        <w:left w:val="none" w:sz="0" w:space="0" w:color="auto"/>
        <w:bottom w:val="none" w:sz="0" w:space="0" w:color="auto"/>
        <w:right w:val="none" w:sz="0" w:space="0" w:color="auto"/>
      </w:divBdr>
    </w:div>
    <w:div w:id="2128087599">
      <w:bodyDiv w:val="1"/>
      <w:marLeft w:val="0"/>
      <w:marRight w:val="0"/>
      <w:marTop w:val="0"/>
      <w:marBottom w:val="0"/>
      <w:divBdr>
        <w:top w:val="none" w:sz="0" w:space="0" w:color="auto"/>
        <w:left w:val="none" w:sz="0" w:space="0" w:color="auto"/>
        <w:bottom w:val="none" w:sz="0" w:space="0" w:color="auto"/>
        <w:right w:val="none" w:sz="0" w:space="0" w:color="auto"/>
      </w:divBdr>
      <w:divsChild>
        <w:div w:id="15006597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h.bekmirzayev@tkti.uz"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tandfonline.com/author/Djakhangirova"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5.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3983C9-6D0A-480C-BF79-A63BD3D99E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2086</TotalTime>
  <Pages>6</Pages>
  <Words>4031</Words>
  <Characters>22982</Characters>
  <Application>Microsoft Office Word</Application>
  <DocSecurity>0</DocSecurity>
  <Lines>191</Lines>
  <Paragraphs>53</Paragraphs>
  <ScaleCrop>false</ScaleCrop>
  <HeadingPairs>
    <vt:vector size="6" baseType="variant">
      <vt:variant>
        <vt:lpstr>Название</vt:lpstr>
      </vt:variant>
      <vt:variant>
        <vt:i4>1</vt:i4>
      </vt:variant>
      <vt:variant>
        <vt:lpstr>Titolo</vt:lpstr>
      </vt:variant>
      <vt:variant>
        <vt:i4>1</vt:i4>
      </vt:variant>
      <vt:variant>
        <vt:lpstr>Title</vt:lpstr>
      </vt:variant>
      <vt:variant>
        <vt:i4>1</vt:i4>
      </vt:variant>
    </vt:vector>
  </HeadingPairs>
  <TitlesOfParts>
    <vt:vector size="3" baseType="lpstr">
      <vt:lpstr/>
      <vt:lpstr/>
      <vt:lpstr/>
    </vt:vector>
  </TitlesOfParts>
  <Company>Dipartimento CMIC - Politecnico di Milano</Company>
  <LinksUpToDate>false</LinksUpToDate>
  <CharactersWithSpaces>26960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raffaella</dc:creator>
  <cp:keywords/>
  <dc:description/>
  <cp:lastModifiedBy>Shohruh Bekmirzayev</cp:lastModifiedBy>
  <cp:revision>22</cp:revision>
  <cp:lastPrinted>2015-05-12T18:31:00Z</cp:lastPrinted>
  <dcterms:created xsi:type="dcterms:W3CDTF">2026-02-10T10:00:00Z</dcterms:created>
  <dcterms:modified xsi:type="dcterms:W3CDTF">2026-08-25T09:53:00Z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zotero-version="9.0.1"&gt;&lt;session id="yysJBYPz"/&gt;&lt;style id="http://www.zotero.org/styles/elsevier-harvard" hasBibliography="1" bibliographyStyleHasBeenSet="1"/&gt;&lt;prefs&gt;&lt;pref name="fieldType" value="Field"/&gt;&lt;pref name="storeReferences" </vt:lpwstr>
  </property>
  <property fmtid="{D5CDD505-2E9C-101B-9397-08002B2CF9AE}" pid="3" name="ZOTERO_PREF_2">
    <vt:lpwstr>value="true"/&gt;&lt;/prefs&gt;&lt;/data&gt;</vt:lpwstr>
  </property>
  <property fmtid="{D5CDD505-2E9C-101B-9397-08002B2CF9AE}" pid="4" name="GrammarlyDocumentId">
    <vt:lpwstr>e7836a10-e5c3-41f8-8c21-ade51ee3d387</vt:lpwstr>
  </property>
</Properties>
</file>