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4A04EF">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ru-RU" w:eastAsia="ru-RU"/>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ru-RU" w:eastAsia="ru-RU"/>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4A04EF">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4A04EF">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2E667253" w14:textId="62282979" w:rsidR="00E978D0" w:rsidRPr="008C60C8" w:rsidRDefault="004A04EF" w:rsidP="00E978D0">
      <w:pPr>
        <w:pStyle w:val="CETTitle"/>
        <w:rPr>
          <w:rFonts w:ascii="Arial MT" w:hAnsi="Arial MT"/>
        </w:rPr>
      </w:pPr>
      <w:r w:rsidRPr="008C60C8">
        <w:rPr>
          <w:rFonts w:ascii="Arial MT" w:eastAsia="Aptos" w:hAnsi="Arial MT" w:cs="Arial"/>
          <w:bCs/>
          <w:kern w:val="2"/>
          <w:szCs w:val="32"/>
          <w:lang w:val="en-US"/>
          <w14:ligatures w14:val="standardContextual"/>
        </w:rPr>
        <w:t>Development of Functional Pasta from Soft Wheat Flour Enriched with Soybean and Buckwheat Flours</w:t>
      </w:r>
    </w:p>
    <w:p w14:paraId="0488FED2" w14:textId="7E3B479F" w:rsidR="00B57E6F" w:rsidRPr="00B57B36" w:rsidRDefault="004A04EF" w:rsidP="004A04EF">
      <w:pPr>
        <w:pStyle w:val="CETAuthors"/>
      </w:pPr>
      <w:r w:rsidRPr="008C60C8">
        <w:rPr>
          <w:rFonts w:ascii="Arial MT" w:hAnsi="Arial MT"/>
        </w:rPr>
        <w:t>Umid Azamatov</w:t>
      </w:r>
      <w:r w:rsidR="00B57E6F" w:rsidRPr="008C60C8">
        <w:rPr>
          <w:rFonts w:ascii="Arial MT" w:hAnsi="Arial MT"/>
          <w:vertAlign w:val="superscript"/>
        </w:rPr>
        <w:t>a</w:t>
      </w:r>
      <w:r w:rsidR="008C60C8" w:rsidRPr="008C60C8">
        <w:rPr>
          <w:vertAlign w:val="superscript"/>
        </w:rPr>
        <w:t>*</w:t>
      </w:r>
      <w:r w:rsidR="00B57E6F" w:rsidRPr="008C60C8">
        <w:rPr>
          <w:rFonts w:ascii="Arial MT" w:hAnsi="Arial MT"/>
        </w:rPr>
        <w:t xml:space="preserve">, </w:t>
      </w:r>
      <w:r w:rsidRPr="008C60C8">
        <w:rPr>
          <w:rFonts w:ascii="Arial MT" w:hAnsi="Arial MT"/>
        </w:rPr>
        <w:t>Ermat sanayev</w:t>
      </w:r>
      <w:r w:rsidR="00B57E6F" w:rsidRPr="008C60C8">
        <w:rPr>
          <w:rFonts w:ascii="Arial MT" w:hAnsi="Arial MT"/>
          <w:vertAlign w:val="superscript"/>
        </w:rPr>
        <w:t>b,</w:t>
      </w:r>
      <w:r w:rsidRPr="008C60C8">
        <w:rPr>
          <w:rFonts w:ascii="Arial MT" w:hAnsi="Arial MT"/>
        </w:rPr>
        <w:t xml:space="preserve">  </w:t>
      </w:r>
      <w:r w:rsidRPr="008C60C8">
        <w:rPr>
          <w:rFonts w:ascii="Arial MT" w:hAnsi="Arial MT" w:cs="Arial"/>
          <w:lang w:val="en-US"/>
        </w:rPr>
        <w:t xml:space="preserve">Gulnoza </w:t>
      </w:r>
      <w:hyperlink r:id="rId10" w:history="1">
        <w:r w:rsidRPr="008C60C8">
          <w:rPr>
            <w:rFonts w:ascii="Arial MT" w:hAnsi="Arial MT" w:cs="Arial"/>
            <w:lang w:val="en-US"/>
          </w:rPr>
          <w:t>Djakhangirova</w:t>
        </w:r>
      </w:hyperlink>
      <w:r w:rsidRPr="008C60C8">
        <w:rPr>
          <w:rFonts w:ascii="Arial MT" w:hAnsi="Arial MT" w:cs="Arial"/>
          <w:vertAlign w:val="superscript"/>
          <w:lang w:val="en-US"/>
        </w:rPr>
        <w:t>b</w:t>
      </w:r>
      <w:r w:rsidRPr="008C60C8">
        <w:rPr>
          <w:rFonts w:ascii="Arial MT" w:hAnsi="Arial MT" w:cs="Arial"/>
          <w:lang w:val="en-US"/>
        </w:rPr>
        <w:t>, Shokhrukh Bekmirzayev</w:t>
      </w:r>
      <w:r w:rsidR="003915B9">
        <w:rPr>
          <w:rFonts w:ascii="Arial MT" w:hAnsi="Arial MT" w:cs="Arial"/>
          <w:vertAlign w:val="superscript"/>
          <w:lang w:val="en-US"/>
        </w:rPr>
        <w:t>a</w:t>
      </w:r>
      <w:r w:rsidRPr="00863810">
        <w:rPr>
          <w:rFonts w:cs="Arial"/>
          <w:lang w:val="en-US"/>
        </w:rPr>
        <w:t>,</w:t>
      </w:r>
    </w:p>
    <w:p w14:paraId="1BDBD358" w14:textId="1646D04F" w:rsidR="004A04EF" w:rsidRPr="004A04EF" w:rsidRDefault="004A04EF" w:rsidP="003915B9">
      <w:pPr>
        <w:tabs>
          <w:tab w:val="clear" w:pos="7100"/>
        </w:tabs>
        <w:spacing w:line="240" w:lineRule="auto"/>
        <w:jc w:val="left"/>
        <w:rPr>
          <w:rFonts w:eastAsia="Aptos" w:cs="Arial"/>
          <w:kern w:val="2"/>
          <w:sz w:val="16"/>
          <w:szCs w:val="16"/>
          <w:lang w:val="en-US"/>
          <w14:ligatures w14:val="standardContextual"/>
        </w:rPr>
      </w:pPr>
      <w:r w:rsidRPr="004A04EF">
        <w:rPr>
          <w:rFonts w:eastAsia="Aptos" w:cs="Arial"/>
          <w:kern w:val="2"/>
          <w:sz w:val="16"/>
          <w:szCs w:val="16"/>
          <w:vertAlign w:val="superscript"/>
          <w:lang w:val="en-US"/>
          <w14:ligatures w14:val="standardContextual"/>
        </w:rPr>
        <w:t>a</w:t>
      </w:r>
      <w:r w:rsidRPr="004A04EF">
        <w:rPr>
          <w:rFonts w:eastAsia="Aptos" w:cs="Arial"/>
          <w:kern w:val="2"/>
          <w:sz w:val="16"/>
          <w:szCs w:val="16"/>
          <w:lang w:val="en-US"/>
          <w14:ligatures w14:val="standardContextual"/>
        </w:rPr>
        <w:t xml:space="preserve"> </w:t>
      </w:r>
      <w:r w:rsidR="003915B9">
        <w:rPr>
          <w:rFonts w:eastAsia="Aptos" w:cs="Arial"/>
          <w:kern w:val="2"/>
          <w:sz w:val="16"/>
          <w:szCs w:val="16"/>
          <w:lang w:val="en-US"/>
          <w14:ligatures w14:val="standardContextual"/>
        </w:rPr>
        <w:t xml:space="preserve">Department of Food Technologies, </w:t>
      </w:r>
      <w:r w:rsidR="003915B9" w:rsidRPr="003915B9">
        <w:rPr>
          <w:rFonts w:eastAsia="Aptos" w:cs="Arial"/>
          <w:kern w:val="2"/>
          <w:sz w:val="16"/>
          <w:szCs w:val="16"/>
          <w:lang w:val="en-US"/>
          <w14:ligatures w14:val="standardContextual"/>
        </w:rPr>
        <w:t>Yangiyer Branch of Tashkent Institute of Chemical Technology</w:t>
      </w:r>
      <w:r w:rsidR="003915B9">
        <w:rPr>
          <w:rFonts w:eastAsia="Aptos" w:cs="Arial"/>
          <w:kern w:val="2"/>
          <w:sz w:val="16"/>
          <w:szCs w:val="16"/>
          <w:lang w:val="en-US"/>
          <w14:ligatures w14:val="standardContextual"/>
        </w:rPr>
        <w:t xml:space="preserve">, 1 Tinchlik Street, </w:t>
      </w:r>
      <w:bookmarkStart w:id="1" w:name="_GoBack"/>
      <w:bookmarkEnd w:id="1"/>
      <w:r w:rsidR="003915B9" w:rsidRPr="003915B9">
        <w:rPr>
          <w:rFonts w:eastAsia="Aptos" w:cs="Arial"/>
          <w:kern w:val="2"/>
          <w:sz w:val="16"/>
          <w:szCs w:val="16"/>
          <w:lang w:val="en-US"/>
          <w14:ligatures w14:val="standardContextual"/>
        </w:rPr>
        <w:t>Yangiyer, Sirdarya Region, 100021, Uzbekistan</w:t>
      </w:r>
    </w:p>
    <w:p w14:paraId="5B4796BB" w14:textId="77777777" w:rsidR="004A04EF" w:rsidRPr="004A04EF" w:rsidRDefault="004A04EF" w:rsidP="004A04EF">
      <w:pPr>
        <w:tabs>
          <w:tab w:val="clear" w:pos="7100"/>
        </w:tabs>
        <w:spacing w:line="240" w:lineRule="auto"/>
        <w:jc w:val="left"/>
        <w:rPr>
          <w:rFonts w:eastAsia="Aptos" w:cs="Arial"/>
          <w:kern w:val="2"/>
          <w:sz w:val="16"/>
          <w:szCs w:val="16"/>
          <w:lang w:val="en-US"/>
          <w14:ligatures w14:val="standardContextual"/>
        </w:rPr>
      </w:pPr>
      <w:r w:rsidRPr="004A04EF">
        <w:rPr>
          <w:rFonts w:eastAsia="Aptos" w:cs="Arial"/>
          <w:kern w:val="2"/>
          <w:sz w:val="16"/>
          <w:szCs w:val="16"/>
          <w:vertAlign w:val="superscript"/>
          <w:lang w:val="en-US"/>
          <w14:ligatures w14:val="standardContextual"/>
        </w:rPr>
        <w:t>b</w:t>
      </w:r>
      <w:r w:rsidRPr="004A04EF">
        <w:rPr>
          <w:rFonts w:eastAsia="Aptos" w:cs="Arial"/>
          <w:kern w:val="2"/>
          <w:sz w:val="16"/>
          <w:szCs w:val="16"/>
          <w:lang w:val="en-US"/>
          <w14:ligatures w14:val="standardContextual"/>
        </w:rPr>
        <w:t xml:space="preserve"> Department of Food and Perfumery-Cosmetic Products Technology, Tashkent Institute of Chemical Technology, Tashkent 100011, Uzbekistan</w:t>
      </w:r>
    </w:p>
    <w:p w14:paraId="13956115" w14:textId="39BC6AAF" w:rsidR="004A04EF" w:rsidRDefault="008C60C8" w:rsidP="004A04EF">
      <w:pPr>
        <w:pStyle w:val="CETBodytext"/>
        <w:spacing w:after="240"/>
        <w:rPr>
          <w:rFonts w:eastAsia="Aptos" w:cs="Arial"/>
          <w:kern w:val="2"/>
          <w:sz w:val="16"/>
          <w:szCs w:val="16"/>
          <w14:ligatures w14:val="standardContextual"/>
        </w:rPr>
      </w:pPr>
      <w:r w:rsidRPr="008C60C8">
        <w:rPr>
          <w:sz w:val="16"/>
          <w:szCs w:val="16"/>
        </w:rPr>
        <w:t>*</w:t>
      </w:r>
      <w:hyperlink r:id="rId11" w:history="1">
        <w:r w:rsidR="004A04EF" w:rsidRPr="00551C35">
          <w:rPr>
            <w:rStyle w:val="afffc"/>
            <w:rFonts w:eastAsia="Aptos" w:cs="Arial"/>
            <w:kern w:val="2"/>
            <w:sz w:val="16"/>
            <w:szCs w:val="16"/>
            <w14:ligatures w14:val="standardContextual"/>
          </w:rPr>
          <w:t>umidazamatov03@gmail.com</w:t>
        </w:r>
      </w:hyperlink>
    </w:p>
    <w:p w14:paraId="4ED0CEA8" w14:textId="77777777" w:rsidR="00CA09BA" w:rsidRPr="00CA09BA" w:rsidRDefault="00CA09BA" w:rsidP="00CA09BA">
      <w:pPr>
        <w:pStyle w:val="CETListbullets"/>
        <w:ind w:left="0" w:firstLine="0"/>
        <w:rPr>
          <w:rFonts w:ascii="Arial MT" w:hAnsi="Arial MT"/>
          <w:szCs w:val="18"/>
          <w:lang w:val="en-US" w:eastAsia="ru-RU"/>
        </w:rPr>
      </w:pPr>
      <w:r w:rsidRPr="00CA09BA">
        <w:rPr>
          <w:rFonts w:ascii="Arial MT" w:hAnsi="Arial MT"/>
          <w:szCs w:val="18"/>
          <w:lang w:val="en-US" w:eastAsia="ru-RU"/>
        </w:rPr>
        <w:t>The development of nutritionally enriched pasta using composite flours from cereal and legume sources is driven by the increasing demand for functional foods. Traditional wheat pasta is limited in essential amino acids and micronutrients; therefore, alternative plant-based ingredients are required. This study developed a composite flour based on wheat, buckwheat, and soybean to improve the nutritional and technological properties of pasta. The research evaluated the chemical composition of the flours, as well as their effect on dough rheology and pasta quality. Wheat flour provided the gluten structure, while soybean and buckwheat flours supplied protein, essential amino acids, dietary fiber, vitamins, and minerals. Buckwheat also has a low glycemic index and is gluten-free.</w:t>
      </w:r>
    </w:p>
    <w:p w14:paraId="3B94D694" w14:textId="3DD1510E" w:rsidR="00CA09BA" w:rsidRPr="00CA09BA" w:rsidRDefault="00CA09BA" w:rsidP="00CA09BA">
      <w:pPr>
        <w:pStyle w:val="CETListbullets"/>
        <w:ind w:left="0" w:firstLine="0"/>
        <w:rPr>
          <w:rFonts w:ascii="Arial MT" w:hAnsi="Arial MT"/>
          <w:szCs w:val="18"/>
          <w:lang w:val="en-US" w:eastAsia="ru-RU"/>
        </w:rPr>
      </w:pPr>
      <w:r w:rsidRPr="00CA09BA">
        <w:rPr>
          <w:rFonts w:ascii="Arial MT" w:hAnsi="Arial MT"/>
          <w:szCs w:val="18"/>
          <w:lang w:val="en-US" w:eastAsia="ru-RU"/>
        </w:rPr>
        <w:t>The optimal formulation was determined to be 85% wheat flour, 10% buckwheat flour, and 5% soybean flour. This ratio improved the amino acid balance and significantly increased the biological value of</w:t>
      </w:r>
      <w:r>
        <w:rPr>
          <w:rFonts w:ascii="Arial MT" w:hAnsi="Arial MT"/>
          <w:szCs w:val="18"/>
          <w:lang w:val="en-US" w:eastAsia="ru-RU"/>
        </w:rPr>
        <w:t xml:space="preserve"> the product. The addition of 0.</w:t>
      </w:r>
      <w:r w:rsidRPr="00CA09BA">
        <w:rPr>
          <w:rFonts w:ascii="Arial MT" w:hAnsi="Arial MT"/>
          <w:szCs w:val="18"/>
          <w:lang w:val="en-US" w:eastAsia="ru-RU"/>
        </w:rPr>
        <w:t>1% vitamin–mineral premix further enriched the product with B-group vitamins and essential microelements, such as iron, zinc, and iodine. Rheological analysis showed improved dough plasticity and reduced relaxation time, while extru</w:t>
      </w:r>
      <w:r>
        <w:rPr>
          <w:rFonts w:ascii="Arial MT" w:hAnsi="Arial MT"/>
          <w:szCs w:val="18"/>
          <w:lang w:val="en-US" w:eastAsia="ru-RU"/>
        </w:rPr>
        <w:t>sion efficiency increased by 10.0–10.</w:t>
      </w:r>
      <w:r w:rsidRPr="00CA09BA">
        <w:rPr>
          <w:rFonts w:ascii="Arial MT" w:hAnsi="Arial MT"/>
          <w:szCs w:val="18"/>
          <w:lang w:val="en-US" w:eastAsia="ru-RU"/>
        </w:rPr>
        <w:t>8%. Sensory evaluation confirmed good product quality, including desirable color, taste, and texture, as well as no stickiness and high shape retention after cooking. The developed composite flour enhances both the biological value and technological properties of pasta, making it suitable for the industrial production of functional pasta products.</w:t>
      </w:r>
    </w:p>
    <w:p w14:paraId="476B2F2E" w14:textId="1B97A186" w:rsidR="00600535" w:rsidRDefault="00600535" w:rsidP="00600535">
      <w:pPr>
        <w:pStyle w:val="CETHeading1"/>
        <w:rPr>
          <w:lang w:val="en-GB"/>
        </w:rPr>
      </w:pPr>
      <w:r w:rsidRPr="00B57B36">
        <w:rPr>
          <w:lang w:val="en-GB"/>
        </w:rPr>
        <w:t>Introduction</w:t>
      </w:r>
    </w:p>
    <w:p w14:paraId="6141F84B" w14:textId="69334D78" w:rsidR="001D42A8" w:rsidRPr="001D42A8" w:rsidRDefault="001D42A8" w:rsidP="001D42A8">
      <w:pPr>
        <w:pStyle w:val="CETBodytext"/>
        <w:rPr>
          <w:rFonts w:ascii="Arial MT" w:hAnsi="Arial MT"/>
          <w:lang w:val="en-GB"/>
        </w:rPr>
      </w:pPr>
      <w:r w:rsidRPr="001D42A8">
        <w:rPr>
          <w:rFonts w:ascii="Arial MT" w:hAnsi="Arial MT"/>
          <w:lang w:val="en-GB"/>
        </w:rPr>
        <w:t>The increasing demand for functional foods has driven significant research into improving the nutritional and biological value of cereal-based products, particularly pasta. Traditional pasta is mainly produced from refined durum wheat semolina, which provides desirable technological properties but is limited in essential amino acids, dietary fiber, and micronutrients (Sissons, 2008; Day, 2013). As a result, conventional pasta does not fully meet modern nutritional requirements, especially in populations with protein and micronutr</w:t>
      </w:r>
      <w:r>
        <w:rPr>
          <w:rFonts w:ascii="Arial MT" w:hAnsi="Arial MT"/>
          <w:lang w:val="en-GB"/>
        </w:rPr>
        <w:t>ient deficiencies.</w:t>
      </w:r>
    </w:p>
    <w:p w14:paraId="23F518ED" w14:textId="54FC9B62" w:rsidR="001D42A8" w:rsidRPr="001D42A8" w:rsidRDefault="001D42A8" w:rsidP="001D42A8">
      <w:pPr>
        <w:pStyle w:val="CETBodytext"/>
        <w:rPr>
          <w:rFonts w:ascii="Arial MT" w:hAnsi="Arial MT"/>
          <w:lang w:val="en-GB"/>
        </w:rPr>
      </w:pPr>
      <w:r w:rsidRPr="001D42A8">
        <w:rPr>
          <w:rFonts w:ascii="Arial MT" w:hAnsi="Arial MT"/>
          <w:lang w:val="en-GB"/>
        </w:rPr>
        <w:t>To address these limitations, the incorporation of alternative plant-based ingredients such as legumes and pseudocereals has gained increasing attention. Legume flours, including soybean, pea, and lentil, are rich sources of high-quality proteins, lysine, and bioactive compounds, which significantly improve the amino acid balance of cereal-based foods (Foschia et al., 2015; Brennan et al., 2012). Similarly, pseudocereals such as buckwheat and quinoa provide dietary fiber, antioxidants, and minerals, while being naturally gluten-free (Bonafaccia et al., 2003</w:t>
      </w:r>
      <w:r>
        <w:rPr>
          <w:rFonts w:ascii="Arial MT" w:hAnsi="Arial MT"/>
          <w:lang w:val="en-GB"/>
        </w:rPr>
        <w:t>; Alvarez-Jubete et al., 2010).</w:t>
      </w:r>
    </w:p>
    <w:p w14:paraId="3DEF5E6C" w14:textId="78C3DF51" w:rsidR="001D42A8" w:rsidRPr="001D42A8" w:rsidRDefault="001D42A8" w:rsidP="001D42A8">
      <w:pPr>
        <w:pStyle w:val="CETBodytext"/>
        <w:rPr>
          <w:rFonts w:ascii="Arial MT" w:hAnsi="Arial MT"/>
          <w:lang w:val="en-GB"/>
        </w:rPr>
      </w:pPr>
      <w:r w:rsidRPr="001D42A8">
        <w:rPr>
          <w:rFonts w:ascii="Arial MT" w:hAnsi="Arial MT"/>
          <w:lang w:val="en-GB"/>
        </w:rPr>
        <w:t>Composite flour technology has been widely investigated as an effective strategy to enhance both nutritional and functional properties of pasta products. According to Foschia et al. (2017), the addition of dietary fiber-rich ingredients improves the nutritional profile of cereal products, although it may also influence dough rheology and texture. Therefore, optimization of flour blending ratios is essential to maintain product quality whi</w:t>
      </w:r>
      <w:r>
        <w:rPr>
          <w:rFonts w:ascii="Arial MT" w:hAnsi="Arial MT"/>
          <w:lang w:val="en-GB"/>
        </w:rPr>
        <w:t>le improving nutritional value.</w:t>
      </w:r>
    </w:p>
    <w:p w14:paraId="3FAD590C" w14:textId="79747C47" w:rsidR="001D42A8" w:rsidRPr="001D42A8" w:rsidRDefault="001D42A8" w:rsidP="001D42A8">
      <w:pPr>
        <w:pStyle w:val="CETBodytext"/>
        <w:rPr>
          <w:rFonts w:ascii="Arial MT" w:hAnsi="Arial MT"/>
          <w:lang w:val="en-GB"/>
        </w:rPr>
      </w:pPr>
      <w:r w:rsidRPr="001D42A8">
        <w:rPr>
          <w:rFonts w:ascii="Arial MT" w:hAnsi="Arial MT"/>
          <w:lang w:val="en-GB"/>
        </w:rPr>
        <w:lastRenderedPageBreak/>
        <w:t>Protein quality improvement is a key objective in pasta fortification. Studies have shown that blending wheat flour with legume proteins significantly increases the biological value and protein digestibility of the final product (Petitot et al., 2010; Shewry, 2011). In addition, Day (2013) emphasized that plant proteins are a sustainable alternative to animal proteins, contributing to global food s</w:t>
      </w:r>
      <w:r>
        <w:rPr>
          <w:rFonts w:ascii="Arial MT" w:hAnsi="Arial MT"/>
          <w:lang w:val="en-GB"/>
        </w:rPr>
        <w:t>ecurity and health improvement.</w:t>
      </w:r>
    </w:p>
    <w:p w14:paraId="7E2AF611" w14:textId="3422AEBF" w:rsidR="001D42A8" w:rsidRPr="001D42A8" w:rsidRDefault="001D42A8" w:rsidP="001D42A8">
      <w:pPr>
        <w:pStyle w:val="CETBodytext"/>
        <w:rPr>
          <w:rFonts w:ascii="Arial MT" w:hAnsi="Arial MT"/>
          <w:lang w:val="en-GB"/>
        </w:rPr>
      </w:pPr>
      <w:r w:rsidRPr="001D42A8">
        <w:rPr>
          <w:rFonts w:ascii="Arial MT" w:hAnsi="Arial MT"/>
          <w:lang w:val="en-GB"/>
        </w:rPr>
        <w:t>The functional properties of pasta are strongly influenced by gluten network formation. The partial replacement of wheat flour with non-gluten ingredients affects dough elasticity, water absorption, and cooking quality (Sissons, 2016; Padalino et al., 2013). However, proper formulation can ensure acceptable sensory and technological properties while enh</w:t>
      </w:r>
      <w:r>
        <w:rPr>
          <w:rFonts w:ascii="Arial MT" w:hAnsi="Arial MT"/>
          <w:lang w:val="en-GB"/>
        </w:rPr>
        <w:t>ancing nutritional composition.</w:t>
      </w:r>
    </w:p>
    <w:p w14:paraId="0C8F8345" w14:textId="4431915B" w:rsidR="001D42A8" w:rsidRPr="001D42A8" w:rsidRDefault="001D42A8" w:rsidP="001D42A8">
      <w:pPr>
        <w:pStyle w:val="CETBodytext"/>
        <w:rPr>
          <w:rFonts w:ascii="Arial MT" w:hAnsi="Arial MT"/>
          <w:lang w:val="en-GB"/>
        </w:rPr>
      </w:pPr>
      <w:r w:rsidRPr="001D42A8">
        <w:rPr>
          <w:rFonts w:ascii="Arial MT" w:hAnsi="Arial MT"/>
          <w:lang w:val="en-GB"/>
        </w:rPr>
        <w:t xml:space="preserve">Micronutrient enrichment is another important aspect of functional pasta development. The World Health Organization (WHO, 2006) recommends food fortification strategies to address global deficiencies in iron, zinc, and vitamin B complex. Incorporation of vitamin-mineral premixes into pasta formulations has been shown to significantly improve nutritional intake without compromising product </w:t>
      </w:r>
      <w:r>
        <w:rPr>
          <w:rFonts w:ascii="Arial MT" w:hAnsi="Arial MT"/>
          <w:lang w:val="en-GB"/>
        </w:rPr>
        <w:t>quality (Turfani et al., 2017).</w:t>
      </w:r>
    </w:p>
    <w:p w14:paraId="6B30455D" w14:textId="45EB656A" w:rsidR="001D42A8" w:rsidRPr="001D42A8" w:rsidRDefault="001D42A8" w:rsidP="001D42A8">
      <w:pPr>
        <w:pStyle w:val="CETBodytext"/>
        <w:rPr>
          <w:rFonts w:ascii="Arial MT" w:hAnsi="Arial MT"/>
          <w:lang w:val="en-GB"/>
        </w:rPr>
      </w:pPr>
      <w:r w:rsidRPr="001D42A8">
        <w:rPr>
          <w:rFonts w:ascii="Arial MT" w:hAnsi="Arial MT"/>
          <w:lang w:val="en-GB"/>
        </w:rPr>
        <w:t>Bioactive compounds present in legume and pseudocereal flours, such as phenolics and flavonoids, contribute to antioxidant activity and potential health benefits, including reduced risk of chronic diseases (Brennan et al., 2012; Alvarez-Jubete et al., 2010). These compounds also enhance the functional foo</w:t>
      </w:r>
      <w:r>
        <w:rPr>
          <w:rFonts w:ascii="Arial MT" w:hAnsi="Arial MT"/>
          <w:lang w:val="en-GB"/>
        </w:rPr>
        <w:t>d properties of pasta products.</w:t>
      </w:r>
    </w:p>
    <w:p w14:paraId="393E87D0" w14:textId="769A23C3" w:rsidR="001D42A8" w:rsidRPr="001D42A8" w:rsidRDefault="001D42A8" w:rsidP="001D42A8">
      <w:pPr>
        <w:pStyle w:val="CETBodytext"/>
        <w:rPr>
          <w:rFonts w:ascii="Arial MT" w:hAnsi="Arial MT"/>
          <w:lang w:val="en-GB"/>
        </w:rPr>
      </w:pPr>
      <w:r w:rsidRPr="001D42A8">
        <w:rPr>
          <w:rFonts w:ascii="Arial MT" w:hAnsi="Arial MT"/>
          <w:lang w:val="en-GB"/>
        </w:rPr>
        <w:t>Rheological studies indicate that composite flour systems modify dough structure and extrusion behavior. The interaction between starch and proteins plays a crucial role in determining texture, firmness, and cooking stability (Petitot et al., 2010; Foschia et al., 2015). Optimization of these parameters is essent</w:t>
      </w:r>
      <w:r>
        <w:rPr>
          <w:rFonts w:ascii="Arial MT" w:hAnsi="Arial MT"/>
          <w:lang w:val="en-GB"/>
        </w:rPr>
        <w:t>ial for industrial application.</w:t>
      </w:r>
    </w:p>
    <w:p w14:paraId="46F63E81" w14:textId="746339BC" w:rsidR="007C078C" w:rsidRPr="00717E92" w:rsidRDefault="001D42A8" w:rsidP="001D42A8">
      <w:pPr>
        <w:pStyle w:val="CETBodytext"/>
        <w:rPr>
          <w:rFonts w:ascii="Arial MT" w:hAnsi="Arial MT"/>
          <w:lang w:val="en-GB"/>
        </w:rPr>
      </w:pPr>
      <w:r w:rsidRPr="001D42A8">
        <w:rPr>
          <w:rFonts w:ascii="Arial MT" w:hAnsi="Arial MT"/>
          <w:lang w:val="en-GB"/>
        </w:rPr>
        <w:t>In conclusion, the development of nutritionally enhanced pasta using composite flours from cereals, legumes, and pseudocereals represents a promising approach for producing functional foods with improved biological value, balanced amino acid composition, and enhanced micronutrient content. Such products align with current global trends in health-oriented nutrition and sustainable food production</w:t>
      </w:r>
      <w:r w:rsidR="007C078C">
        <w:rPr>
          <w:rFonts w:ascii="Arial MT" w:hAnsi="Arial MT"/>
          <w:lang w:val="en-GB"/>
        </w:rPr>
        <w:t xml:space="preserve">. </w:t>
      </w:r>
      <w:r w:rsidR="007C078C" w:rsidRPr="007C078C">
        <w:rPr>
          <w:rFonts w:ascii="Arial MT" w:hAnsi="Arial MT"/>
          <w:lang w:val="en-GB"/>
        </w:rPr>
        <w:t>The aim of this study was to evaluate the influence of the addition of buckwheat and soybean flour on the rheological properties, amino acid composition, and technological properties of composite flour intended for pasta production. The scientific novelty of the research is that an optimal composite recipe has been determined, consisting of wheat flour enriched with 10% buckwheat flour and 5% soy flour, which improves the amino acid balance and biological value of the product while maintaining optimal rheological and processing properties. This approach will serve as a scientific basis for developing nutritionally enriched pasta products using non-traditional grain raw materials.</w:t>
      </w:r>
    </w:p>
    <w:p w14:paraId="5741900F" w14:textId="50D8D291" w:rsidR="00453E24" w:rsidRDefault="00CF4439" w:rsidP="00CF4439">
      <w:pPr>
        <w:pStyle w:val="CETHeading1"/>
      </w:pPr>
      <w:r w:rsidRPr="00CF4439">
        <w:t>Methods</w:t>
      </w:r>
    </w:p>
    <w:p w14:paraId="111BD86A" w14:textId="23DBDFCD" w:rsidR="0018211F" w:rsidRPr="00C73489" w:rsidRDefault="00CA09BA" w:rsidP="0018211F">
      <w:pPr>
        <w:rPr>
          <w:rFonts w:ascii="Arial MT" w:hAnsi="Arial MT"/>
          <w:lang w:val="en-US"/>
        </w:rPr>
      </w:pPr>
      <w:r w:rsidRPr="00CA09BA">
        <w:rPr>
          <w:rFonts w:ascii="Arial MT" w:hAnsi="Arial MT"/>
        </w:rPr>
        <w:t>Soybean and buckwheat flour were obtained from local raw material varieties grown in the Tashkent and Syrdarya regions of the Republic of Uzbekistan. This study was conducted at the Engineering Laboratory of the Tashkent Institute of Chemical Technology. Initially, the soybeans underwent forpressing, and the raw materials were ground on roller machines. In this study, a diaphanascope, glasses, an A1-ZSHM roller machine, flasks, a mixer, analytical scales, a drying cabinet, an extruder, and a Mixolab were used. While the materials used in this study were 12% fat soybean flour, whole ground buckwheat flour, a vitamin-mineral complex, and distilled water were used.</w:t>
      </w:r>
    </w:p>
    <w:p w14:paraId="0636B784" w14:textId="5F19D131" w:rsidR="00453E24" w:rsidRPr="00C73489" w:rsidRDefault="00C73489" w:rsidP="002720FA">
      <w:pPr>
        <w:pStyle w:val="CETheadingx"/>
      </w:pPr>
      <w:r w:rsidRPr="00C73489">
        <w:t>2.1 M</w:t>
      </w:r>
      <w:r w:rsidR="0018211F" w:rsidRPr="00C73489">
        <w:t>ethod for determining a composite mixture through rheology</w:t>
      </w:r>
    </w:p>
    <w:p w14:paraId="7C2B0064" w14:textId="3216C5E8" w:rsidR="00453E24" w:rsidRDefault="005246C2" w:rsidP="00453E24">
      <w:pPr>
        <w:pStyle w:val="CETBodytext"/>
      </w:pPr>
      <w:r w:rsidRPr="005246C2">
        <w:rPr>
          <w:lang w:val="en-GB"/>
        </w:rPr>
        <w:t>The rheological properties of wheat flour and composite flour samples were evaluated using a Mixolab analyzer. The test was performed to determine water absorption capacity, dough mixing behavior, gluten strength, viscosity, amylase activity, and starch retrogradation. During analysis, the dough was subjected to controlled mixing, heating, and cooling stages, which allowed the assessment of protein weakening, starch gelatinization, enzymatic activity, and starch retrogradation. The obtained results were expressed as Mixolab Profiler indices on a dimensionless 0–9 scale, where higher values indicate a stronger expression of the corresponding property.</w:t>
      </w:r>
    </w:p>
    <w:p w14:paraId="0B476304" w14:textId="2742F65D" w:rsidR="00AA312B" w:rsidRPr="00AA312B" w:rsidRDefault="00C73489" w:rsidP="00AA312B">
      <w:pPr>
        <w:pStyle w:val="CETheadingx"/>
      </w:pPr>
      <w:r>
        <w:t xml:space="preserve">2.2 </w:t>
      </w:r>
      <w:r w:rsidR="00AA312B">
        <w:t>D</w:t>
      </w:r>
      <w:r w:rsidR="00AA312B" w:rsidRPr="00AA312B">
        <w:t>etermination of amino acid composition</w:t>
      </w:r>
    </w:p>
    <w:p w14:paraId="5FE33270" w14:textId="77777777" w:rsidR="00314578" w:rsidRDefault="00314578" w:rsidP="00F776B3">
      <w:pPr>
        <w:pStyle w:val="CETHeadingxx"/>
        <w:rPr>
          <w:rFonts w:ascii="Arial MT" w:hAnsi="Arial MT"/>
          <w:b w:val="0"/>
          <w:lang w:val="en-GB"/>
        </w:rPr>
      </w:pPr>
      <w:r w:rsidRPr="00314578">
        <w:rPr>
          <w:rFonts w:ascii="Arial MT" w:hAnsi="Arial MT"/>
          <w:b w:val="0"/>
          <w:bCs/>
          <w:lang w:val="en-GB"/>
        </w:rPr>
        <w:t>Isolation of free amino acids.</w:t>
      </w:r>
      <w:r w:rsidRPr="00314578">
        <w:rPr>
          <w:rFonts w:ascii="Arial MT" w:hAnsi="Arial MT"/>
          <w:b w:val="0"/>
          <w:lang w:val="en-GB"/>
        </w:rPr>
        <w:t xml:space="preserve"> The deposition of proteins and peptides from the aqueous extract of the specimens was carried out in centrifugal glasses. For this purpose, 1 ml (exact volume) of 20% TCUC was added to 1 ml of the test sample. After 10 minutes, the precipitate was separated by centrifugation at 8000 rpm for 15 minutes. Separating 0.1 ml of the supernatant, it was liophilically dried. The hydrolysate was evaporated, the dry residue was dissolved in a mixture of triethylamine-acetonitrile-water (1:7:1), and dried. This operation was repeated twice to neutralize the acid. Fenylthioisocyanate was used to produce phenylthiocarbamyl derivatives (PC) using (Cohen and Strydom, 1988) method. The identification of amino acid derivatives was performed using the HPLC method. HPLC conditions: Agilent Technologies 1200 chromatograph with DAD detector, 75x4.6 mm Discovery HS C18 column. A solution: 0.14M CH3COONa + 0.05% TEA, pH 6.4; B: CH3CN. Flow speed, 1.2 ml/min; </w:t>
      </w:r>
      <w:r w:rsidRPr="00314578">
        <w:rPr>
          <w:rFonts w:ascii="Arial MT" w:hAnsi="Arial MT"/>
          <w:b w:val="0"/>
          <w:lang w:val="en-GB"/>
        </w:rPr>
        <w:lastRenderedPageBreak/>
        <w:t>absorption, 269 nm. Gradient, %B/min: 1-6%/0-2.5 min; 6-30%/2.51-40 min; 30-60%/40.1-45 min; 60-60%/45.1-50 min; 60-0%/50.</w:t>
      </w:r>
    </w:p>
    <w:p w14:paraId="1E4856AD" w14:textId="486EDB63" w:rsidR="00AB6E36" w:rsidRPr="002720FA" w:rsidRDefault="00AB6E36" w:rsidP="00F776B3">
      <w:pPr>
        <w:pStyle w:val="CETHeadingxx"/>
      </w:pPr>
      <w:r w:rsidRPr="002720FA">
        <w:t>2.3 Method for determining relaxation and kneading</w:t>
      </w:r>
    </w:p>
    <w:p w14:paraId="627685EC" w14:textId="18A6AD7B" w:rsidR="00E4306D" w:rsidRPr="00314578" w:rsidRDefault="00314578" w:rsidP="00E4306D">
      <w:pPr>
        <w:pStyle w:val="CETBodytext"/>
        <w:rPr>
          <w:rFonts w:ascii="Arial MT" w:hAnsi="Arial MT" w:cs="Arial"/>
          <w:lang w:val="en-GB"/>
        </w:rPr>
      </w:pPr>
      <w:r w:rsidRPr="00314578">
        <w:rPr>
          <w:rFonts w:ascii="Arial MT" w:hAnsi="Arial MT" w:cs="Arial"/>
        </w:rPr>
        <w:t>The structural-mechanical properties of the dough were determined using a structurometer in operating modes 1 and 5. Mode 1: Elastic deformations — determination of the movement value H1 at a load value of F=50 g, and recovery after loading H2 at an initial force F0=10 g, table movement speed V=30 mm/min, and final force F=150 g. Mode 5: Study of deformation kinetics — the initial force was F0=10 g, the table's movement continued until it was completely shattered, and the indicator recorded the force of the sample's decomposition and the movement value</w:t>
      </w:r>
      <w:r w:rsidR="00E4306D" w:rsidRPr="00314578">
        <w:rPr>
          <w:rFonts w:ascii="Arial MT" w:hAnsi="Arial MT" w:cs="Arial"/>
          <w:lang w:val="en-GB"/>
        </w:rPr>
        <w:t>.</w:t>
      </w:r>
      <w:r w:rsidR="00E4306D" w:rsidRPr="00314578">
        <w:rPr>
          <w:rFonts w:ascii="Arial MT" w:hAnsi="Arial MT" w:cs="Arial"/>
          <w:lang w:val="en-GB"/>
        </w:rPr>
        <w:fldChar w:fldCharType="begin"/>
      </w:r>
      <w:r w:rsidR="00E4306D" w:rsidRPr="00314578">
        <w:rPr>
          <w:rFonts w:ascii="Arial MT" w:hAnsi="Arial MT" w:cs="Arial"/>
          <w:lang w:val="en-GB"/>
        </w:rPr>
        <w:instrText xml:space="preserve"> ADDIN ZOTERO_ITEM CSL_CITATION {"citationID":"4K5dXWgx","properties":{"unsorted":false,"formattedCitation":"(Yang \\uc0\\u1080{} \\uc0\\u1076{}\\uc0\\u1088{}., 2019)","plainCitation":"(Yang и др., 2019)","noteIndex":0},"citationItems":[{"id":18,"uris":["http://zotero.org/users/20330494/items/JFG6NCQ6"],"itemData":{"id":18,"type":"article-journal","abstract":"Dough development is the most critical step in the conversion of flour into products. Low field nuclear magnetic resonance (LF-NMR), Texture Analyzer and Rheometer were used to analyze water distribution, uniaxial and biaxial tension, dynamic oscillation characteristics, as well as stress relaxation and creep-recovery characteristics of a series of wheat flour and water prepared in different water adding methods. A certain quantity of water was added to wheat flour for several times, water content and water-holding capacity of dough were improved compared with the dough adding all water to flour once. Meanwhile, tensile resistance and tensile area of dough enhanced. When rheological properties of dough were measured, it was found that tanδ were significantly changed and the degree of polymerization increased. The dough obtained by adding water three times had the largest consistency coefficient, relaxation modulus and smallest flow behavior index, creep compliance, exhibiting well elasticity and poor viscosity. In addition, there was no significant change in doughs with two times water adding in stress relaxation and creep recovery experiments.","container-title":"Journal of Cereal Science","DOI":"10.1016/j.jcs.2019.102791","ISSN":"0733-5210","journalAbbreviation":"Journal of Cereal Science","page":"102791","source":"ScienceDirect","title":"Influence of water addition methods on water mobility characterization and rheological properties of wheat flour dough","volume":"89","author":[{"family":"Yang","given":"Yuling"},{"family":"Guan","given":"Erqi"},{"family":"Zhang","given":"Tingjing"},{"family":"Li","given":"Mengmeng"},{"family":"Bian","given":"Ke"}],"issued":{"date-parts":[["2019",9,1]]}}}],"schema":"https://github.com/citation-style-language/schema/raw/master/csl-citation.json"} </w:instrText>
      </w:r>
      <w:r w:rsidR="00E4306D" w:rsidRPr="00314578">
        <w:rPr>
          <w:rFonts w:ascii="Arial MT" w:hAnsi="Arial MT" w:cs="Arial"/>
          <w:lang w:val="en-GB"/>
        </w:rPr>
        <w:fldChar w:fldCharType="separate"/>
      </w:r>
      <w:r w:rsidR="00E4306D" w:rsidRPr="00314578">
        <w:rPr>
          <w:rFonts w:ascii="Arial MT" w:hAnsi="Arial MT" w:cs="Arial"/>
          <w:szCs w:val="24"/>
        </w:rPr>
        <w:t>(Yang et al., 2019)</w:t>
      </w:r>
      <w:r w:rsidR="00E4306D" w:rsidRPr="00314578">
        <w:rPr>
          <w:rFonts w:ascii="Arial MT" w:hAnsi="Arial MT" w:cs="Arial"/>
          <w:lang w:val="en-GB"/>
        </w:rPr>
        <w:fldChar w:fldCharType="end"/>
      </w:r>
    </w:p>
    <w:p w14:paraId="08FFF9D5" w14:textId="6C656CF2" w:rsidR="00FC0A5C" w:rsidRPr="00AA312B" w:rsidRDefault="00FC0A5C" w:rsidP="00600535">
      <w:pPr>
        <w:pStyle w:val="CETHeading1"/>
      </w:pPr>
      <w:r w:rsidRPr="00FC0A5C">
        <w:rPr>
          <w:rFonts w:ascii="Arial MT" w:eastAsia="Arial MT" w:hAnsi="Arial MT" w:cs="Arial MT"/>
        </w:rPr>
        <w:t>Result</w:t>
      </w:r>
      <w:r w:rsidRPr="00FC0A5C">
        <w:rPr>
          <w:rFonts w:ascii="Arial MT" w:eastAsia="Arial MT" w:hAnsi="Arial MT" w:cs="Arial MT"/>
          <w:spacing w:val="-5"/>
        </w:rPr>
        <w:t xml:space="preserve"> </w:t>
      </w:r>
      <w:r w:rsidRPr="00FC0A5C">
        <w:rPr>
          <w:rFonts w:ascii="Arial MT" w:eastAsia="Arial MT" w:hAnsi="Arial MT" w:cs="Arial MT"/>
        </w:rPr>
        <w:t>and</w:t>
      </w:r>
      <w:r w:rsidRPr="00FC0A5C">
        <w:rPr>
          <w:rFonts w:ascii="Arial MT" w:eastAsia="Arial MT" w:hAnsi="Arial MT" w:cs="Arial MT"/>
          <w:spacing w:val="-5"/>
        </w:rPr>
        <w:t xml:space="preserve"> </w:t>
      </w:r>
      <w:r w:rsidRPr="00FC0A5C">
        <w:rPr>
          <w:rFonts w:ascii="Arial MT" w:eastAsia="Arial MT" w:hAnsi="Arial MT" w:cs="Arial MT"/>
          <w:spacing w:val="-2"/>
        </w:rPr>
        <w:t>Discussion</w:t>
      </w:r>
    </w:p>
    <w:p w14:paraId="237D61EB" w14:textId="574252EC" w:rsidR="00EC4016" w:rsidRPr="00EC4016" w:rsidRDefault="00314578" w:rsidP="00EC4016">
      <w:pPr>
        <w:widowControl w:val="0"/>
        <w:tabs>
          <w:tab w:val="clear" w:pos="7100"/>
        </w:tabs>
        <w:spacing w:line="240" w:lineRule="auto"/>
        <w:rPr>
          <w:rFonts w:ascii="Arial MT" w:eastAsia="Calibri" w:hAnsi="Arial MT"/>
          <w:szCs w:val="18"/>
          <w:lang w:val="uz-Cyrl-UZ"/>
        </w:rPr>
      </w:pPr>
      <w:r w:rsidRPr="00314578">
        <w:rPr>
          <w:rFonts w:ascii="Arial MT" w:eastAsia="Calibri" w:hAnsi="Arial MT"/>
          <w:szCs w:val="18"/>
          <w:lang w:val="uz-Cyrl-UZ"/>
        </w:rPr>
        <w:t>An objective, comprehensive assessment of the quality of various grains and flour varieties based on them is also based on their rheological properties (Aguiar et al., 2021). A comparative assessment of the rheological properties of composite mixtures (using mixolab) was conducted. During the conducted research, the following indicators of the rheological properties of the dough were recorded for all studied samples.</w:t>
      </w:r>
    </w:p>
    <w:p w14:paraId="69AC6FF8" w14:textId="65E3BBB4" w:rsidR="00EC4016" w:rsidRPr="00EC4016" w:rsidRDefault="00A46918" w:rsidP="00F776B3">
      <w:pPr>
        <w:pStyle w:val="CETTabletitle"/>
        <w:rPr>
          <w:rFonts w:eastAsia="Calibri"/>
          <w:lang w:val="uz-Cyrl-UZ"/>
        </w:rPr>
      </w:pPr>
      <w:r w:rsidRPr="00A46918">
        <w:rPr>
          <w:rFonts w:eastAsia="Calibri"/>
          <w:lang w:val="en-US"/>
        </w:rPr>
        <w:t>Table 1: Profile indices of the mixolab.</w:t>
      </w:r>
    </w:p>
    <w:tbl>
      <w:tblPr>
        <w:tblStyle w:val="-13"/>
        <w:tblW w:w="8789" w:type="dxa"/>
        <w:tblLayout w:type="fixed"/>
        <w:tblLook w:val="04A0" w:firstRow="1" w:lastRow="0" w:firstColumn="1" w:lastColumn="0" w:noHBand="0" w:noVBand="1"/>
      </w:tblPr>
      <w:tblGrid>
        <w:gridCol w:w="1985"/>
        <w:gridCol w:w="1134"/>
        <w:gridCol w:w="1134"/>
        <w:gridCol w:w="992"/>
        <w:gridCol w:w="1134"/>
        <w:gridCol w:w="992"/>
        <w:gridCol w:w="1418"/>
      </w:tblGrid>
      <w:tr w:rsidR="00A46918" w:rsidRPr="00F776B3" w14:paraId="00815C30" w14:textId="77777777" w:rsidTr="00F776B3">
        <w:trPr>
          <w:cnfStyle w:val="100000000000" w:firstRow="1" w:lastRow="0" w:firstColumn="0" w:lastColumn="0" w:oddVBand="0" w:evenVBand="0" w:oddHBand="0"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1985" w:type="dxa"/>
            <w:vMerge w:val="restart"/>
            <w:tcBorders>
              <w:top w:val="single" w:sz="12" w:space="0" w:color="9BBB59" w:themeColor="accent3"/>
              <w:left w:val="single" w:sz="4" w:space="0" w:color="FFFFFF" w:themeColor="background1"/>
              <w:right w:val="single" w:sz="4" w:space="0" w:color="FFFFFF" w:themeColor="background1"/>
            </w:tcBorders>
            <w:vAlign w:val="center"/>
          </w:tcPr>
          <w:p w14:paraId="17507761" w14:textId="5F25E1AE" w:rsidR="00EC4016" w:rsidRPr="00F776B3" w:rsidRDefault="00A46918" w:rsidP="005C1934">
            <w:pPr>
              <w:widowControl w:val="0"/>
              <w:tabs>
                <w:tab w:val="clear" w:pos="7100"/>
              </w:tabs>
              <w:spacing w:line="259" w:lineRule="auto"/>
              <w:jc w:val="center"/>
              <w:rPr>
                <w:rFonts w:eastAsia="Calibri" w:cs="Arial"/>
                <w:b w:val="0"/>
                <w:szCs w:val="18"/>
                <w:lang w:val="uz-Cyrl-UZ"/>
              </w:rPr>
            </w:pPr>
            <w:r w:rsidRPr="00F776B3">
              <w:rPr>
                <w:rFonts w:eastAsia="Calibri" w:cs="Arial"/>
                <w:b w:val="0"/>
                <w:szCs w:val="18"/>
                <w:lang w:val="uz-Cyrl-UZ"/>
              </w:rPr>
              <w:t>Flour samples</w:t>
            </w:r>
          </w:p>
        </w:tc>
        <w:tc>
          <w:tcPr>
            <w:tcW w:w="6804" w:type="dxa"/>
            <w:gridSpan w:val="6"/>
            <w:tcBorders>
              <w:top w:val="single" w:sz="12"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05008880" w14:textId="32BE2EB1" w:rsidR="00EC4016" w:rsidRPr="00F776B3" w:rsidRDefault="00A46918" w:rsidP="00F776B3">
            <w:pPr>
              <w:widowControl w:val="0"/>
              <w:tabs>
                <w:tab w:val="clear" w:pos="7100"/>
              </w:tabs>
              <w:spacing w:line="259" w:lineRule="auto"/>
              <w:jc w:val="center"/>
              <w:cnfStyle w:val="100000000000" w:firstRow="1" w:lastRow="0" w:firstColumn="0" w:lastColumn="0" w:oddVBand="0" w:evenVBand="0" w:oddHBand="0" w:evenHBand="0" w:firstRowFirstColumn="0" w:firstRowLastColumn="0" w:lastRowFirstColumn="0" w:lastRowLastColumn="0"/>
              <w:rPr>
                <w:rFonts w:eastAsia="Calibri" w:cs="Arial"/>
                <w:b w:val="0"/>
                <w:szCs w:val="18"/>
                <w:lang w:val="uz-Cyrl-UZ"/>
              </w:rPr>
            </w:pPr>
            <w:r w:rsidRPr="00F776B3">
              <w:rPr>
                <w:rFonts w:eastAsia="Calibri" w:cs="Arial"/>
                <w:b w:val="0"/>
                <w:szCs w:val="18"/>
                <w:lang w:val="uz-Cyrl-UZ"/>
              </w:rPr>
              <w:t>Mixolab indices</w:t>
            </w:r>
          </w:p>
        </w:tc>
      </w:tr>
      <w:tr w:rsidR="005C1934" w:rsidRPr="00F776B3" w14:paraId="0802727D" w14:textId="77777777" w:rsidTr="00F776B3">
        <w:trPr>
          <w:trHeight w:val="551"/>
        </w:trPr>
        <w:tc>
          <w:tcPr>
            <w:cnfStyle w:val="001000000000" w:firstRow="0" w:lastRow="0" w:firstColumn="1" w:lastColumn="0" w:oddVBand="0" w:evenVBand="0" w:oddHBand="0" w:evenHBand="0" w:firstRowFirstColumn="0" w:firstRowLastColumn="0" w:lastRowFirstColumn="0" w:lastRowLastColumn="0"/>
            <w:tcW w:w="1985" w:type="dxa"/>
            <w:vMerge/>
            <w:tcBorders>
              <w:left w:val="single" w:sz="4" w:space="0" w:color="FFFFFF" w:themeColor="background1"/>
              <w:bottom w:val="single" w:sz="4" w:space="0" w:color="9BBB59" w:themeColor="accent3"/>
              <w:right w:val="single" w:sz="4" w:space="0" w:color="FFFFFF" w:themeColor="background1"/>
            </w:tcBorders>
          </w:tcPr>
          <w:p w14:paraId="7DBA4E10" w14:textId="77777777" w:rsidR="00EC4016" w:rsidRPr="00F776B3" w:rsidRDefault="00EC4016" w:rsidP="008F3C93">
            <w:pPr>
              <w:widowControl w:val="0"/>
              <w:tabs>
                <w:tab w:val="clear" w:pos="7100"/>
              </w:tabs>
              <w:spacing w:line="259" w:lineRule="auto"/>
              <w:jc w:val="center"/>
              <w:rPr>
                <w:rFonts w:eastAsia="Calibri" w:cs="Arial"/>
                <w:szCs w:val="18"/>
                <w:lang w:val="uz-Cyrl-UZ"/>
              </w:rPr>
            </w:pPr>
          </w:p>
        </w:tc>
        <w:tc>
          <w:tcPr>
            <w:tcW w:w="1134" w:type="dxa"/>
            <w:tcBorders>
              <w:top w:val="single" w:sz="12"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6F51B798" w14:textId="30D08DF5" w:rsidR="00EC4016" w:rsidRPr="00AB3A27" w:rsidRDefault="00A46918"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ru-RU"/>
              </w:rPr>
            </w:pPr>
            <w:r w:rsidRPr="00F776B3">
              <w:rPr>
                <w:rFonts w:eastAsia="Calibri" w:cs="Arial"/>
                <w:szCs w:val="18"/>
                <w:lang w:val="uz-Cyrl-UZ"/>
              </w:rPr>
              <w:t>Water absorption capacity</w:t>
            </w:r>
          </w:p>
        </w:tc>
        <w:tc>
          <w:tcPr>
            <w:tcW w:w="1134" w:type="dxa"/>
            <w:tcBorders>
              <w:top w:val="single" w:sz="12"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2CFD2A4C" w14:textId="36782381" w:rsidR="00EC4016" w:rsidRPr="00F776B3" w:rsidRDefault="00A46918"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Dough mixing</w:t>
            </w:r>
          </w:p>
        </w:tc>
        <w:tc>
          <w:tcPr>
            <w:tcW w:w="992" w:type="dxa"/>
            <w:tcBorders>
              <w:top w:val="single" w:sz="12"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074C64A1" w14:textId="43AEA5C3" w:rsidR="00EC4016" w:rsidRPr="00F776B3" w:rsidRDefault="002212E5"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Gluten</w:t>
            </w:r>
          </w:p>
        </w:tc>
        <w:tc>
          <w:tcPr>
            <w:tcW w:w="1134" w:type="dxa"/>
            <w:tcBorders>
              <w:top w:val="single" w:sz="12"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18BD1EC0" w14:textId="7EEEED3F" w:rsidR="00EC4016" w:rsidRPr="00F776B3" w:rsidRDefault="002212E5"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Viscosity</w:t>
            </w:r>
          </w:p>
        </w:tc>
        <w:tc>
          <w:tcPr>
            <w:tcW w:w="992" w:type="dxa"/>
            <w:tcBorders>
              <w:top w:val="single" w:sz="12"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2A517050" w14:textId="5456618C" w:rsidR="00EC4016" w:rsidRPr="00F776B3" w:rsidRDefault="002212E5"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Amylase</w:t>
            </w:r>
          </w:p>
        </w:tc>
        <w:tc>
          <w:tcPr>
            <w:tcW w:w="1418" w:type="dxa"/>
            <w:tcBorders>
              <w:top w:val="single" w:sz="12"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114E6842" w14:textId="3CDFD851" w:rsidR="00EC4016" w:rsidRPr="00F776B3" w:rsidRDefault="002212E5"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Retrogradation of starch</w:t>
            </w:r>
          </w:p>
        </w:tc>
      </w:tr>
      <w:tr w:rsidR="00A46918" w:rsidRPr="00F776B3" w14:paraId="5F92AD06" w14:textId="77777777" w:rsidTr="00F776B3">
        <w:trPr>
          <w:trHeight w:val="30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tcPr>
          <w:p w14:paraId="60EED5F6" w14:textId="4CC6ED53" w:rsidR="00EC4016" w:rsidRPr="00F776B3" w:rsidRDefault="002212E5" w:rsidP="008F3C93">
            <w:pPr>
              <w:widowControl w:val="0"/>
              <w:tabs>
                <w:tab w:val="clear" w:pos="7100"/>
              </w:tabs>
              <w:spacing w:line="259" w:lineRule="auto"/>
              <w:rPr>
                <w:rFonts w:eastAsia="Calibri" w:cs="Arial"/>
                <w:b w:val="0"/>
                <w:szCs w:val="18"/>
                <w:lang w:val="en-US"/>
              </w:rPr>
            </w:pPr>
            <w:r w:rsidRPr="00F776B3">
              <w:rPr>
                <w:rFonts w:eastAsia="Calibri" w:cs="Arial"/>
                <w:b w:val="0"/>
                <w:szCs w:val="18"/>
                <w:lang w:val="uz-Cyrl-UZ"/>
              </w:rPr>
              <w:t>wheat flour</w:t>
            </w:r>
            <w:r w:rsidRPr="00F776B3">
              <w:rPr>
                <w:rFonts w:eastAsia="Calibri" w:cs="Arial"/>
                <w:b w:val="0"/>
                <w:szCs w:val="18"/>
                <w:lang w:val="en-US"/>
              </w:rPr>
              <w:t>-</w:t>
            </w:r>
            <w:r w:rsidRPr="00F776B3">
              <w:rPr>
                <w:rFonts w:eastAsia="Calibri" w:cs="Arial"/>
                <w:b w:val="0"/>
                <w:szCs w:val="18"/>
                <w:lang w:val="uz-Cyrl-UZ"/>
              </w:rPr>
              <w:t>100%</w:t>
            </w:r>
          </w:p>
        </w:tc>
        <w:tc>
          <w:tcPr>
            <w:tcW w:w="1134"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4593332E"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4</w:t>
            </w:r>
          </w:p>
        </w:tc>
        <w:tc>
          <w:tcPr>
            <w:tcW w:w="1134"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3B1F4C5E"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5</w:t>
            </w:r>
          </w:p>
        </w:tc>
        <w:tc>
          <w:tcPr>
            <w:tcW w:w="992"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3AC19820"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2</w:t>
            </w:r>
          </w:p>
        </w:tc>
        <w:tc>
          <w:tcPr>
            <w:tcW w:w="1134"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2FF5E5A2"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2</w:t>
            </w:r>
          </w:p>
        </w:tc>
        <w:tc>
          <w:tcPr>
            <w:tcW w:w="992"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077741CF"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6</w:t>
            </w:r>
          </w:p>
        </w:tc>
        <w:tc>
          <w:tcPr>
            <w:tcW w:w="1418"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05246065"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6</w:t>
            </w:r>
          </w:p>
        </w:tc>
      </w:tr>
      <w:tr w:rsidR="005C1934" w:rsidRPr="00F776B3" w14:paraId="654A1D69" w14:textId="77777777" w:rsidTr="00F776B3">
        <w:trPr>
          <w:trHeight w:val="291"/>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tcPr>
          <w:p w14:paraId="525AA6C1" w14:textId="77777777" w:rsidR="002212E5" w:rsidRPr="00F776B3" w:rsidRDefault="002212E5" w:rsidP="002212E5">
            <w:pPr>
              <w:widowControl w:val="0"/>
              <w:tabs>
                <w:tab w:val="clear" w:pos="7100"/>
              </w:tabs>
              <w:spacing w:line="259" w:lineRule="auto"/>
              <w:rPr>
                <w:rFonts w:eastAsia="Calibri" w:cs="Arial"/>
                <w:b w:val="0"/>
                <w:szCs w:val="18"/>
                <w:lang w:val="ru-RU"/>
              </w:rPr>
            </w:pPr>
            <w:r w:rsidRPr="00F776B3">
              <w:rPr>
                <w:rFonts w:eastAsia="Calibri" w:cs="Arial"/>
                <w:b w:val="0"/>
                <w:szCs w:val="18"/>
                <w:lang w:val="ru-RU"/>
              </w:rPr>
              <w:t>buckwheat flour -7%</w:t>
            </w:r>
          </w:p>
          <w:p w14:paraId="6409DCF9" w14:textId="7ABC19DE" w:rsidR="00EC4016" w:rsidRPr="00F776B3" w:rsidRDefault="002212E5" w:rsidP="002212E5">
            <w:pPr>
              <w:widowControl w:val="0"/>
              <w:tabs>
                <w:tab w:val="clear" w:pos="7100"/>
              </w:tabs>
              <w:spacing w:line="259" w:lineRule="auto"/>
              <w:rPr>
                <w:rFonts w:eastAsia="Calibri" w:cs="Arial"/>
                <w:b w:val="0"/>
                <w:szCs w:val="18"/>
                <w:lang w:val="uz-Cyrl-UZ"/>
              </w:rPr>
            </w:pPr>
            <w:r w:rsidRPr="00F776B3">
              <w:rPr>
                <w:rFonts w:eastAsia="Calibri" w:cs="Arial"/>
                <w:b w:val="0"/>
                <w:szCs w:val="18"/>
                <w:lang w:val="ru-RU"/>
              </w:rPr>
              <w:t>soy flour-2%</w:t>
            </w:r>
          </w:p>
        </w:tc>
        <w:tc>
          <w:tcPr>
            <w:tcW w:w="1134"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696F29B3"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4</w:t>
            </w:r>
          </w:p>
        </w:tc>
        <w:tc>
          <w:tcPr>
            <w:tcW w:w="1134"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689FB1C9"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5</w:t>
            </w:r>
          </w:p>
        </w:tc>
        <w:tc>
          <w:tcPr>
            <w:tcW w:w="992"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51744C3A"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2</w:t>
            </w:r>
          </w:p>
        </w:tc>
        <w:tc>
          <w:tcPr>
            <w:tcW w:w="1134"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759D2F99"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2</w:t>
            </w:r>
          </w:p>
        </w:tc>
        <w:tc>
          <w:tcPr>
            <w:tcW w:w="992"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2A37FB51"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6</w:t>
            </w:r>
          </w:p>
        </w:tc>
        <w:tc>
          <w:tcPr>
            <w:tcW w:w="1418"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40B11A48"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6</w:t>
            </w:r>
          </w:p>
        </w:tc>
      </w:tr>
      <w:tr w:rsidR="00A46918" w:rsidRPr="00F776B3" w14:paraId="36926D20" w14:textId="77777777" w:rsidTr="00F776B3">
        <w:trPr>
          <w:trHeight w:val="431"/>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tcPr>
          <w:p w14:paraId="118AF721" w14:textId="3683B7C3" w:rsidR="002212E5" w:rsidRPr="00F776B3" w:rsidRDefault="002212E5" w:rsidP="002212E5">
            <w:pPr>
              <w:widowControl w:val="0"/>
              <w:tabs>
                <w:tab w:val="clear" w:pos="7100"/>
              </w:tabs>
              <w:spacing w:line="259" w:lineRule="auto"/>
              <w:rPr>
                <w:rFonts w:eastAsia="Calibri" w:cs="Arial"/>
                <w:b w:val="0"/>
                <w:szCs w:val="18"/>
                <w:lang w:val="en-US"/>
              </w:rPr>
            </w:pPr>
            <w:r w:rsidRPr="00F776B3">
              <w:rPr>
                <w:rFonts w:eastAsia="Calibri" w:cs="Arial"/>
                <w:b w:val="0"/>
                <w:szCs w:val="18"/>
                <w:lang w:val="ru-RU"/>
              </w:rPr>
              <w:t>buckwheat flour</w:t>
            </w:r>
            <w:r w:rsidRPr="00F776B3">
              <w:rPr>
                <w:rFonts w:eastAsia="Calibri" w:cs="Arial"/>
                <w:b w:val="0"/>
                <w:szCs w:val="18"/>
                <w:lang w:val="en-US"/>
              </w:rPr>
              <w:t>-10%</w:t>
            </w:r>
          </w:p>
          <w:p w14:paraId="18B90844" w14:textId="54AC0EF5" w:rsidR="00EC4016" w:rsidRPr="00F776B3" w:rsidRDefault="002212E5" w:rsidP="008F3C93">
            <w:pPr>
              <w:widowControl w:val="0"/>
              <w:tabs>
                <w:tab w:val="clear" w:pos="7100"/>
              </w:tabs>
              <w:spacing w:line="259" w:lineRule="auto"/>
              <w:rPr>
                <w:rFonts w:eastAsia="Calibri" w:cs="Arial"/>
                <w:b w:val="0"/>
                <w:szCs w:val="18"/>
                <w:lang w:val="ru-RU"/>
              </w:rPr>
            </w:pPr>
            <w:r w:rsidRPr="00F776B3">
              <w:rPr>
                <w:rFonts w:eastAsia="Calibri" w:cs="Arial"/>
                <w:b w:val="0"/>
                <w:szCs w:val="18"/>
                <w:lang w:val="ru-RU"/>
              </w:rPr>
              <w:t>soy flour 5%</w:t>
            </w:r>
          </w:p>
        </w:tc>
        <w:tc>
          <w:tcPr>
            <w:tcW w:w="1134"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0D7EE5A8"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4</w:t>
            </w:r>
          </w:p>
        </w:tc>
        <w:tc>
          <w:tcPr>
            <w:tcW w:w="1134"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583D2669"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5</w:t>
            </w:r>
          </w:p>
        </w:tc>
        <w:tc>
          <w:tcPr>
            <w:tcW w:w="992"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3CF775D1"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2</w:t>
            </w:r>
          </w:p>
        </w:tc>
        <w:tc>
          <w:tcPr>
            <w:tcW w:w="1134"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7C6FAD70"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2</w:t>
            </w:r>
          </w:p>
        </w:tc>
        <w:tc>
          <w:tcPr>
            <w:tcW w:w="992"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635D8BB6"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5</w:t>
            </w:r>
          </w:p>
        </w:tc>
        <w:tc>
          <w:tcPr>
            <w:tcW w:w="1418"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16C59FDC"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6</w:t>
            </w:r>
          </w:p>
        </w:tc>
      </w:tr>
      <w:tr w:rsidR="005C1934" w:rsidRPr="00F776B3" w14:paraId="24771845" w14:textId="77777777" w:rsidTr="00F776B3">
        <w:trPr>
          <w:trHeight w:val="30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tcPr>
          <w:p w14:paraId="2A7132ED" w14:textId="6B52CFD6" w:rsidR="00EC4016" w:rsidRPr="00F776B3" w:rsidRDefault="002212E5" w:rsidP="008F3C93">
            <w:pPr>
              <w:widowControl w:val="0"/>
              <w:tabs>
                <w:tab w:val="clear" w:pos="7100"/>
              </w:tabs>
              <w:spacing w:line="259" w:lineRule="auto"/>
              <w:rPr>
                <w:rFonts w:eastAsia="Calibri" w:cs="Arial"/>
                <w:b w:val="0"/>
                <w:szCs w:val="18"/>
                <w:lang w:val="uz-Cyrl-UZ"/>
              </w:rPr>
            </w:pPr>
            <w:r w:rsidRPr="00F776B3">
              <w:rPr>
                <w:rFonts w:eastAsia="Calibri" w:cs="Arial"/>
                <w:b w:val="0"/>
                <w:szCs w:val="18"/>
                <w:lang w:val="ru-RU"/>
              </w:rPr>
              <w:t>buckwheat flour</w:t>
            </w:r>
            <w:r w:rsidR="00EC4016" w:rsidRPr="00F776B3">
              <w:rPr>
                <w:rFonts w:eastAsia="Calibri" w:cs="Arial"/>
                <w:b w:val="0"/>
                <w:szCs w:val="18"/>
                <w:lang w:val="uz-Cyrl-UZ"/>
              </w:rPr>
              <w:t xml:space="preserve"> - 13%</w:t>
            </w:r>
          </w:p>
          <w:p w14:paraId="53BB80D1" w14:textId="453F738A" w:rsidR="00EC4016" w:rsidRPr="00F776B3" w:rsidRDefault="002212E5" w:rsidP="008F3C93">
            <w:pPr>
              <w:widowControl w:val="0"/>
              <w:tabs>
                <w:tab w:val="clear" w:pos="7100"/>
              </w:tabs>
              <w:spacing w:line="259" w:lineRule="auto"/>
              <w:rPr>
                <w:rFonts w:eastAsia="Calibri" w:cs="Arial"/>
                <w:b w:val="0"/>
                <w:szCs w:val="18"/>
                <w:lang w:val="uz-Cyrl-UZ"/>
              </w:rPr>
            </w:pPr>
            <w:r w:rsidRPr="00F776B3">
              <w:rPr>
                <w:rFonts w:eastAsia="Calibri" w:cs="Arial"/>
                <w:b w:val="0"/>
                <w:szCs w:val="18"/>
                <w:lang w:val="ru-RU"/>
              </w:rPr>
              <w:t>soy flour</w:t>
            </w:r>
            <w:r w:rsidRPr="00F776B3">
              <w:rPr>
                <w:rFonts w:eastAsia="Calibri" w:cs="Arial"/>
                <w:b w:val="0"/>
                <w:szCs w:val="18"/>
                <w:lang w:val="uz-Cyrl-UZ"/>
              </w:rPr>
              <w:t xml:space="preserve"> </w:t>
            </w:r>
            <w:r w:rsidR="00EC4016" w:rsidRPr="00F776B3">
              <w:rPr>
                <w:rFonts w:eastAsia="Calibri" w:cs="Arial"/>
                <w:b w:val="0"/>
                <w:szCs w:val="18"/>
                <w:lang w:val="uz-Cyrl-UZ"/>
              </w:rPr>
              <w:t>- 8%</w:t>
            </w:r>
          </w:p>
        </w:tc>
        <w:tc>
          <w:tcPr>
            <w:tcW w:w="1134"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5B49C025"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4</w:t>
            </w:r>
          </w:p>
        </w:tc>
        <w:tc>
          <w:tcPr>
            <w:tcW w:w="1134"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375D2CB3"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5</w:t>
            </w:r>
          </w:p>
        </w:tc>
        <w:tc>
          <w:tcPr>
            <w:tcW w:w="992"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0C88A007"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1</w:t>
            </w:r>
          </w:p>
        </w:tc>
        <w:tc>
          <w:tcPr>
            <w:tcW w:w="1134"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706FED94"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2</w:t>
            </w:r>
          </w:p>
        </w:tc>
        <w:tc>
          <w:tcPr>
            <w:tcW w:w="992"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10FA3A15"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5</w:t>
            </w:r>
          </w:p>
        </w:tc>
        <w:tc>
          <w:tcPr>
            <w:tcW w:w="1418"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6A930015"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6</w:t>
            </w:r>
          </w:p>
        </w:tc>
      </w:tr>
      <w:tr w:rsidR="00A46918" w:rsidRPr="00F776B3" w14:paraId="5A83625E" w14:textId="77777777" w:rsidTr="00F776B3">
        <w:trPr>
          <w:trHeight w:val="30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tcPr>
          <w:p w14:paraId="07EAE576" w14:textId="7ED1B8FE" w:rsidR="00EC4016" w:rsidRPr="00F776B3" w:rsidRDefault="002212E5" w:rsidP="008F3C93">
            <w:pPr>
              <w:widowControl w:val="0"/>
              <w:tabs>
                <w:tab w:val="clear" w:pos="7100"/>
              </w:tabs>
              <w:spacing w:line="259" w:lineRule="auto"/>
              <w:rPr>
                <w:rFonts w:eastAsia="Calibri" w:cs="Arial"/>
                <w:b w:val="0"/>
                <w:szCs w:val="18"/>
                <w:lang w:val="uz-Cyrl-UZ"/>
              </w:rPr>
            </w:pPr>
            <w:r w:rsidRPr="00F776B3">
              <w:rPr>
                <w:rFonts w:eastAsia="Calibri" w:cs="Arial"/>
                <w:b w:val="0"/>
                <w:szCs w:val="18"/>
                <w:lang w:val="ru-RU"/>
              </w:rPr>
              <w:t>buckwheat flour</w:t>
            </w:r>
            <w:r w:rsidR="00EC4016" w:rsidRPr="00F776B3">
              <w:rPr>
                <w:rFonts w:eastAsia="Calibri" w:cs="Arial"/>
                <w:b w:val="0"/>
                <w:szCs w:val="18"/>
                <w:lang w:val="uz-Cyrl-UZ"/>
              </w:rPr>
              <w:t xml:space="preserve"> - 16%</w:t>
            </w:r>
          </w:p>
          <w:p w14:paraId="5971A3E7" w14:textId="01713738" w:rsidR="00EC4016" w:rsidRPr="00F776B3" w:rsidRDefault="002212E5" w:rsidP="008F3C93">
            <w:pPr>
              <w:widowControl w:val="0"/>
              <w:tabs>
                <w:tab w:val="clear" w:pos="7100"/>
              </w:tabs>
              <w:spacing w:line="259" w:lineRule="auto"/>
              <w:rPr>
                <w:rFonts w:eastAsia="Calibri" w:cs="Arial"/>
                <w:b w:val="0"/>
                <w:szCs w:val="18"/>
                <w:lang w:val="uz-Cyrl-UZ"/>
              </w:rPr>
            </w:pPr>
            <w:r w:rsidRPr="00F776B3">
              <w:rPr>
                <w:rFonts w:eastAsia="Calibri" w:cs="Arial"/>
                <w:b w:val="0"/>
                <w:szCs w:val="18"/>
                <w:lang w:val="ru-RU"/>
              </w:rPr>
              <w:t>soy flour</w:t>
            </w:r>
            <w:r w:rsidRPr="00F776B3">
              <w:rPr>
                <w:rFonts w:eastAsia="Calibri" w:cs="Arial"/>
                <w:b w:val="0"/>
                <w:szCs w:val="18"/>
                <w:lang w:val="uz-Cyrl-UZ"/>
              </w:rPr>
              <w:t xml:space="preserve"> </w:t>
            </w:r>
            <w:r w:rsidR="00EC4016" w:rsidRPr="00F776B3">
              <w:rPr>
                <w:rFonts w:eastAsia="Calibri" w:cs="Arial"/>
                <w:b w:val="0"/>
                <w:szCs w:val="18"/>
                <w:lang w:val="uz-Cyrl-UZ"/>
              </w:rPr>
              <w:t>- 11%</w:t>
            </w:r>
          </w:p>
        </w:tc>
        <w:tc>
          <w:tcPr>
            <w:tcW w:w="1134"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77A9AC0E"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4</w:t>
            </w:r>
          </w:p>
        </w:tc>
        <w:tc>
          <w:tcPr>
            <w:tcW w:w="1134"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433A9ECE"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4</w:t>
            </w:r>
          </w:p>
        </w:tc>
        <w:tc>
          <w:tcPr>
            <w:tcW w:w="992"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3AEB1948"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1</w:t>
            </w:r>
          </w:p>
        </w:tc>
        <w:tc>
          <w:tcPr>
            <w:tcW w:w="1134"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6835ADD4"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1</w:t>
            </w:r>
          </w:p>
        </w:tc>
        <w:tc>
          <w:tcPr>
            <w:tcW w:w="992"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6E5A9393"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5</w:t>
            </w:r>
          </w:p>
        </w:tc>
        <w:tc>
          <w:tcPr>
            <w:tcW w:w="1418" w:type="dxa"/>
            <w:tcBorders>
              <w:top w:val="single" w:sz="4" w:space="0" w:color="9BBB59" w:themeColor="accent3"/>
              <w:left w:val="single" w:sz="4" w:space="0" w:color="FFFFFF" w:themeColor="background1"/>
              <w:bottom w:val="single" w:sz="4" w:space="0" w:color="9BBB59" w:themeColor="accent3"/>
              <w:right w:val="single" w:sz="4" w:space="0" w:color="FFFFFF" w:themeColor="background1"/>
            </w:tcBorders>
            <w:vAlign w:val="center"/>
          </w:tcPr>
          <w:p w14:paraId="23DC6E62"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6</w:t>
            </w:r>
          </w:p>
        </w:tc>
      </w:tr>
      <w:tr w:rsidR="005C1934" w:rsidRPr="00F776B3" w14:paraId="4D8C7E8C" w14:textId="77777777" w:rsidTr="00F776B3">
        <w:trPr>
          <w:trHeight w:val="30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9BBB59" w:themeColor="accent3"/>
              <w:left w:val="single" w:sz="4" w:space="0" w:color="FFFFFF" w:themeColor="background1"/>
              <w:bottom w:val="single" w:sz="12" w:space="0" w:color="9BBB59" w:themeColor="accent3"/>
              <w:right w:val="single" w:sz="4" w:space="0" w:color="FFFFFF" w:themeColor="background1"/>
            </w:tcBorders>
          </w:tcPr>
          <w:p w14:paraId="7D6195E6" w14:textId="3D996401" w:rsidR="00EC4016" w:rsidRPr="00F776B3" w:rsidRDefault="002212E5" w:rsidP="008F3C93">
            <w:pPr>
              <w:widowControl w:val="0"/>
              <w:tabs>
                <w:tab w:val="clear" w:pos="7100"/>
              </w:tabs>
              <w:spacing w:line="259" w:lineRule="auto"/>
              <w:rPr>
                <w:rFonts w:eastAsia="Calibri" w:cs="Arial"/>
                <w:b w:val="0"/>
                <w:szCs w:val="18"/>
                <w:lang w:val="uz-Cyrl-UZ"/>
              </w:rPr>
            </w:pPr>
            <w:r w:rsidRPr="00F776B3">
              <w:rPr>
                <w:rFonts w:eastAsia="Calibri" w:cs="Arial"/>
                <w:b w:val="0"/>
                <w:szCs w:val="18"/>
                <w:lang w:val="ru-RU"/>
              </w:rPr>
              <w:t>buckwheat flour</w:t>
            </w:r>
            <w:r w:rsidR="00EC4016" w:rsidRPr="00F776B3">
              <w:rPr>
                <w:rFonts w:eastAsia="Calibri" w:cs="Arial"/>
                <w:b w:val="0"/>
                <w:szCs w:val="18"/>
                <w:lang w:val="uz-Cyrl-UZ"/>
              </w:rPr>
              <w:t xml:space="preserve"> - 19%</w:t>
            </w:r>
          </w:p>
          <w:p w14:paraId="23C08C05" w14:textId="1653695A" w:rsidR="00EC4016" w:rsidRPr="00F776B3" w:rsidRDefault="002212E5" w:rsidP="008F3C93">
            <w:pPr>
              <w:widowControl w:val="0"/>
              <w:tabs>
                <w:tab w:val="clear" w:pos="7100"/>
              </w:tabs>
              <w:spacing w:line="259" w:lineRule="auto"/>
              <w:rPr>
                <w:rFonts w:eastAsia="Calibri" w:cs="Arial"/>
                <w:b w:val="0"/>
                <w:szCs w:val="18"/>
                <w:lang w:val="uz-Cyrl-UZ"/>
              </w:rPr>
            </w:pPr>
            <w:r w:rsidRPr="00F776B3">
              <w:rPr>
                <w:rFonts w:eastAsia="Calibri" w:cs="Arial"/>
                <w:b w:val="0"/>
                <w:szCs w:val="18"/>
                <w:lang w:val="ru-RU"/>
              </w:rPr>
              <w:t>soy flour</w:t>
            </w:r>
            <w:r w:rsidRPr="00F776B3">
              <w:rPr>
                <w:rFonts w:eastAsia="Calibri" w:cs="Arial"/>
                <w:b w:val="0"/>
                <w:szCs w:val="18"/>
                <w:lang w:val="uz-Cyrl-UZ"/>
              </w:rPr>
              <w:t xml:space="preserve"> </w:t>
            </w:r>
            <w:r w:rsidR="00EC4016" w:rsidRPr="00F776B3">
              <w:rPr>
                <w:rFonts w:eastAsia="Calibri" w:cs="Arial"/>
                <w:b w:val="0"/>
                <w:szCs w:val="18"/>
                <w:lang w:val="uz-Cyrl-UZ"/>
              </w:rPr>
              <w:t>- 13%</w:t>
            </w:r>
          </w:p>
        </w:tc>
        <w:tc>
          <w:tcPr>
            <w:tcW w:w="1134" w:type="dxa"/>
            <w:tcBorders>
              <w:top w:val="single" w:sz="4" w:space="0" w:color="9BBB59" w:themeColor="accent3"/>
              <w:left w:val="single" w:sz="4" w:space="0" w:color="FFFFFF" w:themeColor="background1"/>
              <w:bottom w:val="single" w:sz="12" w:space="0" w:color="9BBB59" w:themeColor="accent3"/>
              <w:right w:val="single" w:sz="4" w:space="0" w:color="FFFFFF" w:themeColor="background1"/>
            </w:tcBorders>
            <w:vAlign w:val="center"/>
          </w:tcPr>
          <w:p w14:paraId="2CC87236"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5</w:t>
            </w:r>
          </w:p>
        </w:tc>
        <w:tc>
          <w:tcPr>
            <w:tcW w:w="1134" w:type="dxa"/>
            <w:tcBorders>
              <w:top w:val="single" w:sz="4" w:space="0" w:color="9BBB59" w:themeColor="accent3"/>
              <w:left w:val="single" w:sz="4" w:space="0" w:color="FFFFFF" w:themeColor="background1"/>
              <w:bottom w:val="single" w:sz="12" w:space="0" w:color="9BBB59" w:themeColor="accent3"/>
              <w:right w:val="single" w:sz="4" w:space="0" w:color="FFFFFF" w:themeColor="background1"/>
            </w:tcBorders>
            <w:vAlign w:val="center"/>
          </w:tcPr>
          <w:p w14:paraId="20D245A8"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4</w:t>
            </w:r>
          </w:p>
        </w:tc>
        <w:tc>
          <w:tcPr>
            <w:tcW w:w="992" w:type="dxa"/>
            <w:tcBorders>
              <w:top w:val="single" w:sz="4" w:space="0" w:color="9BBB59" w:themeColor="accent3"/>
              <w:left w:val="single" w:sz="4" w:space="0" w:color="FFFFFF" w:themeColor="background1"/>
              <w:bottom w:val="single" w:sz="12" w:space="0" w:color="9BBB59" w:themeColor="accent3"/>
              <w:right w:val="single" w:sz="4" w:space="0" w:color="FFFFFF" w:themeColor="background1"/>
            </w:tcBorders>
            <w:vAlign w:val="center"/>
          </w:tcPr>
          <w:p w14:paraId="3DC6EECF"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1</w:t>
            </w:r>
          </w:p>
        </w:tc>
        <w:tc>
          <w:tcPr>
            <w:tcW w:w="1134" w:type="dxa"/>
            <w:tcBorders>
              <w:top w:val="single" w:sz="4" w:space="0" w:color="9BBB59" w:themeColor="accent3"/>
              <w:left w:val="single" w:sz="4" w:space="0" w:color="FFFFFF" w:themeColor="background1"/>
              <w:bottom w:val="single" w:sz="12" w:space="0" w:color="9BBB59" w:themeColor="accent3"/>
              <w:right w:val="single" w:sz="4" w:space="0" w:color="FFFFFF" w:themeColor="background1"/>
            </w:tcBorders>
            <w:vAlign w:val="center"/>
          </w:tcPr>
          <w:p w14:paraId="13C45E8F"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1</w:t>
            </w:r>
          </w:p>
        </w:tc>
        <w:tc>
          <w:tcPr>
            <w:tcW w:w="992" w:type="dxa"/>
            <w:tcBorders>
              <w:top w:val="single" w:sz="4" w:space="0" w:color="9BBB59" w:themeColor="accent3"/>
              <w:left w:val="single" w:sz="4" w:space="0" w:color="FFFFFF" w:themeColor="background1"/>
              <w:bottom w:val="single" w:sz="12" w:space="0" w:color="9BBB59" w:themeColor="accent3"/>
              <w:right w:val="single" w:sz="4" w:space="0" w:color="FFFFFF" w:themeColor="background1"/>
            </w:tcBorders>
            <w:vAlign w:val="center"/>
          </w:tcPr>
          <w:p w14:paraId="6F6C41E1"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4</w:t>
            </w:r>
          </w:p>
        </w:tc>
        <w:tc>
          <w:tcPr>
            <w:tcW w:w="1418" w:type="dxa"/>
            <w:tcBorders>
              <w:top w:val="single" w:sz="4" w:space="0" w:color="9BBB59" w:themeColor="accent3"/>
              <w:left w:val="single" w:sz="4" w:space="0" w:color="FFFFFF" w:themeColor="background1"/>
              <w:bottom w:val="single" w:sz="12" w:space="0" w:color="9BBB59" w:themeColor="accent3"/>
              <w:right w:val="single" w:sz="4" w:space="0" w:color="FFFFFF" w:themeColor="background1"/>
            </w:tcBorders>
            <w:vAlign w:val="center"/>
          </w:tcPr>
          <w:p w14:paraId="27283BD7" w14:textId="77777777" w:rsidR="00EC4016" w:rsidRPr="00F776B3" w:rsidRDefault="00EC4016" w:rsidP="00F776B3">
            <w:pPr>
              <w:widowControl w:val="0"/>
              <w:tabs>
                <w:tab w:val="clear" w:pos="7100"/>
              </w:tabs>
              <w:spacing w:line="259" w:lineRule="auto"/>
              <w:jc w:val="center"/>
              <w:cnfStyle w:val="000000000000" w:firstRow="0" w:lastRow="0" w:firstColumn="0" w:lastColumn="0" w:oddVBand="0" w:evenVBand="0" w:oddHBand="0" w:evenHBand="0" w:firstRowFirstColumn="0" w:firstRowLastColumn="0" w:lastRowFirstColumn="0" w:lastRowLastColumn="0"/>
              <w:rPr>
                <w:rFonts w:eastAsia="Calibri" w:cs="Arial"/>
                <w:szCs w:val="18"/>
                <w:lang w:val="uz-Cyrl-UZ"/>
              </w:rPr>
            </w:pPr>
            <w:r w:rsidRPr="00F776B3">
              <w:rPr>
                <w:rFonts w:eastAsia="Calibri" w:cs="Arial"/>
                <w:szCs w:val="18"/>
                <w:lang w:val="uz-Cyrl-UZ"/>
              </w:rPr>
              <w:t>6</w:t>
            </w:r>
          </w:p>
        </w:tc>
      </w:tr>
    </w:tbl>
    <w:p w14:paraId="2D2A754A" w14:textId="77777777" w:rsidR="00F776B3" w:rsidRDefault="00F776B3" w:rsidP="00F776B3">
      <w:pPr>
        <w:pStyle w:val="CETBodytext"/>
        <w:rPr>
          <w:rFonts w:eastAsia="Calibri"/>
        </w:rPr>
      </w:pPr>
    </w:p>
    <w:p w14:paraId="69E13974" w14:textId="7399E2C1" w:rsidR="00485B38" w:rsidRDefault="005246C2" w:rsidP="00F776B3">
      <w:pPr>
        <w:pStyle w:val="CETBodytext"/>
        <w:rPr>
          <w:rFonts w:eastAsia="Calibri"/>
        </w:rPr>
      </w:pPr>
      <w:r w:rsidRPr="005246C2">
        <w:rPr>
          <w:lang w:val="en-GB"/>
        </w:rPr>
        <w:t>Mixolab indices are dimensionless scores expressed on a 0–9 scale. Higher values indicate stronger expression of the corresponding rheological or enzymatic property: higher water absorption, higher dough stability during mixing, higher gluten resistance to heating, higher viscosity during heating, lower amylase activity, and greater starch retrogradation tendency</w:t>
      </w:r>
      <w:r>
        <w:rPr>
          <w:lang w:val="en-GB"/>
        </w:rPr>
        <w:t xml:space="preserve">. </w:t>
      </w:r>
      <w:r w:rsidR="002212E5" w:rsidRPr="002212E5">
        <w:rPr>
          <w:rFonts w:eastAsia="Calibri"/>
        </w:rPr>
        <w:t>The results obtained showe</w:t>
      </w:r>
      <w:r w:rsidR="0049442F">
        <w:rPr>
          <w:rFonts w:eastAsia="Calibri"/>
        </w:rPr>
        <w:t>d that the profile indices of mi</w:t>
      </w:r>
      <w:r w:rsidR="002212E5" w:rsidRPr="002212E5">
        <w:rPr>
          <w:rFonts w:eastAsia="Calibri"/>
        </w:rPr>
        <w:t>xolab in composite mixtures containing 10% buckwheat and 5% soybean flour are higher than in other samples. The results of the study showed that the stirring time decreases with an increase in the proportion of buckwheat and soybean flour in the composite mixture. That is, an increase in the "Water Absorption Index" was observed as the amount of buckwheat flour in the composite mixture increased. The amylase index decreased. This is explained by the fact that the velvet content of buckwheat flour contains 3 times more amylopectin than amylase</w:t>
      </w:r>
      <w:r w:rsidR="00BA5061">
        <w:rPr>
          <w:rFonts w:eastAsia="Calibri"/>
        </w:rPr>
        <w:fldChar w:fldCharType="begin"/>
      </w:r>
      <w:r w:rsidR="00E4306D">
        <w:rPr>
          <w:rFonts w:eastAsia="Calibri"/>
        </w:rPr>
        <w:instrText xml:space="preserve"> ADDIN ZOTERO_ITEM CSL_CITATION {"citationID":"Ttb9g1vI","properties":{"unsorted":false,"formattedCitation":"({\\i{}Buckwheat Seeds: Impact of Milling Fractions and Addition Level on Wheat Bread Dough Rheology}, \\uc0\\u1073{}. \\uc0\\u1076{}.)","plainCitation":"(Buckwheat Seeds: Impact of Milling Fractions and Addition Level on Wheat Bread Dough Rheology, </w:instrText>
      </w:r>
      <w:r w:rsidR="00E4306D">
        <w:rPr>
          <w:rFonts w:eastAsia="Calibri" w:hint="eastAsia"/>
        </w:rPr>
        <w:instrText>б</w:instrText>
      </w:r>
      <w:r w:rsidR="00E4306D">
        <w:rPr>
          <w:rFonts w:eastAsia="Calibri"/>
        </w:rPr>
        <w:instrText xml:space="preserve">. </w:instrText>
      </w:r>
      <w:r w:rsidR="00E4306D">
        <w:rPr>
          <w:rFonts w:eastAsia="Calibri" w:hint="eastAsia"/>
        </w:rPr>
        <w:instrText>д</w:instrText>
      </w:r>
      <w:r w:rsidR="00E4306D">
        <w:rPr>
          <w:rFonts w:eastAsia="Calibri"/>
        </w:rPr>
        <w:instrText xml:space="preserve">.)","dontUpdate":true,"noteIndex":0},"citationItems":[{"id":10,"uris":["http://zotero.org/users/20330494/items/97BTMT8W"],"itemData":{"id":10,"type":"webpage","title":"Buckwheat Seeds: Impact of Milling Fractions and Addition Level on Wheat Bread Dough Rheology","URL":"https://www.mdpi.com/2076-3417/11/4/1731","accessed":{"date-parts":[["2026",4,22]]}}}],"schema":"https://github.com/citation-style-language/schema/raw/master/csl-citation.json"} </w:instrText>
      </w:r>
      <w:r w:rsidR="00BA5061">
        <w:rPr>
          <w:rFonts w:eastAsia="Calibri"/>
        </w:rPr>
        <w:fldChar w:fldCharType="separate"/>
      </w:r>
      <w:r w:rsidR="00E8271B" w:rsidRPr="00E8271B">
        <w:rPr>
          <w:rFonts w:ascii="Helvetica" w:hAnsi="Helvetica"/>
          <w:color w:val="222222"/>
          <w:shd w:val="clear" w:color="auto" w:fill="FFFFFF"/>
        </w:rPr>
        <w:t xml:space="preserve"> </w:t>
      </w:r>
      <w:r w:rsidR="00E8271B">
        <w:rPr>
          <w:rFonts w:ascii="Helvetica" w:hAnsi="Helvetica"/>
          <w:color w:val="222222"/>
          <w:shd w:val="clear" w:color="auto" w:fill="FFFFFF"/>
        </w:rPr>
        <w:t>(Coțovanu, I and Mironeasa, S</w:t>
      </w:r>
      <w:r w:rsidR="00BA5061" w:rsidRPr="00BA5061">
        <w:rPr>
          <w:rFonts w:cs="Arial"/>
          <w:szCs w:val="24"/>
        </w:rPr>
        <w:t>.</w:t>
      </w:r>
      <w:r w:rsidR="00E8271B">
        <w:rPr>
          <w:rFonts w:cs="Arial"/>
          <w:szCs w:val="24"/>
        </w:rPr>
        <w:t>,2021</w:t>
      </w:r>
      <w:r w:rsidR="00BA5061" w:rsidRPr="00BA5061">
        <w:rPr>
          <w:rFonts w:cs="Arial"/>
          <w:szCs w:val="24"/>
        </w:rPr>
        <w:t>)</w:t>
      </w:r>
      <w:r w:rsidR="00BA5061">
        <w:rPr>
          <w:rFonts w:eastAsia="Calibri"/>
        </w:rPr>
        <w:fldChar w:fldCharType="end"/>
      </w:r>
      <w:r w:rsidR="002212E5" w:rsidRPr="002212E5">
        <w:rPr>
          <w:rFonts w:eastAsia="Calibri"/>
        </w:rPr>
        <w:t>. The gluten index began to deteriorate after the application of 10% buckwheat flour and 5% soybean flour, which can be explained by the absence of gluten-forming proteins in these flours.</w:t>
      </w:r>
      <w:r w:rsidR="00AD471E">
        <w:rPr>
          <w:rFonts w:eastAsia="Calibri"/>
        </w:rPr>
        <w:fldChar w:fldCharType="begin"/>
      </w:r>
      <w:r w:rsidR="00C361B9">
        <w:rPr>
          <w:rFonts w:eastAsia="Calibri"/>
        </w:rPr>
        <w:instrText xml:space="preserve"> ADDIN ZOTERO_ITEM CSL_CITATION {"citationID":"MxmvtbOP","properties":{"unsorted":false,"formattedCitation":"(Filip\\uc0\\u269{}ev \\uc0\\u1080{} \\uc0\\u1076{}\\uc0\\u1088{}., 2021)","plainCitation":"(Filip</w:instrText>
      </w:r>
      <w:r w:rsidR="00C361B9">
        <w:rPr>
          <w:rFonts w:eastAsia="Calibri" w:hint="eastAsia"/>
        </w:rPr>
        <w:instrText>č</w:instrText>
      </w:r>
      <w:r w:rsidR="00C361B9">
        <w:rPr>
          <w:rFonts w:eastAsia="Calibri"/>
        </w:rPr>
        <w:instrText xml:space="preserve">ev </w:instrText>
      </w:r>
      <w:r w:rsidR="00C361B9">
        <w:rPr>
          <w:rFonts w:eastAsia="Calibri" w:hint="eastAsia"/>
        </w:rPr>
        <w:instrText>и</w:instrText>
      </w:r>
      <w:r w:rsidR="00C361B9">
        <w:rPr>
          <w:rFonts w:eastAsia="Calibri"/>
        </w:rPr>
        <w:instrText xml:space="preserve"> </w:instrText>
      </w:r>
      <w:r w:rsidR="00C361B9">
        <w:rPr>
          <w:rFonts w:eastAsia="Calibri" w:hint="eastAsia"/>
        </w:rPr>
        <w:instrText>др</w:instrText>
      </w:r>
      <w:r w:rsidR="00C361B9">
        <w:rPr>
          <w:rFonts w:eastAsia="Calibri"/>
        </w:rPr>
        <w:instrText>., 2021)","dontUpdate":true,"noteIndex":0},"citationItems":[{"id":12,"uris":["http://zotero.org/users/20330494/items/8IJMKWZY"],"itemData":{"id":12,"type":"article-journal","abstract":"The effect of replacing commonly used hydrocolloids (i.e. xanthan (XTH), guar gum (GG), hydroxymethylcellulose (HPMC)) with psyllium on crumb texture, distribution of water populations and staling kinetics in gluten-free (GF) bread based on a blend of buckwheat and carob flour was studied. The addition of psyllium in GF formulation yielded bread with the softest and most resilient crumb. Psyllium was an effective anti-staling agent which significantly decreased the crumb hardening rate. The GF breads with psyllium and the hydrocolloids showed similar distribution of water populations, though psyllium tended to slightly increase their binding strength to the matrix. In the buckwheat/carob-based GF system, crumb firmness development was directly correlated to the amount of easily removable water population and inversely to the peak temperatures of strongly bound water which indicate higher bonding strength to the matrix. The results implied that psyllium and the tested hydrocolloids (i.e. XTH, GG, HPMC) can be interchangeably used to effectively control crumb texture and its evolution during storage of buckwheat/carob GF bread.","container-title":"LWT","DOI":"10.1016/j.lwt.2021.112156","ISSN":"0023-6438","journalAbbreviation":"LWT","page":"112156","source":"ScienceDirect","title":"Psyllium as an improver in gluten-free breads: Effect on volume, crumb texture, moisture binding and staling kinetics","title-short":"Psyllium as an improver in gluten-free breads","volume":"151","author":[{"family":"Filip</w:instrText>
      </w:r>
      <w:r w:rsidR="00C361B9">
        <w:rPr>
          <w:rFonts w:eastAsia="Calibri" w:hint="eastAsia"/>
        </w:rPr>
        <w:instrText>č</w:instrText>
      </w:r>
      <w:r w:rsidR="00C361B9">
        <w:rPr>
          <w:rFonts w:eastAsia="Calibri"/>
        </w:rPr>
        <w:instrText>ev","given":"Bojana"},{"family":"Poji</w:instrText>
      </w:r>
      <w:r w:rsidR="00C361B9">
        <w:rPr>
          <w:rFonts w:eastAsia="Calibri" w:hint="eastAsia"/>
        </w:rPr>
        <w:instrText>ć</w:instrText>
      </w:r>
      <w:r w:rsidR="00C361B9">
        <w:rPr>
          <w:rFonts w:eastAsia="Calibri"/>
        </w:rPr>
        <w:instrText>","given":"Milica"},{"family":"</w:instrText>
      </w:r>
      <w:r w:rsidR="00C361B9">
        <w:rPr>
          <w:rFonts w:eastAsia="Calibri" w:hint="eastAsia"/>
        </w:rPr>
        <w:instrText>Š</w:instrText>
      </w:r>
      <w:r w:rsidR="00C361B9">
        <w:rPr>
          <w:rFonts w:eastAsia="Calibri"/>
        </w:rPr>
        <w:instrText>imurina","given":"Olivera"},{"family":"Mi</w:instrText>
      </w:r>
      <w:r w:rsidR="00C361B9">
        <w:rPr>
          <w:rFonts w:eastAsia="Calibri" w:hint="eastAsia"/>
        </w:rPr>
        <w:instrText>š</w:instrText>
      </w:r>
      <w:r w:rsidR="00C361B9">
        <w:rPr>
          <w:rFonts w:eastAsia="Calibri"/>
        </w:rPr>
        <w:instrText>an","given":"Aleksandra"},{"family":"Mandi</w:instrText>
      </w:r>
      <w:r w:rsidR="00C361B9">
        <w:rPr>
          <w:rFonts w:eastAsia="Calibri" w:hint="eastAsia"/>
        </w:rPr>
        <w:instrText>ć</w:instrText>
      </w:r>
      <w:r w:rsidR="00C361B9">
        <w:rPr>
          <w:rFonts w:eastAsia="Calibri"/>
        </w:rPr>
        <w:instrText xml:space="preserve">","given":"Anamarija"}],"issued":{"date-parts":[["2021",11,1]]}}}],"schema":"https://github.com/citation-style-language/schema/raw/master/csl-citation.json"} </w:instrText>
      </w:r>
      <w:r w:rsidR="00AD471E">
        <w:rPr>
          <w:rFonts w:eastAsia="Calibri"/>
        </w:rPr>
        <w:fldChar w:fldCharType="separate"/>
      </w:r>
      <w:r w:rsidR="00AD471E" w:rsidRPr="00AD471E">
        <w:rPr>
          <w:rFonts w:cs="Arial"/>
          <w:szCs w:val="24"/>
        </w:rPr>
        <w:t>(</w:t>
      </w:r>
      <w:r w:rsidR="00C361B9" w:rsidRPr="00C361B9">
        <w:rPr>
          <w:rFonts w:eastAsia="Calibri"/>
        </w:rPr>
        <w:t xml:space="preserve"> </w:t>
      </w:r>
      <w:r w:rsidR="00C361B9" w:rsidRPr="00C361B9">
        <w:rPr>
          <w:rFonts w:cs="Arial"/>
          <w:szCs w:val="24"/>
        </w:rPr>
        <w:t>Aguiar et al</w:t>
      </w:r>
      <w:r w:rsidR="00AD471E" w:rsidRPr="00AD471E">
        <w:rPr>
          <w:rFonts w:cs="Arial"/>
          <w:szCs w:val="24"/>
        </w:rPr>
        <w:t>., 2021</w:t>
      </w:r>
      <w:r w:rsidR="00C361B9">
        <w:rPr>
          <w:rFonts w:cs="Arial"/>
          <w:szCs w:val="24"/>
        </w:rPr>
        <w:t>;</w:t>
      </w:r>
      <w:r w:rsidR="00AD471E">
        <w:rPr>
          <w:rFonts w:eastAsia="Calibri"/>
        </w:rPr>
        <w:fldChar w:fldCharType="end"/>
      </w:r>
      <w:r w:rsidR="00C361B9">
        <w:rPr>
          <w:rFonts w:eastAsia="Calibri"/>
        </w:rPr>
        <w:t xml:space="preserve"> </w:t>
      </w:r>
      <w:r w:rsidR="00C361B9">
        <w:rPr>
          <w:rFonts w:eastAsia="Calibri"/>
        </w:rPr>
        <w:fldChar w:fldCharType="begin"/>
      </w:r>
      <w:r w:rsidR="00E4306D">
        <w:rPr>
          <w:rFonts w:eastAsia="Calibri"/>
        </w:rPr>
        <w:instrText xml:space="preserve"> ADDIN ZOTERO_ITEM CSL_CITATION {"citationID":"bF3YhMSD","properties":{"unsorted":false,"formattedCitation":"(Filip\\uc0\\u269{}ev \\uc0\\u1080{} \\uc0\\u1076{}\\uc0\\u1088{}., 2021b)","plainCitation":"(Filip</w:instrText>
      </w:r>
      <w:r w:rsidR="00E4306D">
        <w:rPr>
          <w:rFonts w:eastAsia="Calibri" w:hint="eastAsia"/>
        </w:rPr>
        <w:instrText>č</w:instrText>
      </w:r>
      <w:r w:rsidR="00E4306D">
        <w:rPr>
          <w:rFonts w:eastAsia="Calibri"/>
        </w:rPr>
        <w:instrText xml:space="preserve">ev </w:instrText>
      </w:r>
      <w:r w:rsidR="00E4306D">
        <w:rPr>
          <w:rFonts w:eastAsia="Calibri" w:hint="eastAsia"/>
        </w:rPr>
        <w:instrText>и</w:instrText>
      </w:r>
      <w:r w:rsidR="00E4306D">
        <w:rPr>
          <w:rFonts w:eastAsia="Calibri"/>
        </w:rPr>
        <w:instrText xml:space="preserve"> </w:instrText>
      </w:r>
      <w:r w:rsidR="00E4306D">
        <w:rPr>
          <w:rFonts w:eastAsia="Calibri" w:hint="eastAsia"/>
        </w:rPr>
        <w:instrText>др</w:instrText>
      </w:r>
      <w:r w:rsidR="00E4306D">
        <w:rPr>
          <w:rFonts w:eastAsia="Calibri"/>
        </w:rPr>
        <w:instrText>., 2021b)","dontUpdate":true,"noteIndex":0},"citationItems":[{"id":16,"uris":["http://zotero.org/users/20330494/items/BES6VNS4"],"itemData":{"id":16,"type":"article-journal","abstract":"The effect of replacing commonly used hydrocolloids (i.e. xanthan (XTH), guar gum (GG), hydroxymethylcellulose (HPMC)) with psyllium on crumb texture, distribution of water populations and staling kinetics in gluten-free (GF) bread based on a blend of buckwheat and carob flour was studied. The addition of psyllium in GF formulation yielded bread with the softest and most resilient crumb. Psyllium was an effective anti-staling agent which significantly decreased the crumb hardening rate. The GF breads with psyllium and the hydrocolloids showed similar distribution of water populations, though psyllium tended to slightly increase their binding strength to the matrix. In the buckwheat/carob-based GF system, crumb firmness development was directly correlated to the amount of easily removable water population and inversely to the peak temperatures of strongly bound water which indicate higher bonding strength to the matrix. The results implied that psyllium and the tested hydrocolloids (i.e. XTH, GG, HPMC) can be interchangeably used to effectively control crumb texture and its evolution during storage of buckwheat/carob GF bread.","container-title":"LWT","DOI":"https://doi.org/10.1016/j.lwt.2021.112156","ISSN":"0023-6438","page":"112156","title":"Psyllium as an improver in gluten-free breads: Effect on volume, crumb texture, moisture binding and staling kinetics","volume":"151","author":[{"family":"Filip</w:instrText>
      </w:r>
      <w:r w:rsidR="00E4306D">
        <w:rPr>
          <w:rFonts w:eastAsia="Calibri" w:hint="eastAsia"/>
        </w:rPr>
        <w:instrText>č</w:instrText>
      </w:r>
      <w:r w:rsidR="00E4306D">
        <w:rPr>
          <w:rFonts w:eastAsia="Calibri"/>
        </w:rPr>
        <w:instrText>ev","given":"Bojana"},{"family":"Poji</w:instrText>
      </w:r>
      <w:r w:rsidR="00E4306D">
        <w:rPr>
          <w:rFonts w:eastAsia="Calibri" w:hint="eastAsia"/>
        </w:rPr>
        <w:instrText>ć</w:instrText>
      </w:r>
      <w:r w:rsidR="00E4306D">
        <w:rPr>
          <w:rFonts w:eastAsia="Calibri"/>
        </w:rPr>
        <w:instrText>","given":"Milica"},{"family":"</w:instrText>
      </w:r>
      <w:r w:rsidR="00E4306D">
        <w:rPr>
          <w:rFonts w:eastAsia="Calibri" w:hint="eastAsia"/>
        </w:rPr>
        <w:instrText>Š</w:instrText>
      </w:r>
      <w:r w:rsidR="00E4306D">
        <w:rPr>
          <w:rFonts w:eastAsia="Calibri"/>
        </w:rPr>
        <w:instrText>imurina","given":"Olivera"},{"family":"Mi</w:instrText>
      </w:r>
      <w:r w:rsidR="00E4306D">
        <w:rPr>
          <w:rFonts w:eastAsia="Calibri" w:hint="eastAsia"/>
        </w:rPr>
        <w:instrText>š</w:instrText>
      </w:r>
      <w:r w:rsidR="00E4306D">
        <w:rPr>
          <w:rFonts w:eastAsia="Calibri"/>
        </w:rPr>
        <w:instrText>an","given":"Aleksandra"},{"family":"Mandi</w:instrText>
      </w:r>
      <w:r w:rsidR="00E4306D">
        <w:rPr>
          <w:rFonts w:eastAsia="Calibri" w:hint="eastAsia"/>
        </w:rPr>
        <w:instrText>ć</w:instrText>
      </w:r>
      <w:r w:rsidR="00E4306D">
        <w:rPr>
          <w:rFonts w:eastAsia="Calibri"/>
        </w:rPr>
        <w:instrText xml:space="preserve">","given":"Anamarija"}],"issued":{"date-parts":[["2021"]]}}}],"schema":"https://github.com/citation-style-language/schema/raw/master/csl-citation.json"} </w:instrText>
      </w:r>
      <w:r w:rsidR="00C361B9">
        <w:rPr>
          <w:rFonts w:eastAsia="Calibri"/>
        </w:rPr>
        <w:fldChar w:fldCharType="separate"/>
      </w:r>
      <w:r w:rsidR="00C361B9" w:rsidRPr="00C361B9">
        <w:rPr>
          <w:rFonts w:cs="Arial"/>
          <w:szCs w:val="24"/>
        </w:rPr>
        <w:t>Filipčev et a</w:t>
      </w:r>
      <w:r w:rsidR="00C361B9">
        <w:rPr>
          <w:rFonts w:cs="Arial"/>
          <w:szCs w:val="24"/>
        </w:rPr>
        <w:t>l., 2021</w:t>
      </w:r>
      <w:r w:rsidR="00C361B9" w:rsidRPr="00C361B9">
        <w:rPr>
          <w:rFonts w:cs="Arial"/>
          <w:szCs w:val="24"/>
        </w:rPr>
        <w:t>)</w:t>
      </w:r>
      <w:r w:rsidR="00C361B9">
        <w:rPr>
          <w:rFonts w:eastAsia="Calibri"/>
        </w:rPr>
        <w:fldChar w:fldCharType="end"/>
      </w:r>
      <w:r w:rsidR="00FB7C02">
        <w:rPr>
          <w:rFonts w:eastAsia="Calibri"/>
        </w:rPr>
        <w:t xml:space="preserve">. </w:t>
      </w:r>
      <w:r w:rsidR="002212E5" w:rsidRPr="002212E5">
        <w:rPr>
          <w:rFonts w:eastAsia="Calibri"/>
        </w:rPr>
        <w:t>The experimental results showed that adding 10% and 5% of buckwheat and soybean flour to wheat flour does not affect the rheological properties of the dough.</w:t>
      </w:r>
    </w:p>
    <w:p w14:paraId="42B4436C" w14:textId="195370C3" w:rsidR="00976194" w:rsidRDefault="00485B38" w:rsidP="00F776B3">
      <w:pPr>
        <w:pStyle w:val="CETBodytext"/>
        <w:rPr>
          <w:rFonts w:eastAsia="Calibri"/>
        </w:rPr>
      </w:pPr>
      <w:r w:rsidRPr="00485B38">
        <w:rPr>
          <w:rFonts w:eastAsia="Calibri"/>
        </w:rPr>
        <w:t>To increase the biological value of pasta products, the use of grain raw materials with a high amino acid content remains the most optimal method</w:t>
      </w:r>
      <w:r>
        <w:rPr>
          <w:rFonts w:eastAsia="Calibri"/>
        </w:rPr>
        <w:fldChar w:fldCharType="begin"/>
      </w:r>
      <w:r w:rsidR="00E4306D">
        <w:rPr>
          <w:rFonts w:eastAsia="Calibri"/>
        </w:rPr>
        <w:instrText xml:space="preserve"> ADDIN ZOTERO_ITEM CSL_CITATION {"citationID":"Ep2s0xHq","properties":{"unsorted":false,"formattedCitation":"(Akhter \\uc0\\u1080{} \\uc0\\u1076{}\\uc0\\u1088{}., 2026)","plainCitation":"(Akhter </w:instrText>
      </w:r>
      <w:r w:rsidR="00E4306D">
        <w:rPr>
          <w:rFonts w:eastAsia="Calibri" w:hint="eastAsia"/>
        </w:rPr>
        <w:instrText>и</w:instrText>
      </w:r>
      <w:r w:rsidR="00E4306D">
        <w:rPr>
          <w:rFonts w:eastAsia="Calibri"/>
        </w:rPr>
        <w:instrText xml:space="preserve"> </w:instrText>
      </w:r>
      <w:r w:rsidR="00E4306D">
        <w:rPr>
          <w:rFonts w:eastAsia="Calibri" w:hint="eastAsia"/>
        </w:rPr>
        <w:instrText>др</w:instrText>
      </w:r>
      <w:r w:rsidR="00E4306D">
        <w:rPr>
          <w:rFonts w:eastAsia="Calibri"/>
        </w:rPr>
        <w:instrText xml:space="preserve">., 2026)","dontUpdate":true,"noteIndex":0},"citationItems":[{"id":17,"uris":["http://zotero.org/users/20330494/items/JMISTBGC"],"itemData":{"id":17,"type":"chapter","abstract":"In recent years, underutilized pseudocereals have gained a huge interest like amaranth, buckwheat, and quinoa with high levels of bioactive compounds. They are great source of essential amino acids, including methionine, tryptophan, lysine, and arginine. Pseudocereals provide a good source of these nutrients compared to conventional cereals. Furthermore, they contain a range of bioactive components </w:instrText>
      </w:r>
      <w:r w:rsidR="00E4306D">
        <w:rPr>
          <w:rFonts w:eastAsia="Calibri" w:hint="eastAsia"/>
        </w:rPr>
        <w:instrText>–</w:instrText>
      </w:r>
      <w:r w:rsidR="00E4306D">
        <w:rPr>
          <w:rFonts w:eastAsia="Calibri"/>
        </w:rPr>
        <w:instrText xml:space="preserve"> including polyphenols, phytosterols, fagopyritols, and saponins. Thus, they are widely used for the development of functional foods due to the presence of such bioactive components. The common application includes their use in bakery products and pasta, which are commonly used. These functional ingredients make pseudocereals valuable in addressing lifestyle-related disorders. Apart from being nutritious, they are also famous for their health benefits. Individuals with celiac disease have found pseudocereals very beneficial as they are gluten-free, thus improving fiber deficiency. The chemistry and nutritional composition of pseudocereals are explained in detail in this chapter, detailing their carbohydrate, protein, fat, dietary fiber, vitamin, and mineral content. As per the reports, pseudocereals possess cardioprotective, anticancer, anti-inflammatory, and antioxidant properties. To combat the potential of chronic diseases, pseudocereals can be used as an excellent substitute source of whole proteins that can be utilized to create peptides. Hence, commercialization of these pseudocereals would help to overcome various health-associated issues, and also the availability of edible pseudocereals containing gluten-free products would advance toward ensuring an adequate intake of nutrients in subjects with celiac disease.","container-title":"Pseudocereals","note":"number-of-pages: 15","publisher":"CRC Press","title":"Chemistry and Nutritional Constituents of Pseudocereals","author":[{"family":"Akhter","given":"Najmeenah"},{"family":"Rather","given":"Jahangir A."},{"family":"Majeed","given":"Mehvish"},{"family":"Majid","given":"Darakshan"},{"family":"Nayeem","given":"Mariya"},{"family":"Dar","given":"Basharat Nabi"}],"issued":{"date-parts":[["2026"]]}}}],"schema":"https://github.com/citation-style-language/schema/raw/master/csl-citation.json"} </w:instrText>
      </w:r>
      <w:r>
        <w:rPr>
          <w:rFonts w:eastAsia="Calibri"/>
        </w:rPr>
        <w:fldChar w:fldCharType="separate"/>
      </w:r>
      <w:r w:rsidRPr="00485B38">
        <w:rPr>
          <w:rFonts w:cs="Arial"/>
          <w:szCs w:val="24"/>
        </w:rPr>
        <w:t xml:space="preserve">(Akhter </w:t>
      </w:r>
      <w:r w:rsidR="00C2119A" w:rsidRPr="00C361B9">
        <w:rPr>
          <w:rFonts w:cs="Arial"/>
          <w:szCs w:val="24"/>
        </w:rPr>
        <w:t>et a</w:t>
      </w:r>
      <w:r w:rsidR="00C2119A">
        <w:rPr>
          <w:rFonts w:cs="Arial"/>
          <w:szCs w:val="24"/>
        </w:rPr>
        <w:t>l</w:t>
      </w:r>
      <w:r w:rsidRPr="00485B38">
        <w:rPr>
          <w:rFonts w:cs="Arial"/>
          <w:szCs w:val="24"/>
        </w:rPr>
        <w:t>., 2026)</w:t>
      </w:r>
      <w:r>
        <w:rPr>
          <w:rFonts w:eastAsia="Calibri"/>
        </w:rPr>
        <w:fldChar w:fldCharType="end"/>
      </w:r>
      <w:r w:rsidRPr="00485B38">
        <w:rPr>
          <w:rFonts w:eastAsia="Calibri"/>
        </w:rPr>
        <w:t>. For this reason, it was established in subsequent studies that the identified composition improved the amino acid composition of the product.</w:t>
      </w:r>
    </w:p>
    <w:p w14:paraId="5C9A1311" w14:textId="77777777" w:rsidR="00A66290" w:rsidRDefault="00EC4016" w:rsidP="00A66290">
      <w:pPr>
        <w:widowControl w:val="0"/>
        <w:tabs>
          <w:tab w:val="clear" w:pos="7100"/>
        </w:tabs>
        <w:spacing w:after="240" w:line="240" w:lineRule="auto"/>
        <w:rPr>
          <w:rFonts w:ascii="Arial MT" w:eastAsia="Calibri" w:hAnsi="Arial MT"/>
          <w:szCs w:val="18"/>
          <w:lang w:val="uz-Cyrl-UZ"/>
        </w:rPr>
      </w:pPr>
      <w:r w:rsidRPr="00EC4016">
        <w:rPr>
          <w:rFonts w:ascii="Arial MT" w:eastAsia="Calibri" w:hAnsi="Arial MT"/>
          <w:szCs w:val="18"/>
          <w:lang w:val="uz-Cyrl-UZ"/>
        </w:rPr>
        <w:t xml:space="preserve"> </w:t>
      </w:r>
      <w:r w:rsidR="00BC14E2" w:rsidRPr="00BC14E2">
        <w:rPr>
          <w:rFonts w:eastAsia="Arial MT" w:hAnsi="Arial MT" w:cs="Arial MT"/>
          <w:i/>
          <w:noProof/>
          <w:szCs w:val="22"/>
          <w:lang w:val="ru-RU" w:eastAsia="ru-RU"/>
        </w:rPr>
        <w:lastRenderedPageBreak/>
        <w:drawing>
          <wp:inline distT="0" distB="0" distL="0" distR="0" wp14:anchorId="3D6A2B03" wp14:editId="51CA843E">
            <wp:extent cx="5577771" cy="1998134"/>
            <wp:effectExtent l="0" t="0" r="4445"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97380" cy="2005158"/>
                    </a:xfrm>
                    <a:prstGeom prst="rect">
                      <a:avLst/>
                    </a:prstGeom>
                  </pic:spPr>
                </pic:pic>
              </a:graphicData>
            </a:graphic>
          </wp:inline>
        </w:drawing>
      </w:r>
    </w:p>
    <w:p w14:paraId="0B182AD4" w14:textId="68F00FC6" w:rsidR="002212E5" w:rsidRDefault="00976194" w:rsidP="00A66290">
      <w:pPr>
        <w:widowControl w:val="0"/>
        <w:tabs>
          <w:tab w:val="clear" w:pos="7100"/>
        </w:tabs>
        <w:spacing w:after="240" w:line="240" w:lineRule="auto"/>
        <w:rPr>
          <w:lang w:val="uz-Cyrl-UZ"/>
        </w:rPr>
      </w:pPr>
      <w:r w:rsidRPr="00976194">
        <w:rPr>
          <w:rFonts w:eastAsia="Arial MT" w:hAnsi="Arial MT" w:cs="Arial MT"/>
          <w:i/>
          <w:szCs w:val="22"/>
        </w:rPr>
        <w:t>Figure</w:t>
      </w:r>
      <w:r w:rsidRPr="00976194">
        <w:rPr>
          <w:rFonts w:eastAsia="Arial MT" w:hAnsi="Arial MT" w:cs="Arial MT"/>
          <w:i/>
          <w:spacing w:val="-6"/>
          <w:szCs w:val="22"/>
        </w:rPr>
        <w:t xml:space="preserve"> </w:t>
      </w:r>
      <w:r w:rsidRPr="00976194">
        <w:rPr>
          <w:rFonts w:eastAsia="Arial MT" w:hAnsi="Arial MT" w:cs="Arial MT"/>
          <w:i/>
          <w:szCs w:val="22"/>
        </w:rPr>
        <w:t>1</w:t>
      </w:r>
      <w:r w:rsidRPr="00976194">
        <w:rPr>
          <w:rFonts w:eastAsia="Arial MT" w:hAnsi="Arial MT" w:cs="Arial MT"/>
          <w:i/>
          <w:spacing w:val="-2"/>
          <w:szCs w:val="22"/>
        </w:rPr>
        <w:t xml:space="preserve"> </w:t>
      </w:r>
      <w:r w:rsidRPr="00976194">
        <w:rPr>
          <w:rFonts w:eastAsia="Arial MT" w:hAnsi="Arial MT" w:cs="Arial MT"/>
          <w:i/>
          <w:szCs w:val="22"/>
        </w:rPr>
        <w:t>The</w:t>
      </w:r>
      <w:r w:rsidRPr="00976194">
        <w:rPr>
          <w:rFonts w:eastAsia="Arial MT" w:hAnsi="Arial MT" w:cs="Arial MT"/>
          <w:i/>
          <w:spacing w:val="-2"/>
          <w:szCs w:val="22"/>
        </w:rPr>
        <w:t xml:space="preserve"> </w:t>
      </w:r>
      <w:r w:rsidRPr="00976194">
        <w:rPr>
          <w:rFonts w:eastAsia="Arial MT" w:hAnsi="Arial MT" w:cs="Arial MT"/>
          <w:i/>
          <w:szCs w:val="22"/>
        </w:rPr>
        <w:t>Influence</w:t>
      </w:r>
      <w:r w:rsidRPr="00976194">
        <w:rPr>
          <w:rFonts w:eastAsia="Arial MT" w:hAnsi="Arial MT" w:cs="Arial MT"/>
          <w:i/>
          <w:spacing w:val="-3"/>
          <w:szCs w:val="22"/>
        </w:rPr>
        <w:t xml:space="preserve"> </w:t>
      </w:r>
      <w:r w:rsidRPr="00976194">
        <w:rPr>
          <w:rFonts w:eastAsia="Arial MT" w:hAnsi="Arial MT" w:cs="Arial MT"/>
          <w:i/>
          <w:szCs w:val="22"/>
        </w:rPr>
        <w:t>of</w:t>
      </w:r>
      <w:r w:rsidRPr="00976194">
        <w:rPr>
          <w:rFonts w:eastAsia="Arial MT" w:hAnsi="Arial MT" w:cs="Arial MT"/>
          <w:i/>
          <w:spacing w:val="-2"/>
          <w:szCs w:val="22"/>
        </w:rPr>
        <w:t xml:space="preserve"> </w:t>
      </w:r>
      <w:r w:rsidRPr="00976194">
        <w:rPr>
          <w:rFonts w:eastAsia="Arial MT" w:hAnsi="Arial MT" w:cs="Arial MT"/>
          <w:i/>
          <w:szCs w:val="22"/>
        </w:rPr>
        <w:t>Solvent</w:t>
      </w:r>
      <w:r w:rsidRPr="00976194">
        <w:rPr>
          <w:rFonts w:eastAsia="Arial MT" w:hAnsi="Arial MT" w:cs="Arial MT"/>
          <w:i/>
          <w:spacing w:val="-3"/>
          <w:szCs w:val="22"/>
        </w:rPr>
        <w:t xml:space="preserve"> </w:t>
      </w:r>
      <w:r w:rsidRPr="00976194">
        <w:rPr>
          <w:rFonts w:eastAsia="Arial MT" w:hAnsi="Arial MT" w:cs="Arial MT"/>
          <w:i/>
          <w:szCs w:val="22"/>
        </w:rPr>
        <w:t>Amount</w:t>
      </w:r>
      <w:r w:rsidRPr="00976194">
        <w:rPr>
          <w:rFonts w:eastAsia="Arial MT" w:hAnsi="Arial MT" w:cs="Arial MT"/>
          <w:i/>
          <w:spacing w:val="-4"/>
          <w:szCs w:val="22"/>
        </w:rPr>
        <w:t xml:space="preserve"> </w:t>
      </w:r>
      <w:r w:rsidRPr="00976194">
        <w:rPr>
          <w:rFonts w:eastAsia="Arial MT" w:hAnsi="Arial MT" w:cs="Arial MT"/>
          <w:i/>
          <w:szCs w:val="22"/>
        </w:rPr>
        <w:t>on</w:t>
      </w:r>
      <w:r w:rsidRPr="00976194">
        <w:rPr>
          <w:rFonts w:eastAsia="Arial MT" w:hAnsi="Arial MT" w:cs="Arial MT"/>
          <w:i/>
          <w:spacing w:val="-2"/>
          <w:szCs w:val="22"/>
        </w:rPr>
        <w:t xml:space="preserve"> </w:t>
      </w:r>
      <w:r w:rsidRPr="00976194">
        <w:rPr>
          <w:rFonts w:eastAsia="Arial MT" w:hAnsi="Arial MT" w:cs="Arial MT"/>
          <w:i/>
          <w:szCs w:val="22"/>
        </w:rPr>
        <w:t>the</w:t>
      </w:r>
      <w:r w:rsidRPr="00976194">
        <w:rPr>
          <w:rFonts w:eastAsia="Arial MT" w:hAnsi="Arial MT" w:cs="Arial MT"/>
          <w:i/>
          <w:spacing w:val="-3"/>
          <w:szCs w:val="22"/>
        </w:rPr>
        <w:t xml:space="preserve"> </w:t>
      </w:r>
      <w:r w:rsidRPr="00976194">
        <w:rPr>
          <w:rFonts w:eastAsia="Arial MT" w:hAnsi="Arial MT" w:cs="Arial MT"/>
          <w:i/>
          <w:szCs w:val="22"/>
        </w:rPr>
        <w:t>Extract</w:t>
      </w:r>
      <w:r w:rsidRPr="00976194">
        <w:rPr>
          <w:rFonts w:eastAsia="Arial MT" w:hAnsi="Arial MT" w:cs="Arial MT"/>
          <w:i/>
          <w:spacing w:val="-2"/>
          <w:szCs w:val="22"/>
        </w:rPr>
        <w:t xml:space="preserve"> Produced.</w:t>
      </w:r>
    </w:p>
    <w:p w14:paraId="7A4B4053" w14:textId="46DE80CB" w:rsidR="002212E5" w:rsidRDefault="00E04A9C" w:rsidP="00600535">
      <w:pPr>
        <w:pStyle w:val="CETBodytext"/>
      </w:pPr>
      <w:r w:rsidRPr="00E04A9C">
        <w:rPr>
          <w:lang w:val="uz-Cyrl-UZ"/>
        </w:rPr>
        <w:t xml:space="preserve">The chromatogram presents the HPLC-DAD profile of the analyzed sample recorded at 260.4 nm. Several peaks were detected at different retention times, indicating the presence of multiple chemical compounds in the sample. The most intense peaks were observed around 7-12 min and 20-21 min, suggesting that these compounds are the dominant components. Smaller peaks at later retention times show the presence of minor constituents. Overall, the chromatographic profile demonstrates the complex composition of the sample. The results obtained were analyzed in comparison with products made from wheat itself. </w:t>
      </w:r>
      <w:r w:rsidR="002C40FF" w:rsidRPr="002C40FF">
        <w:rPr>
          <w:lang w:val="uz-Cyrl-UZ"/>
        </w:rPr>
        <w:t>The results obtained were analyzed in comparison with products made from wheat itself.</w:t>
      </w:r>
      <w:r w:rsidR="00542361">
        <w:t xml:space="preserve"> </w:t>
      </w:r>
    </w:p>
    <w:p w14:paraId="51D852EE" w14:textId="621A18FE" w:rsidR="00475A1B" w:rsidRPr="00F776B3" w:rsidRDefault="00475A1B" w:rsidP="00F776B3">
      <w:pPr>
        <w:pStyle w:val="CETTabletitle"/>
        <w:rPr>
          <w:rFonts w:eastAsia="Calibri"/>
        </w:rPr>
      </w:pPr>
      <w:r w:rsidRPr="00F776B3">
        <w:rPr>
          <w:rFonts w:eastAsia="Calibri"/>
        </w:rPr>
        <w:t>Table 2: Amount of amino acid content in composite flour.</w:t>
      </w:r>
    </w:p>
    <w:tbl>
      <w:tblPr>
        <w:tblStyle w:val="-23"/>
        <w:tblpPr w:leftFromText="180" w:rightFromText="180" w:vertAnchor="text" w:tblpY="1"/>
        <w:tblW w:w="6091" w:type="dxa"/>
        <w:shd w:val="clear" w:color="auto" w:fill="FFFFFF" w:themeFill="background1"/>
        <w:tblLook w:val="0100" w:firstRow="0" w:lastRow="0" w:firstColumn="0" w:lastColumn="1" w:noHBand="0" w:noVBand="0"/>
      </w:tblPr>
      <w:tblGrid>
        <w:gridCol w:w="1985"/>
        <w:gridCol w:w="1842"/>
        <w:gridCol w:w="2264"/>
      </w:tblGrid>
      <w:tr w:rsidR="009046AE" w:rsidRPr="009046AE" w14:paraId="6808EBC9" w14:textId="3955EBBB" w:rsidTr="00475A1B">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1985" w:type="dxa"/>
            <w:tcBorders>
              <w:top w:val="single" w:sz="12" w:space="0" w:color="9BBB59" w:themeColor="accent3"/>
              <w:bottom w:val="single" w:sz="12" w:space="0" w:color="9BBB59" w:themeColor="accent3"/>
            </w:tcBorders>
            <w:shd w:val="clear" w:color="auto" w:fill="FFFFFF" w:themeFill="background1"/>
            <w:vAlign w:val="center"/>
          </w:tcPr>
          <w:p w14:paraId="05925CF6" w14:textId="1BFC841B" w:rsidR="009046AE" w:rsidRPr="009046AE" w:rsidRDefault="00542361" w:rsidP="00475A1B">
            <w:pPr>
              <w:tabs>
                <w:tab w:val="clear" w:pos="7100"/>
              </w:tabs>
              <w:spacing w:line="240" w:lineRule="auto"/>
              <w:jc w:val="center"/>
              <w:rPr>
                <w:rFonts w:ascii="Arial MT" w:hAnsi="Arial MT"/>
                <w:szCs w:val="18"/>
                <w:lang w:val="en-US" w:eastAsia="ru-RU"/>
              </w:rPr>
            </w:pPr>
            <w:r w:rsidRPr="00542361">
              <w:rPr>
                <w:rFonts w:ascii="Arial MT" w:hAnsi="Arial MT"/>
                <w:szCs w:val="18"/>
                <w:lang w:val="en-US" w:eastAsia="ru-RU"/>
              </w:rPr>
              <w:t>Name of amino acid</w:t>
            </w:r>
          </w:p>
        </w:tc>
        <w:tc>
          <w:tcPr>
            <w:tcW w:w="1842" w:type="dxa"/>
            <w:tcBorders>
              <w:top w:val="single" w:sz="12" w:space="0" w:color="9BBB59" w:themeColor="accent3"/>
              <w:bottom w:val="single" w:sz="12" w:space="0" w:color="9BBB59" w:themeColor="accent3"/>
            </w:tcBorders>
            <w:shd w:val="clear" w:color="auto" w:fill="FFFFFF" w:themeFill="background1"/>
            <w:noWrap/>
            <w:vAlign w:val="center"/>
          </w:tcPr>
          <w:p w14:paraId="5B04F3C6" w14:textId="71DAAB14" w:rsidR="009046AE" w:rsidRPr="009046AE" w:rsidRDefault="00542361" w:rsidP="00475A1B">
            <w:pPr>
              <w:tabs>
                <w:tab w:val="clear" w:pos="7100"/>
              </w:tabs>
              <w:spacing w:line="240" w:lineRule="auto"/>
              <w:jc w:val="center"/>
              <w:cnfStyle w:val="000000100000" w:firstRow="0" w:lastRow="0" w:firstColumn="0" w:lastColumn="0" w:oddVBand="0" w:evenVBand="0" w:oddHBand="1" w:evenHBand="0" w:firstRowFirstColumn="0" w:firstRowLastColumn="0" w:lastRowFirstColumn="0" w:lastRowLastColumn="0"/>
              <w:rPr>
                <w:rFonts w:ascii="Arial MT" w:hAnsi="Arial MT"/>
                <w:szCs w:val="18"/>
                <w:lang w:val="ru-RU" w:eastAsia="ru-RU"/>
              </w:rPr>
            </w:pPr>
            <w:r w:rsidRPr="00542361">
              <w:rPr>
                <w:rFonts w:ascii="Arial MT" w:hAnsi="Arial MT"/>
                <w:szCs w:val="18"/>
                <w:lang w:val="uz-Cyrl-UZ" w:eastAsia="ru-RU"/>
              </w:rPr>
              <w:t>Composite  mg</w:t>
            </w:r>
            <w:r w:rsidR="009046AE" w:rsidRPr="009046AE">
              <w:rPr>
                <w:rFonts w:ascii="Arial MT" w:hAnsi="Arial MT"/>
                <w:szCs w:val="18"/>
                <w:lang w:val="en-US" w:eastAsia="ru-RU"/>
              </w:rPr>
              <w:t>/</w:t>
            </w:r>
            <w:r w:rsidRPr="00542361">
              <w:rPr>
                <w:rFonts w:ascii="Arial MT" w:hAnsi="Arial MT"/>
                <w:szCs w:val="18"/>
                <w:lang w:val="uz-Cyrl-UZ" w:eastAsia="ru-RU"/>
              </w:rPr>
              <w:t>g</w:t>
            </w:r>
          </w:p>
        </w:tc>
        <w:tc>
          <w:tcPr>
            <w:cnfStyle w:val="000100000000" w:firstRow="0" w:lastRow="0" w:firstColumn="0" w:lastColumn="1" w:oddVBand="0" w:evenVBand="0" w:oddHBand="0" w:evenHBand="0" w:firstRowFirstColumn="0" w:firstRowLastColumn="0" w:lastRowFirstColumn="0" w:lastRowLastColumn="0"/>
            <w:tcW w:w="2264" w:type="dxa"/>
            <w:tcBorders>
              <w:top w:val="single" w:sz="12" w:space="0" w:color="9BBB59" w:themeColor="accent3"/>
              <w:bottom w:val="single" w:sz="12" w:space="0" w:color="9BBB59" w:themeColor="accent3"/>
            </w:tcBorders>
            <w:shd w:val="clear" w:color="auto" w:fill="FFFFFF" w:themeFill="background1"/>
            <w:vAlign w:val="center"/>
          </w:tcPr>
          <w:p w14:paraId="304142DC" w14:textId="26954C90" w:rsidR="009046AE" w:rsidRPr="005B6F35" w:rsidRDefault="00075BB6" w:rsidP="00475A1B">
            <w:pPr>
              <w:tabs>
                <w:tab w:val="clear" w:pos="7100"/>
              </w:tabs>
              <w:spacing w:line="240" w:lineRule="auto"/>
              <w:jc w:val="center"/>
              <w:rPr>
                <w:rFonts w:ascii="Arial MT" w:hAnsi="Arial MT"/>
                <w:b w:val="0"/>
                <w:szCs w:val="18"/>
                <w:lang w:val="en-US" w:eastAsia="ru-RU"/>
              </w:rPr>
            </w:pPr>
            <w:r w:rsidRPr="00075BB6">
              <w:rPr>
                <w:rFonts w:ascii="Arial MT" w:hAnsi="Arial MT"/>
                <w:b w:val="0"/>
                <w:szCs w:val="18"/>
                <w:lang w:val="en-US" w:eastAsia="ru-RU"/>
              </w:rPr>
              <w:t>Control sample</w:t>
            </w:r>
            <w:r w:rsidR="00542361" w:rsidRPr="005B6F35">
              <w:rPr>
                <w:rFonts w:ascii="Arial MT" w:hAnsi="Arial MT"/>
                <w:b w:val="0"/>
                <w:szCs w:val="18"/>
                <w:lang w:val="en-US" w:eastAsia="ru-RU"/>
              </w:rPr>
              <w:t xml:space="preserve"> mg/g</w:t>
            </w:r>
          </w:p>
        </w:tc>
      </w:tr>
      <w:tr w:rsidR="007F7788" w:rsidRPr="009046AE" w14:paraId="161BD765" w14:textId="52AEAC84" w:rsidTr="00F776B3">
        <w:trPr>
          <w:trHeight w:val="330"/>
        </w:trPr>
        <w:tc>
          <w:tcPr>
            <w:cnfStyle w:val="000010000000" w:firstRow="0" w:lastRow="0" w:firstColumn="0" w:lastColumn="0" w:oddVBand="1" w:evenVBand="0" w:oddHBand="0" w:evenHBand="0" w:firstRowFirstColumn="0" w:firstRowLastColumn="0" w:lastRowFirstColumn="0" w:lastRowLastColumn="0"/>
            <w:tcW w:w="1985" w:type="dxa"/>
            <w:tcBorders>
              <w:top w:val="single" w:sz="12" w:space="0" w:color="9BBB59" w:themeColor="accent3"/>
              <w:bottom w:val="single" w:sz="4" w:space="0" w:color="9BBB59" w:themeColor="accent3"/>
            </w:tcBorders>
            <w:shd w:val="clear" w:color="auto" w:fill="FFFFFF" w:themeFill="background1"/>
            <w:vAlign w:val="center"/>
          </w:tcPr>
          <w:p w14:paraId="394A7DB3" w14:textId="5B222F2E" w:rsidR="007F7788" w:rsidRPr="009046AE" w:rsidRDefault="007F7788" w:rsidP="00475A1B">
            <w:pPr>
              <w:tabs>
                <w:tab w:val="clear" w:pos="7100"/>
              </w:tabs>
              <w:spacing w:line="240" w:lineRule="auto"/>
              <w:jc w:val="center"/>
              <w:rPr>
                <w:rFonts w:ascii="Arial MT" w:hAnsi="Arial MT"/>
                <w:szCs w:val="18"/>
                <w:lang w:val="ru-RU" w:eastAsia="ru-RU"/>
              </w:rPr>
            </w:pPr>
            <w:r w:rsidRPr="00542361">
              <w:rPr>
                <w:rFonts w:ascii="Arial MT" w:hAnsi="Arial MT"/>
                <w:szCs w:val="18"/>
              </w:rPr>
              <w:t>Asparagine test</w:t>
            </w:r>
          </w:p>
        </w:tc>
        <w:tc>
          <w:tcPr>
            <w:tcW w:w="1842" w:type="dxa"/>
            <w:tcBorders>
              <w:top w:val="single" w:sz="12" w:space="0" w:color="9BBB59" w:themeColor="accent3"/>
              <w:bottom w:val="single" w:sz="4" w:space="0" w:color="9BBB59" w:themeColor="accent3"/>
            </w:tcBorders>
            <w:shd w:val="clear" w:color="auto" w:fill="FFFFFF" w:themeFill="background1"/>
            <w:noWrap/>
            <w:vAlign w:val="center"/>
          </w:tcPr>
          <w:p w14:paraId="79C50348" w14:textId="5C1742EC" w:rsidR="007F7788" w:rsidRPr="009046AE" w:rsidRDefault="00AB3A27" w:rsidP="00475A1B">
            <w:pPr>
              <w:tabs>
                <w:tab w:val="clear" w:pos="7100"/>
              </w:tabs>
              <w:spacing w:line="240" w:lineRule="auto"/>
              <w:jc w:val="center"/>
              <w:cnfStyle w:val="000000000000" w:firstRow="0" w:lastRow="0" w:firstColumn="0" w:lastColumn="0" w:oddVBand="0" w:evenVBand="0" w:oddHBand="0" w:evenHBand="0" w:firstRowFirstColumn="0" w:firstRowLastColumn="0" w:lastRowFirstColumn="0" w:lastRowLastColumn="0"/>
              <w:rPr>
                <w:rFonts w:ascii="Arial MT" w:hAnsi="Arial MT"/>
                <w:szCs w:val="18"/>
                <w:lang w:val="ru-RU" w:eastAsia="ru-RU"/>
              </w:rPr>
            </w:pPr>
            <w:r>
              <w:rPr>
                <w:rFonts w:ascii="Arial MT" w:hAnsi="Arial MT"/>
                <w:szCs w:val="18"/>
                <w:lang w:val="ru-RU" w:eastAsia="ru-RU"/>
              </w:rPr>
              <w:t>20.77</w:t>
            </w:r>
          </w:p>
        </w:tc>
        <w:tc>
          <w:tcPr>
            <w:cnfStyle w:val="000100000000" w:firstRow="0" w:lastRow="0" w:firstColumn="0" w:lastColumn="1" w:oddVBand="0" w:evenVBand="0" w:oddHBand="0" w:evenHBand="0" w:firstRowFirstColumn="0" w:firstRowLastColumn="0" w:lastRowFirstColumn="0" w:lastRowLastColumn="0"/>
            <w:tcW w:w="2264" w:type="dxa"/>
            <w:tcBorders>
              <w:top w:val="single" w:sz="12" w:space="0" w:color="9BBB59" w:themeColor="accent3"/>
              <w:bottom w:val="single" w:sz="4" w:space="0" w:color="9BBB59" w:themeColor="accent3"/>
            </w:tcBorders>
            <w:shd w:val="clear" w:color="auto" w:fill="FFFFFF" w:themeFill="background1"/>
            <w:vAlign w:val="center"/>
          </w:tcPr>
          <w:p w14:paraId="121D1F72" w14:textId="5DB92FF5" w:rsidR="007F7788" w:rsidRPr="005B6F35" w:rsidRDefault="00AB3A27" w:rsidP="00475A1B">
            <w:pPr>
              <w:tabs>
                <w:tab w:val="clear" w:pos="7100"/>
              </w:tabs>
              <w:spacing w:line="240" w:lineRule="auto"/>
              <w:jc w:val="center"/>
              <w:rPr>
                <w:rFonts w:ascii="Arial MT" w:hAnsi="Arial MT"/>
                <w:b w:val="0"/>
                <w:szCs w:val="18"/>
                <w:lang w:val="en-US" w:eastAsia="ru-RU"/>
              </w:rPr>
            </w:pPr>
            <w:r>
              <w:rPr>
                <w:rFonts w:ascii="Arial MT" w:hAnsi="Arial MT"/>
                <w:b w:val="0"/>
                <w:szCs w:val="18"/>
              </w:rPr>
              <w:t>16.48</w:t>
            </w:r>
          </w:p>
        </w:tc>
      </w:tr>
      <w:tr w:rsidR="007F7788" w:rsidRPr="009046AE" w14:paraId="4183AB36" w14:textId="024C0394" w:rsidTr="00F776B3">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9BBB59" w:themeColor="accent3"/>
              <w:bottom w:val="single" w:sz="4" w:space="0" w:color="9BBB59" w:themeColor="accent3"/>
            </w:tcBorders>
            <w:shd w:val="clear" w:color="auto" w:fill="FFFFFF" w:themeFill="background1"/>
            <w:vAlign w:val="center"/>
          </w:tcPr>
          <w:p w14:paraId="45230972" w14:textId="3C539127" w:rsidR="007F7788" w:rsidRPr="009046AE" w:rsidRDefault="007F7788" w:rsidP="00475A1B">
            <w:pPr>
              <w:tabs>
                <w:tab w:val="clear" w:pos="7100"/>
              </w:tabs>
              <w:spacing w:line="240" w:lineRule="auto"/>
              <w:jc w:val="center"/>
              <w:rPr>
                <w:rFonts w:ascii="Arial MT" w:hAnsi="Arial MT"/>
                <w:szCs w:val="18"/>
                <w:lang w:val="ru-RU" w:eastAsia="ru-RU"/>
              </w:rPr>
            </w:pPr>
            <w:r w:rsidRPr="00542361">
              <w:rPr>
                <w:rFonts w:ascii="Arial MT" w:hAnsi="Arial MT"/>
                <w:szCs w:val="18"/>
              </w:rPr>
              <w:t>Glutamine tablets</w:t>
            </w:r>
          </w:p>
        </w:tc>
        <w:tc>
          <w:tcPr>
            <w:tcW w:w="1842" w:type="dxa"/>
            <w:tcBorders>
              <w:top w:val="single" w:sz="4" w:space="0" w:color="9BBB59" w:themeColor="accent3"/>
              <w:bottom w:val="single" w:sz="4" w:space="0" w:color="9BBB59" w:themeColor="accent3"/>
            </w:tcBorders>
            <w:shd w:val="clear" w:color="auto" w:fill="FFFFFF" w:themeFill="background1"/>
            <w:noWrap/>
            <w:vAlign w:val="center"/>
          </w:tcPr>
          <w:p w14:paraId="6C2E2664" w14:textId="37F57961" w:rsidR="007F7788" w:rsidRPr="009046AE" w:rsidRDefault="00AB3A27" w:rsidP="00475A1B">
            <w:pPr>
              <w:tabs>
                <w:tab w:val="clear" w:pos="7100"/>
              </w:tabs>
              <w:spacing w:line="240" w:lineRule="auto"/>
              <w:jc w:val="center"/>
              <w:cnfStyle w:val="000000100000" w:firstRow="0" w:lastRow="0" w:firstColumn="0" w:lastColumn="0" w:oddVBand="0" w:evenVBand="0" w:oddHBand="1" w:evenHBand="0" w:firstRowFirstColumn="0" w:firstRowLastColumn="0" w:lastRowFirstColumn="0" w:lastRowLastColumn="0"/>
              <w:rPr>
                <w:rFonts w:ascii="Arial MT" w:hAnsi="Arial MT"/>
                <w:szCs w:val="18"/>
                <w:lang w:val="ru-RU" w:eastAsia="ru-RU"/>
              </w:rPr>
            </w:pPr>
            <w:r>
              <w:rPr>
                <w:rFonts w:ascii="Arial MT" w:hAnsi="Arial MT"/>
                <w:szCs w:val="18"/>
                <w:lang w:val="ru-RU" w:eastAsia="ru-RU"/>
              </w:rPr>
              <w:t>13</w:t>
            </w:r>
          </w:p>
        </w:tc>
        <w:tc>
          <w:tcPr>
            <w:cnfStyle w:val="000100000000" w:firstRow="0" w:lastRow="0" w:firstColumn="0" w:lastColumn="1" w:oddVBand="0" w:evenVBand="0" w:oddHBand="0" w:evenHBand="0" w:firstRowFirstColumn="0" w:firstRowLastColumn="0" w:lastRowFirstColumn="0" w:lastRowLastColumn="0"/>
            <w:tcW w:w="2264" w:type="dxa"/>
            <w:tcBorders>
              <w:top w:val="single" w:sz="4" w:space="0" w:color="9BBB59" w:themeColor="accent3"/>
              <w:bottom w:val="single" w:sz="4" w:space="0" w:color="9BBB59" w:themeColor="accent3"/>
            </w:tcBorders>
            <w:shd w:val="clear" w:color="auto" w:fill="FFFFFF" w:themeFill="background1"/>
            <w:vAlign w:val="center"/>
          </w:tcPr>
          <w:p w14:paraId="3931E9DB" w14:textId="3A369E25" w:rsidR="007F7788" w:rsidRPr="005B6F35" w:rsidRDefault="00542361" w:rsidP="00475A1B">
            <w:pPr>
              <w:tabs>
                <w:tab w:val="clear" w:pos="7100"/>
              </w:tabs>
              <w:spacing w:line="240" w:lineRule="auto"/>
              <w:jc w:val="center"/>
              <w:rPr>
                <w:rFonts w:ascii="Arial MT" w:hAnsi="Arial MT"/>
                <w:b w:val="0"/>
                <w:szCs w:val="18"/>
                <w:lang w:val="en-US" w:eastAsia="ru-RU"/>
              </w:rPr>
            </w:pPr>
            <w:r w:rsidRPr="005B6F35">
              <w:rPr>
                <w:rFonts w:ascii="Arial MT" w:hAnsi="Arial MT"/>
                <w:b w:val="0"/>
                <w:szCs w:val="18"/>
              </w:rPr>
              <w:t>11</w:t>
            </w:r>
            <w:r w:rsidR="00AB3A27">
              <w:rPr>
                <w:rFonts w:ascii="Arial MT" w:hAnsi="Arial MT"/>
                <w:b w:val="0"/>
                <w:szCs w:val="18"/>
              </w:rPr>
              <w:t>.13</w:t>
            </w:r>
          </w:p>
        </w:tc>
      </w:tr>
      <w:tr w:rsidR="007F7788" w:rsidRPr="009046AE" w14:paraId="6DBDE563" w14:textId="4AE54D07" w:rsidTr="00F776B3">
        <w:trPr>
          <w:trHeight w:val="330"/>
        </w:trPr>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9BBB59" w:themeColor="accent3"/>
              <w:bottom w:val="single" w:sz="4" w:space="0" w:color="9BBB59" w:themeColor="accent3"/>
            </w:tcBorders>
            <w:shd w:val="clear" w:color="auto" w:fill="FFFFFF" w:themeFill="background1"/>
            <w:vAlign w:val="center"/>
          </w:tcPr>
          <w:p w14:paraId="734C0B35" w14:textId="74723277" w:rsidR="007F7788" w:rsidRPr="009046AE" w:rsidRDefault="007F7788" w:rsidP="00475A1B">
            <w:pPr>
              <w:tabs>
                <w:tab w:val="clear" w:pos="7100"/>
              </w:tabs>
              <w:spacing w:line="240" w:lineRule="auto"/>
              <w:jc w:val="center"/>
              <w:rPr>
                <w:rFonts w:ascii="Arial MT" w:hAnsi="Arial MT"/>
                <w:szCs w:val="18"/>
                <w:lang w:val="uz-Cyrl-UZ" w:eastAsia="ru-RU"/>
              </w:rPr>
            </w:pPr>
            <w:r w:rsidRPr="00542361">
              <w:rPr>
                <w:rFonts w:ascii="Arial MT" w:hAnsi="Arial MT"/>
                <w:szCs w:val="18"/>
              </w:rPr>
              <w:t>Serine</w:t>
            </w:r>
          </w:p>
        </w:tc>
        <w:tc>
          <w:tcPr>
            <w:tcW w:w="1842" w:type="dxa"/>
            <w:tcBorders>
              <w:top w:val="single" w:sz="4" w:space="0" w:color="9BBB59" w:themeColor="accent3"/>
              <w:bottom w:val="single" w:sz="4" w:space="0" w:color="9BBB59" w:themeColor="accent3"/>
            </w:tcBorders>
            <w:shd w:val="clear" w:color="auto" w:fill="FFFFFF" w:themeFill="background1"/>
            <w:noWrap/>
            <w:vAlign w:val="center"/>
          </w:tcPr>
          <w:p w14:paraId="4756F33A" w14:textId="73280711" w:rsidR="007F7788" w:rsidRPr="009046AE" w:rsidRDefault="00AB3A27" w:rsidP="00475A1B">
            <w:pPr>
              <w:tabs>
                <w:tab w:val="clear" w:pos="7100"/>
              </w:tabs>
              <w:spacing w:line="240" w:lineRule="auto"/>
              <w:jc w:val="center"/>
              <w:cnfStyle w:val="000000000000" w:firstRow="0" w:lastRow="0" w:firstColumn="0" w:lastColumn="0" w:oddVBand="0" w:evenVBand="0" w:oddHBand="0" w:evenHBand="0" w:firstRowFirstColumn="0" w:firstRowLastColumn="0" w:lastRowFirstColumn="0" w:lastRowLastColumn="0"/>
              <w:rPr>
                <w:rFonts w:ascii="Arial MT" w:hAnsi="Arial MT"/>
                <w:szCs w:val="18"/>
                <w:lang w:val="ru-RU" w:eastAsia="ru-RU"/>
              </w:rPr>
            </w:pPr>
            <w:r>
              <w:rPr>
                <w:rFonts w:ascii="Arial MT" w:hAnsi="Arial MT"/>
                <w:szCs w:val="18"/>
                <w:lang w:val="ru-RU" w:eastAsia="ru-RU"/>
              </w:rPr>
              <w:t>3.14</w:t>
            </w:r>
          </w:p>
        </w:tc>
        <w:tc>
          <w:tcPr>
            <w:cnfStyle w:val="000100000000" w:firstRow="0" w:lastRow="0" w:firstColumn="0" w:lastColumn="1" w:oddVBand="0" w:evenVBand="0" w:oddHBand="0" w:evenHBand="0" w:firstRowFirstColumn="0" w:firstRowLastColumn="0" w:lastRowFirstColumn="0" w:lastRowLastColumn="0"/>
            <w:tcW w:w="2264" w:type="dxa"/>
            <w:tcBorders>
              <w:top w:val="single" w:sz="4" w:space="0" w:color="9BBB59" w:themeColor="accent3"/>
              <w:bottom w:val="single" w:sz="4" w:space="0" w:color="9BBB59" w:themeColor="accent3"/>
            </w:tcBorders>
            <w:shd w:val="clear" w:color="auto" w:fill="FFFFFF" w:themeFill="background1"/>
            <w:vAlign w:val="center"/>
          </w:tcPr>
          <w:p w14:paraId="59C8E78C" w14:textId="26119FB2" w:rsidR="007F7788" w:rsidRPr="005B6F35" w:rsidRDefault="007F7788" w:rsidP="00475A1B">
            <w:pPr>
              <w:tabs>
                <w:tab w:val="clear" w:pos="7100"/>
              </w:tabs>
              <w:spacing w:line="240" w:lineRule="auto"/>
              <w:jc w:val="center"/>
              <w:rPr>
                <w:rFonts w:ascii="Arial MT" w:hAnsi="Arial MT"/>
                <w:b w:val="0"/>
                <w:szCs w:val="18"/>
                <w:lang w:val="en-US" w:eastAsia="ru-RU"/>
              </w:rPr>
            </w:pPr>
            <w:r w:rsidRPr="005B6F35">
              <w:rPr>
                <w:rFonts w:ascii="Arial MT" w:hAnsi="Arial MT"/>
                <w:b w:val="0"/>
                <w:szCs w:val="18"/>
              </w:rPr>
              <w:t>1.120</w:t>
            </w:r>
          </w:p>
        </w:tc>
      </w:tr>
      <w:tr w:rsidR="007F7788" w:rsidRPr="009046AE" w14:paraId="0F72919D" w14:textId="0B67D62E" w:rsidTr="00F776B3">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9BBB59" w:themeColor="accent3"/>
              <w:bottom w:val="single" w:sz="4" w:space="0" w:color="9BBB59" w:themeColor="accent3"/>
            </w:tcBorders>
            <w:shd w:val="clear" w:color="auto" w:fill="FFFFFF" w:themeFill="background1"/>
            <w:vAlign w:val="center"/>
          </w:tcPr>
          <w:p w14:paraId="291607B2" w14:textId="147F0BB1" w:rsidR="007F7788" w:rsidRPr="009046AE" w:rsidRDefault="007F7788" w:rsidP="00475A1B">
            <w:pPr>
              <w:tabs>
                <w:tab w:val="clear" w:pos="7100"/>
              </w:tabs>
              <w:spacing w:line="240" w:lineRule="auto"/>
              <w:jc w:val="center"/>
              <w:rPr>
                <w:rFonts w:ascii="Arial MT" w:hAnsi="Arial MT"/>
                <w:szCs w:val="18"/>
                <w:lang w:val="ru-RU" w:eastAsia="ru-RU"/>
              </w:rPr>
            </w:pPr>
            <w:r w:rsidRPr="00542361">
              <w:rPr>
                <w:rFonts w:ascii="Arial MT" w:hAnsi="Arial MT"/>
                <w:szCs w:val="18"/>
              </w:rPr>
              <w:t>Glycine</w:t>
            </w:r>
          </w:p>
        </w:tc>
        <w:tc>
          <w:tcPr>
            <w:tcW w:w="1842" w:type="dxa"/>
            <w:tcBorders>
              <w:top w:val="single" w:sz="4" w:space="0" w:color="9BBB59" w:themeColor="accent3"/>
              <w:bottom w:val="single" w:sz="4" w:space="0" w:color="9BBB59" w:themeColor="accent3"/>
            </w:tcBorders>
            <w:shd w:val="clear" w:color="auto" w:fill="FFFFFF" w:themeFill="background1"/>
            <w:noWrap/>
            <w:vAlign w:val="center"/>
          </w:tcPr>
          <w:p w14:paraId="4D31ED89" w14:textId="20877622" w:rsidR="007F7788" w:rsidRPr="009046AE" w:rsidRDefault="00024E77" w:rsidP="00475A1B">
            <w:pPr>
              <w:tabs>
                <w:tab w:val="clear" w:pos="7100"/>
              </w:tabs>
              <w:spacing w:line="240" w:lineRule="auto"/>
              <w:jc w:val="center"/>
              <w:cnfStyle w:val="000000100000" w:firstRow="0" w:lastRow="0" w:firstColumn="0" w:lastColumn="0" w:oddVBand="0" w:evenVBand="0" w:oddHBand="1" w:evenHBand="0" w:firstRowFirstColumn="0" w:firstRowLastColumn="0" w:lastRowFirstColumn="0" w:lastRowLastColumn="0"/>
              <w:rPr>
                <w:rFonts w:ascii="Arial MT" w:hAnsi="Arial MT"/>
                <w:szCs w:val="18"/>
                <w:lang w:val="ru-RU" w:eastAsia="ru-RU"/>
              </w:rPr>
            </w:pPr>
            <w:r>
              <w:rPr>
                <w:rFonts w:ascii="Arial MT" w:hAnsi="Arial MT"/>
                <w:szCs w:val="18"/>
                <w:lang w:val="ru-RU" w:eastAsia="ru-RU"/>
              </w:rPr>
              <w:t>25.45</w:t>
            </w:r>
          </w:p>
        </w:tc>
        <w:tc>
          <w:tcPr>
            <w:cnfStyle w:val="000100000000" w:firstRow="0" w:lastRow="0" w:firstColumn="0" w:lastColumn="1" w:oddVBand="0" w:evenVBand="0" w:oddHBand="0" w:evenHBand="0" w:firstRowFirstColumn="0" w:firstRowLastColumn="0" w:lastRowFirstColumn="0" w:lastRowLastColumn="0"/>
            <w:tcW w:w="2264" w:type="dxa"/>
            <w:tcBorders>
              <w:top w:val="single" w:sz="4" w:space="0" w:color="9BBB59" w:themeColor="accent3"/>
              <w:bottom w:val="single" w:sz="4" w:space="0" w:color="9BBB59" w:themeColor="accent3"/>
            </w:tcBorders>
            <w:shd w:val="clear" w:color="auto" w:fill="FFFFFF" w:themeFill="background1"/>
            <w:vAlign w:val="center"/>
          </w:tcPr>
          <w:p w14:paraId="299060E7" w14:textId="6F3B94BE" w:rsidR="007F7788" w:rsidRPr="005B6F35" w:rsidRDefault="00AB3A27" w:rsidP="00475A1B">
            <w:pPr>
              <w:tabs>
                <w:tab w:val="clear" w:pos="7100"/>
              </w:tabs>
              <w:spacing w:line="240" w:lineRule="auto"/>
              <w:jc w:val="center"/>
              <w:rPr>
                <w:rFonts w:ascii="Arial MT" w:hAnsi="Arial MT"/>
                <w:b w:val="0"/>
                <w:szCs w:val="18"/>
                <w:lang w:val="en-US" w:eastAsia="ru-RU"/>
              </w:rPr>
            </w:pPr>
            <w:r>
              <w:rPr>
                <w:rFonts w:ascii="Arial MT" w:hAnsi="Arial MT"/>
                <w:b w:val="0"/>
                <w:szCs w:val="18"/>
                <w:lang w:eastAsia="ru-RU"/>
              </w:rPr>
              <w:t>15.45</w:t>
            </w:r>
          </w:p>
        </w:tc>
      </w:tr>
      <w:tr w:rsidR="007F7788" w:rsidRPr="009046AE" w14:paraId="664BAEE5" w14:textId="22E24E9E" w:rsidTr="00F776B3">
        <w:trPr>
          <w:trHeight w:val="330"/>
        </w:trPr>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9BBB59" w:themeColor="accent3"/>
              <w:bottom w:val="single" w:sz="4" w:space="0" w:color="9BBB59" w:themeColor="accent3"/>
            </w:tcBorders>
            <w:shd w:val="clear" w:color="auto" w:fill="FFFFFF" w:themeFill="background1"/>
            <w:vAlign w:val="center"/>
          </w:tcPr>
          <w:p w14:paraId="3948FCA4" w14:textId="66DDEC80" w:rsidR="007F7788" w:rsidRPr="009046AE" w:rsidRDefault="007F7788" w:rsidP="00475A1B">
            <w:pPr>
              <w:tabs>
                <w:tab w:val="clear" w:pos="7100"/>
              </w:tabs>
              <w:spacing w:line="240" w:lineRule="auto"/>
              <w:jc w:val="center"/>
              <w:rPr>
                <w:rFonts w:ascii="Arial MT" w:hAnsi="Arial MT"/>
                <w:szCs w:val="18"/>
                <w:lang w:val="ru-RU" w:eastAsia="ru-RU"/>
              </w:rPr>
            </w:pPr>
            <w:r w:rsidRPr="00542361">
              <w:rPr>
                <w:rFonts w:ascii="Arial MT" w:hAnsi="Arial MT"/>
                <w:szCs w:val="18"/>
              </w:rPr>
              <w:t>Asparagine</w:t>
            </w:r>
          </w:p>
        </w:tc>
        <w:tc>
          <w:tcPr>
            <w:tcW w:w="1842" w:type="dxa"/>
            <w:tcBorders>
              <w:top w:val="single" w:sz="4" w:space="0" w:color="9BBB59" w:themeColor="accent3"/>
              <w:bottom w:val="single" w:sz="4" w:space="0" w:color="9BBB59" w:themeColor="accent3"/>
            </w:tcBorders>
            <w:shd w:val="clear" w:color="auto" w:fill="FFFFFF" w:themeFill="background1"/>
            <w:noWrap/>
            <w:vAlign w:val="center"/>
          </w:tcPr>
          <w:p w14:paraId="4010F9CB" w14:textId="77777777" w:rsidR="007F7788" w:rsidRPr="009046AE" w:rsidRDefault="007F7788" w:rsidP="00475A1B">
            <w:pPr>
              <w:tabs>
                <w:tab w:val="clear" w:pos="7100"/>
              </w:tabs>
              <w:spacing w:line="240" w:lineRule="auto"/>
              <w:jc w:val="center"/>
              <w:cnfStyle w:val="000000000000" w:firstRow="0" w:lastRow="0" w:firstColumn="0" w:lastColumn="0" w:oddVBand="0" w:evenVBand="0" w:oddHBand="0" w:evenHBand="0" w:firstRowFirstColumn="0" w:firstRowLastColumn="0" w:lastRowFirstColumn="0" w:lastRowLastColumn="0"/>
              <w:rPr>
                <w:rFonts w:ascii="Arial MT" w:hAnsi="Arial MT"/>
                <w:szCs w:val="18"/>
                <w:lang w:val="ru-RU" w:eastAsia="ru-RU"/>
              </w:rPr>
            </w:pPr>
            <w:r w:rsidRPr="009046AE">
              <w:rPr>
                <w:rFonts w:ascii="Arial MT" w:hAnsi="Arial MT"/>
                <w:szCs w:val="18"/>
                <w:lang w:val="ru-RU" w:eastAsia="ru-RU"/>
              </w:rPr>
              <w:t>0.000</w:t>
            </w:r>
          </w:p>
        </w:tc>
        <w:tc>
          <w:tcPr>
            <w:cnfStyle w:val="000100000000" w:firstRow="0" w:lastRow="0" w:firstColumn="0" w:lastColumn="1" w:oddVBand="0" w:evenVBand="0" w:oddHBand="0" w:evenHBand="0" w:firstRowFirstColumn="0" w:firstRowLastColumn="0" w:lastRowFirstColumn="0" w:lastRowLastColumn="0"/>
            <w:tcW w:w="2264" w:type="dxa"/>
            <w:tcBorders>
              <w:top w:val="single" w:sz="4" w:space="0" w:color="9BBB59" w:themeColor="accent3"/>
              <w:bottom w:val="single" w:sz="4" w:space="0" w:color="9BBB59" w:themeColor="accent3"/>
            </w:tcBorders>
            <w:shd w:val="clear" w:color="auto" w:fill="FFFFFF" w:themeFill="background1"/>
            <w:vAlign w:val="center"/>
          </w:tcPr>
          <w:p w14:paraId="5EEECEED" w14:textId="304962D0" w:rsidR="007F7788" w:rsidRPr="005B6F35" w:rsidRDefault="007F7788" w:rsidP="00475A1B">
            <w:pPr>
              <w:tabs>
                <w:tab w:val="clear" w:pos="7100"/>
              </w:tabs>
              <w:spacing w:line="240" w:lineRule="auto"/>
              <w:jc w:val="center"/>
              <w:rPr>
                <w:rFonts w:ascii="Arial MT" w:hAnsi="Arial MT"/>
                <w:b w:val="0"/>
                <w:szCs w:val="18"/>
                <w:lang w:val="en-US" w:eastAsia="ru-RU"/>
              </w:rPr>
            </w:pPr>
            <w:r w:rsidRPr="005B6F35">
              <w:rPr>
                <w:rFonts w:ascii="Arial MT" w:hAnsi="Arial MT"/>
                <w:b w:val="0"/>
                <w:szCs w:val="18"/>
                <w:lang w:eastAsia="ru-RU"/>
              </w:rPr>
              <w:t>0.000</w:t>
            </w:r>
          </w:p>
        </w:tc>
      </w:tr>
      <w:tr w:rsidR="007F7788" w:rsidRPr="009046AE" w14:paraId="4E8E30E6" w14:textId="0A853789" w:rsidTr="00F776B3">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9BBB59" w:themeColor="accent3"/>
              <w:bottom w:val="single" w:sz="4" w:space="0" w:color="9BBB59" w:themeColor="accent3"/>
            </w:tcBorders>
            <w:shd w:val="clear" w:color="auto" w:fill="FFFFFF" w:themeFill="background1"/>
            <w:vAlign w:val="center"/>
          </w:tcPr>
          <w:p w14:paraId="00817258" w14:textId="69A5C9E6" w:rsidR="007F7788" w:rsidRPr="009046AE" w:rsidRDefault="007F7788" w:rsidP="00475A1B">
            <w:pPr>
              <w:tabs>
                <w:tab w:val="clear" w:pos="7100"/>
              </w:tabs>
              <w:spacing w:line="240" w:lineRule="auto"/>
              <w:jc w:val="center"/>
              <w:rPr>
                <w:rFonts w:ascii="Arial MT" w:hAnsi="Arial MT"/>
                <w:szCs w:val="18"/>
                <w:lang w:val="ru-RU" w:eastAsia="ru-RU"/>
              </w:rPr>
            </w:pPr>
            <w:r w:rsidRPr="00542361">
              <w:rPr>
                <w:rFonts w:ascii="Arial MT" w:hAnsi="Arial MT"/>
                <w:szCs w:val="18"/>
              </w:rPr>
              <w:t>Glutamine</w:t>
            </w:r>
          </w:p>
        </w:tc>
        <w:tc>
          <w:tcPr>
            <w:tcW w:w="1842" w:type="dxa"/>
            <w:tcBorders>
              <w:top w:val="single" w:sz="4" w:space="0" w:color="9BBB59" w:themeColor="accent3"/>
              <w:bottom w:val="single" w:sz="4" w:space="0" w:color="9BBB59" w:themeColor="accent3"/>
            </w:tcBorders>
            <w:shd w:val="clear" w:color="auto" w:fill="FFFFFF" w:themeFill="background1"/>
            <w:noWrap/>
            <w:vAlign w:val="center"/>
          </w:tcPr>
          <w:p w14:paraId="010C43B5" w14:textId="77777777" w:rsidR="007F7788" w:rsidRPr="009046AE" w:rsidRDefault="007F7788" w:rsidP="00475A1B">
            <w:pPr>
              <w:tabs>
                <w:tab w:val="clear" w:pos="7100"/>
              </w:tabs>
              <w:spacing w:line="240" w:lineRule="auto"/>
              <w:jc w:val="center"/>
              <w:cnfStyle w:val="000000100000" w:firstRow="0" w:lastRow="0" w:firstColumn="0" w:lastColumn="0" w:oddVBand="0" w:evenVBand="0" w:oddHBand="1" w:evenHBand="0" w:firstRowFirstColumn="0" w:firstRowLastColumn="0" w:lastRowFirstColumn="0" w:lastRowLastColumn="0"/>
              <w:rPr>
                <w:rFonts w:ascii="Arial MT" w:hAnsi="Arial MT"/>
                <w:szCs w:val="18"/>
                <w:lang w:val="ru-RU" w:eastAsia="ru-RU"/>
              </w:rPr>
            </w:pPr>
            <w:r w:rsidRPr="009046AE">
              <w:rPr>
                <w:rFonts w:ascii="Arial MT" w:hAnsi="Arial MT"/>
                <w:szCs w:val="18"/>
                <w:lang w:val="ru-RU" w:eastAsia="ru-RU"/>
              </w:rPr>
              <w:t>0.000</w:t>
            </w:r>
          </w:p>
        </w:tc>
        <w:tc>
          <w:tcPr>
            <w:cnfStyle w:val="000100000000" w:firstRow="0" w:lastRow="0" w:firstColumn="0" w:lastColumn="1" w:oddVBand="0" w:evenVBand="0" w:oddHBand="0" w:evenHBand="0" w:firstRowFirstColumn="0" w:firstRowLastColumn="0" w:lastRowFirstColumn="0" w:lastRowLastColumn="0"/>
            <w:tcW w:w="2264" w:type="dxa"/>
            <w:tcBorders>
              <w:top w:val="single" w:sz="4" w:space="0" w:color="9BBB59" w:themeColor="accent3"/>
              <w:bottom w:val="single" w:sz="4" w:space="0" w:color="9BBB59" w:themeColor="accent3"/>
            </w:tcBorders>
            <w:shd w:val="clear" w:color="auto" w:fill="FFFFFF" w:themeFill="background1"/>
            <w:vAlign w:val="center"/>
          </w:tcPr>
          <w:p w14:paraId="33B049A7" w14:textId="37A77F6D" w:rsidR="007F7788" w:rsidRPr="005B6F35" w:rsidRDefault="007F7788" w:rsidP="00475A1B">
            <w:pPr>
              <w:tabs>
                <w:tab w:val="clear" w:pos="7100"/>
              </w:tabs>
              <w:spacing w:line="240" w:lineRule="auto"/>
              <w:jc w:val="center"/>
              <w:rPr>
                <w:rFonts w:ascii="Arial MT" w:hAnsi="Arial MT"/>
                <w:b w:val="0"/>
                <w:szCs w:val="18"/>
                <w:lang w:val="en-US" w:eastAsia="ru-RU"/>
              </w:rPr>
            </w:pPr>
            <w:r w:rsidRPr="005B6F35">
              <w:rPr>
                <w:rFonts w:ascii="Arial MT" w:hAnsi="Arial MT"/>
                <w:b w:val="0"/>
                <w:szCs w:val="18"/>
              </w:rPr>
              <w:t>0.000</w:t>
            </w:r>
          </w:p>
        </w:tc>
      </w:tr>
      <w:tr w:rsidR="007F7788" w:rsidRPr="009046AE" w14:paraId="43E27EA7" w14:textId="0D065F11" w:rsidTr="00F776B3">
        <w:trPr>
          <w:trHeight w:val="330"/>
        </w:trPr>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9BBB59" w:themeColor="accent3"/>
              <w:bottom w:val="single" w:sz="4" w:space="0" w:color="9BBB59" w:themeColor="accent3"/>
            </w:tcBorders>
            <w:shd w:val="clear" w:color="auto" w:fill="FFFFFF" w:themeFill="background1"/>
            <w:vAlign w:val="center"/>
          </w:tcPr>
          <w:p w14:paraId="3FF6CB18" w14:textId="565173C5" w:rsidR="007F7788" w:rsidRPr="009046AE" w:rsidRDefault="007F7788" w:rsidP="00475A1B">
            <w:pPr>
              <w:tabs>
                <w:tab w:val="clear" w:pos="7100"/>
              </w:tabs>
              <w:spacing w:line="240" w:lineRule="auto"/>
              <w:jc w:val="center"/>
              <w:rPr>
                <w:rFonts w:ascii="Arial MT" w:hAnsi="Arial MT"/>
                <w:szCs w:val="18"/>
                <w:lang w:val="ru-RU" w:eastAsia="ru-RU"/>
              </w:rPr>
            </w:pPr>
            <w:r w:rsidRPr="00542361">
              <w:rPr>
                <w:rFonts w:ascii="Arial MT" w:hAnsi="Arial MT"/>
                <w:szCs w:val="18"/>
              </w:rPr>
              <w:t>Cysteine</w:t>
            </w:r>
          </w:p>
        </w:tc>
        <w:tc>
          <w:tcPr>
            <w:tcW w:w="1842" w:type="dxa"/>
            <w:tcBorders>
              <w:top w:val="single" w:sz="4" w:space="0" w:color="9BBB59" w:themeColor="accent3"/>
              <w:bottom w:val="single" w:sz="4" w:space="0" w:color="9BBB59" w:themeColor="accent3"/>
            </w:tcBorders>
            <w:shd w:val="clear" w:color="auto" w:fill="FFFFFF" w:themeFill="background1"/>
            <w:noWrap/>
            <w:vAlign w:val="center"/>
          </w:tcPr>
          <w:p w14:paraId="79DA39A6" w14:textId="77777777" w:rsidR="007F7788" w:rsidRPr="009046AE" w:rsidRDefault="007F7788" w:rsidP="00475A1B">
            <w:pPr>
              <w:tabs>
                <w:tab w:val="clear" w:pos="7100"/>
              </w:tabs>
              <w:spacing w:line="240" w:lineRule="auto"/>
              <w:jc w:val="center"/>
              <w:cnfStyle w:val="000000000000" w:firstRow="0" w:lastRow="0" w:firstColumn="0" w:lastColumn="0" w:oddVBand="0" w:evenVBand="0" w:oddHBand="0" w:evenHBand="0" w:firstRowFirstColumn="0" w:firstRowLastColumn="0" w:lastRowFirstColumn="0" w:lastRowLastColumn="0"/>
              <w:rPr>
                <w:rFonts w:ascii="Arial MT" w:hAnsi="Arial MT"/>
                <w:szCs w:val="18"/>
                <w:lang w:val="ru-RU" w:eastAsia="ru-RU"/>
              </w:rPr>
            </w:pPr>
            <w:r w:rsidRPr="009046AE">
              <w:rPr>
                <w:rFonts w:ascii="Arial MT" w:hAnsi="Arial MT"/>
                <w:szCs w:val="18"/>
                <w:lang w:val="ru-RU" w:eastAsia="ru-RU"/>
              </w:rPr>
              <w:t>1.883</w:t>
            </w:r>
          </w:p>
        </w:tc>
        <w:tc>
          <w:tcPr>
            <w:cnfStyle w:val="000100000000" w:firstRow="0" w:lastRow="0" w:firstColumn="0" w:lastColumn="1" w:oddVBand="0" w:evenVBand="0" w:oddHBand="0" w:evenHBand="0" w:firstRowFirstColumn="0" w:firstRowLastColumn="0" w:lastRowFirstColumn="0" w:lastRowLastColumn="0"/>
            <w:tcW w:w="2264" w:type="dxa"/>
            <w:tcBorders>
              <w:top w:val="single" w:sz="4" w:space="0" w:color="9BBB59" w:themeColor="accent3"/>
              <w:bottom w:val="single" w:sz="4" w:space="0" w:color="9BBB59" w:themeColor="accent3"/>
            </w:tcBorders>
            <w:shd w:val="clear" w:color="auto" w:fill="FFFFFF" w:themeFill="background1"/>
            <w:vAlign w:val="center"/>
          </w:tcPr>
          <w:p w14:paraId="4879C905" w14:textId="6F50FA2F" w:rsidR="007F7788" w:rsidRPr="005B6F35" w:rsidRDefault="007F7788" w:rsidP="00475A1B">
            <w:pPr>
              <w:tabs>
                <w:tab w:val="clear" w:pos="7100"/>
              </w:tabs>
              <w:spacing w:line="240" w:lineRule="auto"/>
              <w:jc w:val="center"/>
              <w:rPr>
                <w:rFonts w:ascii="Arial MT" w:hAnsi="Arial MT"/>
                <w:b w:val="0"/>
                <w:szCs w:val="18"/>
                <w:lang w:val="en-US" w:eastAsia="ru-RU"/>
              </w:rPr>
            </w:pPr>
            <w:r w:rsidRPr="005B6F35">
              <w:rPr>
                <w:rFonts w:ascii="Arial MT" w:hAnsi="Arial MT"/>
                <w:b w:val="0"/>
                <w:szCs w:val="18"/>
              </w:rPr>
              <w:t>1.778</w:t>
            </w:r>
          </w:p>
        </w:tc>
      </w:tr>
      <w:tr w:rsidR="007F7788" w:rsidRPr="009046AE" w14:paraId="6F2EFD13" w14:textId="0321A75A" w:rsidTr="00F776B3">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9BBB59" w:themeColor="accent3"/>
              <w:bottom w:val="single" w:sz="4" w:space="0" w:color="9BBB59" w:themeColor="accent3"/>
            </w:tcBorders>
            <w:shd w:val="clear" w:color="auto" w:fill="FFFFFF" w:themeFill="background1"/>
            <w:vAlign w:val="center"/>
          </w:tcPr>
          <w:p w14:paraId="6321B57E" w14:textId="786F75B5" w:rsidR="007F7788" w:rsidRPr="009046AE" w:rsidRDefault="007F7788" w:rsidP="00475A1B">
            <w:pPr>
              <w:tabs>
                <w:tab w:val="clear" w:pos="7100"/>
              </w:tabs>
              <w:spacing w:line="240" w:lineRule="auto"/>
              <w:jc w:val="center"/>
              <w:rPr>
                <w:rFonts w:ascii="Arial MT" w:hAnsi="Arial MT"/>
                <w:szCs w:val="18"/>
                <w:lang w:val="ru-RU" w:eastAsia="ru-RU"/>
              </w:rPr>
            </w:pPr>
            <w:r w:rsidRPr="00542361">
              <w:rPr>
                <w:rFonts w:ascii="Arial MT" w:hAnsi="Arial MT"/>
                <w:szCs w:val="18"/>
              </w:rPr>
              <w:t>Treonine</w:t>
            </w:r>
          </w:p>
        </w:tc>
        <w:tc>
          <w:tcPr>
            <w:tcW w:w="1842" w:type="dxa"/>
            <w:tcBorders>
              <w:top w:val="single" w:sz="4" w:space="0" w:color="9BBB59" w:themeColor="accent3"/>
              <w:bottom w:val="single" w:sz="4" w:space="0" w:color="9BBB59" w:themeColor="accent3"/>
            </w:tcBorders>
            <w:shd w:val="clear" w:color="auto" w:fill="FFFFFF" w:themeFill="background1"/>
            <w:noWrap/>
            <w:vAlign w:val="center"/>
          </w:tcPr>
          <w:p w14:paraId="1F3C8109" w14:textId="77777777" w:rsidR="007F7788" w:rsidRPr="009046AE" w:rsidRDefault="007F7788" w:rsidP="00475A1B">
            <w:pPr>
              <w:tabs>
                <w:tab w:val="clear" w:pos="7100"/>
              </w:tabs>
              <w:spacing w:line="240" w:lineRule="auto"/>
              <w:jc w:val="center"/>
              <w:cnfStyle w:val="000000100000" w:firstRow="0" w:lastRow="0" w:firstColumn="0" w:lastColumn="0" w:oddVBand="0" w:evenVBand="0" w:oddHBand="1" w:evenHBand="0" w:firstRowFirstColumn="0" w:firstRowLastColumn="0" w:lastRowFirstColumn="0" w:lastRowLastColumn="0"/>
              <w:rPr>
                <w:rFonts w:ascii="Arial MT" w:hAnsi="Arial MT"/>
                <w:szCs w:val="18"/>
                <w:lang w:val="ru-RU" w:eastAsia="ru-RU"/>
              </w:rPr>
            </w:pPr>
            <w:r w:rsidRPr="009046AE">
              <w:rPr>
                <w:rFonts w:ascii="Arial MT" w:hAnsi="Arial MT"/>
                <w:szCs w:val="18"/>
                <w:lang w:val="ru-RU" w:eastAsia="ru-RU"/>
              </w:rPr>
              <w:t>4.818</w:t>
            </w:r>
          </w:p>
        </w:tc>
        <w:tc>
          <w:tcPr>
            <w:cnfStyle w:val="000100000000" w:firstRow="0" w:lastRow="0" w:firstColumn="0" w:lastColumn="1" w:oddVBand="0" w:evenVBand="0" w:oddHBand="0" w:evenHBand="0" w:firstRowFirstColumn="0" w:firstRowLastColumn="0" w:lastRowFirstColumn="0" w:lastRowLastColumn="0"/>
            <w:tcW w:w="2264" w:type="dxa"/>
            <w:tcBorders>
              <w:top w:val="single" w:sz="4" w:space="0" w:color="9BBB59" w:themeColor="accent3"/>
              <w:bottom w:val="single" w:sz="4" w:space="0" w:color="9BBB59" w:themeColor="accent3"/>
            </w:tcBorders>
            <w:shd w:val="clear" w:color="auto" w:fill="FFFFFF" w:themeFill="background1"/>
            <w:vAlign w:val="center"/>
          </w:tcPr>
          <w:p w14:paraId="3D1DD5B4" w14:textId="2DCF1D98" w:rsidR="007F7788" w:rsidRPr="005B6F35" w:rsidRDefault="007F7788" w:rsidP="00475A1B">
            <w:pPr>
              <w:tabs>
                <w:tab w:val="clear" w:pos="7100"/>
              </w:tabs>
              <w:spacing w:line="240" w:lineRule="auto"/>
              <w:jc w:val="center"/>
              <w:rPr>
                <w:rFonts w:ascii="Arial MT" w:hAnsi="Arial MT"/>
                <w:b w:val="0"/>
                <w:szCs w:val="18"/>
                <w:lang w:val="en-US" w:eastAsia="ru-RU"/>
              </w:rPr>
            </w:pPr>
            <w:r w:rsidRPr="005B6F35">
              <w:rPr>
                <w:rFonts w:ascii="Arial MT" w:hAnsi="Arial MT"/>
                <w:b w:val="0"/>
                <w:szCs w:val="18"/>
                <w:lang w:val="en-US" w:eastAsia="ru-RU"/>
              </w:rPr>
              <w:t>3.545</w:t>
            </w:r>
          </w:p>
        </w:tc>
      </w:tr>
      <w:tr w:rsidR="007F7788" w:rsidRPr="009046AE" w14:paraId="180AD8B9" w14:textId="3C9C221A" w:rsidTr="00F776B3">
        <w:trPr>
          <w:trHeight w:val="330"/>
        </w:trPr>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9BBB59" w:themeColor="accent3"/>
              <w:bottom w:val="single" w:sz="4" w:space="0" w:color="9BBB59" w:themeColor="accent3"/>
            </w:tcBorders>
            <w:shd w:val="clear" w:color="auto" w:fill="FFFFFF" w:themeFill="background1"/>
            <w:vAlign w:val="center"/>
          </w:tcPr>
          <w:p w14:paraId="78AFB4B0" w14:textId="126D9B4E" w:rsidR="007F7788" w:rsidRPr="009046AE" w:rsidRDefault="007F7788" w:rsidP="00475A1B">
            <w:pPr>
              <w:tabs>
                <w:tab w:val="clear" w:pos="7100"/>
              </w:tabs>
              <w:spacing w:line="240" w:lineRule="auto"/>
              <w:jc w:val="center"/>
              <w:rPr>
                <w:rFonts w:ascii="Arial MT" w:hAnsi="Arial MT"/>
                <w:szCs w:val="18"/>
                <w:lang w:val="ru-RU" w:eastAsia="ru-RU"/>
              </w:rPr>
            </w:pPr>
            <w:r w:rsidRPr="00542361">
              <w:rPr>
                <w:rFonts w:ascii="Arial MT" w:hAnsi="Arial MT"/>
                <w:szCs w:val="18"/>
              </w:rPr>
              <w:t>Argenin</w:t>
            </w:r>
          </w:p>
        </w:tc>
        <w:tc>
          <w:tcPr>
            <w:tcW w:w="1842" w:type="dxa"/>
            <w:tcBorders>
              <w:top w:val="single" w:sz="4" w:space="0" w:color="9BBB59" w:themeColor="accent3"/>
              <w:bottom w:val="single" w:sz="4" w:space="0" w:color="9BBB59" w:themeColor="accent3"/>
            </w:tcBorders>
            <w:shd w:val="clear" w:color="auto" w:fill="FFFFFF" w:themeFill="background1"/>
            <w:noWrap/>
            <w:vAlign w:val="center"/>
          </w:tcPr>
          <w:p w14:paraId="07B3CEA2" w14:textId="77777777" w:rsidR="007F7788" w:rsidRPr="009046AE" w:rsidRDefault="007F7788" w:rsidP="00475A1B">
            <w:pPr>
              <w:tabs>
                <w:tab w:val="clear" w:pos="7100"/>
              </w:tabs>
              <w:spacing w:line="240" w:lineRule="auto"/>
              <w:jc w:val="center"/>
              <w:cnfStyle w:val="000000000000" w:firstRow="0" w:lastRow="0" w:firstColumn="0" w:lastColumn="0" w:oddVBand="0" w:evenVBand="0" w:oddHBand="0" w:evenHBand="0" w:firstRowFirstColumn="0" w:firstRowLastColumn="0" w:lastRowFirstColumn="0" w:lastRowLastColumn="0"/>
              <w:rPr>
                <w:rFonts w:ascii="Arial MT" w:hAnsi="Arial MT"/>
                <w:szCs w:val="18"/>
                <w:lang w:val="ru-RU" w:eastAsia="ru-RU"/>
              </w:rPr>
            </w:pPr>
            <w:r w:rsidRPr="009046AE">
              <w:rPr>
                <w:rFonts w:ascii="Arial MT" w:hAnsi="Arial MT"/>
                <w:szCs w:val="18"/>
                <w:lang w:val="ru-RU" w:eastAsia="ru-RU"/>
              </w:rPr>
              <w:t>1.202</w:t>
            </w:r>
          </w:p>
        </w:tc>
        <w:tc>
          <w:tcPr>
            <w:cnfStyle w:val="000100000000" w:firstRow="0" w:lastRow="0" w:firstColumn="0" w:lastColumn="1" w:oddVBand="0" w:evenVBand="0" w:oddHBand="0" w:evenHBand="0" w:firstRowFirstColumn="0" w:firstRowLastColumn="0" w:lastRowFirstColumn="0" w:lastRowLastColumn="0"/>
            <w:tcW w:w="2264" w:type="dxa"/>
            <w:tcBorders>
              <w:top w:val="single" w:sz="4" w:space="0" w:color="9BBB59" w:themeColor="accent3"/>
              <w:bottom w:val="single" w:sz="4" w:space="0" w:color="9BBB59" w:themeColor="accent3"/>
            </w:tcBorders>
            <w:shd w:val="clear" w:color="auto" w:fill="FFFFFF" w:themeFill="background1"/>
            <w:vAlign w:val="center"/>
          </w:tcPr>
          <w:p w14:paraId="4CD50368" w14:textId="16C39D21" w:rsidR="007F7788" w:rsidRPr="005B6F35" w:rsidRDefault="007F7788" w:rsidP="00475A1B">
            <w:pPr>
              <w:tabs>
                <w:tab w:val="clear" w:pos="7100"/>
              </w:tabs>
              <w:spacing w:line="240" w:lineRule="auto"/>
              <w:jc w:val="center"/>
              <w:rPr>
                <w:rFonts w:ascii="Arial MT" w:hAnsi="Arial MT"/>
                <w:b w:val="0"/>
                <w:szCs w:val="18"/>
                <w:lang w:val="en-US" w:eastAsia="ru-RU"/>
              </w:rPr>
            </w:pPr>
            <w:r w:rsidRPr="005B6F35">
              <w:rPr>
                <w:rFonts w:ascii="Arial MT" w:hAnsi="Arial MT"/>
                <w:b w:val="0"/>
                <w:szCs w:val="18"/>
                <w:lang w:val="en-US" w:eastAsia="ru-RU"/>
              </w:rPr>
              <w:t>0.656</w:t>
            </w:r>
          </w:p>
        </w:tc>
      </w:tr>
      <w:tr w:rsidR="007F7788" w:rsidRPr="009046AE" w14:paraId="57C40406" w14:textId="22F07CF5" w:rsidTr="00F776B3">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9BBB59" w:themeColor="accent3"/>
              <w:bottom w:val="single" w:sz="4" w:space="0" w:color="9BBB59" w:themeColor="accent3"/>
            </w:tcBorders>
            <w:shd w:val="clear" w:color="auto" w:fill="FFFFFF" w:themeFill="background1"/>
            <w:vAlign w:val="center"/>
          </w:tcPr>
          <w:p w14:paraId="7328E9B3" w14:textId="1A34C75E" w:rsidR="007F7788" w:rsidRPr="009046AE" w:rsidRDefault="007F7788" w:rsidP="00475A1B">
            <w:pPr>
              <w:tabs>
                <w:tab w:val="clear" w:pos="7100"/>
              </w:tabs>
              <w:spacing w:line="240" w:lineRule="auto"/>
              <w:jc w:val="center"/>
              <w:rPr>
                <w:rFonts w:ascii="Arial MT" w:hAnsi="Arial MT"/>
                <w:szCs w:val="18"/>
                <w:lang w:val="ru-RU" w:eastAsia="ru-RU"/>
              </w:rPr>
            </w:pPr>
            <w:r w:rsidRPr="00542361">
              <w:rPr>
                <w:rFonts w:ascii="Arial MT" w:hAnsi="Arial MT"/>
                <w:szCs w:val="18"/>
              </w:rPr>
              <w:t>Alanine</w:t>
            </w:r>
          </w:p>
        </w:tc>
        <w:tc>
          <w:tcPr>
            <w:tcW w:w="1842" w:type="dxa"/>
            <w:tcBorders>
              <w:top w:val="single" w:sz="4" w:space="0" w:color="9BBB59" w:themeColor="accent3"/>
              <w:bottom w:val="single" w:sz="4" w:space="0" w:color="9BBB59" w:themeColor="accent3"/>
            </w:tcBorders>
            <w:shd w:val="clear" w:color="auto" w:fill="FFFFFF" w:themeFill="background1"/>
            <w:noWrap/>
            <w:vAlign w:val="center"/>
          </w:tcPr>
          <w:p w14:paraId="039A7696" w14:textId="308403BF" w:rsidR="007F7788" w:rsidRPr="009046AE" w:rsidRDefault="00AB3A27" w:rsidP="00475A1B">
            <w:pPr>
              <w:tabs>
                <w:tab w:val="clear" w:pos="7100"/>
              </w:tabs>
              <w:spacing w:line="240" w:lineRule="auto"/>
              <w:jc w:val="center"/>
              <w:cnfStyle w:val="000000100000" w:firstRow="0" w:lastRow="0" w:firstColumn="0" w:lastColumn="0" w:oddVBand="0" w:evenVBand="0" w:oddHBand="1" w:evenHBand="0" w:firstRowFirstColumn="0" w:firstRowLastColumn="0" w:lastRowFirstColumn="0" w:lastRowLastColumn="0"/>
              <w:rPr>
                <w:rFonts w:ascii="Arial MT" w:hAnsi="Arial MT"/>
                <w:szCs w:val="18"/>
                <w:lang w:val="ru-RU" w:eastAsia="ru-RU"/>
              </w:rPr>
            </w:pPr>
            <w:r>
              <w:rPr>
                <w:rFonts w:ascii="Arial MT" w:hAnsi="Arial MT"/>
                <w:szCs w:val="18"/>
                <w:lang w:val="ru-RU" w:eastAsia="ru-RU"/>
              </w:rPr>
              <w:t>14.58</w:t>
            </w:r>
          </w:p>
        </w:tc>
        <w:tc>
          <w:tcPr>
            <w:cnfStyle w:val="000100000000" w:firstRow="0" w:lastRow="0" w:firstColumn="0" w:lastColumn="1" w:oddVBand="0" w:evenVBand="0" w:oddHBand="0" w:evenHBand="0" w:firstRowFirstColumn="0" w:firstRowLastColumn="0" w:lastRowFirstColumn="0" w:lastRowLastColumn="0"/>
            <w:tcW w:w="2264" w:type="dxa"/>
            <w:tcBorders>
              <w:top w:val="single" w:sz="4" w:space="0" w:color="9BBB59" w:themeColor="accent3"/>
              <w:bottom w:val="single" w:sz="4" w:space="0" w:color="9BBB59" w:themeColor="accent3"/>
            </w:tcBorders>
            <w:shd w:val="clear" w:color="auto" w:fill="FFFFFF" w:themeFill="background1"/>
            <w:vAlign w:val="center"/>
          </w:tcPr>
          <w:p w14:paraId="7EF6841D" w14:textId="149985F5" w:rsidR="007F7788" w:rsidRPr="005B6F35" w:rsidRDefault="007F7788" w:rsidP="00475A1B">
            <w:pPr>
              <w:tabs>
                <w:tab w:val="clear" w:pos="7100"/>
              </w:tabs>
              <w:spacing w:line="240" w:lineRule="auto"/>
              <w:jc w:val="center"/>
              <w:rPr>
                <w:rFonts w:ascii="Arial MT" w:hAnsi="Arial MT"/>
                <w:b w:val="0"/>
                <w:szCs w:val="18"/>
                <w:lang w:val="en-US" w:eastAsia="ru-RU"/>
              </w:rPr>
            </w:pPr>
            <w:r w:rsidRPr="005B6F35">
              <w:rPr>
                <w:rFonts w:ascii="Arial MT" w:hAnsi="Arial MT"/>
                <w:b w:val="0"/>
                <w:szCs w:val="18"/>
                <w:lang w:val="en-US" w:eastAsia="ru-RU"/>
              </w:rPr>
              <w:t>8.484</w:t>
            </w:r>
          </w:p>
        </w:tc>
      </w:tr>
      <w:tr w:rsidR="007F7788" w:rsidRPr="009046AE" w14:paraId="562A01F3" w14:textId="523746D1" w:rsidTr="00F776B3">
        <w:trPr>
          <w:trHeight w:val="330"/>
        </w:trPr>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9BBB59" w:themeColor="accent3"/>
              <w:bottom w:val="single" w:sz="4" w:space="0" w:color="9BBB59" w:themeColor="accent3"/>
            </w:tcBorders>
            <w:shd w:val="clear" w:color="auto" w:fill="FFFFFF" w:themeFill="background1"/>
            <w:vAlign w:val="center"/>
          </w:tcPr>
          <w:p w14:paraId="15DB487A" w14:textId="719DE975" w:rsidR="007F7788" w:rsidRPr="009046AE" w:rsidRDefault="007F7788" w:rsidP="00475A1B">
            <w:pPr>
              <w:tabs>
                <w:tab w:val="clear" w:pos="7100"/>
              </w:tabs>
              <w:spacing w:line="240" w:lineRule="auto"/>
              <w:jc w:val="center"/>
              <w:rPr>
                <w:rFonts w:ascii="Arial MT" w:hAnsi="Arial MT"/>
                <w:szCs w:val="18"/>
                <w:lang w:val="ru-RU" w:eastAsia="ru-RU"/>
              </w:rPr>
            </w:pPr>
            <w:r w:rsidRPr="00542361">
              <w:rPr>
                <w:rFonts w:ascii="Arial MT" w:hAnsi="Arial MT"/>
                <w:szCs w:val="18"/>
              </w:rPr>
              <w:t>Proline</w:t>
            </w:r>
          </w:p>
        </w:tc>
        <w:tc>
          <w:tcPr>
            <w:tcW w:w="1842" w:type="dxa"/>
            <w:tcBorders>
              <w:top w:val="single" w:sz="4" w:space="0" w:color="9BBB59" w:themeColor="accent3"/>
              <w:bottom w:val="single" w:sz="4" w:space="0" w:color="9BBB59" w:themeColor="accent3"/>
            </w:tcBorders>
            <w:shd w:val="clear" w:color="auto" w:fill="FFFFFF" w:themeFill="background1"/>
            <w:noWrap/>
            <w:vAlign w:val="center"/>
          </w:tcPr>
          <w:p w14:paraId="1878322F" w14:textId="5F474A78" w:rsidR="007F7788" w:rsidRPr="009046AE" w:rsidRDefault="00AB3A27" w:rsidP="00475A1B">
            <w:pPr>
              <w:tabs>
                <w:tab w:val="clear" w:pos="7100"/>
              </w:tabs>
              <w:spacing w:line="240" w:lineRule="auto"/>
              <w:jc w:val="center"/>
              <w:cnfStyle w:val="000000000000" w:firstRow="0" w:lastRow="0" w:firstColumn="0" w:lastColumn="0" w:oddVBand="0" w:evenVBand="0" w:oddHBand="0" w:evenHBand="0" w:firstRowFirstColumn="0" w:firstRowLastColumn="0" w:lastRowFirstColumn="0" w:lastRowLastColumn="0"/>
              <w:rPr>
                <w:rFonts w:ascii="Arial MT" w:hAnsi="Arial MT"/>
                <w:szCs w:val="18"/>
                <w:lang w:val="ru-RU" w:eastAsia="ru-RU"/>
              </w:rPr>
            </w:pPr>
            <w:r>
              <w:rPr>
                <w:rFonts w:ascii="Arial MT" w:hAnsi="Arial MT"/>
                <w:szCs w:val="18"/>
                <w:lang w:val="ru-RU" w:eastAsia="ru-RU"/>
              </w:rPr>
              <w:t>19.38</w:t>
            </w:r>
          </w:p>
        </w:tc>
        <w:tc>
          <w:tcPr>
            <w:cnfStyle w:val="000100000000" w:firstRow="0" w:lastRow="0" w:firstColumn="0" w:lastColumn="1" w:oddVBand="0" w:evenVBand="0" w:oddHBand="0" w:evenHBand="0" w:firstRowFirstColumn="0" w:firstRowLastColumn="0" w:lastRowFirstColumn="0" w:lastRowLastColumn="0"/>
            <w:tcW w:w="2264" w:type="dxa"/>
            <w:tcBorders>
              <w:top w:val="single" w:sz="4" w:space="0" w:color="9BBB59" w:themeColor="accent3"/>
              <w:bottom w:val="single" w:sz="4" w:space="0" w:color="9BBB59" w:themeColor="accent3"/>
            </w:tcBorders>
            <w:shd w:val="clear" w:color="auto" w:fill="FFFFFF" w:themeFill="background1"/>
            <w:vAlign w:val="center"/>
          </w:tcPr>
          <w:p w14:paraId="2DA4AA8D" w14:textId="69EBCA68" w:rsidR="007F7788" w:rsidRPr="005B6F35" w:rsidRDefault="00542361" w:rsidP="00475A1B">
            <w:pPr>
              <w:tabs>
                <w:tab w:val="clear" w:pos="7100"/>
              </w:tabs>
              <w:spacing w:line="240" w:lineRule="auto"/>
              <w:jc w:val="center"/>
              <w:rPr>
                <w:rFonts w:ascii="Arial MT" w:hAnsi="Arial MT"/>
                <w:b w:val="0"/>
                <w:szCs w:val="18"/>
                <w:lang w:val="en-US" w:eastAsia="ru-RU"/>
              </w:rPr>
            </w:pPr>
            <w:r w:rsidRPr="005B6F35">
              <w:rPr>
                <w:rFonts w:ascii="Arial MT" w:hAnsi="Arial MT"/>
                <w:b w:val="0"/>
                <w:szCs w:val="18"/>
                <w:lang w:val="en-US" w:eastAsia="ru-RU"/>
              </w:rPr>
              <w:t>18</w:t>
            </w:r>
            <w:r w:rsidR="00AB3A27">
              <w:rPr>
                <w:rFonts w:ascii="Arial MT" w:hAnsi="Arial MT"/>
                <w:b w:val="0"/>
                <w:szCs w:val="18"/>
                <w:lang w:val="en-US" w:eastAsia="ru-RU"/>
              </w:rPr>
              <w:t>.95</w:t>
            </w:r>
          </w:p>
        </w:tc>
      </w:tr>
      <w:tr w:rsidR="007F7788" w:rsidRPr="009046AE" w14:paraId="68F22317" w14:textId="212FA8E8" w:rsidTr="00F776B3">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9BBB59" w:themeColor="accent3"/>
              <w:bottom w:val="single" w:sz="4" w:space="0" w:color="9BBB59" w:themeColor="accent3"/>
            </w:tcBorders>
            <w:shd w:val="clear" w:color="auto" w:fill="FFFFFF" w:themeFill="background1"/>
            <w:vAlign w:val="center"/>
          </w:tcPr>
          <w:p w14:paraId="2499AF0E" w14:textId="1CDDDC9C" w:rsidR="007F7788" w:rsidRPr="009046AE" w:rsidRDefault="007F7788" w:rsidP="00475A1B">
            <w:pPr>
              <w:tabs>
                <w:tab w:val="clear" w:pos="7100"/>
              </w:tabs>
              <w:spacing w:line="240" w:lineRule="auto"/>
              <w:jc w:val="center"/>
              <w:rPr>
                <w:rFonts w:ascii="Arial MT" w:hAnsi="Arial MT"/>
                <w:szCs w:val="18"/>
                <w:lang w:val="ru-RU" w:eastAsia="ru-RU"/>
              </w:rPr>
            </w:pPr>
            <w:r w:rsidRPr="00542361">
              <w:rPr>
                <w:rFonts w:ascii="Arial MT" w:hAnsi="Arial MT"/>
                <w:szCs w:val="18"/>
              </w:rPr>
              <w:t>Tyrosine</w:t>
            </w:r>
          </w:p>
        </w:tc>
        <w:tc>
          <w:tcPr>
            <w:tcW w:w="1842" w:type="dxa"/>
            <w:tcBorders>
              <w:top w:val="single" w:sz="4" w:space="0" w:color="9BBB59" w:themeColor="accent3"/>
              <w:bottom w:val="single" w:sz="4" w:space="0" w:color="9BBB59" w:themeColor="accent3"/>
            </w:tcBorders>
            <w:shd w:val="clear" w:color="auto" w:fill="FFFFFF" w:themeFill="background1"/>
            <w:noWrap/>
            <w:vAlign w:val="center"/>
          </w:tcPr>
          <w:p w14:paraId="36DD7584" w14:textId="77777777" w:rsidR="007F7788" w:rsidRPr="009046AE" w:rsidRDefault="007F7788" w:rsidP="00475A1B">
            <w:pPr>
              <w:tabs>
                <w:tab w:val="clear" w:pos="7100"/>
              </w:tabs>
              <w:spacing w:line="240" w:lineRule="auto"/>
              <w:jc w:val="center"/>
              <w:cnfStyle w:val="000000100000" w:firstRow="0" w:lastRow="0" w:firstColumn="0" w:lastColumn="0" w:oddVBand="0" w:evenVBand="0" w:oddHBand="1" w:evenHBand="0" w:firstRowFirstColumn="0" w:firstRowLastColumn="0" w:lastRowFirstColumn="0" w:lastRowLastColumn="0"/>
              <w:rPr>
                <w:rFonts w:ascii="Arial MT" w:hAnsi="Arial MT"/>
                <w:szCs w:val="18"/>
                <w:lang w:val="ru-RU" w:eastAsia="ru-RU"/>
              </w:rPr>
            </w:pPr>
            <w:r w:rsidRPr="009046AE">
              <w:rPr>
                <w:rFonts w:ascii="Arial MT" w:hAnsi="Arial MT"/>
                <w:szCs w:val="18"/>
                <w:lang w:val="ru-RU" w:eastAsia="ru-RU"/>
              </w:rPr>
              <w:t>3.115</w:t>
            </w:r>
          </w:p>
        </w:tc>
        <w:tc>
          <w:tcPr>
            <w:cnfStyle w:val="000100000000" w:firstRow="0" w:lastRow="0" w:firstColumn="0" w:lastColumn="1" w:oddVBand="0" w:evenVBand="0" w:oddHBand="0" w:evenHBand="0" w:firstRowFirstColumn="0" w:firstRowLastColumn="0" w:lastRowFirstColumn="0" w:lastRowLastColumn="0"/>
            <w:tcW w:w="2264" w:type="dxa"/>
            <w:tcBorders>
              <w:top w:val="single" w:sz="4" w:space="0" w:color="9BBB59" w:themeColor="accent3"/>
              <w:bottom w:val="single" w:sz="4" w:space="0" w:color="9BBB59" w:themeColor="accent3"/>
            </w:tcBorders>
            <w:shd w:val="clear" w:color="auto" w:fill="FFFFFF" w:themeFill="background1"/>
            <w:vAlign w:val="center"/>
          </w:tcPr>
          <w:p w14:paraId="3C6FA346" w14:textId="40DD6830" w:rsidR="007F7788" w:rsidRPr="005B6F35" w:rsidRDefault="007F7788" w:rsidP="00475A1B">
            <w:pPr>
              <w:tabs>
                <w:tab w:val="clear" w:pos="7100"/>
              </w:tabs>
              <w:spacing w:line="240" w:lineRule="auto"/>
              <w:jc w:val="center"/>
              <w:rPr>
                <w:rFonts w:ascii="Arial MT" w:hAnsi="Arial MT"/>
                <w:b w:val="0"/>
                <w:szCs w:val="18"/>
                <w:lang w:val="en-US" w:eastAsia="ru-RU"/>
              </w:rPr>
            </w:pPr>
            <w:r w:rsidRPr="005B6F35">
              <w:rPr>
                <w:rFonts w:ascii="Arial MT" w:hAnsi="Arial MT"/>
                <w:b w:val="0"/>
                <w:szCs w:val="18"/>
                <w:lang w:val="en-US" w:eastAsia="ru-RU"/>
              </w:rPr>
              <w:t>3.005</w:t>
            </w:r>
          </w:p>
        </w:tc>
      </w:tr>
      <w:tr w:rsidR="007F7788" w:rsidRPr="009046AE" w14:paraId="4C98C260" w14:textId="21D789DA" w:rsidTr="00F776B3">
        <w:trPr>
          <w:trHeight w:val="330"/>
        </w:trPr>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9BBB59" w:themeColor="accent3"/>
              <w:bottom w:val="single" w:sz="4" w:space="0" w:color="9BBB59" w:themeColor="accent3"/>
            </w:tcBorders>
            <w:shd w:val="clear" w:color="auto" w:fill="FFFFFF" w:themeFill="background1"/>
            <w:vAlign w:val="center"/>
          </w:tcPr>
          <w:p w14:paraId="2C3916E7" w14:textId="6CF715A3" w:rsidR="007F7788" w:rsidRPr="009046AE" w:rsidRDefault="007F7788" w:rsidP="00475A1B">
            <w:pPr>
              <w:tabs>
                <w:tab w:val="clear" w:pos="7100"/>
              </w:tabs>
              <w:spacing w:line="240" w:lineRule="auto"/>
              <w:jc w:val="center"/>
              <w:rPr>
                <w:rFonts w:ascii="Arial MT" w:hAnsi="Arial MT"/>
                <w:szCs w:val="18"/>
                <w:lang w:val="ru-RU" w:eastAsia="ru-RU"/>
              </w:rPr>
            </w:pPr>
            <w:r w:rsidRPr="00542361">
              <w:rPr>
                <w:rFonts w:ascii="Arial MT" w:hAnsi="Arial MT"/>
                <w:szCs w:val="18"/>
              </w:rPr>
              <w:t>Valine</w:t>
            </w:r>
          </w:p>
        </w:tc>
        <w:tc>
          <w:tcPr>
            <w:tcW w:w="1842" w:type="dxa"/>
            <w:tcBorders>
              <w:top w:val="single" w:sz="4" w:space="0" w:color="9BBB59" w:themeColor="accent3"/>
              <w:bottom w:val="single" w:sz="4" w:space="0" w:color="9BBB59" w:themeColor="accent3"/>
            </w:tcBorders>
            <w:shd w:val="clear" w:color="auto" w:fill="FFFFFF" w:themeFill="background1"/>
            <w:noWrap/>
            <w:vAlign w:val="center"/>
          </w:tcPr>
          <w:p w14:paraId="253064D3" w14:textId="77777777" w:rsidR="007F7788" w:rsidRPr="009046AE" w:rsidRDefault="007F7788" w:rsidP="00475A1B">
            <w:pPr>
              <w:tabs>
                <w:tab w:val="clear" w:pos="7100"/>
              </w:tabs>
              <w:spacing w:line="240" w:lineRule="auto"/>
              <w:jc w:val="center"/>
              <w:cnfStyle w:val="000000000000" w:firstRow="0" w:lastRow="0" w:firstColumn="0" w:lastColumn="0" w:oddVBand="0" w:evenVBand="0" w:oddHBand="0" w:evenHBand="0" w:firstRowFirstColumn="0" w:firstRowLastColumn="0" w:lastRowFirstColumn="0" w:lastRowLastColumn="0"/>
              <w:rPr>
                <w:rFonts w:ascii="Arial MT" w:hAnsi="Arial MT"/>
                <w:szCs w:val="18"/>
                <w:lang w:val="ru-RU" w:eastAsia="ru-RU"/>
              </w:rPr>
            </w:pPr>
            <w:r w:rsidRPr="009046AE">
              <w:rPr>
                <w:rFonts w:ascii="Arial MT" w:hAnsi="Arial MT"/>
                <w:szCs w:val="18"/>
                <w:lang w:val="ru-RU" w:eastAsia="ru-RU"/>
              </w:rPr>
              <w:t>2.253</w:t>
            </w:r>
          </w:p>
        </w:tc>
        <w:tc>
          <w:tcPr>
            <w:cnfStyle w:val="000100000000" w:firstRow="0" w:lastRow="0" w:firstColumn="0" w:lastColumn="1" w:oddVBand="0" w:evenVBand="0" w:oddHBand="0" w:evenHBand="0" w:firstRowFirstColumn="0" w:firstRowLastColumn="0" w:lastRowFirstColumn="0" w:lastRowLastColumn="0"/>
            <w:tcW w:w="2264" w:type="dxa"/>
            <w:tcBorders>
              <w:top w:val="single" w:sz="4" w:space="0" w:color="9BBB59" w:themeColor="accent3"/>
              <w:bottom w:val="single" w:sz="4" w:space="0" w:color="9BBB59" w:themeColor="accent3"/>
            </w:tcBorders>
            <w:shd w:val="clear" w:color="auto" w:fill="FFFFFF" w:themeFill="background1"/>
            <w:vAlign w:val="center"/>
          </w:tcPr>
          <w:p w14:paraId="64D0265E" w14:textId="36228A19" w:rsidR="007F7788" w:rsidRPr="005B6F35" w:rsidRDefault="007F7788" w:rsidP="00475A1B">
            <w:pPr>
              <w:tabs>
                <w:tab w:val="clear" w:pos="7100"/>
              </w:tabs>
              <w:spacing w:line="240" w:lineRule="auto"/>
              <w:jc w:val="center"/>
              <w:rPr>
                <w:rFonts w:ascii="Arial MT" w:hAnsi="Arial MT"/>
                <w:b w:val="0"/>
                <w:szCs w:val="18"/>
                <w:lang w:val="en-US" w:eastAsia="ru-RU"/>
              </w:rPr>
            </w:pPr>
            <w:r w:rsidRPr="005B6F35">
              <w:rPr>
                <w:rFonts w:ascii="Arial MT" w:hAnsi="Arial MT"/>
                <w:b w:val="0"/>
                <w:szCs w:val="18"/>
                <w:lang w:val="en-US" w:eastAsia="ru-RU"/>
              </w:rPr>
              <w:t>1.256</w:t>
            </w:r>
          </w:p>
        </w:tc>
      </w:tr>
      <w:tr w:rsidR="007F7788" w:rsidRPr="009046AE" w14:paraId="6B875EAF" w14:textId="205CCA81" w:rsidTr="00F776B3">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9BBB59" w:themeColor="accent3"/>
              <w:bottom w:val="single" w:sz="4" w:space="0" w:color="9BBB59" w:themeColor="accent3"/>
            </w:tcBorders>
            <w:shd w:val="clear" w:color="auto" w:fill="FFFFFF" w:themeFill="background1"/>
            <w:vAlign w:val="center"/>
          </w:tcPr>
          <w:p w14:paraId="1B65C0E8" w14:textId="267B720A" w:rsidR="007F7788" w:rsidRPr="009046AE" w:rsidRDefault="007F7788" w:rsidP="00475A1B">
            <w:pPr>
              <w:tabs>
                <w:tab w:val="clear" w:pos="7100"/>
              </w:tabs>
              <w:spacing w:line="240" w:lineRule="auto"/>
              <w:jc w:val="center"/>
              <w:rPr>
                <w:rFonts w:ascii="Arial MT" w:hAnsi="Arial MT"/>
                <w:szCs w:val="18"/>
                <w:lang w:val="ru-RU" w:eastAsia="ru-RU"/>
              </w:rPr>
            </w:pPr>
            <w:r w:rsidRPr="00542361">
              <w:rPr>
                <w:rFonts w:ascii="Arial MT" w:hAnsi="Arial MT"/>
                <w:szCs w:val="18"/>
              </w:rPr>
              <w:t>Metionine</w:t>
            </w:r>
          </w:p>
        </w:tc>
        <w:tc>
          <w:tcPr>
            <w:tcW w:w="1842" w:type="dxa"/>
            <w:tcBorders>
              <w:top w:val="single" w:sz="4" w:space="0" w:color="9BBB59" w:themeColor="accent3"/>
              <w:bottom w:val="single" w:sz="4" w:space="0" w:color="9BBB59" w:themeColor="accent3"/>
            </w:tcBorders>
            <w:shd w:val="clear" w:color="auto" w:fill="FFFFFF" w:themeFill="background1"/>
            <w:noWrap/>
            <w:vAlign w:val="center"/>
          </w:tcPr>
          <w:p w14:paraId="29A64A91" w14:textId="77777777" w:rsidR="007F7788" w:rsidRPr="009046AE" w:rsidRDefault="007F7788" w:rsidP="00475A1B">
            <w:pPr>
              <w:tabs>
                <w:tab w:val="clear" w:pos="7100"/>
              </w:tabs>
              <w:spacing w:line="240" w:lineRule="auto"/>
              <w:jc w:val="center"/>
              <w:cnfStyle w:val="000000100000" w:firstRow="0" w:lastRow="0" w:firstColumn="0" w:lastColumn="0" w:oddVBand="0" w:evenVBand="0" w:oddHBand="1" w:evenHBand="0" w:firstRowFirstColumn="0" w:firstRowLastColumn="0" w:lastRowFirstColumn="0" w:lastRowLastColumn="0"/>
              <w:rPr>
                <w:rFonts w:ascii="Arial MT" w:hAnsi="Arial MT"/>
                <w:szCs w:val="18"/>
                <w:lang w:val="ru-RU" w:eastAsia="ru-RU"/>
              </w:rPr>
            </w:pPr>
            <w:r w:rsidRPr="009046AE">
              <w:rPr>
                <w:rFonts w:ascii="Arial MT" w:hAnsi="Arial MT"/>
                <w:szCs w:val="18"/>
                <w:lang w:val="ru-RU" w:eastAsia="ru-RU"/>
              </w:rPr>
              <w:t>0.334</w:t>
            </w:r>
          </w:p>
        </w:tc>
        <w:tc>
          <w:tcPr>
            <w:cnfStyle w:val="000100000000" w:firstRow="0" w:lastRow="0" w:firstColumn="0" w:lastColumn="1" w:oddVBand="0" w:evenVBand="0" w:oddHBand="0" w:evenHBand="0" w:firstRowFirstColumn="0" w:firstRowLastColumn="0" w:lastRowFirstColumn="0" w:lastRowLastColumn="0"/>
            <w:tcW w:w="2264" w:type="dxa"/>
            <w:tcBorders>
              <w:top w:val="single" w:sz="4" w:space="0" w:color="9BBB59" w:themeColor="accent3"/>
              <w:bottom w:val="single" w:sz="4" w:space="0" w:color="9BBB59" w:themeColor="accent3"/>
            </w:tcBorders>
            <w:shd w:val="clear" w:color="auto" w:fill="FFFFFF" w:themeFill="background1"/>
            <w:vAlign w:val="center"/>
          </w:tcPr>
          <w:p w14:paraId="22D16EFD" w14:textId="0919DF2A" w:rsidR="007F7788" w:rsidRPr="005B6F35" w:rsidRDefault="007F7788" w:rsidP="00475A1B">
            <w:pPr>
              <w:tabs>
                <w:tab w:val="clear" w:pos="7100"/>
              </w:tabs>
              <w:spacing w:line="240" w:lineRule="auto"/>
              <w:jc w:val="center"/>
              <w:rPr>
                <w:rFonts w:ascii="Arial MT" w:hAnsi="Arial MT"/>
                <w:b w:val="0"/>
                <w:szCs w:val="18"/>
                <w:lang w:val="en-US" w:eastAsia="ru-RU"/>
              </w:rPr>
            </w:pPr>
            <w:r w:rsidRPr="005B6F35">
              <w:rPr>
                <w:rFonts w:ascii="Arial MT" w:hAnsi="Arial MT"/>
                <w:b w:val="0"/>
                <w:szCs w:val="18"/>
                <w:lang w:val="en-US" w:eastAsia="ru-RU"/>
              </w:rPr>
              <w:t>0.125</w:t>
            </w:r>
          </w:p>
        </w:tc>
      </w:tr>
      <w:tr w:rsidR="007F7788" w:rsidRPr="009046AE" w14:paraId="0A6A0BB4" w14:textId="579B9542" w:rsidTr="00F776B3">
        <w:trPr>
          <w:trHeight w:val="330"/>
        </w:trPr>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9BBB59" w:themeColor="accent3"/>
              <w:bottom w:val="single" w:sz="4" w:space="0" w:color="9BBB59" w:themeColor="accent3"/>
            </w:tcBorders>
            <w:shd w:val="clear" w:color="auto" w:fill="FFFFFF" w:themeFill="background1"/>
            <w:vAlign w:val="center"/>
          </w:tcPr>
          <w:p w14:paraId="434860C0" w14:textId="778AF72C" w:rsidR="007F7788" w:rsidRPr="009046AE" w:rsidRDefault="007F7788" w:rsidP="00475A1B">
            <w:pPr>
              <w:tabs>
                <w:tab w:val="clear" w:pos="7100"/>
              </w:tabs>
              <w:spacing w:line="240" w:lineRule="auto"/>
              <w:jc w:val="center"/>
              <w:rPr>
                <w:rFonts w:ascii="Arial MT" w:hAnsi="Arial MT"/>
                <w:szCs w:val="18"/>
                <w:lang w:val="ru-RU" w:eastAsia="ru-RU"/>
              </w:rPr>
            </w:pPr>
            <w:r w:rsidRPr="00542361">
              <w:rPr>
                <w:rFonts w:ascii="Arial MT" w:hAnsi="Arial MT"/>
                <w:szCs w:val="18"/>
              </w:rPr>
              <w:t>Histidine</w:t>
            </w:r>
          </w:p>
        </w:tc>
        <w:tc>
          <w:tcPr>
            <w:tcW w:w="1842" w:type="dxa"/>
            <w:tcBorders>
              <w:top w:val="single" w:sz="4" w:space="0" w:color="9BBB59" w:themeColor="accent3"/>
              <w:bottom w:val="single" w:sz="4" w:space="0" w:color="9BBB59" w:themeColor="accent3"/>
            </w:tcBorders>
            <w:shd w:val="clear" w:color="auto" w:fill="FFFFFF" w:themeFill="background1"/>
            <w:noWrap/>
            <w:vAlign w:val="center"/>
          </w:tcPr>
          <w:p w14:paraId="4AB48549" w14:textId="77777777" w:rsidR="007F7788" w:rsidRPr="009046AE" w:rsidRDefault="007F7788" w:rsidP="00475A1B">
            <w:pPr>
              <w:tabs>
                <w:tab w:val="clear" w:pos="7100"/>
              </w:tabs>
              <w:spacing w:line="240" w:lineRule="auto"/>
              <w:jc w:val="center"/>
              <w:cnfStyle w:val="000000000000" w:firstRow="0" w:lastRow="0" w:firstColumn="0" w:lastColumn="0" w:oddVBand="0" w:evenVBand="0" w:oddHBand="0" w:evenHBand="0" w:firstRowFirstColumn="0" w:firstRowLastColumn="0" w:lastRowFirstColumn="0" w:lastRowLastColumn="0"/>
              <w:rPr>
                <w:rFonts w:ascii="Arial MT" w:hAnsi="Arial MT"/>
                <w:szCs w:val="18"/>
                <w:lang w:val="ru-RU" w:eastAsia="ru-RU"/>
              </w:rPr>
            </w:pPr>
            <w:r w:rsidRPr="009046AE">
              <w:rPr>
                <w:rFonts w:ascii="Arial MT" w:hAnsi="Arial MT"/>
                <w:szCs w:val="18"/>
                <w:lang w:val="ru-RU" w:eastAsia="ru-RU"/>
              </w:rPr>
              <w:t>2.181</w:t>
            </w:r>
          </w:p>
        </w:tc>
        <w:tc>
          <w:tcPr>
            <w:cnfStyle w:val="000100000000" w:firstRow="0" w:lastRow="0" w:firstColumn="0" w:lastColumn="1" w:oddVBand="0" w:evenVBand="0" w:oddHBand="0" w:evenHBand="0" w:firstRowFirstColumn="0" w:firstRowLastColumn="0" w:lastRowFirstColumn="0" w:lastRowLastColumn="0"/>
            <w:tcW w:w="2264" w:type="dxa"/>
            <w:tcBorders>
              <w:top w:val="single" w:sz="4" w:space="0" w:color="9BBB59" w:themeColor="accent3"/>
              <w:bottom w:val="single" w:sz="4" w:space="0" w:color="9BBB59" w:themeColor="accent3"/>
            </w:tcBorders>
            <w:shd w:val="clear" w:color="auto" w:fill="FFFFFF" w:themeFill="background1"/>
            <w:vAlign w:val="center"/>
          </w:tcPr>
          <w:p w14:paraId="06B9EB68" w14:textId="2E596EAA" w:rsidR="007F7788" w:rsidRPr="005B6F35" w:rsidRDefault="007F7788" w:rsidP="00475A1B">
            <w:pPr>
              <w:tabs>
                <w:tab w:val="clear" w:pos="7100"/>
              </w:tabs>
              <w:spacing w:line="240" w:lineRule="auto"/>
              <w:jc w:val="center"/>
              <w:rPr>
                <w:rFonts w:ascii="Arial MT" w:hAnsi="Arial MT"/>
                <w:b w:val="0"/>
                <w:szCs w:val="18"/>
                <w:lang w:val="en-US" w:eastAsia="ru-RU"/>
              </w:rPr>
            </w:pPr>
            <w:r w:rsidRPr="005B6F35">
              <w:rPr>
                <w:rFonts w:ascii="Arial MT" w:hAnsi="Arial MT"/>
                <w:b w:val="0"/>
                <w:szCs w:val="18"/>
                <w:lang w:val="en-US" w:eastAsia="ru-RU"/>
              </w:rPr>
              <w:t>1.959</w:t>
            </w:r>
          </w:p>
        </w:tc>
      </w:tr>
      <w:tr w:rsidR="007F7788" w:rsidRPr="009046AE" w14:paraId="1B262A05" w14:textId="2588B3DF" w:rsidTr="00F776B3">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9BBB59" w:themeColor="accent3"/>
              <w:bottom w:val="single" w:sz="4" w:space="0" w:color="9BBB59" w:themeColor="accent3"/>
            </w:tcBorders>
            <w:shd w:val="clear" w:color="auto" w:fill="FFFFFF" w:themeFill="background1"/>
            <w:vAlign w:val="center"/>
          </w:tcPr>
          <w:p w14:paraId="214FA520" w14:textId="13D2314C" w:rsidR="007F7788" w:rsidRPr="009046AE" w:rsidRDefault="007F7788" w:rsidP="00475A1B">
            <w:pPr>
              <w:tabs>
                <w:tab w:val="clear" w:pos="7100"/>
              </w:tabs>
              <w:spacing w:line="240" w:lineRule="auto"/>
              <w:jc w:val="center"/>
              <w:rPr>
                <w:rFonts w:ascii="Arial MT" w:hAnsi="Arial MT"/>
                <w:szCs w:val="18"/>
                <w:lang w:val="ru-RU" w:eastAsia="ru-RU"/>
              </w:rPr>
            </w:pPr>
            <w:r w:rsidRPr="00542361">
              <w:rPr>
                <w:rFonts w:ascii="Arial MT" w:hAnsi="Arial MT"/>
                <w:szCs w:val="18"/>
              </w:rPr>
              <w:t>Isoleucine</w:t>
            </w:r>
          </w:p>
        </w:tc>
        <w:tc>
          <w:tcPr>
            <w:tcW w:w="1842" w:type="dxa"/>
            <w:tcBorders>
              <w:top w:val="single" w:sz="4" w:space="0" w:color="9BBB59" w:themeColor="accent3"/>
              <w:bottom w:val="single" w:sz="4" w:space="0" w:color="9BBB59" w:themeColor="accent3"/>
            </w:tcBorders>
            <w:shd w:val="clear" w:color="auto" w:fill="FFFFFF" w:themeFill="background1"/>
            <w:noWrap/>
            <w:vAlign w:val="center"/>
          </w:tcPr>
          <w:p w14:paraId="077E80F7" w14:textId="77777777" w:rsidR="007F7788" w:rsidRPr="009046AE" w:rsidRDefault="007F7788" w:rsidP="00475A1B">
            <w:pPr>
              <w:tabs>
                <w:tab w:val="clear" w:pos="7100"/>
              </w:tabs>
              <w:spacing w:line="240" w:lineRule="auto"/>
              <w:jc w:val="center"/>
              <w:cnfStyle w:val="000000100000" w:firstRow="0" w:lastRow="0" w:firstColumn="0" w:lastColumn="0" w:oddVBand="0" w:evenVBand="0" w:oddHBand="1" w:evenHBand="0" w:firstRowFirstColumn="0" w:firstRowLastColumn="0" w:lastRowFirstColumn="0" w:lastRowLastColumn="0"/>
              <w:rPr>
                <w:rFonts w:ascii="Arial MT" w:hAnsi="Arial MT"/>
                <w:szCs w:val="18"/>
                <w:lang w:val="ru-RU" w:eastAsia="ru-RU"/>
              </w:rPr>
            </w:pPr>
            <w:r w:rsidRPr="009046AE">
              <w:rPr>
                <w:rFonts w:ascii="Arial MT" w:hAnsi="Arial MT"/>
                <w:szCs w:val="18"/>
                <w:lang w:val="ru-RU" w:eastAsia="ru-RU"/>
              </w:rPr>
              <w:t>3.493</w:t>
            </w:r>
          </w:p>
        </w:tc>
        <w:tc>
          <w:tcPr>
            <w:cnfStyle w:val="000100000000" w:firstRow="0" w:lastRow="0" w:firstColumn="0" w:lastColumn="1" w:oddVBand="0" w:evenVBand="0" w:oddHBand="0" w:evenHBand="0" w:firstRowFirstColumn="0" w:firstRowLastColumn="0" w:lastRowFirstColumn="0" w:lastRowLastColumn="0"/>
            <w:tcW w:w="2264" w:type="dxa"/>
            <w:tcBorders>
              <w:top w:val="single" w:sz="4" w:space="0" w:color="9BBB59" w:themeColor="accent3"/>
              <w:bottom w:val="single" w:sz="4" w:space="0" w:color="9BBB59" w:themeColor="accent3"/>
            </w:tcBorders>
            <w:shd w:val="clear" w:color="auto" w:fill="FFFFFF" w:themeFill="background1"/>
            <w:vAlign w:val="center"/>
          </w:tcPr>
          <w:p w14:paraId="0869499B" w14:textId="17F6EDE3" w:rsidR="007F7788" w:rsidRPr="005B6F35" w:rsidRDefault="007F7788" w:rsidP="00475A1B">
            <w:pPr>
              <w:tabs>
                <w:tab w:val="clear" w:pos="7100"/>
              </w:tabs>
              <w:spacing w:line="240" w:lineRule="auto"/>
              <w:jc w:val="center"/>
              <w:rPr>
                <w:rFonts w:ascii="Arial MT" w:hAnsi="Arial MT"/>
                <w:b w:val="0"/>
                <w:szCs w:val="18"/>
                <w:lang w:val="en-US" w:eastAsia="ru-RU"/>
              </w:rPr>
            </w:pPr>
            <w:r w:rsidRPr="005B6F35">
              <w:rPr>
                <w:rFonts w:ascii="Arial MT" w:hAnsi="Arial MT"/>
                <w:b w:val="0"/>
                <w:szCs w:val="18"/>
                <w:lang w:val="en-US" w:eastAsia="ru-RU"/>
              </w:rPr>
              <w:t>1.325</w:t>
            </w:r>
          </w:p>
        </w:tc>
      </w:tr>
      <w:tr w:rsidR="007F7788" w:rsidRPr="009046AE" w14:paraId="714593F2" w14:textId="4A397FBF" w:rsidTr="00F776B3">
        <w:trPr>
          <w:trHeight w:val="330"/>
        </w:trPr>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9BBB59" w:themeColor="accent3"/>
              <w:bottom w:val="single" w:sz="4" w:space="0" w:color="9BBB59" w:themeColor="accent3"/>
            </w:tcBorders>
            <w:shd w:val="clear" w:color="auto" w:fill="FFFFFF" w:themeFill="background1"/>
            <w:vAlign w:val="center"/>
          </w:tcPr>
          <w:p w14:paraId="2226D4B0" w14:textId="56866E19" w:rsidR="007F7788" w:rsidRPr="009046AE" w:rsidRDefault="007F7788" w:rsidP="00475A1B">
            <w:pPr>
              <w:tabs>
                <w:tab w:val="clear" w:pos="7100"/>
              </w:tabs>
              <w:spacing w:line="240" w:lineRule="auto"/>
              <w:jc w:val="center"/>
              <w:rPr>
                <w:rFonts w:ascii="Arial MT" w:hAnsi="Arial MT"/>
                <w:szCs w:val="18"/>
                <w:lang w:val="ru-RU" w:eastAsia="ru-RU"/>
              </w:rPr>
            </w:pPr>
            <w:r w:rsidRPr="00542361">
              <w:rPr>
                <w:rFonts w:ascii="Arial MT" w:hAnsi="Arial MT"/>
                <w:szCs w:val="18"/>
              </w:rPr>
              <w:t>Leucine</w:t>
            </w:r>
          </w:p>
        </w:tc>
        <w:tc>
          <w:tcPr>
            <w:tcW w:w="1842" w:type="dxa"/>
            <w:tcBorders>
              <w:top w:val="single" w:sz="4" w:space="0" w:color="9BBB59" w:themeColor="accent3"/>
              <w:bottom w:val="single" w:sz="4" w:space="0" w:color="9BBB59" w:themeColor="accent3"/>
            </w:tcBorders>
            <w:shd w:val="clear" w:color="auto" w:fill="FFFFFF" w:themeFill="background1"/>
            <w:noWrap/>
            <w:vAlign w:val="center"/>
          </w:tcPr>
          <w:p w14:paraId="46BA39BB" w14:textId="77777777" w:rsidR="007F7788" w:rsidRPr="009046AE" w:rsidRDefault="007F7788" w:rsidP="00475A1B">
            <w:pPr>
              <w:tabs>
                <w:tab w:val="clear" w:pos="7100"/>
              </w:tabs>
              <w:spacing w:line="240" w:lineRule="auto"/>
              <w:jc w:val="center"/>
              <w:cnfStyle w:val="000000000000" w:firstRow="0" w:lastRow="0" w:firstColumn="0" w:lastColumn="0" w:oddVBand="0" w:evenVBand="0" w:oddHBand="0" w:evenHBand="0" w:firstRowFirstColumn="0" w:firstRowLastColumn="0" w:lastRowFirstColumn="0" w:lastRowLastColumn="0"/>
              <w:rPr>
                <w:rFonts w:ascii="Arial MT" w:hAnsi="Arial MT"/>
                <w:szCs w:val="18"/>
                <w:lang w:val="ru-RU" w:eastAsia="ru-RU"/>
              </w:rPr>
            </w:pPr>
            <w:r w:rsidRPr="009046AE">
              <w:rPr>
                <w:rFonts w:ascii="Arial MT" w:hAnsi="Arial MT"/>
                <w:szCs w:val="18"/>
                <w:lang w:val="ru-RU" w:eastAsia="ru-RU"/>
              </w:rPr>
              <w:t>7.443</w:t>
            </w:r>
          </w:p>
        </w:tc>
        <w:tc>
          <w:tcPr>
            <w:cnfStyle w:val="000100000000" w:firstRow="0" w:lastRow="0" w:firstColumn="0" w:lastColumn="1" w:oddVBand="0" w:evenVBand="0" w:oddHBand="0" w:evenHBand="0" w:firstRowFirstColumn="0" w:firstRowLastColumn="0" w:lastRowFirstColumn="0" w:lastRowLastColumn="0"/>
            <w:tcW w:w="2264" w:type="dxa"/>
            <w:tcBorders>
              <w:top w:val="single" w:sz="4" w:space="0" w:color="9BBB59" w:themeColor="accent3"/>
              <w:bottom w:val="single" w:sz="4" w:space="0" w:color="9BBB59" w:themeColor="accent3"/>
            </w:tcBorders>
            <w:shd w:val="clear" w:color="auto" w:fill="FFFFFF" w:themeFill="background1"/>
            <w:vAlign w:val="center"/>
          </w:tcPr>
          <w:p w14:paraId="1AE6A452" w14:textId="42954A12" w:rsidR="007F7788" w:rsidRPr="005B6F35" w:rsidRDefault="007F7788" w:rsidP="00475A1B">
            <w:pPr>
              <w:tabs>
                <w:tab w:val="clear" w:pos="7100"/>
              </w:tabs>
              <w:spacing w:line="240" w:lineRule="auto"/>
              <w:jc w:val="center"/>
              <w:rPr>
                <w:rFonts w:ascii="Arial MT" w:hAnsi="Arial MT"/>
                <w:b w:val="0"/>
                <w:szCs w:val="18"/>
                <w:lang w:val="en-US" w:eastAsia="ru-RU"/>
              </w:rPr>
            </w:pPr>
            <w:r w:rsidRPr="005B6F35">
              <w:rPr>
                <w:rFonts w:ascii="Arial MT" w:hAnsi="Arial MT"/>
                <w:b w:val="0"/>
                <w:szCs w:val="18"/>
                <w:lang w:val="en-US" w:eastAsia="ru-RU"/>
              </w:rPr>
              <w:t>3.684</w:t>
            </w:r>
          </w:p>
        </w:tc>
      </w:tr>
      <w:tr w:rsidR="007F7788" w:rsidRPr="009046AE" w14:paraId="2BB1411C" w14:textId="1D3AA0C7" w:rsidTr="00F776B3">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9BBB59" w:themeColor="accent3"/>
              <w:bottom w:val="single" w:sz="4" w:space="0" w:color="9BBB59" w:themeColor="accent3"/>
            </w:tcBorders>
            <w:shd w:val="clear" w:color="auto" w:fill="FFFFFF" w:themeFill="background1"/>
            <w:vAlign w:val="center"/>
          </w:tcPr>
          <w:p w14:paraId="1549A307" w14:textId="2A1C1ECC" w:rsidR="007F7788" w:rsidRPr="009046AE" w:rsidRDefault="007F7788" w:rsidP="00475A1B">
            <w:pPr>
              <w:tabs>
                <w:tab w:val="clear" w:pos="7100"/>
              </w:tabs>
              <w:spacing w:line="240" w:lineRule="auto"/>
              <w:jc w:val="center"/>
              <w:rPr>
                <w:rFonts w:ascii="Arial MT" w:hAnsi="Arial MT"/>
                <w:szCs w:val="18"/>
                <w:lang w:val="ru-RU" w:eastAsia="ru-RU"/>
              </w:rPr>
            </w:pPr>
            <w:r w:rsidRPr="00542361">
              <w:rPr>
                <w:rFonts w:ascii="Arial MT" w:hAnsi="Arial MT"/>
                <w:szCs w:val="18"/>
              </w:rPr>
              <w:t>Tryptophan</w:t>
            </w:r>
          </w:p>
        </w:tc>
        <w:tc>
          <w:tcPr>
            <w:tcW w:w="1842" w:type="dxa"/>
            <w:tcBorders>
              <w:top w:val="single" w:sz="4" w:space="0" w:color="9BBB59" w:themeColor="accent3"/>
              <w:bottom w:val="single" w:sz="4" w:space="0" w:color="9BBB59" w:themeColor="accent3"/>
            </w:tcBorders>
            <w:shd w:val="clear" w:color="auto" w:fill="FFFFFF" w:themeFill="background1"/>
            <w:noWrap/>
            <w:vAlign w:val="center"/>
          </w:tcPr>
          <w:p w14:paraId="44FFFD9D" w14:textId="77777777" w:rsidR="007F7788" w:rsidRPr="009046AE" w:rsidRDefault="007F7788" w:rsidP="00475A1B">
            <w:pPr>
              <w:tabs>
                <w:tab w:val="clear" w:pos="7100"/>
              </w:tabs>
              <w:spacing w:line="240" w:lineRule="auto"/>
              <w:jc w:val="center"/>
              <w:cnfStyle w:val="000000100000" w:firstRow="0" w:lastRow="0" w:firstColumn="0" w:lastColumn="0" w:oddVBand="0" w:evenVBand="0" w:oddHBand="1" w:evenHBand="0" w:firstRowFirstColumn="0" w:firstRowLastColumn="0" w:lastRowFirstColumn="0" w:lastRowLastColumn="0"/>
              <w:rPr>
                <w:rFonts w:ascii="Arial MT" w:hAnsi="Arial MT"/>
                <w:szCs w:val="18"/>
                <w:lang w:val="ru-RU" w:eastAsia="ru-RU"/>
              </w:rPr>
            </w:pPr>
            <w:r w:rsidRPr="009046AE">
              <w:rPr>
                <w:rFonts w:ascii="Arial MT" w:hAnsi="Arial MT"/>
                <w:szCs w:val="18"/>
                <w:lang w:val="ru-RU" w:eastAsia="ru-RU"/>
              </w:rPr>
              <w:t>0.000</w:t>
            </w:r>
          </w:p>
        </w:tc>
        <w:tc>
          <w:tcPr>
            <w:cnfStyle w:val="000100000000" w:firstRow="0" w:lastRow="0" w:firstColumn="0" w:lastColumn="1" w:oddVBand="0" w:evenVBand="0" w:oddHBand="0" w:evenHBand="0" w:firstRowFirstColumn="0" w:firstRowLastColumn="0" w:lastRowFirstColumn="0" w:lastRowLastColumn="0"/>
            <w:tcW w:w="2264" w:type="dxa"/>
            <w:tcBorders>
              <w:top w:val="single" w:sz="4" w:space="0" w:color="9BBB59" w:themeColor="accent3"/>
              <w:bottom w:val="single" w:sz="4" w:space="0" w:color="9BBB59" w:themeColor="accent3"/>
            </w:tcBorders>
            <w:shd w:val="clear" w:color="auto" w:fill="FFFFFF" w:themeFill="background1"/>
            <w:vAlign w:val="center"/>
          </w:tcPr>
          <w:p w14:paraId="6D36B49A" w14:textId="7F88BC7A" w:rsidR="007F7788" w:rsidRPr="005B6F35" w:rsidRDefault="007F7788" w:rsidP="00475A1B">
            <w:pPr>
              <w:tabs>
                <w:tab w:val="clear" w:pos="7100"/>
              </w:tabs>
              <w:spacing w:line="240" w:lineRule="auto"/>
              <w:jc w:val="center"/>
              <w:rPr>
                <w:rFonts w:ascii="Arial MT" w:hAnsi="Arial MT"/>
                <w:b w:val="0"/>
                <w:szCs w:val="18"/>
                <w:lang w:val="en-US" w:eastAsia="ru-RU"/>
              </w:rPr>
            </w:pPr>
            <w:r w:rsidRPr="005B6F35">
              <w:rPr>
                <w:rFonts w:ascii="Arial MT" w:hAnsi="Arial MT"/>
                <w:b w:val="0"/>
                <w:szCs w:val="18"/>
                <w:lang w:val="en-US" w:eastAsia="ru-RU"/>
              </w:rPr>
              <w:t>0.000</w:t>
            </w:r>
          </w:p>
        </w:tc>
      </w:tr>
      <w:tr w:rsidR="007F7788" w:rsidRPr="009046AE" w14:paraId="141A0541" w14:textId="66BB6EA1" w:rsidTr="00F776B3">
        <w:trPr>
          <w:trHeight w:val="330"/>
        </w:trPr>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9BBB59" w:themeColor="accent3"/>
              <w:bottom w:val="single" w:sz="4" w:space="0" w:color="9BBB59" w:themeColor="accent3"/>
            </w:tcBorders>
            <w:shd w:val="clear" w:color="auto" w:fill="FFFFFF" w:themeFill="background1"/>
            <w:vAlign w:val="center"/>
          </w:tcPr>
          <w:p w14:paraId="4A1B972D" w14:textId="1B38E0D2" w:rsidR="007F7788" w:rsidRPr="009046AE" w:rsidRDefault="007F7788" w:rsidP="00475A1B">
            <w:pPr>
              <w:tabs>
                <w:tab w:val="clear" w:pos="7100"/>
              </w:tabs>
              <w:spacing w:line="240" w:lineRule="auto"/>
              <w:jc w:val="center"/>
              <w:rPr>
                <w:rFonts w:ascii="Arial MT" w:hAnsi="Arial MT"/>
                <w:szCs w:val="18"/>
                <w:lang w:val="ru-RU" w:eastAsia="ru-RU"/>
              </w:rPr>
            </w:pPr>
            <w:r w:rsidRPr="00542361">
              <w:rPr>
                <w:rFonts w:ascii="Arial MT" w:hAnsi="Arial MT"/>
                <w:szCs w:val="18"/>
              </w:rPr>
              <w:t>Phenylalanine</w:t>
            </w:r>
          </w:p>
        </w:tc>
        <w:tc>
          <w:tcPr>
            <w:tcW w:w="1842" w:type="dxa"/>
            <w:tcBorders>
              <w:top w:val="single" w:sz="4" w:space="0" w:color="9BBB59" w:themeColor="accent3"/>
              <w:bottom w:val="single" w:sz="4" w:space="0" w:color="9BBB59" w:themeColor="accent3"/>
            </w:tcBorders>
            <w:shd w:val="clear" w:color="auto" w:fill="FFFFFF" w:themeFill="background1"/>
            <w:noWrap/>
            <w:vAlign w:val="center"/>
          </w:tcPr>
          <w:p w14:paraId="1F83888B" w14:textId="33CA99DC" w:rsidR="007F7788" w:rsidRPr="009046AE" w:rsidRDefault="00AB3A27" w:rsidP="00475A1B">
            <w:pPr>
              <w:tabs>
                <w:tab w:val="clear" w:pos="7100"/>
              </w:tabs>
              <w:spacing w:line="240" w:lineRule="auto"/>
              <w:jc w:val="center"/>
              <w:cnfStyle w:val="000000000000" w:firstRow="0" w:lastRow="0" w:firstColumn="0" w:lastColumn="0" w:oddVBand="0" w:evenVBand="0" w:oddHBand="0" w:evenHBand="0" w:firstRowFirstColumn="0" w:firstRowLastColumn="0" w:lastRowFirstColumn="0" w:lastRowLastColumn="0"/>
              <w:rPr>
                <w:rFonts w:ascii="Arial MT" w:hAnsi="Arial MT"/>
                <w:szCs w:val="18"/>
                <w:lang w:val="ru-RU" w:eastAsia="ru-RU"/>
              </w:rPr>
            </w:pPr>
            <w:r>
              <w:rPr>
                <w:rFonts w:ascii="Arial MT" w:hAnsi="Arial MT"/>
                <w:szCs w:val="18"/>
                <w:lang w:val="ru-RU" w:eastAsia="ru-RU"/>
              </w:rPr>
              <w:t>10</w:t>
            </w:r>
          </w:p>
        </w:tc>
        <w:tc>
          <w:tcPr>
            <w:cnfStyle w:val="000100000000" w:firstRow="0" w:lastRow="0" w:firstColumn="0" w:lastColumn="1" w:oddVBand="0" w:evenVBand="0" w:oddHBand="0" w:evenHBand="0" w:firstRowFirstColumn="0" w:firstRowLastColumn="0" w:lastRowFirstColumn="0" w:lastRowLastColumn="0"/>
            <w:tcW w:w="2264" w:type="dxa"/>
            <w:tcBorders>
              <w:top w:val="single" w:sz="4" w:space="0" w:color="9BBB59" w:themeColor="accent3"/>
              <w:bottom w:val="single" w:sz="4" w:space="0" w:color="9BBB59" w:themeColor="accent3"/>
            </w:tcBorders>
            <w:shd w:val="clear" w:color="auto" w:fill="FFFFFF" w:themeFill="background1"/>
            <w:vAlign w:val="center"/>
          </w:tcPr>
          <w:p w14:paraId="3F900BE7" w14:textId="7738E5DD" w:rsidR="007F7788" w:rsidRPr="005B6F35" w:rsidRDefault="00542361" w:rsidP="00475A1B">
            <w:pPr>
              <w:tabs>
                <w:tab w:val="clear" w:pos="7100"/>
              </w:tabs>
              <w:spacing w:line="240" w:lineRule="auto"/>
              <w:jc w:val="center"/>
              <w:rPr>
                <w:rFonts w:ascii="Arial MT" w:hAnsi="Arial MT"/>
                <w:b w:val="0"/>
                <w:szCs w:val="18"/>
                <w:lang w:val="en-US" w:eastAsia="ru-RU"/>
              </w:rPr>
            </w:pPr>
            <w:r w:rsidRPr="005B6F35">
              <w:rPr>
                <w:rFonts w:ascii="Arial MT" w:hAnsi="Arial MT"/>
                <w:b w:val="0"/>
                <w:szCs w:val="18"/>
                <w:lang w:val="en-US" w:eastAsia="ru-RU"/>
              </w:rPr>
              <w:t>10</w:t>
            </w:r>
            <w:r w:rsidR="00AB3A27">
              <w:rPr>
                <w:rFonts w:ascii="Arial MT" w:hAnsi="Arial MT"/>
                <w:b w:val="0"/>
                <w:szCs w:val="18"/>
                <w:lang w:val="en-US" w:eastAsia="ru-RU"/>
              </w:rPr>
              <w:t>.54</w:t>
            </w:r>
          </w:p>
        </w:tc>
      </w:tr>
      <w:tr w:rsidR="007F7788" w:rsidRPr="009046AE" w14:paraId="1D0D6D0D" w14:textId="14256899" w:rsidTr="00F776B3">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9BBB59" w:themeColor="accent3"/>
              <w:bottom w:val="single" w:sz="4" w:space="0" w:color="9BBB59" w:themeColor="accent3"/>
            </w:tcBorders>
            <w:shd w:val="clear" w:color="auto" w:fill="FFFFFF" w:themeFill="background1"/>
            <w:noWrap/>
            <w:vAlign w:val="center"/>
          </w:tcPr>
          <w:p w14:paraId="45485066" w14:textId="07E455C1" w:rsidR="007F7788" w:rsidRPr="009046AE" w:rsidRDefault="007F7788" w:rsidP="00475A1B">
            <w:pPr>
              <w:tabs>
                <w:tab w:val="clear" w:pos="7100"/>
              </w:tabs>
              <w:spacing w:line="240" w:lineRule="auto"/>
              <w:jc w:val="center"/>
              <w:rPr>
                <w:rFonts w:ascii="Arial MT" w:hAnsi="Arial MT"/>
                <w:szCs w:val="18"/>
                <w:lang w:val="ru-RU" w:eastAsia="ru-RU"/>
              </w:rPr>
            </w:pPr>
            <w:r w:rsidRPr="00542361">
              <w:rPr>
                <w:rFonts w:ascii="Arial MT" w:hAnsi="Arial MT"/>
                <w:szCs w:val="18"/>
              </w:rPr>
              <w:t>Lysine</w:t>
            </w:r>
          </w:p>
        </w:tc>
        <w:tc>
          <w:tcPr>
            <w:tcW w:w="1842" w:type="dxa"/>
            <w:tcBorders>
              <w:top w:val="single" w:sz="4" w:space="0" w:color="9BBB59" w:themeColor="accent3"/>
              <w:bottom w:val="single" w:sz="4" w:space="0" w:color="9BBB59" w:themeColor="accent3"/>
            </w:tcBorders>
            <w:shd w:val="clear" w:color="auto" w:fill="FFFFFF" w:themeFill="background1"/>
            <w:noWrap/>
            <w:vAlign w:val="center"/>
          </w:tcPr>
          <w:p w14:paraId="02414555" w14:textId="77777777" w:rsidR="007F7788" w:rsidRPr="009046AE" w:rsidRDefault="007F7788" w:rsidP="00475A1B">
            <w:pPr>
              <w:tabs>
                <w:tab w:val="clear" w:pos="7100"/>
              </w:tabs>
              <w:spacing w:line="240" w:lineRule="auto"/>
              <w:jc w:val="center"/>
              <w:cnfStyle w:val="000000100000" w:firstRow="0" w:lastRow="0" w:firstColumn="0" w:lastColumn="0" w:oddVBand="0" w:evenVBand="0" w:oddHBand="1" w:evenHBand="0" w:firstRowFirstColumn="0" w:firstRowLastColumn="0" w:lastRowFirstColumn="0" w:lastRowLastColumn="0"/>
              <w:rPr>
                <w:rFonts w:ascii="Arial MT" w:hAnsi="Arial MT"/>
                <w:szCs w:val="18"/>
                <w:lang w:val="ru-RU" w:eastAsia="ru-RU"/>
              </w:rPr>
            </w:pPr>
            <w:r w:rsidRPr="009046AE">
              <w:rPr>
                <w:rFonts w:ascii="Arial MT" w:hAnsi="Arial MT"/>
                <w:szCs w:val="18"/>
                <w:lang w:val="ru-RU" w:eastAsia="ru-RU"/>
              </w:rPr>
              <w:t>0.503</w:t>
            </w:r>
          </w:p>
        </w:tc>
        <w:tc>
          <w:tcPr>
            <w:cnfStyle w:val="000100000000" w:firstRow="0" w:lastRow="0" w:firstColumn="0" w:lastColumn="1" w:oddVBand="0" w:evenVBand="0" w:oddHBand="0" w:evenHBand="0" w:firstRowFirstColumn="0" w:firstRowLastColumn="0" w:lastRowFirstColumn="0" w:lastRowLastColumn="0"/>
            <w:tcW w:w="2264" w:type="dxa"/>
            <w:tcBorders>
              <w:top w:val="single" w:sz="4" w:space="0" w:color="9BBB59" w:themeColor="accent3"/>
              <w:bottom w:val="single" w:sz="4" w:space="0" w:color="9BBB59" w:themeColor="accent3"/>
            </w:tcBorders>
            <w:shd w:val="clear" w:color="auto" w:fill="FFFFFF" w:themeFill="background1"/>
            <w:vAlign w:val="center"/>
          </w:tcPr>
          <w:p w14:paraId="7A2A7A96" w14:textId="473BE19A" w:rsidR="007F7788" w:rsidRPr="005B6F35" w:rsidRDefault="007F7788" w:rsidP="00475A1B">
            <w:pPr>
              <w:tabs>
                <w:tab w:val="clear" w:pos="7100"/>
              </w:tabs>
              <w:spacing w:line="240" w:lineRule="auto"/>
              <w:jc w:val="center"/>
              <w:rPr>
                <w:rFonts w:ascii="Arial MT" w:hAnsi="Arial MT"/>
                <w:b w:val="0"/>
                <w:szCs w:val="18"/>
                <w:lang w:val="en-US" w:eastAsia="ru-RU"/>
              </w:rPr>
            </w:pPr>
            <w:r w:rsidRPr="005B6F35">
              <w:rPr>
                <w:rFonts w:ascii="Arial MT" w:hAnsi="Arial MT"/>
                <w:b w:val="0"/>
                <w:szCs w:val="18"/>
                <w:lang w:val="en-US" w:eastAsia="ru-RU"/>
              </w:rPr>
              <w:t>0.121</w:t>
            </w:r>
          </w:p>
        </w:tc>
      </w:tr>
      <w:tr w:rsidR="007F7788" w:rsidRPr="009046AE" w14:paraId="5C2A6BB9" w14:textId="4AADD7DC" w:rsidTr="00F776B3">
        <w:trPr>
          <w:trHeight w:val="255"/>
        </w:trPr>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9BBB59" w:themeColor="accent3"/>
              <w:bottom w:val="single" w:sz="12" w:space="0" w:color="9BBB59" w:themeColor="accent3"/>
            </w:tcBorders>
            <w:shd w:val="clear" w:color="auto" w:fill="FFFFFF" w:themeFill="background1"/>
            <w:noWrap/>
            <w:vAlign w:val="center"/>
          </w:tcPr>
          <w:p w14:paraId="271D54C8" w14:textId="588D5F63" w:rsidR="007F7788" w:rsidRPr="009046AE" w:rsidRDefault="007F7788" w:rsidP="00475A1B">
            <w:pPr>
              <w:tabs>
                <w:tab w:val="clear" w:pos="7100"/>
              </w:tabs>
              <w:spacing w:line="240" w:lineRule="auto"/>
              <w:jc w:val="center"/>
              <w:rPr>
                <w:rFonts w:ascii="Arial MT" w:hAnsi="Arial MT"/>
                <w:b/>
                <w:bCs/>
                <w:szCs w:val="18"/>
                <w:lang w:val="uz-Cyrl-UZ" w:eastAsia="ru-RU"/>
              </w:rPr>
            </w:pPr>
            <w:r w:rsidRPr="00542361">
              <w:rPr>
                <w:rFonts w:ascii="Arial MT" w:hAnsi="Arial MT"/>
                <w:szCs w:val="18"/>
              </w:rPr>
              <w:t>Total</w:t>
            </w:r>
          </w:p>
        </w:tc>
        <w:tc>
          <w:tcPr>
            <w:tcW w:w="1842" w:type="dxa"/>
            <w:tcBorders>
              <w:top w:val="single" w:sz="4" w:space="0" w:color="9BBB59" w:themeColor="accent3"/>
              <w:bottom w:val="single" w:sz="12" w:space="0" w:color="9BBB59" w:themeColor="accent3"/>
            </w:tcBorders>
            <w:shd w:val="clear" w:color="auto" w:fill="FFFFFF" w:themeFill="background1"/>
            <w:noWrap/>
            <w:vAlign w:val="center"/>
          </w:tcPr>
          <w:p w14:paraId="2B4A4AF5" w14:textId="5AA76F86" w:rsidR="007F7788" w:rsidRPr="007C078C" w:rsidRDefault="00AB3A27" w:rsidP="00475A1B">
            <w:pPr>
              <w:tabs>
                <w:tab w:val="clear" w:pos="7100"/>
              </w:tabs>
              <w:spacing w:line="240" w:lineRule="auto"/>
              <w:jc w:val="center"/>
              <w:cnfStyle w:val="000000000000" w:firstRow="0" w:lastRow="0" w:firstColumn="0" w:lastColumn="0" w:oddVBand="0" w:evenVBand="0" w:oddHBand="0" w:evenHBand="0" w:firstRowFirstColumn="0" w:firstRowLastColumn="0" w:lastRowFirstColumn="0" w:lastRowLastColumn="0"/>
              <w:rPr>
                <w:rFonts w:ascii="Arial MT" w:hAnsi="Arial MT"/>
                <w:bCs/>
                <w:szCs w:val="18"/>
                <w:lang w:val="ru-RU" w:eastAsia="ru-RU"/>
              </w:rPr>
            </w:pPr>
            <w:r w:rsidRPr="007C078C">
              <w:rPr>
                <w:rFonts w:ascii="Arial MT" w:hAnsi="Arial MT"/>
                <w:bCs/>
                <w:szCs w:val="18"/>
                <w:lang w:val="ru-RU" w:eastAsia="ru-RU"/>
              </w:rPr>
              <w:t>133.5</w:t>
            </w:r>
          </w:p>
        </w:tc>
        <w:tc>
          <w:tcPr>
            <w:cnfStyle w:val="000100000000" w:firstRow="0" w:lastRow="0" w:firstColumn="0" w:lastColumn="1" w:oddVBand="0" w:evenVBand="0" w:oddHBand="0" w:evenHBand="0" w:firstRowFirstColumn="0" w:firstRowLastColumn="0" w:lastRowFirstColumn="0" w:lastRowLastColumn="0"/>
            <w:tcW w:w="2264" w:type="dxa"/>
            <w:tcBorders>
              <w:top w:val="single" w:sz="4" w:space="0" w:color="9BBB59" w:themeColor="accent3"/>
              <w:bottom w:val="single" w:sz="12" w:space="0" w:color="9BBB59" w:themeColor="accent3"/>
            </w:tcBorders>
            <w:shd w:val="clear" w:color="auto" w:fill="FFFFFF" w:themeFill="background1"/>
            <w:vAlign w:val="center"/>
          </w:tcPr>
          <w:p w14:paraId="0A3EE712" w14:textId="10194B3D" w:rsidR="007F7788" w:rsidRPr="00542361" w:rsidRDefault="00AB3A27" w:rsidP="00475A1B">
            <w:pPr>
              <w:tabs>
                <w:tab w:val="clear" w:pos="7100"/>
              </w:tabs>
              <w:spacing w:line="240" w:lineRule="auto"/>
              <w:jc w:val="center"/>
              <w:rPr>
                <w:rFonts w:ascii="Arial MT" w:hAnsi="Arial MT"/>
                <w:b w:val="0"/>
                <w:bCs w:val="0"/>
                <w:szCs w:val="18"/>
                <w:lang w:val="en-US" w:eastAsia="ru-RU"/>
              </w:rPr>
            </w:pPr>
            <w:r>
              <w:rPr>
                <w:rFonts w:ascii="Arial MT" w:hAnsi="Arial MT"/>
                <w:b w:val="0"/>
                <w:bCs w:val="0"/>
                <w:szCs w:val="18"/>
                <w:lang w:val="en-US" w:eastAsia="ru-RU"/>
              </w:rPr>
              <w:t>101.6</w:t>
            </w:r>
          </w:p>
        </w:tc>
      </w:tr>
    </w:tbl>
    <w:p w14:paraId="0E363A42" w14:textId="5165B477" w:rsidR="002212E5" w:rsidRDefault="002212E5" w:rsidP="00600535">
      <w:pPr>
        <w:pStyle w:val="CETBodytext"/>
        <w:rPr>
          <w:lang w:val="uz-Cyrl-UZ"/>
        </w:rPr>
      </w:pPr>
    </w:p>
    <w:p w14:paraId="45C925CD" w14:textId="50BC0AE1" w:rsidR="002212E5" w:rsidRDefault="002212E5" w:rsidP="00600535">
      <w:pPr>
        <w:pStyle w:val="CETBodytext"/>
        <w:rPr>
          <w:lang w:val="uz-Cyrl-UZ"/>
        </w:rPr>
      </w:pPr>
    </w:p>
    <w:p w14:paraId="58FA38AC" w14:textId="125CFDA5" w:rsidR="002212E5" w:rsidRDefault="002212E5" w:rsidP="00600535">
      <w:pPr>
        <w:pStyle w:val="CETBodytext"/>
        <w:rPr>
          <w:lang w:val="uz-Cyrl-UZ"/>
        </w:rPr>
      </w:pPr>
    </w:p>
    <w:p w14:paraId="147B70A5" w14:textId="2F0AB30E" w:rsidR="002212E5" w:rsidRDefault="002212E5" w:rsidP="00600535">
      <w:pPr>
        <w:pStyle w:val="CETBodytext"/>
        <w:rPr>
          <w:lang w:val="uz-Cyrl-UZ"/>
        </w:rPr>
      </w:pPr>
    </w:p>
    <w:p w14:paraId="4E922B9E" w14:textId="58A02AA8" w:rsidR="002212E5" w:rsidRDefault="002212E5" w:rsidP="00600535">
      <w:pPr>
        <w:pStyle w:val="CETBodytext"/>
        <w:rPr>
          <w:lang w:val="uz-Cyrl-UZ"/>
        </w:rPr>
      </w:pPr>
    </w:p>
    <w:p w14:paraId="13915C34" w14:textId="77777777" w:rsidR="002212E5" w:rsidRPr="00EC4016" w:rsidRDefault="002212E5" w:rsidP="00600535">
      <w:pPr>
        <w:pStyle w:val="CETBodytext"/>
        <w:rPr>
          <w:lang w:val="uz-Cyrl-UZ"/>
        </w:rPr>
      </w:pPr>
    </w:p>
    <w:p w14:paraId="55A07624" w14:textId="30B7CE49" w:rsidR="00FC0A5C" w:rsidRDefault="00FC0A5C" w:rsidP="00600535">
      <w:pPr>
        <w:pStyle w:val="CETBodytext"/>
        <w:rPr>
          <w:lang w:val="uz-Cyrl-UZ"/>
        </w:rPr>
      </w:pPr>
    </w:p>
    <w:p w14:paraId="16719A5E" w14:textId="1F3BC571" w:rsidR="00542361" w:rsidRDefault="00542361" w:rsidP="00600535">
      <w:pPr>
        <w:pStyle w:val="CETBodytext"/>
        <w:rPr>
          <w:lang w:val="uz-Cyrl-UZ"/>
        </w:rPr>
      </w:pPr>
    </w:p>
    <w:p w14:paraId="531249DB" w14:textId="7FA82D2C" w:rsidR="00542361" w:rsidRDefault="00542361" w:rsidP="00600535">
      <w:pPr>
        <w:pStyle w:val="CETBodytext"/>
        <w:rPr>
          <w:lang w:val="uz-Cyrl-UZ"/>
        </w:rPr>
      </w:pPr>
    </w:p>
    <w:p w14:paraId="71D9F049" w14:textId="50E411BC" w:rsidR="00542361" w:rsidRDefault="00542361" w:rsidP="00600535">
      <w:pPr>
        <w:pStyle w:val="CETBodytext"/>
        <w:rPr>
          <w:lang w:val="uz-Cyrl-UZ"/>
        </w:rPr>
      </w:pPr>
    </w:p>
    <w:p w14:paraId="588944D1" w14:textId="2521F8DE" w:rsidR="00542361" w:rsidRDefault="00542361" w:rsidP="00600535">
      <w:pPr>
        <w:pStyle w:val="CETBodytext"/>
        <w:rPr>
          <w:lang w:val="uz-Cyrl-UZ"/>
        </w:rPr>
      </w:pPr>
    </w:p>
    <w:p w14:paraId="2355288E" w14:textId="15018324" w:rsidR="00542361" w:rsidRDefault="00542361" w:rsidP="00600535">
      <w:pPr>
        <w:pStyle w:val="CETBodytext"/>
        <w:rPr>
          <w:lang w:val="uz-Cyrl-UZ"/>
        </w:rPr>
      </w:pPr>
    </w:p>
    <w:p w14:paraId="7610AE5A" w14:textId="78FDAE53" w:rsidR="00542361" w:rsidRDefault="00542361" w:rsidP="00600535">
      <w:pPr>
        <w:pStyle w:val="CETBodytext"/>
        <w:rPr>
          <w:lang w:val="uz-Cyrl-UZ"/>
        </w:rPr>
      </w:pPr>
    </w:p>
    <w:p w14:paraId="37159B44" w14:textId="52F255F2" w:rsidR="00542361" w:rsidRDefault="00542361" w:rsidP="00600535">
      <w:pPr>
        <w:pStyle w:val="CETBodytext"/>
        <w:rPr>
          <w:lang w:val="uz-Cyrl-UZ"/>
        </w:rPr>
      </w:pPr>
    </w:p>
    <w:p w14:paraId="35D80160" w14:textId="3AB99F42" w:rsidR="00542361" w:rsidRDefault="00542361" w:rsidP="00600535">
      <w:pPr>
        <w:pStyle w:val="CETBodytext"/>
        <w:rPr>
          <w:lang w:val="uz-Cyrl-UZ"/>
        </w:rPr>
      </w:pPr>
    </w:p>
    <w:p w14:paraId="7E1F8994" w14:textId="1AEDF478" w:rsidR="00542361" w:rsidRDefault="00542361" w:rsidP="00600535">
      <w:pPr>
        <w:pStyle w:val="CETBodytext"/>
        <w:rPr>
          <w:lang w:val="uz-Cyrl-UZ"/>
        </w:rPr>
      </w:pPr>
    </w:p>
    <w:p w14:paraId="35C86341" w14:textId="63948F46" w:rsidR="00542361" w:rsidRDefault="00542361" w:rsidP="00600535">
      <w:pPr>
        <w:pStyle w:val="CETBodytext"/>
        <w:rPr>
          <w:lang w:val="uz-Cyrl-UZ"/>
        </w:rPr>
      </w:pPr>
    </w:p>
    <w:p w14:paraId="55496864" w14:textId="7C3696BF" w:rsidR="00542361" w:rsidRDefault="00542361" w:rsidP="00600535">
      <w:pPr>
        <w:pStyle w:val="CETBodytext"/>
        <w:rPr>
          <w:lang w:val="uz-Cyrl-UZ"/>
        </w:rPr>
      </w:pPr>
    </w:p>
    <w:p w14:paraId="55421618" w14:textId="63568888" w:rsidR="00542361" w:rsidRDefault="00542361" w:rsidP="00600535">
      <w:pPr>
        <w:pStyle w:val="CETBodytext"/>
        <w:rPr>
          <w:lang w:val="uz-Cyrl-UZ"/>
        </w:rPr>
      </w:pPr>
    </w:p>
    <w:p w14:paraId="09C0C63E" w14:textId="4381DD2A" w:rsidR="00542361" w:rsidRDefault="00542361" w:rsidP="00600535">
      <w:pPr>
        <w:pStyle w:val="CETBodytext"/>
        <w:rPr>
          <w:lang w:val="uz-Cyrl-UZ"/>
        </w:rPr>
      </w:pPr>
    </w:p>
    <w:p w14:paraId="680E6747" w14:textId="0B9CF287" w:rsidR="00542361" w:rsidRDefault="00542361" w:rsidP="00600535">
      <w:pPr>
        <w:pStyle w:val="CETBodytext"/>
        <w:rPr>
          <w:lang w:val="uz-Cyrl-UZ"/>
        </w:rPr>
      </w:pPr>
    </w:p>
    <w:p w14:paraId="1F10CF74" w14:textId="62F367A3" w:rsidR="00542361" w:rsidRDefault="00542361" w:rsidP="00600535">
      <w:pPr>
        <w:pStyle w:val="CETBodytext"/>
        <w:rPr>
          <w:lang w:val="uz-Cyrl-UZ"/>
        </w:rPr>
      </w:pPr>
    </w:p>
    <w:p w14:paraId="2EDBB188" w14:textId="3D3675AA" w:rsidR="00542361" w:rsidRDefault="00542361" w:rsidP="00600535">
      <w:pPr>
        <w:pStyle w:val="CETBodytext"/>
        <w:rPr>
          <w:lang w:val="uz-Cyrl-UZ"/>
        </w:rPr>
      </w:pPr>
    </w:p>
    <w:p w14:paraId="5B0738CC" w14:textId="7FF8FD2A" w:rsidR="00AB6E36" w:rsidRDefault="00AB6E36" w:rsidP="00AB6E36">
      <w:pPr>
        <w:pStyle w:val="CETHeading1"/>
        <w:numPr>
          <w:ilvl w:val="0"/>
          <w:numId w:val="0"/>
        </w:numPr>
        <w:rPr>
          <w:b w:val="0"/>
          <w:sz w:val="18"/>
          <w:lang w:val="uz-Cyrl-UZ"/>
        </w:rPr>
      </w:pPr>
    </w:p>
    <w:p w14:paraId="0E15204F" w14:textId="77777777" w:rsidR="00AB6E36" w:rsidRPr="00AB6E36" w:rsidRDefault="00AB6E36" w:rsidP="00AB6E36">
      <w:pPr>
        <w:pStyle w:val="CETBodytext"/>
        <w:rPr>
          <w:lang w:val="uz-Cyrl-UZ"/>
        </w:rPr>
      </w:pPr>
    </w:p>
    <w:p w14:paraId="0A9972B0" w14:textId="13963574" w:rsidR="00075BB6" w:rsidRDefault="00075BB6" w:rsidP="00075BB6">
      <w:pPr>
        <w:pStyle w:val="CETHeading1"/>
        <w:numPr>
          <w:ilvl w:val="0"/>
          <w:numId w:val="0"/>
        </w:numPr>
        <w:ind w:left="2836"/>
        <w:rPr>
          <w:lang w:val="en-GB"/>
        </w:rPr>
      </w:pPr>
    </w:p>
    <w:p w14:paraId="048D5D71" w14:textId="77777777" w:rsidR="007C078C" w:rsidRPr="007C078C" w:rsidRDefault="007C078C" w:rsidP="007C078C">
      <w:pPr>
        <w:pStyle w:val="CETBodytext"/>
        <w:rPr>
          <w:lang w:val="en-GB"/>
        </w:rPr>
      </w:pPr>
    </w:p>
    <w:p w14:paraId="2F231EF7" w14:textId="77777777" w:rsidR="00E4306D" w:rsidRPr="00AA312B" w:rsidRDefault="00E4306D" w:rsidP="00E4306D">
      <w:pPr>
        <w:pStyle w:val="CETHeading1"/>
        <w:numPr>
          <w:ilvl w:val="0"/>
          <w:numId w:val="0"/>
        </w:numPr>
        <w:spacing w:before="0" w:after="0"/>
        <w:jc w:val="both"/>
        <w:rPr>
          <w:b w:val="0"/>
          <w:sz w:val="18"/>
          <w:szCs w:val="18"/>
          <w:lang w:val="en-GB"/>
        </w:rPr>
      </w:pPr>
      <w:r w:rsidRPr="00AA312B">
        <w:rPr>
          <w:b w:val="0"/>
          <w:sz w:val="18"/>
          <w:szCs w:val="18"/>
          <w:lang w:val="en-GB"/>
        </w:rPr>
        <w:lastRenderedPageBreak/>
        <w:t>Based on the study, it was established that buckwheat and soybean flour improve the biological value and the amino acid balance.</w:t>
      </w:r>
    </w:p>
    <w:p w14:paraId="7C1F7E9B" w14:textId="358B6D98" w:rsidR="00523B3D" w:rsidRDefault="00075BB6" w:rsidP="002720FA">
      <w:pPr>
        <w:pStyle w:val="CETHeading1"/>
        <w:numPr>
          <w:ilvl w:val="0"/>
          <w:numId w:val="0"/>
        </w:numPr>
        <w:spacing w:before="0" w:after="0"/>
        <w:jc w:val="both"/>
        <w:rPr>
          <w:b w:val="0"/>
          <w:sz w:val="18"/>
          <w:szCs w:val="18"/>
          <w:lang w:val="en-GB"/>
        </w:rPr>
      </w:pPr>
      <w:r w:rsidRPr="00AA312B">
        <w:rPr>
          <w:b w:val="0"/>
          <w:sz w:val="18"/>
          <w:szCs w:val="18"/>
          <w:lang w:val="en-GB"/>
        </w:rPr>
        <w:t>The elastic and plastic properties of the dough ensure the process of relaxation-that is, the reduction and smoothing of internal stresses arising in the dough during deformation during the formation process.</w:t>
      </w:r>
      <w:r w:rsidR="00475A1B" w:rsidRPr="00AA312B">
        <w:rPr>
          <w:b w:val="0"/>
          <w:sz w:val="18"/>
          <w:szCs w:val="18"/>
          <w:lang w:val="en-GB"/>
        </w:rPr>
        <w:fldChar w:fldCharType="begin"/>
      </w:r>
      <w:r w:rsidR="00475A1B" w:rsidRPr="00AA312B">
        <w:rPr>
          <w:b w:val="0"/>
          <w:sz w:val="18"/>
          <w:szCs w:val="18"/>
          <w:lang w:val="en-GB"/>
        </w:rPr>
        <w:instrText xml:space="preserve"> ADDIN ZOTERO_ITEM CSL_CITATION {"citationID":"bknfI1H2","properties":{"unsorted":false,"formattedCitation":"(Zhang \\uc0\\u1080{} \\uc0\\u1076{}\\uc0\\u1088{}., 2024)","plainCitation":"(Zhang и др., 2024)","noteIndex":0},"citationItems":[{"id":20,"uris":["http://zotero.org/users/20330494/items/CLJAYFVM"],"itemData":{"id":20,"type":"article-journal","abstract":"This study examined the physicochemical properties of flour determining hand-stretched dried noodles (HSDN) and the mechanisms involved. The findings indicated that the flexural performance, cooking and eating quality of HSDN was primarily influenced by gluten characteristics. Additionally, porosity was significantly impacted by the addition of salt, while selecting flour with a higher glutenin to gliadin ratio and lower damaged starch content could potentially reduce the amount of salt required, contributing to the pore structure of HSDN. The HSDN obtained from long-term resting processes demonstrated superior cooking and eating quality in comparison to short-term ones. The extended resting period facilitated the expulsion of trapped air within the dough and the relaxation of the gluten network, resulting in improved dispersal and orientation of excessively aggregated gluten proteins during the stretching process. This led to the formation of more protein branches and stable β-sheet structures during subsequent resting periods.","container-title":"Journal of Cereal Science","DOI":"10.1016/j.jcs.2024.103964","ISSN":"0733-5210","journalAbbreviation":"Journal of Cereal Science","page":"103964","source":"ScienceDirect","title":"Unveiling the quality formation mechanism of hand-stretched dried noodle based on typical flour and processing technology","volume":"118","author":[{"family":"Zhang","given":"Qian"},{"family":"Li","given":"Zongkuo"},{"family":"Qi","given":"Yajing"},{"family":"Hassane Hamadou","given":"Alkassoumi"},{"family":"Xu","given":"Bin"}],"issued":{"date-parts":[["2024",7,1]]}}}],"schema":"https://github.com/citation-style-language/schema/raw/master/csl-citation.json"} </w:instrText>
      </w:r>
      <w:r w:rsidR="00475A1B" w:rsidRPr="00AA312B">
        <w:rPr>
          <w:b w:val="0"/>
          <w:sz w:val="18"/>
          <w:szCs w:val="18"/>
          <w:lang w:val="en-GB"/>
        </w:rPr>
        <w:fldChar w:fldCharType="separate"/>
      </w:r>
      <w:r w:rsidR="00475A1B" w:rsidRPr="00AA312B">
        <w:rPr>
          <w:rFonts w:cs="Arial"/>
          <w:b w:val="0"/>
          <w:sz w:val="18"/>
          <w:szCs w:val="18"/>
        </w:rPr>
        <w:t>(Zhang et al., 2024)</w:t>
      </w:r>
      <w:r w:rsidR="00475A1B" w:rsidRPr="00AA312B">
        <w:rPr>
          <w:b w:val="0"/>
          <w:sz w:val="18"/>
          <w:szCs w:val="18"/>
          <w:lang w:val="en-GB"/>
        </w:rPr>
        <w:fldChar w:fldCharType="end"/>
      </w:r>
      <w:r w:rsidRPr="00AA312B">
        <w:rPr>
          <w:b w:val="0"/>
          <w:sz w:val="18"/>
          <w:szCs w:val="18"/>
          <w:lang w:val="en-GB"/>
        </w:rPr>
        <w:t xml:space="preserve"> </w:t>
      </w:r>
      <w:r w:rsidR="00475A1B" w:rsidRPr="00AA312B">
        <w:rPr>
          <w:b w:val="0"/>
          <w:sz w:val="18"/>
          <w:szCs w:val="18"/>
          <w:lang w:val="en-GB"/>
        </w:rPr>
        <w:t>The longer the relaxation process lasts, the more pronounced the elastic properties of the test mass become</w:t>
      </w:r>
      <w:r w:rsidRPr="00AA312B">
        <w:rPr>
          <w:b w:val="0"/>
          <w:sz w:val="18"/>
          <w:szCs w:val="18"/>
          <w:lang w:val="en-GB"/>
        </w:rPr>
        <w:t>.</w:t>
      </w:r>
      <w:r w:rsidR="00475A1B" w:rsidRPr="00AA312B">
        <w:rPr>
          <w:b w:val="0"/>
          <w:sz w:val="18"/>
          <w:szCs w:val="18"/>
          <w:lang w:val="en-GB"/>
        </w:rPr>
        <w:fldChar w:fldCharType="begin"/>
      </w:r>
      <w:r w:rsidR="00475A1B" w:rsidRPr="00AA312B">
        <w:rPr>
          <w:b w:val="0"/>
          <w:sz w:val="18"/>
          <w:szCs w:val="18"/>
          <w:lang w:val="en-GB"/>
        </w:rPr>
        <w:instrText xml:space="preserve"> ADDIN ZOTERO_ITEM CSL_CITATION {"citationID":"XVmjsFl3","properties":{"unsorted":false,"formattedCitation":"(Lyu \\uc0\\u1080{} \\uc0\\u1076{}\\uc0\\u1088{}., 2023)","plainCitation":"(Lyu и др., 2023)","noteIndex":0},"citationItems":[{"id":22,"uris":["http://zotero.org/users/20330494/items/D8YHHHKJ"],"itemData":{"id":22,"type":"article-journal","abstract":"Chinese traditional handmade hollow dried noodle (HHDN) is a popular wheat-based food among the Chinese people due to its easy cooking qualities and smooth texture, which are significantly correlated with the rheological characteristics of HHDN dough. The effects of water content (55, 60, and 65%) and resting time (0, 30, 60, 90, and 120 min) on the rheology and gluten network formation of the HHDN dough were investigated. The modulus during stress relaxation reduced from 8.62 Pa to 2.30 Pa as the water content increased from 55% to 65%. With resting time increased from 0 min to 120 min, the extensibility of the 60% water content dough increased from 64.33 mm to 152.67 mm. With the water content decreased and resting time increased, the glutenin macropolymer (GMP) content increased and the free sulfhydryl content decreased. The microstructure study of the dough showed that extending the resting time was beneficial to the formation of the gluten network. The covalent interactions promote the formation of the gluten network and change the rheological properties of the dough. The dough with 60% water content and 60 min resting would result in the desired quality of the dough, ultimately improving the quality of the noodles.","container-title":"Journal of Cereal Science","DOI":"10.1016/j.jcs.2023.103804","ISSN":"0733-5210","journalAbbreviation":"Journal of Cereal Science","page":"103804","source":"ScienceDirect","title":"Effects of water content and resting on rheology and the gluten network formation of Chinese traditional handmade hollow dried noodle dough","volume":"114","author":[{"family":"Lyu","given":"Kai"},{"family":"Guo","given":"Xiao-Na"},{"family":"Zhu","given":"Ke-Xue"}],"issued":{"date-parts":[["2023",11,1]]}}}],"schema":"https://github.com/citation-style-language/schema/raw/master/csl-citation.json"} </w:instrText>
      </w:r>
      <w:r w:rsidR="00475A1B" w:rsidRPr="00AA312B">
        <w:rPr>
          <w:b w:val="0"/>
          <w:sz w:val="18"/>
          <w:szCs w:val="18"/>
          <w:lang w:val="en-GB"/>
        </w:rPr>
        <w:fldChar w:fldCharType="separate"/>
      </w:r>
      <w:r w:rsidR="00475A1B" w:rsidRPr="00AA312B">
        <w:rPr>
          <w:rFonts w:cs="Arial"/>
          <w:b w:val="0"/>
          <w:sz w:val="18"/>
          <w:szCs w:val="18"/>
        </w:rPr>
        <w:t>(Lyu et al., 2023)</w:t>
      </w:r>
      <w:r w:rsidR="00475A1B" w:rsidRPr="00AA312B">
        <w:rPr>
          <w:b w:val="0"/>
          <w:sz w:val="18"/>
          <w:szCs w:val="18"/>
          <w:lang w:val="en-GB"/>
        </w:rPr>
        <w:fldChar w:fldCharType="end"/>
      </w:r>
      <w:r w:rsidR="00523B3D" w:rsidRPr="00AA312B">
        <w:rPr>
          <w:b w:val="0"/>
          <w:sz w:val="18"/>
          <w:szCs w:val="18"/>
          <w:lang w:val="en-GB"/>
        </w:rPr>
        <w:t>.</w:t>
      </w:r>
    </w:p>
    <w:p w14:paraId="40F82F91" w14:textId="77777777" w:rsidR="00A66290" w:rsidRPr="00A66290" w:rsidRDefault="00A66290" w:rsidP="00A66290">
      <w:pPr>
        <w:pStyle w:val="CETBodytext"/>
        <w:rPr>
          <w:lang w:val="en-GB"/>
        </w:rPr>
      </w:pPr>
    </w:p>
    <w:p w14:paraId="54AD6242" w14:textId="11CBE15C" w:rsidR="00523B3D" w:rsidRDefault="00A66290" w:rsidP="00523B3D">
      <w:pPr>
        <w:pStyle w:val="CETBodytext"/>
        <w:rPr>
          <w:lang w:val="en-GB"/>
        </w:rPr>
      </w:pPr>
      <w:r>
        <w:rPr>
          <w:noProof/>
          <w:lang w:val="ru-RU" w:eastAsia="ru-RU"/>
        </w:rPr>
        <w:drawing>
          <wp:inline distT="0" distB="0" distL="0" distR="0" wp14:anchorId="5591351A" wp14:editId="6FE103EB">
            <wp:extent cx="5486400" cy="2009423"/>
            <wp:effectExtent l="0" t="0" r="0" b="1016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EA70BD5" w14:textId="1FE469E6" w:rsidR="00523B3D" w:rsidRPr="002720FA" w:rsidRDefault="005246C2" w:rsidP="002720FA">
      <w:pPr>
        <w:pStyle w:val="CETBodytext"/>
        <w:spacing w:before="240"/>
        <w:rPr>
          <w:i/>
          <w:lang w:val="en-GB"/>
        </w:rPr>
      </w:pPr>
      <w:r>
        <w:rPr>
          <w:i/>
          <w:lang w:val="en-GB"/>
        </w:rPr>
        <w:t>Figure 2</w:t>
      </w:r>
      <w:r w:rsidR="000D060A">
        <w:rPr>
          <w:i/>
          <w:lang w:val="en-GB"/>
        </w:rPr>
        <w:t>.</w:t>
      </w:r>
      <w:r w:rsidR="002720FA" w:rsidRPr="002720FA">
        <w:rPr>
          <w:i/>
          <w:lang w:val="en-GB"/>
        </w:rPr>
        <w:t xml:space="preserve"> </w:t>
      </w:r>
      <w:r w:rsidR="000D060A">
        <w:rPr>
          <w:i/>
          <w:lang w:val="en-GB"/>
        </w:rPr>
        <w:t>R</w:t>
      </w:r>
      <w:r w:rsidR="000D060A" w:rsidRPr="000D060A">
        <w:rPr>
          <w:i/>
          <w:lang w:val="en-GB"/>
        </w:rPr>
        <w:t>elaxation time</w:t>
      </w:r>
      <w:r w:rsidR="002720FA" w:rsidRPr="002720FA">
        <w:rPr>
          <w:i/>
          <w:lang w:val="en-GB"/>
        </w:rPr>
        <w:t>.</w:t>
      </w:r>
    </w:p>
    <w:p w14:paraId="65F85629" w14:textId="77777777" w:rsidR="00F776B3" w:rsidRDefault="00F776B3" w:rsidP="002720FA">
      <w:pPr>
        <w:pStyle w:val="CETBodytext"/>
        <w:rPr>
          <w:lang w:val="en-GB"/>
        </w:rPr>
      </w:pPr>
    </w:p>
    <w:p w14:paraId="657A5584" w14:textId="59B1CB1D" w:rsidR="00075BB6" w:rsidRPr="002720FA" w:rsidRDefault="00F776B3" w:rsidP="002720FA">
      <w:pPr>
        <w:pStyle w:val="CETBodytext"/>
        <w:rPr>
          <w:lang w:val="en-GB"/>
        </w:rPr>
      </w:pPr>
      <w:r>
        <w:rPr>
          <w:lang w:val="en-GB"/>
        </w:rPr>
        <w:t>I</w:t>
      </w:r>
      <w:r w:rsidR="00523B3D" w:rsidRPr="00523B3D">
        <w:rPr>
          <w:lang w:val="en-GB"/>
        </w:rPr>
        <w:t>t was established that the relaxation time of the composite mixture dough is 2 minutes 30 seconds, which is 19-22% lower than the control sample values. This indicates that the dough made from the composite mixture possesses high plasticity. Such a relaxation time indicator for dough made from a composite mixture is associated with a decrease in the mass fraction of gluten proteins in wheat flour.</w:t>
      </w:r>
    </w:p>
    <w:p w14:paraId="68D26B83" w14:textId="62A6DD58" w:rsidR="00600535" w:rsidRDefault="00600535" w:rsidP="002720FA">
      <w:pPr>
        <w:pStyle w:val="CETHeading1"/>
      </w:pPr>
      <w:r w:rsidRPr="00B57B36">
        <w:t>Conclusions</w:t>
      </w:r>
    </w:p>
    <w:p w14:paraId="36865A4D" w14:textId="2EC433EA" w:rsidR="002720FA" w:rsidRPr="002720FA" w:rsidRDefault="002720FA" w:rsidP="002720FA">
      <w:pPr>
        <w:pStyle w:val="CETBodytext"/>
      </w:pPr>
      <w:r w:rsidRPr="002720FA">
        <w:t>The results of this study confirm that enriching wheat pasta with 10% buckwheat and 5% soybean flour significantly improves its nutritional quality while preserving acceptable technological properties. The total amino acid content increased from 101.637 mg/g in the control sample to 133.566 mg/g in the composite sample, indicating a substantial enhancement in biological value. Essential amino acids such as lysine increased from 0.121 to 0.503 mg/g, and leucine from 3.684 to 7.443 mg/g. The dough relaxation time decreased by 19–22% to 2 minutes 30 seconds, reflecting improved plasticity. Thus, the selected formulation ensures both enhanced nutrition and stable processing characteristics.</w:t>
      </w:r>
    </w:p>
    <w:p w14:paraId="03507984" w14:textId="37468088" w:rsidR="00600535" w:rsidRPr="00B57B36" w:rsidRDefault="00600535" w:rsidP="002720FA">
      <w:pPr>
        <w:pStyle w:val="CETReference"/>
      </w:pPr>
      <w:r w:rsidRPr="00B57B36">
        <w:t>References</w:t>
      </w:r>
    </w:p>
    <w:p w14:paraId="3620B234" w14:textId="77777777" w:rsidR="001D42A8" w:rsidRPr="001D42A8" w:rsidRDefault="001D42A8" w:rsidP="001D42A8">
      <w:pPr>
        <w:pStyle w:val="CETReferencetext"/>
        <w:rPr>
          <w:lang w:val="en-US"/>
        </w:rPr>
      </w:pPr>
      <w:r w:rsidRPr="001D42A8">
        <w:rPr>
          <w:lang w:val="en-US"/>
        </w:rPr>
        <w:t>Alvarez-Jubete L., Arendt E.K., Gallagher E., 2010, Nutritive value of pseudocereals and their increasing use in gluten-free products, Trends in Food Science &amp; Technology, 21, 106–113.</w:t>
      </w:r>
    </w:p>
    <w:p w14:paraId="1F61515B" w14:textId="77777777" w:rsidR="001D42A8" w:rsidRPr="001D42A8" w:rsidRDefault="001D42A8" w:rsidP="001D42A8">
      <w:pPr>
        <w:pStyle w:val="CETReferencetext"/>
        <w:rPr>
          <w:lang w:val="en-US"/>
        </w:rPr>
      </w:pPr>
      <w:r w:rsidRPr="001D42A8">
        <w:rPr>
          <w:lang w:val="en-US"/>
        </w:rPr>
        <w:t>Bonafaccia G., Marocchini M., Kreft I., 2003, Composition and technological properties of the flour and bran from common and tartary buckwheat, Food Chemistry, 80, 9–15.</w:t>
      </w:r>
    </w:p>
    <w:p w14:paraId="737AC914" w14:textId="77777777" w:rsidR="001D42A8" w:rsidRPr="001D42A8" w:rsidRDefault="001D42A8" w:rsidP="001D42A8">
      <w:pPr>
        <w:pStyle w:val="CETReferencetext"/>
        <w:rPr>
          <w:lang w:val="en-US"/>
        </w:rPr>
      </w:pPr>
      <w:r w:rsidRPr="001D42A8">
        <w:rPr>
          <w:lang w:val="en-US"/>
        </w:rPr>
        <w:t>Brennan C.S., Kuri V., Tudorica C.M., 2012, Inulin-enriched pasta: Effects on textural properties and starch degradation, Food Chemistry, 132, 681–689.</w:t>
      </w:r>
    </w:p>
    <w:p w14:paraId="4880E6DF" w14:textId="77777777" w:rsidR="001D42A8" w:rsidRPr="001D42A8" w:rsidRDefault="001D42A8" w:rsidP="001D42A8">
      <w:pPr>
        <w:pStyle w:val="CETReferencetext"/>
        <w:rPr>
          <w:lang w:val="en-US"/>
        </w:rPr>
      </w:pPr>
      <w:r w:rsidRPr="001D42A8">
        <w:rPr>
          <w:lang w:val="en-US"/>
        </w:rPr>
        <w:t>Day L., 2013, Proteins from land plants – Potential resources for human nutrition and food security, Trends in Food Science &amp; Technology, 32, 25–42.</w:t>
      </w:r>
    </w:p>
    <w:p w14:paraId="1425D45A" w14:textId="77777777" w:rsidR="001D42A8" w:rsidRPr="001D42A8" w:rsidRDefault="001D42A8" w:rsidP="001D42A8">
      <w:pPr>
        <w:pStyle w:val="CETReferencetext"/>
        <w:rPr>
          <w:lang w:val="en-US"/>
        </w:rPr>
      </w:pPr>
      <w:r w:rsidRPr="001D42A8">
        <w:rPr>
          <w:lang w:val="en-US"/>
        </w:rPr>
        <w:t>Foschia M., Horstmann S., Arendt E.K., Zannini E., 2015, Legumes as functional ingredients in gluten-free bakery and pasta products, Annual Review of Food Science and Technology, 6, 75–98.</w:t>
      </w:r>
    </w:p>
    <w:p w14:paraId="0A504449" w14:textId="77777777" w:rsidR="001D42A8" w:rsidRPr="001D42A8" w:rsidRDefault="001D42A8" w:rsidP="001D42A8">
      <w:pPr>
        <w:pStyle w:val="CETReferencetext"/>
        <w:rPr>
          <w:lang w:val="en-US"/>
        </w:rPr>
      </w:pPr>
      <w:r w:rsidRPr="001D42A8">
        <w:rPr>
          <w:lang w:val="en-US"/>
        </w:rPr>
        <w:t>Foschia M., Peressini D., Sensidoni A., Brennan C.S., 2017, The effects of dietary fibre addition on the quality of common cereal products, Journal of Cereal Science, 77, 146–152.</w:t>
      </w:r>
    </w:p>
    <w:p w14:paraId="445851DA" w14:textId="77777777" w:rsidR="001D42A8" w:rsidRPr="001D42A8" w:rsidRDefault="001D42A8" w:rsidP="001D42A8">
      <w:pPr>
        <w:pStyle w:val="CETReferencetext"/>
        <w:rPr>
          <w:lang w:val="en-US"/>
        </w:rPr>
      </w:pPr>
      <w:r w:rsidRPr="001D42A8">
        <w:rPr>
          <w:lang w:val="en-US"/>
        </w:rPr>
        <w:t>Petitot M., Abecassis J., Micard V., 2010, Structuring of pasta components during processing: Impact on starch and protein digestibility and allergenicity, Trends in Food Science &amp; Technology, 21, 521–532.</w:t>
      </w:r>
    </w:p>
    <w:p w14:paraId="0B48EDEB" w14:textId="77777777" w:rsidR="001D42A8" w:rsidRPr="001D42A8" w:rsidRDefault="001D42A8" w:rsidP="001D42A8">
      <w:pPr>
        <w:pStyle w:val="CETReferencetext"/>
        <w:rPr>
          <w:lang w:val="en-US"/>
        </w:rPr>
      </w:pPr>
      <w:r w:rsidRPr="001D42A8">
        <w:rPr>
          <w:lang w:val="en-US"/>
        </w:rPr>
        <w:t>Padalino L., Mastromatteo M., Lecce L., Spinelli S., Conte A., Del Nobile M.A., 2013, Effect of durum wheat semolina replacement with pea flour on pasta quality, Food Chemistry, 136, 1429–1437.</w:t>
      </w:r>
    </w:p>
    <w:p w14:paraId="07DBFC0F" w14:textId="77777777" w:rsidR="001D42A8" w:rsidRPr="001D42A8" w:rsidRDefault="001D42A8" w:rsidP="001D42A8">
      <w:pPr>
        <w:pStyle w:val="CETReferencetext"/>
        <w:rPr>
          <w:lang w:val="en-US"/>
        </w:rPr>
      </w:pPr>
      <w:r w:rsidRPr="001D42A8">
        <w:rPr>
          <w:lang w:val="en-US"/>
        </w:rPr>
        <w:t>Shewry P.R., 2011, Improving the protein content and composition of cereal grain, Journal of Cereal Science, 53, 317–326.</w:t>
      </w:r>
    </w:p>
    <w:p w14:paraId="1D617AF5" w14:textId="77777777" w:rsidR="001D42A8" w:rsidRPr="001D42A8" w:rsidRDefault="001D42A8" w:rsidP="001D42A8">
      <w:pPr>
        <w:pStyle w:val="CETReferencetext"/>
        <w:rPr>
          <w:lang w:val="en-US"/>
        </w:rPr>
      </w:pPr>
      <w:r w:rsidRPr="001D42A8">
        <w:rPr>
          <w:lang w:val="en-US"/>
        </w:rPr>
        <w:t>Sissons M., 2008, Role of durum wheat composition on the quality of pasta and bread, Food, 2, 75–90.</w:t>
      </w:r>
    </w:p>
    <w:p w14:paraId="3FB6C2A0" w14:textId="77777777" w:rsidR="001D42A8" w:rsidRPr="001D42A8" w:rsidRDefault="001D42A8" w:rsidP="001D42A8">
      <w:pPr>
        <w:pStyle w:val="CETReferencetext"/>
        <w:rPr>
          <w:lang w:val="en-US"/>
        </w:rPr>
      </w:pPr>
      <w:r w:rsidRPr="001D42A8">
        <w:rPr>
          <w:lang w:val="en-US"/>
        </w:rPr>
        <w:lastRenderedPageBreak/>
        <w:t>Sissons M., 2016, Durum wheat chemistry and pasta quality, Food, 5, 1–12.</w:t>
      </w:r>
    </w:p>
    <w:p w14:paraId="615541C0" w14:textId="77777777" w:rsidR="001D42A8" w:rsidRPr="001D42A8" w:rsidRDefault="001D42A8" w:rsidP="001D42A8">
      <w:pPr>
        <w:pStyle w:val="CETReferencetext"/>
        <w:rPr>
          <w:lang w:val="en-US"/>
        </w:rPr>
      </w:pPr>
      <w:r w:rsidRPr="001D42A8">
        <w:rPr>
          <w:lang w:val="en-US"/>
        </w:rPr>
        <w:t>Turfani V., Narducci V., Durazzo A., Galli V., Carcea M., 2017, Technological, nutritional and functional properties of pasta enriched with legume flours, Journal of Food Science and Technology, 54, 1–10.</w:t>
      </w:r>
    </w:p>
    <w:p w14:paraId="1EC8437C" w14:textId="1D1B9C20" w:rsidR="001D42A8" w:rsidRDefault="001D42A8" w:rsidP="001D42A8">
      <w:pPr>
        <w:pStyle w:val="CETReferencetext"/>
        <w:rPr>
          <w:lang w:val="en-US"/>
        </w:rPr>
      </w:pPr>
      <w:r w:rsidRPr="001D42A8">
        <w:rPr>
          <w:lang w:val="en-US"/>
        </w:rPr>
        <w:t>World Health Organization (WHO), 2006, Guidelines on food fortification with micronutrients, WHO Press, Geneva, 45–78.</w:t>
      </w:r>
    </w:p>
    <w:p w14:paraId="28714BEA" w14:textId="77777777" w:rsidR="00475A1B" w:rsidRPr="00475A1B" w:rsidRDefault="00A22D4B" w:rsidP="007F4C3E">
      <w:pPr>
        <w:pStyle w:val="a8"/>
        <w:spacing w:line="240" w:lineRule="auto"/>
        <w:ind w:left="284" w:hanging="284"/>
      </w:pPr>
      <w:r w:rsidRPr="00A22D4B">
        <w:fldChar w:fldCharType="begin"/>
      </w:r>
      <w:r w:rsidR="005744D6">
        <w:instrText xml:space="preserve"> ADDIN ZOTERO_BIBL {"uncited":[],"omitted":[],"custom":[]} CSL_BIBLIOGRAPHY </w:instrText>
      </w:r>
      <w:r w:rsidRPr="00A22D4B">
        <w:fldChar w:fldCharType="separate"/>
      </w:r>
      <w:r w:rsidR="00475A1B" w:rsidRPr="00475A1B">
        <w:t xml:space="preserve">Akhter, N., Rather, J. A., Majeed, M., Majid, D., Nayeem, M., &amp; Dar, B. N. (2026). Chemistry and Nutritional Constituents of Pseudocereals. В </w:t>
      </w:r>
      <w:r w:rsidR="00475A1B" w:rsidRPr="00475A1B">
        <w:rPr>
          <w:i/>
          <w:iCs/>
        </w:rPr>
        <w:t>Pseudocereals</w:t>
      </w:r>
      <w:r w:rsidR="00475A1B" w:rsidRPr="00475A1B">
        <w:t>. CRC Press.</w:t>
      </w:r>
    </w:p>
    <w:p w14:paraId="1D7A07D5" w14:textId="77777777" w:rsidR="00475A1B" w:rsidRPr="00475A1B" w:rsidRDefault="00475A1B" w:rsidP="007F4C3E">
      <w:pPr>
        <w:pStyle w:val="a8"/>
        <w:spacing w:line="240" w:lineRule="auto"/>
        <w:ind w:left="284" w:hanging="284"/>
        <w:rPr>
          <w:lang w:val="ru-RU"/>
        </w:rPr>
      </w:pPr>
      <w:r w:rsidRPr="00475A1B">
        <w:rPr>
          <w:i/>
          <w:iCs/>
        </w:rPr>
        <w:t>Buckwheat Seeds: Impact of Milling Fractions and Addition Level on Wheat Bread Dough Rheology</w:t>
      </w:r>
      <w:r w:rsidRPr="00475A1B">
        <w:t xml:space="preserve">. </w:t>
      </w:r>
      <w:r w:rsidRPr="00475A1B">
        <w:rPr>
          <w:lang w:val="ru-RU"/>
        </w:rPr>
        <w:t xml:space="preserve">(б. д.). Извлечено 22 апрель 2026 г., от </w:t>
      </w:r>
      <w:r w:rsidRPr="00475A1B">
        <w:t>https</w:t>
      </w:r>
      <w:r w:rsidRPr="00475A1B">
        <w:rPr>
          <w:lang w:val="ru-RU"/>
        </w:rPr>
        <w:t>://</w:t>
      </w:r>
      <w:r w:rsidRPr="00475A1B">
        <w:t>www</w:t>
      </w:r>
      <w:r w:rsidRPr="00475A1B">
        <w:rPr>
          <w:lang w:val="ru-RU"/>
        </w:rPr>
        <w:t>.</w:t>
      </w:r>
      <w:r w:rsidRPr="00475A1B">
        <w:t>mdpi</w:t>
      </w:r>
      <w:r w:rsidRPr="00475A1B">
        <w:rPr>
          <w:lang w:val="ru-RU"/>
        </w:rPr>
        <w:t>.</w:t>
      </w:r>
      <w:r w:rsidRPr="00475A1B">
        <w:t>com</w:t>
      </w:r>
      <w:r w:rsidRPr="00475A1B">
        <w:rPr>
          <w:lang w:val="ru-RU"/>
        </w:rPr>
        <w:t>/2076-3417/11/4/1731</w:t>
      </w:r>
    </w:p>
    <w:p w14:paraId="6D8B3637" w14:textId="77777777" w:rsidR="00475A1B" w:rsidRPr="00475A1B" w:rsidRDefault="00475A1B" w:rsidP="007F4C3E">
      <w:pPr>
        <w:pStyle w:val="a8"/>
        <w:spacing w:line="240" w:lineRule="auto"/>
        <w:ind w:left="284" w:hanging="284"/>
      </w:pPr>
      <w:r w:rsidRPr="00475A1B">
        <w:t xml:space="preserve">Cohen, S. A., &amp; Strydom, D. J. (1988). Amino acid analysis utilizing phenylisothiocyanate derivatives. </w:t>
      </w:r>
      <w:r w:rsidRPr="00475A1B">
        <w:rPr>
          <w:i/>
          <w:iCs/>
        </w:rPr>
        <w:t>Analytical Biochemistry</w:t>
      </w:r>
      <w:r w:rsidRPr="00475A1B">
        <w:t xml:space="preserve">, </w:t>
      </w:r>
      <w:r w:rsidRPr="00475A1B">
        <w:rPr>
          <w:i/>
          <w:iCs/>
        </w:rPr>
        <w:t>174</w:t>
      </w:r>
      <w:r w:rsidRPr="00475A1B">
        <w:t>(1), 1–16. https://doi.org/10.1016/0003-2697(88)90512-X</w:t>
      </w:r>
    </w:p>
    <w:p w14:paraId="10ABD2E5" w14:textId="77777777" w:rsidR="00475A1B" w:rsidRPr="00475A1B" w:rsidRDefault="00475A1B" w:rsidP="007F4C3E">
      <w:pPr>
        <w:pStyle w:val="a8"/>
        <w:spacing w:line="240" w:lineRule="auto"/>
        <w:ind w:left="284" w:hanging="284"/>
      </w:pPr>
      <w:r w:rsidRPr="00475A1B">
        <w:t xml:space="preserve">Filipčev, B., Pojić, M., Šimurina, O., Mišan, A., &amp; Mandić, A. (2021a). Psyllium as an improver in gluten-free breads: Effect on volume, crumb texture, moisture binding and staling kinetics. </w:t>
      </w:r>
      <w:r w:rsidRPr="00475A1B">
        <w:rPr>
          <w:i/>
          <w:iCs/>
        </w:rPr>
        <w:t>LWT</w:t>
      </w:r>
      <w:r w:rsidRPr="00475A1B">
        <w:t xml:space="preserve">, </w:t>
      </w:r>
      <w:r w:rsidRPr="00475A1B">
        <w:rPr>
          <w:i/>
          <w:iCs/>
        </w:rPr>
        <w:t>151</w:t>
      </w:r>
      <w:r w:rsidRPr="00475A1B">
        <w:t>, 112156. https://doi.org/10.1016/j.lwt.2021.112156</w:t>
      </w:r>
    </w:p>
    <w:p w14:paraId="2AC658DC" w14:textId="77777777" w:rsidR="00475A1B" w:rsidRPr="00475A1B" w:rsidRDefault="00475A1B" w:rsidP="007F4C3E">
      <w:pPr>
        <w:pStyle w:val="a8"/>
        <w:spacing w:line="240" w:lineRule="auto"/>
        <w:ind w:left="284" w:hanging="284"/>
      </w:pPr>
      <w:r w:rsidRPr="00475A1B">
        <w:t xml:space="preserve">Filipčev, B., Pojić, M., Šimurina, O., Mišan, A., &amp; Mandić, A. (2021b). Psyllium as an improver in gluten-free breads: Effect on volume, crumb texture, moisture binding and staling kinetics. </w:t>
      </w:r>
      <w:r w:rsidRPr="00475A1B">
        <w:rPr>
          <w:i/>
          <w:iCs/>
        </w:rPr>
        <w:t>LWT</w:t>
      </w:r>
      <w:r w:rsidRPr="00475A1B">
        <w:t xml:space="preserve">, </w:t>
      </w:r>
      <w:r w:rsidRPr="00475A1B">
        <w:rPr>
          <w:i/>
          <w:iCs/>
        </w:rPr>
        <w:t>151</w:t>
      </w:r>
      <w:r w:rsidRPr="00475A1B">
        <w:t>, 112156. https://doi.org/https://doi.org/10.1016/j.lwt.2021.112156</w:t>
      </w:r>
    </w:p>
    <w:p w14:paraId="164BB635" w14:textId="77777777" w:rsidR="00475A1B" w:rsidRPr="00475A1B" w:rsidRDefault="00475A1B" w:rsidP="007F4C3E">
      <w:pPr>
        <w:pStyle w:val="a8"/>
        <w:spacing w:line="240" w:lineRule="auto"/>
        <w:ind w:left="284" w:hanging="284"/>
      </w:pPr>
      <w:r w:rsidRPr="00475A1B">
        <w:t xml:space="preserve">Lyu, K., Guo, X.-N., &amp; Zhu, K.-X. (2023). Effects of water content and resting on rheology and the gluten network formation of Chinese traditional handmade hollow dried noodle dough. </w:t>
      </w:r>
      <w:r w:rsidRPr="00475A1B">
        <w:rPr>
          <w:i/>
          <w:iCs/>
        </w:rPr>
        <w:t>Journal of Cereal Science</w:t>
      </w:r>
      <w:r w:rsidRPr="00475A1B">
        <w:t xml:space="preserve">, </w:t>
      </w:r>
      <w:r w:rsidRPr="00475A1B">
        <w:rPr>
          <w:i/>
          <w:iCs/>
        </w:rPr>
        <w:t>114</w:t>
      </w:r>
      <w:r w:rsidRPr="00475A1B">
        <w:t>, 103804. https://doi.org/10.1016/j.jcs.2023.103804</w:t>
      </w:r>
    </w:p>
    <w:p w14:paraId="7199D143" w14:textId="77777777" w:rsidR="00475A1B" w:rsidRPr="00475A1B" w:rsidRDefault="00475A1B" w:rsidP="007F4C3E">
      <w:pPr>
        <w:pStyle w:val="a8"/>
        <w:spacing w:line="240" w:lineRule="auto"/>
        <w:ind w:left="284" w:hanging="284"/>
      </w:pPr>
      <w:r w:rsidRPr="00475A1B">
        <w:t xml:space="preserve">Yang, Y., Guan, E., Zhang, T., Li, M., &amp; Bian, K. (2019). Influence of water addition methods on water mobility characterization and rheological properties of wheat flour dough. </w:t>
      </w:r>
      <w:r w:rsidRPr="00475A1B">
        <w:rPr>
          <w:i/>
          <w:iCs/>
        </w:rPr>
        <w:t>Journal of Cereal Science</w:t>
      </w:r>
      <w:r w:rsidRPr="00475A1B">
        <w:t xml:space="preserve">, </w:t>
      </w:r>
      <w:r w:rsidRPr="00475A1B">
        <w:rPr>
          <w:i/>
          <w:iCs/>
        </w:rPr>
        <w:t>89</w:t>
      </w:r>
      <w:r w:rsidRPr="00475A1B">
        <w:t>, 102791. https://doi.org/10.1016/j.jcs.2019.102791</w:t>
      </w:r>
    </w:p>
    <w:p w14:paraId="34FDF884" w14:textId="77777777" w:rsidR="00475A1B" w:rsidRPr="00475A1B" w:rsidRDefault="00475A1B" w:rsidP="007F4C3E">
      <w:pPr>
        <w:pStyle w:val="a8"/>
        <w:spacing w:line="240" w:lineRule="auto"/>
        <w:ind w:left="284" w:hanging="284"/>
      </w:pPr>
      <w:r w:rsidRPr="00475A1B">
        <w:t xml:space="preserve">Zhang, Q., Li, Z., Qi, Y., Hassane Hamadou, A., &amp; Xu, B. (2024). Unveiling the quality formation mechanism of hand-stretched dried noodle based on typical flour and processing technology. </w:t>
      </w:r>
      <w:r w:rsidRPr="00475A1B">
        <w:rPr>
          <w:i/>
          <w:iCs/>
        </w:rPr>
        <w:t>Journal of Cereal Science</w:t>
      </w:r>
      <w:r w:rsidRPr="00475A1B">
        <w:t xml:space="preserve">, </w:t>
      </w:r>
      <w:r w:rsidRPr="00475A1B">
        <w:rPr>
          <w:i/>
          <w:iCs/>
        </w:rPr>
        <w:t>118</w:t>
      </w:r>
      <w:r w:rsidRPr="00475A1B">
        <w:t>, 103964. https://doi.org/10.1016/j.jcs.2024.103964</w:t>
      </w:r>
    </w:p>
    <w:p w14:paraId="19C4FC68" w14:textId="2318BE70" w:rsidR="004628D2" w:rsidRPr="002720FA" w:rsidRDefault="00A22D4B" w:rsidP="002720FA">
      <w:pPr>
        <w:pStyle w:val="CETReferencetext"/>
        <w:spacing w:line="240" w:lineRule="auto"/>
        <w:rPr>
          <w:lang w:val="en-US"/>
        </w:rPr>
      </w:pPr>
      <w:r w:rsidRPr="00A22D4B">
        <w:rPr>
          <w:lang w:val="en-US"/>
        </w:rPr>
        <w:fldChar w:fldCharType="end"/>
      </w:r>
      <w:r w:rsidR="00E8271B" w:rsidRPr="00E8271B">
        <w:t>Coțovanu, I., &amp; Mironeasa, S. (2021). Buckwheat Seeds: Impact of Milling Fractions and Addition Level on Wheat Bread Dough Rheology. </w:t>
      </w:r>
      <w:r w:rsidR="00E8271B" w:rsidRPr="00E8271B">
        <w:rPr>
          <w:i/>
          <w:iCs/>
        </w:rPr>
        <w:t>Applied Sciences</w:t>
      </w:r>
      <w:r w:rsidR="00E8271B" w:rsidRPr="00E8271B">
        <w:t>, </w:t>
      </w:r>
      <w:r w:rsidR="00E8271B" w:rsidRPr="00E8271B">
        <w:rPr>
          <w:i/>
          <w:iCs/>
        </w:rPr>
        <w:t>11</w:t>
      </w:r>
      <w:r w:rsidR="00E8271B" w:rsidRPr="00E8271B">
        <w:t xml:space="preserve">(4), </w:t>
      </w:r>
      <w:r w:rsidR="002720FA">
        <w:t>1731</w:t>
      </w:r>
    </w:p>
    <w:sectPr w:rsidR="004628D2" w:rsidRPr="002720FA"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EF0E3" w14:textId="77777777" w:rsidR="00D82AB1" w:rsidRDefault="00D82AB1" w:rsidP="004F5E36">
      <w:r>
        <w:separator/>
      </w:r>
    </w:p>
  </w:endnote>
  <w:endnote w:type="continuationSeparator" w:id="0">
    <w:p w14:paraId="4AF6E5A9" w14:textId="77777777" w:rsidR="00D82AB1" w:rsidRDefault="00D82AB1"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Arial MT">
    <w:altName w:val="Arial"/>
    <w:charset w:val="01"/>
    <w:family w:val="swiss"/>
    <w:pitch w:val="variable"/>
  </w:font>
  <w:font w:name="Aptos">
    <w:altName w:val="Arial"/>
    <w:charset w:val="00"/>
    <w:family w:val="swiss"/>
    <w:pitch w:val="variable"/>
    <w:sig w:usb0="20000287" w:usb1="00000003" w:usb2="00000000" w:usb3="00000000" w:csb0="0000019F" w:csb1="00000000"/>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8B339C" w14:textId="77777777" w:rsidR="00D82AB1" w:rsidRDefault="00D82AB1" w:rsidP="004F5E36">
      <w:r>
        <w:separator/>
      </w:r>
    </w:p>
  </w:footnote>
  <w:footnote w:type="continuationSeparator" w:id="0">
    <w:p w14:paraId="530A9FF8" w14:textId="77777777" w:rsidR="00D82AB1" w:rsidRDefault="00D82AB1" w:rsidP="004F5E3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2836" w:firstLine="0"/>
      </w:pPr>
      <w:rPr>
        <w:rFonts w:hint="default"/>
      </w:rPr>
    </w:lvl>
    <w:lvl w:ilvl="2">
      <w:start w:val="1"/>
      <w:numFmt w:val="decimal"/>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7"/>
  </w:num>
  <w:num w:numId="13">
    <w:abstractNumId w:val="12"/>
  </w:num>
  <w:num w:numId="14">
    <w:abstractNumId w:val="18"/>
  </w:num>
  <w:num w:numId="15">
    <w:abstractNumId w:val="20"/>
  </w:num>
  <w:num w:numId="16">
    <w:abstractNumId w:val="19"/>
  </w:num>
  <w:num w:numId="17">
    <w:abstractNumId w:val="11"/>
  </w:num>
  <w:num w:numId="18">
    <w:abstractNumId w:val="12"/>
    <w:lvlOverride w:ilvl="0">
      <w:startOverride w:val="1"/>
    </w:lvlOverride>
  </w:num>
  <w:num w:numId="19">
    <w:abstractNumId w:val="16"/>
  </w:num>
  <w:num w:numId="20">
    <w:abstractNumId w:val="15"/>
  </w:num>
  <w:num w:numId="21">
    <w:abstractNumId w:val="1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24E77"/>
    <w:rsid w:val="0003148D"/>
    <w:rsid w:val="00031EEC"/>
    <w:rsid w:val="00051566"/>
    <w:rsid w:val="000562A9"/>
    <w:rsid w:val="00062A9A"/>
    <w:rsid w:val="00065058"/>
    <w:rsid w:val="00075BB6"/>
    <w:rsid w:val="00086C39"/>
    <w:rsid w:val="000A03B2"/>
    <w:rsid w:val="000C280B"/>
    <w:rsid w:val="000D0268"/>
    <w:rsid w:val="000D060A"/>
    <w:rsid w:val="000D34BE"/>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31DF"/>
    <w:rsid w:val="00134DE4"/>
    <w:rsid w:val="0014034D"/>
    <w:rsid w:val="00140FE3"/>
    <w:rsid w:val="00144D16"/>
    <w:rsid w:val="00150BE2"/>
    <w:rsid w:val="00150E59"/>
    <w:rsid w:val="00152DE3"/>
    <w:rsid w:val="00164CF9"/>
    <w:rsid w:val="001667A6"/>
    <w:rsid w:val="0018211F"/>
    <w:rsid w:val="00184AD6"/>
    <w:rsid w:val="001A4AF7"/>
    <w:rsid w:val="001B0349"/>
    <w:rsid w:val="001B1E93"/>
    <w:rsid w:val="001B65C1"/>
    <w:rsid w:val="001B768A"/>
    <w:rsid w:val="001C260F"/>
    <w:rsid w:val="001C33F1"/>
    <w:rsid w:val="001C684B"/>
    <w:rsid w:val="001D0CFB"/>
    <w:rsid w:val="001D21AF"/>
    <w:rsid w:val="001D42A8"/>
    <w:rsid w:val="001D53FC"/>
    <w:rsid w:val="001F42A5"/>
    <w:rsid w:val="001F7B9D"/>
    <w:rsid w:val="00201C93"/>
    <w:rsid w:val="002212E5"/>
    <w:rsid w:val="002224B4"/>
    <w:rsid w:val="0022314C"/>
    <w:rsid w:val="002447EF"/>
    <w:rsid w:val="00251550"/>
    <w:rsid w:val="00263B05"/>
    <w:rsid w:val="002720FA"/>
    <w:rsid w:val="0027221A"/>
    <w:rsid w:val="00275B61"/>
    <w:rsid w:val="00280FAF"/>
    <w:rsid w:val="00282656"/>
    <w:rsid w:val="00296B83"/>
    <w:rsid w:val="002A2D4A"/>
    <w:rsid w:val="002B4015"/>
    <w:rsid w:val="002B78CE"/>
    <w:rsid w:val="002C2FB6"/>
    <w:rsid w:val="002C40FF"/>
    <w:rsid w:val="002E5FA7"/>
    <w:rsid w:val="002F3309"/>
    <w:rsid w:val="003008CE"/>
    <w:rsid w:val="003009B7"/>
    <w:rsid w:val="00300E56"/>
    <w:rsid w:val="0030152C"/>
    <w:rsid w:val="0030469C"/>
    <w:rsid w:val="00314578"/>
    <w:rsid w:val="00321CA6"/>
    <w:rsid w:val="00323763"/>
    <w:rsid w:val="00323C5F"/>
    <w:rsid w:val="00334C09"/>
    <w:rsid w:val="0036166B"/>
    <w:rsid w:val="003723D4"/>
    <w:rsid w:val="00381905"/>
    <w:rsid w:val="00384CC8"/>
    <w:rsid w:val="003871FD"/>
    <w:rsid w:val="003915B9"/>
    <w:rsid w:val="003A1E30"/>
    <w:rsid w:val="003A2829"/>
    <w:rsid w:val="003A7D1C"/>
    <w:rsid w:val="003B304B"/>
    <w:rsid w:val="003B3146"/>
    <w:rsid w:val="003D1134"/>
    <w:rsid w:val="003D1E02"/>
    <w:rsid w:val="003F015E"/>
    <w:rsid w:val="00400414"/>
    <w:rsid w:val="0041446B"/>
    <w:rsid w:val="0043593B"/>
    <w:rsid w:val="0044071E"/>
    <w:rsid w:val="0044329C"/>
    <w:rsid w:val="00453E24"/>
    <w:rsid w:val="00457456"/>
    <w:rsid w:val="004577FE"/>
    <w:rsid w:val="00457B9C"/>
    <w:rsid w:val="0046164A"/>
    <w:rsid w:val="004628D2"/>
    <w:rsid w:val="00462DCD"/>
    <w:rsid w:val="004648AD"/>
    <w:rsid w:val="004703A9"/>
    <w:rsid w:val="00475A1B"/>
    <w:rsid w:val="004760DE"/>
    <w:rsid w:val="004763D7"/>
    <w:rsid w:val="00485B38"/>
    <w:rsid w:val="0049442F"/>
    <w:rsid w:val="004A004E"/>
    <w:rsid w:val="004A04EF"/>
    <w:rsid w:val="004A24CF"/>
    <w:rsid w:val="004A5E57"/>
    <w:rsid w:val="004C194F"/>
    <w:rsid w:val="004C3D1D"/>
    <w:rsid w:val="004C3D84"/>
    <w:rsid w:val="004C7913"/>
    <w:rsid w:val="004E4DD6"/>
    <w:rsid w:val="004F5E36"/>
    <w:rsid w:val="00507B47"/>
    <w:rsid w:val="00507BEF"/>
    <w:rsid w:val="00507CC9"/>
    <w:rsid w:val="005119A5"/>
    <w:rsid w:val="00523B3D"/>
    <w:rsid w:val="005246C2"/>
    <w:rsid w:val="005278B7"/>
    <w:rsid w:val="00532016"/>
    <w:rsid w:val="005346C8"/>
    <w:rsid w:val="00542361"/>
    <w:rsid w:val="00543E7D"/>
    <w:rsid w:val="00547A68"/>
    <w:rsid w:val="005531C9"/>
    <w:rsid w:val="00570C43"/>
    <w:rsid w:val="005744D6"/>
    <w:rsid w:val="00592274"/>
    <w:rsid w:val="005B2110"/>
    <w:rsid w:val="005B61E6"/>
    <w:rsid w:val="005B6F35"/>
    <w:rsid w:val="005C1934"/>
    <w:rsid w:val="005C77E1"/>
    <w:rsid w:val="005D668A"/>
    <w:rsid w:val="005D6A2F"/>
    <w:rsid w:val="005E0592"/>
    <w:rsid w:val="005E1A82"/>
    <w:rsid w:val="005E794C"/>
    <w:rsid w:val="005F0A28"/>
    <w:rsid w:val="005F0E5E"/>
    <w:rsid w:val="00600535"/>
    <w:rsid w:val="00610CD6"/>
    <w:rsid w:val="00620DEE"/>
    <w:rsid w:val="00621F92"/>
    <w:rsid w:val="0062280A"/>
    <w:rsid w:val="006231E1"/>
    <w:rsid w:val="00625639"/>
    <w:rsid w:val="00626499"/>
    <w:rsid w:val="00631B33"/>
    <w:rsid w:val="0064184D"/>
    <w:rsid w:val="006422CC"/>
    <w:rsid w:val="00651D18"/>
    <w:rsid w:val="0065492B"/>
    <w:rsid w:val="00660E3E"/>
    <w:rsid w:val="00662E74"/>
    <w:rsid w:val="00664F9F"/>
    <w:rsid w:val="00680C23"/>
    <w:rsid w:val="00683E23"/>
    <w:rsid w:val="00693766"/>
    <w:rsid w:val="006A3281"/>
    <w:rsid w:val="006B4888"/>
    <w:rsid w:val="006C12A5"/>
    <w:rsid w:val="006C2E45"/>
    <w:rsid w:val="006C359C"/>
    <w:rsid w:val="006C5579"/>
    <w:rsid w:val="006D6E8B"/>
    <w:rsid w:val="006D7209"/>
    <w:rsid w:val="006E737D"/>
    <w:rsid w:val="00701FAF"/>
    <w:rsid w:val="00707DD1"/>
    <w:rsid w:val="00713973"/>
    <w:rsid w:val="00717E92"/>
    <w:rsid w:val="00720A24"/>
    <w:rsid w:val="007262AC"/>
    <w:rsid w:val="00732386"/>
    <w:rsid w:val="0073514D"/>
    <w:rsid w:val="007447F3"/>
    <w:rsid w:val="0075499F"/>
    <w:rsid w:val="007617CC"/>
    <w:rsid w:val="00765DF0"/>
    <w:rsid w:val="007661C8"/>
    <w:rsid w:val="0077098D"/>
    <w:rsid w:val="00785BF9"/>
    <w:rsid w:val="007931FA"/>
    <w:rsid w:val="007A4861"/>
    <w:rsid w:val="007A7BBA"/>
    <w:rsid w:val="007B0C50"/>
    <w:rsid w:val="007B48F9"/>
    <w:rsid w:val="007C078C"/>
    <w:rsid w:val="007C1A43"/>
    <w:rsid w:val="007D0951"/>
    <w:rsid w:val="007F27C8"/>
    <w:rsid w:val="007F4C3E"/>
    <w:rsid w:val="007F7788"/>
    <w:rsid w:val="0080013E"/>
    <w:rsid w:val="00807DC6"/>
    <w:rsid w:val="00813288"/>
    <w:rsid w:val="008168FC"/>
    <w:rsid w:val="00830996"/>
    <w:rsid w:val="008314D7"/>
    <w:rsid w:val="008345F1"/>
    <w:rsid w:val="00853B36"/>
    <w:rsid w:val="00865B07"/>
    <w:rsid w:val="008667EA"/>
    <w:rsid w:val="0087637F"/>
    <w:rsid w:val="00892AD5"/>
    <w:rsid w:val="008A1512"/>
    <w:rsid w:val="008C60C8"/>
    <w:rsid w:val="008D32B9"/>
    <w:rsid w:val="008D433B"/>
    <w:rsid w:val="008D4A16"/>
    <w:rsid w:val="008E209A"/>
    <w:rsid w:val="008E45BC"/>
    <w:rsid w:val="008E566E"/>
    <w:rsid w:val="008F3C93"/>
    <w:rsid w:val="0090161A"/>
    <w:rsid w:val="00901EB6"/>
    <w:rsid w:val="009041F8"/>
    <w:rsid w:val="009046AE"/>
    <w:rsid w:val="00904C62"/>
    <w:rsid w:val="009115F1"/>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76194"/>
    <w:rsid w:val="00992C60"/>
    <w:rsid w:val="00993B84"/>
    <w:rsid w:val="00994615"/>
    <w:rsid w:val="00996483"/>
    <w:rsid w:val="00996F5A"/>
    <w:rsid w:val="009B041A"/>
    <w:rsid w:val="009C37C3"/>
    <w:rsid w:val="009C7C86"/>
    <w:rsid w:val="009D2FF7"/>
    <w:rsid w:val="009E7884"/>
    <w:rsid w:val="009E788A"/>
    <w:rsid w:val="009F0E08"/>
    <w:rsid w:val="009F6A7F"/>
    <w:rsid w:val="00A079AE"/>
    <w:rsid w:val="00A1763D"/>
    <w:rsid w:val="00A17CEC"/>
    <w:rsid w:val="00A22D4B"/>
    <w:rsid w:val="00A26CBB"/>
    <w:rsid w:val="00A27EF0"/>
    <w:rsid w:val="00A42361"/>
    <w:rsid w:val="00A46918"/>
    <w:rsid w:val="00A50B20"/>
    <w:rsid w:val="00A51390"/>
    <w:rsid w:val="00A60D13"/>
    <w:rsid w:val="00A66290"/>
    <w:rsid w:val="00A7223D"/>
    <w:rsid w:val="00A72745"/>
    <w:rsid w:val="00A76EFC"/>
    <w:rsid w:val="00A87D50"/>
    <w:rsid w:val="00A91010"/>
    <w:rsid w:val="00A97F29"/>
    <w:rsid w:val="00AA312B"/>
    <w:rsid w:val="00AA702E"/>
    <w:rsid w:val="00AA7D26"/>
    <w:rsid w:val="00AB0964"/>
    <w:rsid w:val="00AB3A27"/>
    <w:rsid w:val="00AB486F"/>
    <w:rsid w:val="00AB5011"/>
    <w:rsid w:val="00AB6E36"/>
    <w:rsid w:val="00AC7368"/>
    <w:rsid w:val="00AD0278"/>
    <w:rsid w:val="00AD16B9"/>
    <w:rsid w:val="00AD471E"/>
    <w:rsid w:val="00AE377D"/>
    <w:rsid w:val="00AF0EBA"/>
    <w:rsid w:val="00B02C8A"/>
    <w:rsid w:val="00B05894"/>
    <w:rsid w:val="00B17FBD"/>
    <w:rsid w:val="00B315A6"/>
    <w:rsid w:val="00B31813"/>
    <w:rsid w:val="00B33365"/>
    <w:rsid w:val="00B57B36"/>
    <w:rsid w:val="00B57E6F"/>
    <w:rsid w:val="00B8686D"/>
    <w:rsid w:val="00B93F69"/>
    <w:rsid w:val="00BA5061"/>
    <w:rsid w:val="00BB1DDC"/>
    <w:rsid w:val="00BC14E2"/>
    <w:rsid w:val="00BC30C9"/>
    <w:rsid w:val="00BD077D"/>
    <w:rsid w:val="00BE3E58"/>
    <w:rsid w:val="00C01616"/>
    <w:rsid w:val="00C0162B"/>
    <w:rsid w:val="00C068ED"/>
    <w:rsid w:val="00C208E9"/>
    <w:rsid w:val="00C2119A"/>
    <w:rsid w:val="00C22E0C"/>
    <w:rsid w:val="00C345B1"/>
    <w:rsid w:val="00C361B9"/>
    <w:rsid w:val="00C40142"/>
    <w:rsid w:val="00C52C3C"/>
    <w:rsid w:val="00C57182"/>
    <w:rsid w:val="00C57863"/>
    <w:rsid w:val="00C640AF"/>
    <w:rsid w:val="00C655FD"/>
    <w:rsid w:val="00C73489"/>
    <w:rsid w:val="00C75407"/>
    <w:rsid w:val="00C841C6"/>
    <w:rsid w:val="00C870A8"/>
    <w:rsid w:val="00C94434"/>
    <w:rsid w:val="00CA09BA"/>
    <w:rsid w:val="00CA0D75"/>
    <w:rsid w:val="00CA1C95"/>
    <w:rsid w:val="00CA462C"/>
    <w:rsid w:val="00CA5A9C"/>
    <w:rsid w:val="00CB2614"/>
    <w:rsid w:val="00CC4C20"/>
    <w:rsid w:val="00CD3517"/>
    <w:rsid w:val="00CD5FE2"/>
    <w:rsid w:val="00CE7C68"/>
    <w:rsid w:val="00CF4439"/>
    <w:rsid w:val="00D02B4C"/>
    <w:rsid w:val="00D040C4"/>
    <w:rsid w:val="00D20AD1"/>
    <w:rsid w:val="00D2582C"/>
    <w:rsid w:val="00D46B7E"/>
    <w:rsid w:val="00D57C84"/>
    <w:rsid w:val="00D6057D"/>
    <w:rsid w:val="00D71640"/>
    <w:rsid w:val="00D82AB1"/>
    <w:rsid w:val="00D836C5"/>
    <w:rsid w:val="00D84576"/>
    <w:rsid w:val="00DA1399"/>
    <w:rsid w:val="00DA24C6"/>
    <w:rsid w:val="00DA4D7B"/>
    <w:rsid w:val="00DD271C"/>
    <w:rsid w:val="00DE264A"/>
    <w:rsid w:val="00DF5072"/>
    <w:rsid w:val="00E02D18"/>
    <w:rsid w:val="00E041E7"/>
    <w:rsid w:val="00E04A9C"/>
    <w:rsid w:val="00E23CA1"/>
    <w:rsid w:val="00E409A8"/>
    <w:rsid w:val="00E4306D"/>
    <w:rsid w:val="00E47D61"/>
    <w:rsid w:val="00E50C12"/>
    <w:rsid w:val="00E65B91"/>
    <w:rsid w:val="00E7209D"/>
    <w:rsid w:val="00E72EAD"/>
    <w:rsid w:val="00E77223"/>
    <w:rsid w:val="00E8271B"/>
    <w:rsid w:val="00E8528B"/>
    <w:rsid w:val="00E85B94"/>
    <w:rsid w:val="00E978D0"/>
    <w:rsid w:val="00EA4613"/>
    <w:rsid w:val="00EA7F91"/>
    <w:rsid w:val="00EB1523"/>
    <w:rsid w:val="00EB4E36"/>
    <w:rsid w:val="00EC0E49"/>
    <w:rsid w:val="00EC101F"/>
    <w:rsid w:val="00EC1D9F"/>
    <w:rsid w:val="00EC4016"/>
    <w:rsid w:val="00EE0131"/>
    <w:rsid w:val="00EE17B0"/>
    <w:rsid w:val="00EF06D9"/>
    <w:rsid w:val="00EF0982"/>
    <w:rsid w:val="00F126A5"/>
    <w:rsid w:val="00F3049E"/>
    <w:rsid w:val="00F30C64"/>
    <w:rsid w:val="00F32BA2"/>
    <w:rsid w:val="00F32CDB"/>
    <w:rsid w:val="00F3348F"/>
    <w:rsid w:val="00F37280"/>
    <w:rsid w:val="00F41EE4"/>
    <w:rsid w:val="00F53B34"/>
    <w:rsid w:val="00F565FE"/>
    <w:rsid w:val="00F63A70"/>
    <w:rsid w:val="00F63D8C"/>
    <w:rsid w:val="00F7534E"/>
    <w:rsid w:val="00F776B3"/>
    <w:rsid w:val="00F93EDF"/>
    <w:rsid w:val="00FA1802"/>
    <w:rsid w:val="00FA21D0"/>
    <w:rsid w:val="00FA5F5F"/>
    <w:rsid w:val="00FB730C"/>
    <w:rsid w:val="00FB7C02"/>
    <w:rsid w:val="00FC0A5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ind w:left="0"/>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2720FA"/>
    <w:pPr>
      <w:keepNext/>
      <w:suppressAutoHyphens/>
      <w:spacing w:before="120" w:after="120" w:line="240" w:lineRule="auto"/>
      <w:jc w:val="both"/>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2720FA"/>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48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39"/>
    <w:qFormat/>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table" w:styleId="-21">
    <w:name w:val="Grid Table 2 Accent 1"/>
    <w:basedOn w:val="a3"/>
    <w:uiPriority w:val="47"/>
    <w:rsid w:val="008F3C93"/>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1">
    <w:name w:val="List Table 6 Colorful Accent 1"/>
    <w:basedOn w:val="a3"/>
    <w:uiPriority w:val="51"/>
    <w:rsid w:val="008F3C93"/>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3">
    <w:name w:val="List Table 6 Colorful Accent 3"/>
    <w:basedOn w:val="a3"/>
    <w:uiPriority w:val="51"/>
    <w:rsid w:val="008F3C93"/>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23">
    <w:name w:val="List Table 2 Accent 3"/>
    <w:basedOn w:val="a3"/>
    <w:uiPriority w:val="47"/>
    <w:rsid w:val="008F3C93"/>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30">
    <w:name w:val="Grid Table 6 Colorful Accent 3"/>
    <w:basedOn w:val="a3"/>
    <w:uiPriority w:val="51"/>
    <w:rsid w:val="00542361"/>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11">
    <w:name w:val="Grid Table 1 Light Accent 1"/>
    <w:basedOn w:val="a3"/>
    <w:uiPriority w:val="46"/>
    <w:rsid w:val="005C1934"/>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57">
    <w:name w:val="Plain Table 5"/>
    <w:basedOn w:val="a3"/>
    <w:uiPriority w:val="45"/>
    <w:rsid w:val="005C19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33">
    <w:name w:val="List Table 3 Accent 3"/>
    <w:basedOn w:val="a3"/>
    <w:uiPriority w:val="48"/>
    <w:rsid w:val="005C1934"/>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13">
    <w:name w:val="Grid Table 1 Light Accent 3"/>
    <w:basedOn w:val="a3"/>
    <w:uiPriority w:val="46"/>
    <w:rsid w:val="005C1934"/>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58167">
      <w:bodyDiv w:val="1"/>
      <w:marLeft w:val="0"/>
      <w:marRight w:val="0"/>
      <w:marTop w:val="0"/>
      <w:marBottom w:val="0"/>
      <w:divBdr>
        <w:top w:val="none" w:sz="0" w:space="0" w:color="auto"/>
        <w:left w:val="none" w:sz="0" w:space="0" w:color="auto"/>
        <w:bottom w:val="none" w:sz="0" w:space="0" w:color="auto"/>
        <w:right w:val="none" w:sz="0" w:space="0" w:color="auto"/>
      </w:divBdr>
    </w:div>
    <w:div w:id="98257097">
      <w:bodyDiv w:val="1"/>
      <w:marLeft w:val="0"/>
      <w:marRight w:val="0"/>
      <w:marTop w:val="0"/>
      <w:marBottom w:val="0"/>
      <w:divBdr>
        <w:top w:val="none" w:sz="0" w:space="0" w:color="auto"/>
        <w:left w:val="none" w:sz="0" w:space="0" w:color="auto"/>
        <w:bottom w:val="none" w:sz="0" w:space="0" w:color="auto"/>
        <w:right w:val="none" w:sz="0" w:space="0" w:color="auto"/>
      </w:divBdr>
    </w:div>
    <w:div w:id="442265961">
      <w:bodyDiv w:val="1"/>
      <w:marLeft w:val="0"/>
      <w:marRight w:val="0"/>
      <w:marTop w:val="0"/>
      <w:marBottom w:val="0"/>
      <w:divBdr>
        <w:top w:val="none" w:sz="0" w:space="0" w:color="auto"/>
        <w:left w:val="none" w:sz="0" w:space="0" w:color="auto"/>
        <w:bottom w:val="none" w:sz="0" w:space="0" w:color="auto"/>
        <w:right w:val="none" w:sz="0" w:space="0" w:color="auto"/>
      </w:divBdr>
      <w:divsChild>
        <w:div w:id="2009793200">
          <w:marLeft w:val="0"/>
          <w:marRight w:val="0"/>
          <w:marTop w:val="0"/>
          <w:marBottom w:val="0"/>
          <w:divBdr>
            <w:top w:val="none" w:sz="0" w:space="0" w:color="auto"/>
            <w:left w:val="none" w:sz="0" w:space="0" w:color="auto"/>
            <w:bottom w:val="none" w:sz="0" w:space="0" w:color="auto"/>
            <w:right w:val="none" w:sz="0" w:space="0" w:color="auto"/>
          </w:divBdr>
          <w:divsChild>
            <w:div w:id="1410081427">
              <w:marLeft w:val="0"/>
              <w:marRight w:val="0"/>
              <w:marTop w:val="0"/>
              <w:marBottom w:val="0"/>
              <w:divBdr>
                <w:top w:val="none" w:sz="0" w:space="0" w:color="auto"/>
                <w:left w:val="none" w:sz="0" w:space="0" w:color="auto"/>
                <w:bottom w:val="none" w:sz="0" w:space="0" w:color="auto"/>
                <w:right w:val="none" w:sz="0" w:space="0" w:color="auto"/>
              </w:divBdr>
              <w:divsChild>
                <w:div w:id="1800024463">
                  <w:marLeft w:val="0"/>
                  <w:marRight w:val="0"/>
                  <w:marTop w:val="0"/>
                  <w:marBottom w:val="0"/>
                  <w:divBdr>
                    <w:top w:val="none" w:sz="0" w:space="0" w:color="auto"/>
                    <w:left w:val="none" w:sz="0" w:space="0" w:color="auto"/>
                    <w:bottom w:val="none" w:sz="0" w:space="0" w:color="auto"/>
                    <w:right w:val="none" w:sz="0" w:space="0" w:color="auto"/>
                  </w:divBdr>
                  <w:divsChild>
                    <w:div w:id="631597009">
                      <w:marLeft w:val="0"/>
                      <w:marRight w:val="0"/>
                      <w:marTop w:val="0"/>
                      <w:marBottom w:val="0"/>
                      <w:divBdr>
                        <w:top w:val="none" w:sz="0" w:space="0" w:color="auto"/>
                        <w:left w:val="none" w:sz="0" w:space="0" w:color="auto"/>
                        <w:bottom w:val="none" w:sz="0" w:space="0" w:color="auto"/>
                        <w:right w:val="none" w:sz="0" w:space="0" w:color="auto"/>
                      </w:divBdr>
                      <w:divsChild>
                        <w:div w:id="1661303697">
                          <w:marLeft w:val="0"/>
                          <w:marRight w:val="0"/>
                          <w:marTop w:val="0"/>
                          <w:marBottom w:val="0"/>
                          <w:divBdr>
                            <w:top w:val="none" w:sz="0" w:space="0" w:color="auto"/>
                            <w:left w:val="none" w:sz="0" w:space="0" w:color="auto"/>
                            <w:bottom w:val="none" w:sz="0" w:space="0" w:color="auto"/>
                            <w:right w:val="none" w:sz="0" w:space="0" w:color="auto"/>
                          </w:divBdr>
                          <w:divsChild>
                            <w:div w:id="1398475272">
                              <w:marLeft w:val="0"/>
                              <w:marRight w:val="0"/>
                              <w:marTop w:val="0"/>
                              <w:marBottom w:val="0"/>
                              <w:divBdr>
                                <w:top w:val="none" w:sz="0" w:space="0" w:color="auto"/>
                                <w:left w:val="none" w:sz="0" w:space="0" w:color="auto"/>
                                <w:bottom w:val="none" w:sz="0" w:space="0" w:color="auto"/>
                                <w:right w:val="none" w:sz="0" w:space="0" w:color="auto"/>
                              </w:divBdr>
                              <w:divsChild>
                                <w:div w:id="200916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1158519">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327521">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68552761">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596486">
      <w:bodyDiv w:val="1"/>
      <w:marLeft w:val="0"/>
      <w:marRight w:val="0"/>
      <w:marTop w:val="0"/>
      <w:marBottom w:val="0"/>
      <w:divBdr>
        <w:top w:val="none" w:sz="0" w:space="0" w:color="auto"/>
        <w:left w:val="none" w:sz="0" w:space="0" w:color="auto"/>
        <w:bottom w:val="none" w:sz="0" w:space="0" w:color="auto"/>
        <w:right w:val="none" w:sz="0" w:space="0" w:color="auto"/>
      </w:divBdr>
    </w:div>
    <w:div w:id="2006126052">
      <w:bodyDiv w:val="1"/>
      <w:marLeft w:val="0"/>
      <w:marRight w:val="0"/>
      <w:marTop w:val="0"/>
      <w:marBottom w:val="0"/>
      <w:divBdr>
        <w:top w:val="none" w:sz="0" w:space="0" w:color="auto"/>
        <w:left w:val="none" w:sz="0" w:space="0" w:color="auto"/>
        <w:bottom w:val="none" w:sz="0" w:space="0" w:color="auto"/>
        <w:right w:val="none" w:sz="0" w:space="0" w:color="auto"/>
      </w:divBdr>
    </w:div>
    <w:div w:id="2066639965">
      <w:bodyDiv w:val="1"/>
      <w:marLeft w:val="0"/>
      <w:marRight w:val="0"/>
      <w:marTop w:val="0"/>
      <w:marBottom w:val="0"/>
      <w:divBdr>
        <w:top w:val="none" w:sz="0" w:space="0" w:color="auto"/>
        <w:left w:val="none" w:sz="0" w:space="0" w:color="auto"/>
        <w:bottom w:val="none" w:sz="0" w:space="0" w:color="auto"/>
        <w:right w:val="none" w:sz="0" w:space="0" w:color="auto"/>
      </w:divBdr>
    </w:div>
    <w:div w:id="2114010706">
      <w:bodyDiv w:val="1"/>
      <w:marLeft w:val="0"/>
      <w:marRight w:val="0"/>
      <w:marTop w:val="0"/>
      <w:marBottom w:val="0"/>
      <w:divBdr>
        <w:top w:val="none" w:sz="0" w:space="0" w:color="auto"/>
        <w:left w:val="none" w:sz="0" w:space="0" w:color="auto"/>
        <w:bottom w:val="none" w:sz="0" w:space="0" w:color="auto"/>
        <w:right w:val="none" w:sz="0" w:space="0" w:color="auto"/>
      </w:divBdr>
      <w:divsChild>
        <w:div w:id="171919622">
          <w:marLeft w:val="0"/>
          <w:marRight w:val="0"/>
          <w:marTop w:val="0"/>
          <w:marBottom w:val="0"/>
          <w:divBdr>
            <w:top w:val="none" w:sz="0" w:space="0" w:color="auto"/>
            <w:left w:val="none" w:sz="0" w:space="0" w:color="auto"/>
            <w:bottom w:val="none" w:sz="0" w:space="0" w:color="auto"/>
            <w:right w:val="none" w:sz="0" w:space="0" w:color="auto"/>
          </w:divBdr>
          <w:divsChild>
            <w:div w:id="823859585">
              <w:marLeft w:val="0"/>
              <w:marRight w:val="0"/>
              <w:marTop w:val="0"/>
              <w:marBottom w:val="0"/>
              <w:divBdr>
                <w:top w:val="none" w:sz="0" w:space="0" w:color="auto"/>
                <w:left w:val="none" w:sz="0" w:space="0" w:color="auto"/>
                <w:bottom w:val="none" w:sz="0" w:space="0" w:color="auto"/>
                <w:right w:val="none" w:sz="0" w:space="0" w:color="auto"/>
              </w:divBdr>
              <w:divsChild>
                <w:div w:id="1372654470">
                  <w:marLeft w:val="0"/>
                  <w:marRight w:val="0"/>
                  <w:marTop w:val="0"/>
                  <w:marBottom w:val="0"/>
                  <w:divBdr>
                    <w:top w:val="none" w:sz="0" w:space="0" w:color="auto"/>
                    <w:left w:val="none" w:sz="0" w:space="0" w:color="auto"/>
                    <w:bottom w:val="none" w:sz="0" w:space="0" w:color="auto"/>
                    <w:right w:val="none" w:sz="0" w:space="0" w:color="auto"/>
                  </w:divBdr>
                  <w:divsChild>
                    <w:div w:id="575239792">
                      <w:marLeft w:val="0"/>
                      <w:marRight w:val="0"/>
                      <w:marTop w:val="0"/>
                      <w:marBottom w:val="0"/>
                      <w:divBdr>
                        <w:top w:val="none" w:sz="0" w:space="0" w:color="auto"/>
                        <w:left w:val="none" w:sz="0" w:space="0" w:color="auto"/>
                        <w:bottom w:val="none" w:sz="0" w:space="0" w:color="auto"/>
                        <w:right w:val="none" w:sz="0" w:space="0" w:color="auto"/>
                      </w:divBdr>
                      <w:divsChild>
                        <w:div w:id="970400334">
                          <w:marLeft w:val="0"/>
                          <w:marRight w:val="0"/>
                          <w:marTop w:val="0"/>
                          <w:marBottom w:val="0"/>
                          <w:divBdr>
                            <w:top w:val="none" w:sz="0" w:space="0" w:color="auto"/>
                            <w:left w:val="none" w:sz="0" w:space="0" w:color="auto"/>
                            <w:bottom w:val="none" w:sz="0" w:space="0" w:color="auto"/>
                            <w:right w:val="none" w:sz="0" w:space="0" w:color="auto"/>
                          </w:divBdr>
                          <w:divsChild>
                            <w:div w:id="673189010">
                              <w:marLeft w:val="0"/>
                              <w:marRight w:val="0"/>
                              <w:marTop w:val="0"/>
                              <w:marBottom w:val="0"/>
                              <w:divBdr>
                                <w:top w:val="none" w:sz="0" w:space="0" w:color="auto"/>
                                <w:left w:val="none" w:sz="0" w:space="0" w:color="auto"/>
                                <w:bottom w:val="none" w:sz="0" w:space="0" w:color="auto"/>
                                <w:right w:val="none" w:sz="0" w:space="0" w:color="auto"/>
                              </w:divBdr>
                              <w:divsChild>
                                <w:div w:id="74711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midazamatov03@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andfonline.com/author/Djakhangirov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Comopsite flour</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Лист1!$A$2:$A$14</c:f>
              <c:numCache>
                <c:formatCode>General</c:formatCode>
                <c:ptCount val="13"/>
                <c:pt idx="0">
                  <c:v>30</c:v>
                </c:pt>
                <c:pt idx="1">
                  <c:v>45</c:v>
                </c:pt>
                <c:pt idx="2">
                  <c:v>60</c:v>
                </c:pt>
                <c:pt idx="3">
                  <c:v>75</c:v>
                </c:pt>
                <c:pt idx="4">
                  <c:v>90</c:v>
                </c:pt>
                <c:pt idx="5">
                  <c:v>105</c:v>
                </c:pt>
                <c:pt idx="6">
                  <c:v>120</c:v>
                </c:pt>
                <c:pt idx="7">
                  <c:v>135</c:v>
                </c:pt>
                <c:pt idx="8">
                  <c:v>150</c:v>
                </c:pt>
                <c:pt idx="9">
                  <c:v>165</c:v>
                </c:pt>
                <c:pt idx="10">
                  <c:v>180</c:v>
                </c:pt>
                <c:pt idx="11">
                  <c:v>195</c:v>
                </c:pt>
                <c:pt idx="12">
                  <c:v>210</c:v>
                </c:pt>
              </c:numCache>
            </c:numRef>
          </c:cat>
          <c:val>
            <c:numRef>
              <c:f>Лист1!$B$2:$B$14</c:f>
              <c:numCache>
                <c:formatCode>General</c:formatCode>
                <c:ptCount val="13"/>
                <c:pt idx="0">
                  <c:v>150</c:v>
                </c:pt>
                <c:pt idx="1">
                  <c:v>135</c:v>
                </c:pt>
                <c:pt idx="2">
                  <c:v>118</c:v>
                </c:pt>
                <c:pt idx="3">
                  <c:v>104</c:v>
                </c:pt>
                <c:pt idx="4">
                  <c:v>100</c:v>
                </c:pt>
                <c:pt idx="5">
                  <c:v>90</c:v>
                </c:pt>
                <c:pt idx="6">
                  <c:v>82</c:v>
                </c:pt>
                <c:pt idx="7">
                  <c:v>50</c:v>
                </c:pt>
                <c:pt idx="8">
                  <c:v>0</c:v>
                </c:pt>
              </c:numCache>
            </c:numRef>
          </c:val>
          <c:smooth val="0"/>
          <c:extLst>
            <c:ext xmlns:c16="http://schemas.microsoft.com/office/drawing/2014/chart" uri="{C3380CC4-5D6E-409C-BE32-E72D297353CC}">
              <c16:uniqueId val="{00000000-3D4E-4F48-91F7-DB5AE7BB36F0}"/>
            </c:ext>
          </c:extLst>
        </c:ser>
        <c:ser>
          <c:idx val="1"/>
          <c:order val="1"/>
          <c:tx>
            <c:strRef>
              <c:f>Лист1!$C$1</c:f>
              <c:strCache>
                <c:ptCount val="1"/>
                <c:pt idx="0">
                  <c:v>Control sample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Лист1!$A$2:$A$14</c:f>
              <c:numCache>
                <c:formatCode>General</c:formatCode>
                <c:ptCount val="13"/>
                <c:pt idx="0">
                  <c:v>30</c:v>
                </c:pt>
                <c:pt idx="1">
                  <c:v>45</c:v>
                </c:pt>
                <c:pt idx="2">
                  <c:v>60</c:v>
                </c:pt>
                <c:pt idx="3">
                  <c:v>75</c:v>
                </c:pt>
                <c:pt idx="4">
                  <c:v>90</c:v>
                </c:pt>
                <c:pt idx="5">
                  <c:v>105</c:v>
                </c:pt>
                <c:pt idx="6">
                  <c:v>120</c:v>
                </c:pt>
                <c:pt idx="7">
                  <c:v>135</c:v>
                </c:pt>
                <c:pt idx="8">
                  <c:v>150</c:v>
                </c:pt>
                <c:pt idx="9">
                  <c:v>165</c:v>
                </c:pt>
                <c:pt idx="10">
                  <c:v>180</c:v>
                </c:pt>
                <c:pt idx="11">
                  <c:v>195</c:v>
                </c:pt>
                <c:pt idx="12">
                  <c:v>210</c:v>
                </c:pt>
              </c:numCache>
            </c:numRef>
          </c:cat>
          <c:val>
            <c:numRef>
              <c:f>Лист1!$C$2:$C$14</c:f>
              <c:numCache>
                <c:formatCode>General</c:formatCode>
                <c:ptCount val="13"/>
                <c:pt idx="0">
                  <c:v>200</c:v>
                </c:pt>
                <c:pt idx="1">
                  <c:v>180</c:v>
                </c:pt>
                <c:pt idx="2">
                  <c:v>165</c:v>
                </c:pt>
                <c:pt idx="3">
                  <c:v>143</c:v>
                </c:pt>
                <c:pt idx="4">
                  <c:v>120</c:v>
                </c:pt>
                <c:pt idx="5">
                  <c:v>105</c:v>
                </c:pt>
                <c:pt idx="6">
                  <c:v>50</c:v>
                </c:pt>
                <c:pt idx="7">
                  <c:v>30</c:v>
                </c:pt>
                <c:pt idx="8">
                  <c:v>20</c:v>
                </c:pt>
                <c:pt idx="9">
                  <c:v>10</c:v>
                </c:pt>
                <c:pt idx="10">
                  <c:v>5</c:v>
                </c:pt>
                <c:pt idx="11">
                  <c:v>0</c:v>
                </c:pt>
              </c:numCache>
            </c:numRef>
          </c:val>
          <c:smooth val="0"/>
          <c:extLst>
            <c:ext xmlns:c16="http://schemas.microsoft.com/office/drawing/2014/chart" uri="{C3380CC4-5D6E-409C-BE32-E72D297353CC}">
              <c16:uniqueId val="{00000001-3D4E-4F48-91F7-DB5AE7BB36F0}"/>
            </c:ext>
          </c:extLst>
        </c:ser>
        <c:dLbls>
          <c:showLegendKey val="0"/>
          <c:showVal val="0"/>
          <c:showCatName val="0"/>
          <c:showSerName val="0"/>
          <c:showPercent val="0"/>
          <c:showBubbleSize val="0"/>
        </c:dLbls>
        <c:marker val="1"/>
        <c:smooth val="0"/>
        <c:axId val="1104936031"/>
        <c:axId val="1104923551"/>
      </c:lineChart>
      <c:catAx>
        <c:axId val="110493603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second</a:t>
                </a:r>
                <a:endParaRPr lang="ru-RU"/>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04923551"/>
        <c:crosses val="autoZero"/>
        <c:auto val="1"/>
        <c:lblAlgn val="ctr"/>
        <c:lblOffset val="100"/>
        <c:noMultiLvlLbl val="0"/>
      </c:catAx>
      <c:valAx>
        <c:axId val="110492355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Loading force, g</a:t>
                </a:r>
                <a:endParaRPr lang="ru-R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049360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4EA4C-C3F4-4DCC-BD4A-5E0D948B1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6</Pages>
  <Words>5137</Words>
  <Characters>29287</Characters>
  <Application>Microsoft Office Word</Application>
  <DocSecurity>0</DocSecurity>
  <Lines>244</Lines>
  <Paragraphs>68</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34356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User</cp:lastModifiedBy>
  <cp:revision>52</cp:revision>
  <cp:lastPrinted>2015-05-12T18:31:00Z</cp:lastPrinted>
  <dcterms:created xsi:type="dcterms:W3CDTF">2026-02-10T10:00:00Z</dcterms:created>
  <dcterms:modified xsi:type="dcterms:W3CDTF">2026-08-26T16:40:00Z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zotero-version="9.0.1"&gt;&lt;session id="JFFCGSH4"/&gt;&lt;style id="http://www.zotero.org/styles/apa" locale="ru-RU" hasBibliography="1" bibliographyStyleHasBeenSet="1"/&gt;&lt;prefs&gt;&lt;pref name="fieldType" value="Field"/&gt;&lt;pref name="storeReferences</vt:lpwstr>
  </property>
  <property fmtid="{D5CDD505-2E9C-101B-9397-08002B2CF9AE}" pid="3" name="ZOTERO_PREF_2">
    <vt:lpwstr>" value="true"/&gt;&lt;/prefs&gt;&lt;/data&gt;</vt:lpwstr>
  </property>
</Properties>
</file>