
<file path=[Content_Types].xml><?xml version="1.0" encoding="utf-8"?>
<Types xmlns="http://schemas.openxmlformats.org/package/2006/content-types">
  <Default Extension="jpeg" ContentType="image/jpe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bottom w:val="single" w:sz="4" w:space="0" w:color="auto"/>
        </w:tblBorders>
        <w:tblLook w:val="01E0" w:firstRow="1" w:lastRow="1" w:firstColumn="1" w:lastColumn="1" w:noHBand="0" w:noVBand="0"/>
      </w:tblPr>
      <w:tblGrid>
        <w:gridCol w:w="6940"/>
        <w:gridCol w:w="1842"/>
      </w:tblGrid>
      <w:tr w:rsidR="000A03B2" w:rsidRPr="008413CF" w14:paraId="2A131A54" w14:textId="77777777" w:rsidTr="00DE264A">
        <w:trPr>
          <w:trHeight w:val="852"/>
          <w:jc w:val="center"/>
        </w:trPr>
        <w:tc>
          <w:tcPr>
            <w:tcW w:w="6946" w:type="dxa"/>
            <w:vMerge w:val="restart"/>
            <w:tcBorders>
              <w:right w:val="single" w:sz="4" w:space="0" w:color="auto"/>
            </w:tcBorders>
          </w:tcPr>
          <w:p w14:paraId="38C3D2BA" w14:textId="6F35558D" w:rsidR="000A03B2" w:rsidRPr="008413CF" w:rsidRDefault="001944A1" w:rsidP="00DE264A">
            <w:pPr>
              <w:tabs>
                <w:tab w:val="left" w:pos="-108"/>
              </w:tabs>
              <w:ind w:left="-108"/>
              <w:jc w:val="left"/>
              <w:rPr>
                <w:rFonts w:cs="Arial"/>
                <w:b/>
                <w:bCs/>
                <w:i/>
                <w:iCs/>
                <w:color w:val="000066"/>
                <w:sz w:val="12"/>
                <w:szCs w:val="12"/>
                <w:lang w:eastAsia="it-IT"/>
              </w:rPr>
            </w:pPr>
            <w:bookmarkStart w:id="0" w:name="_Hlk145068772"/>
            <w:r>
              <w:rPr>
                <w:rFonts w:ascii="AdvP6960" w:hAnsi="AdvP6960" w:cs="AdvP6960"/>
                <w:color w:val="241F20"/>
                <w:szCs w:val="18"/>
                <w:lang w:eastAsia="it-IT"/>
              </w:rPr>
              <w:t xml:space="preserve"> </w:t>
            </w:r>
            <w:r w:rsidR="000A03B2" w:rsidRPr="008413CF">
              <w:rPr>
                <w:rFonts w:ascii="AdvP6960" w:hAnsi="AdvP6960" w:cs="AdvP6960"/>
                <w:noProof/>
                <w:color w:val="241F20"/>
                <w:szCs w:val="18"/>
                <w:lang w:eastAsia="it-IT"/>
              </w:rPr>
              <w:drawing>
                <wp:inline distT="0" distB="0" distL="0" distR="0" wp14:anchorId="02B7C3D3" wp14:editId="5EE03112">
                  <wp:extent cx="640080" cy="373380"/>
                  <wp:effectExtent l="0" t="0" r="7620" b="7620"/>
                  <wp:docPr id="5" name="Immagine 5" descr="ce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et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373380"/>
                          </a:xfrm>
                          <a:prstGeom prst="rect">
                            <a:avLst/>
                          </a:prstGeom>
                          <a:noFill/>
                          <a:ln>
                            <a:noFill/>
                          </a:ln>
                        </pic:spPr>
                      </pic:pic>
                    </a:graphicData>
                  </a:graphic>
                </wp:inline>
              </w:drawing>
            </w:r>
            <w:r w:rsidR="000A03B2" w:rsidRPr="008413CF">
              <w:rPr>
                <w:rFonts w:ascii="AdvP6960" w:hAnsi="AdvP6960" w:cs="AdvP6960"/>
                <w:color w:val="241F20"/>
                <w:szCs w:val="18"/>
                <w:lang w:eastAsia="it-IT"/>
              </w:rPr>
              <w:t xml:space="preserve"> </w:t>
            </w:r>
            <w:r w:rsidR="000A03B2" w:rsidRPr="008413CF">
              <w:rPr>
                <w:rFonts w:cs="Arial"/>
                <w:b/>
                <w:bCs/>
                <w:i/>
                <w:iCs/>
                <w:color w:val="000066"/>
                <w:sz w:val="24"/>
                <w:szCs w:val="24"/>
                <w:lang w:eastAsia="it-IT"/>
              </w:rPr>
              <w:t>CHEMICAL ENGINEERING</w:t>
            </w:r>
            <w:r w:rsidR="000A03B2" w:rsidRPr="008413CF">
              <w:rPr>
                <w:rFonts w:cs="Arial"/>
                <w:b/>
                <w:bCs/>
                <w:i/>
                <w:iCs/>
                <w:color w:val="0033FF"/>
                <w:sz w:val="24"/>
                <w:szCs w:val="24"/>
                <w:lang w:eastAsia="it-IT"/>
              </w:rPr>
              <w:t xml:space="preserve"> </w:t>
            </w:r>
            <w:r w:rsidR="000A03B2" w:rsidRPr="008413CF">
              <w:rPr>
                <w:rFonts w:cs="Arial"/>
                <w:b/>
                <w:bCs/>
                <w:i/>
                <w:iCs/>
                <w:color w:val="666666"/>
                <w:sz w:val="24"/>
                <w:szCs w:val="24"/>
                <w:lang w:eastAsia="it-IT"/>
              </w:rPr>
              <w:t>TRANSACTIONS</w:t>
            </w:r>
            <w:r w:rsidR="000A03B2" w:rsidRPr="008413CF">
              <w:rPr>
                <w:color w:val="333333"/>
                <w:sz w:val="24"/>
                <w:szCs w:val="24"/>
                <w:lang w:eastAsia="it-IT"/>
              </w:rPr>
              <w:t xml:space="preserve"> </w:t>
            </w:r>
            <w:r w:rsidR="000A03B2" w:rsidRPr="008413CF">
              <w:rPr>
                <w:rFonts w:cs="Arial"/>
                <w:b/>
                <w:bCs/>
                <w:i/>
                <w:iCs/>
                <w:color w:val="000066"/>
                <w:sz w:val="27"/>
                <w:szCs w:val="27"/>
                <w:lang w:eastAsia="it-IT"/>
              </w:rPr>
              <w:br/>
            </w:r>
          </w:p>
          <w:p w14:paraId="4B780582" w14:textId="753620B8" w:rsidR="000A03B2" w:rsidRPr="008413CF" w:rsidRDefault="00A76EFC" w:rsidP="001D21AF">
            <w:pPr>
              <w:tabs>
                <w:tab w:val="left" w:pos="-108"/>
              </w:tabs>
              <w:ind w:left="-108"/>
              <w:rPr>
                <w:rFonts w:cs="Arial"/>
                <w:b/>
                <w:bCs/>
                <w:i/>
                <w:iCs/>
                <w:color w:val="000066"/>
                <w:sz w:val="22"/>
                <w:szCs w:val="22"/>
                <w:lang w:eastAsia="it-IT"/>
              </w:rPr>
            </w:pPr>
            <w:r w:rsidRPr="008413CF">
              <w:rPr>
                <w:rFonts w:cs="Arial"/>
                <w:b/>
                <w:bCs/>
                <w:i/>
                <w:iCs/>
                <w:color w:val="000066"/>
                <w:sz w:val="22"/>
                <w:szCs w:val="22"/>
                <w:lang w:eastAsia="it-IT"/>
              </w:rPr>
              <w:t>VOL.</w:t>
            </w:r>
            <w:r w:rsidR="00785BF9" w:rsidRPr="008413CF">
              <w:rPr>
                <w:rFonts w:cs="Arial"/>
                <w:b/>
                <w:bCs/>
                <w:i/>
                <w:iCs/>
                <w:color w:val="000066"/>
                <w:sz w:val="22"/>
                <w:szCs w:val="22"/>
                <w:lang w:eastAsia="it-IT"/>
              </w:rPr>
              <w:t xml:space="preserve"> </w:t>
            </w:r>
            <w:r w:rsidR="00AD0278" w:rsidRPr="008413CF">
              <w:rPr>
                <w:rFonts w:cs="Arial"/>
                <w:b/>
                <w:bCs/>
                <w:i/>
                <w:iCs/>
                <w:color w:val="000066"/>
                <w:sz w:val="22"/>
                <w:szCs w:val="22"/>
                <w:lang w:eastAsia="it-IT"/>
              </w:rPr>
              <w:t>xxx</w:t>
            </w:r>
            <w:r w:rsidR="007B48F9" w:rsidRPr="008413CF">
              <w:rPr>
                <w:rFonts w:cs="Arial"/>
                <w:b/>
                <w:bCs/>
                <w:i/>
                <w:iCs/>
                <w:color w:val="000066"/>
                <w:sz w:val="22"/>
                <w:szCs w:val="22"/>
                <w:lang w:eastAsia="it-IT"/>
              </w:rPr>
              <w:t>,</w:t>
            </w:r>
            <w:r w:rsidR="00FA5F5F" w:rsidRPr="008413CF">
              <w:rPr>
                <w:rFonts w:cs="Arial"/>
                <w:b/>
                <w:bCs/>
                <w:i/>
                <w:iCs/>
                <w:color w:val="000066"/>
                <w:sz w:val="22"/>
                <w:szCs w:val="22"/>
                <w:lang w:eastAsia="it-IT"/>
              </w:rPr>
              <w:t xml:space="preserve"> </w:t>
            </w:r>
            <w:r w:rsidR="0030152C" w:rsidRPr="008413CF">
              <w:rPr>
                <w:rFonts w:cs="Arial"/>
                <w:b/>
                <w:bCs/>
                <w:i/>
                <w:iCs/>
                <w:color w:val="000066"/>
                <w:sz w:val="22"/>
                <w:szCs w:val="22"/>
                <w:lang w:eastAsia="it-IT"/>
              </w:rPr>
              <w:t>202</w:t>
            </w:r>
            <w:r w:rsidR="00AD0278" w:rsidRPr="008413CF">
              <w:rPr>
                <w:rFonts w:cs="Arial"/>
                <w:b/>
                <w:bCs/>
                <w:i/>
                <w:iCs/>
                <w:color w:val="000066"/>
                <w:sz w:val="22"/>
                <w:szCs w:val="22"/>
                <w:lang w:eastAsia="it-IT"/>
              </w:rPr>
              <w:t>6</w:t>
            </w:r>
          </w:p>
        </w:tc>
        <w:tc>
          <w:tcPr>
            <w:tcW w:w="1843" w:type="dxa"/>
            <w:tcBorders>
              <w:left w:val="single" w:sz="4" w:space="0" w:color="auto"/>
              <w:bottom w:val="nil"/>
              <w:right w:val="single" w:sz="4" w:space="0" w:color="auto"/>
            </w:tcBorders>
          </w:tcPr>
          <w:p w14:paraId="56782132" w14:textId="77777777" w:rsidR="000A03B2" w:rsidRPr="008413CF" w:rsidRDefault="000A03B2" w:rsidP="00CD5FE2">
            <w:pPr>
              <w:spacing w:line="140" w:lineRule="atLeast"/>
              <w:jc w:val="right"/>
              <w:rPr>
                <w:rFonts w:cs="Arial"/>
                <w:sz w:val="14"/>
                <w:szCs w:val="14"/>
              </w:rPr>
            </w:pPr>
            <w:r w:rsidRPr="008413CF">
              <w:rPr>
                <w:rFonts w:cs="Arial"/>
                <w:sz w:val="14"/>
                <w:szCs w:val="14"/>
              </w:rPr>
              <w:t>A publication of</w:t>
            </w:r>
          </w:p>
          <w:p w14:paraId="599E5441" w14:textId="77777777" w:rsidR="000A03B2" w:rsidRPr="008413CF" w:rsidRDefault="000A03B2" w:rsidP="00CD5FE2">
            <w:pPr>
              <w:jc w:val="right"/>
            </w:pPr>
            <w:r w:rsidRPr="008413CF">
              <w:rPr>
                <w:noProof/>
                <w:lang w:eastAsia="it-IT"/>
              </w:rPr>
              <w:drawing>
                <wp:inline distT="0" distB="0" distL="0" distR="0" wp14:anchorId="59C75AF4" wp14:editId="4FF92432">
                  <wp:extent cx="670560" cy="358140"/>
                  <wp:effectExtent l="0" t="0" r="0" b="3810"/>
                  <wp:docPr id="6" name="Immagine 6" descr="aidiclogo_gra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idiclogo_grand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0560" cy="358140"/>
                          </a:xfrm>
                          <a:prstGeom prst="rect">
                            <a:avLst/>
                          </a:prstGeom>
                          <a:noFill/>
                          <a:ln>
                            <a:noFill/>
                          </a:ln>
                        </pic:spPr>
                      </pic:pic>
                    </a:graphicData>
                  </a:graphic>
                </wp:inline>
              </w:drawing>
            </w:r>
          </w:p>
        </w:tc>
      </w:tr>
      <w:tr w:rsidR="000A03B2" w:rsidRPr="008413CF" w14:paraId="380FA3CD" w14:textId="77777777" w:rsidTr="00DE264A">
        <w:trPr>
          <w:trHeight w:val="567"/>
          <w:jc w:val="center"/>
        </w:trPr>
        <w:tc>
          <w:tcPr>
            <w:tcW w:w="6946" w:type="dxa"/>
            <w:vMerge/>
            <w:tcBorders>
              <w:right w:val="single" w:sz="4" w:space="0" w:color="auto"/>
            </w:tcBorders>
          </w:tcPr>
          <w:p w14:paraId="39E5E4C1" w14:textId="77777777" w:rsidR="000A03B2" w:rsidRPr="008413CF" w:rsidRDefault="000A03B2" w:rsidP="00CD5FE2">
            <w:pPr>
              <w:tabs>
                <w:tab w:val="left" w:pos="-108"/>
              </w:tabs>
            </w:pPr>
          </w:p>
        </w:tc>
        <w:tc>
          <w:tcPr>
            <w:tcW w:w="1843" w:type="dxa"/>
            <w:tcBorders>
              <w:left w:val="single" w:sz="4" w:space="0" w:color="auto"/>
              <w:bottom w:val="nil"/>
              <w:right w:val="single" w:sz="4" w:space="0" w:color="auto"/>
            </w:tcBorders>
          </w:tcPr>
          <w:p w14:paraId="43858A98" w14:textId="77777777" w:rsidR="000A03B2" w:rsidRPr="008413CF" w:rsidRDefault="000A03B2" w:rsidP="00CD5FE2">
            <w:pPr>
              <w:spacing w:line="140" w:lineRule="atLeast"/>
              <w:jc w:val="right"/>
              <w:rPr>
                <w:rFonts w:cs="Arial"/>
                <w:sz w:val="14"/>
                <w:szCs w:val="14"/>
              </w:rPr>
            </w:pPr>
            <w:r w:rsidRPr="008413CF">
              <w:rPr>
                <w:rFonts w:cs="Arial"/>
                <w:sz w:val="14"/>
                <w:szCs w:val="14"/>
              </w:rPr>
              <w:t>The Italian Association</w:t>
            </w:r>
          </w:p>
          <w:p w14:paraId="7522B1D2" w14:textId="77777777" w:rsidR="000A03B2" w:rsidRPr="008413CF" w:rsidRDefault="000A03B2" w:rsidP="00CD5FE2">
            <w:pPr>
              <w:spacing w:line="140" w:lineRule="atLeast"/>
              <w:jc w:val="right"/>
              <w:rPr>
                <w:rFonts w:cs="Arial"/>
                <w:sz w:val="14"/>
                <w:szCs w:val="14"/>
              </w:rPr>
            </w:pPr>
            <w:r w:rsidRPr="008413CF">
              <w:rPr>
                <w:rFonts w:cs="Arial"/>
                <w:sz w:val="14"/>
                <w:szCs w:val="14"/>
              </w:rPr>
              <w:t>of Chemical Engineering</w:t>
            </w:r>
          </w:p>
          <w:p w14:paraId="4F0CC5DE" w14:textId="47FDB2FC" w:rsidR="000A03B2" w:rsidRPr="008413CF" w:rsidRDefault="000D0268" w:rsidP="00CD5FE2">
            <w:pPr>
              <w:spacing w:line="140" w:lineRule="atLeast"/>
              <w:jc w:val="right"/>
              <w:rPr>
                <w:rFonts w:cs="Arial"/>
                <w:sz w:val="13"/>
                <w:szCs w:val="13"/>
              </w:rPr>
            </w:pPr>
            <w:r w:rsidRPr="008413CF">
              <w:rPr>
                <w:rFonts w:cs="Arial"/>
                <w:sz w:val="13"/>
                <w:szCs w:val="13"/>
              </w:rPr>
              <w:t>Online at www.cetjournal.it</w:t>
            </w:r>
          </w:p>
        </w:tc>
      </w:tr>
      <w:tr w:rsidR="000A03B2" w:rsidRPr="008413CF" w14:paraId="2D1B7169" w14:textId="77777777" w:rsidTr="00DE264A">
        <w:trPr>
          <w:trHeight w:val="68"/>
          <w:jc w:val="center"/>
        </w:trPr>
        <w:tc>
          <w:tcPr>
            <w:tcW w:w="8789" w:type="dxa"/>
            <w:gridSpan w:val="2"/>
          </w:tcPr>
          <w:p w14:paraId="1D8DD3C9" w14:textId="174205F6" w:rsidR="00AA7D26" w:rsidRPr="00B35F61" w:rsidRDefault="004A5E57" w:rsidP="00CB2614">
            <w:pPr>
              <w:ind w:left="-107"/>
              <w:outlineLvl w:val="2"/>
              <w:rPr>
                <w:rFonts w:ascii="Tahoma" w:hAnsi="Tahoma" w:cs="Tahoma"/>
                <w:color w:val="000000"/>
                <w:sz w:val="14"/>
                <w:szCs w:val="14"/>
                <w:shd w:val="clear" w:color="auto" w:fill="FFFFFF"/>
                <w:lang w:val="it-IT"/>
              </w:rPr>
            </w:pPr>
            <w:r w:rsidRPr="00B35F61">
              <w:rPr>
                <w:rFonts w:ascii="Tahoma" w:hAnsi="Tahoma" w:cs="Tahoma"/>
                <w:iCs/>
                <w:color w:val="333333"/>
                <w:sz w:val="14"/>
                <w:szCs w:val="14"/>
                <w:lang w:val="it-IT" w:eastAsia="it-IT"/>
              </w:rPr>
              <w:t>Guest Editors:</w:t>
            </w:r>
            <w:r w:rsidRPr="00B35F61">
              <w:rPr>
                <w:rFonts w:ascii="Tahoma" w:hAnsi="Tahoma" w:cs="Tahoma"/>
                <w:color w:val="000000"/>
                <w:sz w:val="14"/>
                <w:szCs w:val="14"/>
                <w:shd w:val="clear" w:color="auto" w:fill="FFFFFF"/>
                <w:lang w:val="it-IT"/>
              </w:rPr>
              <w:t xml:space="preserve"> </w:t>
            </w:r>
            <w:r w:rsidR="00CB2614" w:rsidRPr="00B35F61">
              <w:rPr>
                <w:rFonts w:ascii="Tahoma" w:hAnsi="Tahoma" w:cs="Tahoma"/>
                <w:color w:val="000000"/>
                <w:sz w:val="14"/>
                <w:szCs w:val="14"/>
                <w:shd w:val="clear" w:color="auto" w:fill="FFFFFF"/>
                <w:lang w:val="it-IT"/>
              </w:rPr>
              <w:t>Flavio Manenti, Botir Usmonov, Alessandro Di Pretoro</w:t>
            </w:r>
          </w:p>
          <w:p w14:paraId="1B0F1814" w14:textId="710B7B96" w:rsidR="000A03B2" w:rsidRPr="008413CF" w:rsidRDefault="00AA7D26" w:rsidP="00AA7D26">
            <w:pPr>
              <w:tabs>
                <w:tab w:val="left" w:pos="-108"/>
              </w:tabs>
              <w:spacing w:line="140" w:lineRule="atLeast"/>
              <w:ind w:left="-107"/>
              <w:jc w:val="left"/>
            </w:pPr>
            <w:r w:rsidRPr="008413CF">
              <w:rPr>
                <w:rFonts w:ascii="Tahoma" w:hAnsi="Tahoma" w:cs="Tahoma"/>
                <w:iCs/>
                <w:color w:val="333333"/>
                <w:sz w:val="14"/>
                <w:szCs w:val="14"/>
                <w:lang w:eastAsia="it-IT"/>
              </w:rPr>
              <w:t>Copyright © 202</w:t>
            </w:r>
            <w:r w:rsidR="00005884" w:rsidRPr="008413CF">
              <w:rPr>
                <w:rFonts w:ascii="Tahoma" w:hAnsi="Tahoma" w:cs="Tahoma"/>
                <w:iCs/>
                <w:color w:val="333333"/>
                <w:sz w:val="14"/>
                <w:szCs w:val="14"/>
                <w:lang w:eastAsia="it-IT"/>
              </w:rPr>
              <w:t>6</w:t>
            </w:r>
            <w:r w:rsidRPr="008413CF">
              <w:rPr>
                <w:rFonts w:ascii="Tahoma" w:hAnsi="Tahoma" w:cs="Tahoma"/>
                <w:iCs/>
                <w:color w:val="333333"/>
                <w:sz w:val="14"/>
                <w:szCs w:val="14"/>
                <w:lang w:eastAsia="it-IT"/>
              </w:rPr>
              <w:t xml:space="preserve">, AIDIC Servizi </w:t>
            </w:r>
            <w:proofErr w:type="spellStart"/>
            <w:r w:rsidRPr="008413CF">
              <w:rPr>
                <w:rFonts w:ascii="Tahoma" w:hAnsi="Tahoma" w:cs="Tahoma"/>
                <w:iCs/>
                <w:color w:val="333333"/>
                <w:sz w:val="14"/>
                <w:szCs w:val="14"/>
                <w:lang w:eastAsia="it-IT"/>
              </w:rPr>
              <w:t>S.r.l</w:t>
            </w:r>
            <w:proofErr w:type="spellEnd"/>
            <w:r w:rsidRPr="008413CF">
              <w:rPr>
                <w:rFonts w:ascii="Tahoma" w:hAnsi="Tahoma" w:cs="Tahoma"/>
                <w:iCs/>
                <w:color w:val="333333"/>
                <w:sz w:val="14"/>
                <w:szCs w:val="14"/>
                <w:lang w:eastAsia="it-IT"/>
              </w:rPr>
              <w:t>.</w:t>
            </w:r>
            <w:r w:rsidRPr="008413CF">
              <w:rPr>
                <w:rFonts w:ascii="Tahoma" w:hAnsi="Tahoma" w:cs="Tahoma"/>
                <w:iCs/>
                <w:color w:val="333333"/>
                <w:sz w:val="14"/>
                <w:szCs w:val="14"/>
                <w:lang w:eastAsia="it-IT"/>
              </w:rPr>
              <w:br/>
            </w:r>
            <w:r w:rsidRPr="008413CF">
              <w:rPr>
                <w:rFonts w:ascii="Tahoma" w:hAnsi="Tahoma" w:cs="Tahoma"/>
                <w:b/>
                <w:iCs/>
                <w:color w:val="000000"/>
                <w:sz w:val="14"/>
                <w:szCs w:val="14"/>
                <w:lang w:eastAsia="it-IT"/>
              </w:rPr>
              <w:t>ISBN</w:t>
            </w:r>
            <w:r w:rsidRPr="008413CF">
              <w:rPr>
                <w:rFonts w:ascii="Tahoma" w:hAnsi="Tahoma" w:cs="Tahoma"/>
                <w:iCs/>
                <w:color w:val="000000"/>
                <w:sz w:val="14"/>
                <w:szCs w:val="14"/>
                <w:lang w:eastAsia="it-IT"/>
              </w:rPr>
              <w:t xml:space="preserve"> </w:t>
            </w:r>
            <w:r w:rsidR="00D2582C" w:rsidRPr="008413CF">
              <w:rPr>
                <w:rFonts w:ascii="Tahoma" w:hAnsi="Tahoma" w:cs="Tahoma"/>
                <w:sz w:val="14"/>
                <w:szCs w:val="14"/>
              </w:rPr>
              <w:t>979-12-81206-</w:t>
            </w:r>
            <w:r w:rsidR="00005884" w:rsidRPr="008413CF">
              <w:rPr>
                <w:rFonts w:ascii="Tahoma" w:hAnsi="Tahoma" w:cs="Tahoma"/>
                <w:sz w:val="14"/>
                <w:szCs w:val="14"/>
              </w:rPr>
              <w:t>xx</w:t>
            </w:r>
            <w:r w:rsidR="009041F8" w:rsidRPr="008413CF">
              <w:rPr>
                <w:rFonts w:ascii="Tahoma" w:hAnsi="Tahoma" w:cs="Tahoma"/>
                <w:sz w:val="14"/>
                <w:szCs w:val="14"/>
              </w:rPr>
              <w:t>-</w:t>
            </w:r>
            <w:r w:rsidR="00005884" w:rsidRPr="008413CF">
              <w:rPr>
                <w:rFonts w:ascii="Tahoma" w:hAnsi="Tahoma" w:cs="Tahoma"/>
                <w:sz w:val="14"/>
                <w:szCs w:val="14"/>
              </w:rPr>
              <w:t>x</w:t>
            </w:r>
            <w:r w:rsidRPr="008413CF">
              <w:rPr>
                <w:rFonts w:ascii="Tahoma" w:hAnsi="Tahoma" w:cs="Tahoma"/>
                <w:iCs/>
                <w:color w:val="333333"/>
                <w:sz w:val="14"/>
                <w:szCs w:val="14"/>
                <w:lang w:eastAsia="it-IT"/>
              </w:rPr>
              <w:t xml:space="preserve">; </w:t>
            </w:r>
            <w:r w:rsidRPr="008413CF">
              <w:rPr>
                <w:rFonts w:ascii="Tahoma" w:hAnsi="Tahoma" w:cs="Tahoma"/>
                <w:b/>
                <w:iCs/>
                <w:color w:val="333333"/>
                <w:sz w:val="14"/>
                <w:szCs w:val="14"/>
                <w:lang w:eastAsia="it-IT"/>
              </w:rPr>
              <w:t>ISSN</w:t>
            </w:r>
            <w:r w:rsidRPr="008413CF">
              <w:rPr>
                <w:rFonts w:ascii="Tahoma" w:hAnsi="Tahoma" w:cs="Tahoma"/>
                <w:iCs/>
                <w:color w:val="333333"/>
                <w:sz w:val="14"/>
                <w:szCs w:val="14"/>
                <w:lang w:eastAsia="it-IT"/>
              </w:rPr>
              <w:t xml:space="preserve"> 2283-9216</w:t>
            </w:r>
          </w:p>
        </w:tc>
      </w:tr>
    </w:tbl>
    <w:bookmarkEnd w:id="0"/>
    <w:p w14:paraId="2E667253" w14:textId="5596ADB7" w:rsidR="00E978D0" w:rsidRPr="005E65E4" w:rsidRDefault="008413CF" w:rsidP="00E978D0">
      <w:pPr>
        <w:pStyle w:val="CETTitle"/>
        <w:rPr>
          <w:lang w:val="en-US"/>
        </w:rPr>
      </w:pPr>
      <w:r w:rsidRPr="008413CF">
        <w:rPr>
          <w:lang w:val="en-US"/>
        </w:rPr>
        <w:t xml:space="preserve">Industrial fed-batch </w:t>
      </w:r>
      <w:r w:rsidRPr="008413CF">
        <w:rPr>
          <w:i/>
          <w:iCs/>
          <w:lang w:val="en-US"/>
        </w:rPr>
        <w:t xml:space="preserve">Streptomyces sp. </w:t>
      </w:r>
      <w:r w:rsidR="005E65E4">
        <w:rPr>
          <w:lang w:val="en-US"/>
        </w:rPr>
        <w:t>f</w:t>
      </w:r>
      <w:r w:rsidRPr="005E65E4">
        <w:rPr>
          <w:lang w:val="en-US"/>
        </w:rPr>
        <w:t>ermentation</w:t>
      </w:r>
      <w:r w:rsidR="00B54D78">
        <w:rPr>
          <w:lang w:val="en-US"/>
        </w:rPr>
        <w:t xml:space="preserve"> for Active Pharmaceutical Ingredient (API) production</w:t>
      </w:r>
      <w:r w:rsidRPr="005E65E4">
        <w:rPr>
          <w:lang w:val="en-US"/>
        </w:rPr>
        <w:t xml:space="preserve">: a modeling approach </w:t>
      </w:r>
    </w:p>
    <w:p w14:paraId="60633C1C" w14:textId="0E092960" w:rsidR="008413CF" w:rsidRPr="008413CF" w:rsidRDefault="008413CF" w:rsidP="008413CF">
      <w:pPr>
        <w:pStyle w:val="CETAuthors"/>
        <w:jc w:val="center"/>
        <w:rPr>
          <w:lang w:val="it-IT"/>
        </w:rPr>
      </w:pPr>
      <w:r w:rsidRPr="008413CF">
        <w:rPr>
          <w:lang w:val="it-IT"/>
        </w:rPr>
        <w:t xml:space="preserve">Adriano Porcelli, </w:t>
      </w:r>
      <w:r w:rsidR="0035113F">
        <w:rPr>
          <w:lang w:val="it-IT"/>
        </w:rPr>
        <w:t xml:space="preserve">Giacomo Nardi, </w:t>
      </w:r>
      <w:r w:rsidRPr="008413CF">
        <w:rPr>
          <w:lang w:val="it-IT"/>
        </w:rPr>
        <w:t>Elena Barbera*, Eleonora Sforza</w:t>
      </w:r>
    </w:p>
    <w:p w14:paraId="2CB52861" w14:textId="77777777" w:rsidR="008413CF" w:rsidRPr="008413CF" w:rsidRDefault="008413CF" w:rsidP="008413CF">
      <w:pPr>
        <w:pStyle w:val="CETAddress"/>
      </w:pPr>
      <w:r w:rsidRPr="008413CF">
        <w:t xml:space="preserve">Department of Industrial Engineering, University of Padova, Via Marzolo 9, 35131 Padova, Italy </w:t>
      </w:r>
    </w:p>
    <w:p w14:paraId="73F1267A" w14:textId="39984B20" w:rsidR="00B57E6F" w:rsidRPr="008413CF" w:rsidRDefault="008413CF" w:rsidP="00B57E6F">
      <w:pPr>
        <w:pStyle w:val="CETemail"/>
        <w:rPr>
          <w:noProof w:val="0"/>
          <w:lang w:val="en-US"/>
        </w:rPr>
      </w:pPr>
      <w:r>
        <w:rPr>
          <w:noProof w:val="0"/>
          <w:lang w:val="en-US"/>
        </w:rPr>
        <w:t>elena.barbera@unipid.it</w:t>
      </w:r>
    </w:p>
    <w:p w14:paraId="3F15594F" w14:textId="658A9016" w:rsidR="008413CF" w:rsidRPr="008413CF" w:rsidRDefault="008413CF" w:rsidP="008413CF">
      <w:pPr>
        <w:rPr>
          <w:szCs w:val="14"/>
        </w:rPr>
      </w:pPr>
      <w:r w:rsidRPr="008413CF">
        <w:rPr>
          <w:szCs w:val="14"/>
        </w:rPr>
        <w:t>Industrial fermentation is a highly complex and variable process. This is particularly true for fed-batch operations, where substrate feed and consumption must be precisely balanced to minimize waste. Such precision is increasingly critical for the production of molecules designed to combat antimicrobial resistance.</w:t>
      </w:r>
      <w:r>
        <w:rPr>
          <w:szCs w:val="14"/>
        </w:rPr>
        <w:t xml:space="preserve"> </w:t>
      </w:r>
      <w:r w:rsidRPr="008413CF">
        <w:rPr>
          <w:szCs w:val="14"/>
        </w:rPr>
        <w:t xml:space="preserve">One such molecule is produced by </w:t>
      </w:r>
      <w:r w:rsidRPr="008413CF">
        <w:rPr>
          <w:i/>
          <w:iCs/>
          <w:szCs w:val="14"/>
        </w:rPr>
        <w:t>Streptomyces sp.</w:t>
      </w:r>
      <w:r w:rsidRPr="008413CF">
        <w:rPr>
          <w:szCs w:val="14"/>
        </w:rPr>
        <w:t xml:space="preserve"> via aerobic fermentation, typically in fed-batch mode. Tuning and controlling operating variables is essential to maximize productivity, and mathematical modeling serves as a powerful tool in this regard. By employing a defined dataset, a model can be developed to describe the general dynamics of the process, including biomass growth, product synthesis, and substrate consumption.</w:t>
      </w:r>
      <w:r>
        <w:rPr>
          <w:szCs w:val="14"/>
        </w:rPr>
        <w:t xml:space="preserve"> </w:t>
      </w:r>
      <w:r w:rsidRPr="008413CF">
        <w:rPr>
          <w:szCs w:val="14"/>
        </w:rPr>
        <w:t xml:space="preserve">This study aims to develop a mathematical model that characterizes the complete kinetics of this fermentation process. The model was built using industrial fed-batch datasets and is based on </w:t>
      </w:r>
      <w:r w:rsidR="00185FD3" w:rsidRPr="00185FD3">
        <w:rPr>
          <w:szCs w:val="14"/>
        </w:rPr>
        <w:t>Monod kinetics for biomass growth and Michaelis–Menten kinetics for substrate-driven product formation</w:t>
      </w:r>
      <w:r w:rsidRPr="008413CF">
        <w:rPr>
          <w:szCs w:val="14"/>
        </w:rPr>
        <w:t xml:space="preserve">. In this framework, two substrates </w:t>
      </w:r>
      <w:r w:rsidR="00F32E4C">
        <w:rPr>
          <w:szCs w:val="14"/>
        </w:rPr>
        <w:t>are needed for biomass growth</w:t>
      </w:r>
      <w:r w:rsidRPr="008413CF">
        <w:rPr>
          <w:szCs w:val="14"/>
        </w:rPr>
        <w:t>; the biomass then acts as a catalyst for the conversion of these substrates into the final product.</w:t>
      </w:r>
      <w:r>
        <w:rPr>
          <w:szCs w:val="14"/>
        </w:rPr>
        <w:t xml:space="preserve"> </w:t>
      </w:r>
      <w:r w:rsidRPr="008413CF">
        <w:rPr>
          <w:szCs w:val="14"/>
        </w:rPr>
        <w:t xml:space="preserve">The resulting </w:t>
      </w:r>
      <w:r w:rsidR="00F32E4C">
        <w:rPr>
          <w:szCs w:val="14"/>
        </w:rPr>
        <w:t xml:space="preserve">dynamic </w:t>
      </w:r>
      <w:r w:rsidRPr="008413CF">
        <w:rPr>
          <w:szCs w:val="14"/>
        </w:rPr>
        <w:t>model account</w:t>
      </w:r>
      <w:r w:rsidR="00F32E4C">
        <w:rPr>
          <w:szCs w:val="14"/>
        </w:rPr>
        <w:t>s</w:t>
      </w:r>
      <w:r w:rsidRPr="008413CF">
        <w:rPr>
          <w:szCs w:val="14"/>
        </w:rPr>
        <w:t xml:space="preserve"> for biomass growth, production</w:t>
      </w:r>
      <w:r w:rsidR="00F32E4C">
        <w:rPr>
          <w:szCs w:val="14"/>
        </w:rPr>
        <w:t xml:space="preserve"> of the molecule of interest</w:t>
      </w:r>
      <w:r w:rsidRPr="008413CF">
        <w:rPr>
          <w:szCs w:val="14"/>
        </w:rPr>
        <w:t xml:space="preserve">, </w:t>
      </w:r>
      <w:r w:rsidR="00F32E4C">
        <w:rPr>
          <w:szCs w:val="14"/>
        </w:rPr>
        <w:t xml:space="preserve">and </w:t>
      </w:r>
      <w:r w:rsidRPr="008413CF">
        <w:rPr>
          <w:szCs w:val="14"/>
        </w:rPr>
        <w:t xml:space="preserve">substrate consumption, </w:t>
      </w:r>
      <w:r w:rsidR="00F32E4C">
        <w:rPr>
          <w:szCs w:val="14"/>
        </w:rPr>
        <w:t>with reference to a fed-batch system</w:t>
      </w:r>
      <w:r w:rsidRPr="008413CF">
        <w:rPr>
          <w:szCs w:val="14"/>
        </w:rPr>
        <w:t xml:space="preserve">. Key process phenomena are incorporated, including thermal degradation of the </w:t>
      </w:r>
      <w:r w:rsidR="00F32E4C">
        <w:rPr>
          <w:szCs w:val="14"/>
        </w:rPr>
        <w:t xml:space="preserve">product </w:t>
      </w:r>
      <w:r w:rsidRPr="008413CF">
        <w:rPr>
          <w:szCs w:val="14"/>
        </w:rPr>
        <w:t xml:space="preserve">molecule, </w:t>
      </w:r>
      <w:r w:rsidR="00610FBE">
        <w:rPr>
          <w:szCs w:val="14"/>
        </w:rPr>
        <w:t>product</w:t>
      </w:r>
      <w:r w:rsidR="00610FBE" w:rsidRPr="008413CF">
        <w:rPr>
          <w:szCs w:val="14"/>
        </w:rPr>
        <w:t xml:space="preserve"> </w:t>
      </w:r>
      <w:r w:rsidRPr="008413CF">
        <w:rPr>
          <w:szCs w:val="14"/>
        </w:rPr>
        <w:t>inhibition, and the non-growth-associated nature of product formation</w:t>
      </w:r>
      <w:r>
        <w:rPr>
          <w:szCs w:val="14"/>
        </w:rPr>
        <w:t xml:space="preserve">. </w:t>
      </w:r>
      <w:r w:rsidRPr="008413CF">
        <w:rPr>
          <w:szCs w:val="14"/>
        </w:rPr>
        <w:t xml:space="preserve">This work provides a robust mathematical framework for the fed-batch cultivation of </w:t>
      </w:r>
      <w:r w:rsidRPr="008413CF">
        <w:rPr>
          <w:i/>
          <w:iCs/>
          <w:szCs w:val="14"/>
        </w:rPr>
        <w:t>Streptomyces sp.</w:t>
      </w:r>
      <w:r w:rsidRPr="008413CF">
        <w:rPr>
          <w:szCs w:val="14"/>
        </w:rPr>
        <w:t xml:space="preserve"> for Active Pharmaceutical Ingredient (API) production, offering new p</w:t>
      </w:r>
      <w:r w:rsidR="003600C1">
        <w:rPr>
          <w:szCs w:val="14"/>
        </w:rPr>
        <w:t>er</w:t>
      </w:r>
      <w:r w:rsidRPr="008413CF">
        <w:rPr>
          <w:szCs w:val="14"/>
        </w:rPr>
        <w:t>spectives for process optimization.</w:t>
      </w:r>
    </w:p>
    <w:p w14:paraId="476B2F2E" w14:textId="77777777" w:rsidR="00600535" w:rsidRPr="008413CF" w:rsidRDefault="00600535" w:rsidP="00600535">
      <w:pPr>
        <w:pStyle w:val="CETHeading1"/>
      </w:pPr>
      <w:r w:rsidRPr="008413CF">
        <w:t>Introduction</w:t>
      </w:r>
    </w:p>
    <w:p w14:paraId="564BD2B4" w14:textId="265EA6A9" w:rsidR="00D30F2A" w:rsidRDefault="00D30F2A">
      <w:pPr>
        <w:pStyle w:val="CETBodytext"/>
        <w:rPr>
          <w:rFonts w:cs="Arial"/>
          <w:color w:val="000000"/>
          <w:szCs w:val="14"/>
        </w:rPr>
      </w:pPr>
      <w:r w:rsidRPr="00D30F2A">
        <w:t xml:space="preserve">The global rise of antibiotic resistance has made it imperative to develop new therapeutic strategies and to optimize existing ones. The use of </w:t>
      </w:r>
      <w:r w:rsidR="0035113F">
        <w:t>a molecule</w:t>
      </w:r>
      <w:r w:rsidRPr="00D30F2A">
        <w:t xml:space="preserve"> produced by bacteria of the genus </w:t>
      </w:r>
      <w:r w:rsidRPr="00D30F2A">
        <w:rPr>
          <w:i/>
          <w:iCs/>
        </w:rPr>
        <w:t>Streptomyces</w:t>
      </w:r>
      <w:r w:rsidRPr="00D30F2A">
        <w:t xml:space="preserve"> represents one such approach</w:t>
      </w:r>
      <w:r>
        <w:t xml:space="preserve"> </w:t>
      </w:r>
      <w:sdt>
        <w:sdtPr>
          <w:rPr>
            <w:rFonts w:cs="Arial"/>
            <w:color w:val="000000"/>
            <w:szCs w:val="14"/>
          </w:rPr>
          <w:tag w:val="MENDELEY_CITATION_v3_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"/>
          <w:id w:val="-1884779299"/>
          <w:placeholder>
            <w:docPart w:val="DefaultPlaceholder_-1854013440"/>
          </w:placeholder>
        </w:sdtPr>
        <w:sdtContent>
          <w:r w:rsidR="00994DD1" w:rsidRPr="00994DD1">
            <w:rPr>
              <w:rFonts w:cs="Arial"/>
              <w:color w:val="000000"/>
            </w:rPr>
            <w:t>(Bush &amp; Bradford, 2019)</w:t>
          </w:r>
        </w:sdtContent>
      </w:sdt>
      <w:r w:rsidR="006F3034">
        <w:rPr>
          <w:rFonts w:cs="Arial"/>
          <w:color w:val="000000"/>
          <w:szCs w:val="14"/>
        </w:rPr>
        <w:t>.</w:t>
      </w:r>
      <w:r w:rsidR="00D731F1">
        <w:rPr>
          <w:rFonts w:cs="Arial"/>
          <w:color w:val="000000"/>
          <w:szCs w:val="14"/>
        </w:rPr>
        <w:t xml:space="preserve"> </w:t>
      </w:r>
      <w:r w:rsidRPr="00D30F2A">
        <w:rPr>
          <w:rFonts w:cs="Arial"/>
          <w:color w:val="000000"/>
          <w:szCs w:val="14"/>
        </w:rPr>
        <w:t>At the industrial level, the production of these molecules is predominantly carried out through batch or fed-batch fermentation. These processes, however, are strongly influenced by a range of operating variables, including pH, temperature, and nutrient concentration</w:t>
      </w:r>
      <w:r w:rsidR="00D731F1">
        <w:rPr>
          <w:rFonts w:cs="Arial"/>
          <w:color w:val="000000"/>
          <w:szCs w:val="14"/>
        </w:rPr>
        <w:t xml:space="preserve"> </w:t>
      </w:r>
      <w:sdt>
        <w:sdtPr>
          <w:rPr>
            <w:rFonts w:cs="Arial"/>
            <w:color w:val="000000"/>
            <w:szCs w:val="14"/>
          </w:rPr>
          <w:tag w:val="MENDELEY_CITATION_v3_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"/>
          <w:id w:val="-1060252549"/>
          <w:placeholder>
            <w:docPart w:val="DefaultPlaceholder_-1854013440"/>
          </w:placeholder>
        </w:sdtPr>
        <w:sdtContent>
          <w:r w:rsidR="00994DD1" w:rsidRPr="00994DD1">
            <w:rPr>
              <w:rFonts w:cs="Arial"/>
              <w:color w:val="000000"/>
              <w:szCs w:val="14"/>
            </w:rPr>
            <w:t>(Ser et al., 2016)</w:t>
          </w:r>
        </w:sdtContent>
      </w:sdt>
      <w:r w:rsidRPr="00D30F2A">
        <w:rPr>
          <w:rFonts w:cs="Arial"/>
          <w:color w:val="000000"/>
          <w:szCs w:val="14"/>
        </w:rPr>
        <w:t>, each of which affects bacterial growth and molecule production in distinct ways.</w:t>
      </w:r>
      <w:r w:rsidR="00E326D6">
        <w:rPr>
          <w:rFonts w:cs="Arial"/>
          <w:color w:val="000000"/>
          <w:szCs w:val="14"/>
        </w:rPr>
        <w:t xml:space="preserve"> </w:t>
      </w:r>
    </w:p>
    <w:p w14:paraId="0DACB917" w14:textId="11EC3A41" w:rsidR="00D30F2A" w:rsidRDefault="00D30F2A" w:rsidP="00305D78">
      <w:pPr>
        <w:tabs>
          <w:tab w:val="clear" w:pos="7100"/>
        </w:tabs>
        <w:spacing w:line="276" w:lineRule="auto"/>
        <w:rPr>
          <w:rFonts w:cs="Arial"/>
          <w:color w:val="000000"/>
          <w:szCs w:val="14"/>
        </w:rPr>
      </w:pPr>
      <w:r w:rsidRPr="00D30F2A">
        <w:rPr>
          <w:rFonts w:cs="Arial"/>
          <w:color w:val="000000"/>
          <w:szCs w:val="14"/>
        </w:rPr>
        <w:t xml:space="preserve">Temperature is a particularly critical parameter. The </w:t>
      </w:r>
      <w:r w:rsidR="0035113F">
        <w:rPr>
          <w:rFonts w:cs="Arial"/>
          <w:color w:val="000000"/>
          <w:szCs w:val="14"/>
        </w:rPr>
        <w:t>product</w:t>
      </w:r>
      <w:r w:rsidRPr="00D30F2A">
        <w:rPr>
          <w:rFonts w:cs="Arial"/>
          <w:color w:val="000000"/>
          <w:szCs w:val="14"/>
        </w:rPr>
        <w:t xml:space="preserve"> is a chemically unstable molecule whose degradation rate increases with temperature</w:t>
      </w:r>
      <w:r>
        <w:rPr>
          <w:rFonts w:cs="Arial"/>
          <w:color w:val="000000"/>
          <w:szCs w:val="14"/>
        </w:rPr>
        <w:t xml:space="preserve"> </w:t>
      </w:r>
      <w:sdt>
        <w:sdtPr>
          <w:rPr>
            <w:rFonts w:cs="Arial"/>
            <w:color w:val="000000"/>
            <w:szCs w:val="14"/>
          </w:rPr>
          <w:tag w:val="MENDELEY_CITATION_v3_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"/>
          <w:id w:val="473492635"/>
          <w:placeholder>
            <w:docPart w:val="DefaultPlaceholder_-1854013440"/>
          </w:placeholder>
        </w:sdtPr>
        <w:sdtContent>
          <w:r w:rsidR="00994DD1" w:rsidRPr="00994DD1">
            <w:rPr>
              <w:rFonts w:cs="Arial"/>
              <w:color w:val="000000"/>
              <w:szCs w:val="14"/>
            </w:rPr>
            <w:t>(Marques et al., 2009)</w:t>
          </w:r>
        </w:sdtContent>
      </w:sdt>
      <w:r>
        <w:rPr>
          <w:rFonts w:cs="Arial"/>
          <w:color w:val="000000"/>
          <w:szCs w:val="14"/>
        </w:rPr>
        <w:t xml:space="preserve">, </w:t>
      </w:r>
      <w:r w:rsidRPr="00D30F2A">
        <w:rPr>
          <w:rFonts w:cs="Arial"/>
          <w:color w:val="000000"/>
          <w:szCs w:val="14"/>
        </w:rPr>
        <w:t>yet bacterial growth requires temperatures in the range of 26–30°C, creating an inherent trade-off between product stability and cell viability.</w:t>
      </w:r>
      <w:r w:rsidRPr="00D30F2A">
        <w:t xml:space="preserve"> </w:t>
      </w:r>
      <w:r w:rsidRPr="00D30F2A">
        <w:rPr>
          <w:rFonts w:cs="Arial"/>
          <w:color w:val="000000"/>
          <w:szCs w:val="14"/>
        </w:rPr>
        <w:t>The carbon source is another key variable influencing product titers: glycerol and vegetable oils are the most commonly used substrates</w:t>
      </w:r>
      <w:r>
        <w:rPr>
          <w:rFonts w:cs="Arial"/>
          <w:color w:val="000000"/>
          <w:szCs w:val="14"/>
        </w:rPr>
        <w:t xml:space="preserve"> </w:t>
      </w:r>
      <w:sdt>
        <w:sdtPr>
          <w:rPr>
            <w:rFonts w:cs="Arial"/>
            <w:color w:val="000000"/>
            <w:szCs w:val="14"/>
          </w:rPr>
          <w:tag w:val="MENDELEY_CITATION_v3_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"/>
          <w:id w:val="116416748"/>
          <w:placeholder>
            <w:docPart w:val="DefaultPlaceholder_-1854013440"/>
          </w:placeholder>
        </w:sdtPr>
        <w:sdtContent>
          <w:r w:rsidR="00994DD1" w:rsidRPr="00994DD1">
            <w:rPr>
              <w:rFonts w:cs="Arial"/>
              <w:color w:val="000000"/>
              <w:szCs w:val="14"/>
            </w:rPr>
            <w:t>(Gómez-Ríos et al., 2024)</w:t>
          </w:r>
        </w:sdtContent>
      </w:sdt>
      <w:r w:rsidR="006C2E9D">
        <w:rPr>
          <w:rFonts w:cs="Arial"/>
          <w:color w:val="000000"/>
          <w:szCs w:val="14"/>
        </w:rPr>
        <w:t xml:space="preserve"> </w:t>
      </w:r>
      <w:r w:rsidRPr="00D30F2A">
        <w:rPr>
          <w:rFonts w:cs="Arial"/>
          <w:color w:val="000000"/>
          <w:szCs w:val="14"/>
        </w:rPr>
        <w:t>and are typically supplied as feed during fed-batch cultivation. Fed-batch processes are generally preferred over batch modes due to their higher productivity and extended stationary phase</w:t>
      </w:r>
      <w:r w:rsidR="00DE33AD">
        <w:rPr>
          <w:rFonts w:cs="Arial"/>
          <w:color w:val="000000"/>
          <w:szCs w:val="14"/>
        </w:rPr>
        <w:t xml:space="preserve"> </w:t>
      </w:r>
      <w:sdt>
        <w:sdtPr>
          <w:rPr>
            <w:rFonts w:cs="Arial"/>
            <w:color w:val="000000"/>
            <w:szCs w:val="14"/>
          </w:rPr>
          <w:tag w:val="MENDELEY_CITATION_v3_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"/>
          <w:id w:val="468406073"/>
          <w:placeholder>
            <w:docPart w:val="DefaultPlaceholder_-1854013440"/>
          </w:placeholder>
        </w:sdtPr>
        <w:sdtContent>
          <w:r w:rsidR="00994DD1" w:rsidRPr="00994DD1">
            <w:rPr>
              <w:rFonts w:cs="Arial"/>
              <w:color w:val="000000"/>
              <w:szCs w:val="14"/>
            </w:rPr>
            <w:t>(Gómez-Rios et al., 2022)</w:t>
          </w:r>
        </w:sdtContent>
      </w:sdt>
      <w:r w:rsidR="00630D74">
        <w:rPr>
          <w:rFonts w:cs="Arial"/>
          <w:color w:val="000000"/>
          <w:szCs w:val="14"/>
        </w:rPr>
        <w:t>.</w:t>
      </w:r>
      <w:r w:rsidR="006C2E9D">
        <w:rPr>
          <w:rFonts w:cs="Arial"/>
          <w:color w:val="000000"/>
          <w:szCs w:val="14"/>
        </w:rPr>
        <w:t xml:space="preserve"> </w:t>
      </w:r>
      <w:r w:rsidRPr="00D30F2A">
        <w:rPr>
          <w:rFonts w:cs="Arial"/>
          <w:color w:val="000000"/>
          <w:szCs w:val="14"/>
        </w:rPr>
        <w:t>The latter is of particular relevance for the production of this molecule, given its nature as a secondary metabolite. Secondary metabolites can be synthesized throughout the bacterial life cycle, but their production predominantly occurs during the late-exponential and stationary growth phases</w:t>
      </w:r>
      <w:r>
        <w:rPr>
          <w:rFonts w:cs="Arial"/>
          <w:color w:val="000000"/>
          <w:szCs w:val="14"/>
        </w:rPr>
        <w:t xml:space="preserve"> </w:t>
      </w:r>
      <w:sdt>
        <w:sdtPr>
          <w:rPr>
            <w:rFonts w:cs="Arial"/>
            <w:color w:val="000000"/>
            <w:szCs w:val="14"/>
          </w:rPr>
          <w:tag w:val="MENDELEY_CITATION_v3_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"/>
          <w:id w:val="1215314424"/>
          <w:placeholder>
            <w:docPart w:val="DefaultPlaceholder_-1854013440"/>
          </w:placeholder>
        </w:sdtPr>
        <w:sdtContent>
          <w:r w:rsidR="00994DD1" w:rsidRPr="00994DD1">
            <w:rPr>
              <w:rFonts w:cs="Arial"/>
              <w:color w:val="000000"/>
              <w:szCs w:val="14"/>
            </w:rPr>
            <w:t>(</w:t>
          </w:r>
          <w:proofErr w:type="spellStart"/>
          <w:r w:rsidR="00994DD1" w:rsidRPr="00994DD1">
            <w:rPr>
              <w:rFonts w:cs="Arial"/>
              <w:color w:val="000000"/>
              <w:szCs w:val="14"/>
            </w:rPr>
            <w:t>Seyedsayamdost</w:t>
          </w:r>
          <w:proofErr w:type="spellEnd"/>
          <w:r w:rsidR="00994DD1" w:rsidRPr="00994DD1">
            <w:rPr>
              <w:rFonts w:cs="Arial"/>
              <w:color w:val="000000"/>
              <w:szCs w:val="14"/>
            </w:rPr>
            <w:t>, 2019)</w:t>
          </w:r>
        </w:sdtContent>
      </w:sdt>
      <w:r w:rsidR="00DE33AD">
        <w:rPr>
          <w:rFonts w:cs="Arial"/>
          <w:color w:val="000000"/>
          <w:szCs w:val="14"/>
        </w:rPr>
        <w:t xml:space="preserve">. </w:t>
      </w:r>
    </w:p>
    <w:p w14:paraId="21B9A280" w14:textId="2499403C" w:rsidR="007D0951" w:rsidRPr="007C23DE" w:rsidRDefault="00D30F2A" w:rsidP="007C23DE">
      <w:pPr>
        <w:pStyle w:val="CETBodytext"/>
        <w:rPr>
          <w:rFonts w:cs="Arial"/>
          <w:color w:val="000000"/>
          <w:szCs w:val="14"/>
        </w:rPr>
      </w:pPr>
      <w:r w:rsidRPr="00D30F2A">
        <w:rPr>
          <w:rFonts w:cs="Arial"/>
          <w:color w:val="000000"/>
          <w:szCs w:val="14"/>
        </w:rPr>
        <w:lastRenderedPageBreak/>
        <w:t xml:space="preserve">A powerful tool for rationalizing and controlling the complex interplay of variables that govern fed-batch fermentation is mathematical modeling. In this work, a model describing the kinetics of a fed-batch fermentation process for the production of a </w:t>
      </w:r>
      <w:r w:rsidR="0035113F">
        <w:rPr>
          <w:rFonts w:cs="Arial"/>
          <w:color w:val="000000"/>
          <w:szCs w:val="14"/>
        </w:rPr>
        <w:t>molecule helpful to contrast antibiotic resistance</w:t>
      </w:r>
      <w:r w:rsidR="00305D78">
        <w:rPr>
          <w:rFonts w:cs="Arial"/>
          <w:color w:val="000000"/>
          <w:szCs w:val="14"/>
        </w:rPr>
        <w:t xml:space="preserve"> is developed</w:t>
      </w:r>
      <w:r w:rsidRPr="00D30F2A">
        <w:rPr>
          <w:rFonts w:cs="Arial"/>
          <w:color w:val="000000"/>
          <w:szCs w:val="14"/>
        </w:rPr>
        <w:t xml:space="preserve">. The model is </w:t>
      </w:r>
      <w:r w:rsidR="00AB3FF6">
        <w:rPr>
          <w:rFonts w:cs="Arial"/>
          <w:color w:val="000000"/>
          <w:szCs w:val="14"/>
        </w:rPr>
        <w:t>based on</w:t>
      </w:r>
      <w:r w:rsidRPr="00D30F2A">
        <w:rPr>
          <w:rFonts w:cs="Arial"/>
          <w:color w:val="000000"/>
          <w:szCs w:val="14"/>
        </w:rPr>
        <w:t xml:space="preserve"> </w:t>
      </w:r>
      <w:r w:rsidR="00A77E06">
        <w:rPr>
          <w:rFonts w:cs="Arial"/>
          <w:color w:val="000000"/>
          <w:szCs w:val="14"/>
        </w:rPr>
        <w:t xml:space="preserve">Monod kinetics for biomass growth and </w:t>
      </w:r>
      <w:r w:rsidRPr="00D30F2A">
        <w:rPr>
          <w:rFonts w:cs="Arial"/>
          <w:color w:val="000000"/>
          <w:szCs w:val="14"/>
        </w:rPr>
        <w:t>Michaelis-Menten kinetics</w:t>
      </w:r>
      <w:r w:rsidR="00A77E06">
        <w:rPr>
          <w:rFonts w:cs="Arial"/>
          <w:color w:val="000000"/>
          <w:szCs w:val="14"/>
        </w:rPr>
        <w:t xml:space="preserve"> for product formation</w:t>
      </w:r>
      <w:r w:rsidRPr="00D30F2A">
        <w:rPr>
          <w:rFonts w:cs="Arial"/>
          <w:color w:val="000000"/>
          <w:szCs w:val="14"/>
        </w:rPr>
        <w:t xml:space="preserve"> and was developed and </w:t>
      </w:r>
      <w:r w:rsidR="00305D78">
        <w:rPr>
          <w:rFonts w:cs="Arial"/>
          <w:color w:val="000000"/>
          <w:szCs w:val="14"/>
        </w:rPr>
        <w:t>calibrated</w:t>
      </w:r>
      <w:r w:rsidR="00305D78" w:rsidRPr="00D30F2A">
        <w:rPr>
          <w:rFonts w:cs="Arial"/>
          <w:color w:val="000000"/>
          <w:szCs w:val="14"/>
        </w:rPr>
        <w:t xml:space="preserve"> </w:t>
      </w:r>
      <w:r w:rsidRPr="00D30F2A">
        <w:rPr>
          <w:rFonts w:cs="Arial"/>
          <w:color w:val="000000"/>
          <w:szCs w:val="14"/>
        </w:rPr>
        <w:t>using data from a real industrial process.</w:t>
      </w:r>
    </w:p>
    <w:p w14:paraId="5741900F" w14:textId="1503D519" w:rsidR="00453E24" w:rsidRDefault="007C23DE" w:rsidP="00453E24">
      <w:pPr>
        <w:pStyle w:val="CETHeading1"/>
      </w:pPr>
      <w:r>
        <w:t>Methodology</w:t>
      </w:r>
    </w:p>
    <w:p w14:paraId="6DF8F49C" w14:textId="48209335" w:rsidR="00CA508C" w:rsidRPr="00CA508C" w:rsidRDefault="00AB3FF6" w:rsidP="00CA508C">
      <w:pPr>
        <w:pStyle w:val="CETheadingx"/>
      </w:pPr>
      <w:r>
        <w:t>Mathematical model</w:t>
      </w:r>
    </w:p>
    <w:p w14:paraId="1F360187" w14:textId="5B7D3611" w:rsidR="00847272" w:rsidRDefault="00F0222F" w:rsidP="00847272">
      <w:pPr>
        <w:pStyle w:val="CETBodytext"/>
        <w:rPr>
          <w:rFonts w:cstheme="minorHAnsi"/>
          <w:lang w:val="en-GB"/>
        </w:rPr>
      </w:pPr>
      <w:r>
        <w:rPr>
          <w:rFonts w:cstheme="minorHAnsi"/>
          <w:lang w:val="en-GB"/>
        </w:rPr>
        <w:t xml:space="preserve">The model </w:t>
      </w:r>
      <w:r w:rsidRPr="00DF116A">
        <w:rPr>
          <w:rFonts w:cstheme="minorHAnsi"/>
          <w:lang w:val="en-GB"/>
        </w:rPr>
        <w:t xml:space="preserve">provides a structured mathematical framework describing the relationships between substrate consumption, microbial growth, and </w:t>
      </w:r>
      <w:r w:rsidR="007E3B7B">
        <w:rPr>
          <w:rFonts w:cs="Arial"/>
          <w:color w:val="000000"/>
          <w:szCs w:val="14"/>
        </w:rPr>
        <w:t>molecule</w:t>
      </w:r>
      <w:r w:rsidRPr="00D30F2A">
        <w:rPr>
          <w:rFonts w:cs="Arial"/>
          <w:color w:val="000000"/>
          <w:szCs w:val="14"/>
        </w:rPr>
        <w:t xml:space="preserve"> </w:t>
      </w:r>
      <w:r w:rsidRPr="00DF116A">
        <w:rPr>
          <w:rFonts w:cstheme="minorHAnsi"/>
          <w:lang w:val="en-GB"/>
        </w:rPr>
        <w:t>production. The set of differential equations presented incorporates key biological kinetics and the process is modelled considering the fermentation process as composed by two distinct phases</w:t>
      </w:r>
      <w:r w:rsidR="002D1954">
        <w:rPr>
          <w:rFonts w:cstheme="minorHAnsi"/>
          <w:lang w:val="en-GB"/>
        </w:rPr>
        <w:t>. First,</w:t>
      </w:r>
      <w:r w:rsidR="0020213A">
        <w:rPr>
          <w:rFonts w:cstheme="minorHAnsi"/>
          <w:lang w:val="en-GB"/>
        </w:rPr>
        <w:t xml:space="preserve"> t</w:t>
      </w:r>
      <w:r w:rsidR="00847272">
        <w:rPr>
          <w:rFonts w:cstheme="minorHAnsi"/>
          <w:lang w:val="en-GB"/>
        </w:rPr>
        <w:t>he</w:t>
      </w:r>
      <w:r w:rsidRPr="00DF116A">
        <w:rPr>
          <w:rFonts w:cstheme="minorHAnsi"/>
          <w:lang w:val="en-GB"/>
        </w:rPr>
        <w:t xml:space="preserve"> </w:t>
      </w:r>
      <w:r w:rsidRPr="00DF116A">
        <w:rPr>
          <w:rFonts w:cstheme="minorHAnsi"/>
          <w:i/>
          <w:iCs/>
          <w:lang w:val="en-GB"/>
        </w:rPr>
        <w:t>microbial growth phase</w:t>
      </w:r>
      <w:r>
        <w:rPr>
          <w:rFonts w:cstheme="minorHAnsi"/>
          <w:lang w:val="en-GB"/>
        </w:rPr>
        <w:t>,</w:t>
      </w:r>
      <w:r w:rsidR="00847272">
        <w:rPr>
          <w:rFonts w:cstheme="minorHAnsi"/>
          <w:lang w:val="en-GB"/>
        </w:rPr>
        <w:t xml:space="preserve"> where the two main substrates – i.e. glycerol </w:t>
      </w:r>
      <w:r w:rsidR="001C1734" w:rsidRPr="00DF116A">
        <w:rPr>
          <w:rFonts w:cstheme="minorHAnsi"/>
          <w:lang w:val="en-GB"/>
        </w:rPr>
        <w:t>(</w:t>
      </w:r>
      <w:r w:rsidR="001C1734" w:rsidRPr="00187475">
        <w:rPr>
          <w:rFonts w:cstheme="minorHAnsi"/>
          <w:i/>
          <w:lang w:val="en-GB"/>
        </w:rPr>
        <w:t>S</w:t>
      </w:r>
      <w:r w:rsidR="001C1734" w:rsidRPr="00187475">
        <w:rPr>
          <w:rFonts w:cstheme="minorHAnsi"/>
          <w:i/>
          <w:vertAlign w:val="subscript"/>
          <w:lang w:val="en-GB"/>
        </w:rPr>
        <w:t>1</w:t>
      </w:r>
      <w:r w:rsidR="001C1734" w:rsidRPr="00DF116A">
        <w:rPr>
          <w:rFonts w:cstheme="minorHAnsi"/>
          <w:lang w:val="en-GB"/>
        </w:rPr>
        <w:t xml:space="preserve">) </w:t>
      </w:r>
      <w:r w:rsidR="00847272" w:rsidRPr="00187475">
        <w:rPr>
          <w:rFonts w:cstheme="minorHAnsi"/>
          <w:lang w:val="en-GB"/>
        </w:rPr>
        <w:t>and</w:t>
      </w:r>
      <w:r w:rsidR="00847272">
        <w:rPr>
          <w:rFonts w:cstheme="minorHAnsi"/>
          <w:lang w:val="en-GB"/>
        </w:rPr>
        <w:t xml:space="preserve"> oil</w:t>
      </w:r>
      <w:r w:rsidR="00187475">
        <w:rPr>
          <w:rFonts w:cstheme="minorHAnsi"/>
          <w:lang w:val="en-GB"/>
        </w:rPr>
        <w:t xml:space="preserve"> </w:t>
      </w:r>
      <w:r w:rsidR="001C1734" w:rsidRPr="00DF116A">
        <w:rPr>
          <w:rFonts w:cstheme="minorHAnsi"/>
          <w:lang w:val="en-GB"/>
        </w:rPr>
        <w:t>(</w:t>
      </w:r>
      <w:r w:rsidR="001C1734" w:rsidRPr="00187475">
        <w:rPr>
          <w:rFonts w:cstheme="minorHAnsi"/>
          <w:i/>
          <w:lang w:val="en-GB"/>
        </w:rPr>
        <w:t>S</w:t>
      </w:r>
      <w:r w:rsidR="001C1734" w:rsidRPr="00187475">
        <w:rPr>
          <w:rFonts w:cstheme="minorHAnsi"/>
          <w:i/>
          <w:vertAlign w:val="subscript"/>
          <w:lang w:val="en-GB"/>
        </w:rPr>
        <w:t>2</w:t>
      </w:r>
      <w:r w:rsidR="001C1734" w:rsidRPr="00DF116A">
        <w:rPr>
          <w:rFonts w:cstheme="minorHAnsi"/>
          <w:lang w:val="en-GB"/>
        </w:rPr>
        <w:t>)</w:t>
      </w:r>
      <w:r w:rsidR="003E5AE5">
        <w:rPr>
          <w:rFonts w:cstheme="minorHAnsi"/>
          <w:lang w:val="en-GB"/>
        </w:rPr>
        <w:t xml:space="preserve">, </w:t>
      </w:r>
      <w:r w:rsidR="002D1954">
        <w:rPr>
          <w:rFonts w:cstheme="minorHAnsi"/>
          <w:lang w:val="en-GB"/>
        </w:rPr>
        <w:t xml:space="preserve">which are </w:t>
      </w:r>
      <w:r w:rsidR="003E5AE5">
        <w:rPr>
          <w:rFonts w:cstheme="minorHAnsi"/>
          <w:lang w:val="en-GB"/>
        </w:rPr>
        <w:t>the preferred carbon sources of this specie</w:t>
      </w:r>
      <w:r w:rsidR="00185FD3">
        <w:rPr>
          <w:rFonts w:cstheme="minorHAnsi"/>
          <w:lang w:val="en-GB"/>
        </w:rPr>
        <w:t>s</w:t>
      </w:r>
      <w:r w:rsidR="003E5AE5">
        <w:rPr>
          <w:rFonts w:cstheme="minorHAnsi"/>
          <w:lang w:val="en-GB"/>
        </w:rPr>
        <w:t xml:space="preserve"> and the ones used i</w:t>
      </w:r>
      <w:r w:rsidR="003E5AE5" w:rsidRPr="003E5AE5">
        <w:rPr>
          <w:rFonts w:cstheme="minorHAnsi"/>
          <w:lang w:val="en-GB"/>
        </w:rPr>
        <w:t>n the industrial fed-batch process from which the calibration datasets originate</w:t>
      </w:r>
      <w:r w:rsidR="003E5AE5">
        <w:rPr>
          <w:rFonts w:cstheme="minorHAnsi"/>
          <w:lang w:val="en-GB"/>
        </w:rPr>
        <w:t xml:space="preserve"> </w:t>
      </w:r>
      <w:r w:rsidR="00187475">
        <w:rPr>
          <w:rFonts w:cstheme="minorHAnsi"/>
          <w:lang w:val="en-GB"/>
        </w:rPr>
        <w:t xml:space="preserve"> </w:t>
      </w:r>
      <w:r w:rsidR="00847272">
        <w:rPr>
          <w:rFonts w:cstheme="minorHAnsi"/>
          <w:lang w:val="en-GB"/>
        </w:rPr>
        <w:t>– are used to produce more biomass</w:t>
      </w:r>
      <w:r w:rsidR="00187475">
        <w:rPr>
          <w:rFonts w:cstheme="minorHAnsi"/>
          <w:lang w:val="en-GB"/>
        </w:rPr>
        <w:t xml:space="preserve"> </w:t>
      </w:r>
      <w:r w:rsidR="001C1734" w:rsidRPr="00DF116A">
        <w:rPr>
          <w:rFonts w:cstheme="minorHAnsi"/>
          <w:lang w:val="en-GB"/>
        </w:rPr>
        <w:t>(</w:t>
      </w:r>
      <w:r w:rsidR="001C1734" w:rsidRPr="00187475">
        <w:rPr>
          <w:rFonts w:cstheme="minorHAnsi"/>
          <w:i/>
          <w:lang w:val="en-GB"/>
        </w:rPr>
        <w:t>X</w:t>
      </w:r>
      <w:r w:rsidR="001C1734" w:rsidRPr="00DF116A">
        <w:rPr>
          <w:rFonts w:cstheme="minorHAnsi"/>
          <w:lang w:val="en-GB"/>
        </w:rPr>
        <w:t>)</w:t>
      </w:r>
      <w:r w:rsidR="00305D78">
        <w:rPr>
          <w:rFonts w:cstheme="minorHAnsi"/>
          <w:lang w:val="en-GB"/>
        </w:rPr>
        <w:t xml:space="preserve"> (</w:t>
      </w:r>
      <w:r w:rsidR="00187475">
        <w:rPr>
          <w:rFonts w:cstheme="minorHAnsi"/>
          <w:lang w:val="en-GB"/>
        </w:rPr>
        <w:t>E</w:t>
      </w:r>
      <w:r w:rsidR="00305D78">
        <w:rPr>
          <w:rFonts w:cstheme="minorHAnsi"/>
          <w:lang w:val="en-GB"/>
        </w:rPr>
        <w:t>q. 1)</w:t>
      </w:r>
      <w:r w:rsidR="002D1954">
        <w:rPr>
          <w:rFonts w:cstheme="minorHAnsi"/>
          <w:lang w:val="en-GB"/>
        </w:rPr>
        <w:t>; second,</w:t>
      </w:r>
      <w:r w:rsidR="00C46E28">
        <w:rPr>
          <w:rFonts w:cstheme="minorHAnsi"/>
          <w:lang w:val="en-GB"/>
        </w:rPr>
        <w:t xml:space="preserve"> the</w:t>
      </w:r>
      <w:r w:rsidRPr="00DF116A">
        <w:rPr>
          <w:rFonts w:cstheme="minorHAnsi"/>
          <w:lang w:val="en-GB"/>
        </w:rPr>
        <w:t xml:space="preserve"> </w:t>
      </w:r>
      <w:r w:rsidRPr="00DF116A">
        <w:rPr>
          <w:rFonts w:cstheme="minorHAnsi"/>
          <w:i/>
          <w:iCs/>
          <w:lang w:val="en-GB"/>
        </w:rPr>
        <w:t>stationary phase</w:t>
      </w:r>
      <w:r w:rsidRPr="00DF116A">
        <w:rPr>
          <w:rFonts w:cstheme="minorHAnsi"/>
          <w:lang w:val="en-GB"/>
        </w:rPr>
        <w:t>, when the microbial metabolism shifts toward the production of secondary metabolites</w:t>
      </w:r>
      <w:r w:rsidR="00187475">
        <w:rPr>
          <w:rFonts w:cstheme="minorHAnsi"/>
          <w:lang w:val="en-GB"/>
        </w:rPr>
        <w:t xml:space="preserve"> </w:t>
      </w:r>
      <w:r w:rsidR="001C1734" w:rsidRPr="00DF116A">
        <w:rPr>
          <w:rFonts w:cstheme="minorHAnsi"/>
          <w:lang w:val="en-GB"/>
        </w:rPr>
        <w:t>(</w:t>
      </w:r>
      <w:r w:rsidR="001C1734" w:rsidRPr="00187475">
        <w:rPr>
          <w:rFonts w:cstheme="minorHAnsi"/>
          <w:i/>
          <w:lang w:val="en-GB"/>
        </w:rPr>
        <w:t>P</w:t>
      </w:r>
      <w:r w:rsidR="001C1734" w:rsidRPr="00DF116A">
        <w:rPr>
          <w:rFonts w:cstheme="minorHAnsi"/>
          <w:lang w:val="en-GB"/>
        </w:rPr>
        <w:t>)</w:t>
      </w:r>
      <w:r w:rsidR="00932612">
        <w:rPr>
          <w:rFonts w:cstheme="minorHAnsi"/>
          <w:lang w:val="en-GB"/>
        </w:rPr>
        <w:t xml:space="preserve"> using the same two substrates and the previously produced biomass as catalyst</w:t>
      </w:r>
      <w:r w:rsidR="00305D78">
        <w:rPr>
          <w:rFonts w:cstheme="minorHAnsi"/>
          <w:lang w:val="en-GB"/>
        </w:rPr>
        <w:t xml:space="preserve"> (eq</w:t>
      </w:r>
      <w:r w:rsidR="00EB6CC9">
        <w:rPr>
          <w:rFonts w:cstheme="minorHAnsi"/>
          <w:lang w:val="en-GB"/>
        </w:rPr>
        <w:t xml:space="preserve">. 2 and 3, where </w:t>
      </w:r>
      <m:oMath>
        <m:sSub>
          <m:sSubPr>
            <m:ctrlPr>
              <w:rPr>
                <w:rFonts w:ascii="Cambria Math" w:eastAsiaTheme="minorEastAsia" w:hAnsi="Cambria Math" w:cstheme="minorHAnsi"/>
                <w:i/>
              </w:rPr>
            </m:ctrlPr>
          </m:sSubPr>
          <m:e>
            <m:r>
              <w:rPr>
                <w:rFonts w:ascii="Cambria Math" w:eastAsiaTheme="minorEastAsia" w:hAnsi="Cambria Math" w:cstheme="minorHAnsi"/>
              </w:rPr>
              <m:t>β</m:t>
            </m:r>
          </m:e>
          <m:sub>
            <m:r>
              <w:rPr>
                <w:rFonts w:ascii="Cambria Math" w:eastAsiaTheme="minorEastAsia" w:hAnsi="Cambria Math" w:cstheme="minorHAnsi"/>
              </w:rPr>
              <m:t>i</m:t>
            </m:r>
          </m:sub>
        </m:sSub>
      </m:oMath>
      <w:r w:rsidR="00EB6CC9">
        <w:rPr>
          <w:rFonts w:cstheme="minorHAnsi"/>
        </w:rPr>
        <w:t xml:space="preserve"> </w:t>
      </w:r>
      <w:r w:rsidR="00800F16" w:rsidRPr="00C92DD6">
        <w:rPr>
          <w:lang w:val="en-GB"/>
        </w:rPr>
        <w:t>[</w:t>
      </w:r>
      <w:proofErr w:type="spellStart"/>
      <w:r w:rsidR="00800F16">
        <w:t>g</w:t>
      </w:r>
      <w:r w:rsidR="00800F16">
        <w:rPr>
          <w:vertAlign w:val="subscript"/>
        </w:rPr>
        <w:t>P</w:t>
      </w:r>
      <w:proofErr w:type="spellEnd"/>
      <w:r w:rsidR="00800F16">
        <w:t>/</w:t>
      </w:r>
      <w:proofErr w:type="spellStart"/>
      <w:r w:rsidR="00800F16">
        <w:t>g</w:t>
      </w:r>
      <w:r w:rsidR="00551876">
        <w:rPr>
          <w:vertAlign w:val="subscript"/>
        </w:rPr>
        <w:t>S</w:t>
      </w:r>
      <w:r w:rsidR="00800F16">
        <w:rPr>
          <w:vertAlign w:val="subscript"/>
        </w:rPr>
        <w:t>i</w:t>
      </w:r>
      <w:proofErr w:type="spellEnd"/>
      <w:r w:rsidR="00800F16" w:rsidRPr="00C92DD6">
        <w:rPr>
          <w:lang w:val="en-GB"/>
        </w:rPr>
        <w:t>]</w:t>
      </w:r>
      <w:r w:rsidR="00800F16">
        <w:rPr>
          <w:lang w:val="en-GB"/>
        </w:rPr>
        <w:t xml:space="preserve"> </w:t>
      </w:r>
      <w:r w:rsidR="00EB6CC9">
        <w:rPr>
          <w:rFonts w:cstheme="minorHAnsi"/>
        </w:rPr>
        <w:t>indicates</w:t>
      </w:r>
      <w:r w:rsidR="00187475">
        <w:rPr>
          <w:rFonts w:cstheme="minorHAnsi"/>
        </w:rPr>
        <w:t xml:space="preserve"> </w:t>
      </w:r>
      <w:r w:rsidR="00187475" w:rsidRPr="008417B2">
        <w:t>the st</w:t>
      </w:r>
      <w:r w:rsidR="00187475">
        <w:t>oi</w:t>
      </w:r>
      <w:r w:rsidR="00187475" w:rsidRPr="008417B2">
        <w:t>chiometric coefficient</w:t>
      </w:r>
      <w:r w:rsidR="00187475">
        <w:t>s</w:t>
      </w:r>
      <w:r w:rsidR="00187475" w:rsidRPr="008417B2">
        <w:t xml:space="preserve"> describing the amount of </w:t>
      </w:r>
      <w:r w:rsidR="00187475">
        <w:rPr>
          <w:rFonts w:cs="Arial"/>
          <w:color w:val="000000"/>
          <w:szCs w:val="14"/>
        </w:rPr>
        <w:t>product</w:t>
      </w:r>
      <w:r w:rsidR="00187475" w:rsidRPr="008417B2">
        <w:t xml:space="preserve"> generated per unit of converted substrate</w:t>
      </w:r>
      <w:r w:rsidR="00EB6CC9">
        <w:rPr>
          <w:rFonts w:cstheme="minorHAnsi"/>
          <w:lang w:val="en-GB"/>
        </w:rPr>
        <w:t>)</w:t>
      </w:r>
      <w:r w:rsidRPr="00DF116A">
        <w:rPr>
          <w:rFonts w:cstheme="minorHAnsi"/>
          <w:lang w:val="en-GB"/>
        </w:rPr>
        <w:t xml:space="preserve">. Each of these stages is characterized by specific kinetic parameters and substrate consumption rates. </w:t>
      </w:r>
    </w:p>
    <w:tbl>
      <w:tblPr>
        <w:tblW w:w="5000" w:type="pct"/>
        <w:tblLook w:val="04A0" w:firstRow="1" w:lastRow="0" w:firstColumn="1" w:lastColumn="0" w:noHBand="0" w:noVBand="1"/>
      </w:tblPr>
      <w:tblGrid>
        <w:gridCol w:w="7986"/>
        <w:gridCol w:w="801"/>
      </w:tblGrid>
      <w:tr w:rsidR="00D31C84" w:rsidRPr="00B57B36" w14:paraId="54BE5C14" w14:textId="77777777" w:rsidTr="003600C1">
        <w:tc>
          <w:tcPr>
            <w:tcW w:w="7986" w:type="dxa"/>
            <w:vAlign w:val="center"/>
          </w:tcPr>
          <w:p w14:paraId="75E56764" w14:textId="77777777" w:rsidR="00847272" w:rsidRPr="00120548" w:rsidRDefault="00000000" w:rsidP="003600C1">
            <w:pPr>
              <w:pStyle w:val="CETEquation"/>
            </w:pPr>
            <m:oMathPara>
              <m:oMathParaPr>
                <m:jc m:val="left"/>
              </m:oMathParaPr>
              <m:oMath>
                <m:sSub>
                  <m:sSubPr>
                    <m:ctrlPr>
                      <w:rPr>
                        <w:rFonts w:ascii="Cambria Math" w:hAnsi="Cambria Math"/>
                      </w:rPr>
                    </m:ctrlPr>
                  </m:sSubPr>
                  <m:e>
                    <m:r>
                      <w:rPr>
                        <w:rFonts w:ascii="Cambria Math" w:hAnsi="Cambria Math"/>
                      </w:rPr>
                      <m:t>S</m:t>
                    </m:r>
                  </m:e>
                  <m:sub>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S</m:t>
                    </m:r>
                  </m:e>
                  <m:sub>
                    <m:r>
                      <m:rPr>
                        <m:sty m:val="p"/>
                      </m:rPr>
                      <w:rPr>
                        <w:rFonts w:ascii="Cambria Math" w:hAnsi="Cambria Math"/>
                      </w:rPr>
                      <m:t>2</m:t>
                    </m:r>
                  </m:sub>
                </m:sSub>
                <m:r>
                  <m:rPr>
                    <m:sty m:val="p"/>
                  </m:rPr>
                  <w:rPr>
                    <w:rFonts w:ascii="Cambria Math" w:hAnsi="Cambria Math"/>
                  </w:rPr>
                  <m:t>→</m:t>
                </m:r>
                <m:r>
                  <w:rPr>
                    <w:rFonts w:ascii="Cambria Math" w:hAnsi="Cambria Math"/>
                  </w:rPr>
                  <m:t>X</m:t>
                </m:r>
              </m:oMath>
            </m:oMathPara>
          </w:p>
        </w:tc>
        <w:tc>
          <w:tcPr>
            <w:tcW w:w="801" w:type="dxa"/>
            <w:vAlign w:val="center"/>
          </w:tcPr>
          <w:p w14:paraId="7CBC4EE0" w14:textId="77777777" w:rsidR="00847272" w:rsidRPr="00F0222F" w:rsidRDefault="00847272" w:rsidP="003600C1">
            <w:pPr>
              <w:pStyle w:val="CETEquation"/>
              <w:jc w:val="right"/>
              <w:rPr>
                <w:lang w:val="en-US"/>
              </w:rPr>
            </w:pPr>
            <w:r w:rsidRPr="00F0222F">
              <w:rPr>
                <w:lang w:val="en-US"/>
              </w:rPr>
              <w:t>(</w:t>
            </w:r>
            <w:r>
              <w:rPr>
                <w:lang w:val="en-US"/>
              </w:rPr>
              <w:t>1</w:t>
            </w:r>
            <w:r w:rsidRPr="00F0222F">
              <w:rPr>
                <w:lang w:val="en-US"/>
              </w:rPr>
              <w:t>)</w:t>
            </w:r>
          </w:p>
        </w:tc>
      </w:tr>
      <w:tr w:rsidR="00D31C84" w:rsidRPr="00B57B36" w14:paraId="0032A224" w14:textId="77777777" w:rsidTr="003600C1">
        <w:tc>
          <w:tcPr>
            <w:tcW w:w="7986" w:type="dxa"/>
            <w:vAlign w:val="center"/>
          </w:tcPr>
          <w:p w14:paraId="0C30E872" w14:textId="0B9C7109" w:rsidR="00847272" w:rsidRPr="00120548" w:rsidRDefault="00000000" w:rsidP="003600C1">
            <w:pPr>
              <w:pStyle w:val="CETEquation"/>
              <w:rPr>
                <w:noProof/>
                <w:lang w:val="en-US" w:eastAsia="it-IT"/>
              </w:rPr>
            </w:pPr>
            <m:oMathPara>
              <m:oMathParaPr>
                <m:jc m:val="left"/>
              </m:oMathParaPr>
              <m:oMath>
                <m:sSub>
                  <m:sSubPr>
                    <m:ctrlPr>
                      <w:rPr>
                        <w:rFonts w:ascii="Cambria Math" w:eastAsiaTheme="minorEastAsia" w:hAnsi="Cambria Math" w:cstheme="minorHAnsi"/>
                        <w:i/>
                      </w:rPr>
                    </m:ctrlPr>
                  </m:sSubPr>
                  <m:e>
                    <m:r>
                      <w:rPr>
                        <w:rFonts w:ascii="Cambria Math" w:eastAsiaTheme="minorEastAsia" w:hAnsi="Cambria Math" w:cstheme="minorHAnsi"/>
                      </w:rPr>
                      <m:t>S</m:t>
                    </m:r>
                  </m:e>
                  <m:sub>
                    <m:r>
                      <w:rPr>
                        <w:rFonts w:ascii="Cambria Math" w:eastAsiaTheme="minorEastAsia" w:hAnsi="Cambria Math" w:cstheme="minorHAnsi"/>
                      </w:rPr>
                      <m:t>1</m:t>
                    </m:r>
                  </m:sub>
                </m:sSub>
                <m:box>
                  <m:boxPr>
                    <m:opEmu m:val="1"/>
                    <m:ctrlPr>
                      <w:rPr>
                        <w:rFonts w:ascii="Cambria Math" w:eastAsiaTheme="minorEastAsia" w:hAnsi="Cambria Math" w:cstheme="minorHAnsi"/>
                        <w:i/>
                      </w:rPr>
                    </m:ctrlPr>
                  </m:boxPr>
                  <m:e>
                    <m:box>
                      <m:boxPr>
                        <m:opEmu m:val="1"/>
                        <m:ctrlPr>
                          <w:rPr>
                            <w:rFonts w:ascii="Cambria Math" w:eastAsiaTheme="minorEastAsia" w:hAnsi="Cambria Math" w:cstheme="minorHAnsi"/>
                            <w:i/>
                          </w:rPr>
                        </m:ctrlPr>
                      </m:boxPr>
                      <m:e>
                        <m:groupChr>
                          <m:groupChrPr>
                            <m:chr m:val="→"/>
                            <m:vertJc m:val="bot"/>
                            <m:ctrlPr>
                              <w:rPr>
                                <w:rFonts w:ascii="Cambria Math" w:eastAsiaTheme="minorEastAsia" w:hAnsi="Cambria Math" w:cstheme="minorHAnsi"/>
                                <w:i/>
                              </w:rPr>
                            </m:ctrlPr>
                          </m:groupChrPr>
                          <m:e>
                            <m:r>
                              <w:rPr>
                                <w:rFonts w:ascii="Cambria Math" w:eastAsiaTheme="minorEastAsia" w:hAnsi="Cambria Math" w:cstheme="minorHAnsi"/>
                              </w:rPr>
                              <m:t>X</m:t>
                            </m:r>
                          </m:e>
                        </m:groupChr>
                        <m:sSub>
                          <m:sSubPr>
                            <m:ctrlPr>
                              <w:rPr>
                                <w:rFonts w:ascii="Cambria Math" w:eastAsiaTheme="minorEastAsia" w:hAnsi="Cambria Math" w:cstheme="minorHAnsi"/>
                                <w:i/>
                              </w:rPr>
                            </m:ctrlPr>
                          </m:sSubPr>
                          <m:e>
                            <m:r>
                              <w:rPr>
                                <w:rFonts w:ascii="Cambria Math" w:eastAsiaTheme="minorEastAsia" w:hAnsi="Cambria Math" w:cstheme="minorHAnsi"/>
                              </w:rPr>
                              <m:t>β</m:t>
                            </m:r>
                          </m:e>
                          <m:sub>
                            <m:r>
                              <w:rPr>
                                <w:rFonts w:ascii="Cambria Math" w:eastAsiaTheme="minorEastAsia" w:hAnsi="Cambria Math" w:cstheme="minorHAnsi"/>
                              </w:rPr>
                              <m:t>1</m:t>
                            </m:r>
                          </m:sub>
                        </m:sSub>
                        <m:r>
                          <w:rPr>
                            <w:rFonts w:ascii="Cambria Math" w:eastAsiaTheme="minorEastAsia" w:hAnsi="Cambria Math" w:cstheme="minorHAnsi"/>
                          </w:rPr>
                          <m:t>*P</m:t>
                        </m:r>
                      </m:e>
                    </m:box>
                  </m:e>
                </m:box>
              </m:oMath>
            </m:oMathPara>
          </w:p>
        </w:tc>
        <w:tc>
          <w:tcPr>
            <w:tcW w:w="801" w:type="dxa"/>
            <w:vAlign w:val="center"/>
          </w:tcPr>
          <w:p w14:paraId="4B522233" w14:textId="77777777" w:rsidR="00847272" w:rsidRPr="00F0222F" w:rsidRDefault="00847272" w:rsidP="003600C1">
            <w:pPr>
              <w:pStyle w:val="CETEquation"/>
              <w:jc w:val="right"/>
              <w:rPr>
                <w:lang w:val="en-US"/>
              </w:rPr>
            </w:pPr>
            <w:r w:rsidRPr="00F0222F">
              <w:rPr>
                <w:lang w:val="en-US"/>
              </w:rPr>
              <w:t>(2)</w:t>
            </w:r>
          </w:p>
        </w:tc>
      </w:tr>
      <w:tr w:rsidR="00D31C84" w:rsidRPr="00B57B36" w14:paraId="68FC6D4E" w14:textId="77777777" w:rsidTr="003600C1">
        <w:tc>
          <w:tcPr>
            <w:tcW w:w="7986" w:type="dxa"/>
            <w:vAlign w:val="center"/>
          </w:tcPr>
          <w:p w14:paraId="1F61B0A3" w14:textId="6FC697A5" w:rsidR="00847272" w:rsidRPr="00120548" w:rsidRDefault="00000000" w:rsidP="003600C1">
            <w:pPr>
              <w:pStyle w:val="CETEquation"/>
              <w:rPr>
                <w:noProof/>
                <w:lang w:val="en-US" w:eastAsia="it-IT"/>
              </w:rPr>
            </w:pPr>
            <m:oMathPara>
              <m:oMathParaPr>
                <m:jc m:val="left"/>
              </m:oMathParaPr>
              <m:oMath>
                <m:sSub>
                  <m:sSubPr>
                    <m:ctrlPr>
                      <w:rPr>
                        <w:rFonts w:ascii="Cambria Math" w:eastAsiaTheme="minorEastAsia" w:hAnsi="Cambria Math" w:cstheme="minorHAnsi"/>
                        <w:i/>
                      </w:rPr>
                    </m:ctrlPr>
                  </m:sSubPr>
                  <m:e>
                    <m:r>
                      <w:rPr>
                        <w:rFonts w:ascii="Cambria Math" w:eastAsiaTheme="minorEastAsia" w:hAnsi="Cambria Math" w:cstheme="minorHAnsi"/>
                      </w:rPr>
                      <m:t>S</m:t>
                    </m:r>
                  </m:e>
                  <m:sub>
                    <m:r>
                      <w:rPr>
                        <w:rFonts w:ascii="Cambria Math" w:eastAsiaTheme="minorEastAsia" w:hAnsi="Cambria Math" w:cstheme="minorHAnsi"/>
                      </w:rPr>
                      <m:t>2</m:t>
                    </m:r>
                  </m:sub>
                </m:sSub>
                <m:box>
                  <m:boxPr>
                    <m:opEmu m:val="1"/>
                    <m:ctrlPr>
                      <w:rPr>
                        <w:rFonts w:ascii="Cambria Math" w:eastAsiaTheme="minorEastAsia" w:hAnsi="Cambria Math" w:cstheme="minorHAnsi"/>
                        <w:i/>
                      </w:rPr>
                    </m:ctrlPr>
                  </m:boxPr>
                  <m:e>
                    <m:groupChr>
                      <m:groupChrPr>
                        <m:chr m:val="→"/>
                        <m:vertJc m:val="bot"/>
                        <m:ctrlPr>
                          <w:rPr>
                            <w:rFonts w:ascii="Cambria Math" w:eastAsiaTheme="minorEastAsia" w:hAnsi="Cambria Math" w:cstheme="minorHAnsi"/>
                            <w:i/>
                          </w:rPr>
                        </m:ctrlPr>
                      </m:groupChrPr>
                      <m:e>
                        <m:r>
                          <w:rPr>
                            <w:rFonts w:ascii="Cambria Math" w:eastAsiaTheme="minorEastAsia" w:hAnsi="Cambria Math" w:cstheme="minorHAnsi"/>
                          </w:rPr>
                          <m:t>X</m:t>
                        </m:r>
                      </m:e>
                    </m:groupChr>
                    <m:sSub>
                      <m:sSubPr>
                        <m:ctrlPr>
                          <w:rPr>
                            <w:rFonts w:ascii="Cambria Math" w:eastAsiaTheme="minorEastAsia" w:hAnsi="Cambria Math" w:cstheme="minorHAnsi"/>
                            <w:i/>
                          </w:rPr>
                        </m:ctrlPr>
                      </m:sSubPr>
                      <m:e>
                        <m:r>
                          <w:rPr>
                            <w:rFonts w:ascii="Cambria Math" w:eastAsiaTheme="minorEastAsia" w:hAnsi="Cambria Math" w:cstheme="minorHAnsi"/>
                          </w:rPr>
                          <m:t>β</m:t>
                        </m:r>
                      </m:e>
                      <m:sub>
                        <m:r>
                          <w:rPr>
                            <w:rFonts w:ascii="Cambria Math" w:eastAsiaTheme="minorEastAsia" w:hAnsi="Cambria Math" w:cstheme="minorHAnsi"/>
                          </w:rPr>
                          <m:t>2</m:t>
                        </m:r>
                      </m:sub>
                    </m:sSub>
                  </m:e>
                </m:box>
                <m:r>
                  <w:rPr>
                    <w:rFonts w:ascii="Cambria Math" w:eastAsiaTheme="minorEastAsia" w:hAnsi="Cambria Math" w:cstheme="minorHAnsi"/>
                  </w:rPr>
                  <m:t>*P</m:t>
                </m:r>
              </m:oMath>
            </m:oMathPara>
          </w:p>
        </w:tc>
        <w:tc>
          <w:tcPr>
            <w:tcW w:w="801" w:type="dxa"/>
            <w:vAlign w:val="center"/>
          </w:tcPr>
          <w:p w14:paraId="01C20EE5" w14:textId="77777777" w:rsidR="00847272" w:rsidRPr="00F0222F" w:rsidRDefault="00847272" w:rsidP="003600C1">
            <w:pPr>
              <w:pStyle w:val="CETEquation"/>
              <w:jc w:val="right"/>
              <w:rPr>
                <w:lang w:val="en-US"/>
              </w:rPr>
            </w:pPr>
            <w:r w:rsidRPr="00F0222F">
              <w:rPr>
                <w:lang w:val="en-US"/>
              </w:rPr>
              <w:t>(</w:t>
            </w:r>
            <w:r>
              <w:rPr>
                <w:lang w:val="en-US"/>
              </w:rPr>
              <w:t>3</w:t>
            </w:r>
            <w:r w:rsidRPr="00F0222F">
              <w:rPr>
                <w:lang w:val="en-US"/>
              </w:rPr>
              <w:t>)</w:t>
            </w:r>
          </w:p>
        </w:tc>
      </w:tr>
    </w:tbl>
    <w:p w14:paraId="0ADB9911" w14:textId="49EC2B8F" w:rsidR="00C46E28" w:rsidRDefault="00F0222F" w:rsidP="00453E24">
      <w:pPr>
        <w:pStyle w:val="CETBodytext"/>
        <w:rPr>
          <w:rFonts w:cstheme="minorHAnsi"/>
          <w:lang w:val="en-GB"/>
        </w:rPr>
      </w:pPr>
      <w:r w:rsidRPr="00DF116A">
        <w:rPr>
          <w:rFonts w:cstheme="minorHAnsi"/>
          <w:lang w:val="en-GB"/>
        </w:rPr>
        <w:t xml:space="preserve">The </w:t>
      </w:r>
      <w:r w:rsidR="00AF1028">
        <w:rPr>
          <w:rFonts w:cstheme="minorHAnsi"/>
          <w:lang w:val="en-GB"/>
        </w:rPr>
        <w:t xml:space="preserve">mass </w:t>
      </w:r>
      <w:r w:rsidR="00185FD3">
        <w:rPr>
          <w:rFonts w:cstheme="minorHAnsi"/>
          <w:lang w:val="en-GB"/>
        </w:rPr>
        <w:t xml:space="preserve">evolution over </w:t>
      </w:r>
      <w:r w:rsidRPr="00DF116A">
        <w:rPr>
          <w:rFonts w:cstheme="minorHAnsi"/>
          <w:lang w:val="en-GB"/>
        </w:rPr>
        <w:t xml:space="preserve">time </w:t>
      </w:r>
      <w:r w:rsidR="00185FD3">
        <w:rPr>
          <w:rFonts w:cstheme="minorHAnsi"/>
          <w:lang w:val="en-GB"/>
        </w:rPr>
        <w:t>of</w:t>
      </w:r>
      <w:r w:rsidRPr="00DF116A">
        <w:rPr>
          <w:rFonts w:cstheme="minorHAnsi"/>
          <w:lang w:val="en-GB"/>
        </w:rPr>
        <w:t xml:space="preserve"> each system component</w:t>
      </w:r>
      <w:r w:rsidR="00185FD3">
        <w:rPr>
          <w:rFonts w:cstheme="minorHAnsi"/>
          <w:lang w:val="en-GB"/>
        </w:rPr>
        <w:t xml:space="preserve"> -</w:t>
      </w:r>
      <w:r w:rsidRPr="00DF116A">
        <w:rPr>
          <w:rFonts w:cstheme="minorHAnsi"/>
          <w:lang w:val="en-GB"/>
        </w:rPr>
        <w:t xml:space="preserve"> i.e. biomass, glycerol</w:t>
      </w:r>
      <w:r w:rsidR="006E4719">
        <w:rPr>
          <w:rFonts w:cstheme="minorHAnsi"/>
          <w:lang w:val="en-GB"/>
        </w:rPr>
        <w:t>,</w:t>
      </w:r>
      <w:r w:rsidRPr="00DF116A">
        <w:rPr>
          <w:rFonts w:cstheme="minorHAnsi"/>
          <w:lang w:val="en-GB"/>
        </w:rPr>
        <w:t xml:space="preserve"> soybean oil</w:t>
      </w:r>
      <w:r w:rsidR="006E4719">
        <w:rPr>
          <w:rFonts w:cstheme="minorHAnsi"/>
          <w:lang w:val="en-GB"/>
        </w:rPr>
        <w:t>, and product</w:t>
      </w:r>
      <w:r w:rsidRPr="00DF116A">
        <w:rPr>
          <w:rFonts w:cstheme="minorHAnsi"/>
          <w:lang w:val="en-GB"/>
        </w:rPr>
        <w:t xml:space="preserve"> </w:t>
      </w:r>
      <w:r w:rsidR="00185FD3">
        <w:rPr>
          <w:rFonts w:cstheme="minorHAnsi"/>
          <w:lang w:val="en-GB"/>
        </w:rPr>
        <w:t xml:space="preserve">- </w:t>
      </w:r>
      <w:r w:rsidRPr="00DF116A">
        <w:rPr>
          <w:rFonts w:cstheme="minorHAnsi"/>
          <w:lang w:val="en-GB"/>
        </w:rPr>
        <w:t>is described through a system of</w:t>
      </w:r>
      <w:r w:rsidR="007E3B7B">
        <w:rPr>
          <w:rFonts w:cstheme="minorHAnsi"/>
          <w:lang w:val="en-GB"/>
        </w:rPr>
        <w:t xml:space="preserve"> four</w:t>
      </w:r>
      <w:r w:rsidRPr="00DF116A">
        <w:rPr>
          <w:rFonts w:cstheme="minorHAnsi"/>
          <w:lang w:val="en-GB"/>
        </w:rPr>
        <w:t xml:space="preserve"> ordinary differential equations (ODEs)</w:t>
      </w:r>
      <w:r w:rsidR="00AF1028">
        <w:rPr>
          <w:rFonts w:cstheme="minorHAnsi"/>
          <w:lang w:val="en-GB"/>
        </w:rPr>
        <w:t>, developed specifically for this process</w:t>
      </w:r>
      <w:r w:rsidR="007E3B7B">
        <w:rPr>
          <w:rFonts w:cstheme="minorHAnsi"/>
          <w:lang w:val="en-GB"/>
        </w:rPr>
        <w:t xml:space="preserve">. A fifth equation, describing the time evolution of the </w:t>
      </w:r>
      <w:r w:rsidR="00226518">
        <w:rPr>
          <w:rFonts w:cstheme="minorHAnsi"/>
          <w:lang w:val="en-GB"/>
        </w:rPr>
        <w:t>total mass</w:t>
      </w:r>
      <w:r w:rsidR="007E3B7B">
        <w:rPr>
          <w:rFonts w:cstheme="minorHAnsi"/>
          <w:lang w:val="en-GB"/>
        </w:rPr>
        <w:t>, is present as well</w:t>
      </w:r>
      <w:r w:rsidR="00C46E28">
        <w:rPr>
          <w:rFonts w:cstheme="minorHAnsi"/>
          <w:lang w:val="en-GB"/>
        </w:rPr>
        <w:t xml:space="preserve"> (Eq. 4 to 8)</w:t>
      </w:r>
      <w:r w:rsidR="007E3B7B">
        <w:rPr>
          <w:rFonts w:cstheme="minorHAnsi"/>
          <w:lang w:val="en-GB"/>
        </w:rPr>
        <w:t>.</w:t>
      </w:r>
    </w:p>
    <w:tbl>
      <w:tblPr>
        <w:tblW w:w="5000" w:type="pct"/>
        <w:tblLook w:val="04A0" w:firstRow="1" w:lastRow="0" w:firstColumn="1" w:lastColumn="0" w:noHBand="0" w:noVBand="1"/>
      </w:tblPr>
      <w:tblGrid>
        <w:gridCol w:w="7986"/>
        <w:gridCol w:w="801"/>
      </w:tblGrid>
      <w:tr w:rsidR="00C46E28" w:rsidRPr="00EE6CC2" w14:paraId="14077246" w14:textId="77777777" w:rsidTr="003600C1">
        <w:tc>
          <w:tcPr>
            <w:tcW w:w="7986" w:type="dxa"/>
            <w:vAlign w:val="center"/>
          </w:tcPr>
          <w:p w14:paraId="2448396C" w14:textId="77777777" w:rsidR="00C46E28" w:rsidRPr="00EE6CC2" w:rsidRDefault="00000000" w:rsidP="003600C1">
            <w:pPr>
              <w:pStyle w:val="CETEquation"/>
            </w:pPr>
            <m:oMathPara>
              <m:oMathParaPr>
                <m:jc m:val="left"/>
              </m:oMathParaPr>
              <m:oMath>
                <m:f>
                  <m:fPr>
                    <m:ctrlPr>
                      <w:rPr>
                        <w:rFonts w:ascii="Cambria Math" w:hAnsi="Cambria Math"/>
                      </w:rPr>
                    </m:ctrlPr>
                  </m:fPr>
                  <m:num>
                    <m:r>
                      <w:rPr>
                        <w:rFonts w:ascii="Cambria Math" w:hAnsi="Cambria Math"/>
                      </w:rPr>
                      <m:t>d</m:t>
                    </m:r>
                    <m:sSub>
                      <m:sSubPr>
                        <m:ctrlPr>
                          <w:rPr>
                            <w:rFonts w:ascii="Cambria Math" w:hAnsi="Cambria Math"/>
                          </w:rPr>
                        </m:ctrlPr>
                      </m:sSubPr>
                      <m:e>
                        <m:r>
                          <w:rPr>
                            <w:rFonts w:ascii="Cambria Math" w:hAnsi="Cambria Math"/>
                          </w:rPr>
                          <m:t>m</m:t>
                        </m:r>
                      </m:e>
                      <m:sub>
                        <m:r>
                          <w:rPr>
                            <w:rFonts w:ascii="Cambria Math" w:hAnsi="Cambria Math"/>
                          </w:rPr>
                          <m:t>x</m:t>
                        </m:r>
                      </m:sub>
                    </m:sSub>
                  </m:num>
                  <m:den>
                    <m:r>
                      <w:rPr>
                        <w:rFonts w:ascii="Cambria Math" w:hAnsi="Cambria Math"/>
                      </w:rPr>
                      <m:t>dt</m:t>
                    </m:r>
                  </m:den>
                </m:f>
                <m:r>
                  <m:rPr>
                    <m:sty m:val="p"/>
                  </m:rPr>
                  <w:rPr>
                    <w:rFonts w:ascii="Cambria Math" w:hAnsi="Cambria Math"/>
                  </w:rPr>
                  <m:t>=</m:t>
                </m:r>
                <m:sSub>
                  <m:sSubPr>
                    <m:ctrlPr>
                      <w:rPr>
                        <w:rFonts w:ascii="Cambria Math" w:hAnsi="Cambria Math"/>
                      </w:rPr>
                    </m:ctrlPr>
                  </m:sSubPr>
                  <m:e>
                    <m:r>
                      <w:rPr>
                        <w:rFonts w:ascii="Cambria Math" w:hAnsi="Cambria Math"/>
                      </w:rPr>
                      <m:t>μ</m:t>
                    </m:r>
                  </m:e>
                  <m:sub>
                    <m:r>
                      <w:rPr>
                        <w:rFonts w:ascii="Cambria Math" w:hAnsi="Cambria Math"/>
                      </w:rPr>
                      <m:t>max</m:t>
                    </m:r>
                  </m:sub>
                </m:sSub>
                <m:sSub>
                  <m:sSubPr>
                    <m:ctrlPr>
                      <w:rPr>
                        <w:rFonts w:ascii="Cambria Math" w:hAnsi="Cambria Math"/>
                      </w:rPr>
                    </m:ctrlPr>
                  </m:sSubPr>
                  <m:e>
                    <m:r>
                      <w:rPr>
                        <w:rFonts w:ascii="Cambria Math" w:hAnsi="Cambria Math"/>
                      </w:rPr>
                      <m:t>C</m:t>
                    </m:r>
                  </m:e>
                  <m:sub>
                    <m:r>
                      <w:rPr>
                        <w:rFonts w:ascii="Cambria Math" w:hAnsi="Cambria Math"/>
                      </w:rPr>
                      <m:t>x</m:t>
                    </m:r>
                  </m:sub>
                </m:sSub>
                <m:sSub>
                  <m:sSubPr>
                    <m:ctrlPr>
                      <w:rPr>
                        <w:rFonts w:ascii="Cambria Math" w:hAnsi="Cambria Math"/>
                      </w:rPr>
                    </m:ctrlPr>
                  </m:sSubPr>
                  <m:e>
                    <m:r>
                      <w:rPr>
                        <w:rFonts w:ascii="Cambria Math" w:hAnsi="Cambria Math"/>
                      </w:rPr>
                      <m:t>V</m:t>
                    </m:r>
                  </m:e>
                  <m:sub>
                    <m:r>
                      <w:rPr>
                        <w:rFonts w:ascii="Cambria Math" w:hAnsi="Cambria Math"/>
                      </w:rPr>
                      <m:t>r</m:t>
                    </m:r>
                  </m:sub>
                </m:sSub>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C</m:t>
                            </m:r>
                          </m:e>
                          <m:sub>
                            <m:r>
                              <w:rPr>
                                <w:rFonts w:ascii="Cambria Math" w:hAnsi="Cambria Math"/>
                              </w:rPr>
                              <m:t>s</m:t>
                            </m:r>
                            <m:r>
                              <m:rPr>
                                <m:sty m:val="p"/>
                              </m:rPr>
                              <w:rPr>
                                <w:rFonts w:ascii="Cambria Math" w:hAnsi="Cambria Math"/>
                              </w:rPr>
                              <m:t>1</m:t>
                            </m:r>
                          </m:sub>
                        </m:sSub>
                      </m:num>
                      <m:den>
                        <m:sSub>
                          <m:sSubPr>
                            <m:ctrlPr>
                              <w:rPr>
                                <w:rFonts w:ascii="Cambria Math" w:hAnsi="Cambria Math"/>
                              </w:rPr>
                            </m:ctrlPr>
                          </m:sSubPr>
                          <m:e>
                            <m:r>
                              <w:rPr>
                                <w:rFonts w:ascii="Cambria Math" w:hAnsi="Cambria Math"/>
                              </w:rPr>
                              <m:t>K</m:t>
                            </m:r>
                          </m:e>
                          <m:sub>
                            <m:r>
                              <w:rPr>
                                <w:rFonts w:ascii="Cambria Math" w:hAnsi="Cambria Math"/>
                              </w:rPr>
                              <m:t>S</m:t>
                            </m:r>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s</m:t>
                            </m:r>
                            <m:r>
                              <m:rPr>
                                <m:sty m:val="p"/>
                              </m:rPr>
                              <w:rPr>
                                <w:rFonts w:ascii="Cambria Math" w:hAnsi="Cambria Math"/>
                              </w:rPr>
                              <m:t>1</m:t>
                            </m:r>
                          </m:sub>
                        </m:sSub>
                      </m:den>
                    </m:f>
                  </m:e>
                </m:d>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C</m:t>
                            </m:r>
                          </m:e>
                          <m:sub>
                            <m:r>
                              <w:rPr>
                                <w:rFonts w:ascii="Cambria Math" w:hAnsi="Cambria Math"/>
                              </w:rPr>
                              <m:t>s</m:t>
                            </m:r>
                            <m:r>
                              <m:rPr>
                                <m:sty m:val="p"/>
                              </m:rPr>
                              <w:rPr>
                                <w:rFonts w:ascii="Cambria Math" w:hAnsi="Cambria Math"/>
                              </w:rPr>
                              <m:t>2</m:t>
                            </m:r>
                          </m:sub>
                        </m:sSub>
                      </m:num>
                      <m:den>
                        <m:sSub>
                          <m:sSubPr>
                            <m:ctrlPr>
                              <w:rPr>
                                <w:rFonts w:ascii="Cambria Math" w:hAnsi="Cambria Math"/>
                              </w:rPr>
                            </m:ctrlPr>
                          </m:sSubPr>
                          <m:e>
                            <m:r>
                              <w:rPr>
                                <w:rFonts w:ascii="Cambria Math" w:hAnsi="Cambria Math"/>
                              </w:rPr>
                              <m:t>K</m:t>
                            </m:r>
                          </m:e>
                          <m:sub>
                            <m:r>
                              <w:rPr>
                                <w:rFonts w:ascii="Cambria Math" w:hAnsi="Cambria Math"/>
                              </w:rPr>
                              <m:t>S</m:t>
                            </m:r>
                            <m:r>
                              <m:rPr>
                                <m:sty m:val="p"/>
                              </m:rP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S</m:t>
                            </m:r>
                            <m:r>
                              <m:rPr>
                                <m:sty m:val="p"/>
                              </m:rPr>
                              <w:rPr>
                                <w:rFonts w:ascii="Cambria Math" w:hAnsi="Cambria Math"/>
                              </w:rPr>
                              <m:t>2</m:t>
                            </m:r>
                          </m:sub>
                        </m:sSub>
                      </m:den>
                    </m:f>
                  </m:e>
                </m:d>
                <m:d>
                  <m:dPr>
                    <m:ctrlPr>
                      <w:rPr>
                        <w:rFonts w:ascii="Cambria Math" w:hAnsi="Cambria Math"/>
                      </w:rPr>
                    </m:ctrlPr>
                  </m:dPr>
                  <m:e>
                    <m:r>
                      <m:rPr>
                        <m:sty m:val="p"/>
                      </m:rPr>
                      <w:rPr>
                        <w:rFonts w:ascii="Cambria Math" w:hAnsi="Cambria Math"/>
                      </w:rPr>
                      <m:t>1-</m:t>
                    </m:r>
                    <m:f>
                      <m:fPr>
                        <m:ctrlPr>
                          <w:rPr>
                            <w:rFonts w:ascii="Cambria Math" w:hAnsi="Cambria Math"/>
                          </w:rPr>
                        </m:ctrlPr>
                      </m:fPr>
                      <m:num>
                        <m:sSub>
                          <m:sSubPr>
                            <m:ctrlPr>
                              <w:rPr>
                                <w:rFonts w:ascii="Cambria Math" w:hAnsi="Cambria Math"/>
                              </w:rPr>
                            </m:ctrlPr>
                          </m:sSubPr>
                          <m:e>
                            <m:r>
                              <w:rPr>
                                <w:rFonts w:ascii="Cambria Math" w:hAnsi="Cambria Math"/>
                              </w:rPr>
                              <m:t>C</m:t>
                            </m:r>
                          </m:e>
                          <m:sub>
                            <m:r>
                              <w:rPr>
                                <w:rFonts w:ascii="Cambria Math" w:hAnsi="Cambria Math"/>
                              </w:rPr>
                              <m:t>p</m:t>
                            </m:r>
                          </m:sub>
                        </m:sSub>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ix</m:t>
                            </m:r>
                          </m:sub>
                        </m:sSub>
                      </m:num>
                      <m:den>
                        <m:sSub>
                          <m:sSubPr>
                            <m:ctrlPr>
                              <w:rPr>
                                <w:rFonts w:ascii="Cambria Math" w:hAnsi="Cambria Math"/>
                              </w:rPr>
                            </m:ctrlPr>
                          </m:sSubPr>
                          <m:e>
                            <m:r>
                              <w:rPr>
                                <w:rFonts w:ascii="Cambria Math" w:hAnsi="Cambria Math"/>
                              </w:rPr>
                              <m:t>P</m:t>
                            </m:r>
                          </m:e>
                          <m:sub>
                            <m:r>
                              <w:rPr>
                                <w:rFonts w:ascii="Cambria Math" w:hAnsi="Cambria Math"/>
                              </w:rPr>
                              <m:t>xmax</m:t>
                            </m:r>
                          </m:sub>
                        </m:sSub>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ix</m:t>
                            </m:r>
                          </m:sub>
                        </m:sSub>
                      </m:den>
                    </m:f>
                  </m:e>
                </m:d>
                <m:r>
                  <m:rPr>
                    <m:sty m:val="p"/>
                  </m:rPr>
                  <w:rPr>
                    <w:rFonts w:ascii="Cambria Math" w:hAnsi="Cambria Math"/>
                  </w:rPr>
                  <m:t>-</m:t>
                </m:r>
                <m:sSub>
                  <m:sSubPr>
                    <m:ctrlPr>
                      <w:rPr>
                        <w:rFonts w:ascii="Cambria Math" w:hAnsi="Cambria Math"/>
                      </w:rPr>
                    </m:ctrlPr>
                  </m:sSubPr>
                  <m:e>
                    <m:r>
                      <w:rPr>
                        <w:rFonts w:ascii="Cambria Math" w:hAnsi="Cambria Math"/>
                      </w:rPr>
                      <m:t>K</m:t>
                    </m:r>
                  </m:e>
                  <m:sub>
                    <m:r>
                      <w:rPr>
                        <w:rFonts w:ascii="Cambria Math" w:hAnsi="Cambria Math"/>
                      </w:rPr>
                      <m:t>d</m:t>
                    </m:r>
                  </m:sub>
                </m:sSub>
                <m:sSub>
                  <m:sSubPr>
                    <m:ctrlPr>
                      <w:rPr>
                        <w:rFonts w:ascii="Cambria Math" w:hAnsi="Cambria Math"/>
                      </w:rPr>
                    </m:ctrlPr>
                  </m:sSubPr>
                  <m:e>
                    <m:r>
                      <w:rPr>
                        <w:rFonts w:ascii="Cambria Math" w:hAnsi="Cambria Math"/>
                      </w:rPr>
                      <m:t>C</m:t>
                    </m:r>
                  </m:e>
                  <m:sub>
                    <m:r>
                      <w:rPr>
                        <w:rFonts w:ascii="Cambria Math" w:hAnsi="Cambria Math"/>
                      </w:rPr>
                      <m:t>x</m:t>
                    </m:r>
                  </m:sub>
                </m:sSub>
                <m:sSub>
                  <m:sSubPr>
                    <m:ctrlPr>
                      <w:rPr>
                        <w:rFonts w:ascii="Cambria Math" w:hAnsi="Cambria Math"/>
                      </w:rPr>
                    </m:ctrlPr>
                  </m:sSubPr>
                  <m:e>
                    <m:r>
                      <w:rPr>
                        <w:rFonts w:ascii="Cambria Math" w:hAnsi="Cambria Math"/>
                      </w:rPr>
                      <m:t>V</m:t>
                    </m:r>
                  </m:e>
                  <m:sub>
                    <m:r>
                      <w:rPr>
                        <w:rFonts w:ascii="Cambria Math" w:hAnsi="Cambria Math"/>
                      </w:rPr>
                      <m:t>r</m:t>
                    </m:r>
                  </m:sub>
                </m:sSub>
              </m:oMath>
            </m:oMathPara>
          </w:p>
        </w:tc>
        <w:tc>
          <w:tcPr>
            <w:tcW w:w="801" w:type="dxa"/>
            <w:vAlign w:val="center"/>
          </w:tcPr>
          <w:p w14:paraId="01CF9804" w14:textId="4C66819D" w:rsidR="00C46E28" w:rsidRPr="00EE6CC2" w:rsidRDefault="00D26B18" w:rsidP="003600C1">
            <w:pPr>
              <w:pStyle w:val="CETEquation"/>
            </w:pPr>
            <w:r>
              <w:t xml:space="preserve">       </w:t>
            </w:r>
            <w:r w:rsidR="00C46E28" w:rsidRPr="00EE6CC2">
              <w:t>(</w:t>
            </w:r>
            <w:r w:rsidR="00C46E28">
              <w:t>4</w:t>
            </w:r>
            <w:r w:rsidR="00C46E28" w:rsidRPr="00EE6CC2">
              <w:t>)</w:t>
            </w:r>
          </w:p>
        </w:tc>
      </w:tr>
      <w:tr w:rsidR="00C46E28" w:rsidRPr="00EE6CC2" w14:paraId="208F3A22" w14:textId="77777777" w:rsidTr="003600C1">
        <w:tc>
          <w:tcPr>
            <w:tcW w:w="7986" w:type="dxa"/>
            <w:vAlign w:val="center"/>
          </w:tcPr>
          <w:p w14:paraId="7CB7B055" w14:textId="1178A5BF" w:rsidR="00C46E28" w:rsidRPr="00EE6CC2" w:rsidRDefault="00000000" w:rsidP="003600C1">
            <w:pPr>
              <w:pStyle w:val="CETEquation"/>
            </w:pPr>
            <m:oMathPara>
              <m:oMathParaPr>
                <m:jc m:val="left"/>
              </m:oMathParaPr>
              <m:oMath>
                <m:f>
                  <m:fPr>
                    <m:ctrlPr>
                      <w:rPr>
                        <w:rFonts w:ascii="Cambria Math" w:hAnsi="Cambria Math"/>
                      </w:rPr>
                    </m:ctrlPr>
                  </m:fPr>
                  <m:num>
                    <m:r>
                      <w:rPr>
                        <w:rFonts w:ascii="Cambria Math" w:eastAsiaTheme="minorEastAsia" w:hAnsi="Cambria Math"/>
                      </w:rPr>
                      <m:t>d</m:t>
                    </m:r>
                    <m:sSub>
                      <m:sSubPr>
                        <m:ctrlPr>
                          <w:rPr>
                            <w:rFonts w:ascii="Cambria Math" w:hAnsi="Cambria Math"/>
                          </w:rPr>
                        </m:ctrlPr>
                      </m:sSubPr>
                      <m:e>
                        <m:r>
                          <w:rPr>
                            <w:rFonts w:ascii="Cambria Math" w:eastAsiaTheme="minorEastAsia" w:hAnsi="Cambria Math"/>
                          </w:rPr>
                          <m:t>m</m:t>
                        </m:r>
                      </m:e>
                      <m:sub>
                        <m:r>
                          <w:rPr>
                            <w:rFonts w:ascii="Cambria Math" w:eastAsiaTheme="minorEastAsia" w:hAnsi="Cambria Math"/>
                          </w:rPr>
                          <m:t>s</m:t>
                        </m:r>
                        <m:r>
                          <m:rPr>
                            <m:sty m:val="p"/>
                          </m:rPr>
                          <w:rPr>
                            <w:rFonts w:ascii="Cambria Math" w:eastAsiaTheme="minorEastAsia" w:hAnsi="Cambria Math"/>
                          </w:rPr>
                          <m:t>1</m:t>
                        </m:r>
                      </m:sub>
                    </m:sSub>
                  </m:num>
                  <m:den>
                    <m:r>
                      <w:rPr>
                        <w:rFonts w:ascii="Cambria Math" w:eastAsiaTheme="minorEastAsia" w:hAnsi="Cambria Math"/>
                      </w:rPr>
                      <m:t>dt</m:t>
                    </m:r>
                  </m:den>
                </m:f>
                <m:r>
                  <m:rPr>
                    <m:sty m:val="p"/>
                  </m:rPr>
                  <w:rPr>
                    <w:rFonts w:ascii="Cambria Math" w:eastAsiaTheme="minorEastAsia" w:hAnsi="Cambria Math"/>
                  </w:rPr>
                  <m:t>=</m:t>
                </m:r>
                <m:sSub>
                  <m:sSubPr>
                    <m:ctrlPr>
                      <w:rPr>
                        <w:rFonts w:ascii="Cambria Math" w:hAnsi="Cambria Math"/>
                      </w:rPr>
                    </m:ctrlPr>
                  </m:sSubPr>
                  <m:e>
                    <m:acc>
                      <m:accPr>
                        <m:chr m:val="̇"/>
                        <m:ctrlPr>
                          <w:rPr>
                            <w:rFonts w:ascii="Cambria Math" w:hAnsi="Cambria Math"/>
                          </w:rPr>
                        </m:ctrlPr>
                      </m:accPr>
                      <m:e>
                        <m:r>
                          <w:rPr>
                            <w:rFonts w:ascii="Cambria Math" w:eastAsiaTheme="minorEastAsia" w:hAnsi="Cambria Math"/>
                          </w:rPr>
                          <m:t>m</m:t>
                        </m:r>
                      </m:e>
                    </m:acc>
                  </m:e>
                  <m:sub>
                    <m:r>
                      <w:rPr>
                        <w:rFonts w:ascii="Cambria Math" w:eastAsiaTheme="minorEastAsia" w:hAnsi="Cambria Math"/>
                      </w:rPr>
                      <m:t>s</m:t>
                    </m:r>
                    <m:r>
                      <m:rPr>
                        <m:sty m:val="p"/>
                      </m:rPr>
                      <w:rPr>
                        <w:rFonts w:ascii="Cambria Math" w:eastAsiaTheme="minorEastAsia" w:hAnsi="Cambria Math"/>
                      </w:rPr>
                      <m:t>1</m:t>
                    </m:r>
                  </m:sub>
                </m:sSub>
                <m:r>
                  <m:rPr>
                    <m:sty m:val="p"/>
                  </m:rPr>
                  <w:rPr>
                    <w:rFonts w:ascii="Cambria Math" w:eastAsiaTheme="minorEastAsia" w:hAnsi="Cambria Math"/>
                  </w:rPr>
                  <m:t>-</m:t>
                </m:r>
                <m:sSub>
                  <m:sSubPr>
                    <m:ctrlPr>
                      <w:rPr>
                        <w:rFonts w:ascii="Cambria Math" w:hAnsi="Cambria Math"/>
                      </w:rPr>
                    </m:ctrlPr>
                  </m:sSubPr>
                  <m:e>
                    <m:r>
                      <w:rPr>
                        <w:rFonts w:ascii="Cambria Math" w:hAnsi="Cambria Math"/>
                      </w:rPr>
                      <m:t>γ</m:t>
                    </m:r>
                  </m:e>
                  <m:sub>
                    <m:r>
                      <m:rPr>
                        <m:sty m:val="p"/>
                      </m:rPr>
                      <w:rPr>
                        <w:rFonts w:ascii="Cambria Math" w:hAnsi="Cambria Math"/>
                      </w:rPr>
                      <m:t>1</m:t>
                    </m:r>
                  </m:sub>
                </m:sSub>
                <m:sSub>
                  <m:sSubPr>
                    <m:ctrlPr>
                      <w:rPr>
                        <w:rFonts w:ascii="Cambria Math" w:hAnsi="Cambria Math"/>
                      </w:rPr>
                    </m:ctrlPr>
                  </m:sSubPr>
                  <m:e>
                    <m:r>
                      <w:rPr>
                        <w:rFonts w:ascii="Cambria Math" w:hAnsi="Cambria Math"/>
                      </w:rPr>
                      <m:t>μ</m:t>
                    </m:r>
                  </m:e>
                  <m:sub>
                    <m:r>
                      <w:rPr>
                        <w:rFonts w:ascii="Cambria Math" w:hAnsi="Cambria Math"/>
                      </w:rPr>
                      <m:t>max</m:t>
                    </m:r>
                  </m:sub>
                </m:sSub>
                <m:sSub>
                  <m:sSubPr>
                    <m:ctrlPr>
                      <w:rPr>
                        <w:rFonts w:ascii="Cambria Math" w:hAnsi="Cambria Math"/>
                      </w:rPr>
                    </m:ctrlPr>
                  </m:sSubPr>
                  <m:e>
                    <m:r>
                      <w:rPr>
                        <w:rFonts w:ascii="Cambria Math" w:hAnsi="Cambria Math"/>
                      </w:rPr>
                      <m:t>C</m:t>
                    </m:r>
                  </m:e>
                  <m:sub>
                    <m:r>
                      <w:rPr>
                        <w:rFonts w:ascii="Cambria Math" w:hAnsi="Cambria Math"/>
                      </w:rPr>
                      <m:t>x</m:t>
                    </m:r>
                  </m:sub>
                </m:sSub>
                <m:sSub>
                  <m:sSubPr>
                    <m:ctrlPr>
                      <w:rPr>
                        <w:rFonts w:ascii="Cambria Math" w:hAnsi="Cambria Math"/>
                      </w:rPr>
                    </m:ctrlPr>
                  </m:sSubPr>
                  <m:e>
                    <m:r>
                      <w:rPr>
                        <w:rFonts w:ascii="Cambria Math" w:hAnsi="Cambria Math"/>
                      </w:rPr>
                      <m:t>V</m:t>
                    </m:r>
                  </m:e>
                  <m:sub>
                    <m:r>
                      <w:rPr>
                        <w:rFonts w:ascii="Cambria Math" w:hAnsi="Cambria Math"/>
                      </w:rPr>
                      <m:t>r</m:t>
                    </m:r>
                  </m:sub>
                </m:sSub>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C</m:t>
                            </m:r>
                          </m:e>
                          <m:sub>
                            <m:r>
                              <w:rPr>
                                <w:rFonts w:ascii="Cambria Math" w:hAnsi="Cambria Math"/>
                              </w:rPr>
                              <m:t>s</m:t>
                            </m:r>
                            <m:r>
                              <m:rPr>
                                <m:sty m:val="p"/>
                              </m:rPr>
                              <w:rPr>
                                <w:rFonts w:ascii="Cambria Math" w:hAnsi="Cambria Math"/>
                              </w:rPr>
                              <m:t>1</m:t>
                            </m:r>
                          </m:sub>
                        </m:sSub>
                      </m:num>
                      <m:den>
                        <m:sSub>
                          <m:sSubPr>
                            <m:ctrlPr>
                              <w:rPr>
                                <w:rFonts w:ascii="Cambria Math" w:hAnsi="Cambria Math"/>
                              </w:rPr>
                            </m:ctrlPr>
                          </m:sSubPr>
                          <m:e>
                            <m:r>
                              <w:rPr>
                                <w:rFonts w:ascii="Cambria Math" w:hAnsi="Cambria Math"/>
                              </w:rPr>
                              <m:t>K</m:t>
                            </m:r>
                          </m:e>
                          <m:sub>
                            <m:r>
                              <w:rPr>
                                <w:rFonts w:ascii="Cambria Math" w:hAnsi="Cambria Math"/>
                              </w:rPr>
                              <m:t>S</m:t>
                            </m:r>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s</m:t>
                            </m:r>
                            <m:r>
                              <m:rPr>
                                <m:sty m:val="p"/>
                              </m:rPr>
                              <w:rPr>
                                <w:rFonts w:ascii="Cambria Math" w:hAnsi="Cambria Math"/>
                              </w:rPr>
                              <m:t>1</m:t>
                            </m:r>
                          </m:sub>
                        </m:sSub>
                      </m:den>
                    </m:f>
                  </m:e>
                </m:d>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C</m:t>
                            </m:r>
                          </m:e>
                          <m:sub>
                            <m:r>
                              <w:rPr>
                                <w:rFonts w:ascii="Cambria Math" w:hAnsi="Cambria Math"/>
                              </w:rPr>
                              <m:t>s</m:t>
                            </m:r>
                            <m:r>
                              <m:rPr>
                                <m:sty m:val="p"/>
                              </m:rPr>
                              <w:rPr>
                                <w:rFonts w:ascii="Cambria Math" w:hAnsi="Cambria Math"/>
                              </w:rPr>
                              <m:t>2</m:t>
                            </m:r>
                          </m:sub>
                        </m:sSub>
                      </m:num>
                      <m:den>
                        <m:sSub>
                          <m:sSubPr>
                            <m:ctrlPr>
                              <w:rPr>
                                <w:rFonts w:ascii="Cambria Math" w:hAnsi="Cambria Math"/>
                              </w:rPr>
                            </m:ctrlPr>
                          </m:sSubPr>
                          <m:e>
                            <m:r>
                              <w:rPr>
                                <w:rFonts w:ascii="Cambria Math" w:hAnsi="Cambria Math"/>
                              </w:rPr>
                              <m:t>K</m:t>
                            </m:r>
                          </m:e>
                          <m:sub>
                            <m:r>
                              <w:rPr>
                                <w:rFonts w:ascii="Cambria Math" w:hAnsi="Cambria Math"/>
                              </w:rPr>
                              <m:t>S</m:t>
                            </m:r>
                            <m:r>
                              <m:rPr>
                                <m:sty m:val="p"/>
                              </m:rP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S</m:t>
                            </m:r>
                            <m:r>
                              <m:rPr>
                                <m:sty m:val="p"/>
                              </m:rPr>
                              <w:rPr>
                                <w:rFonts w:ascii="Cambria Math" w:hAnsi="Cambria Math"/>
                              </w:rPr>
                              <m:t>2</m:t>
                            </m:r>
                          </m:sub>
                        </m:sSub>
                      </m:den>
                    </m:f>
                  </m:e>
                </m:d>
                <m:d>
                  <m:dPr>
                    <m:ctrlPr>
                      <w:rPr>
                        <w:rFonts w:ascii="Cambria Math" w:hAnsi="Cambria Math"/>
                      </w:rPr>
                    </m:ctrlPr>
                  </m:dPr>
                  <m:e>
                    <m:r>
                      <m:rPr>
                        <m:sty m:val="p"/>
                      </m:rPr>
                      <w:rPr>
                        <w:rFonts w:ascii="Cambria Math" w:hAnsi="Cambria Math"/>
                      </w:rPr>
                      <m:t>1-</m:t>
                    </m:r>
                    <m:f>
                      <m:fPr>
                        <m:ctrlPr>
                          <w:rPr>
                            <w:rFonts w:ascii="Cambria Math" w:hAnsi="Cambria Math"/>
                          </w:rPr>
                        </m:ctrlPr>
                      </m:fPr>
                      <m:num>
                        <m:sSub>
                          <m:sSubPr>
                            <m:ctrlPr>
                              <w:rPr>
                                <w:rFonts w:ascii="Cambria Math" w:hAnsi="Cambria Math"/>
                              </w:rPr>
                            </m:ctrlPr>
                          </m:sSubPr>
                          <m:e>
                            <m:r>
                              <w:rPr>
                                <w:rFonts w:ascii="Cambria Math" w:hAnsi="Cambria Math"/>
                              </w:rPr>
                              <m:t>C</m:t>
                            </m:r>
                          </m:e>
                          <m:sub>
                            <m:r>
                              <w:rPr>
                                <w:rFonts w:ascii="Cambria Math" w:hAnsi="Cambria Math"/>
                              </w:rPr>
                              <m:t>p</m:t>
                            </m:r>
                          </m:sub>
                        </m:sSub>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ix</m:t>
                            </m:r>
                          </m:sub>
                        </m:sSub>
                      </m:num>
                      <m:den>
                        <m:sSub>
                          <m:sSubPr>
                            <m:ctrlPr>
                              <w:rPr>
                                <w:rFonts w:ascii="Cambria Math" w:hAnsi="Cambria Math"/>
                              </w:rPr>
                            </m:ctrlPr>
                          </m:sSubPr>
                          <m:e>
                            <m:r>
                              <w:rPr>
                                <w:rFonts w:ascii="Cambria Math" w:hAnsi="Cambria Math"/>
                              </w:rPr>
                              <m:t>P</m:t>
                            </m:r>
                          </m:e>
                          <m:sub>
                            <m:r>
                              <w:rPr>
                                <w:rFonts w:ascii="Cambria Math" w:hAnsi="Cambria Math"/>
                              </w:rPr>
                              <m:t>xmax</m:t>
                            </m:r>
                          </m:sub>
                        </m:sSub>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ix</m:t>
                            </m:r>
                          </m:sub>
                        </m:sSub>
                      </m:den>
                    </m:f>
                  </m:e>
                </m:d>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n</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δ</m:t>
                        </m:r>
                      </m:e>
                      <m:sub>
                        <m:r>
                          <m:rPr>
                            <m:sty m:val="p"/>
                          </m:rPr>
                          <w:rPr>
                            <w:rFonts w:ascii="Cambria Math" w:hAnsi="Cambria Math"/>
                          </w:rPr>
                          <m:t>1</m:t>
                        </m:r>
                      </m:sub>
                    </m:sSub>
                    <m:sSub>
                      <m:sSubPr>
                        <m:ctrlPr>
                          <w:rPr>
                            <w:rFonts w:ascii="Cambria Math" w:hAnsi="Cambria Math"/>
                          </w:rPr>
                        </m:ctrlPr>
                      </m:sSubPr>
                      <m:e>
                        <m:r>
                          <w:rPr>
                            <w:rFonts w:ascii="Cambria Math" w:hAnsi="Cambria Math"/>
                          </w:rPr>
                          <m:t>C</m:t>
                        </m:r>
                      </m:e>
                      <m:sub>
                        <m:r>
                          <w:rPr>
                            <w:rFonts w:ascii="Cambria Math" w:hAnsi="Cambria Math"/>
                          </w:rPr>
                          <m:t>x</m:t>
                        </m:r>
                      </m:sub>
                    </m:sSub>
                    <m:sSub>
                      <m:sSubPr>
                        <m:ctrlPr>
                          <w:rPr>
                            <w:rFonts w:ascii="Cambria Math" w:hAnsi="Cambria Math"/>
                          </w:rPr>
                        </m:ctrlPr>
                      </m:sSubPr>
                      <m:e>
                        <m:r>
                          <w:rPr>
                            <w:rFonts w:ascii="Cambria Math" w:hAnsi="Cambria Math"/>
                          </w:rPr>
                          <m:t>C</m:t>
                        </m:r>
                      </m:e>
                      <m:sub>
                        <m:r>
                          <w:rPr>
                            <w:rFonts w:ascii="Cambria Math" w:hAnsi="Cambria Math"/>
                          </w:rPr>
                          <m:t>s</m:t>
                        </m:r>
                        <m:r>
                          <m:rPr>
                            <m:sty m:val="p"/>
                          </m:rPr>
                          <w:rPr>
                            <w:rFonts w:ascii="Cambria Math" w:hAnsi="Cambria Math"/>
                          </w:rPr>
                          <m:t>1</m:t>
                        </m:r>
                      </m:sub>
                    </m:sSub>
                  </m:num>
                  <m:den>
                    <m:sSub>
                      <m:sSubPr>
                        <m:ctrlPr>
                          <w:rPr>
                            <w:rFonts w:ascii="Cambria Math" w:hAnsi="Cambria Math"/>
                          </w:rPr>
                        </m:ctrlPr>
                      </m:sSubPr>
                      <m:e>
                        <m:r>
                          <w:rPr>
                            <w:rFonts w:ascii="Cambria Math" w:hAnsi="Cambria Math"/>
                          </w:rPr>
                          <m:t>K</m:t>
                        </m:r>
                      </m:e>
                      <m:sub>
                        <m:r>
                          <w:rPr>
                            <w:rFonts w:ascii="Cambria Math" w:hAnsi="Cambria Math"/>
                          </w:rPr>
                          <m:t>M</m:t>
                        </m:r>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s</m:t>
                        </m:r>
                        <m:r>
                          <m:rPr>
                            <m:sty m:val="p"/>
                          </m:rPr>
                          <w:rPr>
                            <w:rFonts w:ascii="Cambria Math" w:hAnsi="Cambria Math"/>
                          </w:rPr>
                          <m:t>1</m:t>
                        </m:r>
                      </m:sub>
                    </m:sSub>
                  </m:den>
                </m:f>
                <m:sSub>
                  <m:sSubPr>
                    <m:ctrlPr>
                      <w:rPr>
                        <w:rFonts w:ascii="Cambria Math" w:hAnsi="Cambria Math"/>
                      </w:rPr>
                    </m:ctrlPr>
                  </m:sSubPr>
                  <m:e>
                    <m:r>
                      <w:rPr>
                        <w:rFonts w:ascii="Cambria Math" w:hAnsi="Cambria Math"/>
                      </w:rPr>
                      <m:t>V</m:t>
                    </m:r>
                  </m:e>
                  <m:sub>
                    <m:r>
                      <w:rPr>
                        <w:rFonts w:ascii="Cambria Math" w:hAnsi="Cambria Math"/>
                      </w:rPr>
                      <m:t>r</m:t>
                    </m:r>
                  </m:sub>
                </m:sSub>
                <m:r>
                  <w:rPr>
                    <w:rFonts w:ascii="Cambria Math" w:hAnsi="Cambria Math"/>
                  </w:rPr>
                  <m:t xml:space="preserve">*(1- </m:t>
                </m:r>
                <m:sSub>
                  <m:sSubPr>
                    <m:ctrlPr>
                      <w:rPr>
                        <w:rFonts w:ascii="Cambria Math" w:hAnsi="Cambria Math"/>
                      </w:rPr>
                    </m:ctrlPr>
                  </m:sSubPr>
                  <m:e>
                    <m:r>
                      <w:rPr>
                        <w:rFonts w:ascii="Cambria Math" w:hAnsi="Cambria Math"/>
                      </w:rPr>
                      <m:t>F</m:t>
                    </m:r>
                  </m:e>
                  <m:sub>
                    <m:r>
                      <w:rPr>
                        <w:rFonts w:ascii="Cambria Math" w:hAnsi="Cambria Math"/>
                      </w:rPr>
                      <m:t>n</m:t>
                    </m:r>
                  </m:sub>
                </m:sSub>
                <m:r>
                  <w:rPr>
                    <w:rFonts w:ascii="Cambria Math" w:hAnsi="Cambria Math"/>
                  </w:rPr>
                  <m:t>)</m:t>
                </m:r>
              </m:oMath>
            </m:oMathPara>
          </w:p>
        </w:tc>
        <w:tc>
          <w:tcPr>
            <w:tcW w:w="801" w:type="dxa"/>
            <w:vAlign w:val="center"/>
          </w:tcPr>
          <w:p w14:paraId="2DF4B9F8" w14:textId="7E053D07" w:rsidR="00C46E28" w:rsidRPr="00EE6CC2" w:rsidRDefault="00D26B18" w:rsidP="003600C1">
            <w:pPr>
              <w:pStyle w:val="CETEquation"/>
            </w:pPr>
            <w:r>
              <w:t xml:space="preserve">       </w:t>
            </w:r>
            <w:r w:rsidR="00C46E28" w:rsidRPr="00EE6CC2">
              <w:t>(</w:t>
            </w:r>
            <w:r w:rsidR="00C46E28">
              <w:t>5</w:t>
            </w:r>
            <w:r w:rsidR="00C46E28" w:rsidRPr="00EE6CC2">
              <w:t>)</w:t>
            </w:r>
          </w:p>
        </w:tc>
      </w:tr>
      <w:tr w:rsidR="00C46E28" w:rsidRPr="00EE6CC2" w14:paraId="33361383" w14:textId="77777777" w:rsidTr="003600C1">
        <w:tc>
          <w:tcPr>
            <w:tcW w:w="7986" w:type="dxa"/>
            <w:vAlign w:val="center"/>
          </w:tcPr>
          <w:p w14:paraId="31B5F86E" w14:textId="454336AE" w:rsidR="00C46E28" w:rsidRPr="00EE6CC2" w:rsidRDefault="00000000" w:rsidP="003600C1">
            <w:pPr>
              <w:pStyle w:val="CETEquation"/>
            </w:pPr>
            <m:oMathPara>
              <m:oMathParaPr>
                <m:jc m:val="left"/>
              </m:oMathParaPr>
              <m:oMath>
                <m:f>
                  <m:fPr>
                    <m:ctrlPr>
                      <w:rPr>
                        <w:rFonts w:ascii="Cambria Math" w:hAnsi="Cambria Math"/>
                      </w:rPr>
                    </m:ctrlPr>
                  </m:fPr>
                  <m:num>
                    <m:r>
                      <w:rPr>
                        <w:rFonts w:ascii="Cambria Math" w:hAnsi="Cambria Math"/>
                      </w:rPr>
                      <m:t>d</m:t>
                    </m:r>
                    <m:sSub>
                      <m:sSubPr>
                        <m:ctrlPr>
                          <w:rPr>
                            <w:rFonts w:ascii="Cambria Math" w:hAnsi="Cambria Math"/>
                          </w:rPr>
                        </m:ctrlPr>
                      </m:sSubPr>
                      <m:e>
                        <m:r>
                          <w:rPr>
                            <w:rFonts w:ascii="Cambria Math" w:hAnsi="Cambria Math"/>
                          </w:rPr>
                          <m:t>m</m:t>
                        </m:r>
                      </m:e>
                      <m:sub>
                        <m:r>
                          <w:rPr>
                            <w:rFonts w:ascii="Cambria Math" w:hAnsi="Cambria Math"/>
                          </w:rPr>
                          <m:t>s</m:t>
                        </m:r>
                        <m:r>
                          <m:rPr>
                            <m:sty m:val="p"/>
                          </m:rPr>
                          <w:rPr>
                            <w:rFonts w:ascii="Cambria Math" w:hAnsi="Cambria Math"/>
                          </w:rPr>
                          <m:t>2</m:t>
                        </m:r>
                      </m:sub>
                    </m:sSub>
                  </m:num>
                  <m:den>
                    <m:r>
                      <w:rPr>
                        <w:rFonts w:ascii="Cambria Math" w:hAnsi="Cambria Math"/>
                      </w:rPr>
                      <m:t>dt</m:t>
                    </m:r>
                  </m:den>
                </m:f>
                <m:r>
                  <m:rPr>
                    <m:sty m:val="p"/>
                  </m:rP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m</m:t>
                        </m:r>
                      </m:e>
                    </m:acc>
                  </m:e>
                  <m:sub>
                    <m:r>
                      <w:rPr>
                        <w:rFonts w:ascii="Cambria Math" w:hAnsi="Cambria Math"/>
                      </w:rPr>
                      <m:t>s</m:t>
                    </m:r>
                    <m:r>
                      <m:rPr>
                        <m:sty m:val="p"/>
                      </m:rP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γ</m:t>
                    </m:r>
                  </m:e>
                  <m:sub>
                    <m:r>
                      <m:rPr>
                        <m:sty m:val="p"/>
                      </m:rPr>
                      <w:rPr>
                        <w:rFonts w:ascii="Cambria Math" w:hAnsi="Cambria Math"/>
                      </w:rPr>
                      <m:t>2</m:t>
                    </m:r>
                  </m:sub>
                </m:sSub>
                <m:sSub>
                  <m:sSubPr>
                    <m:ctrlPr>
                      <w:rPr>
                        <w:rFonts w:ascii="Cambria Math" w:hAnsi="Cambria Math"/>
                      </w:rPr>
                    </m:ctrlPr>
                  </m:sSubPr>
                  <m:e>
                    <m:r>
                      <w:rPr>
                        <w:rFonts w:ascii="Cambria Math" w:hAnsi="Cambria Math"/>
                      </w:rPr>
                      <m:t>μ</m:t>
                    </m:r>
                  </m:e>
                  <m:sub>
                    <m:r>
                      <w:rPr>
                        <w:rFonts w:ascii="Cambria Math" w:hAnsi="Cambria Math"/>
                      </w:rPr>
                      <m:t>max</m:t>
                    </m:r>
                  </m:sub>
                </m:sSub>
                <m:sSub>
                  <m:sSubPr>
                    <m:ctrlPr>
                      <w:rPr>
                        <w:rFonts w:ascii="Cambria Math" w:hAnsi="Cambria Math"/>
                      </w:rPr>
                    </m:ctrlPr>
                  </m:sSubPr>
                  <m:e>
                    <m:r>
                      <w:rPr>
                        <w:rFonts w:ascii="Cambria Math" w:hAnsi="Cambria Math"/>
                      </w:rPr>
                      <m:t>C</m:t>
                    </m:r>
                  </m:e>
                  <m:sub>
                    <m:r>
                      <w:rPr>
                        <w:rFonts w:ascii="Cambria Math" w:hAnsi="Cambria Math"/>
                      </w:rPr>
                      <m:t>x</m:t>
                    </m:r>
                  </m:sub>
                </m:sSub>
                <m:sSub>
                  <m:sSubPr>
                    <m:ctrlPr>
                      <w:rPr>
                        <w:rFonts w:ascii="Cambria Math" w:hAnsi="Cambria Math"/>
                      </w:rPr>
                    </m:ctrlPr>
                  </m:sSubPr>
                  <m:e>
                    <m:r>
                      <w:rPr>
                        <w:rFonts w:ascii="Cambria Math" w:hAnsi="Cambria Math"/>
                      </w:rPr>
                      <m:t>V</m:t>
                    </m:r>
                  </m:e>
                  <m:sub>
                    <m:r>
                      <w:rPr>
                        <w:rFonts w:ascii="Cambria Math" w:hAnsi="Cambria Math"/>
                      </w:rPr>
                      <m:t>r</m:t>
                    </m:r>
                  </m:sub>
                </m:sSub>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C</m:t>
                            </m:r>
                          </m:e>
                          <m:sub>
                            <m:r>
                              <w:rPr>
                                <w:rFonts w:ascii="Cambria Math" w:hAnsi="Cambria Math"/>
                              </w:rPr>
                              <m:t>s</m:t>
                            </m:r>
                            <m:r>
                              <m:rPr>
                                <m:sty m:val="p"/>
                              </m:rPr>
                              <w:rPr>
                                <w:rFonts w:ascii="Cambria Math" w:hAnsi="Cambria Math"/>
                              </w:rPr>
                              <m:t>1</m:t>
                            </m:r>
                          </m:sub>
                        </m:sSub>
                      </m:num>
                      <m:den>
                        <m:sSub>
                          <m:sSubPr>
                            <m:ctrlPr>
                              <w:rPr>
                                <w:rFonts w:ascii="Cambria Math" w:hAnsi="Cambria Math"/>
                              </w:rPr>
                            </m:ctrlPr>
                          </m:sSubPr>
                          <m:e>
                            <m:r>
                              <w:rPr>
                                <w:rFonts w:ascii="Cambria Math" w:hAnsi="Cambria Math"/>
                              </w:rPr>
                              <m:t>K</m:t>
                            </m:r>
                          </m:e>
                          <m:sub>
                            <m:r>
                              <w:rPr>
                                <w:rFonts w:ascii="Cambria Math" w:hAnsi="Cambria Math"/>
                              </w:rPr>
                              <m:t>S</m:t>
                            </m:r>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s</m:t>
                            </m:r>
                            <m:r>
                              <m:rPr>
                                <m:sty m:val="p"/>
                              </m:rPr>
                              <w:rPr>
                                <w:rFonts w:ascii="Cambria Math" w:hAnsi="Cambria Math"/>
                              </w:rPr>
                              <m:t>1</m:t>
                            </m:r>
                          </m:sub>
                        </m:sSub>
                      </m:den>
                    </m:f>
                  </m:e>
                </m:d>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C</m:t>
                            </m:r>
                          </m:e>
                          <m:sub>
                            <m:r>
                              <w:rPr>
                                <w:rFonts w:ascii="Cambria Math" w:hAnsi="Cambria Math"/>
                              </w:rPr>
                              <m:t>s</m:t>
                            </m:r>
                            <m:r>
                              <m:rPr>
                                <m:sty m:val="p"/>
                              </m:rPr>
                              <w:rPr>
                                <w:rFonts w:ascii="Cambria Math" w:hAnsi="Cambria Math"/>
                              </w:rPr>
                              <m:t>2</m:t>
                            </m:r>
                          </m:sub>
                        </m:sSub>
                      </m:num>
                      <m:den>
                        <m:sSub>
                          <m:sSubPr>
                            <m:ctrlPr>
                              <w:rPr>
                                <w:rFonts w:ascii="Cambria Math" w:hAnsi="Cambria Math"/>
                              </w:rPr>
                            </m:ctrlPr>
                          </m:sSubPr>
                          <m:e>
                            <m:r>
                              <w:rPr>
                                <w:rFonts w:ascii="Cambria Math" w:hAnsi="Cambria Math"/>
                              </w:rPr>
                              <m:t>K</m:t>
                            </m:r>
                          </m:e>
                          <m:sub>
                            <m:r>
                              <w:rPr>
                                <w:rFonts w:ascii="Cambria Math" w:hAnsi="Cambria Math"/>
                              </w:rPr>
                              <m:t>S</m:t>
                            </m:r>
                            <m:r>
                              <m:rPr>
                                <m:sty m:val="p"/>
                              </m:rP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S</m:t>
                            </m:r>
                            <m:r>
                              <m:rPr>
                                <m:sty m:val="p"/>
                              </m:rPr>
                              <w:rPr>
                                <w:rFonts w:ascii="Cambria Math" w:hAnsi="Cambria Math"/>
                              </w:rPr>
                              <m:t>2</m:t>
                            </m:r>
                          </m:sub>
                        </m:sSub>
                      </m:den>
                    </m:f>
                  </m:e>
                </m:d>
                <m:d>
                  <m:dPr>
                    <m:ctrlPr>
                      <w:rPr>
                        <w:rFonts w:ascii="Cambria Math" w:hAnsi="Cambria Math"/>
                      </w:rPr>
                    </m:ctrlPr>
                  </m:dPr>
                  <m:e>
                    <m:r>
                      <m:rPr>
                        <m:sty m:val="p"/>
                      </m:rPr>
                      <w:rPr>
                        <w:rFonts w:ascii="Cambria Math" w:hAnsi="Cambria Math"/>
                      </w:rPr>
                      <m:t>1-</m:t>
                    </m:r>
                    <m:f>
                      <m:fPr>
                        <m:ctrlPr>
                          <w:rPr>
                            <w:rFonts w:ascii="Cambria Math" w:hAnsi="Cambria Math"/>
                          </w:rPr>
                        </m:ctrlPr>
                      </m:fPr>
                      <m:num>
                        <m:sSub>
                          <m:sSubPr>
                            <m:ctrlPr>
                              <w:rPr>
                                <w:rFonts w:ascii="Cambria Math" w:hAnsi="Cambria Math"/>
                              </w:rPr>
                            </m:ctrlPr>
                          </m:sSubPr>
                          <m:e>
                            <m:r>
                              <w:rPr>
                                <w:rFonts w:ascii="Cambria Math" w:hAnsi="Cambria Math"/>
                              </w:rPr>
                              <m:t>C</m:t>
                            </m:r>
                          </m:e>
                          <m:sub>
                            <m:r>
                              <w:rPr>
                                <w:rFonts w:ascii="Cambria Math" w:hAnsi="Cambria Math"/>
                              </w:rPr>
                              <m:t>p</m:t>
                            </m:r>
                          </m:sub>
                        </m:sSub>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ix</m:t>
                            </m:r>
                          </m:sub>
                        </m:sSub>
                      </m:num>
                      <m:den>
                        <m:sSub>
                          <m:sSubPr>
                            <m:ctrlPr>
                              <w:rPr>
                                <w:rFonts w:ascii="Cambria Math" w:hAnsi="Cambria Math"/>
                              </w:rPr>
                            </m:ctrlPr>
                          </m:sSubPr>
                          <m:e>
                            <m:r>
                              <w:rPr>
                                <w:rFonts w:ascii="Cambria Math" w:hAnsi="Cambria Math"/>
                              </w:rPr>
                              <m:t>P</m:t>
                            </m:r>
                          </m:e>
                          <m:sub>
                            <m:r>
                              <w:rPr>
                                <w:rFonts w:ascii="Cambria Math" w:hAnsi="Cambria Math"/>
                              </w:rPr>
                              <m:t>xmax</m:t>
                            </m:r>
                          </m:sub>
                        </m:sSub>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ix</m:t>
                            </m:r>
                          </m:sub>
                        </m:sSub>
                      </m:den>
                    </m:f>
                  </m:e>
                </m:d>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n</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δ</m:t>
                        </m:r>
                      </m:e>
                      <m:sub>
                        <m:r>
                          <m:rPr>
                            <m:sty m:val="p"/>
                          </m:rPr>
                          <w:rPr>
                            <w:rFonts w:ascii="Cambria Math" w:hAnsi="Cambria Math"/>
                          </w:rPr>
                          <m:t>2</m:t>
                        </m:r>
                      </m:sub>
                    </m:sSub>
                    <m:sSub>
                      <m:sSubPr>
                        <m:ctrlPr>
                          <w:rPr>
                            <w:rFonts w:ascii="Cambria Math" w:hAnsi="Cambria Math"/>
                          </w:rPr>
                        </m:ctrlPr>
                      </m:sSubPr>
                      <m:e>
                        <m:r>
                          <w:rPr>
                            <w:rFonts w:ascii="Cambria Math" w:hAnsi="Cambria Math"/>
                          </w:rPr>
                          <m:t>C</m:t>
                        </m:r>
                      </m:e>
                      <m:sub>
                        <m:r>
                          <w:rPr>
                            <w:rFonts w:ascii="Cambria Math" w:hAnsi="Cambria Math"/>
                          </w:rPr>
                          <m:t>x</m:t>
                        </m:r>
                      </m:sub>
                    </m:sSub>
                    <m:sSub>
                      <m:sSubPr>
                        <m:ctrlPr>
                          <w:rPr>
                            <w:rFonts w:ascii="Cambria Math" w:hAnsi="Cambria Math"/>
                          </w:rPr>
                        </m:ctrlPr>
                      </m:sSubPr>
                      <m:e>
                        <m:r>
                          <w:rPr>
                            <w:rFonts w:ascii="Cambria Math" w:hAnsi="Cambria Math"/>
                          </w:rPr>
                          <m:t>C</m:t>
                        </m:r>
                      </m:e>
                      <m:sub>
                        <m:r>
                          <w:rPr>
                            <w:rFonts w:ascii="Cambria Math" w:hAnsi="Cambria Math"/>
                          </w:rPr>
                          <m:t>s</m:t>
                        </m:r>
                        <m:r>
                          <m:rPr>
                            <m:sty m:val="p"/>
                          </m:rPr>
                          <w:rPr>
                            <w:rFonts w:ascii="Cambria Math" w:hAnsi="Cambria Math"/>
                          </w:rPr>
                          <m:t>2</m:t>
                        </m:r>
                      </m:sub>
                    </m:sSub>
                  </m:num>
                  <m:den>
                    <m:sSub>
                      <m:sSubPr>
                        <m:ctrlPr>
                          <w:rPr>
                            <w:rFonts w:ascii="Cambria Math" w:hAnsi="Cambria Math"/>
                          </w:rPr>
                        </m:ctrlPr>
                      </m:sSubPr>
                      <m:e>
                        <m:r>
                          <w:rPr>
                            <w:rFonts w:ascii="Cambria Math" w:hAnsi="Cambria Math"/>
                          </w:rPr>
                          <m:t>K</m:t>
                        </m:r>
                      </m:e>
                      <m:sub>
                        <m:r>
                          <w:rPr>
                            <w:rFonts w:ascii="Cambria Math" w:hAnsi="Cambria Math"/>
                          </w:rPr>
                          <m:t>M</m:t>
                        </m:r>
                        <m:r>
                          <m:rPr>
                            <m:sty m:val="p"/>
                          </m:rP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s</m:t>
                        </m:r>
                        <m:r>
                          <m:rPr>
                            <m:sty m:val="p"/>
                          </m:rPr>
                          <w:rPr>
                            <w:rFonts w:ascii="Cambria Math" w:hAnsi="Cambria Math"/>
                          </w:rPr>
                          <m:t>2</m:t>
                        </m:r>
                      </m:sub>
                    </m:sSub>
                  </m:den>
                </m:f>
                <m:sSub>
                  <m:sSubPr>
                    <m:ctrlPr>
                      <w:rPr>
                        <w:rFonts w:ascii="Cambria Math" w:hAnsi="Cambria Math"/>
                      </w:rPr>
                    </m:ctrlPr>
                  </m:sSubPr>
                  <m:e>
                    <m:r>
                      <w:rPr>
                        <w:rFonts w:ascii="Cambria Math" w:hAnsi="Cambria Math"/>
                      </w:rPr>
                      <m:t>V</m:t>
                    </m:r>
                  </m:e>
                  <m:sub>
                    <m:r>
                      <w:rPr>
                        <w:rFonts w:ascii="Cambria Math" w:hAnsi="Cambria Math"/>
                      </w:rPr>
                      <m:t>r</m:t>
                    </m:r>
                  </m:sub>
                </m:sSub>
                <m:r>
                  <w:rPr>
                    <w:rFonts w:ascii="Cambria Math" w:hAnsi="Cambria Math"/>
                  </w:rPr>
                  <m:t xml:space="preserve">*(1- </m:t>
                </m:r>
                <m:sSub>
                  <m:sSubPr>
                    <m:ctrlPr>
                      <w:rPr>
                        <w:rFonts w:ascii="Cambria Math" w:hAnsi="Cambria Math"/>
                      </w:rPr>
                    </m:ctrlPr>
                  </m:sSubPr>
                  <m:e>
                    <m:r>
                      <w:rPr>
                        <w:rFonts w:ascii="Cambria Math" w:hAnsi="Cambria Math"/>
                      </w:rPr>
                      <m:t>F</m:t>
                    </m:r>
                  </m:e>
                  <m:sub>
                    <m:r>
                      <w:rPr>
                        <w:rFonts w:ascii="Cambria Math" w:hAnsi="Cambria Math"/>
                      </w:rPr>
                      <m:t>n</m:t>
                    </m:r>
                  </m:sub>
                </m:sSub>
                <m:r>
                  <w:rPr>
                    <w:rFonts w:ascii="Cambria Math" w:hAnsi="Cambria Math"/>
                  </w:rPr>
                  <m:t>)</m:t>
                </m:r>
              </m:oMath>
            </m:oMathPara>
          </w:p>
        </w:tc>
        <w:tc>
          <w:tcPr>
            <w:tcW w:w="801" w:type="dxa"/>
            <w:vAlign w:val="center"/>
          </w:tcPr>
          <w:p w14:paraId="2D0851C7" w14:textId="1048FDC6" w:rsidR="00C46E28" w:rsidRPr="00EE6CC2" w:rsidRDefault="00D26B18" w:rsidP="003600C1">
            <w:pPr>
              <w:pStyle w:val="CETEquation"/>
            </w:pPr>
            <w:r>
              <w:t xml:space="preserve">       </w:t>
            </w:r>
            <w:r w:rsidR="00C46E28" w:rsidRPr="00EE6CC2">
              <w:t>(</w:t>
            </w:r>
            <w:r w:rsidR="00C46E28">
              <w:t>6</w:t>
            </w:r>
            <w:r w:rsidR="00C46E28" w:rsidRPr="00EE6CC2">
              <w:t>)</w:t>
            </w:r>
          </w:p>
        </w:tc>
      </w:tr>
      <w:tr w:rsidR="00C46E28" w:rsidRPr="00EE6CC2" w14:paraId="7188CA0E" w14:textId="77777777" w:rsidTr="003600C1">
        <w:tc>
          <w:tcPr>
            <w:tcW w:w="7986" w:type="dxa"/>
            <w:vAlign w:val="center"/>
          </w:tcPr>
          <w:p w14:paraId="3C9768B9" w14:textId="77777777" w:rsidR="00C46E28" w:rsidRPr="00EE6CC2" w:rsidRDefault="00000000" w:rsidP="003600C1">
            <w:pPr>
              <w:pStyle w:val="CETEquation"/>
            </w:pPr>
            <m:oMathPara>
              <m:oMathParaPr>
                <m:jc m:val="left"/>
              </m:oMathParaPr>
              <m:oMath>
                <m:f>
                  <m:fPr>
                    <m:ctrlPr>
                      <w:rPr>
                        <w:rFonts w:ascii="Cambria Math" w:hAnsi="Cambria Math"/>
                      </w:rPr>
                    </m:ctrlPr>
                  </m:fPr>
                  <m:num>
                    <m:r>
                      <w:rPr>
                        <w:rFonts w:ascii="Cambria Math" w:hAnsi="Cambria Math"/>
                      </w:rPr>
                      <m:t>d</m:t>
                    </m:r>
                    <m:sSub>
                      <m:sSubPr>
                        <m:ctrlPr>
                          <w:rPr>
                            <w:rFonts w:ascii="Cambria Math" w:hAnsi="Cambria Math"/>
                          </w:rPr>
                        </m:ctrlPr>
                      </m:sSubPr>
                      <m:e>
                        <m:r>
                          <w:rPr>
                            <w:rFonts w:ascii="Cambria Math" w:hAnsi="Cambria Math"/>
                          </w:rPr>
                          <m:t>m</m:t>
                        </m:r>
                      </m:e>
                      <m:sub>
                        <m:r>
                          <w:rPr>
                            <w:rFonts w:ascii="Cambria Math" w:hAnsi="Cambria Math"/>
                          </w:rPr>
                          <m:t>p</m:t>
                        </m:r>
                      </m:sub>
                    </m:sSub>
                  </m:num>
                  <m:den>
                    <m:r>
                      <w:rPr>
                        <w:rFonts w:ascii="Cambria Math" w:hAnsi="Cambria Math"/>
                      </w:rPr>
                      <m:t>dt</m:t>
                    </m:r>
                  </m:den>
                </m:f>
                <m:r>
                  <m:rPr>
                    <m:sty m:val="p"/>
                  </m:rP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β</m:t>
                        </m:r>
                      </m:e>
                      <m:sub>
                        <m:r>
                          <m:rPr>
                            <m:sty m:val="p"/>
                          </m:rPr>
                          <w:rPr>
                            <w:rFonts w:ascii="Cambria Math" w:hAnsi="Cambria Math"/>
                          </w:rPr>
                          <m:t>1</m:t>
                        </m:r>
                      </m:sub>
                    </m:sSub>
                    <m:f>
                      <m:fPr>
                        <m:ctrlPr>
                          <w:rPr>
                            <w:rFonts w:ascii="Cambria Math" w:hAnsi="Cambria Math"/>
                          </w:rPr>
                        </m:ctrlPr>
                      </m:fPr>
                      <m:num>
                        <m:sSub>
                          <m:sSubPr>
                            <m:ctrlPr>
                              <w:rPr>
                                <w:rFonts w:ascii="Cambria Math" w:hAnsi="Cambria Math"/>
                              </w:rPr>
                            </m:ctrlPr>
                          </m:sSubPr>
                          <m:e>
                            <m:r>
                              <w:rPr>
                                <w:rFonts w:ascii="Cambria Math" w:hAnsi="Cambria Math"/>
                              </w:rPr>
                              <m:t>δ</m:t>
                            </m:r>
                          </m:e>
                          <m:sub>
                            <m:r>
                              <m:rPr>
                                <m:sty m:val="p"/>
                              </m:rPr>
                              <w:rPr>
                                <w:rFonts w:ascii="Cambria Math" w:hAnsi="Cambria Math"/>
                              </w:rPr>
                              <m:t>1</m:t>
                            </m:r>
                          </m:sub>
                        </m:sSub>
                        <m:sSub>
                          <m:sSubPr>
                            <m:ctrlPr>
                              <w:rPr>
                                <w:rFonts w:ascii="Cambria Math" w:hAnsi="Cambria Math"/>
                              </w:rPr>
                            </m:ctrlPr>
                          </m:sSubPr>
                          <m:e>
                            <m:r>
                              <w:rPr>
                                <w:rFonts w:ascii="Cambria Math" w:hAnsi="Cambria Math"/>
                              </w:rPr>
                              <m:t>C</m:t>
                            </m:r>
                          </m:e>
                          <m:sub>
                            <m:r>
                              <w:rPr>
                                <w:rFonts w:ascii="Cambria Math" w:hAnsi="Cambria Math"/>
                              </w:rPr>
                              <m:t>x</m:t>
                            </m:r>
                          </m:sub>
                        </m:sSub>
                        <m:sSub>
                          <m:sSubPr>
                            <m:ctrlPr>
                              <w:rPr>
                                <w:rFonts w:ascii="Cambria Math" w:hAnsi="Cambria Math"/>
                              </w:rPr>
                            </m:ctrlPr>
                          </m:sSubPr>
                          <m:e>
                            <m:r>
                              <w:rPr>
                                <w:rFonts w:ascii="Cambria Math" w:hAnsi="Cambria Math"/>
                              </w:rPr>
                              <m:t>C</m:t>
                            </m:r>
                          </m:e>
                          <m:sub>
                            <m:r>
                              <w:rPr>
                                <w:rFonts w:ascii="Cambria Math" w:hAnsi="Cambria Math"/>
                              </w:rPr>
                              <m:t>s</m:t>
                            </m:r>
                            <m:r>
                              <m:rPr>
                                <m:sty m:val="p"/>
                              </m:rPr>
                              <w:rPr>
                                <w:rFonts w:ascii="Cambria Math" w:hAnsi="Cambria Math"/>
                              </w:rPr>
                              <m:t>1</m:t>
                            </m:r>
                          </m:sub>
                        </m:sSub>
                      </m:num>
                      <m:den>
                        <m:sSub>
                          <m:sSubPr>
                            <m:ctrlPr>
                              <w:rPr>
                                <w:rFonts w:ascii="Cambria Math" w:hAnsi="Cambria Math"/>
                              </w:rPr>
                            </m:ctrlPr>
                          </m:sSubPr>
                          <m:e>
                            <m:r>
                              <w:rPr>
                                <w:rFonts w:ascii="Cambria Math" w:hAnsi="Cambria Math"/>
                              </w:rPr>
                              <m:t>K</m:t>
                            </m:r>
                          </m:e>
                          <m:sub>
                            <m:r>
                              <w:rPr>
                                <w:rFonts w:ascii="Cambria Math" w:hAnsi="Cambria Math"/>
                              </w:rPr>
                              <m:t>M</m:t>
                            </m:r>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s</m:t>
                            </m:r>
                            <m:r>
                              <m:rPr>
                                <m:sty m:val="p"/>
                              </m:rPr>
                              <w:rPr>
                                <w:rFonts w:ascii="Cambria Math" w:hAnsi="Cambria Math"/>
                              </w:rPr>
                              <m:t>1</m:t>
                            </m:r>
                          </m:sub>
                        </m:sSub>
                      </m:den>
                    </m:f>
                    <m:r>
                      <m:rPr>
                        <m:sty m:val="p"/>
                      </m:rPr>
                      <w:rPr>
                        <w:rFonts w:ascii="Cambria Math" w:hAnsi="Cambria Math"/>
                      </w:rPr>
                      <m:t>+</m:t>
                    </m:r>
                    <m:sSub>
                      <m:sSubPr>
                        <m:ctrlPr>
                          <w:rPr>
                            <w:rFonts w:ascii="Cambria Math" w:hAnsi="Cambria Math"/>
                          </w:rPr>
                        </m:ctrlPr>
                      </m:sSubPr>
                      <m:e>
                        <m:r>
                          <w:rPr>
                            <w:rFonts w:ascii="Cambria Math" w:hAnsi="Cambria Math"/>
                          </w:rPr>
                          <m:t>β</m:t>
                        </m:r>
                      </m:e>
                      <m:sub>
                        <m:r>
                          <m:rPr>
                            <m:sty m:val="p"/>
                          </m:rPr>
                          <w:rPr>
                            <w:rFonts w:ascii="Cambria Math" w:hAnsi="Cambria Math"/>
                          </w:rPr>
                          <m:t>2</m:t>
                        </m:r>
                      </m:sub>
                    </m:sSub>
                    <m:f>
                      <m:fPr>
                        <m:ctrlPr>
                          <w:rPr>
                            <w:rFonts w:ascii="Cambria Math" w:hAnsi="Cambria Math"/>
                          </w:rPr>
                        </m:ctrlPr>
                      </m:fPr>
                      <m:num>
                        <m:sSub>
                          <m:sSubPr>
                            <m:ctrlPr>
                              <w:rPr>
                                <w:rFonts w:ascii="Cambria Math" w:hAnsi="Cambria Math"/>
                              </w:rPr>
                            </m:ctrlPr>
                          </m:sSubPr>
                          <m:e>
                            <m:r>
                              <w:rPr>
                                <w:rFonts w:ascii="Cambria Math" w:hAnsi="Cambria Math"/>
                              </w:rPr>
                              <m:t>δ</m:t>
                            </m:r>
                          </m:e>
                          <m:sub>
                            <m:r>
                              <m:rPr>
                                <m:sty m:val="p"/>
                              </m:rPr>
                              <w:rPr>
                                <w:rFonts w:ascii="Cambria Math" w:hAnsi="Cambria Math"/>
                              </w:rPr>
                              <m:t>2</m:t>
                            </m:r>
                          </m:sub>
                        </m:sSub>
                        <m:sSub>
                          <m:sSubPr>
                            <m:ctrlPr>
                              <w:rPr>
                                <w:rFonts w:ascii="Cambria Math" w:hAnsi="Cambria Math"/>
                              </w:rPr>
                            </m:ctrlPr>
                          </m:sSubPr>
                          <m:e>
                            <m:r>
                              <w:rPr>
                                <w:rFonts w:ascii="Cambria Math" w:hAnsi="Cambria Math"/>
                              </w:rPr>
                              <m:t>C</m:t>
                            </m:r>
                          </m:e>
                          <m:sub>
                            <m:r>
                              <w:rPr>
                                <w:rFonts w:ascii="Cambria Math" w:hAnsi="Cambria Math"/>
                              </w:rPr>
                              <m:t>x</m:t>
                            </m:r>
                          </m:sub>
                        </m:sSub>
                        <m:sSub>
                          <m:sSubPr>
                            <m:ctrlPr>
                              <w:rPr>
                                <w:rFonts w:ascii="Cambria Math" w:hAnsi="Cambria Math"/>
                              </w:rPr>
                            </m:ctrlPr>
                          </m:sSubPr>
                          <m:e>
                            <m:r>
                              <w:rPr>
                                <w:rFonts w:ascii="Cambria Math" w:hAnsi="Cambria Math"/>
                              </w:rPr>
                              <m:t>C</m:t>
                            </m:r>
                          </m:e>
                          <m:sub>
                            <m:r>
                              <w:rPr>
                                <w:rFonts w:ascii="Cambria Math" w:hAnsi="Cambria Math"/>
                              </w:rPr>
                              <m:t>s</m:t>
                            </m:r>
                            <m:r>
                              <m:rPr>
                                <m:sty m:val="p"/>
                              </m:rPr>
                              <w:rPr>
                                <w:rFonts w:ascii="Cambria Math" w:hAnsi="Cambria Math"/>
                              </w:rPr>
                              <m:t>2</m:t>
                            </m:r>
                          </m:sub>
                        </m:sSub>
                      </m:num>
                      <m:den>
                        <m:sSub>
                          <m:sSubPr>
                            <m:ctrlPr>
                              <w:rPr>
                                <w:rFonts w:ascii="Cambria Math" w:hAnsi="Cambria Math"/>
                              </w:rPr>
                            </m:ctrlPr>
                          </m:sSubPr>
                          <m:e>
                            <m:r>
                              <w:rPr>
                                <w:rFonts w:ascii="Cambria Math" w:hAnsi="Cambria Math"/>
                              </w:rPr>
                              <m:t>K</m:t>
                            </m:r>
                          </m:e>
                          <m:sub>
                            <m:r>
                              <w:rPr>
                                <w:rFonts w:ascii="Cambria Math" w:hAnsi="Cambria Math"/>
                              </w:rPr>
                              <m:t>M</m:t>
                            </m:r>
                            <m:r>
                              <m:rPr>
                                <m:sty m:val="p"/>
                              </m:rP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s</m:t>
                            </m:r>
                            <m:r>
                              <m:rPr>
                                <m:sty m:val="p"/>
                              </m:rPr>
                              <w:rPr>
                                <w:rFonts w:ascii="Cambria Math" w:hAnsi="Cambria Math"/>
                              </w:rPr>
                              <m:t>2</m:t>
                            </m:r>
                          </m:sub>
                        </m:sSub>
                      </m:den>
                    </m:f>
                  </m:e>
                </m:d>
                <m:sSub>
                  <m:sSubPr>
                    <m:ctrlPr>
                      <w:rPr>
                        <w:rFonts w:ascii="Cambria Math" w:hAnsi="Cambria Math"/>
                      </w:rPr>
                    </m:ctrlPr>
                  </m:sSubPr>
                  <m:e>
                    <m:r>
                      <w:rPr>
                        <w:rFonts w:ascii="Cambria Math" w:hAnsi="Cambria Math"/>
                      </w:rPr>
                      <m:t>V</m:t>
                    </m:r>
                  </m:e>
                  <m:sub>
                    <m:r>
                      <w:rPr>
                        <w:rFonts w:ascii="Cambria Math" w:hAnsi="Cambria Math"/>
                      </w:rPr>
                      <m:t>r</m:t>
                    </m:r>
                  </m:sub>
                </m:sSub>
                <m:r>
                  <m:rPr>
                    <m:sty m:val="p"/>
                  </m:rPr>
                  <w:rPr>
                    <w:rFonts w:ascii="Cambria Math" w:hAnsi="Cambria Math"/>
                  </w:rPr>
                  <m:t>-</m:t>
                </m:r>
                <m:r>
                  <w:rPr>
                    <w:rFonts w:ascii="Cambria Math" w:hAnsi="Cambria Math"/>
                  </w:rPr>
                  <m:t>k</m:t>
                </m:r>
                <m:sSub>
                  <m:sSubPr>
                    <m:ctrlPr>
                      <w:rPr>
                        <w:rFonts w:ascii="Cambria Math" w:hAnsi="Cambria Math"/>
                      </w:rPr>
                    </m:ctrlPr>
                  </m:sSubPr>
                  <m:e>
                    <m:r>
                      <w:rPr>
                        <w:rFonts w:ascii="Cambria Math" w:hAnsi="Cambria Math"/>
                      </w:rPr>
                      <m:t>C</m:t>
                    </m:r>
                  </m:e>
                  <m:sub>
                    <m:r>
                      <w:rPr>
                        <w:rFonts w:ascii="Cambria Math" w:hAnsi="Cambria Math"/>
                      </w:rPr>
                      <m:t>p</m:t>
                    </m:r>
                  </m:sub>
                </m:sSub>
                <m:sSub>
                  <m:sSubPr>
                    <m:ctrlPr>
                      <w:rPr>
                        <w:rFonts w:ascii="Cambria Math" w:hAnsi="Cambria Math"/>
                      </w:rPr>
                    </m:ctrlPr>
                  </m:sSubPr>
                  <m:e>
                    <m:r>
                      <w:rPr>
                        <w:rFonts w:ascii="Cambria Math" w:hAnsi="Cambria Math"/>
                      </w:rPr>
                      <m:t>V</m:t>
                    </m:r>
                  </m:e>
                  <m:sub>
                    <m:r>
                      <w:rPr>
                        <w:rFonts w:ascii="Cambria Math" w:hAnsi="Cambria Math"/>
                      </w:rPr>
                      <m:t>r</m:t>
                    </m:r>
                  </m:sub>
                </m:sSub>
              </m:oMath>
            </m:oMathPara>
          </w:p>
        </w:tc>
        <w:tc>
          <w:tcPr>
            <w:tcW w:w="801" w:type="dxa"/>
            <w:vAlign w:val="center"/>
          </w:tcPr>
          <w:p w14:paraId="17995CC6" w14:textId="4ECF0895" w:rsidR="00C46E28" w:rsidRPr="00EE6CC2" w:rsidRDefault="00D26B18" w:rsidP="003600C1">
            <w:pPr>
              <w:pStyle w:val="CETEquation"/>
            </w:pPr>
            <w:r>
              <w:t xml:space="preserve">       </w:t>
            </w:r>
            <w:r w:rsidR="00C46E28" w:rsidRPr="00EE6CC2">
              <w:t>(</w:t>
            </w:r>
            <w:r w:rsidR="00C46E28">
              <w:t>7</w:t>
            </w:r>
            <w:r w:rsidR="00C46E28" w:rsidRPr="00EE6CC2">
              <w:t>)</w:t>
            </w:r>
          </w:p>
        </w:tc>
      </w:tr>
      <w:tr w:rsidR="00C46E28" w:rsidRPr="00EE6CC2" w14:paraId="381CD0FB" w14:textId="77777777" w:rsidTr="003600C1">
        <w:tc>
          <w:tcPr>
            <w:tcW w:w="7986" w:type="dxa"/>
            <w:vAlign w:val="center"/>
          </w:tcPr>
          <w:p w14:paraId="27BC68C8" w14:textId="77777777" w:rsidR="00C46E28" w:rsidRPr="00EE6CC2" w:rsidRDefault="00000000" w:rsidP="003600C1">
            <w:pPr>
              <w:pStyle w:val="CETEquation"/>
            </w:pPr>
            <m:oMathPara>
              <m:oMathParaPr>
                <m:jc m:val="left"/>
              </m:oMathParaPr>
              <m:oMath>
                <m:f>
                  <m:fPr>
                    <m:ctrlPr>
                      <w:rPr>
                        <w:rFonts w:ascii="Cambria Math" w:hAnsi="Cambria Math"/>
                      </w:rPr>
                    </m:ctrlPr>
                  </m:fPr>
                  <m:num>
                    <m:r>
                      <w:rPr>
                        <w:rFonts w:ascii="Cambria Math" w:hAnsi="Cambria Math"/>
                      </w:rPr>
                      <m:t>d</m:t>
                    </m:r>
                    <m:sSub>
                      <m:sSubPr>
                        <m:ctrlPr>
                          <w:rPr>
                            <w:rFonts w:ascii="Cambria Math" w:hAnsi="Cambria Math"/>
                          </w:rPr>
                        </m:ctrlPr>
                      </m:sSubPr>
                      <m:e>
                        <m:r>
                          <w:rPr>
                            <w:rFonts w:ascii="Cambria Math" w:hAnsi="Cambria Math"/>
                          </w:rPr>
                          <m:t>m</m:t>
                        </m:r>
                      </m:e>
                      <m:sub>
                        <m:r>
                          <w:rPr>
                            <w:rFonts w:ascii="Cambria Math" w:hAnsi="Cambria Math"/>
                          </w:rPr>
                          <m:t>tot</m:t>
                        </m:r>
                      </m:sub>
                    </m:sSub>
                  </m:num>
                  <m:den>
                    <m:r>
                      <w:rPr>
                        <w:rFonts w:ascii="Cambria Math" w:hAnsi="Cambria Math"/>
                      </w:rPr>
                      <m:t>dt</m:t>
                    </m:r>
                    <m:r>
                      <m:rPr>
                        <m:sty m:val="p"/>
                      </m:rPr>
                      <w:rPr>
                        <w:rFonts w:ascii="Cambria Math" w:hAnsi="Cambria Math"/>
                      </w:rPr>
                      <m:t xml:space="preserve"> </m:t>
                    </m:r>
                  </m:den>
                </m:f>
                <m:r>
                  <m:rPr>
                    <m:sty m:val="p"/>
                  </m:rP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m</m:t>
                        </m:r>
                      </m:e>
                    </m:acc>
                  </m:e>
                  <m:sub>
                    <m:r>
                      <w:rPr>
                        <w:rFonts w:ascii="Cambria Math" w:hAnsi="Cambria Math"/>
                      </w:rPr>
                      <m:t>e</m:t>
                    </m:r>
                  </m:sub>
                </m:sSub>
              </m:oMath>
            </m:oMathPara>
          </w:p>
        </w:tc>
        <w:tc>
          <w:tcPr>
            <w:tcW w:w="801" w:type="dxa"/>
            <w:vAlign w:val="center"/>
          </w:tcPr>
          <w:p w14:paraId="020C9781" w14:textId="07A66190" w:rsidR="00C46E28" w:rsidRPr="00EE6CC2" w:rsidRDefault="00D26B18" w:rsidP="003600C1">
            <w:pPr>
              <w:pStyle w:val="CETEquation"/>
            </w:pPr>
            <w:r>
              <w:t xml:space="preserve">       </w:t>
            </w:r>
            <w:r w:rsidR="00C46E28" w:rsidRPr="00EE6CC2">
              <w:t>(</w:t>
            </w:r>
            <w:r w:rsidR="00C46E28">
              <w:t>8</w:t>
            </w:r>
            <w:r w:rsidR="00C46E28" w:rsidRPr="00EE6CC2">
              <w:t>)</w:t>
            </w:r>
          </w:p>
        </w:tc>
      </w:tr>
    </w:tbl>
    <w:p w14:paraId="448A11F7" w14:textId="420CB0CA" w:rsidR="00C46E28" w:rsidRDefault="00CE59B8" w:rsidP="00C46E28">
      <w:pPr>
        <w:pStyle w:val="CETBodytext"/>
        <w:rPr>
          <w:lang w:val="en-GB"/>
        </w:rPr>
      </w:pPr>
      <w:r>
        <w:rPr>
          <w:lang w:val="en-GB"/>
        </w:rPr>
        <w:t>In these equations</w:t>
      </w:r>
      <w:r w:rsidR="00C46E28">
        <w:rPr>
          <w:lang w:val="en-GB"/>
        </w:rPr>
        <w:t xml:space="preserve"> </w:t>
      </w:r>
      <m:oMath>
        <m:sSub>
          <m:sSubPr>
            <m:ctrlPr>
              <w:rPr>
                <w:rFonts w:ascii="Cambria Math" w:hAnsi="Cambria Math" w:cstheme="minorHAnsi"/>
                <w:i/>
                <w:lang w:val="en-GB"/>
              </w:rPr>
            </m:ctrlPr>
          </m:sSubPr>
          <m:e>
            <m:r>
              <w:rPr>
                <w:rFonts w:ascii="Cambria Math" w:hAnsi="Cambria Math" w:cstheme="minorHAnsi"/>
                <w:lang w:val="en-GB"/>
              </w:rPr>
              <m:t>V</m:t>
            </m:r>
          </m:e>
          <m:sub>
            <m:r>
              <w:rPr>
                <w:rFonts w:ascii="Cambria Math" w:hAnsi="Cambria Math" w:cstheme="minorHAnsi"/>
                <w:lang w:val="en-GB"/>
              </w:rPr>
              <m:t>r</m:t>
            </m:r>
          </m:sub>
        </m:sSub>
      </m:oMath>
      <w:r w:rsidR="00C46E28">
        <w:rPr>
          <w:lang w:val="en-GB"/>
        </w:rPr>
        <w:t xml:space="preserve"> </w:t>
      </w:r>
      <w:r w:rsidR="00C46E28" w:rsidRPr="00C92DD6">
        <w:rPr>
          <w:lang w:val="en-GB"/>
        </w:rPr>
        <w:t>[</w:t>
      </w:r>
      <w:r w:rsidR="00C46E28">
        <w:rPr>
          <w:lang w:val="en-GB"/>
        </w:rPr>
        <w:t>L</w:t>
      </w:r>
      <w:r w:rsidR="00C46E28" w:rsidRPr="00C92DD6">
        <w:rPr>
          <w:lang w:val="en-GB"/>
        </w:rPr>
        <w:t>]</w:t>
      </w:r>
      <w:r w:rsidR="00C46E28">
        <w:rPr>
          <w:lang w:val="en-GB"/>
        </w:rPr>
        <w:t xml:space="preserve"> is the volume of the </w:t>
      </w:r>
      <w:r w:rsidR="00226518">
        <w:rPr>
          <w:lang w:val="en-GB"/>
        </w:rPr>
        <w:t xml:space="preserve">culture in the </w:t>
      </w:r>
      <w:r w:rsidR="00C46E28">
        <w:rPr>
          <w:lang w:val="en-GB"/>
        </w:rPr>
        <w:t>reactor</w:t>
      </w:r>
      <w:r w:rsidR="00226518">
        <w:rPr>
          <w:lang w:val="en-GB"/>
        </w:rPr>
        <w:t>,</w:t>
      </w:r>
      <w:r w:rsidR="00C46E28">
        <w:rPr>
          <w:lang w:val="en-GB"/>
        </w:rPr>
        <w:t xml:space="preserve"> and being </w:t>
      </w:r>
      <w:r w:rsidR="00226518">
        <w:rPr>
          <w:lang w:val="en-GB"/>
        </w:rPr>
        <w:t xml:space="preserve">the model referred to </w:t>
      </w:r>
      <w:r w:rsidR="00C46E28">
        <w:rPr>
          <w:lang w:val="en-GB"/>
        </w:rPr>
        <w:t xml:space="preserve">a fed-batch process its time evolution is described as follows (Eq. </w:t>
      </w:r>
      <w:r w:rsidR="00CD0C13">
        <w:rPr>
          <w:lang w:val="en-GB"/>
        </w:rPr>
        <w:t>9</w:t>
      </w:r>
      <w:r w:rsidR="00C46E28">
        <w:rPr>
          <w:lang w:val="en-GB"/>
        </w:rPr>
        <w:t xml:space="preserve"> to 1</w:t>
      </w:r>
      <w:r w:rsidR="00CD0C13">
        <w:rPr>
          <w:lang w:val="en-GB"/>
        </w:rPr>
        <w:t>1</w:t>
      </w:r>
      <w:r w:rsidR="00C46E28">
        <w:rPr>
          <w:lang w:val="en-GB"/>
        </w:rPr>
        <w:t>).</w:t>
      </w:r>
    </w:p>
    <w:tbl>
      <w:tblPr>
        <w:tblW w:w="5000" w:type="pct"/>
        <w:tblLook w:val="04A0" w:firstRow="1" w:lastRow="0" w:firstColumn="1" w:lastColumn="0" w:noHBand="0" w:noVBand="1"/>
      </w:tblPr>
      <w:tblGrid>
        <w:gridCol w:w="7986"/>
        <w:gridCol w:w="801"/>
      </w:tblGrid>
      <w:tr w:rsidR="00C46E28" w:rsidRPr="00EE6CC2" w14:paraId="3444C8E8" w14:textId="77777777" w:rsidTr="003600C1">
        <w:tc>
          <w:tcPr>
            <w:tcW w:w="7986" w:type="dxa"/>
            <w:vAlign w:val="center"/>
          </w:tcPr>
          <w:p w14:paraId="7FE006F8" w14:textId="74D0D2E0" w:rsidR="00C46E28" w:rsidRPr="00EE6CC2" w:rsidRDefault="00000000" w:rsidP="003600C1">
            <w:pPr>
              <w:pStyle w:val="CETEquation"/>
            </w:pPr>
            <m:oMathPara>
              <m:oMathParaPr>
                <m:jc m:val="left"/>
              </m:oMathParaPr>
              <m:oMath>
                <m:sSub>
                  <m:sSubPr>
                    <m:ctrlPr>
                      <w:rPr>
                        <w:rFonts w:ascii="Cambria Math" w:hAnsi="Cambria Math" w:cstheme="minorHAnsi"/>
                        <w:i/>
                      </w:rPr>
                    </m:ctrlPr>
                  </m:sSubPr>
                  <m:e>
                    <m:r>
                      <w:rPr>
                        <w:rFonts w:ascii="Cambria Math" w:hAnsi="Cambria Math" w:cstheme="minorHAnsi"/>
                      </w:rPr>
                      <m:t>V</m:t>
                    </m:r>
                  </m:e>
                  <m:sub>
                    <m:r>
                      <w:rPr>
                        <w:rFonts w:ascii="Cambria Math" w:hAnsi="Cambria Math" w:cstheme="minorHAnsi"/>
                      </w:rPr>
                      <m:t>r</m:t>
                    </m:r>
                  </m:sub>
                </m:sSub>
                <m:d>
                  <m:dPr>
                    <m:ctrlPr>
                      <w:rPr>
                        <w:rFonts w:ascii="Cambria Math" w:hAnsi="Cambria Math" w:cstheme="minorHAnsi"/>
                        <w:i/>
                      </w:rPr>
                    </m:ctrlPr>
                  </m:dPr>
                  <m:e>
                    <m:r>
                      <w:rPr>
                        <w:rFonts w:ascii="Cambria Math" w:hAnsi="Cambria Math" w:cstheme="minorHAnsi"/>
                      </w:rPr>
                      <m:t>t</m:t>
                    </m:r>
                  </m:e>
                </m:d>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V</m:t>
                    </m:r>
                  </m:e>
                  <m:sub>
                    <m:r>
                      <w:rPr>
                        <w:rFonts w:ascii="Cambria Math" w:hAnsi="Cambria Math" w:cstheme="minorHAnsi"/>
                      </w:rPr>
                      <m:t>r,0</m:t>
                    </m:r>
                  </m:sub>
                </m:sSub>
                <m:r>
                  <w:rPr>
                    <w:rFonts w:ascii="Cambria Math" w:hAnsi="Cambria Math" w:cstheme="minorHAnsi"/>
                  </w:rPr>
                  <m:t>+</m:t>
                </m:r>
                <m:sSub>
                  <m:sSubPr>
                    <m:ctrlPr>
                      <w:rPr>
                        <w:rFonts w:ascii="Cambria Math" w:hAnsi="Cambria Math" w:cstheme="minorHAnsi"/>
                        <w:i/>
                      </w:rPr>
                    </m:ctrlPr>
                  </m:sSubPr>
                  <m:e>
                    <m:acc>
                      <m:accPr>
                        <m:chr m:val="̇"/>
                        <m:ctrlPr>
                          <w:rPr>
                            <w:rFonts w:ascii="Cambria Math" w:hAnsi="Cambria Math" w:cstheme="minorHAnsi"/>
                            <w:i/>
                          </w:rPr>
                        </m:ctrlPr>
                      </m:accPr>
                      <m:e>
                        <m:r>
                          <w:rPr>
                            <w:rFonts w:ascii="Cambria Math" w:hAnsi="Cambria Math" w:cstheme="minorHAnsi"/>
                          </w:rPr>
                          <m:t>V</m:t>
                        </m:r>
                      </m:e>
                    </m:acc>
                  </m:e>
                  <m:sub>
                    <m:r>
                      <w:rPr>
                        <w:rFonts w:ascii="Cambria Math" w:hAnsi="Cambria Math" w:cstheme="minorHAnsi"/>
                      </w:rPr>
                      <m:t>in</m:t>
                    </m:r>
                  </m:sub>
                </m:sSub>
                <m:r>
                  <w:rPr>
                    <w:rFonts w:ascii="Cambria Math" w:hAnsi="Cambria Math" w:cstheme="minorHAnsi"/>
                  </w:rPr>
                  <m:t>*t</m:t>
                </m:r>
              </m:oMath>
            </m:oMathPara>
          </w:p>
        </w:tc>
        <w:tc>
          <w:tcPr>
            <w:tcW w:w="801" w:type="dxa"/>
            <w:vAlign w:val="center"/>
          </w:tcPr>
          <w:p w14:paraId="50785AEB" w14:textId="02447760" w:rsidR="00C46E28" w:rsidRPr="00EE6CC2" w:rsidRDefault="00D26B18" w:rsidP="003600C1">
            <w:pPr>
              <w:pStyle w:val="CETEquation"/>
            </w:pPr>
            <w:r>
              <w:t xml:space="preserve">       </w:t>
            </w:r>
            <w:r w:rsidR="00C46E28" w:rsidRPr="00EE6CC2">
              <w:t>(</w:t>
            </w:r>
            <w:r w:rsidR="00E05EC1">
              <w:t>9</w:t>
            </w:r>
            <w:r w:rsidR="00C46E28" w:rsidRPr="00EE6CC2">
              <w:t>)</w:t>
            </w:r>
          </w:p>
        </w:tc>
      </w:tr>
    </w:tbl>
    <w:p w14:paraId="4DDC3676" w14:textId="77777777" w:rsidR="00C46E28" w:rsidRDefault="00C46E28" w:rsidP="00C46E28">
      <w:pPr>
        <w:pStyle w:val="CETBodytext"/>
        <w:rPr>
          <w:lang w:val="en-GB"/>
        </w:rPr>
      </w:pPr>
      <w:r>
        <w:rPr>
          <w:lang w:val="en-GB"/>
        </w:rPr>
        <w:t xml:space="preserve">With: </w:t>
      </w:r>
    </w:p>
    <w:tbl>
      <w:tblPr>
        <w:tblW w:w="5000" w:type="pct"/>
        <w:tblLook w:val="04A0" w:firstRow="1" w:lastRow="0" w:firstColumn="1" w:lastColumn="0" w:noHBand="0" w:noVBand="1"/>
      </w:tblPr>
      <w:tblGrid>
        <w:gridCol w:w="7986"/>
        <w:gridCol w:w="801"/>
      </w:tblGrid>
      <w:tr w:rsidR="00C46E28" w:rsidRPr="00AC422A" w14:paraId="008257D5" w14:textId="77777777" w:rsidTr="003600C1">
        <w:tc>
          <w:tcPr>
            <w:tcW w:w="7986" w:type="dxa"/>
            <w:vAlign w:val="center"/>
          </w:tcPr>
          <w:p w14:paraId="14221FF7" w14:textId="77777777" w:rsidR="00C46E28" w:rsidRPr="00AC422A" w:rsidRDefault="00000000" w:rsidP="003600C1">
            <w:pPr>
              <w:pStyle w:val="CETEquation"/>
            </w:pPr>
            <m:oMathPara>
              <m:oMathParaPr>
                <m:jc m:val="left"/>
              </m:oMathParaPr>
              <m:oMath>
                <m:sSub>
                  <m:sSubPr>
                    <m:ctrlPr>
                      <w:rPr>
                        <w:rFonts w:ascii="Cambria Math" w:hAnsi="Cambria Math"/>
                      </w:rPr>
                    </m:ctrlPr>
                  </m:sSubPr>
                  <m:e>
                    <m:acc>
                      <m:accPr>
                        <m:chr m:val="̇"/>
                        <m:ctrlPr>
                          <w:rPr>
                            <w:rFonts w:ascii="Cambria Math" w:hAnsi="Cambria Math"/>
                          </w:rPr>
                        </m:ctrlPr>
                      </m:accPr>
                      <m:e>
                        <m:r>
                          <w:rPr>
                            <w:rFonts w:ascii="Cambria Math" w:hAnsi="Cambria Math"/>
                          </w:rPr>
                          <m:t>V</m:t>
                        </m:r>
                      </m:e>
                    </m:acc>
                  </m:e>
                  <m:sub>
                    <m:r>
                      <w:rPr>
                        <w:rFonts w:ascii="Cambria Math" w:hAnsi="Cambria Math"/>
                      </w:rPr>
                      <m:t>in</m:t>
                    </m:r>
                  </m:sub>
                </m:sSub>
                <m:r>
                  <m:rPr>
                    <m:sty m:val="p"/>
                  </m:rP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m</m:t>
                        </m:r>
                      </m:e>
                    </m:acc>
                  </m:e>
                  <m:sub>
                    <m:r>
                      <w:rPr>
                        <w:rFonts w:ascii="Cambria Math" w:hAnsi="Cambria Math"/>
                      </w:rPr>
                      <m:t>e</m:t>
                    </m:r>
                  </m:sub>
                </m:sSub>
                <m:r>
                  <m:rPr>
                    <m:sty m:val="p"/>
                  </m:rPr>
                  <w:rPr>
                    <w:rFonts w:ascii="Cambria Math" w:hAnsi="Cambria Math"/>
                  </w:rPr>
                  <m:t>*</m:t>
                </m:r>
                <m:r>
                  <w:rPr>
                    <w:rFonts w:ascii="Cambria Math" w:hAnsi="Cambria Math"/>
                  </w:rPr>
                  <m:t>ρ</m:t>
                </m:r>
              </m:oMath>
            </m:oMathPara>
          </w:p>
        </w:tc>
        <w:tc>
          <w:tcPr>
            <w:tcW w:w="801" w:type="dxa"/>
            <w:vAlign w:val="center"/>
          </w:tcPr>
          <w:p w14:paraId="7C310B10" w14:textId="54B94CFC" w:rsidR="00C46E28" w:rsidRPr="00AC422A" w:rsidRDefault="00D26B18" w:rsidP="003600C1">
            <w:pPr>
              <w:pStyle w:val="CETEquation"/>
            </w:pPr>
            <w:r>
              <w:t xml:space="preserve">     </w:t>
            </w:r>
            <w:r w:rsidR="00C46E28" w:rsidRPr="00AC422A">
              <w:t>(1</w:t>
            </w:r>
            <w:r w:rsidR="00E05EC1">
              <w:t>0</w:t>
            </w:r>
            <w:r w:rsidR="00C46E28" w:rsidRPr="00AC422A">
              <w:t>)</w:t>
            </w:r>
          </w:p>
        </w:tc>
      </w:tr>
      <w:tr w:rsidR="00C46E28" w:rsidRPr="00AC422A" w14:paraId="53BFA662" w14:textId="77777777" w:rsidTr="003600C1">
        <w:tc>
          <w:tcPr>
            <w:tcW w:w="7986" w:type="dxa"/>
            <w:vAlign w:val="center"/>
          </w:tcPr>
          <w:p w14:paraId="237032F7" w14:textId="77777777" w:rsidR="00C46E28" w:rsidRPr="00AC422A" w:rsidRDefault="00000000" w:rsidP="003600C1">
            <w:pPr>
              <w:pStyle w:val="CETEquation"/>
              <w:rPr>
                <w:rFonts w:ascii="Cambria Math" w:hAnsi="Cambria Math"/>
                <w:oMath/>
              </w:rPr>
            </w:pPr>
            <m:oMathPara>
              <m:oMathParaPr>
                <m:jc m:val="left"/>
              </m:oMathParaPr>
              <m:oMath>
                <m:sSub>
                  <m:sSubPr>
                    <m:ctrlPr>
                      <w:rPr>
                        <w:rFonts w:ascii="Cambria Math" w:hAnsi="Cambria Math" w:cstheme="minorHAnsi"/>
                        <w:i/>
                      </w:rPr>
                    </m:ctrlPr>
                  </m:sSubPr>
                  <m:e>
                    <m:acc>
                      <m:accPr>
                        <m:chr m:val="̇"/>
                        <m:ctrlPr>
                          <w:rPr>
                            <w:rFonts w:ascii="Cambria Math" w:hAnsi="Cambria Math" w:cstheme="minorHAnsi"/>
                            <w:i/>
                          </w:rPr>
                        </m:ctrlPr>
                      </m:accPr>
                      <m:e>
                        <m:r>
                          <w:rPr>
                            <w:rFonts w:ascii="Cambria Math" w:hAnsi="Cambria Math" w:cstheme="minorHAnsi"/>
                          </w:rPr>
                          <m:t>m</m:t>
                        </m:r>
                      </m:e>
                    </m:acc>
                  </m:e>
                  <m:sub>
                    <m:r>
                      <w:rPr>
                        <w:rFonts w:ascii="Cambria Math" w:hAnsi="Cambria Math" w:cstheme="minorHAnsi"/>
                      </w:rPr>
                      <m:t>e</m:t>
                    </m:r>
                  </m:sub>
                </m:sSub>
                <m:r>
                  <w:rPr>
                    <w:rFonts w:ascii="Cambria Math" w:hAnsi="Cambria Math" w:cstheme="minorHAnsi"/>
                  </w:rPr>
                  <m:t>=</m:t>
                </m:r>
                <m:sSub>
                  <m:sSubPr>
                    <m:ctrlPr>
                      <w:rPr>
                        <w:rFonts w:ascii="Cambria Math" w:hAnsi="Cambria Math" w:cstheme="minorHAnsi"/>
                        <w:i/>
                      </w:rPr>
                    </m:ctrlPr>
                  </m:sSubPr>
                  <m:e>
                    <m:acc>
                      <m:accPr>
                        <m:chr m:val="̇"/>
                        <m:ctrlPr>
                          <w:rPr>
                            <w:rFonts w:ascii="Cambria Math" w:hAnsi="Cambria Math" w:cstheme="minorHAnsi"/>
                            <w:i/>
                          </w:rPr>
                        </m:ctrlPr>
                      </m:accPr>
                      <m:e>
                        <m:r>
                          <w:rPr>
                            <w:rFonts w:ascii="Cambria Math" w:hAnsi="Cambria Math" w:cstheme="minorHAnsi"/>
                          </w:rPr>
                          <m:t>m</m:t>
                        </m:r>
                      </m:e>
                    </m:acc>
                  </m:e>
                  <m:sub>
                    <m:r>
                      <w:rPr>
                        <w:rFonts w:ascii="Cambria Math" w:hAnsi="Cambria Math" w:cstheme="minorHAnsi"/>
                      </w:rPr>
                      <m:t>s1</m:t>
                    </m:r>
                  </m:sub>
                </m:sSub>
                <m:r>
                  <w:rPr>
                    <w:rFonts w:ascii="Cambria Math" w:hAnsi="Cambria Math" w:cstheme="minorHAnsi"/>
                  </w:rPr>
                  <m:t>+</m:t>
                </m:r>
                <m:sSub>
                  <m:sSubPr>
                    <m:ctrlPr>
                      <w:rPr>
                        <w:rFonts w:ascii="Cambria Math" w:hAnsi="Cambria Math" w:cstheme="minorHAnsi"/>
                        <w:i/>
                      </w:rPr>
                    </m:ctrlPr>
                  </m:sSubPr>
                  <m:e>
                    <m:acc>
                      <m:accPr>
                        <m:chr m:val="̇"/>
                        <m:ctrlPr>
                          <w:rPr>
                            <w:rFonts w:ascii="Cambria Math" w:hAnsi="Cambria Math" w:cstheme="minorHAnsi"/>
                            <w:i/>
                          </w:rPr>
                        </m:ctrlPr>
                      </m:accPr>
                      <m:e>
                        <m:r>
                          <w:rPr>
                            <w:rFonts w:ascii="Cambria Math" w:hAnsi="Cambria Math" w:cstheme="minorHAnsi"/>
                          </w:rPr>
                          <m:t>m</m:t>
                        </m:r>
                      </m:e>
                    </m:acc>
                  </m:e>
                  <m:sub>
                    <m:r>
                      <w:rPr>
                        <w:rFonts w:ascii="Cambria Math" w:hAnsi="Cambria Math" w:cstheme="minorHAnsi"/>
                      </w:rPr>
                      <m:t>s2</m:t>
                    </m:r>
                  </m:sub>
                </m:sSub>
                <m:r>
                  <w:rPr>
                    <w:rFonts w:ascii="Cambria Math" w:hAnsi="Cambria Math" w:cstheme="minorHAnsi"/>
                  </w:rPr>
                  <m:t>+</m:t>
                </m:r>
                <m:sSub>
                  <m:sSubPr>
                    <m:ctrlPr>
                      <w:rPr>
                        <w:rFonts w:ascii="Cambria Math" w:hAnsi="Cambria Math" w:cstheme="minorHAnsi"/>
                        <w:i/>
                      </w:rPr>
                    </m:ctrlPr>
                  </m:sSubPr>
                  <m:e>
                    <m:acc>
                      <m:accPr>
                        <m:chr m:val="̇"/>
                        <m:ctrlPr>
                          <w:rPr>
                            <w:rFonts w:ascii="Cambria Math" w:hAnsi="Cambria Math" w:cstheme="minorHAnsi"/>
                            <w:i/>
                          </w:rPr>
                        </m:ctrlPr>
                      </m:accPr>
                      <m:e>
                        <m:r>
                          <w:rPr>
                            <w:rFonts w:ascii="Cambria Math" w:hAnsi="Cambria Math" w:cstheme="minorHAnsi"/>
                          </w:rPr>
                          <m:t>m</m:t>
                        </m:r>
                      </m:e>
                    </m:acc>
                  </m:e>
                  <m:sub>
                    <m:r>
                      <w:rPr>
                        <w:rFonts w:ascii="Cambria Math" w:hAnsi="Cambria Math" w:cstheme="minorHAnsi"/>
                      </w:rPr>
                      <m:t>inert</m:t>
                    </m:r>
                  </m:sub>
                </m:sSub>
              </m:oMath>
            </m:oMathPara>
          </w:p>
        </w:tc>
        <w:tc>
          <w:tcPr>
            <w:tcW w:w="801" w:type="dxa"/>
            <w:vAlign w:val="center"/>
          </w:tcPr>
          <w:p w14:paraId="225FE422" w14:textId="1D034D4E" w:rsidR="00C46E28" w:rsidRPr="00AC422A" w:rsidRDefault="00D26B18" w:rsidP="003600C1">
            <w:pPr>
              <w:pStyle w:val="CETEquation"/>
            </w:pPr>
            <w:r>
              <w:t xml:space="preserve">     </w:t>
            </w:r>
            <w:r w:rsidR="00C46E28" w:rsidRPr="00AC422A">
              <w:t>(1</w:t>
            </w:r>
            <w:r w:rsidR="00E05EC1">
              <w:t>1</w:t>
            </w:r>
            <w:r w:rsidR="00C46E28" w:rsidRPr="00AC422A">
              <w:t>)</w:t>
            </w:r>
          </w:p>
        </w:tc>
      </w:tr>
    </w:tbl>
    <w:p w14:paraId="7A5EDE5E" w14:textId="719BDC3D" w:rsidR="00C46E28" w:rsidRDefault="00C46E28" w:rsidP="00C46E28">
      <w:pPr>
        <w:pStyle w:val="CETBodytext"/>
        <w:rPr>
          <w:rFonts w:eastAsiaTheme="minorEastAsia" w:cstheme="minorHAnsi"/>
          <w:lang w:val="en-GB"/>
        </w:rPr>
      </w:pPr>
      <w:r>
        <w:rPr>
          <w:rFonts w:eastAsiaTheme="minorEastAsia" w:cstheme="minorHAnsi"/>
          <w:lang w:val="en-GB"/>
        </w:rPr>
        <w:t>Being</w:t>
      </w:r>
      <w:r w:rsidR="001C1734">
        <w:rPr>
          <w:rFonts w:eastAsiaTheme="minorEastAsia" w:cstheme="minorHAnsi"/>
          <w:lang w:val="en-GB"/>
        </w:rPr>
        <w:t xml:space="preserve"> </w:t>
      </w:r>
      <m:oMath>
        <m:sSub>
          <m:sSubPr>
            <m:ctrlPr>
              <w:rPr>
                <w:rFonts w:ascii="Cambria Math" w:hAnsi="Cambria Math" w:cstheme="minorHAnsi"/>
                <w:i/>
              </w:rPr>
            </m:ctrlPr>
          </m:sSubPr>
          <m:e>
            <m:r>
              <w:rPr>
                <w:rFonts w:ascii="Cambria Math" w:hAnsi="Cambria Math" w:cstheme="minorHAnsi"/>
              </w:rPr>
              <m:t>V</m:t>
            </m:r>
          </m:e>
          <m:sub>
            <m:r>
              <w:rPr>
                <w:rFonts w:ascii="Cambria Math" w:hAnsi="Cambria Math" w:cstheme="minorHAnsi"/>
              </w:rPr>
              <m:t>r,0</m:t>
            </m:r>
          </m:sub>
        </m:sSub>
      </m:oMath>
      <w:r w:rsidR="001C1734">
        <w:rPr>
          <w:rFonts w:eastAsiaTheme="minorEastAsia" w:cstheme="minorHAnsi"/>
        </w:rPr>
        <w:t xml:space="preserve"> </w:t>
      </w:r>
      <w:r w:rsidR="00F543A0" w:rsidRPr="00C92DD6">
        <w:rPr>
          <w:lang w:val="en-GB"/>
        </w:rPr>
        <w:t>[</w:t>
      </w:r>
      <w:r w:rsidR="00F543A0">
        <w:rPr>
          <w:lang w:val="en-GB"/>
        </w:rPr>
        <w:t>L</w:t>
      </w:r>
      <w:r w:rsidR="00F543A0" w:rsidRPr="00C92DD6">
        <w:rPr>
          <w:lang w:val="en-GB"/>
        </w:rPr>
        <w:t>]</w:t>
      </w:r>
      <w:r w:rsidR="00F543A0">
        <w:rPr>
          <w:lang w:val="en-GB"/>
        </w:rPr>
        <w:t xml:space="preserve"> </w:t>
      </w:r>
      <w:r w:rsidR="001C1734">
        <w:rPr>
          <w:rFonts w:eastAsiaTheme="minorEastAsia" w:cstheme="minorHAnsi"/>
        </w:rPr>
        <w:t>the culture volume in the reactor at the beginning of the process</w:t>
      </w:r>
      <w:r w:rsidR="00F543A0">
        <w:rPr>
          <w:rFonts w:eastAsiaTheme="minorEastAsia" w:cstheme="minorHAnsi"/>
        </w:rPr>
        <w:t>,</w:t>
      </w:r>
      <w:r>
        <w:rPr>
          <w:rFonts w:eastAsiaTheme="minorEastAsia" w:cstheme="minorHAnsi"/>
          <w:lang w:val="en-GB"/>
        </w:rPr>
        <w:t xml:space="preserve"> </w:t>
      </w:r>
      <m:oMath>
        <m:sSub>
          <m:sSubPr>
            <m:ctrlPr>
              <w:rPr>
                <w:rFonts w:ascii="Cambria Math" w:hAnsi="Cambria Math" w:cstheme="minorHAnsi"/>
                <w:i/>
                <w:lang w:val="en-GB"/>
              </w:rPr>
            </m:ctrlPr>
          </m:sSubPr>
          <m:e>
            <m:acc>
              <m:accPr>
                <m:chr m:val="̇"/>
                <m:ctrlPr>
                  <w:rPr>
                    <w:rFonts w:ascii="Cambria Math" w:hAnsi="Cambria Math" w:cstheme="minorHAnsi"/>
                    <w:i/>
                    <w:lang w:val="en-GB"/>
                  </w:rPr>
                </m:ctrlPr>
              </m:accPr>
              <m:e>
                <m:r>
                  <w:rPr>
                    <w:rFonts w:ascii="Cambria Math" w:hAnsi="Cambria Math" w:cstheme="minorHAnsi"/>
                    <w:lang w:val="en-GB"/>
                  </w:rPr>
                  <m:t>m</m:t>
                </m:r>
              </m:e>
            </m:acc>
          </m:e>
          <m:sub>
            <m:r>
              <w:rPr>
                <w:rFonts w:ascii="Cambria Math" w:hAnsi="Cambria Math" w:cstheme="minorHAnsi"/>
                <w:lang w:val="en-GB"/>
              </w:rPr>
              <m:t>e</m:t>
            </m:r>
          </m:sub>
        </m:sSub>
      </m:oMath>
      <w:r>
        <w:rPr>
          <w:rFonts w:eastAsiaTheme="minorEastAsia" w:cstheme="minorHAnsi"/>
          <w:lang w:val="en-GB"/>
        </w:rPr>
        <w:t xml:space="preserve"> </w:t>
      </w:r>
      <w:r w:rsidR="00F543A0" w:rsidRPr="00C92DD6">
        <w:rPr>
          <w:lang w:val="en-GB"/>
        </w:rPr>
        <w:t>[</w:t>
      </w:r>
      <w:r w:rsidR="00F543A0">
        <w:rPr>
          <w:lang w:val="en-GB"/>
        </w:rPr>
        <w:t>g/h</w:t>
      </w:r>
      <w:r w:rsidR="00F543A0" w:rsidRPr="00C92DD6">
        <w:rPr>
          <w:lang w:val="en-GB"/>
        </w:rPr>
        <w:t>]</w:t>
      </w:r>
      <w:r w:rsidR="00F543A0">
        <w:rPr>
          <w:rFonts w:eastAsiaTheme="minorEastAsia" w:cstheme="minorHAnsi"/>
          <w:lang w:val="en-GB"/>
        </w:rPr>
        <w:t xml:space="preserve"> </w:t>
      </w:r>
      <w:r>
        <w:rPr>
          <w:rFonts w:eastAsiaTheme="minorEastAsia" w:cstheme="minorHAnsi"/>
          <w:lang w:val="en-GB"/>
        </w:rPr>
        <w:t xml:space="preserve">the total inlet mass flowrate, </w:t>
      </w:r>
      <m:oMath>
        <m:r>
          <w:rPr>
            <w:rFonts w:ascii="Cambria Math" w:hAnsi="Cambria Math" w:cstheme="minorHAnsi"/>
            <w:lang w:val="en-GB"/>
          </w:rPr>
          <m:t>ρ</m:t>
        </m:r>
      </m:oMath>
      <w:r>
        <w:rPr>
          <w:rFonts w:eastAsiaTheme="minorEastAsia" w:cstheme="minorHAnsi"/>
          <w:lang w:val="en-GB"/>
        </w:rPr>
        <w:t xml:space="preserve"> </w:t>
      </w:r>
      <w:r w:rsidR="00F543A0" w:rsidRPr="00C92DD6">
        <w:rPr>
          <w:lang w:val="en-GB"/>
        </w:rPr>
        <w:t>[</w:t>
      </w:r>
      <w:r w:rsidR="00F543A0">
        <w:rPr>
          <w:lang w:val="en-GB"/>
        </w:rPr>
        <w:t>g/mL</w:t>
      </w:r>
      <w:r w:rsidR="00F543A0" w:rsidRPr="00C92DD6">
        <w:rPr>
          <w:lang w:val="en-GB"/>
        </w:rPr>
        <w:t>]</w:t>
      </w:r>
      <w:r w:rsidR="00F543A0">
        <w:rPr>
          <w:lang w:val="en-GB"/>
        </w:rPr>
        <w:t xml:space="preserve"> </w:t>
      </w:r>
      <w:r>
        <w:rPr>
          <w:rFonts w:eastAsiaTheme="minorEastAsia" w:cstheme="minorHAnsi"/>
          <w:lang w:val="en-GB"/>
        </w:rPr>
        <w:t xml:space="preserve">the density that has been approximated as constant and equal to 1 and </w:t>
      </w:r>
      <w:r w:rsidRPr="00DF116A">
        <w:rPr>
          <w:rFonts w:eastAsiaTheme="minorEastAsia" w:cstheme="minorHAnsi"/>
          <w:lang w:val="en-GB"/>
        </w:rPr>
        <w:t xml:space="preserve"> </w:t>
      </w:r>
      <m:oMath>
        <m:sSub>
          <m:sSubPr>
            <m:ctrlPr>
              <w:rPr>
                <w:rFonts w:ascii="Cambria Math" w:hAnsi="Cambria Math" w:cstheme="minorHAnsi"/>
                <w:i/>
                <w:lang w:val="en-GB"/>
              </w:rPr>
            </m:ctrlPr>
          </m:sSubPr>
          <m:e>
            <m:acc>
              <m:accPr>
                <m:chr m:val="̇"/>
                <m:ctrlPr>
                  <w:rPr>
                    <w:rFonts w:ascii="Cambria Math" w:hAnsi="Cambria Math" w:cstheme="minorHAnsi"/>
                    <w:i/>
                    <w:lang w:val="en-GB"/>
                  </w:rPr>
                </m:ctrlPr>
              </m:accPr>
              <m:e>
                <m:r>
                  <w:rPr>
                    <w:rFonts w:ascii="Cambria Math" w:hAnsi="Cambria Math" w:cstheme="minorHAnsi"/>
                    <w:lang w:val="en-GB"/>
                  </w:rPr>
                  <m:t>m</m:t>
                </m:r>
              </m:e>
            </m:acc>
          </m:e>
          <m:sub>
            <m:r>
              <w:rPr>
                <w:rFonts w:ascii="Cambria Math" w:hAnsi="Cambria Math" w:cstheme="minorHAnsi"/>
                <w:lang w:val="en-GB"/>
              </w:rPr>
              <m:t>inert</m:t>
            </m:r>
          </m:sub>
        </m:sSub>
      </m:oMath>
      <w:r w:rsidRPr="00DF116A">
        <w:rPr>
          <w:rFonts w:eastAsiaTheme="minorEastAsia" w:cstheme="minorHAnsi"/>
          <w:lang w:val="en-GB"/>
        </w:rPr>
        <w:t xml:space="preserve"> </w:t>
      </w:r>
      <w:r w:rsidR="000C1058" w:rsidRPr="00C92DD6">
        <w:rPr>
          <w:lang w:val="en-GB"/>
        </w:rPr>
        <w:t>[</w:t>
      </w:r>
      <w:r w:rsidR="000C1058">
        <w:rPr>
          <w:lang w:val="en-GB"/>
        </w:rPr>
        <w:t>g/h</w:t>
      </w:r>
      <w:r w:rsidR="000C1058" w:rsidRPr="00C92DD6">
        <w:rPr>
          <w:lang w:val="en-GB"/>
        </w:rPr>
        <w:t>]</w:t>
      </w:r>
      <w:r w:rsidR="000C1058">
        <w:rPr>
          <w:lang w:val="en-GB"/>
        </w:rPr>
        <w:t xml:space="preserve"> </w:t>
      </w:r>
      <w:r w:rsidRPr="00DF116A">
        <w:rPr>
          <w:rFonts w:eastAsiaTheme="minorEastAsia" w:cstheme="minorHAnsi"/>
          <w:lang w:val="en-GB"/>
        </w:rPr>
        <w:t xml:space="preserve">the sum of the hourly mass flowrates of a stream of demineralized water and another one of a sodium phosphate solution, </w:t>
      </w:r>
      <w:r w:rsidRPr="00DF116A">
        <w:rPr>
          <w:rFonts w:eastAsiaTheme="minorEastAsia" w:cstheme="minorHAnsi"/>
          <w:lang w:val="en-GB"/>
        </w:rPr>
        <w:lastRenderedPageBreak/>
        <w:t xml:space="preserve">which </w:t>
      </w:r>
      <w:r w:rsidR="00226518">
        <w:rPr>
          <w:rFonts w:eastAsiaTheme="minorEastAsia" w:cstheme="minorHAnsi"/>
          <w:lang w:val="en-GB"/>
        </w:rPr>
        <w:t xml:space="preserve">is assumed </w:t>
      </w:r>
      <w:r w:rsidRPr="00DF116A">
        <w:rPr>
          <w:rFonts w:eastAsiaTheme="minorEastAsia" w:cstheme="minorHAnsi"/>
          <w:lang w:val="en-GB"/>
        </w:rPr>
        <w:t xml:space="preserve">not </w:t>
      </w:r>
      <w:r w:rsidR="00226518">
        <w:rPr>
          <w:rFonts w:eastAsiaTheme="minorEastAsia" w:cstheme="minorHAnsi"/>
          <w:lang w:val="en-GB"/>
        </w:rPr>
        <w:t xml:space="preserve">to </w:t>
      </w:r>
      <w:r w:rsidRPr="00DF116A">
        <w:rPr>
          <w:rFonts w:eastAsiaTheme="minorEastAsia" w:cstheme="minorHAnsi"/>
          <w:lang w:val="en-GB"/>
        </w:rPr>
        <w:t>play any role on the physics of the process except for their action on the volume of the fermentative broth</w:t>
      </w:r>
      <w:r>
        <w:rPr>
          <w:rFonts w:eastAsiaTheme="minorEastAsia" w:cstheme="minorHAnsi"/>
          <w:lang w:val="en-GB"/>
        </w:rPr>
        <w:t>.</w:t>
      </w:r>
    </w:p>
    <w:p w14:paraId="7875B507" w14:textId="150C85CF" w:rsidR="00CB280B" w:rsidRDefault="007C6515" w:rsidP="00CB280B">
      <w:pPr>
        <w:pStyle w:val="CETBodytext"/>
        <w:rPr>
          <w:rFonts w:cstheme="minorHAnsi"/>
          <w:lang w:val="en-GB"/>
        </w:rPr>
      </w:pPr>
      <w:r>
        <w:rPr>
          <w:rFonts w:eastAsiaTheme="minorEastAsia" w:cstheme="minorHAnsi"/>
          <w:lang w:val="en-GB"/>
        </w:rPr>
        <w:t>Eq. 4 describes biomass growth using Monod</w:t>
      </w:r>
      <w:r w:rsidR="008D0994">
        <w:rPr>
          <w:rFonts w:eastAsiaTheme="minorEastAsia" w:cstheme="minorHAnsi"/>
          <w:lang w:val="en-GB"/>
        </w:rPr>
        <w:t>-</w:t>
      </w:r>
      <w:r>
        <w:rPr>
          <w:rFonts w:eastAsiaTheme="minorEastAsia" w:cstheme="minorHAnsi"/>
          <w:lang w:val="en-GB"/>
        </w:rPr>
        <w:t>type kinetic</w:t>
      </w:r>
      <w:r w:rsidR="008D0994">
        <w:rPr>
          <w:rFonts w:eastAsiaTheme="minorEastAsia" w:cstheme="minorHAnsi"/>
          <w:lang w:val="en-GB"/>
        </w:rPr>
        <w:t>s</w:t>
      </w:r>
      <w:r>
        <w:rPr>
          <w:rFonts w:eastAsiaTheme="minorEastAsia" w:cstheme="minorHAnsi"/>
          <w:lang w:val="en-GB"/>
        </w:rPr>
        <w:t>.</w:t>
      </w:r>
      <w:r w:rsidR="008D0994">
        <w:rPr>
          <w:rFonts w:eastAsiaTheme="minorEastAsia" w:cstheme="minorHAnsi"/>
          <w:lang w:val="en-GB"/>
        </w:rPr>
        <w:t xml:space="preserve"> </w:t>
      </w:r>
      <w:r w:rsidR="008D0994">
        <w:t>Here</w:t>
      </w:r>
      <w:r w:rsidR="006E4719">
        <w:t>,</w:t>
      </w:r>
      <w:r w:rsidR="008D0994">
        <w:t xml:space="preserve"> </w:t>
      </w:r>
      <m:oMath>
        <m:sSub>
          <m:sSubPr>
            <m:ctrlPr>
              <w:rPr>
                <w:rFonts w:ascii="Cambria Math" w:eastAsiaTheme="minorEastAsia" w:hAnsi="Cambria Math" w:cstheme="minorHAnsi"/>
                <w:i/>
                <w:lang w:val="en-GB"/>
              </w:rPr>
            </m:ctrlPr>
          </m:sSubPr>
          <m:e>
            <m:r>
              <w:rPr>
                <w:rFonts w:ascii="Cambria Math" w:eastAsiaTheme="minorEastAsia" w:hAnsi="Cambria Math" w:cstheme="minorHAnsi"/>
                <w:lang w:val="en-GB"/>
              </w:rPr>
              <m:t>μ</m:t>
            </m:r>
          </m:e>
          <m:sub>
            <m:r>
              <w:rPr>
                <w:rFonts w:ascii="Cambria Math" w:eastAsiaTheme="minorEastAsia" w:hAnsi="Cambria Math" w:cstheme="minorHAnsi"/>
                <w:lang w:val="en-GB"/>
              </w:rPr>
              <m:t>max</m:t>
            </m:r>
          </m:sub>
        </m:sSub>
        <m:r>
          <w:rPr>
            <w:rFonts w:ascii="Cambria Math" w:eastAsiaTheme="minorEastAsia" w:hAnsi="Cambria Math" w:cstheme="minorHAnsi"/>
            <w:lang w:val="en-GB"/>
          </w:rPr>
          <m:t xml:space="preserve"> </m:t>
        </m:r>
      </m:oMath>
      <w:r w:rsidR="008D0994" w:rsidRPr="00C92DD6">
        <w:rPr>
          <w:lang w:val="en-GB"/>
        </w:rPr>
        <w:t>[h</w:t>
      </w:r>
      <w:r w:rsidR="008D0994" w:rsidRPr="00C92DD6">
        <w:rPr>
          <w:vertAlign w:val="superscript"/>
          <w:lang w:val="en-GB"/>
        </w:rPr>
        <w:t>-1</w:t>
      </w:r>
      <w:r w:rsidR="008D0994" w:rsidRPr="00C92DD6">
        <w:rPr>
          <w:lang w:val="en-GB"/>
        </w:rPr>
        <w:t>]</w:t>
      </w:r>
      <w:r w:rsidR="008D0994">
        <w:rPr>
          <w:lang w:val="en-GB"/>
        </w:rPr>
        <w:t xml:space="preserve"> is the maximum specific growth rate, and </w:t>
      </w:r>
      <m:oMath>
        <m:sSub>
          <m:sSubPr>
            <m:ctrlPr>
              <w:rPr>
                <w:rFonts w:ascii="Cambria Math" w:eastAsiaTheme="minorEastAsia" w:hAnsi="Cambria Math" w:cstheme="minorHAnsi"/>
                <w:i/>
                <w:lang w:val="en-GB"/>
              </w:rPr>
            </m:ctrlPr>
          </m:sSubPr>
          <m:e>
            <m:r>
              <w:rPr>
                <w:rFonts w:ascii="Cambria Math" w:eastAsiaTheme="minorEastAsia" w:hAnsi="Cambria Math" w:cstheme="minorHAnsi"/>
                <w:lang w:val="en-GB"/>
              </w:rPr>
              <m:t>K</m:t>
            </m:r>
          </m:e>
          <m:sub>
            <m:r>
              <w:rPr>
                <w:rFonts w:ascii="Cambria Math" w:eastAsiaTheme="minorEastAsia" w:hAnsi="Cambria Math" w:cstheme="minorHAnsi"/>
                <w:lang w:val="en-GB"/>
              </w:rPr>
              <m:t>s1</m:t>
            </m:r>
          </m:sub>
        </m:sSub>
        <m:r>
          <w:rPr>
            <w:rFonts w:ascii="Cambria Math" w:eastAsiaTheme="minorEastAsia" w:hAnsi="Cambria Math" w:cstheme="minorHAnsi"/>
            <w:lang w:val="en-GB"/>
          </w:rPr>
          <m:t xml:space="preserve">, </m:t>
        </m:r>
        <m:sSub>
          <m:sSubPr>
            <m:ctrlPr>
              <w:rPr>
                <w:rFonts w:ascii="Cambria Math" w:eastAsiaTheme="minorEastAsia" w:hAnsi="Cambria Math" w:cstheme="minorHAnsi"/>
                <w:i/>
                <w:lang w:val="en-GB"/>
              </w:rPr>
            </m:ctrlPr>
          </m:sSubPr>
          <m:e>
            <m:r>
              <w:rPr>
                <w:rFonts w:ascii="Cambria Math" w:eastAsiaTheme="minorEastAsia" w:hAnsi="Cambria Math" w:cstheme="minorHAnsi"/>
                <w:lang w:val="en-GB"/>
              </w:rPr>
              <m:t>K</m:t>
            </m:r>
          </m:e>
          <m:sub>
            <m:r>
              <w:rPr>
                <w:rFonts w:ascii="Cambria Math" w:eastAsiaTheme="minorEastAsia" w:hAnsi="Cambria Math" w:cstheme="minorHAnsi"/>
                <w:lang w:val="en-GB"/>
              </w:rPr>
              <m:t>s2</m:t>
            </m:r>
          </m:sub>
        </m:sSub>
      </m:oMath>
      <w:r w:rsidR="008D0994">
        <w:rPr>
          <w:lang w:val="en-GB"/>
        </w:rPr>
        <w:t xml:space="preserve"> </w:t>
      </w:r>
      <w:r w:rsidR="008D0994" w:rsidRPr="00C92DD6">
        <w:rPr>
          <w:lang w:val="en-GB"/>
        </w:rPr>
        <w:t>[g/</w:t>
      </w:r>
      <w:r w:rsidR="008D0994">
        <w:rPr>
          <w:lang w:val="en-GB"/>
        </w:rPr>
        <w:t>L</w:t>
      </w:r>
      <w:r w:rsidR="008D0994" w:rsidRPr="00C92DD6">
        <w:rPr>
          <w:lang w:val="en-GB"/>
        </w:rPr>
        <w:t>]</w:t>
      </w:r>
      <w:r w:rsidR="008D0994">
        <w:rPr>
          <w:lang w:val="en-GB"/>
        </w:rPr>
        <w:t xml:space="preserve"> are the half</w:t>
      </w:r>
      <w:r w:rsidR="00FB6E11">
        <w:rPr>
          <w:lang w:val="en-GB"/>
        </w:rPr>
        <w:t>-</w:t>
      </w:r>
      <w:r w:rsidR="008D0994">
        <w:rPr>
          <w:lang w:val="en-GB"/>
        </w:rPr>
        <w:t>saturation constants</w:t>
      </w:r>
      <w:r w:rsidR="00DD1409">
        <w:rPr>
          <w:lang w:val="en-GB"/>
        </w:rPr>
        <w:t xml:space="preserve"> for the two substrates,</w:t>
      </w:r>
      <w:r w:rsidR="00453080">
        <w:rPr>
          <w:lang w:val="en-GB"/>
        </w:rPr>
        <w:t xml:space="preserve"> </w:t>
      </w:r>
      <w:r w:rsidR="008D0994">
        <w:rPr>
          <w:lang w:val="en-GB"/>
        </w:rPr>
        <w:t>represent</w:t>
      </w:r>
      <w:r w:rsidR="00453080">
        <w:rPr>
          <w:lang w:val="en-GB"/>
        </w:rPr>
        <w:t>ing</w:t>
      </w:r>
      <w:r w:rsidR="008D0994">
        <w:rPr>
          <w:lang w:val="en-GB"/>
        </w:rPr>
        <w:t xml:space="preserve"> the substrate concentration</w:t>
      </w:r>
      <w:r w:rsidR="00DD1409">
        <w:rPr>
          <w:lang w:val="en-GB"/>
        </w:rPr>
        <w:t>s at which</w:t>
      </w:r>
      <w:r w:rsidR="008D0994">
        <w:rPr>
          <w:lang w:val="en-GB"/>
        </w:rPr>
        <w:t xml:space="preserve"> the maximum specific growth rate is</w:t>
      </w:r>
      <w:r w:rsidR="00453080">
        <w:rPr>
          <w:lang w:val="en-GB"/>
        </w:rPr>
        <w:t xml:space="preserve"> </w:t>
      </w:r>
      <w:r w:rsidR="008D0994">
        <w:rPr>
          <w:lang w:val="en-GB"/>
        </w:rPr>
        <w:t>half of its maxim</w:t>
      </w:r>
      <w:r w:rsidR="00DD1409">
        <w:rPr>
          <w:lang w:val="en-GB"/>
        </w:rPr>
        <w:t>um</w:t>
      </w:r>
      <w:r w:rsidR="008D0994">
        <w:rPr>
          <w:lang w:val="en-GB"/>
        </w:rPr>
        <w:t xml:space="preserve"> value</w:t>
      </w:r>
      <w:r w:rsidR="00DD1409">
        <w:rPr>
          <w:lang w:val="en-GB"/>
        </w:rPr>
        <w:t>.</w:t>
      </w:r>
      <w:r>
        <w:rPr>
          <w:rFonts w:eastAsiaTheme="minorEastAsia" w:cstheme="minorHAnsi"/>
          <w:lang w:val="en-GB"/>
        </w:rPr>
        <w:t xml:space="preserve"> This equation </w:t>
      </w:r>
      <w:r w:rsidR="00CB280B" w:rsidRPr="00BC6123">
        <w:rPr>
          <w:rFonts w:eastAsiaTheme="minorEastAsia" w:cstheme="minorHAnsi"/>
          <w:lang w:val="en-GB"/>
        </w:rPr>
        <w:t>take</w:t>
      </w:r>
      <w:r>
        <w:rPr>
          <w:rFonts w:eastAsiaTheme="minorEastAsia" w:cstheme="minorHAnsi"/>
          <w:lang w:val="en-GB"/>
        </w:rPr>
        <w:t>s also</w:t>
      </w:r>
      <w:r w:rsidR="00CB280B" w:rsidRPr="00BC6123">
        <w:rPr>
          <w:rFonts w:eastAsiaTheme="minorEastAsia" w:cstheme="minorHAnsi"/>
          <w:lang w:val="en-GB"/>
        </w:rPr>
        <w:t xml:space="preserve"> into account</w:t>
      </w:r>
      <w:r>
        <w:rPr>
          <w:rFonts w:eastAsiaTheme="minorEastAsia" w:cstheme="minorHAnsi"/>
          <w:lang w:val="en-GB"/>
        </w:rPr>
        <w:t xml:space="preserve"> the phenomenon of</w:t>
      </w:r>
      <w:r w:rsidR="00453080">
        <w:rPr>
          <w:rFonts w:eastAsiaTheme="minorEastAsia" w:cstheme="minorHAnsi"/>
          <w:lang w:val="en-GB"/>
        </w:rPr>
        <w:t xml:space="preserve"> </w:t>
      </w:r>
      <w:r w:rsidR="00CB280B" w:rsidRPr="00BC6123">
        <w:rPr>
          <w:rFonts w:eastAsiaTheme="minorEastAsia" w:cstheme="minorHAnsi"/>
          <w:lang w:val="en-GB"/>
        </w:rPr>
        <w:t xml:space="preserve">product inhibition. As suggested by experimental and industrial fermentation data, </w:t>
      </w:r>
      <w:r>
        <w:rPr>
          <w:rFonts w:eastAsiaTheme="minorEastAsia" w:cstheme="minorHAnsi"/>
          <w:lang w:val="en-GB"/>
        </w:rPr>
        <w:t xml:space="preserve">indeed, </w:t>
      </w:r>
      <w:r w:rsidR="00CB280B" w:rsidRPr="00BC6123">
        <w:rPr>
          <w:rFonts w:eastAsiaTheme="minorEastAsia" w:cstheme="minorHAnsi"/>
          <w:lang w:val="en-GB"/>
        </w:rPr>
        <w:t xml:space="preserve">the biomass decline after a certain </w:t>
      </w:r>
      <w:r w:rsidR="00453080">
        <w:rPr>
          <w:rFonts w:eastAsiaTheme="minorEastAsia" w:cstheme="minorHAnsi"/>
          <w:lang w:val="en-GB"/>
        </w:rPr>
        <w:t>time</w:t>
      </w:r>
      <w:r w:rsidR="00CB280B" w:rsidRPr="00BC6123">
        <w:rPr>
          <w:rFonts w:eastAsiaTheme="minorEastAsia" w:cstheme="minorHAnsi"/>
          <w:lang w:val="en-GB"/>
        </w:rPr>
        <w:t xml:space="preserve"> is probably caused by growth inhibition induced by the </w:t>
      </w:r>
      <w:r>
        <w:rPr>
          <w:rFonts w:eastAsiaTheme="minorEastAsia" w:cstheme="minorHAnsi"/>
          <w:lang w:val="en-GB"/>
        </w:rPr>
        <w:t>product</w:t>
      </w:r>
      <w:r w:rsidR="00CB280B" w:rsidRPr="00BC6123">
        <w:rPr>
          <w:rFonts w:eastAsiaTheme="minorEastAsia" w:cstheme="minorHAnsi"/>
          <w:lang w:val="en-GB"/>
        </w:rPr>
        <w:t xml:space="preserve"> itself. This phenomenon is </w:t>
      </w:r>
      <w:r>
        <w:rPr>
          <w:rFonts w:eastAsiaTheme="minorEastAsia" w:cstheme="minorHAnsi"/>
          <w:lang w:val="en-GB"/>
        </w:rPr>
        <w:t>described</w:t>
      </w:r>
      <w:r w:rsidR="00CB280B" w:rsidRPr="00BC6123">
        <w:rPr>
          <w:rFonts w:eastAsiaTheme="minorEastAsia" w:cstheme="minorHAnsi"/>
          <w:lang w:val="en-GB"/>
        </w:rPr>
        <w:t xml:space="preserve"> using the equations proposed b</w:t>
      </w:r>
      <w:r w:rsidR="00CB280B">
        <w:rPr>
          <w:rFonts w:eastAsiaTheme="minorEastAsia" w:cstheme="minorHAnsi"/>
          <w:lang w:val="en-GB"/>
        </w:rPr>
        <w:t xml:space="preserve">y </w:t>
      </w:r>
      <w:sdt>
        <w:sdtPr>
          <w:rPr>
            <w:rFonts w:cs="Arial"/>
            <w:color w:val="000000"/>
            <w:szCs w:val="14"/>
          </w:rPr>
          <w:tag w:val="MENDELEY_CITATION_v3_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"/>
          <w:id w:val="-159235853"/>
          <w:placeholder>
            <w:docPart w:val="40FE0FFC814F4B289A5AA452DC4BE946"/>
          </w:placeholder>
        </w:sdtPr>
        <w:sdtContent>
          <w:proofErr w:type="spellStart"/>
          <w:r w:rsidR="00994DD1" w:rsidRPr="00994DD1">
            <w:rPr>
              <w:rFonts w:cs="Arial"/>
              <w:color w:val="000000"/>
            </w:rPr>
            <w:t>Nandasana</w:t>
          </w:r>
          <w:proofErr w:type="spellEnd"/>
          <w:r w:rsidR="00994DD1" w:rsidRPr="00994DD1">
            <w:rPr>
              <w:rFonts w:cs="Arial"/>
              <w:color w:val="000000"/>
            </w:rPr>
            <w:t xml:space="preserve"> &amp; Kumar (2008)</w:t>
          </w:r>
        </w:sdtContent>
      </w:sdt>
      <w:r w:rsidR="00CB280B">
        <w:rPr>
          <w:rFonts w:cs="Arial"/>
          <w:color w:val="000000"/>
          <w:szCs w:val="14"/>
        </w:rPr>
        <w:t>, which introduce</w:t>
      </w:r>
      <w:r w:rsidR="00453080">
        <w:rPr>
          <w:rFonts w:cs="Arial"/>
          <w:color w:val="000000"/>
          <w:szCs w:val="14"/>
        </w:rPr>
        <w:t xml:space="preserve"> parameters</w:t>
      </w:r>
      <w:r w:rsidR="00CB280B">
        <w:rPr>
          <w:rFonts w:cs="Arial"/>
          <w:color w:val="000000"/>
          <w:szCs w:val="14"/>
        </w:rPr>
        <w:t xml:space="preserve"> </w:t>
      </w:r>
      <m:oMath>
        <m:sSub>
          <m:sSubPr>
            <m:ctrlPr>
              <w:rPr>
                <w:rFonts w:ascii="Cambria Math" w:hAnsi="Cambria Math" w:cs="Arial"/>
                <w:i/>
                <w:color w:val="000000"/>
                <w:szCs w:val="14"/>
              </w:rPr>
            </m:ctrlPr>
          </m:sSubPr>
          <m:e>
            <m:r>
              <w:rPr>
                <w:rFonts w:ascii="Cambria Math" w:hAnsi="Cambria Math" w:cs="Arial"/>
                <w:color w:val="000000"/>
                <w:szCs w:val="14"/>
              </w:rPr>
              <m:t>P</m:t>
            </m:r>
          </m:e>
          <m:sub>
            <m:r>
              <w:rPr>
                <w:rFonts w:ascii="Cambria Math" w:hAnsi="Cambria Math" w:cs="Arial"/>
                <w:color w:val="000000"/>
                <w:szCs w:val="14"/>
              </w:rPr>
              <m:t>ix</m:t>
            </m:r>
          </m:sub>
        </m:sSub>
      </m:oMath>
      <w:r w:rsidR="00CB280B">
        <w:rPr>
          <w:rFonts w:cs="Arial"/>
          <w:color w:val="000000"/>
          <w:szCs w:val="14"/>
        </w:rPr>
        <w:t xml:space="preserve"> </w:t>
      </w:r>
      <w:r w:rsidR="00CB280B" w:rsidRPr="00B96A4B">
        <w:rPr>
          <w:rFonts w:eastAsiaTheme="minorEastAsia" w:cstheme="minorHAnsi"/>
          <w:lang w:val="en-GB"/>
        </w:rPr>
        <w:t>[</w:t>
      </w:r>
      <w:r w:rsidR="00CB280B">
        <w:rPr>
          <w:rFonts w:eastAsiaTheme="minorEastAsia" w:cstheme="minorHAnsi"/>
          <w:lang w:val="en-GB"/>
        </w:rPr>
        <w:t>g/L</w:t>
      </w:r>
      <w:r w:rsidR="00CB280B" w:rsidRPr="00B96A4B">
        <w:rPr>
          <w:rFonts w:eastAsiaTheme="minorEastAsia" w:cstheme="minorHAnsi"/>
          <w:lang w:val="en-GB"/>
        </w:rPr>
        <w:t>]</w:t>
      </w:r>
      <w:r w:rsidR="00CB280B">
        <w:rPr>
          <w:rFonts w:cs="Arial"/>
          <w:lang w:val="en-GB"/>
        </w:rPr>
        <w:t xml:space="preserve"> and </w:t>
      </w:r>
      <m:oMath>
        <m:sSub>
          <m:sSubPr>
            <m:ctrlPr>
              <w:rPr>
                <w:rFonts w:ascii="Cambria Math" w:hAnsi="Cambria Math" w:cs="Arial"/>
                <w:i/>
                <w:color w:val="000000"/>
                <w:szCs w:val="14"/>
              </w:rPr>
            </m:ctrlPr>
          </m:sSubPr>
          <m:e>
            <m:r>
              <w:rPr>
                <w:rFonts w:ascii="Cambria Math" w:hAnsi="Cambria Math" w:cs="Arial"/>
                <w:color w:val="000000"/>
                <w:szCs w:val="14"/>
              </w:rPr>
              <m:t>P</m:t>
            </m:r>
          </m:e>
          <m:sub>
            <m:r>
              <w:rPr>
                <w:rFonts w:ascii="Cambria Math" w:hAnsi="Cambria Math" w:cs="Arial"/>
                <w:color w:val="000000"/>
                <w:szCs w:val="14"/>
              </w:rPr>
              <m:t>xmax</m:t>
            </m:r>
          </m:sub>
        </m:sSub>
      </m:oMath>
      <w:r w:rsidR="00CB280B">
        <w:rPr>
          <w:rFonts w:cs="Arial"/>
          <w:color w:val="000000"/>
          <w:szCs w:val="14"/>
        </w:rPr>
        <w:t xml:space="preserve"> </w:t>
      </w:r>
      <w:r w:rsidR="00CB280B" w:rsidRPr="00B96A4B">
        <w:rPr>
          <w:rFonts w:eastAsiaTheme="minorEastAsia" w:cstheme="minorHAnsi"/>
          <w:lang w:val="en-GB"/>
        </w:rPr>
        <w:t>[</w:t>
      </w:r>
      <w:r w:rsidR="00CB280B">
        <w:rPr>
          <w:rFonts w:eastAsiaTheme="minorEastAsia" w:cstheme="minorHAnsi"/>
          <w:lang w:val="en-GB"/>
        </w:rPr>
        <w:t>g/L</w:t>
      </w:r>
      <w:r w:rsidR="00CB280B" w:rsidRPr="00B96A4B">
        <w:rPr>
          <w:rFonts w:eastAsiaTheme="minorEastAsia" w:cstheme="minorHAnsi"/>
          <w:lang w:val="en-GB"/>
        </w:rPr>
        <w:t xml:space="preserve">] </w:t>
      </w:r>
      <w:r w:rsidR="00CB280B" w:rsidRPr="00BC6123">
        <w:rPr>
          <w:rFonts w:cs="Arial"/>
          <w:color w:val="000000"/>
          <w:szCs w:val="14"/>
        </w:rPr>
        <w:t>that represent the minimum product concentration necessary to cause product inhibition and the product concentration that completely suppresses biomass growth, respectively.</w:t>
      </w:r>
      <w:r w:rsidR="009F0E72">
        <w:rPr>
          <w:rFonts w:cs="Arial"/>
          <w:color w:val="000000"/>
          <w:szCs w:val="14"/>
        </w:rPr>
        <w:t xml:space="preserve"> Finally, </w:t>
      </w:r>
      <m:oMath>
        <m:sSub>
          <m:sSubPr>
            <m:ctrlPr>
              <w:rPr>
                <w:rFonts w:ascii="Cambria Math" w:eastAsiaTheme="minorEastAsia" w:hAnsi="Cambria Math" w:cstheme="minorHAnsi"/>
                <w:i/>
                <w:lang w:val="en-GB"/>
              </w:rPr>
            </m:ctrlPr>
          </m:sSubPr>
          <m:e>
            <m:r>
              <w:rPr>
                <w:rFonts w:ascii="Cambria Math" w:eastAsiaTheme="minorEastAsia" w:hAnsi="Cambria Math" w:cstheme="minorHAnsi"/>
                <w:lang w:val="en-GB"/>
              </w:rPr>
              <m:t>K</m:t>
            </m:r>
          </m:e>
          <m:sub>
            <m:r>
              <w:rPr>
                <w:rFonts w:ascii="Cambria Math" w:eastAsiaTheme="minorEastAsia" w:hAnsi="Cambria Math" w:cstheme="minorHAnsi"/>
                <w:lang w:val="en-GB"/>
              </w:rPr>
              <m:t>d</m:t>
            </m:r>
          </m:sub>
        </m:sSub>
        <m:r>
          <w:rPr>
            <w:rFonts w:ascii="Cambria Math" w:eastAsiaTheme="minorEastAsia" w:hAnsi="Cambria Math" w:cstheme="minorHAnsi"/>
            <w:lang w:val="en-GB"/>
          </w:rPr>
          <m:t xml:space="preserve"> </m:t>
        </m:r>
      </m:oMath>
      <w:r w:rsidR="009F0E72" w:rsidRPr="00C92DD6">
        <w:rPr>
          <w:lang w:val="en-GB"/>
        </w:rPr>
        <w:t>[h</w:t>
      </w:r>
      <w:r w:rsidR="009F0E72" w:rsidRPr="00C92DD6">
        <w:rPr>
          <w:vertAlign w:val="superscript"/>
          <w:lang w:val="en-GB"/>
        </w:rPr>
        <w:t>-1</w:t>
      </w:r>
      <w:r w:rsidR="009F0E72" w:rsidRPr="00C92DD6">
        <w:rPr>
          <w:lang w:val="en-GB"/>
        </w:rPr>
        <w:t>]</w:t>
      </w:r>
      <w:r w:rsidR="009F0E72">
        <w:rPr>
          <w:lang w:val="en-GB"/>
        </w:rPr>
        <w:t xml:space="preserve"> </w:t>
      </w:r>
      <w:r w:rsidR="009F0E72" w:rsidRPr="00DF116A">
        <w:rPr>
          <w:rFonts w:cstheme="minorHAnsi"/>
          <w:lang w:val="en-GB"/>
        </w:rPr>
        <w:t>is the endogenous decay coefficient describing the decline of the microbial population at the end of the stationary phase</w:t>
      </w:r>
      <w:r w:rsidR="009F0E72">
        <w:rPr>
          <w:rFonts w:cstheme="minorHAnsi"/>
          <w:lang w:val="en-GB"/>
        </w:rPr>
        <w:t>.</w:t>
      </w:r>
    </w:p>
    <w:p w14:paraId="28AEA252" w14:textId="044FD94E" w:rsidR="00EB4292" w:rsidRDefault="009F0E72" w:rsidP="00CB280B">
      <w:pPr>
        <w:pStyle w:val="CETBodytext"/>
      </w:pPr>
      <w:r>
        <w:rPr>
          <w:rFonts w:cstheme="minorHAnsi"/>
          <w:lang w:val="en-GB"/>
        </w:rPr>
        <w:t>Eq</w:t>
      </w:r>
      <w:r w:rsidR="00D6475B">
        <w:rPr>
          <w:rFonts w:cstheme="minorHAnsi"/>
          <w:lang w:val="en-GB"/>
        </w:rPr>
        <w:t>.</w:t>
      </w:r>
      <w:r>
        <w:rPr>
          <w:rFonts w:cstheme="minorHAnsi"/>
          <w:lang w:val="en-GB"/>
        </w:rPr>
        <w:t xml:space="preserve"> 5 and 6 define the substrates kinetics </w:t>
      </w:r>
      <w:r w:rsidR="00CD7447">
        <w:rPr>
          <w:rFonts w:cstheme="minorHAnsi"/>
          <w:lang w:val="en-GB"/>
        </w:rPr>
        <w:t xml:space="preserve">with </w:t>
      </w:r>
      <w:r>
        <w:rPr>
          <w:rFonts w:cstheme="minorHAnsi"/>
          <w:lang w:val="en-GB"/>
        </w:rPr>
        <w:t>the inlet</w:t>
      </w:r>
      <w:r w:rsidR="001669C4">
        <w:rPr>
          <w:rFonts w:cstheme="minorHAnsi"/>
          <w:lang w:val="en-GB"/>
        </w:rPr>
        <w:t xml:space="preserve"> terms</w:t>
      </w:r>
      <w:r>
        <w:rPr>
          <w:rFonts w:cstheme="minorHAnsi"/>
          <w:lang w:val="en-GB"/>
        </w:rPr>
        <w:t xml:space="preserve"> described by</w:t>
      </w:r>
      <w:r>
        <w:rPr>
          <w:lang w:val="en-GB"/>
        </w:rPr>
        <w:t xml:space="preserve"> </w:t>
      </w:r>
      <m:oMath>
        <m:sSub>
          <m:sSubPr>
            <m:ctrlPr>
              <w:rPr>
                <w:rFonts w:ascii="Cambria Math" w:hAnsi="Cambria Math" w:cstheme="minorHAnsi"/>
                <w:i/>
              </w:rPr>
            </m:ctrlPr>
          </m:sSubPr>
          <m:e>
            <m:acc>
              <m:accPr>
                <m:chr m:val="̇"/>
                <m:ctrlPr>
                  <w:rPr>
                    <w:rFonts w:ascii="Cambria Math" w:hAnsi="Cambria Math" w:cstheme="minorHAnsi"/>
                    <w:i/>
                  </w:rPr>
                </m:ctrlPr>
              </m:accPr>
              <m:e>
                <m:r>
                  <w:rPr>
                    <w:rFonts w:ascii="Cambria Math" w:hAnsi="Cambria Math" w:cstheme="minorHAnsi"/>
                  </w:rPr>
                  <m:t>m</m:t>
                </m:r>
              </m:e>
            </m:acc>
          </m:e>
          <m:sub>
            <m:r>
              <w:rPr>
                <w:rFonts w:ascii="Cambria Math" w:hAnsi="Cambria Math" w:cstheme="minorHAnsi"/>
              </w:rPr>
              <m:t>s</m:t>
            </m:r>
            <m:r>
              <w:rPr>
                <w:rFonts w:ascii="Cambria Math" w:hAnsi="Cambria Math" w:cstheme="minorHAnsi"/>
                <w:lang w:val="en-GB"/>
              </w:rPr>
              <m:t>i</m:t>
            </m:r>
          </m:sub>
        </m:sSub>
      </m:oMath>
      <w:r>
        <w:t xml:space="preserve"> </w:t>
      </w:r>
      <w:r w:rsidRPr="00C92DD6">
        <w:rPr>
          <w:lang w:val="en-GB"/>
        </w:rPr>
        <w:t>[g/</w:t>
      </w:r>
      <w:r>
        <w:rPr>
          <w:lang w:val="en-GB"/>
        </w:rPr>
        <w:t>h</w:t>
      </w:r>
      <w:r w:rsidRPr="00C92DD6">
        <w:rPr>
          <w:lang w:val="en-GB"/>
        </w:rPr>
        <w:t>]</w:t>
      </w:r>
      <w:r>
        <w:rPr>
          <w:lang w:val="en-GB"/>
        </w:rPr>
        <w:t xml:space="preserve"> and the consumption kinetics described by </w:t>
      </w:r>
      <m:oMath>
        <m:sSub>
          <m:sSubPr>
            <m:ctrlPr>
              <w:rPr>
                <w:rFonts w:ascii="Cambria Math" w:hAnsi="Cambria Math" w:cstheme="minorHAnsi"/>
                <w:i/>
                <w:lang w:val="en-GB"/>
              </w:rPr>
            </m:ctrlPr>
          </m:sSubPr>
          <m:e>
            <m:r>
              <w:rPr>
                <w:rFonts w:ascii="Cambria Math" w:hAnsi="Cambria Math" w:cstheme="minorHAnsi"/>
                <w:lang w:val="en-GB"/>
              </w:rPr>
              <m:t>γ</m:t>
            </m:r>
          </m:e>
          <m:sub>
            <m:r>
              <w:rPr>
                <w:rFonts w:ascii="Cambria Math" w:hAnsi="Cambria Math" w:cstheme="minorHAnsi"/>
                <w:lang w:val="en-GB"/>
              </w:rPr>
              <m:t>i</m:t>
            </m:r>
          </m:sub>
        </m:sSub>
      </m:oMath>
      <w:r>
        <w:rPr>
          <w:lang w:val="en-GB"/>
        </w:rPr>
        <w:t xml:space="preserve"> </w:t>
      </w:r>
      <w:r w:rsidRPr="008417B2">
        <w:t>[</w:t>
      </w:r>
      <w:proofErr w:type="spellStart"/>
      <w:r w:rsidR="000C1058">
        <w:t>g</w:t>
      </w:r>
      <w:r w:rsidR="00551876">
        <w:rPr>
          <w:vertAlign w:val="subscript"/>
        </w:rPr>
        <w:t>S</w:t>
      </w:r>
      <w:r w:rsidR="00800F16">
        <w:rPr>
          <w:vertAlign w:val="subscript"/>
        </w:rPr>
        <w:t>i</w:t>
      </w:r>
      <w:proofErr w:type="spellEnd"/>
      <w:r w:rsidR="000C1058">
        <w:t>/</w:t>
      </w:r>
      <w:proofErr w:type="spellStart"/>
      <w:r w:rsidR="000C1058">
        <w:t>g</w:t>
      </w:r>
      <w:r w:rsidR="000C1058">
        <w:rPr>
          <w:vertAlign w:val="subscript"/>
        </w:rPr>
        <w:t>X</w:t>
      </w:r>
      <w:proofErr w:type="spellEnd"/>
      <w:r w:rsidRPr="008417B2">
        <w:t>]</w:t>
      </w:r>
      <w:r w:rsidRPr="00DF116A">
        <w:rPr>
          <w:rFonts w:cstheme="minorHAnsi"/>
          <w:lang w:val="en-GB"/>
        </w:rPr>
        <w:t xml:space="preserve"> account</w:t>
      </w:r>
      <w:r w:rsidR="001669C4">
        <w:rPr>
          <w:rFonts w:cstheme="minorHAnsi"/>
          <w:lang w:val="en-GB"/>
        </w:rPr>
        <w:t>ing</w:t>
      </w:r>
      <w:r w:rsidRPr="00DF116A">
        <w:rPr>
          <w:rFonts w:cstheme="minorHAnsi"/>
          <w:lang w:val="en-GB"/>
        </w:rPr>
        <w:t xml:space="preserve"> for the </w:t>
      </w:r>
      <w:r w:rsidR="001669C4">
        <w:rPr>
          <w:rFonts w:cstheme="minorHAnsi"/>
          <w:lang w:val="en-GB"/>
        </w:rPr>
        <w:t xml:space="preserve">substrates </w:t>
      </w:r>
      <w:r w:rsidRPr="00DF116A">
        <w:rPr>
          <w:rFonts w:cstheme="minorHAnsi"/>
          <w:lang w:val="en-GB"/>
        </w:rPr>
        <w:t>consumption during the growth phase</w:t>
      </w:r>
      <w:r w:rsidR="001669C4">
        <w:rPr>
          <w:rFonts w:cstheme="minorHAnsi"/>
          <w:lang w:val="en-GB"/>
        </w:rPr>
        <w:t>,</w:t>
      </w:r>
      <w:r>
        <w:rPr>
          <w:rFonts w:cstheme="minorHAnsi"/>
          <w:lang w:val="en-GB"/>
        </w:rPr>
        <w:t xml:space="preserve"> and </w:t>
      </w:r>
      <m:oMath>
        <m:sSub>
          <m:sSubPr>
            <m:ctrlPr>
              <w:rPr>
                <w:rFonts w:ascii="Cambria Math" w:eastAsiaTheme="minorEastAsia" w:hAnsi="Cambria Math" w:cstheme="minorHAnsi"/>
                <w:i/>
                <w:lang w:val="en-GB"/>
              </w:rPr>
            </m:ctrlPr>
          </m:sSubPr>
          <m:e>
            <m:r>
              <w:rPr>
                <w:rFonts w:ascii="Cambria Math" w:eastAsiaTheme="minorEastAsia" w:hAnsi="Cambria Math" w:cstheme="minorHAnsi"/>
                <w:lang w:val="en-GB"/>
              </w:rPr>
              <m:t>δ</m:t>
            </m:r>
          </m:e>
          <m:sub>
            <m:r>
              <w:rPr>
                <w:rFonts w:ascii="Cambria Math" w:eastAsiaTheme="minorEastAsia" w:hAnsi="Cambria Math" w:cstheme="minorHAnsi"/>
                <w:lang w:val="en-GB"/>
              </w:rPr>
              <m:t>i</m:t>
            </m:r>
          </m:sub>
        </m:sSub>
      </m:oMath>
      <w:r w:rsidRPr="008417B2">
        <w:t xml:space="preserve"> [</w:t>
      </w:r>
      <w:proofErr w:type="spellStart"/>
      <w:r w:rsidR="000C1058">
        <w:t>g</w:t>
      </w:r>
      <w:r w:rsidR="000C1058">
        <w:rPr>
          <w:vertAlign w:val="subscript"/>
        </w:rPr>
        <w:t>S</w:t>
      </w:r>
      <w:r w:rsidR="00800F16">
        <w:rPr>
          <w:vertAlign w:val="subscript"/>
        </w:rPr>
        <w:t>i</w:t>
      </w:r>
      <w:proofErr w:type="spellEnd"/>
      <w:r w:rsidR="000C1058">
        <w:t>/</w:t>
      </w:r>
      <w:proofErr w:type="spellStart"/>
      <w:r w:rsidR="000C1058">
        <w:t>g</w:t>
      </w:r>
      <w:r w:rsidR="000C1058" w:rsidRPr="000C1058">
        <w:rPr>
          <w:vertAlign w:val="subscript"/>
        </w:rPr>
        <w:t>X</w:t>
      </w:r>
      <w:proofErr w:type="spellEnd"/>
      <w:r w:rsidR="000C1058">
        <w:t>/h</w:t>
      </w:r>
      <w:r w:rsidRPr="008417B2">
        <w:t>] represent</w:t>
      </w:r>
      <w:r w:rsidR="001669C4">
        <w:t>ing</w:t>
      </w:r>
      <w:r w:rsidRPr="008417B2">
        <w:t xml:space="preserve"> the rate of </w:t>
      </w:r>
      <w:r w:rsidR="001669C4">
        <w:t xml:space="preserve">substrate </w:t>
      </w:r>
      <w:r w:rsidRPr="008417B2">
        <w:t>consumption per unit of microbial concentration</w:t>
      </w:r>
      <w:r w:rsidR="00EF2D79">
        <w:t xml:space="preserve"> during the stationary phase.</w:t>
      </w:r>
    </w:p>
    <w:p w14:paraId="2B5CC94C" w14:textId="07FBDC43" w:rsidR="00EB4292" w:rsidRDefault="00EB4292" w:rsidP="00EB4292">
      <w:pPr>
        <w:pStyle w:val="CETBodytext"/>
        <w:rPr>
          <w:lang w:val="en-GB"/>
        </w:rPr>
      </w:pPr>
      <w:r w:rsidRPr="00EB4292">
        <w:rPr>
          <w:lang w:val="en-GB"/>
        </w:rPr>
        <w:t xml:space="preserve">In order to model the transition between the exponential growth phase and the stationary phase, a specific switching mechanism </w:t>
      </w:r>
      <w:r w:rsidR="00EA047C">
        <w:rPr>
          <w:lang w:val="en-GB"/>
        </w:rPr>
        <w:t xml:space="preserve">based on product concentration </w:t>
      </w:r>
      <w:r w:rsidRPr="00EB4292">
        <w:rPr>
          <w:lang w:val="en-GB"/>
        </w:rPr>
        <w:t xml:space="preserve">was </w:t>
      </w:r>
      <w:r w:rsidR="00EA047C">
        <w:rPr>
          <w:lang w:val="en-GB"/>
        </w:rPr>
        <w:t>implemented</w:t>
      </w:r>
      <w:r w:rsidRPr="00EB4292">
        <w:rPr>
          <w:lang w:val="en-GB"/>
        </w:rPr>
        <w:t>.</w:t>
      </w:r>
      <w:r>
        <w:rPr>
          <w:lang w:val="en-GB"/>
        </w:rPr>
        <w:t xml:space="preserve"> </w:t>
      </w:r>
      <w:r w:rsidRPr="00EB4292">
        <w:rPr>
          <w:lang w:val="en-GB"/>
        </w:rPr>
        <w:t>The microorganism's metabolism undergoes a radical shift: initially, substrate consumption is almost exclusively directed toward biomass production, whereas once a certain threshold is exceeded, the metabolic flux shifts toward cellular maintenance and product synthesis.</w:t>
      </w:r>
      <w:r w:rsidR="00EA047C">
        <w:rPr>
          <w:lang w:val="en-GB"/>
        </w:rPr>
        <w:t xml:space="preserve"> </w:t>
      </w:r>
      <w:r w:rsidR="00EA047C" w:rsidRPr="00EA047C">
        <w:rPr>
          <w:lang w:val="en-GB"/>
        </w:rPr>
        <w:t>The switch function implemented has the following structure</w:t>
      </w:r>
      <w:r w:rsidR="00EA047C">
        <w:rPr>
          <w:lang w:val="en-GB"/>
        </w:rPr>
        <w:t xml:space="preserve"> (Eq. 12</w:t>
      </w:r>
      <w:r w:rsidR="00782DB9">
        <w:rPr>
          <w:lang w:val="en-GB"/>
        </w:rPr>
        <w:t xml:space="preserve"> and 13</w:t>
      </w:r>
      <w:r w:rsidR="00EA047C">
        <w:rPr>
          <w:lang w:val="en-GB"/>
        </w:rPr>
        <w:t>).</w:t>
      </w:r>
    </w:p>
    <w:tbl>
      <w:tblPr>
        <w:tblW w:w="5000" w:type="pct"/>
        <w:tblLook w:val="04A0" w:firstRow="1" w:lastRow="0" w:firstColumn="1" w:lastColumn="0" w:noHBand="0" w:noVBand="1"/>
      </w:tblPr>
      <w:tblGrid>
        <w:gridCol w:w="7986"/>
        <w:gridCol w:w="801"/>
      </w:tblGrid>
      <w:tr w:rsidR="00EA047C" w:rsidRPr="00B57B36" w14:paraId="7AD87836" w14:textId="77777777" w:rsidTr="006E4719">
        <w:tc>
          <w:tcPr>
            <w:tcW w:w="7986" w:type="dxa"/>
            <w:vAlign w:val="center"/>
          </w:tcPr>
          <w:p w14:paraId="045DA07A" w14:textId="6781D574" w:rsidR="00EA047C" w:rsidRPr="00120548" w:rsidRDefault="00000000" w:rsidP="006E4719">
            <w:pPr>
              <w:pStyle w:val="CETEquation"/>
            </w:pPr>
            <m:oMathPara>
              <m:oMathParaPr>
                <m:jc m:val="left"/>
              </m:oMathParaPr>
              <m:oMath>
                <m:sSub>
                  <m:sSubPr>
                    <m:ctrlPr>
                      <w:rPr>
                        <w:rFonts w:ascii="Cambria Math" w:hAnsi="Cambria Math" w:cstheme="minorHAnsi"/>
                        <w:i/>
                        <w:iCs/>
                        <w:lang w:val="en-US"/>
                      </w:rPr>
                    </m:ctrlPr>
                  </m:sSubPr>
                  <m:e>
                    <m:r>
                      <w:rPr>
                        <w:rFonts w:ascii="Cambria Math" w:hAnsi="Cambria Math" w:cstheme="minorHAnsi"/>
                        <w:lang w:val="en-US"/>
                      </w:rPr>
                      <m:t>F</m:t>
                    </m:r>
                  </m:e>
                  <m:sub>
                    <m:r>
                      <w:rPr>
                        <w:rFonts w:ascii="Cambria Math" w:hAnsi="Cambria Math" w:cstheme="minorHAnsi"/>
                        <w:lang w:val="en-US"/>
                      </w:rPr>
                      <m:t>n</m:t>
                    </m:r>
                  </m:sub>
                </m:sSub>
                <m:r>
                  <w:rPr>
                    <w:rFonts w:ascii="Cambria Math" w:hAnsi="Cambria Math" w:cstheme="minorHAnsi"/>
                    <w:lang w:val="en-US"/>
                  </w:rPr>
                  <m:t xml:space="preserve"> = </m:t>
                </m:r>
                <m:f>
                  <m:fPr>
                    <m:ctrlPr>
                      <w:rPr>
                        <w:rFonts w:ascii="Cambria Math" w:hAnsi="Cambria Math" w:cstheme="minorHAnsi"/>
                        <w:i/>
                        <w:iCs/>
                        <w:lang w:val="en-US"/>
                      </w:rPr>
                    </m:ctrlPr>
                  </m:fPr>
                  <m:num>
                    <m:r>
                      <w:rPr>
                        <w:rFonts w:ascii="Cambria Math" w:hAnsi="Cambria Math" w:cstheme="minorHAnsi"/>
                        <w:lang w:val="en-US"/>
                      </w:rPr>
                      <m:t>1</m:t>
                    </m:r>
                  </m:num>
                  <m:den>
                    <m:r>
                      <w:rPr>
                        <w:rFonts w:ascii="Cambria Math" w:hAnsi="Cambria Math" w:cstheme="minorHAnsi"/>
                        <w:lang w:val="en-US"/>
                      </w:rPr>
                      <m:t>2</m:t>
                    </m:r>
                  </m:den>
                </m:f>
                <m:d>
                  <m:dPr>
                    <m:ctrlPr>
                      <w:rPr>
                        <w:rFonts w:ascii="Cambria Math" w:hAnsi="Cambria Math" w:cstheme="minorHAnsi"/>
                        <w:i/>
                        <w:iCs/>
                        <w:lang w:val="en-US"/>
                      </w:rPr>
                    </m:ctrlPr>
                  </m:dPr>
                  <m:e>
                    <m:f>
                      <m:fPr>
                        <m:ctrlPr>
                          <w:rPr>
                            <w:rFonts w:ascii="Cambria Math" w:hAnsi="Cambria Math" w:cstheme="minorHAnsi"/>
                            <w:i/>
                            <w:iCs/>
                            <w:lang w:val="en-US"/>
                          </w:rPr>
                        </m:ctrlPr>
                      </m:fPr>
                      <m:num>
                        <m:r>
                          <w:rPr>
                            <w:rFonts w:ascii="Cambria Math" w:hAnsi="Cambria Math" w:cstheme="minorHAnsi"/>
                            <w:lang w:val="en-US"/>
                          </w:rPr>
                          <m:t>N</m:t>
                        </m:r>
                      </m:num>
                      <m:den>
                        <m:rad>
                          <m:radPr>
                            <m:degHide m:val="1"/>
                            <m:ctrlPr>
                              <w:rPr>
                                <w:rFonts w:ascii="Cambria Math" w:hAnsi="Cambria Math" w:cstheme="minorHAnsi"/>
                                <w:i/>
                                <w:iCs/>
                                <w:lang w:val="en-US"/>
                              </w:rPr>
                            </m:ctrlPr>
                          </m:radPr>
                          <m:deg/>
                          <m:e>
                            <m:sSup>
                              <m:sSupPr>
                                <m:ctrlPr>
                                  <w:rPr>
                                    <w:rFonts w:ascii="Cambria Math" w:hAnsi="Cambria Math" w:cstheme="minorHAnsi"/>
                                    <w:i/>
                                    <w:iCs/>
                                    <w:lang w:val="en-US"/>
                                  </w:rPr>
                                </m:ctrlPr>
                              </m:sSupPr>
                              <m:e>
                                <m:r>
                                  <w:rPr>
                                    <w:rFonts w:ascii="Cambria Math" w:hAnsi="Cambria Math" w:cstheme="minorHAnsi"/>
                                    <w:lang w:val="en-US"/>
                                  </w:rPr>
                                  <m:t>N</m:t>
                                </m:r>
                              </m:e>
                              <m:sup>
                                <m:r>
                                  <w:rPr>
                                    <w:rFonts w:ascii="Cambria Math" w:hAnsi="Cambria Math" w:cstheme="minorHAnsi"/>
                                    <w:lang w:val="en-US"/>
                                  </w:rPr>
                                  <m:t>2</m:t>
                                </m:r>
                              </m:sup>
                            </m:sSup>
                            <m:r>
                              <w:rPr>
                                <w:rFonts w:ascii="Cambria Math" w:hAnsi="Cambria Math" w:cstheme="minorHAnsi"/>
                                <w:lang w:val="en-US"/>
                              </w:rPr>
                              <m:t>+</m:t>
                            </m:r>
                            <m:sSup>
                              <m:sSupPr>
                                <m:ctrlPr>
                                  <w:rPr>
                                    <w:rFonts w:ascii="Cambria Math" w:hAnsi="Cambria Math" w:cstheme="minorHAnsi"/>
                                    <w:i/>
                                    <w:iCs/>
                                    <w:lang w:val="en-US"/>
                                  </w:rPr>
                                </m:ctrlPr>
                              </m:sSupPr>
                              <m:e>
                                <m:sSub>
                                  <m:sSubPr>
                                    <m:ctrlPr>
                                      <w:rPr>
                                        <w:rFonts w:ascii="Cambria Math" w:hAnsi="Cambria Math" w:cstheme="minorHAnsi"/>
                                        <w:i/>
                                        <w:iCs/>
                                        <w:lang w:val="en-US"/>
                                      </w:rPr>
                                    </m:ctrlPr>
                                  </m:sSubPr>
                                  <m:e>
                                    <m:r>
                                      <w:rPr>
                                        <w:rFonts w:ascii="Cambria Math" w:hAnsi="Cambria Math" w:cstheme="minorHAnsi"/>
                                        <w:lang w:val="en-US"/>
                                      </w:rPr>
                                      <m:t>γ</m:t>
                                    </m:r>
                                  </m:e>
                                  <m:sub>
                                    <m:r>
                                      <w:rPr>
                                        <w:rFonts w:ascii="Cambria Math" w:hAnsi="Cambria Math" w:cstheme="minorHAnsi"/>
                                        <w:lang w:val="en-US"/>
                                      </w:rPr>
                                      <m:t>switch</m:t>
                                    </m:r>
                                  </m:sub>
                                </m:sSub>
                              </m:e>
                              <m:sup>
                                <m:r>
                                  <w:rPr>
                                    <w:rFonts w:ascii="Cambria Math" w:hAnsi="Cambria Math" w:cstheme="minorHAnsi"/>
                                    <w:lang w:val="en-US"/>
                                  </w:rPr>
                                  <m:t>2</m:t>
                                </m:r>
                              </m:sup>
                            </m:sSup>
                          </m:e>
                        </m:rad>
                      </m:den>
                    </m:f>
                    <m:r>
                      <w:rPr>
                        <w:rFonts w:ascii="Cambria Math" w:hAnsi="Cambria Math" w:cstheme="minorHAnsi"/>
                        <w:lang w:val="en-US"/>
                      </w:rPr>
                      <m:t>+1</m:t>
                    </m:r>
                  </m:e>
                </m:d>
              </m:oMath>
            </m:oMathPara>
          </w:p>
        </w:tc>
        <w:tc>
          <w:tcPr>
            <w:tcW w:w="801" w:type="dxa"/>
            <w:vAlign w:val="center"/>
          </w:tcPr>
          <w:p w14:paraId="16E218A7" w14:textId="77777777" w:rsidR="00EA047C" w:rsidRPr="00F0222F" w:rsidRDefault="00EA047C" w:rsidP="006E4719">
            <w:pPr>
              <w:pStyle w:val="CETEquation"/>
              <w:jc w:val="right"/>
              <w:rPr>
                <w:lang w:val="en-US"/>
              </w:rPr>
            </w:pPr>
            <w:r w:rsidRPr="00F0222F">
              <w:rPr>
                <w:lang w:val="en-US"/>
              </w:rPr>
              <w:t>(</w:t>
            </w:r>
            <w:r>
              <w:rPr>
                <w:lang w:val="en-US"/>
              </w:rPr>
              <w:t>12</w:t>
            </w:r>
            <w:r w:rsidRPr="00F0222F">
              <w:rPr>
                <w:lang w:val="en-US"/>
              </w:rPr>
              <w:t>)</w:t>
            </w:r>
          </w:p>
        </w:tc>
      </w:tr>
      <w:tr w:rsidR="00EA047C" w:rsidRPr="00B57B36" w14:paraId="313B9E9E" w14:textId="77777777" w:rsidTr="00EA047C">
        <w:tc>
          <w:tcPr>
            <w:tcW w:w="7986" w:type="dxa"/>
            <w:vAlign w:val="center"/>
          </w:tcPr>
          <w:p w14:paraId="5D889CA3" w14:textId="18664687" w:rsidR="00EA047C" w:rsidRPr="00EA047C" w:rsidRDefault="00EA047C" w:rsidP="006E4719">
            <w:pPr>
              <w:pStyle w:val="CETEquation"/>
              <w:rPr>
                <w:rFonts w:ascii="Cambria Math" w:hAnsi="Cambria Math" w:cstheme="minorHAnsi"/>
                <w:oMath/>
              </w:rPr>
            </w:pPr>
            <m:oMathPara>
              <m:oMathParaPr>
                <m:jc m:val="left"/>
              </m:oMathParaPr>
              <m:oMath>
                <m:r>
                  <w:rPr>
                    <w:rFonts w:ascii="Cambria Math" w:hAnsi="Cambria Math" w:cstheme="minorHAnsi"/>
                    <w:lang w:val="en-US"/>
                  </w:rPr>
                  <m:t xml:space="preserve">N = </m:t>
                </m:r>
                <m:sSub>
                  <m:sSubPr>
                    <m:ctrlPr>
                      <w:rPr>
                        <w:rFonts w:ascii="Cambria Math" w:hAnsi="Cambria Math" w:cstheme="minorHAnsi"/>
                        <w:i/>
                        <w:iCs/>
                        <w:lang w:val="en-US"/>
                      </w:rPr>
                    </m:ctrlPr>
                  </m:sSubPr>
                  <m:e>
                    <m:r>
                      <w:rPr>
                        <w:rFonts w:ascii="Cambria Math" w:hAnsi="Cambria Math" w:cstheme="minorHAnsi"/>
                        <w:lang w:val="en-US"/>
                      </w:rPr>
                      <m:t>C</m:t>
                    </m:r>
                  </m:e>
                  <m:sub>
                    <m:r>
                      <w:rPr>
                        <w:rFonts w:ascii="Cambria Math" w:hAnsi="Cambria Math" w:cstheme="minorHAnsi"/>
                        <w:lang w:val="en-US"/>
                      </w:rPr>
                      <m:t>p LIM</m:t>
                    </m:r>
                  </m:sub>
                </m:sSub>
                <m:r>
                  <w:rPr>
                    <w:rFonts w:ascii="Cambria Math" w:hAnsi="Cambria Math" w:cstheme="minorHAnsi"/>
                    <w:lang w:val="en-US"/>
                  </w:rPr>
                  <m:t xml:space="preserve"> - </m:t>
                </m:r>
                <m:sSub>
                  <m:sSubPr>
                    <m:ctrlPr>
                      <w:rPr>
                        <w:rFonts w:ascii="Cambria Math" w:hAnsi="Cambria Math" w:cstheme="minorHAnsi"/>
                        <w:i/>
                        <w:iCs/>
                        <w:lang w:val="en-US"/>
                      </w:rPr>
                    </m:ctrlPr>
                  </m:sSubPr>
                  <m:e>
                    <m:r>
                      <w:rPr>
                        <w:rFonts w:ascii="Cambria Math" w:hAnsi="Cambria Math" w:cstheme="minorHAnsi"/>
                        <w:lang w:val="en-US"/>
                      </w:rPr>
                      <m:t>C</m:t>
                    </m:r>
                  </m:e>
                  <m:sub>
                    <m:r>
                      <w:rPr>
                        <w:rFonts w:ascii="Cambria Math" w:hAnsi="Cambria Math" w:cstheme="minorHAnsi"/>
                        <w:lang w:val="en-US"/>
                      </w:rPr>
                      <m:t>p</m:t>
                    </m:r>
                  </m:sub>
                </m:sSub>
                <m:r>
                  <w:rPr>
                    <w:rFonts w:ascii="Cambria Math" w:hAnsi="Cambria Math" w:cstheme="minorHAnsi"/>
                    <w:lang w:val="en-US"/>
                  </w:rPr>
                  <m:t>(t)</m:t>
                </m:r>
              </m:oMath>
            </m:oMathPara>
          </w:p>
        </w:tc>
        <w:tc>
          <w:tcPr>
            <w:tcW w:w="801" w:type="dxa"/>
            <w:vAlign w:val="center"/>
          </w:tcPr>
          <w:p w14:paraId="5CEDFE24" w14:textId="2F367B2D" w:rsidR="00EA047C" w:rsidRPr="00F0222F" w:rsidRDefault="00EA047C" w:rsidP="006E4719">
            <w:pPr>
              <w:pStyle w:val="CETEquation"/>
              <w:jc w:val="right"/>
              <w:rPr>
                <w:lang w:val="en-US"/>
              </w:rPr>
            </w:pPr>
            <w:r w:rsidRPr="00F0222F">
              <w:rPr>
                <w:lang w:val="en-US"/>
              </w:rPr>
              <w:t>(</w:t>
            </w:r>
            <w:r>
              <w:rPr>
                <w:lang w:val="en-US"/>
              </w:rPr>
              <w:t>1</w:t>
            </w:r>
            <w:r w:rsidR="00782DB9">
              <w:rPr>
                <w:lang w:val="en-US"/>
              </w:rPr>
              <w:t>3</w:t>
            </w:r>
            <w:r w:rsidRPr="00F0222F">
              <w:rPr>
                <w:lang w:val="en-US"/>
              </w:rPr>
              <w:t>)</w:t>
            </w:r>
          </w:p>
        </w:tc>
      </w:tr>
    </w:tbl>
    <w:p w14:paraId="5B6A2576" w14:textId="4835EADA" w:rsidR="00EA047C" w:rsidRPr="00EA047C" w:rsidRDefault="00EA047C" w:rsidP="00EA047C">
      <w:pPr>
        <w:pStyle w:val="CETBodytext"/>
        <w:rPr>
          <w:lang w:val="en-GB"/>
        </w:rPr>
      </w:pPr>
      <w:r>
        <w:t xml:space="preserve">Where </w:t>
      </w:r>
      <m:oMath>
        <m:r>
          <w:rPr>
            <w:rFonts w:ascii="Cambria Math" w:hAnsi="Cambria Math" w:cstheme="minorHAnsi"/>
          </w:rPr>
          <m:t>N</m:t>
        </m:r>
      </m:oMath>
      <w:r w:rsidRPr="00EA047C">
        <w:rPr>
          <w:lang w:val="en-GB"/>
        </w:rPr>
        <w:t xml:space="preserve"> represents the distance from the limiting product concentration</w:t>
      </w:r>
      <w:r w:rsidR="00782DB9">
        <w:rPr>
          <w:lang w:val="en-GB"/>
        </w:rPr>
        <w:t xml:space="preserve"> (</w:t>
      </w:r>
      <m:oMath>
        <m:sSub>
          <m:sSubPr>
            <m:ctrlPr>
              <w:rPr>
                <w:rFonts w:ascii="Cambria Math" w:hAnsi="Cambria Math" w:cstheme="minorHAnsi"/>
                <w:i/>
                <w:iCs/>
              </w:rPr>
            </m:ctrlPr>
          </m:sSubPr>
          <m:e>
            <m:r>
              <w:rPr>
                <w:rFonts w:ascii="Cambria Math" w:hAnsi="Cambria Math" w:cstheme="minorHAnsi"/>
              </w:rPr>
              <m:t>C</m:t>
            </m:r>
          </m:e>
          <m:sub>
            <m:r>
              <w:rPr>
                <w:rFonts w:ascii="Cambria Math" w:hAnsi="Cambria Math" w:cstheme="minorHAnsi"/>
              </w:rPr>
              <m:t>p LIM</m:t>
            </m:r>
          </m:sub>
        </m:sSub>
        <m:r>
          <w:rPr>
            <w:rFonts w:ascii="Cambria Math" w:hAnsi="Cambria Math" w:cstheme="minorHAnsi"/>
          </w:rPr>
          <m:t>)</m:t>
        </m:r>
      </m:oMath>
      <w:r>
        <w:rPr>
          <w:lang w:val="en-GB"/>
        </w:rPr>
        <w:t xml:space="preserve"> and</w:t>
      </w:r>
      <w:r w:rsidRPr="00EA047C">
        <w:rPr>
          <w:lang w:val="en-GB"/>
        </w:rPr>
        <w:t xml:space="preserve"> </w:t>
      </w:r>
      <m:oMath>
        <m:sSub>
          <m:sSubPr>
            <m:ctrlPr>
              <w:rPr>
                <w:rFonts w:ascii="Cambria Math" w:hAnsi="Cambria Math" w:cstheme="minorHAnsi"/>
                <w:i/>
                <w:iCs/>
              </w:rPr>
            </m:ctrlPr>
          </m:sSubPr>
          <m:e>
            <m:r>
              <w:rPr>
                <w:rFonts w:ascii="Cambria Math" w:hAnsi="Cambria Math" w:cstheme="minorHAnsi"/>
              </w:rPr>
              <m:t>γ</m:t>
            </m:r>
          </m:e>
          <m:sub>
            <m:r>
              <w:rPr>
                <w:rFonts w:ascii="Cambria Math" w:hAnsi="Cambria Math" w:cstheme="minorHAnsi"/>
              </w:rPr>
              <m:t>switch</m:t>
            </m:r>
          </m:sub>
        </m:sSub>
      </m:oMath>
      <w:r w:rsidRPr="00EA047C">
        <w:rPr>
          <w:lang w:val="en-GB"/>
        </w:rPr>
        <w:t xml:space="preserve"> is a smoothing parameter that defines the steepness of the transition (in this case </w:t>
      </w:r>
      <m:oMath>
        <m:sSub>
          <m:sSubPr>
            <m:ctrlPr>
              <w:rPr>
                <w:rFonts w:ascii="Cambria Math" w:hAnsi="Cambria Math" w:cstheme="minorHAnsi"/>
                <w:i/>
                <w:iCs/>
              </w:rPr>
            </m:ctrlPr>
          </m:sSubPr>
          <m:e>
            <m:r>
              <w:rPr>
                <w:rFonts w:ascii="Cambria Math" w:hAnsi="Cambria Math" w:cstheme="minorHAnsi"/>
              </w:rPr>
              <m:t>γ</m:t>
            </m:r>
          </m:e>
          <m:sub>
            <m:r>
              <w:rPr>
                <w:rFonts w:ascii="Cambria Math" w:hAnsi="Cambria Math" w:cstheme="minorHAnsi"/>
              </w:rPr>
              <m:t>switch</m:t>
            </m:r>
          </m:sub>
        </m:sSub>
      </m:oMath>
      <w:r w:rsidRPr="00EA047C">
        <w:rPr>
          <w:lang w:val="en-GB"/>
        </w:rPr>
        <w:t xml:space="preserve"> = 0.01)</w:t>
      </w:r>
      <w:r w:rsidR="006528E6">
        <w:rPr>
          <w:lang w:val="en-GB"/>
        </w:rPr>
        <w:t>.</w:t>
      </w:r>
    </w:p>
    <w:p w14:paraId="0D67E55E" w14:textId="49E789D3" w:rsidR="00D31C84" w:rsidRDefault="00D31C84" w:rsidP="00D31C84">
      <w:pPr>
        <w:pStyle w:val="CETBodytext"/>
        <w:rPr>
          <w:rFonts w:cs="Arial"/>
          <w:color w:val="000000"/>
          <w:szCs w:val="14"/>
        </w:rPr>
      </w:pPr>
      <w:r>
        <w:t xml:space="preserve">Eq. 7 describes the product </w:t>
      </w:r>
      <w:r w:rsidR="00533005">
        <w:t>formation</w:t>
      </w:r>
      <w:r>
        <w:t>, according to a Michaelis-Menten type kinetic</w:t>
      </w:r>
      <w:r w:rsidR="00680CEF">
        <w:t xml:space="preserve">, </w:t>
      </w:r>
      <w:r w:rsidRPr="00DF116A">
        <w:rPr>
          <w:rFonts w:eastAsiaTheme="minorEastAsia" w:cstheme="minorHAnsi"/>
          <w:lang w:val="en-GB"/>
        </w:rPr>
        <w:t>consider</w:t>
      </w:r>
      <w:r w:rsidR="00680CEF">
        <w:rPr>
          <w:rFonts w:eastAsiaTheme="minorEastAsia" w:cstheme="minorHAnsi"/>
          <w:lang w:val="en-GB"/>
        </w:rPr>
        <w:t>ing</w:t>
      </w:r>
      <w:r w:rsidRPr="00DF116A">
        <w:rPr>
          <w:rFonts w:eastAsiaTheme="minorEastAsia" w:cstheme="minorHAnsi"/>
          <w:lang w:val="en-GB"/>
        </w:rPr>
        <w:t xml:space="preserve"> that substrates are converted </w:t>
      </w:r>
      <w:r w:rsidR="00680CEF">
        <w:rPr>
          <w:rFonts w:eastAsiaTheme="minorEastAsia" w:cstheme="minorHAnsi"/>
          <w:lang w:val="en-GB"/>
        </w:rPr>
        <w:t xml:space="preserve">according to </w:t>
      </w:r>
      <w:r w:rsidRPr="00DF116A">
        <w:rPr>
          <w:rFonts w:eastAsiaTheme="minorEastAsia" w:cstheme="minorHAnsi"/>
          <w:lang w:val="en-GB"/>
        </w:rPr>
        <w:t>their own kinetics and stoichiometry</w:t>
      </w:r>
      <w:r>
        <w:rPr>
          <w:rFonts w:eastAsiaTheme="minorEastAsia" w:cstheme="minorHAnsi"/>
          <w:lang w:val="en-GB"/>
        </w:rPr>
        <w:t>.</w:t>
      </w:r>
      <w:r w:rsidR="00680CEF">
        <w:t xml:space="preserve"> </w:t>
      </w:r>
      <w:r>
        <w:t>In the equation</w:t>
      </w:r>
      <w:r w:rsidR="00680CEF">
        <w:t>,</w:t>
      </w:r>
      <w:r w:rsidR="000C1058">
        <w:t xml:space="preserve"> </w:t>
      </w:r>
      <m:oMath>
        <m:sSub>
          <m:sSubPr>
            <m:ctrlPr>
              <w:rPr>
                <w:rFonts w:ascii="Cambria Math" w:eastAsiaTheme="minorEastAsia" w:hAnsi="Cambria Math" w:cstheme="minorHAnsi"/>
                <w:i/>
                <w:lang w:val="en-GB"/>
              </w:rPr>
            </m:ctrlPr>
          </m:sSubPr>
          <m:e>
            <m:r>
              <w:rPr>
                <w:rFonts w:ascii="Cambria Math" w:eastAsiaTheme="minorEastAsia" w:hAnsi="Cambria Math" w:cstheme="minorHAnsi"/>
                <w:lang w:val="en-GB"/>
              </w:rPr>
              <m:t>K</m:t>
            </m:r>
          </m:e>
          <m:sub>
            <m:r>
              <w:rPr>
                <w:rFonts w:ascii="Cambria Math" w:eastAsiaTheme="minorEastAsia" w:hAnsi="Cambria Math" w:cstheme="minorHAnsi"/>
                <w:lang w:val="en-GB"/>
              </w:rPr>
              <m:t>Mi</m:t>
            </m:r>
          </m:sub>
        </m:sSub>
      </m:oMath>
      <w:r w:rsidRPr="008417B2">
        <w:t xml:space="preserve"> [g/L] is the Michaelis-Menten constant, reflecting the affinity of the substrate to the microorganism. The lower is the value of </w:t>
      </w:r>
      <m:oMath>
        <m:sSub>
          <m:sSubPr>
            <m:ctrlPr>
              <w:rPr>
                <w:rFonts w:ascii="Cambria Math" w:eastAsiaTheme="minorEastAsia" w:hAnsi="Cambria Math" w:cstheme="minorHAnsi"/>
                <w:i/>
                <w:lang w:val="en-GB"/>
              </w:rPr>
            </m:ctrlPr>
          </m:sSubPr>
          <m:e>
            <m:r>
              <w:rPr>
                <w:rFonts w:ascii="Cambria Math" w:eastAsiaTheme="minorEastAsia" w:hAnsi="Cambria Math" w:cstheme="minorHAnsi"/>
                <w:lang w:val="en-GB"/>
              </w:rPr>
              <m:t>K</m:t>
            </m:r>
          </m:e>
          <m:sub>
            <m:r>
              <w:rPr>
                <w:rFonts w:ascii="Cambria Math" w:eastAsiaTheme="minorEastAsia" w:hAnsi="Cambria Math" w:cstheme="minorHAnsi"/>
                <w:lang w:val="en-GB"/>
              </w:rPr>
              <m:t>M</m:t>
            </m:r>
          </m:sub>
        </m:sSub>
        <m:r>
          <w:rPr>
            <w:rFonts w:ascii="Cambria Math" w:eastAsiaTheme="minorEastAsia" w:hAnsi="Cambria Math" w:cstheme="minorHAnsi"/>
            <w:lang w:val="en-GB"/>
          </w:rPr>
          <m:t xml:space="preserve"> </m:t>
        </m:r>
      </m:oMath>
      <w:r w:rsidRPr="008417B2">
        <w:t>and the higher is its affinity, resulting in high conversion rates even at low substrate concentrations.</w:t>
      </w:r>
      <w:r w:rsidR="00D6475B">
        <w:t xml:space="preserve"> Finally, a</w:t>
      </w:r>
      <w:r>
        <w:t>s previously discussed</w:t>
      </w:r>
      <w:r w:rsidR="00D6475B">
        <w:t>,</w:t>
      </w:r>
      <w:r>
        <w:t xml:space="preserve"> </w:t>
      </w:r>
      <w:r>
        <w:rPr>
          <w:rFonts w:cs="Arial"/>
          <w:color w:val="000000"/>
          <w:szCs w:val="14"/>
        </w:rPr>
        <w:t xml:space="preserve">this molecule is </w:t>
      </w:r>
      <w:r w:rsidR="00D6475B">
        <w:rPr>
          <w:rFonts w:cs="Arial"/>
          <w:color w:val="000000"/>
          <w:szCs w:val="14"/>
        </w:rPr>
        <w:t xml:space="preserve">sensitive to temperature, </w:t>
      </w:r>
      <w:r>
        <w:rPr>
          <w:rFonts w:cs="Arial"/>
          <w:color w:val="000000"/>
          <w:szCs w:val="14"/>
        </w:rPr>
        <w:t>so it</w:t>
      </w:r>
      <w:r w:rsidR="00D6475B">
        <w:rPr>
          <w:rFonts w:cs="Arial"/>
          <w:color w:val="000000"/>
          <w:szCs w:val="14"/>
        </w:rPr>
        <w:t xml:space="preserve"> i</w:t>
      </w:r>
      <w:r>
        <w:rPr>
          <w:rFonts w:cs="Arial"/>
          <w:color w:val="000000"/>
          <w:szCs w:val="14"/>
        </w:rPr>
        <w:t xml:space="preserve">s mandatory to take </w:t>
      </w:r>
      <w:r w:rsidR="00D6475B">
        <w:rPr>
          <w:rFonts w:cs="Arial"/>
          <w:color w:val="000000"/>
          <w:szCs w:val="14"/>
        </w:rPr>
        <w:t xml:space="preserve">thermal degradation and its kinetics </w:t>
      </w:r>
      <w:r>
        <w:rPr>
          <w:rFonts w:cs="Arial"/>
          <w:color w:val="000000"/>
          <w:szCs w:val="14"/>
        </w:rPr>
        <w:t>into account. Sp</w:t>
      </w:r>
      <w:r w:rsidR="00D6475B">
        <w:rPr>
          <w:rFonts w:cs="Arial"/>
          <w:color w:val="000000"/>
          <w:szCs w:val="14"/>
        </w:rPr>
        <w:t>e</w:t>
      </w:r>
      <w:r>
        <w:rPr>
          <w:rFonts w:cs="Arial"/>
          <w:color w:val="000000"/>
          <w:szCs w:val="14"/>
        </w:rPr>
        <w:t>cifically</w:t>
      </w:r>
      <w:r w:rsidR="00D6475B">
        <w:rPr>
          <w:rFonts w:cs="Arial"/>
          <w:color w:val="000000"/>
          <w:szCs w:val="14"/>
        </w:rPr>
        <w:t>,</w:t>
      </w:r>
      <w:r>
        <w:rPr>
          <w:rFonts w:cs="Arial"/>
          <w:color w:val="000000"/>
          <w:szCs w:val="14"/>
        </w:rPr>
        <w:t xml:space="preserve"> it</w:t>
      </w:r>
      <w:r w:rsidR="00D6475B">
        <w:rPr>
          <w:rFonts w:cs="Arial"/>
          <w:color w:val="000000"/>
          <w:szCs w:val="14"/>
        </w:rPr>
        <w:t xml:space="preserve"> was assumed to be</w:t>
      </w:r>
      <w:r>
        <w:rPr>
          <w:rFonts w:cs="Arial"/>
          <w:color w:val="000000"/>
          <w:szCs w:val="14"/>
        </w:rPr>
        <w:t xml:space="preserve"> a first order kinetic process </w:t>
      </w:r>
      <w:sdt>
        <w:sdtPr>
          <w:rPr>
            <w:rFonts w:cs="Arial"/>
            <w:color w:val="000000"/>
            <w:szCs w:val="14"/>
          </w:rPr>
          <w:tag w:val="MENDELEY_CITATION_v3_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"/>
          <w:id w:val="325170586"/>
          <w:placeholder>
            <w:docPart w:val="8FF71C634EC6436290B5E99325950C6A"/>
          </w:placeholder>
        </w:sdtPr>
        <w:sdtContent>
          <w:r w:rsidR="00994DD1" w:rsidRPr="00994DD1">
            <w:rPr>
              <w:rFonts w:cs="Arial"/>
              <w:color w:val="000000"/>
              <w:szCs w:val="14"/>
            </w:rPr>
            <w:t>(</w:t>
          </w:r>
          <w:proofErr w:type="spellStart"/>
          <w:r w:rsidR="00994DD1" w:rsidRPr="00994DD1">
            <w:rPr>
              <w:rFonts w:cs="Arial"/>
              <w:color w:val="000000"/>
              <w:szCs w:val="14"/>
            </w:rPr>
            <w:t>Bersanetti</w:t>
          </w:r>
          <w:proofErr w:type="spellEnd"/>
          <w:r w:rsidR="00994DD1" w:rsidRPr="00994DD1">
            <w:rPr>
              <w:rFonts w:cs="Arial"/>
              <w:color w:val="000000"/>
              <w:szCs w:val="14"/>
            </w:rPr>
            <w:t xml:space="preserve"> et al., 2005)</w:t>
          </w:r>
        </w:sdtContent>
      </w:sdt>
      <w:r>
        <w:rPr>
          <w:rFonts w:cs="Arial"/>
          <w:color w:val="000000"/>
          <w:szCs w:val="14"/>
        </w:rPr>
        <w:t xml:space="preserve"> following Eq. 1</w:t>
      </w:r>
      <w:r w:rsidR="00782DB9">
        <w:rPr>
          <w:rFonts w:cs="Arial"/>
          <w:color w:val="000000"/>
          <w:szCs w:val="14"/>
        </w:rPr>
        <w:t>4</w:t>
      </w:r>
      <w:r>
        <w:rPr>
          <w:rFonts w:cs="Arial"/>
          <w:color w:val="000000"/>
          <w:szCs w:val="14"/>
        </w:rPr>
        <w:t>.</w:t>
      </w:r>
    </w:p>
    <w:tbl>
      <w:tblPr>
        <w:tblW w:w="5000" w:type="pct"/>
        <w:tblLook w:val="04A0" w:firstRow="1" w:lastRow="0" w:firstColumn="1" w:lastColumn="0" w:noHBand="0" w:noVBand="1"/>
      </w:tblPr>
      <w:tblGrid>
        <w:gridCol w:w="7986"/>
        <w:gridCol w:w="801"/>
      </w:tblGrid>
      <w:tr w:rsidR="00D31C84" w:rsidRPr="00B57B36" w14:paraId="6CFFD072" w14:textId="77777777" w:rsidTr="003600C1">
        <w:tc>
          <w:tcPr>
            <w:tcW w:w="7986" w:type="dxa"/>
            <w:vAlign w:val="center"/>
          </w:tcPr>
          <w:p w14:paraId="65D6F3CE" w14:textId="77777777" w:rsidR="00D31C84" w:rsidRPr="00120548" w:rsidRDefault="00000000" w:rsidP="003600C1">
            <w:pPr>
              <w:pStyle w:val="CETEquation"/>
            </w:pPr>
            <m:oMathPara>
              <m:oMathParaPr>
                <m:jc m:val="left"/>
              </m:oMathParaPr>
              <m:oMath>
                <m:f>
                  <m:fPr>
                    <m:ctrlPr>
                      <w:rPr>
                        <w:rFonts w:ascii="Cambria Math" w:hAnsi="Cambria Math" w:cstheme="minorHAnsi"/>
                        <w:i/>
                        <w:iCs/>
                      </w:rPr>
                    </m:ctrlPr>
                  </m:fPr>
                  <m:num>
                    <m:r>
                      <w:rPr>
                        <w:rFonts w:ascii="Cambria Math" w:hAnsi="Cambria Math" w:cstheme="minorHAnsi"/>
                      </w:rPr>
                      <m:t>d</m:t>
                    </m:r>
                    <m:sSub>
                      <m:sSubPr>
                        <m:ctrlPr>
                          <w:rPr>
                            <w:rFonts w:ascii="Cambria Math" w:hAnsi="Cambria Math" w:cstheme="minorHAnsi"/>
                            <w:i/>
                            <w:iCs/>
                          </w:rPr>
                        </m:ctrlPr>
                      </m:sSubPr>
                      <m:e>
                        <m:r>
                          <w:rPr>
                            <w:rFonts w:ascii="Cambria Math" w:hAnsi="Cambria Math" w:cstheme="minorHAnsi"/>
                          </w:rPr>
                          <m:t>C</m:t>
                        </m:r>
                      </m:e>
                      <m:sub>
                        <m:r>
                          <w:rPr>
                            <w:rFonts w:ascii="Cambria Math" w:hAnsi="Cambria Math" w:cstheme="minorHAnsi"/>
                          </w:rPr>
                          <m:t>p</m:t>
                        </m:r>
                      </m:sub>
                    </m:sSub>
                  </m:num>
                  <m:den>
                    <m:r>
                      <w:rPr>
                        <w:rFonts w:ascii="Cambria Math" w:hAnsi="Cambria Math" w:cstheme="minorHAnsi"/>
                      </w:rPr>
                      <m:t>dt</m:t>
                    </m:r>
                  </m:den>
                </m:f>
                <m:r>
                  <w:rPr>
                    <w:rFonts w:ascii="Cambria Math" w:hAnsi="Cambria Math" w:cstheme="minorHAnsi"/>
                  </w:rPr>
                  <m:t>=-k</m:t>
                </m:r>
                <m:sSub>
                  <m:sSubPr>
                    <m:ctrlPr>
                      <w:rPr>
                        <w:rFonts w:ascii="Cambria Math" w:hAnsi="Cambria Math" w:cstheme="minorHAnsi"/>
                        <w:i/>
                        <w:iCs/>
                      </w:rPr>
                    </m:ctrlPr>
                  </m:sSubPr>
                  <m:e>
                    <m:r>
                      <w:rPr>
                        <w:rFonts w:ascii="Cambria Math" w:hAnsi="Cambria Math" w:cstheme="minorHAnsi"/>
                      </w:rPr>
                      <m:t>C</m:t>
                    </m:r>
                  </m:e>
                  <m:sub>
                    <m:r>
                      <w:rPr>
                        <w:rFonts w:ascii="Cambria Math" w:hAnsi="Cambria Math" w:cstheme="minorHAnsi"/>
                      </w:rPr>
                      <m:t>p</m:t>
                    </m:r>
                  </m:sub>
                </m:sSub>
              </m:oMath>
            </m:oMathPara>
          </w:p>
        </w:tc>
        <w:tc>
          <w:tcPr>
            <w:tcW w:w="801" w:type="dxa"/>
            <w:vAlign w:val="center"/>
          </w:tcPr>
          <w:p w14:paraId="02540992" w14:textId="056FF49C" w:rsidR="00D31C84" w:rsidRPr="00F0222F" w:rsidRDefault="00D31C84" w:rsidP="003600C1">
            <w:pPr>
              <w:pStyle w:val="CETEquation"/>
              <w:jc w:val="right"/>
              <w:rPr>
                <w:lang w:val="en-US"/>
              </w:rPr>
            </w:pPr>
            <w:r w:rsidRPr="00F0222F">
              <w:rPr>
                <w:lang w:val="en-US"/>
              </w:rPr>
              <w:t>(</w:t>
            </w:r>
            <w:r>
              <w:rPr>
                <w:lang w:val="en-US"/>
              </w:rPr>
              <w:t>1</w:t>
            </w:r>
            <w:r w:rsidR="00782DB9">
              <w:rPr>
                <w:lang w:val="en-US"/>
              </w:rPr>
              <w:t>4</w:t>
            </w:r>
            <w:r w:rsidRPr="00F0222F">
              <w:rPr>
                <w:lang w:val="en-US"/>
              </w:rPr>
              <w:t>)</w:t>
            </w:r>
          </w:p>
        </w:tc>
      </w:tr>
    </w:tbl>
    <w:p w14:paraId="2CEC9E47" w14:textId="2715B76C" w:rsidR="00D31C84" w:rsidRDefault="00D31C84" w:rsidP="00D31C84">
      <w:pPr>
        <w:pStyle w:val="CETBodytext"/>
        <w:rPr>
          <w:rFonts w:cs="Arial"/>
          <w:color w:val="000000"/>
          <w:szCs w:val="14"/>
        </w:rPr>
      </w:pPr>
      <w:r w:rsidRPr="00D11D8B">
        <w:rPr>
          <w:rFonts w:cs="Arial"/>
          <w:color w:val="000000"/>
          <w:szCs w:val="14"/>
        </w:rPr>
        <w:t xml:space="preserve">With </w:t>
      </w:r>
      <m:oMath>
        <m:r>
          <w:rPr>
            <w:rFonts w:ascii="Cambria Math" w:hAnsi="Cambria Math" w:cstheme="minorHAnsi"/>
            <w:lang w:val="en-GB"/>
          </w:rPr>
          <m:t>k</m:t>
        </m:r>
      </m:oMath>
      <w:r w:rsidRPr="00D11D8B">
        <w:rPr>
          <w:rFonts w:cs="Arial"/>
          <w:color w:val="000000"/>
          <w:szCs w:val="14"/>
        </w:rPr>
        <w:t xml:space="preserve"> being an Ar</w:t>
      </w:r>
      <w:r w:rsidR="00D6475B">
        <w:rPr>
          <w:rFonts w:cs="Arial"/>
          <w:color w:val="000000"/>
          <w:szCs w:val="14"/>
        </w:rPr>
        <w:t>r</w:t>
      </w:r>
      <w:r w:rsidRPr="00D11D8B">
        <w:rPr>
          <w:rFonts w:cs="Arial"/>
          <w:color w:val="000000"/>
          <w:szCs w:val="14"/>
        </w:rPr>
        <w:t>henius-type parameter, depending exponentially on temperature</w:t>
      </w:r>
      <w:r>
        <w:rPr>
          <w:rFonts w:cs="Arial"/>
          <w:color w:val="000000"/>
          <w:szCs w:val="14"/>
        </w:rPr>
        <w:t xml:space="preserve"> (Eq. 1</w:t>
      </w:r>
      <w:r w:rsidR="00782DB9">
        <w:rPr>
          <w:rFonts w:cs="Arial"/>
          <w:color w:val="000000"/>
          <w:szCs w:val="14"/>
        </w:rPr>
        <w:t>5</w:t>
      </w:r>
      <w:r>
        <w:rPr>
          <w:rFonts w:cs="Arial"/>
          <w:color w:val="000000"/>
          <w:szCs w:val="14"/>
        </w:rPr>
        <w:t>)</w:t>
      </w:r>
      <w:r w:rsidRPr="00D11D8B">
        <w:rPr>
          <w:rFonts w:cs="Arial"/>
          <w:color w:val="000000"/>
          <w:szCs w:val="14"/>
        </w:rPr>
        <w:t>:</w:t>
      </w:r>
    </w:p>
    <w:tbl>
      <w:tblPr>
        <w:tblW w:w="5000" w:type="pct"/>
        <w:tblLook w:val="04A0" w:firstRow="1" w:lastRow="0" w:firstColumn="1" w:lastColumn="0" w:noHBand="0" w:noVBand="1"/>
      </w:tblPr>
      <w:tblGrid>
        <w:gridCol w:w="7986"/>
        <w:gridCol w:w="801"/>
      </w:tblGrid>
      <w:tr w:rsidR="00D31C84" w:rsidRPr="00B57B36" w14:paraId="7CA4303F" w14:textId="77777777" w:rsidTr="003600C1">
        <w:tc>
          <w:tcPr>
            <w:tcW w:w="7986" w:type="dxa"/>
            <w:vAlign w:val="center"/>
          </w:tcPr>
          <w:p w14:paraId="0C80D3C0" w14:textId="77777777" w:rsidR="00D31C84" w:rsidRPr="00120548" w:rsidRDefault="00D31C84" w:rsidP="003600C1">
            <w:pPr>
              <w:pStyle w:val="CETEquation"/>
            </w:pPr>
            <m:oMathPara>
              <m:oMathParaPr>
                <m:jc m:val="left"/>
              </m:oMathParaPr>
              <m:oMath>
                <m:r>
                  <w:rPr>
                    <w:rFonts w:ascii="Cambria Math" w:eastAsiaTheme="minorEastAsia" w:hAnsi="Cambria Math" w:cstheme="minorHAnsi"/>
                  </w:rPr>
                  <m:t>k=A*</m:t>
                </m:r>
                <m:func>
                  <m:funcPr>
                    <m:ctrlPr>
                      <w:rPr>
                        <w:rFonts w:ascii="Cambria Math" w:eastAsiaTheme="minorEastAsia" w:hAnsi="Cambria Math" w:cstheme="minorHAnsi"/>
                        <w:i/>
                        <w:iCs/>
                      </w:rPr>
                    </m:ctrlPr>
                  </m:funcPr>
                  <m:fName>
                    <m:r>
                      <m:rPr>
                        <m:sty m:val="p"/>
                      </m:rPr>
                      <w:rPr>
                        <w:rFonts w:ascii="Cambria Math" w:eastAsiaTheme="minorEastAsia" w:hAnsi="Cambria Math" w:cstheme="minorHAnsi"/>
                      </w:rPr>
                      <m:t>exp</m:t>
                    </m:r>
                  </m:fName>
                  <m:e>
                    <m:d>
                      <m:dPr>
                        <m:ctrlPr>
                          <w:rPr>
                            <w:rFonts w:ascii="Cambria Math" w:eastAsiaTheme="minorEastAsia" w:hAnsi="Cambria Math" w:cstheme="minorHAnsi"/>
                            <w:i/>
                            <w:iCs/>
                          </w:rPr>
                        </m:ctrlPr>
                      </m:dPr>
                      <m:e>
                        <m:r>
                          <w:rPr>
                            <w:rFonts w:ascii="Cambria Math" w:eastAsiaTheme="minorEastAsia" w:hAnsi="Cambria Math" w:cstheme="minorHAnsi"/>
                          </w:rPr>
                          <m:t>-</m:t>
                        </m:r>
                        <m:f>
                          <m:fPr>
                            <m:ctrlPr>
                              <w:rPr>
                                <w:rFonts w:ascii="Cambria Math" w:eastAsiaTheme="minorEastAsia" w:hAnsi="Cambria Math" w:cstheme="minorHAnsi"/>
                                <w:i/>
                                <w:iCs/>
                              </w:rPr>
                            </m:ctrlPr>
                          </m:fPr>
                          <m:num>
                            <m:sSub>
                              <m:sSubPr>
                                <m:ctrlPr>
                                  <w:rPr>
                                    <w:rFonts w:ascii="Cambria Math" w:eastAsiaTheme="minorEastAsia" w:hAnsi="Cambria Math" w:cstheme="minorHAnsi"/>
                                    <w:i/>
                                    <w:iCs/>
                                  </w:rPr>
                                </m:ctrlPr>
                              </m:sSubPr>
                              <m:e>
                                <m:r>
                                  <w:rPr>
                                    <w:rFonts w:ascii="Cambria Math" w:eastAsiaTheme="minorEastAsia" w:hAnsi="Cambria Math" w:cstheme="minorHAnsi"/>
                                  </w:rPr>
                                  <m:t>E</m:t>
                                </m:r>
                              </m:e>
                              <m:sub>
                                <m:r>
                                  <w:rPr>
                                    <w:rFonts w:ascii="Cambria Math" w:eastAsiaTheme="minorEastAsia" w:hAnsi="Cambria Math" w:cstheme="minorHAnsi"/>
                                  </w:rPr>
                                  <m:t>a</m:t>
                                </m:r>
                              </m:sub>
                            </m:sSub>
                          </m:num>
                          <m:den>
                            <m:r>
                              <w:rPr>
                                <w:rFonts w:ascii="Cambria Math" w:eastAsiaTheme="minorEastAsia" w:hAnsi="Cambria Math" w:cstheme="minorHAnsi"/>
                              </w:rPr>
                              <m:t>RT</m:t>
                            </m:r>
                          </m:den>
                        </m:f>
                      </m:e>
                    </m:d>
                  </m:e>
                </m:func>
              </m:oMath>
            </m:oMathPara>
          </w:p>
        </w:tc>
        <w:tc>
          <w:tcPr>
            <w:tcW w:w="801" w:type="dxa"/>
            <w:vAlign w:val="center"/>
          </w:tcPr>
          <w:p w14:paraId="45482AF1" w14:textId="4C21A51A" w:rsidR="00D31C84" w:rsidRPr="00F0222F" w:rsidRDefault="00D31C84" w:rsidP="003600C1">
            <w:pPr>
              <w:pStyle w:val="CETEquation"/>
              <w:jc w:val="right"/>
              <w:rPr>
                <w:lang w:val="en-US"/>
              </w:rPr>
            </w:pPr>
            <w:r w:rsidRPr="00F0222F">
              <w:rPr>
                <w:lang w:val="en-US"/>
              </w:rPr>
              <w:t>(</w:t>
            </w:r>
            <w:r>
              <w:rPr>
                <w:lang w:val="en-US"/>
              </w:rPr>
              <w:t>1</w:t>
            </w:r>
            <w:r w:rsidR="00782DB9">
              <w:rPr>
                <w:lang w:val="en-US"/>
              </w:rPr>
              <w:t>5</w:t>
            </w:r>
            <w:r w:rsidRPr="00F0222F">
              <w:rPr>
                <w:lang w:val="en-US"/>
              </w:rPr>
              <w:t>)</w:t>
            </w:r>
          </w:p>
        </w:tc>
      </w:tr>
    </w:tbl>
    <w:p w14:paraId="368F26CB" w14:textId="132FD208" w:rsidR="008022F3" w:rsidRPr="0020213A" w:rsidRDefault="00D31C84" w:rsidP="0016006A">
      <w:pPr>
        <w:pStyle w:val="CETBodytext"/>
        <w:rPr>
          <w:rFonts w:eastAsiaTheme="minorEastAsia" w:cstheme="minorHAnsi"/>
          <w:lang w:val="en-GB"/>
        </w:rPr>
      </w:pPr>
      <w:r>
        <w:rPr>
          <w:rFonts w:cs="Arial"/>
          <w:color w:val="000000"/>
          <w:szCs w:val="14"/>
        </w:rPr>
        <w:t>Here</w:t>
      </w:r>
      <w:r w:rsidR="00D6475B">
        <w:rPr>
          <w:rFonts w:cs="Arial"/>
          <w:color w:val="000000"/>
          <w:szCs w:val="14"/>
        </w:rPr>
        <w:t xml:space="preserve">, </w:t>
      </w:r>
      <m:oMath>
        <m:r>
          <w:rPr>
            <w:rFonts w:ascii="Cambria Math" w:eastAsiaTheme="minorEastAsia" w:hAnsi="Cambria Math" w:cstheme="minorHAnsi"/>
            <w:lang w:val="en-GB"/>
          </w:rPr>
          <m:t>A</m:t>
        </m:r>
      </m:oMath>
      <w:r w:rsidRPr="00B96A4B">
        <w:rPr>
          <w:rFonts w:cs="Arial"/>
          <w:color w:val="000000"/>
          <w:szCs w:val="14"/>
        </w:rPr>
        <w:t xml:space="preserve"> [h</w:t>
      </w:r>
      <w:r w:rsidRPr="00B96A4B">
        <w:rPr>
          <w:rFonts w:cs="Arial"/>
          <w:color w:val="000000"/>
          <w:szCs w:val="14"/>
          <w:vertAlign w:val="superscript"/>
        </w:rPr>
        <w:t>-1</w:t>
      </w:r>
      <w:r w:rsidRPr="00B96A4B">
        <w:rPr>
          <w:rFonts w:cs="Arial"/>
          <w:color w:val="000000"/>
          <w:szCs w:val="14"/>
        </w:rPr>
        <w:t>] is a pre</w:t>
      </w:r>
      <w:r w:rsidR="00D6475B">
        <w:rPr>
          <w:rFonts w:cs="Arial"/>
          <w:color w:val="000000"/>
          <w:szCs w:val="14"/>
        </w:rPr>
        <w:t>-</w:t>
      </w:r>
      <w:r w:rsidRPr="00B96A4B">
        <w:rPr>
          <w:rFonts w:cs="Arial"/>
          <w:color w:val="000000"/>
          <w:szCs w:val="14"/>
        </w:rPr>
        <w:t xml:space="preserve">exponential factor, </w:t>
      </w:r>
      <m:oMath>
        <m:sSub>
          <m:sSubPr>
            <m:ctrlPr>
              <w:rPr>
                <w:rFonts w:ascii="Cambria Math" w:eastAsiaTheme="minorEastAsia" w:hAnsi="Cambria Math" w:cstheme="minorHAnsi"/>
                <w:i/>
                <w:iCs/>
                <w:lang w:val="en-GB"/>
              </w:rPr>
            </m:ctrlPr>
          </m:sSubPr>
          <m:e>
            <m:r>
              <w:rPr>
                <w:rFonts w:ascii="Cambria Math" w:eastAsiaTheme="minorEastAsia" w:hAnsi="Cambria Math" w:cstheme="minorHAnsi"/>
                <w:lang w:val="en-GB"/>
              </w:rPr>
              <m:t>E</m:t>
            </m:r>
          </m:e>
          <m:sub>
            <m:r>
              <w:rPr>
                <w:rFonts w:ascii="Cambria Math" w:eastAsiaTheme="minorEastAsia" w:hAnsi="Cambria Math" w:cstheme="minorHAnsi"/>
                <w:lang w:val="en-GB"/>
              </w:rPr>
              <m:t>a</m:t>
            </m:r>
          </m:sub>
        </m:sSub>
        <m:r>
          <w:rPr>
            <w:rFonts w:ascii="Cambria Math" w:eastAsiaTheme="minorEastAsia" w:hAnsi="Cambria Math" w:cstheme="minorHAnsi"/>
            <w:lang w:val="en-GB"/>
          </w:rPr>
          <m:t xml:space="preserve">  </m:t>
        </m:r>
      </m:oMath>
      <w:r w:rsidRPr="00B96A4B">
        <w:rPr>
          <w:rFonts w:eastAsiaTheme="minorEastAsia" w:cstheme="minorHAnsi"/>
          <w:lang w:val="en-GB"/>
        </w:rPr>
        <w:t>[J]</w:t>
      </w:r>
      <w:r>
        <w:rPr>
          <w:rFonts w:eastAsiaTheme="minorEastAsia" w:cstheme="minorHAnsi"/>
          <w:lang w:val="en-GB"/>
        </w:rPr>
        <w:t xml:space="preserve"> </w:t>
      </w:r>
      <w:r w:rsidRPr="00DF116A">
        <w:rPr>
          <w:rFonts w:eastAsiaTheme="minorEastAsia" w:cstheme="minorHAnsi"/>
          <w:lang w:val="en-GB"/>
        </w:rPr>
        <w:t>is the activation energy of the reaction</w:t>
      </w:r>
      <w:r>
        <w:rPr>
          <w:rFonts w:eastAsiaTheme="minorEastAsia" w:cstheme="minorHAnsi"/>
          <w:lang w:val="en-GB"/>
        </w:rPr>
        <w:t>,</w:t>
      </w:r>
      <w:r w:rsidRPr="00B96A4B">
        <w:rPr>
          <w:rFonts w:ascii="Cambria Math" w:eastAsiaTheme="minorEastAsia" w:hAnsi="Cambria Math" w:cstheme="minorHAnsi"/>
          <w:i/>
          <w:lang w:val="en-GB"/>
        </w:rPr>
        <w:t xml:space="preserve"> </w:t>
      </w:r>
      <m:oMath>
        <m:r>
          <w:rPr>
            <w:rFonts w:ascii="Cambria Math" w:eastAsiaTheme="minorEastAsia" w:hAnsi="Cambria Math" w:cstheme="minorHAnsi"/>
            <w:lang w:val="en-GB"/>
          </w:rPr>
          <m:t>R</m:t>
        </m:r>
      </m:oMath>
      <w:r>
        <w:rPr>
          <w:rFonts w:eastAsiaTheme="minorEastAsia" w:cstheme="minorHAnsi"/>
          <w:lang w:val="en-GB"/>
        </w:rPr>
        <w:t xml:space="preserve"> </w:t>
      </w:r>
      <w:r w:rsidRPr="00B96A4B">
        <w:rPr>
          <w:rFonts w:eastAsiaTheme="minorEastAsia" w:cstheme="minorHAnsi"/>
          <w:lang w:val="en-GB"/>
        </w:rPr>
        <w:tab/>
      </w:r>
      <w:r>
        <w:rPr>
          <w:rFonts w:eastAsiaTheme="minorEastAsia" w:cstheme="minorHAnsi"/>
          <w:lang w:val="en-GB"/>
        </w:rPr>
        <w:t xml:space="preserve"> </w:t>
      </w:r>
      <w:r w:rsidRPr="00B96A4B">
        <w:rPr>
          <w:rFonts w:eastAsiaTheme="minorEastAsia" w:cstheme="minorHAnsi"/>
          <w:lang w:val="en-GB"/>
        </w:rPr>
        <w:t>[J/(mol*K)] represents the ideal gas constant</w:t>
      </w:r>
      <w:r>
        <w:rPr>
          <w:rFonts w:eastAsiaTheme="minorEastAsia" w:cstheme="minorHAnsi"/>
          <w:lang w:val="en-GB"/>
        </w:rPr>
        <w:t xml:space="preserve"> and </w:t>
      </w:r>
      <m:oMath>
        <m:r>
          <w:rPr>
            <w:rFonts w:ascii="Cambria Math" w:eastAsiaTheme="minorEastAsia" w:hAnsi="Cambria Math" w:cstheme="minorHAnsi"/>
            <w:lang w:val="en-GB"/>
          </w:rPr>
          <m:t>T</m:t>
        </m:r>
      </m:oMath>
      <w:r w:rsidRPr="00B96A4B">
        <w:rPr>
          <w:rFonts w:eastAsiaTheme="minorEastAsia" w:cstheme="minorHAnsi"/>
          <w:lang w:val="en-GB"/>
        </w:rPr>
        <w:t xml:space="preserve"> [K] is the temperature of the reactive environment.</w:t>
      </w:r>
    </w:p>
    <w:p w14:paraId="0636B784" w14:textId="5F9180C7" w:rsidR="00453E24" w:rsidRDefault="00E70D8C" w:rsidP="00453E24">
      <w:pPr>
        <w:pStyle w:val="CETheadingx"/>
      </w:pPr>
      <w:r>
        <w:t>Parameters estimation</w:t>
      </w:r>
    </w:p>
    <w:p w14:paraId="23DA1E68" w14:textId="3955FB9F" w:rsidR="00E70D8C" w:rsidRPr="005702AC" w:rsidRDefault="00847272" w:rsidP="004F5489">
      <w:pPr>
        <w:pStyle w:val="CETBodytext"/>
        <w:rPr>
          <w:rFonts w:cstheme="minorHAnsi"/>
          <w:lang w:val="en-GB"/>
        </w:rPr>
      </w:pPr>
      <w:r>
        <w:t xml:space="preserve">The model </w:t>
      </w:r>
      <w:r w:rsidR="00096333">
        <w:t>was calibrated</w:t>
      </w:r>
      <w:r>
        <w:t xml:space="preserve"> on </w:t>
      </w:r>
      <w:r w:rsidR="00A77E06">
        <w:t>14</w:t>
      </w:r>
      <w:r w:rsidR="007A4ABB">
        <w:t xml:space="preserve"> independent</w:t>
      </w:r>
      <w:r w:rsidRPr="00DF116A">
        <w:rPr>
          <w:rFonts w:cstheme="minorHAnsi"/>
          <w:lang w:val="en-GB"/>
        </w:rPr>
        <w:t xml:space="preserve"> </w:t>
      </w:r>
      <w:r w:rsidR="007A4ABB">
        <w:rPr>
          <w:rFonts w:cstheme="minorHAnsi"/>
          <w:lang w:val="en-GB"/>
        </w:rPr>
        <w:t xml:space="preserve">fed-batch </w:t>
      </w:r>
      <w:r>
        <w:rPr>
          <w:rFonts w:cstheme="minorHAnsi"/>
          <w:lang w:val="en-GB"/>
        </w:rPr>
        <w:t>industrial fermentation</w:t>
      </w:r>
      <w:r w:rsidR="007A4ABB">
        <w:rPr>
          <w:rFonts w:cstheme="minorHAnsi"/>
          <w:lang w:val="en-GB"/>
        </w:rPr>
        <w:t xml:space="preserve">s carried out in production-scale bioreactors </w:t>
      </w:r>
      <w:r w:rsidR="007A4ABB" w:rsidRPr="007A4ABB">
        <w:rPr>
          <w:rFonts w:cstheme="minorHAnsi"/>
        </w:rPr>
        <w:t>under the same nominal operating protocol.</w:t>
      </w:r>
      <w:r w:rsidR="00096333">
        <w:rPr>
          <w:rFonts w:cstheme="minorHAnsi"/>
          <w:lang w:val="en-GB"/>
        </w:rPr>
        <w:t xml:space="preserve"> </w:t>
      </w:r>
      <w:r w:rsidR="007A4ABB">
        <w:rPr>
          <w:rFonts w:cstheme="minorHAnsi"/>
          <w:lang w:val="en-GB"/>
        </w:rPr>
        <w:t>F</w:t>
      </w:r>
      <w:r w:rsidR="007A4ABB" w:rsidRPr="007A4ABB">
        <w:rPr>
          <w:rFonts w:cstheme="minorHAnsi"/>
          <w:lang w:val="en-GB"/>
        </w:rPr>
        <w:t xml:space="preserve">or each batch, biomass, glycerol, soybean oil and product concentrations were measured over time with a sampling frequency of approximately </w:t>
      </w:r>
      <w:r w:rsidR="007A4ABB">
        <w:rPr>
          <w:rFonts w:cstheme="minorHAnsi"/>
          <w:lang w:val="en-GB"/>
        </w:rPr>
        <w:t xml:space="preserve">10 </w:t>
      </w:r>
      <w:r w:rsidR="007A4ABB" w:rsidRPr="007A4ABB">
        <w:rPr>
          <w:rFonts w:cstheme="minorHAnsi"/>
          <w:lang w:val="en-GB"/>
        </w:rPr>
        <w:t xml:space="preserve">h, together with the recorded hourly feed rates of each substrate. </w:t>
      </w:r>
      <w:r w:rsidR="00B7301A" w:rsidRPr="00B7301A">
        <w:rPr>
          <w:rFonts w:cstheme="minorHAnsi"/>
        </w:rPr>
        <w:t>Owing to a confidentiality agreement with the industrial partner</w:t>
      </w:r>
      <w:r w:rsidR="00B7301A">
        <w:rPr>
          <w:rFonts w:cstheme="minorHAnsi"/>
        </w:rPr>
        <w:t xml:space="preserve"> </w:t>
      </w:r>
      <w:r w:rsidR="00B7301A" w:rsidRPr="00B7301A">
        <w:rPr>
          <w:rFonts w:cstheme="minorHAnsi"/>
        </w:rPr>
        <w:t>further details of the process from which the datasets originate cannot be disclosed</w:t>
      </w:r>
      <w:r w:rsidR="00AC6240">
        <w:rPr>
          <w:rFonts w:cstheme="minorHAnsi"/>
        </w:rPr>
        <w:t>.</w:t>
      </w:r>
      <w:r w:rsidR="00B7301A">
        <w:rPr>
          <w:rFonts w:cstheme="minorHAnsi"/>
        </w:rPr>
        <w:t xml:space="preserve"> </w:t>
      </w:r>
      <w:r w:rsidR="00B7301A" w:rsidRPr="00B7301A">
        <w:rPr>
          <w:rFonts w:cstheme="minorHAnsi"/>
        </w:rPr>
        <w:t xml:space="preserve"> </w:t>
      </w:r>
      <w:r w:rsidR="00315E00">
        <w:rPr>
          <w:rFonts w:cstheme="minorHAnsi"/>
          <w:lang w:val="en-GB"/>
        </w:rPr>
        <w:t xml:space="preserve"> It should be pointed out that t</w:t>
      </w:r>
      <w:r w:rsidR="00FD3C4D">
        <w:rPr>
          <w:rFonts w:cstheme="minorHAnsi"/>
          <w:lang w:val="en-GB"/>
        </w:rPr>
        <w:t xml:space="preserve">his process, and therefore the datasets representing it, </w:t>
      </w:r>
      <w:r w:rsidR="00315E00">
        <w:rPr>
          <w:rFonts w:cstheme="minorHAnsi"/>
          <w:lang w:val="en-GB"/>
        </w:rPr>
        <w:t>is characterized</w:t>
      </w:r>
      <w:r w:rsidR="00FD3C4D">
        <w:rPr>
          <w:rFonts w:cstheme="minorHAnsi"/>
          <w:lang w:val="en-GB"/>
        </w:rPr>
        <w:t xml:space="preserve"> </w:t>
      </w:r>
      <w:r w:rsidR="00C762F8">
        <w:rPr>
          <w:rFonts w:cstheme="minorHAnsi"/>
          <w:lang w:val="en-GB"/>
        </w:rPr>
        <w:t xml:space="preserve">by </w:t>
      </w:r>
      <w:r w:rsidR="00FD3C4D">
        <w:rPr>
          <w:rFonts w:cstheme="minorHAnsi"/>
          <w:lang w:val="en-GB"/>
        </w:rPr>
        <w:t xml:space="preserve">a strong intrinsic variability. </w:t>
      </w:r>
      <w:r w:rsidR="00C53D14">
        <w:t>T</w:t>
      </w:r>
      <w:r w:rsidR="009E1B88" w:rsidRPr="004F5489">
        <w:t>he model parameters</w:t>
      </w:r>
      <w:r w:rsidR="00FD3C4D">
        <w:t xml:space="preserve">, indeed, </w:t>
      </w:r>
      <w:r w:rsidR="00D263F9">
        <w:t>were fitted on every dataset and</w:t>
      </w:r>
      <w:r w:rsidR="009E1B88" w:rsidRPr="004F5489">
        <w:t xml:space="preserve"> iteratively refined to reduce the discrepancy between the simulated results and the experimental observations, achieving an optimal fit.</w:t>
      </w:r>
    </w:p>
    <w:p w14:paraId="604AE6D4" w14:textId="18732E2E" w:rsidR="0050112A" w:rsidRDefault="00315E00" w:rsidP="004F5489">
      <w:pPr>
        <w:pStyle w:val="CETBodytext"/>
        <w:rPr>
          <w:rFonts w:eastAsiaTheme="minorEastAsia" w:cstheme="minorHAnsi"/>
          <w:lang w:val="en-GB"/>
        </w:rPr>
      </w:pPr>
      <w:r>
        <w:t>Overall, t</w:t>
      </w:r>
      <w:r w:rsidR="004F5489" w:rsidRPr="004F5489">
        <w:t xml:space="preserve">he model presents </w:t>
      </w:r>
      <w:r w:rsidR="00D27ABC">
        <w:t>15</w:t>
      </w:r>
      <w:r w:rsidR="004F5489" w:rsidRPr="004F5489">
        <w:t xml:space="preserve"> parameters. </w:t>
      </w:r>
      <w:r w:rsidR="00BC6123" w:rsidRPr="00BC6123">
        <w:t>To minimize th</w:t>
      </w:r>
      <w:r w:rsidR="00D27ABC">
        <w:t>e</w:t>
      </w:r>
      <w:r w:rsidR="00BC6123" w:rsidRPr="00BC6123">
        <w:t xml:space="preserve"> number</w:t>
      </w:r>
      <w:r w:rsidR="00D27ABC">
        <w:t xml:space="preserve"> of fitted ones</w:t>
      </w:r>
      <w:r w:rsidR="00BC6123" w:rsidRPr="00BC6123">
        <w:t xml:space="preserve"> and increase the robustness of the model, some of </w:t>
      </w:r>
      <w:r w:rsidR="00D263F9">
        <w:t>them</w:t>
      </w:r>
      <w:r w:rsidR="00BC6123" w:rsidRPr="00BC6123">
        <w:t xml:space="preserve"> were fixed using different strategies</w:t>
      </w:r>
      <w:r w:rsidR="004F5489">
        <w:t>.</w:t>
      </w:r>
      <w:r w:rsidR="003A7260">
        <w:t xml:space="preserve"> First</w:t>
      </w:r>
      <w:r w:rsidR="00BC6123">
        <w:t>,</w:t>
      </w:r>
      <w:r w:rsidR="003A7260">
        <w:t xml:space="preserve"> </w:t>
      </w:r>
      <w:r w:rsidR="00CB0B97">
        <w:t xml:space="preserve">a sensitivity analysis was performed, </w:t>
      </w:r>
      <w:r w:rsidR="003A7260">
        <w:t xml:space="preserve">revealing that </w:t>
      </w:r>
      <m:oMath>
        <m:sSub>
          <m:sSubPr>
            <m:ctrlPr>
              <w:rPr>
                <w:rFonts w:ascii="Cambria Math" w:hAnsi="Cambria Math"/>
              </w:rPr>
            </m:ctrlPr>
          </m:sSubPr>
          <m:e>
            <m:r>
              <w:rPr>
                <w:rFonts w:ascii="Cambria Math" w:hAnsi="Cambria Math"/>
              </w:rPr>
              <m:t>P</m:t>
            </m:r>
          </m:e>
          <m:sub>
            <m:r>
              <w:rPr>
                <w:rFonts w:ascii="Cambria Math" w:hAnsi="Cambria Math"/>
              </w:rPr>
              <m:t>ix</m:t>
            </m:r>
          </m:sub>
        </m:sSub>
      </m:oMath>
      <w:r w:rsidR="00EA1E26">
        <w:t xml:space="preserve"> and </w:t>
      </w:r>
      <m:oMath>
        <m:sSub>
          <m:sSubPr>
            <m:ctrlPr>
              <w:rPr>
                <w:rFonts w:ascii="Cambria Math" w:hAnsi="Cambria Math"/>
              </w:rPr>
            </m:ctrlPr>
          </m:sSubPr>
          <m:e>
            <m:r>
              <w:rPr>
                <w:rFonts w:ascii="Cambria Math" w:hAnsi="Cambria Math"/>
              </w:rPr>
              <m:t>P</m:t>
            </m:r>
          </m:e>
          <m:sub>
            <m:r>
              <w:rPr>
                <w:rFonts w:ascii="Cambria Math" w:hAnsi="Cambria Math"/>
              </w:rPr>
              <m:t>xmax</m:t>
            </m:r>
          </m:sub>
        </m:sSub>
      </m:oMath>
      <w:r w:rsidR="003A7260">
        <w:t xml:space="preserve">, </w:t>
      </w:r>
      <w:r w:rsidR="00CB0B97">
        <w:t xml:space="preserve"> do not significantly influence the variation of the model error.</w:t>
      </w:r>
      <w:r w:rsidR="00EF2D5F">
        <w:t xml:space="preserve"> </w:t>
      </w:r>
      <w:r w:rsidR="0050112A">
        <w:rPr>
          <w:bCs/>
          <w:lang w:val="en-GB"/>
        </w:rPr>
        <w:t>Taking into account these results and the physical meaning of the parameters</w:t>
      </w:r>
      <w:r w:rsidR="00BC6123">
        <w:rPr>
          <w:bCs/>
          <w:lang w:val="en-GB"/>
        </w:rPr>
        <w:t>,</w:t>
      </w:r>
      <w:r w:rsidR="0050112A">
        <w:rPr>
          <w:bCs/>
          <w:lang w:val="en-GB"/>
        </w:rPr>
        <w:t xml:space="preserve"> </w:t>
      </w:r>
      <m:oMath>
        <m:sSub>
          <m:sSubPr>
            <m:ctrlPr>
              <w:rPr>
                <w:rFonts w:ascii="Cambria Math" w:hAnsi="Cambria Math"/>
              </w:rPr>
            </m:ctrlPr>
          </m:sSubPr>
          <m:e>
            <m:r>
              <w:rPr>
                <w:rFonts w:ascii="Cambria Math" w:hAnsi="Cambria Math"/>
              </w:rPr>
              <m:t>P</m:t>
            </m:r>
          </m:e>
          <m:sub>
            <m:r>
              <w:rPr>
                <w:rFonts w:ascii="Cambria Math" w:hAnsi="Cambria Math"/>
              </w:rPr>
              <m:t>ix</m:t>
            </m:r>
          </m:sub>
        </m:sSub>
      </m:oMath>
      <w:r w:rsidR="0050112A">
        <w:t xml:space="preserve"> and </w:t>
      </w:r>
      <m:oMath>
        <m:sSub>
          <m:sSubPr>
            <m:ctrlPr>
              <w:rPr>
                <w:rFonts w:ascii="Cambria Math" w:hAnsi="Cambria Math"/>
              </w:rPr>
            </m:ctrlPr>
          </m:sSubPr>
          <m:e>
            <m:r>
              <w:rPr>
                <w:rFonts w:ascii="Cambria Math" w:hAnsi="Cambria Math"/>
              </w:rPr>
              <m:t>P</m:t>
            </m:r>
          </m:e>
          <m:sub>
            <m:r>
              <w:rPr>
                <w:rFonts w:ascii="Cambria Math" w:hAnsi="Cambria Math"/>
              </w:rPr>
              <m:t>xmax</m:t>
            </m:r>
          </m:sub>
        </m:sSub>
      </m:oMath>
      <w:r w:rsidR="0050112A">
        <w:t xml:space="preserve"> were fixed at their average value. </w:t>
      </w:r>
      <w:r w:rsidR="00BA4FB9">
        <w:t xml:space="preserve">The </w:t>
      </w:r>
      <w:r w:rsidR="00BA4FB9">
        <w:lastRenderedPageBreak/>
        <w:t xml:space="preserve">value of the thermal degradation constant </w:t>
      </w:r>
      <m:oMath>
        <m:r>
          <w:rPr>
            <w:rFonts w:ascii="Cambria Math" w:eastAsiaTheme="minorEastAsia" w:hAnsi="Cambria Math" w:cstheme="minorHAnsi"/>
          </w:rPr>
          <m:t>k</m:t>
        </m:r>
      </m:oMath>
      <w:r w:rsidR="00BA4FB9">
        <w:t xml:space="preserve"> was also fixed at the average between values reported in literature </w:t>
      </w:r>
      <w:sdt>
        <w:sdtPr>
          <w:rPr>
            <w:rFonts w:cs="Arial"/>
            <w:color w:val="000000"/>
          </w:rPr>
          <w:tag w:val="MENDELEY_CITATION_v3_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"/>
          <w:id w:val="17052468"/>
          <w:placeholder>
            <w:docPart w:val="DefaultPlaceholder_-1854013440"/>
          </w:placeholder>
        </w:sdtPr>
        <w:sdtContent>
          <w:r w:rsidR="00994DD1" w:rsidRPr="00994DD1">
            <w:rPr>
              <w:rFonts w:cs="Arial"/>
              <w:color w:val="000000"/>
            </w:rPr>
            <w:t>(</w:t>
          </w:r>
          <w:proofErr w:type="spellStart"/>
          <w:r w:rsidR="00994DD1" w:rsidRPr="00994DD1">
            <w:rPr>
              <w:rFonts w:cs="Arial"/>
              <w:color w:val="000000"/>
            </w:rPr>
            <w:t>Bersanetti</w:t>
          </w:r>
          <w:proofErr w:type="spellEnd"/>
          <w:r w:rsidR="00994DD1" w:rsidRPr="00994DD1">
            <w:rPr>
              <w:rFonts w:cs="Arial"/>
              <w:color w:val="000000"/>
            </w:rPr>
            <w:t xml:space="preserve"> et al., 2005)</w:t>
          </w:r>
        </w:sdtContent>
      </w:sdt>
      <w:r w:rsidR="00A610BB">
        <w:rPr>
          <w:rFonts w:cs="Arial"/>
          <w:color w:val="000000"/>
        </w:rPr>
        <w:t>.</w:t>
      </w:r>
    </w:p>
    <w:p w14:paraId="61B72466" w14:textId="52A1C62A" w:rsidR="00A057D5" w:rsidRDefault="00BC6123" w:rsidP="004F5489">
      <w:pPr>
        <w:pStyle w:val="CETBodytext"/>
        <w:rPr>
          <w:rFonts w:eastAsiaTheme="minorEastAsia" w:cstheme="minorHAnsi"/>
          <w:lang w:val="en-GB"/>
        </w:rPr>
      </w:pPr>
      <w:r w:rsidRPr="00BC6123">
        <w:rPr>
          <w:rFonts w:eastAsiaTheme="minorEastAsia" w:cstheme="minorHAnsi"/>
          <w:lang w:val="en-GB"/>
        </w:rPr>
        <w:t>In order to further decrease the number of unconstrained parameters,</w:t>
      </w:r>
      <w:r w:rsidR="00A610BB">
        <w:rPr>
          <w:rFonts w:eastAsiaTheme="minorEastAsia" w:cstheme="minorHAnsi"/>
          <w:lang w:val="en-GB"/>
        </w:rPr>
        <w:t xml:space="preserve"> </w:t>
      </w:r>
      <m:oMath>
        <m:sSub>
          <m:sSubPr>
            <m:ctrlPr>
              <w:rPr>
                <w:rFonts w:ascii="Cambria Math" w:hAnsi="Cambria Math" w:cstheme="minorHAnsi"/>
                <w:i/>
                <w:lang w:val="en-GB"/>
              </w:rPr>
            </m:ctrlPr>
          </m:sSubPr>
          <m:e>
            <m:r>
              <w:rPr>
                <w:rFonts w:ascii="Cambria Math" w:hAnsi="Cambria Math" w:cstheme="minorHAnsi"/>
                <w:lang w:val="en-GB"/>
              </w:rPr>
              <m:t>β</m:t>
            </m:r>
          </m:e>
          <m:sub>
            <m:r>
              <w:rPr>
                <w:rFonts w:ascii="Cambria Math" w:hAnsi="Cambria Math" w:cstheme="minorHAnsi"/>
                <w:lang w:val="en-GB"/>
              </w:rPr>
              <m:t>1</m:t>
            </m:r>
          </m:sub>
        </m:sSub>
        <m:sSub>
          <m:sSubPr>
            <m:ctrlPr>
              <w:rPr>
                <w:rFonts w:ascii="Cambria Math" w:hAnsi="Cambria Math" w:cstheme="minorHAnsi"/>
                <w:i/>
                <w:lang w:val="en-GB"/>
              </w:rPr>
            </m:ctrlPr>
          </m:sSubPr>
          <m:e>
            <m:r>
              <w:rPr>
                <w:rFonts w:ascii="Cambria Math" w:hAnsi="Cambria Math" w:cstheme="minorHAnsi"/>
                <w:lang w:val="en-GB"/>
              </w:rPr>
              <m:t xml:space="preserve"> </m:t>
            </m:r>
            <m:r>
              <m:rPr>
                <m:sty m:val="p"/>
              </m:rPr>
              <w:rPr>
                <w:rFonts w:ascii="Cambria Math" w:hAnsi="Cambria Math" w:cstheme="minorHAnsi"/>
                <w:lang w:val="en-GB"/>
              </w:rPr>
              <m:t xml:space="preserve">, </m:t>
            </m:r>
            <m:r>
              <w:rPr>
                <w:rFonts w:ascii="Cambria Math" w:hAnsi="Cambria Math" w:cstheme="minorHAnsi"/>
                <w:lang w:val="en-GB"/>
              </w:rPr>
              <m:t>β</m:t>
            </m:r>
          </m:e>
          <m:sub>
            <m:r>
              <w:rPr>
                <w:rFonts w:ascii="Cambria Math" w:hAnsi="Cambria Math" w:cstheme="minorHAnsi"/>
                <w:lang w:val="en-GB"/>
              </w:rPr>
              <m:t>2</m:t>
            </m:r>
          </m:sub>
        </m:sSub>
      </m:oMath>
      <w:r w:rsidR="00A610BB">
        <w:rPr>
          <w:rFonts w:eastAsiaTheme="minorEastAsia" w:cstheme="minorHAnsi"/>
          <w:lang w:val="en-GB"/>
        </w:rPr>
        <w:t>,</w:t>
      </w:r>
      <w:r w:rsidRPr="00BC6123">
        <w:rPr>
          <w:rFonts w:eastAsiaTheme="minorEastAsia" w:cstheme="minorHAnsi"/>
          <w:lang w:val="en-GB"/>
        </w:rPr>
        <w:t xml:space="preserve"> </w:t>
      </w:r>
      <m:oMath>
        <m:sSub>
          <m:sSubPr>
            <m:ctrlPr>
              <w:rPr>
                <w:rFonts w:ascii="Cambria Math" w:hAnsi="Cambria Math" w:cstheme="minorHAnsi"/>
                <w:i/>
                <w:lang w:val="en-GB"/>
              </w:rPr>
            </m:ctrlPr>
          </m:sSubPr>
          <m:e>
            <m:r>
              <w:rPr>
                <w:rFonts w:ascii="Cambria Math" w:hAnsi="Cambria Math" w:cstheme="minorHAnsi"/>
                <w:lang w:val="en-GB"/>
              </w:rPr>
              <m:t>δ</m:t>
            </m:r>
          </m:e>
          <m:sub>
            <m:r>
              <w:rPr>
                <w:rFonts w:ascii="Cambria Math" w:hAnsi="Cambria Math" w:cstheme="minorHAnsi"/>
                <w:lang w:val="en-GB"/>
              </w:rPr>
              <m:t>1</m:t>
            </m:r>
          </m:sub>
        </m:sSub>
        <m:sSub>
          <m:sSubPr>
            <m:ctrlPr>
              <w:rPr>
                <w:rFonts w:ascii="Cambria Math" w:hAnsi="Cambria Math" w:cstheme="minorHAnsi"/>
                <w:i/>
                <w:lang w:val="en-GB"/>
              </w:rPr>
            </m:ctrlPr>
          </m:sSubPr>
          <m:e>
            <m:r>
              <w:rPr>
                <w:rFonts w:ascii="Cambria Math" w:hAnsi="Cambria Math" w:cstheme="minorHAnsi"/>
                <w:lang w:val="en-GB"/>
              </w:rPr>
              <m:t xml:space="preserve"> </m:t>
            </m:r>
            <m:r>
              <m:rPr>
                <m:sty m:val="p"/>
              </m:rPr>
              <w:rPr>
                <w:rFonts w:ascii="Cambria Math" w:hAnsi="Cambria Math" w:cstheme="minorHAnsi"/>
                <w:lang w:val="en-GB"/>
              </w:rPr>
              <m:t>and</m:t>
            </m:r>
            <m:r>
              <w:rPr>
                <w:rFonts w:ascii="Cambria Math" w:hAnsi="Cambria Math" w:cstheme="minorHAnsi"/>
                <w:lang w:val="en-GB"/>
              </w:rPr>
              <m:t xml:space="preserve"> δ</m:t>
            </m:r>
          </m:e>
          <m:sub>
            <m:r>
              <w:rPr>
                <w:rFonts w:ascii="Cambria Math" w:hAnsi="Cambria Math" w:cstheme="minorHAnsi"/>
                <w:lang w:val="en-GB"/>
              </w:rPr>
              <m:t>2</m:t>
            </m:r>
          </m:sub>
        </m:sSub>
      </m:oMath>
      <w:r w:rsidRPr="00BC6123">
        <w:rPr>
          <w:rFonts w:eastAsiaTheme="minorEastAsia" w:cstheme="minorHAnsi"/>
          <w:lang w:val="en-GB"/>
        </w:rPr>
        <w:t xml:space="preserve"> were directly estimated</w:t>
      </w:r>
      <w:r w:rsidR="00A610BB">
        <w:rPr>
          <w:rFonts w:eastAsiaTheme="minorEastAsia" w:cstheme="minorHAnsi"/>
          <w:lang w:val="en-GB"/>
        </w:rPr>
        <w:t xml:space="preserve"> and fixed</w:t>
      </w:r>
      <w:r w:rsidRPr="00BC6123">
        <w:rPr>
          <w:rFonts w:eastAsiaTheme="minorEastAsia" w:cstheme="minorHAnsi"/>
          <w:lang w:val="en-GB"/>
        </w:rPr>
        <w:t xml:space="preserve"> through data analysis</w:t>
      </w:r>
      <w:r w:rsidR="00D25E0B">
        <w:rPr>
          <w:rFonts w:eastAsiaTheme="minorEastAsia" w:cstheme="minorHAnsi"/>
          <w:lang w:val="en-GB"/>
        </w:rPr>
        <w:t xml:space="preserve">. </w:t>
      </w:r>
      <w:r w:rsidR="0050112A" w:rsidRPr="00DF116A">
        <w:rPr>
          <w:rFonts w:eastAsiaTheme="minorEastAsia" w:cstheme="minorHAnsi"/>
          <w:lang w:val="en-GB"/>
        </w:rPr>
        <w:t>Th</w:t>
      </w:r>
      <w:r w:rsidR="0050112A">
        <w:rPr>
          <w:rFonts w:eastAsiaTheme="minorEastAsia" w:cstheme="minorHAnsi"/>
          <w:lang w:val="en-GB"/>
        </w:rPr>
        <w:t>ese</w:t>
      </w:r>
      <w:r w:rsidR="0050112A" w:rsidRPr="00DF116A">
        <w:rPr>
          <w:rFonts w:eastAsiaTheme="minorEastAsia" w:cstheme="minorHAnsi"/>
          <w:lang w:val="en-GB"/>
        </w:rPr>
        <w:t xml:space="preserve"> assumption</w:t>
      </w:r>
      <w:r w:rsidR="00EF2D5F">
        <w:rPr>
          <w:rFonts w:eastAsiaTheme="minorEastAsia" w:cstheme="minorHAnsi"/>
          <w:lang w:val="en-GB"/>
        </w:rPr>
        <w:t>s</w:t>
      </w:r>
      <w:r w:rsidR="0050112A" w:rsidRPr="00DF116A">
        <w:rPr>
          <w:rFonts w:eastAsiaTheme="minorEastAsia" w:cstheme="minorHAnsi"/>
          <w:lang w:val="en-GB"/>
        </w:rPr>
        <w:t xml:space="preserve"> further reduced model complexity</w:t>
      </w:r>
      <w:r w:rsidR="0050112A">
        <w:rPr>
          <w:rFonts w:eastAsiaTheme="minorEastAsia" w:cstheme="minorHAnsi"/>
          <w:lang w:val="en-GB"/>
        </w:rPr>
        <w:t xml:space="preserve"> and unconstrained parameters number,</w:t>
      </w:r>
      <w:r w:rsidR="0050112A" w:rsidRPr="00DF116A">
        <w:rPr>
          <w:rFonts w:eastAsiaTheme="minorEastAsia" w:cstheme="minorHAnsi"/>
          <w:lang w:val="en-GB"/>
        </w:rPr>
        <w:t xml:space="preserve"> while maintaining its biological plausibility</w:t>
      </w:r>
      <w:r w:rsidR="00C370D4">
        <w:rPr>
          <w:rFonts w:eastAsiaTheme="minorEastAsia" w:cstheme="minorHAnsi"/>
          <w:lang w:val="en-GB"/>
        </w:rPr>
        <w:t>.</w:t>
      </w:r>
    </w:p>
    <w:p w14:paraId="5F7C751C" w14:textId="32A2D974" w:rsidR="00E21F2B" w:rsidRDefault="00A057D5" w:rsidP="00A057D5">
      <w:pPr>
        <w:pStyle w:val="CETBodytext"/>
      </w:pPr>
      <w:r>
        <w:t xml:space="preserve">The 7 fixed parameters and their values are presented in Table 1. </w:t>
      </w:r>
    </w:p>
    <w:p w14:paraId="6A4ECB03" w14:textId="0F93A653" w:rsidR="00A057D5" w:rsidRPr="008413CF" w:rsidRDefault="00A057D5" w:rsidP="00A057D5">
      <w:pPr>
        <w:pStyle w:val="CETTabletitle"/>
        <w:rPr>
          <w:lang w:val="en-US"/>
        </w:rPr>
      </w:pPr>
      <w:r w:rsidRPr="008413CF">
        <w:rPr>
          <w:lang w:val="en-US"/>
        </w:rPr>
        <w:t xml:space="preserve">Table 1: </w:t>
      </w:r>
      <w:r>
        <w:rPr>
          <w:lang w:val="en-US"/>
        </w:rPr>
        <w:t>Fixed model parameters</w:t>
      </w:r>
      <w:r w:rsidR="00B907CA">
        <w:rPr>
          <w:lang w:val="en-US"/>
        </w:rPr>
        <w:t>.</w:t>
      </w:r>
    </w:p>
    <w:tbl>
      <w:tblPr>
        <w:tblW w:w="0" w:type="auto"/>
        <w:tblBorders>
          <w:top w:val="single" w:sz="12" w:space="0" w:color="008000"/>
          <w:bottom w:val="single" w:sz="12" w:space="0" w:color="008000"/>
        </w:tblBorders>
        <w:shd w:val="clear" w:color="auto" w:fill="FFFFFF"/>
        <w:tblCellMar>
          <w:left w:w="0" w:type="dxa"/>
          <w:right w:w="0" w:type="dxa"/>
        </w:tblCellMar>
        <w:tblLook w:val="00A0" w:firstRow="1" w:lastRow="0" w:firstColumn="1" w:lastColumn="0" w:noHBand="0" w:noVBand="0"/>
      </w:tblPr>
      <w:tblGrid>
        <w:gridCol w:w="1134"/>
        <w:gridCol w:w="1134"/>
        <w:gridCol w:w="1134"/>
        <w:gridCol w:w="1134"/>
        <w:gridCol w:w="1276"/>
        <w:gridCol w:w="992"/>
        <w:gridCol w:w="1276"/>
      </w:tblGrid>
      <w:tr w:rsidR="00A057D5" w:rsidRPr="008413CF" w14:paraId="65392E86" w14:textId="77777777" w:rsidTr="002D3982">
        <w:tc>
          <w:tcPr>
            <w:tcW w:w="1134" w:type="dxa"/>
            <w:tcBorders>
              <w:top w:val="single" w:sz="12" w:space="0" w:color="008000"/>
              <w:bottom w:val="single" w:sz="6" w:space="0" w:color="008000"/>
            </w:tcBorders>
            <w:shd w:val="clear" w:color="auto" w:fill="FFFFFF"/>
            <w:vAlign w:val="center"/>
          </w:tcPr>
          <w:p w14:paraId="6BCF3417" w14:textId="5C47C965" w:rsidR="00A057D5" w:rsidRPr="008413CF" w:rsidRDefault="00000000" w:rsidP="008C7EF7">
            <w:pPr>
              <w:pStyle w:val="CETBodytext"/>
              <w:jc w:val="center"/>
            </w:pPr>
            <m:oMathPara>
              <m:oMath>
                <m:sSub>
                  <m:sSubPr>
                    <m:ctrlPr>
                      <w:rPr>
                        <w:rFonts w:ascii="Cambria Math" w:eastAsiaTheme="minorEastAsia" w:hAnsi="Cambria Math" w:cstheme="minorHAnsi"/>
                        <w:b/>
                        <w:i/>
                        <w:lang w:val="en-GB"/>
                      </w:rPr>
                    </m:ctrlPr>
                  </m:sSubPr>
                  <m:e>
                    <m:r>
                      <m:rPr>
                        <m:sty m:val="bi"/>
                      </m:rPr>
                      <w:rPr>
                        <w:rFonts w:ascii="Cambria Math" w:eastAsiaTheme="minorEastAsia" w:hAnsi="Cambria Math" w:cstheme="minorHAnsi"/>
                        <w:lang w:val="en-GB"/>
                      </w:rPr>
                      <m:t>P</m:t>
                    </m:r>
                  </m:e>
                  <m:sub>
                    <m:r>
                      <m:rPr>
                        <m:sty m:val="bi"/>
                      </m:rPr>
                      <w:rPr>
                        <w:rFonts w:ascii="Cambria Math" w:eastAsiaTheme="minorEastAsia" w:hAnsi="Cambria Math" w:cstheme="minorHAnsi"/>
                        <w:lang w:val="en-GB"/>
                      </w:rPr>
                      <m:t>ix</m:t>
                    </m:r>
                  </m:sub>
                </m:sSub>
                <m:r>
                  <m:rPr>
                    <m:sty m:val="bi"/>
                  </m:rPr>
                  <w:rPr>
                    <w:rFonts w:ascii="Cambria Math" w:eastAsiaTheme="minorEastAsia" w:hAnsi="Cambria Math" w:cstheme="minorHAnsi"/>
                    <w:lang w:val="en-GB"/>
                  </w:rPr>
                  <m:t>[g/L]</m:t>
                </m:r>
              </m:oMath>
            </m:oMathPara>
          </w:p>
        </w:tc>
        <w:tc>
          <w:tcPr>
            <w:tcW w:w="1134" w:type="dxa"/>
            <w:tcBorders>
              <w:top w:val="single" w:sz="12" w:space="0" w:color="008000"/>
              <w:bottom w:val="single" w:sz="6" w:space="0" w:color="008000"/>
            </w:tcBorders>
            <w:shd w:val="clear" w:color="auto" w:fill="FFFFFF"/>
            <w:vAlign w:val="center"/>
          </w:tcPr>
          <w:p w14:paraId="070E35D1" w14:textId="12E85842" w:rsidR="00A057D5" w:rsidRPr="008413CF" w:rsidRDefault="00000000" w:rsidP="008C7EF7">
            <w:pPr>
              <w:pStyle w:val="CETBodytext"/>
              <w:jc w:val="center"/>
            </w:pPr>
            <m:oMathPara>
              <m:oMath>
                <m:sSub>
                  <m:sSubPr>
                    <m:ctrlPr>
                      <w:rPr>
                        <w:rFonts w:ascii="Cambria Math" w:eastAsiaTheme="minorEastAsia" w:hAnsi="Cambria Math" w:cstheme="minorHAnsi"/>
                        <w:b/>
                        <w:i/>
                        <w:lang w:val="en-GB"/>
                      </w:rPr>
                    </m:ctrlPr>
                  </m:sSubPr>
                  <m:e>
                    <m:r>
                      <m:rPr>
                        <m:sty m:val="bi"/>
                      </m:rPr>
                      <w:rPr>
                        <w:rFonts w:ascii="Cambria Math" w:eastAsiaTheme="minorEastAsia" w:hAnsi="Cambria Math" w:cstheme="minorHAnsi"/>
                        <w:lang w:val="en-GB"/>
                      </w:rPr>
                      <m:t>P</m:t>
                    </m:r>
                  </m:e>
                  <m:sub>
                    <m:r>
                      <m:rPr>
                        <m:sty m:val="bi"/>
                      </m:rPr>
                      <w:rPr>
                        <w:rFonts w:ascii="Cambria Math" w:eastAsiaTheme="minorEastAsia" w:hAnsi="Cambria Math" w:cstheme="minorHAnsi"/>
                        <w:lang w:val="en-GB"/>
                      </w:rPr>
                      <m:t>xmax</m:t>
                    </m:r>
                  </m:sub>
                </m:sSub>
                <m:r>
                  <m:rPr>
                    <m:sty m:val="bi"/>
                  </m:rPr>
                  <w:rPr>
                    <w:rFonts w:ascii="Cambria Math" w:eastAsiaTheme="minorEastAsia" w:hAnsi="Cambria Math" w:cstheme="minorHAnsi"/>
                    <w:lang w:val="en-GB"/>
                  </w:rPr>
                  <m:t>[g/L]</m:t>
                </m:r>
              </m:oMath>
            </m:oMathPara>
          </w:p>
        </w:tc>
        <w:tc>
          <w:tcPr>
            <w:tcW w:w="1134" w:type="dxa"/>
            <w:tcBorders>
              <w:top w:val="single" w:sz="12" w:space="0" w:color="008000"/>
              <w:bottom w:val="single" w:sz="6" w:space="0" w:color="008000"/>
            </w:tcBorders>
            <w:shd w:val="clear" w:color="auto" w:fill="FFFFFF"/>
            <w:vAlign w:val="center"/>
          </w:tcPr>
          <w:p w14:paraId="47335649" w14:textId="4E990E3E" w:rsidR="00A057D5" w:rsidRPr="00D3016B" w:rsidRDefault="00A057D5" w:rsidP="008C7EF7">
            <w:pPr>
              <w:pStyle w:val="CETBodytext"/>
              <w:jc w:val="center"/>
              <w:rPr>
                <w:b/>
                <w:bCs/>
              </w:rPr>
            </w:pPr>
            <m:oMathPara>
              <m:oMath>
                <m:r>
                  <m:rPr>
                    <m:sty m:val="bi"/>
                  </m:rPr>
                  <w:rPr>
                    <w:rFonts w:ascii="Cambria Math" w:eastAsiaTheme="minorEastAsia" w:hAnsi="Cambria Math" w:cstheme="minorHAnsi"/>
                  </w:rPr>
                  <m:t xml:space="preserve">k </m:t>
                </m:r>
                <m:d>
                  <m:dPr>
                    <m:begChr m:val="["/>
                    <m:endChr m:val="]"/>
                    <m:ctrlPr>
                      <w:rPr>
                        <w:rFonts w:ascii="Cambria Math" w:eastAsiaTheme="minorEastAsia" w:hAnsi="Cambria Math" w:cstheme="minorHAnsi"/>
                        <w:b/>
                        <w:i/>
                        <w:lang w:val="en-GB"/>
                      </w:rPr>
                    </m:ctrlPr>
                  </m:dPr>
                  <m:e>
                    <m:sSup>
                      <m:sSupPr>
                        <m:ctrlPr>
                          <w:rPr>
                            <w:rFonts w:ascii="Cambria Math" w:eastAsiaTheme="minorEastAsia" w:hAnsi="Cambria Math" w:cstheme="minorHAnsi"/>
                            <w:b/>
                            <w:i/>
                            <w:lang w:val="en-GB"/>
                          </w:rPr>
                        </m:ctrlPr>
                      </m:sSupPr>
                      <m:e>
                        <m:r>
                          <m:rPr>
                            <m:sty m:val="bi"/>
                          </m:rPr>
                          <w:rPr>
                            <w:rFonts w:ascii="Cambria Math" w:eastAsiaTheme="minorEastAsia" w:hAnsi="Cambria Math" w:cstheme="minorHAnsi"/>
                            <w:lang w:val="en-GB"/>
                          </w:rPr>
                          <m:t>h</m:t>
                        </m:r>
                      </m:e>
                      <m:sup>
                        <m:r>
                          <m:rPr>
                            <m:sty m:val="bi"/>
                          </m:rPr>
                          <w:rPr>
                            <w:rFonts w:ascii="Cambria Math" w:eastAsiaTheme="minorEastAsia" w:hAnsi="Cambria Math" w:cstheme="minorHAnsi"/>
                            <w:lang w:val="en-GB"/>
                          </w:rPr>
                          <m:t>-1</m:t>
                        </m:r>
                      </m:sup>
                    </m:sSup>
                  </m:e>
                </m:d>
              </m:oMath>
            </m:oMathPara>
          </w:p>
        </w:tc>
        <w:tc>
          <w:tcPr>
            <w:tcW w:w="1134" w:type="dxa"/>
            <w:tcBorders>
              <w:top w:val="single" w:sz="12" w:space="0" w:color="008000"/>
              <w:bottom w:val="single" w:sz="6" w:space="0" w:color="008000"/>
            </w:tcBorders>
            <w:shd w:val="clear" w:color="auto" w:fill="FFFFFF"/>
            <w:vAlign w:val="center"/>
          </w:tcPr>
          <w:p w14:paraId="178213AD" w14:textId="6679DB4E" w:rsidR="00A057D5" w:rsidRPr="00D3016B" w:rsidRDefault="00000000" w:rsidP="008C7EF7">
            <w:pPr>
              <w:pStyle w:val="CETBodytext"/>
              <w:ind w:right="-1"/>
              <w:jc w:val="center"/>
              <w:rPr>
                <w:rFonts w:cs="Arial"/>
                <w:b/>
                <w:bCs/>
                <w:szCs w:val="18"/>
              </w:rPr>
            </w:pPr>
            <m:oMathPara>
              <m:oMath>
                <m:sSub>
                  <m:sSubPr>
                    <m:ctrlPr>
                      <w:rPr>
                        <w:rFonts w:ascii="Cambria Math" w:hAnsi="Cambria Math" w:cstheme="minorHAnsi"/>
                        <w:b/>
                        <w:bCs/>
                        <w:i/>
                      </w:rPr>
                    </m:ctrlPr>
                  </m:sSubPr>
                  <m:e>
                    <m:r>
                      <m:rPr>
                        <m:sty m:val="bi"/>
                      </m:rPr>
                      <w:rPr>
                        <w:rFonts w:ascii="Cambria Math" w:hAnsi="Cambria Math" w:cstheme="minorHAnsi"/>
                      </w:rPr>
                      <m:t>β</m:t>
                    </m:r>
                  </m:e>
                  <m:sub>
                    <m:r>
                      <m:rPr>
                        <m:sty m:val="bi"/>
                      </m:rPr>
                      <w:rPr>
                        <w:rFonts w:ascii="Cambria Math" w:hAnsi="Cambria Math" w:cstheme="minorHAnsi"/>
                      </w:rPr>
                      <m:t>1</m:t>
                    </m:r>
                  </m:sub>
                </m:sSub>
                <m:r>
                  <m:rPr>
                    <m:sty m:val="bi"/>
                  </m:rPr>
                  <w:rPr>
                    <w:rFonts w:ascii="Cambria Math" w:eastAsiaTheme="minorEastAsia" w:hAnsi="Cambria Math" w:cstheme="minorHAnsi"/>
                    <w:lang w:val="en-GB"/>
                  </w:rPr>
                  <m:t xml:space="preserve"> [</m:t>
                </m:r>
                <m:sSub>
                  <m:sSubPr>
                    <m:ctrlPr>
                      <w:rPr>
                        <w:rFonts w:ascii="Cambria Math" w:eastAsiaTheme="minorEastAsia" w:hAnsi="Cambria Math" w:cstheme="minorHAnsi"/>
                        <w:b/>
                        <w:i/>
                      </w:rPr>
                    </m:ctrlPr>
                  </m:sSubPr>
                  <m:e>
                    <m:r>
                      <m:rPr>
                        <m:sty m:val="bi"/>
                      </m:rPr>
                      <w:rPr>
                        <w:rFonts w:ascii="Cambria Math" w:eastAsiaTheme="minorEastAsia" w:hAnsi="Cambria Math" w:cstheme="minorHAnsi"/>
                      </w:rPr>
                      <m:t>g</m:t>
                    </m:r>
                  </m:e>
                  <m:sub>
                    <m:r>
                      <m:rPr>
                        <m:sty m:val="bi"/>
                      </m:rPr>
                      <w:rPr>
                        <w:rFonts w:ascii="Cambria Math" w:eastAsiaTheme="minorEastAsia" w:hAnsi="Cambria Math" w:cstheme="minorHAnsi"/>
                      </w:rPr>
                      <m:t>P</m:t>
                    </m:r>
                  </m:sub>
                </m:sSub>
                <m:r>
                  <m:rPr>
                    <m:sty m:val="bi"/>
                  </m:rPr>
                  <w:rPr>
                    <w:rFonts w:ascii="Cambria Math" w:eastAsiaTheme="minorEastAsia" w:hAnsi="Cambria Math" w:cstheme="minorHAnsi"/>
                  </w:rPr>
                  <m:t>/</m:t>
                </m:r>
                <m:sSub>
                  <m:sSubPr>
                    <m:ctrlPr>
                      <w:rPr>
                        <w:rFonts w:ascii="Cambria Math" w:eastAsiaTheme="minorEastAsia" w:hAnsi="Cambria Math" w:cstheme="minorHAnsi"/>
                        <w:b/>
                        <w:i/>
                      </w:rPr>
                    </m:ctrlPr>
                  </m:sSubPr>
                  <m:e>
                    <m:r>
                      <m:rPr>
                        <m:sty m:val="bi"/>
                      </m:rPr>
                      <w:rPr>
                        <w:rFonts w:ascii="Cambria Math" w:eastAsiaTheme="minorEastAsia" w:hAnsi="Cambria Math" w:cstheme="minorHAnsi"/>
                      </w:rPr>
                      <m:t>g</m:t>
                    </m:r>
                  </m:e>
                  <m:sub>
                    <m:r>
                      <m:rPr>
                        <m:sty m:val="bi"/>
                      </m:rPr>
                      <w:rPr>
                        <w:rFonts w:ascii="Cambria Math" w:eastAsiaTheme="minorEastAsia" w:hAnsi="Cambria Math" w:cstheme="minorHAnsi"/>
                      </w:rPr>
                      <m:t>S</m:t>
                    </m:r>
                    <m:r>
                      <m:rPr>
                        <m:sty m:val="bi"/>
                      </m:rPr>
                      <w:rPr>
                        <w:rFonts w:ascii="Cambria Math" w:eastAsiaTheme="minorEastAsia" w:hAnsi="Cambria Math" w:cstheme="minorHAnsi"/>
                      </w:rPr>
                      <m:t>1</m:t>
                    </m:r>
                  </m:sub>
                </m:sSub>
                <m:r>
                  <m:rPr>
                    <m:sty m:val="bi"/>
                  </m:rPr>
                  <w:rPr>
                    <w:rFonts w:ascii="Cambria Math" w:eastAsiaTheme="minorEastAsia" w:hAnsi="Cambria Math" w:cstheme="minorHAnsi"/>
                    <w:lang w:val="en-GB"/>
                  </w:rPr>
                  <m:t>]</m:t>
                </m:r>
              </m:oMath>
            </m:oMathPara>
          </w:p>
        </w:tc>
        <w:tc>
          <w:tcPr>
            <w:tcW w:w="1276" w:type="dxa"/>
            <w:tcBorders>
              <w:top w:val="single" w:sz="12" w:space="0" w:color="008000"/>
              <w:bottom w:val="single" w:sz="6" w:space="0" w:color="008000"/>
            </w:tcBorders>
            <w:shd w:val="clear" w:color="auto" w:fill="FFFFFF"/>
            <w:vAlign w:val="center"/>
          </w:tcPr>
          <w:p w14:paraId="74398F90" w14:textId="55206451" w:rsidR="00A057D5" w:rsidRPr="00D3016B" w:rsidRDefault="00000000" w:rsidP="008C7EF7">
            <w:pPr>
              <w:pStyle w:val="CETBodytext"/>
              <w:ind w:right="-1"/>
              <w:jc w:val="center"/>
              <w:rPr>
                <w:rFonts w:cs="Arial"/>
                <w:b/>
                <w:bCs/>
                <w:szCs w:val="18"/>
              </w:rPr>
            </w:pPr>
            <m:oMathPara>
              <m:oMath>
                <m:sSub>
                  <m:sSubPr>
                    <m:ctrlPr>
                      <w:rPr>
                        <w:rFonts w:ascii="Cambria Math" w:hAnsi="Cambria Math" w:cstheme="minorHAnsi"/>
                        <w:b/>
                        <w:bCs/>
                        <w:i/>
                      </w:rPr>
                    </m:ctrlPr>
                  </m:sSubPr>
                  <m:e>
                    <m:r>
                      <m:rPr>
                        <m:sty m:val="bi"/>
                      </m:rPr>
                      <w:rPr>
                        <w:rFonts w:ascii="Cambria Math" w:hAnsi="Cambria Math" w:cstheme="minorHAnsi"/>
                      </w:rPr>
                      <m:t>δ</m:t>
                    </m:r>
                  </m:e>
                  <m:sub>
                    <m:r>
                      <m:rPr>
                        <m:sty m:val="bi"/>
                      </m:rPr>
                      <w:rPr>
                        <w:rFonts w:ascii="Cambria Math" w:hAnsi="Cambria Math" w:cstheme="minorHAnsi"/>
                      </w:rPr>
                      <m:t>1</m:t>
                    </m:r>
                    <m:r>
                      <m:rPr>
                        <m:sty m:val="p"/>
                      </m:rPr>
                      <w:rPr>
                        <w:rFonts w:ascii="Cambria Math" w:hAnsi="Cambria Math"/>
                      </w:rPr>
                      <m:t xml:space="preserve"> </m:t>
                    </m:r>
                  </m:sub>
                </m:sSub>
                <m:r>
                  <m:rPr>
                    <m:sty m:val="bi"/>
                  </m:rPr>
                  <w:rPr>
                    <w:rFonts w:ascii="Cambria Math" w:hAnsi="Cambria Math" w:cstheme="minorHAnsi"/>
                  </w:rPr>
                  <m:t xml:space="preserve"> </m:t>
                </m:r>
                <m:r>
                  <m:rPr>
                    <m:sty m:val="bi"/>
                  </m:rPr>
                  <w:rPr>
                    <w:rFonts w:ascii="Cambria Math" w:eastAsiaTheme="minorEastAsia" w:hAnsi="Cambria Math" w:cstheme="minorHAnsi"/>
                    <w:lang w:val="en-GB"/>
                  </w:rPr>
                  <m:t>[</m:t>
                </m:r>
                <m:sSub>
                  <m:sSubPr>
                    <m:ctrlPr>
                      <w:rPr>
                        <w:rFonts w:ascii="Cambria Math" w:eastAsiaTheme="minorEastAsia" w:hAnsi="Cambria Math" w:cstheme="minorHAnsi"/>
                        <w:b/>
                        <w:i/>
                      </w:rPr>
                    </m:ctrlPr>
                  </m:sSubPr>
                  <m:e>
                    <m:r>
                      <m:rPr>
                        <m:sty m:val="bi"/>
                      </m:rPr>
                      <w:rPr>
                        <w:rFonts w:ascii="Cambria Math" w:eastAsiaTheme="minorEastAsia" w:hAnsi="Cambria Math" w:cstheme="minorHAnsi"/>
                      </w:rPr>
                      <m:t>g</m:t>
                    </m:r>
                  </m:e>
                  <m:sub>
                    <m:r>
                      <m:rPr>
                        <m:sty m:val="bi"/>
                      </m:rPr>
                      <w:rPr>
                        <w:rFonts w:ascii="Cambria Math" w:eastAsiaTheme="minorEastAsia" w:hAnsi="Cambria Math" w:cstheme="minorHAnsi"/>
                      </w:rPr>
                      <m:t>S</m:t>
                    </m:r>
                    <m:r>
                      <m:rPr>
                        <m:sty m:val="bi"/>
                      </m:rPr>
                      <w:rPr>
                        <w:rFonts w:ascii="Cambria Math" w:eastAsiaTheme="minorEastAsia" w:hAnsi="Cambria Math" w:cstheme="minorHAnsi"/>
                      </w:rPr>
                      <m:t>1</m:t>
                    </m:r>
                  </m:sub>
                </m:sSub>
                <m:r>
                  <m:rPr>
                    <m:sty m:val="bi"/>
                  </m:rPr>
                  <w:rPr>
                    <w:rFonts w:ascii="Cambria Math" w:eastAsiaTheme="minorEastAsia" w:hAnsi="Cambria Math" w:cstheme="minorHAnsi"/>
                  </w:rPr>
                  <m:t>/</m:t>
                </m:r>
                <m:sSub>
                  <m:sSubPr>
                    <m:ctrlPr>
                      <w:rPr>
                        <w:rFonts w:ascii="Cambria Math" w:eastAsiaTheme="minorEastAsia" w:hAnsi="Cambria Math" w:cstheme="minorHAnsi"/>
                        <w:b/>
                        <w:i/>
                      </w:rPr>
                    </m:ctrlPr>
                  </m:sSubPr>
                  <m:e>
                    <m:r>
                      <m:rPr>
                        <m:sty m:val="bi"/>
                      </m:rPr>
                      <w:rPr>
                        <w:rFonts w:ascii="Cambria Math" w:eastAsiaTheme="minorEastAsia" w:hAnsi="Cambria Math" w:cstheme="minorHAnsi"/>
                      </w:rPr>
                      <m:t>g</m:t>
                    </m:r>
                  </m:e>
                  <m:sub>
                    <m:r>
                      <m:rPr>
                        <m:sty m:val="bi"/>
                      </m:rPr>
                      <w:rPr>
                        <w:rFonts w:ascii="Cambria Math" w:eastAsiaTheme="minorEastAsia" w:hAnsi="Cambria Math" w:cstheme="minorHAnsi"/>
                      </w:rPr>
                      <m:t>X</m:t>
                    </m:r>
                  </m:sub>
                </m:sSub>
                <m:r>
                  <m:rPr>
                    <m:sty m:val="bi"/>
                  </m:rPr>
                  <w:rPr>
                    <w:rFonts w:ascii="Cambria Math" w:hAnsi="Cambria Math"/>
                  </w:rPr>
                  <m:t>/h</m:t>
                </m:r>
                <m:r>
                  <m:rPr>
                    <m:sty m:val="p"/>
                  </m:rPr>
                  <w:rPr>
                    <w:rFonts w:ascii="Cambria Math" w:hAnsi="Cambria Math"/>
                  </w:rPr>
                  <m:t xml:space="preserve"> </m:t>
                </m:r>
                <m:r>
                  <m:rPr>
                    <m:sty m:val="bi"/>
                  </m:rPr>
                  <w:rPr>
                    <w:rFonts w:ascii="Cambria Math" w:eastAsiaTheme="minorEastAsia" w:hAnsi="Cambria Math" w:cstheme="minorHAnsi"/>
                    <w:lang w:val="en-GB"/>
                  </w:rPr>
                  <m:t>]</m:t>
                </m:r>
              </m:oMath>
            </m:oMathPara>
          </w:p>
        </w:tc>
        <w:tc>
          <w:tcPr>
            <w:tcW w:w="992" w:type="dxa"/>
            <w:tcBorders>
              <w:top w:val="single" w:sz="12" w:space="0" w:color="008000"/>
              <w:bottom w:val="single" w:sz="6" w:space="0" w:color="008000"/>
            </w:tcBorders>
            <w:shd w:val="clear" w:color="auto" w:fill="FFFFFF"/>
            <w:vAlign w:val="center"/>
          </w:tcPr>
          <w:p w14:paraId="5F457E99" w14:textId="08CFA347" w:rsidR="00A057D5" w:rsidRPr="00D3016B" w:rsidRDefault="00000000" w:rsidP="008C7EF7">
            <w:pPr>
              <w:pStyle w:val="CETBodytext"/>
              <w:ind w:right="-1"/>
              <w:jc w:val="center"/>
              <w:rPr>
                <w:rFonts w:cs="Arial"/>
                <w:b/>
                <w:bCs/>
                <w:szCs w:val="18"/>
              </w:rPr>
            </w:pPr>
            <m:oMathPara>
              <m:oMath>
                <m:sSub>
                  <m:sSubPr>
                    <m:ctrlPr>
                      <w:rPr>
                        <w:rFonts w:ascii="Cambria Math" w:hAnsi="Cambria Math" w:cstheme="minorHAnsi"/>
                        <w:b/>
                        <w:bCs/>
                        <w:i/>
                      </w:rPr>
                    </m:ctrlPr>
                  </m:sSubPr>
                  <m:e>
                    <m:r>
                      <m:rPr>
                        <m:sty m:val="bi"/>
                      </m:rPr>
                      <w:rPr>
                        <w:rFonts w:ascii="Cambria Math" w:hAnsi="Cambria Math" w:cstheme="minorHAnsi"/>
                      </w:rPr>
                      <m:t>β</m:t>
                    </m:r>
                  </m:e>
                  <m:sub>
                    <m:r>
                      <m:rPr>
                        <m:sty m:val="bi"/>
                      </m:rPr>
                      <w:rPr>
                        <w:rFonts w:ascii="Cambria Math" w:hAnsi="Cambria Math" w:cstheme="minorHAnsi"/>
                      </w:rPr>
                      <m:t>2</m:t>
                    </m:r>
                  </m:sub>
                </m:sSub>
                <m:r>
                  <m:rPr>
                    <m:sty m:val="bi"/>
                  </m:rPr>
                  <w:rPr>
                    <w:rFonts w:ascii="Cambria Math" w:hAnsi="Cambria Math" w:cstheme="minorHAnsi"/>
                  </w:rPr>
                  <m:t xml:space="preserve"> </m:t>
                </m:r>
                <m:r>
                  <m:rPr>
                    <m:sty m:val="bi"/>
                  </m:rPr>
                  <w:rPr>
                    <w:rFonts w:ascii="Cambria Math" w:eastAsiaTheme="minorEastAsia" w:hAnsi="Cambria Math" w:cstheme="minorHAnsi"/>
                    <w:lang w:val="en-GB"/>
                  </w:rPr>
                  <m:t>[</m:t>
                </m:r>
                <m:sSub>
                  <m:sSubPr>
                    <m:ctrlPr>
                      <w:rPr>
                        <w:rFonts w:ascii="Cambria Math" w:eastAsiaTheme="minorEastAsia" w:hAnsi="Cambria Math" w:cstheme="minorHAnsi"/>
                        <w:b/>
                        <w:i/>
                      </w:rPr>
                    </m:ctrlPr>
                  </m:sSubPr>
                  <m:e>
                    <m:r>
                      <m:rPr>
                        <m:sty m:val="bi"/>
                      </m:rPr>
                      <w:rPr>
                        <w:rFonts w:ascii="Cambria Math" w:eastAsiaTheme="minorEastAsia" w:hAnsi="Cambria Math" w:cstheme="minorHAnsi"/>
                      </w:rPr>
                      <m:t>g</m:t>
                    </m:r>
                  </m:e>
                  <m:sub>
                    <m:r>
                      <m:rPr>
                        <m:sty m:val="bi"/>
                      </m:rPr>
                      <w:rPr>
                        <w:rFonts w:ascii="Cambria Math" w:eastAsiaTheme="minorEastAsia" w:hAnsi="Cambria Math" w:cstheme="minorHAnsi"/>
                      </w:rPr>
                      <m:t>P</m:t>
                    </m:r>
                  </m:sub>
                </m:sSub>
                <m:r>
                  <m:rPr>
                    <m:sty m:val="bi"/>
                  </m:rPr>
                  <w:rPr>
                    <w:rFonts w:ascii="Cambria Math" w:eastAsiaTheme="minorEastAsia" w:hAnsi="Cambria Math" w:cstheme="minorHAnsi"/>
                  </w:rPr>
                  <m:t>/</m:t>
                </m:r>
                <m:sSub>
                  <m:sSubPr>
                    <m:ctrlPr>
                      <w:rPr>
                        <w:rFonts w:ascii="Cambria Math" w:eastAsiaTheme="minorEastAsia" w:hAnsi="Cambria Math" w:cstheme="minorHAnsi"/>
                        <w:b/>
                        <w:i/>
                      </w:rPr>
                    </m:ctrlPr>
                  </m:sSubPr>
                  <m:e>
                    <m:r>
                      <m:rPr>
                        <m:sty m:val="bi"/>
                      </m:rPr>
                      <w:rPr>
                        <w:rFonts w:ascii="Cambria Math" w:eastAsiaTheme="minorEastAsia" w:hAnsi="Cambria Math" w:cstheme="minorHAnsi"/>
                      </w:rPr>
                      <m:t>g</m:t>
                    </m:r>
                  </m:e>
                  <m:sub>
                    <m:r>
                      <m:rPr>
                        <m:sty m:val="bi"/>
                      </m:rPr>
                      <w:rPr>
                        <w:rFonts w:ascii="Cambria Math" w:eastAsiaTheme="minorEastAsia" w:hAnsi="Cambria Math" w:cstheme="minorHAnsi"/>
                      </w:rPr>
                      <m:t>S</m:t>
                    </m:r>
                    <m:r>
                      <m:rPr>
                        <m:sty m:val="bi"/>
                      </m:rPr>
                      <w:rPr>
                        <w:rFonts w:ascii="Cambria Math" w:eastAsiaTheme="minorEastAsia" w:hAnsi="Cambria Math" w:cstheme="minorHAnsi"/>
                      </w:rPr>
                      <m:t>2</m:t>
                    </m:r>
                  </m:sub>
                </m:sSub>
                <m:r>
                  <m:rPr>
                    <m:sty m:val="bi"/>
                  </m:rPr>
                  <w:rPr>
                    <w:rFonts w:ascii="Cambria Math" w:eastAsiaTheme="minorEastAsia" w:hAnsi="Cambria Math" w:cstheme="minorHAnsi"/>
                    <w:lang w:val="en-GB"/>
                  </w:rPr>
                  <m:t>]</m:t>
                </m:r>
              </m:oMath>
            </m:oMathPara>
          </w:p>
        </w:tc>
        <w:tc>
          <w:tcPr>
            <w:tcW w:w="1276" w:type="dxa"/>
            <w:tcBorders>
              <w:top w:val="single" w:sz="12" w:space="0" w:color="008000"/>
              <w:bottom w:val="single" w:sz="6" w:space="0" w:color="008000"/>
            </w:tcBorders>
            <w:shd w:val="clear" w:color="auto" w:fill="FFFFFF"/>
            <w:vAlign w:val="center"/>
          </w:tcPr>
          <w:p w14:paraId="08169405" w14:textId="3B55400E" w:rsidR="00A057D5" w:rsidRPr="00D3016B" w:rsidRDefault="00000000" w:rsidP="008C7EF7">
            <w:pPr>
              <w:pStyle w:val="CETBodytext"/>
              <w:ind w:right="-1"/>
              <w:jc w:val="center"/>
              <w:rPr>
                <w:rFonts w:cs="Arial"/>
                <w:b/>
                <w:bCs/>
                <w:szCs w:val="18"/>
              </w:rPr>
            </w:pPr>
            <m:oMathPara>
              <m:oMath>
                <m:sSub>
                  <m:sSubPr>
                    <m:ctrlPr>
                      <w:rPr>
                        <w:rFonts w:ascii="Cambria Math" w:hAnsi="Cambria Math" w:cstheme="minorHAnsi"/>
                        <w:b/>
                        <w:bCs/>
                        <w:i/>
                      </w:rPr>
                    </m:ctrlPr>
                  </m:sSubPr>
                  <m:e>
                    <m:r>
                      <m:rPr>
                        <m:sty m:val="bi"/>
                      </m:rPr>
                      <w:rPr>
                        <w:rFonts w:ascii="Cambria Math" w:hAnsi="Cambria Math" w:cstheme="minorHAnsi"/>
                      </w:rPr>
                      <m:t>δ</m:t>
                    </m:r>
                  </m:e>
                  <m:sub>
                    <m:r>
                      <m:rPr>
                        <m:sty m:val="bi"/>
                      </m:rPr>
                      <w:rPr>
                        <w:rFonts w:ascii="Cambria Math" w:hAnsi="Cambria Math" w:cstheme="minorHAnsi"/>
                      </w:rPr>
                      <m:t>2</m:t>
                    </m:r>
                    <m:r>
                      <m:rPr>
                        <m:sty m:val="p"/>
                      </m:rPr>
                      <w:rPr>
                        <w:rFonts w:ascii="Cambria Math" w:hAnsi="Cambria Math"/>
                      </w:rPr>
                      <m:t xml:space="preserve"> </m:t>
                    </m:r>
                  </m:sub>
                </m:sSub>
                <m:d>
                  <m:dPr>
                    <m:begChr m:val="["/>
                    <m:endChr m:val="]"/>
                    <m:ctrlPr>
                      <w:rPr>
                        <w:rFonts w:ascii="Cambria Math" w:eastAsiaTheme="minorEastAsia" w:hAnsi="Cambria Math" w:cstheme="minorHAnsi"/>
                        <w:b/>
                        <w:i/>
                        <w:lang w:val="en-GB"/>
                      </w:rPr>
                    </m:ctrlPr>
                  </m:dPr>
                  <m:e>
                    <m:sSub>
                      <m:sSubPr>
                        <m:ctrlPr>
                          <w:rPr>
                            <w:rFonts w:ascii="Cambria Math" w:eastAsiaTheme="minorEastAsia" w:hAnsi="Cambria Math" w:cstheme="minorHAnsi"/>
                            <w:b/>
                            <w:i/>
                          </w:rPr>
                        </m:ctrlPr>
                      </m:sSubPr>
                      <m:e>
                        <m:r>
                          <m:rPr>
                            <m:sty m:val="bi"/>
                          </m:rPr>
                          <w:rPr>
                            <w:rFonts w:ascii="Cambria Math" w:eastAsiaTheme="minorEastAsia" w:hAnsi="Cambria Math" w:cstheme="minorHAnsi"/>
                          </w:rPr>
                          <m:t>g</m:t>
                        </m:r>
                      </m:e>
                      <m:sub>
                        <m:r>
                          <m:rPr>
                            <m:sty m:val="bi"/>
                          </m:rPr>
                          <w:rPr>
                            <w:rFonts w:ascii="Cambria Math" w:eastAsiaTheme="minorEastAsia" w:hAnsi="Cambria Math" w:cstheme="minorHAnsi"/>
                          </w:rPr>
                          <m:t>S</m:t>
                        </m:r>
                        <m:r>
                          <m:rPr>
                            <m:sty m:val="bi"/>
                          </m:rPr>
                          <w:rPr>
                            <w:rFonts w:ascii="Cambria Math" w:eastAsiaTheme="minorEastAsia" w:hAnsi="Cambria Math" w:cstheme="minorHAnsi"/>
                          </w:rPr>
                          <m:t>2</m:t>
                        </m:r>
                      </m:sub>
                    </m:sSub>
                    <m:r>
                      <m:rPr>
                        <m:sty m:val="bi"/>
                      </m:rPr>
                      <w:rPr>
                        <w:rFonts w:ascii="Cambria Math" w:eastAsiaTheme="minorEastAsia" w:hAnsi="Cambria Math" w:cstheme="minorHAnsi"/>
                      </w:rPr>
                      <m:t>/</m:t>
                    </m:r>
                    <m:sSub>
                      <m:sSubPr>
                        <m:ctrlPr>
                          <w:rPr>
                            <w:rFonts w:ascii="Cambria Math" w:eastAsiaTheme="minorEastAsia" w:hAnsi="Cambria Math" w:cstheme="minorHAnsi"/>
                            <w:b/>
                            <w:i/>
                          </w:rPr>
                        </m:ctrlPr>
                      </m:sSubPr>
                      <m:e>
                        <m:r>
                          <m:rPr>
                            <m:sty m:val="bi"/>
                          </m:rPr>
                          <w:rPr>
                            <w:rFonts w:ascii="Cambria Math" w:eastAsiaTheme="minorEastAsia" w:hAnsi="Cambria Math" w:cstheme="minorHAnsi"/>
                          </w:rPr>
                          <m:t>g</m:t>
                        </m:r>
                      </m:e>
                      <m:sub>
                        <m:r>
                          <m:rPr>
                            <m:sty m:val="bi"/>
                          </m:rPr>
                          <w:rPr>
                            <w:rFonts w:ascii="Cambria Math" w:eastAsiaTheme="minorEastAsia" w:hAnsi="Cambria Math" w:cstheme="minorHAnsi"/>
                          </w:rPr>
                          <m:t>X</m:t>
                        </m:r>
                      </m:sub>
                    </m:sSub>
                    <m:r>
                      <m:rPr>
                        <m:sty m:val="bi"/>
                      </m:rPr>
                      <w:rPr>
                        <w:rFonts w:ascii="Cambria Math" w:hAnsi="Cambria Math"/>
                      </w:rPr>
                      <m:t>/h</m:t>
                    </m:r>
                    <m:r>
                      <m:rPr>
                        <m:sty m:val="p"/>
                      </m:rPr>
                      <w:rPr>
                        <w:rFonts w:ascii="Cambria Math" w:hAnsi="Cambria Math"/>
                      </w:rPr>
                      <m:t xml:space="preserve"> </m:t>
                    </m:r>
                  </m:e>
                </m:d>
              </m:oMath>
            </m:oMathPara>
          </w:p>
        </w:tc>
      </w:tr>
      <w:tr w:rsidR="00A057D5" w:rsidRPr="008413CF" w14:paraId="094BCC40" w14:textId="77777777" w:rsidTr="002D3982">
        <w:tc>
          <w:tcPr>
            <w:tcW w:w="1134" w:type="dxa"/>
            <w:shd w:val="clear" w:color="auto" w:fill="FFFFFF"/>
            <w:vAlign w:val="center"/>
          </w:tcPr>
          <w:p w14:paraId="5DBAB90C" w14:textId="2163F789" w:rsidR="008C7EF7" w:rsidRPr="008413CF" w:rsidRDefault="008C7EF7" w:rsidP="008C7EF7">
            <w:pPr>
              <w:pStyle w:val="CETBodytext"/>
              <w:jc w:val="center"/>
            </w:pPr>
            <w:r>
              <w:t>0.08</w:t>
            </w:r>
          </w:p>
        </w:tc>
        <w:tc>
          <w:tcPr>
            <w:tcW w:w="1134" w:type="dxa"/>
            <w:shd w:val="clear" w:color="auto" w:fill="FFFFFF"/>
            <w:vAlign w:val="center"/>
          </w:tcPr>
          <w:p w14:paraId="5F59F08D" w14:textId="2CA527C8" w:rsidR="00A057D5" w:rsidRPr="008413CF" w:rsidRDefault="008C7EF7" w:rsidP="008C7EF7">
            <w:pPr>
              <w:pStyle w:val="CETBodytext"/>
              <w:jc w:val="center"/>
            </w:pPr>
            <w:r>
              <w:t>10</w:t>
            </w:r>
          </w:p>
        </w:tc>
        <w:tc>
          <w:tcPr>
            <w:tcW w:w="1134" w:type="dxa"/>
            <w:shd w:val="clear" w:color="auto" w:fill="FFFFFF"/>
            <w:vAlign w:val="center"/>
          </w:tcPr>
          <w:p w14:paraId="186E4058" w14:textId="6EF99CD1" w:rsidR="00A057D5" w:rsidRPr="008413CF" w:rsidRDefault="008C7EF7" w:rsidP="008C7EF7">
            <w:pPr>
              <w:pStyle w:val="CETBodytext"/>
              <w:jc w:val="center"/>
            </w:pPr>
            <w:r>
              <w:t>0.01335</w:t>
            </w:r>
          </w:p>
        </w:tc>
        <w:tc>
          <w:tcPr>
            <w:tcW w:w="1134" w:type="dxa"/>
            <w:shd w:val="clear" w:color="auto" w:fill="FFFFFF"/>
            <w:vAlign w:val="center"/>
          </w:tcPr>
          <w:p w14:paraId="58A731C1" w14:textId="23011EB8" w:rsidR="00A057D5" w:rsidRPr="008413CF" w:rsidRDefault="0088543C" w:rsidP="008C7EF7">
            <w:pPr>
              <w:pStyle w:val="CETBodytext"/>
              <w:ind w:right="-1"/>
              <w:jc w:val="center"/>
              <w:rPr>
                <w:rFonts w:cs="Arial"/>
                <w:szCs w:val="18"/>
              </w:rPr>
            </w:pPr>
            <w:r>
              <w:rPr>
                <w:rFonts w:cs="Arial"/>
                <w:szCs w:val="18"/>
              </w:rPr>
              <w:t>0.044</w:t>
            </w:r>
          </w:p>
        </w:tc>
        <w:tc>
          <w:tcPr>
            <w:tcW w:w="1276" w:type="dxa"/>
            <w:shd w:val="clear" w:color="auto" w:fill="FFFFFF"/>
            <w:vAlign w:val="center"/>
          </w:tcPr>
          <w:p w14:paraId="212CA563" w14:textId="7D042DBD" w:rsidR="00A057D5" w:rsidRPr="008413CF" w:rsidRDefault="008C7EF7" w:rsidP="008C7EF7">
            <w:pPr>
              <w:pStyle w:val="CETBodytext"/>
              <w:ind w:right="-1"/>
              <w:jc w:val="center"/>
              <w:rPr>
                <w:rFonts w:cs="Arial"/>
                <w:szCs w:val="18"/>
              </w:rPr>
            </w:pPr>
            <w:r>
              <w:rPr>
                <w:rFonts w:cs="Arial"/>
                <w:szCs w:val="18"/>
              </w:rPr>
              <w:t>0.</w:t>
            </w:r>
            <w:r w:rsidR="0088543C">
              <w:rPr>
                <w:rFonts w:cs="Arial"/>
                <w:szCs w:val="18"/>
              </w:rPr>
              <w:t>060</w:t>
            </w:r>
          </w:p>
        </w:tc>
        <w:tc>
          <w:tcPr>
            <w:tcW w:w="992" w:type="dxa"/>
            <w:shd w:val="clear" w:color="auto" w:fill="FFFFFF"/>
            <w:vAlign w:val="center"/>
          </w:tcPr>
          <w:p w14:paraId="48D18C80" w14:textId="245BB501" w:rsidR="00A057D5" w:rsidRPr="008413CF" w:rsidRDefault="008C7EF7" w:rsidP="008C7EF7">
            <w:pPr>
              <w:pStyle w:val="CETBodytext"/>
              <w:ind w:right="-1"/>
              <w:jc w:val="center"/>
              <w:rPr>
                <w:rFonts w:cs="Arial"/>
                <w:szCs w:val="18"/>
              </w:rPr>
            </w:pPr>
            <w:r>
              <w:rPr>
                <w:rFonts w:cs="Arial"/>
                <w:szCs w:val="18"/>
              </w:rPr>
              <w:t>0.</w:t>
            </w:r>
            <w:r w:rsidR="0088543C">
              <w:rPr>
                <w:rFonts w:cs="Arial"/>
                <w:szCs w:val="18"/>
              </w:rPr>
              <w:t>418</w:t>
            </w:r>
          </w:p>
        </w:tc>
        <w:tc>
          <w:tcPr>
            <w:tcW w:w="1276" w:type="dxa"/>
            <w:shd w:val="clear" w:color="auto" w:fill="FFFFFF"/>
            <w:vAlign w:val="center"/>
          </w:tcPr>
          <w:p w14:paraId="2A07D38F" w14:textId="6D3BBF40" w:rsidR="00A057D5" w:rsidRPr="008413CF" w:rsidRDefault="008C7EF7" w:rsidP="008C7EF7">
            <w:pPr>
              <w:pStyle w:val="CETBodytext"/>
              <w:ind w:right="-1"/>
              <w:jc w:val="center"/>
              <w:rPr>
                <w:rFonts w:cs="Arial"/>
                <w:szCs w:val="18"/>
              </w:rPr>
            </w:pPr>
            <w:r>
              <w:rPr>
                <w:rFonts w:cs="Arial"/>
                <w:szCs w:val="18"/>
              </w:rPr>
              <w:t>0.0</w:t>
            </w:r>
            <w:r w:rsidR="0088543C">
              <w:rPr>
                <w:rFonts w:cs="Arial"/>
                <w:szCs w:val="18"/>
              </w:rPr>
              <w:t>131</w:t>
            </w:r>
          </w:p>
        </w:tc>
      </w:tr>
    </w:tbl>
    <w:p w14:paraId="6CBCD3E5" w14:textId="27AC6461" w:rsidR="004F5489" w:rsidRPr="004F5489" w:rsidRDefault="004F5489" w:rsidP="004F5489">
      <w:pPr>
        <w:pStyle w:val="CETBodytext"/>
      </w:pPr>
    </w:p>
    <w:p w14:paraId="04963A06" w14:textId="5EFA78E3" w:rsidR="00600535" w:rsidRDefault="00C370D4" w:rsidP="00DD0117">
      <w:pPr>
        <w:pStyle w:val="CETHeading1"/>
        <w:tabs>
          <w:tab w:val="clear" w:pos="360"/>
          <w:tab w:val="right" w:pos="7100"/>
        </w:tabs>
        <w:jc w:val="both"/>
      </w:pPr>
      <w:r>
        <w:t>Results and discussion</w:t>
      </w:r>
    </w:p>
    <w:p w14:paraId="65029780" w14:textId="77777777" w:rsidR="0088543C" w:rsidRDefault="008D62A7" w:rsidP="003C6671">
      <w:pPr>
        <w:pStyle w:val="CETBodytext"/>
      </w:pPr>
      <w:r>
        <w:t>The resulting values of the 8 fitted parameters are reported in Table 2.</w:t>
      </w:r>
    </w:p>
    <w:p w14:paraId="1D2038C1" w14:textId="77777777" w:rsidR="0088543C" w:rsidRPr="008413CF" w:rsidRDefault="0088543C" w:rsidP="0088543C">
      <w:pPr>
        <w:pStyle w:val="CETTabletitle"/>
        <w:rPr>
          <w:lang w:val="en-US"/>
        </w:rPr>
      </w:pPr>
      <w:r w:rsidRPr="008413CF">
        <w:rPr>
          <w:lang w:val="en-US"/>
        </w:rPr>
        <w:t xml:space="preserve">Table </w:t>
      </w:r>
      <w:r>
        <w:rPr>
          <w:lang w:val="en-US"/>
        </w:rPr>
        <w:t>2</w:t>
      </w:r>
      <w:r w:rsidRPr="008413CF">
        <w:rPr>
          <w:lang w:val="en-US"/>
        </w:rPr>
        <w:t xml:space="preserve">: </w:t>
      </w:r>
      <w:r>
        <w:rPr>
          <w:lang w:val="en-US"/>
        </w:rPr>
        <w:t>Unconstrained model parameters with standard deviation.</w:t>
      </w:r>
    </w:p>
    <w:tbl>
      <w:tblPr>
        <w:tblW w:w="0" w:type="auto"/>
        <w:tblBorders>
          <w:top w:val="single" w:sz="12" w:space="0" w:color="008000"/>
          <w:bottom w:val="single" w:sz="12" w:space="0" w:color="008000"/>
        </w:tblBorders>
        <w:shd w:val="clear" w:color="auto" w:fill="FFFFFF"/>
        <w:tblCellMar>
          <w:left w:w="0" w:type="dxa"/>
          <w:right w:w="0" w:type="dxa"/>
        </w:tblCellMar>
        <w:tblLook w:val="00A0" w:firstRow="1" w:lastRow="0" w:firstColumn="1" w:lastColumn="0" w:noHBand="0" w:noVBand="0"/>
      </w:tblPr>
      <w:tblGrid>
        <w:gridCol w:w="1119"/>
        <w:gridCol w:w="1112"/>
        <w:gridCol w:w="1103"/>
        <w:gridCol w:w="1103"/>
        <w:gridCol w:w="1104"/>
        <w:gridCol w:w="1082"/>
        <w:gridCol w:w="1082"/>
        <w:gridCol w:w="1082"/>
      </w:tblGrid>
      <w:tr w:rsidR="0088543C" w:rsidRPr="008413CF" w14:paraId="6738EDD8" w14:textId="77777777" w:rsidTr="006E4719">
        <w:tc>
          <w:tcPr>
            <w:tcW w:w="1119" w:type="dxa"/>
            <w:tcBorders>
              <w:top w:val="single" w:sz="12" w:space="0" w:color="008000"/>
              <w:bottom w:val="single" w:sz="6" w:space="0" w:color="008000"/>
            </w:tcBorders>
            <w:shd w:val="clear" w:color="auto" w:fill="FFFFFF"/>
            <w:vAlign w:val="center"/>
          </w:tcPr>
          <w:p w14:paraId="782DF962" w14:textId="77777777" w:rsidR="0088543C" w:rsidRPr="008413CF" w:rsidRDefault="00000000" w:rsidP="006E4719">
            <w:pPr>
              <w:pStyle w:val="CETBodytext"/>
              <w:jc w:val="center"/>
            </w:pPr>
            <m:oMathPara>
              <m:oMath>
                <m:sSub>
                  <m:sSubPr>
                    <m:ctrlPr>
                      <w:rPr>
                        <w:rFonts w:ascii="Cambria Math" w:eastAsiaTheme="minorEastAsia" w:hAnsi="Cambria Math" w:cstheme="minorHAnsi"/>
                        <w:b/>
                        <w:i/>
                        <w:lang w:val="en-GB"/>
                      </w:rPr>
                    </m:ctrlPr>
                  </m:sSubPr>
                  <m:e>
                    <m:r>
                      <m:rPr>
                        <m:sty m:val="bi"/>
                      </m:rPr>
                      <w:rPr>
                        <w:rFonts w:ascii="Cambria Math" w:eastAsiaTheme="minorEastAsia" w:hAnsi="Cambria Math" w:cstheme="minorHAnsi"/>
                        <w:lang w:val="en-GB"/>
                      </w:rPr>
                      <m:t>μ</m:t>
                    </m:r>
                  </m:e>
                  <m:sub>
                    <m:r>
                      <m:rPr>
                        <m:sty m:val="bi"/>
                      </m:rPr>
                      <w:rPr>
                        <w:rFonts w:ascii="Cambria Math" w:eastAsiaTheme="minorEastAsia" w:hAnsi="Cambria Math" w:cstheme="minorHAnsi"/>
                        <w:lang w:val="en-GB"/>
                      </w:rPr>
                      <m:t>max</m:t>
                    </m:r>
                  </m:sub>
                </m:sSub>
                <m:d>
                  <m:dPr>
                    <m:begChr m:val="["/>
                    <m:endChr m:val="]"/>
                    <m:ctrlPr>
                      <w:rPr>
                        <w:rFonts w:ascii="Cambria Math" w:eastAsiaTheme="minorEastAsia" w:hAnsi="Cambria Math" w:cstheme="minorHAnsi"/>
                        <w:b/>
                        <w:i/>
                        <w:lang w:val="en-GB"/>
                      </w:rPr>
                    </m:ctrlPr>
                  </m:dPr>
                  <m:e>
                    <m:sSup>
                      <m:sSupPr>
                        <m:ctrlPr>
                          <w:rPr>
                            <w:rFonts w:ascii="Cambria Math" w:eastAsiaTheme="minorEastAsia" w:hAnsi="Cambria Math" w:cstheme="minorHAnsi"/>
                            <w:b/>
                            <w:i/>
                            <w:lang w:val="en-GB"/>
                          </w:rPr>
                        </m:ctrlPr>
                      </m:sSupPr>
                      <m:e>
                        <m:r>
                          <m:rPr>
                            <m:sty m:val="bi"/>
                          </m:rPr>
                          <w:rPr>
                            <w:rFonts w:ascii="Cambria Math" w:eastAsiaTheme="minorEastAsia" w:hAnsi="Cambria Math" w:cstheme="minorHAnsi"/>
                            <w:lang w:val="en-GB"/>
                          </w:rPr>
                          <m:t>h</m:t>
                        </m:r>
                      </m:e>
                      <m:sup>
                        <m:r>
                          <m:rPr>
                            <m:sty m:val="bi"/>
                          </m:rPr>
                          <w:rPr>
                            <w:rFonts w:ascii="Cambria Math" w:eastAsiaTheme="minorEastAsia" w:hAnsi="Cambria Math" w:cstheme="minorHAnsi"/>
                            <w:lang w:val="en-GB"/>
                          </w:rPr>
                          <m:t>-1</m:t>
                        </m:r>
                      </m:sup>
                    </m:sSup>
                  </m:e>
                </m:d>
              </m:oMath>
            </m:oMathPara>
          </w:p>
        </w:tc>
        <w:tc>
          <w:tcPr>
            <w:tcW w:w="1112" w:type="dxa"/>
            <w:tcBorders>
              <w:top w:val="single" w:sz="12" w:space="0" w:color="008000"/>
              <w:bottom w:val="single" w:sz="6" w:space="0" w:color="008000"/>
            </w:tcBorders>
            <w:shd w:val="clear" w:color="auto" w:fill="FFFFFF"/>
            <w:vAlign w:val="center"/>
          </w:tcPr>
          <w:p w14:paraId="16C52A6D" w14:textId="77777777" w:rsidR="0088543C" w:rsidRPr="008413CF" w:rsidRDefault="00000000" w:rsidP="006E4719">
            <w:pPr>
              <w:pStyle w:val="CETBodytext"/>
              <w:jc w:val="center"/>
            </w:pPr>
            <m:oMathPara>
              <m:oMath>
                <m:sSub>
                  <m:sSubPr>
                    <m:ctrlPr>
                      <w:rPr>
                        <w:rFonts w:ascii="Cambria Math" w:eastAsiaTheme="minorEastAsia" w:hAnsi="Cambria Math" w:cstheme="minorHAnsi"/>
                        <w:b/>
                        <w:i/>
                        <w:lang w:val="en-GB"/>
                      </w:rPr>
                    </m:ctrlPr>
                  </m:sSubPr>
                  <m:e>
                    <m:r>
                      <m:rPr>
                        <m:sty m:val="bi"/>
                      </m:rPr>
                      <w:rPr>
                        <w:rFonts w:ascii="Cambria Math" w:eastAsiaTheme="minorEastAsia" w:hAnsi="Cambria Math" w:cstheme="minorHAnsi"/>
                        <w:lang w:val="en-GB"/>
                      </w:rPr>
                      <m:t>K</m:t>
                    </m:r>
                  </m:e>
                  <m:sub>
                    <m:r>
                      <m:rPr>
                        <m:sty m:val="bi"/>
                      </m:rPr>
                      <w:rPr>
                        <w:rFonts w:ascii="Cambria Math" w:eastAsiaTheme="minorEastAsia" w:hAnsi="Cambria Math" w:cstheme="minorHAnsi"/>
                        <w:lang w:val="en-GB"/>
                      </w:rPr>
                      <m:t>d</m:t>
                    </m:r>
                  </m:sub>
                </m:sSub>
                <m:d>
                  <m:dPr>
                    <m:begChr m:val="["/>
                    <m:endChr m:val="]"/>
                    <m:ctrlPr>
                      <w:rPr>
                        <w:rFonts w:ascii="Cambria Math" w:eastAsiaTheme="minorEastAsia" w:hAnsi="Cambria Math" w:cstheme="minorHAnsi"/>
                        <w:b/>
                        <w:i/>
                        <w:lang w:val="en-GB"/>
                      </w:rPr>
                    </m:ctrlPr>
                  </m:dPr>
                  <m:e>
                    <m:sSup>
                      <m:sSupPr>
                        <m:ctrlPr>
                          <w:rPr>
                            <w:rFonts w:ascii="Cambria Math" w:eastAsiaTheme="minorEastAsia" w:hAnsi="Cambria Math" w:cstheme="minorHAnsi"/>
                            <w:b/>
                            <w:i/>
                            <w:lang w:val="en-GB"/>
                          </w:rPr>
                        </m:ctrlPr>
                      </m:sSupPr>
                      <m:e>
                        <m:r>
                          <m:rPr>
                            <m:sty m:val="bi"/>
                          </m:rPr>
                          <w:rPr>
                            <w:rFonts w:ascii="Cambria Math" w:eastAsiaTheme="minorEastAsia" w:hAnsi="Cambria Math" w:cstheme="minorHAnsi"/>
                            <w:lang w:val="en-GB"/>
                          </w:rPr>
                          <m:t>h</m:t>
                        </m:r>
                      </m:e>
                      <m:sup>
                        <m:r>
                          <m:rPr>
                            <m:sty m:val="bi"/>
                          </m:rPr>
                          <w:rPr>
                            <w:rFonts w:ascii="Cambria Math" w:eastAsiaTheme="minorEastAsia" w:hAnsi="Cambria Math" w:cstheme="minorHAnsi"/>
                            <w:lang w:val="en-GB"/>
                          </w:rPr>
                          <m:t>-1</m:t>
                        </m:r>
                      </m:sup>
                    </m:sSup>
                  </m:e>
                </m:d>
              </m:oMath>
            </m:oMathPara>
          </w:p>
        </w:tc>
        <w:tc>
          <w:tcPr>
            <w:tcW w:w="1103" w:type="dxa"/>
            <w:tcBorders>
              <w:top w:val="single" w:sz="12" w:space="0" w:color="008000"/>
              <w:bottom w:val="single" w:sz="6" w:space="0" w:color="008000"/>
            </w:tcBorders>
            <w:shd w:val="clear" w:color="auto" w:fill="FFFFFF"/>
            <w:vAlign w:val="center"/>
          </w:tcPr>
          <w:p w14:paraId="24F95AF6" w14:textId="059AC0FF" w:rsidR="0088543C" w:rsidRPr="008413CF" w:rsidRDefault="00000000" w:rsidP="006E4719">
            <w:pPr>
              <w:pStyle w:val="CETBodytext"/>
              <w:jc w:val="center"/>
            </w:pPr>
            <m:oMathPara>
              <m:oMath>
                <m:sSub>
                  <m:sSubPr>
                    <m:ctrlPr>
                      <w:rPr>
                        <w:rFonts w:ascii="Cambria Math" w:eastAsiaTheme="minorEastAsia" w:hAnsi="Cambria Math" w:cstheme="minorHAnsi"/>
                        <w:b/>
                        <w:i/>
                        <w:lang w:val="en-GB"/>
                      </w:rPr>
                    </m:ctrlPr>
                  </m:sSubPr>
                  <m:e>
                    <m:r>
                      <m:rPr>
                        <m:sty m:val="bi"/>
                      </m:rPr>
                      <w:rPr>
                        <w:rFonts w:ascii="Cambria Math" w:eastAsiaTheme="minorEastAsia" w:hAnsi="Cambria Math" w:cstheme="minorHAnsi"/>
                        <w:lang w:val="en-GB"/>
                      </w:rPr>
                      <m:t>γ</m:t>
                    </m:r>
                  </m:e>
                  <m:sub>
                    <m:r>
                      <m:rPr>
                        <m:sty m:val="bi"/>
                      </m:rPr>
                      <w:rPr>
                        <w:rFonts w:ascii="Cambria Math" w:eastAsiaTheme="minorEastAsia" w:hAnsi="Cambria Math" w:cstheme="minorHAnsi"/>
                        <w:lang w:val="en-GB"/>
                      </w:rPr>
                      <m:t>1</m:t>
                    </m:r>
                  </m:sub>
                </m:sSub>
                <m:r>
                  <m:rPr>
                    <m:sty m:val="bi"/>
                  </m:rPr>
                  <w:rPr>
                    <w:rFonts w:ascii="Cambria Math" w:eastAsiaTheme="minorEastAsia" w:hAnsi="Cambria Math" w:cstheme="minorHAnsi"/>
                    <w:lang w:val="en-GB"/>
                  </w:rPr>
                  <m:t>[</m:t>
                </m:r>
                <m:sSub>
                  <m:sSubPr>
                    <m:ctrlPr>
                      <w:rPr>
                        <w:rFonts w:ascii="Cambria Math" w:eastAsiaTheme="minorEastAsia" w:hAnsi="Cambria Math" w:cstheme="minorHAnsi"/>
                        <w:b/>
                        <w:i/>
                      </w:rPr>
                    </m:ctrlPr>
                  </m:sSubPr>
                  <m:e>
                    <m:r>
                      <m:rPr>
                        <m:sty m:val="bi"/>
                      </m:rPr>
                      <w:rPr>
                        <w:rFonts w:ascii="Cambria Math" w:eastAsiaTheme="minorEastAsia" w:hAnsi="Cambria Math" w:cstheme="minorHAnsi"/>
                      </w:rPr>
                      <m:t>g</m:t>
                    </m:r>
                  </m:e>
                  <m:sub>
                    <m:r>
                      <m:rPr>
                        <m:sty m:val="bi"/>
                      </m:rPr>
                      <w:rPr>
                        <w:rFonts w:ascii="Cambria Math" w:eastAsiaTheme="minorEastAsia" w:hAnsi="Cambria Math" w:cstheme="minorHAnsi"/>
                      </w:rPr>
                      <m:t>S</m:t>
                    </m:r>
                    <m:r>
                      <m:rPr>
                        <m:sty m:val="bi"/>
                      </m:rPr>
                      <w:rPr>
                        <w:rFonts w:ascii="Cambria Math" w:eastAsiaTheme="minorEastAsia" w:hAnsi="Cambria Math" w:cstheme="minorHAnsi"/>
                      </w:rPr>
                      <m:t>1</m:t>
                    </m:r>
                  </m:sub>
                </m:sSub>
                <m:r>
                  <m:rPr>
                    <m:sty m:val="bi"/>
                  </m:rPr>
                  <w:rPr>
                    <w:rFonts w:ascii="Cambria Math" w:eastAsiaTheme="minorEastAsia" w:hAnsi="Cambria Math" w:cstheme="minorHAnsi"/>
                  </w:rPr>
                  <m:t>/</m:t>
                </m:r>
                <m:sSub>
                  <m:sSubPr>
                    <m:ctrlPr>
                      <w:rPr>
                        <w:rFonts w:ascii="Cambria Math" w:eastAsiaTheme="minorEastAsia" w:hAnsi="Cambria Math" w:cstheme="minorHAnsi"/>
                        <w:b/>
                        <w:i/>
                      </w:rPr>
                    </m:ctrlPr>
                  </m:sSubPr>
                  <m:e>
                    <m:r>
                      <m:rPr>
                        <m:sty m:val="bi"/>
                      </m:rPr>
                      <w:rPr>
                        <w:rFonts w:ascii="Cambria Math" w:eastAsiaTheme="minorEastAsia" w:hAnsi="Cambria Math" w:cstheme="minorHAnsi"/>
                      </w:rPr>
                      <m:t>g</m:t>
                    </m:r>
                  </m:e>
                  <m:sub>
                    <m:r>
                      <m:rPr>
                        <m:sty m:val="bi"/>
                      </m:rPr>
                      <w:rPr>
                        <w:rFonts w:ascii="Cambria Math" w:eastAsiaTheme="minorEastAsia" w:hAnsi="Cambria Math" w:cstheme="minorHAnsi"/>
                      </w:rPr>
                      <m:t>X</m:t>
                    </m:r>
                  </m:sub>
                </m:sSub>
                <m:r>
                  <m:rPr>
                    <m:sty m:val="bi"/>
                  </m:rPr>
                  <w:rPr>
                    <w:rFonts w:ascii="Cambria Math" w:eastAsiaTheme="minorEastAsia" w:hAnsi="Cambria Math" w:cstheme="minorHAnsi"/>
                    <w:lang w:val="en-GB"/>
                  </w:rPr>
                  <m:t>]</m:t>
                </m:r>
              </m:oMath>
            </m:oMathPara>
          </w:p>
        </w:tc>
        <w:tc>
          <w:tcPr>
            <w:tcW w:w="1103" w:type="dxa"/>
            <w:tcBorders>
              <w:top w:val="single" w:sz="12" w:space="0" w:color="008000"/>
              <w:bottom w:val="single" w:sz="6" w:space="0" w:color="008000"/>
            </w:tcBorders>
            <w:shd w:val="clear" w:color="auto" w:fill="FFFFFF"/>
            <w:vAlign w:val="center"/>
          </w:tcPr>
          <w:p w14:paraId="0D234E29" w14:textId="2D0A1363" w:rsidR="0088543C" w:rsidRPr="008413CF" w:rsidRDefault="00000000" w:rsidP="006E4719">
            <w:pPr>
              <w:pStyle w:val="CETBodytext"/>
              <w:ind w:right="-1"/>
              <w:jc w:val="center"/>
              <w:rPr>
                <w:rFonts w:cs="Arial"/>
                <w:szCs w:val="18"/>
              </w:rPr>
            </w:pPr>
            <m:oMathPara>
              <m:oMath>
                <m:sSub>
                  <m:sSubPr>
                    <m:ctrlPr>
                      <w:rPr>
                        <w:rFonts w:ascii="Cambria Math" w:eastAsiaTheme="minorEastAsia" w:hAnsi="Cambria Math" w:cstheme="minorHAnsi"/>
                        <w:b/>
                        <w:i/>
                        <w:lang w:val="en-GB"/>
                      </w:rPr>
                    </m:ctrlPr>
                  </m:sSubPr>
                  <m:e>
                    <m:r>
                      <m:rPr>
                        <m:sty m:val="bi"/>
                      </m:rPr>
                      <w:rPr>
                        <w:rFonts w:ascii="Cambria Math" w:eastAsiaTheme="minorEastAsia" w:hAnsi="Cambria Math" w:cstheme="minorHAnsi"/>
                        <w:lang w:val="en-GB"/>
                      </w:rPr>
                      <m:t>γ</m:t>
                    </m:r>
                  </m:e>
                  <m:sub>
                    <m:r>
                      <m:rPr>
                        <m:sty m:val="bi"/>
                      </m:rPr>
                      <w:rPr>
                        <w:rFonts w:ascii="Cambria Math" w:eastAsiaTheme="minorEastAsia" w:hAnsi="Cambria Math" w:cstheme="minorHAnsi"/>
                        <w:lang w:val="en-GB"/>
                      </w:rPr>
                      <m:t>2</m:t>
                    </m:r>
                  </m:sub>
                </m:sSub>
                <m:r>
                  <m:rPr>
                    <m:sty m:val="bi"/>
                  </m:rPr>
                  <w:rPr>
                    <w:rFonts w:ascii="Cambria Math" w:eastAsiaTheme="minorEastAsia" w:hAnsi="Cambria Math" w:cstheme="minorHAnsi"/>
                    <w:lang w:val="en-GB"/>
                  </w:rPr>
                  <m:t>[</m:t>
                </m:r>
                <m:sSub>
                  <m:sSubPr>
                    <m:ctrlPr>
                      <w:rPr>
                        <w:rFonts w:ascii="Cambria Math" w:eastAsiaTheme="minorEastAsia" w:hAnsi="Cambria Math" w:cstheme="minorHAnsi"/>
                        <w:b/>
                        <w:i/>
                      </w:rPr>
                    </m:ctrlPr>
                  </m:sSubPr>
                  <m:e>
                    <m:r>
                      <m:rPr>
                        <m:sty m:val="bi"/>
                      </m:rPr>
                      <w:rPr>
                        <w:rFonts w:ascii="Cambria Math" w:eastAsiaTheme="minorEastAsia" w:hAnsi="Cambria Math" w:cstheme="minorHAnsi"/>
                      </w:rPr>
                      <m:t>g</m:t>
                    </m:r>
                  </m:e>
                  <m:sub>
                    <m:r>
                      <m:rPr>
                        <m:sty m:val="bi"/>
                      </m:rPr>
                      <w:rPr>
                        <w:rFonts w:ascii="Cambria Math" w:eastAsiaTheme="minorEastAsia" w:hAnsi="Cambria Math" w:cstheme="minorHAnsi"/>
                      </w:rPr>
                      <m:t>S</m:t>
                    </m:r>
                    <m:r>
                      <m:rPr>
                        <m:sty m:val="bi"/>
                      </m:rPr>
                      <w:rPr>
                        <w:rFonts w:ascii="Cambria Math" w:eastAsiaTheme="minorEastAsia" w:hAnsi="Cambria Math" w:cstheme="minorHAnsi"/>
                      </w:rPr>
                      <m:t>2</m:t>
                    </m:r>
                  </m:sub>
                </m:sSub>
                <m:r>
                  <m:rPr>
                    <m:sty m:val="bi"/>
                  </m:rPr>
                  <w:rPr>
                    <w:rFonts w:ascii="Cambria Math" w:eastAsiaTheme="minorEastAsia" w:hAnsi="Cambria Math" w:cstheme="minorHAnsi"/>
                  </w:rPr>
                  <m:t>/</m:t>
                </m:r>
                <m:sSub>
                  <m:sSubPr>
                    <m:ctrlPr>
                      <w:rPr>
                        <w:rFonts w:ascii="Cambria Math" w:eastAsiaTheme="minorEastAsia" w:hAnsi="Cambria Math" w:cstheme="minorHAnsi"/>
                        <w:b/>
                        <w:i/>
                      </w:rPr>
                    </m:ctrlPr>
                  </m:sSubPr>
                  <m:e>
                    <m:r>
                      <m:rPr>
                        <m:sty m:val="bi"/>
                      </m:rPr>
                      <w:rPr>
                        <w:rFonts w:ascii="Cambria Math" w:eastAsiaTheme="minorEastAsia" w:hAnsi="Cambria Math" w:cstheme="minorHAnsi"/>
                      </w:rPr>
                      <m:t>g</m:t>
                    </m:r>
                  </m:e>
                  <m:sub>
                    <m:r>
                      <m:rPr>
                        <m:sty m:val="bi"/>
                      </m:rPr>
                      <w:rPr>
                        <w:rFonts w:ascii="Cambria Math" w:eastAsiaTheme="minorEastAsia" w:hAnsi="Cambria Math" w:cstheme="minorHAnsi"/>
                      </w:rPr>
                      <m:t>X</m:t>
                    </m:r>
                  </m:sub>
                </m:sSub>
                <m:r>
                  <m:rPr>
                    <m:sty m:val="bi"/>
                  </m:rPr>
                  <w:rPr>
                    <w:rFonts w:ascii="Cambria Math" w:eastAsiaTheme="minorEastAsia" w:hAnsi="Cambria Math" w:cstheme="minorHAnsi"/>
                    <w:lang w:val="en-GB"/>
                  </w:rPr>
                  <m:t>]</m:t>
                </m:r>
              </m:oMath>
            </m:oMathPara>
          </w:p>
        </w:tc>
        <w:tc>
          <w:tcPr>
            <w:tcW w:w="1104" w:type="dxa"/>
            <w:tcBorders>
              <w:top w:val="single" w:sz="12" w:space="0" w:color="008000"/>
              <w:bottom w:val="single" w:sz="6" w:space="0" w:color="008000"/>
            </w:tcBorders>
            <w:shd w:val="clear" w:color="auto" w:fill="FFFFFF"/>
            <w:vAlign w:val="center"/>
          </w:tcPr>
          <w:p w14:paraId="1E7A369D" w14:textId="77777777" w:rsidR="0088543C" w:rsidRPr="008413CF" w:rsidRDefault="00000000" w:rsidP="006E4719">
            <w:pPr>
              <w:pStyle w:val="CETBodytext"/>
              <w:ind w:right="-1"/>
              <w:jc w:val="center"/>
              <w:rPr>
                <w:rFonts w:cs="Arial"/>
                <w:szCs w:val="18"/>
              </w:rPr>
            </w:pPr>
            <m:oMathPara>
              <m:oMath>
                <m:sSub>
                  <m:sSubPr>
                    <m:ctrlPr>
                      <w:rPr>
                        <w:rFonts w:ascii="Cambria Math" w:eastAsiaTheme="minorEastAsia" w:hAnsi="Cambria Math" w:cstheme="minorHAnsi"/>
                        <w:b/>
                        <w:i/>
                        <w:lang w:val="en-GB"/>
                      </w:rPr>
                    </m:ctrlPr>
                  </m:sSubPr>
                  <m:e>
                    <m:r>
                      <m:rPr>
                        <m:sty m:val="bi"/>
                      </m:rPr>
                      <w:rPr>
                        <w:rFonts w:ascii="Cambria Math" w:eastAsiaTheme="minorEastAsia" w:hAnsi="Cambria Math" w:cstheme="minorHAnsi"/>
                        <w:lang w:val="en-GB"/>
                      </w:rPr>
                      <m:t>K</m:t>
                    </m:r>
                  </m:e>
                  <m:sub>
                    <m:sSub>
                      <m:sSubPr>
                        <m:ctrlPr>
                          <w:rPr>
                            <w:rFonts w:ascii="Cambria Math" w:eastAsiaTheme="minorEastAsia" w:hAnsi="Cambria Math" w:cstheme="minorHAnsi"/>
                            <w:b/>
                            <w:i/>
                            <w:lang w:val="en-GB"/>
                          </w:rPr>
                        </m:ctrlPr>
                      </m:sSubPr>
                      <m:e>
                        <m:r>
                          <m:rPr>
                            <m:sty m:val="bi"/>
                          </m:rPr>
                          <w:rPr>
                            <w:rFonts w:ascii="Cambria Math" w:eastAsiaTheme="minorEastAsia" w:hAnsi="Cambria Math" w:cstheme="minorHAnsi"/>
                            <w:lang w:val="en-GB"/>
                          </w:rPr>
                          <m:t>S</m:t>
                        </m:r>
                      </m:e>
                      <m:sub>
                        <m:r>
                          <m:rPr>
                            <m:sty m:val="bi"/>
                          </m:rPr>
                          <w:rPr>
                            <w:rFonts w:ascii="Cambria Math" w:eastAsiaTheme="minorEastAsia" w:hAnsi="Cambria Math" w:cstheme="minorHAnsi"/>
                            <w:lang w:val="en-GB"/>
                          </w:rPr>
                          <m:t>1</m:t>
                        </m:r>
                      </m:sub>
                    </m:sSub>
                  </m:sub>
                </m:sSub>
                <m:r>
                  <m:rPr>
                    <m:sty m:val="bi"/>
                  </m:rPr>
                  <w:rPr>
                    <w:rFonts w:ascii="Cambria Math" w:eastAsiaTheme="minorEastAsia" w:hAnsi="Cambria Math" w:cstheme="minorHAnsi"/>
                    <w:lang w:val="en-GB"/>
                  </w:rPr>
                  <m:t>[g/L]</m:t>
                </m:r>
              </m:oMath>
            </m:oMathPara>
          </w:p>
        </w:tc>
        <w:tc>
          <w:tcPr>
            <w:tcW w:w="1082" w:type="dxa"/>
            <w:tcBorders>
              <w:top w:val="single" w:sz="12" w:space="0" w:color="008000"/>
              <w:bottom w:val="single" w:sz="6" w:space="0" w:color="008000"/>
            </w:tcBorders>
            <w:shd w:val="clear" w:color="auto" w:fill="FFFFFF"/>
            <w:vAlign w:val="center"/>
          </w:tcPr>
          <w:p w14:paraId="518DF5F5" w14:textId="77777777" w:rsidR="0088543C" w:rsidRDefault="00000000" w:rsidP="006E4719">
            <w:pPr>
              <w:pStyle w:val="CETBodytext"/>
              <w:ind w:right="-1"/>
              <w:jc w:val="center"/>
              <w:rPr>
                <w:rFonts w:cs="Arial"/>
                <w:b/>
                <w:lang w:val="en-GB"/>
              </w:rPr>
            </w:pPr>
            <m:oMathPara>
              <m:oMath>
                <m:sSub>
                  <m:sSubPr>
                    <m:ctrlPr>
                      <w:rPr>
                        <w:rFonts w:ascii="Cambria Math" w:eastAsiaTheme="minorEastAsia" w:hAnsi="Cambria Math" w:cstheme="minorHAnsi"/>
                        <w:b/>
                        <w:i/>
                        <w:lang w:val="en-GB"/>
                      </w:rPr>
                    </m:ctrlPr>
                  </m:sSubPr>
                  <m:e>
                    <m:sSub>
                      <m:sSubPr>
                        <m:ctrlPr>
                          <w:rPr>
                            <w:rFonts w:ascii="Cambria Math" w:eastAsiaTheme="minorEastAsia" w:hAnsi="Cambria Math" w:cstheme="minorHAnsi"/>
                            <w:b/>
                            <w:i/>
                            <w:lang w:val="en-GB"/>
                          </w:rPr>
                        </m:ctrlPr>
                      </m:sSubPr>
                      <m:e>
                        <m:r>
                          <m:rPr>
                            <m:sty m:val="bi"/>
                          </m:rPr>
                          <w:rPr>
                            <w:rFonts w:ascii="Cambria Math" w:eastAsiaTheme="minorEastAsia" w:hAnsi="Cambria Math" w:cstheme="minorHAnsi"/>
                            <w:lang w:val="en-GB"/>
                          </w:rPr>
                          <m:t>K</m:t>
                        </m:r>
                      </m:e>
                      <m:sub>
                        <m:r>
                          <m:rPr>
                            <m:sty m:val="bi"/>
                          </m:rPr>
                          <w:rPr>
                            <w:rFonts w:ascii="Cambria Math" w:eastAsiaTheme="minorEastAsia" w:hAnsi="Cambria Math" w:cstheme="minorHAnsi"/>
                            <w:lang w:val="en-GB"/>
                          </w:rPr>
                          <m:t>S</m:t>
                        </m:r>
                      </m:sub>
                    </m:sSub>
                  </m:e>
                  <m:sub>
                    <m:r>
                      <m:rPr>
                        <m:sty m:val="bi"/>
                      </m:rPr>
                      <w:rPr>
                        <w:rFonts w:ascii="Cambria Math" w:eastAsiaTheme="minorEastAsia" w:hAnsi="Cambria Math" w:cstheme="minorHAnsi"/>
                        <w:lang w:val="en-GB"/>
                      </w:rPr>
                      <m:t>2</m:t>
                    </m:r>
                  </m:sub>
                </m:sSub>
                <m:r>
                  <m:rPr>
                    <m:sty m:val="bi"/>
                  </m:rPr>
                  <w:rPr>
                    <w:rFonts w:ascii="Cambria Math" w:eastAsiaTheme="minorEastAsia" w:hAnsi="Cambria Math" w:cstheme="minorHAnsi"/>
                    <w:lang w:val="en-GB"/>
                  </w:rPr>
                  <m:t>[g/L]</m:t>
                </m:r>
              </m:oMath>
            </m:oMathPara>
          </w:p>
        </w:tc>
        <w:tc>
          <w:tcPr>
            <w:tcW w:w="1082" w:type="dxa"/>
            <w:tcBorders>
              <w:top w:val="single" w:sz="12" w:space="0" w:color="008000"/>
              <w:bottom w:val="single" w:sz="6" w:space="0" w:color="008000"/>
            </w:tcBorders>
            <w:shd w:val="clear" w:color="auto" w:fill="FFFFFF"/>
            <w:vAlign w:val="center"/>
          </w:tcPr>
          <w:p w14:paraId="4E219870" w14:textId="77777777" w:rsidR="0088543C" w:rsidRDefault="00000000" w:rsidP="006E4719">
            <w:pPr>
              <w:pStyle w:val="CETBodytext"/>
              <w:ind w:right="-1"/>
              <w:jc w:val="center"/>
              <w:rPr>
                <w:rFonts w:cs="Arial"/>
                <w:b/>
                <w:lang w:val="en-GB"/>
              </w:rPr>
            </w:pPr>
            <m:oMathPara>
              <m:oMath>
                <m:sSub>
                  <m:sSubPr>
                    <m:ctrlPr>
                      <w:rPr>
                        <w:rFonts w:ascii="Cambria Math" w:eastAsiaTheme="minorEastAsia" w:hAnsi="Cambria Math" w:cstheme="minorHAnsi"/>
                        <w:b/>
                        <w:i/>
                        <w:lang w:val="en-GB"/>
                      </w:rPr>
                    </m:ctrlPr>
                  </m:sSubPr>
                  <m:e>
                    <m:r>
                      <m:rPr>
                        <m:sty m:val="bi"/>
                      </m:rPr>
                      <w:rPr>
                        <w:rFonts w:ascii="Cambria Math" w:eastAsiaTheme="minorEastAsia" w:hAnsi="Cambria Math" w:cstheme="minorHAnsi"/>
                        <w:lang w:val="en-GB"/>
                      </w:rPr>
                      <m:t>K</m:t>
                    </m:r>
                  </m:e>
                  <m:sub>
                    <m:sSub>
                      <m:sSubPr>
                        <m:ctrlPr>
                          <w:rPr>
                            <w:rFonts w:ascii="Cambria Math" w:eastAsiaTheme="minorEastAsia" w:hAnsi="Cambria Math" w:cstheme="minorHAnsi"/>
                            <w:b/>
                            <w:i/>
                            <w:lang w:val="en-GB"/>
                          </w:rPr>
                        </m:ctrlPr>
                      </m:sSubPr>
                      <m:e>
                        <m:r>
                          <m:rPr>
                            <m:sty m:val="bi"/>
                          </m:rPr>
                          <w:rPr>
                            <w:rFonts w:ascii="Cambria Math" w:eastAsiaTheme="minorEastAsia" w:hAnsi="Cambria Math" w:cstheme="minorHAnsi"/>
                            <w:lang w:val="en-GB"/>
                          </w:rPr>
                          <m:t>M</m:t>
                        </m:r>
                      </m:e>
                      <m:sub>
                        <m:r>
                          <m:rPr>
                            <m:sty m:val="bi"/>
                          </m:rPr>
                          <w:rPr>
                            <w:rFonts w:ascii="Cambria Math" w:eastAsiaTheme="minorEastAsia" w:hAnsi="Cambria Math" w:cstheme="minorHAnsi"/>
                            <w:lang w:val="en-GB"/>
                          </w:rPr>
                          <m:t>1</m:t>
                        </m:r>
                      </m:sub>
                    </m:sSub>
                  </m:sub>
                </m:sSub>
                <m:r>
                  <m:rPr>
                    <m:sty m:val="bi"/>
                  </m:rPr>
                  <w:rPr>
                    <w:rFonts w:ascii="Cambria Math" w:eastAsiaTheme="minorEastAsia" w:hAnsi="Cambria Math" w:cstheme="minorHAnsi"/>
                    <w:lang w:val="en-GB"/>
                  </w:rPr>
                  <m:t>[g/L]</m:t>
                </m:r>
              </m:oMath>
            </m:oMathPara>
          </w:p>
        </w:tc>
        <w:tc>
          <w:tcPr>
            <w:tcW w:w="1082" w:type="dxa"/>
            <w:tcBorders>
              <w:top w:val="single" w:sz="12" w:space="0" w:color="008000"/>
              <w:bottom w:val="single" w:sz="6" w:space="0" w:color="008000"/>
            </w:tcBorders>
            <w:shd w:val="clear" w:color="auto" w:fill="FFFFFF"/>
            <w:vAlign w:val="center"/>
          </w:tcPr>
          <w:p w14:paraId="79E1D1C2" w14:textId="77777777" w:rsidR="0088543C" w:rsidRDefault="00000000" w:rsidP="006E4719">
            <w:pPr>
              <w:pStyle w:val="CETBodytext"/>
              <w:ind w:right="-1"/>
              <w:jc w:val="center"/>
              <w:rPr>
                <w:rFonts w:cs="Arial"/>
                <w:b/>
                <w:lang w:val="en-GB"/>
              </w:rPr>
            </w:pPr>
            <m:oMathPara>
              <m:oMath>
                <m:sSub>
                  <m:sSubPr>
                    <m:ctrlPr>
                      <w:rPr>
                        <w:rFonts w:ascii="Cambria Math" w:eastAsiaTheme="minorEastAsia" w:hAnsi="Cambria Math" w:cstheme="minorHAnsi"/>
                        <w:b/>
                        <w:i/>
                        <w:lang w:val="en-GB"/>
                      </w:rPr>
                    </m:ctrlPr>
                  </m:sSubPr>
                  <m:e>
                    <m:r>
                      <m:rPr>
                        <m:sty m:val="bi"/>
                      </m:rPr>
                      <w:rPr>
                        <w:rFonts w:ascii="Cambria Math" w:eastAsiaTheme="minorEastAsia" w:hAnsi="Cambria Math" w:cstheme="minorHAnsi"/>
                        <w:lang w:val="en-GB"/>
                      </w:rPr>
                      <m:t>K</m:t>
                    </m:r>
                  </m:e>
                  <m:sub>
                    <m:sSub>
                      <m:sSubPr>
                        <m:ctrlPr>
                          <w:rPr>
                            <w:rFonts w:ascii="Cambria Math" w:eastAsiaTheme="minorEastAsia" w:hAnsi="Cambria Math" w:cstheme="minorHAnsi"/>
                            <w:b/>
                            <w:i/>
                            <w:lang w:val="en-GB"/>
                          </w:rPr>
                        </m:ctrlPr>
                      </m:sSubPr>
                      <m:e>
                        <m:r>
                          <m:rPr>
                            <m:sty m:val="bi"/>
                          </m:rPr>
                          <w:rPr>
                            <w:rFonts w:ascii="Cambria Math" w:eastAsiaTheme="minorEastAsia" w:hAnsi="Cambria Math" w:cstheme="minorHAnsi"/>
                            <w:lang w:val="en-GB"/>
                          </w:rPr>
                          <m:t>M</m:t>
                        </m:r>
                      </m:e>
                      <m:sub>
                        <m:r>
                          <m:rPr>
                            <m:sty m:val="bi"/>
                          </m:rPr>
                          <w:rPr>
                            <w:rFonts w:ascii="Cambria Math" w:eastAsiaTheme="minorEastAsia" w:hAnsi="Cambria Math" w:cstheme="minorHAnsi"/>
                            <w:lang w:val="en-GB"/>
                          </w:rPr>
                          <m:t>2</m:t>
                        </m:r>
                      </m:sub>
                    </m:sSub>
                  </m:sub>
                </m:sSub>
                <m:r>
                  <m:rPr>
                    <m:sty m:val="bi"/>
                  </m:rPr>
                  <w:rPr>
                    <w:rFonts w:ascii="Cambria Math" w:eastAsiaTheme="minorEastAsia" w:hAnsi="Cambria Math" w:cstheme="minorHAnsi"/>
                    <w:lang w:val="en-GB"/>
                  </w:rPr>
                  <m:t>[g/L]</m:t>
                </m:r>
              </m:oMath>
            </m:oMathPara>
          </w:p>
        </w:tc>
      </w:tr>
      <w:tr w:rsidR="0088543C" w:rsidRPr="008413CF" w14:paraId="2BC1494A" w14:textId="77777777" w:rsidTr="006E4719">
        <w:tc>
          <w:tcPr>
            <w:tcW w:w="1119" w:type="dxa"/>
            <w:shd w:val="clear" w:color="auto" w:fill="FFFFFF"/>
            <w:vAlign w:val="center"/>
          </w:tcPr>
          <w:p w14:paraId="0E0966BE" w14:textId="2DDC45D2" w:rsidR="0088543C" w:rsidRPr="008413CF" w:rsidRDefault="0088543C" w:rsidP="006E4719">
            <w:pPr>
              <w:pStyle w:val="CETBodytext"/>
              <w:jc w:val="center"/>
            </w:pPr>
            <w:r>
              <w:t>0.3</w:t>
            </w:r>
            <w:r w:rsidR="00A01D0A">
              <w:t>41</w:t>
            </w:r>
            <w:r>
              <w:t xml:space="preserve"> </w:t>
            </w:r>
            <w:r>
              <w:rPr>
                <w:rFonts w:cs="Arial"/>
              </w:rPr>
              <w:t>±</w:t>
            </w:r>
            <w:r>
              <w:t xml:space="preserve"> 0.04</w:t>
            </w:r>
          </w:p>
        </w:tc>
        <w:tc>
          <w:tcPr>
            <w:tcW w:w="1112" w:type="dxa"/>
            <w:shd w:val="clear" w:color="auto" w:fill="FFFFFF"/>
            <w:vAlign w:val="center"/>
          </w:tcPr>
          <w:p w14:paraId="19B73063" w14:textId="09752C8A" w:rsidR="0088543C" w:rsidRPr="008413CF" w:rsidRDefault="0088543C" w:rsidP="006E4719">
            <w:pPr>
              <w:pStyle w:val="CETBodytext"/>
              <w:jc w:val="center"/>
            </w:pPr>
            <w:r>
              <w:t>0.0</w:t>
            </w:r>
            <w:r w:rsidR="00A01D0A">
              <w:t>58</w:t>
            </w:r>
            <w:r>
              <w:t xml:space="preserve"> </w:t>
            </w:r>
            <w:r>
              <w:rPr>
                <w:rFonts w:cs="Arial"/>
              </w:rPr>
              <w:t>±</w:t>
            </w:r>
            <w:r>
              <w:t xml:space="preserve"> 0.01</w:t>
            </w:r>
          </w:p>
        </w:tc>
        <w:tc>
          <w:tcPr>
            <w:tcW w:w="1103" w:type="dxa"/>
            <w:shd w:val="clear" w:color="auto" w:fill="FFFFFF"/>
            <w:vAlign w:val="center"/>
          </w:tcPr>
          <w:p w14:paraId="23C803A2" w14:textId="36949685" w:rsidR="0088543C" w:rsidRPr="008413CF" w:rsidRDefault="0088543C" w:rsidP="006E4719">
            <w:pPr>
              <w:pStyle w:val="CETBodytext"/>
              <w:jc w:val="center"/>
            </w:pPr>
            <w:r>
              <w:t>0.8</w:t>
            </w:r>
            <w:r w:rsidR="00A01D0A">
              <w:t>76</w:t>
            </w:r>
            <w:r>
              <w:t xml:space="preserve"> </w:t>
            </w:r>
            <w:r>
              <w:rPr>
                <w:rFonts w:cs="Arial"/>
              </w:rPr>
              <w:t>± 0.1</w:t>
            </w:r>
            <w:r w:rsidR="00A01D0A">
              <w:rPr>
                <w:rFonts w:cs="Arial"/>
              </w:rPr>
              <w:t>6</w:t>
            </w:r>
          </w:p>
        </w:tc>
        <w:tc>
          <w:tcPr>
            <w:tcW w:w="1103" w:type="dxa"/>
            <w:shd w:val="clear" w:color="auto" w:fill="FFFFFF"/>
            <w:vAlign w:val="center"/>
          </w:tcPr>
          <w:p w14:paraId="4B402422" w14:textId="356D130C" w:rsidR="0088543C" w:rsidRPr="008413CF" w:rsidRDefault="0088543C" w:rsidP="006E4719">
            <w:pPr>
              <w:pStyle w:val="CETBodytext"/>
              <w:ind w:right="-1"/>
              <w:jc w:val="center"/>
              <w:rPr>
                <w:rFonts w:cs="Arial"/>
                <w:szCs w:val="18"/>
              </w:rPr>
            </w:pPr>
            <w:r>
              <w:rPr>
                <w:rFonts w:cs="Arial"/>
              </w:rPr>
              <w:t>0.34</w:t>
            </w:r>
            <w:r w:rsidR="00A01D0A">
              <w:rPr>
                <w:rFonts w:cs="Arial"/>
              </w:rPr>
              <w:t>8</w:t>
            </w:r>
            <w:r>
              <w:rPr>
                <w:rFonts w:cs="Arial"/>
              </w:rPr>
              <w:t xml:space="preserve"> ± 0.0</w:t>
            </w:r>
            <w:r w:rsidR="00A01D0A">
              <w:rPr>
                <w:rFonts w:cs="Arial"/>
              </w:rPr>
              <w:t>7</w:t>
            </w:r>
          </w:p>
        </w:tc>
        <w:tc>
          <w:tcPr>
            <w:tcW w:w="1104" w:type="dxa"/>
            <w:shd w:val="clear" w:color="auto" w:fill="FFFFFF"/>
            <w:vAlign w:val="center"/>
          </w:tcPr>
          <w:p w14:paraId="76B714B9" w14:textId="74BE712B" w:rsidR="0088543C" w:rsidRPr="008413CF" w:rsidRDefault="0088543C" w:rsidP="006E4719">
            <w:pPr>
              <w:pStyle w:val="CETBodytext"/>
              <w:ind w:right="-1"/>
              <w:jc w:val="center"/>
              <w:rPr>
                <w:rFonts w:cs="Arial"/>
                <w:szCs w:val="18"/>
              </w:rPr>
            </w:pPr>
            <w:r>
              <w:rPr>
                <w:rFonts w:cs="Arial"/>
              </w:rPr>
              <w:t>4.</w:t>
            </w:r>
            <w:r w:rsidR="00A01D0A">
              <w:rPr>
                <w:rFonts w:cs="Arial"/>
              </w:rPr>
              <w:t>812</w:t>
            </w:r>
            <w:r>
              <w:rPr>
                <w:rFonts w:cs="Arial"/>
              </w:rPr>
              <w:t xml:space="preserve"> ± </w:t>
            </w:r>
            <w:r w:rsidR="00A01D0A">
              <w:rPr>
                <w:rFonts w:cs="Arial"/>
              </w:rPr>
              <w:t>0</w:t>
            </w:r>
            <w:r>
              <w:rPr>
                <w:rFonts w:cs="Arial"/>
              </w:rPr>
              <w:t>.</w:t>
            </w:r>
            <w:r w:rsidR="00A01D0A">
              <w:rPr>
                <w:rFonts w:cs="Arial"/>
              </w:rPr>
              <w:t>77</w:t>
            </w:r>
          </w:p>
        </w:tc>
        <w:tc>
          <w:tcPr>
            <w:tcW w:w="1082" w:type="dxa"/>
            <w:shd w:val="clear" w:color="auto" w:fill="FFFFFF"/>
            <w:vAlign w:val="center"/>
          </w:tcPr>
          <w:p w14:paraId="68A2FE62" w14:textId="21CE6E70" w:rsidR="0088543C" w:rsidRPr="008413CF" w:rsidRDefault="0088543C" w:rsidP="006E4719">
            <w:pPr>
              <w:pStyle w:val="CETBodytext"/>
              <w:ind w:right="-1"/>
              <w:jc w:val="center"/>
              <w:rPr>
                <w:rFonts w:cs="Arial"/>
                <w:szCs w:val="18"/>
              </w:rPr>
            </w:pPr>
            <w:r>
              <w:rPr>
                <w:rFonts w:cs="Arial"/>
              </w:rPr>
              <w:t>0.</w:t>
            </w:r>
            <w:r w:rsidR="00A01D0A">
              <w:rPr>
                <w:rFonts w:cs="Arial"/>
              </w:rPr>
              <w:t>367</w:t>
            </w:r>
            <w:r>
              <w:rPr>
                <w:rFonts w:cs="Arial"/>
              </w:rPr>
              <w:t xml:space="preserve"> ± 0.1</w:t>
            </w:r>
            <w:r w:rsidR="00A01D0A">
              <w:rPr>
                <w:rFonts w:cs="Arial"/>
              </w:rPr>
              <w:t>1</w:t>
            </w:r>
          </w:p>
        </w:tc>
        <w:tc>
          <w:tcPr>
            <w:tcW w:w="1082" w:type="dxa"/>
            <w:shd w:val="clear" w:color="auto" w:fill="FFFFFF"/>
            <w:vAlign w:val="center"/>
          </w:tcPr>
          <w:p w14:paraId="5005D522" w14:textId="16BFE732" w:rsidR="0088543C" w:rsidRPr="008413CF" w:rsidRDefault="0088543C" w:rsidP="006E4719">
            <w:pPr>
              <w:pStyle w:val="CETBodytext"/>
              <w:ind w:right="-1"/>
              <w:jc w:val="center"/>
              <w:rPr>
                <w:rFonts w:cs="Arial"/>
                <w:szCs w:val="18"/>
              </w:rPr>
            </w:pPr>
            <w:r>
              <w:rPr>
                <w:rFonts w:cs="Arial"/>
              </w:rPr>
              <w:t>1.</w:t>
            </w:r>
            <w:r w:rsidR="00A01D0A">
              <w:rPr>
                <w:rFonts w:cs="Arial"/>
              </w:rPr>
              <w:t>574</w:t>
            </w:r>
            <w:r>
              <w:rPr>
                <w:rFonts w:cs="Arial"/>
              </w:rPr>
              <w:t xml:space="preserve"> ± 0.</w:t>
            </w:r>
            <w:r w:rsidR="00A01D0A">
              <w:rPr>
                <w:rFonts w:cs="Arial"/>
              </w:rPr>
              <w:t>51</w:t>
            </w:r>
          </w:p>
        </w:tc>
        <w:tc>
          <w:tcPr>
            <w:tcW w:w="1082" w:type="dxa"/>
            <w:shd w:val="clear" w:color="auto" w:fill="FFFFFF"/>
            <w:vAlign w:val="center"/>
          </w:tcPr>
          <w:p w14:paraId="0ACE69E6" w14:textId="31CA2D14" w:rsidR="0088543C" w:rsidRPr="008413CF" w:rsidRDefault="0088543C" w:rsidP="006E4719">
            <w:pPr>
              <w:pStyle w:val="CETBodytext"/>
              <w:ind w:right="-1"/>
              <w:jc w:val="center"/>
              <w:rPr>
                <w:rFonts w:cs="Arial"/>
                <w:szCs w:val="18"/>
              </w:rPr>
            </w:pPr>
            <w:r>
              <w:rPr>
                <w:rFonts w:cs="Arial"/>
              </w:rPr>
              <w:t>1</w:t>
            </w:r>
            <w:r w:rsidR="00A01D0A">
              <w:rPr>
                <w:rFonts w:cs="Arial"/>
              </w:rPr>
              <w:t>.323</w:t>
            </w:r>
            <w:r>
              <w:rPr>
                <w:rFonts w:cs="Arial"/>
              </w:rPr>
              <w:t xml:space="preserve"> ± 0.</w:t>
            </w:r>
            <w:r w:rsidR="00A01D0A">
              <w:rPr>
                <w:rFonts w:cs="Arial"/>
              </w:rPr>
              <w:t>32</w:t>
            </w:r>
          </w:p>
        </w:tc>
      </w:tr>
    </w:tbl>
    <w:p w14:paraId="3D4F188A" w14:textId="77777777" w:rsidR="0088543C" w:rsidRDefault="0088543C" w:rsidP="003C6671">
      <w:pPr>
        <w:pStyle w:val="CETBodytext"/>
      </w:pPr>
    </w:p>
    <w:p w14:paraId="36363EEB" w14:textId="2C7D170D" w:rsidR="00AB55D4" w:rsidRPr="00296AC7" w:rsidRDefault="00296AC7" w:rsidP="003C6671">
      <w:pPr>
        <w:pStyle w:val="CETBodytext"/>
      </w:pPr>
      <w:r>
        <w:t>Analyzing the parameters values,</w:t>
      </w:r>
      <w:r w:rsidR="00AB55D4" w:rsidRPr="003C6671">
        <w:t xml:space="preserve"> </w:t>
      </w:r>
      <m:oMath>
        <m:sSub>
          <m:sSubPr>
            <m:ctrlPr>
              <w:rPr>
                <w:rFonts w:ascii="Cambria Math" w:hAnsi="Cambria Math"/>
              </w:rPr>
            </m:ctrlPr>
          </m:sSubPr>
          <m:e>
            <m:r>
              <w:rPr>
                <w:rFonts w:ascii="Cambria Math" w:eastAsiaTheme="minorEastAsia" w:hAnsi="Cambria Math"/>
              </w:rPr>
              <m:t>P</m:t>
            </m:r>
          </m:e>
          <m:sub>
            <m:r>
              <w:rPr>
                <w:rFonts w:ascii="Cambria Math" w:eastAsiaTheme="minorEastAsia" w:hAnsi="Cambria Math"/>
              </w:rPr>
              <m:t>ix</m:t>
            </m:r>
          </m:sub>
        </m:sSub>
      </m:oMath>
      <w:r w:rsidR="00AB55D4" w:rsidRPr="003C6671">
        <w:t xml:space="preserve"> and </w:t>
      </w:r>
      <m:oMath>
        <m:sSub>
          <m:sSubPr>
            <m:ctrlPr>
              <w:rPr>
                <w:rFonts w:ascii="Cambria Math" w:hAnsi="Cambria Math"/>
              </w:rPr>
            </m:ctrlPr>
          </m:sSubPr>
          <m:e>
            <m:r>
              <w:rPr>
                <w:rFonts w:ascii="Cambria Math" w:eastAsiaTheme="minorEastAsia" w:hAnsi="Cambria Math"/>
              </w:rPr>
              <m:t>P</m:t>
            </m:r>
          </m:e>
          <m:sub>
            <m:r>
              <w:rPr>
                <w:rFonts w:ascii="Cambria Math" w:eastAsiaTheme="minorEastAsia" w:hAnsi="Cambria Math"/>
              </w:rPr>
              <m:t>xmax</m:t>
            </m:r>
          </m:sub>
        </m:sSub>
      </m:oMath>
      <w:r w:rsidR="00AB55D4" w:rsidRPr="003C6671">
        <w:t xml:space="preserve"> </w:t>
      </w:r>
      <w:r w:rsidR="00AC6240">
        <w:t>-</w:t>
      </w:r>
      <w:r>
        <w:t xml:space="preserve"> 0.08 and 10 respectively - </w:t>
      </w:r>
      <w:r w:rsidR="00AB55D4" w:rsidRPr="003C6671">
        <w:t xml:space="preserve">are particularly interesting because of the implication that they might have on the fermentation performances. These values show that even with relatively low concentrations </w:t>
      </w:r>
      <w:r w:rsidR="00AB55D4" w:rsidRPr="005E2097">
        <w:t xml:space="preserve">of </w:t>
      </w:r>
      <w:r w:rsidR="005E2097">
        <w:t>produced molecule</w:t>
      </w:r>
      <w:r w:rsidR="00AB55D4" w:rsidRPr="003C6671">
        <w:t xml:space="preserve"> the product inhibition phenomen</w:t>
      </w:r>
      <w:r w:rsidR="0081624D">
        <w:t>on</w:t>
      </w:r>
      <w:r w:rsidR="00AB55D4" w:rsidRPr="003C6671">
        <w:t xml:space="preserve"> has an effect on the growth of the microorganism. This </w:t>
      </w:r>
      <w:r w:rsidR="009B3F56">
        <w:t>information</w:t>
      </w:r>
      <w:r w:rsidR="00AB55D4" w:rsidRPr="003C6671">
        <w:t xml:space="preserve"> could be used to optimize the fermentation process</w:t>
      </w:r>
      <w:r w:rsidR="009B3F56">
        <w:t xml:space="preserve"> by</w:t>
      </w:r>
      <w:r w:rsidR="00AB55D4" w:rsidRPr="003C6671">
        <w:t xml:space="preserve"> </w:t>
      </w:r>
      <w:r w:rsidR="009B3F56">
        <w:t>reducing</w:t>
      </w:r>
      <w:r w:rsidR="00AB55D4" w:rsidRPr="003C6671">
        <w:t xml:space="preserve"> the product concentration in the bioreactor, for example through a semicontinuous fermentation</w:t>
      </w:r>
      <w:r>
        <w:t>. Moreover</w:t>
      </w:r>
      <w:r w:rsidR="006E2EC0">
        <w:t>,</w:t>
      </w:r>
      <w:r>
        <w:t xml:space="preserve"> t</w:t>
      </w:r>
      <w:r w:rsidRPr="00296AC7">
        <w:t xml:space="preserve">he </w:t>
      </w:r>
      <w:r w:rsidR="006E2EC0">
        <w:t xml:space="preserve">ratio between </w:t>
      </w:r>
      <m:oMath>
        <m:sSub>
          <m:sSubPr>
            <m:ctrlPr>
              <w:rPr>
                <w:rFonts w:ascii="Cambria Math" w:hAnsi="Cambria Math"/>
                <w:i/>
              </w:rPr>
            </m:ctrlPr>
          </m:sSubPr>
          <m:e>
            <m:r>
              <w:rPr>
                <w:rFonts w:ascii="Cambria Math" w:hAnsi="Cambria Math"/>
              </w:rPr>
              <m:t>β</m:t>
            </m:r>
          </m:e>
          <m:sub>
            <m:r>
              <w:rPr>
                <w:rFonts w:ascii="Cambria Math" w:hAnsi="Cambria Math"/>
              </w:rPr>
              <m:t>2</m:t>
            </m:r>
          </m:sub>
        </m:sSub>
      </m:oMath>
      <w:r w:rsidR="006E2EC0">
        <w:t xml:space="preserve"> and </w:t>
      </w:r>
      <m:oMath>
        <m:sSub>
          <m:sSubPr>
            <m:ctrlPr>
              <w:rPr>
                <w:rFonts w:ascii="Cambria Math" w:hAnsi="Cambria Math"/>
                <w:i/>
              </w:rPr>
            </m:ctrlPr>
          </m:sSubPr>
          <m:e>
            <m:r>
              <w:rPr>
                <w:rFonts w:ascii="Cambria Math" w:hAnsi="Cambria Math"/>
              </w:rPr>
              <m:t>β</m:t>
            </m:r>
          </m:e>
          <m:sub>
            <m:r>
              <w:rPr>
                <w:rFonts w:ascii="Cambria Math" w:hAnsi="Cambria Math"/>
              </w:rPr>
              <m:t>1</m:t>
            </m:r>
          </m:sub>
        </m:sSub>
      </m:oMath>
      <w:r w:rsidR="006E2EC0">
        <w:t>, equal to</w:t>
      </w:r>
      <w:r>
        <w:t xml:space="preserve"> 9.5</w:t>
      </w:r>
      <w:r w:rsidR="006E2EC0">
        <w:t>,</w:t>
      </w:r>
      <w:r>
        <w:t xml:space="preserve"> shows that</w:t>
      </w:r>
      <w:r w:rsidRPr="00296AC7">
        <w:t xml:space="preserve"> the amount of </w:t>
      </w:r>
      <w:r>
        <w:t>product</w:t>
      </w:r>
      <w:r w:rsidRPr="00296AC7">
        <w:t xml:space="preserve"> obtained per unit of oil is much higher compared to</w:t>
      </w:r>
      <w:r w:rsidR="006E2EC0">
        <w:t xml:space="preserve"> that of</w:t>
      </w:r>
      <w:r w:rsidRPr="00296AC7">
        <w:t xml:space="preserve"> glycerol. The </w:t>
      </w:r>
      <w:r w:rsidR="006E2EC0">
        <w:t xml:space="preserve">ratio between </w:t>
      </w:r>
      <m:oMath>
        <m:sSub>
          <m:sSubPr>
            <m:ctrlPr>
              <w:rPr>
                <w:rFonts w:ascii="Cambria Math" w:hAnsi="Cambria Math"/>
                <w:i/>
              </w:rPr>
            </m:ctrlPr>
          </m:sSubPr>
          <m:e>
            <m:r>
              <w:rPr>
                <w:rFonts w:ascii="Cambria Math" w:hAnsi="Cambria Math"/>
              </w:rPr>
              <m:t>δ</m:t>
            </m:r>
          </m:e>
          <m:sub>
            <m:r>
              <w:rPr>
                <w:rFonts w:ascii="Cambria Math" w:hAnsi="Cambria Math"/>
              </w:rPr>
              <m:t>2</m:t>
            </m:r>
          </m:sub>
        </m:sSub>
      </m:oMath>
      <w:r w:rsidR="00A22FDD">
        <w:t xml:space="preserve"> and </w:t>
      </w:r>
      <m:oMath>
        <m:sSub>
          <m:sSubPr>
            <m:ctrlPr>
              <w:rPr>
                <w:rFonts w:ascii="Cambria Math" w:hAnsi="Cambria Math"/>
                <w:i/>
              </w:rPr>
            </m:ctrlPr>
          </m:sSubPr>
          <m:e>
            <m:r>
              <w:rPr>
                <w:rFonts w:ascii="Cambria Math" w:hAnsi="Cambria Math"/>
              </w:rPr>
              <m:t>δ</m:t>
            </m:r>
          </m:e>
          <m:sub>
            <m:r>
              <w:rPr>
                <w:rFonts w:ascii="Cambria Math" w:hAnsi="Cambria Math"/>
              </w:rPr>
              <m:t>1</m:t>
            </m:r>
          </m:sub>
        </m:sSub>
      </m:oMath>
      <w:r w:rsidRPr="00296AC7">
        <w:t xml:space="preserve"> was </w:t>
      </w:r>
      <w:r w:rsidR="00A22FDD">
        <w:t xml:space="preserve">instead </w:t>
      </w:r>
      <w:r w:rsidRPr="00296AC7">
        <w:t>fixed at 0.218, meaning that the rate of oil consumption is much lower compared to the rate of glycerol consumption</w:t>
      </w:r>
      <w:r>
        <w:t>. This</w:t>
      </w:r>
      <w:r w:rsidRPr="00296AC7">
        <w:t xml:space="preserve"> could be physically correct because oil requires an additional hydrolysis step </w:t>
      </w:r>
      <w:r>
        <w:t xml:space="preserve">to free glycerol, the preferred carbon source of </w:t>
      </w:r>
      <w:r>
        <w:rPr>
          <w:i/>
          <w:iCs/>
        </w:rPr>
        <w:t xml:space="preserve">Streptomyces sp. </w:t>
      </w:r>
    </w:p>
    <w:p w14:paraId="21C1CDD0" w14:textId="4E9319C6" w:rsidR="00351399" w:rsidRPr="003C6671" w:rsidRDefault="00360BD1" w:rsidP="003C6671">
      <w:pPr>
        <w:pStyle w:val="CETBodytext"/>
      </w:pPr>
      <w:r>
        <w:t>An example of e</w:t>
      </w:r>
      <w:r w:rsidR="00AB55D4" w:rsidRPr="003C6671">
        <w:t>xperimental data and model d</w:t>
      </w:r>
      <w:r w:rsidR="00351399" w:rsidRPr="003C6671">
        <w:t>ata fitting</w:t>
      </w:r>
      <w:r w:rsidR="00B907CA">
        <w:t>, based on one of the 14 dataset</w:t>
      </w:r>
      <w:r>
        <w:t>s</w:t>
      </w:r>
      <w:r w:rsidR="00B907CA">
        <w:t>,</w:t>
      </w:r>
      <w:r w:rsidR="00351399" w:rsidRPr="003C6671">
        <w:t xml:space="preserve"> </w:t>
      </w:r>
      <w:r>
        <w:t>is</w:t>
      </w:r>
      <w:r w:rsidR="00351399" w:rsidRPr="003C6671">
        <w:t xml:space="preserve"> showed in Figure 1.</w:t>
      </w:r>
    </w:p>
    <w:p w14:paraId="27BD303F" w14:textId="15B75C37" w:rsidR="00FB5BEB" w:rsidRPr="008413CF" w:rsidRDefault="006D459F" w:rsidP="00FB5BEB">
      <w:pPr>
        <w:pStyle w:val="CETCaption"/>
        <w:rPr>
          <w:lang w:val="en-US"/>
        </w:rPr>
      </w:pPr>
      <w:r>
        <w:rPr>
          <w:noProof/>
          <w:sz w:val="20"/>
        </w:rPr>
        <w:drawing>
          <wp:inline distT="0" distB="0" distL="0" distR="0" wp14:anchorId="36596579" wp14:editId="58E8E2B1">
            <wp:extent cx="3132000" cy="2349166"/>
            <wp:effectExtent l="0" t="0" r="0" b="0"/>
            <wp:docPr id="41804226"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04226" name="Immagine 4180422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32000" cy="2349166"/>
                    </a:xfrm>
                    <a:prstGeom prst="rect">
                      <a:avLst/>
                    </a:prstGeom>
                  </pic:spPr>
                </pic:pic>
              </a:graphicData>
            </a:graphic>
          </wp:inline>
        </w:drawing>
      </w:r>
    </w:p>
    <w:p w14:paraId="1FF09FC1" w14:textId="523FBD09" w:rsidR="00FB5BEB" w:rsidRPr="008413CF" w:rsidRDefault="00FB5BEB" w:rsidP="00FB5BEB">
      <w:pPr>
        <w:pStyle w:val="CETCaption"/>
        <w:rPr>
          <w:lang w:val="en-US"/>
        </w:rPr>
      </w:pPr>
      <w:r w:rsidRPr="008413CF">
        <w:rPr>
          <w:rStyle w:val="CETCaptionCarattere"/>
          <w:i/>
          <w:lang w:val="en-US"/>
        </w:rPr>
        <w:t xml:space="preserve">Figure 1: </w:t>
      </w:r>
      <w:r w:rsidR="00AB55D4">
        <w:rPr>
          <w:rStyle w:val="CETCaptionCarattere"/>
          <w:i/>
          <w:lang w:val="en-US"/>
        </w:rPr>
        <w:t>Simulated (continuous line) and experimental (dispersed points) data of Streptomyces sp. fermentation process.</w:t>
      </w:r>
      <w:r w:rsidR="002B3AF2">
        <w:rPr>
          <w:rStyle w:val="CETCaptionCarattere"/>
          <w:i/>
          <w:lang w:val="en-US"/>
        </w:rPr>
        <w:t xml:space="preserve"> Concentrations values are expressed as percentage of the highest value (initial C</w:t>
      </w:r>
      <w:r w:rsidR="002B3AF2">
        <w:rPr>
          <w:rStyle w:val="CETCaptionCarattere"/>
          <w:i/>
          <w:vertAlign w:val="subscript"/>
          <w:lang w:val="en-US"/>
        </w:rPr>
        <w:t>S</w:t>
      </w:r>
      <w:r w:rsidR="002B3AF2" w:rsidRPr="005702AC">
        <w:rPr>
          <w:rStyle w:val="CETCaptionCarattere"/>
          <w:i/>
          <w:vertAlign w:val="subscript"/>
          <w:lang w:val="en-US"/>
        </w:rPr>
        <w:t>2</w:t>
      </w:r>
      <w:r w:rsidR="002B3AF2">
        <w:rPr>
          <w:rStyle w:val="CETCaptionCarattere"/>
          <w:i/>
          <w:lang w:val="en-US"/>
        </w:rPr>
        <w:t xml:space="preserve"> concentration).</w:t>
      </w:r>
      <w:r w:rsidR="00AB55D4">
        <w:rPr>
          <w:rStyle w:val="CETCaptionCarattere"/>
          <w:i/>
          <w:lang w:val="en-US"/>
        </w:rPr>
        <w:t xml:space="preserve"> </w:t>
      </w:r>
    </w:p>
    <w:p w14:paraId="1D676A75" w14:textId="13922CCD" w:rsidR="00DD5BF1" w:rsidRDefault="003C6671" w:rsidP="00351399">
      <w:pPr>
        <w:pStyle w:val="CETBodytext"/>
        <w:rPr>
          <w:bCs/>
          <w:lang w:val="en-GB"/>
        </w:rPr>
      </w:pPr>
      <w:r w:rsidRPr="003C6671">
        <w:t>As shown, the model can describe with good approximation</w:t>
      </w:r>
      <w:r w:rsidR="00B100B1">
        <w:t xml:space="preserve"> (NRMSE of 10.3 %)</w:t>
      </w:r>
      <w:r w:rsidRPr="003C6671">
        <w:t xml:space="preserve"> the different </w:t>
      </w:r>
      <w:r w:rsidR="00B3132F">
        <w:t>evolution profiles</w:t>
      </w:r>
      <w:r w:rsidR="00B3132F" w:rsidRPr="003C6671">
        <w:t xml:space="preserve"> </w:t>
      </w:r>
      <w:r w:rsidRPr="003C6671">
        <w:t>of biomass</w:t>
      </w:r>
      <w:r w:rsidR="00B3132F">
        <w:t xml:space="preserve"> and</w:t>
      </w:r>
      <w:r w:rsidRPr="003C6671">
        <w:t xml:space="preserve"> product </w:t>
      </w:r>
      <w:r w:rsidR="00B3132F">
        <w:t>formation</w:t>
      </w:r>
      <w:r w:rsidRPr="003C6671">
        <w:t xml:space="preserve">, and substrate consumption. Looking at the biomass </w:t>
      </w:r>
      <w:r w:rsidR="00B3132F">
        <w:t>profile</w:t>
      </w:r>
      <w:r w:rsidRPr="003C6671">
        <w:t xml:space="preserve">, it is interesting to note that the stationary growth phase starts around 48 h after the start of the process. This is also the time when the product concentration starts to increase, confirming the secondary metabolite nature of the product. It </w:t>
      </w:r>
      <w:r w:rsidRPr="003C6671">
        <w:lastRenderedPageBreak/>
        <w:t xml:space="preserve">is also interesting that after </w:t>
      </w:r>
      <w:r w:rsidR="005E2097">
        <w:t>80</w:t>
      </w:r>
      <w:r w:rsidRPr="003C6671">
        <w:t xml:space="preserve"> h the biomass concentration </w:t>
      </w:r>
      <w:r w:rsidR="005E2097">
        <w:t>starts to</w:t>
      </w:r>
      <w:r w:rsidRPr="003C6671">
        <w:t xml:space="preserve"> decreas</w:t>
      </w:r>
      <w:r w:rsidR="005E2097">
        <w:t>e</w:t>
      </w:r>
      <w:r w:rsidRPr="003C6671">
        <w:t xml:space="preserve">, even though there are still nutrients (oil and glycerol) available in the bioreactor. This is probably due to the presence of product inhibition. At the end of the stationary phase, indeed, </w:t>
      </w:r>
      <w:r w:rsidRPr="005E2097">
        <w:t xml:space="preserve">the </w:t>
      </w:r>
      <w:r w:rsidR="005E2097">
        <w:t>product</w:t>
      </w:r>
      <w:r w:rsidRPr="003C6671">
        <w:t xml:space="preserve"> reaches high concentrations that cause significant stress to the cells</w:t>
      </w:r>
      <w:r>
        <w:t xml:space="preserve">. </w:t>
      </w:r>
      <w:r w:rsidR="00820B74">
        <w:rPr>
          <w:rFonts w:cs="Arial"/>
          <w:color w:val="000000"/>
          <w:szCs w:val="14"/>
        </w:rPr>
        <w:t xml:space="preserve">This is also </w:t>
      </w:r>
      <w:r w:rsidR="00C14409">
        <w:rPr>
          <w:rFonts w:cs="Arial"/>
          <w:color w:val="000000"/>
          <w:szCs w:val="14"/>
        </w:rPr>
        <w:t>in agreement with</w:t>
      </w:r>
      <w:r w:rsidR="00820B74">
        <w:rPr>
          <w:rFonts w:cs="Arial"/>
          <w:color w:val="000000"/>
          <w:szCs w:val="14"/>
        </w:rPr>
        <w:t xml:space="preserve"> the values of </w:t>
      </w:r>
      <m:oMath>
        <m:sSub>
          <m:sSubPr>
            <m:ctrlPr>
              <w:rPr>
                <w:rFonts w:ascii="Cambria Math" w:eastAsiaTheme="minorEastAsia" w:hAnsi="Cambria Math" w:cstheme="minorHAnsi"/>
                <w:bCs/>
                <w:i/>
                <w:lang w:val="en-GB"/>
              </w:rPr>
            </m:ctrlPr>
          </m:sSubPr>
          <m:e>
            <m:r>
              <w:rPr>
                <w:rFonts w:ascii="Cambria Math" w:eastAsiaTheme="minorEastAsia" w:hAnsi="Cambria Math" w:cstheme="minorHAnsi"/>
                <w:lang w:val="en-GB"/>
              </w:rPr>
              <m:t>P</m:t>
            </m:r>
          </m:e>
          <m:sub>
            <m:r>
              <w:rPr>
                <w:rFonts w:ascii="Cambria Math" w:eastAsiaTheme="minorEastAsia" w:hAnsi="Cambria Math" w:cstheme="minorHAnsi"/>
                <w:lang w:val="en-GB"/>
              </w:rPr>
              <m:t>xmax</m:t>
            </m:r>
          </m:sub>
        </m:sSub>
      </m:oMath>
      <w:r w:rsidR="00C71867">
        <w:rPr>
          <w:bCs/>
          <w:lang w:val="en-GB"/>
        </w:rPr>
        <w:t>.</w:t>
      </w:r>
      <w:r w:rsidR="00DD5BF1" w:rsidRPr="00DD5BF1">
        <w:rPr>
          <w:bCs/>
        </w:rPr>
        <w:t xml:space="preserve">Moreover, the glycerol concentration starts to increase after ~40 h as a consequence of the switch from the exponential growth phase to the stationary phase. Once the switch occurs,  glycerol is consumed </w:t>
      </w:r>
      <w:r w:rsidR="00E2113B">
        <w:rPr>
          <w:bCs/>
        </w:rPr>
        <w:t xml:space="preserve"> at a </w:t>
      </w:r>
      <w:r w:rsidR="00DD5BF1" w:rsidRPr="00DD5BF1">
        <w:rPr>
          <w:bCs/>
        </w:rPr>
        <w:t xml:space="preserve">slower </w:t>
      </w:r>
      <w:r w:rsidR="00E2113B">
        <w:rPr>
          <w:bCs/>
        </w:rPr>
        <w:t xml:space="preserve">rate for the </w:t>
      </w:r>
      <w:r w:rsidR="00DD5BF1" w:rsidRPr="00DD5BF1">
        <w:rPr>
          <w:bCs/>
        </w:rPr>
        <w:t xml:space="preserve">production </w:t>
      </w:r>
      <w:r w:rsidR="00E2113B">
        <w:rPr>
          <w:bCs/>
        </w:rPr>
        <w:t>of the desired molecule</w:t>
      </w:r>
      <w:r w:rsidR="00DD5BF1" w:rsidRPr="00DD5BF1">
        <w:rPr>
          <w:bCs/>
        </w:rPr>
        <w:t>, while the feed continues at a nearly constant rate: since the feed rate now exceeds the residual uptake rate, glycerol progressively accumulates in the broth. The same metabolic switch also affects oil consumption, but in this case no accumulation is observed, since most of the oil is supplied as an initial charge and its feed rate remains lower than the residual uptake rate, so that its concentration keeps decreasing throughout the stationary phase.</w:t>
      </w:r>
    </w:p>
    <w:p w14:paraId="7F5289A9" w14:textId="0C2F8F52" w:rsidR="00C71867" w:rsidRDefault="00C71867" w:rsidP="00351399">
      <w:pPr>
        <w:pStyle w:val="CETBodytext"/>
        <w:rPr>
          <w:bCs/>
          <w:lang w:val="en-GB"/>
        </w:rPr>
      </w:pPr>
      <w:r>
        <w:rPr>
          <w:bCs/>
          <w:lang w:val="en-GB"/>
        </w:rPr>
        <w:t>The model was also employed to estimate th</w:t>
      </w:r>
      <w:r w:rsidR="003C6671">
        <w:rPr>
          <w:bCs/>
          <w:lang w:val="en-GB"/>
        </w:rPr>
        <w:t>e</w:t>
      </w:r>
      <w:r>
        <w:rPr>
          <w:bCs/>
          <w:lang w:val="en-GB"/>
        </w:rPr>
        <w:t xml:space="preserve"> substrate consumption </w:t>
      </w:r>
      <w:r w:rsidR="003C6671">
        <w:rPr>
          <w:bCs/>
          <w:lang w:val="en-GB"/>
        </w:rPr>
        <w:t xml:space="preserve">evolution </w:t>
      </w:r>
      <w:r>
        <w:rPr>
          <w:bCs/>
          <w:lang w:val="en-GB"/>
        </w:rPr>
        <w:t>during the fed-batch process. Results are shown in Figure 2.</w:t>
      </w:r>
    </w:p>
    <w:p w14:paraId="27B3ABBE" w14:textId="77777777" w:rsidR="00CA43BA" w:rsidRDefault="00CA43BA" w:rsidP="00351399">
      <w:pPr>
        <w:pStyle w:val="CETBodytext"/>
        <w:rPr>
          <w:bCs/>
          <w:noProof/>
          <w:lang w:val="en-GB"/>
        </w:rPr>
      </w:pPr>
    </w:p>
    <w:p w14:paraId="0EA33F39" w14:textId="7055D405" w:rsidR="00FB5BEB" w:rsidRDefault="00CA43BA" w:rsidP="00351399">
      <w:pPr>
        <w:pStyle w:val="CETBodytext"/>
      </w:pPr>
      <w:r>
        <w:rPr>
          <w:bCs/>
          <w:noProof/>
          <w:lang w:val="en-GB"/>
        </w:rPr>
        <w:drawing>
          <wp:inline distT="0" distB="0" distL="0" distR="0" wp14:anchorId="348A6C26" wp14:editId="39478647">
            <wp:extent cx="3132000" cy="2294019"/>
            <wp:effectExtent l="0" t="0" r="0" b="0"/>
            <wp:docPr id="86650398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503987" name="Immagine 866503987"/>
                    <pic:cNvPicPr/>
                  </pic:nvPicPr>
                  <pic:blipFill rotWithShape="1">
                    <a:blip r:embed="rId11"/>
                    <a:srcRect t="6779"/>
                    <a:stretch>
                      <a:fillRect/>
                    </a:stretch>
                  </pic:blipFill>
                  <pic:spPr bwMode="auto">
                    <a:xfrm>
                      <a:off x="0" y="0"/>
                      <a:ext cx="3132000" cy="2294019"/>
                    </a:xfrm>
                    <a:prstGeom prst="rect">
                      <a:avLst/>
                    </a:prstGeom>
                    <a:ln>
                      <a:noFill/>
                    </a:ln>
                    <a:extLst>
                      <a:ext uri="{53640926-AAD7-44D8-BBD7-CCE9431645EC}">
                        <a14:shadowObscured xmlns:a14="http://schemas.microsoft.com/office/drawing/2010/main"/>
                      </a:ext>
                    </a:extLst>
                  </pic:spPr>
                </pic:pic>
              </a:graphicData>
            </a:graphic>
          </wp:inline>
        </w:drawing>
      </w:r>
      <w:r w:rsidR="00820B74">
        <w:rPr>
          <w:bCs/>
          <w:lang w:val="en-GB"/>
        </w:rPr>
        <w:t xml:space="preserve"> </w:t>
      </w:r>
      <w:r w:rsidR="00820B74">
        <w:rPr>
          <w:rFonts w:cs="Arial"/>
          <w:color w:val="000000"/>
          <w:szCs w:val="14"/>
        </w:rPr>
        <w:t xml:space="preserve"> </w:t>
      </w:r>
      <w:r w:rsidR="00820B74">
        <w:t xml:space="preserve"> </w:t>
      </w:r>
      <w:r w:rsidR="00AB55D4">
        <w:t xml:space="preserve"> </w:t>
      </w:r>
    </w:p>
    <w:p w14:paraId="005BD41B" w14:textId="1FB45741" w:rsidR="00C71867" w:rsidRDefault="00C71867" w:rsidP="00C71867">
      <w:pPr>
        <w:pStyle w:val="CETBodytext"/>
        <w:rPr>
          <w:rStyle w:val="CETCaptionCarattere"/>
          <w:lang w:val="en-US"/>
        </w:rPr>
      </w:pPr>
      <w:r w:rsidRPr="008413CF">
        <w:rPr>
          <w:rStyle w:val="CETCaptionCarattere"/>
          <w:lang w:val="en-US"/>
        </w:rPr>
        <w:t xml:space="preserve">Figure </w:t>
      </w:r>
      <w:r>
        <w:rPr>
          <w:rStyle w:val="CETCaptionCarattere"/>
          <w:lang w:val="en-US"/>
        </w:rPr>
        <w:t>2</w:t>
      </w:r>
      <w:r w:rsidRPr="008413CF">
        <w:rPr>
          <w:rStyle w:val="CETCaptionCarattere"/>
          <w:lang w:val="en-US"/>
        </w:rPr>
        <w:t xml:space="preserve">: </w:t>
      </w:r>
      <w:r w:rsidR="0023552F">
        <w:rPr>
          <w:rStyle w:val="CETCaptionCarattere"/>
          <w:lang w:val="en-US"/>
        </w:rPr>
        <w:t>Substrate consumption prediction and biomass evolution during fermentation process.</w:t>
      </w:r>
      <w:r>
        <w:rPr>
          <w:rStyle w:val="CETCaptionCarattere"/>
          <w:lang w:val="en-US"/>
        </w:rPr>
        <w:t xml:space="preserve"> </w:t>
      </w:r>
    </w:p>
    <w:p w14:paraId="554F7A79" w14:textId="77777777" w:rsidR="00C71867" w:rsidRDefault="00C71867" w:rsidP="00351399">
      <w:pPr>
        <w:pStyle w:val="CETBodytext"/>
      </w:pPr>
    </w:p>
    <w:p w14:paraId="0D31F350" w14:textId="6E5217C5" w:rsidR="0023552F" w:rsidRPr="0023552F" w:rsidRDefault="003C6671" w:rsidP="004D3635">
      <w:pPr>
        <w:pStyle w:val="CETBodytext"/>
        <w:rPr>
          <w:rFonts w:cs="Arial"/>
          <w:color w:val="000000"/>
          <w:szCs w:val="14"/>
          <w:lang w:val="en-GB"/>
        </w:rPr>
      </w:pPr>
      <w:r w:rsidRPr="003C6671">
        <w:rPr>
          <w:rFonts w:cs="Arial"/>
          <w:color w:val="000000"/>
          <w:szCs w:val="14"/>
        </w:rPr>
        <w:t xml:space="preserve">As can be observed, substrate consumption increases proportionally to biomass concentration during the exponential growth phase of the microorganism. The peak of substrate consumption occurs just before the onset of the stationary growth phase (around </w:t>
      </w:r>
      <w:r w:rsidR="006D459F">
        <w:rPr>
          <w:rFonts w:cs="Arial"/>
          <w:color w:val="000000"/>
          <w:szCs w:val="14"/>
        </w:rPr>
        <w:t>2</w:t>
      </w:r>
      <w:r w:rsidRPr="003C6671">
        <w:rPr>
          <w:rFonts w:cs="Arial"/>
          <w:color w:val="000000"/>
          <w:szCs w:val="14"/>
        </w:rPr>
        <w:t>0–</w:t>
      </w:r>
      <w:r w:rsidR="006D459F">
        <w:rPr>
          <w:rFonts w:cs="Arial"/>
          <w:color w:val="000000"/>
          <w:szCs w:val="14"/>
        </w:rPr>
        <w:t>40</w:t>
      </w:r>
      <w:r w:rsidRPr="003C6671">
        <w:rPr>
          <w:rFonts w:cs="Arial"/>
          <w:color w:val="000000"/>
          <w:szCs w:val="14"/>
        </w:rPr>
        <w:t xml:space="preserve"> hours) and then decreases drastically before stabilizing at an almost constant value during the late </w:t>
      </w:r>
      <w:proofErr w:type="spellStart"/>
      <w:r w:rsidRPr="003C6671">
        <w:rPr>
          <w:rFonts w:cs="Arial"/>
          <w:color w:val="000000"/>
          <w:szCs w:val="14"/>
        </w:rPr>
        <w:t>idiophase</w:t>
      </w:r>
      <w:proofErr w:type="spellEnd"/>
      <w:r w:rsidRPr="003C6671">
        <w:rPr>
          <w:rFonts w:cs="Arial"/>
          <w:color w:val="000000"/>
          <w:szCs w:val="14"/>
        </w:rPr>
        <w:t>, where the highest production of the target metabolite takes place. It can be observed that glycerol consumption during the exponential growth phase is significantly higher compared to oil consumption, a phenomenon that is also reflected in the values</w:t>
      </w:r>
      <w:r>
        <w:rPr>
          <w:rFonts w:cs="Arial"/>
          <w:color w:val="000000"/>
          <w:szCs w:val="14"/>
        </w:rPr>
        <w:t xml:space="preserve"> </w:t>
      </w:r>
      <w:r w:rsidR="0023552F">
        <w:rPr>
          <w:rFonts w:cstheme="minorHAnsi"/>
          <w:lang w:val="en-GB" w:eastAsia="it-IT"/>
        </w:rPr>
        <w:t>of</w:t>
      </w:r>
      <w:r w:rsidR="0023552F" w:rsidRPr="0023552F">
        <w:rPr>
          <w:rFonts w:cstheme="minorHAnsi"/>
          <w:bCs/>
          <w:lang w:val="en-GB" w:eastAsia="it-IT"/>
        </w:rPr>
        <w:t xml:space="preserve"> </w:t>
      </w:r>
      <m:oMath>
        <m:sSub>
          <m:sSubPr>
            <m:ctrlPr>
              <w:rPr>
                <w:rFonts w:ascii="Cambria Math" w:eastAsiaTheme="minorEastAsia" w:hAnsi="Cambria Math" w:cstheme="minorHAnsi"/>
                <w:bCs/>
                <w:i/>
                <w:lang w:val="en-GB"/>
              </w:rPr>
            </m:ctrlPr>
          </m:sSubPr>
          <m:e>
            <m:r>
              <w:rPr>
                <w:rFonts w:ascii="Cambria Math" w:eastAsiaTheme="minorEastAsia" w:hAnsi="Cambria Math" w:cstheme="minorHAnsi"/>
                <w:lang w:val="en-GB"/>
              </w:rPr>
              <m:t>γ</m:t>
            </m:r>
          </m:e>
          <m:sub>
            <m:r>
              <w:rPr>
                <w:rFonts w:ascii="Cambria Math" w:eastAsiaTheme="minorEastAsia" w:hAnsi="Cambria Math" w:cstheme="minorHAnsi"/>
                <w:lang w:val="en-GB"/>
              </w:rPr>
              <m:t>1</m:t>
            </m:r>
          </m:sub>
        </m:sSub>
      </m:oMath>
      <w:r w:rsidR="0023552F" w:rsidRPr="0023552F">
        <w:rPr>
          <w:rFonts w:cstheme="minorHAnsi"/>
          <w:bCs/>
          <w:lang w:val="en-GB"/>
        </w:rPr>
        <w:t xml:space="preserve"> and </w:t>
      </w:r>
      <m:oMath>
        <m:sSub>
          <m:sSubPr>
            <m:ctrlPr>
              <w:rPr>
                <w:rFonts w:ascii="Cambria Math" w:eastAsiaTheme="minorEastAsia" w:hAnsi="Cambria Math" w:cstheme="minorHAnsi"/>
                <w:bCs/>
                <w:i/>
                <w:lang w:val="en-GB"/>
              </w:rPr>
            </m:ctrlPr>
          </m:sSubPr>
          <m:e>
            <m:r>
              <w:rPr>
                <w:rFonts w:ascii="Cambria Math" w:eastAsiaTheme="minorEastAsia" w:hAnsi="Cambria Math" w:cstheme="minorHAnsi"/>
                <w:lang w:val="en-GB"/>
              </w:rPr>
              <m:t>γ</m:t>
            </m:r>
          </m:e>
          <m:sub>
            <m:r>
              <w:rPr>
                <w:rFonts w:ascii="Cambria Math" w:eastAsiaTheme="minorEastAsia" w:hAnsi="Cambria Math" w:cstheme="minorHAnsi"/>
                <w:lang w:val="en-GB"/>
              </w:rPr>
              <m:t>2</m:t>
            </m:r>
          </m:sub>
        </m:sSub>
      </m:oMath>
      <w:r w:rsidR="0023552F">
        <w:rPr>
          <w:rFonts w:cstheme="minorHAnsi"/>
          <w:bCs/>
          <w:lang w:val="en-GB"/>
        </w:rPr>
        <w:t xml:space="preserve"> </w:t>
      </w:r>
      <w:r w:rsidRPr="003C6671">
        <w:rPr>
          <w:rFonts w:cstheme="minorHAnsi"/>
          <w:bCs/>
        </w:rPr>
        <w:t>which describe the substrate consumption during the exponential growth phase. The glycerol parameter</w:t>
      </w:r>
      <w:r w:rsidRPr="003C6671">
        <w:rPr>
          <w:rFonts w:cstheme="minorHAnsi"/>
          <w:bCs/>
          <w:lang w:val="en-GB"/>
        </w:rPr>
        <w:t xml:space="preserve"> </w:t>
      </w:r>
      <w:r w:rsidR="0023552F">
        <w:rPr>
          <w:rFonts w:cstheme="minorHAnsi"/>
          <w:bCs/>
          <w:lang w:val="en-GB"/>
        </w:rPr>
        <w:t>(</w:t>
      </w:r>
      <m:oMath>
        <m:sSub>
          <m:sSubPr>
            <m:ctrlPr>
              <w:rPr>
                <w:rFonts w:ascii="Cambria Math" w:eastAsiaTheme="minorEastAsia" w:hAnsi="Cambria Math" w:cstheme="minorHAnsi"/>
                <w:b/>
                <w:i/>
                <w:lang w:val="en-GB"/>
              </w:rPr>
            </m:ctrlPr>
          </m:sSubPr>
          <m:e>
            <m:r>
              <m:rPr>
                <m:sty m:val="bi"/>
              </m:rPr>
              <w:rPr>
                <w:rFonts w:ascii="Cambria Math" w:eastAsiaTheme="minorEastAsia" w:hAnsi="Cambria Math" w:cstheme="minorHAnsi"/>
                <w:lang w:val="en-GB"/>
              </w:rPr>
              <m:t>γ</m:t>
            </m:r>
          </m:e>
          <m:sub>
            <m:r>
              <m:rPr>
                <m:sty m:val="bi"/>
              </m:rPr>
              <w:rPr>
                <w:rFonts w:ascii="Cambria Math" w:eastAsiaTheme="minorEastAsia" w:hAnsi="Cambria Math" w:cstheme="minorHAnsi"/>
                <w:lang w:val="en-GB"/>
              </w:rPr>
              <m:t>1</m:t>
            </m:r>
          </m:sub>
        </m:sSub>
        <m:r>
          <m:rPr>
            <m:sty m:val="bi"/>
          </m:rPr>
          <w:rPr>
            <w:rFonts w:ascii="Cambria Math" w:eastAsiaTheme="minorEastAsia" w:hAnsi="Cambria Math" w:cstheme="minorHAnsi"/>
            <w:lang w:val="en-GB"/>
          </w:rPr>
          <m:t>)</m:t>
        </m:r>
      </m:oMath>
      <w:r w:rsidR="0023552F">
        <w:rPr>
          <w:rFonts w:cstheme="minorHAnsi"/>
          <w:b/>
          <w:lang w:val="en-GB"/>
        </w:rPr>
        <w:t xml:space="preserve"> </w:t>
      </w:r>
      <w:r w:rsidR="0023552F" w:rsidRPr="0023552F">
        <w:rPr>
          <w:rFonts w:cstheme="minorHAnsi"/>
          <w:bCs/>
          <w:lang w:val="en-GB"/>
        </w:rPr>
        <w:t>indeed, is higher th</w:t>
      </w:r>
      <w:r>
        <w:rPr>
          <w:rFonts w:cstheme="minorHAnsi"/>
          <w:bCs/>
          <w:lang w:val="en-GB"/>
        </w:rPr>
        <w:t>a</w:t>
      </w:r>
      <w:r w:rsidR="0023552F" w:rsidRPr="0023552F">
        <w:rPr>
          <w:rFonts w:cstheme="minorHAnsi"/>
          <w:bCs/>
          <w:lang w:val="en-GB"/>
        </w:rPr>
        <w:t>n the one describing oil consumption</w:t>
      </w:r>
      <w:r>
        <w:rPr>
          <w:rFonts w:cstheme="minorHAnsi"/>
          <w:bCs/>
          <w:lang w:val="en-GB"/>
        </w:rPr>
        <w:t xml:space="preserve"> (</w:t>
      </w:r>
      <m:oMath>
        <m:sSub>
          <m:sSubPr>
            <m:ctrlPr>
              <w:rPr>
                <w:rFonts w:ascii="Cambria Math" w:eastAsiaTheme="minorEastAsia" w:hAnsi="Cambria Math" w:cstheme="minorHAnsi"/>
                <w:b/>
                <w:i/>
                <w:lang w:val="en-GB"/>
              </w:rPr>
            </m:ctrlPr>
          </m:sSubPr>
          <m:e>
            <m:r>
              <m:rPr>
                <m:sty m:val="bi"/>
              </m:rPr>
              <w:rPr>
                <w:rFonts w:ascii="Cambria Math" w:eastAsiaTheme="minorEastAsia" w:hAnsi="Cambria Math" w:cstheme="minorHAnsi"/>
                <w:lang w:val="en-GB"/>
              </w:rPr>
              <m:t>γ</m:t>
            </m:r>
          </m:e>
          <m:sub>
            <m:r>
              <m:rPr>
                <m:sty m:val="bi"/>
              </m:rPr>
              <w:rPr>
                <w:rFonts w:ascii="Cambria Math" w:eastAsiaTheme="minorEastAsia" w:hAnsi="Cambria Math" w:cstheme="minorHAnsi"/>
                <w:lang w:val="en-GB"/>
              </w:rPr>
              <m:t>2</m:t>
            </m:r>
          </m:sub>
        </m:sSub>
        <m:r>
          <m:rPr>
            <m:sty m:val="bi"/>
          </m:rPr>
          <w:rPr>
            <w:rFonts w:ascii="Cambria Math" w:eastAsiaTheme="minorEastAsia" w:hAnsi="Cambria Math" w:cstheme="minorHAnsi"/>
            <w:lang w:val="en-GB"/>
          </w:rPr>
          <m:t>)</m:t>
        </m:r>
      </m:oMath>
      <w:r w:rsidR="0023552F" w:rsidRPr="0023552F">
        <w:rPr>
          <w:rFonts w:cstheme="minorHAnsi"/>
          <w:bCs/>
          <w:lang w:val="en-GB"/>
        </w:rPr>
        <w:t xml:space="preserve">. </w:t>
      </w:r>
    </w:p>
    <w:p w14:paraId="7396D05E" w14:textId="70646C2C" w:rsidR="004D3635" w:rsidRDefault="003C6671" w:rsidP="004D3635">
      <w:pPr>
        <w:pStyle w:val="CETBodytext"/>
        <w:rPr>
          <w:rFonts w:cs="Arial"/>
          <w:color w:val="000000"/>
          <w:szCs w:val="14"/>
        </w:rPr>
      </w:pPr>
      <w:r w:rsidRPr="003C6671">
        <w:rPr>
          <w:rFonts w:cs="Arial"/>
          <w:color w:val="000000"/>
          <w:szCs w:val="14"/>
        </w:rPr>
        <w:t>Finally, a sensitivity analysis on the 8 unconstrained model parameters was performed</w:t>
      </w:r>
      <w:r w:rsidR="00857EAF">
        <w:rPr>
          <w:rFonts w:cs="Arial"/>
          <w:color w:val="000000"/>
          <w:szCs w:val="14"/>
        </w:rPr>
        <w:t xml:space="preserve">. Results are shown in Figure </w:t>
      </w:r>
      <w:r>
        <w:rPr>
          <w:rFonts w:cs="Arial"/>
          <w:color w:val="000000"/>
          <w:szCs w:val="14"/>
        </w:rPr>
        <w:t>3</w:t>
      </w:r>
      <w:r w:rsidR="00857EAF">
        <w:rPr>
          <w:rFonts w:cs="Arial"/>
          <w:color w:val="000000"/>
          <w:szCs w:val="14"/>
        </w:rPr>
        <w:t xml:space="preserve">. </w:t>
      </w:r>
    </w:p>
    <w:p w14:paraId="14432A18" w14:textId="30D8DAAF" w:rsidR="00857EAF" w:rsidRDefault="001B7266" w:rsidP="004D3635">
      <w:pPr>
        <w:pStyle w:val="CETBodytext"/>
      </w:pPr>
      <w:r>
        <w:rPr>
          <w:noProof/>
        </w:rPr>
        <w:drawing>
          <wp:inline distT="0" distB="0" distL="0" distR="0" wp14:anchorId="15FAEF2D" wp14:editId="3FD193C1">
            <wp:extent cx="3096000" cy="2321914"/>
            <wp:effectExtent l="0" t="0" r="0" b="2540"/>
            <wp:docPr id="208059632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596323" name="Immagine 2080596323"/>
                    <pic:cNvPicPr/>
                  </pic:nvPicPr>
                  <pic:blipFill>
                    <a:blip r:embed="rId12"/>
                    <a:stretch>
                      <a:fillRect/>
                    </a:stretch>
                  </pic:blipFill>
                  <pic:spPr>
                    <a:xfrm>
                      <a:off x="0" y="0"/>
                      <a:ext cx="3096000" cy="2321914"/>
                    </a:xfrm>
                    <a:prstGeom prst="rect">
                      <a:avLst/>
                    </a:prstGeom>
                  </pic:spPr>
                </pic:pic>
              </a:graphicData>
            </a:graphic>
          </wp:inline>
        </w:drawing>
      </w:r>
    </w:p>
    <w:p w14:paraId="13B66A80" w14:textId="4812B661" w:rsidR="00857EAF" w:rsidRDefault="00857EAF" w:rsidP="004D3635">
      <w:pPr>
        <w:pStyle w:val="CETBodytext"/>
        <w:rPr>
          <w:rStyle w:val="CETCaptionCarattere"/>
          <w:lang w:val="en-US"/>
        </w:rPr>
      </w:pPr>
      <w:r w:rsidRPr="008413CF">
        <w:rPr>
          <w:rStyle w:val="CETCaptionCarattere"/>
          <w:lang w:val="en-US"/>
        </w:rPr>
        <w:t xml:space="preserve">Figure </w:t>
      </w:r>
      <w:r w:rsidR="003C6671">
        <w:rPr>
          <w:rStyle w:val="CETCaptionCarattere"/>
          <w:lang w:val="en-US"/>
        </w:rPr>
        <w:t>3</w:t>
      </w:r>
      <w:r w:rsidRPr="008413CF">
        <w:rPr>
          <w:rStyle w:val="CETCaptionCarattere"/>
          <w:lang w:val="en-US"/>
        </w:rPr>
        <w:t xml:space="preserve">: </w:t>
      </w:r>
      <w:r>
        <w:rPr>
          <w:rStyle w:val="CETCaptionCarattere"/>
          <w:lang w:val="en-US"/>
        </w:rPr>
        <w:t xml:space="preserve">Sensitivity analysis of the unconstrained parameters. </w:t>
      </w:r>
    </w:p>
    <w:p w14:paraId="0D5BDD19" w14:textId="77777777" w:rsidR="00FF68B1" w:rsidRDefault="00FF68B1" w:rsidP="000206EE">
      <w:pPr>
        <w:pStyle w:val="CETBodytext"/>
      </w:pPr>
    </w:p>
    <w:p w14:paraId="21408456" w14:textId="0A4A395A" w:rsidR="00FD3053" w:rsidRDefault="006F3380" w:rsidP="000206EE">
      <w:pPr>
        <w:pStyle w:val="CETBodytext"/>
      </w:pPr>
      <w:r>
        <w:t xml:space="preserve">The sensitivity analysis was conducted by </w:t>
      </w:r>
      <w:r w:rsidR="00D5177E">
        <w:t>increasing</w:t>
      </w:r>
      <w:r>
        <w:t xml:space="preserve"> each parameter individually by 10% from its optimal value. The resulting percentage change in the final model error was then collected and illustrated in Figure 3, showing the relative influence of each parameter on the model’s accuracy.</w:t>
      </w:r>
    </w:p>
    <w:p w14:paraId="1D762A41" w14:textId="4131B6B4" w:rsidR="000206EE" w:rsidRPr="00FD3053" w:rsidRDefault="00FD3053" w:rsidP="000206EE">
      <w:pPr>
        <w:pStyle w:val="CETBodytext"/>
        <w:rPr>
          <w:rFonts w:cs="Arial"/>
        </w:rPr>
      </w:pPr>
      <w:r>
        <w:t>As shown</w:t>
      </w:r>
      <w:r w:rsidR="003C6671">
        <w:t>,</w:t>
      </w:r>
      <w:r>
        <w:t xml:space="preserve"> </w:t>
      </w:r>
      <w:r w:rsidRPr="00FD3053">
        <w:t>the parameter exerting the greatest influence on model predictions</w:t>
      </w:r>
      <w:r>
        <w:t xml:space="preserve"> </w:t>
      </w:r>
      <w:r w:rsidR="005B03A1">
        <w:rPr>
          <w:rFonts w:cs="Arial"/>
          <w:lang w:val="en-GB"/>
        </w:rPr>
        <w:t>is</w:t>
      </w:r>
      <w:r w:rsidRPr="00FD3053">
        <w:rPr>
          <w:rFonts w:cs="Arial"/>
          <w:lang w:val="en-GB"/>
        </w:rPr>
        <w:t xml:space="preserve"> </w:t>
      </w:r>
      <m:oMath>
        <m:sSub>
          <m:sSubPr>
            <m:ctrlPr>
              <w:rPr>
                <w:rFonts w:ascii="Cambria Math" w:hAnsi="Cambria Math" w:cs="Arial"/>
                <w:i/>
                <w:lang w:val="en-GB"/>
              </w:rPr>
            </m:ctrlPr>
          </m:sSubPr>
          <m:e>
            <m:r>
              <w:rPr>
                <w:rFonts w:ascii="Cambria Math" w:hAnsi="Cambria Math" w:cs="Arial"/>
                <w:lang w:val="en-GB"/>
              </w:rPr>
              <m:t>μ</m:t>
            </m:r>
          </m:e>
          <m:sub>
            <m:r>
              <w:rPr>
                <w:rFonts w:ascii="Cambria Math" w:hAnsi="Cambria Math" w:cs="Arial"/>
                <w:lang w:val="en-GB"/>
              </w:rPr>
              <m:t>max</m:t>
            </m:r>
          </m:sub>
        </m:sSub>
      </m:oMath>
      <w:r w:rsidR="003C6671">
        <w:rPr>
          <w:rFonts w:cs="Arial"/>
          <w:lang w:val="en-GB"/>
        </w:rPr>
        <w:t>.</w:t>
      </w:r>
      <w:r w:rsidR="00327D91">
        <w:rPr>
          <w:rFonts w:cs="Arial"/>
          <w:lang w:val="en-GB"/>
        </w:rPr>
        <w:t xml:space="preserve"> </w:t>
      </w:r>
      <w:r w:rsidR="003C6671" w:rsidRPr="003C6671">
        <w:rPr>
          <w:rFonts w:cs="Arial"/>
        </w:rPr>
        <w:t>Th</w:t>
      </w:r>
      <w:r w:rsidR="005B03A1">
        <w:rPr>
          <w:rFonts w:cs="Arial"/>
        </w:rPr>
        <w:t>i</w:t>
      </w:r>
      <w:r w:rsidR="003C6671" w:rsidRPr="003C6671">
        <w:rPr>
          <w:rFonts w:cs="Arial"/>
        </w:rPr>
        <w:t>s parameter govern</w:t>
      </w:r>
      <w:r w:rsidR="00674257">
        <w:rPr>
          <w:rFonts w:cs="Arial"/>
        </w:rPr>
        <w:t>s</w:t>
      </w:r>
      <w:r w:rsidR="003C6671" w:rsidRPr="003C6671">
        <w:rPr>
          <w:rFonts w:cs="Arial"/>
        </w:rPr>
        <w:t xml:space="preserve"> the biomass concentration predicted by the model at any point during the process, which in turn affects all other process variables, as biomass is involved in every equation of the model. It is therefore expected that model predictions are highly sensitive to the biomass concentration profile throughout the fermentation. Unfortunately, </w:t>
      </w:r>
      <w:r w:rsidR="003C6671" w:rsidRPr="003C6671">
        <w:rPr>
          <w:rFonts w:cs="Arial"/>
          <w:i/>
          <w:iCs/>
        </w:rPr>
        <w:t>Streptomyces</w:t>
      </w:r>
      <w:r w:rsidR="003C6671" w:rsidRPr="003C6671">
        <w:rPr>
          <w:rFonts w:cs="Arial"/>
        </w:rPr>
        <w:t xml:space="preserve"> growth is characterized by significant intrinsic variability, making it particularly challenging to identify single values of and that are capable of generalizing process behavior without introducing a non-negligible degree of error.</w:t>
      </w:r>
    </w:p>
    <w:p w14:paraId="68D26B83" w14:textId="77777777" w:rsidR="00600535" w:rsidRDefault="00600535" w:rsidP="00600535">
      <w:pPr>
        <w:pStyle w:val="CETHeading1"/>
      </w:pPr>
      <w:r w:rsidRPr="008413CF">
        <w:t>Conclusions</w:t>
      </w:r>
    </w:p>
    <w:p w14:paraId="440FE714" w14:textId="0C941F97" w:rsidR="0020213A" w:rsidRDefault="0020213A" w:rsidP="00B768AB">
      <w:pPr>
        <w:pStyle w:val="CETBodytext"/>
        <w:rPr>
          <w:b/>
        </w:rPr>
      </w:pPr>
      <w:r w:rsidRPr="0020213A">
        <w:t xml:space="preserve">This study develops a kinetic model for </w:t>
      </w:r>
      <w:r w:rsidR="005E2097" w:rsidRPr="005E2097">
        <w:rPr>
          <w:bCs/>
        </w:rPr>
        <w:t xml:space="preserve">the production of an important molecule </w:t>
      </w:r>
      <w:r w:rsidR="005E2097">
        <w:rPr>
          <w:bCs/>
        </w:rPr>
        <w:t xml:space="preserve">to contrast the phenomenon of </w:t>
      </w:r>
      <w:r w:rsidR="005E2097" w:rsidRPr="005E2097">
        <w:rPr>
          <w:bCs/>
        </w:rPr>
        <w:t>antibiotic resistance</w:t>
      </w:r>
      <w:r w:rsidRPr="005E2097">
        <w:rPr>
          <w:bCs/>
        </w:rPr>
        <w:t xml:space="preserve"> </w:t>
      </w:r>
      <w:r w:rsidRPr="0020213A">
        <w:t xml:space="preserve">by </w:t>
      </w:r>
      <w:r w:rsidRPr="0020213A">
        <w:rPr>
          <w:i/>
          <w:iCs/>
        </w:rPr>
        <w:t>Streptomyces</w:t>
      </w:r>
      <w:r w:rsidRPr="0020213A">
        <w:t xml:space="preserve"> in fed-batch fermentation, incorporating product inhibition. The model identifies </w:t>
      </w:r>
      <w:r>
        <w:t>8</w:t>
      </w:r>
      <w:r w:rsidRPr="0020213A">
        <w:t xml:space="preserve"> </w:t>
      </w:r>
      <w:r>
        <w:t xml:space="preserve">unconstrained </w:t>
      </w:r>
      <w:r w:rsidRPr="0020213A">
        <w:t xml:space="preserve">parameters, revealing that </w:t>
      </w:r>
      <w:r>
        <w:t>the maximum specific growth rate</w:t>
      </w:r>
      <w:r w:rsidRPr="0020213A">
        <w:t xml:space="preserve"> </w:t>
      </w:r>
      <w:r>
        <w:t>is</w:t>
      </w:r>
      <w:r w:rsidRPr="0020213A">
        <w:t xml:space="preserve"> the most influential. A key finding is that even low </w:t>
      </w:r>
      <w:r>
        <w:t>product</w:t>
      </w:r>
      <w:r w:rsidRPr="0020213A">
        <w:t xml:space="preserve"> concentrations significantly suppress cell growth, causing biomass decline after 110 hours. The model accurately describes the secondary metabolite nature of the product (increased during stationary phase) and substrate-specific metabolic preferences. Despite inherent variability in </w:t>
      </w:r>
      <w:r w:rsidRPr="0020213A">
        <w:rPr>
          <w:i/>
          <w:iCs/>
        </w:rPr>
        <w:t>Streptomyces</w:t>
      </w:r>
      <w:r w:rsidRPr="0020213A">
        <w:t xml:space="preserve"> limiting parameter generalization, the model serves as a valuable tool for process optimization and designing fed-batch strategies to reduce product inhibition.</w:t>
      </w:r>
    </w:p>
    <w:p w14:paraId="4F1327F8" w14:textId="46158EB1" w:rsidR="00600535" w:rsidRPr="003600C1" w:rsidRDefault="00600535" w:rsidP="00600535">
      <w:pPr>
        <w:pStyle w:val="CETReference"/>
        <w:rPr>
          <w:lang w:val="it-IT"/>
        </w:rPr>
      </w:pPr>
      <w:proofErr w:type="spellStart"/>
      <w:r w:rsidRPr="003600C1">
        <w:rPr>
          <w:lang w:val="it-IT"/>
        </w:rPr>
        <w:t>References</w:t>
      </w:r>
      <w:proofErr w:type="spellEnd"/>
    </w:p>
    <w:sdt>
      <w:sdtPr>
        <w:tag w:val="MENDELEY_BIBLIOGRAPHY"/>
        <w:id w:val="-1287889275"/>
        <w:placeholder>
          <w:docPart w:val="DefaultPlaceholder_-1854013440"/>
        </w:placeholder>
      </w:sdtPr>
      <w:sdtContent>
        <w:p w14:paraId="47FF63C3" w14:textId="77777777" w:rsidR="00994DD1" w:rsidRPr="00994DD1" w:rsidRDefault="00994DD1" w:rsidP="00994DD1">
          <w:pPr>
            <w:pStyle w:val="CETReferencetext"/>
            <w:divId w:val="48308884"/>
            <w:rPr>
              <w:szCs w:val="24"/>
            </w:rPr>
          </w:pPr>
          <w:proofErr w:type="spellStart"/>
          <w:r w:rsidRPr="00994DD1">
            <w:rPr>
              <w:lang w:val="it-IT"/>
            </w:rPr>
            <w:t>Bersanetti</w:t>
          </w:r>
          <w:proofErr w:type="spellEnd"/>
          <w:r w:rsidRPr="00994DD1">
            <w:rPr>
              <w:lang w:val="it-IT"/>
            </w:rPr>
            <w:t xml:space="preserve">, P. A., Almeida, R. M. R. G., Barboza, M., Araújo, M. L. G. C., &amp; Hokka, C. O. (2005). </w:t>
          </w:r>
          <w:r w:rsidRPr="00994DD1">
            <w:t xml:space="preserve">Kinetic studies on clavulanic acid degradation. </w:t>
          </w:r>
          <w:proofErr w:type="spellStart"/>
          <w:r w:rsidRPr="00994DD1">
            <w:rPr>
              <w:i/>
              <w:iCs/>
            </w:rPr>
            <w:t>Chemico</w:t>
          </w:r>
          <w:proofErr w:type="spellEnd"/>
          <w:r w:rsidRPr="00994DD1">
            <w:rPr>
              <w:i/>
              <w:iCs/>
            </w:rPr>
            <w:t>-Biological Interactions</w:t>
          </w:r>
          <w:r w:rsidRPr="00994DD1">
            <w:t xml:space="preserve">, </w:t>
          </w:r>
          <w:r w:rsidRPr="00994DD1">
            <w:rPr>
              <w:i/>
              <w:iCs/>
            </w:rPr>
            <w:t>23</w:t>
          </w:r>
          <w:r w:rsidRPr="00994DD1">
            <w:t>(1), 31–36. https://doi.org/10.1016/J.BEJ.2004.10.007</w:t>
          </w:r>
        </w:p>
        <w:p w14:paraId="2BA31E36" w14:textId="77777777" w:rsidR="00994DD1" w:rsidRPr="00994DD1" w:rsidRDefault="00994DD1" w:rsidP="00994DD1">
          <w:pPr>
            <w:pStyle w:val="CETReferencetext"/>
            <w:divId w:val="198515127"/>
          </w:pPr>
          <w:r w:rsidRPr="00994DD1">
            <w:t xml:space="preserve">Bush, K., &amp; Bradford, P. A. (2019). Interplay between β-lactamases and new β-lactamase inhibitors. </w:t>
          </w:r>
          <w:r w:rsidRPr="00994DD1">
            <w:rPr>
              <w:i/>
              <w:iCs/>
            </w:rPr>
            <w:t>Nature Reviews Microbiology 2019 17:5</w:t>
          </w:r>
          <w:r w:rsidRPr="00994DD1">
            <w:t xml:space="preserve">, </w:t>
          </w:r>
          <w:r w:rsidRPr="00994DD1">
            <w:rPr>
              <w:i/>
              <w:iCs/>
            </w:rPr>
            <w:t>17</w:t>
          </w:r>
          <w:r w:rsidRPr="00994DD1">
            <w:t>(5), 295–306. https://doi.org/10.1038/s41579-019-0159-8</w:t>
          </w:r>
        </w:p>
        <w:p w14:paraId="2BCAC673" w14:textId="77777777" w:rsidR="00994DD1" w:rsidRPr="00994DD1" w:rsidRDefault="00994DD1" w:rsidP="00994DD1">
          <w:pPr>
            <w:pStyle w:val="CETReferencetext"/>
            <w:divId w:val="2045207747"/>
          </w:pPr>
          <w:r w:rsidRPr="00994DD1">
            <w:t>Gómez-Ríos, D., María Gómez-Gaona, L., &amp; Ramírez-</w:t>
          </w:r>
          <w:proofErr w:type="spellStart"/>
          <w:r w:rsidRPr="00994DD1">
            <w:t>Malule</w:t>
          </w:r>
          <w:proofErr w:type="spellEnd"/>
          <w:r w:rsidRPr="00994DD1">
            <w:t xml:space="preserve">, H. (2024). </w:t>
          </w:r>
          <w:r w:rsidRPr="00994DD1">
            <w:rPr>
              <w:i/>
              <w:iCs/>
            </w:rPr>
            <w:t xml:space="preserve">Clavulanic Acid Overproduction: A Review of Environmental Conditions, Metabolic Fluxes, and Strain Engineering in Streptomyces </w:t>
          </w:r>
          <w:proofErr w:type="spellStart"/>
          <w:r w:rsidRPr="00994DD1">
            <w:rPr>
              <w:i/>
              <w:iCs/>
            </w:rPr>
            <w:t>clavuligerus</w:t>
          </w:r>
          <w:proofErr w:type="spellEnd"/>
          <w:r w:rsidRPr="00994DD1">
            <w:t>. https://doi.org/10.3390/fermentation10100526</w:t>
          </w:r>
        </w:p>
        <w:p w14:paraId="1D2BF289" w14:textId="77777777" w:rsidR="00994DD1" w:rsidRPr="00994DD1" w:rsidRDefault="00994DD1" w:rsidP="00994DD1">
          <w:pPr>
            <w:pStyle w:val="CETReferencetext"/>
            <w:divId w:val="1996177438"/>
          </w:pPr>
          <w:r w:rsidRPr="00994DD1">
            <w:t>Gómez-Rios, D., Ramírez-</w:t>
          </w:r>
          <w:proofErr w:type="spellStart"/>
          <w:r w:rsidRPr="00994DD1">
            <w:t>Malule</w:t>
          </w:r>
          <w:proofErr w:type="spellEnd"/>
          <w:r w:rsidRPr="00994DD1">
            <w:t xml:space="preserve">, H., Ochoa, S., &amp; Ríos-Estepa, R. (2022). Rational selection of culture medium for clavulanic acid production by Streptomyces </w:t>
          </w:r>
          <w:proofErr w:type="spellStart"/>
          <w:r w:rsidRPr="00994DD1">
            <w:t>clavuligerus</w:t>
          </w:r>
          <w:proofErr w:type="spellEnd"/>
          <w:r w:rsidRPr="00994DD1">
            <w:t xml:space="preserve"> based on a metabolic </w:t>
          </w:r>
          <w:proofErr w:type="spellStart"/>
          <w:r w:rsidRPr="00994DD1">
            <w:t>modeling</w:t>
          </w:r>
          <w:proofErr w:type="spellEnd"/>
          <w:r w:rsidRPr="00994DD1">
            <w:t xml:space="preserve"> approach. </w:t>
          </w:r>
          <w:r w:rsidRPr="00994DD1">
            <w:rPr>
              <w:i/>
              <w:iCs/>
            </w:rPr>
            <w:t>Agriculture and Natural Resources</w:t>
          </w:r>
          <w:r w:rsidRPr="00994DD1">
            <w:t xml:space="preserve">, </w:t>
          </w:r>
          <w:r w:rsidRPr="00994DD1">
            <w:rPr>
              <w:i/>
              <w:iCs/>
            </w:rPr>
            <w:t>56</w:t>
          </w:r>
          <w:r w:rsidRPr="00994DD1">
            <w:t>(2), 267–276. https://doi.org/10.34044/j.anres.2022.56.2.05</w:t>
          </w:r>
        </w:p>
        <w:p w14:paraId="3A04338F" w14:textId="77777777" w:rsidR="00994DD1" w:rsidRPr="00994DD1" w:rsidRDefault="00994DD1" w:rsidP="00994DD1">
          <w:pPr>
            <w:pStyle w:val="CETReferencetext"/>
            <w:divId w:val="2039433325"/>
          </w:pPr>
          <w:r w:rsidRPr="00994DD1">
            <w:t xml:space="preserve">Marques, D. A. V., Oliveira, R. P. S., Perego, P., Porto, A. L. F., Pessoa, A., &amp; </w:t>
          </w:r>
          <w:proofErr w:type="spellStart"/>
          <w:r w:rsidRPr="00994DD1">
            <w:t>Converti</w:t>
          </w:r>
          <w:proofErr w:type="spellEnd"/>
          <w:r w:rsidRPr="00994DD1">
            <w:t xml:space="preserve">, A. (2009). Kinetic and thermodynamic investigation on clavulanic acid formation and degradation during glycerol fermentation by Streptomyces DAUFPE 3060. </w:t>
          </w:r>
          <w:r w:rsidRPr="00994DD1">
            <w:rPr>
              <w:i/>
              <w:iCs/>
            </w:rPr>
            <w:t>Enzyme and Microbial Technology</w:t>
          </w:r>
          <w:r w:rsidRPr="00994DD1">
            <w:t xml:space="preserve">, </w:t>
          </w:r>
          <w:r w:rsidRPr="00994DD1">
            <w:rPr>
              <w:i/>
              <w:iCs/>
            </w:rPr>
            <w:t>45</w:t>
          </w:r>
          <w:r w:rsidRPr="00994DD1">
            <w:t>(2), 169–173. https://doi.org/10.1016/J.ENZMICTEC.2009.03.005</w:t>
          </w:r>
        </w:p>
        <w:p w14:paraId="4E3ABADB" w14:textId="77777777" w:rsidR="00994DD1" w:rsidRPr="00994DD1" w:rsidRDefault="00994DD1" w:rsidP="00994DD1">
          <w:pPr>
            <w:pStyle w:val="CETReferencetext"/>
            <w:divId w:val="133379989"/>
          </w:pPr>
          <w:proofErr w:type="spellStart"/>
          <w:r w:rsidRPr="00994DD1">
            <w:t>Nandasana</w:t>
          </w:r>
          <w:proofErr w:type="spellEnd"/>
          <w:r w:rsidRPr="00994DD1">
            <w:t xml:space="preserve">, A. D., &amp; Kumar, S. (2008). Kinetic </w:t>
          </w:r>
          <w:proofErr w:type="spellStart"/>
          <w:r w:rsidRPr="00994DD1">
            <w:t>modeling</w:t>
          </w:r>
          <w:proofErr w:type="spellEnd"/>
          <w:r w:rsidRPr="00994DD1">
            <w:t xml:space="preserve"> of lactic acid production from molasses using Enterococcus faecalis RKY1. </w:t>
          </w:r>
          <w:r w:rsidRPr="00994DD1">
            <w:rPr>
              <w:i/>
              <w:iCs/>
            </w:rPr>
            <w:t>Biochemical Engineering Journal</w:t>
          </w:r>
          <w:r w:rsidRPr="00994DD1">
            <w:t xml:space="preserve">, </w:t>
          </w:r>
          <w:r w:rsidRPr="00994DD1">
            <w:rPr>
              <w:i/>
              <w:iCs/>
            </w:rPr>
            <w:t>38</w:t>
          </w:r>
          <w:r w:rsidRPr="00994DD1">
            <w:t>(3), 277–284. https://doi.org/10.1016/J.BEJ.2007.07.014</w:t>
          </w:r>
        </w:p>
        <w:p w14:paraId="3E1F4F75" w14:textId="77777777" w:rsidR="00994DD1" w:rsidRPr="00994DD1" w:rsidRDefault="00994DD1" w:rsidP="00994DD1">
          <w:pPr>
            <w:pStyle w:val="CETReferencetext"/>
            <w:divId w:val="1563522735"/>
          </w:pPr>
          <w:r w:rsidRPr="00994DD1">
            <w:t xml:space="preserve">Ser, H. L., Law, J. W. F., </w:t>
          </w:r>
          <w:proofErr w:type="spellStart"/>
          <w:r w:rsidRPr="00994DD1">
            <w:t>Chaiyakunapruk</w:t>
          </w:r>
          <w:proofErr w:type="spellEnd"/>
          <w:r w:rsidRPr="00994DD1">
            <w:t xml:space="preserve">, N., Jacob, S. A., Palanisamy, U. D., Chan, K. G., Goh, B. H., &amp; Lee, L. H. (2016). Fermentation conditions that affect clavulanic acid production in Streptomyces </w:t>
          </w:r>
          <w:proofErr w:type="spellStart"/>
          <w:r w:rsidRPr="00994DD1">
            <w:t>clavuligerus</w:t>
          </w:r>
          <w:proofErr w:type="spellEnd"/>
          <w:r w:rsidRPr="00994DD1">
            <w:t xml:space="preserve">: A systematic review. </w:t>
          </w:r>
          <w:r w:rsidRPr="00994DD1">
            <w:rPr>
              <w:i/>
              <w:iCs/>
            </w:rPr>
            <w:t>Frontiers in Microbiology</w:t>
          </w:r>
          <w:r w:rsidRPr="00994DD1">
            <w:t xml:space="preserve">, </w:t>
          </w:r>
          <w:r w:rsidRPr="00994DD1">
            <w:rPr>
              <w:i/>
              <w:iCs/>
            </w:rPr>
            <w:t>7</w:t>
          </w:r>
          <w:r w:rsidRPr="00994DD1">
            <w:t>(APR). https://doi.org/10.3389/FMICB.2016.00522/PDF</w:t>
          </w:r>
        </w:p>
        <w:p w14:paraId="5238048F" w14:textId="77777777" w:rsidR="00994DD1" w:rsidRPr="00994DD1" w:rsidRDefault="00994DD1" w:rsidP="00994DD1">
          <w:pPr>
            <w:pStyle w:val="CETReferencetext"/>
            <w:divId w:val="390812605"/>
          </w:pPr>
          <w:proofErr w:type="spellStart"/>
          <w:r w:rsidRPr="00994DD1">
            <w:t>Seyedsayamdost</w:t>
          </w:r>
          <w:proofErr w:type="spellEnd"/>
          <w:r w:rsidRPr="00994DD1">
            <w:t xml:space="preserve">, M. R. (2019). Toward a global picture of bacterial secondary metabolism. </w:t>
          </w:r>
          <w:r w:rsidRPr="00994DD1">
            <w:rPr>
              <w:i/>
              <w:iCs/>
            </w:rPr>
            <w:t>Journal of Industrial Microbiology and Biotechnology</w:t>
          </w:r>
          <w:r w:rsidRPr="00994DD1">
            <w:t xml:space="preserve">, </w:t>
          </w:r>
          <w:r w:rsidRPr="00994DD1">
            <w:rPr>
              <w:i/>
              <w:iCs/>
            </w:rPr>
            <w:t>46</w:t>
          </w:r>
          <w:r w:rsidRPr="00994DD1">
            <w:t>(3–4), 301–311. https://doi.org/10.1007/S10295-019-02136-Y</w:t>
          </w:r>
        </w:p>
        <w:p w14:paraId="19C4FC68" w14:textId="4A13BF9C" w:rsidR="004628D2" w:rsidRDefault="00994DD1" w:rsidP="00994DD1">
          <w:pPr>
            <w:pStyle w:val="CETReferencetext"/>
          </w:pPr>
          <w:r w:rsidRPr="00994DD1">
            <w:t> </w:t>
          </w:r>
        </w:p>
      </w:sdtContent>
    </w:sdt>
    <w:sectPr w:rsidR="004628D2" w:rsidSect="008314D7">
      <w:type w:val="continuous"/>
      <w:pgSz w:w="11906" w:h="16838" w:code="9"/>
      <w:pgMar w:top="1701" w:right="1418" w:bottom="1701" w:left="1701" w:header="1701" w:footer="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FC9E5F" w14:textId="77777777" w:rsidR="0089183E" w:rsidRPr="008413CF" w:rsidRDefault="0089183E" w:rsidP="004F5E36">
      <w:r w:rsidRPr="008413CF">
        <w:separator/>
      </w:r>
    </w:p>
  </w:endnote>
  <w:endnote w:type="continuationSeparator" w:id="0">
    <w:p w14:paraId="1A6B0B57" w14:textId="77777777" w:rsidR="0089183E" w:rsidRPr="008413CF" w:rsidRDefault="0089183E" w:rsidP="004F5E36">
      <w:r w:rsidRPr="008413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6FF" w:usb1="4000FCFF" w:usb2="00000009" w:usb3="00000000" w:csb0="0000019F" w:csb1="00000000"/>
  </w:font>
  <w:font w:name="AdvP6960">
    <w:altName w:val="Times New Roman"/>
    <w:panose1 w:val="00000000000000000000"/>
    <w:charset w:val="4D"/>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98898" w14:textId="77777777" w:rsidR="0089183E" w:rsidRPr="008413CF" w:rsidRDefault="0089183E" w:rsidP="004F5E36">
      <w:r w:rsidRPr="008413CF">
        <w:separator/>
      </w:r>
    </w:p>
  </w:footnote>
  <w:footnote w:type="continuationSeparator" w:id="0">
    <w:p w14:paraId="27F86AC2" w14:textId="77777777" w:rsidR="0089183E" w:rsidRPr="008413CF" w:rsidRDefault="0089183E" w:rsidP="004F5E36">
      <w:r w:rsidRPr="008413CF">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58AF15E"/>
    <w:lvl w:ilvl="0">
      <w:start w:val="1"/>
      <w:numFmt w:val="decimal"/>
      <w:pStyle w:val="Numeroelenco5"/>
      <w:lvlText w:val="%1."/>
      <w:lvlJc w:val="left"/>
      <w:pPr>
        <w:tabs>
          <w:tab w:val="num" w:pos="1492"/>
        </w:tabs>
        <w:ind w:left="1492" w:hanging="360"/>
      </w:pPr>
    </w:lvl>
  </w:abstractNum>
  <w:abstractNum w:abstractNumId="1" w15:restartNumberingAfterBreak="0">
    <w:nsid w:val="FFFFFF7D"/>
    <w:multiLevelType w:val="singleLevel"/>
    <w:tmpl w:val="65EC884E"/>
    <w:lvl w:ilvl="0">
      <w:start w:val="1"/>
      <w:numFmt w:val="decimal"/>
      <w:pStyle w:val="Numeroelenco4"/>
      <w:lvlText w:val="%1."/>
      <w:lvlJc w:val="left"/>
      <w:pPr>
        <w:tabs>
          <w:tab w:val="num" w:pos="1209"/>
        </w:tabs>
        <w:ind w:left="1209" w:hanging="360"/>
      </w:pPr>
    </w:lvl>
  </w:abstractNum>
  <w:abstractNum w:abstractNumId="2" w15:restartNumberingAfterBreak="0">
    <w:nsid w:val="FFFFFF7E"/>
    <w:multiLevelType w:val="singleLevel"/>
    <w:tmpl w:val="408CBE96"/>
    <w:lvl w:ilvl="0">
      <w:start w:val="1"/>
      <w:numFmt w:val="decimal"/>
      <w:pStyle w:val="Numeroelenco3"/>
      <w:lvlText w:val="%1."/>
      <w:lvlJc w:val="left"/>
      <w:pPr>
        <w:tabs>
          <w:tab w:val="num" w:pos="926"/>
        </w:tabs>
        <w:ind w:left="926" w:hanging="360"/>
      </w:pPr>
    </w:lvl>
  </w:abstractNum>
  <w:abstractNum w:abstractNumId="3" w15:restartNumberingAfterBreak="0">
    <w:nsid w:val="FFFFFF7F"/>
    <w:multiLevelType w:val="singleLevel"/>
    <w:tmpl w:val="CFC0B388"/>
    <w:lvl w:ilvl="0">
      <w:start w:val="1"/>
      <w:numFmt w:val="decimal"/>
      <w:pStyle w:val="Numeroelenco2"/>
      <w:lvlText w:val="%1."/>
      <w:lvlJc w:val="left"/>
      <w:pPr>
        <w:tabs>
          <w:tab w:val="num" w:pos="643"/>
        </w:tabs>
        <w:ind w:left="643" w:hanging="360"/>
      </w:pPr>
    </w:lvl>
  </w:abstractNum>
  <w:abstractNum w:abstractNumId="4" w15:restartNumberingAfterBreak="0">
    <w:nsid w:val="FFFFFF80"/>
    <w:multiLevelType w:val="singleLevel"/>
    <w:tmpl w:val="CA34EB48"/>
    <w:lvl w:ilvl="0">
      <w:start w:val="1"/>
      <w:numFmt w:val="bullet"/>
      <w:pStyle w:val="Puntoelenco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5C6BD6"/>
    <w:lvl w:ilvl="0">
      <w:start w:val="1"/>
      <w:numFmt w:val="bullet"/>
      <w:pStyle w:val="Puntoelenco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7A9968"/>
    <w:lvl w:ilvl="0">
      <w:start w:val="1"/>
      <w:numFmt w:val="bullet"/>
      <w:pStyle w:val="Puntoelenco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D27934"/>
    <w:lvl w:ilvl="0">
      <w:start w:val="1"/>
      <w:numFmt w:val="bullet"/>
      <w:pStyle w:val="Puntoelenco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5F4206A"/>
    <w:lvl w:ilvl="0">
      <w:start w:val="1"/>
      <w:numFmt w:val="decimal"/>
      <w:pStyle w:val="Numeroelenco"/>
      <w:lvlText w:val="%1."/>
      <w:lvlJc w:val="left"/>
      <w:pPr>
        <w:tabs>
          <w:tab w:val="num" w:pos="360"/>
        </w:tabs>
        <w:ind w:left="360" w:hanging="360"/>
      </w:pPr>
    </w:lvl>
  </w:abstractNum>
  <w:abstractNum w:abstractNumId="9" w15:restartNumberingAfterBreak="0">
    <w:nsid w:val="FFFFFF89"/>
    <w:multiLevelType w:val="singleLevel"/>
    <w:tmpl w:val="206ACE1A"/>
    <w:lvl w:ilvl="0">
      <w:start w:val="1"/>
      <w:numFmt w:val="bullet"/>
      <w:pStyle w:val="Puntoelenco"/>
      <w:lvlText w:val=""/>
      <w:lvlJc w:val="left"/>
      <w:pPr>
        <w:tabs>
          <w:tab w:val="num" w:pos="360"/>
        </w:tabs>
        <w:ind w:left="360" w:hanging="360"/>
      </w:pPr>
      <w:rPr>
        <w:rFonts w:ascii="Symbol" w:hAnsi="Symbol" w:hint="default"/>
      </w:rPr>
    </w:lvl>
  </w:abstractNum>
  <w:abstractNum w:abstractNumId="10" w15:restartNumberingAfterBreak="0">
    <w:nsid w:val="2438217E"/>
    <w:multiLevelType w:val="multilevel"/>
    <w:tmpl w:val="F17228D6"/>
    <w:lvl w:ilvl="0">
      <w:start w:val="1"/>
      <w:numFmt w:val="decimal"/>
      <w:suff w:val="space"/>
      <w:lvlText w:val="Chapter %1"/>
      <w:lvlJc w:val="left"/>
      <w:pPr>
        <w:ind w:left="0" w:firstLine="0"/>
      </w:pPr>
      <w:rPr>
        <w:rFonts w:hint="default"/>
      </w:rPr>
    </w:lvl>
    <w:lvl w:ilvl="1">
      <w:start w:val="1"/>
      <w:numFmt w:val="decimal"/>
      <w:pStyle w:val="CETHeading1"/>
      <w:suff w:val="space"/>
      <w:lvlText w:val="%2."/>
      <w:lvlJc w:val="left"/>
      <w:pPr>
        <w:ind w:left="0" w:firstLine="0"/>
      </w:pPr>
      <w:rPr>
        <w:rFonts w:hint="default"/>
      </w:rPr>
    </w:lvl>
    <w:lvl w:ilvl="2">
      <w:start w:val="1"/>
      <w:numFmt w:val="decimal"/>
      <w:pStyle w:val="CETheadingx"/>
      <w:suff w:val="space"/>
      <w:lvlText w:val="%2.%3"/>
      <w:lvlJc w:val="left"/>
      <w:pPr>
        <w:ind w:left="0" w:firstLine="0"/>
      </w:pPr>
      <w:rPr>
        <w:rFonts w:hint="default"/>
      </w:rPr>
    </w:lvl>
    <w:lvl w:ilvl="3">
      <w:start w:val="1"/>
      <w:numFmt w:val="decimal"/>
      <w:pStyle w:val="Tabellasemplice1"/>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1" w15:restartNumberingAfterBreak="0">
    <w:nsid w:val="330B7370"/>
    <w:multiLevelType w:val="hybridMultilevel"/>
    <w:tmpl w:val="12E2AD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351E0394"/>
    <w:multiLevelType w:val="hybridMultilevel"/>
    <w:tmpl w:val="806658E2"/>
    <w:lvl w:ilvl="0" w:tplc="14B0F7A8">
      <w:start w:val="1"/>
      <w:numFmt w:val="bullet"/>
      <w:pStyle w:val="CETnumberingbullets"/>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9C329B9"/>
    <w:multiLevelType w:val="hybridMultilevel"/>
    <w:tmpl w:val="A2E6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B100E8"/>
    <w:multiLevelType w:val="hybridMultilevel"/>
    <w:tmpl w:val="6F34C070"/>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50A87BA7"/>
    <w:multiLevelType w:val="hybridMultilevel"/>
    <w:tmpl w:val="1F6A8AD4"/>
    <w:lvl w:ilvl="0" w:tplc="14B0F7A8">
      <w:start w:val="1"/>
      <w:numFmt w:val="bullet"/>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2217387"/>
    <w:multiLevelType w:val="hybridMultilevel"/>
    <w:tmpl w:val="C2AE185A"/>
    <w:lvl w:ilvl="0" w:tplc="14090011">
      <w:start w:val="1"/>
      <w:numFmt w:val="decimal"/>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6205803"/>
    <w:multiLevelType w:val="multilevel"/>
    <w:tmpl w:val="444C89D0"/>
    <w:lvl w:ilvl="0">
      <w:start w:val="1"/>
      <w:numFmt w:val="decimal"/>
      <w:suff w:val="space"/>
      <w:lvlText w:val="Chapter %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decimal"/>
      <w:suff w:val="space"/>
      <w:lvlText w:val="%2.%3."/>
      <w:lvlJc w:val="left"/>
      <w:pPr>
        <w:ind w:left="0" w:firstLine="0"/>
      </w:pPr>
      <w:rPr>
        <w:rFonts w:hint="default"/>
      </w:rPr>
    </w:lvl>
    <w:lvl w:ilvl="3">
      <w:start w:val="1"/>
      <w:numFmt w:val="decimal"/>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8" w15:restartNumberingAfterBreak="0">
    <w:nsid w:val="5AD311D0"/>
    <w:multiLevelType w:val="hybridMultilevel"/>
    <w:tmpl w:val="F198FF08"/>
    <w:lvl w:ilvl="0" w:tplc="62EA088C">
      <w:start w:val="1"/>
      <w:numFmt w:val="decimal"/>
      <w:pStyle w:val="CETnumbering1"/>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57C1622"/>
    <w:multiLevelType w:val="hybridMultilevel"/>
    <w:tmpl w:val="7EC6EC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662015B5"/>
    <w:multiLevelType w:val="hybridMultilevel"/>
    <w:tmpl w:val="CCDE09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664536C2"/>
    <w:multiLevelType w:val="hybridMultilevel"/>
    <w:tmpl w:val="5C72DD10"/>
    <w:lvl w:ilvl="0" w:tplc="5C22E1F0">
      <w:start w:val="11"/>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6865266D"/>
    <w:multiLevelType w:val="hybridMultilevel"/>
    <w:tmpl w:val="F5BE3C4A"/>
    <w:lvl w:ilvl="0" w:tplc="9FC4D28C">
      <w:start w:val="1"/>
      <w:numFmt w:val="lowerLetter"/>
      <w:pStyle w:val="CETnumberinga"/>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667974168">
    <w:abstractNumId w:val="10"/>
  </w:num>
  <w:num w:numId="2" w16cid:durableId="325322082">
    <w:abstractNumId w:val="8"/>
  </w:num>
  <w:num w:numId="3" w16cid:durableId="48313264">
    <w:abstractNumId w:val="3"/>
  </w:num>
  <w:num w:numId="4" w16cid:durableId="14888769">
    <w:abstractNumId w:val="2"/>
  </w:num>
  <w:num w:numId="5" w16cid:durableId="1859850616">
    <w:abstractNumId w:val="1"/>
  </w:num>
  <w:num w:numId="6" w16cid:durableId="1067722866">
    <w:abstractNumId w:val="0"/>
  </w:num>
  <w:num w:numId="7" w16cid:durableId="95836701">
    <w:abstractNumId w:val="9"/>
  </w:num>
  <w:num w:numId="8" w16cid:durableId="1145315375">
    <w:abstractNumId w:val="7"/>
  </w:num>
  <w:num w:numId="9" w16cid:durableId="324088671">
    <w:abstractNumId w:val="6"/>
  </w:num>
  <w:num w:numId="10" w16cid:durableId="695040663">
    <w:abstractNumId w:val="5"/>
  </w:num>
  <w:num w:numId="11" w16cid:durableId="1724403020">
    <w:abstractNumId w:val="4"/>
  </w:num>
  <w:num w:numId="12" w16cid:durableId="1305962516">
    <w:abstractNumId w:val="17"/>
  </w:num>
  <w:num w:numId="13" w16cid:durableId="720248996">
    <w:abstractNumId w:val="12"/>
  </w:num>
  <w:num w:numId="14" w16cid:durableId="99028406">
    <w:abstractNumId w:val="18"/>
  </w:num>
  <w:num w:numId="15" w16cid:durableId="376202735">
    <w:abstractNumId w:val="22"/>
  </w:num>
  <w:num w:numId="16" w16cid:durableId="1505825758">
    <w:abstractNumId w:val="20"/>
  </w:num>
  <w:num w:numId="17" w16cid:durableId="1107429112">
    <w:abstractNumId w:val="11"/>
  </w:num>
  <w:num w:numId="18" w16cid:durableId="725180457">
    <w:abstractNumId w:val="12"/>
    <w:lvlOverride w:ilvl="0">
      <w:startOverride w:val="1"/>
    </w:lvlOverride>
  </w:num>
  <w:num w:numId="19" w16cid:durableId="1158155591">
    <w:abstractNumId w:val="16"/>
  </w:num>
  <w:num w:numId="20" w16cid:durableId="1342002811">
    <w:abstractNumId w:val="15"/>
  </w:num>
  <w:num w:numId="21" w16cid:durableId="743067834">
    <w:abstractNumId w:val="14"/>
  </w:num>
  <w:num w:numId="22" w16cid:durableId="1318191166">
    <w:abstractNumId w:val="13"/>
  </w:num>
  <w:num w:numId="23" w16cid:durableId="1971279653">
    <w:abstractNumId w:val="19"/>
  </w:num>
  <w:num w:numId="24" w16cid:durableId="637338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0"/>
  <w:autoFormatOverride/>
  <w:styleLockTheme/>
  <w:styleLockQFSet/>
  <w:defaultTabStop w:val="708"/>
  <w:hyphenationZone w:val="283"/>
  <w:clickAndTypeStyle w:val="CETBodytext"/>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I0NzezsDA3M7MwMTJW0lEKTi0uzszPAymwrAUAugS3IywAAAA="/>
  </w:docVars>
  <w:rsids>
    <w:rsidRoot w:val="000E414A"/>
    <w:rsid w:val="00000684"/>
    <w:rsid w:val="000027C0"/>
    <w:rsid w:val="000052FB"/>
    <w:rsid w:val="00005884"/>
    <w:rsid w:val="00005A19"/>
    <w:rsid w:val="00010D8D"/>
    <w:rsid w:val="000117CB"/>
    <w:rsid w:val="00015866"/>
    <w:rsid w:val="00015AE8"/>
    <w:rsid w:val="000173F9"/>
    <w:rsid w:val="0002008F"/>
    <w:rsid w:val="000206EE"/>
    <w:rsid w:val="000305ED"/>
    <w:rsid w:val="0003148D"/>
    <w:rsid w:val="00031EEC"/>
    <w:rsid w:val="00051566"/>
    <w:rsid w:val="000562A9"/>
    <w:rsid w:val="00062A9A"/>
    <w:rsid w:val="00065058"/>
    <w:rsid w:val="00086C39"/>
    <w:rsid w:val="00087CD8"/>
    <w:rsid w:val="000901C7"/>
    <w:rsid w:val="00096333"/>
    <w:rsid w:val="000A03B2"/>
    <w:rsid w:val="000C1058"/>
    <w:rsid w:val="000D0268"/>
    <w:rsid w:val="000D34BE"/>
    <w:rsid w:val="000E102F"/>
    <w:rsid w:val="000E36F1"/>
    <w:rsid w:val="000E3A73"/>
    <w:rsid w:val="000E414A"/>
    <w:rsid w:val="000E75FD"/>
    <w:rsid w:val="000F0661"/>
    <w:rsid w:val="000F093C"/>
    <w:rsid w:val="000F4373"/>
    <w:rsid w:val="000F787B"/>
    <w:rsid w:val="00101F02"/>
    <w:rsid w:val="00114DCA"/>
    <w:rsid w:val="00120548"/>
    <w:rsid w:val="0012091F"/>
    <w:rsid w:val="00122950"/>
    <w:rsid w:val="00124AAD"/>
    <w:rsid w:val="00126BC2"/>
    <w:rsid w:val="001308B6"/>
    <w:rsid w:val="0013121F"/>
    <w:rsid w:val="00131FE6"/>
    <w:rsid w:val="0013263F"/>
    <w:rsid w:val="001331DF"/>
    <w:rsid w:val="001340A5"/>
    <w:rsid w:val="00134DE4"/>
    <w:rsid w:val="0014034D"/>
    <w:rsid w:val="00140FE3"/>
    <w:rsid w:val="001443E5"/>
    <w:rsid w:val="00144D16"/>
    <w:rsid w:val="0014685A"/>
    <w:rsid w:val="00150E59"/>
    <w:rsid w:val="00152DE3"/>
    <w:rsid w:val="0016006A"/>
    <w:rsid w:val="00164CF9"/>
    <w:rsid w:val="00165C88"/>
    <w:rsid w:val="001667A6"/>
    <w:rsid w:val="001669C4"/>
    <w:rsid w:val="00184AD6"/>
    <w:rsid w:val="00185FD3"/>
    <w:rsid w:val="00186C85"/>
    <w:rsid w:val="00187475"/>
    <w:rsid w:val="001944A1"/>
    <w:rsid w:val="001A4AF7"/>
    <w:rsid w:val="001B0349"/>
    <w:rsid w:val="001B04D7"/>
    <w:rsid w:val="001B1E93"/>
    <w:rsid w:val="001B65C1"/>
    <w:rsid w:val="001B7266"/>
    <w:rsid w:val="001C1734"/>
    <w:rsid w:val="001C260F"/>
    <w:rsid w:val="001C33F1"/>
    <w:rsid w:val="001C684B"/>
    <w:rsid w:val="001C6F9C"/>
    <w:rsid w:val="001D0CFB"/>
    <w:rsid w:val="001D21AF"/>
    <w:rsid w:val="001D53FC"/>
    <w:rsid w:val="001F42A5"/>
    <w:rsid w:val="001F7B9D"/>
    <w:rsid w:val="00201C93"/>
    <w:rsid w:val="0020213A"/>
    <w:rsid w:val="00206056"/>
    <w:rsid w:val="002224B4"/>
    <w:rsid w:val="00226518"/>
    <w:rsid w:val="0023552F"/>
    <w:rsid w:val="00240587"/>
    <w:rsid w:val="002447EF"/>
    <w:rsid w:val="00246790"/>
    <w:rsid w:val="002467A1"/>
    <w:rsid w:val="00251550"/>
    <w:rsid w:val="0025287A"/>
    <w:rsid w:val="00263B05"/>
    <w:rsid w:val="0027104F"/>
    <w:rsid w:val="0027221A"/>
    <w:rsid w:val="00275B61"/>
    <w:rsid w:val="00280FAF"/>
    <w:rsid w:val="00282656"/>
    <w:rsid w:val="002916C9"/>
    <w:rsid w:val="0029386F"/>
    <w:rsid w:val="00293C65"/>
    <w:rsid w:val="00296AC7"/>
    <w:rsid w:val="00296B83"/>
    <w:rsid w:val="002B3AF2"/>
    <w:rsid w:val="002B4015"/>
    <w:rsid w:val="002B78CE"/>
    <w:rsid w:val="002B7E89"/>
    <w:rsid w:val="002C1280"/>
    <w:rsid w:val="002C2FB6"/>
    <w:rsid w:val="002D1954"/>
    <w:rsid w:val="002D3982"/>
    <w:rsid w:val="002E072C"/>
    <w:rsid w:val="002E5FA7"/>
    <w:rsid w:val="002E6EC6"/>
    <w:rsid w:val="002F2D58"/>
    <w:rsid w:val="002F3309"/>
    <w:rsid w:val="003008CE"/>
    <w:rsid w:val="003009B7"/>
    <w:rsid w:val="00300E56"/>
    <w:rsid w:val="0030152C"/>
    <w:rsid w:val="0030469C"/>
    <w:rsid w:val="00305D78"/>
    <w:rsid w:val="00315E00"/>
    <w:rsid w:val="00321CA6"/>
    <w:rsid w:val="00323763"/>
    <w:rsid w:val="00323C5F"/>
    <w:rsid w:val="00327D91"/>
    <w:rsid w:val="00334C09"/>
    <w:rsid w:val="003460AF"/>
    <w:rsid w:val="0035113F"/>
    <w:rsid w:val="00351399"/>
    <w:rsid w:val="003600C1"/>
    <w:rsid w:val="00360BD1"/>
    <w:rsid w:val="003723D4"/>
    <w:rsid w:val="00373EFA"/>
    <w:rsid w:val="00381905"/>
    <w:rsid w:val="00383033"/>
    <w:rsid w:val="00384CC8"/>
    <w:rsid w:val="003871FD"/>
    <w:rsid w:val="003A1E30"/>
    <w:rsid w:val="003A2829"/>
    <w:rsid w:val="003A3502"/>
    <w:rsid w:val="003A7260"/>
    <w:rsid w:val="003A7D1C"/>
    <w:rsid w:val="003B304B"/>
    <w:rsid w:val="003B3146"/>
    <w:rsid w:val="003C6671"/>
    <w:rsid w:val="003D1E02"/>
    <w:rsid w:val="003D37D4"/>
    <w:rsid w:val="003D5819"/>
    <w:rsid w:val="003E5AE5"/>
    <w:rsid w:val="003F015E"/>
    <w:rsid w:val="00400414"/>
    <w:rsid w:val="00405742"/>
    <w:rsid w:val="0041446B"/>
    <w:rsid w:val="0044071E"/>
    <w:rsid w:val="00440DEB"/>
    <w:rsid w:val="0044329C"/>
    <w:rsid w:val="00453080"/>
    <w:rsid w:val="00453E24"/>
    <w:rsid w:val="00457456"/>
    <w:rsid w:val="004577FE"/>
    <w:rsid w:val="00457B9C"/>
    <w:rsid w:val="0046164A"/>
    <w:rsid w:val="004628D2"/>
    <w:rsid w:val="00462DCD"/>
    <w:rsid w:val="004648AD"/>
    <w:rsid w:val="004703A9"/>
    <w:rsid w:val="004760DE"/>
    <w:rsid w:val="004763D7"/>
    <w:rsid w:val="00486297"/>
    <w:rsid w:val="004964B8"/>
    <w:rsid w:val="00496AF9"/>
    <w:rsid w:val="004A004E"/>
    <w:rsid w:val="004A24CF"/>
    <w:rsid w:val="004A5E57"/>
    <w:rsid w:val="004B22BE"/>
    <w:rsid w:val="004C194F"/>
    <w:rsid w:val="004C3D1D"/>
    <w:rsid w:val="004C3D84"/>
    <w:rsid w:val="004C64DE"/>
    <w:rsid w:val="004C7913"/>
    <w:rsid w:val="004D3635"/>
    <w:rsid w:val="004E195A"/>
    <w:rsid w:val="004E4DD6"/>
    <w:rsid w:val="004F3845"/>
    <w:rsid w:val="004F3C6A"/>
    <w:rsid w:val="004F5489"/>
    <w:rsid w:val="004F5CF4"/>
    <w:rsid w:val="004F5E36"/>
    <w:rsid w:val="0050112A"/>
    <w:rsid w:val="00503A6B"/>
    <w:rsid w:val="00507B47"/>
    <w:rsid w:val="00507BEF"/>
    <w:rsid w:val="00507CC9"/>
    <w:rsid w:val="00510BFD"/>
    <w:rsid w:val="005119A5"/>
    <w:rsid w:val="005278B7"/>
    <w:rsid w:val="00532016"/>
    <w:rsid w:val="00533005"/>
    <w:rsid w:val="005346C8"/>
    <w:rsid w:val="00543E7D"/>
    <w:rsid w:val="00547A68"/>
    <w:rsid w:val="00551876"/>
    <w:rsid w:val="005531C9"/>
    <w:rsid w:val="005702AC"/>
    <w:rsid w:val="00570C43"/>
    <w:rsid w:val="00592274"/>
    <w:rsid w:val="0059479F"/>
    <w:rsid w:val="005B03A1"/>
    <w:rsid w:val="005B2110"/>
    <w:rsid w:val="005B61E6"/>
    <w:rsid w:val="005C3C4C"/>
    <w:rsid w:val="005C451E"/>
    <w:rsid w:val="005C643A"/>
    <w:rsid w:val="005C6F6F"/>
    <w:rsid w:val="005C77E1"/>
    <w:rsid w:val="005D668A"/>
    <w:rsid w:val="005D6A2F"/>
    <w:rsid w:val="005E0592"/>
    <w:rsid w:val="005E1A82"/>
    <w:rsid w:val="005E2097"/>
    <w:rsid w:val="005E65E4"/>
    <w:rsid w:val="005E794C"/>
    <w:rsid w:val="005F0A28"/>
    <w:rsid w:val="005F0E5E"/>
    <w:rsid w:val="00600535"/>
    <w:rsid w:val="00601641"/>
    <w:rsid w:val="00605E17"/>
    <w:rsid w:val="00610CD6"/>
    <w:rsid w:val="00610FBE"/>
    <w:rsid w:val="006175B2"/>
    <w:rsid w:val="00620DEE"/>
    <w:rsid w:val="00621F92"/>
    <w:rsid w:val="0062280A"/>
    <w:rsid w:val="006231E1"/>
    <w:rsid w:val="00624A16"/>
    <w:rsid w:val="00625639"/>
    <w:rsid w:val="00630D74"/>
    <w:rsid w:val="00631B33"/>
    <w:rsid w:val="0064184D"/>
    <w:rsid w:val="006422CC"/>
    <w:rsid w:val="00651D18"/>
    <w:rsid w:val="006528E6"/>
    <w:rsid w:val="00660E3E"/>
    <w:rsid w:val="00661B93"/>
    <w:rsid w:val="00662E74"/>
    <w:rsid w:val="00664F9F"/>
    <w:rsid w:val="00674257"/>
    <w:rsid w:val="00677F58"/>
    <w:rsid w:val="00680C23"/>
    <w:rsid w:val="00680CEF"/>
    <w:rsid w:val="00683E23"/>
    <w:rsid w:val="00693766"/>
    <w:rsid w:val="006A3281"/>
    <w:rsid w:val="006B4888"/>
    <w:rsid w:val="006C1A19"/>
    <w:rsid w:val="006C2E45"/>
    <w:rsid w:val="006C2E9D"/>
    <w:rsid w:val="006C359C"/>
    <w:rsid w:val="006C5579"/>
    <w:rsid w:val="006D459F"/>
    <w:rsid w:val="006D6E8B"/>
    <w:rsid w:val="006D7209"/>
    <w:rsid w:val="006E2EC0"/>
    <w:rsid w:val="006E4719"/>
    <w:rsid w:val="006E737D"/>
    <w:rsid w:val="006F3034"/>
    <w:rsid w:val="006F3380"/>
    <w:rsid w:val="006F6CAE"/>
    <w:rsid w:val="00704E79"/>
    <w:rsid w:val="00707DD1"/>
    <w:rsid w:val="00713973"/>
    <w:rsid w:val="007174DE"/>
    <w:rsid w:val="00720A24"/>
    <w:rsid w:val="00721BEB"/>
    <w:rsid w:val="00732386"/>
    <w:rsid w:val="0073401E"/>
    <w:rsid w:val="0073514D"/>
    <w:rsid w:val="007447F3"/>
    <w:rsid w:val="00745B28"/>
    <w:rsid w:val="007543AC"/>
    <w:rsid w:val="0075499F"/>
    <w:rsid w:val="00756555"/>
    <w:rsid w:val="007617CC"/>
    <w:rsid w:val="00763B62"/>
    <w:rsid w:val="00765DF0"/>
    <w:rsid w:val="007661C8"/>
    <w:rsid w:val="0077098D"/>
    <w:rsid w:val="00775BF8"/>
    <w:rsid w:val="00782DB9"/>
    <w:rsid w:val="00785BF9"/>
    <w:rsid w:val="00790746"/>
    <w:rsid w:val="007931FA"/>
    <w:rsid w:val="007A4861"/>
    <w:rsid w:val="007A4ABB"/>
    <w:rsid w:val="007A7BBA"/>
    <w:rsid w:val="007B0C50"/>
    <w:rsid w:val="007B48F9"/>
    <w:rsid w:val="007B7E8D"/>
    <w:rsid w:val="007C1A43"/>
    <w:rsid w:val="007C23DE"/>
    <w:rsid w:val="007C6515"/>
    <w:rsid w:val="007D0951"/>
    <w:rsid w:val="007E3B7B"/>
    <w:rsid w:val="007E4EFB"/>
    <w:rsid w:val="007F27C8"/>
    <w:rsid w:val="007F5FE9"/>
    <w:rsid w:val="0080013E"/>
    <w:rsid w:val="00800F16"/>
    <w:rsid w:val="008022F3"/>
    <w:rsid w:val="00813288"/>
    <w:rsid w:val="0081624D"/>
    <w:rsid w:val="008168FC"/>
    <w:rsid w:val="00820B74"/>
    <w:rsid w:val="00830996"/>
    <w:rsid w:val="008314D7"/>
    <w:rsid w:val="008345F1"/>
    <w:rsid w:val="008413CF"/>
    <w:rsid w:val="008417B2"/>
    <w:rsid w:val="00845BDE"/>
    <w:rsid w:val="00847272"/>
    <w:rsid w:val="00852714"/>
    <w:rsid w:val="00852E31"/>
    <w:rsid w:val="008535EC"/>
    <w:rsid w:val="00857EAF"/>
    <w:rsid w:val="00864384"/>
    <w:rsid w:val="00865B07"/>
    <w:rsid w:val="008667EA"/>
    <w:rsid w:val="0087044C"/>
    <w:rsid w:val="00872CAD"/>
    <w:rsid w:val="0087562B"/>
    <w:rsid w:val="0087637F"/>
    <w:rsid w:val="0088543C"/>
    <w:rsid w:val="0089183E"/>
    <w:rsid w:val="00892AD5"/>
    <w:rsid w:val="00895CDF"/>
    <w:rsid w:val="00896347"/>
    <w:rsid w:val="008A1512"/>
    <w:rsid w:val="008B5566"/>
    <w:rsid w:val="008B7BF0"/>
    <w:rsid w:val="008B7C24"/>
    <w:rsid w:val="008C083B"/>
    <w:rsid w:val="008C2250"/>
    <w:rsid w:val="008C3CBB"/>
    <w:rsid w:val="008C7EF7"/>
    <w:rsid w:val="008D0994"/>
    <w:rsid w:val="008D32B9"/>
    <w:rsid w:val="008D433B"/>
    <w:rsid w:val="008D4A16"/>
    <w:rsid w:val="008D62A7"/>
    <w:rsid w:val="008E0AC8"/>
    <w:rsid w:val="008E209A"/>
    <w:rsid w:val="008E45BC"/>
    <w:rsid w:val="008E566E"/>
    <w:rsid w:val="0090161A"/>
    <w:rsid w:val="00901EB6"/>
    <w:rsid w:val="009041F8"/>
    <w:rsid w:val="00904C62"/>
    <w:rsid w:val="00906B31"/>
    <w:rsid w:val="00911584"/>
    <w:rsid w:val="00913419"/>
    <w:rsid w:val="00922BA8"/>
    <w:rsid w:val="00924DAC"/>
    <w:rsid w:val="00927058"/>
    <w:rsid w:val="00932612"/>
    <w:rsid w:val="00942750"/>
    <w:rsid w:val="009450CE"/>
    <w:rsid w:val="009459BB"/>
    <w:rsid w:val="00947179"/>
    <w:rsid w:val="0095164B"/>
    <w:rsid w:val="00954090"/>
    <w:rsid w:val="009561A3"/>
    <w:rsid w:val="009573E7"/>
    <w:rsid w:val="00963E05"/>
    <w:rsid w:val="00964A45"/>
    <w:rsid w:val="00967843"/>
    <w:rsid w:val="00967D54"/>
    <w:rsid w:val="00971028"/>
    <w:rsid w:val="00993B84"/>
    <w:rsid w:val="00994DD1"/>
    <w:rsid w:val="00996483"/>
    <w:rsid w:val="00996F5A"/>
    <w:rsid w:val="009A33B4"/>
    <w:rsid w:val="009B041A"/>
    <w:rsid w:val="009B382B"/>
    <w:rsid w:val="009B3F56"/>
    <w:rsid w:val="009C37C3"/>
    <w:rsid w:val="009C7C86"/>
    <w:rsid w:val="009D2D1D"/>
    <w:rsid w:val="009D2FF7"/>
    <w:rsid w:val="009E1B88"/>
    <w:rsid w:val="009E7884"/>
    <w:rsid w:val="009E788A"/>
    <w:rsid w:val="009F0E08"/>
    <w:rsid w:val="009F0E72"/>
    <w:rsid w:val="00A01D0A"/>
    <w:rsid w:val="00A057D5"/>
    <w:rsid w:val="00A079AE"/>
    <w:rsid w:val="00A13858"/>
    <w:rsid w:val="00A1763D"/>
    <w:rsid w:val="00A17CEC"/>
    <w:rsid w:val="00A22FDD"/>
    <w:rsid w:val="00A26CBB"/>
    <w:rsid w:val="00A27EF0"/>
    <w:rsid w:val="00A42361"/>
    <w:rsid w:val="00A447F0"/>
    <w:rsid w:val="00A50B20"/>
    <w:rsid w:val="00A51390"/>
    <w:rsid w:val="00A60D13"/>
    <w:rsid w:val="00A610BB"/>
    <w:rsid w:val="00A7223D"/>
    <w:rsid w:val="00A72745"/>
    <w:rsid w:val="00A74EF3"/>
    <w:rsid w:val="00A769B3"/>
    <w:rsid w:val="00A76EFC"/>
    <w:rsid w:val="00A77E06"/>
    <w:rsid w:val="00A83B10"/>
    <w:rsid w:val="00A87D50"/>
    <w:rsid w:val="00A91010"/>
    <w:rsid w:val="00A97F29"/>
    <w:rsid w:val="00AA702E"/>
    <w:rsid w:val="00AA7D26"/>
    <w:rsid w:val="00AB0964"/>
    <w:rsid w:val="00AB3FF6"/>
    <w:rsid w:val="00AB5011"/>
    <w:rsid w:val="00AB55D4"/>
    <w:rsid w:val="00AC422A"/>
    <w:rsid w:val="00AC6240"/>
    <w:rsid w:val="00AC7368"/>
    <w:rsid w:val="00AD0278"/>
    <w:rsid w:val="00AD16B9"/>
    <w:rsid w:val="00AD2852"/>
    <w:rsid w:val="00AE377D"/>
    <w:rsid w:val="00AF0EBA"/>
    <w:rsid w:val="00AF1028"/>
    <w:rsid w:val="00AF5A42"/>
    <w:rsid w:val="00B02359"/>
    <w:rsid w:val="00B02C8A"/>
    <w:rsid w:val="00B05ADC"/>
    <w:rsid w:val="00B100B1"/>
    <w:rsid w:val="00B17FBD"/>
    <w:rsid w:val="00B3132F"/>
    <w:rsid w:val="00B315A6"/>
    <w:rsid w:val="00B31813"/>
    <w:rsid w:val="00B33365"/>
    <w:rsid w:val="00B35F61"/>
    <w:rsid w:val="00B37A8D"/>
    <w:rsid w:val="00B41483"/>
    <w:rsid w:val="00B4589F"/>
    <w:rsid w:val="00B54D78"/>
    <w:rsid w:val="00B57B36"/>
    <w:rsid w:val="00B57E6F"/>
    <w:rsid w:val="00B62B59"/>
    <w:rsid w:val="00B7301A"/>
    <w:rsid w:val="00B768AB"/>
    <w:rsid w:val="00B77243"/>
    <w:rsid w:val="00B8686D"/>
    <w:rsid w:val="00B907CA"/>
    <w:rsid w:val="00B91CCC"/>
    <w:rsid w:val="00B93F69"/>
    <w:rsid w:val="00B96A4B"/>
    <w:rsid w:val="00BA4D69"/>
    <w:rsid w:val="00BA4FB9"/>
    <w:rsid w:val="00BA5CD8"/>
    <w:rsid w:val="00BB1DDC"/>
    <w:rsid w:val="00BC30C9"/>
    <w:rsid w:val="00BC6123"/>
    <w:rsid w:val="00BC6923"/>
    <w:rsid w:val="00BD077D"/>
    <w:rsid w:val="00BD652D"/>
    <w:rsid w:val="00BE3E58"/>
    <w:rsid w:val="00BE53EC"/>
    <w:rsid w:val="00BE65DB"/>
    <w:rsid w:val="00BF0A4C"/>
    <w:rsid w:val="00BF7F18"/>
    <w:rsid w:val="00C01616"/>
    <w:rsid w:val="00C0162B"/>
    <w:rsid w:val="00C068ED"/>
    <w:rsid w:val="00C14361"/>
    <w:rsid w:val="00C14409"/>
    <w:rsid w:val="00C208E9"/>
    <w:rsid w:val="00C22E0C"/>
    <w:rsid w:val="00C23ED4"/>
    <w:rsid w:val="00C345B1"/>
    <w:rsid w:val="00C370D4"/>
    <w:rsid w:val="00C40142"/>
    <w:rsid w:val="00C412CD"/>
    <w:rsid w:val="00C46360"/>
    <w:rsid w:val="00C46CE8"/>
    <w:rsid w:val="00C46E28"/>
    <w:rsid w:val="00C50867"/>
    <w:rsid w:val="00C52C3C"/>
    <w:rsid w:val="00C53D14"/>
    <w:rsid w:val="00C57182"/>
    <w:rsid w:val="00C57863"/>
    <w:rsid w:val="00C640AF"/>
    <w:rsid w:val="00C655FD"/>
    <w:rsid w:val="00C71867"/>
    <w:rsid w:val="00C75407"/>
    <w:rsid w:val="00C762F8"/>
    <w:rsid w:val="00C841C6"/>
    <w:rsid w:val="00C870A8"/>
    <w:rsid w:val="00C92DD6"/>
    <w:rsid w:val="00C94434"/>
    <w:rsid w:val="00CA0D75"/>
    <w:rsid w:val="00CA1C95"/>
    <w:rsid w:val="00CA43BA"/>
    <w:rsid w:val="00CA508C"/>
    <w:rsid w:val="00CA5A9C"/>
    <w:rsid w:val="00CA6117"/>
    <w:rsid w:val="00CB0B97"/>
    <w:rsid w:val="00CB2614"/>
    <w:rsid w:val="00CB280B"/>
    <w:rsid w:val="00CB4E47"/>
    <w:rsid w:val="00CB6F01"/>
    <w:rsid w:val="00CC0E74"/>
    <w:rsid w:val="00CC4C20"/>
    <w:rsid w:val="00CD0C13"/>
    <w:rsid w:val="00CD3517"/>
    <w:rsid w:val="00CD5FE2"/>
    <w:rsid w:val="00CD7447"/>
    <w:rsid w:val="00CE59B8"/>
    <w:rsid w:val="00CE7C68"/>
    <w:rsid w:val="00D00EB9"/>
    <w:rsid w:val="00D02B4C"/>
    <w:rsid w:val="00D040C4"/>
    <w:rsid w:val="00D11D8B"/>
    <w:rsid w:val="00D1654E"/>
    <w:rsid w:val="00D20AD1"/>
    <w:rsid w:val="00D2582C"/>
    <w:rsid w:val="00D25E0B"/>
    <w:rsid w:val="00D263F9"/>
    <w:rsid w:val="00D26B18"/>
    <w:rsid w:val="00D27ABC"/>
    <w:rsid w:val="00D3016B"/>
    <w:rsid w:val="00D30F2A"/>
    <w:rsid w:val="00D31C84"/>
    <w:rsid w:val="00D40644"/>
    <w:rsid w:val="00D46B7E"/>
    <w:rsid w:val="00D5177E"/>
    <w:rsid w:val="00D5551F"/>
    <w:rsid w:val="00D57970"/>
    <w:rsid w:val="00D57C84"/>
    <w:rsid w:val="00D6057D"/>
    <w:rsid w:val="00D6475B"/>
    <w:rsid w:val="00D65F1F"/>
    <w:rsid w:val="00D70304"/>
    <w:rsid w:val="00D71640"/>
    <w:rsid w:val="00D731F1"/>
    <w:rsid w:val="00D836C5"/>
    <w:rsid w:val="00D84576"/>
    <w:rsid w:val="00D87871"/>
    <w:rsid w:val="00DA09B2"/>
    <w:rsid w:val="00DA1399"/>
    <w:rsid w:val="00DA24C6"/>
    <w:rsid w:val="00DA4D7B"/>
    <w:rsid w:val="00DA65F1"/>
    <w:rsid w:val="00DD0117"/>
    <w:rsid w:val="00DD1409"/>
    <w:rsid w:val="00DD271C"/>
    <w:rsid w:val="00DD5BF1"/>
    <w:rsid w:val="00DE264A"/>
    <w:rsid w:val="00DE33AD"/>
    <w:rsid w:val="00DE3952"/>
    <w:rsid w:val="00DF5072"/>
    <w:rsid w:val="00DF565F"/>
    <w:rsid w:val="00DF6AAF"/>
    <w:rsid w:val="00DF7EF0"/>
    <w:rsid w:val="00E02D18"/>
    <w:rsid w:val="00E041E7"/>
    <w:rsid w:val="00E05EC1"/>
    <w:rsid w:val="00E1640A"/>
    <w:rsid w:val="00E16FBB"/>
    <w:rsid w:val="00E2113B"/>
    <w:rsid w:val="00E21F2B"/>
    <w:rsid w:val="00E23CA1"/>
    <w:rsid w:val="00E23DBD"/>
    <w:rsid w:val="00E2682F"/>
    <w:rsid w:val="00E326D6"/>
    <w:rsid w:val="00E33292"/>
    <w:rsid w:val="00E409A8"/>
    <w:rsid w:val="00E47D61"/>
    <w:rsid w:val="00E50C12"/>
    <w:rsid w:val="00E56C38"/>
    <w:rsid w:val="00E65B91"/>
    <w:rsid w:val="00E65CA8"/>
    <w:rsid w:val="00E70D8C"/>
    <w:rsid w:val="00E7209D"/>
    <w:rsid w:val="00E72EAD"/>
    <w:rsid w:val="00E77223"/>
    <w:rsid w:val="00E834A2"/>
    <w:rsid w:val="00E8528B"/>
    <w:rsid w:val="00E85B94"/>
    <w:rsid w:val="00E869D0"/>
    <w:rsid w:val="00E86FD8"/>
    <w:rsid w:val="00E978D0"/>
    <w:rsid w:val="00EA047C"/>
    <w:rsid w:val="00EA146E"/>
    <w:rsid w:val="00EA1E26"/>
    <w:rsid w:val="00EA4613"/>
    <w:rsid w:val="00EA480C"/>
    <w:rsid w:val="00EA7F91"/>
    <w:rsid w:val="00EB1523"/>
    <w:rsid w:val="00EB20B7"/>
    <w:rsid w:val="00EB4292"/>
    <w:rsid w:val="00EB6CC9"/>
    <w:rsid w:val="00EC0E49"/>
    <w:rsid w:val="00EC101F"/>
    <w:rsid w:val="00EC1D9F"/>
    <w:rsid w:val="00EE0131"/>
    <w:rsid w:val="00EE17B0"/>
    <w:rsid w:val="00EE6CC2"/>
    <w:rsid w:val="00EF06D9"/>
    <w:rsid w:val="00EF0982"/>
    <w:rsid w:val="00EF0E0E"/>
    <w:rsid w:val="00EF2D50"/>
    <w:rsid w:val="00EF2D5F"/>
    <w:rsid w:val="00EF2D79"/>
    <w:rsid w:val="00F0222F"/>
    <w:rsid w:val="00F06C4C"/>
    <w:rsid w:val="00F126A5"/>
    <w:rsid w:val="00F17659"/>
    <w:rsid w:val="00F26013"/>
    <w:rsid w:val="00F3049E"/>
    <w:rsid w:val="00F30C64"/>
    <w:rsid w:val="00F32BA2"/>
    <w:rsid w:val="00F32CDB"/>
    <w:rsid w:val="00F32E4C"/>
    <w:rsid w:val="00F3348F"/>
    <w:rsid w:val="00F37280"/>
    <w:rsid w:val="00F41EE4"/>
    <w:rsid w:val="00F543A0"/>
    <w:rsid w:val="00F565FE"/>
    <w:rsid w:val="00F61F8F"/>
    <w:rsid w:val="00F63A70"/>
    <w:rsid w:val="00F63D8C"/>
    <w:rsid w:val="00F67C25"/>
    <w:rsid w:val="00F7534E"/>
    <w:rsid w:val="00F83CA0"/>
    <w:rsid w:val="00F92FFB"/>
    <w:rsid w:val="00F93EDF"/>
    <w:rsid w:val="00FA138F"/>
    <w:rsid w:val="00FA1802"/>
    <w:rsid w:val="00FA21D0"/>
    <w:rsid w:val="00FA5F5F"/>
    <w:rsid w:val="00FA6DCB"/>
    <w:rsid w:val="00FB4728"/>
    <w:rsid w:val="00FB5BEB"/>
    <w:rsid w:val="00FB6E11"/>
    <w:rsid w:val="00FB730C"/>
    <w:rsid w:val="00FC2695"/>
    <w:rsid w:val="00FC3E03"/>
    <w:rsid w:val="00FC3FC1"/>
    <w:rsid w:val="00FD3053"/>
    <w:rsid w:val="00FD3C4D"/>
    <w:rsid w:val="00FF68B1"/>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AE0CC22"/>
  <w14:defaultImageDpi w14:val="330"/>
  <w15:docId w15:val="{BA8CC0A9-0CB5-42FE-8925-1C15D0B21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aliases w:val="CET Top_page"/>
    <w:rsid w:val="00620DEE"/>
    <w:pPr>
      <w:tabs>
        <w:tab w:val="right" w:pos="7100"/>
      </w:tabs>
      <w:spacing w:after="0" w:line="264" w:lineRule="auto"/>
      <w:jc w:val="both"/>
    </w:pPr>
    <w:rPr>
      <w:rFonts w:ascii="Arial" w:eastAsia="Times New Roman" w:hAnsi="Arial" w:cs="Times New Roman"/>
      <w:sz w:val="18"/>
      <w:szCs w:val="20"/>
      <w:lang w:val="en-US"/>
    </w:rPr>
  </w:style>
  <w:style w:type="paragraph" w:styleId="Titolo1">
    <w:name w:val="heading 1"/>
    <w:basedOn w:val="CETHeading1"/>
    <w:next w:val="Normale"/>
    <w:link w:val="Titolo1Carattere"/>
    <w:uiPriority w:val="9"/>
    <w:rsid w:val="004F5E36"/>
    <w:pPr>
      <w:tabs>
        <w:tab w:val="clear" w:pos="360"/>
        <w:tab w:val="right" w:pos="7100"/>
      </w:tabs>
      <w:jc w:val="both"/>
      <w:outlineLvl w:val="0"/>
    </w:pPr>
    <w:rPr>
      <w:lang w:val="en-GB"/>
    </w:rPr>
  </w:style>
  <w:style w:type="paragraph" w:styleId="Titolo2">
    <w:name w:val="heading 2"/>
    <w:basedOn w:val="Normale"/>
    <w:next w:val="Normale"/>
    <w:link w:val="Titolo2Carattere"/>
    <w:uiPriority w:val="9"/>
    <w:semiHidden/>
    <w:unhideWhenUsed/>
    <w:qFormat/>
    <w:rsid w:val="0003148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semiHidden/>
    <w:unhideWhenUsed/>
    <w:qFormat/>
    <w:rsid w:val="0003148D"/>
    <w:pPr>
      <w:keepNext/>
      <w:keepLines/>
      <w:spacing w:before="20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03148D"/>
    <w:pPr>
      <w:keepNext/>
      <w:keepLines/>
      <w:spacing w:before="20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03148D"/>
    <w:pPr>
      <w:keepNext/>
      <w:keepLines/>
      <w:spacing w:before="20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03148D"/>
    <w:pPr>
      <w:keepNext/>
      <w:keepLines/>
      <w:spacing w:before="20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03148D"/>
    <w:pPr>
      <w:keepNext/>
      <w:keepLines/>
      <w:spacing w:before="20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03148D"/>
    <w:pPr>
      <w:keepNext/>
      <w:keepLines/>
      <w:spacing w:before="200"/>
      <w:outlineLvl w:val="7"/>
    </w:pPr>
    <w:rPr>
      <w:rFonts w:asciiTheme="majorHAnsi" w:eastAsiaTheme="majorEastAsia" w:hAnsiTheme="majorHAnsi" w:cstheme="majorBidi"/>
      <w:color w:val="404040" w:themeColor="text1" w:themeTint="BF"/>
    </w:rPr>
  </w:style>
  <w:style w:type="paragraph" w:styleId="Titolo9">
    <w:name w:val="heading 9"/>
    <w:basedOn w:val="Normale"/>
    <w:next w:val="Normale"/>
    <w:link w:val="Titolo9Carattere"/>
    <w:uiPriority w:val="9"/>
    <w:semiHidden/>
    <w:unhideWhenUsed/>
    <w:qFormat/>
    <w:rsid w:val="0003148D"/>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CETAuthors">
    <w:name w:val="CET Authors"/>
    <w:basedOn w:val="CETBodytext"/>
    <w:link w:val="CETAuthorsCarattere"/>
    <w:qFormat/>
    <w:rsid w:val="000E414A"/>
    <w:pPr>
      <w:keepNext/>
      <w:suppressAutoHyphens/>
      <w:spacing w:after="120"/>
    </w:pPr>
    <w:rPr>
      <w:noProof/>
      <w:sz w:val="24"/>
      <w:lang w:val="en-GB"/>
    </w:rPr>
  </w:style>
  <w:style w:type="paragraph" w:customStyle="1" w:styleId="CETTitle">
    <w:name w:val="CET Title"/>
    <w:next w:val="CETAuthors"/>
    <w:link w:val="CETTitleCarattere"/>
    <w:rsid w:val="00FB730C"/>
    <w:pPr>
      <w:suppressAutoHyphens/>
      <w:spacing w:before="480" w:after="120" w:line="264" w:lineRule="auto"/>
      <w:jc w:val="center"/>
      <w:outlineLvl w:val="0"/>
    </w:pPr>
    <w:rPr>
      <w:rFonts w:ascii="Arial" w:eastAsia="Times New Roman" w:hAnsi="Arial" w:cs="Times New Roman"/>
      <w:sz w:val="32"/>
      <w:szCs w:val="20"/>
      <w:lang w:val="en-GB"/>
    </w:rPr>
  </w:style>
  <w:style w:type="character" w:customStyle="1" w:styleId="CETAuthorsCarattere">
    <w:name w:val="CET Authors Carattere"/>
    <w:link w:val="CETAuthors"/>
    <w:rsid w:val="009E788A"/>
    <w:rPr>
      <w:rFonts w:ascii="Arial" w:eastAsia="Times New Roman" w:hAnsi="Arial" w:cs="Times New Roman"/>
      <w:noProof/>
      <w:sz w:val="24"/>
      <w:szCs w:val="20"/>
      <w:lang w:val="en-GB"/>
    </w:rPr>
  </w:style>
  <w:style w:type="character" w:customStyle="1" w:styleId="CETTitleCarattere">
    <w:name w:val="CET Title Carattere"/>
    <w:link w:val="CETTitle"/>
    <w:rsid w:val="00FB730C"/>
    <w:rPr>
      <w:rFonts w:ascii="Arial" w:eastAsia="Times New Roman" w:hAnsi="Arial" w:cs="Times New Roman"/>
      <w:sz w:val="32"/>
      <w:szCs w:val="20"/>
      <w:lang w:val="en-GB"/>
    </w:rPr>
  </w:style>
  <w:style w:type="paragraph" w:customStyle="1" w:styleId="CETHeading1">
    <w:name w:val="CET Heading1"/>
    <w:next w:val="CETBodytext"/>
    <w:qFormat/>
    <w:rsid w:val="009E788A"/>
    <w:pPr>
      <w:keepNext/>
      <w:numPr>
        <w:ilvl w:val="1"/>
        <w:numId w:val="1"/>
      </w:numPr>
      <w:tabs>
        <w:tab w:val="num" w:pos="360"/>
      </w:tabs>
      <w:suppressAutoHyphens/>
      <w:spacing w:before="240" w:after="120" w:line="240" w:lineRule="auto"/>
    </w:pPr>
    <w:rPr>
      <w:rFonts w:ascii="Arial" w:eastAsia="Times New Roman" w:hAnsi="Arial" w:cs="Times New Roman"/>
      <w:b/>
      <w:sz w:val="20"/>
      <w:szCs w:val="20"/>
      <w:lang w:val="en-US"/>
    </w:rPr>
  </w:style>
  <w:style w:type="paragraph" w:customStyle="1" w:styleId="CETBodytext">
    <w:name w:val="CET Body text"/>
    <w:link w:val="CETBodytextCarattere"/>
    <w:qFormat/>
    <w:rsid w:val="000E414A"/>
    <w:pPr>
      <w:tabs>
        <w:tab w:val="right" w:pos="7100"/>
      </w:tabs>
      <w:spacing w:after="0" w:line="264" w:lineRule="auto"/>
      <w:jc w:val="both"/>
    </w:pPr>
    <w:rPr>
      <w:rFonts w:ascii="Arial" w:eastAsia="Times New Roman" w:hAnsi="Arial" w:cs="Times New Roman"/>
      <w:sz w:val="18"/>
      <w:szCs w:val="20"/>
      <w:lang w:val="en-US"/>
    </w:rPr>
  </w:style>
  <w:style w:type="paragraph" w:customStyle="1" w:styleId="CETheadingx">
    <w:name w:val="CET headingx"/>
    <w:next w:val="CETBodytext"/>
    <w:link w:val="CETheadingxCarattere"/>
    <w:autoRedefine/>
    <w:qFormat/>
    <w:rsid w:val="00FA5F5F"/>
    <w:pPr>
      <w:keepNext/>
      <w:numPr>
        <w:ilvl w:val="2"/>
        <w:numId w:val="1"/>
      </w:numPr>
      <w:suppressAutoHyphens/>
      <w:spacing w:before="120" w:after="120" w:line="240" w:lineRule="auto"/>
    </w:pPr>
    <w:rPr>
      <w:rFonts w:ascii="Arial" w:eastAsia="Times New Roman" w:hAnsi="Arial" w:cs="Times New Roman"/>
      <w:b/>
      <w:sz w:val="18"/>
      <w:szCs w:val="20"/>
      <w:lang w:val="en-US"/>
    </w:rPr>
  </w:style>
  <w:style w:type="paragraph" w:customStyle="1" w:styleId="CETAddress">
    <w:name w:val="CET Address"/>
    <w:link w:val="CETAddressCarattere"/>
    <w:qFormat/>
    <w:rsid w:val="009E788A"/>
    <w:pPr>
      <w:keepNext/>
      <w:suppressAutoHyphens/>
      <w:spacing w:after="0"/>
      <w:contextualSpacing/>
    </w:pPr>
    <w:rPr>
      <w:rFonts w:ascii="Arial" w:eastAsia="Times New Roman" w:hAnsi="Arial" w:cs="Times New Roman"/>
      <w:noProof/>
      <w:sz w:val="16"/>
      <w:szCs w:val="20"/>
      <w:lang w:val="en-GB"/>
    </w:rPr>
  </w:style>
  <w:style w:type="table" w:styleId="Tabellasemplice1">
    <w:name w:val="Table Simple 1"/>
    <w:basedOn w:val="Tabellanormale"/>
    <w:semiHidden/>
    <w:rsid w:val="000E414A"/>
    <w:pPr>
      <w:numPr>
        <w:ilvl w:val="3"/>
        <w:numId w:val="1"/>
      </w:numPr>
      <w:spacing w:after="0" w:line="264" w:lineRule="auto"/>
      <w:jc w:val="both"/>
    </w:pPr>
    <w:rPr>
      <w:rFonts w:ascii="Times New Roman" w:eastAsia="Times New Roman" w:hAnsi="Times New Roman" w:cs="Times New Roman"/>
      <w:sz w:val="20"/>
      <w:szCs w:val="20"/>
      <w:lang w:eastAsia="it-IT"/>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CETBodytextCarattere">
    <w:name w:val="CET Body text Carattere"/>
    <w:link w:val="CETBodytext"/>
    <w:rsid w:val="000E414A"/>
    <w:rPr>
      <w:rFonts w:ascii="Arial" w:eastAsia="Times New Roman" w:hAnsi="Arial" w:cs="Times New Roman"/>
      <w:sz w:val="18"/>
      <w:szCs w:val="20"/>
      <w:lang w:val="en-US"/>
    </w:rPr>
  </w:style>
  <w:style w:type="paragraph" w:customStyle="1" w:styleId="CETReference">
    <w:name w:val="CET Reference"/>
    <w:qFormat/>
    <w:rsid w:val="00FC2695"/>
    <w:pPr>
      <w:spacing w:before="200" w:after="120" w:line="240" w:lineRule="auto"/>
    </w:pPr>
    <w:rPr>
      <w:rFonts w:ascii="Arial" w:eastAsia="Times New Roman" w:hAnsi="Arial" w:cs="Times New Roman"/>
      <w:b/>
      <w:sz w:val="18"/>
      <w:szCs w:val="20"/>
      <w:lang w:val="en-GB"/>
    </w:rPr>
  </w:style>
  <w:style w:type="paragraph" w:customStyle="1" w:styleId="CETCaption">
    <w:name w:val="CET Caption"/>
    <w:link w:val="CETCaptionCarattere"/>
    <w:qFormat/>
    <w:rsid w:val="00F7534E"/>
    <w:pPr>
      <w:spacing w:before="240" w:after="240" w:line="264" w:lineRule="auto"/>
      <w:jc w:val="both"/>
    </w:pPr>
    <w:rPr>
      <w:rFonts w:ascii="Arial" w:eastAsia="Times New Roman" w:hAnsi="Arial" w:cs="Times New Roman"/>
      <w:i/>
      <w:sz w:val="18"/>
      <w:szCs w:val="20"/>
      <w:lang w:val="en-GB"/>
    </w:rPr>
  </w:style>
  <w:style w:type="character" w:customStyle="1" w:styleId="CETheadingxCarattere">
    <w:name w:val="CET headingx Carattere"/>
    <w:link w:val="CETheadingx"/>
    <w:rsid w:val="00FA5F5F"/>
    <w:rPr>
      <w:rFonts w:ascii="Arial" w:eastAsia="Times New Roman" w:hAnsi="Arial" w:cs="Times New Roman"/>
      <w:b/>
      <w:sz w:val="18"/>
      <w:szCs w:val="20"/>
      <w:lang w:val="en-US"/>
    </w:rPr>
  </w:style>
  <w:style w:type="character" w:customStyle="1" w:styleId="CETCaptionCarattere">
    <w:name w:val="CET Caption Carattere"/>
    <w:link w:val="CETCaption"/>
    <w:rsid w:val="00F7534E"/>
    <w:rPr>
      <w:rFonts w:ascii="Arial" w:eastAsia="Times New Roman" w:hAnsi="Arial" w:cs="Times New Roman"/>
      <w:i/>
      <w:sz w:val="18"/>
      <w:szCs w:val="20"/>
      <w:lang w:val="en-GB"/>
    </w:rPr>
  </w:style>
  <w:style w:type="paragraph" w:customStyle="1" w:styleId="CETBodytextItalic">
    <w:name w:val="CET Body text (Italic)"/>
    <w:basedOn w:val="CETBodytext"/>
    <w:qFormat/>
    <w:rsid w:val="004F5E36"/>
    <w:rPr>
      <w:i/>
      <w:lang w:val="en-GB"/>
    </w:rPr>
  </w:style>
  <w:style w:type="character" w:styleId="Rimandocommento">
    <w:name w:val="annotation reference"/>
    <w:basedOn w:val="Carpredefinitoparagrafo"/>
    <w:uiPriority w:val="99"/>
    <w:semiHidden/>
    <w:unhideWhenUsed/>
    <w:rsid w:val="004577FE"/>
    <w:rPr>
      <w:sz w:val="16"/>
      <w:szCs w:val="16"/>
    </w:rPr>
  </w:style>
  <w:style w:type="paragraph" w:styleId="Testofumetto">
    <w:name w:val="Balloon Text"/>
    <w:basedOn w:val="Normale"/>
    <w:link w:val="TestofumettoCarattere"/>
    <w:uiPriority w:val="99"/>
    <w:semiHidden/>
    <w:unhideWhenUsed/>
    <w:rsid w:val="000D34BE"/>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D34BE"/>
    <w:rPr>
      <w:rFonts w:ascii="Tahoma" w:hAnsi="Tahoma" w:cs="Tahoma"/>
      <w:sz w:val="16"/>
      <w:szCs w:val="16"/>
    </w:rPr>
  </w:style>
  <w:style w:type="paragraph" w:styleId="Bibliografia">
    <w:name w:val="Bibliography"/>
    <w:basedOn w:val="CETReferencetext"/>
    <w:uiPriority w:val="37"/>
    <w:unhideWhenUsed/>
    <w:rsid w:val="00631B33"/>
    <w:pPr>
      <w:spacing w:line="240" w:lineRule="auto"/>
      <w:ind w:left="720" w:hanging="720"/>
    </w:pPr>
  </w:style>
  <w:style w:type="paragraph" w:styleId="Corpodeltesto2">
    <w:name w:val="Body Text 2"/>
    <w:basedOn w:val="Normale"/>
    <w:link w:val="Corpodeltesto2Carattere"/>
    <w:uiPriority w:val="99"/>
    <w:semiHidden/>
    <w:unhideWhenUsed/>
    <w:rsid w:val="0003148D"/>
    <w:pPr>
      <w:spacing w:after="120" w:line="480" w:lineRule="auto"/>
    </w:pPr>
  </w:style>
  <w:style w:type="character" w:customStyle="1" w:styleId="Corpodeltesto2Carattere">
    <w:name w:val="Corpo del testo 2 Carattere"/>
    <w:basedOn w:val="Carpredefinitoparagrafo"/>
    <w:link w:val="Corpodeltesto2"/>
    <w:uiPriority w:val="99"/>
    <w:semiHidden/>
    <w:rsid w:val="0003148D"/>
  </w:style>
  <w:style w:type="paragraph" w:styleId="Corpodeltesto3">
    <w:name w:val="Body Text 3"/>
    <w:basedOn w:val="Normale"/>
    <w:link w:val="Corpodeltesto3Carattere"/>
    <w:uiPriority w:val="99"/>
    <w:semiHidden/>
    <w:unhideWhenUsed/>
    <w:rsid w:val="0003148D"/>
    <w:pPr>
      <w:spacing w:after="120"/>
    </w:pPr>
    <w:rPr>
      <w:sz w:val="16"/>
      <w:szCs w:val="16"/>
    </w:rPr>
  </w:style>
  <w:style w:type="character" w:customStyle="1" w:styleId="Corpodeltesto3Carattere">
    <w:name w:val="Corpo del testo 3 Carattere"/>
    <w:basedOn w:val="Carpredefinitoparagrafo"/>
    <w:link w:val="Corpodeltesto3"/>
    <w:uiPriority w:val="99"/>
    <w:semiHidden/>
    <w:rsid w:val="0003148D"/>
    <w:rPr>
      <w:sz w:val="16"/>
      <w:szCs w:val="16"/>
    </w:rPr>
  </w:style>
  <w:style w:type="paragraph" w:styleId="Corpotesto">
    <w:name w:val="Body Text"/>
    <w:basedOn w:val="Normale"/>
    <w:link w:val="CorpotestoCarattere"/>
    <w:uiPriority w:val="99"/>
    <w:semiHidden/>
    <w:unhideWhenUsed/>
    <w:rsid w:val="0003148D"/>
    <w:pPr>
      <w:spacing w:after="120"/>
    </w:pPr>
  </w:style>
  <w:style w:type="character" w:customStyle="1" w:styleId="CorpotestoCarattere">
    <w:name w:val="Corpo testo Carattere"/>
    <w:basedOn w:val="Carpredefinitoparagrafo"/>
    <w:link w:val="Corpotesto"/>
    <w:uiPriority w:val="99"/>
    <w:semiHidden/>
    <w:rsid w:val="0003148D"/>
  </w:style>
  <w:style w:type="paragraph" w:styleId="Data">
    <w:name w:val="Date"/>
    <w:basedOn w:val="Normale"/>
    <w:next w:val="Normale"/>
    <w:link w:val="DataCarattere"/>
    <w:uiPriority w:val="99"/>
    <w:semiHidden/>
    <w:unhideWhenUsed/>
    <w:rsid w:val="0003148D"/>
  </w:style>
  <w:style w:type="character" w:customStyle="1" w:styleId="DataCarattere">
    <w:name w:val="Data Carattere"/>
    <w:basedOn w:val="Carpredefinitoparagrafo"/>
    <w:link w:val="Data"/>
    <w:uiPriority w:val="99"/>
    <w:semiHidden/>
    <w:rsid w:val="0003148D"/>
  </w:style>
  <w:style w:type="paragraph" w:styleId="Didascalia">
    <w:name w:val="caption"/>
    <w:basedOn w:val="Normale"/>
    <w:next w:val="Normale"/>
    <w:uiPriority w:val="35"/>
    <w:semiHidden/>
    <w:unhideWhenUsed/>
    <w:qFormat/>
    <w:rsid w:val="0003148D"/>
    <w:pPr>
      <w:spacing w:line="240" w:lineRule="auto"/>
    </w:pPr>
    <w:rPr>
      <w:b/>
      <w:bCs/>
      <w:color w:val="4F81BD" w:themeColor="accent1"/>
      <w:szCs w:val="18"/>
    </w:rPr>
  </w:style>
  <w:style w:type="paragraph" w:styleId="Elenco">
    <w:name w:val="List"/>
    <w:basedOn w:val="Normale"/>
    <w:uiPriority w:val="99"/>
    <w:semiHidden/>
    <w:unhideWhenUsed/>
    <w:rsid w:val="0003148D"/>
    <w:pPr>
      <w:ind w:left="283" w:hanging="283"/>
      <w:contextualSpacing/>
    </w:pPr>
  </w:style>
  <w:style w:type="paragraph" w:styleId="Elenco2">
    <w:name w:val="List 2"/>
    <w:basedOn w:val="Normale"/>
    <w:uiPriority w:val="99"/>
    <w:semiHidden/>
    <w:unhideWhenUsed/>
    <w:rsid w:val="0003148D"/>
    <w:pPr>
      <w:ind w:left="566" w:hanging="283"/>
      <w:contextualSpacing/>
    </w:pPr>
  </w:style>
  <w:style w:type="paragraph" w:styleId="Elenco3">
    <w:name w:val="List 3"/>
    <w:basedOn w:val="Normale"/>
    <w:uiPriority w:val="99"/>
    <w:semiHidden/>
    <w:unhideWhenUsed/>
    <w:rsid w:val="0003148D"/>
    <w:pPr>
      <w:ind w:left="849" w:hanging="283"/>
      <w:contextualSpacing/>
    </w:pPr>
  </w:style>
  <w:style w:type="paragraph" w:styleId="Elenco4">
    <w:name w:val="List 4"/>
    <w:basedOn w:val="Normale"/>
    <w:uiPriority w:val="99"/>
    <w:semiHidden/>
    <w:unhideWhenUsed/>
    <w:rsid w:val="0003148D"/>
    <w:pPr>
      <w:ind w:left="1132" w:hanging="283"/>
      <w:contextualSpacing/>
    </w:pPr>
  </w:style>
  <w:style w:type="paragraph" w:styleId="Elenco5">
    <w:name w:val="List 5"/>
    <w:basedOn w:val="Normale"/>
    <w:uiPriority w:val="99"/>
    <w:semiHidden/>
    <w:unhideWhenUsed/>
    <w:rsid w:val="0003148D"/>
    <w:pPr>
      <w:ind w:left="1415" w:hanging="283"/>
      <w:contextualSpacing/>
    </w:pPr>
  </w:style>
  <w:style w:type="paragraph" w:styleId="Elencocontinua">
    <w:name w:val="List Continue"/>
    <w:basedOn w:val="Normale"/>
    <w:uiPriority w:val="99"/>
    <w:semiHidden/>
    <w:unhideWhenUsed/>
    <w:rsid w:val="0003148D"/>
    <w:pPr>
      <w:spacing w:after="120"/>
      <w:ind w:left="283"/>
      <w:contextualSpacing/>
    </w:pPr>
  </w:style>
  <w:style w:type="paragraph" w:styleId="Elencocontinua2">
    <w:name w:val="List Continue 2"/>
    <w:basedOn w:val="Normale"/>
    <w:uiPriority w:val="99"/>
    <w:semiHidden/>
    <w:unhideWhenUsed/>
    <w:rsid w:val="0003148D"/>
    <w:pPr>
      <w:spacing w:after="120"/>
      <w:ind w:left="566"/>
      <w:contextualSpacing/>
    </w:pPr>
  </w:style>
  <w:style w:type="paragraph" w:styleId="Elencocontinua3">
    <w:name w:val="List Continue 3"/>
    <w:basedOn w:val="Normale"/>
    <w:uiPriority w:val="99"/>
    <w:semiHidden/>
    <w:unhideWhenUsed/>
    <w:rsid w:val="0003148D"/>
    <w:pPr>
      <w:spacing w:after="120"/>
      <w:ind w:left="849"/>
      <w:contextualSpacing/>
    </w:pPr>
  </w:style>
  <w:style w:type="paragraph" w:styleId="Elencocontinua4">
    <w:name w:val="List Continue 4"/>
    <w:basedOn w:val="Normale"/>
    <w:uiPriority w:val="99"/>
    <w:semiHidden/>
    <w:unhideWhenUsed/>
    <w:rsid w:val="0003148D"/>
    <w:pPr>
      <w:spacing w:after="120"/>
      <w:ind w:left="1132"/>
      <w:contextualSpacing/>
    </w:pPr>
  </w:style>
  <w:style w:type="paragraph" w:styleId="Elencocontinua5">
    <w:name w:val="List Continue 5"/>
    <w:basedOn w:val="Normale"/>
    <w:uiPriority w:val="99"/>
    <w:semiHidden/>
    <w:unhideWhenUsed/>
    <w:rsid w:val="0003148D"/>
    <w:pPr>
      <w:spacing w:after="120"/>
      <w:ind w:left="1415"/>
      <w:contextualSpacing/>
    </w:pPr>
  </w:style>
  <w:style w:type="paragraph" w:styleId="Firma">
    <w:name w:val="Signature"/>
    <w:basedOn w:val="Normale"/>
    <w:link w:val="FirmaCarattere"/>
    <w:uiPriority w:val="99"/>
    <w:semiHidden/>
    <w:unhideWhenUsed/>
    <w:rsid w:val="0003148D"/>
    <w:pPr>
      <w:spacing w:line="240" w:lineRule="auto"/>
      <w:ind w:left="4252"/>
    </w:pPr>
  </w:style>
  <w:style w:type="character" w:customStyle="1" w:styleId="FirmaCarattere">
    <w:name w:val="Firma Carattere"/>
    <w:basedOn w:val="Carpredefinitoparagrafo"/>
    <w:link w:val="Firma"/>
    <w:uiPriority w:val="99"/>
    <w:semiHidden/>
    <w:rsid w:val="0003148D"/>
  </w:style>
  <w:style w:type="paragraph" w:styleId="Firmadipostaelettronica">
    <w:name w:val="E-mail Signature"/>
    <w:basedOn w:val="Normale"/>
    <w:link w:val="FirmadipostaelettronicaCarattere"/>
    <w:uiPriority w:val="99"/>
    <w:semiHidden/>
    <w:unhideWhenUsed/>
    <w:rsid w:val="0003148D"/>
    <w:pPr>
      <w:spacing w:line="240" w:lineRule="auto"/>
    </w:pPr>
  </w:style>
  <w:style w:type="character" w:customStyle="1" w:styleId="FirmadipostaelettronicaCarattere">
    <w:name w:val="Firma di posta elettronica Carattere"/>
    <w:basedOn w:val="Carpredefinitoparagrafo"/>
    <w:link w:val="Firmadipostaelettronica"/>
    <w:uiPriority w:val="99"/>
    <w:semiHidden/>
    <w:rsid w:val="0003148D"/>
  </w:style>
  <w:style w:type="paragraph" w:styleId="Formuladiapertura">
    <w:name w:val="Salutation"/>
    <w:basedOn w:val="Normale"/>
    <w:next w:val="Normale"/>
    <w:link w:val="FormuladiaperturaCarattere"/>
    <w:uiPriority w:val="99"/>
    <w:semiHidden/>
    <w:unhideWhenUsed/>
    <w:rsid w:val="0003148D"/>
  </w:style>
  <w:style w:type="character" w:customStyle="1" w:styleId="FormuladiaperturaCarattere">
    <w:name w:val="Formula di apertura Carattere"/>
    <w:basedOn w:val="Carpredefinitoparagrafo"/>
    <w:link w:val="Formuladiapertura"/>
    <w:uiPriority w:val="99"/>
    <w:semiHidden/>
    <w:rsid w:val="0003148D"/>
  </w:style>
  <w:style w:type="paragraph" w:styleId="Formuladichiusura">
    <w:name w:val="Closing"/>
    <w:basedOn w:val="Normale"/>
    <w:link w:val="FormuladichiusuraCarattere"/>
    <w:uiPriority w:val="99"/>
    <w:semiHidden/>
    <w:unhideWhenUsed/>
    <w:rsid w:val="0003148D"/>
    <w:pPr>
      <w:spacing w:line="240" w:lineRule="auto"/>
      <w:ind w:left="4252"/>
    </w:pPr>
  </w:style>
  <w:style w:type="character" w:customStyle="1" w:styleId="FormuladichiusuraCarattere">
    <w:name w:val="Formula di chiusura Carattere"/>
    <w:basedOn w:val="Carpredefinitoparagrafo"/>
    <w:link w:val="Formuladichiusura"/>
    <w:uiPriority w:val="99"/>
    <w:semiHidden/>
    <w:rsid w:val="0003148D"/>
  </w:style>
  <w:style w:type="paragraph" w:styleId="Indice1">
    <w:name w:val="index 1"/>
    <w:basedOn w:val="Normale"/>
    <w:next w:val="Normale"/>
    <w:autoRedefine/>
    <w:uiPriority w:val="99"/>
    <w:semiHidden/>
    <w:unhideWhenUsed/>
    <w:rsid w:val="0003148D"/>
    <w:pPr>
      <w:spacing w:line="240" w:lineRule="auto"/>
      <w:ind w:left="220" w:hanging="220"/>
    </w:pPr>
  </w:style>
  <w:style w:type="paragraph" w:styleId="Indice2">
    <w:name w:val="index 2"/>
    <w:basedOn w:val="Normale"/>
    <w:next w:val="Normale"/>
    <w:autoRedefine/>
    <w:uiPriority w:val="99"/>
    <w:semiHidden/>
    <w:unhideWhenUsed/>
    <w:rsid w:val="0003148D"/>
    <w:pPr>
      <w:spacing w:line="240" w:lineRule="auto"/>
      <w:ind w:left="440" w:hanging="220"/>
    </w:pPr>
  </w:style>
  <w:style w:type="paragraph" w:styleId="Indice3">
    <w:name w:val="index 3"/>
    <w:basedOn w:val="Normale"/>
    <w:next w:val="Normale"/>
    <w:autoRedefine/>
    <w:uiPriority w:val="99"/>
    <w:semiHidden/>
    <w:unhideWhenUsed/>
    <w:rsid w:val="0003148D"/>
    <w:pPr>
      <w:spacing w:line="240" w:lineRule="auto"/>
      <w:ind w:left="660" w:hanging="220"/>
    </w:pPr>
  </w:style>
  <w:style w:type="paragraph" w:styleId="Indice4">
    <w:name w:val="index 4"/>
    <w:basedOn w:val="Normale"/>
    <w:next w:val="Normale"/>
    <w:autoRedefine/>
    <w:uiPriority w:val="99"/>
    <w:semiHidden/>
    <w:unhideWhenUsed/>
    <w:rsid w:val="0003148D"/>
    <w:pPr>
      <w:spacing w:line="240" w:lineRule="auto"/>
      <w:ind w:left="880" w:hanging="220"/>
    </w:pPr>
  </w:style>
  <w:style w:type="paragraph" w:styleId="Indice5">
    <w:name w:val="index 5"/>
    <w:basedOn w:val="Normale"/>
    <w:next w:val="Normale"/>
    <w:autoRedefine/>
    <w:uiPriority w:val="99"/>
    <w:semiHidden/>
    <w:unhideWhenUsed/>
    <w:rsid w:val="0003148D"/>
    <w:pPr>
      <w:spacing w:line="240" w:lineRule="auto"/>
      <w:ind w:left="1100" w:hanging="220"/>
    </w:pPr>
  </w:style>
  <w:style w:type="paragraph" w:styleId="Indice6">
    <w:name w:val="index 6"/>
    <w:basedOn w:val="Normale"/>
    <w:next w:val="Normale"/>
    <w:autoRedefine/>
    <w:uiPriority w:val="99"/>
    <w:semiHidden/>
    <w:unhideWhenUsed/>
    <w:rsid w:val="0003148D"/>
    <w:pPr>
      <w:spacing w:line="240" w:lineRule="auto"/>
      <w:ind w:left="1320" w:hanging="220"/>
    </w:pPr>
  </w:style>
  <w:style w:type="paragraph" w:styleId="Indice7">
    <w:name w:val="index 7"/>
    <w:basedOn w:val="Normale"/>
    <w:next w:val="Normale"/>
    <w:autoRedefine/>
    <w:uiPriority w:val="99"/>
    <w:semiHidden/>
    <w:unhideWhenUsed/>
    <w:rsid w:val="0003148D"/>
    <w:pPr>
      <w:spacing w:line="240" w:lineRule="auto"/>
      <w:ind w:left="1540" w:hanging="220"/>
    </w:pPr>
  </w:style>
  <w:style w:type="paragraph" w:styleId="Indice8">
    <w:name w:val="index 8"/>
    <w:basedOn w:val="Normale"/>
    <w:next w:val="Normale"/>
    <w:autoRedefine/>
    <w:uiPriority w:val="99"/>
    <w:semiHidden/>
    <w:unhideWhenUsed/>
    <w:rsid w:val="0003148D"/>
    <w:pPr>
      <w:spacing w:line="240" w:lineRule="auto"/>
      <w:ind w:left="1760" w:hanging="220"/>
    </w:pPr>
  </w:style>
  <w:style w:type="paragraph" w:styleId="Indice9">
    <w:name w:val="index 9"/>
    <w:basedOn w:val="Normale"/>
    <w:next w:val="Normale"/>
    <w:autoRedefine/>
    <w:uiPriority w:val="99"/>
    <w:semiHidden/>
    <w:unhideWhenUsed/>
    <w:rsid w:val="0003148D"/>
    <w:pPr>
      <w:spacing w:line="240" w:lineRule="auto"/>
      <w:ind w:left="1980" w:hanging="220"/>
    </w:pPr>
  </w:style>
  <w:style w:type="paragraph" w:styleId="Indicedellefigure">
    <w:name w:val="table of figures"/>
    <w:basedOn w:val="Normale"/>
    <w:next w:val="Normale"/>
    <w:uiPriority w:val="99"/>
    <w:semiHidden/>
    <w:unhideWhenUsed/>
    <w:rsid w:val="0003148D"/>
  </w:style>
  <w:style w:type="paragraph" w:styleId="Indicefonti">
    <w:name w:val="table of authorities"/>
    <w:basedOn w:val="Normale"/>
    <w:next w:val="Normale"/>
    <w:uiPriority w:val="99"/>
    <w:semiHidden/>
    <w:unhideWhenUsed/>
    <w:rsid w:val="0003148D"/>
    <w:pPr>
      <w:ind w:left="220" w:hanging="220"/>
    </w:pPr>
  </w:style>
  <w:style w:type="paragraph" w:styleId="Indirizzodestinatario">
    <w:name w:val="envelope address"/>
    <w:basedOn w:val="Normale"/>
    <w:uiPriority w:val="99"/>
    <w:semiHidden/>
    <w:unhideWhenUsed/>
    <w:rsid w:val="0003148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IndirizzoHTML">
    <w:name w:val="HTML Address"/>
    <w:basedOn w:val="Normale"/>
    <w:link w:val="IndirizzoHTMLCarattere"/>
    <w:uiPriority w:val="99"/>
    <w:semiHidden/>
    <w:unhideWhenUsed/>
    <w:rsid w:val="0003148D"/>
    <w:pPr>
      <w:spacing w:line="240" w:lineRule="auto"/>
    </w:pPr>
    <w:rPr>
      <w:i/>
      <w:iCs/>
    </w:rPr>
  </w:style>
  <w:style w:type="character" w:customStyle="1" w:styleId="IndirizzoHTMLCarattere">
    <w:name w:val="Indirizzo HTML Carattere"/>
    <w:basedOn w:val="Carpredefinitoparagrafo"/>
    <w:link w:val="IndirizzoHTML"/>
    <w:uiPriority w:val="99"/>
    <w:semiHidden/>
    <w:rsid w:val="0003148D"/>
    <w:rPr>
      <w:i/>
      <w:iCs/>
    </w:rPr>
  </w:style>
  <w:style w:type="paragraph" w:styleId="Indirizzomittente">
    <w:name w:val="envelope return"/>
    <w:basedOn w:val="Normale"/>
    <w:uiPriority w:val="99"/>
    <w:semiHidden/>
    <w:unhideWhenUsed/>
    <w:rsid w:val="0003148D"/>
    <w:pPr>
      <w:spacing w:line="240" w:lineRule="auto"/>
    </w:pPr>
    <w:rPr>
      <w:rFonts w:asciiTheme="majorHAnsi" w:eastAsiaTheme="majorEastAsia" w:hAnsiTheme="majorHAnsi" w:cstheme="majorBidi"/>
    </w:rPr>
  </w:style>
  <w:style w:type="paragraph" w:styleId="Intestazionemessaggio">
    <w:name w:val="Message Header"/>
    <w:basedOn w:val="Normale"/>
    <w:link w:val="IntestazionemessaggioCarattere"/>
    <w:uiPriority w:val="99"/>
    <w:semiHidden/>
    <w:unhideWhenUsed/>
    <w:rsid w:val="0003148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IntestazionemessaggioCarattere">
    <w:name w:val="Intestazione messaggio Carattere"/>
    <w:basedOn w:val="Carpredefinitoparagrafo"/>
    <w:link w:val="Intestazionemessaggio"/>
    <w:uiPriority w:val="99"/>
    <w:semiHidden/>
    <w:rsid w:val="0003148D"/>
    <w:rPr>
      <w:rFonts w:asciiTheme="majorHAnsi" w:eastAsiaTheme="majorEastAsia" w:hAnsiTheme="majorHAnsi" w:cstheme="majorBidi"/>
      <w:sz w:val="24"/>
      <w:szCs w:val="24"/>
      <w:shd w:val="pct20" w:color="auto" w:fill="auto"/>
    </w:rPr>
  </w:style>
  <w:style w:type="paragraph" w:styleId="Intestazionenota">
    <w:name w:val="Note Heading"/>
    <w:basedOn w:val="Normale"/>
    <w:next w:val="Normale"/>
    <w:link w:val="IntestazionenotaCarattere"/>
    <w:uiPriority w:val="99"/>
    <w:semiHidden/>
    <w:unhideWhenUsed/>
    <w:rsid w:val="0003148D"/>
    <w:pPr>
      <w:spacing w:line="240" w:lineRule="auto"/>
    </w:pPr>
  </w:style>
  <w:style w:type="character" w:customStyle="1" w:styleId="IntestazionenotaCarattere">
    <w:name w:val="Intestazione nota Carattere"/>
    <w:basedOn w:val="Carpredefinitoparagrafo"/>
    <w:link w:val="Intestazionenota"/>
    <w:uiPriority w:val="99"/>
    <w:semiHidden/>
    <w:rsid w:val="0003148D"/>
  </w:style>
  <w:style w:type="paragraph" w:styleId="Mappadocumento">
    <w:name w:val="Document Map"/>
    <w:basedOn w:val="Normale"/>
    <w:link w:val="MappadocumentoCarattere"/>
    <w:uiPriority w:val="99"/>
    <w:semiHidden/>
    <w:unhideWhenUsed/>
    <w:rsid w:val="0003148D"/>
    <w:pPr>
      <w:spacing w:line="240" w:lineRule="auto"/>
    </w:pPr>
    <w:rPr>
      <w:rFonts w:ascii="Tahoma" w:hAnsi="Tahoma" w:cs="Tahoma"/>
      <w:sz w:val="16"/>
      <w:szCs w:val="16"/>
    </w:rPr>
  </w:style>
  <w:style w:type="character" w:customStyle="1" w:styleId="MappadocumentoCarattere">
    <w:name w:val="Mappa documento Carattere"/>
    <w:basedOn w:val="Carpredefinitoparagrafo"/>
    <w:link w:val="Mappadocumento"/>
    <w:uiPriority w:val="99"/>
    <w:semiHidden/>
    <w:rsid w:val="0003148D"/>
    <w:rPr>
      <w:rFonts w:ascii="Tahoma" w:hAnsi="Tahoma" w:cs="Tahoma"/>
      <w:sz w:val="16"/>
      <w:szCs w:val="16"/>
    </w:rPr>
  </w:style>
  <w:style w:type="paragraph" w:styleId="NormaleWeb">
    <w:name w:val="Normal (Web)"/>
    <w:basedOn w:val="Normale"/>
    <w:uiPriority w:val="99"/>
    <w:unhideWhenUsed/>
    <w:rsid w:val="0003148D"/>
    <w:rPr>
      <w:sz w:val="24"/>
      <w:szCs w:val="24"/>
    </w:rPr>
  </w:style>
  <w:style w:type="paragraph" w:styleId="Numeroelenco">
    <w:name w:val="List Number"/>
    <w:basedOn w:val="Normale"/>
    <w:uiPriority w:val="99"/>
    <w:semiHidden/>
    <w:unhideWhenUsed/>
    <w:rsid w:val="0003148D"/>
    <w:pPr>
      <w:numPr>
        <w:numId w:val="2"/>
      </w:numPr>
      <w:contextualSpacing/>
    </w:pPr>
  </w:style>
  <w:style w:type="paragraph" w:styleId="Numeroelenco2">
    <w:name w:val="List Number 2"/>
    <w:basedOn w:val="Normale"/>
    <w:uiPriority w:val="99"/>
    <w:semiHidden/>
    <w:unhideWhenUsed/>
    <w:rsid w:val="0003148D"/>
    <w:pPr>
      <w:numPr>
        <w:numId w:val="3"/>
      </w:numPr>
      <w:contextualSpacing/>
    </w:pPr>
  </w:style>
  <w:style w:type="paragraph" w:styleId="Numeroelenco3">
    <w:name w:val="List Number 3"/>
    <w:basedOn w:val="Normale"/>
    <w:uiPriority w:val="99"/>
    <w:semiHidden/>
    <w:unhideWhenUsed/>
    <w:rsid w:val="0003148D"/>
    <w:pPr>
      <w:numPr>
        <w:numId w:val="4"/>
      </w:numPr>
      <w:contextualSpacing/>
    </w:pPr>
  </w:style>
  <w:style w:type="paragraph" w:styleId="Numeroelenco4">
    <w:name w:val="List Number 4"/>
    <w:basedOn w:val="Normale"/>
    <w:uiPriority w:val="99"/>
    <w:semiHidden/>
    <w:unhideWhenUsed/>
    <w:rsid w:val="0003148D"/>
    <w:pPr>
      <w:numPr>
        <w:numId w:val="5"/>
      </w:numPr>
      <w:contextualSpacing/>
    </w:pPr>
  </w:style>
  <w:style w:type="paragraph" w:styleId="Numeroelenco5">
    <w:name w:val="List Number 5"/>
    <w:basedOn w:val="Normale"/>
    <w:uiPriority w:val="99"/>
    <w:semiHidden/>
    <w:unhideWhenUsed/>
    <w:rsid w:val="0003148D"/>
    <w:pPr>
      <w:numPr>
        <w:numId w:val="6"/>
      </w:numPr>
      <w:contextualSpacing/>
    </w:pPr>
  </w:style>
  <w:style w:type="paragraph" w:styleId="PreformattatoHTML">
    <w:name w:val="HTML Preformatted"/>
    <w:basedOn w:val="Normale"/>
    <w:link w:val="PreformattatoHTMLCarattere"/>
    <w:uiPriority w:val="99"/>
    <w:semiHidden/>
    <w:unhideWhenUsed/>
    <w:rsid w:val="0003148D"/>
    <w:pPr>
      <w:spacing w:line="240" w:lineRule="auto"/>
    </w:pPr>
    <w:rPr>
      <w:rFonts w:ascii="Consolas" w:hAnsi="Consolas" w:cs="Consolas"/>
    </w:rPr>
  </w:style>
  <w:style w:type="character" w:customStyle="1" w:styleId="PreformattatoHTMLCarattere">
    <w:name w:val="Preformattato HTML Carattere"/>
    <w:basedOn w:val="Carpredefinitoparagrafo"/>
    <w:link w:val="PreformattatoHTML"/>
    <w:uiPriority w:val="99"/>
    <w:semiHidden/>
    <w:rsid w:val="0003148D"/>
    <w:rPr>
      <w:rFonts w:ascii="Consolas" w:hAnsi="Consolas" w:cs="Consolas"/>
      <w:sz w:val="20"/>
      <w:szCs w:val="20"/>
    </w:rPr>
  </w:style>
  <w:style w:type="paragraph" w:styleId="Primorientrocorpodeltesto">
    <w:name w:val="Body Text First Indent"/>
    <w:basedOn w:val="Corpotesto"/>
    <w:link w:val="PrimorientrocorpodeltestoCarattere"/>
    <w:uiPriority w:val="99"/>
    <w:semiHidden/>
    <w:unhideWhenUsed/>
    <w:rsid w:val="0003148D"/>
    <w:pPr>
      <w:spacing w:after="200"/>
      <w:ind w:firstLine="360"/>
    </w:pPr>
  </w:style>
  <w:style w:type="character" w:customStyle="1" w:styleId="PrimorientrocorpodeltestoCarattere">
    <w:name w:val="Primo rientro corpo del testo Carattere"/>
    <w:basedOn w:val="CorpotestoCarattere"/>
    <w:link w:val="Primorientrocorpodeltesto"/>
    <w:uiPriority w:val="99"/>
    <w:semiHidden/>
    <w:rsid w:val="0003148D"/>
  </w:style>
  <w:style w:type="paragraph" w:styleId="Rientrocorpodeltesto">
    <w:name w:val="Body Text Indent"/>
    <w:basedOn w:val="Normale"/>
    <w:link w:val="RientrocorpodeltestoCarattere"/>
    <w:uiPriority w:val="99"/>
    <w:semiHidden/>
    <w:unhideWhenUsed/>
    <w:rsid w:val="0003148D"/>
    <w:pPr>
      <w:spacing w:after="120"/>
      <w:ind w:left="283"/>
    </w:pPr>
  </w:style>
  <w:style w:type="character" w:customStyle="1" w:styleId="RientrocorpodeltestoCarattere">
    <w:name w:val="Rientro corpo del testo Carattere"/>
    <w:basedOn w:val="Carpredefinitoparagrafo"/>
    <w:link w:val="Rientrocorpodeltesto"/>
    <w:uiPriority w:val="99"/>
    <w:semiHidden/>
    <w:rsid w:val="0003148D"/>
  </w:style>
  <w:style w:type="paragraph" w:styleId="Primorientrocorpodeltesto2">
    <w:name w:val="Body Text First Indent 2"/>
    <w:basedOn w:val="Rientrocorpodeltesto"/>
    <w:link w:val="Primorientrocorpodeltesto2Carattere"/>
    <w:uiPriority w:val="99"/>
    <w:semiHidden/>
    <w:unhideWhenUsed/>
    <w:rsid w:val="0003148D"/>
    <w:pPr>
      <w:spacing w:after="200"/>
      <w:ind w:left="360" w:firstLine="360"/>
    </w:pPr>
  </w:style>
  <w:style w:type="character" w:customStyle="1" w:styleId="Primorientrocorpodeltesto2Carattere">
    <w:name w:val="Primo rientro corpo del testo 2 Carattere"/>
    <w:basedOn w:val="RientrocorpodeltestoCarattere"/>
    <w:link w:val="Primorientrocorpodeltesto2"/>
    <w:uiPriority w:val="99"/>
    <w:semiHidden/>
    <w:rsid w:val="0003148D"/>
  </w:style>
  <w:style w:type="paragraph" w:styleId="Puntoelenco">
    <w:name w:val="List Bullet"/>
    <w:basedOn w:val="Normale"/>
    <w:uiPriority w:val="99"/>
    <w:semiHidden/>
    <w:unhideWhenUsed/>
    <w:rsid w:val="0003148D"/>
    <w:pPr>
      <w:numPr>
        <w:numId w:val="7"/>
      </w:numPr>
      <w:contextualSpacing/>
    </w:pPr>
  </w:style>
  <w:style w:type="paragraph" w:styleId="Puntoelenco2">
    <w:name w:val="List Bullet 2"/>
    <w:basedOn w:val="Normale"/>
    <w:uiPriority w:val="99"/>
    <w:semiHidden/>
    <w:unhideWhenUsed/>
    <w:rsid w:val="0003148D"/>
    <w:pPr>
      <w:numPr>
        <w:numId w:val="8"/>
      </w:numPr>
      <w:contextualSpacing/>
    </w:pPr>
  </w:style>
  <w:style w:type="paragraph" w:styleId="Puntoelenco3">
    <w:name w:val="List Bullet 3"/>
    <w:basedOn w:val="Normale"/>
    <w:uiPriority w:val="99"/>
    <w:semiHidden/>
    <w:unhideWhenUsed/>
    <w:rsid w:val="0003148D"/>
    <w:pPr>
      <w:numPr>
        <w:numId w:val="9"/>
      </w:numPr>
      <w:contextualSpacing/>
    </w:pPr>
  </w:style>
  <w:style w:type="paragraph" w:styleId="Puntoelenco4">
    <w:name w:val="List Bullet 4"/>
    <w:basedOn w:val="Normale"/>
    <w:uiPriority w:val="99"/>
    <w:semiHidden/>
    <w:unhideWhenUsed/>
    <w:rsid w:val="0003148D"/>
    <w:pPr>
      <w:numPr>
        <w:numId w:val="10"/>
      </w:numPr>
      <w:contextualSpacing/>
    </w:pPr>
  </w:style>
  <w:style w:type="paragraph" w:styleId="Puntoelenco5">
    <w:name w:val="List Bullet 5"/>
    <w:basedOn w:val="Normale"/>
    <w:uiPriority w:val="99"/>
    <w:semiHidden/>
    <w:unhideWhenUsed/>
    <w:rsid w:val="0003148D"/>
    <w:pPr>
      <w:numPr>
        <w:numId w:val="11"/>
      </w:numPr>
      <w:contextualSpacing/>
    </w:pPr>
  </w:style>
  <w:style w:type="paragraph" w:styleId="Rientrocorpodeltesto2">
    <w:name w:val="Body Text Indent 2"/>
    <w:basedOn w:val="Normale"/>
    <w:link w:val="Rientrocorpodeltesto2Carattere"/>
    <w:uiPriority w:val="99"/>
    <w:semiHidden/>
    <w:unhideWhenUsed/>
    <w:rsid w:val="0003148D"/>
    <w:pPr>
      <w:spacing w:after="120" w:line="480" w:lineRule="auto"/>
      <w:ind w:left="283"/>
    </w:pPr>
  </w:style>
  <w:style w:type="character" w:customStyle="1" w:styleId="Rientrocorpodeltesto2Carattere">
    <w:name w:val="Rientro corpo del testo 2 Carattere"/>
    <w:basedOn w:val="Carpredefinitoparagrafo"/>
    <w:link w:val="Rientrocorpodeltesto2"/>
    <w:uiPriority w:val="99"/>
    <w:semiHidden/>
    <w:rsid w:val="0003148D"/>
  </w:style>
  <w:style w:type="paragraph" w:styleId="Rientrocorpodeltesto3">
    <w:name w:val="Body Text Indent 3"/>
    <w:basedOn w:val="Normale"/>
    <w:link w:val="Rientrocorpodeltesto3Carattere"/>
    <w:uiPriority w:val="99"/>
    <w:semiHidden/>
    <w:unhideWhenUsed/>
    <w:rsid w:val="0003148D"/>
    <w:pPr>
      <w:spacing w:after="120"/>
      <w:ind w:left="283"/>
    </w:pPr>
    <w:rPr>
      <w:sz w:val="16"/>
      <w:szCs w:val="16"/>
    </w:rPr>
  </w:style>
  <w:style w:type="character" w:customStyle="1" w:styleId="Rientrocorpodeltesto3Carattere">
    <w:name w:val="Rientro corpo del testo 3 Carattere"/>
    <w:basedOn w:val="Carpredefinitoparagrafo"/>
    <w:link w:val="Rientrocorpodeltesto3"/>
    <w:uiPriority w:val="99"/>
    <w:semiHidden/>
    <w:rsid w:val="0003148D"/>
    <w:rPr>
      <w:sz w:val="16"/>
      <w:szCs w:val="16"/>
    </w:rPr>
  </w:style>
  <w:style w:type="paragraph" w:styleId="Rientronormale">
    <w:name w:val="Normal Indent"/>
    <w:basedOn w:val="Normale"/>
    <w:uiPriority w:val="99"/>
    <w:semiHidden/>
    <w:unhideWhenUsed/>
    <w:rsid w:val="0003148D"/>
    <w:pPr>
      <w:ind w:left="720"/>
    </w:pPr>
  </w:style>
  <w:style w:type="paragraph" w:styleId="Testocommento">
    <w:name w:val="annotation text"/>
    <w:basedOn w:val="Normale"/>
    <w:link w:val="TestocommentoCarattere"/>
    <w:uiPriority w:val="99"/>
    <w:unhideWhenUsed/>
    <w:rsid w:val="0003148D"/>
    <w:pPr>
      <w:spacing w:line="240" w:lineRule="auto"/>
    </w:pPr>
  </w:style>
  <w:style w:type="character" w:customStyle="1" w:styleId="TestocommentoCarattere">
    <w:name w:val="Testo commento Carattere"/>
    <w:basedOn w:val="Carpredefinitoparagrafo"/>
    <w:link w:val="Testocommento"/>
    <w:uiPriority w:val="99"/>
    <w:rsid w:val="0003148D"/>
    <w:rPr>
      <w:sz w:val="20"/>
      <w:szCs w:val="20"/>
    </w:rPr>
  </w:style>
  <w:style w:type="paragraph" w:styleId="Soggettocommento">
    <w:name w:val="annotation subject"/>
    <w:basedOn w:val="Testocommento"/>
    <w:next w:val="Testocommento"/>
    <w:link w:val="SoggettocommentoCarattere"/>
    <w:uiPriority w:val="99"/>
    <w:semiHidden/>
    <w:unhideWhenUsed/>
    <w:rsid w:val="0003148D"/>
    <w:rPr>
      <w:b/>
      <w:bCs/>
    </w:rPr>
  </w:style>
  <w:style w:type="character" w:customStyle="1" w:styleId="SoggettocommentoCarattere">
    <w:name w:val="Soggetto commento Carattere"/>
    <w:basedOn w:val="TestocommentoCarattere"/>
    <w:link w:val="Soggettocommento"/>
    <w:uiPriority w:val="99"/>
    <w:semiHidden/>
    <w:rsid w:val="0003148D"/>
    <w:rPr>
      <w:b/>
      <w:bCs/>
      <w:sz w:val="20"/>
      <w:szCs w:val="20"/>
    </w:rPr>
  </w:style>
  <w:style w:type="paragraph" w:styleId="Sommario1">
    <w:name w:val="toc 1"/>
    <w:basedOn w:val="Normale"/>
    <w:next w:val="Normale"/>
    <w:autoRedefine/>
    <w:uiPriority w:val="39"/>
    <w:semiHidden/>
    <w:unhideWhenUsed/>
    <w:rsid w:val="0003148D"/>
    <w:pPr>
      <w:spacing w:after="100"/>
    </w:pPr>
  </w:style>
  <w:style w:type="paragraph" w:styleId="Sommario2">
    <w:name w:val="toc 2"/>
    <w:basedOn w:val="Normale"/>
    <w:next w:val="Normale"/>
    <w:autoRedefine/>
    <w:uiPriority w:val="39"/>
    <w:semiHidden/>
    <w:unhideWhenUsed/>
    <w:rsid w:val="0003148D"/>
    <w:pPr>
      <w:spacing w:after="100"/>
      <w:ind w:left="220"/>
    </w:pPr>
  </w:style>
  <w:style w:type="paragraph" w:styleId="Sommario3">
    <w:name w:val="toc 3"/>
    <w:basedOn w:val="Normale"/>
    <w:next w:val="Normale"/>
    <w:autoRedefine/>
    <w:uiPriority w:val="39"/>
    <w:semiHidden/>
    <w:unhideWhenUsed/>
    <w:rsid w:val="0003148D"/>
    <w:pPr>
      <w:spacing w:after="100"/>
      <w:ind w:left="440"/>
    </w:pPr>
  </w:style>
  <w:style w:type="paragraph" w:styleId="Sommario4">
    <w:name w:val="toc 4"/>
    <w:basedOn w:val="Normale"/>
    <w:next w:val="Normale"/>
    <w:autoRedefine/>
    <w:uiPriority w:val="39"/>
    <w:semiHidden/>
    <w:unhideWhenUsed/>
    <w:rsid w:val="0003148D"/>
    <w:pPr>
      <w:spacing w:after="100"/>
      <w:ind w:left="660"/>
    </w:pPr>
  </w:style>
  <w:style w:type="paragraph" w:styleId="Sommario5">
    <w:name w:val="toc 5"/>
    <w:basedOn w:val="Normale"/>
    <w:next w:val="Normale"/>
    <w:autoRedefine/>
    <w:uiPriority w:val="39"/>
    <w:semiHidden/>
    <w:unhideWhenUsed/>
    <w:rsid w:val="0003148D"/>
    <w:pPr>
      <w:spacing w:after="100"/>
      <w:ind w:left="880"/>
    </w:pPr>
  </w:style>
  <w:style w:type="paragraph" w:styleId="Sommario6">
    <w:name w:val="toc 6"/>
    <w:basedOn w:val="Normale"/>
    <w:next w:val="Normale"/>
    <w:autoRedefine/>
    <w:uiPriority w:val="39"/>
    <w:semiHidden/>
    <w:unhideWhenUsed/>
    <w:rsid w:val="0003148D"/>
    <w:pPr>
      <w:spacing w:after="100"/>
      <w:ind w:left="1100"/>
    </w:pPr>
  </w:style>
  <w:style w:type="paragraph" w:styleId="Sommario7">
    <w:name w:val="toc 7"/>
    <w:basedOn w:val="Normale"/>
    <w:next w:val="Normale"/>
    <w:autoRedefine/>
    <w:uiPriority w:val="39"/>
    <w:semiHidden/>
    <w:unhideWhenUsed/>
    <w:rsid w:val="0003148D"/>
    <w:pPr>
      <w:spacing w:after="100"/>
      <w:ind w:left="1320"/>
    </w:pPr>
  </w:style>
  <w:style w:type="paragraph" w:styleId="Sommario8">
    <w:name w:val="toc 8"/>
    <w:basedOn w:val="Normale"/>
    <w:next w:val="Normale"/>
    <w:autoRedefine/>
    <w:uiPriority w:val="39"/>
    <w:semiHidden/>
    <w:unhideWhenUsed/>
    <w:rsid w:val="0003148D"/>
    <w:pPr>
      <w:spacing w:after="100"/>
      <w:ind w:left="1540"/>
    </w:pPr>
  </w:style>
  <w:style w:type="paragraph" w:styleId="Sommario9">
    <w:name w:val="toc 9"/>
    <w:basedOn w:val="Normale"/>
    <w:next w:val="Normale"/>
    <w:autoRedefine/>
    <w:uiPriority w:val="39"/>
    <w:semiHidden/>
    <w:unhideWhenUsed/>
    <w:rsid w:val="0003148D"/>
    <w:pPr>
      <w:spacing w:after="100"/>
      <w:ind w:left="1760"/>
    </w:pPr>
  </w:style>
  <w:style w:type="paragraph" w:styleId="Testodelblocco">
    <w:name w:val="Block Text"/>
    <w:basedOn w:val="Normale"/>
    <w:uiPriority w:val="99"/>
    <w:semiHidden/>
    <w:unhideWhenUsed/>
    <w:rsid w:val="0003148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Testomacro">
    <w:name w:val="macro"/>
    <w:link w:val="TestomacroCarattere"/>
    <w:uiPriority w:val="99"/>
    <w:semiHidden/>
    <w:unhideWhenUsed/>
    <w:rsid w:val="0003148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TestomacroCarattere">
    <w:name w:val="Testo macro Carattere"/>
    <w:basedOn w:val="Carpredefinitoparagrafo"/>
    <w:link w:val="Testomacro"/>
    <w:uiPriority w:val="99"/>
    <w:semiHidden/>
    <w:rsid w:val="0003148D"/>
    <w:rPr>
      <w:rFonts w:ascii="Consolas" w:hAnsi="Consolas" w:cs="Consolas"/>
      <w:sz w:val="20"/>
      <w:szCs w:val="20"/>
    </w:rPr>
  </w:style>
  <w:style w:type="paragraph" w:styleId="Testonormale">
    <w:name w:val="Plain Text"/>
    <w:basedOn w:val="Normale"/>
    <w:link w:val="TestonormaleCarattere"/>
    <w:uiPriority w:val="99"/>
    <w:semiHidden/>
    <w:unhideWhenUsed/>
    <w:rsid w:val="0003148D"/>
    <w:pPr>
      <w:spacing w:line="240" w:lineRule="auto"/>
    </w:pPr>
    <w:rPr>
      <w:rFonts w:ascii="Consolas" w:hAnsi="Consolas" w:cs="Consolas"/>
      <w:sz w:val="21"/>
      <w:szCs w:val="21"/>
    </w:rPr>
  </w:style>
  <w:style w:type="character" w:customStyle="1" w:styleId="TestonormaleCarattere">
    <w:name w:val="Testo normale Carattere"/>
    <w:basedOn w:val="Carpredefinitoparagrafo"/>
    <w:link w:val="Testonormale"/>
    <w:uiPriority w:val="99"/>
    <w:semiHidden/>
    <w:rsid w:val="0003148D"/>
    <w:rPr>
      <w:rFonts w:ascii="Consolas" w:hAnsi="Consolas" w:cs="Consolas"/>
      <w:sz w:val="21"/>
      <w:szCs w:val="21"/>
    </w:rPr>
  </w:style>
  <w:style w:type="paragraph" w:styleId="Testonotaapidipagina">
    <w:name w:val="footnote text"/>
    <w:basedOn w:val="Normale"/>
    <w:link w:val="TestonotaapidipaginaCarattere"/>
    <w:uiPriority w:val="99"/>
    <w:semiHidden/>
    <w:unhideWhenUsed/>
    <w:rsid w:val="0003148D"/>
    <w:pPr>
      <w:spacing w:line="240" w:lineRule="auto"/>
    </w:pPr>
  </w:style>
  <w:style w:type="character" w:customStyle="1" w:styleId="TestonotaapidipaginaCarattere">
    <w:name w:val="Testo nota a piè di pagina Carattere"/>
    <w:basedOn w:val="Carpredefinitoparagrafo"/>
    <w:link w:val="Testonotaapidipagina"/>
    <w:uiPriority w:val="99"/>
    <w:semiHidden/>
    <w:rsid w:val="0003148D"/>
    <w:rPr>
      <w:sz w:val="20"/>
      <w:szCs w:val="20"/>
    </w:rPr>
  </w:style>
  <w:style w:type="paragraph" w:styleId="Testonotadichiusura">
    <w:name w:val="endnote text"/>
    <w:basedOn w:val="Normale"/>
    <w:link w:val="TestonotadichiusuraCarattere"/>
    <w:uiPriority w:val="99"/>
    <w:semiHidden/>
    <w:unhideWhenUsed/>
    <w:rsid w:val="0003148D"/>
    <w:pPr>
      <w:spacing w:line="240" w:lineRule="auto"/>
    </w:pPr>
  </w:style>
  <w:style w:type="character" w:customStyle="1" w:styleId="TestonotadichiusuraCarattere">
    <w:name w:val="Testo nota di chiusura Carattere"/>
    <w:basedOn w:val="Carpredefinitoparagrafo"/>
    <w:link w:val="Testonotadichiusura"/>
    <w:uiPriority w:val="99"/>
    <w:semiHidden/>
    <w:rsid w:val="0003148D"/>
    <w:rPr>
      <w:sz w:val="20"/>
      <w:szCs w:val="20"/>
    </w:rPr>
  </w:style>
  <w:style w:type="character" w:customStyle="1" w:styleId="Titolo1Carattere">
    <w:name w:val="Titolo 1 Carattere"/>
    <w:basedOn w:val="Carpredefinitoparagrafo"/>
    <w:link w:val="Titolo1"/>
    <w:uiPriority w:val="9"/>
    <w:rsid w:val="004F5E36"/>
    <w:rPr>
      <w:rFonts w:ascii="Arial" w:eastAsia="Times New Roman" w:hAnsi="Arial" w:cs="Times New Roman"/>
      <w:b/>
      <w:sz w:val="20"/>
      <w:szCs w:val="20"/>
      <w:lang w:val="en-GB"/>
    </w:rPr>
  </w:style>
  <w:style w:type="character" w:customStyle="1" w:styleId="Titolo2Carattere">
    <w:name w:val="Titolo 2 Carattere"/>
    <w:basedOn w:val="Carpredefinitoparagrafo"/>
    <w:link w:val="Titolo2"/>
    <w:uiPriority w:val="9"/>
    <w:semiHidden/>
    <w:rsid w:val="0003148D"/>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semiHidden/>
    <w:rsid w:val="0003148D"/>
    <w:rPr>
      <w:rFonts w:asciiTheme="majorHAnsi" w:eastAsiaTheme="majorEastAsia" w:hAnsiTheme="majorHAnsi" w:cstheme="majorBidi"/>
      <w:b/>
      <w:bCs/>
      <w:color w:val="4F81BD" w:themeColor="accent1"/>
    </w:rPr>
  </w:style>
  <w:style w:type="character" w:customStyle="1" w:styleId="Titolo4Carattere">
    <w:name w:val="Titolo 4 Carattere"/>
    <w:basedOn w:val="Carpredefinitoparagrafo"/>
    <w:link w:val="Titolo4"/>
    <w:uiPriority w:val="9"/>
    <w:semiHidden/>
    <w:rsid w:val="0003148D"/>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03148D"/>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03148D"/>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03148D"/>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03148D"/>
    <w:rPr>
      <w:rFonts w:asciiTheme="majorHAnsi" w:eastAsiaTheme="majorEastAsia" w:hAnsiTheme="majorHAnsi" w:cstheme="majorBidi"/>
      <w:color w:val="404040" w:themeColor="text1" w:themeTint="BF"/>
      <w:sz w:val="20"/>
      <w:szCs w:val="20"/>
    </w:rPr>
  </w:style>
  <w:style w:type="character" w:customStyle="1" w:styleId="Titolo9Carattere">
    <w:name w:val="Titolo 9 Carattere"/>
    <w:basedOn w:val="Carpredefinitoparagrafo"/>
    <w:link w:val="Titolo9"/>
    <w:uiPriority w:val="9"/>
    <w:semiHidden/>
    <w:rsid w:val="0003148D"/>
    <w:rPr>
      <w:rFonts w:asciiTheme="majorHAnsi" w:eastAsiaTheme="majorEastAsia" w:hAnsiTheme="majorHAnsi" w:cstheme="majorBidi"/>
      <w:i/>
      <w:iCs/>
      <w:color w:val="404040" w:themeColor="text1" w:themeTint="BF"/>
      <w:sz w:val="20"/>
      <w:szCs w:val="20"/>
    </w:rPr>
  </w:style>
  <w:style w:type="paragraph" w:styleId="Titoloindice">
    <w:name w:val="index heading"/>
    <w:basedOn w:val="Normale"/>
    <w:next w:val="Indice1"/>
    <w:uiPriority w:val="99"/>
    <w:semiHidden/>
    <w:unhideWhenUsed/>
    <w:rsid w:val="0003148D"/>
    <w:rPr>
      <w:rFonts w:asciiTheme="majorHAnsi" w:eastAsiaTheme="majorEastAsia" w:hAnsiTheme="majorHAnsi" w:cstheme="majorBidi"/>
      <w:b/>
      <w:bCs/>
    </w:rPr>
  </w:style>
  <w:style w:type="paragraph" w:styleId="Titoloindicefonti">
    <w:name w:val="toa heading"/>
    <w:basedOn w:val="Normale"/>
    <w:next w:val="Normale"/>
    <w:uiPriority w:val="99"/>
    <w:semiHidden/>
    <w:unhideWhenUsed/>
    <w:rsid w:val="0003148D"/>
    <w:pPr>
      <w:spacing w:before="120"/>
    </w:pPr>
    <w:rPr>
      <w:rFonts w:asciiTheme="majorHAnsi" w:eastAsiaTheme="majorEastAsia" w:hAnsiTheme="majorHAnsi" w:cstheme="majorBidi"/>
      <w:b/>
      <w:bCs/>
      <w:sz w:val="24"/>
      <w:szCs w:val="24"/>
    </w:rPr>
  </w:style>
  <w:style w:type="paragraph" w:styleId="Titolosommario">
    <w:name w:val="TOC Heading"/>
    <w:basedOn w:val="Titolo1"/>
    <w:next w:val="Normale"/>
    <w:uiPriority w:val="39"/>
    <w:semiHidden/>
    <w:unhideWhenUsed/>
    <w:qFormat/>
    <w:rsid w:val="0003148D"/>
    <w:pPr>
      <w:outlineLvl w:val="9"/>
    </w:pPr>
  </w:style>
  <w:style w:type="paragraph" w:customStyle="1" w:styleId="CETemail">
    <w:name w:val="CET email"/>
    <w:next w:val="CETBodytext"/>
    <w:rsid w:val="009E788A"/>
    <w:pPr>
      <w:spacing w:after="240"/>
    </w:pPr>
    <w:rPr>
      <w:rFonts w:ascii="Arial" w:eastAsia="Times New Roman" w:hAnsi="Arial" w:cs="Times New Roman"/>
      <w:noProof/>
      <w:sz w:val="16"/>
      <w:szCs w:val="20"/>
      <w:lang w:val="en-GB"/>
    </w:rPr>
  </w:style>
  <w:style w:type="character" w:customStyle="1" w:styleId="CETAddressCarattere">
    <w:name w:val="CET Address Carattere"/>
    <w:basedOn w:val="Carpredefinitoparagrafo"/>
    <w:link w:val="CETAddress"/>
    <w:rsid w:val="009E788A"/>
    <w:rPr>
      <w:rFonts w:ascii="Arial" w:eastAsia="Times New Roman" w:hAnsi="Arial" w:cs="Times New Roman"/>
      <w:noProof/>
      <w:sz w:val="16"/>
      <w:szCs w:val="20"/>
      <w:lang w:val="en-GB"/>
    </w:rPr>
  </w:style>
  <w:style w:type="paragraph" w:customStyle="1" w:styleId="CETBodytextBold">
    <w:name w:val="CET Body text (Bold)"/>
    <w:basedOn w:val="CETBodytext"/>
    <w:rsid w:val="00901EB6"/>
    <w:rPr>
      <w:b/>
    </w:rPr>
  </w:style>
  <w:style w:type="paragraph" w:customStyle="1" w:styleId="CETnumberingbullets">
    <w:name w:val="CET numbering (bullets)"/>
    <w:rsid w:val="008D433B"/>
    <w:pPr>
      <w:numPr>
        <w:numId w:val="13"/>
      </w:numPr>
      <w:spacing w:after="0" w:line="264" w:lineRule="auto"/>
    </w:pPr>
    <w:rPr>
      <w:rFonts w:ascii="Arial" w:eastAsia="Times New Roman" w:hAnsi="Arial" w:cs="Times New Roman"/>
      <w:sz w:val="18"/>
      <w:szCs w:val="20"/>
      <w:lang w:val="en-GB"/>
    </w:rPr>
  </w:style>
  <w:style w:type="paragraph" w:customStyle="1" w:styleId="CETnumbering1">
    <w:name w:val="CET numbering (1"/>
    <w:aliases w:val="2..)"/>
    <w:rsid w:val="00B57B36"/>
    <w:pPr>
      <w:numPr>
        <w:numId w:val="14"/>
      </w:numPr>
      <w:spacing w:after="0" w:line="264" w:lineRule="auto"/>
      <w:ind w:left="340" w:hanging="227"/>
    </w:pPr>
    <w:rPr>
      <w:rFonts w:ascii="Arial" w:eastAsia="Times New Roman" w:hAnsi="Arial" w:cs="Times New Roman"/>
      <w:sz w:val="18"/>
      <w:szCs w:val="20"/>
      <w:lang w:val="en-US"/>
    </w:rPr>
  </w:style>
  <w:style w:type="paragraph" w:customStyle="1" w:styleId="CETnumberinga">
    <w:name w:val="CET numbering (a"/>
    <w:aliases w:val="b,..)"/>
    <w:rsid w:val="00B57B36"/>
    <w:pPr>
      <w:numPr>
        <w:numId w:val="15"/>
      </w:numPr>
      <w:spacing w:after="0" w:line="264" w:lineRule="auto"/>
    </w:pPr>
    <w:rPr>
      <w:rFonts w:ascii="Arial" w:eastAsia="Times New Roman" w:hAnsi="Arial" w:cs="Times New Roman"/>
      <w:sz w:val="18"/>
      <w:szCs w:val="20"/>
      <w:lang w:val="en-GB"/>
    </w:rPr>
  </w:style>
  <w:style w:type="paragraph" w:styleId="Intestazione">
    <w:name w:val="header"/>
    <w:basedOn w:val="Normale"/>
    <w:link w:val="IntestazioneCarattere"/>
    <w:uiPriority w:val="99"/>
    <w:unhideWhenUsed/>
    <w:rsid w:val="005278B7"/>
    <w:pPr>
      <w:tabs>
        <w:tab w:val="clear" w:pos="7100"/>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5278B7"/>
    <w:rPr>
      <w:rFonts w:ascii="Arial" w:eastAsia="Times New Roman" w:hAnsi="Arial" w:cs="Times New Roman"/>
      <w:sz w:val="18"/>
      <w:szCs w:val="20"/>
      <w:lang w:val="en-GB"/>
    </w:rPr>
  </w:style>
  <w:style w:type="paragraph" w:styleId="Pidipagina">
    <w:name w:val="footer"/>
    <w:basedOn w:val="Normale"/>
    <w:link w:val="PidipaginaCarattere"/>
    <w:uiPriority w:val="99"/>
    <w:unhideWhenUsed/>
    <w:rsid w:val="005278B7"/>
    <w:pPr>
      <w:tabs>
        <w:tab w:val="clear" w:pos="7100"/>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5278B7"/>
    <w:rPr>
      <w:rFonts w:ascii="Arial" w:eastAsia="Times New Roman" w:hAnsi="Arial" w:cs="Times New Roman"/>
      <w:sz w:val="18"/>
      <w:szCs w:val="20"/>
      <w:lang w:val="en-GB"/>
    </w:rPr>
  </w:style>
  <w:style w:type="table" w:styleId="Grigliatabella">
    <w:name w:val="Table Grid"/>
    <w:basedOn w:val="Tabellanormale"/>
    <w:uiPriority w:val="59"/>
    <w:rsid w:val="00660E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904C62"/>
    <w:rPr>
      <w:color w:val="0000FF" w:themeColor="hyperlink"/>
      <w:u w:val="single"/>
    </w:rPr>
  </w:style>
  <w:style w:type="character" w:customStyle="1" w:styleId="eudoraheader">
    <w:name w:val="eudoraheader"/>
    <w:basedOn w:val="Carpredefinitoparagrafo"/>
    <w:rsid w:val="00904C62"/>
  </w:style>
  <w:style w:type="paragraph" w:customStyle="1" w:styleId="CETListbullets">
    <w:name w:val="CET List bullets"/>
    <w:qFormat/>
    <w:rsid w:val="004577FE"/>
    <w:pPr>
      <w:spacing w:after="0" w:line="264" w:lineRule="auto"/>
      <w:ind w:left="340" w:hanging="227"/>
      <w:jc w:val="both"/>
    </w:pPr>
    <w:rPr>
      <w:rFonts w:ascii="Arial" w:eastAsia="Times New Roman" w:hAnsi="Arial" w:cs="Times New Roman"/>
      <w:sz w:val="18"/>
      <w:szCs w:val="20"/>
      <w:lang w:val="en-GB"/>
    </w:rPr>
  </w:style>
  <w:style w:type="paragraph" w:customStyle="1" w:styleId="CETReferencetext">
    <w:name w:val="CET Reference text"/>
    <w:qFormat/>
    <w:rsid w:val="00600535"/>
    <w:pPr>
      <w:spacing w:after="0" w:line="264" w:lineRule="auto"/>
      <w:ind w:left="284" w:hanging="284"/>
      <w:jc w:val="both"/>
    </w:pPr>
    <w:rPr>
      <w:rFonts w:ascii="Arial" w:eastAsia="Times New Roman" w:hAnsi="Arial" w:cs="Times New Roman"/>
      <w:sz w:val="18"/>
      <w:szCs w:val="20"/>
      <w:lang w:val="en-GB"/>
    </w:rPr>
  </w:style>
  <w:style w:type="paragraph" w:customStyle="1" w:styleId="CETTabletitle">
    <w:name w:val="CET Table title"/>
    <w:qFormat/>
    <w:rsid w:val="00600535"/>
    <w:pPr>
      <w:keepNext/>
      <w:spacing w:before="240" w:after="80" w:line="240" w:lineRule="exact"/>
    </w:pPr>
    <w:rPr>
      <w:rFonts w:ascii="Arial" w:eastAsia="Times New Roman" w:hAnsi="Arial" w:cs="Times New Roman"/>
      <w:i/>
      <w:sz w:val="18"/>
      <w:szCs w:val="20"/>
      <w:lang w:val="en-GB"/>
    </w:rPr>
  </w:style>
  <w:style w:type="paragraph" w:customStyle="1" w:styleId="CETAcknowledgementstitle">
    <w:name w:val="CET Acknowledgements title"/>
    <w:next w:val="CETBodytext"/>
    <w:qFormat/>
    <w:rsid w:val="00600535"/>
    <w:pPr>
      <w:spacing w:before="200" w:after="120"/>
    </w:pPr>
    <w:rPr>
      <w:rFonts w:ascii="Arial" w:eastAsia="Times New Roman" w:hAnsi="Arial" w:cs="Times New Roman"/>
      <w:b/>
      <w:sz w:val="18"/>
      <w:szCs w:val="20"/>
      <w:lang w:val="en-GB"/>
    </w:rPr>
  </w:style>
  <w:style w:type="paragraph" w:customStyle="1" w:styleId="CETEquation">
    <w:name w:val="CET Equation"/>
    <w:basedOn w:val="CETBodytext"/>
    <w:next w:val="CETBodytext"/>
    <w:qFormat/>
    <w:rsid w:val="00600535"/>
    <w:pPr>
      <w:spacing w:before="120" w:after="120"/>
      <w:jc w:val="left"/>
    </w:pPr>
    <w:rPr>
      <w:lang w:val="en-GB"/>
    </w:rPr>
  </w:style>
  <w:style w:type="paragraph" w:customStyle="1" w:styleId="CETHeadingxx">
    <w:name w:val="CET Headingxx"/>
    <w:basedOn w:val="CETheadingx"/>
    <w:link w:val="CETHeadingxxChar"/>
    <w:qFormat/>
    <w:rsid w:val="000F787B"/>
    <w:pPr>
      <w:numPr>
        <w:ilvl w:val="0"/>
        <w:numId w:val="0"/>
      </w:numPr>
    </w:pPr>
  </w:style>
  <w:style w:type="character" w:customStyle="1" w:styleId="CETHeadingxxChar">
    <w:name w:val="CET Headingxx Char"/>
    <w:basedOn w:val="CETheadingxCarattere"/>
    <w:link w:val="CETHeadingxx"/>
    <w:rsid w:val="000F787B"/>
    <w:rPr>
      <w:rFonts w:ascii="Arial" w:eastAsia="Times New Roman" w:hAnsi="Arial" w:cs="Times New Roman"/>
      <w:b/>
      <w:sz w:val="18"/>
      <w:szCs w:val="20"/>
      <w:lang w:val="en-US"/>
    </w:rPr>
  </w:style>
  <w:style w:type="paragraph" w:styleId="Paragrafoelenco">
    <w:name w:val="List Paragraph"/>
    <w:basedOn w:val="Normale"/>
    <w:uiPriority w:val="34"/>
    <w:rsid w:val="00280FAF"/>
    <w:pPr>
      <w:ind w:left="720"/>
      <w:contextualSpacing/>
    </w:pPr>
  </w:style>
  <w:style w:type="character" w:customStyle="1" w:styleId="gmail-apple-converted-space">
    <w:name w:val="gmail-apple-converted-space"/>
    <w:basedOn w:val="Carpredefinitoparagrafo"/>
    <w:rsid w:val="00005A19"/>
  </w:style>
  <w:style w:type="character" w:styleId="Testosegnaposto">
    <w:name w:val="Placeholder Text"/>
    <w:basedOn w:val="Carpredefinitoparagrafo"/>
    <w:uiPriority w:val="99"/>
    <w:semiHidden/>
    <w:rsid w:val="006F3034"/>
    <w:rPr>
      <w:color w:val="666666"/>
    </w:rPr>
  </w:style>
  <w:style w:type="paragraph" w:styleId="Revisione">
    <w:name w:val="Revision"/>
    <w:hidden/>
    <w:uiPriority w:val="99"/>
    <w:semiHidden/>
    <w:rsid w:val="0035113F"/>
    <w:pPr>
      <w:spacing w:after="0" w:line="240" w:lineRule="auto"/>
    </w:pPr>
    <w:rPr>
      <w:rFonts w:ascii="Arial" w:eastAsia="Times New Roman" w:hAnsi="Arial" w:cs="Times New Roman"/>
      <w:sz w:val="18"/>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53841">
      <w:marLeft w:val="480"/>
      <w:marRight w:val="0"/>
      <w:marTop w:val="0"/>
      <w:marBottom w:val="0"/>
      <w:divBdr>
        <w:top w:val="none" w:sz="0" w:space="0" w:color="auto"/>
        <w:left w:val="none" w:sz="0" w:space="0" w:color="auto"/>
        <w:bottom w:val="none" w:sz="0" w:space="0" w:color="auto"/>
        <w:right w:val="none" w:sz="0" w:space="0" w:color="auto"/>
      </w:divBdr>
    </w:div>
    <w:div w:id="48308884">
      <w:marLeft w:val="480"/>
      <w:marRight w:val="0"/>
      <w:marTop w:val="0"/>
      <w:marBottom w:val="0"/>
      <w:divBdr>
        <w:top w:val="none" w:sz="0" w:space="0" w:color="auto"/>
        <w:left w:val="none" w:sz="0" w:space="0" w:color="auto"/>
        <w:bottom w:val="none" w:sz="0" w:space="0" w:color="auto"/>
        <w:right w:val="none" w:sz="0" w:space="0" w:color="auto"/>
      </w:divBdr>
    </w:div>
    <w:div w:id="133379989">
      <w:marLeft w:val="480"/>
      <w:marRight w:val="0"/>
      <w:marTop w:val="0"/>
      <w:marBottom w:val="0"/>
      <w:divBdr>
        <w:top w:val="none" w:sz="0" w:space="0" w:color="auto"/>
        <w:left w:val="none" w:sz="0" w:space="0" w:color="auto"/>
        <w:bottom w:val="none" w:sz="0" w:space="0" w:color="auto"/>
        <w:right w:val="none" w:sz="0" w:space="0" w:color="auto"/>
      </w:divBdr>
    </w:div>
    <w:div w:id="133832852">
      <w:marLeft w:val="480"/>
      <w:marRight w:val="0"/>
      <w:marTop w:val="0"/>
      <w:marBottom w:val="0"/>
      <w:divBdr>
        <w:top w:val="none" w:sz="0" w:space="0" w:color="auto"/>
        <w:left w:val="none" w:sz="0" w:space="0" w:color="auto"/>
        <w:bottom w:val="none" w:sz="0" w:space="0" w:color="auto"/>
        <w:right w:val="none" w:sz="0" w:space="0" w:color="auto"/>
      </w:divBdr>
    </w:div>
    <w:div w:id="198515127">
      <w:marLeft w:val="480"/>
      <w:marRight w:val="0"/>
      <w:marTop w:val="0"/>
      <w:marBottom w:val="0"/>
      <w:divBdr>
        <w:top w:val="none" w:sz="0" w:space="0" w:color="auto"/>
        <w:left w:val="none" w:sz="0" w:space="0" w:color="auto"/>
        <w:bottom w:val="none" w:sz="0" w:space="0" w:color="auto"/>
        <w:right w:val="none" w:sz="0" w:space="0" w:color="auto"/>
      </w:divBdr>
    </w:div>
    <w:div w:id="390812605">
      <w:marLeft w:val="480"/>
      <w:marRight w:val="0"/>
      <w:marTop w:val="0"/>
      <w:marBottom w:val="0"/>
      <w:divBdr>
        <w:top w:val="none" w:sz="0" w:space="0" w:color="auto"/>
        <w:left w:val="none" w:sz="0" w:space="0" w:color="auto"/>
        <w:bottom w:val="none" w:sz="0" w:space="0" w:color="auto"/>
        <w:right w:val="none" w:sz="0" w:space="0" w:color="auto"/>
      </w:divBdr>
    </w:div>
    <w:div w:id="486018109">
      <w:marLeft w:val="480"/>
      <w:marRight w:val="0"/>
      <w:marTop w:val="0"/>
      <w:marBottom w:val="0"/>
      <w:divBdr>
        <w:top w:val="none" w:sz="0" w:space="0" w:color="auto"/>
        <w:left w:val="none" w:sz="0" w:space="0" w:color="auto"/>
        <w:bottom w:val="none" w:sz="0" w:space="0" w:color="auto"/>
        <w:right w:val="none" w:sz="0" w:space="0" w:color="auto"/>
      </w:divBdr>
    </w:div>
    <w:div w:id="495613647">
      <w:marLeft w:val="480"/>
      <w:marRight w:val="0"/>
      <w:marTop w:val="0"/>
      <w:marBottom w:val="0"/>
      <w:divBdr>
        <w:top w:val="none" w:sz="0" w:space="0" w:color="auto"/>
        <w:left w:val="none" w:sz="0" w:space="0" w:color="auto"/>
        <w:bottom w:val="none" w:sz="0" w:space="0" w:color="auto"/>
        <w:right w:val="none" w:sz="0" w:space="0" w:color="auto"/>
      </w:divBdr>
    </w:div>
    <w:div w:id="650134849">
      <w:marLeft w:val="480"/>
      <w:marRight w:val="0"/>
      <w:marTop w:val="0"/>
      <w:marBottom w:val="0"/>
      <w:divBdr>
        <w:top w:val="none" w:sz="0" w:space="0" w:color="auto"/>
        <w:left w:val="none" w:sz="0" w:space="0" w:color="auto"/>
        <w:bottom w:val="none" w:sz="0" w:space="0" w:color="auto"/>
        <w:right w:val="none" w:sz="0" w:space="0" w:color="auto"/>
      </w:divBdr>
    </w:div>
    <w:div w:id="780609195">
      <w:bodyDiv w:val="1"/>
      <w:marLeft w:val="0"/>
      <w:marRight w:val="0"/>
      <w:marTop w:val="0"/>
      <w:marBottom w:val="0"/>
      <w:divBdr>
        <w:top w:val="none" w:sz="0" w:space="0" w:color="auto"/>
        <w:left w:val="none" w:sz="0" w:space="0" w:color="auto"/>
        <w:bottom w:val="none" w:sz="0" w:space="0" w:color="auto"/>
        <w:right w:val="none" w:sz="0" w:space="0" w:color="auto"/>
      </w:divBdr>
      <w:divsChild>
        <w:div w:id="1810825834">
          <w:marLeft w:val="0"/>
          <w:marRight w:val="0"/>
          <w:marTop w:val="0"/>
          <w:marBottom w:val="0"/>
          <w:divBdr>
            <w:top w:val="none" w:sz="0" w:space="0" w:color="auto"/>
            <w:left w:val="none" w:sz="0" w:space="0" w:color="auto"/>
            <w:bottom w:val="none" w:sz="0" w:space="0" w:color="auto"/>
            <w:right w:val="none" w:sz="0" w:space="0" w:color="auto"/>
          </w:divBdr>
          <w:divsChild>
            <w:div w:id="57883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321189">
      <w:bodyDiv w:val="1"/>
      <w:marLeft w:val="0"/>
      <w:marRight w:val="0"/>
      <w:marTop w:val="0"/>
      <w:marBottom w:val="0"/>
      <w:divBdr>
        <w:top w:val="none" w:sz="0" w:space="0" w:color="auto"/>
        <w:left w:val="none" w:sz="0" w:space="0" w:color="auto"/>
        <w:bottom w:val="none" w:sz="0" w:space="0" w:color="auto"/>
        <w:right w:val="none" w:sz="0" w:space="0" w:color="auto"/>
      </w:divBdr>
      <w:divsChild>
        <w:div w:id="19673504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3056226">
      <w:bodyDiv w:val="1"/>
      <w:marLeft w:val="0"/>
      <w:marRight w:val="0"/>
      <w:marTop w:val="0"/>
      <w:marBottom w:val="0"/>
      <w:divBdr>
        <w:top w:val="none" w:sz="0" w:space="0" w:color="auto"/>
        <w:left w:val="none" w:sz="0" w:space="0" w:color="auto"/>
        <w:bottom w:val="none" w:sz="0" w:space="0" w:color="auto"/>
        <w:right w:val="none" w:sz="0" w:space="0" w:color="auto"/>
      </w:divBdr>
      <w:divsChild>
        <w:div w:id="790123951">
          <w:marLeft w:val="0"/>
          <w:marRight w:val="0"/>
          <w:marTop w:val="0"/>
          <w:marBottom w:val="0"/>
          <w:divBdr>
            <w:top w:val="none" w:sz="0" w:space="0" w:color="auto"/>
            <w:left w:val="none" w:sz="0" w:space="0" w:color="auto"/>
            <w:bottom w:val="none" w:sz="0" w:space="0" w:color="auto"/>
            <w:right w:val="none" w:sz="0" w:space="0" w:color="auto"/>
          </w:divBdr>
          <w:divsChild>
            <w:div w:id="182146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365208">
      <w:marLeft w:val="480"/>
      <w:marRight w:val="0"/>
      <w:marTop w:val="0"/>
      <w:marBottom w:val="0"/>
      <w:divBdr>
        <w:top w:val="none" w:sz="0" w:space="0" w:color="auto"/>
        <w:left w:val="none" w:sz="0" w:space="0" w:color="auto"/>
        <w:bottom w:val="none" w:sz="0" w:space="0" w:color="auto"/>
        <w:right w:val="none" w:sz="0" w:space="0" w:color="auto"/>
      </w:divBdr>
    </w:div>
    <w:div w:id="1333681295">
      <w:bodyDiv w:val="1"/>
      <w:marLeft w:val="0"/>
      <w:marRight w:val="0"/>
      <w:marTop w:val="0"/>
      <w:marBottom w:val="0"/>
      <w:divBdr>
        <w:top w:val="none" w:sz="0" w:space="0" w:color="auto"/>
        <w:left w:val="none" w:sz="0" w:space="0" w:color="auto"/>
        <w:bottom w:val="none" w:sz="0" w:space="0" w:color="auto"/>
        <w:right w:val="none" w:sz="0" w:space="0" w:color="auto"/>
      </w:divBdr>
    </w:div>
    <w:div w:id="1429156813">
      <w:bodyDiv w:val="1"/>
      <w:marLeft w:val="0"/>
      <w:marRight w:val="0"/>
      <w:marTop w:val="0"/>
      <w:marBottom w:val="0"/>
      <w:divBdr>
        <w:top w:val="none" w:sz="0" w:space="0" w:color="auto"/>
        <w:left w:val="none" w:sz="0" w:space="0" w:color="auto"/>
        <w:bottom w:val="none" w:sz="0" w:space="0" w:color="auto"/>
        <w:right w:val="none" w:sz="0" w:space="0" w:color="auto"/>
      </w:divBdr>
    </w:div>
    <w:div w:id="1481458897">
      <w:marLeft w:val="480"/>
      <w:marRight w:val="0"/>
      <w:marTop w:val="0"/>
      <w:marBottom w:val="0"/>
      <w:divBdr>
        <w:top w:val="none" w:sz="0" w:space="0" w:color="auto"/>
        <w:left w:val="none" w:sz="0" w:space="0" w:color="auto"/>
        <w:bottom w:val="none" w:sz="0" w:space="0" w:color="auto"/>
        <w:right w:val="none" w:sz="0" w:space="0" w:color="auto"/>
      </w:divBdr>
    </w:div>
    <w:div w:id="1489904563">
      <w:bodyDiv w:val="1"/>
      <w:marLeft w:val="0"/>
      <w:marRight w:val="0"/>
      <w:marTop w:val="0"/>
      <w:marBottom w:val="0"/>
      <w:divBdr>
        <w:top w:val="none" w:sz="0" w:space="0" w:color="auto"/>
        <w:left w:val="none" w:sz="0" w:space="0" w:color="auto"/>
        <w:bottom w:val="none" w:sz="0" w:space="0" w:color="auto"/>
        <w:right w:val="none" w:sz="0" w:space="0" w:color="auto"/>
      </w:divBdr>
    </w:div>
    <w:div w:id="1563522735">
      <w:marLeft w:val="480"/>
      <w:marRight w:val="0"/>
      <w:marTop w:val="0"/>
      <w:marBottom w:val="0"/>
      <w:divBdr>
        <w:top w:val="none" w:sz="0" w:space="0" w:color="auto"/>
        <w:left w:val="none" w:sz="0" w:space="0" w:color="auto"/>
        <w:bottom w:val="none" w:sz="0" w:space="0" w:color="auto"/>
        <w:right w:val="none" w:sz="0" w:space="0" w:color="auto"/>
      </w:divBdr>
    </w:div>
    <w:div w:id="1682856157">
      <w:bodyDiv w:val="1"/>
      <w:marLeft w:val="0"/>
      <w:marRight w:val="0"/>
      <w:marTop w:val="0"/>
      <w:marBottom w:val="0"/>
      <w:divBdr>
        <w:top w:val="none" w:sz="0" w:space="0" w:color="auto"/>
        <w:left w:val="none" w:sz="0" w:space="0" w:color="auto"/>
        <w:bottom w:val="none" w:sz="0" w:space="0" w:color="auto"/>
        <w:right w:val="none" w:sz="0" w:space="0" w:color="auto"/>
      </w:divBdr>
      <w:divsChild>
        <w:div w:id="2102991222">
          <w:marLeft w:val="0"/>
          <w:marRight w:val="0"/>
          <w:marTop w:val="0"/>
          <w:marBottom w:val="0"/>
          <w:divBdr>
            <w:top w:val="none" w:sz="0" w:space="0" w:color="auto"/>
            <w:left w:val="none" w:sz="0" w:space="0" w:color="auto"/>
            <w:bottom w:val="none" w:sz="0" w:space="0" w:color="auto"/>
            <w:right w:val="none" w:sz="0" w:space="0" w:color="auto"/>
          </w:divBdr>
          <w:divsChild>
            <w:div w:id="108908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692999">
      <w:marLeft w:val="480"/>
      <w:marRight w:val="0"/>
      <w:marTop w:val="0"/>
      <w:marBottom w:val="0"/>
      <w:divBdr>
        <w:top w:val="none" w:sz="0" w:space="0" w:color="auto"/>
        <w:left w:val="none" w:sz="0" w:space="0" w:color="auto"/>
        <w:bottom w:val="none" w:sz="0" w:space="0" w:color="auto"/>
        <w:right w:val="none" w:sz="0" w:space="0" w:color="auto"/>
      </w:divBdr>
    </w:div>
    <w:div w:id="1996177438">
      <w:marLeft w:val="480"/>
      <w:marRight w:val="0"/>
      <w:marTop w:val="0"/>
      <w:marBottom w:val="0"/>
      <w:divBdr>
        <w:top w:val="none" w:sz="0" w:space="0" w:color="auto"/>
        <w:left w:val="none" w:sz="0" w:space="0" w:color="auto"/>
        <w:bottom w:val="none" w:sz="0" w:space="0" w:color="auto"/>
        <w:right w:val="none" w:sz="0" w:space="0" w:color="auto"/>
      </w:divBdr>
    </w:div>
    <w:div w:id="2039433325">
      <w:marLeft w:val="480"/>
      <w:marRight w:val="0"/>
      <w:marTop w:val="0"/>
      <w:marBottom w:val="0"/>
      <w:divBdr>
        <w:top w:val="none" w:sz="0" w:space="0" w:color="auto"/>
        <w:left w:val="none" w:sz="0" w:space="0" w:color="auto"/>
        <w:bottom w:val="none" w:sz="0" w:space="0" w:color="auto"/>
        <w:right w:val="none" w:sz="0" w:space="0" w:color="auto"/>
      </w:divBdr>
    </w:div>
    <w:div w:id="2045207747">
      <w:marLeft w:val="480"/>
      <w:marRight w:val="0"/>
      <w:marTop w:val="0"/>
      <w:marBottom w:val="0"/>
      <w:divBdr>
        <w:top w:val="none" w:sz="0" w:space="0" w:color="auto"/>
        <w:left w:val="none" w:sz="0" w:space="0" w:color="auto"/>
        <w:bottom w:val="none" w:sz="0" w:space="0" w:color="auto"/>
        <w:right w:val="none" w:sz="0" w:space="0" w:color="auto"/>
      </w:divBdr>
    </w:div>
    <w:div w:id="2128087599">
      <w:bodyDiv w:val="1"/>
      <w:marLeft w:val="0"/>
      <w:marRight w:val="0"/>
      <w:marTop w:val="0"/>
      <w:marBottom w:val="0"/>
      <w:divBdr>
        <w:top w:val="none" w:sz="0" w:space="0" w:color="auto"/>
        <w:left w:val="none" w:sz="0" w:space="0" w:color="auto"/>
        <w:bottom w:val="none" w:sz="0" w:space="0" w:color="auto"/>
        <w:right w:val="none" w:sz="0" w:space="0" w:color="auto"/>
      </w:divBdr>
      <w:divsChild>
        <w:div w:id="15006597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ti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e"/>
          <w:gallery w:val="placeholder"/>
        </w:category>
        <w:types>
          <w:type w:val="bbPlcHdr"/>
        </w:types>
        <w:behaviors>
          <w:behavior w:val="content"/>
        </w:behaviors>
        <w:guid w:val="{C56B2178-FD6F-41D8-BA48-5C8D8100EC0B}"/>
      </w:docPartPr>
      <w:docPartBody>
        <w:p w:rsidR="00437814" w:rsidRDefault="007268D6">
          <w:r w:rsidRPr="001946F5">
            <w:rPr>
              <w:rStyle w:val="Testosegnaposto"/>
            </w:rPr>
            <w:t>Fare clic o toccare qui per immettere il testo.</w:t>
          </w:r>
        </w:p>
      </w:docPartBody>
    </w:docPart>
    <w:docPart>
      <w:docPartPr>
        <w:name w:val="40FE0FFC814F4B289A5AA452DC4BE946"/>
        <w:category>
          <w:name w:val="Generale"/>
          <w:gallery w:val="placeholder"/>
        </w:category>
        <w:types>
          <w:type w:val="bbPlcHdr"/>
        </w:types>
        <w:behaviors>
          <w:behavior w:val="content"/>
        </w:behaviors>
        <w:guid w:val="{F7C6A291-FB30-4CA5-8FA4-674E245680E2}"/>
      </w:docPartPr>
      <w:docPartBody>
        <w:p w:rsidR="00815BF8" w:rsidRDefault="00D50F08" w:rsidP="00D50F08">
          <w:pPr>
            <w:pStyle w:val="40FE0FFC814F4B289A5AA452DC4BE946"/>
          </w:pPr>
          <w:r w:rsidRPr="001946F5">
            <w:rPr>
              <w:rStyle w:val="Testosegnaposto"/>
            </w:rPr>
            <w:t>Fare clic o toccare qui per immettere il testo.</w:t>
          </w:r>
        </w:p>
      </w:docPartBody>
    </w:docPart>
    <w:docPart>
      <w:docPartPr>
        <w:name w:val="8FF71C634EC6436290B5E99325950C6A"/>
        <w:category>
          <w:name w:val="Generale"/>
          <w:gallery w:val="placeholder"/>
        </w:category>
        <w:types>
          <w:type w:val="bbPlcHdr"/>
        </w:types>
        <w:behaviors>
          <w:behavior w:val="content"/>
        </w:behaviors>
        <w:guid w:val="{ACE06301-D0C8-437F-B190-47FF43AD432A}"/>
      </w:docPartPr>
      <w:docPartBody>
        <w:p w:rsidR="00815BF8" w:rsidRDefault="00D50F08" w:rsidP="00D50F08">
          <w:pPr>
            <w:pStyle w:val="8FF71C634EC6436290B5E99325950C6A"/>
          </w:pPr>
          <w:r w:rsidRPr="001946F5">
            <w:rPr>
              <w:rStyle w:val="Testosegnaposto"/>
            </w:rPr>
            <w:t>Fare clic o toccare qui per immettere il testo.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6FF" w:usb1="4000FCFF" w:usb2="00000009" w:usb3="00000000" w:csb0="0000019F" w:csb1="00000000"/>
  </w:font>
  <w:font w:name="AdvP6960">
    <w:altName w:val="Times New Roman"/>
    <w:panose1 w:val="00000000000000000000"/>
    <w:charset w:val="4D"/>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8D6"/>
    <w:rsid w:val="00000684"/>
    <w:rsid w:val="000305ED"/>
    <w:rsid w:val="000901C7"/>
    <w:rsid w:val="00111051"/>
    <w:rsid w:val="001141AB"/>
    <w:rsid w:val="0014685A"/>
    <w:rsid w:val="002A7D18"/>
    <w:rsid w:val="002B3078"/>
    <w:rsid w:val="002C1280"/>
    <w:rsid w:val="003069D9"/>
    <w:rsid w:val="003D65EC"/>
    <w:rsid w:val="003E510A"/>
    <w:rsid w:val="00437814"/>
    <w:rsid w:val="00491510"/>
    <w:rsid w:val="00496AF9"/>
    <w:rsid w:val="004B22BE"/>
    <w:rsid w:val="00503A6B"/>
    <w:rsid w:val="00510BFD"/>
    <w:rsid w:val="0060712D"/>
    <w:rsid w:val="006C6173"/>
    <w:rsid w:val="007268D6"/>
    <w:rsid w:val="00754F02"/>
    <w:rsid w:val="00775BF8"/>
    <w:rsid w:val="00777191"/>
    <w:rsid w:val="007B6485"/>
    <w:rsid w:val="00815BF8"/>
    <w:rsid w:val="008639A1"/>
    <w:rsid w:val="00877C9F"/>
    <w:rsid w:val="008939BD"/>
    <w:rsid w:val="00917472"/>
    <w:rsid w:val="009561A3"/>
    <w:rsid w:val="009E44EB"/>
    <w:rsid w:val="00AD536B"/>
    <w:rsid w:val="00AF5A42"/>
    <w:rsid w:val="00B26550"/>
    <w:rsid w:val="00CA5893"/>
    <w:rsid w:val="00CE3801"/>
    <w:rsid w:val="00CF3218"/>
    <w:rsid w:val="00CF4459"/>
    <w:rsid w:val="00D50F08"/>
    <w:rsid w:val="00D516FE"/>
    <w:rsid w:val="00DF6AAF"/>
    <w:rsid w:val="00E05D98"/>
    <w:rsid w:val="00E56C38"/>
    <w:rsid w:val="00EA67B8"/>
    <w:rsid w:val="00F35555"/>
    <w:rsid w:val="00F7141E"/>
    <w:rsid w:val="00F8708B"/>
    <w:rsid w:val="00FB4728"/>
    <w:rsid w:val="00FE3A9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6C6173"/>
    <w:rPr>
      <w:color w:val="666666"/>
    </w:rPr>
  </w:style>
  <w:style w:type="paragraph" w:customStyle="1" w:styleId="40FE0FFC814F4B289A5AA452DC4BE946">
    <w:name w:val="40FE0FFC814F4B289A5AA452DC4BE946"/>
    <w:rsid w:val="00D50F08"/>
  </w:style>
  <w:style w:type="paragraph" w:customStyle="1" w:styleId="8FF71C634EC6436290B5E99325950C6A">
    <w:name w:val="8FF71C634EC6436290B5E99325950C6A"/>
    <w:rsid w:val="00D50F0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E1BC144-3F39-4231-9712-6E0F842240FF}">
  <we:reference id="WA104382081" version="1.55.1.0" store="Omex" storeType="OMEX"/>
  <we:alternateReferences>
    <we:reference id="WA104382081" version="1.55.1.0" store="WA104382081" storeType="OMEX"/>
  </we:alternateReferences>
  <we:properties>
    <we:property name="MENDELEY_BIBLIOGRAPHY_IS_DIRTY" value="false"/>
    <we:property name="MENDELEY_BIBLIOGRAPHY_LAST_MODIFIED" value="1776862531266"/>
    <we:property name="MENDELEY_CITATIONS" value="[{&quot;citationID&quot;:&quot;MENDELEY_CITATION_f3ff0f87-516e-4c3b-9e4b-6ceecde419a0&quot;,&quot;properties&quot;:{&quot;noteIndex&quot;:0},&quot;isEdited&quot;:false,&quot;manualOverride&quot;:{&quot;isManuallyOverridden&quot;:false,&quot;citeprocText&quot;:&quot;(Bush &amp;#38; Bradford, 2019)&quot;,&quot;manualOverrideText&quot;:&quot;&quot;},&quot;citationTag&quot;:&quot;MENDELEY_CITATION_v3_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&quot;,&quot;citationItems&quot;:[{&quot;id&quot;:&quot;47d32c74-ac1e-3820-a7dd-5b8d5dda930a&quot;,&quot;itemData&quot;:{&quot;type&quot;:&quot;article-journal&quot;,&quot;id&quot;:&quot;47d32c74-ac1e-3820-a7dd-5b8d5dda930a&quot;,&quot;title&quot;:&quot;Interplay between β-lactamases and new β-lactamase inhibitors&quot;,&quot;author&quot;:[{&quot;family&quot;:&quot;Bush&quot;,&quot;given&quot;:&quot;Karen&quot;,&quot;parse-names&quot;:false,&quot;dropping-particle&quot;:&quot;&quot;,&quot;non-dropping-particle&quot;:&quot;&quot;},{&quot;family&quot;:&quot;Bradford&quot;,&quot;given&quot;:&quot;Patricia A.&quot;,&quot;parse-names&quot;:false,&quot;dropping-particle&quot;:&quot;&quot;,&quot;non-dropping-particle&quot;:&quot;&quot;}],&quot;container-title&quot;:&quot;Nature Reviews Microbiology 2019 17:5&quot;,&quot;accessed&quot;:{&quot;date-parts&quot;:[[2025,11,13]]},&quot;DOI&quot;:&quot;10.1038/s41579-019-0159-8&quot;,&quot;ISSN&quot;:&quot;1740-1534&quot;,&quot;PMID&quot;:&quot;30837684&quot;,&quot;URL&quot;:&quot;https://www.nature.com/articles/s41579-019-0159-8&quot;,&quot;issued&quot;:{&quot;date-parts&quot;:[[2019,3,5]]},&quot;page&quot;:&quot;295-306&quot;,&quot;abstract&quot;:&quot;Resistance to β-lactam antibiotics in Gram-negative bacteria is commonly associated with production of β-lactamases, including extended-spectrum β-lactamases (ESBLs) and carbapenemases belonging to different molecular classes: those with a catalytically active serine and those with at least one active-site Zn2+ to facilitate hydrolysis. To counteract the hydrolytic activity of these enzymes, combinations of a β-lactam with a β-lactamase inhibitor (BLI) have been clinically successful. However, some β-lactam–BLI combinations have lost their effectiveness against prevalent Gram-negative pathogens that produce ESBLs, carbapenemases or multiple β-lactamases in the same organism. In this Review, descriptions are provided for medically relevant β-lactamase families and various BLI combinations that have been developed or are under development. Recently approved inhibitor combinations include the inhibitors avibactam and vaborbactam of the diazabicyclooctanone and boronic acid inhibitor classes, respectively, as new scaffolds for future inhibitor design. In this Review, Bush and Bradford describe medically relevant β-lactamase families and various combinations of a β-lactam with a β-lactamase inhibitor that have been developed, or that are being developed, to counteract these enzymes.&quot;,&quot;publisher&quot;:&quot;Nature Publishing Group&quot;,&quot;issue&quot;:&quot;5&quot;,&quot;volume&quot;:&quot;17&quot;,&quot;container-title-short&quot;:&quot;&quot;},&quot;isTemporary&quot;:false}]},{&quot;citationID&quot;:&quot;MENDELEY_CITATION_71ec9c69-9ddc-4965-b42a-aab810500b21&quot;,&quot;properties&quot;:{&quot;noteIndex&quot;:0},&quot;isEdited&quot;:false,&quot;manualOverride&quot;:{&quot;isManuallyOverridden&quot;:false,&quot;citeprocText&quot;:&quot;(Ser et al., 2016)&quot;,&quot;manualOverrideText&quot;:&quot;&quot;},&quot;citationTag&quot;:&quot;MENDELEY_CITATION_v3_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&quot;,&quot;citationItems&quot;:[{&quot;id&quot;:&quot;081136d5-fa77-398b-ac1b-965ac0073473&quot;,&quot;itemData&quot;:{&quot;type&quot;:&quot;article-journal&quot;,&quot;id&quot;:&quot;081136d5-fa77-398b-ac1b-965ac0073473&quot;,&quot;title&quot;:&quot;Fermentation conditions that affect clavulanic acid production in Streptomyces clavuligerus: A systematic review&quot;,&quot;author&quot;:[{&quot;family&quot;:&quot;Ser&quot;,&quot;given&quot;:&quot;Hooi Leng&quot;,&quot;parse-names&quot;:false,&quot;dropping-particle&quot;:&quot;&quot;,&quot;non-dropping-particle&quot;:&quot;&quot;},{&quot;family&quot;:&quot;Law&quot;,&quot;given&quot;:&quot;Jodi Woan Fei&quot;,&quot;parse-names&quot;:false,&quot;dropping-particle&quot;:&quot;&quot;,&quot;non-dropping-particle&quot;:&quot;&quot;},{&quot;family&quot;:&quot;Chaiyakunapruk&quot;,&quot;given&quot;:&quot;Nathorn&quot;,&quot;parse-names&quot;:false,&quot;dropping-particle&quot;:&quot;&quot;,&quot;non-dropping-particle&quot;:&quot;&quot;},{&quot;family&quot;:&quot;Jacob&quot;,&quot;given&quot;:&quot;Sabrina Anne&quot;,&quot;parse-names&quot;:false,&quot;dropping-particle&quot;:&quot;&quot;,&quot;non-dropping-particle&quot;:&quot;&quot;},{&quot;family&quot;:&quot;Palanisamy&quot;,&quot;given&quot;:&quot;Uma Devi&quot;,&quot;parse-names&quot;:false,&quot;dropping-particle&quot;:&quot;&quot;,&quot;non-dropping-particle&quot;:&quot;&quot;},{&quot;family&quot;:&quot;Chan&quot;,&quot;given&quot;:&quot;Kok Gan&quot;,&quot;parse-names&quot;:false,&quot;dropping-particle&quot;:&quot;&quot;,&quot;non-dropping-particle&quot;:&quot;&quot;},{&quot;family&quot;:&quot;Goh&quot;,&quot;given&quot;:&quot;Bey Hing&quot;,&quot;parse-names&quot;:false,&quot;dropping-particle&quot;:&quot;&quot;,&quot;non-dropping-particle&quot;:&quot;&quot;},{&quot;family&quot;:&quot;Lee&quot;,&quot;given&quot;:&quot;Learn Han&quot;,&quot;parse-names&quot;:false,&quot;dropping-particle&quot;:&quot;&quot;,&quot;non-dropping-particle&quot;:&quot;&quot;}],&quot;container-title&quot;:&quot;Frontiers in Microbiology&quot;,&quot;container-title-short&quot;:&quot;Front. Microbiol.&quot;,&quot;accessed&quot;:{&quot;date-parts&quot;:[[2023,5,3]]},&quot;DOI&quot;:&quot;10.3389/FMICB.2016.00522/PDF&quot;,&quot;ISSN&quot;:&quot;1664302X&quot;,&quot;issued&quot;:{&quot;date-parts&quot;:[[2016,4,22]]},&quot;abstract&quot;:&quot;The β-lactamase inhibitor, clavulanic acid is frequently used in combination with β-lactam antibiotics to treat a wide spectrum of infectious diseases. Clavulanic acid prevents drug resistance by pathogens against these β-lactam antibiotics by preventing the degradation of the β-lactam ring, thus ensuring eradication of these harmful microorganisms from the host. This systematic review provides an overview on the fermentation conditions that affect the production of clavulanic acid in the firstly described producer, Streptomyces clavuligerus. A thorough search was conducted using predefined terms in several electronic databases (PubMed, Medline, ScienceDirect, EBSCO), from database inception to June 30th 2015. Studies must involve wild-type Streptomyces clavuligerus, and full texts needed to be available. A total of 29 eligible articles were identified. Based on the literature, several factors were identified that could affect the production of clavulanic acid in S. clavuligerus. The addition of glycerol or other vegetable oils (e.g., olive oil, corn oil) could potentially affect clavulanic acid production. Furthermore, some amino acids such as arginine and ornithine, could serve as potential precursors to increase clavulanic acid yield. The comparison of different fermentation systems revealed that fed-batch fermentation yields higher amounts of clavulanic acid as compared to batch fermentation, probably due to the maintenance of substrates and constant monitoring of certain entities (such as pH, oxygen availability, etc.). Overall, these findings provide vital knowledge and insight that could assist media optimization and fermentation design for clavulanic acid production in S. clavuligerus.&quot;,&quot;publisher&quot;:&quot;Frontiers Media S.A.&quot;,&quot;issue&quot;:&quot;APR&quot;,&quot;volume&quot;:&quot;7&quot;},&quot;isTemporary&quot;:false}]},{&quot;citationID&quot;:&quot;MENDELEY_CITATION_f8a70288-76c5-42ae-b512-c1a6d532694a&quot;,&quot;properties&quot;:{&quot;noteIndex&quot;:0},&quot;isEdited&quot;:false,&quot;manualOverride&quot;:{&quot;isManuallyOverridden&quot;:false,&quot;citeprocText&quot;:&quot;(Marques et al., 2009)&quot;,&quot;manualOverrideText&quot;:&quot;&quot;},&quot;citationTag&quot;:&quot;MENDELEY_CITATION_v3_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&quot;,&quot;citationItems&quot;:[{&quot;id&quot;:&quot;e232b860-6206-36f9-905f-981aed3c0ac1&quot;,&quot;itemData&quot;:{&quot;type&quot;:&quot;article-journal&quot;,&quot;id&quot;:&quot;e232b860-6206-36f9-905f-981aed3c0ac1&quot;,&quot;title&quot;:&quot;Kinetic and thermodynamic investigation on clavulanic acid formation and degradation during glycerol fermentation by Streptomyces DAUFPE 3060&quot;,&quot;author&quot;:[{&quot;family&quot;:&quot;Marques&quot;,&quot;given&quot;:&quot;Daniela A.Viana&quot;,&quot;parse-names&quot;:false,&quot;dropping-particle&quot;:&quot;&quot;,&quot;non-dropping-particle&quot;:&quot;&quot;},{&quot;family&quot;:&quot;Oliveira&quot;,&quot;given&quot;:&quot;Ricardo P.S.&quot;,&quot;parse-names&quot;:false,&quot;dropping-particle&quot;:&quot;&quot;,&quot;non-dropping-particle&quot;:&quot;&quot;},{&quot;family&quot;:&quot;Perego&quot;,&quot;given&quot;:&quot;Patrizia&quot;,&quot;parse-names&quot;:false,&quot;dropping-particle&quot;:&quot;&quot;,&quot;non-dropping-particle&quot;:&quot;&quot;},{&quot;family&quot;:&quot;Porto&quot;,&quot;given&quot;:&quot;Ana L.F.&quot;,&quot;parse-names&quot;:false,&quot;dropping-particle&quot;:&quot;&quot;,&quot;non-dropping-particle&quot;:&quot;&quot;},{&quot;family&quot;:&quot;Pessoa&quot;,&quot;given&quot;:&quot;Adalberto&quot;,&quot;parse-names&quot;:false,&quot;dropping-particle&quot;:&quot;&quot;,&quot;non-dropping-particle&quot;:&quot;&quot;},{&quot;family&quot;:&quot;Converti&quot;,&quot;given&quot;:&quot;Attilio&quot;,&quot;parse-names&quot;:false,&quot;dropping-particle&quot;:&quot;&quot;,&quot;non-dropping-particle&quot;:&quot;&quot;}],&quot;container-title&quot;:&quot;Enzyme and Microbial Technology&quot;,&quot;container-title-short&quot;:&quot;Enzyme Microb. Technol.&quot;,&quot;accessed&quot;:{&quot;date-parts&quot;:[[2023,5,3]]},&quot;DOI&quot;:&quot;10.1016/J.ENZMICTEC.2009.03.005&quot;,&quot;ISSN&quot;:&quot;01410229&quot;,&quot;issued&quot;:{&quot;date-parts&quot;:[[2009,8,7]]},&quot;page&quot;:&quot;169-173&quot;,&quot;abstract&quot;:&quot;Clavulanic acid (CA) is a potent inhibitor of β-lactamases, produced by some resistant pathogenic microorganisms, which allows efficient treatment of infectious diseases. The kinetic and thermodynamic parameters of CA production by a new isolate of Streptomyces DAUFPE 3060 and its degradation were evaluated. The effect of temperature on the system was investigated in the range 24-40 °C adopting an overall model accounting for (a) the Arrhenius-type formation of CA by fermentation, (b) the hypothetical reversible unfolding of the enzyme limiting the overall metabolism, and (c) the irreversible first-order degradation of CA. The higher rates of CA formation (kCA = 0.107 h-1) and degradation (kd = 0.062 h-1) were observed at 32 and 40 °C, respectively. The main thermodynamic parameters of the three above-hypothesized events were estimated. In particular, the activation parameters of degradation (activation energy = 39.0 kJ/mol; Δ Hd* = 36.5 kJ / mol; Δ Sd* = - 219.7 J / (mol K); Δ Gd* = 103.5 kJ / mol) compare reasonably well with those reported in the literature for similar system without taking into account the other two events. © 2009 Elsevier Inc. All rights reserved.&quot;,&quot;issue&quot;:&quot;2&quot;,&quot;volume&quot;:&quot;45&quot;},&quot;isTemporary&quot;:false}]},{&quot;citationID&quot;:&quot;MENDELEY_CITATION_2e9fef44-b48e-49ee-bbd7-ca01633ee7e9&quot;,&quot;properties&quot;:{&quot;noteIndex&quot;:0},&quot;isEdited&quot;:false,&quot;manualOverride&quot;:{&quot;isManuallyOverridden&quot;:false,&quot;citeprocText&quot;:&quot;(Gómez-Ríos et al., 2024)&quot;,&quot;manualOverrideText&quot;:&quot;&quot;},&quot;citationTag&quot;:&quot;MENDELEY_CITATION_v3_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&quot;,&quot;citationItems&quot;:[{&quot;id&quot;:&quot;625e87c2-bf0e-3bc8-979b-0c01cfaa0aeb&quot;,&quot;itemData&quot;:{&quot;type&quot;:&quot;article-journal&quot;,&quot;id&quot;:&quot;625e87c2-bf0e-3bc8-979b-0c01cfaa0aeb&quot;,&quot;title&quot;:&quot;Clavulanic Acid Overproduction: A Review of Environmental Conditions, Metabolic Fluxes, and Strain Engineering in Streptomyces clavuligerus&quot;,&quot;author&quot;:[{&quot;family&quot;:&quot;Gómez-Ríos&quot;,&quot;given&quot;:&quot;David&quot;,&quot;parse-names&quot;:false,&quot;dropping-particle&quot;:&quot;&quot;,&quot;non-dropping-particle&quot;:&quot;&quot;},{&quot;family&quot;:&quot;María Gómez-Gaona&quot;,&quot;given&quot;:&quot;Luisa&quot;,&quot;parse-names&quot;:false,&quot;dropping-particle&quot;:&quot;&quot;,&quot;non-dropping-particle&quot;:&quot;&quot;},{&quot;family&quot;:&quot;Ramírez-Malule&quot;,&quot;given&quot;:&quot;Howard&quot;,&quot;parse-names&quot;:false,&quot;dropping-particle&quot;:&quot;&quot;,&quot;non-dropping-particle&quot;:&quot;&quot;}],&quot;accessed&quot;:{&quot;date-parts&quot;:[[2026,3,5]]},&quot;DOI&quot;:&quot;10.3390/fermentation10100526&quot;,&quot;URL&quot;:&quot;https://doi.org/10.3390/fermentation10100526&quot;,&quot;issued&quot;:{&quot;date-parts&quot;:[[2024]]},&quot;abstract&quot;:&quot;Clavulanic acid is a potent β-lactamase inhibitor produced by Streptomyces clavuligerus, widely used in combination with β-lactam antibiotics to combat antimicrobial resistance. This systematic review analyzes the most successful methodologies for clavulanic acid overproduction, focusing on the highest yields reported in bench-scale and bioreactor-scale fermentations. Studies have demonstrated that glycerol is the preferred carbon source for clavulanic acid production over other sources like starch and dextrins. The optimization of feeding strategies, especially in fed-batch operations, has improved glycerol utilization and extended the clavulanic acid production phase. Organic nitrogen sources, particularly soybean protein isolates and amino acid supplements such as L-arginine, L-threonine, and L-glutamate, have been proven effective at increasing CA yields both in batch and fed-batch cultures, especially when balanced with appropriate carbon sources. Strain engineering approaches, including mutagenesis and targeted genetic modifications, have allowed for the obtainment of overproducer S. clavuligerus strains. Specifically, engineering efforts that overexpress key regulatory genes such as ccaR and claR, or that disrupt competing pathways, redirect the metabolic flux towards CA biosynthesis, leading to high clavulanic acid titers. The fed-batch operation at the bioreactor scale emerges as the most feasible alternative for prolonged clavulanic acid production with both wild-type and mutant strains, allowing for the attainment of high titers during cultivations.&quot;,&quot;container-title-short&quot;:&quot;&quot;},&quot;isTemporary&quot;:false}]},{&quot;citationID&quot;:&quot;MENDELEY_CITATION_c73a87ca-8d25-4bb1-8a0c-49b11fefed81&quot;,&quot;properties&quot;:{&quot;noteIndex&quot;:0},&quot;isEdited&quot;:false,&quot;manualOverride&quot;:{&quot;isManuallyOverridden&quot;:false,&quot;citeprocText&quot;:&quot;(Gómez-Rios et al., 2022)&quot;,&quot;manualOverrideText&quot;:&quot;&quot;},&quot;citationTag&quot;:&quot;MENDELEY_CITATION_v3_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&quot;,&quot;citationItems&quot;:[{&quot;id&quot;:&quot;78011b8e-5a49-3b11-ae5c-0acce7fca6f5&quot;,&quot;itemData&quot;:{&quot;type&quot;:&quot;article-journal&quot;,&quot;id&quot;:&quot;78011b8e-5a49-3b11-ae5c-0acce7fca6f5&quot;,&quot;title&quot;:&quot;Rational selection of culture medium for clavulanic acid production by Streptomyces clavuligerus based on a metabolic modeling approach&quot;,&quot;author&quot;:[{&quot;family&quot;:&quot;Gómez-Rios&quot;,&quot;given&quot;:&quot;David&quot;,&quot;parse-names&quot;:false,&quot;dropping-particle&quot;:&quot;&quot;,&quot;non-dropping-particle&quot;:&quot;&quot;},{&quot;family&quot;:&quot;Ramírez-Malule&quot;,&quot;given&quot;:&quot;Howard&quot;,&quot;parse-names&quot;:false,&quot;dropping-particle&quot;:&quot;&quot;,&quot;non-dropping-particle&quot;:&quot;&quot;},{&quot;family&quot;:&quot;Ochoa&quot;,&quot;given&quot;:&quot;Silvia&quot;,&quot;parse-names&quot;:false,&quot;dropping-particle&quot;:&quot;&quot;,&quot;non-dropping-particle&quot;:&quot;&quot;},{&quot;family&quot;:&quot;Ríos-Estepa&quot;,&quot;given&quot;:&quot;Rigoberto&quot;,&quot;parse-names&quot;:false,&quot;dropping-particle&quot;:&quot;&quot;,&quot;non-dropping-particle&quot;:&quot;&quot;}],&quot;container-title&quot;:&quot;Agriculture and Natural Resources&quot;,&quot;DOI&quot;:&quot;10.34044/j.anres.2022.56.2.05&quot;,&quot;ISSN&quot;:&quot;2452316X&quot;,&quot;issued&quot;:{&quot;date-parts&quot;:[[2022,3,1]]},&quot;page&quot;:&quot;267-276&quot;,&quot;abstract&quot;:&quot;Importance of the work: Clavulanic acid (CA) is a β-lactam antibiotic produced by Streptomyces clavuligerus and is an inhibitor of β-lactamase enzymes responsible for antibiotics resistance in several pathogenic bacteria. CA productivity in wild-type S. clavuligerus is low and determination of favorable environmental condition for CA biosynthesis is required. Objectives: To determine the culture conditions that promote secondary metabolism activity in S. clavuligerus and redirection of metabolic fluxes. Materials &amp; Methods: An in silico approach was implemented to select amino acids supplementation to culture media as a rational strategy to promote CA biosynthesis during cultivation. Submerged cultures of S. clavuligerus were investigated in synthetic and complex media selected according to the in silico study. Results: Amino acids supplementation favored CA production over the complex media. Fed-batch operation favored both biomass maintenance and CA accumulation compared with the batch operation. The increase in the agitation velocity had a positive effect on biomass and CA accumulations. Main finding: The defined media lead to specific nutrients starvation that act as stress factors potentially triggering the CA secretion. The in silico analysis showed that during phosphate-limited conditions, the high concentration of glutamate boosts the urea cycle from aspartate, increasing the carbon flux toward arginine and CA.&quot;,&quot;publisher&quot;:&quot;Kasetsart University&quot;,&quot;issue&quot;:&quot;2&quot;,&quot;volume&quot;:&quot;56&quot;,&quot;container-title-short&quot;:&quot;&quot;},&quot;isTemporary&quot;:false}]},{&quot;citationID&quot;:&quot;MENDELEY_CITATION_a5115bfc-d9a2-4285-9308-dde7a5b66b0a&quot;,&quot;properties&quot;:{&quot;noteIndex&quot;:0},&quot;isEdited&quot;:false,&quot;manualOverride&quot;:{&quot;isManuallyOverridden&quot;:false,&quot;citeprocText&quot;:&quot;(Seyedsayamdost, 2019)&quot;,&quot;manualOverrideText&quot;:&quot;&quot;},&quot;citationTag&quot;:&quot;MENDELEY_CITATION_v3_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&quot;,&quot;citationItems&quot;:[{&quot;id&quot;:&quot;d08171a2-ef24-301e-b11e-7d3fa2dddbf0&quot;,&quot;itemData&quot;:{&quot;type&quot;:&quot;article-journal&quot;,&quot;id&quot;:&quot;d08171a2-ef24-301e-b11e-7d3fa2dddbf0&quot;,&quot;title&quot;:&quot;Toward a global picture of bacterial secondary metabolism&quot;,&quot;author&quot;:[{&quot;family&quot;:&quot;Seyedsayamdost&quot;,&quot;given&quot;:&quot;Mohammad R.&quot;,&quot;parse-names&quot;:false,&quot;dropping-particle&quot;:&quot;&quot;,&quot;non-dropping-particle&quot;:&quot;&quot;}],&quot;container-title&quot;:&quot;Journal of Industrial Microbiology and Biotechnology&quot;,&quot;container-title-short&quot;:&quot;J. Ind. Microbiol. Biotechnol.&quot;,&quot;accessed&quot;:{&quot;date-parts&quot;:[[2026,3,5]]},&quot;DOI&quot;:&quot;10.1007/S10295-019-02136-Y&quot;,&quot;ISBN&quot;:&quot;0123456789&quot;,&quot;ISSN&quot;:&quot;1367-5435&quot;,&quot;PMID&quot;:&quot;30684124&quot;,&quot;URL&quot;:&quot;https://dx.doi.org/10.1007/s10295-019-02136-y&quot;,&quot;issued&quot;:{&quot;date-parts&quot;:[[2019,3,1]]},&quot;page&quot;:&quot;301-311&quot;,&quot;abstract&quot;:&quot;Bacterial metabolism is comprised of primary metabolites, the intracellular molecules of life that enable growth and proliferation, and secondary metabolites, predominantly extracellular molecules that facilitate a microbe’s interaction with its environment. While our knowledge of primary metabolism and its web of interconnected intermediates is quantitative and holistic, significant knowledge gaps remain in our understanding of the secondary metabolomes of bacteria. In this Perspective, I discuss the main challenges involved in obtaining a global, comprehensive picture of bacterial secondary metabolomes, specifically in biosynthetically “gifted” microbes. Recent methodological advances that can meet these challenges will be reviewed. Applications of these methods combined with ongoing innovations will enable a detailed picture of global secondary metabolomes, which will in turn shed light onto the biology, chemistry, and enzymology underlying natural products and simultaneously aid drug discovery.&quot;,&quot;publisher&quot;:&quot;Oxford Academic&quot;,&quot;issue&quot;:&quot;3-4&quot;,&quot;volume&quot;:&quot;46&quot;},&quot;isTemporary&quot;:false}]},{&quot;citationID&quot;:&quot;MENDELEY_CITATION_5131ad81-ca90-4403-a3cb-6ee6f162ec65&quot;,&quot;properties&quot;:{&quot;noteIndex&quot;:0,&quot;mode&quot;:&quot;composite&quot;},&quot;isEdited&quot;:false,&quot;manualOverride&quot;:{&quot;isManuallyOverridden&quot;:false,&quot;citeprocText&quot;:&quot;Nandasana &amp;#38; Kumar (2008)&quot;,&quot;manualOverrideText&quot;:&quot;&quot;},&quot;citationTag&quot;:&quot;MENDELEY_CITATION_v3_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&quot;,&quot;citationItems&quot;:[{&quot;displayAs&quot;:&quot;composite&quot;,&quot;label&quot;:&quot;page&quot;,&quot;id&quot;:&quot;10c740eb-d758-36fe-87f6-404c269878f9&quot;,&quot;itemData&quot;:{&quot;type&quot;:&quot;article-journal&quot;,&quot;id&quot;:&quot;10c740eb-d758-36fe-87f6-404c269878f9&quot;,&quot;title&quot;:&quot;Kinetic modeling of lactic acid production from molasses using Enterococcus faecalis RKY1&quot;,&quot;author&quot;:[{&quot;family&quot;:&quot;Nandasana&quot;,&quot;given&quot;:&quot;Anjana D.&quot;,&quot;parse-names&quot;:false,&quot;dropping-particle&quot;:&quot;&quot;,&quot;non-dropping-particle&quot;:&quot;&quot;},{&quot;family&quot;:&quot;Kumar&quot;,&quot;given&quot;:&quot;Surendra&quot;,&quot;parse-names&quot;:false,&quot;dropping-particle&quot;:&quot;&quot;,&quot;non-dropping-particle&quot;:&quot;&quot;}],&quot;container-title&quot;:&quot;Biochemical Engineering Journal&quot;,&quot;container-title-short&quot;:&quot;Biochem. Eng. J.&quot;,&quot;accessed&quot;:{&quot;date-parts&quot;:[[2026,4,2]]},&quot;DOI&quot;:&quot;10.1016/J.BEJ.2007.07.014&quot;,&quot;ISSN&quot;:&quot;1369-703X&quot;,&quot;issued&quot;:{&quot;date-parts&quot;:[[2008,3,15]]},&quot;page&quot;:&quot;277-284&quot;,&quot;abstract&quot;:&quot;A kinetic model has been developed for batch fermentation of cane-sugar molasses for lactic acid production by Enterococcus faecalis RKY1. Parameters of the kinetic model have been determined based on experimental data by using genetic algorithm. The values of key kinetic constants are maximum specific growth rate (μmax), 1.6 h-1, growth-associated constant for lactic acid production (α), 0.26 g g-1; maximum specific lactic acid production rate (qp,max), 3 g g-1 h-1; maximum specific sugar utilization rate (qs,max), 3.33 g g-1 h-1. It has been observed that the growth of biomass and lactic acid production are affected by lactic acid inhibition and it has been taken into account with an exponential term. However, effects of substrate limitation and substrate inhibition have been found to be relatively small. When compared with batch experimental data, the model provides good predictions for growth of biomass, sugar consumption and lactic acid production profiles on media with initial molasses concentration ranging from 130 to 333 g/l with few exceptions. Effect of pH on kinetic parameters has also been studied. It has been found that the growth of biomass and lactic acid production are strongly influenced by pH. Optimum pH is found to be 7. © 2007 Elsevier B.V. All rights reserved.&quot;,&quot;publisher&quot;:&quot;Elsevier&quot;,&quot;issue&quot;:&quot;3&quot;,&quot;volume&quot;:&quot;38&quot;},&quot;isTemporary&quot;:false,&quot;suppress-author&quot;:false,&quot;composite&quot;:true,&quot;author-only&quot;:false}]},{&quot;citationID&quot;:&quot;MENDELEY_CITATION_9d16acfb-4cb8-42e1-ad92-9a8b1a7035b0&quot;,&quot;properties&quot;:{&quot;noteIndex&quot;:0},&quot;isEdited&quot;:false,&quot;manualOverride&quot;:{&quot;isManuallyOverridden&quot;:false,&quot;citeprocText&quot;:&quot;(Bersanetti et al., 2005)&quot;,&quot;manualOverrideText&quot;:&quot;&quot;},&quot;citationTag&quot;:&quot;MENDELEY_CITATION_v3_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&quot;,&quot;citationItems&quot;:[{&quot;id&quot;:&quot;cb187cad-d2cf-3ea3-b0f3-40ef9566bb03&quot;,&quot;itemData&quot;:{&quot;type&quot;:&quot;article-journal&quot;,&quot;id&quot;:&quot;cb187cad-d2cf-3ea3-b0f3-40ef9566bb03&quot;,&quot;title&quot;:&quot;Kinetic studies on clavulanic acid degradation&quot;,&quot;author&quot;:[{&quot;family&quot;:&quot;Bersanetti&quot;,&quot;given&quot;:&quot;Patrícia A.&quot;,&quot;parse-names&quot;:false,&quot;dropping-particle&quot;:&quot;&quot;,&quot;non-dropping-particle&quot;:&quot;&quot;},{&quot;family&quot;:&quot;Almeida&quot;,&quot;given&quot;:&quot;Renata M.R.G.&quot;,&quot;parse-names&quot;:false,&quot;dropping-particle&quot;:&quot;&quot;,&quot;non-dropping-particle&quot;:&quot;&quot;},{&quot;family&quot;:&quot;Barboza&quot;,&quot;given&quot;:&quot;Marlei&quot;,&quot;parse-names&quot;:false,&quot;dropping-particle&quot;:&quot;&quot;,&quot;non-dropping-particle&quot;:&quot;&quot;},{&quot;family&quot;:&quot;Araújo&quot;,&quot;given&quot;:&quot;Maria Lucia G.C.&quot;,&quot;parse-names&quot;:false,&quot;dropping-particle&quot;:&quot;&quot;,&quot;non-dropping-particle&quot;:&quot;&quot;},{&quot;family&quot;:&quot;Hokka&quot;,&quot;given&quot;:&quot;Carlos O.&quot;,&quot;parse-names&quot;:false,&quot;dropping-particle&quot;:&quot;&quot;,&quot;non-dropping-particle&quot;:&quot;&quot;}],&quot;container-title&quot;:&quot;Chemico-Biological Interactions&quot;,&quot;container-title-short&quot;:&quot;Chem. Biol. Interact.&quot;,&quot;accessed&quot;:{&quot;date-parts&quot;:[[2023,5,3]]},&quot;DOI&quot;:&quot;10.1016/J.BEJ.2004.10.007&quot;,&quot;ISSN&quot;:&quot;1369703X&quot;,&quot;issued&quot;:{&quot;date-parts&quot;:[[2005,3]]},&quot;page&quot;:&quot;31-36&quot;,&quot;abstract&quot;:&quot;Clavulanic acid (CA), a potent beta-lactamase inhibitor, is very sensitive to pH and temperature. It is produced by Streptomyces clavuligerus and to optimize both the fermentation step and the downstream process, the expression of the hydrolysis kinetics has to be determined. In the present work the CA degradation rate from various sources was investigated at temperatures of 10, 20, 25, 30 and 40°C and pH values of 6.2 and 7.0. The results showed that first-order kinetics explained very well the hydrolysis kinetics and the Arrhenius equation could be applied to establish a relationship between the degradation rate constant and temperature, at both pHs. It has been observed that CA from fermentation medium was much more unstable than that from standard solution and from a commercially available medicine. Also, it was observed that CA was more stable at pH 6.2 than at pH 7.0, irrespective of the CA source. © 2004 Elsevier B.V. All rights reserved.&quot;,&quot;issue&quot;:&quot;1&quot;,&quot;volume&quot;:&quot;23&quot;},&quot;isTemporary&quot;:false}]},{&quot;citationID&quot;:&quot;MENDELEY_CITATION_5bfa5672-9666-4830-8bf8-6ed0ae807673&quot;,&quot;properties&quot;:{&quot;noteIndex&quot;:0},&quot;isEdited&quot;:false,&quot;manualOverride&quot;:{&quot;isManuallyOverridden&quot;:false,&quot;citeprocText&quot;:&quot;(Bersanetti et al., 2005)&quot;,&quot;manualOverrideText&quot;:&quot;&quot;},&quot;citationTag&quot;:&quot;MENDELEY_CITATION_v3_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&quot;,&quot;citationItems&quot;:[{&quot;id&quot;:&quot;cb187cad-d2cf-3ea3-b0f3-40ef9566bb03&quot;,&quot;itemData&quot;:{&quot;type&quot;:&quot;article-journal&quot;,&quot;id&quot;:&quot;cb187cad-d2cf-3ea3-b0f3-40ef9566bb03&quot;,&quot;title&quot;:&quot;Kinetic studies on clavulanic acid degradation&quot;,&quot;author&quot;:[{&quot;family&quot;:&quot;Bersanetti&quot;,&quot;given&quot;:&quot;Patrícia A.&quot;,&quot;parse-names&quot;:false,&quot;dropping-particle&quot;:&quot;&quot;,&quot;non-dropping-particle&quot;:&quot;&quot;},{&quot;family&quot;:&quot;Almeida&quot;,&quot;given&quot;:&quot;Renata M.R.G.&quot;,&quot;parse-names&quot;:false,&quot;dropping-particle&quot;:&quot;&quot;,&quot;non-dropping-particle&quot;:&quot;&quot;},{&quot;family&quot;:&quot;Barboza&quot;,&quot;given&quot;:&quot;Marlei&quot;,&quot;parse-names&quot;:false,&quot;dropping-particle&quot;:&quot;&quot;,&quot;non-dropping-particle&quot;:&quot;&quot;},{&quot;family&quot;:&quot;Araújo&quot;,&quot;given&quot;:&quot;Maria Lucia G.C.&quot;,&quot;parse-names&quot;:false,&quot;dropping-particle&quot;:&quot;&quot;,&quot;non-dropping-particle&quot;:&quot;&quot;},{&quot;family&quot;:&quot;Hokka&quot;,&quot;given&quot;:&quot;Carlos O.&quot;,&quot;parse-names&quot;:false,&quot;dropping-particle&quot;:&quot;&quot;,&quot;non-dropping-particle&quot;:&quot;&quot;}],&quot;container-title&quot;:&quot;Chemico-Biological Interactions&quot;,&quot;container-title-short&quot;:&quot;Chem. Biol. Interact.&quot;,&quot;accessed&quot;:{&quot;date-parts&quot;:[[2023,5,3]]},&quot;DOI&quot;:&quot;10.1016/J.BEJ.2004.10.007&quot;,&quot;ISSN&quot;:&quot;1369703X&quot;,&quot;issued&quot;:{&quot;date-parts&quot;:[[2005,3]]},&quot;page&quot;:&quot;31-36&quot;,&quot;abstract&quot;:&quot;Clavulanic acid (CA), a potent beta-lactamase inhibitor, is very sensitive to pH and temperature. It is produced by Streptomyces clavuligerus and to optimize both the fermentation step and the downstream process, the expression of the hydrolysis kinetics has to be determined. In the present work the CA degradation rate from various sources was investigated at temperatures of 10, 20, 25, 30 and 40°C and pH values of 6.2 and 7.0. The results showed that first-order kinetics explained very well the hydrolysis kinetics and the Arrhenius equation could be applied to establish a relationship between the degradation rate constant and temperature, at both pHs. It has been observed that CA from fermentation medium was much more unstable than that from standard solution and from a commercially available medicine. Also, it was observed that CA was more stable at pH 6.2 than at pH 7.0, irrespective of the CA source. © 2004 Elsevier B.V. All rights reserved.&quot;,&quot;issue&quot;:&quot;1&quot;,&quot;volume&quot;:&quot;23&quot;},&quot;isTemporary&quot;:false}]}]"/>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F40BA9-19A6-4968-8C2E-60534A649A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3253</Words>
  <Characters>18545</Characters>
  <Application>Microsoft Office Word</Application>
  <DocSecurity>0</DocSecurity>
  <Lines>154</Lines>
  <Paragraphs>43</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Dipartimento CMIC - Politecnico di Milano</Company>
  <LinksUpToDate>false</LinksUpToDate>
  <CharactersWithSpaces>21755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raffaella</dc:creator>
  <cp:keywords/>
  <dc:description/>
  <cp:lastModifiedBy>Adriano Porcelli</cp:lastModifiedBy>
  <cp:revision>3</cp:revision>
  <cp:lastPrinted>2015-05-12T18:31:00Z</cp:lastPrinted>
  <dcterms:created xsi:type="dcterms:W3CDTF">2026-07-15T07:44:00Z</dcterms:created>
  <dcterms:modified xsi:type="dcterms:W3CDTF">2026-07-15T08:07:00Z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zotero-version="4.0.29.17"&gt;&lt;session id="s8VwuD2U"/&gt;&lt;style id="http://www.zotero.org/styles/chemical-engineering-transactions" hasBibliography="1" bibliographyStyleHasBeenSet="1"/&gt;&lt;prefs&gt;&lt;pref name="fieldType" value="Field"/&gt;&lt;pref na</vt:lpwstr>
  </property>
  <property fmtid="{D5CDD505-2E9C-101B-9397-08002B2CF9AE}" pid="3" name="ZOTERO_PREF_2">
    <vt:lpwstr>me="storeReferences" value="true"/&gt;&lt;pref name="automaticJournalAbbreviations" value=""/&gt;&lt;pref name="noteType" value=""/&gt;&lt;/prefs&gt;&lt;/data&gt;</vt:lpwstr>
  </property>
</Properties>
</file>