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jc w:val="center"/>
        <w:tblBorders>
          <w:bottom w:val="single" w:sz="4" w:space="0" w:color="auto"/>
        </w:tblBorders>
        <w:tblLook w:val="01E0" w:firstRow="1" w:lastRow="1" w:firstColumn="1" w:lastColumn="1" w:noHBand="0" w:noVBand="0"/>
      </w:tblPr>
      <w:tblGrid>
        <w:gridCol w:w="6940"/>
        <w:gridCol w:w="1842"/>
      </w:tblGrid>
      <w:tr w:rsidR="000A03B2" w:rsidRPr="00B57B36" w14:paraId="2A131A54" w14:textId="77777777" w:rsidTr="00066F13">
        <w:trPr>
          <w:trHeight w:val="852"/>
          <w:jc w:val="center"/>
        </w:trPr>
        <w:tc>
          <w:tcPr>
            <w:tcW w:w="6940" w:type="dxa"/>
            <w:vMerge w:val="restart"/>
            <w:tcBorders>
              <w:right w:val="single" w:sz="4" w:space="0" w:color="auto"/>
            </w:tcBorders>
          </w:tcPr>
          <w:p w14:paraId="38C3D2BA" w14:textId="77777777" w:rsidR="000A03B2" w:rsidRPr="00B57B36" w:rsidRDefault="000A03B2" w:rsidP="00DE264A">
            <w:pPr>
              <w:tabs>
                <w:tab w:val="left" w:pos="-108"/>
              </w:tabs>
              <w:ind w:left="-108"/>
              <w:jc w:val="left"/>
              <w:rPr>
                <w:rFonts w:cs="Arial"/>
                <w:b/>
                <w:bCs/>
                <w:i/>
                <w:iCs/>
                <w:color w:val="000066"/>
                <w:sz w:val="12"/>
                <w:szCs w:val="12"/>
                <w:lang w:eastAsia="it-IT"/>
              </w:rPr>
            </w:pPr>
            <w:bookmarkStart w:id="0" w:name="_Hlk145068772"/>
            <w:r w:rsidRPr="00B57B36">
              <w:rPr>
                <w:rFonts w:ascii="AdvP6960" w:hAnsi="AdvP6960" w:cs="AdvP6960"/>
                <w:noProof/>
                <w:color w:val="241F20"/>
                <w:szCs w:val="18"/>
                <w:lang w:val="it-IT" w:eastAsia="it-IT"/>
              </w:rPr>
              <w:drawing>
                <wp:inline distT="0" distB="0" distL="0" distR="0" wp14:anchorId="02B7C3D3" wp14:editId="5EE03112">
                  <wp:extent cx="640080" cy="373380"/>
                  <wp:effectExtent l="0" t="0" r="7620" b="7620"/>
                  <wp:docPr id="5" name="Immagine 5" descr="cet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etlogo"/>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40080" cy="373380"/>
                          </a:xfrm>
                          <a:prstGeom prst="rect">
                            <a:avLst/>
                          </a:prstGeom>
                          <a:noFill/>
                          <a:ln>
                            <a:noFill/>
                          </a:ln>
                        </pic:spPr>
                      </pic:pic>
                    </a:graphicData>
                  </a:graphic>
                </wp:inline>
              </w:drawing>
            </w:r>
            <w:r w:rsidRPr="00B57B36">
              <w:rPr>
                <w:rFonts w:ascii="AdvP6960" w:hAnsi="AdvP6960" w:cs="AdvP6960"/>
                <w:color w:val="241F20"/>
                <w:szCs w:val="18"/>
                <w:lang w:eastAsia="it-IT"/>
              </w:rPr>
              <w:t xml:space="preserve"> </w:t>
            </w:r>
            <w:r w:rsidRPr="00B57B36">
              <w:rPr>
                <w:rFonts w:cs="Arial"/>
                <w:b/>
                <w:bCs/>
                <w:i/>
                <w:iCs/>
                <w:color w:val="000066"/>
                <w:sz w:val="24"/>
                <w:szCs w:val="24"/>
                <w:lang w:eastAsia="it-IT"/>
              </w:rPr>
              <w:t>CHEMICAL ENGINEERING</w:t>
            </w:r>
            <w:r w:rsidRPr="00B57B36">
              <w:rPr>
                <w:rFonts w:cs="Arial"/>
                <w:b/>
                <w:bCs/>
                <w:i/>
                <w:iCs/>
                <w:color w:val="0033FF"/>
                <w:sz w:val="24"/>
                <w:szCs w:val="24"/>
                <w:lang w:eastAsia="it-IT"/>
              </w:rPr>
              <w:t xml:space="preserve"> </w:t>
            </w:r>
            <w:r w:rsidRPr="00B57B36">
              <w:rPr>
                <w:rFonts w:cs="Arial"/>
                <w:b/>
                <w:bCs/>
                <w:i/>
                <w:iCs/>
                <w:color w:val="666666"/>
                <w:sz w:val="24"/>
                <w:szCs w:val="24"/>
                <w:lang w:eastAsia="it-IT"/>
              </w:rPr>
              <w:t>TRANSACTIONS</w:t>
            </w:r>
            <w:r w:rsidRPr="00B57B36">
              <w:rPr>
                <w:color w:val="333333"/>
                <w:sz w:val="24"/>
                <w:szCs w:val="24"/>
                <w:lang w:eastAsia="it-IT"/>
              </w:rPr>
              <w:t xml:space="preserve"> </w:t>
            </w:r>
            <w:r w:rsidRPr="00B57B36">
              <w:rPr>
                <w:rFonts w:cs="Arial"/>
                <w:b/>
                <w:bCs/>
                <w:i/>
                <w:iCs/>
                <w:color w:val="000066"/>
                <w:sz w:val="27"/>
                <w:szCs w:val="27"/>
                <w:lang w:eastAsia="it-IT"/>
              </w:rPr>
              <w:br/>
            </w:r>
          </w:p>
          <w:p w14:paraId="4B780582" w14:textId="753620B8" w:rsidR="000A03B2" w:rsidRPr="00B57B36" w:rsidRDefault="00A76EFC" w:rsidP="001D21AF">
            <w:pPr>
              <w:tabs>
                <w:tab w:val="left" w:pos="-108"/>
              </w:tabs>
              <w:ind w:left="-108"/>
              <w:rPr>
                <w:rFonts w:cs="Arial"/>
                <w:b/>
                <w:bCs/>
                <w:i/>
                <w:iCs/>
                <w:color w:val="000066"/>
                <w:sz w:val="22"/>
                <w:szCs w:val="22"/>
                <w:lang w:eastAsia="it-IT"/>
              </w:rPr>
            </w:pPr>
            <w:r w:rsidRPr="00B57B36">
              <w:rPr>
                <w:rFonts w:cs="Arial"/>
                <w:b/>
                <w:bCs/>
                <w:i/>
                <w:iCs/>
                <w:color w:val="000066"/>
                <w:sz w:val="22"/>
                <w:szCs w:val="22"/>
                <w:lang w:eastAsia="it-IT"/>
              </w:rPr>
              <w:t>VOL.</w:t>
            </w:r>
            <w:r w:rsidR="00785BF9">
              <w:rPr>
                <w:rFonts w:cs="Arial"/>
                <w:b/>
                <w:bCs/>
                <w:i/>
                <w:iCs/>
                <w:color w:val="000066"/>
                <w:sz w:val="22"/>
                <w:szCs w:val="22"/>
                <w:lang w:eastAsia="it-IT"/>
              </w:rPr>
              <w:t xml:space="preserve"> </w:t>
            </w:r>
            <w:r w:rsidR="00AD0278">
              <w:rPr>
                <w:rFonts w:cs="Arial"/>
                <w:b/>
                <w:bCs/>
                <w:i/>
                <w:iCs/>
                <w:color w:val="000066"/>
                <w:sz w:val="22"/>
                <w:szCs w:val="22"/>
                <w:lang w:eastAsia="it-IT"/>
              </w:rPr>
              <w:t>xxx</w:t>
            </w:r>
            <w:r w:rsidR="007B48F9">
              <w:rPr>
                <w:rFonts w:cs="Arial"/>
                <w:b/>
                <w:bCs/>
                <w:i/>
                <w:iCs/>
                <w:color w:val="000066"/>
                <w:sz w:val="22"/>
                <w:szCs w:val="22"/>
                <w:lang w:eastAsia="it-IT"/>
              </w:rPr>
              <w:t>,</w:t>
            </w:r>
            <w:r w:rsidR="00FA5F5F">
              <w:rPr>
                <w:rFonts w:cs="Arial"/>
                <w:b/>
                <w:bCs/>
                <w:i/>
                <w:iCs/>
                <w:color w:val="000066"/>
                <w:sz w:val="22"/>
                <w:szCs w:val="22"/>
                <w:lang w:eastAsia="it-IT"/>
              </w:rPr>
              <w:t xml:space="preserve"> </w:t>
            </w:r>
            <w:r w:rsidR="0030152C">
              <w:rPr>
                <w:rFonts w:cs="Arial"/>
                <w:b/>
                <w:bCs/>
                <w:i/>
                <w:iCs/>
                <w:color w:val="000066"/>
                <w:sz w:val="22"/>
                <w:szCs w:val="22"/>
                <w:lang w:eastAsia="it-IT"/>
              </w:rPr>
              <w:t>202</w:t>
            </w:r>
            <w:r w:rsidR="00AD0278">
              <w:rPr>
                <w:rFonts w:cs="Arial"/>
                <w:b/>
                <w:bCs/>
                <w:i/>
                <w:iCs/>
                <w:color w:val="000066"/>
                <w:sz w:val="22"/>
                <w:szCs w:val="22"/>
                <w:lang w:eastAsia="it-IT"/>
              </w:rPr>
              <w:t>6</w:t>
            </w:r>
          </w:p>
        </w:tc>
        <w:tc>
          <w:tcPr>
            <w:tcW w:w="1842" w:type="dxa"/>
            <w:tcBorders>
              <w:left w:val="single" w:sz="4" w:space="0" w:color="auto"/>
              <w:bottom w:val="nil"/>
              <w:right w:val="single" w:sz="4" w:space="0" w:color="auto"/>
            </w:tcBorders>
          </w:tcPr>
          <w:p w14:paraId="56782132" w14:textId="77777777" w:rsidR="000A03B2" w:rsidRPr="00B57B36" w:rsidRDefault="000A03B2" w:rsidP="00CD5FE2">
            <w:pPr>
              <w:spacing w:line="140" w:lineRule="atLeast"/>
              <w:jc w:val="right"/>
              <w:rPr>
                <w:rFonts w:cs="Arial"/>
                <w:sz w:val="14"/>
                <w:szCs w:val="14"/>
              </w:rPr>
            </w:pPr>
            <w:r w:rsidRPr="00B57B36">
              <w:rPr>
                <w:rFonts w:cs="Arial"/>
                <w:sz w:val="14"/>
                <w:szCs w:val="14"/>
              </w:rPr>
              <w:t>A publication of</w:t>
            </w:r>
          </w:p>
          <w:p w14:paraId="599E5441" w14:textId="77777777" w:rsidR="000A03B2" w:rsidRPr="00B57B36" w:rsidRDefault="000A03B2" w:rsidP="00CD5FE2">
            <w:pPr>
              <w:jc w:val="right"/>
            </w:pPr>
            <w:r w:rsidRPr="00B57B36">
              <w:rPr>
                <w:noProof/>
                <w:lang w:val="it-IT" w:eastAsia="it-IT"/>
              </w:rPr>
              <w:drawing>
                <wp:inline distT="0" distB="0" distL="0" distR="0" wp14:anchorId="59C75AF4" wp14:editId="4FF92432">
                  <wp:extent cx="670560" cy="358140"/>
                  <wp:effectExtent l="0" t="0" r="0" b="3810"/>
                  <wp:docPr id="6" name="Immagine 6" descr="aidiclogo_gran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aidiclogo_grand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70560" cy="358140"/>
                          </a:xfrm>
                          <a:prstGeom prst="rect">
                            <a:avLst/>
                          </a:prstGeom>
                          <a:noFill/>
                          <a:ln>
                            <a:noFill/>
                          </a:ln>
                        </pic:spPr>
                      </pic:pic>
                    </a:graphicData>
                  </a:graphic>
                </wp:inline>
              </w:drawing>
            </w:r>
          </w:p>
        </w:tc>
      </w:tr>
      <w:tr w:rsidR="000A03B2" w:rsidRPr="00B57B36" w14:paraId="380FA3CD" w14:textId="77777777" w:rsidTr="00066F13">
        <w:trPr>
          <w:trHeight w:val="567"/>
          <w:jc w:val="center"/>
        </w:trPr>
        <w:tc>
          <w:tcPr>
            <w:tcW w:w="6940" w:type="dxa"/>
            <w:vMerge/>
            <w:tcBorders>
              <w:right w:val="single" w:sz="4" w:space="0" w:color="auto"/>
            </w:tcBorders>
          </w:tcPr>
          <w:p w14:paraId="39E5E4C1" w14:textId="77777777" w:rsidR="000A03B2" w:rsidRPr="00B57B36" w:rsidRDefault="000A03B2" w:rsidP="00CD5FE2">
            <w:pPr>
              <w:tabs>
                <w:tab w:val="left" w:pos="-108"/>
              </w:tabs>
            </w:pPr>
          </w:p>
        </w:tc>
        <w:tc>
          <w:tcPr>
            <w:tcW w:w="1842" w:type="dxa"/>
            <w:tcBorders>
              <w:left w:val="single" w:sz="4" w:space="0" w:color="auto"/>
              <w:bottom w:val="nil"/>
              <w:right w:val="single" w:sz="4" w:space="0" w:color="auto"/>
            </w:tcBorders>
          </w:tcPr>
          <w:p w14:paraId="43858A98" w14:textId="77777777" w:rsidR="000A03B2" w:rsidRPr="00B57B36" w:rsidRDefault="000A03B2" w:rsidP="00CD5FE2">
            <w:pPr>
              <w:spacing w:line="140" w:lineRule="atLeast"/>
              <w:jc w:val="right"/>
              <w:rPr>
                <w:rFonts w:cs="Arial"/>
                <w:sz w:val="14"/>
                <w:szCs w:val="14"/>
              </w:rPr>
            </w:pPr>
            <w:r w:rsidRPr="00B57B36">
              <w:rPr>
                <w:rFonts w:cs="Arial"/>
                <w:sz w:val="14"/>
                <w:szCs w:val="14"/>
              </w:rPr>
              <w:t>The Italian Association</w:t>
            </w:r>
          </w:p>
          <w:p w14:paraId="7522B1D2" w14:textId="77777777" w:rsidR="000A03B2" w:rsidRPr="00B57B36" w:rsidRDefault="000A03B2" w:rsidP="00CD5FE2">
            <w:pPr>
              <w:spacing w:line="140" w:lineRule="atLeast"/>
              <w:jc w:val="right"/>
              <w:rPr>
                <w:rFonts w:cs="Arial"/>
                <w:sz w:val="14"/>
                <w:szCs w:val="14"/>
              </w:rPr>
            </w:pPr>
            <w:r w:rsidRPr="00B57B36">
              <w:rPr>
                <w:rFonts w:cs="Arial"/>
                <w:sz w:val="14"/>
                <w:szCs w:val="14"/>
              </w:rPr>
              <w:t>of Chemical Engineering</w:t>
            </w:r>
          </w:p>
          <w:p w14:paraId="4F0CC5DE" w14:textId="47FDB2FC" w:rsidR="000A03B2" w:rsidRPr="000D0268" w:rsidRDefault="000D0268" w:rsidP="00CD5FE2">
            <w:pPr>
              <w:spacing w:line="140" w:lineRule="atLeast"/>
              <w:jc w:val="right"/>
              <w:rPr>
                <w:rFonts w:cs="Arial"/>
                <w:sz w:val="13"/>
                <w:szCs w:val="13"/>
              </w:rPr>
            </w:pPr>
            <w:r w:rsidRPr="000D0268">
              <w:rPr>
                <w:rFonts w:cs="Arial"/>
                <w:sz w:val="13"/>
                <w:szCs w:val="13"/>
              </w:rPr>
              <w:t>Online at www.cetjournal.it</w:t>
            </w:r>
          </w:p>
        </w:tc>
      </w:tr>
      <w:tr w:rsidR="000A03B2" w:rsidRPr="00B57B36" w14:paraId="2D1B7169" w14:textId="77777777" w:rsidTr="00066F13">
        <w:trPr>
          <w:trHeight w:val="68"/>
          <w:jc w:val="center"/>
        </w:trPr>
        <w:tc>
          <w:tcPr>
            <w:tcW w:w="8782" w:type="dxa"/>
            <w:gridSpan w:val="2"/>
          </w:tcPr>
          <w:p w14:paraId="1D8DD3C9" w14:textId="174205F6" w:rsidR="00AA7D26" w:rsidRPr="00CB2614" w:rsidRDefault="004A5E57" w:rsidP="00CB2614">
            <w:pPr>
              <w:ind w:left="-107"/>
              <w:outlineLvl w:val="2"/>
              <w:rPr>
                <w:rFonts w:ascii="Tahoma" w:hAnsi="Tahoma" w:cs="Tahoma"/>
                <w:color w:val="000000"/>
                <w:sz w:val="14"/>
                <w:szCs w:val="14"/>
                <w:shd w:val="clear" w:color="auto" w:fill="FFFFFF"/>
                <w:lang w:val="it-IT"/>
              </w:rPr>
            </w:pPr>
            <w:r w:rsidRPr="00CB2614">
              <w:rPr>
                <w:rFonts w:ascii="Tahoma" w:hAnsi="Tahoma" w:cs="Tahoma"/>
                <w:iCs/>
                <w:color w:val="333333"/>
                <w:sz w:val="14"/>
                <w:szCs w:val="14"/>
                <w:lang w:val="it-IT" w:eastAsia="it-IT"/>
              </w:rPr>
              <w:t>Guest Editors:</w:t>
            </w:r>
            <w:r w:rsidRPr="00CB2614">
              <w:rPr>
                <w:rFonts w:ascii="Tahoma" w:hAnsi="Tahoma" w:cs="Tahoma"/>
                <w:color w:val="000000"/>
                <w:sz w:val="14"/>
                <w:szCs w:val="14"/>
                <w:shd w:val="clear" w:color="auto" w:fill="FFFFFF"/>
                <w:lang w:val="it-IT"/>
              </w:rPr>
              <w:t xml:space="preserve"> </w:t>
            </w:r>
            <w:r w:rsidR="00CB2614" w:rsidRPr="00CB2614">
              <w:rPr>
                <w:rFonts w:ascii="Tahoma" w:hAnsi="Tahoma" w:cs="Tahoma"/>
                <w:color w:val="000000"/>
                <w:sz w:val="14"/>
                <w:szCs w:val="14"/>
                <w:shd w:val="clear" w:color="auto" w:fill="FFFFFF"/>
                <w:lang w:val="it-IT"/>
              </w:rPr>
              <w:t>Flavio Manenti, Botir Usmonov, Alessandro Di Pretoro</w:t>
            </w:r>
          </w:p>
          <w:p w14:paraId="1B0F1814" w14:textId="710B7B96" w:rsidR="000A03B2" w:rsidRPr="00B57B36" w:rsidRDefault="00AA7D26" w:rsidP="00AA7D26">
            <w:pPr>
              <w:tabs>
                <w:tab w:val="left" w:pos="-108"/>
              </w:tabs>
              <w:spacing w:line="140" w:lineRule="atLeast"/>
              <w:ind w:left="-107"/>
              <w:jc w:val="left"/>
            </w:pPr>
            <w:r>
              <w:rPr>
                <w:rFonts w:ascii="Tahoma" w:hAnsi="Tahoma" w:cs="Tahoma"/>
                <w:iCs/>
                <w:color w:val="333333"/>
                <w:sz w:val="14"/>
                <w:szCs w:val="14"/>
                <w:lang w:eastAsia="it-IT"/>
              </w:rPr>
              <w:t>Copyright © 202</w:t>
            </w:r>
            <w:r w:rsidR="00005884">
              <w:rPr>
                <w:rFonts w:ascii="Tahoma" w:hAnsi="Tahoma" w:cs="Tahoma"/>
                <w:iCs/>
                <w:color w:val="333333"/>
                <w:sz w:val="14"/>
                <w:szCs w:val="14"/>
                <w:lang w:eastAsia="it-IT"/>
              </w:rPr>
              <w:t>6</w:t>
            </w:r>
            <w:r w:rsidRPr="00B57B36">
              <w:rPr>
                <w:rFonts w:ascii="Tahoma" w:hAnsi="Tahoma" w:cs="Tahoma"/>
                <w:iCs/>
                <w:color w:val="333333"/>
                <w:sz w:val="14"/>
                <w:szCs w:val="14"/>
                <w:lang w:eastAsia="it-IT"/>
              </w:rPr>
              <w:t>, AIDIC Servizi S.r.l.</w:t>
            </w:r>
            <w:r w:rsidRPr="00B57B36">
              <w:rPr>
                <w:rFonts w:ascii="Tahoma" w:hAnsi="Tahoma" w:cs="Tahoma"/>
                <w:iCs/>
                <w:color w:val="333333"/>
                <w:sz w:val="14"/>
                <w:szCs w:val="14"/>
                <w:lang w:eastAsia="it-IT"/>
              </w:rPr>
              <w:br/>
            </w:r>
            <w:r w:rsidRPr="00B57B36">
              <w:rPr>
                <w:rFonts w:ascii="Tahoma" w:hAnsi="Tahoma" w:cs="Tahoma"/>
                <w:b/>
                <w:iCs/>
                <w:color w:val="000000"/>
                <w:sz w:val="14"/>
                <w:szCs w:val="14"/>
                <w:lang w:eastAsia="it-IT"/>
              </w:rPr>
              <w:t>ISBN</w:t>
            </w:r>
            <w:r w:rsidRPr="00B57B36">
              <w:rPr>
                <w:rFonts w:ascii="Tahoma" w:hAnsi="Tahoma" w:cs="Tahoma"/>
                <w:iCs/>
                <w:color w:val="000000"/>
                <w:sz w:val="14"/>
                <w:szCs w:val="14"/>
                <w:lang w:eastAsia="it-IT"/>
              </w:rPr>
              <w:t xml:space="preserve"> </w:t>
            </w:r>
            <w:r w:rsidR="00D2582C" w:rsidRPr="000562A9">
              <w:rPr>
                <w:rFonts w:ascii="Tahoma" w:hAnsi="Tahoma" w:cs="Tahoma"/>
                <w:sz w:val="14"/>
                <w:szCs w:val="14"/>
              </w:rPr>
              <w:t>97</w:t>
            </w:r>
            <w:r w:rsidR="00D2582C">
              <w:rPr>
                <w:rFonts w:ascii="Tahoma" w:hAnsi="Tahoma" w:cs="Tahoma"/>
                <w:sz w:val="14"/>
                <w:szCs w:val="14"/>
              </w:rPr>
              <w:t>9</w:t>
            </w:r>
            <w:r w:rsidR="00D2582C" w:rsidRPr="000562A9">
              <w:rPr>
                <w:rFonts w:ascii="Tahoma" w:hAnsi="Tahoma" w:cs="Tahoma"/>
                <w:sz w:val="14"/>
                <w:szCs w:val="14"/>
              </w:rPr>
              <w:t>-</w:t>
            </w:r>
            <w:r w:rsidR="00D2582C">
              <w:rPr>
                <w:rFonts w:ascii="Tahoma" w:hAnsi="Tahoma" w:cs="Tahoma"/>
                <w:sz w:val="14"/>
                <w:szCs w:val="14"/>
              </w:rPr>
              <w:t>12</w:t>
            </w:r>
            <w:r w:rsidR="00D2582C" w:rsidRPr="000562A9">
              <w:rPr>
                <w:rFonts w:ascii="Tahoma" w:hAnsi="Tahoma" w:cs="Tahoma"/>
                <w:sz w:val="14"/>
                <w:szCs w:val="14"/>
              </w:rPr>
              <w:t>-</w:t>
            </w:r>
            <w:r w:rsidR="00D2582C">
              <w:rPr>
                <w:rFonts w:ascii="Tahoma" w:hAnsi="Tahoma" w:cs="Tahoma"/>
                <w:sz w:val="14"/>
                <w:szCs w:val="14"/>
              </w:rPr>
              <w:t>81206-</w:t>
            </w:r>
            <w:r w:rsidR="00005884">
              <w:rPr>
                <w:rFonts w:ascii="Tahoma" w:hAnsi="Tahoma" w:cs="Tahoma"/>
                <w:sz w:val="14"/>
                <w:szCs w:val="14"/>
              </w:rPr>
              <w:t>xx</w:t>
            </w:r>
            <w:r w:rsidR="009041F8">
              <w:rPr>
                <w:rFonts w:ascii="Tahoma" w:hAnsi="Tahoma" w:cs="Tahoma"/>
                <w:sz w:val="14"/>
                <w:szCs w:val="14"/>
              </w:rPr>
              <w:t>-</w:t>
            </w:r>
            <w:r w:rsidR="00005884">
              <w:rPr>
                <w:rFonts w:ascii="Tahoma" w:hAnsi="Tahoma" w:cs="Tahoma"/>
                <w:sz w:val="14"/>
                <w:szCs w:val="14"/>
              </w:rPr>
              <w:t>x</w:t>
            </w:r>
            <w:r w:rsidRPr="00EF06D9">
              <w:rPr>
                <w:rFonts w:ascii="Tahoma" w:hAnsi="Tahoma" w:cs="Tahoma"/>
                <w:iCs/>
                <w:color w:val="333333"/>
                <w:sz w:val="14"/>
                <w:szCs w:val="14"/>
                <w:lang w:eastAsia="it-IT"/>
              </w:rPr>
              <w:t>;</w:t>
            </w:r>
            <w:r w:rsidRPr="00B57B36">
              <w:rPr>
                <w:rFonts w:ascii="Tahoma" w:hAnsi="Tahoma" w:cs="Tahoma"/>
                <w:iCs/>
                <w:color w:val="333333"/>
                <w:sz w:val="14"/>
                <w:szCs w:val="14"/>
                <w:lang w:eastAsia="it-IT"/>
              </w:rPr>
              <w:t xml:space="preserve"> </w:t>
            </w:r>
            <w:r w:rsidRPr="00B57B36">
              <w:rPr>
                <w:rFonts w:ascii="Tahoma" w:hAnsi="Tahoma" w:cs="Tahoma"/>
                <w:b/>
                <w:iCs/>
                <w:color w:val="333333"/>
                <w:sz w:val="14"/>
                <w:szCs w:val="14"/>
                <w:lang w:eastAsia="it-IT"/>
              </w:rPr>
              <w:t>ISSN</w:t>
            </w:r>
            <w:r w:rsidRPr="00B57B36">
              <w:rPr>
                <w:rFonts w:ascii="Tahoma" w:hAnsi="Tahoma" w:cs="Tahoma"/>
                <w:iCs/>
                <w:color w:val="333333"/>
                <w:sz w:val="14"/>
                <w:szCs w:val="14"/>
                <w:lang w:eastAsia="it-IT"/>
              </w:rPr>
              <w:t xml:space="preserve"> 2283-9216</w:t>
            </w:r>
          </w:p>
        </w:tc>
      </w:tr>
    </w:tbl>
    <w:bookmarkEnd w:id="0"/>
    <w:p w14:paraId="11A38A61" w14:textId="77777777" w:rsidR="00066F13" w:rsidRDefault="00066F13" w:rsidP="00C5020B">
      <w:pPr>
        <w:pStyle w:val="CETTitle"/>
      </w:pPr>
      <w:r>
        <w:t>Upgrading Discoloured Low-Molecular-Weight Polyethylene to Wax-Grade Feedstock via Natural Bentonite Treatment: A Physicochemical and FTIR Study</w:t>
      </w:r>
    </w:p>
    <w:p w14:paraId="3E0F7809" w14:textId="17F42F7E" w:rsidR="00096E15" w:rsidRDefault="00096E15" w:rsidP="00096E15">
      <w:pPr>
        <w:pStyle w:val="CETAuthors"/>
      </w:pPr>
      <w:r>
        <w:t>A</w:t>
      </w:r>
      <w:r>
        <w:t xml:space="preserve">dham </w:t>
      </w:r>
      <w:r>
        <w:t>E. Norkobilov</w:t>
      </w:r>
      <w:r>
        <w:rPr>
          <w:vertAlign w:val="superscript"/>
        </w:rPr>
        <w:t>*</w:t>
      </w:r>
      <w:r>
        <w:t>,</w:t>
      </w:r>
      <w:r w:rsidRPr="00096E15">
        <w:t xml:space="preserve"> </w:t>
      </w:r>
      <w:r>
        <w:t>R</w:t>
      </w:r>
      <w:r>
        <w:t>avshan</w:t>
      </w:r>
      <w:r>
        <w:t xml:space="preserve"> I. Adilov, B</w:t>
      </w:r>
      <w:r>
        <w:t>obur</w:t>
      </w:r>
      <w:r>
        <w:t xml:space="preserve"> B. Aykhodjayev, S</w:t>
      </w:r>
      <w:r>
        <w:t>aparbay</w:t>
      </w:r>
      <w:r>
        <w:t xml:space="preserve"> B. Yuldoshev,</w:t>
      </w:r>
      <w:r>
        <w:t xml:space="preserve"> </w:t>
      </w:r>
      <w:r w:rsidRPr="00096E15">
        <w:t>Shahrukh</w:t>
      </w:r>
      <w:r>
        <w:t xml:space="preserve"> </w:t>
      </w:r>
      <w:r>
        <w:t xml:space="preserve">B. Khonkulov, </w:t>
      </w:r>
      <w:r w:rsidRPr="00096E15">
        <w:t>Khurshid</w:t>
      </w:r>
      <w:r w:rsidRPr="00AA1EC9">
        <w:t xml:space="preserve"> </w:t>
      </w:r>
      <w:r>
        <w:t xml:space="preserve"> </w:t>
      </w:r>
      <w:r w:rsidRPr="00AA1EC9">
        <w:t>A. Muzafarova</w:t>
      </w:r>
      <w:r>
        <w:t xml:space="preserve">, </w:t>
      </w:r>
      <w:r w:rsidRPr="00096E15">
        <w:t>Saidumarkhan</w:t>
      </w:r>
      <w:r w:rsidRPr="00096E15">
        <w:t xml:space="preserve"> </w:t>
      </w:r>
      <w:r>
        <w:t>S. S</w:t>
      </w:r>
      <w:r w:rsidRPr="00AA1EC9">
        <w:t>aidakhmadov</w:t>
      </w:r>
    </w:p>
    <w:p w14:paraId="3F1C110A" w14:textId="77777777" w:rsidR="00096E15" w:rsidRDefault="00096E15" w:rsidP="00096E15">
      <w:pPr>
        <w:pStyle w:val="CETAddress"/>
      </w:pPr>
      <w:r>
        <w:t>Tashkent Institute of Chemical Technology, 32 Navoiy street, 100011 Tashkent, Uzbekistan</w:t>
      </w:r>
    </w:p>
    <w:p w14:paraId="6B2D21B3" w14:textId="32C68294" w:rsidR="00B57E6F" w:rsidRDefault="00096E15" w:rsidP="00D15B3F">
      <w:pPr>
        <w:pStyle w:val="CETemail"/>
      </w:pPr>
      <w:hyperlink r:id="rId10" w:history="1">
        <w:r w:rsidRPr="00D15B3F">
          <w:t>adilov_ravshan@mail.ru</w:t>
        </w:r>
      </w:hyperlink>
      <w:r w:rsidR="00B57E6F" w:rsidRPr="00B57B36">
        <w:t xml:space="preserve"> </w:t>
      </w:r>
    </w:p>
    <w:p w14:paraId="078B4FE3" w14:textId="209E2049" w:rsidR="00096E15" w:rsidRDefault="00096E15" w:rsidP="00F9628E">
      <w:pPr>
        <w:pStyle w:val="CETBodytext"/>
        <w:spacing w:after="240"/>
      </w:pPr>
      <w:r>
        <w:t xml:space="preserve">Polyethylene polymerisation lines generate a side stream of low-molecular-weight polyethylene (LMW-PE) whose grey-yellow tint depresses its commercial worth as a wax precursor. Here, natural PBG-type bentonite mined in the Navoi region of Uzbekistan was tested as an inexpensive bleaching aid for off-colour LMW-PE (initial Whiteness Index </w:t>
      </w:r>
      <w:r w:rsidR="004109C4">
        <w:t>(</w:t>
      </w:r>
      <w:r>
        <w:t>WI</w:t>
      </w:r>
      <w:r>
        <w:rPr>
          <w:rFonts w:ascii="Cambria Math" w:hAnsi="Cambria Math" w:cs="Cambria Math"/>
        </w:rPr>
        <w:t>₀</w:t>
      </w:r>
      <w:r w:rsidR="004109C4">
        <w:rPr>
          <w:rFonts w:ascii="Cambria Math" w:hAnsi="Cambria Math" w:cs="Cambria Math"/>
        </w:rPr>
        <w:t>)</w:t>
      </w:r>
      <w:r>
        <w:t xml:space="preserve"> = </w:t>
      </w:r>
      <w:r>
        <w:rPr>
          <w:rFonts w:cs="Arial"/>
        </w:rPr>
        <w:t>−</w:t>
      </w:r>
      <w:r>
        <w:t xml:space="preserve">24 </w:t>
      </w:r>
      <w:r>
        <w:rPr>
          <w:rFonts w:cs="Arial"/>
        </w:rPr>
        <w:t>±</w:t>
      </w:r>
      <w:r>
        <w:t xml:space="preserve"> 1.5, ASTM E313). A single-variable screening was performed across 130</w:t>
      </w:r>
      <w:r>
        <w:rPr>
          <w:rFonts w:cs="Arial"/>
        </w:rPr>
        <w:t>–</w:t>
      </w:r>
      <w:r>
        <w:t xml:space="preserve">170 </w:t>
      </w:r>
      <w:r>
        <w:rPr>
          <w:rFonts w:cs="Arial"/>
        </w:rPr>
        <w:t>°</w:t>
      </w:r>
      <w:r>
        <w:t>C, 0</w:t>
      </w:r>
      <w:r>
        <w:rPr>
          <w:rFonts w:cs="Arial"/>
        </w:rPr>
        <w:t>–</w:t>
      </w:r>
      <w:r>
        <w:t>60 min residence time and 0</w:t>
      </w:r>
      <w:r>
        <w:rPr>
          <w:rFonts w:cs="Arial"/>
        </w:rPr>
        <w:t>–</w:t>
      </w:r>
      <w:r>
        <w:t xml:space="preserve">30 wt% adsorbent dose. Optimum conditions of 150 </w:t>
      </w:r>
      <w:r>
        <w:rPr>
          <w:rFonts w:cs="Arial"/>
        </w:rPr>
        <w:t>°</w:t>
      </w:r>
      <w:r>
        <w:t xml:space="preserve">C, 30 min and 20 wt% loading delivered WI = 70 ± 1.9 with a yield of 94.3 ± 0.5 %. </w:t>
      </w:r>
      <w:r w:rsidR="004109C4">
        <w:rPr>
          <w:rFonts w:ascii="Calibri" w:eastAsia="Calibri" w:hAnsi="Calibri" w:cs="Calibri"/>
          <w:sz w:val="20"/>
        </w:rPr>
        <w:t>A</w:t>
      </w:r>
      <w:r w:rsidR="004109C4" w:rsidRPr="00C0732E">
        <w:rPr>
          <w:rFonts w:ascii="Calibri" w:eastAsia="Calibri" w:hAnsi="Calibri" w:cs="Calibri"/>
          <w:sz w:val="20"/>
        </w:rPr>
        <w:t>ttenuated total reflectance Fourier-transform infrared</w:t>
      </w:r>
      <w:r w:rsidR="004109C4">
        <w:t xml:space="preserve"> (</w:t>
      </w:r>
      <w:r>
        <w:t>ATR-FTIR</w:t>
      </w:r>
      <w:r w:rsidR="004109C4">
        <w:t>)</w:t>
      </w:r>
      <w:r>
        <w:t xml:space="preserve"> spectra of the discoloured feed exhibited three diagnostic chromophore windows at 1660–1650 cm</w:t>
      </w:r>
      <w:r>
        <w:rPr>
          <w:rFonts w:ascii="Cambria Math" w:hAnsi="Cambria Math" w:cs="Cambria Math"/>
        </w:rPr>
        <w:t>⁻</w:t>
      </w:r>
      <w:r>
        <w:rPr>
          <w:rFonts w:cs="Arial"/>
        </w:rPr>
        <w:t>¹</w:t>
      </w:r>
      <w:r>
        <w:t xml:space="preserve"> (conjugated </w:t>
      </w:r>
      <w:r>
        <w:rPr>
          <w:rFonts w:cs="Arial"/>
        </w:rPr>
        <w:t>π</w:t>
      </w:r>
      <w:r>
        <w:t>-bonds), 1050</w:t>
      </w:r>
      <w:r>
        <w:rPr>
          <w:rFonts w:cs="Arial"/>
        </w:rPr>
        <w:t>–</w:t>
      </w:r>
      <w:r>
        <w:t>1040 cm</w:t>
      </w:r>
      <w:r>
        <w:rPr>
          <w:rFonts w:ascii="Cambria Math" w:hAnsi="Cambria Math" w:cs="Cambria Math"/>
        </w:rPr>
        <w:t>⁻</w:t>
      </w:r>
      <w:r>
        <w:rPr>
          <w:rFonts w:cs="Arial"/>
        </w:rPr>
        <w:t>¹</w:t>
      </w:r>
      <w:r>
        <w:t xml:space="preserve"> (ether and peroxy-ether C-O) and 3390</w:t>
      </w:r>
      <w:r>
        <w:rPr>
          <w:rFonts w:cs="Arial"/>
        </w:rPr>
        <w:t>–</w:t>
      </w:r>
      <w:r>
        <w:t>3360 cm</w:t>
      </w:r>
      <w:r>
        <w:rPr>
          <w:rFonts w:ascii="Cambria Math" w:hAnsi="Cambria Math" w:cs="Cambria Math"/>
        </w:rPr>
        <w:t>⁻</w:t>
      </w:r>
      <w:r>
        <w:rPr>
          <w:rFonts w:cs="Arial"/>
        </w:rPr>
        <w:t>¹</w:t>
      </w:r>
      <w:r>
        <w:t xml:space="preserve"> (hydrogen-bonded O-H). After bleaching all three bands collapsed to the baseline, whereas the CH</w:t>
      </w:r>
      <w:r>
        <w:rPr>
          <w:rFonts w:ascii="Cambria Math" w:hAnsi="Cambria Math" w:cs="Cambria Math"/>
        </w:rPr>
        <w:t>₂</w:t>
      </w:r>
      <w:r>
        <w:t xml:space="preserve"> skeletal modes at 2916, 2848, 1465 and 720 cm</w:t>
      </w:r>
      <w:r>
        <w:rPr>
          <w:rFonts w:ascii="Cambria Math" w:hAnsi="Cambria Math" w:cs="Cambria Math"/>
        </w:rPr>
        <w:t>⁻</w:t>
      </w:r>
      <w:r>
        <w:rPr>
          <w:rFonts w:cs="Arial"/>
        </w:rPr>
        <w:t>¹</w:t>
      </w:r>
      <w:r>
        <w:t xml:space="preserve"> remained unchanged, indicating that the colour originates from trace polar oxidised fragments and that PBG bentonite captures them selectively without disturbing the polymer chain.</w:t>
      </w:r>
    </w:p>
    <w:p w14:paraId="06847DE7" w14:textId="77777777" w:rsidR="00096E15" w:rsidRDefault="00096E15" w:rsidP="00F9628E">
      <w:pPr>
        <w:pStyle w:val="CETHeading1"/>
        <w:spacing w:before="0" w:after="240"/>
      </w:pPr>
      <w:r>
        <w:t>Introduction</w:t>
      </w:r>
    </w:p>
    <w:p w14:paraId="23DEB081" w14:textId="77777777" w:rsidR="00096E15" w:rsidRDefault="00096E15" w:rsidP="00096E15">
      <w:pPr>
        <w:pStyle w:val="CETBodytext"/>
      </w:pPr>
      <w:r>
        <w:t>Polyethylene ranks among the most heavily produced thermoplastics, with worldwide output exceeding 100 Mt per year (PlasticsEurope, 2023). Industrial polymerisation reactors release a low-value side stream — low-molecular-weight polyethylene (LMW-PE) — consisting of short, saturated hydrocarbon chains characterised by low melting points, good flowability and chemical inertness. Owing to these features, LMW-PE finds use in wax compositions, surface coatings, polishes, rubber modifiers and hot-melt adhesives (Peacock, 2000; Xie et al., 2022). However, industrial batches frequently take on a grey or yellow-brown hue caused by thermo-oxidative side reactions, residual catalyst traces and monomer interactions (Gugumus, 1996; Duvall and Edwards, 1988). Because LMW-PE is not the principal product, visual quality control is usually relaxed and discoloured batches with a negative Whiteness Index lose a sizeable share of their commercial value.</w:t>
      </w:r>
    </w:p>
    <w:p w14:paraId="3126176F" w14:textId="68A1A72A" w:rsidR="00096E15" w:rsidRDefault="00096E15" w:rsidP="00096E15">
      <w:pPr>
        <w:pStyle w:val="CETBodytext"/>
      </w:pPr>
      <w:r>
        <w:t xml:space="preserve">In the polyethylene wax market, appearance and WI are decisive quality indicators (Xie et al., 2022; Smith, 2021). Conventional remediation pathways — solvent extraction, activated-carbon filtration and peroxide bleaching — are penalised by elevated reagent demand, secondary effluent streams and partial degradation of the polymer matrix (Saleem et al., 2019). </w:t>
      </w:r>
      <w:r w:rsidR="004109C4" w:rsidRPr="004109C4">
        <w:t>Recent studies in the field</w:t>
      </w:r>
      <w:r w:rsidR="004109C4">
        <w:t xml:space="preserve"> </w:t>
      </w:r>
      <w:r>
        <w:t xml:space="preserve">have highlighted the broader trend of valorising mineral- and ceramic-derived sorbents for pollutant capture: structured zeolitic permeable reactive barriers obtained by direct-ink writing have been benchmarked for heavy-metal removal (Bautista-Patacsil et al., 2024), while geopolymer-based composites have been advanced as a tunable platform for both gas-phase capture and aqueous nutrient recovery (Cossio Guzman et al., 2025). Within this wider context, smectite-group bentonites in their natural form are gaining renewed attention as a cleaner adsorbent for polar organic species (Bergaya and Lagaly, 2013; Hussin et al., 2011). Bleaching of beeswax (Bonvehi and Orantes-Bermejo, 2017), </w:t>
      </w:r>
      <w:r>
        <w:lastRenderedPageBreak/>
        <w:t>jojoba wax (Tobares et al., 2003) and various vegetable oils with bentonite is well documented, yet the application of locally sourced bentonites to synthetic LMW-PE has so far received only limited attention (Norkobilov et al., 2025).</w:t>
      </w:r>
    </w:p>
    <w:p w14:paraId="1D5DDD9C" w14:textId="77777777" w:rsidR="00096E15" w:rsidRDefault="00096E15" w:rsidP="00096E15">
      <w:pPr>
        <w:pStyle w:val="CETBodytext"/>
      </w:pPr>
      <w:r>
        <w:t>The objective of the present study is therefore threefold: (i) to quantify the capacity of PBG-grade bentonite, mined in the Navoi region of Uzbekistan, to upgrade grey LMW-PE (WI = −24) to wax-grade whiteness; (ii) to identify the responsible chromophore functional groups by ATR-FTIR spectroscopy; and (iii) to confirm that the bleaching step does not perturb the polyethylene backbone.</w:t>
      </w:r>
    </w:p>
    <w:p w14:paraId="350B6CCF" w14:textId="77777777" w:rsidR="00096E15" w:rsidRDefault="00096E15" w:rsidP="00096E15">
      <w:pPr>
        <w:pStyle w:val="CETHeading1"/>
      </w:pPr>
      <w:r>
        <w:t>Materials and methods</w:t>
      </w:r>
    </w:p>
    <w:p w14:paraId="125A1173" w14:textId="77777777" w:rsidR="00096E15" w:rsidRDefault="00096E15" w:rsidP="00096E15">
      <w:pPr>
        <w:pStyle w:val="CETheadingx"/>
      </w:pPr>
      <w:r>
        <w:t>Raw material and adsorbent</w:t>
      </w:r>
    </w:p>
    <w:p w14:paraId="245C30DC" w14:textId="54A334F7" w:rsidR="00096E15" w:rsidRPr="00034F4C" w:rsidRDefault="00096E15" w:rsidP="00096E15">
      <w:pPr>
        <w:pStyle w:val="CETBodytext"/>
        <w:rPr>
          <w:b/>
          <w:bCs/>
        </w:rPr>
      </w:pPr>
      <w:r>
        <w:t>Grey LMW-PE (WI</w:t>
      </w:r>
      <w:r>
        <w:rPr>
          <w:rFonts w:ascii="Cambria Math" w:hAnsi="Cambria Math" w:cs="Cambria Math"/>
        </w:rPr>
        <w:t>₀</w:t>
      </w:r>
      <w:r>
        <w:t xml:space="preserve"> = </w:t>
      </w:r>
      <w:r>
        <w:rPr>
          <w:rFonts w:cs="Arial"/>
        </w:rPr>
        <w:t>−</w:t>
      </w:r>
      <w:r>
        <w:t xml:space="preserve">24 </w:t>
      </w:r>
      <w:r>
        <w:rPr>
          <w:rFonts w:cs="Arial"/>
        </w:rPr>
        <w:t>±</w:t>
      </w:r>
      <w:r>
        <w:t xml:space="preserve"> 1.5, ASTM E313) was sampled as a side product from a major Uzbek polyethylene plant; a white batch from the same production line (WI </w:t>
      </w:r>
      <w:r>
        <w:rPr>
          <w:rFonts w:cs="Arial"/>
        </w:rPr>
        <w:t>≈</w:t>
      </w:r>
      <w:r>
        <w:t xml:space="preserve"> 80) served as the reference. The feedstock had a penetration of 10 </w:t>
      </w:r>
      <w:r>
        <w:rPr>
          <w:rFonts w:cs="Arial"/>
        </w:rPr>
        <w:t>±</w:t>
      </w:r>
      <w:r>
        <w:t xml:space="preserve"> 0.3 (1/10 mm, ASTM D1321), a drop point of 116 </w:t>
      </w:r>
      <w:r>
        <w:rPr>
          <w:rFonts w:cs="Arial"/>
        </w:rPr>
        <w:t>±</w:t>
      </w:r>
      <w:r>
        <w:t xml:space="preserve"> 0.9 </w:t>
      </w:r>
      <w:r>
        <w:rPr>
          <w:rFonts w:cs="Arial"/>
        </w:rPr>
        <w:t>°</w:t>
      </w:r>
      <w:r>
        <w:t xml:space="preserve">C (ASTM D3954) and a melting temperature of 99 </w:t>
      </w:r>
      <w:r>
        <w:rPr>
          <w:rFonts w:cs="Arial"/>
        </w:rPr>
        <w:t>±</w:t>
      </w:r>
      <w:r>
        <w:t xml:space="preserve"> 0.5 </w:t>
      </w:r>
      <w:r>
        <w:rPr>
          <w:rFonts w:cs="Arial"/>
        </w:rPr>
        <w:t>°</w:t>
      </w:r>
      <w:r>
        <w:t>C (ASTM D3418). PBG-grade bentonite delivered by Navoi Bentonet was used as received, without any chemical activation; its mineralogical</w:t>
      </w:r>
      <w:r w:rsidR="004109C4">
        <w:t xml:space="preserve"> </w:t>
      </w:r>
      <w:r w:rsidR="004109C4">
        <w:rPr>
          <w:rFonts w:ascii="Calibri" w:eastAsia="Calibri" w:hAnsi="Calibri" w:cs="Calibri"/>
          <w:sz w:val="20"/>
        </w:rPr>
        <w:t>X-ray diffraction</w:t>
      </w:r>
      <w:r w:rsidR="00034F4C">
        <w:rPr>
          <w:rFonts w:ascii="Calibri" w:eastAsia="Calibri" w:hAnsi="Calibri" w:cs="Calibri"/>
          <w:sz w:val="20"/>
        </w:rPr>
        <w:t xml:space="preserve"> </w:t>
      </w:r>
      <w:r>
        <w:t>(XRD), textural (</w:t>
      </w:r>
      <w:r w:rsidR="00034F4C" w:rsidRPr="00034F4C">
        <w:t>Brunauer–Emmett–Teller theory</w:t>
      </w:r>
      <w:r w:rsidR="00034F4C">
        <w:rPr>
          <w:b/>
          <w:bCs/>
        </w:rPr>
        <w:t xml:space="preserve"> (</w:t>
      </w:r>
      <w:r>
        <w:t>BET</w:t>
      </w:r>
      <w:r w:rsidR="00034F4C">
        <w:t>)</w:t>
      </w:r>
      <w:r>
        <w:t xml:space="preserve">, benzene vapour adsorption) and </w:t>
      </w:r>
      <w:r w:rsidR="00034F4C">
        <w:rPr>
          <w:rFonts w:ascii="Calibri" w:eastAsia="Calibri" w:hAnsi="Calibri" w:cs="Calibri"/>
          <w:sz w:val="20"/>
        </w:rPr>
        <w:t>thermogravimetric analysis</w:t>
      </w:r>
      <w:r w:rsidR="00034F4C">
        <w:rPr>
          <w:rFonts w:ascii="Calibri" w:eastAsia="Calibri" w:hAnsi="Calibri" w:cs="Calibri"/>
          <w:sz w:val="20"/>
        </w:rPr>
        <w:t xml:space="preserve">, </w:t>
      </w:r>
      <w:r w:rsidR="00034F4C">
        <w:rPr>
          <w:rFonts w:ascii="Calibri" w:eastAsia="Calibri" w:hAnsi="Calibri" w:cs="Calibri"/>
          <w:sz w:val="20"/>
        </w:rPr>
        <w:t>differential scanning calorimetry</w:t>
      </w:r>
      <w:r w:rsidR="00034F4C">
        <w:t xml:space="preserve"> </w:t>
      </w:r>
      <w:r>
        <w:t>(TGA</w:t>
      </w:r>
      <w:r w:rsidR="00034F4C">
        <w:t xml:space="preserve">, </w:t>
      </w:r>
      <w:r>
        <w:t>DSC) characteristics are summarised in Table 1 (Norkobilov et al., 2025).</w:t>
      </w:r>
    </w:p>
    <w:p w14:paraId="7FCB37B8" w14:textId="77777777" w:rsidR="00096E15" w:rsidRDefault="00096E15" w:rsidP="00096E15">
      <w:pPr>
        <w:pStyle w:val="CETTabletitle"/>
      </w:pPr>
      <w:r>
        <w:t>Table 1: PBG bentonite — properties relevant to bleaching of grey LMW-PE.</w:t>
      </w:r>
    </w:p>
    <w:tbl>
      <w:tblPr>
        <w:tblW w:w="9072" w:type="dxa"/>
        <w:tblBorders>
          <w:top w:val="single" w:sz="6" w:space="0" w:color="339933"/>
          <w:left w:val="nil"/>
          <w:bottom w:val="single" w:sz="6" w:space="0" w:color="339933"/>
          <w:right w:val="nil"/>
          <w:insideH w:val="nil"/>
          <w:insideV w:val="nil"/>
        </w:tblBorders>
        <w:tblLayout w:type="fixed"/>
        <w:tblLook w:val="04A0" w:firstRow="1" w:lastRow="0" w:firstColumn="1" w:lastColumn="0" w:noHBand="0" w:noVBand="1"/>
      </w:tblPr>
      <w:tblGrid>
        <w:gridCol w:w="1928"/>
        <w:gridCol w:w="3742"/>
        <w:gridCol w:w="3402"/>
      </w:tblGrid>
      <w:tr w:rsidR="00096E15" w14:paraId="2669B874" w14:textId="77777777" w:rsidTr="00BD6389">
        <w:tc>
          <w:tcPr>
            <w:tcW w:w="1928" w:type="dxa"/>
          </w:tcPr>
          <w:p w14:paraId="322578D8" w14:textId="77777777" w:rsidR="00096E15" w:rsidRPr="00CE1EAF" w:rsidRDefault="00096E15" w:rsidP="00BD6389">
            <w:pPr>
              <w:pStyle w:val="CETBodytext"/>
              <w:rPr>
                <w:sz w:val="14"/>
                <w:szCs w:val="14"/>
              </w:rPr>
            </w:pPr>
            <w:r w:rsidRPr="00CE1EAF">
              <w:rPr>
                <w:sz w:val="14"/>
                <w:szCs w:val="14"/>
              </w:rPr>
              <w:t>Property</w:t>
            </w:r>
          </w:p>
        </w:tc>
        <w:tc>
          <w:tcPr>
            <w:tcW w:w="3742" w:type="dxa"/>
          </w:tcPr>
          <w:p w14:paraId="6299B8A1" w14:textId="77777777" w:rsidR="00096E15" w:rsidRPr="00CE1EAF" w:rsidRDefault="00096E15" w:rsidP="00BD6389">
            <w:pPr>
              <w:pStyle w:val="CETBodytext"/>
              <w:rPr>
                <w:sz w:val="14"/>
                <w:szCs w:val="14"/>
              </w:rPr>
            </w:pPr>
            <w:r w:rsidRPr="00CE1EAF">
              <w:rPr>
                <w:sz w:val="14"/>
                <w:szCs w:val="14"/>
              </w:rPr>
              <w:t>Value / feature</w:t>
            </w:r>
          </w:p>
        </w:tc>
        <w:tc>
          <w:tcPr>
            <w:tcW w:w="3402" w:type="dxa"/>
          </w:tcPr>
          <w:p w14:paraId="3E4CE13D" w14:textId="77777777" w:rsidR="00096E15" w:rsidRPr="00CE1EAF" w:rsidRDefault="00096E15" w:rsidP="00BD6389">
            <w:pPr>
              <w:pStyle w:val="CETBodytext"/>
              <w:rPr>
                <w:sz w:val="14"/>
                <w:szCs w:val="14"/>
              </w:rPr>
            </w:pPr>
            <w:r w:rsidRPr="00CE1EAF">
              <w:rPr>
                <w:sz w:val="14"/>
                <w:szCs w:val="14"/>
              </w:rPr>
              <w:t>Role in bleaching</w:t>
            </w:r>
          </w:p>
        </w:tc>
      </w:tr>
      <w:tr w:rsidR="00096E15" w14:paraId="05865F4E" w14:textId="77777777" w:rsidTr="00BD6389">
        <w:tc>
          <w:tcPr>
            <w:tcW w:w="1928" w:type="dxa"/>
          </w:tcPr>
          <w:p w14:paraId="40D60512" w14:textId="77777777" w:rsidR="00096E15" w:rsidRPr="00CE1EAF" w:rsidRDefault="00096E15" w:rsidP="00BD6389">
            <w:pPr>
              <w:pStyle w:val="CETBodytext"/>
              <w:rPr>
                <w:sz w:val="14"/>
                <w:szCs w:val="14"/>
              </w:rPr>
            </w:pPr>
            <w:r w:rsidRPr="00CE1EAF">
              <w:rPr>
                <w:sz w:val="14"/>
                <w:szCs w:val="14"/>
              </w:rPr>
              <w:t>Main mineralogy</w:t>
            </w:r>
          </w:p>
        </w:tc>
        <w:tc>
          <w:tcPr>
            <w:tcW w:w="3742" w:type="dxa"/>
          </w:tcPr>
          <w:p w14:paraId="6D8D4F97" w14:textId="77777777" w:rsidR="00096E15" w:rsidRPr="00CE1EAF" w:rsidRDefault="00096E15" w:rsidP="00BD6389">
            <w:pPr>
              <w:pStyle w:val="CETBodytext"/>
              <w:rPr>
                <w:sz w:val="14"/>
                <w:szCs w:val="14"/>
              </w:rPr>
            </w:pPr>
            <w:r w:rsidRPr="00CE1EAF">
              <w:rPr>
                <w:sz w:val="14"/>
                <w:szCs w:val="14"/>
              </w:rPr>
              <w:t>Ca²</w:t>
            </w:r>
            <w:r w:rsidRPr="00CE1EAF">
              <w:rPr>
                <w:rFonts w:ascii="Cambria Math" w:hAnsi="Cambria Math" w:cs="Cambria Math"/>
                <w:sz w:val="14"/>
                <w:szCs w:val="14"/>
              </w:rPr>
              <w:t>⁺</w:t>
            </w:r>
            <w:r w:rsidRPr="00CE1EAF">
              <w:rPr>
                <w:sz w:val="14"/>
                <w:szCs w:val="14"/>
              </w:rPr>
              <w:t>-montmorillonite (d</w:t>
            </w:r>
            <w:r w:rsidRPr="00CE1EAF">
              <w:rPr>
                <w:rFonts w:ascii="Cambria Math" w:hAnsi="Cambria Math" w:cs="Cambria Math"/>
                <w:sz w:val="14"/>
                <w:szCs w:val="14"/>
              </w:rPr>
              <w:t>₀₀₁</w:t>
            </w:r>
            <w:r w:rsidRPr="00CE1EAF">
              <w:rPr>
                <w:sz w:val="14"/>
                <w:szCs w:val="14"/>
              </w:rPr>
              <w:t xml:space="preserve"> = 12.35 </w:t>
            </w:r>
            <w:r w:rsidRPr="00CE1EAF">
              <w:rPr>
                <w:rFonts w:cs="Arial"/>
                <w:sz w:val="14"/>
                <w:szCs w:val="14"/>
              </w:rPr>
              <w:t>Å</w:t>
            </w:r>
            <w:r w:rsidRPr="00CE1EAF">
              <w:rPr>
                <w:sz w:val="14"/>
                <w:szCs w:val="14"/>
              </w:rPr>
              <w:t>, 2</w:t>
            </w:r>
            <w:r w:rsidRPr="00CE1EAF">
              <w:rPr>
                <w:rFonts w:cs="Arial"/>
                <w:sz w:val="14"/>
                <w:szCs w:val="14"/>
              </w:rPr>
              <w:t>θ</w:t>
            </w:r>
            <w:r w:rsidRPr="00CE1EAF">
              <w:rPr>
                <w:sz w:val="14"/>
                <w:szCs w:val="14"/>
              </w:rPr>
              <w:t xml:space="preserve"> = 7.15</w:t>
            </w:r>
            <w:r w:rsidRPr="00CE1EAF">
              <w:rPr>
                <w:rFonts w:cs="Arial"/>
                <w:sz w:val="14"/>
                <w:szCs w:val="14"/>
              </w:rPr>
              <w:t>°</w:t>
            </w:r>
            <w:r w:rsidRPr="00CE1EAF">
              <w:rPr>
                <w:sz w:val="14"/>
                <w:szCs w:val="14"/>
              </w:rPr>
              <w:t>); muscovite; pyrophyllite; gismondine and faujasite (zeolite-type)</w:t>
            </w:r>
          </w:p>
        </w:tc>
        <w:tc>
          <w:tcPr>
            <w:tcW w:w="3402" w:type="dxa"/>
          </w:tcPr>
          <w:p w14:paraId="61333BB4" w14:textId="77777777" w:rsidR="00096E15" w:rsidRPr="00CE1EAF" w:rsidRDefault="00096E15" w:rsidP="00BD6389">
            <w:pPr>
              <w:pStyle w:val="CETBodytext"/>
              <w:rPr>
                <w:sz w:val="14"/>
                <w:szCs w:val="14"/>
              </w:rPr>
            </w:pPr>
            <w:r w:rsidRPr="00CE1EAF">
              <w:rPr>
                <w:sz w:val="14"/>
                <w:szCs w:val="14"/>
              </w:rPr>
              <w:t>Layered aluminosilicate framework with exchangeable interlayer cations</w:t>
            </w:r>
          </w:p>
        </w:tc>
      </w:tr>
      <w:tr w:rsidR="00096E15" w14:paraId="203C890A" w14:textId="77777777" w:rsidTr="00BD6389">
        <w:tc>
          <w:tcPr>
            <w:tcW w:w="1928" w:type="dxa"/>
          </w:tcPr>
          <w:p w14:paraId="0F02F0EE" w14:textId="77777777" w:rsidR="00096E15" w:rsidRPr="00CE1EAF" w:rsidRDefault="00096E15" w:rsidP="00BD6389">
            <w:pPr>
              <w:pStyle w:val="CETBodytext"/>
              <w:rPr>
                <w:sz w:val="14"/>
                <w:szCs w:val="14"/>
              </w:rPr>
            </w:pPr>
            <w:r w:rsidRPr="00CE1EAF">
              <w:rPr>
                <w:sz w:val="14"/>
                <w:szCs w:val="14"/>
              </w:rPr>
              <w:t>Texture (BET, 293 K, benzene vapour)</w:t>
            </w:r>
          </w:p>
        </w:tc>
        <w:tc>
          <w:tcPr>
            <w:tcW w:w="3742" w:type="dxa"/>
          </w:tcPr>
          <w:p w14:paraId="7EE199C6" w14:textId="77777777" w:rsidR="00096E15" w:rsidRPr="00CE1EAF" w:rsidRDefault="00096E15" w:rsidP="00BD6389">
            <w:pPr>
              <w:pStyle w:val="CETBodytext"/>
              <w:rPr>
                <w:sz w:val="14"/>
                <w:szCs w:val="14"/>
              </w:rPr>
            </w:pPr>
            <w:r w:rsidRPr="00CE1EAF">
              <w:rPr>
                <w:sz w:val="14"/>
                <w:szCs w:val="14"/>
              </w:rPr>
              <w:t>S = 34 m²/g; a</w:t>
            </w:r>
            <w:r w:rsidRPr="00CE1EAF">
              <w:rPr>
                <w:rFonts w:ascii="Cambria Math" w:hAnsi="Cambria Math" w:cs="Cambria Math"/>
                <w:sz w:val="14"/>
                <w:szCs w:val="14"/>
              </w:rPr>
              <w:t>ₘ</w:t>
            </w:r>
            <w:r w:rsidRPr="00CE1EAF">
              <w:rPr>
                <w:sz w:val="14"/>
                <w:szCs w:val="14"/>
              </w:rPr>
              <w:t xml:space="preserve"> = 0.12 mol/kg; V</w:t>
            </w:r>
            <w:r w:rsidRPr="00CE1EAF">
              <w:rPr>
                <w:rFonts w:ascii="Cambria Math" w:hAnsi="Cambria Math" w:cs="Cambria Math"/>
                <w:sz w:val="14"/>
                <w:szCs w:val="14"/>
              </w:rPr>
              <w:t>ₛ</w:t>
            </w:r>
            <w:r w:rsidRPr="00CE1EAF">
              <w:rPr>
                <w:sz w:val="14"/>
                <w:szCs w:val="14"/>
              </w:rPr>
              <w:t xml:space="preserve"> = 0.058 cm</w:t>
            </w:r>
            <w:r w:rsidRPr="00CE1EAF">
              <w:rPr>
                <w:rFonts w:cs="Arial"/>
                <w:sz w:val="14"/>
                <w:szCs w:val="14"/>
              </w:rPr>
              <w:t>³</w:t>
            </w:r>
            <w:r w:rsidRPr="00CE1EAF">
              <w:rPr>
                <w:sz w:val="14"/>
                <w:szCs w:val="14"/>
              </w:rPr>
              <w:t>/g; H2(a) hysteresis</w:t>
            </w:r>
          </w:p>
        </w:tc>
        <w:tc>
          <w:tcPr>
            <w:tcW w:w="3402" w:type="dxa"/>
          </w:tcPr>
          <w:p w14:paraId="2FD52D6D" w14:textId="77777777" w:rsidR="00096E15" w:rsidRPr="00CE1EAF" w:rsidRDefault="00096E15" w:rsidP="00BD6389">
            <w:pPr>
              <w:pStyle w:val="CETBodytext"/>
              <w:rPr>
                <w:sz w:val="14"/>
                <w:szCs w:val="14"/>
              </w:rPr>
            </w:pPr>
            <w:r w:rsidRPr="00CE1EAF">
              <w:rPr>
                <w:sz w:val="14"/>
                <w:szCs w:val="14"/>
              </w:rPr>
              <w:t>Micro- and mesoporous surface retains polar fragments</w:t>
            </w:r>
          </w:p>
        </w:tc>
      </w:tr>
      <w:tr w:rsidR="00096E15" w14:paraId="47AB7D16" w14:textId="77777777" w:rsidTr="00BD6389">
        <w:tc>
          <w:tcPr>
            <w:tcW w:w="1928" w:type="dxa"/>
          </w:tcPr>
          <w:p w14:paraId="4D620153" w14:textId="77777777" w:rsidR="00096E15" w:rsidRPr="00CE1EAF" w:rsidRDefault="00096E15" w:rsidP="00BD6389">
            <w:pPr>
              <w:pStyle w:val="CETBodytext"/>
              <w:rPr>
                <w:sz w:val="14"/>
                <w:szCs w:val="14"/>
              </w:rPr>
            </w:pPr>
            <w:r w:rsidRPr="00CE1EAF">
              <w:rPr>
                <w:sz w:val="14"/>
                <w:szCs w:val="14"/>
              </w:rPr>
              <w:t>Pore structure</w:t>
            </w:r>
          </w:p>
        </w:tc>
        <w:tc>
          <w:tcPr>
            <w:tcW w:w="3742" w:type="dxa"/>
          </w:tcPr>
          <w:p w14:paraId="43D9ABF0" w14:textId="77777777" w:rsidR="00096E15" w:rsidRPr="00CE1EAF" w:rsidRDefault="00096E15" w:rsidP="00BD6389">
            <w:pPr>
              <w:pStyle w:val="CETBodytext"/>
              <w:rPr>
                <w:sz w:val="14"/>
                <w:szCs w:val="14"/>
              </w:rPr>
            </w:pPr>
            <w:r w:rsidRPr="00CE1EAF">
              <w:rPr>
                <w:sz w:val="14"/>
                <w:szCs w:val="14"/>
              </w:rPr>
              <w:t>Main pore radius ≈ 1.7 nm (slit width ≈ 4.4 nm); maximum pore radius 9.56 nm</w:t>
            </w:r>
          </w:p>
        </w:tc>
        <w:tc>
          <w:tcPr>
            <w:tcW w:w="3402" w:type="dxa"/>
          </w:tcPr>
          <w:p w14:paraId="10A5E76A" w14:textId="77777777" w:rsidR="00096E15" w:rsidRPr="00CE1EAF" w:rsidRDefault="00096E15" w:rsidP="00BD6389">
            <w:pPr>
              <w:pStyle w:val="CETBodytext"/>
              <w:rPr>
                <w:sz w:val="14"/>
                <w:szCs w:val="14"/>
              </w:rPr>
            </w:pPr>
            <w:r w:rsidRPr="00CE1EAF">
              <w:rPr>
                <w:sz w:val="14"/>
                <w:szCs w:val="14"/>
              </w:rPr>
              <w:t>Size selectivity for short oxidised oligomers</w:t>
            </w:r>
          </w:p>
        </w:tc>
      </w:tr>
      <w:tr w:rsidR="00096E15" w14:paraId="09124140" w14:textId="77777777" w:rsidTr="00BD6389">
        <w:tc>
          <w:tcPr>
            <w:tcW w:w="1928" w:type="dxa"/>
          </w:tcPr>
          <w:p w14:paraId="18EA9BF2" w14:textId="77777777" w:rsidR="00096E15" w:rsidRPr="00CE1EAF" w:rsidRDefault="00096E15" w:rsidP="00BD6389">
            <w:pPr>
              <w:pStyle w:val="CETBodytext"/>
              <w:rPr>
                <w:sz w:val="14"/>
                <w:szCs w:val="14"/>
              </w:rPr>
            </w:pPr>
            <w:r w:rsidRPr="00CE1EAF">
              <w:rPr>
                <w:sz w:val="14"/>
                <w:szCs w:val="14"/>
              </w:rPr>
              <w:t>Thermal stability (TGA, Ar)</w:t>
            </w:r>
          </w:p>
        </w:tc>
        <w:tc>
          <w:tcPr>
            <w:tcW w:w="3742" w:type="dxa"/>
          </w:tcPr>
          <w:p w14:paraId="7B6D5C6A" w14:textId="77777777" w:rsidR="00096E15" w:rsidRPr="00CE1EAF" w:rsidRDefault="00096E15" w:rsidP="00BD6389">
            <w:pPr>
              <w:pStyle w:val="CETBodytext"/>
              <w:rPr>
                <w:sz w:val="14"/>
                <w:szCs w:val="14"/>
              </w:rPr>
            </w:pPr>
            <w:r w:rsidRPr="00CE1EAF">
              <w:rPr>
                <w:sz w:val="14"/>
                <w:szCs w:val="14"/>
                <w:lang w:val="en-GB"/>
              </w:rPr>
              <w:t>4 stages: I 22–112 °C, 4.84 %, H</w:t>
            </w:r>
            <w:r w:rsidRPr="00CE1EAF">
              <w:rPr>
                <w:rFonts w:ascii="Cambria Math" w:hAnsi="Cambria Math" w:cs="Cambria Math"/>
                <w:sz w:val="14"/>
                <w:szCs w:val="14"/>
                <w:lang w:val="en-GB"/>
              </w:rPr>
              <w:t>₂</w:t>
            </w:r>
            <w:r w:rsidRPr="00CE1EAF">
              <w:rPr>
                <w:sz w:val="14"/>
                <w:szCs w:val="14"/>
                <w:lang w:val="en-GB"/>
              </w:rPr>
              <w:t>O/gas; II 112</w:t>
            </w:r>
            <w:r w:rsidRPr="00CE1EAF">
              <w:rPr>
                <w:rFonts w:cs="Arial"/>
                <w:sz w:val="14"/>
                <w:szCs w:val="14"/>
                <w:lang w:val="en-GB"/>
              </w:rPr>
              <w:t>–</w:t>
            </w:r>
            <w:r w:rsidRPr="00CE1EAF">
              <w:rPr>
                <w:sz w:val="14"/>
                <w:szCs w:val="14"/>
                <w:lang w:val="en-GB"/>
              </w:rPr>
              <w:t xml:space="preserve">156 </w:t>
            </w:r>
            <w:r w:rsidRPr="00CE1EAF">
              <w:rPr>
                <w:rFonts w:cs="Arial"/>
                <w:sz w:val="14"/>
                <w:szCs w:val="14"/>
                <w:lang w:val="en-GB"/>
              </w:rPr>
              <w:t>°</w:t>
            </w:r>
            <w:r w:rsidRPr="00CE1EAF">
              <w:rPr>
                <w:sz w:val="14"/>
                <w:szCs w:val="14"/>
                <w:lang w:val="en-GB"/>
              </w:rPr>
              <w:t>C, 0.86 %, interlayer H</w:t>
            </w:r>
            <w:r w:rsidRPr="00CE1EAF">
              <w:rPr>
                <w:rFonts w:ascii="Cambria Math" w:hAnsi="Cambria Math" w:cs="Cambria Math"/>
                <w:sz w:val="14"/>
                <w:szCs w:val="14"/>
                <w:lang w:val="en-GB"/>
              </w:rPr>
              <w:t>₂</w:t>
            </w:r>
            <w:r w:rsidRPr="00CE1EAF">
              <w:rPr>
                <w:sz w:val="14"/>
                <w:szCs w:val="14"/>
                <w:lang w:val="en-GB"/>
              </w:rPr>
              <w:t>O; III 497</w:t>
            </w:r>
            <w:r w:rsidRPr="00CE1EAF">
              <w:rPr>
                <w:rFonts w:cs="Arial"/>
                <w:sz w:val="14"/>
                <w:szCs w:val="14"/>
                <w:lang w:val="en-GB"/>
              </w:rPr>
              <w:t>–</w:t>
            </w:r>
            <w:r w:rsidRPr="00CE1EAF">
              <w:rPr>
                <w:sz w:val="14"/>
                <w:szCs w:val="14"/>
                <w:lang w:val="en-GB"/>
              </w:rPr>
              <w:t xml:space="preserve">786 </w:t>
            </w:r>
            <w:r w:rsidRPr="00CE1EAF">
              <w:rPr>
                <w:rFonts w:cs="Arial"/>
                <w:sz w:val="14"/>
                <w:szCs w:val="14"/>
                <w:lang w:val="en-GB"/>
              </w:rPr>
              <w:t>°</w:t>
            </w:r>
            <w:r w:rsidRPr="00CE1EAF">
              <w:rPr>
                <w:sz w:val="14"/>
                <w:szCs w:val="14"/>
                <w:lang w:val="en-GB"/>
              </w:rPr>
              <w:t>C, 4.81 %, organic combustion (CO</w:t>
            </w:r>
            <w:r w:rsidRPr="00CE1EAF">
              <w:rPr>
                <w:rFonts w:ascii="Cambria Math" w:hAnsi="Cambria Math" w:cs="Cambria Math"/>
                <w:sz w:val="14"/>
                <w:szCs w:val="14"/>
                <w:lang w:val="en-GB"/>
              </w:rPr>
              <w:t>₂</w:t>
            </w:r>
            <w:r w:rsidRPr="00CE1EAF">
              <w:rPr>
                <w:sz w:val="14"/>
                <w:szCs w:val="14"/>
                <w:lang w:val="en-GB"/>
              </w:rPr>
              <w:t>, H</w:t>
            </w:r>
            <w:r w:rsidRPr="00CE1EAF">
              <w:rPr>
                <w:rFonts w:ascii="Cambria Math" w:hAnsi="Cambria Math" w:cs="Cambria Math"/>
                <w:sz w:val="14"/>
                <w:szCs w:val="14"/>
                <w:lang w:val="en-GB"/>
              </w:rPr>
              <w:t>₂</w:t>
            </w:r>
            <w:r w:rsidRPr="00CE1EAF">
              <w:rPr>
                <w:sz w:val="14"/>
                <w:szCs w:val="14"/>
                <w:lang w:val="en-GB"/>
              </w:rPr>
              <w:t>O, CO, N</w:t>
            </w:r>
            <w:r w:rsidRPr="00CE1EAF">
              <w:rPr>
                <w:rFonts w:ascii="Cambria Math" w:hAnsi="Cambria Math" w:cs="Cambria Math"/>
                <w:sz w:val="14"/>
                <w:szCs w:val="14"/>
                <w:lang w:val="en-GB"/>
              </w:rPr>
              <w:t>₂</w:t>
            </w:r>
            <w:r w:rsidRPr="00CE1EAF">
              <w:rPr>
                <w:sz w:val="14"/>
                <w:szCs w:val="14"/>
                <w:lang w:val="en-GB"/>
              </w:rPr>
              <w:t>); IV 786</w:t>
            </w:r>
            <w:r w:rsidRPr="00CE1EAF">
              <w:rPr>
                <w:rFonts w:cs="Arial"/>
                <w:sz w:val="14"/>
                <w:szCs w:val="14"/>
                <w:lang w:val="en-GB"/>
              </w:rPr>
              <w:t>–</w:t>
            </w:r>
            <w:r w:rsidRPr="00CE1EAF">
              <w:rPr>
                <w:sz w:val="14"/>
                <w:szCs w:val="14"/>
                <w:lang w:val="en-GB"/>
              </w:rPr>
              <w:t xml:space="preserve">1001 </w:t>
            </w:r>
            <w:r w:rsidRPr="00CE1EAF">
              <w:rPr>
                <w:rFonts w:cs="Arial"/>
                <w:sz w:val="14"/>
                <w:szCs w:val="14"/>
                <w:lang w:val="en-GB"/>
              </w:rPr>
              <w:t>°</w:t>
            </w:r>
            <w:r w:rsidRPr="00CE1EAF">
              <w:rPr>
                <w:sz w:val="14"/>
                <w:szCs w:val="14"/>
                <w:lang w:val="en-GB"/>
              </w:rPr>
              <w:t xml:space="preserve">C, 0.44 %, dehydroxylation. </w:t>
            </w:r>
            <w:r w:rsidRPr="00CE1EAF">
              <w:rPr>
                <w:rFonts w:cs="Arial"/>
                <w:sz w:val="14"/>
                <w:szCs w:val="14"/>
                <w:lang w:val="en-GB"/>
              </w:rPr>
              <w:t>Δ</w:t>
            </w:r>
            <w:r w:rsidRPr="00CE1EAF">
              <w:rPr>
                <w:sz w:val="14"/>
                <w:szCs w:val="14"/>
                <w:lang w:val="en-GB"/>
              </w:rPr>
              <w:t>m_tot = 1.23 mg (10.95 %).</w:t>
            </w:r>
          </w:p>
        </w:tc>
        <w:tc>
          <w:tcPr>
            <w:tcW w:w="3402" w:type="dxa"/>
          </w:tcPr>
          <w:p w14:paraId="2D7F55FB" w14:textId="77777777" w:rsidR="00096E15" w:rsidRPr="00CE1EAF" w:rsidRDefault="00096E15" w:rsidP="00BD6389">
            <w:pPr>
              <w:pStyle w:val="CETBodytext"/>
              <w:rPr>
                <w:sz w:val="14"/>
                <w:szCs w:val="14"/>
              </w:rPr>
            </w:pPr>
            <w:r w:rsidRPr="00CE1EAF">
              <w:rPr>
                <w:sz w:val="14"/>
                <w:szCs w:val="14"/>
              </w:rPr>
              <w:t>Structure stable at the 150 °C bleaching temperature (only stage II partially active); no organic-cation decomposition (stage III, ≥ 497 °C) during operation.</w:t>
            </w:r>
          </w:p>
        </w:tc>
      </w:tr>
      <w:tr w:rsidR="00096E15" w14:paraId="1E78D56D" w14:textId="77777777" w:rsidTr="00BD6389">
        <w:tc>
          <w:tcPr>
            <w:tcW w:w="1928" w:type="dxa"/>
          </w:tcPr>
          <w:p w14:paraId="1C5DD72B" w14:textId="77777777" w:rsidR="00096E15" w:rsidRPr="00CE1EAF" w:rsidRDefault="00096E15" w:rsidP="00BD6389">
            <w:pPr>
              <w:pStyle w:val="CETBodytext"/>
              <w:rPr>
                <w:sz w:val="14"/>
                <w:szCs w:val="14"/>
              </w:rPr>
            </w:pPr>
            <w:r w:rsidRPr="00CE1EAF">
              <w:rPr>
                <w:sz w:val="14"/>
                <w:szCs w:val="14"/>
              </w:rPr>
              <w:t>Particle size and appearance</w:t>
            </w:r>
          </w:p>
        </w:tc>
        <w:tc>
          <w:tcPr>
            <w:tcW w:w="3742" w:type="dxa"/>
          </w:tcPr>
          <w:p w14:paraId="571458D2" w14:textId="77777777" w:rsidR="00096E15" w:rsidRPr="00CE1EAF" w:rsidRDefault="00096E15" w:rsidP="00BD6389">
            <w:pPr>
              <w:pStyle w:val="CETBodytext"/>
              <w:rPr>
                <w:sz w:val="14"/>
                <w:szCs w:val="14"/>
              </w:rPr>
            </w:pPr>
            <w:r w:rsidRPr="00CE1EAF">
              <w:rPr>
                <w:sz w:val="14"/>
                <w:szCs w:val="14"/>
              </w:rPr>
              <w:t>&gt; 150 µm: 23 %; &lt; 45 µm: 42 %; cream powder; moisture ≈ 15 %</w:t>
            </w:r>
          </w:p>
        </w:tc>
        <w:tc>
          <w:tcPr>
            <w:tcW w:w="3402" w:type="dxa"/>
          </w:tcPr>
          <w:p w14:paraId="42A06614" w14:textId="77777777" w:rsidR="00096E15" w:rsidRPr="00CE1EAF" w:rsidRDefault="00096E15" w:rsidP="00BD6389">
            <w:pPr>
              <w:pStyle w:val="CETBodytext"/>
              <w:rPr>
                <w:sz w:val="14"/>
                <w:szCs w:val="14"/>
              </w:rPr>
            </w:pPr>
            <w:r w:rsidRPr="00CE1EAF">
              <w:rPr>
                <w:sz w:val="14"/>
                <w:szCs w:val="14"/>
              </w:rPr>
              <w:t>Fine fraction accelerates mixing and mass transfer in the melt</w:t>
            </w:r>
          </w:p>
        </w:tc>
      </w:tr>
    </w:tbl>
    <w:p w14:paraId="1CA06701" w14:textId="77777777" w:rsidR="00096E15" w:rsidRDefault="00096E15" w:rsidP="00096E15">
      <w:pPr>
        <w:pStyle w:val="CETheadingx"/>
      </w:pPr>
      <w:r>
        <w:t>Adsorption bleaching procedure</w:t>
      </w:r>
    </w:p>
    <w:p w14:paraId="509C51E0" w14:textId="025414C4" w:rsidR="00096E15" w:rsidRDefault="00096E15" w:rsidP="00096E15">
      <w:pPr>
        <w:pStyle w:val="CETBodytext"/>
      </w:pPr>
      <w:r>
        <w:t>Tests were conducted in a 500 mL three-neck flask equipped with a reflux condenser, a calibrated thermometer (± 0.5 °C) and a nitrogen inlet line. A 300 g charge of grey LMW-PE was heated at 10 °C/min above the melting point; once magnetic stirring was set to 600 rpm, the pre-weighed PBG bentonite was introduced over 2–3 min. After the chosen residence time under nitrogen, the spent adsorbent was removed via a pressurised filter pre-heated to 150 °C; the bleached product was then cooled on a flat tray and stored. Three</w:t>
      </w:r>
      <w:r w:rsidR="004109C4">
        <w:t xml:space="preserve"> </w:t>
      </w:r>
      <w:r w:rsidR="004109C4" w:rsidRPr="00C0732E">
        <w:rPr>
          <w:rFonts w:ascii="Calibri" w:eastAsia="Calibri" w:hAnsi="Calibri" w:cs="Calibri"/>
          <w:sz w:val="20"/>
        </w:rPr>
        <w:t>one-factor-at-a-time</w:t>
      </w:r>
      <w:r>
        <w:t xml:space="preserve"> </w:t>
      </w:r>
      <w:r w:rsidR="004109C4">
        <w:t>(</w:t>
      </w:r>
      <w:r>
        <w:t>OFAT</w:t>
      </w:r>
      <w:r w:rsidR="004109C4">
        <w:t>)</w:t>
      </w:r>
      <w:r>
        <w:t xml:space="preserve"> series were carried out in triplicate (n = 3): temperature (130–170 °C, 30 min, 20 wt%), contact time (20–60 min, 150 °C, 20 wt%) and bentonite loading (5–30 wt%, 150 °C, 30 min). The slit-shaped micro- and mesoporous network of PBG bentonite, combined with its exchangeable interlayer cations and silanol/aluminol surface groups, supplies the dipole-dipole and hydrogen-bonding sites needed to selectively trap polar chromophores (Madejová, 2003; Bergaya and Lagaly, 2013).</w:t>
      </w:r>
    </w:p>
    <w:p w14:paraId="17FDE747" w14:textId="77777777" w:rsidR="00096E15" w:rsidRDefault="00096E15" w:rsidP="00096E15">
      <w:pPr>
        <w:pStyle w:val="CETheadingx"/>
      </w:pPr>
      <w:r>
        <w:t>Analytical methods</w:t>
      </w:r>
    </w:p>
    <w:p w14:paraId="029E4DA9" w14:textId="77777777" w:rsidR="00096E15" w:rsidRDefault="00096E15" w:rsidP="00096E15">
      <w:pPr>
        <w:pStyle w:val="CETBodytext"/>
      </w:pPr>
      <w:r>
        <w:t>Whiteness Index was determined according to ASTM E313 using an LS172 colorimeter (Linshang, China; D65/10°). Penetration (ASTM D1321) was measured with a PNR 12 penetrometer (Anton Paar, Austria); the melting temperature was obtained on a Setline DSC+ instrument (Setaram, France) at a 10 °C/min ramp (ASTM D3418); the drop point was evaluated with a Digipol-JHD70 analyser (Jinhui, China; ASTM D3954). ATR-FTIR spectra were recorded on a Perkin-Elmer Spectrum 100 fitted with a diamond ATR accessory (4000–400 cm</w:t>
      </w:r>
      <w:r>
        <w:rPr>
          <w:rFonts w:ascii="Cambria Math" w:hAnsi="Cambria Math" w:cs="Cambria Math"/>
        </w:rPr>
        <w:t>⁻</w:t>
      </w:r>
      <w:r>
        <w:rPr>
          <w:rFonts w:cs="Arial"/>
        </w:rPr>
        <w:t>¹</w:t>
      </w:r>
      <w:r>
        <w:t>, 4 cm</w:t>
      </w:r>
      <w:r>
        <w:rPr>
          <w:rFonts w:ascii="Cambria Math" w:hAnsi="Cambria Math" w:cs="Cambria Math"/>
        </w:rPr>
        <w:t>⁻</w:t>
      </w:r>
      <w:r>
        <w:rPr>
          <w:rFonts w:cs="Arial"/>
        </w:rPr>
        <w:t>¹</w:t>
      </w:r>
      <w:r>
        <w:t xml:space="preserve"> resolution, 32 co-added scans) after vacuum drying of the samples for 24 h.</w:t>
      </w:r>
    </w:p>
    <w:p w14:paraId="0E160F16" w14:textId="77777777" w:rsidR="00096E15" w:rsidRDefault="00096E15" w:rsidP="00096E15">
      <w:pPr>
        <w:pStyle w:val="CETHeading1"/>
      </w:pPr>
      <w:r>
        <w:t>Results and discussion</w:t>
      </w:r>
    </w:p>
    <w:p w14:paraId="7F4D656E" w14:textId="77777777" w:rsidR="00096E15" w:rsidRDefault="00096E15" w:rsidP="00096E15">
      <w:pPr>
        <w:pStyle w:val="CETheadingx"/>
      </w:pPr>
      <w:r>
        <w:t>Effect of temperature on whiteness</w:t>
      </w:r>
    </w:p>
    <w:p w14:paraId="573924C5" w14:textId="77777777" w:rsidR="00096E15" w:rsidRDefault="00096E15" w:rsidP="00096E15">
      <w:pPr>
        <w:pStyle w:val="CETBodytext"/>
      </w:pPr>
      <w:r>
        <w:t>Figure 1 displays the dependence of the Whiteness Index of grey LMW-PE (WI</w:t>
      </w:r>
      <w:r>
        <w:rPr>
          <w:rFonts w:ascii="Cambria Math" w:hAnsi="Cambria Math" w:cs="Cambria Math"/>
        </w:rPr>
        <w:t>₀</w:t>
      </w:r>
      <w:r>
        <w:t xml:space="preserve"> = </w:t>
      </w:r>
      <w:r>
        <w:rPr>
          <w:rFonts w:cs="Arial"/>
        </w:rPr>
        <w:t>−</w:t>
      </w:r>
      <w:r>
        <w:t xml:space="preserve">24) on temperature, for 20 wt% bentonite over 30 min. At 25 </w:t>
      </w:r>
      <w:r>
        <w:rPr>
          <w:rFonts w:cs="Arial"/>
        </w:rPr>
        <w:t>°</w:t>
      </w:r>
      <w:r>
        <w:t xml:space="preserve">C no measurable bleaching takes place because solid-solid contact between </w:t>
      </w:r>
      <w:r>
        <w:lastRenderedPageBreak/>
        <w:t xml:space="preserve">the polymer and the adsorbent is poor. From 130 to 140 </w:t>
      </w:r>
      <w:r>
        <w:rPr>
          <w:rFonts w:cs="Arial"/>
        </w:rPr>
        <w:t>°</w:t>
      </w:r>
      <w:r>
        <w:t>C the WI rises sharply (</w:t>
      </w:r>
      <w:r>
        <w:rPr>
          <w:rFonts w:cs="Arial"/>
        </w:rPr>
        <w:t>−</w:t>
      </w:r>
      <w:r>
        <w:t xml:space="preserve">5 </w:t>
      </w:r>
      <w:r>
        <w:rPr>
          <w:rFonts w:cs="Arial"/>
        </w:rPr>
        <w:t>→</w:t>
      </w:r>
      <w:r>
        <w:t xml:space="preserve"> 32) as the polymer melts and the bentonite particles are progressively dispersed in the liquid phase.</w:t>
      </w:r>
    </w:p>
    <w:p w14:paraId="4644847D" w14:textId="110C6B9F" w:rsidR="00096E15" w:rsidRDefault="00671F70" w:rsidP="00A263AD">
      <w:pPr>
        <w:pStyle w:val="CETCaption"/>
      </w:pPr>
      <w:r>
        <w:rPr>
          <w:noProof/>
        </w:rPr>
        <w:drawing>
          <wp:inline distT="0" distB="0" distL="0" distR="0" wp14:anchorId="7A529695" wp14:editId="6A7A1AEB">
            <wp:extent cx="3429000" cy="2087217"/>
            <wp:effectExtent l="0" t="0" r="0" b="8890"/>
            <wp:docPr id="158011890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429000" cy="2087217"/>
                    </a:xfrm>
                    <a:prstGeom prst="rect">
                      <a:avLst/>
                    </a:prstGeom>
                    <a:noFill/>
                  </pic:spPr>
                </pic:pic>
              </a:graphicData>
            </a:graphic>
          </wp:inline>
        </w:drawing>
      </w:r>
    </w:p>
    <w:p w14:paraId="4D9B90F7" w14:textId="6728380D" w:rsidR="00096E15" w:rsidRDefault="00096E15" w:rsidP="00096E15">
      <w:pPr>
        <w:pStyle w:val="CETCaption"/>
      </w:pPr>
      <w:r>
        <w:t>Figure 1: Effect of adsorption temperature on the Whiteness Index of grey LMW-PE (WI</w:t>
      </w:r>
      <w:r>
        <w:rPr>
          <w:rFonts w:ascii="Cambria Math" w:hAnsi="Cambria Math" w:cs="Cambria Math"/>
        </w:rPr>
        <w:t>₀</w:t>
      </w:r>
      <w:r>
        <w:t xml:space="preserve"> = </w:t>
      </w:r>
      <w:r>
        <w:rPr>
          <w:rFonts w:cs="Arial"/>
        </w:rPr>
        <w:t>−</w:t>
      </w:r>
      <w:r>
        <w:t xml:space="preserve">24). Conditions: 20 wt% bentonite, 30 min, n = 3, error bars </w:t>
      </w:r>
      <w:r>
        <w:rPr>
          <w:rFonts w:cs="Arial"/>
        </w:rPr>
        <w:t>±</w:t>
      </w:r>
      <w:r>
        <w:t xml:space="preserve"> </w:t>
      </w:r>
      <w:r w:rsidR="00034F4C">
        <w:rPr>
          <w:rFonts w:ascii="Calibri" w:eastAsia="Calibri" w:hAnsi="Calibri" w:cs="Calibri"/>
          <w:i w:val="0"/>
          <w:sz w:val="20"/>
        </w:rPr>
        <w:t>standard deviation</w:t>
      </w:r>
      <w:r w:rsidR="00034F4C">
        <w:t xml:space="preserve"> (</w:t>
      </w:r>
      <w:r>
        <w:t>SD</w:t>
      </w:r>
      <w:r w:rsidR="00034F4C">
        <w:t>)</w:t>
      </w:r>
      <w:r>
        <w:t>.</w:t>
      </w:r>
    </w:p>
    <w:p w14:paraId="64154099" w14:textId="77777777" w:rsidR="00096E15" w:rsidRDefault="00096E15" w:rsidP="00096E15">
      <w:pPr>
        <w:pStyle w:val="CETBodytext"/>
      </w:pPr>
      <w:r>
        <w:t>The maximum WI (70 ± 2.1) was attained at 150 °C, matching the commercial PE-wax target. Above 150 °C the WI declined steadily (65 at 160 °C, 57 at 170 °C): even under inert atmosphere, thermo-oxidative pathways of the polymer backbone become active, while residual oxygen and hydroperoxide intermediates regenerate conjugated carbonyl and polyene chromophores (Gugumus, 1996; Duvall and Edwards, 1988). At the same time, the bentonite interlayer loses polar ligands (TGA stage II, Table 1), which lowers the density of effective adsorption sites. For these reasons, 150 °C was selected as the optimum bleaching temperature.</w:t>
      </w:r>
    </w:p>
    <w:p w14:paraId="1E5C2ADD" w14:textId="77777777" w:rsidR="00096E15" w:rsidRDefault="00096E15" w:rsidP="00096E15">
      <w:pPr>
        <w:pStyle w:val="CETheadingx"/>
      </w:pPr>
      <w:r>
        <w:t>Effect of contact time on whiteness</w:t>
      </w:r>
    </w:p>
    <w:p w14:paraId="50E52EBC" w14:textId="77777777" w:rsidR="00096E15" w:rsidRDefault="00096E15" w:rsidP="00096E15">
      <w:pPr>
        <w:pStyle w:val="CETBodytext"/>
      </w:pPr>
      <w:r>
        <w:t>Figure 2 reports the influence of contact time (0–60 min, 150 °C, 20 wt% bentonite). During the initial 30 min the WI climbs steeply from −24 to 70; beyond this point a plateau is established, and extending residence time to 40, 50 or 60 min does not produce a statistically significant gain (paired t-test, p &gt; 0.05). This is consistent with classical chemisorption kinetics: high-energy sites are populated first, and a diffusion-limited regime then takes over (Hussin et al., 2011; Zhao et al., 2022). Prolonging exposure in the hot melt is counter-productive because polymer becomes physically trapped in the filter cake and extended dwell at 150 °C promotes secondary thermo-oxidative chromophores. Thus, 30 min was retained as the best compromise between bleaching efficiency and yield.</w:t>
      </w:r>
    </w:p>
    <w:p w14:paraId="033EC2F5" w14:textId="05D22C29" w:rsidR="00096E15" w:rsidRDefault="00671F70" w:rsidP="00A263AD">
      <w:pPr>
        <w:pStyle w:val="CETCaption"/>
      </w:pPr>
      <w:r>
        <w:rPr>
          <w:noProof/>
        </w:rPr>
        <w:drawing>
          <wp:inline distT="0" distB="0" distL="0" distR="0" wp14:anchorId="6AF4DD22" wp14:editId="66BF9D0F">
            <wp:extent cx="3429000" cy="2088226"/>
            <wp:effectExtent l="0" t="0" r="0" b="7620"/>
            <wp:docPr id="17002675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429000" cy="2088226"/>
                    </a:xfrm>
                    <a:prstGeom prst="rect">
                      <a:avLst/>
                    </a:prstGeom>
                    <a:noFill/>
                  </pic:spPr>
                </pic:pic>
              </a:graphicData>
            </a:graphic>
          </wp:inline>
        </w:drawing>
      </w:r>
    </w:p>
    <w:p w14:paraId="19C9F09F" w14:textId="77777777" w:rsidR="00096E15" w:rsidRDefault="00096E15" w:rsidP="00096E15">
      <w:pPr>
        <w:pStyle w:val="CETCaption"/>
      </w:pPr>
      <w:r>
        <w:t>Figure 2: Effect of contact time on the Whiteness Index of grey LMW-PE (WI</w:t>
      </w:r>
      <w:r>
        <w:rPr>
          <w:rFonts w:ascii="Cambria Math" w:hAnsi="Cambria Math" w:cs="Cambria Math"/>
        </w:rPr>
        <w:t>₀</w:t>
      </w:r>
      <w:r>
        <w:t xml:space="preserve"> = </w:t>
      </w:r>
      <w:r>
        <w:rPr>
          <w:rFonts w:cs="Arial"/>
        </w:rPr>
        <w:t>−</w:t>
      </w:r>
      <w:r>
        <w:t xml:space="preserve">24) at 150 </w:t>
      </w:r>
      <w:r>
        <w:rPr>
          <w:rFonts w:cs="Arial"/>
        </w:rPr>
        <w:t>°</w:t>
      </w:r>
      <w:r>
        <w:t xml:space="preserve">C with 20 wt% bentonite. n = 3, error bars </w:t>
      </w:r>
      <w:r>
        <w:rPr>
          <w:rFonts w:cs="Arial"/>
        </w:rPr>
        <w:t>±</w:t>
      </w:r>
      <w:r>
        <w:t xml:space="preserve"> SD. The shaded region marks the statistical plateau (p &gt; 0.05).</w:t>
      </w:r>
    </w:p>
    <w:p w14:paraId="7320BF67" w14:textId="77777777" w:rsidR="00096E15" w:rsidRDefault="00096E15" w:rsidP="00096E15">
      <w:pPr>
        <w:pStyle w:val="CETheadingx"/>
      </w:pPr>
      <w:r>
        <w:lastRenderedPageBreak/>
        <w:t>Effect of bentonite loading on whiteness and yield</w:t>
      </w:r>
    </w:p>
    <w:p w14:paraId="40BD034C" w14:textId="31B72C62" w:rsidR="00096E15" w:rsidRDefault="00096E15" w:rsidP="00E52D8E">
      <w:pPr>
        <w:pStyle w:val="CETBodytext"/>
      </w:pPr>
      <w:r>
        <w:t>The influence of bentonite dose was probed in the 0–30 wt% interval at 150 °C and 30 min (Figure 3). Without adsorbent the WI stays at −24, demonstrating that thermal treatment alone cannot remove the colour. In the 5–15 wt% window the WI grows rapidly (30 → 60), pointing to a favourable stoichiometric pairing between the polar chromophores and the bentonite active sites. At 20 wt% the WI reaches 70 ± 1.9, falling within the target range for commercial PE-wax. Between 20 and 30 wt% the gain is only marginal (70 → 72; p &gt; 0.05), while the yield drops from 94.3 % to 92.0 %, because additional adsorbent retains polymer through capillary effects during filtration and excess bentonite begins to pick up low-polarity oligomers that do not contribute to colour. Consequently, 20 wt% was retained as the optimum loading.</w:t>
      </w:r>
    </w:p>
    <w:p w14:paraId="3FB9B2B8" w14:textId="5B2E757B" w:rsidR="00E52D8E" w:rsidRDefault="00E52D8E" w:rsidP="00A263AD">
      <w:pPr>
        <w:pStyle w:val="CETCaption"/>
      </w:pPr>
      <w:r>
        <w:rPr>
          <w:noProof/>
        </w:rPr>
        <w:drawing>
          <wp:inline distT="0" distB="0" distL="0" distR="0" wp14:anchorId="66A239ED" wp14:editId="6DD4DF09">
            <wp:extent cx="3950860" cy="2404872"/>
            <wp:effectExtent l="0" t="0" r="0" b="0"/>
            <wp:docPr id="152010243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950860" cy="2404872"/>
                    </a:xfrm>
                    <a:prstGeom prst="rect">
                      <a:avLst/>
                    </a:prstGeom>
                    <a:noFill/>
                  </pic:spPr>
                </pic:pic>
              </a:graphicData>
            </a:graphic>
          </wp:inline>
        </w:drawing>
      </w:r>
    </w:p>
    <w:p w14:paraId="2E345A12" w14:textId="77777777" w:rsidR="00096E15" w:rsidRDefault="00096E15" w:rsidP="00096E15">
      <w:pPr>
        <w:pStyle w:val="CETCaption"/>
      </w:pPr>
      <w:r>
        <w:t>Figure 3: Effect of bentonite loading on the Whiteness Index (left axis) and product yield (right axis) of grey LMW-PE at 150 °C and 30 min. n = 3, error bars ± SD.</w:t>
      </w:r>
    </w:p>
    <w:p w14:paraId="297027C0" w14:textId="77777777" w:rsidR="00096E15" w:rsidRDefault="00096E15" w:rsidP="00096E15">
      <w:pPr>
        <w:pStyle w:val="CETheadingx"/>
      </w:pPr>
      <w:r>
        <w:t>Adsorption kinetics and equilibrium isotherm</w:t>
      </w:r>
    </w:p>
    <w:p w14:paraId="38E0CA8B" w14:textId="22C71788" w:rsidR="00A263AD" w:rsidRDefault="00096E15" w:rsidP="00096E15">
      <w:pPr>
        <w:pStyle w:val="CETBodytext"/>
      </w:pPr>
      <w:r>
        <w:t>The temporal profile in Figure 2 is well described by a pseudo-second-order rate law (Ho and McKay, 1999), in line with the chemisorption-like uptake of polar chromophores on the silanol/aluminol surface groups of the smectite clay:</w:t>
      </w:r>
    </w:p>
    <w:tbl>
      <w:tblPr>
        <w:tblW w:w="9214" w:type="dxa"/>
        <w:tblBorders>
          <w:top w:val="nil"/>
          <w:left w:val="nil"/>
          <w:bottom w:val="nil"/>
          <w:right w:val="nil"/>
          <w:insideH w:val="nil"/>
          <w:insideV w:val="nil"/>
        </w:tblBorders>
        <w:tblLayout w:type="fixed"/>
        <w:tblLook w:val="04A0" w:firstRow="1" w:lastRow="0" w:firstColumn="1" w:lastColumn="0" w:noHBand="0" w:noVBand="1"/>
      </w:tblPr>
      <w:tblGrid>
        <w:gridCol w:w="8214"/>
        <w:gridCol w:w="1000"/>
      </w:tblGrid>
      <w:tr w:rsidR="00096E15" w14:paraId="60F23173" w14:textId="77777777" w:rsidTr="00BD6389">
        <w:tc>
          <w:tcPr>
            <w:tcW w:w="8214" w:type="dxa"/>
            <w:tcBorders>
              <w:top w:val="nil"/>
              <w:left w:val="nil"/>
              <w:bottom w:val="nil"/>
              <w:right w:val="nil"/>
            </w:tcBorders>
          </w:tcPr>
          <w:p w14:paraId="1551390F" w14:textId="4E59DA57" w:rsidR="00096E15" w:rsidRPr="00831542" w:rsidRDefault="00831542" w:rsidP="00BD6389">
            <w:pPr>
              <w:pStyle w:val="CETEquation"/>
              <w:rPr>
                <w:rFonts w:cs="Arial"/>
                <w:i/>
              </w:rPr>
            </w:pPr>
            <m:oMathPara>
              <m:oMathParaPr>
                <m:jc m:val="left"/>
              </m:oMathParaPr>
              <m:oMath>
                <m:r>
                  <m:rPr>
                    <m:sty m:val="p"/>
                  </m:rPr>
                  <w:rPr>
                    <w:rFonts w:ascii="Cambria Math" w:hAnsi="Cambria Math" w:cs="Arial"/>
                    <w:lang w:val="en-US"/>
                  </w:rPr>
                  <m:t>t/qₜ = 1/(k₂·qₑ²) + t/q</m:t>
                </m:r>
                <m:r>
                  <m:rPr>
                    <m:sty m:val="p"/>
                  </m:rPr>
                  <w:rPr>
                    <w:rFonts w:ascii="Cambria Math" w:hAnsi="Cambria Math" w:cs="Arial"/>
                    <w:lang w:val="en-US"/>
                  </w:rPr>
                  <m:t>ₑ</m:t>
                </m:r>
              </m:oMath>
            </m:oMathPara>
          </w:p>
        </w:tc>
        <w:tc>
          <w:tcPr>
            <w:tcW w:w="1000" w:type="dxa"/>
            <w:tcBorders>
              <w:top w:val="nil"/>
              <w:left w:val="nil"/>
              <w:bottom w:val="nil"/>
              <w:right w:val="nil"/>
            </w:tcBorders>
          </w:tcPr>
          <w:p w14:paraId="68069E42" w14:textId="77777777" w:rsidR="00096E15" w:rsidRDefault="00096E15" w:rsidP="00BD6389">
            <w:pPr>
              <w:pStyle w:val="CETEquation"/>
              <w:jc w:val="right"/>
            </w:pPr>
            <w:r>
              <w:t>(1)</w:t>
            </w:r>
          </w:p>
        </w:tc>
      </w:tr>
    </w:tbl>
    <w:p w14:paraId="4660030F" w14:textId="77777777" w:rsidR="00096E15" w:rsidRDefault="00096E15" w:rsidP="00096E15">
      <w:pPr>
        <w:pStyle w:val="CETBodytext"/>
      </w:pPr>
      <w:r>
        <w:t>where q</w:t>
      </w:r>
      <w:r>
        <w:rPr>
          <w:rFonts w:ascii="Cambria Math" w:hAnsi="Cambria Math" w:cs="Cambria Math"/>
        </w:rPr>
        <w:t>ₜ</w:t>
      </w:r>
      <w:r>
        <w:t xml:space="preserve"> and q</w:t>
      </w:r>
      <w:r>
        <w:rPr>
          <w:rFonts w:cs="Arial"/>
        </w:rPr>
        <w:t>ₑ</w:t>
      </w:r>
      <w:r>
        <w:t xml:space="preserve"> (mg g</w:t>
      </w:r>
      <w:r>
        <w:rPr>
          <w:rFonts w:ascii="Cambria Math" w:hAnsi="Cambria Math" w:cs="Cambria Math"/>
        </w:rPr>
        <w:t>⁻</w:t>
      </w:r>
      <w:r>
        <w:rPr>
          <w:rFonts w:cs="Arial"/>
        </w:rPr>
        <w:t>¹</w:t>
      </w:r>
      <w:r>
        <w:t>) denote, respectively, the chromophore mass adsorbed per gram of bentonite at time t and at equilibrium, and k</w:t>
      </w:r>
      <w:r>
        <w:rPr>
          <w:rFonts w:ascii="Cambria Math" w:hAnsi="Cambria Math" w:cs="Cambria Math"/>
        </w:rPr>
        <w:t>₂</w:t>
      </w:r>
      <w:r>
        <w:t xml:space="preserve"> (g mg</w:t>
      </w:r>
      <w:r>
        <w:rPr>
          <w:rFonts w:ascii="Cambria Math" w:hAnsi="Cambria Math" w:cs="Cambria Math"/>
        </w:rPr>
        <w:t>⁻</w:t>
      </w:r>
      <w:r>
        <w:rPr>
          <w:rFonts w:cs="Arial"/>
        </w:rPr>
        <w:t>¹</w:t>
      </w:r>
      <w:r>
        <w:t xml:space="preserve"> min</w:t>
      </w:r>
      <w:r>
        <w:rPr>
          <w:rFonts w:ascii="Cambria Math" w:hAnsi="Cambria Math" w:cs="Cambria Math"/>
        </w:rPr>
        <w:t>⁻</w:t>
      </w:r>
      <w:r>
        <w:rPr>
          <w:rFonts w:cs="Arial"/>
        </w:rPr>
        <w:t>¹</w:t>
      </w:r>
      <w:r>
        <w:t>) is the second-order rate constant. A linear regression of t/q</w:t>
      </w:r>
      <w:r>
        <w:rPr>
          <w:rFonts w:ascii="Cambria Math" w:hAnsi="Cambria Math" w:cs="Cambria Math"/>
        </w:rPr>
        <w:t>ₜ</w:t>
      </w:r>
      <w:r>
        <w:t xml:space="preserve"> versus t over the 5</w:t>
      </w:r>
      <w:r>
        <w:rPr>
          <w:rFonts w:cs="Arial"/>
        </w:rPr>
        <w:t>–</w:t>
      </w:r>
      <w:r>
        <w:t xml:space="preserve">30 min interval at 150 </w:t>
      </w:r>
      <w:r>
        <w:rPr>
          <w:rFonts w:cs="Arial"/>
        </w:rPr>
        <w:t>°</w:t>
      </w:r>
      <w:r>
        <w:t>C and 20 wt% loading returned q</w:t>
      </w:r>
      <w:r>
        <w:rPr>
          <w:rFonts w:cs="Arial"/>
        </w:rPr>
        <w:t>ₑ</w:t>
      </w:r>
      <w:r>
        <w:t xml:space="preserve"> </w:t>
      </w:r>
      <w:r>
        <w:rPr>
          <w:rFonts w:cs="Arial"/>
        </w:rPr>
        <w:t>≈</w:t>
      </w:r>
      <w:r>
        <w:t xml:space="preserve"> 12.4 mg g</w:t>
      </w:r>
      <w:r>
        <w:rPr>
          <w:rFonts w:ascii="Cambria Math" w:hAnsi="Cambria Math" w:cs="Cambria Math"/>
        </w:rPr>
        <w:t>⁻</w:t>
      </w:r>
      <w:r>
        <w:rPr>
          <w:rFonts w:cs="Arial"/>
        </w:rPr>
        <w:t>¹</w:t>
      </w:r>
      <w:r>
        <w:t>, k</w:t>
      </w:r>
      <w:r>
        <w:rPr>
          <w:rFonts w:ascii="Cambria Math" w:hAnsi="Cambria Math" w:cs="Cambria Math"/>
        </w:rPr>
        <w:t>₂</w:t>
      </w:r>
      <w:r>
        <w:t xml:space="preserve"> </w:t>
      </w:r>
      <w:r>
        <w:rPr>
          <w:rFonts w:cs="Arial"/>
        </w:rPr>
        <w:t>≈</w:t>
      </w:r>
      <w:r>
        <w:t xml:space="preserve"> 5.1 </w:t>
      </w:r>
      <w:r>
        <w:rPr>
          <w:rFonts w:cs="Arial"/>
        </w:rPr>
        <w:t>×</w:t>
      </w:r>
      <w:r>
        <w:t xml:space="preserve"> 10</w:t>
      </w:r>
      <w:r>
        <w:rPr>
          <w:rFonts w:ascii="Cambria Math" w:hAnsi="Cambria Math" w:cs="Cambria Math"/>
        </w:rPr>
        <w:t>⁻</w:t>
      </w:r>
      <w:r>
        <w:rPr>
          <w:rFonts w:cs="Arial"/>
        </w:rPr>
        <w:t>²</w:t>
      </w:r>
      <w:r>
        <w:t xml:space="preserve"> g mg</w:t>
      </w:r>
      <w:r>
        <w:rPr>
          <w:rFonts w:ascii="Cambria Math" w:hAnsi="Cambria Math" w:cs="Cambria Math"/>
        </w:rPr>
        <w:t>⁻</w:t>
      </w:r>
      <w:r>
        <w:rPr>
          <w:rFonts w:cs="Arial"/>
        </w:rPr>
        <w:t>¹</w:t>
      </w:r>
      <w:r>
        <w:t xml:space="preserve"> min</w:t>
      </w:r>
      <w:r>
        <w:rPr>
          <w:rFonts w:ascii="Cambria Math" w:hAnsi="Cambria Math" w:cs="Cambria Math"/>
        </w:rPr>
        <w:t>⁻</w:t>
      </w:r>
      <w:r>
        <w:rPr>
          <w:rFonts w:cs="Arial"/>
        </w:rPr>
        <w:t>¹</w:t>
      </w:r>
      <w:r>
        <w:t xml:space="preserve"> and R</w:t>
      </w:r>
      <w:r>
        <w:rPr>
          <w:rFonts w:cs="Arial"/>
        </w:rPr>
        <w:t>²</w:t>
      </w:r>
      <w:r>
        <w:t xml:space="preserve"> = 0.997, giving a half-uptake time t</w:t>
      </w:r>
      <w:r>
        <w:rPr>
          <w:rFonts w:ascii="Cambria Math" w:hAnsi="Cambria Math" w:cs="Cambria Math"/>
        </w:rPr>
        <w:t>₁</w:t>
      </w:r>
      <w:r>
        <w:t>/</w:t>
      </w:r>
      <w:r>
        <w:rPr>
          <w:rFonts w:ascii="Cambria Math" w:hAnsi="Cambria Math" w:cs="Cambria Math"/>
        </w:rPr>
        <w:t>₂</w:t>
      </w:r>
      <w:r>
        <w:t xml:space="preserve"> = 1/(k</w:t>
      </w:r>
      <w:r>
        <w:rPr>
          <w:rFonts w:ascii="Cambria Math" w:hAnsi="Cambria Math" w:cs="Cambria Math"/>
        </w:rPr>
        <w:t>₂</w:t>
      </w:r>
      <w:r>
        <w:rPr>
          <w:rFonts w:cs="Arial"/>
        </w:rPr>
        <w:t>·</w:t>
      </w:r>
      <w:r>
        <w:t>q</w:t>
      </w:r>
      <w:r>
        <w:rPr>
          <w:rFonts w:cs="Arial"/>
        </w:rPr>
        <w:t>ₑ</w:t>
      </w:r>
      <w:r>
        <w:t xml:space="preserve">) </w:t>
      </w:r>
      <w:r>
        <w:rPr>
          <w:rFonts w:cs="Arial"/>
        </w:rPr>
        <w:t>≈</w:t>
      </w:r>
      <w:r>
        <w:t xml:space="preserve"> 1.6 min and </w:t>
      </w:r>
      <w:r>
        <w:rPr>
          <w:rFonts w:cs="Arial"/>
        </w:rPr>
        <w:t>≈</w:t>
      </w:r>
      <w:r>
        <w:t xml:space="preserve"> 95 % saturation by 30 min, consistent with the plateau observed in Figure 2 and in the typical range reported for polar-organics uptake on natural clays (Zhao et al., 2022). The pseudo-first-order fit gave R² = 0.91, confirming that pseudo-second-order kinetics provide a substantially better description of the data.</w:t>
      </w:r>
    </w:p>
    <w:p w14:paraId="6C624112" w14:textId="77777777" w:rsidR="00096E15" w:rsidRDefault="00096E15" w:rsidP="00096E15">
      <w:pPr>
        <w:pStyle w:val="CETBodytext"/>
      </w:pPr>
      <w:r>
        <w:t>The equilibrium uptake derived from the dose curve in Figure 3 was fitted with the Langmuir isotherm:</w:t>
      </w:r>
    </w:p>
    <w:tbl>
      <w:tblPr>
        <w:tblW w:w="9214" w:type="dxa"/>
        <w:tblBorders>
          <w:top w:val="nil"/>
          <w:left w:val="nil"/>
          <w:bottom w:val="nil"/>
          <w:right w:val="nil"/>
          <w:insideH w:val="nil"/>
          <w:insideV w:val="nil"/>
        </w:tblBorders>
        <w:tblLayout w:type="fixed"/>
        <w:tblLook w:val="04A0" w:firstRow="1" w:lastRow="0" w:firstColumn="1" w:lastColumn="0" w:noHBand="0" w:noVBand="1"/>
      </w:tblPr>
      <w:tblGrid>
        <w:gridCol w:w="8214"/>
        <w:gridCol w:w="1000"/>
      </w:tblGrid>
      <w:tr w:rsidR="00096E15" w14:paraId="519BEA35" w14:textId="77777777" w:rsidTr="00BD6389">
        <w:tc>
          <w:tcPr>
            <w:tcW w:w="8214" w:type="dxa"/>
            <w:tcBorders>
              <w:top w:val="nil"/>
              <w:left w:val="nil"/>
              <w:bottom w:val="nil"/>
              <w:right w:val="nil"/>
            </w:tcBorders>
          </w:tcPr>
          <w:p w14:paraId="10673B97" w14:textId="4B7FACD9" w:rsidR="00096E15" w:rsidRPr="00831542" w:rsidRDefault="00831542" w:rsidP="00BD6389">
            <w:pPr>
              <w:pStyle w:val="CETEquation"/>
              <w:rPr>
                <w:i/>
              </w:rPr>
            </w:pPr>
            <m:oMathPara>
              <m:oMathParaPr>
                <m:jc m:val="left"/>
              </m:oMathParaPr>
              <m:oMath>
                <m:r>
                  <m:rPr>
                    <m:sty m:val="p"/>
                  </m:rPr>
                  <w:rPr>
                    <w:rFonts w:ascii="Cambria Math" w:hAnsi="Cambria Math" w:cs="Arial"/>
                    <w:lang w:val="en-US"/>
                  </w:rPr>
                  <m:t>qₑ = (qₘₐₓ·K_L·Cₑ) / (1 + K_L·Cₑ</m:t>
                </m:r>
                <m:r>
                  <m:rPr>
                    <m:sty m:val="p"/>
                  </m:rPr>
                  <w:rPr>
                    <w:rFonts w:ascii="Cambria Math" w:hAnsi="Cambria Math" w:cs="Arial"/>
                    <w:lang w:val="en-US"/>
                  </w:rPr>
                  <m:t>)</m:t>
                </m:r>
              </m:oMath>
            </m:oMathPara>
          </w:p>
        </w:tc>
        <w:tc>
          <w:tcPr>
            <w:tcW w:w="1000" w:type="dxa"/>
            <w:tcBorders>
              <w:top w:val="nil"/>
              <w:left w:val="nil"/>
              <w:bottom w:val="nil"/>
              <w:right w:val="nil"/>
            </w:tcBorders>
          </w:tcPr>
          <w:p w14:paraId="6365C0A2" w14:textId="77777777" w:rsidR="00096E15" w:rsidRDefault="00096E15" w:rsidP="00BD6389">
            <w:pPr>
              <w:pStyle w:val="CETEquation"/>
              <w:jc w:val="right"/>
            </w:pPr>
            <w:r>
              <w:t>(2)</w:t>
            </w:r>
          </w:p>
        </w:tc>
      </w:tr>
    </w:tbl>
    <w:p w14:paraId="6574C78C" w14:textId="77777777" w:rsidR="00096E15" w:rsidRDefault="00096E15" w:rsidP="00096E15">
      <w:pPr>
        <w:pStyle w:val="CETBodytext"/>
      </w:pPr>
      <w:r>
        <w:t>where Cₑ is the residual chromophore concentration, q</w:t>
      </w:r>
      <w:r>
        <w:rPr>
          <w:rFonts w:ascii="Cambria Math" w:hAnsi="Cambria Math" w:cs="Cambria Math"/>
        </w:rPr>
        <w:t>ₘ</w:t>
      </w:r>
      <w:r>
        <w:rPr>
          <w:rFonts w:cs="Arial"/>
        </w:rPr>
        <w:t>ₐₓ</w:t>
      </w:r>
      <w:r>
        <w:t xml:space="preserve"> (mg g</w:t>
      </w:r>
      <w:r>
        <w:rPr>
          <w:rFonts w:ascii="Cambria Math" w:hAnsi="Cambria Math" w:cs="Cambria Math"/>
        </w:rPr>
        <w:t>⁻</w:t>
      </w:r>
      <w:r>
        <w:rPr>
          <w:rFonts w:cs="Arial"/>
        </w:rPr>
        <w:t>¹</w:t>
      </w:r>
      <w:r>
        <w:t>) the saturation capacity and KL (L mg</w:t>
      </w:r>
      <w:r>
        <w:rPr>
          <w:rFonts w:ascii="Cambria Math" w:hAnsi="Cambria Math" w:cs="Cambria Math"/>
        </w:rPr>
        <w:t>⁻</w:t>
      </w:r>
      <w:r>
        <w:rPr>
          <w:rFonts w:cs="Arial"/>
        </w:rPr>
        <w:t>¹</w:t>
      </w:r>
      <w:r>
        <w:t>) the Langmuir affinity constant. The non-linear fit converged on q</w:t>
      </w:r>
      <w:r>
        <w:rPr>
          <w:rFonts w:ascii="Cambria Math" w:hAnsi="Cambria Math" w:cs="Cambria Math"/>
        </w:rPr>
        <w:t>ₘ</w:t>
      </w:r>
      <w:r>
        <w:rPr>
          <w:rFonts w:cs="Arial"/>
        </w:rPr>
        <w:t>ₐₓ</w:t>
      </w:r>
      <w:r>
        <w:t xml:space="preserve"> </w:t>
      </w:r>
      <w:r>
        <w:rPr>
          <w:rFonts w:cs="Arial"/>
        </w:rPr>
        <w:t>≈</w:t>
      </w:r>
      <w:r>
        <w:t xml:space="preserve"> 14.1 mg g</w:t>
      </w:r>
      <w:r>
        <w:rPr>
          <w:rFonts w:ascii="Cambria Math" w:hAnsi="Cambria Math" w:cs="Cambria Math"/>
        </w:rPr>
        <w:t>⁻</w:t>
      </w:r>
      <w:r>
        <w:rPr>
          <w:rFonts w:cs="Arial"/>
        </w:rPr>
        <w:t>¹</w:t>
      </w:r>
      <w:r>
        <w:t xml:space="preserve"> and KL </w:t>
      </w:r>
      <w:r>
        <w:rPr>
          <w:rFonts w:cs="Arial"/>
        </w:rPr>
        <w:t>≈</w:t>
      </w:r>
      <w:r>
        <w:t xml:space="preserve"> 2.3 L mg</w:t>
      </w:r>
      <w:r>
        <w:rPr>
          <w:rFonts w:ascii="Cambria Math" w:hAnsi="Cambria Math" w:cs="Cambria Math"/>
        </w:rPr>
        <w:t>⁻</w:t>
      </w:r>
      <w:r>
        <w:rPr>
          <w:rFonts w:cs="Arial"/>
        </w:rPr>
        <w:t>¹</w:t>
      </w:r>
      <w:r>
        <w:t xml:space="preserve"> (R</w:t>
      </w:r>
      <w:r>
        <w:rPr>
          <w:rFonts w:cs="Arial"/>
        </w:rPr>
        <w:t>²</w:t>
      </w:r>
      <w:r>
        <w:t xml:space="preserve"> = 0.985), </w:t>
      </w:r>
      <w:r w:rsidRPr="00160209">
        <w:rPr>
          <w:lang w:val="en-GB"/>
        </w:rPr>
        <w:t xml:space="preserve">with a dimensionless separation factor </w:t>
      </w:r>
      <w:r w:rsidRPr="00160209">
        <w:rPr>
          <w:i/>
          <w:iCs/>
          <w:lang w:val="en-GB"/>
        </w:rPr>
        <w:t>R</w:t>
      </w:r>
      <w:r w:rsidRPr="00160209">
        <w:rPr>
          <w:lang w:val="en-GB"/>
        </w:rPr>
        <w:t xml:space="preserve">L = 1/(1 + </w:t>
      </w:r>
      <w:r w:rsidRPr="00160209">
        <w:rPr>
          <w:i/>
          <w:iCs/>
          <w:lang w:val="en-GB"/>
        </w:rPr>
        <w:t>K</w:t>
      </w:r>
      <w:r w:rsidRPr="00160209">
        <w:rPr>
          <w:lang w:val="en-GB"/>
        </w:rPr>
        <w:t>L·</w:t>
      </w:r>
      <w:r w:rsidRPr="00160209">
        <w:rPr>
          <w:i/>
          <w:iCs/>
          <w:lang w:val="en-GB"/>
        </w:rPr>
        <w:t>C</w:t>
      </w:r>
      <w:r w:rsidRPr="00160209">
        <w:rPr>
          <w:rFonts w:ascii="Cambria Math" w:hAnsi="Cambria Math" w:cs="Cambria Math"/>
          <w:lang w:val="en-GB"/>
        </w:rPr>
        <w:t>₀</w:t>
      </w:r>
      <w:r w:rsidRPr="00160209">
        <w:rPr>
          <w:lang w:val="en-GB"/>
        </w:rPr>
        <w:t>) in the 0.05</w:t>
      </w:r>
      <w:r w:rsidRPr="00160209">
        <w:rPr>
          <w:rFonts w:cs="Arial"/>
          <w:lang w:val="en-GB"/>
        </w:rPr>
        <w:t>–</w:t>
      </w:r>
      <w:r w:rsidRPr="00160209">
        <w:rPr>
          <w:lang w:val="en-GB"/>
        </w:rPr>
        <w:t xml:space="preserve">0.18 range across an estimated initial chromophore concentration interval </w:t>
      </w:r>
      <w:r w:rsidRPr="00160209">
        <w:rPr>
          <w:i/>
          <w:iCs/>
          <w:lang w:val="en-GB"/>
        </w:rPr>
        <w:t>C</w:t>
      </w:r>
      <w:r w:rsidRPr="00160209">
        <w:rPr>
          <w:rFonts w:ascii="Cambria Math" w:hAnsi="Cambria Math" w:cs="Cambria Math"/>
          <w:lang w:val="en-GB"/>
        </w:rPr>
        <w:t>₀</w:t>
      </w:r>
      <w:r w:rsidRPr="00160209">
        <w:rPr>
          <w:lang w:val="en-GB"/>
        </w:rPr>
        <w:t xml:space="preserve"> </w:t>
      </w:r>
      <w:r w:rsidRPr="00160209">
        <w:rPr>
          <w:rFonts w:cs="Arial"/>
          <w:lang w:val="en-GB"/>
        </w:rPr>
        <w:t>≈</w:t>
      </w:r>
      <w:r w:rsidRPr="00160209">
        <w:rPr>
          <w:lang w:val="en-GB"/>
        </w:rPr>
        <w:t xml:space="preserve"> 1.5</w:t>
      </w:r>
      <w:r w:rsidRPr="00160209">
        <w:rPr>
          <w:rFonts w:cs="Arial"/>
          <w:lang w:val="en-GB"/>
        </w:rPr>
        <w:t>–</w:t>
      </w:r>
      <w:r w:rsidRPr="00160209">
        <w:rPr>
          <w:lang w:val="en-GB"/>
        </w:rPr>
        <w:t>8 mg L</w:t>
      </w:r>
      <w:r w:rsidRPr="00160209">
        <w:rPr>
          <w:rFonts w:ascii="Cambria Math" w:hAnsi="Cambria Math" w:cs="Cambria Math"/>
          <w:lang w:val="en-GB"/>
        </w:rPr>
        <w:t>⁻</w:t>
      </w:r>
      <w:r w:rsidRPr="00160209">
        <w:rPr>
          <w:rFonts w:cs="Arial"/>
          <w:lang w:val="en-GB"/>
        </w:rPr>
        <w:t>¹</w:t>
      </w:r>
      <w:r w:rsidRPr="00160209">
        <w:rPr>
          <w:lang w:val="en-GB"/>
        </w:rPr>
        <w:t xml:space="preserve"> in the molten LMW-PE phase, confirming highly favourable adsorption (0 &lt; </w:t>
      </w:r>
      <w:r w:rsidRPr="00160209">
        <w:rPr>
          <w:i/>
          <w:iCs/>
          <w:lang w:val="en-GB"/>
        </w:rPr>
        <w:t>R</w:t>
      </w:r>
      <w:r w:rsidRPr="00160209">
        <w:rPr>
          <w:lang w:val="en-GB"/>
        </w:rPr>
        <w:t>L &lt; 1</w:t>
      </w:r>
      <w:r>
        <w:rPr>
          <w:lang w:val="en-GB"/>
        </w:rPr>
        <w:t>).</w:t>
      </w:r>
      <w:r w:rsidRPr="00160209">
        <w:rPr>
          <w:lang w:val="en-GB"/>
        </w:rPr>
        <w:t xml:space="preserve"> A Freundlich fit (</w:t>
      </w:r>
      <w:r w:rsidRPr="00160209">
        <w:rPr>
          <w:i/>
          <w:iCs/>
          <w:lang w:val="en-GB"/>
        </w:rPr>
        <w:t>q</w:t>
      </w:r>
      <w:r w:rsidRPr="00160209">
        <w:rPr>
          <w:lang w:val="en-GB"/>
        </w:rPr>
        <w:t xml:space="preserve">ₑ = </w:t>
      </w:r>
      <w:r w:rsidRPr="00160209">
        <w:rPr>
          <w:i/>
          <w:iCs/>
          <w:lang w:val="en-GB"/>
        </w:rPr>
        <w:t>K</w:t>
      </w:r>
      <w:r w:rsidRPr="00160209">
        <w:rPr>
          <w:lang w:val="en-GB"/>
        </w:rPr>
        <w:t>F·</w:t>
      </w:r>
      <w:r w:rsidRPr="00160209">
        <w:rPr>
          <w:i/>
          <w:iCs/>
          <w:lang w:val="en-GB"/>
        </w:rPr>
        <w:t>C</w:t>
      </w:r>
      <w:r w:rsidRPr="00160209">
        <w:rPr>
          <w:lang w:val="en-GB"/>
        </w:rPr>
        <w:t xml:space="preserve">ₑ^(1/n)) was inferior (R² = 0.94) and yielded </w:t>
      </w:r>
      <w:r w:rsidRPr="00160209">
        <w:rPr>
          <w:i/>
          <w:iCs/>
          <w:lang w:val="en-GB"/>
        </w:rPr>
        <w:t>K</w:t>
      </w:r>
      <w:r w:rsidRPr="00160209">
        <w:rPr>
          <w:lang w:val="en-GB"/>
        </w:rPr>
        <w:t>F ≈ 4.8 (mg g</w:t>
      </w:r>
      <w:r w:rsidRPr="00160209">
        <w:rPr>
          <w:rFonts w:ascii="Cambria Math" w:hAnsi="Cambria Math" w:cs="Cambria Math"/>
          <w:lang w:val="en-GB"/>
        </w:rPr>
        <w:t>⁻</w:t>
      </w:r>
      <w:r w:rsidRPr="00160209">
        <w:rPr>
          <w:rFonts w:cs="Arial"/>
          <w:lang w:val="en-GB"/>
        </w:rPr>
        <w:t>¹</w:t>
      </w:r>
      <w:r w:rsidRPr="00160209">
        <w:rPr>
          <w:lang w:val="en-GB"/>
        </w:rPr>
        <w:t>)(L mg</w:t>
      </w:r>
      <w:r w:rsidRPr="00160209">
        <w:rPr>
          <w:rFonts w:ascii="Cambria Math" w:hAnsi="Cambria Math" w:cs="Cambria Math"/>
          <w:lang w:val="en-GB"/>
        </w:rPr>
        <w:t>⁻</w:t>
      </w:r>
      <w:r w:rsidRPr="00160209">
        <w:rPr>
          <w:rFonts w:cs="Arial"/>
          <w:lang w:val="en-GB"/>
        </w:rPr>
        <w:t>¹</w:t>
      </w:r>
      <w:r w:rsidRPr="00160209">
        <w:rPr>
          <w:lang w:val="en-GB"/>
        </w:rPr>
        <w:t>)^(1/n) and 1/n = 0.31 (</w:t>
      </w:r>
      <w:r w:rsidRPr="00160209">
        <w:rPr>
          <w:i/>
          <w:iCs/>
          <w:lang w:val="en-GB"/>
        </w:rPr>
        <w:t>n</w:t>
      </w:r>
      <w:r w:rsidRPr="00160209">
        <w:rPr>
          <w:lang w:val="en-GB"/>
        </w:rPr>
        <w:t xml:space="preserve"> = 3.2), supporting the dominant role of monolayer-type uptake on the bentonite surface, while the moderate site heterogeneity reflects the natural mineral matrix.</w:t>
      </w:r>
      <w:r>
        <w:t xml:space="preserve"> These parameters rationalise the WI plateau observed at 20 wt% bentonite: above this loading, surface sites are no longer limiting and additional adsorbent contributes only via non-selective polymer retention in the filter cake.</w:t>
      </w:r>
    </w:p>
    <w:p w14:paraId="4C182CF6" w14:textId="77777777" w:rsidR="00096E15" w:rsidRDefault="00096E15" w:rsidP="00096E15">
      <w:pPr>
        <w:pStyle w:val="CETheadingx"/>
      </w:pPr>
      <w:r>
        <w:lastRenderedPageBreak/>
        <w:t>FTIR analysis of the chromophores</w:t>
      </w:r>
    </w:p>
    <w:p w14:paraId="5681B0CF" w14:textId="77777777" w:rsidR="00096E15" w:rsidRDefault="00096E15" w:rsidP="00096E15">
      <w:pPr>
        <w:pStyle w:val="CETBodytext"/>
      </w:pPr>
      <w:r>
        <w:t>Figure 4 contrasts the ATR-FTIR spectra of the white reference, the grey feedstock and the bentonite-treated product. The PE skeletal bands — asymmetric and symmetric CH</w:t>
      </w:r>
      <w:r>
        <w:rPr>
          <w:rFonts w:ascii="Cambria Math" w:hAnsi="Cambria Math" w:cs="Cambria Math"/>
        </w:rPr>
        <w:t>₂</w:t>
      </w:r>
      <w:r>
        <w:t xml:space="preserve"> stretching at 2916 and 2848 cm</w:t>
      </w:r>
      <w:r>
        <w:rPr>
          <w:rFonts w:ascii="Cambria Math" w:hAnsi="Cambria Math" w:cs="Cambria Math"/>
        </w:rPr>
        <w:t>⁻</w:t>
      </w:r>
      <w:r>
        <w:rPr>
          <w:rFonts w:cs="Arial"/>
        </w:rPr>
        <w:t>¹</w:t>
      </w:r>
      <w:r>
        <w:t>, CH</w:t>
      </w:r>
      <w:r>
        <w:rPr>
          <w:rFonts w:ascii="Cambria Math" w:hAnsi="Cambria Math" w:cs="Cambria Math"/>
        </w:rPr>
        <w:t>₂</w:t>
      </w:r>
      <w:r>
        <w:t xml:space="preserve"> bending near 1465 cm</w:t>
      </w:r>
      <w:r>
        <w:rPr>
          <w:rFonts w:ascii="Cambria Math" w:hAnsi="Cambria Math" w:cs="Cambria Math"/>
        </w:rPr>
        <w:t>⁻</w:t>
      </w:r>
      <w:r>
        <w:rPr>
          <w:rFonts w:cs="Arial"/>
        </w:rPr>
        <w:t>¹</w:t>
      </w:r>
      <w:r>
        <w:t xml:space="preserve"> and methylene rocking at 720 cm</w:t>
      </w:r>
      <w:r>
        <w:rPr>
          <w:rFonts w:ascii="Cambria Math" w:hAnsi="Cambria Math" w:cs="Cambria Math"/>
        </w:rPr>
        <w:t>⁻</w:t>
      </w:r>
      <w:r>
        <w:rPr>
          <w:rFonts w:cs="Arial"/>
        </w:rPr>
        <w:t>¹</w:t>
      </w:r>
      <w:r>
        <w:t xml:space="preserve"> </w:t>
      </w:r>
      <w:r>
        <w:rPr>
          <w:rFonts w:cs="Arial"/>
        </w:rPr>
        <w:t>—</w:t>
      </w:r>
      <w:r>
        <w:t xml:space="preserve"> are essentially identical across the three samples, confirming that the polymer main chain is preserved and that the colour difference arises from trace multifunctional impurities (Gugumus, 1996; Smith, 2021; Gulmine et al., 2002).</w:t>
      </w:r>
    </w:p>
    <w:p w14:paraId="4868CE10" w14:textId="6EF13E50" w:rsidR="00096E15" w:rsidRDefault="00E01461" w:rsidP="00A263AD">
      <w:pPr>
        <w:pStyle w:val="CETCaption"/>
      </w:pPr>
      <w:r>
        <w:rPr>
          <w:noProof/>
        </w:rPr>
        <w:drawing>
          <wp:inline distT="0" distB="0" distL="0" distR="0" wp14:anchorId="0BBDD428" wp14:editId="59BDE10C">
            <wp:extent cx="3429000" cy="2405782"/>
            <wp:effectExtent l="0" t="0" r="0" b="0"/>
            <wp:docPr id="606621476"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429000" cy="2405782"/>
                    </a:xfrm>
                    <a:prstGeom prst="rect">
                      <a:avLst/>
                    </a:prstGeom>
                    <a:noFill/>
                  </pic:spPr>
                </pic:pic>
              </a:graphicData>
            </a:graphic>
          </wp:inline>
        </w:drawing>
      </w:r>
    </w:p>
    <w:p w14:paraId="77B625FC" w14:textId="77777777" w:rsidR="00096E15" w:rsidRDefault="00096E15" w:rsidP="00096E15">
      <w:pPr>
        <w:pStyle w:val="CETCaption"/>
      </w:pPr>
      <w:r>
        <w:t>Figure 4: Stacked ATR-FTIR spectra of (a) white LMW-PE (reference, green), (b) grey LMW-PE feedstock (red) and (c) bentonite-treated LMW-PE (blue), sharing a common wavenumber axis. Shaded vertical bands mark the 3367, 1654 and 1050 cm</w:t>
      </w:r>
      <w:r>
        <w:rPr>
          <w:rFonts w:ascii="Cambria Math" w:hAnsi="Cambria Math" w:cs="Cambria Math"/>
        </w:rPr>
        <w:t>⁻</w:t>
      </w:r>
      <w:r>
        <w:rPr>
          <w:rFonts w:cs="Arial"/>
        </w:rPr>
        <w:t>¹</w:t>
      </w:r>
      <w:r>
        <w:t xml:space="preserve"> diagnostic regions.</w:t>
      </w:r>
    </w:p>
    <w:p w14:paraId="21DC1D26" w14:textId="77777777" w:rsidR="00096E15" w:rsidRDefault="00096E15" w:rsidP="00096E15">
      <w:pPr>
        <w:pStyle w:val="CETBodytext"/>
      </w:pPr>
      <w:r>
        <w:t>The spectral differences are confined to three diagnostic windows (Table 2). The 1660–1650 cm</w:t>
      </w:r>
      <w:r>
        <w:rPr>
          <w:rFonts w:ascii="Cambria Math" w:hAnsi="Cambria Math" w:cs="Cambria Math"/>
        </w:rPr>
        <w:t>⁻</w:t>
      </w:r>
      <w:r>
        <w:rPr>
          <w:rFonts w:cs="Arial"/>
        </w:rPr>
        <w:t>¹</w:t>
      </w:r>
      <w:r>
        <w:t xml:space="preserve"> band, attributed to conjugated C=C and C=C-C=O </w:t>
      </w:r>
      <w:r>
        <w:rPr>
          <w:rFonts w:cs="Arial"/>
        </w:rPr>
        <w:t>π</w:t>
      </w:r>
      <w:r>
        <w:t xml:space="preserve">-systems (Gugumus, 1996; Smith, 2021; Gulmine et al., 2002), is intense in the grey feedstock and absent in the white reference; it reflects dienone and polyene species which, by analogy with </w:t>
      </w:r>
      <w:r>
        <w:rPr>
          <w:rFonts w:cs="Arial"/>
        </w:rPr>
        <w:t>β</w:t>
      </w:r>
      <w:r>
        <w:t>-carotene-type colour centres, generate a strong grey-to-yellow appearance even at trace levels.</w:t>
      </w:r>
    </w:p>
    <w:p w14:paraId="1457042A" w14:textId="77777777" w:rsidR="00096E15" w:rsidRDefault="00096E15" w:rsidP="00096E15">
      <w:pPr>
        <w:pStyle w:val="CETTabletitle"/>
      </w:pPr>
      <w:r>
        <w:t>Table 2: Diagnostic FTIR bands linked to the grey colour of LMW-PE.</w:t>
      </w:r>
    </w:p>
    <w:tbl>
      <w:tblPr>
        <w:tblW w:w="0" w:type="auto"/>
        <w:tblBorders>
          <w:top w:val="single" w:sz="6" w:space="0" w:color="339933"/>
          <w:left w:val="nil"/>
          <w:bottom w:val="single" w:sz="6" w:space="0" w:color="339933"/>
          <w:right w:val="nil"/>
          <w:insideH w:val="nil"/>
          <w:insideV w:val="nil"/>
        </w:tblBorders>
        <w:tblLayout w:type="fixed"/>
        <w:tblLook w:val="04A0" w:firstRow="1" w:lastRow="0" w:firstColumn="1" w:lastColumn="0" w:noHBand="0" w:noVBand="1"/>
      </w:tblPr>
      <w:tblGrid>
        <w:gridCol w:w="1531"/>
        <w:gridCol w:w="2098"/>
        <w:gridCol w:w="3061"/>
        <w:gridCol w:w="2381"/>
      </w:tblGrid>
      <w:tr w:rsidR="00096E15" w:rsidRPr="00E0626E" w14:paraId="5A67BE57" w14:textId="77777777" w:rsidTr="00BD6389">
        <w:tc>
          <w:tcPr>
            <w:tcW w:w="1531" w:type="dxa"/>
          </w:tcPr>
          <w:p w14:paraId="69476C10" w14:textId="77777777" w:rsidR="00096E15" w:rsidRPr="00754AA4" w:rsidRDefault="00096E15" w:rsidP="00BD6389">
            <w:pPr>
              <w:pStyle w:val="CETBodytext"/>
              <w:rPr>
                <w:sz w:val="14"/>
                <w:szCs w:val="14"/>
              </w:rPr>
            </w:pPr>
            <w:r w:rsidRPr="00754AA4">
              <w:rPr>
                <w:sz w:val="14"/>
                <w:szCs w:val="14"/>
              </w:rPr>
              <w:t>Wavenumber (cm</w:t>
            </w:r>
            <w:r w:rsidRPr="00754AA4">
              <w:rPr>
                <w:rFonts w:ascii="Cambria Math" w:hAnsi="Cambria Math" w:cs="Cambria Math"/>
                <w:sz w:val="14"/>
                <w:szCs w:val="14"/>
              </w:rPr>
              <w:t>⁻</w:t>
            </w:r>
            <w:r w:rsidRPr="00754AA4">
              <w:rPr>
                <w:rFonts w:cs="Arial"/>
                <w:sz w:val="14"/>
                <w:szCs w:val="14"/>
              </w:rPr>
              <w:t>¹</w:t>
            </w:r>
            <w:r w:rsidRPr="00754AA4">
              <w:rPr>
                <w:sz w:val="14"/>
                <w:szCs w:val="14"/>
              </w:rPr>
              <w:t>)</w:t>
            </w:r>
          </w:p>
        </w:tc>
        <w:tc>
          <w:tcPr>
            <w:tcW w:w="2098" w:type="dxa"/>
          </w:tcPr>
          <w:p w14:paraId="7409937A" w14:textId="77777777" w:rsidR="00096E15" w:rsidRPr="00754AA4" w:rsidRDefault="00096E15" w:rsidP="00BD6389">
            <w:pPr>
              <w:pStyle w:val="CETBodytext"/>
              <w:rPr>
                <w:sz w:val="14"/>
                <w:szCs w:val="14"/>
              </w:rPr>
            </w:pPr>
            <w:r w:rsidRPr="00754AA4">
              <w:rPr>
                <w:sz w:val="14"/>
                <w:szCs w:val="14"/>
              </w:rPr>
              <w:t>Functional group</w:t>
            </w:r>
          </w:p>
        </w:tc>
        <w:tc>
          <w:tcPr>
            <w:tcW w:w="3061" w:type="dxa"/>
          </w:tcPr>
          <w:p w14:paraId="2E6B9E37" w14:textId="77777777" w:rsidR="00096E15" w:rsidRPr="00754AA4" w:rsidRDefault="00096E15" w:rsidP="00BD6389">
            <w:pPr>
              <w:pStyle w:val="CETBodytext"/>
              <w:rPr>
                <w:sz w:val="14"/>
                <w:szCs w:val="14"/>
              </w:rPr>
            </w:pPr>
            <w:r w:rsidRPr="00754AA4">
              <w:rPr>
                <w:sz w:val="14"/>
                <w:szCs w:val="14"/>
              </w:rPr>
              <w:t>Origin</w:t>
            </w:r>
          </w:p>
        </w:tc>
        <w:tc>
          <w:tcPr>
            <w:tcW w:w="2381" w:type="dxa"/>
          </w:tcPr>
          <w:p w14:paraId="71A17739" w14:textId="77777777" w:rsidR="00096E15" w:rsidRPr="00754AA4" w:rsidRDefault="00096E15" w:rsidP="00BD6389">
            <w:pPr>
              <w:pStyle w:val="CETBodytext"/>
              <w:rPr>
                <w:sz w:val="14"/>
                <w:szCs w:val="14"/>
              </w:rPr>
            </w:pPr>
            <w:r w:rsidRPr="00754AA4">
              <w:rPr>
                <w:sz w:val="14"/>
                <w:szCs w:val="14"/>
              </w:rPr>
              <w:t>Effect on colour</w:t>
            </w:r>
          </w:p>
        </w:tc>
      </w:tr>
      <w:tr w:rsidR="00096E15" w:rsidRPr="00E0626E" w14:paraId="6F0C92E6" w14:textId="77777777" w:rsidTr="00BD6389">
        <w:tc>
          <w:tcPr>
            <w:tcW w:w="1531" w:type="dxa"/>
          </w:tcPr>
          <w:p w14:paraId="58FDFA87" w14:textId="77777777" w:rsidR="00096E15" w:rsidRPr="00754AA4" w:rsidRDefault="00096E15" w:rsidP="00BD6389">
            <w:pPr>
              <w:pStyle w:val="CETBodytext"/>
              <w:rPr>
                <w:sz w:val="14"/>
                <w:szCs w:val="14"/>
              </w:rPr>
            </w:pPr>
            <w:r w:rsidRPr="00754AA4">
              <w:rPr>
                <w:sz w:val="14"/>
                <w:szCs w:val="14"/>
              </w:rPr>
              <w:t>3390–3360</w:t>
            </w:r>
          </w:p>
        </w:tc>
        <w:tc>
          <w:tcPr>
            <w:tcW w:w="2098" w:type="dxa"/>
          </w:tcPr>
          <w:p w14:paraId="2280EE9A" w14:textId="77777777" w:rsidR="00096E15" w:rsidRPr="00754AA4" w:rsidRDefault="00096E15" w:rsidP="00BD6389">
            <w:pPr>
              <w:pStyle w:val="CETBodytext"/>
              <w:rPr>
                <w:sz w:val="14"/>
                <w:szCs w:val="14"/>
              </w:rPr>
            </w:pPr>
            <w:r w:rsidRPr="00754AA4">
              <w:rPr>
                <w:sz w:val="14"/>
                <w:szCs w:val="14"/>
              </w:rPr>
              <w:t>ν(O–H), H-bonded hydroxyl</w:t>
            </w:r>
          </w:p>
        </w:tc>
        <w:tc>
          <w:tcPr>
            <w:tcW w:w="3061" w:type="dxa"/>
          </w:tcPr>
          <w:p w14:paraId="474E5074" w14:textId="77777777" w:rsidR="00096E15" w:rsidRPr="00754AA4" w:rsidRDefault="00096E15" w:rsidP="00BD6389">
            <w:pPr>
              <w:pStyle w:val="CETBodytext"/>
              <w:rPr>
                <w:sz w:val="14"/>
                <w:szCs w:val="14"/>
              </w:rPr>
            </w:pPr>
            <w:r w:rsidRPr="00754AA4">
              <w:rPr>
                <w:sz w:val="14"/>
                <w:szCs w:val="14"/>
              </w:rPr>
              <w:t>Alcohols, carboxylic acids and adsorbed water from thermo-oxidation</w:t>
            </w:r>
          </w:p>
        </w:tc>
        <w:tc>
          <w:tcPr>
            <w:tcW w:w="2381" w:type="dxa"/>
          </w:tcPr>
          <w:p w14:paraId="2271490F" w14:textId="77777777" w:rsidR="00096E15" w:rsidRPr="00754AA4" w:rsidRDefault="00096E15" w:rsidP="00BD6389">
            <w:pPr>
              <w:pStyle w:val="CETBodytext"/>
              <w:rPr>
                <w:sz w:val="14"/>
                <w:szCs w:val="14"/>
              </w:rPr>
            </w:pPr>
            <w:r w:rsidRPr="00754AA4">
              <w:rPr>
                <w:sz w:val="14"/>
                <w:szCs w:val="14"/>
              </w:rPr>
              <w:t>Marker of polar species; indirect link to chromophore load</w:t>
            </w:r>
          </w:p>
        </w:tc>
      </w:tr>
      <w:tr w:rsidR="00096E15" w:rsidRPr="00E0626E" w14:paraId="5A75BE23" w14:textId="77777777" w:rsidTr="00BD6389">
        <w:tc>
          <w:tcPr>
            <w:tcW w:w="1531" w:type="dxa"/>
          </w:tcPr>
          <w:p w14:paraId="506C6236" w14:textId="77777777" w:rsidR="00096E15" w:rsidRPr="00754AA4" w:rsidRDefault="00096E15" w:rsidP="00BD6389">
            <w:pPr>
              <w:pStyle w:val="CETBodytext"/>
              <w:rPr>
                <w:sz w:val="14"/>
                <w:szCs w:val="14"/>
              </w:rPr>
            </w:pPr>
            <w:r w:rsidRPr="00754AA4">
              <w:rPr>
                <w:sz w:val="14"/>
                <w:szCs w:val="14"/>
              </w:rPr>
              <w:t>2916–2848</w:t>
            </w:r>
          </w:p>
        </w:tc>
        <w:tc>
          <w:tcPr>
            <w:tcW w:w="2098" w:type="dxa"/>
          </w:tcPr>
          <w:p w14:paraId="690097BE" w14:textId="77777777" w:rsidR="00096E15" w:rsidRPr="00754AA4" w:rsidRDefault="00096E15" w:rsidP="00BD6389">
            <w:pPr>
              <w:pStyle w:val="CETBodytext"/>
              <w:rPr>
                <w:sz w:val="14"/>
                <w:szCs w:val="14"/>
              </w:rPr>
            </w:pPr>
            <w:r w:rsidRPr="00754AA4">
              <w:rPr>
                <w:sz w:val="14"/>
                <w:szCs w:val="14"/>
              </w:rPr>
              <w:t>νₐ</w:t>
            </w:r>
            <w:r w:rsidRPr="00754AA4">
              <w:rPr>
                <w:rFonts w:ascii="Cambria Math" w:hAnsi="Cambria Math" w:cs="Cambria Math"/>
                <w:sz w:val="14"/>
                <w:szCs w:val="14"/>
              </w:rPr>
              <w:t>ₛ</w:t>
            </w:r>
            <w:r w:rsidRPr="00754AA4">
              <w:rPr>
                <w:sz w:val="14"/>
                <w:szCs w:val="14"/>
              </w:rPr>
              <w:t xml:space="preserve">, </w:t>
            </w:r>
            <w:r w:rsidRPr="00754AA4">
              <w:rPr>
                <w:rFonts w:cs="Arial"/>
                <w:sz w:val="14"/>
                <w:szCs w:val="14"/>
              </w:rPr>
              <w:t>ν</w:t>
            </w:r>
            <w:r w:rsidRPr="00754AA4">
              <w:rPr>
                <w:rFonts w:ascii="Cambria Math" w:hAnsi="Cambria Math" w:cs="Cambria Math"/>
                <w:sz w:val="14"/>
                <w:szCs w:val="14"/>
              </w:rPr>
              <w:t>ₛ</w:t>
            </w:r>
            <w:r w:rsidRPr="00754AA4">
              <w:rPr>
                <w:sz w:val="14"/>
                <w:szCs w:val="14"/>
              </w:rPr>
              <w:t xml:space="preserve"> (CH</w:t>
            </w:r>
            <w:r w:rsidRPr="00754AA4">
              <w:rPr>
                <w:rFonts w:ascii="Cambria Math" w:hAnsi="Cambria Math" w:cs="Cambria Math"/>
                <w:sz w:val="14"/>
                <w:szCs w:val="14"/>
              </w:rPr>
              <w:t>₂</w:t>
            </w:r>
            <w:r w:rsidRPr="00754AA4">
              <w:rPr>
                <w:sz w:val="14"/>
                <w:szCs w:val="14"/>
              </w:rPr>
              <w:t>) stretching</w:t>
            </w:r>
          </w:p>
        </w:tc>
        <w:tc>
          <w:tcPr>
            <w:tcW w:w="3061" w:type="dxa"/>
          </w:tcPr>
          <w:p w14:paraId="56CA43F7" w14:textId="77777777" w:rsidR="00096E15" w:rsidRPr="00754AA4" w:rsidRDefault="00096E15" w:rsidP="00BD6389">
            <w:pPr>
              <w:pStyle w:val="CETBodytext"/>
              <w:rPr>
                <w:sz w:val="14"/>
                <w:szCs w:val="14"/>
              </w:rPr>
            </w:pPr>
            <w:r w:rsidRPr="00754AA4">
              <w:rPr>
                <w:sz w:val="14"/>
                <w:szCs w:val="14"/>
              </w:rPr>
              <w:t>PE backbone methylene groups</w:t>
            </w:r>
          </w:p>
        </w:tc>
        <w:tc>
          <w:tcPr>
            <w:tcW w:w="2381" w:type="dxa"/>
          </w:tcPr>
          <w:p w14:paraId="289E42CF" w14:textId="77777777" w:rsidR="00096E15" w:rsidRPr="00754AA4" w:rsidRDefault="00096E15" w:rsidP="00BD6389">
            <w:pPr>
              <w:pStyle w:val="CETBodytext"/>
              <w:rPr>
                <w:sz w:val="14"/>
                <w:szCs w:val="14"/>
              </w:rPr>
            </w:pPr>
            <w:r w:rsidRPr="00754AA4">
              <w:rPr>
                <w:sz w:val="14"/>
                <w:szCs w:val="14"/>
              </w:rPr>
              <w:t>No colour; intensity identical in white and grey samples</w:t>
            </w:r>
          </w:p>
        </w:tc>
      </w:tr>
      <w:tr w:rsidR="00096E15" w:rsidRPr="00E0626E" w14:paraId="0BCA3BA3" w14:textId="77777777" w:rsidTr="00BD6389">
        <w:tc>
          <w:tcPr>
            <w:tcW w:w="1531" w:type="dxa"/>
          </w:tcPr>
          <w:p w14:paraId="720C34BB" w14:textId="77777777" w:rsidR="00096E15" w:rsidRPr="00754AA4" w:rsidRDefault="00096E15" w:rsidP="00BD6389">
            <w:pPr>
              <w:pStyle w:val="CETBodytext"/>
              <w:rPr>
                <w:sz w:val="14"/>
                <w:szCs w:val="14"/>
              </w:rPr>
            </w:pPr>
            <w:r w:rsidRPr="00754AA4">
              <w:rPr>
                <w:sz w:val="14"/>
                <w:szCs w:val="14"/>
              </w:rPr>
              <w:t>1720–1700</w:t>
            </w:r>
          </w:p>
        </w:tc>
        <w:tc>
          <w:tcPr>
            <w:tcW w:w="2098" w:type="dxa"/>
          </w:tcPr>
          <w:p w14:paraId="594FD8FA" w14:textId="77777777" w:rsidR="00096E15" w:rsidRPr="00754AA4" w:rsidRDefault="00096E15" w:rsidP="00BD6389">
            <w:pPr>
              <w:pStyle w:val="CETBodytext"/>
              <w:rPr>
                <w:sz w:val="14"/>
                <w:szCs w:val="14"/>
              </w:rPr>
            </w:pPr>
            <w:r w:rsidRPr="00754AA4">
              <w:rPr>
                <w:sz w:val="14"/>
                <w:szCs w:val="14"/>
              </w:rPr>
              <w:t>ν(C=O), ketone/carboxyl</w:t>
            </w:r>
          </w:p>
        </w:tc>
        <w:tc>
          <w:tcPr>
            <w:tcW w:w="3061" w:type="dxa"/>
          </w:tcPr>
          <w:p w14:paraId="6743D026" w14:textId="77777777" w:rsidR="00096E15" w:rsidRPr="00754AA4" w:rsidRDefault="00096E15" w:rsidP="00BD6389">
            <w:pPr>
              <w:pStyle w:val="CETBodytext"/>
              <w:rPr>
                <w:sz w:val="14"/>
                <w:szCs w:val="14"/>
              </w:rPr>
            </w:pPr>
            <w:r w:rsidRPr="00754AA4">
              <w:rPr>
                <w:sz w:val="14"/>
                <w:szCs w:val="14"/>
              </w:rPr>
              <w:t>Ketone and carboxylic-acid intermediates from thermo-oxidation</w:t>
            </w:r>
          </w:p>
        </w:tc>
        <w:tc>
          <w:tcPr>
            <w:tcW w:w="2381" w:type="dxa"/>
          </w:tcPr>
          <w:p w14:paraId="2F954023" w14:textId="77777777" w:rsidR="00096E15" w:rsidRPr="00754AA4" w:rsidRDefault="00096E15" w:rsidP="00BD6389">
            <w:pPr>
              <w:pStyle w:val="CETBodytext"/>
              <w:rPr>
                <w:sz w:val="14"/>
                <w:szCs w:val="14"/>
              </w:rPr>
            </w:pPr>
            <w:r w:rsidRPr="00754AA4">
              <w:rPr>
                <w:sz w:val="14"/>
                <w:szCs w:val="14"/>
              </w:rPr>
              <w:t>Precursor to conjugated chromophores; colourless by itself</w:t>
            </w:r>
          </w:p>
        </w:tc>
      </w:tr>
      <w:tr w:rsidR="00096E15" w:rsidRPr="00E0626E" w14:paraId="750B5694" w14:textId="77777777" w:rsidTr="00BD6389">
        <w:tc>
          <w:tcPr>
            <w:tcW w:w="1531" w:type="dxa"/>
          </w:tcPr>
          <w:p w14:paraId="685E832D" w14:textId="77777777" w:rsidR="00096E15" w:rsidRPr="00754AA4" w:rsidRDefault="00096E15" w:rsidP="00BD6389">
            <w:pPr>
              <w:pStyle w:val="CETBodytext"/>
              <w:rPr>
                <w:sz w:val="14"/>
                <w:szCs w:val="14"/>
              </w:rPr>
            </w:pPr>
            <w:r w:rsidRPr="00754AA4">
              <w:rPr>
                <w:sz w:val="14"/>
                <w:szCs w:val="14"/>
              </w:rPr>
              <w:t>1660–1650</w:t>
            </w:r>
          </w:p>
        </w:tc>
        <w:tc>
          <w:tcPr>
            <w:tcW w:w="2098" w:type="dxa"/>
          </w:tcPr>
          <w:p w14:paraId="0CDB4093" w14:textId="77777777" w:rsidR="00096E15" w:rsidRPr="00754AA4" w:rsidRDefault="00096E15" w:rsidP="00BD6389">
            <w:pPr>
              <w:pStyle w:val="CETBodytext"/>
              <w:rPr>
                <w:sz w:val="14"/>
                <w:szCs w:val="14"/>
              </w:rPr>
            </w:pPr>
            <w:r w:rsidRPr="00754AA4">
              <w:rPr>
                <w:sz w:val="14"/>
                <w:szCs w:val="14"/>
              </w:rPr>
              <w:t>Conjugated ν(C=C), C=C–C=O</w:t>
            </w:r>
          </w:p>
        </w:tc>
        <w:tc>
          <w:tcPr>
            <w:tcW w:w="3061" w:type="dxa"/>
          </w:tcPr>
          <w:p w14:paraId="5248F81B" w14:textId="77777777" w:rsidR="00096E15" w:rsidRPr="00754AA4" w:rsidRDefault="00096E15" w:rsidP="00BD6389">
            <w:pPr>
              <w:pStyle w:val="CETBodytext"/>
              <w:rPr>
                <w:sz w:val="14"/>
                <w:szCs w:val="14"/>
              </w:rPr>
            </w:pPr>
            <w:r w:rsidRPr="00754AA4">
              <w:rPr>
                <w:sz w:val="14"/>
                <w:szCs w:val="14"/>
              </w:rPr>
              <w:t>Polyene and dienone chromophores (β-carotene-like)</w:t>
            </w:r>
          </w:p>
        </w:tc>
        <w:tc>
          <w:tcPr>
            <w:tcW w:w="2381" w:type="dxa"/>
          </w:tcPr>
          <w:p w14:paraId="54630032" w14:textId="77777777" w:rsidR="00096E15" w:rsidRPr="00754AA4" w:rsidRDefault="00096E15" w:rsidP="00BD6389">
            <w:pPr>
              <w:pStyle w:val="CETBodytext"/>
              <w:rPr>
                <w:sz w:val="14"/>
                <w:szCs w:val="14"/>
              </w:rPr>
            </w:pPr>
            <w:r w:rsidRPr="00754AA4">
              <w:rPr>
                <w:sz w:val="14"/>
                <w:szCs w:val="14"/>
              </w:rPr>
              <w:t>Main colour centre; trace amounts produce grey-yellow tint</w:t>
            </w:r>
          </w:p>
        </w:tc>
      </w:tr>
      <w:tr w:rsidR="00096E15" w:rsidRPr="00E0626E" w14:paraId="42E082E9" w14:textId="77777777" w:rsidTr="00BD6389">
        <w:tc>
          <w:tcPr>
            <w:tcW w:w="1531" w:type="dxa"/>
          </w:tcPr>
          <w:p w14:paraId="4F05527E" w14:textId="77777777" w:rsidR="00096E15" w:rsidRPr="00754AA4" w:rsidRDefault="00096E15" w:rsidP="00BD6389">
            <w:pPr>
              <w:pStyle w:val="CETBodytext"/>
              <w:rPr>
                <w:sz w:val="14"/>
                <w:szCs w:val="14"/>
              </w:rPr>
            </w:pPr>
            <w:r w:rsidRPr="00754AA4">
              <w:rPr>
                <w:sz w:val="14"/>
                <w:szCs w:val="14"/>
              </w:rPr>
              <w:t>1050–1040</w:t>
            </w:r>
          </w:p>
        </w:tc>
        <w:tc>
          <w:tcPr>
            <w:tcW w:w="2098" w:type="dxa"/>
          </w:tcPr>
          <w:p w14:paraId="1A3A86D0" w14:textId="77777777" w:rsidR="00096E15" w:rsidRPr="00754AA4" w:rsidRDefault="00096E15" w:rsidP="00BD6389">
            <w:pPr>
              <w:pStyle w:val="CETBodytext"/>
              <w:rPr>
                <w:sz w:val="14"/>
                <w:szCs w:val="14"/>
              </w:rPr>
            </w:pPr>
            <w:r w:rsidRPr="00754AA4">
              <w:rPr>
                <w:sz w:val="14"/>
                <w:szCs w:val="14"/>
              </w:rPr>
              <w:t>ν(C–O), ether/peroxy-ether</w:t>
            </w:r>
          </w:p>
        </w:tc>
        <w:tc>
          <w:tcPr>
            <w:tcW w:w="3061" w:type="dxa"/>
          </w:tcPr>
          <w:p w14:paraId="5252A7A3" w14:textId="77777777" w:rsidR="00096E15" w:rsidRPr="00754AA4" w:rsidRDefault="00096E15" w:rsidP="00BD6389">
            <w:pPr>
              <w:pStyle w:val="CETBodytext"/>
              <w:rPr>
                <w:sz w:val="14"/>
                <w:szCs w:val="14"/>
              </w:rPr>
            </w:pPr>
            <w:r w:rsidRPr="00754AA4">
              <w:rPr>
                <w:sz w:val="14"/>
                <w:szCs w:val="14"/>
              </w:rPr>
              <w:t>Peroxide recombination and oxidised oligomer fragments</w:t>
            </w:r>
          </w:p>
        </w:tc>
        <w:tc>
          <w:tcPr>
            <w:tcW w:w="2381" w:type="dxa"/>
          </w:tcPr>
          <w:p w14:paraId="47F5FC65" w14:textId="77777777" w:rsidR="00096E15" w:rsidRPr="00754AA4" w:rsidRDefault="00096E15" w:rsidP="00BD6389">
            <w:pPr>
              <w:pStyle w:val="CETBodytext"/>
              <w:rPr>
                <w:sz w:val="14"/>
                <w:szCs w:val="14"/>
              </w:rPr>
            </w:pPr>
            <w:r w:rsidRPr="00754AA4">
              <w:rPr>
                <w:sz w:val="14"/>
                <w:szCs w:val="14"/>
              </w:rPr>
              <w:t>Marker of polar oxidised species; removal correlates with WI</w:t>
            </w:r>
          </w:p>
        </w:tc>
      </w:tr>
      <w:tr w:rsidR="00096E15" w:rsidRPr="00E0626E" w14:paraId="49F8A0ED" w14:textId="77777777" w:rsidTr="00BD6389">
        <w:tc>
          <w:tcPr>
            <w:tcW w:w="1531" w:type="dxa"/>
          </w:tcPr>
          <w:p w14:paraId="3A0B04C7" w14:textId="77777777" w:rsidR="00096E15" w:rsidRPr="00754AA4" w:rsidRDefault="00096E15" w:rsidP="00BD6389">
            <w:pPr>
              <w:pStyle w:val="CETBodytext"/>
              <w:rPr>
                <w:sz w:val="14"/>
                <w:szCs w:val="14"/>
              </w:rPr>
            </w:pPr>
            <w:r w:rsidRPr="00754AA4">
              <w:rPr>
                <w:sz w:val="14"/>
                <w:szCs w:val="14"/>
              </w:rPr>
              <w:t>1465, 720</w:t>
            </w:r>
          </w:p>
        </w:tc>
        <w:tc>
          <w:tcPr>
            <w:tcW w:w="2098" w:type="dxa"/>
          </w:tcPr>
          <w:p w14:paraId="53C321DB" w14:textId="77777777" w:rsidR="00096E15" w:rsidRPr="00754AA4" w:rsidRDefault="00096E15" w:rsidP="00BD6389">
            <w:pPr>
              <w:pStyle w:val="CETBodytext"/>
              <w:rPr>
                <w:sz w:val="14"/>
                <w:szCs w:val="14"/>
              </w:rPr>
            </w:pPr>
            <w:r w:rsidRPr="00754AA4">
              <w:rPr>
                <w:sz w:val="14"/>
                <w:szCs w:val="14"/>
              </w:rPr>
              <w:t>δ(CH</w:t>
            </w:r>
            <w:r w:rsidRPr="00754AA4">
              <w:rPr>
                <w:rFonts w:ascii="Cambria Math" w:hAnsi="Cambria Math" w:cs="Cambria Math"/>
                <w:sz w:val="14"/>
                <w:szCs w:val="14"/>
              </w:rPr>
              <w:t>₂</w:t>
            </w:r>
            <w:r w:rsidRPr="00754AA4">
              <w:rPr>
                <w:sz w:val="14"/>
                <w:szCs w:val="14"/>
              </w:rPr>
              <w:t>), (CH</w:t>
            </w:r>
            <w:r w:rsidRPr="00754AA4">
              <w:rPr>
                <w:rFonts w:ascii="Cambria Math" w:hAnsi="Cambria Math" w:cs="Cambria Math"/>
                <w:sz w:val="14"/>
                <w:szCs w:val="14"/>
              </w:rPr>
              <w:t>₂</w:t>
            </w:r>
            <w:r w:rsidRPr="00754AA4">
              <w:rPr>
                <w:sz w:val="14"/>
                <w:szCs w:val="14"/>
              </w:rPr>
              <w:t>)</w:t>
            </w:r>
            <w:r w:rsidRPr="00754AA4">
              <w:rPr>
                <w:rFonts w:ascii="Cambria Math" w:hAnsi="Cambria Math" w:cs="Cambria Math"/>
                <w:sz w:val="14"/>
                <w:szCs w:val="14"/>
              </w:rPr>
              <w:t>ₙ</w:t>
            </w:r>
            <w:r w:rsidRPr="00754AA4">
              <w:rPr>
                <w:sz w:val="14"/>
                <w:szCs w:val="14"/>
              </w:rPr>
              <w:t xml:space="preserve"> rocking</w:t>
            </w:r>
          </w:p>
        </w:tc>
        <w:tc>
          <w:tcPr>
            <w:tcW w:w="3061" w:type="dxa"/>
          </w:tcPr>
          <w:p w14:paraId="7FF6A70C" w14:textId="77777777" w:rsidR="00096E15" w:rsidRPr="00754AA4" w:rsidRDefault="00096E15" w:rsidP="00BD6389">
            <w:pPr>
              <w:pStyle w:val="CETBodytext"/>
              <w:rPr>
                <w:sz w:val="14"/>
                <w:szCs w:val="14"/>
              </w:rPr>
            </w:pPr>
            <w:r w:rsidRPr="00754AA4">
              <w:rPr>
                <w:sz w:val="14"/>
                <w:szCs w:val="14"/>
              </w:rPr>
              <w:t>PE backbone methylene and long –(CH</w:t>
            </w:r>
            <w:r w:rsidRPr="00754AA4">
              <w:rPr>
                <w:rFonts w:ascii="Cambria Math" w:hAnsi="Cambria Math" w:cs="Cambria Math"/>
                <w:sz w:val="14"/>
                <w:szCs w:val="14"/>
              </w:rPr>
              <w:t>₂</w:t>
            </w:r>
            <w:r w:rsidRPr="00754AA4">
              <w:rPr>
                <w:sz w:val="14"/>
                <w:szCs w:val="14"/>
              </w:rPr>
              <w:t>)</w:t>
            </w:r>
            <w:r w:rsidRPr="00754AA4">
              <w:rPr>
                <w:rFonts w:ascii="Cambria Math" w:hAnsi="Cambria Math" w:cs="Cambria Math"/>
                <w:sz w:val="14"/>
                <w:szCs w:val="14"/>
              </w:rPr>
              <w:t>ₙ</w:t>
            </w:r>
            <w:r w:rsidRPr="00754AA4">
              <w:rPr>
                <w:rFonts w:cs="Arial"/>
                <w:sz w:val="14"/>
                <w:szCs w:val="14"/>
              </w:rPr>
              <w:t>–</w:t>
            </w:r>
            <w:r w:rsidRPr="00754AA4">
              <w:rPr>
                <w:sz w:val="14"/>
                <w:szCs w:val="14"/>
              </w:rPr>
              <w:t xml:space="preserve"> segments</w:t>
            </w:r>
          </w:p>
        </w:tc>
        <w:tc>
          <w:tcPr>
            <w:tcW w:w="2381" w:type="dxa"/>
          </w:tcPr>
          <w:p w14:paraId="3473650E" w14:textId="77777777" w:rsidR="00096E15" w:rsidRPr="00754AA4" w:rsidRDefault="00096E15" w:rsidP="00BD6389">
            <w:pPr>
              <w:pStyle w:val="CETBodytext"/>
              <w:rPr>
                <w:sz w:val="14"/>
                <w:szCs w:val="14"/>
              </w:rPr>
            </w:pPr>
            <w:r w:rsidRPr="00754AA4">
              <w:rPr>
                <w:sz w:val="14"/>
                <w:szCs w:val="14"/>
              </w:rPr>
              <w:t>No effect on colour; confirms integrity of the PE chain</w:t>
            </w:r>
          </w:p>
        </w:tc>
      </w:tr>
    </w:tbl>
    <w:p w14:paraId="624291F1" w14:textId="77777777" w:rsidR="00096E15" w:rsidRDefault="00096E15" w:rsidP="00096E15">
      <w:pPr>
        <w:pStyle w:val="CETBodytext"/>
      </w:pPr>
      <w:r>
        <w:t>The 1050–1040 cm</w:t>
      </w:r>
      <w:r>
        <w:rPr>
          <w:rFonts w:ascii="Cambria Math" w:hAnsi="Cambria Math" w:cs="Cambria Math"/>
        </w:rPr>
        <w:t>⁻</w:t>
      </w:r>
      <w:r>
        <w:rPr>
          <w:rFonts w:cs="Arial"/>
        </w:rPr>
        <w:t>¹</w:t>
      </w:r>
      <w:r>
        <w:t xml:space="preserve"> region corresponds to C-O stretching in ether, peroxy-ether, alcohol and carbonate-type intermediates (Smith, 2021; Gulmine et al., 2002), present only in the grey feedstock and reflecting second-stage thermo-oxidation products. The broad 3390</w:t>
      </w:r>
      <w:r>
        <w:rPr>
          <w:rFonts w:cs="Arial"/>
        </w:rPr>
        <w:t>–</w:t>
      </w:r>
      <w:r>
        <w:t>3360 cm</w:t>
      </w:r>
      <w:r>
        <w:rPr>
          <w:rFonts w:ascii="Cambria Math" w:hAnsi="Cambria Math" w:cs="Cambria Math"/>
        </w:rPr>
        <w:t>⁻</w:t>
      </w:r>
      <w:r>
        <w:rPr>
          <w:rFonts w:cs="Arial"/>
        </w:rPr>
        <w:t>¹</w:t>
      </w:r>
      <w:r>
        <w:t xml:space="preserve"> O-H stretch (Coates, 2000) is wider and more intense in the grey sample, in line with a higher concentration of polar, hydrophilic micro-fractions. After bentonite treatment (Figure 4, curve c) the three diagnostic bands collapse to the baseline, while the PE backbone bands remain unchanged. Such selective depletion is consistent with capture of polar chromophores in the bentonite interlayer space and at silanol/aluminol surface groups through dipole-dipole and hydrogen-bonding interactions (Bergaya and Lagaly, 2013; Farmer, 1974); the micro- and mesoporous volume (≈ 4.4 nm dominant pore width) provides an additional size-selectivity that accommodates short oxidised oligomers while excluding the long PE chains.</w:t>
      </w:r>
    </w:p>
    <w:p w14:paraId="2EE5AF55" w14:textId="77777777" w:rsidR="00096E15" w:rsidRDefault="00096E15" w:rsidP="00096E15">
      <w:pPr>
        <w:pStyle w:val="CETHeading1"/>
      </w:pPr>
      <w:r>
        <w:lastRenderedPageBreak/>
        <w:t>Conclusions</w:t>
      </w:r>
    </w:p>
    <w:p w14:paraId="3C840F1E" w14:textId="77777777" w:rsidR="00096E15" w:rsidRDefault="00096E15" w:rsidP="00096E15">
      <w:pPr>
        <w:pStyle w:val="CETBodytext"/>
      </w:pPr>
      <w:r>
        <w:t>Grey low-molecular-weight polyethylene (WI</w:t>
      </w:r>
      <w:r>
        <w:rPr>
          <w:rFonts w:ascii="Cambria Math" w:hAnsi="Cambria Math" w:cs="Cambria Math"/>
        </w:rPr>
        <w:t>₀</w:t>
      </w:r>
      <w:r>
        <w:t xml:space="preserve"> = </w:t>
      </w:r>
      <w:r>
        <w:rPr>
          <w:rFonts w:cs="Arial"/>
        </w:rPr>
        <w:t>−</w:t>
      </w:r>
      <w:r>
        <w:t xml:space="preserve">24 </w:t>
      </w:r>
      <w:r>
        <w:rPr>
          <w:rFonts w:cs="Arial"/>
        </w:rPr>
        <w:t>±</w:t>
      </w:r>
      <w:r>
        <w:t xml:space="preserve"> 1.5, ASTM E313) produced industrially in Uzbekistan was successfully upgraded to wax-grade whiteness using a locally sourced PBG bentonite without any chemical activation. The most favourable bleaching outcome was reached at 150 </w:t>
      </w:r>
      <w:r>
        <w:rPr>
          <w:rFonts w:cs="Arial"/>
        </w:rPr>
        <w:t>°</w:t>
      </w:r>
      <w:r>
        <w:t xml:space="preserve">C, 30 min and 20 wt% adsorbent, giving WI = 70 </w:t>
      </w:r>
      <w:r>
        <w:rPr>
          <w:rFonts w:cs="Arial"/>
        </w:rPr>
        <w:t>±</w:t>
      </w:r>
      <w:r>
        <w:t xml:space="preserve"> 1.9 at a product yield of 94.3 </w:t>
      </w:r>
      <w:r>
        <w:rPr>
          <w:rFonts w:cs="Arial"/>
        </w:rPr>
        <w:t>±</w:t>
      </w:r>
      <w:r>
        <w:t xml:space="preserve"> 0.5 %. Penetration, drop point and melting temperature of the bleached product departed from the white reference by less than 1 %, confirming that the polymer matrix remains intact.</w:t>
      </w:r>
    </w:p>
    <w:p w14:paraId="3144D76D" w14:textId="77777777" w:rsidR="00096E15" w:rsidRDefault="00096E15" w:rsidP="00096E15">
      <w:pPr>
        <w:pStyle w:val="CETBodytext"/>
      </w:pPr>
      <w:r>
        <w:t>FTIR analysis isolated three chromophore windows characteristic of the grey feedstock — conjugated C=C / C=C-C=O π-systems at 1660–1650 cm</w:t>
      </w:r>
      <w:r>
        <w:rPr>
          <w:rFonts w:ascii="Cambria Math" w:hAnsi="Cambria Math" w:cs="Cambria Math"/>
        </w:rPr>
        <w:t>⁻</w:t>
      </w:r>
      <w:r>
        <w:rPr>
          <w:rFonts w:cs="Arial"/>
        </w:rPr>
        <w:t>¹</w:t>
      </w:r>
      <w:r>
        <w:t>, ether/peroxy-ether C-O at 1050</w:t>
      </w:r>
      <w:r>
        <w:rPr>
          <w:rFonts w:cs="Arial"/>
        </w:rPr>
        <w:t>–</w:t>
      </w:r>
      <w:r>
        <w:t>1040 cm</w:t>
      </w:r>
      <w:r>
        <w:rPr>
          <w:rFonts w:ascii="Cambria Math" w:hAnsi="Cambria Math" w:cs="Cambria Math"/>
        </w:rPr>
        <w:t>⁻</w:t>
      </w:r>
      <w:r>
        <w:rPr>
          <w:rFonts w:cs="Arial"/>
        </w:rPr>
        <w:t>¹</w:t>
      </w:r>
      <w:r>
        <w:t xml:space="preserve"> and hydrogen-bonded O-H at 3390</w:t>
      </w:r>
      <w:r>
        <w:rPr>
          <w:rFonts w:cs="Arial"/>
        </w:rPr>
        <w:t>–</w:t>
      </w:r>
      <w:r>
        <w:t>3360 cm</w:t>
      </w:r>
      <w:r>
        <w:rPr>
          <w:rFonts w:ascii="Cambria Math" w:hAnsi="Cambria Math" w:cs="Cambria Math"/>
        </w:rPr>
        <w:t>⁻</w:t>
      </w:r>
      <w:r>
        <w:rPr>
          <w:rFonts w:cs="Arial"/>
        </w:rPr>
        <w:t>¹</w:t>
      </w:r>
      <w:r>
        <w:t xml:space="preserve"> </w:t>
      </w:r>
      <w:r>
        <w:rPr>
          <w:rFonts w:cs="Arial"/>
        </w:rPr>
        <w:t>—</w:t>
      </w:r>
      <w:r>
        <w:t xml:space="preserve"> all of which decayed to the baseline after bentonite treatment, while the PE skeletal bands were preserved. The grey colour is therefore driven by trace oxidised polar micro-fractions rather than by bulk polymer degradation, and PBG bentonite removes these species selectively. The proposed route uses no hazardous reagents, relies on a locally available mineral and can be integrated into existing polyethylene-wax production lines; future work will address continuous operation, adsorbent regeneration and long-term colour stability (ASTM D6290).</w:t>
      </w:r>
    </w:p>
    <w:p w14:paraId="39094F28" w14:textId="77777777" w:rsidR="00096E15" w:rsidRDefault="00096E15" w:rsidP="00096E15">
      <w:pPr>
        <w:pStyle w:val="CETHeading1"/>
      </w:pPr>
      <w:r>
        <w:t>References</w:t>
      </w:r>
    </w:p>
    <w:p w14:paraId="352E9436" w14:textId="77777777" w:rsidR="00096E15" w:rsidRDefault="00096E15" w:rsidP="00096E15">
      <w:pPr>
        <w:pStyle w:val="CETReferencetext"/>
      </w:pPr>
      <w:r>
        <w:t>Bautista-Patacsil L., Magbitang M.A., Atega M.J., Eusebio R.C., Borines M., Maalihan R., Detras M.C., 2024, 3D-printing of zeolitic permeable reactive barrier (PRB) and its adsorptive performance in heavy metal removal, Chemical Engineering Transactions, 110, 427–432.</w:t>
      </w:r>
    </w:p>
    <w:p w14:paraId="56F8BDEC" w14:textId="77777777" w:rsidR="00096E15" w:rsidRDefault="00096E15" w:rsidP="00096E15">
      <w:pPr>
        <w:pStyle w:val="CETReferencetext"/>
      </w:pPr>
      <w:r>
        <w:t>Bergaya F., Lagaly G. (Eds.), 2013, Handbook of Clay Science, 2nd ed., Elsevier, Amsterdam, Netherlands.</w:t>
      </w:r>
    </w:p>
    <w:p w14:paraId="1F9AEC90" w14:textId="77777777" w:rsidR="00096E15" w:rsidRDefault="00096E15" w:rsidP="00096E15">
      <w:pPr>
        <w:pStyle w:val="CETReferencetext"/>
      </w:pPr>
      <w:r>
        <w:t>Bonvehi J.S., Orantes-Bermejo F.J., 2017, Reducing ochratoxin A and carcinogenic acaricide residues in beeswax by purification process, Journal of Food Process Engineering, 40(1), e12344.</w:t>
      </w:r>
    </w:p>
    <w:p w14:paraId="15722463" w14:textId="77777777" w:rsidR="00096E15" w:rsidRDefault="00096E15" w:rsidP="00096E15">
      <w:pPr>
        <w:pStyle w:val="CETReferencetext"/>
      </w:pPr>
      <w:r>
        <w:t>Coates J., 2000, Interpretation of infrared spectra, a practical approach, In: Encyclopedia of Analytical Chemistry, Wiley, Chichester, United Kingdom, 10815–10837.</w:t>
      </w:r>
    </w:p>
    <w:p w14:paraId="56EA95CC" w14:textId="77777777" w:rsidR="00096E15" w:rsidRDefault="00096E15" w:rsidP="00096E15">
      <w:pPr>
        <w:pStyle w:val="CETReferencetext"/>
      </w:pPr>
      <w:r>
        <w:t>Cossio Guzman W.F., Di Pietro C., Minelli M., Medri V., Frascari D., Pinelli D., Papa E., Landi E., Miccio F., 2025, Geopolymer-based adsorbents for pollutant removal: a tunable platform ranging from CO</w:t>
      </w:r>
      <w:r>
        <w:rPr>
          <w:rFonts w:ascii="Cambria Math" w:hAnsi="Cambria Math" w:cs="Cambria Math"/>
        </w:rPr>
        <w:t>₂</w:t>
      </w:r>
      <w:r>
        <w:t xml:space="preserve"> capture to nitrogen/phosphorus removal and recovery from wastewater, Chemical Engineering Transactions, 117, 919</w:t>
      </w:r>
      <w:r>
        <w:rPr>
          <w:rFonts w:cs="Arial"/>
        </w:rPr>
        <w:t>–</w:t>
      </w:r>
      <w:r>
        <w:t>924.</w:t>
      </w:r>
    </w:p>
    <w:p w14:paraId="008196EB" w14:textId="77777777" w:rsidR="00096E15" w:rsidRDefault="00096E15" w:rsidP="00096E15">
      <w:pPr>
        <w:pStyle w:val="CETReferencetext"/>
      </w:pPr>
      <w:r>
        <w:t>Duvall D.S., Edwards D.B., 1988, Oxidative degradation and colour development in polyethylene, Polymer Engineering and Science, 28(10), 677–682.</w:t>
      </w:r>
    </w:p>
    <w:p w14:paraId="068766C1" w14:textId="77777777" w:rsidR="00096E15" w:rsidRDefault="00096E15" w:rsidP="00096E15">
      <w:pPr>
        <w:pStyle w:val="CETReferencetext"/>
      </w:pPr>
      <w:r>
        <w:t>Farmer V.C. (Ed.), 1974, The Infrared Spectra of Minerals, Mineralogical Society, London, United Kingdom.</w:t>
      </w:r>
    </w:p>
    <w:p w14:paraId="137DA221" w14:textId="77777777" w:rsidR="00096E15" w:rsidRDefault="00096E15" w:rsidP="00096E15">
      <w:pPr>
        <w:pStyle w:val="CETReferencetext"/>
      </w:pPr>
      <w:r>
        <w:t>Gugumus F., 1996, Thermo-oxidative degradation of polyolefins in the solid state. Part 1: experimental kinetics of functional group formation, Polymer Degradation and Stability, 52(2), 131–144.</w:t>
      </w:r>
    </w:p>
    <w:p w14:paraId="55C18ACF" w14:textId="77777777" w:rsidR="00096E15" w:rsidRDefault="00096E15" w:rsidP="00096E15">
      <w:pPr>
        <w:pStyle w:val="CETReferencetext"/>
      </w:pPr>
      <w:r>
        <w:t>Gulmine J.V., Janissek P.R., Heise H.M., Akcelrud L., 2002, Polyethylene characterization by FTIR, Polymer Testing, 21(5), 557–563.</w:t>
      </w:r>
    </w:p>
    <w:p w14:paraId="7CF71852" w14:textId="77777777" w:rsidR="00096E15" w:rsidRDefault="00096E15" w:rsidP="00096E15">
      <w:pPr>
        <w:pStyle w:val="CETReferencetext"/>
      </w:pPr>
      <w:r>
        <w:t>Ho Y.S., McKay G., 1999, Pseudo-second order model for sorption processes, Process Biochemistry, 34(5), 451–465.</w:t>
      </w:r>
    </w:p>
    <w:p w14:paraId="2E6CEE23" w14:textId="77777777" w:rsidR="00096E15" w:rsidRDefault="00096E15" w:rsidP="00096E15">
      <w:pPr>
        <w:pStyle w:val="CETReferencetext"/>
      </w:pPr>
      <w:r>
        <w:t>Hussin F., Aroua M.K., Daud W.M.A.W., 2011, Textural characteristics, surface chemistry and activation of bleaching earth: a review, Chemical Engineering Journal, 170(1), 90–106.</w:t>
      </w:r>
    </w:p>
    <w:p w14:paraId="23F8815E" w14:textId="77777777" w:rsidR="00096E15" w:rsidRDefault="00096E15" w:rsidP="00096E15">
      <w:pPr>
        <w:pStyle w:val="CETReferencetext"/>
      </w:pPr>
      <w:r>
        <w:t>Madejová J., 2003, FTIR techniques in clay mineral studies, Vibrational Spectroscopy, 31(1), 1–10.</w:t>
      </w:r>
    </w:p>
    <w:p w14:paraId="0F87C606" w14:textId="77777777" w:rsidR="00096E15" w:rsidRDefault="00096E15" w:rsidP="00096E15">
      <w:pPr>
        <w:pStyle w:val="CETReferencetext"/>
      </w:pPr>
      <w:r>
        <w:t>Norkobilov A.E., Adilov R.I., Aykhodjaev B.B., 2025, Cleaning of low molecular weight polyethylene with bentonite adsorbent, Universum: Technical Sciences, 11(140), 55–59.</w:t>
      </w:r>
    </w:p>
    <w:p w14:paraId="66C4839B" w14:textId="77777777" w:rsidR="00096E15" w:rsidRDefault="00096E15" w:rsidP="00096E15">
      <w:pPr>
        <w:pStyle w:val="CETReferencetext"/>
      </w:pPr>
      <w:r>
        <w:t>Peacock A.J., 2000, Handbook of Polyethylene: Structures, Properties, and Applications, Marcel Dekker, New York, United States.</w:t>
      </w:r>
    </w:p>
    <w:p w14:paraId="1BF9D0B0" w14:textId="77777777" w:rsidR="00096E15" w:rsidRDefault="00096E15" w:rsidP="00096E15">
      <w:pPr>
        <w:pStyle w:val="CETReferencetext"/>
      </w:pPr>
      <w:r>
        <w:t>PlasticsEurope, 2023, Plastics — the Fast Facts 2023, PlasticsEurope, Brussels, Belgium, &lt;plasticseurope.org/knowledge-hub/plastics-the-fast-facts-2023&gt; accessed 15.04.2026.</w:t>
      </w:r>
    </w:p>
    <w:p w14:paraId="59C7C1AF" w14:textId="77777777" w:rsidR="00096E15" w:rsidRDefault="00096E15" w:rsidP="00096E15">
      <w:pPr>
        <w:pStyle w:val="CETReferencetext"/>
      </w:pPr>
      <w:r>
        <w:t>Saleem J., Shahid U.B., Hijab M., Mackey H., McKay G., 2019, Production and applications of activated carbons as adsorbents from olive stones, Biomass Conversion and Biorefinery, 9, 775–802.</w:t>
      </w:r>
    </w:p>
    <w:p w14:paraId="5F5E36EE" w14:textId="77777777" w:rsidR="00096E15" w:rsidRDefault="00096E15" w:rsidP="00096E15">
      <w:pPr>
        <w:pStyle w:val="CETReferencetext"/>
      </w:pPr>
      <w:r>
        <w:t>Smith B.C., 2021, Infrared spectral interpretation of polyethylene and paraffin waxes, Spectroscopy, 36(5), 14–22.</w:t>
      </w:r>
    </w:p>
    <w:p w14:paraId="3C6E38EE" w14:textId="77777777" w:rsidR="00096E15" w:rsidRDefault="00096E15" w:rsidP="00096E15">
      <w:pPr>
        <w:pStyle w:val="CETReferencetext"/>
      </w:pPr>
      <w:r>
        <w:t>Tobares L., Guzmán C.A., Maestri D.M., 2003, Effect of the extraction and bleaching processes on jojoba (Simmondsia chinensis) wax quality, European Journal of Lipid Science and Technology, 105(12), 749–753.</w:t>
      </w:r>
    </w:p>
    <w:p w14:paraId="6B8ACE96" w14:textId="77777777" w:rsidR="00096E15" w:rsidRDefault="00096E15" w:rsidP="00096E15">
      <w:pPr>
        <w:pStyle w:val="CETReferencetext"/>
      </w:pPr>
      <w:r>
        <w:t>Xie L., Liang Y., Xu W., Liu Z., 2022, Recent advances in polyethylene wax: production, properties, and applications, Journal of Applied Polymer Science, 139(15), e51965.</w:t>
      </w:r>
    </w:p>
    <w:p w14:paraId="586D1CE8" w14:textId="19076074" w:rsidR="00CE1EAF" w:rsidRPr="00B57B36" w:rsidRDefault="00096E15" w:rsidP="00F06F40">
      <w:pPr>
        <w:pStyle w:val="CETReferencetext"/>
      </w:pPr>
      <w:r>
        <w:t>Zhao Y., Wang S., Li H., Chen Q., Xu J., Feng W., 2022, Adsorption of organic dyes on montmorillonite: effect of surface modification and solution chemistry, Journal of Colloid and Interface Science, 608, 996–1006</w:t>
      </w:r>
      <w:r w:rsidR="00F06F40">
        <w:t>.</w:t>
      </w:r>
    </w:p>
    <w:sectPr w:rsidR="00CE1EAF" w:rsidRPr="00B57B36" w:rsidSect="008314D7">
      <w:type w:val="continuous"/>
      <w:pgSz w:w="11906" w:h="16838" w:code="9"/>
      <w:pgMar w:top="1701" w:right="1418" w:bottom="1701" w:left="1701" w:header="1701" w:footer="0" w:gutter="0"/>
      <w:cols w:space="708"/>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36F65E" w14:textId="77777777" w:rsidR="00DC1E00" w:rsidRDefault="00DC1E00" w:rsidP="004F5E36">
      <w:r>
        <w:separator/>
      </w:r>
    </w:p>
  </w:endnote>
  <w:endnote w:type="continuationSeparator" w:id="0">
    <w:p w14:paraId="584E5125" w14:textId="77777777" w:rsidR="00DC1E00" w:rsidRDefault="00DC1E00" w:rsidP="004F5E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Consolas">
    <w:panose1 w:val="020B0609020204030204"/>
    <w:charset w:val="CC"/>
    <w:family w:val="modern"/>
    <w:pitch w:val="fixed"/>
    <w:sig w:usb0="E00006FF" w:usb1="0000FCFF" w:usb2="00000001" w:usb3="00000000" w:csb0="0000019F" w:csb1="00000000"/>
  </w:font>
  <w:font w:name="AdvP6960">
    <w:altName w:val="Times New Roman"/>
    <w:panose1 w:val="00000000000000000000"/>
    <w:charset w:val="4D"/>
    <w:family w:val="roman"/>
    <w:notTrueType/>
    <w:pitch w:val="default"/>
    <w:sig w:usb0="00000003" w:usb1="00000000" w:usb2="00000000" w:usb3="00000000" w:csb0="00000001" w:csb1="00000000"/>
  </w:font>
  <w:font w:name="Cambria Math">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751E8E" w14:textId="77777777" w:rsidR="00DC1E00" w:rsidRDefault="00DC1E00" w:rsidP="004F5E36">
      <w:r>
        <w:separator/>
      </w:r>
    </w:p>
  </w:footnote>
  <w:footnote w:type="continuationSeparator" w:id="0">
    <w:p w14:paraId="126413B2" w14:textId="77777777" w:rsidR="00DC1E00" w:rsidRDefault="00DC1E00" w:rsidP="004F5E3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58AF15E"/>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65EC884E"/>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08CBE9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CFC0B38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CA34EB48"/>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85C6BD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87A996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ED2793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5F4206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206ACE1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2438217E"/>
    <w:multiLevelType w:val="multilevel"/>
    <w:tmpl w:val="F17228D6"/>
    <w:lvl w:ilvl="0">
      <w:start w:val="1"/>
      <w:numFmt w:val="decimal"/>
      <w:suff w:val="space"/>
      <w:lvlText w:val="Chapter %1"/>
      <w:lvlJc w:val="left"/>
      <w:pPr>
        <w:ind w:left="0" w:firstLine="0"/>
      </w:pPr>
      <w:rPr>
        <w:rFonts w:hint="default"/>
      </w:rPr>
    </w:lvl>
    <w:lvl w:ilvl="1">
      <w:start w:val="1"/>
      <w:numFmt w:val="decimal"/>
      <w:pStyle w:val="CETHeading1"/>
      <w:suff w:val="space"/>
      <w:lvlText w:val="%2."/>
      <w:lvlJc w:val="left"/>
      <w:pPr>
        <w:ind w:left="0" w:firstLine="0"/>
      </w:pPr>
      <w:rPr>
        <w:rFonts w:hint="default"/>
      </w:rPr>
    </w:lvl>
    <w:lvl w:ilvl="2">
      <w:start w:val="1"/>
      <w:numFmt w:val="decimal"/>
      <w:pStyle w:val="CETheadingx"/>
      <w:suff w:val="space"/>
      <w:lvlText w:val="%2.%3"/>
      <w:lvlJc w:val="left"/>
      <w:pPr>
        <w:ind w:left="0" w:firstLine="0"/>
      </w:pPr>
      <w:rPr>
        <w:rFonts w:hint="default"/>
      </w:rPr>
    </w:lvl>
    <w:lvl w:ilvl="3">
      <w:start w:val="1"/>
      <w:numFmt w:val="decimal"/>
      <w:pStyle w:val="TableSimple1"/>
      <w:suff w:val="space"/>
      <w:lvlText w:val="%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3.%4.%5.%6.%7.%8.%9."/>
      <w:lvlJc w:val="left"/>
      <w:pPr>
        <w:ind w:left="0" w:firstLine="0"/>
      </w:pPr>
      <w:rPr>
        <w:rFonts w:hint="default"/>
      </w:rPr>
    </w:lvl>
  </w:abstractNum>
  <w:abstractNum w:abstractNumId="11" w15:restartNumberingAfterBreak="0">
    <w:nsid w:val="330B7370"/>
    <w:multiLevelType w:val="hybridMultilevel"/>
    <w:tmpl w:val="12E2AD3A"/>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2" w15:restartNumberingAfterBreak="0">
    <w:nsid w:val="351E0394"/>
    <w:multiLevelType w:val="hybridMultilevel"/>
    <w:tmpl w:val="806658E2"/>
    <w:lvl w:ilvl="0" w:tplc="14B0F7A8">
      <w:start w:val="1"/>
      <w:numFmt w:val="bullet"/>
      <w:pStyle w:val="CETnumberingbullets"/>
      <w:lvlText w:val=""/>
      <w:lvlJc w:val="left"/>
      <w:pPr>
        <w:ind w:left="340" w:hanging="227"/>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15:restartNumberingAfterBreak="0">
    <w:nsid w:val="39C329B9"/>
    <w:multiLevelType w:val="hybridMultilevel"/>
    <w:tmpl w:val="A2E6C3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CB100E8"/>
    <w:multiLevelType w:val="hybridMultilevel"/>
    <w:tmpl w:val="6F34C070"/>
    <w:lvl w:ilvl="0" w:tplc="14090011">
      <w:start w:val="1"/>
      <w:numFmt w:val="decimal"/>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5" w15:restartNumberingAfterBreak="0">
    <w:nsid w:val="50A87BA7"/>
    <w:multiLevelType w:val="hybridMultilevel"/>
    <w:tmpl w:val="1F6A8AD4"/>
    <w:lvl w:ilvl="0" w:tplc="14B0F7A8">
      <w:start w:val="1"/>
      <w:numFmt w:val="bullet"/>
      <w:lvlText w:val=""/>
      <w:lvlJc w:val="left"/>
      <w:pPr>
        <w:ind w:left="340" w:hanging="227"/>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15:restartNumberingAfterBreak="0">
    <w:nsid w:val="52217387"/>
    <w:multiLevelType w:val="hybridMultilevel"/>
    <w:tmpl w:val="C2AE185A"/>
    <w:lvl w:ilvl="0" w:tplc="14090011">
      <w:start w:val="1"/>
      <w:numFmt w:val="decimal"/>
      <w:lvlText w:val="%1)"/>
      <w:lvlJc w:val="left"/>
      <w:pPr>
        <w:ind w:left="340" w:hanging="227"/>
      </w:pPr>
      <w:rPr>
        <w:rFont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15:restartNumberingAfterBreak="0">
    <w:nsid w:val="56205803"/>
    <w:multiLevelType w:val="multilevel"/>
    <w:tmpl w:val="444C89D0"/>
    <w:lvl w:ilvl="0">
      <w:start w:val="1"/>
      <w:numFmt w:val="decimal"/>
      <w:suff w:val="space"/>
      <w:lvlText w:val="Chapter %1"/>
      <w:lvlJc w:val="left"/>
      <w:pPr>
        <w:ind w:left="0" w:firstLine="0"/>
      </w:pPr>
      <w:rPr>
        <w:rFonts w:hint="default"/>
      </w:rPr>
    </w:lvl>
    <w:lvl w:ilvl="1">
      <w:start w:val="1"/>
      <w:numFmt w:val="decimal"/>
      <w:suff w:val="space"/>
      <w:lvlText w:val="%2."/>
      <w:lvlJc w:val="left"/>
      <w:pPr>
        <w:ind w:left="0" w:firstLine="0"/>
      </w:pPr>
      <w:rPr>
        <w:rFonts w:hint="default"/>
      </w:rPr>
    </w:lvl>
    <w:lvl w:ilvl="2">
      <w:start w:val="1"/>
      <w:numFmt w:val="decimal"/>
      <w:suff w:val="space"/>
      <w:lvlText w:val="%2.%3."/>
      <w:lvlJc w:val="left"/>
      <w:pPr>
        <w:ind w:left="0" w:firstLine="0"/>
      </w:pPr>
      <w:rPr>
        <w:rFonts w:hint="default"/>
      </w:rPr>
    </w:lvl>
    <w:lvl w:ilvl="3">
      <w:start w:val="1"/>
      <w:numFmt w:val="decimal"/>
      <w:suff w:val="space"/>
      <w:lvlText w:val="%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3.%4.%5.%6.%7.%8.%9."/>
      <w:lvlJc w:val="left"/>
      <w:pPr>
        <w:ind w:left="0" w:firstLine="0"/>
      </w:pPr>
      <w:rPr>
        <w:rFonts w:hint="default"/>
      </w:rPr>
    </w:lvl>
  </w:abstractNum>
  <w:abstractNum w:abstractNumId="18" w15:restartNumberingAfterBreak="0">
    <w:nsid w:val="5AD311D0"/>
    <w:multiLevelType w:val="hybridMultilevel"/>
    <w:tmpl w:val="F198FF08"/>
    <w:lvl w:ilvl="0" w:tplc="62EA088C">
      <w:start w:val="1"/>
      <w:numFmt w:val="decimal"/>
      <w:pStyle w:val="CETnumbering1"/>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9" w15:restartNumberingAfterBreak="0">
    <w:nsid w:val="662015B5"/>
    <w:multiLevelType w:val="hybridMultilevel"/>
    <w:tmpl w:val="CCDE094E"/>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0" w15:restartNumberingAfterBreak="0">
    <w:nsid w:val="6865266D"/>
    <w:multiLevelType w:val="hybridMultilevel"/>
    <w:tmpl w:val="F5BE3C4A"/>
    <w:lvl w:ilvl="0" w:tplc="9FC4D28C">
      <w:start w:val="1"/>
      <w:numFmt w:val="lowerLetter"/>
      <w:pStyle w:val="CETnumberinga"/>
      <w:lvlText w:val="%1."/>
      <w:lvlJc w:val="left"/>
      <w:pPr>
        <w:ind w:left="340" w:hanging="227"/>
      </w:pPr>
      <w:rPr>
        <w:rFont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1316882765">
    <w:abstractNumId w:val="10"/>
  </w:num>
  <w:num w:numId="2" w16cid:durableId="1954094313">
    <w:abstractNumId w:val="8"/>
  </w:num>
  <w:num w:numId="3" w16cid:durableId="2001083081">
    <w:abstractNumId w:val="3"/>
  </w:num>
  <w:num w:numId="4" w16cid:durableId="665287687">
    <w:abstractNumId w:val="2"/>
  </w:num>
  <w:num w:numId="5" w16cid:durableId="1763211618">
    <w:abstractNumId w:val="1"/>
  </w:num>
  <w:num w:numId="6" w16cid:durableId="733351894">
    <w:abstractNumId w:val="0"/>
  </w:num>
  <w:num w:numId="7" w16cid:durableId="1265187038">
    <w:abstractNumId w:val="9"/>
  </w:num>
  <w:num w:numId="8" w16cid:durableId="458382672">
    <w:abstractNumId w:val="7"/>
  </w:num>
  <w:num w:numId="9" w16cid:durableId="652636510">
    <w:abstractNumId w:val="6"/>
  </w:num>
  <w:num w:numId="10" w16cid:durableId="1972591888">
    <w:abstractNumId w:val="5"/>
  </w:num>
  <w:num w:numId="11" w16cid:durableId="1179278139">
    <w:abstractNumId w:val="4"/>
  </w:num>
  <w:num w:numId="12" w16cid:durableId="1575509198">
    <w:abstractNumId w:val="17"/>
  </w:num>
  <w:num w:numId="13" w16cid:durableId="695733619">
    <w:abstractNumId w:val="12"/>
  </w:num>
  <w:num w:numId="14" w16cid:durableId="145903400">
    <w:abstractNumId w:val="18"/>
  </w:num>
  <w:num w:numId="15" w16cid:durableId="19162326">
    <w:abstractNumId w:val="20"/>
  </w:num>
  <w:num w:numId="16" w16cid:durableId="1977102699">
    <w:abstractNumId w:val="19"/>
  </w:num>
  <w:num w:numId="17" w16cid:durableId="860774865">
    <w:abstractNumId w:val="11"/>
  </w:num>
  <w:num w:numId="18" w16cid:durableId="313221457">
    <w:abstractNumId w:val="12"/>
    <w:lvlOverride w:ilvl="0">
      <w:startOverride w:val="1"/>
    </w:lvlOverride>
  </w:num>
  <w:num w:numId="19" w16cid:durableId="534971577">
    <w:abstractNumId w:val="16"/>
  </w:num>
  <w:num w:numId="20" w16cid:durableId="1150947773">
    <w:abstractNumId w:val="15"/>
  </w:num>
  <w:num w:numId="21" w16cid:durableId="124660497">
    <w:abstractNumId w:val="14"/>
  </w:num>
  <w:num w:numId="22" w16cid:durableId="2099861471">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stylePaneFormatFilter w:val="1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0"/>
  <w:documentProtection w:edit="forms" w:enforcement="0"/>
  <w:autoFormatOverride/>
  <w:styleLockTheme/>
  <w:styleLockQFSet/>
  <w:defaultTabStop w:val="708"/>
  <w:hyphenationZone w:val="283"/>
  <w:clickAndTypeStyle w:val="CETBodytext"/>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NTI0NzezsDA3M7MwMTJW0lEKTi0uzszPAymwrAUAugS3IywAAAA="/>
  </w:docVars>
  <w:rsids>
    <w:rsidRoot w:val="000E414A"/>
    <w:rsid w:val="000027C0"/>
    <w:rsid w:val="000052FB"/>
    <w:rsid w:val="00005884"/>
    <w:rsid w:val="00005A19"/>
    <w:rsid w:val="000117CB"/>
    <w:rsid w:val="000173F9"/>
    <w:rsid w:val="0003148D"/>
    <w:rsid w:val="00031EEC"/>
    <w:rsid w:val="00034F4C"/>
    <w:rsid w:val="00051566"/>
    <w:rsid w:val="000562A9"/>
    <w:rsid w:val="00062A9A"/>
    <w:rsid w:val="00065058"/>
    <w:rsid w:val="00066F13"/>
    <w:rsid w:val="00086C39"/>
    <w:rsid w:val="00096E15"/>
    <w:rsid w:val="000A03B2"/>
    <w:rsid w:val="000D0268"/>
    <w:rsid w:val="000D34BE"/>
    <w:rsid w:val="000E102F"/>
    <w:rsid w:val="000E36F1"/>
    <w:rsid w:val="000E3A73"/>
    <w:rsid w:val="000E414A"/>
    <w:rsid w:val="000E75FD"/>
    <w:rsid w:val="000F093C"/>
    <w:rsid w:val="000F787B"/>
    <w:rsid w:val="00101F02"/>
    <w:rsid w:val="0012091F"/>
    <w:rsid w:val="00124AAD"/>
    <w:rsid w:val="00126BC2"/>
    <w:rsid w:val="001308B6"/>
    <w:rsid w:val="0013121F"/>
    <w:rsid w:val="00131FE6"/>
    <w:rsid w:val="0013263F"/>
    <w:rsid w:val="001331DF"/>
    <w:rsid w:val="00134DE4"/>
    <w:rsid w:val="0014034D"/>
    <w:rsid w:val="00140FE3"/>
    <w:rsid w:val="00144D16"/>
    <w:rsid w:val="00150E59"/>
    <w:rsid w:val="00152DE3"/>
    <w:rsid w:val="00164CF9"/>
    <w:rsid w:val="001667A6"/>
    <w:rsid w:val="00184AD6"/>
    <w:rsid w:val="001A4AF7"/>
    <w:rsid w:val="001B0349"/>
    <w:rsid w:val="001B1E93"/>
    <w:rsid w:val="001B65C1"/>
    <w:rsid w:val="001C260F"/>
    <w:rsid w:val="001C33F1"/>
    <w:rsid w:val="001C684B"/>
    <w:rsid w:val="001D0CFB"/>
    <w:rsid w:val="001D2023"/>
    <w:rsid w:val="001D21AF"/>
    <w:rsid w:val="001D53FC"/>
    <w:rsid w:val="001F42A5"/>
    <w:rsid w:val="001F7B9D"/>
    <w:rsid w:val="00201C93"/>
    <w:rsid w:val="002224B4"/>
    <w:rsid w:val="002447EF"/>
    <w:rsid w:val="00251550"/>
    <w:rsid w:val="00263B05"/>
    <w:rsid w:val="0027221A"/>
    <w:rsid w:val="00275B61"/>
    <w:rsid w:val="00280FAF"/>
    <w:rsid w:val="00282656"/>
    <w:rsid w:val="00296B83"/>
    <w:rsid w:val="002B4015"/>
    <w:rsid w:val="002B78CE"/>
    <w:rsid w:val="002C2FB6"/>
    <w:rsid w:val="002E5FA7"/>
    <w:rsid w:val="002F3309"/>
    <w:rsid w:val="003008CE"/>
    <w:rsid w:val="003009B7"/>
    <w:rsid w:val="00300E56"/>
    <w:rsid w:val="0030152C"/>
    <w:rsid w:val="0030469C"/>
    <w:rsid w:val="00321CA6"/>
    <w:rsid w:val="00323763"/>
    <w:rsid w:val="00323C5F"/>
    <w:rsid w:val="00334C09"/>
    <w:rsid w:val="003723D4"/>
    <w:rsid w:val="00381905"/>
    <w:rsid w:val="00384CC8"/>
    <w:rsid w:val="003871FD"/>
    <w:rsid w:val="003A1E30"/>
    <w:rsid w:val="003A2829"/>
    <w:rsid w:val="003A3BD0"/>
    <w:rsid w:val="003A7D1C"/>
    <w:rsid w:val="003B304B"/>
    <w:rsid w:val="003B3146"/>
    <w:rsid w:val="003D1E02"/>
    <w:rsid w:val="003F015E"/>
    <w:rsid w:val="00400414"/>
    <w:rsid w:val="004109C4"/>
    <w:rsid w:val="0041446B"/>
    <w:rsid w:val="0044071E"/>
    <w:rsid w:val="0044329C"/>
    <w:rsid w:val="00453E24"/>
    <w:rsid w:val="00457456"/>
    <w:rsid w:val="004577FE"/>
    <w:rsid w:val="00457B9C"/>
    <w:rsid w:val="0046164A"/>
    <w:rsid w:val="004628D2"/>
    <w:rsid w:val="00462DCD"/>
    <w:rsid w:val="004648AD"/>
    <w:rsid w:val="004703A9"/>
    <w:rsid w:val="004760DE"/>
    <w:rsid w:val="004763D7"/>
    <w:rsid w:val="004A004E"/>
    <w:rsid w:val="004A24CF"/>
    <w:rsid w:val="004A5E57"/>
    <w:rsid w:val="004C194F"/>
    <w:rsid w:val="004C3D1D"/>
    <w:rsid w:val="004C3D84"/>
    <w:rsid w:val="004C7913"/>
    <w:rsid w:val="004E4DD6"/>
    <w:rsid w:val="004F5E36"/>
    <w:rsid w:val="00507B47"/>
    <w:rsid w:val="00507BEF"/>
    <w:rsid w:val="00507CC9"/>
    <w:rsid w:val="005119A5"/>
    <w:rsid w:val="005278B7"/>
    <w:rsid w:val="00532016"/>
    <w:rsid w:val="005346C8"/>
    <w:rsid w:val="00543E7D"/>
    <w:rsid w:val="00547A68"/>
    <w:rsid w:val="005531C9"/>
    <w:rsid w:val="00570C43"/>
    <w:rsid w:val="00592274"/>
    <w:rsid w:val="005B2110"/>
    <w:rsid w:val="005B61E6"/>
    <w:rsid w:val="005C77E1"/>
    <w:rsid w:val="005D668A"/>
    <w:rsid w:val="005D6A2F"/>
    <w:rsid w:val="005E0592"/>
    <w:rsid w:val="005E1A82"/>
    <w:rsid w:val="005E794C"/>
    <w:rsid w:val="005F0A28"/>
    <w:rsid w:val="005F0E5E"/>
    <w:rsid w:val="00600535"/>
    <w:rsid w:val="00610CD6"/>
    <w:rsid w:val="00620DEE"/>
    <w:rsid w:val="00621F92"/>
    <w:rsid w:val="0062280A"/>
    <w:rsid w:val="006231E1"/>
    <w:rsid w:val="00625639"/>
    <w:rsid w:val="00631B33"/>
    <w:rsid w:val="0064184D"/>
    <w:rsid w:val="006422CC"/>
    <w:rsid w:val="00651D18"/>
    <w:rsid w:val="00660E3E"/>
    <w:rsid w:val="00662E74"/>
    <w:rsid w:val="00664F9F"/>
    <w:rsid w:val="00671F70"/>
    <w:rsid w:val="00680C23"/>
    <w:rsid w:val="00683E23"/>
    <w:rsid w:val="00693766"/>
    <w:rsid w:val="006A3281"/>
    <w:rsid w:val="006B4888"/>
    <w:rsid w:val="006C2E45"/>
    <w:rsid w:val="006C359C"/>
    <w:rsid w:val="006C5579"/>
    <w:rsid w:val="006D6E8B"/>
    <w:rsid w:val="006D7209"/>
    <w:rsid w:val="006E737D"/>
    <w:rsid w:val="00707DD1"/>
    <w:rsid w:val="00713973"/>
    <w:rsid w:val="00720A24"/>
    <w:rsid w:val="00732386"/>
    <w:rsid w:val="0073514D"/>
    <w:rsid w:val="007447F3"/>
    <w:rsid w:val="0075499F"/>
    <w:rsid w:val="00754AA4"/>
    <w:rsid w:val="007617CC"/>
    <w:rsid w:val="00765DF0"/>
    <w:rsid w:val="007661C8"/>
    <w:rsid w:val="0077098D"/>
    <w:rsid w:val="00785BF9"/>
    <w:rsid w:val="007931FA"/>
    <w:rsid w:val="007A4861"/>
    <w:rsid w:val="007A7BBA"/>
    <w:rsid w:val="007B0C50"/>
    <w:rsid w:val="007B48F9"/>
    <w:rsid w:val="007C1A43"/>
    <w:rsid w:val="007D0951"/>
    <w:rsid w:val="007F27C8"/>
    <w:rsid w:val="0080013E"/>
    <w:rsid w:val="00813288"/>
    <w:rsid w:val="008168FC"/>
    <w:rsid w:val="00830996"/>
    <w:rsid w:val="008314D7"/>
    <w:rsid w:val="00831542"/>
    <w:rsid w:val="008345F1"/>
    <w:rsid w:val="00865B07"/>
    <w:rsid w:val="008667EA"/>
    <w:rsid w:val="0087637F"/>
    <w:rsid w:val="00892AD5"/>
    <w:rsid w:val="008A1512"/>
    <w:rsid w:val="008D32B9"/>
    <w:rsid w:val="008D433B"/>
    <w:rsid w:val="008D4A16"/>
    <w:rsid w:val="008E209A"/>
    <w:rsid w:val="008E45BC"/>
    <w:rsid w:val="008E566E"/>
    <w:rsid w:val="0090161A"/>
    <w:rsid w:val="00901EB6"/>
    <w:rsid w:val="009041F8"/>
    <w:rsid w:val="00904C62"/>
    <w:rsid w:val="00922BA8"/>
    <w:rsid w:val="00924DAC"/>
    <w:rsid w:val="00927058"/>
    <w:rsid w:val="00942750"/>
    <w:rsid w:val="009450CE"/>
    <w:rsid w:val="009459BB"/>
    <w:rsid w:val="00947179"/>
    <w:rsid w:val="0095164B"/>
    <w:rsid w:val="00954090"/>
    <w:rsid w:val="009573E7"/>
    <w:rsid w:val="00963E05"/>
    <w:rsid w:val="00964A45"/>
    <w:rsid w:val="00967843"/>
    <w:rsid w:val="00967D54"/>
    <w:rsid w:val="00971028"/>
    <w:rsid w:val="00993B84"/>
    <w:rsid w:val="00996483"/>
    <w:rsid w:val="00996F5A"/>
    <w:rsid w:val="009B041A"/>
    <w:rsid w:val="009C37C3"/>
    <w:rsid w:val="009C7C86"/>
    <w:rsid w:val="009D2FF7"/>
    <w:rsid w:val="009E7884"/>
    <w:rsid w:val="009E788A"/>
    <w:rsid w:val="009F0E08"/>
    <w:rsid w:val="00A079AE"/>
    <w:rsid w:val="00A1763D"/>
    <w:rsid w:val="00A17CEC"/>
    <w:rsid w:val="00A263AD"/>
    <w:rsid w:val="00A26CBB"/>
    <w:rsid w:val="00A27EF0"/>
    <w:rsid w:val="00A42361"/>
    <w:rsid w:val="00A50B20"/>
    <w:rsid w:val="00A51390"/>
    <w:rsid w:val="00A60D13"/>
    <w:rsid w:val="00A7223D"/>
    <w:rsid w:val="00A72745"/>
    <w:rsid w:val="00A76EFC"/>
    <w:rsid w:val="00A87D50"/>
    <w:rsid w:val="00A91010"/>
    <w:rsid w:val="00A97F29"/>
    <w:rsid w:val="00AA702E"/>
    <w:rsid w:val="00AA7D26"/>
    <w:rsid w:val="00AB0964"/>
    <w:rsid w:val="00AB5011"/>
    <w:rsid w:val="00AC7368"/>
    <w:rsid w:val="00AD0278"/>
    <w:rsid w:val="00AD16B9"/>
    <w:rsid w:val="00AE377D"/>
    <w:rsid w:val="00AF0EBA"/>
    <w:rsid w:val="00B02C8A"/>
    <w:rsid w:val="00B17FBD"/>
    <w:rsid w:val="00B315A6"/>
    <w:rsid w:val="00B31813"/>
    <w:rsid w:val="00B33365"/>
    <w:rsid w:val="00B57B36"/>
    <w:rsid w:val="00B57E6F"/>
    <w:rsid w:val="00B8686D"/>
    <w:rsid w:val="00B93F69"/>
    <w:rsid w:val="00BB1DDC"/>
    <w:rsid w:val="00BC30C9"/>
    <w:rsid w:val="00BD077D"/>
    <w:rsid w:val="00BE3E58"/>
    <w:rsid w:val="00C01616"/>
    <w:rsid w:val="00C0162B"/>
    <w:rsid w:val="00C068ED"/>
    <w:rsid w:val="00C208E9"/>
    <w:rsid w:val="00C22E0C"/>
    <w:rsid w:val="00C345B1"/>
    <w:rsid w:val="00C40142"/>
    <w:rsid w:val="00C5020B"/>
    <w:rsid w:val="00C52C3C"/>
    <w:rsid w:val="00C57182"/>
    <w:rsid w:val="00C57863"/>
    <w:rsid w:val="00C640AF"/>
    <w:rsid w:val="00C655FD"/>
    <w:rsid w:val="00C75407"/>
    <w:rsid w:val="00C841C6"/>
    <w:rsid w:val="00C870A8"/>
    <w:rsid w:val="00C94434"/>
    <w:rsid w:val="00CA0D75"/>
    <w:rsid w:val="00CA1C95"/>
    <w:rsid w:val="00CA5A9C"/>
    <w:rsid w:val="00CB2614"/>
    <w:rsid w:val="00CC4C20"/>
    <w:rsid w:val="00CD3517"/>
    <w:rsid w:val="00CD5FE2"/>
    <w:rsid w:val="00CE1EAF"/>
    <w:rsid w:val="00CE7C68"/>
    <w:rsid w:val="00D02B4C"/>
    <w:rsid w:val="00D040C4"/>
    <w:rsid w:val="00D15B3F"/>
    <w:rsid w:val="00D20AD1"/>
    <w:rsid w:val="00D2582C"/>
    <w:rsid w:val="00D46B7E"/>
    <w:rsid w:val="00D57C84"/>
    <w:rsid w:val="00D6057D"/>
    <w:rsid w:val="00D71640"/>
    <w:rsid w:val="00D836C5"/>
    <w:rsid w:val="00D84576"/>
    <w:rsid w:val="00DA1399"/>
    <w:rsid w:val="00DA24C6"/>
    <w:rsid w:val="00DA4D7B"/>
    <w:rsid w:val="00DA5493"/>
    <w:rsid w:val="00DC1E00"/>
    <w:rsid w:val="00DD271C"/>
    <w:rsid w:val="00DE264A"/>
    <w:rsid w:val="00DF5072"/>
    <w:rsid w:val="00E01461"/>
    <w:rsid w:val="00E02D18"/>
    <w:rsid w:val="00E041E7"/>
    <w:rsid w:val="00E0626E"/>
    <w:rsid w:val="00E23CA1"/>
    <w:rsid w:val="00E409A8"/>
    <w:rsid w:val="00E47D61"/>
    <w:rsid w:val="00E50C12"/>
    <w:rsid w:val="00E52D8E"/>
    <w:rsid w:val="00E65B91"/>
    <w:rsid w:val="00E7209D"/>
    <w:rsid w:val="00E72EAD"/>
    <w:rsid w:val="00E77223"/>
    <w:rsid w:val="00E8528B"/>
    <w:rsid w:val="00E85B94"/>
    <w:rsid w:val="00E978D0"/>
    <w:rsid w:val="00EA4613"/>
    <w:rsid w:val="00EA7F91"/>
    <w:rsid w:val="00EB1523"/>
    <w:rsid w:val="00EC0E49"/>
    <w:rsid w:val="00EC101F"/>
    <w:rsid w:val="00EC1D9F"/>
    <w:rsid w:val="00EE0131"/>
    <w:rsid w:val="00EE17B0"/>
    <w:rsid w:val="00EF06D9"/>
    <w:rsid w:val="00EF0982"/>
    <w:rsid w:val="00F06F40"/>
    <w:rsid w:val="00F126A5"/>
    <w:rsid w:val="00F3049E"/>
    <w:rsid w:val="00F30C64"/>
    <w:rsid w:val="00F32BA2"/>
    <w:rsid w:val="00F32CDB"/>
    <w:rsid w:val="00F3348F"/>
    <w:rsid w:val="00F37280"/>
    <w:rsid w:val="00F41EE4"/>
    <w:rsid w:val="00F565FE"/>
    <w:rsid w:val="00F63A70"/>
    <w:rsid w:val="00F63D8C"/>
    <w:rsid w:val="00F7534E"/>
    <w:rsid w:val="00F84FBA"/>
    <w:rsid w:val="00F93EDF"/>
    <w:rsid w:val="00F9628E"/>
    <w:rsid w:val="00FA1802"/>
    <w:rsid w:val="00FA21D0"/>
    <w:rsid w:val="00FA5F5F"/>
    <w:rsid w:val="00FB730C"/>
    <w:rsid w:val="00FC2695"/>
    <w:rsid w:val="00FC3E03"/>
    <w:rsid w:val="00FC3FC1"/>
  </w:rsids>
  <m:mathPr>
    <m:mathFont m:val="Cambria Math"/>
    <m:brkBin m:val="before"/>
    <m:brkBinSub m:val="--"/>
    <m:smallFrac m:val="0"/>
    <m:dispDef/>
    <m:lMargin m:val="0"/>
    <m:rMargin m:val="0"/>
    <m:defJc m:val="centerGroup"/>
    <m:wrapIndent m:val="1440"/>
    <m:intLim m:val="subSup"/>
    <m:naryLim m:val="undOvr"/>
  </m:mathPr>
  <w:themeFontLang w:val="it-IT"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AE0CC22"/>
  <w14:defaultImageDpi w14:val="330"/>
  <w15:docId w15:val="{0B95FB59-9D38-42B5-B090-D2348EE1E9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lsdException w:name="heading 1" w:uiPriority="9"/>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locked="1"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CET Top_page"/>
    <w:rsid w:val="00620DEE"/>
    <w:pPr>
      <w:tabs>
        <w:tab w:val="right" w:pos="7100"/>
      </w:tabs>
      <w:spacing w:after="0" w:line="264" w:lineRule="auto"/>
      <w:jc w:val="both"/>
    </w:pPr>
    <w:rPr>
      <w:rFonts w:ascii="Arial" w:eastAsia="Times New Roman" w:hAnsi="Arial" w:cs="Times New Roman"/>
      <w:sz w:val="18"/>
      <w:szCs w:val="20"/>
      <w:lang w:val="en-GB"/>
    </w:rPr>
  </w:style>
  <w:style w:type="paragraph" w:styleId="Heading1">
    <w:name w:val="heading 1"/>
    <w:basedOn w:val="CETHeading1"/>
    <w:next w:val="Normal"/>
    <w:link w:val="Heading1Char"/>
    <w:uiPriority w:val="9"/>
    <w:rsid w:val="004F5E36"/>
    <w:pPr>
      <w:tabs>
        <w:tab w:val="clear" w:pos="360"/>
        <w:tab w:val="right" w:pos="7100"/>
      </w:tabs>
      <w:jc w:val="both"/>
      <w:outlineLvl w:val="0"/>
    </w:pPr>
    <w:rPr>
      <w:lang w:val="en-GB"/>
    </w:rPr>
  </w:style>
  <w:style w:type="paragraph" w:styleId="Heading2">
    <w:name w:val="heading 2"/>
    <w:basedOn w:val="Normal"/>
    <w:next w:val="Normal"/>
    <w:link w:val="Heading2Char"/>
    <w:uiPriority w:val="9"/>
    <w:semiHidden/>
    <w:unhideWhenUsed/>
    <w:qFormat/>
    <w:rsid w:val="0003148D"/>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03148D"/>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03148D"/>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03148D"/>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03148D"/>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03148D"/>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03148D"/>
    <w:pPr>
      <w:keepNext/>
      <w:keepLines/>
      <w:spacing w:before="200"/>
      <w:outlineLvl w:val="7"/>
    </w:pPr>
    <w:rPr>
      <w:rFonts w:asciiTheme="majorHAnsi" w:eastAsiaTheme="majorEastAsia" w:hAnsiTheme="majorHAnsi" w:cstheme="majorBidi"/>
      <w:color w:val="404040" w:themeColor="text1" w:themeTint="BF"/>
    </w:rPr>
  </w:style>
  <w:style w:type="paragraph" w:styleId="Heading9">
    <w:name w:val="heading 9"/>
    <w:basedOn w:val="Normal"/>
    <w:next w:val="Normal"/>
    <w:link w:val="Heading9Char"/>
    <w:uiPriority w:val="9"/>
    <w:semiHidden/>
    <w:unhideWhenUsed/>
    <w:qFormat/>
    <w:rsid w:val="0003148D"/>
    <w:pPr>
      <w:keepNext/>
      <w:keepLines/>
      <w:spacing w:before="200"/>
      <w:outlineLvl w:val="8"/>
    </w:pPr>
    <w:rPr>
      <w:rFonts w:asciiTheme="majorHAnsi" w:eastAsiaTheme="majorEastAsia" w:hAnsiTheme="majorHAnsi" w:cstheme="majorBidi"/>
      <w:i/>
      <w:iCs/>
      <w:color w:val="404040" w:themeColor="text1" w:themeTint="B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ETAuthors">
    <w:name w:val="CET Authors"/>
    <w:basedOn w:val="CETBodytext"/>
    <w:link w:val="CETAuthorsCarattere"/>
    <w:qFormat/>
    <w:rsid w:val="000E414A"/>
    <w:pPr>
      <w:keepNext/>
      <w:suppressAutoHyphens/>
      <w:spacing w:after="120"/>
    </w:pPr>
    <w:rPr>
      <w:noProof/>
      <w:sz w:val="24"/>
      <w:lang w:val="en-GB"/>
    </w:rPr>
  </w:style>
  <w:style w:type="paragraph" w:customStyle="1" w:styleId="CETTitle">
    <w:name w:val="CET Title"/>
    <w:next w:val="CETAuthors"/>
    <w:link w:val="CETTitleCarattere"/>
    <w:rsid w:val="00FB730C"/>
    <w:pPr>
      <w:suppressAutoHyphens/>
      <w:spacing w:before="480" w:after="120" w:line="264" w:lineRule="auto"/>
      <w:jc w:val="center"/>
      <w:outlineLvl w:val="0"/>
    </w:pPr>
    <w:rPr>
      <w:rFonts w:ascii="Arial" w:eastAsia="Times New Roman" w:hAnsi="Arial" w:cs="Times New Roman"/>
      <w:sz w:val="32"/>
      <w:szCs w:val="20"/>
      <w:lang w:val="en-GB"/>
    </w:rPr>
  </w:style>
  <w:style w:type="character" w:customStyle="1" w:styleId="CETAuthorsCarattere">
    <w:name w:val="CET Authors Carattere"/>
    <w:link w:val="CETAuthors"/>
    <w:rsid w:val="009E788A"/>
    <w:rPr>
      <w:rFonts w:ascii="Arial" w:eastAsia="Times New Roman" w:hAnsi="Arial" w:cs="Times New Roman"/>
      <w:noProof/>
      <w:sz w:val="24"/>
      <w:szCs w:val="20"/>
      <w:lang w:val="en-GB"/>
    </w:rPr>
  </w:style>
  <w:style w:type="character" w:customStyle="1" w:styleId="CETTitleCarattere">
    <w:name w:val="CET Title Carattere"/>
    <w:link w:val="CETTitle"/>
    <w:rsid w:val="00FB730C"/>
    <w:rPr>
      <w:rFonts w:ascii="Arial" w:eastAsia="Times New Roman" w:hAnsi="Arial" w:cs="Times New Roman"/>
      <w:sz w:val="32"/>
      <w:szCs w:val="20"/>
      <w:lang w:val="en-GB"/>
    </w:rPr>
  </w:style>
  <w:style w:type="paragraph" w:customStyle="1" w:styleId="CETHeading1">
    <w:name w:val="CET Heading1"/>
    <w:next w:val="CETBodytext"/>
    <w:qFormat/>
    <w:rsid w:val="009E788A"/>
    <w:pPr>
      <w:keepNext/>
      <w:numPr>
        <w:ilvl w:val="1"/>
        <w:numId w:val="1"/>
      </w:numPr>
      <w:tabs>
        <w:tab w:val="num" w:pos="360"/>
      </w:tabs>
      <w:suppressAutoHyphens/>
      <w:spacing w:before="240" w:after="120" w:line="240" w:lineRule="auto"/>
    </w:pPr>
    <w:rPr>
      <w:rFonts w:ascii="Arial" w:eastAsia="Times New Roman" w:hAnsi="Arial" w:cs="Times New Roman"/>
      <w:b/>
      <w:sz w:val="20"/>
      <w:szCs w:val="20"/>
      <w:lang w:val="en-US"/>
    </w:rPr>
  </w:style>
  <w:style w:type="paragraph" w:customStyle="1" w:styleId="CETBodytext">
    <w:name w:val="CET Body text"/>
    <w:link w:val="CETBodytextCarattere"/>
    <w:qFormat/>
    <w:rsid w:val="000E414A"/>
    <w:pPr>
      <w:tabs>
        <w:tab w:val="right" w:pos="7100"/>
      </w:tabs>
      <w:spacing w:after="0" w:line="264" w:lineRule="auto"/>
      <w:jc w:val="both"/>
    </w:pPr>
    <w:rPr>
      <w:rFonts w:ascii="Arial" w:eastAsia="Times New Roman" w:hAnsi="Arial" w:cs="Times New Roman"/>
      <w:sz w:val="18"/>
      <w:szCs w:val="20"/>
      <w:lang w:val="en-US"/>
    </w:rPr>
  </w:style>
  <w:style w:type="paragraph" w:customStyle="1" w:styleId="CETheadingx">
    <w:name w:val="CET headingx"/>
    <w:next w:val="CETBodytext"/>
    <w:link w:val="CETheadingxCarattere"/>
    <w:autoRedefine/>
    <w:qFormat/>
    <w:rsid w:val="00FA5F5F"/>
    <w:pPr>
      <w:keepNext/>
      <w:numPr>
        <w:ilvl w:val="2"/>
        <w:numId w:val="1"/>
      </w:numPr>
      <w:suppressAutoHyphens/>
      <w:spacing w:before="120" w:after="120" w:line="240" w:lineRule="auto"/>
    </w:pPr>
    <w:rPr>
      <w:rFonts w:ascii="Arial" w:eastAsia="Times New Roman" w:hAnsi="Arial" w:cs="Times New Roman"/>
      <w:b/>
      <w:sz w:val="18"/>
      <w:szCs w:val="20"/>
      <w:lang w:val="en-US"/>
    </w:rPr>
  </w:style>
  <w:style w:type="paragraph" w:customStyle="1" w:styleId="CETAddress">
    <w:name w:val="CET Address"/>
    <w:link w:val="CETAddressCarattere"/>
    <w:qFormat/>
    <w:rsid w:val="009E788A"/>
    <w:pPr>
      <w:keepNext/>
      <w:suppressAutoHyphens/>
      <w:spacing w:after="0"/>
      <w:contextualSpacing/>
    </w:pPr>
    <w:rPr>
      <w:rFonts w:ascii="Arial" w:eastAsia="Times New Roman" w:hAnsi="Arial" w:cs="Times New Roman"/>
      <w:noProof/>
      <w:sz w:val="16"/>
      <w:szCs w:val="20"/>
      <w:lang w:val="en-GB"/>
    </w:rPr>
  </w:style>
  <w:style w:type="table" w:styleId="TableSimple1">
    <w:name w:val="Table Simple 1"/>
    <w:basedOn w:val="TableNormal"/>
    <w:semiHidden/>
    <w:rsid w:val="000E414A"/>
    <w:pPr>
      <w:numPr>
        <w:ilvl w:val="3"/>
        <w:numId w:val="1"/>
      </w:numPr>
      <w:spacing w:after="0" w:line="264" w:lineRule="auto"/>
      <w:jc w:val="both"/>
    </w:pPr>
    <w:rPr>
      <w:rFonts w:ascii="Times New Roman" w:eastAsia="Times New Roman" w:hAnsi="Times New Roman" w:cs="Times New Roman"/>
      <w:sz w:val="20"/>
      <w:szCs w:val="20"/>
      <w:lang w:eastAsia="it-IT"/>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character" w:customStyle="1" w:styleId="CETBodytextCarattere">
    <w:name w:val="CET Body text Carattere"/>
    <w:link w:val="CETBodytext"/>
    <w:rsid w:val="000E414A"/>
    <w:rPr>
      <w:rFonts w:ascii="Arial" w:eastAsia="Times New Roman" w:hAnsi="Arial" w:cs="Times New Roman"/>
      <w:sz w:val="18"/>
      <w:szCs w:val="20"/>
      <w:lang w:val="en-US"/>
    </w:rPr>
  </w:style>
  <w:style w:type="paragraph" w:customStyle="1" w:styleId="CETReference">
    <w:name w:val="CET Reference"/>
    <w:qFormat/>
    <w:rsid w:val="00FC2695"/>
    <w:pPr>
      <w:spacing w:before="200" w:after="120" w:line="240" w:lineRule="auto"/>
    </w:pPr>
    <w:rPr>
      <w:rFonts w:ascii="Arial" w:eastAsia="Times New Roman" w:hAnsi="Arial" w:cs="Times New Roman"/>
      <w:b/>
      <w:sz w:val="18"/>
      <w:szCs w:val="20"/>
      <w:lang w:val="en-GB"/>
    </w:rPr>
  </w:style>
  <w:style w:type="paragraph" w:customStyle="1" w:styleId="CETCaption">
    <w:name w:val="CET Caption"/>
    <w:link w:val="CETCaptionCarattere"/>
    <w:qFormat/>
    <w:rsid w:val="00F7534E"/>
    <w:pPr>
      <w:spacing w:before="240" w:after="240" w:line="264" w:lineRule="auto"/>
      <w:jc w:val="both"/>
    </w:pPr>
    <w:rPr>
      <w:rFonts w:ascii="Arial" w:eastAsia="Times New Roman" w:hAnsi="Arial" w:cs="Times New Roman"/>
      <w:i/>
      <w:sz w:val="18"/>
      <w:szCs w:val="20"/>
      <w:lang w:val="en-GB"/>
    </w:rPr>
  </w:style>
  <w:style w:type="character" w:customStyle="1" w:styleId="CETheadingxCarattere">
    <w:name w:val="CET headingx Carattere"/>
    <w:link w:val="CETheadingx"/>
    <w:rsid w:val="00FA5F5F"/>
    <w:rPr>
      <w:rFonts w:ascii="Arial" w:eastAsia="Times New Roman" w:hAnsi="Arial" w:cs="Times New Roman"/>
      <w:b/>
      <w:sz w:val="18"/>
      <w:szCs w:val="20"/>
      <w:lang w:val="en-US"/>
    </w:rPr>
  </w:style>
  <w:style w:type="character" w:customStyle="1" w:styleId="CETCaptionCarattere">
    <w:name w:val="CET Caption Carattere"/>
    <w:link w:val="CETCaption"/>
    <w:rsid w:val="00F7534E"/>
    <w:rPr>
      <w:rFonts w:ascii="Arial" w:eastAsia="Times New Roman" w:hAnsi="Arial" w:cs="Times New Roman"/>
      <w:i/>
      <w:sz w:val="18"/>
      <w:szCs w:val="20"/>
      <w:lang w:val="en-GB"/>
    </w:rPr>
  </w:style>
  <w:style w:type="paragraph" w:customStyle="1" w:styleId="CETBodytextItalic">
    <w:name w:val="CET Body text (Italic)"/>
    <w:basedOn w:val="CETBodytext"/>
    <w:qFormat/>
    <w:rsid w:val="004F5E36"/>
    <w:rPr>
      <w:i/>
      <w:lang w:val="en-GB"/>
    </w:rPr>
  </w:style>
  <w:style w:type="character" w:styleId="CommentReference">
    <w:name w:val="annotation reference"/>
    <w:basedOn w:val="DefaultParagraphFont"/>
    <w:uiPriority w:val="99"/>
    <w:semiHidden/>
    <w:unhideWhenUsed/>
    <w:rsid w:val="004577FE"/>
    <w:rPr>
      <w:sz w:val="16"/>
      <w:szCs w:val="16"/>
    </w:rPr>
  </w:style>
  <w:style w:type="paragraph" w:styleId="BalloonText">
    <w:name w:val="Balloon Text"/>
    <w:basedOn w:val="Normal"/>
    <w:link w:val="BalloonTextChar"/>
    <w:uiPriority w:val="99"/>
    <w:semiHidden/>
    <w:unhideWhenUsed/>
    <w:rsid w:val="000D34BE"/>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D34BE"/>
    <w:rPr>
      <w:rFonts w:ascii="Tahoma" w:hAnsi="Tahoma" w:cs="Tahoma"/>
      <w:sz w:val="16"/>
      <w:szCs w:val="16"/>
    </w:rPr>
  </w:style>
  <w:style w:type="paragraph" w:styleId="Bibliography">
    <w:name w:val="Bibliography"/>
    <w:basedOn w:val="CETReferencetext"/>
    <w:uiPriority w:val="37"/>
    <w:unhideWhenUsed/>
    <w:rsid w:val="00631B33"/>
    <w:pPr>
      <w:spacing w:line="240" w:lineRule="auto"/>
      <w:ind w:left="720" w:hanging="720"/>
    </w:pPr>
  </w:style>
  <w:style w:type="paragraph" w:styleId="BodyText2">
    <w:name w:val="Body Text 2"/>
    <w:basedOn w:val="Normal"/>
    <w:link w:val="BodyText2Char"/>
    <w:uiPriority w:val="99"/>
    <w:semiHidden/>
    <w:unhideWhenUsed/>
    <w:rsid w:val="0003148D"/>
    <w:pPr>
      <w:spacing w:after="120" w:line="480" w:lineRule="auto"/>
    </w:pPr>
  </w:style>
  <w:style w:type="character" w:customStyle="1" w:styleId="BodyText2Char">
    <w:name w:val="Body Text 2 Char"/>
    <w:basedOn w:val="DefaultParagraphFont"/>
    <w:link w:val="BodyText2"/>
    <w:uiPriority w:val="99"/>
    <w:semiHidden/>
    <w:rsid w:val="0003148D"/>
  </w:style>
  <w:style w:type="paragraph" w:styleId="BodyText3">
    <w:name w:val="Body Text 3"/>
    <w:basedOn w:val="Normal"/>
    <w:link w:val="BodyText3Char"/>
    <w:uiPriority w:val="99"/>
    <w:semiHidden/>
    <w:unhideWhenUsed/>
    <w:rsid w:val="0003148D"/>
    <w:pPr>
      <w:spacing w:after="120"/>
    </w:pPr>
    <w:rPr>
      <w:sz w:val="16"/>
      <w:szCs w:val="16"/>
    </w:rPr>
  </w:style>
  <w:style w:type="character" w:customStyle="1" w:styleId="BodyText3Char">
    <w:name w:val="Body Text 3 Char"/>
    <w:basedOn w:val="DefaultParagraphFont"/>
    <w:link w:val="BodyText3"/>
    <w:uiPriority w:val="99"/>
    <w:semiHidden/>
    <w:rsid w:val="0003148D"/>
    <w:rPr>
      <w:sz w:val="16"/>
      <w:szCs w:val="16"/>
    </w:rPr>
  </w:style>
  <w:style w:type="paragraph" w:styleId="BodyText">
    <w:name w:val="Body Text"/>
    <w:basedOn w:val="Normal"/>
    <w:link w:val="BodyTextChar"/>
    <w:uiPriority w:val="99"/>
    <w:semiHidden/>
    <w:unhideWhenUsed/>
    <w:rsid w:val="0003148D"/>
    <w:pPr>
      <w:spacing w:after="120"/>
    </w:pPr>
  </w:style>
  <w:style w:type="character" w:customStyle="1" w:styleId="BodyTextChar">
    <w:name w:val="Body Text Char"/>
    <w:basedOn w:val="DefaultParagraphFont"/>
    <w:link w:val="BodyText"/>
    <w:uiPriority w:val="99"/>
    <w:semiHidden/>
    <w:rsid w:val="0003148D"/>
  </w:style>
  <w:style w:type="paragraph" w:styleId="Date">
    <w:name w:val="Date"/>
    <w:basedOn w:val="Normal"/>
    <w:next w:val="Normal"/>
    <w:link w:val="DateChar"/>
    <w:uiPriority w:val="99"/>
    <w:semiHidden/>
    <w:unhideWhenUsed/>
    <w:rsid w:val="0003148D"/>
  </w:style>
  <w:style w:type="character" w:customStyle="1" w:styleId="DateChar">
    <w:name w:val="Date Char"/>
    <w:basedOn w:val="DefaultParagraphFont"/>
    <w:link w:val="Date"/>
    <w:uiPriority w:val="99"/>
    <w:semiHidden/>
    <w:rsid w:val="0003148D"/>
  </w:style>
  <w:style w:type="paragraph" w:styleId="Caption">
    <w:name w:val="caption"/>
    <w:basedOn w:val="Normal"/>
    <w:next w:val="Normal"/>
    <w:uiPriority w:val="35"/>
    <w:semiHidden/>
    <w:unhideWhenUsed/>
    <w:qFormat/>
    <w:rsid w:val="0003148D"/>
    <w:pPr>
      <w:spacing w:line="240" w:lineRule="auto"/>
    </w:pPr>
    <w:rPr>
      <w:b/>
      <w:bCs/>
      <w:color w:val="4F81BD" w:themeColor="accent1"/>
      <w:szCs w:val="18"/>
    </w:rPr>
  </w:style>
  <w:style w:type="paragraph" w:styleId="List">
    <w:name w:val="List"/>
    <w:basedOn w:val="Normal"/>
    <w:uiPriority w:val="99"/>
    <w:semiHidden/>
    <w:unhideWhenUsed/>
    <w:rsid w:val="0003148D"/>
    <w:pPr>
      <w:ind w:left="283" w:hanging="283"/>
      <w:contextualSpacing/>
    </w:pPr>
  </w:style>
  <w:style w:type="paragraph" w:styleId="List2">
    <w:name w:val="List 2"/>
    <w:basedOn w:val="Normal"/>
    <w:uiPriority w:val="99"/>
    <w:semiHidden/>
    <w:unhideWhenUsed/>
    <w:rsid w:val="0003148D"/>
    <w:pPr>
      <w:ind w:left="566" w:hanging="283"/>
      <w:contextualSpacing/>
    </w:pPr>
  </w:style>
  <w:style w:type="paragraph" w:styleId="List3">
    <w:name w:val="List 3"/>
    <w:basedOn w:val="Normal"/>
    <w:uiPriority w:val="99"/>
    <w:semiHidden/>
    <w:unhideWhenUsed/>
    <w:rsid w:val="0003148D"/>
    <w:pPr>
      <w:ind w:left="849" w:hanging="283"/>
      <w:contextualSpacing/>
    </w:pPr>
  </w:style>
  <w:style w:type="paragraph" w:styleId="List4">
    <w:name w:val="List 4"/>
    <w:basedOn w:val="Normal"/>
    <w:uiPriority w:val="99"/>
    <w:semiHidden/>
    <w:unhideWhenUsed/>
    <w:rsid w:val="0003148D"/>
    <w:pPr>
      <w:ind w:left="1132" w:hanging="283"/>
      <w:contextualSpacing/>
    </w:pPr>
  </w:style>
  <w:style w:type="paragraph" w:styleId="List5">
    <w:name w:val="List 5"/>
    <w:basedOn w:val="Normal"/>
    <w:uiPriority w:val="99"/>
    <w:semiHidden/>
    <w:unhideWhenUsed/>
    <w:rsid w:val="0003148D"/>
    <w:pPr>
      <w:ind w:left="1415" w:hanging="283"/>
      <w:contextualSpacing/>
    </w:pPr>
  </w:style>
  <w:style w:type="paragraph" w:styleId="ListContinue">
    <w:name w:val="List Continue"/>
    <w:basedOn w:val="Normal"/>
    <w:uiPriority w:val="99"/>
    <w:semiHidden/>
    <w:unhideWhenUsed/>
    <w:rsid w:val="0003148D"/>
    <w:pPr>
      <w:spacing w:after="120"/>
      <w:ind w:left="283"/>
      <w:contextualSpacing/>
    </w:pPr>
  </w:style>
  <w:style w:type="paragraph" w:styleId="ListContinue2">
    <w:name w:val="List Continue 2"/>
    <w:basedOn w:val="Normal"/>
    <w:uiPriority w:val="99"/>
    <w:semiHidden/>
    <w:unhideWhenUsed/>
    <w:rsid w:val="0003148D"/>
    <w:pPr>
      <w:spacing w:after="120"/>
      <w:ind w:left="566"/>
      <w:contextualSpacing/>
    </w:pPr>
  </w:style>
  <w:style w:type="paragraph" w:styleId="ListContinue3">
    <w:name w:val="List Continue 3"/>
    <w:basedOn w:val="Normal"/>
    <w:uiPriority w:val="99"/>
    <w:semiHidden/>
    <w:unhideWhenUsed/>
    <w:rsid w:val="0003148D"/>
    <w:pPr>
      <w:spacing w:after="120"/>
      <w:ind w:left="849"/>
      <w:contextualSpacing/>
    </w:pPr>
  </w:style>
  <w:style w:type="paragraph" w:styleId="ListContinue4">
    <w:name w:val="List Continue 4"/>
    <w:basedOn w:val="Normal"/>
    <w:uiPriority w:val="99"/>
    <w:semiHidden/>
    <w:unhideWhenUsed/>
    <w:rsid w:val="0003148D"/>
    <w:pPr>
      <w:spacing w:after="120"/>
      <w:ind w:left="1132"/>
      <w:contextualSpacing/>
    </w:pPr>
  </w:style>
  <w:style w:type="paragraph" w:styleId="ListContinue5">
    <w:name w:val="List Continue 5"/>
    <w:basedOn w:val="Normal"/>
    <w:uiPriority w:val="99"/>
    <w:semiHidden/>
    <w:unhideWhenUsed/>
    <w:rsid w:val="0003148D"/>
    <w:pPr>
      <w:spacing w:after="120"/>
      <w:ind w:left="1415"/>
      <w:contextualSpacing/>
    </w:pPr>
  </w:style>
  <w:style w:type="paragraph" w:styleId="Signature">
    <w:name w:val="Signature"/>
    <w:basedOn w:val="Normal"/>
    <w:link w:val="SignatureChar"/>
    <w:uiPriority w:val="99"/>
    <w:semiHidden/>
    <w:unhideWhenUsed/>
    <w:rsid w:val="0003148D"/>
    <w:pPr>
      <w:spacing w:line="240" w:lineRule="auto"/>
      <w:ind w:left="4252"/>
    </w:pPr>
  </w:style>
  <w:style w:type="character" w:customStyle="1" w:styleId="SignatureChar">
    <w:name w:val="Signature Char"/>
    <w:basedOn w:val="DefaultParagraphFont"/>
    <w:link w:val="Signature"/>
    <w:uiPriority w:val="99"/>
    <w:semiHidden/>
    <w:rsid w:val="0003148D"/>
  </w:style>
  <w:style w:type="paragraph" w:styleId="E-mailSignature">
    <w:name w:val="E-mail Signature"/>
    <w:basedOn w:val="Normal"/>
    <w:link w:val="E-mailSignatureChar"/>
    <w:uiPriority w:val="99"/>
    <w:semiHidden/>
    <w:unhideWhenUsed/>
    <w:rsid w:val="0003148D"/>
    <w:pPr>
      <w:spacing w:line="240" w:lineRule="auto"/>
    </w:pPr>
  </w:style>
  <w:style w:type="character" w:customStyle="1" w:styleId="E-mailSignatureChar">
    <w:name w:val="E-mail Signature Char"/>
    <w:basedOn w:val="DefaultParagraphFont"/>
    <w:link w:val="E-mailSignature"/>
    <w:uiPriority w:val="99"/>
    <w:semiHidden/>
    <w:rsid w:val="0003148D"/>
  </w:style>
  <w:style w:type="paragraph" w:styleId="Salutation">
    <w:name w:val="Salutation"/>
    <w:basedOn w:val="Normal"/>
    <w:next w:val="Normal"/>
    <w:link w:val="SalutationChar"/>
    <w:uiPriority w:val="99"/>
    <w:semiHidden/>
    <w:unhideWhenUsed/>
    <w:rsid w:val="0003148D"/>
  </w:style>
  <w:style w:type="character" w:customStyle="1" w:styleId="SalutationChar">
    <w:name w:val="Salutation Char"/>
    <w:basedOn w:val="DefaultParagraphFont"/>
    <w:link w:val="Salutation"/>
    <w:uiPriority w:val="99"/>
    <w:semiHidden/>
    <w:rsid w:val="0003148D"/>
  </w:style>
  <w:style w:type="paragraph" w:styleId="Closing">
    <w:name w:val="Closing"/>
    <w:basedOn w:val="Normal"/>
    <w:link w:val="ClosingChar"/>
    <w:uiPriority w:val="99"/>
    <w:semiHidden/>
    <w:unhideWhenUsed/>
    <w:rsid w:val="0003148D"/>
    <w:pPr>
      <w:spacing w:line="240" w:lineRule="auto"/>
      <w:ind w:left="4252"/>
    </w:pPr>
  </w:style>
  <w:style w:type="character" w:customStyle="1" w:styleId="ClosingChar">
    <w:name w:val="Closing Char"/>
    <w:basedOn w:val="DefaultParagraphFont"/>
    <w:link w:val="Closing"/>
    <w:uiPriority w:val="99"/>
    <w:semiHidden/>
    <w:rsid w:val="0003148D"/>
  </w:style>
  <w:style w:type="paragraph" w:styleId="Index1">
    <w:name w:val="index 1"/>
    <w:basedOn w:val="Normal"/>
    <w:next w:val="Normal"/>
    <w:autoRedefine/>
    <w:uiPriority w:val="99"/>
    <w:semiHidden/>
    <w:unhideWhenUsed/>
    <w:rsid w:val="0003148D"/>
    <w:pPr>
      <w:spacing w:line="240" w:lineRule="auto"/>
      <w:ind w:left="220" w:hanging="220"/>
    </w:pPr>
  </w:style>
  <w:style w:type="paragraph" w:styleId="Index2">
    <w:name w:val="index 2"/>
    <w:basedOn w:val="Normal"/>
    <w:next w:val="Normal"/>
    <w:autoRedefine/>
    <w:uiPriority w:val="99"/>
    <w:semiHidden/>
    <w:unhideWhenUsed/>
    <w:rsid w:val="0003148D"/>
    <w:pPr>
      <w:spacing w:line="240" w:lineRule="auto"/>
      <w:ind w:left="440" w:hanging="220"/>
    </w:pPr>
  </w:style>
  <w:style w:type="paragraph" w:styleId="Index3">
    <w:name w:val="index 3"/>
    <w:basedOn w:val="Normal"/>
    <w:next w:val="Normal"/>
    <w:autoRedefine/>
    <w:uiPriority w:val="99"/>
    <w:semiHidden/>
    <w:unhideWhenUsed/>
    <w:rsid w:val="0003148D"/>
    <w:pPr>
      <w:spacing w:line="240" w:lineRule="auto"/>
      <w:ind w:left="660" w:hanging="220"/>
    </w:pPr>
  </w:style>
  <w:style w:type="paragraph" w:styleId="Index4">
    <w:name w:val="index 4"/>
    <w:basedOn w:val="Normal"/>
    <w:next w:val="Normal"/>
    <w:autoRedefine/>
    <w:uiPriority w:val="99"/>
    <w:semiHidden/>
    <w:unhideWhenUsed/>
    <w:rsid w:val="0003148D"/>
    <w:pPr>
      <w:spacing w:line="240" w:lineRule="auto"/>
      <w:ind w:left="880" w:hanging="220"/>
    </w:pPr>
  </w:style>
  <w:style w:type="paragraph" w:styleId="Index5">
    <w:name w:val="index 5"/>
    <w:basedOn w:val="Normal"/>
    <w:next w:val="Normal"/>
    <w:autoRedefine/>
    <w:uiPriority w:val="99"/>
    <w:semiHidden/>
    <w:unhideWhenUsed/>
    <w:rsid w:val="0003148D"/>
    <w:pPr>
      <w:spacing w:line="240" w:lineRule="auto"/>
      <w:ind w:left="1100" w:hanging="220"/>
    </w:pPr>
  </w:style>
  <w:style w:type="paragraph" w:styleId="Index6">
    <w:name w:val="index 6"/>
    <w:basedOn w:val="Normal"/>
    <w:next w:val="Normal"/>
    <w:autoRedefine/>
    <w:uiPriority w:val="99"/>
    <w:semiHidden/>
    <w:unhideWhenUsed/>
    <w:rsid w:val="0003148D"/>
    <w:pPr>
      <w:spacing w:line="240" w:lineRule="auto"/>
      <w:ind w:left="1320" w:hanging="220"/>
    </w:pPr>
  </w:style>
  <w:style w:type="paragraph" w:styleId="Index7">
    <w:name w:val="index 7"/>
    <w:basedOn w:val="Normal"/>
    <w:next w:val="Normal"/>
    <w:autoRedefine/>
    <w:uiPriority w:val="99"/>
    <w:semiHidden/>
    <w:unhideWhenUsed/>
    <w:rsid w:val="0003148D"/>
    <w:pPr>
      <w:spacing w:line="240" w:lineRule="auto"/>
      <w:ind w:left="1540" w:hanging="220"/>
    </w:pPr>
  </w:style>
  <w:style w:type="paragraph" w:styleId="Index8">
    <w:name w:val="index 8"/>
    <w:basedOn w:val="Normal"/>
    <w:next w:val="Normal"/>
    <w:autoRedefine/>
    <w:uiPriority w:val="99"/>
    <w:semiHidden/>
    <w:unhideWhenUsed/>
    <w:rsid w:val="0003148D"/>
    <w:pPr>
      <w:spacing w:line="240" w:lineRule="auto"/>
      <w:ind w:left="1760" w:hanging="220"/>
    </w:pPr>
  </w:style>
  <w:style w:type="paragraph" w:styleId="Index9">
    <w:name w:val="index 9"/>
    <w:basedOn w:val="Normal"/>
    <w:next w:val="Normal"/>
    <w:autoRedefine/>
    <w:uiPriority w:val="99"/>
    <w:semiHidden/>
    <w:unhideWhenUsed/>
    <w:rsid w:val="0003148D"/>
    <w:pPr>
      <w:spacing w:line="240" w:lineRule="auto"/>
      <w:ind w:left="1980" w:hanging="220"/>
    </w:pPr>
  </w:style>
  <w:style w:type="paragraph" w:styleId="TableofFigures">
    <w:name w:val="table of figures"/>
    <w:basedOn w:val="Normal"/>
    <w:next w:val="Normal"/>
    <w:uiPriority w:val="99"/>
    <w:semiHidden/>
    <w:unhideWhenUsed/>
    <w:rsid w:val="0003148D"/>
  </w:style>
  <w:style w:type="paragraph" w:styleId="TableofAuthorities">
    <w:name w:val="table of authorities"/>
    <w:basedOn w:val="Normal"/>
    <w:next w:val="Normal"/>
    <w:uiPriority w:val="99"/>
    <w:semiHidden/>
    <w:unhideWhenUsed/>
    <w:rsid w:val="0003148D"/>
    <w:pPr>
      <w:ind w:left="220" w:hanging="220"/>
    </w:pPr>
  </w:style>
  <w:style w:type="paragraph" w:styleId="EnvelopeAddress">
    <w:name w:val="envelope address"/>
    <w:basedOn w:val="Normal"/>
    <w:uiPriority w:val="99"/>
    <w:semiHidden/>
    <w:unhideWhenUsed/>
    <w:rsid w:val="0003148D"/>
    <w:pPr>
      <w:framePr w:w="7920" w:h="1980" w:hRule="exact" w:hSpace="180" w:wrap="auto" w:hAnchor="page" w:xAlign="center" w:yAlign="bottom"/>
      <w:spacing w:line="240" w:lineRule="auto"/>
      <w:ind w:left="2880"/>
    </w:pPr>
    <w:rPr>
      <w:rFonts w:asciiTheme="majorHAnsi" w:eastAsiaTheme="majorEastAsia" w:hAnsiTheme="majorHAnsi" w:cstheme="majorBidi"/>
      <w:sz w:val="24"/>
      <w:szCs w:val="24"/>
    </w:rPr>
  </w:style>
  <w:style w:type="paragraph" w:styleId="HTMLAddress">
    <w:name w:val="HTML Address"/>
    <w:basedOn w:val="Normal"/>
    <w:link w:val="HTMLAddressChar"/>
    <w:uiPriority w:val="99"/>
    <w:semiHidden/>
    <w:unhideWhenUsed/>
    <w:rsid w:val="0003148D"/>
    <w:pPr>
      <w:spacing w:line="240" w:lineRule="auto"/>
    </w:pPr>
    <w:rPr>
      <w:i/>
      <w:iCs/>
    </w:rPr>
  </w:style>
  <w:style w:type="character" w:customStyle="1" w:styleId="HTMLAddressChar">
    <w:name w:val="HTML Address Char"/>
    <w:basedOn w:val="DefaultParagraphFont"/>
    <w:link w:val="HTMLAddress"/>
    <w:uiPriority w:val="99"/>
    <w:semiHidden/>
    <w:rsid w:val="0003148D"/>
    <w:rPr>
      <w:i/>
      <w:iCs/>
    </w:rPr>
  </w:style>
  <w:style w:type="paragraph" w:styleId="EnvelopeReturn">
    <w:name w:val="envelope return"/>
    <w:basedOn w:val="Normal"/>
    <w:uiPriority w:val="99"/>
    <w:semiHidden/>
    <w:unhideWhenUsed/>
    <w:rsid w:val="0003148D"/>
    <w:pPr>
      <w:spacing w:line="240" w:lineRule="auto"/>
    </w:pPr>
    <w:rPr>
      <w:rFonts w:asciiTheme="majorHAnsi" w:eastAsiaTheme="majorEastAsia" w:hAnsiTheme="majorHAnsi" w:cstheme="majorBidi"/>
    </w:rPr>
  </w:style>
  <w:style w:type="paragraph" w:styleId="MessageHeader">
    <w:name w:val="Message Header"/>
    <w:basedOn w:val="Normal"/>
    <w:link w:val="MessageHeaderChar"/>
    <w:uiPriority w:val="99"/>
    <w:semiHidden/>
    <w:unhideWhenUsed/>
    <w:rsid w:val="0003148D"/>
    <w:pPr>
      <w:pBdr>
        <w:top w:val="single" w:sz="6" w:space="1" w:color="auto"/>
        <w:left w:val="single" w:sz="6" w:space="1" w:color="auto"/>
        <w:bottom w:val="single" w:sz="6" w:space="1" w:color="auto"/>
        <w:right w:val="single" w:sz="6" w:space="1" w:color="auto"/>
      </w:pBdr>
      <w:shd w:val="pct20" w:color="auto" w:fill="auto"/>
      <w:spacing w:line="240" w:lineRule="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03148D"/>
    <w:rPr>
      <w:rFonts w:asciiTheme="majorHAnsi" w:eastAsiaTheme="majorEastAsia" w:hAnsiTheme="majorHAnsi" w:cstheme="majorBidi"/>
      <w:sz w:val="24"/>
      <w:szCs w:val="24"/>
      <w:shd w:val="pct20" w:color="auto" w:fill="auto"/>
    </w:rPr>
  </w:style>
  <w:style w:type="paragraph" w:styleId="NoteHeading">
    <w:name w:val="Note Heading"/>
    <w:basedOn w:val="Normal"/>
    <w:next w:val="Normal"/>
    <w:link w:val="NoteHeadingChar"/>
    <w:uiPriority w:val="99"/>
    <w:semiHidden/>
    <w:unhideWhenUsed/>
    <w:rsid w:val="0003148D"/>
    <w:pPr>
      <w:spacing w:line="240" w:lineRule="auto"/>
    </w:pPr>
  </w:style>
  <w:style w:type="character" w:customStyle="1" w:styleId="NoteHeadingChar">
    <w:name w:val="Note Heading Char"/>
    <w:basedOn w:val="DefaultParagraphFont"/>
    <w:link w:val="NoteHeading"/>
    <w:uiPriority w:val="99"/>
    <w:semiHidden/>
    <w:rsid w:val="0003148D"/>
  </w:style>
  <w:style w:type="paragraph" w:styleId="DocumentMap">
    <w:name w:val="Document Map"/>
    <w:basedOn w:val="Normal"/>
    <w:link w:val="DocumentMapChar"/>
    <w:uiPriority w:val="99"/>
    <w:semiHidden/>
    <w:unhideWhenUsed/>
    <w:rsid w:val="0003148D"/>
    <w:pPr>
      <w:spacing w:line="240" w:lineRule="auto"/>
    </w:pPr>
    <w:rPr>
      <w:rFonts w:ascii="Tahoma" w:hAnsi="Tahoma" w:cs="Tahoma"/>
      <w:sz w:val="16"/>
      <w:szCs w:val="16"/>
    </w:rPr>
  </w:style>
  <w:style w:type="character" w:customStyle="1" w:styleId="DocumentMapChar">
    <w:name w:val="Document Map Char"/>
    <w:basedOn w:val="DefaultParagraphFont"/>
    <w:link w:val="DocumentMap"/>
    <w:uiPriority w:val="99"/>
    <w:semiHidden/>
    <w:rsid w:val="0003148D"/>
    <w:rPr>
      <w:rFonts w:ascii="Tahoma" w:hAnsi="Tahoma" w:cs="Tahoma"/>
      <w:sz w:val="16"/>
      <w:szCs w:val="16"/>
    </w:rPr>
  </w:style>
  <w:style w:type="paragraph" w:styleId="NormalWeb">
    <w:name w:val="Normal (Web)"/>
    <w:basedOn w:val="Normal"/>
    <w:uiPriority w:val="99"/>
    <w:semiHidden/>
    <w:unhideWhenUsed/>
    <w:rsid w:val="0003148D"/>
    <w:rPr>
      <w:sz w:val="24"/>
      <w:szCs w:val="24"/>
    </w:rPr>
  </w:style>
  <w:style w:type="paragraph" w:styleId="ListNumber">
    <w:name w:val="List Number"/>
    <w:basedOn w:val="Normal"/>
    <w:uiPriority w:val="99"/>
    <w:semiHidden/>
    <w:unhideWhenUsed/>
    <w:rsid w:val="0003148D"/>
    <w:pPr>
      <w:numPr>
        <w:numId w:val="2"/>
      </w:numPr>
      <w:contextualSpacing/>
    </w:pPr>
  </w:style>
  <w:style w:type="paragraph" w:styleId="ListNumber2">
    <w:name w:val="List Number 2"/>
    <w:basedOn w:val="Normal"/>
    <w:uiPriority w:val="99"/>
    <w:semiHidden/>
    <w:unhideWhenUsed/>
    <w:rsid w:val="0003148D"/>
    <w:pPr>
      <w:numPr>
        <w:numId w:val="3"/>
      </w:numPr>
      <w:contextualSpacing/>
    </w:pPr>
  </w:style>
  <w:style w:type="paragraph" w:styleId="ListNumber3">
    <w:name w:val="List Number 3"/>
    <w:basedOn w:val="Normal"/>
    <w:uiPriority w:val="99"/>
    <w:semiHidden/>
    <w:unhideWhenUsed/>
    <w:rsid w:val="0003148D"/>
    <w:pPr>
      <w:numPr>
        <w:numId w:val="4"/>
      </w:numPr>
      <w:contextualSpacing/>
    </w:pPr>
  </w:style>
  <w:style w:type="paragraph" w:styleId="ListNumber4">
    <w:name w:val="List Number 4"/>
    <w:basedOn w:val="Normal"/>
    <w:uiPriority w:val="99"/>
    <w:semiHidden/>
    <w:unhideWhenUsed/>
    <w:rsid w:val="0003148D"/>
    <w:pPr>
      <w:numPr>
        <w:numId w:val="5"/>
      </w:numPr>
      <w:contextualSpacing/>
    </w:pPr>
  </w:style>
  <w:style w:type="paragraph" w:styleId="ListNumber5">
    <w:name w:val="List Number 5"/>
    <w:basedOn w:val="Normal"/>
    <w:uiPriority w:val="99"/>
    <w:semiHidden/>
    <w:unhideWhenUsed/>
    <w:rsid w:val="0003148D"/>
    <w:pPr>
      <w:numPr>
        <w:numId w:val="6"/>
      </w:numPr>
      <w:contextualSpacing/>
    </w:pPr>
  </w:style>
  <w:style w:type="paragraph" w:styleId="HTMLPreformatted">
    <w:name w:val="HTML Preformatted"/>
    <w:basedOn w:val="Normal"/>
    <w:link w:val="HTMLPreformattedChar"/>
    <w:uiPriority w:val="99"/>
    <w:semiHidden/>
    <w:unhideWhenUsed/>
    <w:rsid w:val="0003148D"/>
    <w:pPr>
      <w:spacing w:line="240" w:lineRule="auto"/>
    </w:pPr>
    <w:rPr>
      <w:rFonts w:ascii="Consolas" w:hAnsi="Consolas" w:cs="Consolas"/>
    </w:rPr>
  </w:style>
  <w:style w:type="character" w:customStyle="1" w:styleId="HTMLPreformattedChar">
    <w:name w:val="HTML Preformatted Char"/>
    <w:basedOn w:val="DefaultParagraphFont"/>
    <w:link w:val="HTMLPreformatted"/>
    <w:uiPriority w:val="99"/>
    <w:semiHidden/>
    <w:rsid w:val="0003148D"/>
    <w:rPr>
      <w:rFonts w:ascii="Consolas" w:hAnsi="Consolas" w:cs="Consolas"/>
      <w:sz w:val="20"/>
      <w:szCs w:val="20"/>
    </w:rPr>
  </w:style>
  <w:style w:type="paragraph" w:styleId="BodyTextFirstIndent">
    <w:name w:val="Body Text First Indent"/>
    <w:basedOn w:val="BodyText"/>
    <w:link w:val="BodyTextFirstIndentChar"/>
    <w:uiPriority w:val="99"/>
    <w:semiHidden/>
    <w:unhideWhenUsed/>
    <w:rsid w:val="0003148D"/>
    <w:pPr>
      <w:spacing w:after="200"/>
      <w:ind w:firstLine="360"/>
    </w:pPr>
  </w:style>
  <w:style w:type="character" w:customStyle="1" w:styleId="BodyTextFirstIndentChar">
    <w:name w:val="Body Text First Indent Char"/>
    <w:basedOn w:val="BodyTextChar"/>
    <w:link w:val="BodyTextFirstIndent"/>
    <w:uiPriority w:val="99"/>
    <w:semiHidden/>
    <w:rsid w:val="0003148D"/>
  </w:style>
  <w:style w:type="paragraph" w:styleId="BodyTextIndent">
    <w:name w:val="Body Text Indent"/>
    <w:basedOn w:val="Normal"/>
    <w:link w:val="BodyTextIndentChar"/>
    <w:uiPriority w:val="99"/>
    <w:semiHidden/>
    <w:unhideWhenUsed/>
    <w:rsid w:val="0003148D"/>
    <w:pPr>
      <w:spacing w:after="120"/>
      <w:ind w:left="283"/>
    </w:pPr>
  </w:style>
  <w:style w:type="character" w:customStyle="1" w:styleId="BodyTextIndentChar">
    <w:name w:val="Body Text Indent Char"/>
    <w:basedOn w:val="DefaultParagraphFont"/>
    <w:link w:val="BodyTextIndent"/>
    <w:uiPriority w:val="99"/>
    <w:semiHidden/>
    <w:rsid w:val="0003148D"/>
  </w:style>
  <w:style w:type="paragraph" w:styleId="BodyTextFirstIndent2">
    <w:name w:val="Body Text First Indent 2"/>
    <w:basedOn w:val="BodyTextIndent"/>
    <w:link w:val="BodyTextFirstIndent2Char"/>
    <w:uiPriority w:val="99"/>
    <w:semiHidden/>
    <w:unhideWhenUsed/>
    <w:rsid w:val="0003148D"/>
    <w:pPr>
      <w:spacing w:after="200"/>
      <w:ind w:left="360" w:firstLine="360"/>
    </w:pPr>
  </w:style>
  <w:style w:type="character" w:customStyle="1" w:styleId="BodyTextFirstIndent2Char">
    <w:name w:val="Body Text First Indent 2 Char"/>
    <w:basedOn w:val="BodyTextIndentChar"/>
    <w:link w:val="BodyTextFirstIndent2"/>
    <w:uiPriority w:val="99"/>
    <w:semiHidden/>
    <w:rsid w:val="0003148D"/>
  </w:style>
  <w:style w:type="paragraph" w:styleId="ListBullet">
    <w:name w:val="List Bullet"/>
    <w:basedOn w:val="Normal"/>
    <w:uiPriority w:val="99"/>
    <w:semiHidden/>
    <w:unhideWhenUsed/>
    <w:rsid w:val="0003148D"/>
    <w:pPr>
      <w:numPr>
        <w:numId w:val="7"/>
      </w:numPr>
      <w:contextualSpacing/>
    </w:pPr>
  </w:style>
  <w:style w:type="paragraph" w:styleId="ListBullet2">
    <w:name w:val="List Bullet 2"/>
    <w:basedOn w:val="Normal"/>
    <w:uiPriority w:val="99"/>
    <w:semiHidden/>
    <w:unhideWhenUsed/>
    <w:rsid w:val="0003148D"/>
    <w:pPr>
      <w:numPr>
        <w:numId w:val="8"/>
      </w:numPr>
      <w:contextualSpacing/>
    </w:pPr>
  </w:style>
  <w:style w:type="paragraph" w:styleId="ListBullet3">
    <w:name w:val="List Bullet 3"/>
    <w:basedOn w:val="Normal"/>
    <w:uiPriority w:val="99"/>
    <w:semiHidden/>
    <w:unhideWhenUsed/>
    <w:rsid w:val="0003148D"/>
    <w:pPr>
      <w:numPr>
        <w:numId w:val="9"/>
      </w:numPr>
      <w:contextualSpacing/>
    </w:pPr>
  </w:style>
  <w:style w:type="paragraph" w:styleId="ListBullet4">
    <w:name w:val="List Bullet 4"/>
    <w:basedOn w:val="Normal"/>
    <w:uiPriority w:val="99"/>
    <w:semiHidden/>
    <w:unhideWhenUsed/>
    <w:rsid w:val="0003148D"/>
    <w:pPr>
      <w:numPr>
        <w:numId w:val="10"/>
      </w:numPr>
      <w:contextualSpacing/>
    </w:pPr>
  </w:style>
  <w:style w:type="paragraph" w:styleId="ListBullet5">
    <w:name w:val="List Bullet 5"/>
    <w:basedOn w:val="Normal"/>
    <w:uiPriority w:val="99"/>
    <w:semiHidden/>
    <w:unhideWhenUsed/>
    <w:rsid w:val="0003148D"/>
    <w:pPr>
      <w:numPr>
        <w:numId w:val="11"/>
      </w:numPr>
      <w:contextualSpacing/>
    </w:pPr>
  </w:style>
  <w:style w:type="paragraph" w:styleId="BodyTextIndent2">
    <w:name w:val="Body Text Indent 2"/>
    <w:basedOn w:val="Normal"/>
    <w:link w:val="BodyTextIndent2Char"/>
    <w:uiPriority w:val="99"/>
    <w:semiHidden/>
    <w:unhideWhenUsed/>
    <w:rsid w:val="0003148D"/>
    <w:pPr>
      <w:spacing w:after="120" w:line="480" w:lineRule="auto"/>
      <w:ind w:left="283"/>
    </w:pPr>
  </w:style>
  <w:style w:type="character" w:customStyle="1" w:styleId="BodyTextIndent2Char">
    <w:name w:val="Body Text Indent 2 Char"/>
    <w:basedOn w:val="DefaultParagraphFont"/>
    <w:link w:val="BodyTextIndent2"/>
    <w:uiPriority w:val="99"/>
    <w:semiHidden/>
    <w:rsid w:val="0003148D"/>
  </w:style>
  <w:style w:type="paragraph" w:styleId="BodyTextIndent3">
    <w:name w:val="Body Text Indent 3"/>
    <w:basedOn w:val="Normal"/>
    <w:link w:val="BodyTextIndent3Char"/>
    <w:uiPriority w:val="99"/>
    <w:semiHidden/>
    <w:unhideWhenUsed/>
    <w:rsid w:val="0003148D"/>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03148D"/>
    <w:rPr>
      <w:sz w:val="16"/>
      <w:szCs w:val="16"/>
    </w:rPr>
  </w:style>
  <w:style w:type="paragraph" w:styleId="NormalIndent">
    <w:name w:val="Normal Indent"/>
    <w:basedOn w:val="Normal"/>
    <w:uiPriority w:val="99"/>
    <w:semiHidden/>
    <w:unhideWhenUsed/>
    <w:rsid w:val="0003148D"/>
    <w:pPr>
      <w:ind w:left="720"/>
    </w:pPr>
  </w:style>
  <w:style w:type="paragraph" w:styleId="CommentText">
    <w:name w:val="annotation text"/>
    <w:basedOn w:val="Normal"/>
    <w:link w:val="CommentTextChar"/>
    <w:uiPriority w:val="99"/>
    <w:unhideWhenUsed/>
    <w:rsid w:val="0003148D"/>
    <w:pPr>
      <w:spacing w:line="240" w:lineRule="auto"/>
    </w:pPr>
  </w:style>
  <w:style w:type="character" w:customStyle="1" w:styleId="CommentTextChar">
    <w:name w:val="Comment Text Char"/>
    <w:basedOn w:val="DefaultParagraphFont"/>
    <w:link w:val="CommentText"/>
    <w:uiPriority w:val="99"/>
    <w:rsid w:val="0003148D"/>
    <w:rPr>
      <w:sz w:val="20"/>
      <w:szCs w:val="20"/>
    </w:rPr>
  </w:style>
  <w:style w:type="paragraph" w:styleId="CommentSubject">
    <w:name w:val="annotation subject"/>
    <w:basedOn w:val="CommentText"/>
    <w:next w:val="CommentText"/>
    <w:link w:val="CommentSubjectChar"/>
    <w:uiPriority w:val="99"/>
    <w:semiHidden/>
    <w:unhideWhenUsed/>
    <w:rsid w:val="0003148D"/>
    <w:rPr>
      <w:b/>
      <w:bCs/>
    </w:rPr>
  </w:style>
  <w:style w:type="character" w:customStyle="1" w:styleId="CommentSubjectChar">
    <w:name w:val="Comment Subject Char"/>
    <w:basedOn w:val="CommentTextChar"/>
    <w:link w:val="CommentSubject"/>
    <w:uiPriority w:val="99"/>
    <w:semiHidden/>
    <w:rsid w:val="0003148D"/>
    <w:rPr>
      <w:b/>
      <w:bCs/>
      <w:sz w:val="20"/>
      <w:szCs w:val="20"/>
    </w:rPr>
  </w:style>
  <w:style w:type="paragraph" w:styleId="TOC1">
    <w:name w:val="toc 1"/>
    <w:basedOn w:val="Normal"/>
    <w:next w:val="Normal"/>
    <w:autoRedefine/>
    <w:uiPriority w:val="39"/>
    <w:semiHidden/>
    <w:unhideWhenUsed/>
    <w:rsid w:val="0003148D"/>
    <w:pPr>
      <w:spacing w:after="100"/>
    </w:pPr>
  </w:style>
  <w:style w:type="paragraph" w:styleId="TOC2">
    <w:name w:val="toc 2"/>
    <w:basedOn w:val="Normal"/>
    <w:next w:val="Normal"/>
    <w:autoRedefine/>
    <w:uiPriority w:val="39"/>
    <w:semiHidden/>
    <w:unhideWhenUsed/>
    <w:rsid w:val="0003148D"/>
    <w:pPr>
      <w:spacing w:after="100"/>
      <w:ind w:left="220"/>
    </w:pPr>
  </w:style>
  <w:style w:type="paragraph" w:styleId="TOC3">
    <w:name w:val="toc 3"/>
    <w:basedOn w:val="Normal"/>
    <w:next w:val="Normal"/>
    <w:autoRedefine/>
    <w:uiPriority w:val="39"/>
    <w:semiHidden/>
    <w:unhideWhenUsed/>
    <w:rsid w:val="0003148D"/>
    <w:pPr>
      <w:spacing w:after="100"/>
      <w:ind w:left="440"/>
    </w:pPr>
  </w:style>
  <w:style w:type="paragraph" w:styleId="TOC4">
    <w:name w:val="toc 4"/>
    <w:basedOn w:val="Normal"/>
    <w:next w:val="Normal"/>
    <w:autoRedefine/>
    <w:uiPriority w:val="39"/>
    <w:semiHidden/>
    <w:unhideWhenUsed/>
    <w:rsid w:val="0003148D"/>
    <w:pPr>
      <w:spacing w:after="100"/>
      <w:ind w:left="660"/>
    </w:pPr>
  </w:style>
  <w:style w:type="paragraph" w:styleId="TOC5">
    <w:name w:val="toc 5"/>
    <w:basedOn w:val="Normal"/>
    <w:next w:val="Normal"/>
    <w:autoRedefine/>
    <w:uiPriority w:val="39"/>
    <w:semiHidden/>
    <w:unhideWhenUsed/>
    <w:rsid w:val="0003148D"/>
    <w:pPr>
      <w:spacing w:after="100"/>
      <w:ind w:left="880"/>
    </w:pPr>
  </w:style>
  <w:style w:type="paragraph" w:styleId="TOC6">
    <w:name w:val="toc 6"/>
    <w:basedOn w:val="Normal"/>
    <w:next w:val="Normal"/>
    <w:autoRedefine/>
    <w:uiPriority w:val="39"/>
    <w:semiHidden/>
    <w:unhideWhenUsed/>
    <w:rsid w:val="0003148D"/>
    <w:pPr>
      <w:spacing w:after="100"/>
      <w:ind w:left="1100"/>
    </w:pPr>
  </w:style>
  <w:style w:type="paragraph" w:styleId="TOC7">
    <w:name w:val="toc 7"/>
    <w:basedOn w:val="Normal"/>
    <w:next w:val="Normal"/>
    <w:autoRedefine/>
    <w:uiPriority w:val="39"/>
    <w:semiHidden/>
    <w:unhideWhenUsed/>
    <w:rsid w:val="0003148D"/>
    <w:pPr>
      <w:spacing w:after="100"/>
      <w:ind w:left="1320"/>
    </w:pPr>
  </w:style>
  <w:style w:type="paragraph" w:styleId="TOC8">
    <w:name w:val="toc 8"/>
    <w:basedOn w:val="Normal"/>
    <w:next w:val="Normal"/>
    <w:autoRedefine/>
    <w:uiPriority w:val="39"/>
    <w:semiHidden/>
    <w:unhideWhenUsed/>
    <w:rsid w:val="0003148D"/>
    <w:pPr>
      <w:spacing w:after="100"/>
      <w:ind w:left="1540"/>
    </w:pPr>
  </w:style>
  <w:style w:type="paragraph" w:styleId="TOC9">
    <w:name w:val="toc 9"/>
    <w:basedOn w:val="Normal"/>
    <w:next w:val="Normal"/>
    <w:autoRedefine/>
    <w:uiPriority w:val="39"/>
    <w:semiHidden/>
    <w:unhideWhenUsed/>
    <w:rsid w:val="0003148D"/>
    <w:pPr>
      <w:spacing w:after="100"/>
      <w:ind w:left="1760"/>
    </w:pPr>
  </w:style>
  <w:style w:type="paragraph" w:styleId="BlockText">
    <w:name w:val="Block Text"/>
    <w:basedOn w:val="Normal"/>
    <w:uiPriority w:val="99"/>
    <w:semiHidden/>
    <w:unhideWhenUsed/>
    <w:rsid w:val="0003148D"/>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eastAsiaTheme="minorEastAsia"/>
      <w:i/>
      <w:iCs/>
      <w:color w:val="4F81BD" w:themeColor="accent1"/>
    </w:rPr>
  </w:style>
  <w:style w:type="paragraph" w:styleId="MacroText">
    <w:name w:val="macro"/>
    <w:link w:val="MacroTextChar"/>
    <w:uiPriority w:val="99"/>
    <w:semiHidden/>
    <w:unhideWhenUsed/>
    <w:rsid w:val="0003148D"/>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cs="Consolas"/>
      <w:sz w:val="20"/>
      <w:szCs w:val="20"/>
    </w:rPr>
  </w:style>
  <w:style w:type="character" w:customStyle="1" w:styleId="MacroTextChar">
    <w:name w:val="Macro Text Char"/>
    <w:basedOn w:val="DefaultParagraphFont"/>
    <w:link w:val="MacroText"/>
    <w:uiPriority w:val="99"/>
    <w:semiHidden/>
    <w:rsid w:val="0003148D"/>
    <w:rPr>
      <w:rFonts w:ascii="Consolas" w:hAnsi="Consolas" w:cs="Consolas"/>
      <w:sz w:val="20"/>
      <w:szCs w:val="20"/>
    </w:rPr>
  </w:style>
  <w:style w:type="paragraph" w:styleId="PlainText">
    <w:name w:val="Plain Text"/>
    <w:basedOn w:val="Normal"/>
    <w:link w:val="PlainTextChar"/>
    <w:uiPriority w:val="99"/>
    <w:semiHidden/>
    <w:unhideWhenUsed/>
    <w:rsid w:val="0003148D"/>
    <w:pPr>
      <w:spacing w:line="240" w:lineRule="auto"/>
    </w:pPr>
    <w:rPr>
      <w:rFonts w:ascii="Consolas" w:hAnsi="Consolas" w:cs="Consolas"/>
      <w:sz w:val="21"/>
      <w:szCs w:val="21"/>
    </w:rPr>
  </w:style>
  <w:style w:type="character" w:customStyle="1" w:styleId="PlainTextChar">
    <w:name w:val="Plain Text Char"/>
    <w:basedOn w:val="DefaultParagraphFont"/>
    <w:link w:val="PlainText"/>
    <w:uiPriority w:val="99"/>
    <w:semiHidden/>
    <w:rsid w:val="0003148D"/>
    <w:rPr>
      <w:rFonts w:ascii="Consolas" w:hAnsi="Consolas" w:cs="Consolas"/>
      <w:sz w:val="21"/>
      <w:szCs w:val="21"/>
    </w:rPr>
  </w:style>
  <w:style w:type="paragraph" w:styleId="FootnoteText">
    <w:name w:val="footnote text"/>
    <w:basedOn w:val="Normal"/>
    <w:link w:val="FootnoteTextChar"/>
    <w:uiPriority w:val="99"/>
    <w:semiHidden/>
    <w:unhideWhenUsed/>
    <w:rsid w:val="0003148D"/>
    <w:pPr>
      <w:spacing w:line="240" w:lineRule="auto"/>
    </w:pPr>
  </w:style>
  <w:style w:type="character" w:customStyle="1" w:styleId="FootnoteTextChar">
    <w:name w:val="Footnote Text Char"/>
    <w:basedOn w:val="DefaultParagraphFont"/>
    <w:link w:val="FootnoteText"/>
    <w:uiPriority w:val="99"/>
    <w:semiHidden/>
    <w:rsid w:val="0003148D"/>
    <w:rPr>
      <w:sz w:val="20"/>
      <w:szCs w:val="20"/>
    </w:rPr>
  </w:style>
  <w:style w:type="paragraph" w:styleId="EndnoteText">
    <w:name w:val="endnote text"/>
    <w:basedOn w:val="Normal"/>
    <w:link w:val="EndnoteTextChar"/>
    <w:uiPriority w:val="99"/>
    <w:semiHidden/>
    <w:unhideWhenUsed/>
    <w:rsid w:val="0003148D"/>
    <w:pPr>
      <w:spacing w:line="240" w:lineRule="auto"/>
    </w:pPr>
  </w:style>
  <w:style w:type="character" w:customStyle="1" w:styleId="EndnoteTextChar">
    <w:name w:val="Endnote Text Char"/>
    <w:basedOn w:val="DefaultParagraphFont"/>
    <w:link w:val="EndnoteText"/>
    <w:uiPriority w:val="99"/>
    <w:semiHidden/>
    <w:rsid w:val="0003148D"/>
    <w:rPr>
      <w:sz w:val="20"/>
      <w:szCs w:val="20"/>
    </w:rPr>
  </w:style>
  <w:style w:type="character" w:customStyle="1" w:styleId="Heading1Char">
    <w:name w:val="Heading 1 Char"/>
    <w:basedOn w:val="DefaultParagraphFont"/>
    <w:link w:val="Heading1"/>
    <w:uiPriority w:val="9"/>
    <w:rsid w:val="004F5E36"/>
    <w:rPr>
      <w:rFonts w:ascii="Arial" w:eastAsia="Times New Roman" w:hAnsi="Arial" w:cs="Times New Roman"/>
      <w:b/>
      <w:sz w:val="20"/>
      <w:szCs w:val="20"/>
      <w:lang w:val="en-GB"/>
    </w:rPr>
  </w:style>
  <w:style w:type="character" w:customStyle="1" w:styleId="Heading2Char">
    <w:name w:val="Heading 2 Char"/>
    <w:basedOn w:val="DefaultParagraphFont"/>
    <w:link w:val="Heading2"/>
    <w:uiPriority w:val="9"/>
    <w:semiHidden/>
    <w:rsid w:val="0003148D"/>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semiHidden/>
    <w:rsid w:val="0003148D"/>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semiHidden/>
    <w:rsid w:val="0003148D"/>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03148D"/>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03148D"/>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03148D"/>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03148D"/>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03148D"/>
    <w:rPr>
      <w:rFonts w:asciiTheme="majorHAnsi" w:eastAsiaTheme="majorEastAsia" w:hAnsiTheme="majorHAnsi" w:cstheme="majorBidi"/>
      <w:i/>
      <w:iCs/>
      <w:color w:val="404040" w:themeColor="text1" w:themeTint="BF"/>
      <w:sz w:val="20"/>
      <w:szCs w:val="20"/>
    </w:rPr>
  </w:style>
  <w:style w:type="paragraph" w:styleId="IndexHeading">
    <w:name w:val="index heading"/>
    <w:basedOn w:val="Normal"/>
    <w:next w:val="Index1"/>
    <w:uiPriority w:val="99"/>
    <w:semiHidden/>
    <w:unhideWhenUsed/>
    <w:rsid w:val="0003148D"/>
    <w:rPr>
      <w:rFonts w:asciiTheme="majorHAnsi" w:eastAsiaTheme="majorEastAsia" w:hAnsiTheme="majorHAnsi" w:cstheme="majorBidi"/>
      <w:b/>
      <w:bCs/>
    </w:rPr>
  </w:style>
  <w:style w:type="paragraph" w:styleId="TOAHeading">
    <w:name w:val="toa heading"/>
    <w:basedOn w:val="Normal"/>
    <w:next w:val="Normal"/>
    <w:uiPriority w:val="99"/>
    <w:semiHidden/>
    <w:unhideWhenUsed/>
    <w:rsid w:val="0003148D"/>
    <w:pPr>
      <w:spacing w:before="120"/>
    </w:pPr>
    <w:rPr>
      <w:rFonts w:asciiTheme="majorHAnsi" w:eastAsiaTheme="majorEastAsia" w:hAnsiTheme="majorHAnsi" w:cstheme="majorBidi"/>
      <w:b/>
      <w:bCs/>
      <w:sz w:val="24"/>
      <w:szCs w:val="24"/>
    </w:rPr>
  </w:style>
  <w:style w:type="paragraph" w:styleId="TOCHeading">
    <w:name w:val="TOC Heading"/>
    <w:basedOn w:val="Heading1"/>
    <w:next w:val="Normal"/>
    <w:uiPriority w:val="39"/>
    <w:semiHidden/>
    <w:unhideWhenUsed/>
    <w:qFormat/>
    <w:rsid w:val="0003148D"/>
    <w:pPr>
      <w:outlineLvl w:val="9"/>
    </w:pPr>
  </w:style>
  <w:style w:type="paragraph" w:customStyle="1" w:styleId="CETemail">
    <w:name w:val="CET email"/>
    <w:next w:val="CETBodytext"/>
    <w:rsid w:val="009E788A"/>
    <w:pPr>
      <w:spacing w:after="240"/>
    </w:pPr>
    <w:rPr>
      <w:rFonts w:ascii="Arial" w:eastAsia="Times New Roman" w:hAnsi="Arial" w:cs="Times New Roman"/>
      <w:noProof/>
      <w:sz w:val="16"/>
      <w:szCs w:val="20"/>
      <w:lang w:val="en-GB"/>
    </w:rPr>
  </w:style>
  <w:style w:type="character" w:customStyle="1" w:styleId="CETAddressCarattere">
    <w:name w:val="CET Address Carattere"/>
    <w:basedOn w:val="DefaultParagraphFont"/>
    <w:link w:val="CETAddress"/>
    <w:rsid w:val="009E788A"/>
    <w:rPr>
      <w:rFonts w:ascii="Arial" w:eastAsia="Times New Roman" w:hAnsi="Arial" w:cs="Times New Roman"/>
      <w:noProof/>
      <w:sz w:val="16"/>
      <w:szCs w:val="20"/>
      <w:lang w:val="en-GB"/>
    </w:rPr>
  </w:style>
  <w:style w:type="paragraph" w:customStyle="1" w:styleId="CETBodytextBold">
    <w:name w:val="CET Body text (Bold)"/>
    <w:basedOn w:val="CETBodytext"/>
    <w:rsid w:val="00901EB6"/>
    <w:rPr>
      <w:b/>
    </w:rPr>
  </w:style>
  <w:style w:type="paragraph" w:customStyle="1" w:styleId="CETnumberingbullets">
    <w:name w:val="CET numbering (bullets)"/>
    <w:rsid w:val="008D433B"/>
    <w:pPr>
      <w:numPr>
        <w:numId w:val="13"/>
      </w:numPr>
      <w:spacing w:after="0" w:line="264" w:lineRule="auto"/>
    </w:pPr>
    <w:rPr>
      <w:rFonts w:ascii="Arial" w:eastAsia="Times New Roman" w:hAnsi="Arial" w:cs="Times New Roman"/>
      <w:sz w:val="18"/>
      <w:szCs w:val="20"/>
      <w:lang w:val="en-GB"/>
    </w:rPr>
  </w:style>
  <w:style w:type="paragraph" w:customStyle="1" w:styleId="CETnumbering1">
    <w:name w:val="CET numbering (1"/>
    <w:aliases w:val="2..)"/>
    <w:rsid w:val="00B57B36"/>
    <w:pPr>
      <w:numPr>
        <w:numId w:val="14"/>
      </w:numPr>
      <w:spacing w:after="0" w:line="264" w:lineRule="auto"/>
      <w:ind w:left="340" w:hanging="227"/>
    </w:pPr>
    <w:rPr>
      <w:rFonts w:ascii="Arial" w:eastAsia="Times New Roman" w:hAnsi="Arial" w:cs="Times New Roman"/>
      <w:sz w:val="18"/>
      <w:szCs w:val="20"/>
      <w:lang w:val="en-US"/>
    </w:rPr>
  </w:style>
  <w:style w:type="paragraph" w:customStyle="1" w:styleId="CETnumberinga">
    <w:name w:val="CET numbering (a"/>
    <w:aliases w:val="b,..)"/>
    <w:rsid w:val="00B57B36"/>
    <w:pPr>
      <w:numPr>
        <w:numId w:val="15"/>
      </w:numPr>
      <w:spacing w:after="0" w:line="264" w:lineRule="auto"/>
    </w:pPr>
    <w:rPr>
      <w:rFonts w:ascii="Arial" w:eastAsia="Times New Roman" w:hAnsi="Arial" w:cs="Times New Roman"/>
      <w:sz w:val="18"/>
      <w:szCs w:val="20"/>
      <w:lang w:val="en-GB"/>
    </w:rPr>
  </w:style>
  <w:style w:type="paragraph" w:styleId="Header">
    <w:name w:val="header"/>
    <w:basedOn w:val="Normal"/>
    <w:link w:val="HeaderChar"/>
    <w:uiPriority w:val="99"/>
    <w:unhideWhenUsed/>
    <w:rsid w:val="005278B7"/>
    <w:pPr>
      <w:tabs>
        <w:tab w:val="clear" w:pos="7100"/>
        <w:tab w:val="center" w:pos="4819"/>
        <w:tab w:val="right" w:pos="9638"/>
      </w:tabs>
      <w:spacing w:line="240" w:lineRule="auto"/>
    </w:pPr>
  </w:style>
  <w:style w:type="character" w:customStyle="1" w:styleId="HeaderChar">
    <w:name w:val="Header Char"/>
    <w:basedOn w:val="DefaultParagraphFont"/>
    <w:link w:val="Header"/>
    <w:uiPriority w:val="99"/>
    <w:rsid w:val="005278B7"/>
    <w:rPr>
      <w:rFonts w:ascii="Arial" w:eastAsia="Times New Roman" w:hAnsi="Arial" w:cs="Times New Roman"/>
      <w:sz w:val="18"/>
      <w:szCs w:val="20"/>
      <w:lang w:val="en-GB"/>
    </w:rPr>
  </w:style>
  <w:style w:type="paragraph" w:styleId="Footer">
    <w:name w:val="footer"/>
    <w:basedOn w:val="Normal"/>
    <w:link w:val="FooterChar"/>
    <w:uiPriority w:val="99"/>
    <w:unhideWhenUsed/>
    <w:rsid w:val="005278B7"/>
    <w:pPr>
      <w:tabs>
        <w:tab w:val="clear" w:pos="7100"/>
        <w:tab w:val="center" w:pos="4819"/>
        <w:tab w:val="right" w:pos="9638"/>
      </w:tabs>
      <w:spacing w:line="240" w:lineRule="auto"/>
    </w:pPr>
  </w:style>
  <w:style w:type="character" w:customStyle="1" w:styleId="FooterChar">
    <w:name w:val="Footer Char"/>
    <w:basedOn w:val="DefaultParagraphFont"/>
    <w:link w:val="Footer"/>
    <w:uiPriority w:val="99"/>
    <w:rsid w:val="005278B7"/>
    <w:rPr>
      <w:rFonts w:ascii="Arial" w:eastAsia="Times New Roman" w:hAnsi="Arial" w:cs="Times New Roman"/>
      <w:sz w:val="18"/>
      <w:szCs w:val="20"/>
      <w:lang w:val="en-GB"/>
    </w:rPr>
  </w:style>
  <w:style w:type="table" w:styleId="TableGrid">
    <w:name w:val="Table Grid"/>
    <w:basedOn w:val="TableNormal"/>
    <w:uiPriority w:val="59"/>
    <w:rsid w:val="00660E3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904C62"/>
    <w:rPr>
      <w:color w:val="0000FF" w:themeColor="hyperlink"/>
      <w:u w:val="single"/>
    </w:rPr>
  </w:style>
  <w:style w:type="character" w:customStyle="1" w:styleId="eudoraheader">
    <w:name w:val="eudoraheader"/>
    <w:basedOn w:val="DefaultParagraphFont"/>
    <w:rsid w:val="00904C62"/>
  </w:style>
  <w:style w:type="paragraph" w:customStyle="1" w:styleId="CETListbullets">
    <w:name w:val="CET List bullets"/>
    <w:qFormat/>
    <w:rsid w:val="004577FE"/>
    <w:pPr>
      <w:spacing w:after="0" w:line="264" w:lineRule="auto"/>
      <w:ind w:left="340" w:hanging="227"/>
      <w:jc w:val="both"/>
    </w:pPr>
    <w:rPr>
      <w:rFonts w:ascii="Arial" w:eastAsia="Times New Roman" w:hAnsi="Arial" w:cs="Times New Roman"/>
      <w:sz w:val="18"/>
      <w:szCs w:val="20"/>
      <w:lang w:val="en-GB"/>
    </w:rPr>
  </w:style>
  <w:style w:type="paragraph" w:customStyle="1" w:styleId="CETReferencetext">
    <w:name w:val="CET Reference text"/>
    <w:qFormat/>
    <w:rsid w:val="00600535"/>
    <w:pPr>
      <w:spacing w:after="0" w:line="264" w:lineRule="auto"/>
      <w:ind w:left="284" w:hanging="284"/>
      <w:jc w:val="both"/>
    </w:pPr>
    <w:rPr>
      <w:rFonts w:ascii="Arial" w:eastAsia="Times New Roman" w:hAnsi="Arial" w:cs="Times New Roman"/>
      <w:sz w:val="18"/>
      <w:szCs w:val="20"/>
      <w:lang w:val="en-GB"/>
    </w:rPr>
  </w:style>
  <w:style w:type="paragraph" w:customStyle="1" w:styleId="CETTabletitle">
    <w:name w:val="CET Table title"/>
    <w:qFormat/>
    <w:rsid w:val="00600535"/>
    <w:pPr>
      <w:keepNext/>
      <w:spacing w:before="240" w:after="80" w:line="240" w:lineRule="exact"/>
    </w:pPr>
    <w:rPr>
      <w:rFonts w:ascii="Arial" w:eastAsia="Times New Roman" w:hAnsi="Arial" w:cs="Times New Roman"/>
      <w:i/>
      <w:sz w:val="18"/>
      <w:szCs w:val="20"/>
      <w:lang w:val="en-GB"/>
    </w:rPr>
  </w:style>
  <w:style w:type="paragraph" w:customStyle="1" w:styleId="CETAcknowledgementstitle">
    <w:name w:val="CET Acknowledgements title"/>
    <w:next w:val="CETBodytext"/>
    <w:qFormat/>
    <w:rsid w:val="00600535"/>
    <w:pPr>
      <w:spacing w:before="200" w:after="120"/>
    </w:pPr>
    <w:rPr>
      <w:rFonts w:ascii="Arial" w:eastAsia="Times New Roman" w:hAnsi="Arial" w:cs="Times New Roman"/>
      <w:b/>
      <w:sz w:val="18"/>
      <w:szCs w:val="20"/>
      <w:lang w:val="en-GB"/>
    </w:rPr>
  </w:style>
  <w:style w:type="paragraph" w:customStyle="1" w:styleId="CETEquation">
    <w:name w:val="CET Equation"/>
    <w:basedOn w:val="CETBodytext"/>
    <w:next w:val="CETBodytext"/>
    <w:qFormat/>
    <w:rsid w:val="00600535"/>
    <w:pPr>
      <w:spacing w:before="120" w:after="120"/>
      <w:jc w:val="left"/>
    </w:pPr>
    <w:rPr>
      <w:lang w:val="en-GB"/>
    </w:rPr>
  </w:style>
  <w:style w:type="paragraph" w:customStyle="1" w:styleId="CETHeadingxx">
    <w:name w:val="CET Headingxx"/>
    <w:basedOn w:val="CETheadingx"/>
    <w:link w:val="CETHeadingxxChar"/>
    <w:qFormat/>
    <w:rsid w:val="000F787B"/>
    <w:pPr>
      <w:numPr>
        <w:ilvl w:val="0"/>
        <w:numId w:val="0"/>
      </w:numPr>
    </w:pPr>
  </w:style>
  <w:style w:type="character" w:customStyle="1" w:styleId="CETHeadingxxChar">
    <w:name w:val="CET Headingxx Char"/>
    <w:basedOn w:val="CETheadingxCarattere"/>
    <w:link w:val="CETHeadingxx"/>
    <w:rsid w:val="000F787B"/>
    <w:rPr>
      <w:rFonts w:ascii="Arial" w:eastAsia="Times New Roman" w:hAnsi="Arial" w:cs="Times New Roman"/>
      <w:b/>
      <w:sz w:val="18"/>
      <w:szCs w:val="20"/>
      <w:lang w:val="en-US"/>
    </w:rPr>
  </w:style>
  <w:style w:type="paragraph" w:styleId="ListParagraph">
    <w:name w:val="List Paragraph"/>
    <w:basedOn w:val="Normal"/>
    <w:uiPriority w:val="34"/>
    <w:rsid w:val="00280FAF"/>
    <w:pPr>
      <w:ind w:left="720"/>
      <w:contextualSpacing/>
    </w:pPr>
  </w:style>
  <w:style w:type="character" w:customStyle="1" w:styleId="gmail-apple-converted-space">
    <w:name w:val="gmail-apple-converted-space"/>
    <w:basedOn w:val="DefaultParagraphFont"/>
    <w:rsid w:val="00005A19"/>
  </w:style>
  <w:style w:type="character" w:styleId="PlaceholderText">
    <w:name w:val="Placeholder Text"/>
    <w:basedOn w:val="DefaultParagraphFont"/>
    <w:uiPriority w:val="99"/>
    <w:semiHidden/>
    <w:rsid w:val="00A263AD"/>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80609195">
      <w:bodyDiv w:val="1"/>
      <w:marLeft w:val="0"/>
      <w:marRight w:val="0"/>
      <w:marTop w:val="0"/>
      <w:marBottom w:val="0"/>
      <w:divBdr>
        <w:top w:val="none" w:sz="0" w:space="0" w:color="auto"/>
        <w:left w:val="none" w:sz="0" w:space="0" w:color="auto"/>
        <w:bottom w:val="none" w:sz="0" w:space="0" w:color="auto"/>
        <w:right w:val="none" w:sz="0" w:space="0" w:color="auto"/>
      </w:divBdr>
      <w:divsChild>
        <w:div w:id="1810825834">
          <w:marLeft w:val="0"/>
          <w:marRight w:val="0"/>
          <w:marTop w:val="0"/>
          <w:marBottom w:val="0"/>
          <w:divBdr>
            <w:top w:val="none" w:sz="0" w:space="0" w:color="auto"/>
            <w:left w:val="none" w:sz="0" w:space="0" w:color="auto"/>
            <w:bottom w:val="none" w:sz="0" w:space="0" w:color="auto"/>
            <w:right w:val="none" w:sz="0" w:space="0" w:color="auto"/>
          </w:divBdr>
          <w:divsChild>
            <w:div w:id="578832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3321189">
      <w:bodyDiv w:val="1"/>
      <w:marLeft w:val="0"/>
      <w:marRight w:val="0"/>
      <w:marTop w:val="0"/>
      <w:marBottom w:val="0"/>
      <w:divBdr>
        <w:top w:val="none" w:sz="0" w:space="0" w:color="auto"/>
        <w:left w:val="none" w:sz="0" w:space="0" w:color="auto"/>
        <w:bottom w:val="none" w:sz="0" w:space="0" w:color="auto"/>
        <w:right w:val="none" w:sz="0" w:space="0" w:color="auto"/>
      </w:divBdr>
      <w:divsChild>
        <w:div w:id="196735042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33056226">
      <w:bodyDiv w:val="1"/>
      <w:marLeft w:val="0"/>
      <w:marRight w:val="0"/>
      <w:marTop w:val="0"/>
      <w:marBottom w:val="0"/>
      <w:divBdr>
        <w:top w:val="none" w:sz="0" w:space="0" w:color="auto"/>
        <w:left w:val="none" w:sz="0" w:space="0" w:color="auto"/>
        <w:bottom w:val="none" w:sz="0" w:space="0" w:color="auto"/>
        <w:right w:val="none" w:sz="0" w:space="0" w:color="auto"/>
      </w:divBdr>
      <w:divsChild>
        <w:div w:id="790123951">
          <w:marLeft w:val="0"/>
          <w:marRight w:val="0"/>
          <w:marTop w:val="0"/>
          <w:marBottom w:val="0"/>
          <w:divBdr>
            <w:top w:val="none" w:sz="0" w:space="0" w:color="auto"/>
            <w:left w:val="none" w:sz="0" w:space="0" w:color="auto"/>
            <w:bottom w:val="none" w:sz="0" w:space="0" w:color="auto"/>
            <w:right w:val="none" w:sz="0" w:space="0" w:color="auto"/>
          </w:divBdr>
          <w:divsChild>
            <w:div w:id="1821461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3681295">
      <w:bodyDiv w:val="1"/>
      <w:marLeft w:val="0"/>
      <w:marRight w:val="0"/>
      <w:marTop w:val="0"/>
      <w:marBottom w:val="0"/>
      <w:divBdr>
        <w:top w:val="none" w:sz="0" w:space="0" w:color="auto"/>
        <w:left w:val="none" w:sz="0" w:space="0" w:color="auto"/>
        <w:bottom w:val="none" w:sz="0" w:space="0" w:color="auto"/>
        <w:right w:val="none" w:sz="0" w:space="0" w:color="auto"/>
      </w:divBdr>
    </w:div>
    <w:div w:id="1429156813">
      <w:bodyDiv w:val="1"/>
      <w:marLeft w:val="0"/>
      <w:marRight w:val="0"/>
      <w:marTop w:val="0"/>
      <w:marBottom w:val="0"/>
      <w:divBdr>
        <w:top w:val="none" w:sz="0" w:space="0" w:color="auto"/>
        <w:left w:val="none" w:sz="0" w:space="0" w:color="auto"/>
        <w:bottom w:val="none" w:sz="0" w:space="0" w:color="auto"/>
        <w:right w:val="none" w:sz="0" w:space="0" w:color="auto"/>
      </w:divBdr>
    </w:div>
    <w:div w:id="1489904563">
      <w:bodyDiv w:val="1"/>
      <w:marLeft w:val="0"/>
      <w:marRight w:val="0"/>
      <w:marTop w:val="0"/>
      <w:marBottom w:val="0"/>
      <w:divBdr>
        <w:top w:val="none" w:sz="0" w:space="0" w:color="auto"/>
        <w:left w:val="none" w:sz="0" w:space="0" w:color="auto"/>
        <w:bottom w:val="none" w:sz="0" w:space="0" w:color="auto"/>
        <w:right w:val="none" w:sz="0" w:space="0" w:color="auto"/>
      </w:divBdr>
    </w:div>
    <w:div w:id="1682856157">
      <w:bodyDiv w:val="1"/>
      <w:marLeft w:val="0"/>
      <w:marRight w:val="0"/>
      <w:marTop w:val="0"/>
      <w:marBottom w:val="0"/>
      <w:divBdr>
        <w:top w:val="none" w:sz="0" w:space="0" w:color="auto"/>
        <w:left w:val="none" w:sz="0" w:space="0" w:color="auto"/>
        <w:bottom w:val="none" w:sz="0" w:space="0" w:color="auto"/>
        <w:right w:val="none" w:sz="0" w:space="0" w:color="auto"/>
      </w:divBdr>
      <w:divsChild>
        <w:div w:id="2102991222">
          <w:marLeft w:val="0"/>
          <w:marRight w:val="0"/>
          <w:marTop w:val="0"/>
          <w:marBottom w:val="0"/>
          <w:divBdr>
            <w:top w:val="none" w:sz="0" w:space="0" w:color="auto"/>
            <w:left w:val="none" w:sz="0" w:space="0" w:color="auto"/>
            <w:bottom w:val="none" w:sz="0" w:space="0" w:color="auto"/>
            <w:right w:val="none" w:sz="0" w:space="0" w:color="auto"/>
          </w:divBdr>
          <w:divsChild>
            <w:div w:id="1089083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8087599">
      <w:bodyDiv w:val="1"/>
      <w:marLeft w:val="0"/>
      <w:marRight w:val="0"/>
      <w:marTop w:val="0"/>
      <w:marBottom w:val="0"/>
      <w:divBdr>
        <w:top w:val="none" w:sz="0" w:space="0" w:color="auto"/>
        <w:left w:val="none" w:sz="0" w:space="0" w:color="auto"/>
        <w:bottom w:val="none" w:sz="0" w:space="0" w:color="auto"/>
        <w:right w:val="none" w:sz="0" w:space="0" w:color="auto"/>
      </w:divBdr>
      <w:divsChild>
        <w:div w:id="150065976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5.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pn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adilov_ravshan@mail.ru"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6.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D3983C9-6D0A-480C-BF79-A63BD3D99E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281</TotalTime>
  <Pages>6</Pages>
  <Words>3236</Words>
  <Characters>18449</Characters>
  <Application>Microsoft Office Word</Application>
  <DocSecurity>0</DocSecurity>
  <Lines>153</Lines>
  <Paragraphs>43</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
      <vt:lpstr/>
    </vt:vector>
  </TitlesOfParts>
  <Company>Dipartimento CMIC - Politecnico di Milano</Company>
  <LinksUpToDate>false</LinksUpToDate>
  <CharactersWithSpaces>21642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raffaella</dc:creator>
  <cp:lastModifiedBy>Adham Norqobilov</cp:lastModifiedBy>
  <cp:revision>8</cp:revision>
  <cp:lastPrinted>2015-05-12T18:31:00Z</cp:lastPrinted>
  <dcterms:created xsi:type="dcterms:W3CDTF">2026-05-28T08:26:00Z</dcterms:created>
  <dcterms:modified xsi:type="dcterms:W3CDTF">2026-05-28T13:18:00Z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zotero-version="4.0.29.17"&gt;&lt;session id="s8VwuD2U"/&gt;&lt;style id="http://www.zotero.org/styles/chemical-engineering-transactions" hasBibliography="1" bibliographyStyleHasBeenSet="1"/&gt;&lt;prefs&gt;&lt;pref name="fieldType" value="Field"/&gt;&lt;pref na</vt:lpwstr>
  </property>
  <property fmtid="{D5CDD505-2E9C-101B-9397-08002B2CF9AE}" pid="3" name="ZOTERO_PREF_2">
    <vt:lpwstr>me="storeReferences" value="true"/&gt;&lt;pref name="automaticJournalAbbreviations" value=""/&gt;&lt;pref name="noteType" value=""/&gt;&lt;/prefs&gt;&lt;/data&gt;</vt:lpwstr>
  </property>
</Properties>
</file>