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rsidTr="00DE264A">
        <w:trPr>
          <w:trHeight w:val="852"/>
          <w:jc w:val="center"/>
        </w:trPr>
        <w:tc>
          <w:tcPr>
            <w:tcW w:w="6946" w:type="dxa"/>
            <w:vMerge w:val="restart"/>
            <w:tcBorders>
              <w:right w:val="single" w:sz="4" w:space="0" w:color="auto"/>
            </w:tcBorders>
          </w:tcPr>
          <w:p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rsidTr="00DE264A">
        <w:trPr>
          <w:trHeight w:val="567"/>
          <w:jc w:val="center"/>
        </w:trPr>
        <w:tc>
          <w:tcPr>
            <w:tcW w:w="6946" w:type="dxa"/>
            <w:vMerge/>
            <w:tcBorders>
              <w:right w:val="single" w:sz="4" w:space="0" w:color="auto"/>
            </w:tcBorders>
          </w:tcPr>
          <w:p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rsidTr="00DE264A">
        <w:trPr>
          <w:trHeight w:val="68"/>
          <w:jc w:val="center"/>
        </w:trPr>
        <w:tc>
          <w:tcPr>
            <w:tcW w:w="8789" w:type="dxa"/>
            <w:gridSpan w:val="2"/>
          </w:tcPr>
          <w:p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rsidR="00BE52D6" w:rsidRDefault="0026200A">
      <w:pPr>
        <w:pStyle w:val="CETTitle"/>
      </w:pPr>
      <w:r>
        <w:t>Comprehensive Assessme</w:t>
      </w:r>
      <w:bookmarkStart w:id="1" w:name="_GoBack"/>
      <w:bookmarkEnd w:id="1"/>
      <w:r>
        <w:t>nt of Physicochemical and Microbiological Parameters of Local Grain Raw Materials as a Basis for Instant Porridge Production</w:t>
      </w:r>
    </w:p>
    <w:p w:rsidR="00BE52D6" w:rsidRPr="004C2B81" w:rsidRDefault="0026200A">
      <w:pPr>
        <w:pStyle w:val="CETAuthors"/>
        <w:rPr>
          <w:vertAlign w:val="superscript"/>
        </w:rPr>
      </w:pPr>
      <w:r>
        <w:t>Sabina Bekmurodova</w:t>
      </w:r>
      <w:r w:rsidR="004C2B81">
        <w:rPr>
          <w:vertAlign w:val="superscript"/>
        </w:rPr>
        <w:t>a,</w:t>
      </w:r>
      <w:r>
        <w:rPr>
          <w:vertAlign w:val="superscript"/>
        </w:rPr>
        <w:t>*</w:t>
      </w:r>
      <w:r>
        <w:t xml:space="preserve">, Gulnoza </w:t>
      </w:r>
      <w:r>
        <w:t>Djakhangirova</w:t>
      </w:r>
      <w:r w:rsidR="004C2B81">
        <w:rPr>
          <w:vertAlign w:val="superscript"/>
        </w:rPr>
        <w:t>a</w:t>
      </w:r>
      <w:r>
        <w:t>, Nadira Ayxodjayeva</w:t>
      </w:r>
      <w:r w:rsidR="004C2B81">
        <w:rPr>
          <w:vertAlign w:val="superscript"/>
        </w:rPr>
        <w:t>a</w:t>
      </w:r>
    </w:p>
    <w:p w:rsidR="00BE52D6" w:rsidRDefault="004C2B81">
      <w:pPr>
        <w:pStyle w:val="CETAddress"/>
      </w:pPr>
      <w:r>
        <w:rPr>
          <w:vertAlign w:val="superscript"/>
          <w:lang w:val="en-US"/>
        </w:rPr>
        <w:t>a</w:t>
      </w:r>
      <w:r w:rsidR="0026200A">
        <w:t>Department of Food and Perfumery-Cosmetic Products Technology, Tashkent Institute of Chemical Technology, Tashkent 100000, Uzbekistan</w:t>
      </w:r>
    </w:p>
    <w:p w:rsidR="00BE52D6" w:rsidRDefault="0026200A">
      <w:pPr>
        <w:pStyle w:val="CETemail"/>
      </w:pPr>
      <w:r>
        <w:rPr>
          <w:vertAlign w:val="superscript"/>
        </w:rPr>
        <w:t>*</w:t>
      </w:r>
      <w:r>
        <w:t xml:space="preserve"> sabinabekmurodova7@gmail.com</w:t>
      </w:r>
    </w:p>
    <w:p w:rsidR="00BE52D6" w:rsidRDefault="0026200A">
      <w:pPr>
        <w:pStyle w:val="CETBodytext"/>
      </w:pPr>
      <w:r>
        <w:t xml:space="preserve">Instant dry porridges represent a widely demanded </w:t>
      </w:r>
      <w:r>
        <w:t xml:space="preserve">category of food products due to their convenience, long shelf life, and ease of preparation. The increasing demand for functional and nutritionally balanced products has stimulated interest in the use of locally sourced grain raw materials, which provide </w:t>
      </w:r>
      <w:r>
        <w:t>essential nutrients and support sustainable food production.</w:t>
      </w:r>
    </w:p>
    <w:p w:rsidR="00BE52D6" w:rsidRDefault="0026200A">
      <w:pPr>
        <w:pStyle w:val="CETBodytext"/>
      </w:pPr>
      <w:r>
        <w:t>This study aims to assess the physicochemical and microbiological characteristics of sorghum, millet, and rice cultivated in Uzbekistan in order to assess their potential for further use in insta</w:t>
      </w:r>
      <w:r>
        <w:t>nt porridge formulation development. Standardised analytical methods were applied to evaluate moisture content, ash, acidity, fat content, vitamin composition, and microbiological indicators.</w:t>
      </w:r>
    </w:p>
    <w:p w:rsidR="00BE52D6" w:rsidRDefault="0026200A">
      <w:pPr>
        <w:pStyle w:val="CETBodytext"/>
      </w:pPr>
      <w:r>
        <w:t>Despite the advantages of these grain crops, their quality and s</w:t>
      </w:r>
      <w:r>
        <w:t>afety depend on physicochemical and microbiological characteristics. Parameters such as moisture content, acidity, and ash influence storage stability and processing behaviour (Bekmurodova and Djakhangirova, 2024), while microbiological contamination remai</w:t>
      </w:r>
      <w:r>
        <w:t>ns a key safety concern. Previous studies have highlighted the importance of microbiological control and the impact of grain composition on product quality.</w:t>
      </w:r>
    </w:p>
    <w:p w:rsidR="00BE52D6" w:rsidRDefault="0026200A">
      <w:pPr>
        <w:pStyle w:val="CETBodytext"/>
      </w:pPr>
      <w:r>
        <w:t>The results demonstrate that the analysed raw materials differed in acidity, fat content, and vitam</w:t>
      </w:r>
      <w:r>
        <w:t>in composition, which directly influence technological behaviour and nutritional value. Microbiological analysis confirmed compliance with safety requirements, with no detection of pathogenic microorganisms. Differences in microbial load and physicochemica</w:t>
      </w:r>
      <w:r>
        <w:t>l properties indicate the necessity of optimising storage and processing conditions for each grain type. The findings indicate that locally produced grain raw materials may be considered for further research and formulation development. The study also high</w:t>
      </w:r>
      <w:r>
        <w:t>lights the potential for combining different grain types to achieve improved nutritional balance and functional properties.</w:t>
      </w:r>
    </w:p>
    <w:p w:rsidR="00BE52D6" w:rsidRDefault="0026200A">
      <w:pPr>
        <w:pStyle w:val="CETHeading1"/>
      </w:pPr>
      <w:r>
        <w:t>Introduction</w:t>
      </w:r>
    </w:p>
    <w:p w:rsidR="00BE52D6" w:rsidRDefault="0026200A">
      <w:pPr>
        <w:pStyle w:val="CETBodytext"/>
      </w:pPr>
      <w:r>
        <w:t>Instant food products have gained significant importance in recent decades due to changes in consumer preferences, incr</w:t>
      </w:r>
      <w:r>
        <w:t>easing urbanisation, and the accelerated pace of modern life (Bekmurodova, 2025). As a result, convenience, ease of preparation, and reduced cooking time have become key factors influencing food choices. One of the most popular product categories in modern</w:t>
      </w:r>
      <w:r>
        <w:t xml:space="preserve"> society is instant dry food concentrates, which are notable for their convenience, long shelf life, and ease of transport. These products typically consist of dehydrated and processed ingredients that can be reconstituted into ready-to-eat meals by adding</w:t>
      </w:r>
      <w:r>
        <w:t xml:space="preserve"> water. The use of plant-based raw materials in such formulations is of particular importance, as they provide high nutritional value and align with current trends in healthy and sustainable nutrition (Shevchenko et al., 2014). In Uzbekistan, the demand fo</w:t>
      </w:r>
      <w:r>
        <w:t>r instant food products has increased significantly in recent years, driven by lifestyle changes as well as global challenges related to food security and climate conditions. Plant-based food concentrates offer an attractive alternative to traditional meal</w:t>
      </w:r>
      <w:r>
        <w:t>s, combining convenience with nutritional benefits. Raw materials used in such products include cereals, legumes, vegetables, and functional additives such as dietary fibre and plant proteins, which contribute to improved nutritional and functional propert</w:t>
      </w:r>
      <w:r>
        <w:t xml:space="preserve">ies. Grain crops such as rice, millet, and sorghum are of particular interest due to their high content of carbohydrates, vitamins, and minerals, as well as their </w:t>
      </w:r>
      <w:r>
        <w:lastRenderedPageBreak/>
        <w:t>adaptability to arid and semi-arid climates. These crops are widely used in food technology a</w:t>
      </w:r>
      <w:r>
        <w:t>nd can serve as a basis for the production of instant porridges.</w:t>
      </w:r>
    </w:p>
    <w:p w:rsidR="00BE52D6" w:rsidRPr="004C2B81" w:rsidRDefault="0026200A">
      <w:pPr>
        <w:pStyle w:val="CETBodytext"/>
        <w:rPr>
          <w:rFonts w:cs="Arial"/>
        </w:rPr>
      </w:pPr>
      <w:r>
        <w:t xml:space="preserve">Rice </w:t>
      </w:r>
      <w:r w:rsidRPr="004C2B81">
        <w:rPr>
          <w:rFonts w:cs="Arial"/>
        </w:rPr>
        <w:t>is one of the most widely consumed cereals globally. It contains approximately 7.5 g of protein, 2.6 g of fat, and 62.3 g of carbohydrates per 100 g, along with B-group vitamins and esse</w:t>
      </w:r>
      <w:r w:rsidRPr="004C2B81">
        <w:rPr>
          <w:rFonts w:cs="Arial"/>
        </w:rPr>
        <w:t xml:space="preserve">ntial minerals. Rice-based products are characterised by good digestibility and the absence of gluten, making them suitable for specialised diets. Technological processing methods such as steaming, flaking, and extrusion improve the rehydration properties </w:t>
      </w:r>
      <w:r w:rsidRPr="004C2B81">
        <w:rPr>
          <w:rFonts w:cs="Arial"/>
        </w:rPr>
        <w:t>and digestibility of rice products (CODEX STAN 198-1995).</w:t>
      </w:r>
    </w:p>
    <w:p w:rsidR="00BE52D6" w:rsidRDefault="0026200A">
      <w:pPr>
        <w:pStyle w:val="CETBodytext"/>
      </w:pPr>
      <w:r w:rsidRPr="004C2B81">
        <w:rPr>
          <w:rFonts w:cs="Arial"/>
        </w:rPr>
        <w:t>Millet (processed proso) is a gluten-free cereal rich in protein (11-12 g/100 g), carbohydrates (66-70 g/100 g), and micronutrients, including B-group vitamins and minerals. It demonstrates favourab</w:t>
      </w:r>
      <w:r w:rsidRPr="004C2B81">
        <w:rPr>
          <w:rFonts w:cs="Arial"/>
        </w:rPr>
        <w:t>le nutritional properties and slower digestibility due to fibre content</w:t>
      </w:r>
      <w:r>
        <w:t>. Technological treatments such as extrusion can enhance digestibility by reducing anti-nutritional factors, although they may also decrease dietary fibre content (CODEX STAN 169-1989).</w:t>
      </w:r>
    </w:p>
    <w:p w:rsidR="00BE52D6" w:rsidRDefault="0026200A">
      <w:pPr>
        <w:pStyle w:val="CETBodytext"/>
      </w:pPr>
      <w:r>
        <w:t>Sorghum is a drought-resistant cereal crop widely cultivated in warm regions. It contains approximately 10-11 g of protein, about 4 g of fat, and around 60 g of carbohydrates per 100 g. Sorghum is rich in minerals and phenolic compounds and is also gluten</w:t>
      </w:r>
      <w:r>
        <w:t>-free. Its relatively low glycaemic index and technological versatility make it a promising raw material for functional food production. Processing methods such as extrusion improve texture and increase product porosity (CODEX STAN 172-1989).</w:t>
      </w:r>
    </w:p>
    <w:p w:rsidR="00BE52D6" w:rsidRDefault="0026200A">
      <w:pPr>
        <w:pStyle w:val="CETBodytext"/>
      </w:pPr>
      <w:r>
        <w:t>Recent decade</w:t>
      </w:r>
      <w:r>
        <w:t>s have been characterised by a steady increase in the consumption of instant food products, driven by the accelerated pace of life, urbanisation, and changes in dietary patterns. Under these conditions, dry food concentrates have gained particular importan</w:t>
      </w:r>
      <w:r>
        <w:t xml:space="preserve">ce due to their convenience, extended shelf life, and technological simplicity of preparation. At the same time, a global trend towards healthy and sustainable nutrition has intensified, emphasising the reduction of animal-based products and the increased </w:t>
      </w:r>
      <w:r>
        <w:t>use of plant-derived raw materials. In this context, the development of instant food products based on plant components with high nutritional value and functional properties represents a relevant objective of modern food technology. In the Republic of Uzbe</w:t>
      </w:r>
      <w:r>
        <w:t xml:space="preserve">kistan, the growing demand for such products is further driven by climatic conditions, the need for rational use of local raw materials, and the need to ensure food security. Grain crops adapted to arid environments, such as rice, millet, and sorghum, are </w:t>
      </w:r>
      <w:r>
        <w:t>particularly promising. These crops are characterised by a high content of carbohydrates, proteins, vitamins, and minerals, as well as being naturally gluten-free.</w:t>
      </w:r>
    </w:p>
    <w:p w:rsidR="00BE52D6" w:rsidRDefault="0026200A">
      <w:pPr>
        <w:pStyle w:val="CETBodytext"/>
      </w:pPr>
      <w:r>
        <w:t>Despite the availability of studies focused on the processing of individual grain types, the</w:t>
      </w:r>
      <w:r>
        <w:t xml:space="preserve"> development of multicomponent formulations of dry food concentrates with optimised nutritional value, digestibility, and technological properties remains insufficiently explored. Particular interest is associated with the application of modern processing </w:t>
      </w:r>
      <w:r>
        <w:t>methods, such as extrusion, which can improve rehydration properties and the structural characteristics of final products. Therefore, comprehensive studies aimed at substantiating the composition and production technology of instant dry food concentrates b</w:t>
      </w:r>
      <w:r>
        <w:t>ased on local plant raw materials with defined functional and consumer properties are of significant importance. The aim of this study is to evaluate the physicochemical and microbiological characteristics of sorghum, millet, and rice cultivated in Uzbekis</w:t>
      </w:r>
      <w:r>
        <w:t>tan, and to assess their potential for further use in instant porridge formulation development.</w:t>
      </w:r>
    </w:p>
    <w:p w:rsidR="00BE52D6" w:rsidRDefault="0026200A">
      <w:pPr>
        <w:pStyle w:val="CETHeading1"/>
      </w:pPr>
      <w:r>
        <w:t>Materials and methods</w:t>
      </w:r>
    </w:p>
    <w:p w:rsidR="00BE52D6" w:rsidRDefault="0026200A">
      <w:pPr>
        <w:pStyle w:val="CETBodytext"/>
      </w:pPr>
      <w:r>
        <w:t>The study was conducted using locally cultivated grain raw materials, including sorghum, millet, and rice, obtained from agricultural prod</w:t>
      </w:r>
      <w:r>
        <w:t>ucers in Uzbekistan. The samples were represented by grain varieties recommended for cultivation in Uzbekistan and commonly grown in the respective regions. The sorghum sample was represented by white sorghum of the Daulet variety, the millet sample by Sar</w:t>
      </w:r>
      <w:r>
        <w:t>atovskaya 853, and the rice sample by Alanga, all of which are included in the State Register of Agricultural Crops recommended for cultivation in Uzbekistan (State Register of Agricultural Crops, 2023). Sorghum and rice were obtained from agricultural pro</w:t>
      </w:r>
      <w:r>
        <w:t>ducers in the Khorezm region, while millet was obtained from the Republic of Karakalpakstan. Approximately 1 kg of each grain sample was received from the corresponding agricultural production lot. The grain lots received from the agricultural producers we</w:t>
      </w:r>
      <w:r>
        <w:t>re considered composite samples representing material collected from several sampling points within the respective lots. Prior to analytical determination, the required amount of laboratory sample was manually selected from the composite sample, and sample</w:t>
      </w:r>
      <w:r>
        <w:t xml:space="preserve"> preparation was performed in accordance with the requirements of the respective test method.</w:t>
      </w:r>
    </w:p>
    <w:p w:rsidR="00BE52D6" w:rsidRDefault="0026200A">
      <w:pPr>
        <w:pStyle w:val="CETBodytext"/>
      </w:pPr>
      <w:r>
        <w:t>Moisture content was determined according to GOST 13586.5-2015 "Grain. Methods for determination of moisture content" using the accelerated gravimetric drying met</w:t>
      </w:r>
      <w:r>
        <w:t>hod. Approximately 5 g of the grain sample was placed in a pre-dried and pre-weighed weighing bottle. The sample was dried in a drying oven at 130 ± 2 °C for 40 min. After drying, the weighing bottle containing the sample was cooled in a desiccator and rew</w:t>
      </w:r>
      <w:r>
        <w:t>eighed. Moisture content was calculated from the mass loss during drying and expressed as a mass fraction in percent (%).</w:t>
      </w:r>
    </w:p>
    <w:p w:rsidR="00BE52D6" w:rsidRDefault="0026200A">
      <w:pPr>
        <w:pStyle w:val="CETBodytext"/>
      </w:pPr>
      <w:r>
        <w:lastRenderedPageBreak/>
        <w:t>Ash content was determined according to GOST 10847-2019 using the basic dry ashing method without the use of accelerators. Porcelain c</w:t>
      </w:r>
      <w:r>
        <w:t>rucibles were initially heated and weighed to constant mass. A sample weighing approximately 2 g was placed in the prepared crucible and first heated at 450 °C for approximately 20 min until the sample was charred. The sample was then further incinerated a</w:t>
      </w:r>
      <w:r>
        <w:t>t 900 °C until complete disappearance of black particles and formation of a white ash residue. After incineration, the crucible containing the ash was weighed to constant mass. The ash content was calculated based on the mass of the obtained ash relative t</w:t>
      </w:r>
      <w:r>
        <w:t>o the initial sample mass and expressed as a percentage (%).</w:t>
      </w:r>
    </w:p>
    <w:p w:rsidR="00BE52D6" w:rsidRDefault="0026200A">
      <w:pPr>
        <w:pStyle w:val="CETBodytext"/>
      </w:pPr>
      <w:r>
        <w:t>Acidity was determined according to GOST 10844-74 "Grain. Method for determination of acidity". A 50 g portion of grain was manually selected from the composite sample, cleaned from foreign impur</w:t>
      </w:r>
      <w:r>
        <w:t>ities, and ground using a laboratory mill until the material passed through sieve No. 08. A 5 g portion of the ground sample was transferred into a dry conical flask, and 100 cm³ of distilled water was added. After thorough mixing, five drops of 3% phenolp</w:t>
      </w:r>
      <w:r>
        <w:t>hthalein solution were added, and the suspension was titrated with 0.1 mol/dm³ sodium hydroxide solution until a stable pink colour persisted for 20-30 s. Acidity was expressed in acidity degrees, defined as the volume (cm³) of 1 mol/dm³ sodium hydroxide s</w:t>
      </w:r>
      <w:r>
        <w:t>olution required to neutralise the free acids in 100 g of product. It should be noted that acidity degrees are not equivalent to the pH scale: a higher pH value corresponds to lower acidity, but a higher value expressed in acidity degrees corresponds to hi</w:t>
      </w:r>
      <w:r>
        <w:t>gher acidity of the sample.</w:t>
      </w:r>
    </w:p>
    <w:p w:rsidR="00BE52D6" w:rsidRDefault="0026200A">
      <w:pPr>
        <w:pStyle w:val="CETBodytext"/>
      </w:pPr>
      <w:r>
        <w:t>Fat content was determined according to GOST 29033-91 using the extraction method. Sample preparation was performed as described for the acidity determination: the grain samples were cleaned from foreign impurities and ground us</w:t>
      </w:r>
      <w:r>
        <w:t>ing a laboratory mill. The fat content was determined without preliminary drying of the samples. A 10 g portion of the prepared sample was placed in an extraction thimble, and fat was extracted using hexane in an automated Soxhlet extraction apparatus at 1</w:t>
      </w:r>
      <w:r>
        <w:t>05 °C for 2 h. The fat content was calculated as the mass fraction of fat in the grain sample and expressed as a percentage (%).</w:t>
      </w:r>
    </w:p>
    <w:p w:rsidR="00BE52D6" w:rsidRDefault="0026200A">
      <w:pPr>
        <w:pStyle w:val="CETBodytext"/>
      </w:pPr>
      <w:r>
        <w:t>Vitamin content was determined according to GOST 32042-2012 using high-performance liquid chromatography (HPLC) with hydrochlor</w:t>
      </w:r>
      <w:r>
        <w:t>ic acid extraction (VNIIZ, 2010). The analysis was performed using an Agilent 1260 Infinity HPLC system equipped with a spectrophotometric detector. The contents of thiamine (vitamin B1), riboflavin (vitamin B2), and niacin (vitamin PP) were determined and</w:t>
      </w:r>
      <w:r>
        <w:t xml:space="preserve"> expressed in mg/100 g of product.</w:t>
      </w:r>
    </w:p>
    <w:p w:rsidR="00BE52D6" w:rsidRDefault="0026200A">
      <w:pPr>
        <w:pStyle w:val="CETBodytext"/>
      </w:pPr>
      <w:r>
        <w:t>Microbiological analyses were performed according to standardized methods, with sample preparation and inoculation performed under aseptic conditions. The total number of mesophilic aerobic and facultatively anaerobic mic</w:t>
      </w:r>
      <w:r>
        <w:t>roorganisms was determined by inoculation onto nutrient agar and colony counting after incubation at 30 ± 1 °C for 72 h, according to GOST 10444.15-94. Coliform bacteria were determined by inoculation on Endo medium and detection of characteristic colonies</w:t>
      </w:r>
      <w:r>
        <w:t xml:space="preserve"> after incubation at 37 ± 1 °C for 24 h, according to GOST 10444.2-94. Salmonella was detected by pre-enrichment followed by inoculation on selective media, including Rappaport broth and Ploskirev and Bizley media, with incubation at 37 ± 1 °C for 24-48 h,</w:t>
      </w:r>
      <w:r>
        <w:t xml:space="preserve"> according to GOST 30518-97. Bacillus cereus was detected by inoculation on a solid selective MYP agar medium, with incubation at 30 ± 1 °C for 24-48 h, according to GOST 10444.8-2013. Yeasts and moulds were determined by cultivation on agar media, with in</w:t>
      </w:r>
      <w:r>
        <w:t>cubation at 24-25 °C for 5 days, followed by colony counting according to GOST 10444.12-2013. The results of microbiological analyses were expressed as colony-forming units per gram (CFU/g), or as detected/not detected in the specified sample mass, where a</w:t>
      </w:r>
      <w:r>
        <w:t>pplicable.</w:t>
      </w:r>
    </w:p>
    <w:p w:rsidR="00BE52D6" w:rsidRDefault="0026200A">
      <w:pPr>
        <w:pStyle w:val="CETBodytext"/>
      </w:pPr>
      <w:r>
        <w:t>Physicochemical and vitamin determinations were performed in duplicate, and the results were expressed as mean ± standard deviation (SD). Microbiological analyses were performed according to the respective GOST methods referenced above and are r</w:t>
      </w:r>
      <w:r>
        <w:t>eported as colony-forming units per gram (CFU/g) or as detected/not detected in the specified sample mass, in accordance with the requirements of the corresponding standard methods.</w:t>
      </w:r>
    </w:p>
    <w:p w:rsidR="00BE52D6" w:rsidRDefault="0026200A">
      <w:pPr>
        <w:pStyle w:val="CETHeading1"/>
      </w:pPr>
      <w:r>
        <w:t>Results and discussion</w:t>
      </w:r>
    </w:p>
    <w:p w:rsidR="00BE52D6" w:rsidRDefault="0026200A">
      <w:pPr>
        <w:pStyle w:val="CETBodytext"/>
      </w:pPr>
      <w:r>
        <w:t>The results were analysed to compare the physicoche</w:t>
      </w:r>
      <w:r>
        <w:t>mical, vitamin, and microbiological characteristics of the studied grain types and to evaluate their potential suitability for instant porridge production.</w:t>
      </w:r>
    </w:p>
    <w:p w:rsidR="00BE52D6" w:rsidRDefault="0026200A">
      <w:pPr>
        <w:pStyle w:val="CETBodytext"/>
      </w:pPr>
      <w:r>
        <w:t>The physicochemical properties of the analysed grain raw materials are presented in Table 1. These p</w:t>
      </w:r>
      <w:r>
        <w:t>arameters play an important role in determining storage stability, technological behaviour, and the overall quality of instant food products.</w:t>
      </w:r>
    </w:p>
    <w:p w:rsidR="00BE52D6" w:rsidRDefault="0026200A">
      <w:pPr>
        <w:pStyle w:val="CETTabletitle"/>
      </w:pPr>
      <w:r>
        <w:t>Table 1: Physicochemical properties of grain raw materials</w:t>
      </w:r>
    </w:p>
    <w:tbl>
      <w:tblPr>
        <w:tblW w:w="0" w:type="auto"/>
        <w:tblLook w:val="04A0" w:firstRow="1" w:lastRow="0" w:firstColumn="1" w:lastColumn="0" w:noHBand="0" w:noVBand="1"/>
      </w:tblPr>
      <w:tblGrid>
        <w:gridCol w:w="1757"/>
        <w:gridCol w:w="1757"/>
        <w:gridCol w:w="1757"/>
        <w:gridCol w:w="1757"/>
        <w:gridCol w:w="1757"/>
      </w:tblGrid>
      <w:tr w:rsidR="00BE52D6">
        <w:tc>
          <w:tcPr>
            <w:tcW w:w="1757" w:type="dxa"/>
            <w:tcBorders>
              <w:top w:val="single" w:sz="12" w:space="0" w:color="008000"/>
              <w:bottom w:val="single" w:sz="6" w:space="0" w:color="008000"/>
            </w:tcBorders>
            <w:shd w:val="clear" w:color="auto" w:fill="FFFFFF"/>
          </w:tcPr>
          <w:p w:rsidR="00BE52D6" w:rsidRDefault="0026200A">
            <w:pPr>
              <w:pStyle w:val="CETBodytext"/>
            </w:pPr>
            <w:r>
              <w:t>Raw material</w:t>
            </w:r>
          </w:p>
        </w:tc>
        <w:tc>
          <w:tcPr>
            <w:tcW w:w="1757" w:type="dxa"/>
            <w:tcBorders>
              <w:top w:val="single" w:sz="12" w:space="0" w:color="008000"/>
              <w:bottom w:val="single" w:sz="6" w:space="0" w:color="008000"/>
            </w:tcBorders>
            <w:shd w:val="clear" w:color="auto" w:fill="FFFFFF"/>
          </w:tcPr>
          <w:p w:rsidR="00BE52D6" w:rsidRDefault="0026200A">
            <w:pPr>
              <w:pStyle w:val="CETBodytext"/>
            </w:pPr>
            <w:r>
              <w:t>Moisture, % ± SD</w:t>
            </w:r>
          </w:p>
        </w:tc>
        <w:tc>
          <w:tcPr>
            <w:tcW w:w="1757" w:type="dxa"/>
            <w:tcBorders>
              <w:top w:val="single" w:sz="12" w:space="0" w:color="008000"/>
              <w:bottom w:val="single" w:sz="6" w:space="0" w:color="008000"/>
            </w:tcBorders>
            <w:shd w:val="clear" w:color="auto" w:fill="FFFFFF"/>
          </w:tcPr>
          <w:p w:rsidR="00BE52D6" w:rsidRDefault="0026200A">
            <w:pPr>
              <w:pStyle w:val="CETBodytext"/>
            </w:pPr>
            <w:r>
              <w:t>Ash, % ± SD</w:t>
            </w:r>
          </w:p>
        </w:tc>
        <w:tc>
          <w:tcPr>
            <w:tcW w:w="1757" w:type="dxa"/>
            <w:tcBorders>
              <w:top w:val="single" w:sz="12" w:space="0" w:color="008000"/>
              <w:bottom w:val="single" w:sz="6" w:space="0" w:color="008000"/>
            </w:tcBorders>
            <w:shd w:val="clear" w:color="auto" w:fill="FFFFFF"/>
          </w:tcPr>
          <w:p w:rsidR="00BE52D6" w:rsidRDefault="0026200A">
            <w:pPr>
              <w:pStyle w:val="CETBodytext"/>
            </w:pPr>
            <w:r>
              <w:t>Acidity, ° ± SD</w:t>
            </w:r>
          </w:p>
        </w:tc>
        <w:tc>
          <w:tcPr>
            <w:tcW w:w="1757" w:type="dxa"/>
            <w:tcBorders>
              <w:top w:val="single" w:sz="12" w:space="0" w:color="008000"/>
              <w:bottom w:val="single" w:sz="6" w:space="0" w:color="008000"/>
            </w:tcBorders>
            <w:shd w:val="clear" w:color="auto" w:fill="FFFFFF"/>
          </w:tcPr>
          <w:p w:rsidR="00BE52D6" w:rsidRDefault="0026200A">
            <w:pPr>
              <w:pStyle w:val="CETBodytext"/>
            </w:pPr>
            <w:r>
              <w:t>Fat, % ± SD</w:t>
            </w:r>
          </w:p>
        </w:tc>
      </w:tr>
      <w:tr w:rsidR="00BE52D6">
        <w:tc>
          <w:tcPr>
            <w:tcW w:w="1757" w:type="dxa"/>
            <w:shd w:val="clear" w:color="auto" w:fill="FFFFFF"/>
          </w:tcPr>
          <w:p w:rsidR="00BE52D6" w:rsidRDefault="0026200A">
            <w:pPr>
              <w:pStyle w:val="CETBodytext"/>
            </w:pPr>
            <w:r>
              <w:t>Millet</w:t>
            </w:r>
          </w:p>
        </w:tc>
        <w:tc>
          <w:tcPr>
            <w:tcW w:w="1757" w:type="dxa"/>
            <w:shd w:val="clear" w:color="auto" w:fill="FFFFFF"/>
          </w:tcPr>
          <w:p w:rsidR="00BE52D6" w:rsidRDefault="0026200A">
            <w:pPr>
              <w:pStyle w:val="CETBodytext"/>
            </w:pPr>
            <w:r>
              <w:t>3.87±0.09</w:t>
            </w:r>
          </w:p>
        </w:tc>
        <w:tc>
          <w:tcPr>
            <w:tcW w:w="1757" w:type="dxa"/>
            <w:shd w:val="clear" w:color="auto" w:fill="FFFFFF"/>
          </w:tcPr>
          <w:p w:rsidR="00BE52D6" w:rsidRDefault="0026200A">
            <w:pPr>
              <w:pStyle w:val="CETBodytext"/>
            </w:pPr>
            <w:r>
              <w:t>1.025±0.003</w:t>
            </w:r>
          </w:p>
        </w:tc>
        <w:tc>
          <w:tcPr>
            <w:tcW w:w="1757" w:type="dxa"/>
            <w:shd w:val="clear" w:color="auto" w:fill="FFFFFF"/>
          </w:tcPr>
          <w:p w:rsidR="00BE52D6" w:rsidRDefault="0026200A">
            <w:pPr>
              <w:pStyle w:val="CETBodytext"/>
            </w:pPr>
            <w:r>
              <w:t>1.19±0.02</w:t>
            </w:r>
          </w:p>
        </w:tc>
        <w:tc>
          <w:tcPr>
            <w:tcW w:w="1757" w:type="dxa"/>
            <w:shd w:val="clear" w:color="auto" w:fill="FFFFFF"/>
          </w:tcPr>
          <w:p w:rsidR="00BE52D6" w:rsidRDefault="0026200A">
            <w:pPr>
              <w:pStyle w:val="CETBodytext"/>
            </w:pPr>
            <w:r>
              <w:t>4.96±0.13</w:t>
            </w:r>
          </w:p>
        </w:tc>
      </w:tr>
      <w:tr w:rsidR="00BE52D6">
        <w:tc>
          <w:tcPr>
            <w:tcW w:w="1757" w:type="dxa"/>
            <w:shd w:val="clear" w:color="auto" w:fill="FFFFFF"/>
          </w:tcPr>
          <w:p w:rsidR="00BE52D6" w:rsidRDefault="0026200A">
            <w:pPr>
              <w:pStyle w:val="CETBodytext"/>
            </w:pPr>
            <w:r>
              <w:t>Sorghum</w:t>
            </w:r>
          </w:p>
        </w:tc>
        <w:tc>
          <w:tcPr>
            <w:tcW w:w="1757" w:type="dxa"/>
            <w:shd w:val="clear" w:color="auto" w:fill="FFFFFF"/>
          </w:tcPr>
          <w:p w:rsidR="00BE52D6" w:rsidRDefault="0026200A">
            <w:pPr>
              <w:pStyle w:val="CETBodytext"/>
            </w:pPr>
            <w:r>
              <w:t>3.47±0.06</w:t>
            </w:r>
          </w:p>
        </w:tc>
        <w:tc>
          <w:tcPr>
            <w:tcW w:w="1757" w:type="dxa"/>
            <w:shd w:val="clear" w:color="auto" w:fill="FFFFFF"/>
          </w:tcPr>
          <w:p w:rsidR="00BE52D6" w:rsidRDefault="0026200A">
            <w:pPr>
              <w:pStyle w:val="CETBodytext"/>
            </w:pPr>
            <w:r>
              <w:t>1.678±0.103</w:t>
            </w:r>
          </w:p>
        </w:tc>
        <w:tc>
          <w:tcPr>
            <w:tcW w:w="1757" w:type="dxa"/>
            <w:shd w:val="clear" w:color="auto" w:fill="FFFFFF"/>
          </w:tcPr>
          <w:p w:rsidR="00BE52D6" w:rsidRDefault="0026200A">
            <w:pPr>
              <w:pStyle w:val="CETBodytext"/>
            </w:pPr>
            <w:r>
              <w:t>8.97±0.26</w:t>
            </w:r>
          </w:p>
        </w:tc>
        <w:tc>
          <w:tcPr>
            <w:tcW w:w="1757" w:type="dxa"/>
            <w:shd w:val="clear" w:color="auto" w:fill="FFFFFF"/>
          </w:tcPr>
          <w:p w:rsidR="00BE52D6" w:rsidRDefault="0026200A">
            <w:pPr>
              <w:pStyle w:val="CETBodytext"/>
            </w:pPr>
            <w:r>
              <w:t>6.93±0.06</w:t>
            </w:r>
          </w:p>
        </w:tc>
      </w:tr>
      <w:tr w:rsidR="00BE52D6">
        <w:tc>
          <w:tcPr>
            <w:tcW w:w="1757" w:type="dxa"/>
            <w:tcBorders>
              <w:bottom w:val="single" w:sz="12" w:space="0" w:color="008000"/>
            </w:tcBorders>
            <w:shd w:val="clear" w:color="auto" w:fill="FFFFFF"/>
          </w:tcPr>
          <w:p w:rsidR="00BE52D6" w:rsidRDefault="0026200A">
            <w:pPr>
              <w:pStyle w:val="CETBodytext"/>
            </w:pPr>
            <w:r>
              <w:t>Rice</w:t>
            </w:r>
          </w:p>
        </w:tc>
        <w:tc>
          <w:tcPr>
            <w:tcW w:w="1757" w:type="dxa"/>
            <w:tcBorders>
              <w:bottom w:val="single" w:sz="12" w:space="0" w:color="008000"/>
            </w:tcBorders>
            <w:shd w:val="clear" w:color="auto" w:fill="FFFFFF"/>
          </w:tcPr>
          <w:p w:rsidR="00BE52D6" w:rsidRDefault="0026200A">
            <w:pPr>
              <w:pStyle w:val="CETBodytext"/>
            </w:pPr>
            <w:r>
              <w:t>2.25±0.11</w:t>
            </w:r>
          </w:p>
        </w:tc>
        <w:tc>
          <w:tcPr>
            <w:tcW w:w="1757" w:type="dxa"/>
            <w:tcBorders>
              <w:bottom w:val="single" w:sz="12" w:space="0" w:color="008000"/>
            </w:tcBorders>
            <w:shd w:val="clear" w:color="auto" w:fill="FFFFFF"/>
          </w:tcPr>
          <w:p w:rsidR="00BE52D6" w:rsidRDefault="0026200A">
            <w:pPr>
              <w:pStyle w:val="CETBodytext"/>
            </w:pPr>
            <w:r>
              <w:t>0.700±0.004</w:t>
            </w:r>
          </w:p>
        </w:tc>
        <w:tc>
          <w:tcPr>
            <w:tcW w:w="1757" w:type="dxa"/>
            <w:tcBorders>
              <w:bottom w:val="single" w:sz="12" w:space="0" w:color="008000"/>
            </w:tcBorders>
            <w:shd w:val="clear" w:color="auto" w:fill="FFFFFF"/>
          </w:tcPr>
          <w:p w:rsidR="00BE52D6" w:rsidRDefault="0026200A">
            <w:pPr>
              <w:pStyle w:val="CETBodytext"/>
            </w:pPr>
            <w:r>
              <w:t>3.65±0.24</w:t>
            </w:r>
          </w:p>
        </w:tc>
        <w:tc>
          <w:tcPr>
            <w:tcW w:w="1757" w:type="dxa"/>
            <w:tcBorders>
              <w:bottom w:val="single" w:sz="12" w:space="0" w:color="008000"/>
            </w:tcBorders>
            <w:shd w:val="clear" w:color="auto" w:fill="FFFFFF"/>
          </w:tcPr>
          <w:p w:rsidR="00BE52D6" w:rsidRDefault="0026200A">
            <w:pPr>
              <w:pStyle w:val="CETBodytext"/>
            </w:pPr>
            <w:r>
              <w:t>2.47±0.17</w:t>
            </w:r>
          </w:p>
        </w:tc>
      </w:tr>
    </w:tbl>
    <w:p w:rsidR="00BE52D6" w:rsidRDefault="0026200A">
      <w:pPr>
        <w:pStyle w:val="CETBodytext"/>
      </w:pPr>
      <w:r>
        <w:lastRenderedPageBreak/>
        <w:t xml:space="preserve">Moisture content is an important factor affecting the storage </w:t>
      </w:r>
      <w:r>
        <w:t>stability and microbiological safety of grain raw materials. The moisture content ranged from 2.25 ± 0.11% in rice to 3.87 ± 0.09% in millet, while sorghum showed an intermediate value of 3.47 ± 0.06%. The relatively low moisture content of the studied sam</w:t>
      </w:r>
      <w:r>
        <w:t>ples is favourable for storage stability by limiting conditions conducive to microbial growth and biochemical changes.</w:t>
      </w:r>
    </w:p>
    <w:p w:rsidR="00BE52D6" w:rsidRDefault="0026200A">
      <w:pPr>
        <w:pStyle w:val="CETBodytext"/>
      </w:pPr>
      <w:r>
        <w:t>Ash content, which reflects the mineral fraction of the grain, differed among the studied samples. Sorghum showed the highest ash content</w:t>
      </w:r>
      <w:r>
        <w:t xml:space="preserve"> (1.678 ± 0.103%), followed by millet (1.025 ± 0.003%) and rice (0.700 ± 0.004%). These differences indicate variation in the mineral composition of the studied grain raw materials.</w:t>
      </w:r>
    </w:p>
    <w:p w:rsidR="00BE52D6" w:rsidRDefault="0026200A">
      <w:pPr>
        <w:pStyle w:val="CETBodytext"/>
      </w:pPr>
      <w:r>
        <w:t>Acidity values varied among the samples, indicating differences in raw mat</w:t>
      </w:r>
      <w:r>
        <w:t>erial freshness and possible storage conditions. Millet exhibited the lowest acidity (1.19° ± 0.02), which may indicate a lower degree of biochemical changes. Rice showed moderate acidity (3.65° ± 0.24). In contrast, sorghum demonstrated a considerably hig</w:t>
      </w:r>
      <w:r>
        <w:t>her acidity (8.97° ± 0.26), which may indicate a greater degree of biochemical changes during storage and suggests the need for stricter control during storage and processing.</w:t>
      </w:r>
    </w:p>
    <w:p w:rsidR="00BE52D6" w:rsidRDefault="0026200A">
      <w:pPr>
        <w:pStyle w:val="CETBodytext"/>
      </w:pPr>
      <w:r>
        <w:t xml:space="preserve">Fat content also differed between the samples, with sorghum showing the </w:t>
      </w:r>
      <w:r>
        <w:t>highest value (6.93 ± 0.06%), followed by millet (4.96 ± 0.13%) and rice (2.47 ± 0.17%). Higher fat content contributes to increased nutritional value but may negatively affect oxidative stability and shelf life. Therefore, sorghum-based products may requi</w:t>
      </w:r>
      <w:r>
        <w:t>re additional stabilisation measures to prevent lipid oxidation.</w:t>
      </w:r>
    </w:p>
    <w:p w:rsidR="00BE52D6" w:rsidRDefault="0026200A">
      <w:pPr>
        <w:pStyle w:val="CETBodytext"/>
      </w:pPr>
      <w:r>
        <w:t>Overall, the results demonstrate that the studied grain raw materials differ in their physicochemical characteristics. Millet was characterised by the lowest acidity, rice by the lowest ash a</w:t>
      </w:r>
      <w:r>
        <w:t>nd fat contents, while sorghum showed the highest ash, acidity, and fat contents among the studied samples.</w:t>
      </w:r>
    </w:p>
    <w:p w:rsidR="00BE52D6" w:rsidRDefault="0026200A">
      <w:pPr>
        <w:pStyle w:val="CETBodytext"/>
      </w:pPr>
      <w:r>
        <w:t>The vitamin composition of the analysed grain raw materials is presented in Table 2. The studied samples showed differences in the contents of thiam</w:t>
      </w:r>
      <w:r>
        <w:t>ine (vitamin B1), riboflavin (vitamin B2), and niacin (vitamin PP). Millet demonstrated the highest thiamine content (0.3042 ± 0.0006 mg/100 g), followed by sorghum (0.2030 ± 0.0010 mg/100 g), while rice showed the lowest content (0.0815 ± 0.0007 mg/100 g)</w:t>
      </w:r>
      <w:r>
        <w:t>.</w:t>
      </w:r>
    </w:p>
    <w:p w:rsidR="00BE52D6" w:rsidRDefault="0026200A">
      <w:pPr>
        <w:pStyle w:val="CETTabletitle"/>
      </w:pPr>
      <w:r>
        <w:t>Table 2: Vitamin composition of grain raw materials</w:t>
      </w:r>
    </w:p>
    <w:tbl>
      <w:tblPr>
        <w:tblW w:w="0" w:type="auto"/>
        <w:tblLook w:val="04A0" w:firstRow="1" w:lastRow="0" w:firstColumn="1" w:lastColumn="0" w:noHBand="0" w:noVBand="1"/>
      </w:tblPr>
      <w:tblGrid>
        <w:gridCol w:w="2196"/>
        <w:gridCol w:w="2197"/>
        <w:gridCol w:w="2197"/>
        <w:gridCol w:w="2197"/>
      </w:tblGrid>
      <w:tr w:rsidR="00BE52D6">
        <w:tc>
          <w:tcPr>
            <w:tcW w:w="2197" w:type="dxa"/>
            <w:tcBorders>
              <w:top w:val="single" w:sz="12" w:space="0" w:color="008000"/>
              <w:bottom w:val="single" w:sz="6" w:space="0" w:color="008000"/>
            </w:tcBorders>
            <w:shd w:val="clear" w:color="auto" w:fill="FFFFFF"/>
          </w:tcPr>
          <w:p w:rsidR="00BE52D6" w:rsidRDefault="0026200A">
            <w:pPr>
              <w:pStyle w:val="CETBodytext"/>
            </w:pPr>
            <w:r>
              <w:t>Vitamin</w:t>
            </w:r>
          </w:p>
        </w:tc>
        <w:tc>
          <w:tcPr>
            <w:tcW w:w="2197" w:type="dxa"/>
            <w:tcBorders>
              <w:top w:val="single" w:sz="12" w:space="0" w:color="008000"/>
              <w:bottom w:val="single" w:sz="6" w:space="0" w:color="008000"/>
            </w:tcBorders>
            <w:shd w:val="clear" w:color="auto" w:fill="FFFFFF"/>
          </w:tcPr>
          <w:p w:rsidR="00BE52D6" w:rsidRDefault="0026200A">
            <w:pPr>
              <w:pStyle w:val="CETBodytext"/>
            </w:pPr>
            <w:r>
              <w:t>Sorghum, mg/100 g ± SD</w:t>
            </w:r>
          </w:p>
        </w:tc>
        <w:tc>
          <w:tcPr>
            <w:tcW w:w="2197" w:type="dxa"/>
            <w:tcBorders>
              <w:top w:val="single" w:sz="12" w:space="0" w:color="008000"/>
              <w:bottom w:val="single" w:sz="6" w:space="0" w:color="008000"/>
            </w:tcBorders>
            <w:shd w:val="clear" w:color="auto" w:fill="FFFFFF"/>
          </w:tcPr>
          <w:p w:rsidR="00BE52D6" w:rsidRDefault="0026200A">
            <w:pPr>
              <w:pStyle w:val="CETBodytext"/>
            </w:pPr>
            <w:r>
              <w:t>Millet, mg/100 g ± SD</w:t>
            </w:r>
          </w:p>
        </w:tc>
        <w:tc>
          <w:tcPr>
            <w:tcW w:w="2197" w:type="dxa"/>
            <w:tcBorders>
              <w:top w:val="single" w:sz="12" w:space="0" w:color="008000"/>
              <w:bottom w:val="single" w:sz="6" w:space="0" w:color="008000"/>
            </w:tcBorders>
            <w:shd w:val="clear" w:color="auto" w:fill="FFFFFF"/>
          </w:tcPr>
          <w:p w:rsidR="00BE52D6" w:rsidRDefault="0026200A">
            <w:pPr>
              <w:pStyle w:val="CETBodytext"/>
            </w:pPr>
            <w:r>
              <w:t>Rice, mg/100 g ± SD</w:t>
            </w:r>
          </w:p>
        </w:tc>
      </w:tr>
      <w:tr w:rsidR="00BE52D6">
        <w:tc>
          <w:tcPr>
            <w:tcW w:w="2197" w:type="dxa"/>
            <w:shd w:val="clear" w:color="auto" w:fill="FFFFFF"/>
          </w:tcPr>
          <w:p w:rsidR="00BE52D6" w:rsidRDefault="0026200A">
            <w:pPr>
              <w:pStyle w:val="CETBodytext"/>
            </w:pPr>
            <w:r>
              <w:t>Vitamin B1 (thiamine)</w:t>
            </w:r>
          </w:p>
        </w:tc>
        <w:tc>
          <w:tcPr>
            <w:tcW w:w="2197" w:type="dxa"/>
            <w:shd w:val="clear" w:color="auto" w:fill="FFFFFF"/>
          </w:tcPr>
          <w:p w:rsidR="00BE52D6" w:rsidRDefault="0026200A">
            <w:pPr>
              <w:pStyle w:val="CETBodytext"/>
            </w:pPr>
            <w:r>
              <w:t>0.2030±0.0010</w:t>
            </w:r>
          </w:p>
        </w:tc>
        <w:tc>
          <w:tcPr>
            <w:tcW w:w="2197" w:type="dxa"/>
            <w:shd w:val="clear" w:color="auto" w:fill="FFFFFF"/>
          </w:tcPr>
          <w:p w:rsidR="00BE52D6" w:rsidRDefault="0026200A">
            <w:pPr>
              <w:pStyle w:val="CETBodytext"/>
            </w:pPr>
            <w:r>
              <w:t>0.3042±0.0006</w:t>
            </w:r>
          </w:p>
        </w:tc>
        <w:tc>
          <w:tcPr>
            <w:tcW w:w="2197" w:type="dxa"/>
            <w:shd w:val="clear" w:color="auto" w:fill="FFFFFF"/>
          </w:tcPr>
          <w:p w:rsidR="00BE52D6" w:rsidRDefault="0026200A">
            <w:pPr>
              <w:pStyle w:val="CETBodytext"/>
            </w:pPr>
            <w:r>
              <w:t>0.0815±0.0007</w:t>
            </w:r>
          </w:p>
        </w:tc>
      </w:tr>
      <w:tr w:rsidR="00BE52D6">
        <w:tc>
          <w:tcPr>
            <w:tcW w:w="2197" w:type="dxa"/>
            <w:shd w:val="clear" w:color="auto" w:fill="FFFFFF"/>
          </w:tcPr>
          <w:p w:rsidR="00BE52D6" w:rsidRDefault="0026200A">
            <w:pPr>
              <w:pStyle w:val="CETBodytext"/>
            </w:pPr>
            <w:r>
              <w:t>Vitamin B2 (riboflavin)</w:t>
            </w:r>
          </w:p>
        </w:tc>
        <w:tc>
          <w:tcPr>
            <w:tcW w:w="2197" w:type="dxa"/>
            <w:shd w:val="clear" w:color="auto" w:fill="FFFFFF"/>
          </w:tcPr>
          <w:p w:rsidR="00BE52D6" w:rsidRDefault="0026200A">
            <w:pPr>
              <w:pStyle w:val="CETBodytext"/>
            </w:pPr>
            <w:r>
              <w:t>0.1390±0.0014</w:t>
            </w:r>
          </w:p>
        </w:tc>
        <w:tc>
          <w:tcPr>
            <w:tcW w:w="2197" w:type="dxa"/>
            <w:shd w:val="clear" w:color="auto" w:fill="FFFFFF"/>
          </w:tcPr>
          <w:p w:rsidR="00BE52D6" w:rsidRDefault="0026200A">
            <w:pPr>
              <w:pStyle w:val="CETBodytext"/>
            </w:pPr>
            <w:r>
              <w:t>0.0608±0.0008</w:t>
            </w:r>
          </w:p>
        </w:tc>
        <w:tc>
          <w:tcPr>
            <w:tcW w:w="2197" w:type="dxa"/>
            <w:shd w:val="clear" w:color="auto" w:fill="FFFFFF"/>
          </w:tcPr>
          <w:p w:rsidR="00BE52D6" w:rsidRDefault="0026200A">
            <w:pPr>
              <w:pStyle w:val="CETBodytext"/>
            </w:pPr>
            <w:r>
              <w:t>0.0319±0.0002</w:t>
            </w:r>
          </w:p>
        </w:tc>
      </w:tr>
      <w:tr w:rsidR="00BE52D6">
        <w:tc>
          <w:tcPr>
            <w:tcW w:w="2197" w:type="dxa"/>
            <w:tcBorders>
              <w:bottom w:val="single" w:sz="12" w:space="0" w:color="008000"/>
            </w:tcBorders>
            <w:shd w:val="clear" w:color="auto" w:fill="FFFFFF"/>
          </w:tcPr>
          <w:p w:rsidR="00BE52D6" w:rsidRDefault="0026200A">
            <w:pPr>
              <w:pStyle w:val="CETBodytext"/>
            </w:pPr>
            <w:r>
              <w:t>Niacin (vitamin PP)</w:t>
            </w:r>
          </w:p>
        </w:tc>
        <w:tc>
          <w:tcPr>
            <w:tcW w:w="2197" w:type="dxa"/>
            <w:tcBorders>
              <w:bottom w:val="single" w:sz="12" w:space="0" w:color="008000"/>
            </w:tcBorders>
            <w:shd w:val="clear" w:color="auto" w:fill="FFFFFF"/>
          </w:tcPr>
          <w:p w:rsidR="00BE52D6" w:rsidRDefault="0026200A">
            <w:pPr>
              <w:pStyle w:val="CETBodytext"/>
            </w:pPr>
            <w:r>
              <w:t>2.9019±0.0008</w:t>
            </w:r>
          </w:p>
        </w:tc>
        <w:tc>
          <w:tcPr>
            <w:tcW w:w="2197" w:type="dxa"/>
            <w:tcBorders>
              <w:bottom w:val="single" w:sz="12" w:space="0" w:color="008000"/>
            </w:tcBorders>
            <w:shd w:val="clear" w:color="auto" w:fill="FFFFFF"/>
          </w:tcPr>
          <w:p w:rsidR="00BE52D6" w:rsidRDefault="0026200A">
            <w:pPr>
              <w:pStyle w:val="CETBodytext"/>
            </w:pPr>
            <w:r>
              <w:t>1.6038±0.0004</w:t>
            </w:r>
          </w:p>
        </w:tc>
        <w:tc>
          <w:tcPr>
            <w:tcW w:w="2197" w:type="dxa"/>
            <w:tcBorders>
              <w:bottom w:val="single" w:sz="12" w:space="0" w:color="008000"/>
            </w:tcBorders>
            <w:shd w:val="clear" w:color="auto" w:fill="FFFFFF"/>
          </w:tcPr>
          <w:p w:rsidR="00BE52D6" w:rsidRDefault="0026200A">
            <w:pPr>
              <w:pStyle w:val="CETBodytext"/>
            </w:pPr>
            <w:r>
              <w:t>1.5028±0.0008</w:t>
            </w:r>
          </w:p>
        </w:tc>
      </w:tr>
    </w:tbl>
    <w:p w:rsidR="00BE52D6" w:rsidRDefault="0026200A">
      <w:pPr>
        <w:pStyle w:val="CETBodytext"/>
      </w:pPr>
      <w:r>
        <w:t>Riboflavin content was highest in sorghum (0.1390 ± 0.001 mg/100 g), while lower levels were observed in millet (0.0608 ± 0.0008 mg/100 g) and rice (0.0319 ± 0.0002</w:t>
      </w:r>
      <w:r>
        <w:t xml:space="preserve"> mg/100 g). Sorghum also showed the highest niacin content (2.9019 ± 0.0008 mg/100 g), compared with millet (1.6038 ± 0.0004 mg/100 g) and rice (1.5028 ± 0.0008 mg/100 g).</w:t>
      </w:r>
    </w:p>
    <w:p w:rsidR="00BE52D6" w:rsidRDefault="0026200A">
      <w:pPr>
        <w:pStyle w:val="CETBodytext"/>
      </w:pPr>
      <w:r>
        <w:t>Overall, millet can be considered a relatively rich source of thiamine, while sorghu</w:t>
      </w:r>
      <w:r>
        <w:t>m demonstrated higher contents of riboflavin and niacin. Rice showed comparatively lower concentrations of all three analysed vitamins. The differences in vitamin composition indicate that combining these grain raw materials may provide a more balanced nut</w:t>
      </w:r>
      <w:r>
        <w:t>ritional profile for the development of instant dry porridges.</w:t>
      </w:r>
    </w:p>
    <w:p w:rsidR="00BE52D6" w:rsidRDefault="0026200A">
      <w:pPr>
        <w:pStyle w:val="CETBodytext"/>
      </w:pPr>
      <w:r>
        <w:t xml:space="preserve">The microbiological characteristics of the analysed grain raw materials are presented in Table 3. These parameters are critical for assessing food safety and determining the suitability of raw </w:t>
      </w:r>
      <w:r>
        <w:t>materials for instant product manufacturing.</w:t>
      </w:r>
    </w:p>
    <w:p w:rsidR="00BE52D6" w:rsidRDefault="0026200A">
      <w:pPr>
        <w:pStyle w:val="CETTabletitle"/>
      </w:pPr>
      <w:r>
        <w:t>Table 3: Microbiological characteristics of grain raw materials</w:t>
      </w:r>
    </w:p>
    <w:tbl>
      <w:tblPr>
        <w:tblW w:w="0" w:type="auto"/>
        <w:tblLook w:val="04A0" w:firstRow="1" w:lastRow="0" w:firstColumn="1" w:lastColumn="0" w:noHBand="0" w:noVBand="1"/>
      </w:tblPr>
      <w:tblGrid>
        <w:gridCol w:w="2196"/>
        <w:gridCol w:w="2197"/>
        <w:gridCol w:w="2197"/>
        <w:gridCol w:w="2197"/>
      </w:tblGrid>
      <w:tr w:rsidR="00BE52D6">
        <w:tc>
          <w:tcPr>
            <w:tcW w:w="2197" w:type="dxa"/>
            <w:tcBorders>
              <w:top w:val="single" w:sz="12" w:space="0" w:color="008000"/>
              <w:bottom w:val="single" w:sz="6" w:space="0" w:color="008000"/>
            </w:tcBorders>
            <w:shd w:val="clear" w:color="auto" w:fill="FFFFFF"/>
          </w:tcPr>
          <w:p w:rsidR="00BE52D6" w:rsidRDefault="0026200A">
            <w:pPr>
              <w:pStyle w:val="CETBodytext"/>
            </w:pPr>
            <w:r>
              <w:t>Parameter</w:t>
            </w:r>
          </w:p>
        </w:tc>
        <w:tc>
          <w:tcPr>
            <w:tcW w:w="2197" w:type="dxa"/>
            <w:tcBorders>
              <w:top w:val="single" w:sz="12" w:space="0" w:color="008000"/>
              <w:bottom w:val="single" w:sz="6" w:space="0" w:color="008000"/>
            </w:tcBorders>
            <w:shd w:val="clear" w:color="auto" w:fill="FFFFFF"/>
          </w:tcPr>
          <w:p w:rsidR="00BE52D6" w:rsidRDefault="0026200A">
            <w:pPr>
              <w:pStyle w:val="CETBodytext"/>
            </w:pPr>
            <w:r>
              <w:t>Millet</w:t>
            </w:r>
          </w:p>
        </w:tc>
        <w:tc>
          <w:tcPr>
            <w:tcW w:w="2197" w:type="dxa"/>
            <w:tcBorders>
              <w:top w:val="single" w:sz="12" w:space="0" w:color="008000"/>
              <w:bottom w:val="single" w:sz="6" w:space="0" w:color="008000"/>
            </w:tcBorders>
            <w:shd w:val="clear" w:color="auto" w:fill="FFFFFF"/>
          </w:tcPr>
          <w:p w:rsidR="00BE52D6" w:rsidRDefault="0026200A">
            <w:pPr>
              <w:pStyle w:val="CETBodytext"/>
            </w:pPr>
            <w:r>
              <w:t>Sorghum</w:t>
            </w:r>
          </w:p>
        </w:tc>
        <w:tc>
          <w:tcPr>
            <w:tcW w:w="2197" w:type="dxa"/>
            <w:tcBorders>
              <w:top w:val="single" w:sz="12" w:space="0" w:color="008000"/>
              <w:bottom w:val="single" w:sz="6" w:space="0" w:color="008000"/>
            </w:tcBorders>
            <w:shd w:val="clear" w:color="auto" w:fill="FFFFFF"/>
          </w:tcPr>
          <w:p w:rsidR="00BE52D6" w:rsidRDefault="0026200A">
            <w:pPr>
              <w:pStyle w:val="CETBodytext"/>
            </w:pPr>
            <w:r>
              <w:t>Rice</w:t>
            </w:r>
          </w:p>
        </w:tc>
      </w:tr>
      <w:tr w:rsidR="00BE52D6">
        <w:tc>
          <w:tcPr>
            <w:tcW w:w="2197" w:type="dxa"/>
            <w:shd w:val="clear" w:color="auto" w:fill="FFFFFF"/>
          </w:tcPr>
          <w:p w:rsidR="00BE52D6" w:rsidRDefault="0026200A">
            <w:pPr>
              <w:pStyle w:val="CETBodytext"/>
            </w:pPr>
            <w:r>
              <w:t>Total viable count, CFU/g</w:t>
            </w:r>
          </w:p>
        </w:tc>
        <w:tc>
          <w:tcPr>
            <w:tcW w:w="2197" w:type="dxa"/>
            <w:shd w:val="clear" w:color="auto" w:fill="FFFFFF"/>
          </w:tcPr>
          <w:p w:rsidR="00BE52D6" w:rsidRDefault="0026200A">
            <w:pPr>
              <w:pStyle w:val="CETBodytext"/>
            </w:pPr>
            <w:r>
              <w:t>1.2 × 10²</w:t>
            </w:r>
          </w:p>
        </w:tc>
        <w:tc>
          <w:tcPr>
            <w:tcW w:w="2197" w:type="dxa"/>
            <w:shd w:val="clear" w:color="auto" w:fill="FFFFFF"/>
          </w:tcPr>
          <w:p w:rsidR="00BE52D6" w:rsidRDefault="0026200A">
            <w:pPr>
              <w:pStyle w:val="CETBodytext"/>
            </w:pPr>
            <w:r>
              <w:t>1.8 × 10²</w:t>
            </w:r>
          </w:p>
        </w:tc>
        <w:tc>
          <w:tcPr>
            <w:tcW w:w="2197" w:type="dxa"/>
            <w:shd w:val="clear" w:color="auto" w:fill="FFFFFF"/>
          </w:tcPr>
          <w:p w:rsidR="00BE52D6" w:rsidRDefault="0026200A">
            <w:pPr>
              <w:pStyle w:val="CETBodytext"/>
            </w:pPr>
            <w:r>
              <w:t>1.4 × 10³</w:t>
            </w:r>
          </w:p>
        </w:tc>
      </w:tr>
      <w:tr w:rsidR="00BE52D6">
        <w:tc>
          <w:tcPr>
            <w:tcW w:w="2197" w:type="dxa"/>
            <w:shd w:val="clear" w:color="auto" w:fill="FFFFFF"/>
          </w:tcPr>
          <w:p w:rsidR="00BE52D6" w:rsidRDefault="0026200A">
            <w:pPr>
              <w:pStyle w:val="CETBodytext"/>
            </w:pPr>
            <w:r>
              <w:t>Coliform bacteria in 1 g</w:t>
            </w:r>
          </w:p>
        </w:tc>
        <w:tc>
          <w:tcPr>
            <w:tcW w:w="2197" w:type="dxa"/>
            <w:shd w:val="clear" w:color="auto" w:fill="FFFFFF"/>
          </w:tcPr>
          <w:p w:rsidR="00BE52D6" w:rsidRDefault="0026200A">
            <w:pPr>
              <w:pStyle w:val="CETBodytext"/>
            </w:pPr>
            <w:r>
              <w:t>Not detected</w:t>
            </w:r>
          </w:p>
        </w:tc>
        <w:tc>
          <w:tcPr>
            <w:tcW w:w="2197" w:type="dxa"/>
            <w:shd w:val="clear" w:color="auto" w:fill="FFFFFF"/>
          </w:tcPr>
          <w:p w:rsidR="00BE52D6" w:rsidRDefault="0026200A">
            <w:pPr>
              <w:pStyle w:val="CETBodytext"/>
            </w:pPr>
            <w:r>
              <w:t>Not detected</w:t>
            </w:r>
          </w:p>
        </w:tc>
        <w:tc>
          <w:tcPr>
            <w:tcW w:w="2197" w:type="dxa"/>
            <w:shd w:val="clear" w:color="auto" w:fill="FFFFFF"/>
          </w:tcPr>
          <w:p w:rsidR="00BE52D6" w:rsidRDefault="0026200A">
            <w:pPr>
              <w:pStyle w:val="CETBodytext"/>
            </w:pPr>
            <w:r>
              <w:t xml:space="preserve">Not </w:t>
            </w:r>
            <w:r>
              <w:t>detected</w:t>
            </w:r>
          </w:p>
        </w:tc>
      </w:tr>
      <w:tr w:rsidR="00BE52D6">
        <w:tc>
          <w:tcPr>
            <w:tcW w:w="2197" w:type="dxa"/>
            <w:shd w:val="clear" w:color="auto" w:fill="FFFFFF"/>
          </w:tcPr>
          <w:p w:rsidR="00BE52D6" w:rsidRDefault="0026200A">
            <w:pPr>
              <w:pStyle w:val="CETBodytext"/>
            </w:pPr>
            <w:r>
              <w:t>Salmonella in 25 g</w:t>
            </w:r>
          </w:p>
        </w:tc>
        <w:tc>
          <w:tcPr>
            <w:tcW w:w="2197" w:type="dxa"/>
            <w:shd w:val="clear" w:color="auto" w:fill="FFFFFF"/>
          </w:tcPr>
          <w:p w:rsidR="00BE52D6" w:rsidRDefault="0026200A">
            <w:pPr>
              <w:pStyle w:val="CETBodytext"/>
            </w:pPr>
            <w:r>
              <w:t>Not detected</w:t>
            </w:r>
          </w:p>
        </w:tc>
        <w:tc>
          <w:tcPr>
            <w:tcW w:w="2197" w:type="dxa"/>
            <w:shd w:val="clear" w:color="auto" w:fill="FFFFFF"/>
          </w:tcPr>
          <w:p w:rsidR="00BE52D6" w:rsidRDefault="0026200A">
            <w:pPr>
              <w:pStyle w:val="CETBodytext"/>
            </w:pPr>
            <w:r>
              <w:t>Not detected</w:t>
            </w:r>
          </w:p>
        </w:tc>
        <w:tc>
          <w:tcPr>
            <w:tcW w:w="2197" w:type="dxa"/>
            <w:shd w:val="clear" w:color="auto" w:fill="FFFFFF"/>
          </w:tcPr>
          <w:p w:rsidR="00BE52D6" w:rsidRDefault="0026200A">
            <w:pPr>
              <w:pStyle w:val="CETBodytext"/>
            </w:pPr>
            <w:r>
              <w:t>Not detected</w:t>
            </w:r>
          </w:p>
        </w:tc>
      </w:tr>
      <w:tr w:rsidR="00BE52D6">
        <w:tc>
          <w:tcPr>
            <w:tcW w:w="2197" w:type="dxa"/>
            <w:shd w:val="clear" w:color="auto" w:fill="FFFFFF"/>
          </w:tcPr>
          <w:p w:rsidR="00BE52D6" w:rsidRDefault="0026200A">
            <w:pPr>
              <w:pStyle w:val="CETBodytext"/>
            </w:pPr>
            <w:r>
              <w:t>Moulds, CFU/g</w:t>
            </w:r>
          </w:p>
        </w:tc>
        <w:tc>
          <w:tcPr>
            <w:tcW w:w="2197" w:type="dxa"/>
            <w:shd w:val="clear" w:color="auto" w:fill="FFFFFF"/>
          </w:tcPr>
          <w:p w:rsidR="00BE52D6" w:rsidRDefault="0026200A">
            <w:pPr>
              <w:pStyle w:val="CETBodytext"/>
            </w:pPr>
            <w:r>
              <w:t>44</w:t>
            </w:r>
          </w:p>
        </w:tc>
        <w:tc>
          <w:tcPr>
            <w:tcW w:w="2197" w:type="dxa"/>
            <w:shd w:val="clear" w:color="auto" w:fill="FFFFFF"/>
          </w:tcPr>
          <w:p w:rsidR="00BE52D6" w:rsidRDefault="0026200A">
            <w:pPr>
              <w:pStyle w:val="CETBodytext"/>
            </w:pPr>
            <w:r>
              <w:t>48</w:t>
            </w:r>
          </w:p>
        </w:tc>
        <w:tc>
          <w:tcPr>
            <w:tcW w:w="2197" w:type="dxa"/>
            <w:shd w:val="clear" w:color="auto" w:fill="FFFFFF"/>
          </w:tcPr>
          <w:p w:rsidR="00BE52D6" w:rsidRDefault="0026200A">
            <w:pPr>
              <w:pStyle w:val="CETBodytext"/>
            </w:pPr>
            <w:r>
              <w:t>50</w:t>
            </w:r>
          </w:p>
        </w:tc>
      </w:tr>
      <w:tr w:rsidR="00BE52D6">
        <w:tc>
          <w:tcPr>
            <w:tcW w:w="2197" w:type="dxa"/>
            <w:shd w:val="clear" w:color="auto" w:fill="FFFFFF"/>
          </w:tcPr>
          <w:p w:rsidR="00BE52D6" w:rsidRDefault="0026200A">
            <w:pPr>
              <w:pStyle w:val="CETBodytext"/>
            </w:pPr>
            <w:r>
              <w:t>Yeasts, CFU/g</w:t>
            </w:r>
          </w:p>
        </w:tc>
        <w:tc>
          <w:tcPr>
            <w:tcW w:w="2197" w:type="dxa"/>
            <w:shd w:val="clear" w:color="auto" w:fill="FFFFFF"/>
          </w:tcPr>
          <w:p w:rsidR="00BE52D6" w:rsidRDefault="0026200A">
            <w:pPr>
              <w:pStyle w:val="CETBodytext"/>
            </w:pPr>
            <w:r>
              <w:t>36</w:t>
            </w:r>
          </w:p>
        </w:tc>
        <w:tc>
          <w:tcPr>
            <w:tcW w:w="2197" w:type="dxa"/>
            <w:shd w:val="clear" w:color="auto" w:fill="FFFFFF"/>
          </w:tcPr>
          <w:p w:rsidR="00BE52D6" w:rsidRDefault="0026200A">
            <w:pPr>
              <w:pStyle w:val="CETBodytext"/>
            </w:pPr>
            <w:r>
              <w:t>52</w:t>
            </w:r>
          </w:p>
        </w:tc>
        <w:tc>
          <w:tcPr>
            <w:tcW w:w="2197" w:type="dxa"/>
            <w:shd w:val="clear" w:color="auto" w:fill="FFFFFF"/>
          </w:tcPr>
          <w:p w:rsidR="00BE52D6" w:rsidRDefault="0026200A">
            <w:pPr>
              <w:pStyle w:val="CETBodytext"/>
            </w:pPr>
            <w:r>
              <w:t>39</w:t>
            </w:r>
          </w:p>
        </w:tc>
      </w:tr>
      <w:tr w:rsidR="00BE52D6">
        <w:tc>
          <w:tcPr>
            <w:tcW w:w="2197" w:type="dxa"/>
            <w:tcBorders>
              <w:bottom w:val="single" w:sz="12" w:space="0" w:color="008000"/>
            </w:tcBorders>
            <w:shd w:val="clear" w:color="auto" w:fill="FFFFFF"/>
          </w:tcPr>
          <w:p w:rsidR="00BE52D6" w:rsidRDefault="0026200A">
            <w:pPr>
              <w:pStyle w:val="CETBodytext"/>
            </w:pPr>
            <w:r>
              <w:t>Bacillus cereus in 1 g</w:t>
            </w:r>
          </w:p>
        </w:tc>
        <w:tc>
          <w:tcPr>
            <w:tcW w:w="2197" w:type="dxa"/>
            <w:tcBorders>
              <w:bottom w:val="single" w:sz="12" w:space="0" w:color="008000"/>
            </w:tcBorders>
            <w:shd w:val="clear" w:color="auto" w:fill="FFFFFF"/>
          </w:tcPr>
          <w:p w:rsidR="00BE52D6" w:rsidRDefault="0026200A">
            <w:pPr>
              <w:pStyle w:val="CETBodytext"/>
            </w:pPr>
            <w:r>
              <w:t>Not detected</w:t>
            </w:r>
          </w:p>
        </w:tc>
        <w:tc>
          <w:tcPr>
            <w:tcW w:w="2197" w:type="dxa"/>
            <w:tcBorders>
              <w:bottom w:val="single" w:sz="12" w:space="0" w:color="008000"/>
            </w:tcBorders>
            <w:shd w:val="clear" w:color="auto" w:fill="FFFFFF"/>
          </w:tcPr>
          <w:p w:rsidR="00BE52D6" w:rsidRDefault="0026200A">
            <w:pPr>
              <w:pStyle w:val="CETBodytext"/>
            </w:pPr>
            <w:r>
              <w:t>Not detected</w:t>
            </w:r>
          </w:p>
        </w:tc>
        <w:tc>
          <w:tcPr>
            <w:tcW w:w="2197" w:type="dxa"/>
            <w:tcBorders>
              <w:bottom w:val="single" w:sz="12" w:space="0" w:color="008000"/>
            </w:tcBorders>
            <w:shd w:val="clear" w:color="auto" w:fill="FFFFFF"/>
          </w:tcPr>
          <w:p w:rsidR="00BE52D6" w:rsidRDefault="0026200A">
            <w:pPr>
              <w:pStyle w:val="CETBodytext"/>
            </w:pPr>
            <w:r>
              <w:t>Not detected</w:t>
            </w:r>
          </w:p>
        </w:tc>
      </w:tr>
    </w:tbl>
    <w:p w:rsidR="00BE52D6" w:rsidRDefault="0026200A">
      <w:pPr>
        <w:pStyle w:val="CETBodytext"/>
      </w:pPr>
      <w:r>
        <w:t xml:space="preserve">The total viable count varied among the samples, with rice showing the </w:t>
      </w:r>
      <w:r>
        <w:t>highest value (1.4 × 10³ CFU/g), followed by sorghum (1.8 × 10² CFU/g) and millet (1.2 × 10² CFU/g). According to the microbiological safety requirements for grain and cereal products established by SanPiN RUz N 0366-19 (Hygienic Norms of Food Safety of th</w:t>
      </w:r>
      <w:r>
        <w:t>e Republic of Uzbekistan), the total viable count should not exceed 5 × 10³ CFU/g, coliform bacteria and Salmonella should not be detected in 1 g and 25 g of product respectively, Bacillus cereus should not exceed 1 × 10² CFU/g, and the combined count of y</w:t>
      </w:r>
      <w:r>
        <w:t xml:space="preserve">easts and moulds should not exceed 1 × 10² CFU/g. All samples complied with these limits, although the higher microbial load in rice may be associated with post-harvest </w:t>
      </w:r>
      <w:r>
        <w:lastRenderedPageBreak/>
        <w:t>handling or storage conditions and warrants closer monitoring, as elevated microbial co</w:t>
      </w:r>
      <w:r>
        <w:t>unts can affect shelf life and require stricter processing control. Coliform bacteria were not detected in any of the samples, indicating good sanitary quality and the absence of faecal contamination. Similarly, pathogenic microorganisms, including Salmone</w:t>
      </w:r>
      <w:r>
        <w:t xml:space="preserve">lla and Bacillus cereus, were not detected, supporting the microbiological safety of the analysed samples with respect to the tested indicators. The presence of moulds and yeasts was observed in all samples, with slightly higher values in sorghum and rice </w:t>
      </w:r>
      <w:r>
        <w:t>compared to millet, all remaining below the established limit. These microorganisms are commonly associated with storage conditions, particularly moisture and temperature. Although the detected levels are relatively low, they may contribute to spoilage dur</w:t>
      </w:r>
      <w:r>
        <w:t>ing prolonged storage and should be carefully monitored.</w:t>
      </w:r>
    </w:p>
    <w:p w:rsidR="00BE52D6" w:rsidRDefault="0026200A">
      <w:pPr>
        <w:pStyle w:val="CETBodytext"/>
      </w:pPr>
      <w:r>
        <w:t>Overall, the microbiological assessment confirms that all studied grain raw materials may be considered for further research and formulation development. However, differences in microbial load highli</w:t>
      </w:r>
      <w:r>
        <w:t>ght the importance of controlled storage conditions and appropriate processing technologies to ensure product stability and safety.</w:t>
      </w:r>
    </w:p>
    <w:p w:rsidR="00BE52D6" w:rsidRDefault="0026200A">
      <w:pPr>
        <w:pStyle w:val="CETBodytext"/>
      </w:pPr>
      <w:r>
        <w:t>The comparative evaluation of physicochemical parameters and vitamin composition of the selected grain raw materials is pres</w:t>
      </w:r>
      <w:r>
        <w:t>ented in Figure 1.</w:t>
      </w:r>
    </w:p>
    <w:p w:rsidR="00BE52D6" w:rsidRDefault="0026200A">
      <w:r>
        <w:rPr>
          <w:noProof/>
        </w:rPr>
        <w:drawing>
          <wp:inline distT="0" distB="0" distL="0" distR="0">
            <wp:extent cx="5760720" cy="23913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ng"/>
                    <pic:cNvPicPr/>
                  </pic:nvPicPr>
                  <pic:blipFill>
                    <a:blip r:embed="rId10"/>
                    <a:stretch>
                      <a:fillRect/>
                    </a:stretch>
                  </pic:blipFill>
                  <pic:spPr>
                    <a:xfrm>
                      <a:off x="0" y="0"/>
                      <a:ext cx="5760720" cy="2391358"/>
                    </a:xfrm>
                    <a:prstGeom prst="rect">
                      <a:avLst/>
                    </a:prstGeom>
                  </pic:spPr>
                </pic:pic>
              </a:graphicData>
            </a:graphic>
          </wp:inline>
        </w:drawing>
      </w:r>
    </w:p>
    <w:p w:rsidR="00BE52D6" w:rsidRDefault="0026200A">
      <w:pPr>
        <w:pStyle w:val="CETCaption"/>
      </w:pPr>
      <w:r>
        <w:t>Figure 1: Comparative evaluation of (a) physicochemical parameters and (b) vitamin composition of millet, sorghum, and rice</w:t>
      </w:r>
    </w:p>
    <w:p w:rsidR="00BE52D6" w:rsidRDefault="0026200A">
      <w:pPr>
        <w:pStyle w:val="CETBodytext"/>
      </w:pPr>
      <w:r>
        <w:t>The obtained data demonstrate clear differences between millet, sorghum, and rice, reflecting their technologic</w:t>
      </w:r>
      <w:r>
        <w:t>al behaviour and nutritional contribution. From a technological perspective, variations in moisture and acidity influence processing characteristics, particularly rehydration capacity and product stability. The analysed samples exhibit low moisture levels,</w:t>
      </w:r>
      <w:r>
        <w:t xml:space="preserve"> which are favourable for storage; however, differences in acidity indicate varying degrees of biochemical stability and may affect flavour and processing requirements. Differences in fat content among the samples were also observed, as they directly impac</w:t>
      </w:r>
      <w:r>
        <w:t>t both nutritional value and storage behaviour. Raw materials with higher lipid content may contribute to improved energy density but require careful handling to maintain product quality during storage. The comparative analysis of vitamin composition highl</w:t>
      </w:r>
      <w:r>
        <w:t>ights the complementary nature of the studied grains. Each raw material contributes differently to the overall nutritional profile, suggesting that their combination may enhance the functional properties of instant food products. In particular, the distrib</w:t>
      </w:r>
      <w:r>
        <w:t>ution of B-group vitamins indicates the potential for developing formulations with improved nutritional balance.</w:t>
      </w:r>
    </w:p>
    <w:p w:rsidR="00BE52D6" w:rsidRDefault="0026200A">
      <w:pPr>
        <w:pStyle w:val="CETBodytext"/>
      </w:pPr>
      <w:r>
        <w:t>Overall, the results emphasise that the selection and combination of grain raw materials should be based on both physicochemical characteristic</w:t>
      </w:r>
      <w:r>
        <w:t>s and nutritional composition in order to optimise product quality and functionality.</w:t>
      </w:r>
    </w:p>
    <w:p w:rsidR="00BE52D6" w:rsidRDefault="0026200A">
      <w:pPr>
        <w:pStyle w:val="CETHeading1"/>
      </w:pPr>
      <w:r>
        <w:t>Conclusions</w:t>
      </w:r>
    </w:p>
    <w:p w:rsidR="00BE52D6" w:rsidRDefault="0026200A">
      <w:pPr>
        <w:pStyle w:val="CETBodytext"/>
      </w:pPr>
      <w:r>
        <w:t>The present study provided a comparative assessment of locally cultivated sorghum, millet, and rice as potential grain raw materials for further use in the de</w:t>
      </w:r>
      <w:r>
        <w:t xml:space="preserve">velopment of instant dry porridges. The investigated raw materials demonstrated distinct physicochemical and nutritional characteristics, confirming that the choice of grain type may influence the quality and nutritional profile of products developed from </w:t>
      </w:r>
      <w:r>
        <w:t>them. The observed differences in moisture, ash, acidity, fat, and vitamin composition provide useful information for considering the specific properties of each grain during subsequent formulation and technological development.</w:t>
      </w:r>
    </w:p>
    <w:p w:rsidR="00BE52D6" w:rsidRDefault="0026200A">
      <w:pPr>
        <w:pStyle w:val="CETBodytext"/>
      </w:pPr>
      <w:r>
        <w:lastRenderedPageBreak/>
        <w:t>The microbiological assessm</w:t>
      </w:r>
      <w:r>
        <w:t>ent demonstrated an acceptable microbiological status of the investigated grain samples, with no detection of the main pathogenic microorganisms included in the study. These findings indicate that the analysed raw materials can be considered from the persp</w:t>
      </w:r>
      <w:r>
        <w:t>ective of their microbiological suitability for further technological research, provided that appropriate conditions for handling, processing, and storage are maintained.</w:t>
      </w:r>
    </w:p>
    <w:p w:rsidR="00BE52D6" w:rsidRDefault="0026200A">
      <w:pPr>
        <w:pStyle w:val="CETBodytext"/>
      </w:pPr>
      <w:r>
        <w:t>From a nutritional perspective, the differences in the contents of B-group vitamins a</w:t>
      </w:r>
      <w:r>
        <w:t>mong the studied grains indicate that the raw materials may offer complementary nutritional characteristics. This may be considered in future formulation studies aimed at developing products with an appropriate nutritional composition. At the same time, th</w:t>
      </w:r>
      <w:r>
        <w:t>e selection of raw materials for instant porridges should take into account not only their nutritional characteristics but also their physicochemical properties and technological behaviour.</w:t>
      </w:r>
    </w:p>
    <w:p w:rsidR="00BE52D6" w:rsidRDefault="0026200A">
      <w:pPr>
        <w:pStyle w:val="CETBodytext"/>
      </w:pPr>
      <w:r>
        <w:t>Overall, the obtained findings establish a comparative baseline fo</w:t>
      </w:r>
      <w:r>
        <w:t>r locally cultivated grain raw materials and provide a scientific basis for their further investigation in the context of instant dry porridge production. However, the present study was limited to the characterization of the raw grain materials and did not</w:t>
      </w:r>
      <w:r>
        <w:t xml:space="preserve"> include the development, processing, or evaluation of finished instant porridge formulations. Therefore, further research is required to develop and optimise formulations, establish appropriate processing conditions, and evaluate the quality, nutritional </w:t>
      </w:r>
      <w:r>
        <w:t>characteristics, microbiological safety, and storage stability of the resulting products.</w:t>
      </w:r>
    </w:p>
    <w:p w:rsidR="00BE52D6" w:rsidRDefault="0026200A">
      <w:pPr>
        <w:pStyle w:val="CETHeading1"/>
      </w:pPr>
      <w:r>
        <w:t>References</w:t>
      </w:r>
    </w:p>
    <w:p w:rsidR="00BE52D6" w:rsidRDefault="0026200A">
      <w:pPr>
        <w:pStyle w:val="CETReferencetext"/>
      </w:pPr>
      <w:r>
        <w:t>Bekmurodova S., 2025, Use of plant raw materials in the technology of instant dry food concentrates, Master’s Thesis, Tashkent Institute of Chemical Techno</w:t>
      </w:r>
      <w:r>
        <w:t>logy, Tashkent, Uzbekistan.</w:t>
      </w:r>
    </w:p>
    <w:p w:rsidR="00BE52D6" w:rsidRDefault="0026200A">
      <w:pPr>
        <w:pStyle w:val="CETReferencetext"/>
      </w:pPr>
      <w:r>
        <w:t>Bekmurodova S.K., Djakhangirova G.Z., 2024, Investigation of microbiological purity of grain raw materials for food concentrates, International Conference on Advance Research in Humanities, Sciences and Education, Berlin, German</w:t>
      </w:r>
      <w:r>
        <w:t>y, 87-90.</w:t>
      </w:r>
    </w:p>
    <w:p w:rsidR="00BE52D6" w:rsidRDefault="0026200A">
      <w:pPr>
        <w:pStyle w:val="CETReferencetext"/>
      </w:pPr>
      <w:r>
        <w:t>CODEX STAN 169-1989, Adopted 1989, Revision 1995, Codex Standard for Whole and Decorticated Pearl Millet Grains, Codex Alimentarius Commission, Rome, Italy.</w:t>
      </w:r>
    </w:p>
    <w:p w:rsidR="00BE52D6" w:rsidRDefault="0026200A">
      <w:pPr>
        <w:pStyle w:val="CETReferencetext"/>
      </w:pPr>
      <w:r>
        <w:t>CODEX STAN 172-1989, Adopted 1989, Revision 1995, Codex Standard for Sorghum Grains, Code</w:t>
      </w:r>
      <w:r>
        <w:t>x Alimentarius Commission, Rome, Italy.</w:t>
      </w:r>
    </w:p>
    <w:p w:rsidR="00BE52D6" w:rsidRDefault="0026200A">
      <w:pPr>
        <w:pStyle w:val="CETReferencetext"/>
      </w:pPr>
      <w:r>
        <w:t>CODEX STAN 198-1995, Codex Standard for Rice, Codex Alimentarius Commission, Rome, Italy.</w:t>
      </w:r>
    </w:p>
    <w:p w:rsidR="00BE52D6" w:rsidRDefault="0026200A">
      <w:pPr>
        <w:pStyle w:val="CETReferencetext"/>
      </w:pPr>
      <w:r>
        <w:t xml:space="preserve">GOST 10444.2-94, 1994, Food products. Methods for detection of coliform bacteria (Escherichia coli group), Interstate Council </w:t>
      </w:r>
      <w:r>
        <w:t>for Standardization, Metrology and Certification, Moscow, Russia (in Russian).</w:t>
      </w:r>
    </w:p>
    <w:p w:rsidR="00BE52D6" w:rsidRDefault="0026200A">
      <w:pPr>
        <w:pStyle w:val="CETReferencetext"/>
      </w:pPr>
      <w:r>
        <w:t>GOST 10444.8-2013, 2013, Food products. Method for detection of Bacillus cereus, Interstate Council for Standardization, Metrology and Certification, Moscow, Russia (in Russian)</w:t>
      </w:r>
      <w:r>
        <w:t>.</w:t>
      </w:r>
    </w:p>
    <w:p w:rsidR="00BE52D6" w:rsidRDefault="0026200A">
      <w:pPr>
        <w:pStyle w:val="CETReferencetext"/>
      </w:pPr>
      <w:r>
        <w:t>GOST 10444.12-2013, 2013, Food products. Methods for detection and enumeration of yeasts and moulds, Interstate Council for Standardization, Metrology and Certification, Moscow, Russia (in Russian).</w:t>
      </w:r>
    </w:p>
    <w:p w:rsidR="00BE52D6" w:rsidRDefault="0026200A">
      <w:pPr>
        <w:pStyle w:val="CETReferencetext"/>
      </w:pPr>
      <w:r>
        <w:t xml:space="preserve">GOST 10444.15-94, 1994, Food products. Methods for </w:t>
      </w:r>
      <w:r>
        <w:t>determination of the number of mesophilic aerobic and facultative anaerobic microorganisms, Interstate Council for Standardization, Metrology and Certification, Moscow, Russia (in Russian).</w:t>
      </w:r>
    </w:p>
    <w:p w:rsidR="00BE52D6" w:rsidRDefault="0026200A">
      <w:pPr>
        <w:pStyle w:val="CETReferencetext"/>
      </w:pPr>
      <w:r>
        <w:t>GOST 10844-74, 1974, Grain. Method for determination of acidity, S</w:t>
      </w:r>
      <w:r>
        <w:t>tandartinform, Moscow, Russia (in Russian).</w:t>
      </w:r>
    </w:p>
    <w:p w:rsidR="00BE52D6" w:rsidRDefault="0026200A">
      <w:pPr>
        <w:pStyle w:val="CETReferencetext"/>
      </w:pPr>
      <w:r>
        <w:t>GOST 10847-2019, 2019, Grain and products of its processing. Methods for determination of ash content, Standartinform, Moscow, Russia (in Russian).</w:t>
      </w:r>
    </w:p>
    <w:p w:rsidR="00BE52D6" w:rsidRDefault="0026200A">
      <w:pPr>
        <w:pStyle w:val="CETReferencetext"/>
      </w:pPr>
      <w:r>
        <w:t>GOST 13586.5-2015, 2015, Grain. Methods for determination of moi</w:t>
      </w:r>
      <w:r>
        <w:t>sture content, Standartinform, Moscow, Russia (in Russian).</w:t>
      </w:r>
    </w:p>
    <w:p w:rsidR="00BE52D6" w:rsidRDefault="0026200A">
      <w:pPr>
        <w:pStyle w:val="CETReferencetext"/>
      </w:pPr>
      <w:r>
        <w:t>GOST 29033-91, 1991, Grain and products of its processing. Method for determination of fat content, Standartinform, Moscow, Russia (in Russian).</w:t>
      </w:r>
    </w:p>
    <w:p w:rsidR="00BE52D6" w:rsidRDefault="0026200A">
      <w:pPr>
        <w:pStyle w:val="CETReferencetext"/>
      </w:pPr>
      <w:r>
        <w:t>GOST 30518-97, 1997, Food products. Methods for det</w:t>
      </w:r>
      <w:r>
        <w:t>ection and determination of the number of Salmonella, Interstate Council for Standardization, Metrology and Certification, Moscow, Russia (in Russian).</w:t>
      </w:r>
    </w:p>
    <w:p w:rsidR="00BE52D6" w:rsidRDefault="0026200A">
      <w:pPr>
        <w:pStyle w:val="CETReferencetext"/>
      </w:pPr>
      <w:r>
        <w:t>GOST 32042-2012, 2012, Grain and products of its processing. Method for determination of vitamin content</w:t>
      </w:r>
      <w:r>
        <w:t xml:space="preserve"> by high-performance liquid chromatography, Standartinform, Moscow, Russia (in Russian).</w:t>
      </w:r>
    </w:p>
    <w:p w:rsidR="00BE52D6" w:rsidRDefault="0026200A">
      <w:pPr>
        <w:pStyle w:val="CETReferencetext"/>
      </w:pPr>
      <w:r>
        <w:t>SanPiN RUz N 0366-19, 2019, Hygienic Norms of Food Safety, Ministry of Health of the Republic of Uzbekistan, Tashkent, Uzbekistan (in Russian).</w:t>
      </w:r>
    </w:p>
    <w:p w:rsidR="00BE52D6" w:rsidRDefault="0026200A">
      <w:pPr>
        <w:pStyle w:val="CETReferencetext"/>
      </w:pPr>
      <w:r>
        <w:t>Shevchenko V.A., Firsov</w:t>
      </w:r>
      <w:r>
        <w:t xml:space="preserve"> I.P., Solovyov A.M., Gasparyan I.N., 2014, Practicum on crop production technology, Lan, Saint Petersburg, Russia, 400 p.</w:t>
      </w:r>
    </w:p>
    <w:p w:rsidR="00BE52D6" w:rsidRDefault="0026200A">
      <w:pPr>
        <w:pStyle w:val="CETReferencetext"/>
      </w:pPr>
      <w:r>
        <w:t>State Register of Agricultural Crops Recommended for Sowing in the Territory of the Republic of Uzbekistan, 2023, Tashkent, Uzbekista</w:t>
      </w:r>
      <w:r>
        <w:t>n (in Russian).</w:t>
      </w:r>
    </w:p>
    <w:p w:rsidR="00BE52D6" w:rsidRDefault="0026200A">
      <w:pPr>
        <w:pStyle w:val="CETReferencetext"/>
      </w:pPr>
      <w:r>
        <w:t>VNIIZ, 2010, Methodological guidelines for the determination of vitamins in grain raw materials and food products, All-Russian Research Institute of Grain (VNIIZ), Moscow, Russia (in Russian).</w:t>
      </w:r>
    </w:p>
    <w:sectPr w:rsidR="00BE52D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00A" w:rsidRDefault="0026200A" w:rsidP="004F5E36">
      <w:r>
        <w:separator/>
      </w:r>
    </w:p>
  </w:endnote>
  <w:endnote w:type="continuationSeparator" w:id="0">
    <w:p w:rsidR="0026200A" w:rsidRDefault="0026200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00A" w:rsidRDefault="0026200A" w:rsidP="004F5E36">
      <w:r>
        <w:separator/>
      </w:r>
    </w:p>
  </w:footnote>
  <w:footnote w:type="continuationSeparator" w:id="0">
    <w:p w:rsidR="0026200A" w:rsidRDefault="0026200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200A"/>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2B81"/>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3E5E"/>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BE52D6"/>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24B40A"/>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A4D22-DACE-4CC6-B1B0-B7E2C173C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4217</Words>
  <Characters>24037</Characters>
  <Application>Microsoft Office Word</Application>
  <DocSecurity>0</DocSecurity>
  <Lines>200</Lines>
  <Paragraphs>56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Medstandart</cp:lastModifiedBy>
  <cp:revision>2</cp:revision>
  <cp:lastPrinted>2015-05-12T18:31:00Z</cp:lastPrinted>
  <dcterms:created xsi:type="dcterms:W3CDTF">2026-08-27T10:07:00Z</dcterms:created>
  <dcterms:modified xsi:type="dcterms:W3CDTF">2026-08-27T10:07:00Z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