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0650BB">
        <w:trPr>
          <w:trHeight w:val="852"/>
          <w:jc w:val="center"/>
        </w:trPr>
        <w:tc>
          <w:tcPr>
            <w:tcW w:w="6940" w:type="dxa"/>
            <w:vMerge w:val="restart"/>
            <w:tcBorders>
              <w:right w:val="single" w:sz="4" w:space="0" w:color="auto"/>
            </w:tcBorders>
          </w:tcPr>
          <w:p w14:paraId="737097F9" w14:textId="77777777" w:rsidR="00A421DF" w:rsidRDefault="00A421DF" w:rsidP="00DE264A">
            <w:pPr>
              <w:tabs>
                <w:tab w:val="left" w:pos="-108"/>
              </w:tabs>
              <w:ind w:left="-108"/>
              <w:jc w:val="left"/>
              <w:rPr>
                <w:rFonts w:ascii="AdvP6960" w:hAnsi="AdvP6960" w:cs="AdvP6960"/>
                <w:color w:val="241F20"/>
                <w:szCs w:val="18"/>
                <w:lang w:eastAsia="it-IT"/>
              </w:rPr>
            </w:pPr>
            <w:bookmarkStart w:id="0" w:name="_Hlk145068772"/>
          </w:p>
          <w:p w14:paraId="38C3D2BA" w14:textId="744AC4E6" w:rsidR="000A03B2" w:rsidRPr="00B57B36" w:rsidRDefault="000A03B2" w:rsidP="00DE264A">
            <w:pPr>
              <w:tabs>
                <w:tab w:val="left" w:pos="-108"/>
              </w:tabs>
              <w:ind w:left="-108"/>
              <w:jc w:val="left"/>
              <w:rPr>
                <w:rFonts w:cs="Arial"/>
                <w:b/>
                <w:bCs/>
                <w:i/>
                <w:iCs/>
                <w:color w:val="000066"/>
                <w:sz w:val="12"/>
                <w:szCs w:val="12"/>
                <w:lang w:eastAsia="it-IT"/>
              </w:rPr>
            </w:pPr>
            <w:r w:rsidRPr="00B57B36">
              <w:rPr>
                <w:rFonts w:ascii="AdvP6960" w:hAnsi="AdvP6960" w:cs="AdvP6960"/>
                <w:noProof/>
                <w:color w:val="241F20"/>
                <w:szCs w:val="18"/>
                <w:lang w:val="en-US"/>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en-US"/>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0650BB">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0650BB">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05EB47DA" w:rsidR="00E978D0" w:rsidRPr="00B57B36" w:rsidRDefault="000650BB" w:rsidP="000650BB">
      <w:pPr>
        <w:pStyle w:val="CETTitle"/>
      </w:pPr>
      <w:r>
        <w:t>Calculation of Flows with Detailed Surface Chemistry with a 2D Lattice-Boltzmann Method</w:t>
      </w:r>
    </w:p>
    <w:p w14:paraId="0488FED2" w14:textId="27E2EE34" w:rsidR="00B57E6F" w:rsidRPr="00DC5A5F" w:rsidRDefault="000650BB" w:rsidP="00B57E6F">
      <w:pPr>
        <w:pStyle w:val="CETAuthors"/>
        <w:rPr>
          <w:lang w:val="en-US"/>
        </w:rPr>
      </w:pPr>
      <w:r w:rsidRPr="00DC5A5F">
        <w:rPr>
          <w:lang w:val="en-US"/>
        </w:rPr>
        <w:t>Matthias Hettel</w:t>
      </w:r>
      <w:r w:rsidRPr="00DC5A5F">
        <w:rPr>
          <w:vertAlign w:val="superscript"/>
          <w:lang w:val="en-US"/>
        </w:rPr>
        <w:t>a,</w:t>
      </w:r>
      <w:r w:rsidRPr="00DC5A5F">
        <w:rPr>
          <w:lang w:val="en-US"/>
        </w:rPr>
        <w:t>*, Eric A. Daymo</w:t>
      </w:r>
      <w:r w:rsidRPr="00DC5A5F">
        <w:rPr>
          <w:vertAlign w:val="superscript"/>
          <w:lang w:val="en-US"/>
        </w:rPr>
        <w:t>b</w:t>
      </w:r>
      <w:r w:rsidRPr="00DC5A5F">
        <w:rPr>
          <w:lang w:val="en-US"/>
        </w:rPr>
        <w:t xml:space="preserve">, </w:t>
      </w:r>
      <w:r w:rsidR="00DC5A5F" w:rsidRPr="00DC5A5F">
        <w:rPr>
          <w:lang w:val="en-US"/>
        </w:rPr>
        <w:t>Nilesh Sawant</w:t>
      </w:r>
      <w:r w:rsidR="00DC5A5F" w:rsidRPr="00DC5A5F">
        <w:rPr>
          <w:vertAlign w:val="superscript"/>
          <w:lang w:val="en-US"/>
        </w:rPr>
        <w:t>c</w:t>
      </w:r>
      <w:r w:rsidR="00DC5A5F" w:rsidRPr="00DC5A5F">
        <w:rPr>
          <w:lang w:val="en-US"/>
        </w:rPr>
        <w:t xml:space="preserve">, </w:t>
      </w:r>
      <w:r w:rsidRPr="00DC5A5F">
        <w:rPr>
          <w:lang w:val="en-US"/>
        </w:rPr>
        <w:t>Olaf Deutschmann</w:t>
      </w:r>
      <w:r w:rsidRPr="00DC5A5F">
        <w:rPr>
          <w:vertAlign w:val="superscript"/>
          <w:lang w:val="en-US"/>
        </w:rPr>
        <w:t>a</w:t>
      </w:r>
    </w:p>
    <w:p w14:paraId="16F5FCE2" w14:textId="0C40C9E0" w:rsidR="00DC5A5F" w:rsidRDefault="00B57E6F" w:rsidP="00B57E6F">
      <w:pPr>
        <w:pStyle w:val="CETAddress"/>
      </w:pPr>
      <w:r w:rsidRPr="00B57B36">
        <w:rPr>
          <w:vertAlign w:val="superscript"/>
        </w:rPr>
        <w:t>a</w:t>
      </w:r>
      <w:r w:rsidR="000650BB" w:rsidRPr="000650BB">
        <w:t>Institute for Chemical Technology and Polymer Chemistry</w:t>
      </w:r>
      <w:r w:rsidR="00DC5A5F">
        <w:t xml:space="preserve"> (ITCP)</w:t>
      </w:r>
      <w:r w:rsidR="000650BB" w:rsidRPr="000650BB">
        <w:t xml:space="preserve">, </w:t>
      </w:r>
    </w:p>
    <w:p w14:paraId="6B2D21B3" w14:textId="7939F92F" w:rsidR="00B57E6F" w:rsidRPr="00DC5A5F" w:rsidRDefault="00DC5A5F" w:rsidP="00DC5A5F">
      <w:pPr>
        <w:pStyle w:val="CETAddress"/>
        <w:rPr>
          <w:lang w:val="de-DE"/>
        </w:rPr>
      </w:pPr>
      <w:r w:rsidRPr="00DC5A5F">
        <w:rPr>
          <w:lang w:val="en-US"/>
        </w:rPr>
        <w:t xml:space="preserve"> </w:t>
      </w:r>
      <w:r w:rsidR="000650BB" w:rsidRPr="00DC5A5F">
        <w:rPr>
          <w:lang w:val="de-DE"/>
        </w:rPr>
        <w:t xml:space="preserve">Karlsruhe Institute of Technology (KIT), Engesserstraße 20, </w:t>
      </w:r>
      <w:r w:rsidRPr="00DC5A5F">
        <w:rPr>
          <w:lang w:val="de-DE"/>
        </w:rPr>
        <w:t xml:space="preserve"> </w:t>
      </w:r>
      <w:r w:rsidR="000650BB" w:rsidRPr="00DC5A5F">
        <w:rPr>
          <w:lang w:val="de-DE"/>
        </w:rPr>
        <w:t xml:space="preserve">76131 Karlsruhe, Germany </w:t>
      </w:r>
    </w:p>
    <w:p w14:paraId="3D72B0B0" w14:textId="557E3FD5" w:rsidR="00B57E6F" w:rsidRDefault="00B57E6F" w:rsidP="00B57E6F">
      <w:pPr>
        <w:pStyle w:val="CETAddress"/>
      </w:pPr>
      <w:r w:rsidRPr="00B57B36">
        <w:rPr>
          <w:vertAlign w:val="superscript"/>
        </w:rPr>
        <w:t>b</w:t>
      </w:r>
      <w:r w:rsidR="000650BB" w:rsidRPr="000650BB">
        <w:t>Tonkomo, LLC, Gilbert, Arizona, 85297 United States</w:t>
      </w:r>
      <w:r w:rsidRPr="00B57B36">
        <w:t xml:space="preserve"> </w:t>
      </w:r>
    </w:p>
    <w:p w14:paraId="6763A046" w14:textId="0A5226D7" w:rsidR="00DC5A5F" w:rsidRPr="00B57B36" w:rsidRDefault="00DC5A5F" w:rsidP="00B57E6F">
      <w:pPr>
        <w:pStyle w:val="CETAddress"/>
      </w:pPr>
      <w:r>
        <w:rPr>
          <w:vertAlign w:val="superscript"/>
        </w:rPr>
        <w:t>c</w:t>
      </w:r>
      <w:r>
        <w:t>ETH Zü</w:t>
      </w:r>
      <w:r w:rsidRPr="00DC5A5F">
        <w:t>rich, Department of Mechan</w:t>
      </w:r>
      <w:r>
        <w:t>ical and Process Engineering, Zü</w:t>
      </w:r>
      <w:r w:rsidRPr="00DC5A5F">
        <w:t>rich 8092, Switzerland</w:t>
      </w:r>
    </w:p>
    <w:p w14:paraId="2C974867" w14:textId="7A384ED8" w:rsidR="007B12DB" w:rsidRDefault="0048523C" w:rsidP="0028624D">
      <w:pPr>
        <w:pStyle w:val="CETemail"/>
      </w:pPr>
      <w:r>
        <w:rPr>
          <w:vertAlign w:val="superscript"/>
        </w:rPr>
        <w:t>*</w:t>
      </w:r>
      <w:r w:rsidR="000650BB">
        <w:t>matthias.hettel@kit.edu</w:t>
      </w:r>
      <w:bookmarkStart w:id="1" w:name="_Hlk495475023"/>
    </w:p>
    <w:p w14:paraId="40663836" w14:textId="31ABFCEC" w:rsidR="00034B28" w:rsidRDefault="002479D7" w:rsidP="00A8010C">
      <w:pPr>
        <w:pStyle w:val="CETBodytext"/>
      </w:pPr>
      <w:r w:rsidRPr="00896682">
        <w:t>The Lattice-</w:t>
      </w:r>
      <w:r w:rsidR="00573F98" w:rsidRPr="00896682">
        <w:t>Boltzmann</w:t>
      </w:r>
      <w:r w:rsidRPr="00896682">
        <w:t xml:space="preserve"> Method (LBM) is a numerical discretization scheme f</w:t>
      </w:r>
      <w:r w:rsidR="0028624D">
        <w:t xml:space="preserve">or the Navier-Stokes equations. </w:t>
      </w:r>
      <w:r w:rsidR="00573F98">
        <w:t xml:space="preserve">The objective </w:t>
      </w:r>
      <w:r w:rsidRPr="00896682">
        <w:t xml:space="preserve">of </w:t>
      </w:r>
      <w:r w:rsidR="00573F98" w:rsidRPr="00896682">
        <w:t>th</w:t>
      </w:r>
      <w:r w:rsidR="00573F98">
        <w:t>is</w:t>
      </w:r>
      <w:r w:rsidR="00573F98" w:rsidRPr="00896682">
        <w:t xml:space="preserve"> </w:t>
      </w:r>
      <w:r w:rsidRPr="00896682">
        <w:t>work was to investigate the capability of the LBM method for m</w:t>
      </w:r>
      <w:r w:rsidR="004517E0">
        <w:t xml:space="preserve">odelling of flows with detailed </w:t>
      </w:r>
      <w:r w:rsidR="006A7F74">
        <w:t>catalytic surface chemistry</w:t>
      </w:r>
      <w:r w:rsidR="005E114A">
        <w:t xml:space="preserve"> using</w:t>
      </w:r>
      <w:r w:rsidR="006A7F74">
        <w:t xml:space="preserve"> </w:t>
      </w:r>
      <w:r w:rsidR="005E114A">
        <w:t xml:space="preserve">the </w:t>
      </w:r>
      <w:r w:rsidRPr="00896682">
        <w:t>D</w:t>
      </w:r>
      <w:r w:rsidR="0028624D">
        <w:t>2Q9</w:t>
      </w:r>
      <w:r w:rsidRPr="00896682">
        <w:t xml:space="preserve"> </w:t>
      </w:r>
      <w:r w:rsidR="0028624D">
        <w:t xml:space="preserve">LBM code MATRICS. </w:t>
      </w:r>
      <w:r w:rsidR="00034B28">
        <w:t>Mode</w:t>
      </w:r>
      <w:r w:rsidR="001735A3">
        <w:t>lling was done for a</w:t>
      </w:r>
      <w:r w:rsidR="00034B28">
        <w:t xml:space="preserve"> system where the </w:t>
      </w:r>
      <w:r w:rsidR="00034B28" w:rsidRPr="00896682">
        <w:t>conversion of formaldehyde</w:t>
      </w:r>
      <w:r w:rsidR="00034B28">
        <w:t xml:space="preserve"> </w:t>
      </w:r>
      <w:r w:rsidR="00573F98">
        <w:t xml:space="preserve">occurs on </w:t>
      </w:r>
      <w:r w:rsidR="00034B28">
        <w:t xml:space="preserve">a catalytic plate (length </w:t>
      </w:r>
      <w:r w:rsidR="00FC244E">
        <w:t>1</w:t>
      </w:r>
      <w:r w:rsidR="00034B28">
        <w:t xml:space="preserve">8 mm) </w:t>
      </w:r>
      <w:r w:rsidR="00573F98">
        <w:t xml:space="preserve">that also serves as the </w:t>
      </w:r>
      <w:r w:rsidR="00034B28">
        <w:t xml:space="preserve">bottom wall of a </w:t>
      </w:r>
      <w:r w:rsidR="00573F98">
        <w:t xml:space="preserve">rectangular </w:t>
      </w:r>
      <w:r w:rsidR="00034B28">
        <w:t>channel (height 2 mm)</w:t>
      </w:r>
      <w:r w:rsidR="00573F98">
        <w:t xml:space="preserve">. The catalytic active area was a porous layer with thickness of 80 </w:t>
      </w:r>
      <w:r w:rsidR="00573F98">
        <w:sym w:font="Symbol" w:char="F06D"/>
      </w:r>
      <w:r w:rsidR="00573F98">
        <w:t xml:space="preserve">m where small particles of </w:t>
      </w:r>
      <w:r w:rsidR="005E114A">
        <w:t>Pt</w:t>
      </w:r>
      <w:r w:rsidR="00573F98">
        <w:t xml:space="preserve"> were distributed</w:t>
      </w:r>
      <w:r w:rsidR="005E114A">
        <w:t>. E</w:t>
      </w:r>
      <w:r w:rsidR="00573F98">
        <w:t xml:space="preserve">xperimental data were collected using </w:t>
      </w:r>
      <w:r w:rsidR="00034B28" w:rsidRPr="00E8661E">
        <w:t>Pl</w:t>
      </w:r>
      <w:r w:rsidR="00034B28">
        <w:t xml:space="preserve">anar Laser-Induced Fluorescence. </w:t>
      </w:r>
      <w:r w:rsidR="00573F98">
        <w:t>A</w:t>
      </w:r>
      <w:r w:rsidR="00034B28">
        <w:t xml:space="preserve"> comparison </w:t>
      </w:r>
      <w:r w:rsidR="00573F98">
        <w:t xml:space="preserve">was made </w:t>
      </w:r>
      <w:r w:rsidR="00034B28">
        <w:t>between experimental data and calculations with</w:t>
      </w:r>
      <w:r w:rsidR="0028624D">
        <w:t xml:space="preserve"> Finite-Volume-</w:t>
      </w:r>
      <w:r w:rsidR="00FC244E">
        <w:t>Method</w:t>
      </w:r>
      <w:r w:rsidR="0028624D">
        <w:t xml:space="preserve"> </w:t>
      </w:r>
      <w:r w:rsidR="00FC244E">
        <w:t xml:space="preserve">(FVM) </w:t>
      </w:r>
      <w:r w:rsidR="0028624D">
        <w:t xml:space="preserve">and LBM. </w:t>
      </w:r>
      <w:r w:rsidR="005E114A">
        <w:t>For both</w:t>
      </w:r>
      <w:r w:rsidR="0028624D">
        <w:t xml:space="preserve"> LBM </w:t>
      </w:r>
      <w:r w:rsidR="005E114A">
        <w:t xml:space="preserve">and FVM, </w:t>
      </w:r>
      <w:r w:rsidR="00573F98">
        <w:t>reactions inside</w:t>
      </w:r>
      <w:r w:rsidR="0028624D">
        <w:t xml:space="preserve"> </w:t>
      </w:r>
      <w:r w:rsidR="00573F98">
        <w:t>washcoat</w:t>
      </w:r>
      <w:r w:rsidR="0028624D">
        <w:t xml:space="preserve"> can be modeled using a common strategy based on </w:t>
      </w:r>
      <w:r w:rsidR="005E114A">
        <w:t>the</w:t>
      </w:r>
      <w:r w:rsidR="00573F98">
        <w:t xml:space="preserve"> </w:t>
      </w:r>
      <w:r w:rsidR="001C4F44">
        <w:t>mean-field approximation</w:t>
      </w:r>
      <w:r w:rsidR="0058186D">
        <w:t xml:space="preserve"> and a factor for the catalytic-to-geometric surface are</w:t>
      </w:r>
      <w:r w:rsidR="00FC244E">
        <w:t>a</w:t>
      </w:r>
      <w:r w:rsidR="0058186D">
        <w:t xml:space="preserve"> </w:t>
      </w:r>
      <w:r w:rsidR="002C09D9">
        <w:t>ratio</w:t>
      </w:r>
      <w:r w:rsidR="004B7648">
        <w:t xml:space="preserve">. </w:t>
      </w:r>
      <w:r w:rsidR="005E114A">
        <w:t>For</w:t>
      </w:r>
      <w:r w:rsidR="004B7648">
        <w:t xml:space="preserve"> LBM, the washcoat </w:t>
      </w:r>
      <w:r w:rsidR="00BB7A06">
        <w:t>is additionally</w:t>
      </w:r>
      <w:r w:rsidR="0028624D">
        <w:t xml:space="preserve"> </w:t>
      </w:r>
      <w:r w:rsidR="00FC244E">
        <w:t>cons</w:t>
      </w:r>
      <w:r w:rsidR="00BB7A06">
        <w:t>idered</w:t>
      </w:r>
      <w:r w:rsidR="0028624D">
        <w:t xml:space="preserve"> by a virtual porous geometry which is discretized with a high resolution numerical grid. </w:t>
      </w:r>
      <w:r w:rsidR="00F040E0">
        <w:t xml:space="preserve">The results achieved with both approches differ only slightly. </w:t>
      </w:r>
    </w:p>
    <w:p w14:paraId="11AFB096" w14:textId="5558550E" w:rsidR="005E1EF2" w:rsidRDefault="001848E7" w:rsidP="001848E7">
      <w:pPr>
        <w:pStyle w:val="CETHeading1"/>
      </w:pPr>
      <w:r>
        <w:t>Introduction</w:t>
      </w:r>
      <w:r>
        <w:tab/>
      </w:r>
    </w:p>
    <w:p w14:paraId="73E09BF4" w14:textId="32D3145A" w:rsidR="007D01FA" w:rsidRDefault="007D01FA" w:rsidP="009C7CF7">
      <w:pPr>
        <w:pStyle w:val="CETBodytext"/>
      </w:pPr>
      <w:r w:rsidRPr="00E8661E">
        <w:t xml:space="preserve">Lattice Boltzmann methods can be interpreted as discrete solution procedures </w:t>
      </w:r>
      <w:r w:rsidR="000D04CA">
        <w:t>for</w:t>
      </w:r>
      <w:r w:rsidR="006A7F74">
        <w:t xml:space="preserve"> </w:t>
      </w:r>
      <w:r w:rsidRPr="00E8661E">
        <w:t>the Boltzmann equation or its approximation</w:t>
      </w:r>
      <w:r w:rsidR="006A7F74">
        <w:t>s</w:t>
      </w:r>
      <w:r w:rsidRPr="00E8661E">
        <w:t xml:space="preserve">. It can be shown that the </w:t>
      </w:r>
      <w:r w:rsidRPr="00E8661E">
        <w:rPr>
          <w:i/>
        </w:rPr>
        <w:t>standard</w:t>
      </w:r>
      <w:r w:rsidRPr="00E8661E">
        <w:t xml:space="preserve"> LBM is a second-order accurate </w:t>
      </w:r>
      <w:r w:rsidR="000D04CA">
        <w:t xml:space="preserve">solution to </w:t>
      </w:r>
      <w:r w:rsidRPr="00E8661E">
        <w:t xml:space="preserve">the </w:t>
      </w:r>
      <w:r w:rsidR="006A7F74">
        <w:t>Navier-Stokes equations</w:t>
      </w:r>
      <w:r w:rsidRPr="00E8661E">
        <w:t xml:space="preserve"> </w:t>
      </w:r>
      <w:r w:rsidRPr="00E8661E">
        <w:fldChar w:fldCharType="begin"/>
      </w:r>
      <w:r w:rsidR="00B20979">
        <w:instrText xml:space="preserve"> ADDIN EN.CITE &lt;EndNote&gt;&lt;Cite&gt;&lt;Author&gt;Krüger&lt;/Author&gt;&lt;Year&gt;2017&lt;/Year&gt;&lt;RecNum&gt;193&lt;/RecNum&gt;&lt;DisplayText&gt;(Krüger et al., 2017)&lt;/DisplayText&gt;&lt;record&gt;&lt;rec-number&gt;193&lt;/rec-number&gt;&lt;foreign-keys&gt;&lt;key app="EN" db-id="ezaprsx2la0xeqeazd9x9xxgasx0fzfwfxvf" timestamp="1721294437"&gt;193&lt;/key&gt;&lt;/foreign-keys&gt;&lt;ref-type name="Book"&gt;6&lt;/ref-type&gt;&lt;contributors&gt;&lt;authors&gt;&lt;author&gt;Krüger, Timm Kusumaatmaja, Halim Kuzmin, Alexandr Shardt, Orest &lt;/author&gt;&lt;author&gt;Silva, Goncalo &lt;/author&gt;&lt;author&gt;Viggen, Erlend Magnus&lt;/author&gt;&lt;/authors&gt;&lt;/contributors&gt;&lt;titles&gt;&lt;title&gt;The Lattice Boltzmann Method Principles and Practice&lt;/title&gt;&lt;/titles&gt;&lt;edition&gt;1st 2017.&lt;/edition&gt;&lt;dates&gt;&lt;year&gt;2017&lt;/year&gt;&lt;/dates&gt;&lt;isbn&gt;9783319446493&lt;/isbn&gt;&lt;urls&gt;&lt;related-urls&gt;&lt;url&gt;http://lib.ugent.be/catalog/ebk01:3710000000981039&lt;/url&gt;&lt;/related-urls&gt;&lt;/urls&gt;&lt;electronic-resource-num&gt;https://doi.org/10.1007/978-3-319-44649-3&lt;/electronic-resource-num&gt;&lt;language&gt;eng&lt;/language&gt;&lt;/record&gt;&lt;/Cite&gt;&lt;/EndNote&gt;</w:instrText>
      </w:r>
      <w:r w:rsidRPr="00E8661E">
        <w:fldChar w:fldCharType="separate"/>
      </w:r>
      <w:r w:rsidR="00B20979">
        <w:rPr>
          <w:noProof/>
        </w:rPr>
        <w:t>(Krüger et al., 2017)</w:t>
      </w:r>
      <w:r w:rsidRPr="00E8661E">
        <w:fldChar w:fldCharType="end"/>
      </w:r>
      <w:r w:rsidR="00493553">
        <w:t xml:space="preserve">. </w:t>
      </w:r>
      <w:r w:rsidR="00EC2D30">
        <w:t xml:space="preserve">Although the </w:t>
      </w:r>
      <w:r w:rsidR="00C009D4">
        <w:t xml:space="preserve">application of </w:t>
      </w:r>
      <w:r w:rsidRPr="00E8661E">
        <w:t xml:space="preserve">LBM </w:t>
      </w:r>
      <w:r w:rsidR="001B382D">
        <w:t>is advancing rapidl</w:t>
      </w:r>
      <w:r w:rsidR="00EC2D30">
        <w:t xml:space="preserve">y, </w:t>
      </w:r>
      <w:r w:rsidR="001B382D" w:rsidRPr="001B382D">
        <w:rPr>
          <w:lang w:val="en-GB"/>
        </w:rPr>
        <w:t>the simulation of flows coupled with detailed heterogeneous surface chemistry at fluid</w:t>
      </w:r>
      <w:r w:rsidR="001B382D">
        <w:rPr>
          <w:lang w:val="en-GB"/>
        </w:rPr>
        <w:t>-</w:t>
      </w:r>
      <w:r w:rsidR="001B382D" w:rsidRPr="001B382D">
        <w:rPr>
          <w:lang w:val="en-GB"/>
        </w:rPr>
        <w:t>solid interfaces</w:t>
      </w:r>
      <w:r w:rsidR="00EC2D30">
        <w:rPr>
          <w:lang w:val="en-GB"/>
        </w:rPr>
        <w:t xml:space="preserve"> is not fully explored.</w:t>
      </w:r>
    </w:p>
    <w:p w14:paraId="7983B93D" w14:textId="394CDD9E" w:rsidR="00DB3C32" w:rsidRDefault="002526A0" w:rsidP="009C7CF7">
      <w:pPr>
        <w:pStyle w:val="CETBodytext"/>
        <w:rPr>
          <w:rFonts w:eastAsiaTheme="minorHAnsi"/>
          <w:lang w:val="en-GB"/>
        </w:rPr>
      </w:pPr>
      <w:r w:rsidRPr="002526A0">
        <w:t xml:space="preserve">Khang </w:t>
      </w:r>
      <w:r w:rsidRPr="002526A0">
        <w:fldChar w:fldCharType="begin"/>
      </w:r>
      <w:r w:rsidR="00B20979">
        <w:instrText xml:space="preserve"> ADDIN EN.CITE &lt;EndNote&gt;&lt;Cite&gt;&lt;Author&gt;Kang&lt;/Author&gt;&lt;Year&gt;2014&lt;/Year&gt;&lt;RecNum&gt;221&lt;/RecNum&gt;&lt;DisplayText&gt;(Kang et al., 2014)&lt;/DisplayText&gt;&lt;record&gt;&lt;rec-number&gt;221&lt;/rec-number&gt;&lt;foreign-keys&gt;&lt;key app="EN" db-id="ezaprsx2la0xeqeazd9x9xxgasx0fzfwfxvf" timestamp="1753092908"&gt;221&lt;/key&gt;&lt;/foreign-keys&gt;&lt;ref-type name="Journal Article"&gt;17&lt;/ref-type&gt;&lt;contributors&gt;&lt;authors&gt;&lt;author&gt;Kang, Jinfen&lt;/author&gt;&lt;author&gt;Prasianakis, Nikolaos I.&lt;/author&gt;&lt;author&gt;Mantzaras, John&lt;/author&gt;&lt;/authors&gt;&lt;/contributors&gt;&lt;titles&gt;&lt;title&gt;Thermal multicomponent lattice Boltzmann model for catalytic reactive flows&lt;/title&gt;&lt;secondary-title&gt;Physical Review E&lt;/secondary-title&gt;&lt;/titles&gt;&lt;periodical&gt;&lt;full-title&gt;Physical Review E&lt;/full-title&gt;&lt;/periodical&gt;&lt;pages&gt;063310&lt;/pages&gt;&lt;volume&gt;89&lt;/volume&gt;&lt;number&gt;6&lt;/number&gt;&lt;dates&gt;&lt;year&gt;2014&lt;/year&gt;&lt;pub-dates&gt;&lt;date&gt;06/30/&lt;/date&gt;&lt;/pub-dates&gt;&lt;/dates&gt;&lt;publisher&gt;American Physical Society&lt;/publisher&gt;&lt;urls&gt;&lt;related-urls&gt;&lt;url&gt;https://link.aps.org/doi/10.1103/PhysRevE.89.063310&lt;/url&gt;&lt;/related-urls&gt;&lt;/urls&gt;&lt;electronic-resource-num&gt;https://doi.org/10.1103/PhysRevE.89.063310&lt;/electronic-resource-num&gt;&lt;/record&gt;&lt;/Cite&gt;&lt;/EndNote&gt;</w:instrText>
      </w:r>
      <w:r w:rsidRPr="002526A0">
        <w:fldChar w:fldCharType="separate"/>
      </w:r>
      <w:r w:rsidR="00B20979">
        <w:rPr>
          <w:noProof/>
        </w:rPr>
        <w:t>(Kang et al., 2014)</w:t>
      </w:r>
      <w:r w:rsidRPr="002526A0">
        <w:fldChar w:fldCharType="end"/>
      </w:r>
      <w:r w:rsidRPr="002526A0">
        <w:t xml:space="preserve"> developed a multi-component thermal model for catalytic systems. </w:t>
      </w:r>
      <w:r w:rsidR="002A1E6B">
        <w:t>However, f</w:t>
      </w:r>
      <w:r w:rsidRPr="002526A0">
        <w:t>or every specie</w:t>
      </w:r>
      <w:r w:rsidR="00D26E41">
        <w:t>,</w:t>
      </w:r>
      <w:r w:rsidRPr="002526A0">
        <w:t xml:space="preserve"> </w:t>
      </w:r>
      <w:r w:rsidR="002A1E6B">
        <w:t xml:space="preserve">interpolation to a </w:t>
      </w:r>
      <w:r w:rsidR="00495C93">
        <w:t>joint</w:t>
      </w:r>
      <w:r w:rsidRPr="002526A0">
        <w:t xml:space="preserve"> grid is needed. </w:t>
      </w:r>
      <w:r w:rsidR="009D514B">
        <w:t xml:space="preserve">Nonetheless, their </w:t>
      </w:r>
      <w:r w:rsidRPr="002526A0">
        <w:t>D2Q9 calculations of a channel with reactive walls for a one-step global reaction show</w:t>
      </w:r>
      <w:r w:rsidR="009D514B">
        <w:t>ed</w:t>
      </w:r>
      <w:r w:rsidRPr="002526A0">
        <w:t xml:space="preserve"> good agreement wi</w:t>
      </w:r>
      <w:r w:rsidR="00FC244E">
        <w:t>th results from a Finite-Volume-</w:t>
      </w:r>
      <w:r w:rsidRPr="002526A0">
        <w:t xml:space="preserve">Method (FVM) solver. </w:t>
      </w:r>
      <w:r w:rsidR="00495C93">
        <w:t>3D</w:t>
      </w:r>
      <w:r w:rsidRPr="002526A0">
        <w:t xml:space="preserve"> </w:t>
      </w:r>
      <w:r w:rsidR="00495C93">
        <w:t>LBM</w:t>
      </w:r>
      <w:r w:rsidRPr="002526A0">
        <w:t xml:space="preserve"> </w:t>
      </w:r>
      <w:r w:rsidR="00495C93" w:rsidRPr="002526A0">
        <w:t>simulations</w:t>
      </w:r>
      <w:r w:rsidR="00495C93">
        <w:t xml:space="preserve"> </w:t>
      </w:r>
      <w:r w:rsidR="00495C93" w:rsidRPr="002526A0">
        <w:t xml:space="preserve">were carried out </w:t>
      </w:r>
      <w:r w:rsidR="00D26E41">
        <w:t xml:space="preserve">by </w:t>
      </w:r>
      <w:r w:rsidRPr="002526A0">
        <w:t xml:space="preserve">Khatoonabadi </w:t>
      </w:r>
      <w:r w:rsidRPr="002526A0">
        <w:fldChar w:fldCharType="begin"/>
      </w:r>
      <w:r w:rsidR="00B20979">
        <w:instrText xml:space="preserve"> ADDIN EN.CITE &lt;EndNote&gt;&lt;Cite&gt;&lt;Author&gt;Khatoonabadi&lt;/Author&gt;&lt;Year&gt;2024&lt;/Year&gt;&lt;RecNum&gt;232&lt;/RecNum&gt;&lt;DisplayText&gt;(Khatoonabadi et al., 2024)&lt;/DisplayText&gt;&lt;record&gt;&lt;rec-number&gt;232&lt;/rec-number&gt;&lt;foreign-keys&gt;&lt;key app="EN" db-id="ezaprsx2la0xeqeazd9x9xxgasx0fzfwfxvf" timestamp="1753093055"&gt;232&lt;/key&gt;&lt;/foreign-keys&gt;&lt;ref-type name="Journal Article"&gt;17&lt;/ref-type&gt;&lt;contributors&gt;&lt;authors&gt;&lt;author&gt;Khatoonabadi, Meysam&lt;/author&gt;&lt;author&gt;Prasianakis, Nikolaos I.&lt;/author&gt;&lt;author&gt;Mantzaras, John&lt;/author&gt;&lt;/authors&gt;&lt;/contributors&gt;&lt;titles&gt;&lt;title&gt;A pore-level 3D lattice Boltzmann simulation of mass transport and reaction in catalytic particles used for methane synthesis&lt;/title&gt;&lt;secondary-title&gt;International Journal of Heat and Mass Transfer&lt;/secondary-title&gt;&lt;/titles&gt;&lt;periodical&gt;&lt;full-title&gt;International Journal of Heat and Mass Transfer&lt;/full-title&gt;&lt;/periodical&gt;&lt;pages&gt;125025&lt;/pages&gt;&lt;volume&gt;221&lt;/volume&gt;&lt;keywords&gt;&lt;keyword&gt;3D lattice Boltzmann simulation&lt;/keyword&gt;&lt;keyword&gt;Mass transport inside catalytic porous particles&lt;/keyword&gt;&lt;keyword&gt;X-ray synchrotron tomography&lt;/keyword&gt;&lt;keyword&gt;CO methanation catalytic reaction&lt;/keyword&gt;&lt;keyword&gt;Preferential hydrogen diffusion&lt;/keyword&gt;&lt;keyword&gt;Fluidized bed&lt;/keyword&gt;&lt;/keywords&gt;&lt;dates&gt;&lt;year&gt;2024&lt;/year&gt;&lt;pub-dates&gt;&lt;date&gt;2024/04/01/&lt;/date&gt;&lt;/pub-dates&gt;&lt;/dates&gt;&lt;isbn&gt;0017-9310&lt;/isbn&gt;&lt;urls&gt;&lt;related-urls&gt;&lt;url&gt;https://www.sciencedirect.com/science/article/pii/S0017931023011705&lt;/url&gt;&lt;/related-urls&gt;&lt;/urls&gt;&lt;electronic-resource-num&gt;https://doi.org/10.1016/j.ijheatmasstransfer.2023.125025&lt;/electronic-resource-num&gt;&lt;/record&gt;&lt;/Cite&gt;&lt;/EndNote&gt;</w:instrText>
      </w:r>
      <w:r w:rsidRPr="002526A0">
        <w:fldChar w:fldCharType="separate"/>
      </w:r>
      <w:r w:rsidR="00B20979">
        <w:rPr>
          <w:noProof/>
        </w:rPr>
        <w:t>(Khatoonabadi et al., 2024)</w:t>
      </w:r>
      <w:r w:rsidRPr="002526A0">
        <w:fldChar w:fldCharType="end"/>
      </w:r>
      <w:r w:rsidRPr="002526A0">
        <w:t xml:space="preserve"> to investigate the mass transport and reaction inside and around catalytic porous particles used in fluidized beds for the </w:t>
      </w:r>
      <w:r w:rsidR="007D11EB">
        <w:t xml:space="preserve">one-step </w:t>
      </w:r>
      <w:r w:rsidRPr="002526A0">
        <w:t xml:space="preserve">synthesis of methane from biogas, based on a one-step reaction. The 3D internal porous structure of a real </w:t>
      </w:r>
      <w:r w:rsidR="00DB3C32" w:rsidRPr="002526A0">
        <w:rPr>
          <w:rFonts w:ascii="Cambria Math" w:hAnsi="Cambria Math" w:cs="Cambria Math"/>
        </w:rPr>
        <w:t>∼</w:t>
      </w:r>
      <w:r w:rsidR="00DB3C32" w:rsidRPr="002526A0">
        <w:t xml:space="preserve">200 μm </w:t>
      </w:r>
      <w:r w:rsidRPr="002526A0">
        <w:t>particle was available. Pore-resolved calculations reveal</w:t>
      </w:r>
      <w:r w:rsidR="00194E74">
        <w:t>ed</w:t>
      </w:r>
      <w:r w:rsidRPr="002526A0">
        <w:t xml:space="preserve"> the influence of different diffusion coefficients for</w:t>
      </w:r>
      <w:r w:rsidR="00DB3C32">
        <w:t xml:space="preserve"> each </w:t>
      </w:r>
      <w:r w:rsidRPr="002526A0">
        <w:t xml:space="preserve">specie on the overall conversion. The </w:t>
      </w:r>
      <w:r w:rsidR="00495C93">
        <w:t xml:space="preserve">3D </w:t>
      </w:r>
      <w:r w:rsidRPr="002526A0">
        <w:t xml:space="preserve">modeling of flow and catalytic reaction in resolved washcoats can be found in the paper by Belot </w:t>
      </w:r>
      <w:r w:rsidRPr="002526A0">
        <w:fldChar w:fldCharType="begin"/>
      </w:r>
      <w:r w:rsidR="00B20979">
        <w:instrText xml:space="preserve"> ADDIN EN.CITE &lt;EndNote&gt;&lt;Cite&gt;&lt;Author&gt;Belot&lt;/Author&gt;&lt;Year&gt;2021&lt;/Year&gt;&lt;RecNum&gt;229&lt;/RecNum&gt;&lt;DisplayText&gt;(Belot et al., 2021)&lt;/DisplayText&gt;&lt;record&gt;&lt;rec-number&gt;229&lt;/rec-number&gt;&lt;foreign-keys&gt;&lt;key app="EN" db-id="ezaprsx2la0xeqeazd9x9xxgasx0fzfwfxvf" timestamp="1753093017"&gt;229&lt;/key&gt;&lt;/foreign-keys&gt;&lt;ref-type name="Journal Article"&gt;17&lt;/ref-type&gt;&lt;contributors&gt;&lt;authors&gt;&lt;author&gt;Belot, Igor&lt;/author&gt;&lt;author&gt;Vidal, David&lt;/author&gt;&lt;author&gt;Greiner, Robert&lt;/author&gt;&lt;author&gt;Votsmeier, Martin&lt;/author&gt;&lt;author&gt;Hayes, Robert E.&lt;/author&gt;&lt;author&gt;Bertrand, François&lt;/author&gt;&lt;/authors&gt;&lt;/contributors&gt;&lt;titles&gt;&lt;title&gt;Impact of washcoat distribution on the catalytic performance of gasoline particulate filters as predicted by lattice Boltzmann simulations&lt;/title&gt;&lt;secondary-title&gt;Chemical Engineering Journal&lt;/secondary-title&gt;&lt;/titles&gt;&lt;periodical&gt;&lt;full-title&gt;Chemical Engineering Journal&lt;/full-title&gt;&lt;/periodical&gt;&lt;pages&gt;127040&lt;/pages&gt;&lt;volume&gt;406&lt;/volume&gt;&lt;keywords&gt;&lt;keyword&gt;Catalyst-coated particulate filter&lt;/keyword&gt;&lt;keyword&gt;Washcoat uniformity&lt;/keyword&gt;&lt;keyword&gt;Catalytic conversion&lt;/keyword&gt;&lt;keyword&gt;Coating effectiveness&lt;/keyword&gt;&lt;keyword&gt;Porous media&lt;/keyword&gt;&lt;keyword&gt;Lattice Boltzmann method&lt;/keyword&gt;&lt;/keywords&gt;&lt;dates&gt;&lt;year&gt;2021&lt;/year&gt;&lt;pub-dates&gt;&lt;date&gt;2021/02/15/&lt;/date&gt;&lt;/pub-dates&gt;&lt;/dates&gt;&lt;isbn&gt;1385-8947&lt;/isbn&gt;&lt;urls&gt;&lt;related-urls&gt;&lt;url&gt;https://www.sciencedirect.com/science/article/pii/S1385894720331685&lt;/url&gt;&lt;/related-urls&gt;&lt;/urls&gt;&lt;electronic-resource-num&gt;https://doi.org/10.1016/j.cej.2020.127040&lt;/electronic-resource-num&gt;&lt;/record&gt;&lt;/Cite&gt;&lt;/EndNote&gt;</w:instrText>
      </w:r>
      <w:r w:rsidRPr="002526A0">
        <w:fldChar w:fldCharType="separate"/>
      </w:r>
      <w:r w:rsidR="00B20979">
        <w:rPr>
          <w:noProof/>
        </w:rPr>
        <w:t>(Belot et al., 2021)</w:t>
      </w:r>
      <w:r w:rsidRPr="002526A0">
        <w:fldChar w:fldCharType="end"/>
      </w:r>
      <w:r w:rsidRPr="002526A0">
        <w:t xml:space="preserve">. Sections of catalyzed filter walls, with varying amounts of washcoat and different levels of uniformity, were digitally reconstructed from tomography data. Based on </w:t>
      </w:r>
      <w:r w:rsidR="00495C93">
        <w:t xml:space="preserve">density flow </w:t>
      </w:r>
      <w:r w:rsidRPr="002526A0">
        <w:t>field, the catalytic conversion (one</w:t>
      </w:r>
      <w:r w:rsidR="007D11EB">
        <w:t>-</w:t>
      </w:r>
      <w:r w:rsidRPr="002526A0">
        <w:t xml:space="preserve">step chemistry) and mass transport of a hypothetical dilute species was solved. In work </w:t>
      </w:r>
      <w:r w:rsidR="00E451B8">
        <w:t xml:space="preserve">by </w:t>
      </w:r>
      <w:r w:rsidRPr="002526A0">
        <w:t xml:space="preserve">Arcidiacono </w:t>
      </w:r>
      <w:r w:rsidRPr="002526A0">
        <w:fldChar w:fldCharType="begin"/>
      </w:r>
      <w:r w:rsidR="00B20979">
        <w:instrText xml:space="preserve"> ADDIN EN.CITE &lt;EndNote&gt;&lt;Cite&gt;&lt;Author&gt;Arcidiacono&lt;/Author&gt;&lt;Year&gt;2008&lt;/Year&gt;&lt;RecNum&gt;206&lt;/RecNum&gt;&lt;DisplayText&gt;(Arcidiacono et al., 2008)&lt;/DisplayText&gt;&lt;record&gt;&lt;rec-number&gt;206&lt;/rec-number&gt;&lt;foreign-keys&gt;&lt;key app="EN" db-id="ezaprsx2la0xeqeazd9x9xxgasx0fzfwfxvf" timestamp="1753092853"&gt;206&lt;/key&gt;&lt;/foreign-keys&gt;&lt;ref-type name="Journal Article"&gt;17&lt;/ref-type&gt;&lt;contributors&gt;&lt;authors&gt;&lt;author&gt;Arcidiacono, S.&lt;/author&gt;&lt;author&gt;Mantzaras, J.&lt;/author&gt;&lt;author&gt;Karlin, I. V.&lt;/author&gt;&lt;/authors&gt;&lt;/contributors&gt;&lt;titles&gt;&lt;title&gt;Lattice Boltzmann simulation of catalytic reactions&lt;/title&gt;&lt;secondary-title&gt;Physical Review E&lt;/secondary-title&gt;&lt;/titles&gt;&lt;periodical&gt;&lt;full-title&gt;Physical Review E&lt;/full-title&gt;&lt;/periodical&gt;&lt;pages&gt;046711&lt;/pages&gt;&lt;volume&gt;78&lt;/volume&gt;&lt;number&gt;4&lt;/number&gt;&lt;dates&gt;&lt;year&gt;2008&lt;/year&gt;&lt;pub-dates&gt;&lt;date&gt;10/28/&lt;/date&gt;&lt;/pub-dates&gt;&lt;/dates&gt;&lt;publisher&gt;American Physical Society&lt;/publisher&gt;&lt;urls&gt;&lt;related-urls&gt;&lt;url&gt;https://link.aps.org/doi/10.1103/PhysRevE.78.046711&lt;/url&gt;&lt;/related-urls&gt;&lt;/urls&gt;&lt;electronic-resource-num&gt;10.1103/PhysRevE.78.046711&lt;/electronic-resource-num&gt;&lt;/record&gt;&lt;/Cite&gt;&lt;/EndNote&gt;</w:instrText>
      </w:r>
      <w:r w:rsidRPr="002526A0">
        <w:fldChar w:fldCharType="separate"/>
      </w:r>
      <w:r w:rsidR="00B20979">
        <w:rPr>
          <w:noProof/>
        </w:rPr>
        <w:t>(Arcidiacono et al., 2008)</w:t>
      </w:r>
      <w:r w:rsidRPr="002526A0">
        <w:fldChar w:fldCharType="end"/>
      </w:r>
      <w:r w:rsidR="00E451B8">
        <w:t>,</w:t>
      </w:r>
      <w:r w:rsidRPr="002526A0">
        <w:t xml:space="preserve"> a multicomponent LB</w:t>
      </w:r>
      <w:r w:rsidR="007D11EB">
        <w:t>M</w:t>
      </w:r>
      <w:r w:rsidRPr="002526A0">
        <w:t xml:space="preserve"> </w:t>
      </w:r>
      <w:r w:rsidR="007D11EB">
        <w:t>simulation of</w:t>
      </w:r>
      <w:r w:rsidRPr="002526A0">
        <w:t xml:space="preserve"> a straight channel based on D2Q9 lattice </w:t>
      </w:r>
      <w:r w:rsidR="00DC0EFB">
        <w:t>wa</w:t>
      </w:r>
      <w:r w:rsidR="007D11EB">
        <w:t>s discussed. A</w:t>
      </w:r>
      <w:r w:rsidRPr="002526A0">
        <w:t xml:space="preserve"> four-component mixture and a global catalytic </w:t>
      </w:r>
      <w:r w:rsidR="00DC0EFB">
        <w:t>CH</w:t>
      </w:r>
      <w:r w:rsidR="00DC0EFB" w:rsidRPr="00BB7A06">
        <w:rPr>
          <w:vertAlign w:val="subscript"/>
        </w:rPr>
        <w:t>4</w:t>
      </w:r>
      <w:r w:rsidR="00DC0EFB" w:rsidRPr="002526A0">
        <w:t xml:space="preserve"> </w:t>
      </w:r>
      <w:r w:rsidRPr="002526A0">
        <w:t>oxidation are in excellent agreement with a FVM solver in terms of both the flow field and species concentrations.</w:t>
      </w:r>
      <w:r w:rsidR="00DB3C32">
        <w:t xml:space="preserve"> </w:t>
      </w:r>
      <w:r w:rsidRPr="002526A0">
        <w:t>L</w:t>
      </w:r>
      <w:r w:rsidR="008D77F6">
        <w:t>i</w:t>
      </w:r>
      <w:r w:rsidRPr="002526A0">
        <w:t xml:space="preserve"> </w:t>
      </w:r>
      <w:r w:rsidRPr="002526A0">
        <w:fldChar w:fldCharType="begin"/>
      </w:r>
      <w:r w:rsidR="00B20979">
        <w:instrText xml:space="preserve"> ADDIN EN.CITE &lt;EndNote&gt;&lt;Cite&gt;&lt;Author&gt;Li&lt;/Author&gt;&lt;Year&gt;2013&lt;/Year&gt;&lt;RecNum&gt;235&lt;/RecNum&gt;&lt;DisplayText&gt;(Li et al., 2013)&lt;/DisplayText&gt;&lt;record&gt;&lt;rec-number&gt;235&lt;/rec-number&gt;&lt;foreign-keys&gt;&lt;key app="EN" db-id="ezaprsx2la0xeqeazd9x9xxgasx0fzfwfxvf" timestamp="1753103600"&gt;235&lt;/key&gt;&lt;/foreign-keys&gt;&lt;ref-type name="Journal Article"&gt;17&lt;/ref-type&gt;&lt;contributors&gt;&lt;authors&gt;&lt;author&gt;Li, Xunfeng&lt;/author&gt;&lt;author&gt;Cai, Jun&lt;/author&gt;&lt;author&gt;Xin, Fang&lt;/author&gt;&lt;author&gt;Huai, Xiulan&lt;/author&gt;&lt;author&gt;Guo, Jiangfeng&lt;/author&gt;&lt;/authors&gt;&lt;/contributors&gt;&lt;titles&gt;&lt;title&gt;Lattice Boltzmann simulation of endothermal catalytic reaction in catalyst porous media&lt;/title&gt;&lt;secondary-title&gt;Applied Thermal Engineering&lt;/secondary-title&gt;&lt;/titles&gt;&lt;periodical&gt;&lt;full-title&gt;Applied Thermal Engineering&lt;/full-title&gt;&lt;/periodical&gt;&lt;pages&gt;1194-1200&lt;/pages&gt;&lt;volume&gt;50&lt;/volume&gt;&lt;number&gt;1&lt;/number&gt;&lt;keywords&gt;&lt;keyword&gt;Porous media&lt;/keyword&gt;&lt;keyword&gt;Catalytic reaction&lt;/keyword&gt;&lt;keyword&gt;Lattice Boltzmann method&lt;/keyword&gt;&lt;keyword&gt;Fractal structure&lt;/keyword&gt;&lt;/keywords&gt;&lt;dates&gt;&lt;year&gt;2013&lt;/year&gt;&lt;pub-dates&gt;&lt;date&gt;2013/01/10/&lt;/date&gt;&lt;/pub-dates&gt;&lt;/dates&gt;&lt;isbn&gt;1359-4311&lt;/isbn&gt;&lt;urls&gt;&lt;related-urls&gt;&lt;url&gt;https://www.sciencedirect.com/science/article/pii/S135943111200590X&lt;/url&gt;&lt;/related-urls&gt;&lt;/urls&gt;&lt;electronic-resource-num&gt;https://doi.org/10.1016/j.applthermaleng.2012.08.058&lt;/electronic-resource-num&gt;&lt;/record&gt;&lt;/Cite&gt;&lt;/EndNote&gt;</w:instrText>
      </w:r>
      <w:r w:rsidRPr="002526A0">
        <w:fldChar w:fldCharType="separate"/>
      </w:r>
      <w:r w:rsidR="00B20979">
        <w:rPr>
          <w:noProof/>
        </w:rPr>
        <w:t>(Li et al., 2013)</w:t>
      </w:r>
      <w:r w:rsidRPr="002526A0">
        <w:fldChar w:fldCharType="end"/>
      </w:r>
      <w:r w:rsidR="007D11EB" w:rsidRPr="002526A0" w:rsidDel="007D11EB">
        <w:t xml:space="preserve"> </w:t>
      </w:r>
      <w:r w:rsidR="008D77F6" w:rsidRPr="008D77F6">
        <w:rPr>
          <w:lang w:val="en-GB"/>
        </w:rPr>
        <w:t> used fractal theory to generate two-dimensional, square-shaped structures (i.e., without curvilinear or inclined surfaces) to study catalytic reactions in resolved porous media. </w:t>
      </w:r>
      <w:r w:rsidR="00DB3C32" w:rsidRPr="00DB3C32">
        <w:rPr>
          <w:lang w:val="en-GB"/>
        </w:rPr>
        <w:t xml:space="preserve">A D2Q9 lattice BGK model was employed to solve the flow, temperature, and concentration fields. The chemistry was represented by a one-step dehydrogenation of isopropanol, and temperature effects on velocity were neglected. The influence of the chemical reaction on the velocity field was incorporated by adding a velocity component </w:t>
      </w:r>
      <w:r w:rsidR="00DB3C32" w:rsidRPr="00DB3C32">
        <w:rPr>
          <w:lang w:val="en-GB"/>
        </w:rPr>
        <w:lastRenderedPageBreak/>
        <w:t>normal to the reactive surfaces, combined with changes in mixture density</w:t>
      </w:r>
      <w:r w:rsidR="00DB3C32">
        <w:rPr>
          <w:lang w:val="en-GB"/>
        </w:rPr>
        <w:t>.</w:t>
      </w:r>
      <w:r w:rsidR="001735A3">
        <w:t xml:space="preserve"> </w:t>
      </w:r>
      <w:r w:rsidR="00DB3C32">
        <w:t xml:space="preserve">Meanwhile, </w:t>
      </w:r>
      <w:r w:rsidR="00DB3C32" w:rsidRPr="00DB3C32">
        <w:rPr>
          <w:lang w:val="en-GB"/>
        </w:rPr>
        <w:t>heterogeneous catalysis under pulsed-flow conditions was investigated by</w:t>
      </w:r>
      <w:r w:rsidR="00830CDB" w:rsidRPr="009C7CF7">
        <w:rPr>
          <w:rFonts w:eastAsiaTheme="minorHAnsi"/>
        </w:rPr>
        <w:t xml:space="preserve"> Falcucci </w:t>
      </w:r>
      <w:r w:rsidR="00B62F93" w:rsidRPr="009C7CF7">
        <w:rPr>
          <w:rFonts w:eastAsiaTheme="minorHAnsi"/>
        </w:rPr>
        <w:fldChar w:fldCharType="begin"/>
      </w:r>
      <w:r w:rsidR="00B20979">
        <w:rPr>
          <w:rFonts w:eastAsiaTheme="minorHAnsi"/>
        </w:rPr>
        <w:instrText xml:space="preserve"> ADDIN EN.CITE &lt;EndNote&gt;&lt;Cite&gt;&lt;Author&gt;Falcucci&lt;/Author&gt;&lt;Year&gt;2020&lt;/Year&gt;&lt;RecNum&gt;226&lt;/RecNum&gt;&lt;DisplayText&gt;(Falcucci, 2020)&lt;/DisplayText&gt;&lt;record&gt;&lt;rec-number&gt;226&lt;/rec-number&gt;&lt;foreign-keys&gt;&lt;key app="EN" db-id="ezaprsx2la0xeqeazd9x9xxgasx0fzfwfxvf" timestamp="1753092975"&gt;226&lt;/key&gt;&lt;/foreign-keys&gt;&lt;ref-type name="Book Section"&gt;5&lt;/ref-type&gt;&lt;contributors&gt;&lt;authors&gt;&lt;author&gt;Falcucci, Giacomo&lt;/author&gt;&lt;/authors&gt;&lt;secondary-authors&gt;&lt;author&gt;Van den Akker, Harry E. A.&lt;/author&gt;&lt;/secondary-authors&gt;&lt;/contributors&gt;&lt;titles&gt;&lt;title&gt;Chapter Two - LBM for 2D and 3D chemical reactors&lt;/title&gt;&lt;secondary-title&gt;Advances in Chemical Engineering&lt;/secondary-title&gt;&lt;/titles&gt;&lt;pages&gt;81-141&lt;/pages&gt;&lt;volume&gt;55&lt;/volume&gt;&lt;keywords&gt;&lt;keyword&gt;Lattice Boltzmann method&lt;/keyword&gt;&lt;keyword&gt;Heterogeneous catalysis&lt;/keyword&gt;&lt;keyword&gt;Nano-porous media&lt;/keyword&gt;&lt;keyword&gt;Multicomponent reactive flows&lt;/keyword&gt;&lt;keyword&gt;Microbial fuel cells&lt;/keyword&gt;&lt;keyword&gt;SCR reactors&lt;/keyword&gt;&lt;keyword&gt;LBM engineering applications&lt;/keyword&gt;&lt;/keywords&gt;&lt;dates&gt;&lt;year&gt;2020&lt;/year&gt;&lt;pub-dates&gt;&lt;date&gt;2020/01/01/&lt;/date&gt;&lt;/pub-dates&gt;&lt;/dates&gt;&lt;publisher&gt;Academic Press&lt;/publisher&gt;&lt;isbn&gt;0065-2377&lt;/isbn&gt;&lt;urls&gt;&lt;related-urls&gt;&lt;url&gt;https://www.sciencedirect.com/science/article/pii/S0065237720300041&lt;/url&gt;&lt;/related-urls&gt;&lt;/urls&gt;&lt;electronic-resource-num&gt;https://doi.org/10.1016/bs.ache.2020.04.004&lt;/electronic-resource-num&gt;&lt;/record&gt;&lt;/Cite&gt;&lt;/EndNote&gt;</w:instrText>
      </w:r>
      <w:r w:rsidR="00B62F93" w:rsidRPr="009C7CF7">
        <w:rPr>
          <w:rFonts w:eastAsiaTheme="minorHAnsi"/>
        </w:rPr>
        <w:fldChar w:fldCharType="separate"/>
      </w:r>
      <w:r w:rsidR="00B20979">
        <w:rPr>
          <w:rFonts w:eastAsiaTheme="minorHAnsi"/>
          <w:noProof/>
        </w:rPr>
        <w:t>(Falcucci, 2020)</w:t>
      </w:r>
      <w:r w:rsidR="00B62F93" w:rsidRPr="009C7CF7">
        <w:rPr>
          <w:rFonts w:eastAsiaTheme="minorHAnsi"/>
        </w:rPr>
        <w:fldChar w:fldCharType="end"/>
      </w:r>
      <w:r w:rsidR="00830CDB" w:rsidRPr="009C7CF7">
        <w:rPr>
          <w:rFonts w:eastAsiaTheme="minorHAnsi"/>
        </w:rPr>
        <w:t xml:space="preserve">. </w:t>
      </w:r>
      <w:r w:rsidR="00DB3C32" w:rsidRPr="00DB3C32">
        <w:rPr>
          <w:rFonts w:eastAsiaTheme="minorHAnsi"/>
          <w:lang w:val="en-GB"/>
        </w:rPr>
        <w:t>Here, a single platinum particle was embedded within an inert quartz porous medium of approximately 8 × 5 mm, and the analysis focused on flow in the regime </w:t>
      </w:r>
      <m:oMath>
        <m:r>
          <m:rPr>
            <m:sty m:val="p"/>
          </m:rPr>
          <w:rPr>
            <w:rFonts w:ascii="Cambria Math" w:eastAsiaTheme="minorHAnsi" w:hAnsi="Cambria Math"/>
          </w:rPr>
          <m:t>Kn</m:t>
        </m:r>
        <m:r>
          <w:rPr>
            <w:rFonts w:ascii="Cambria Math" w:eastAsiaTheme="minorHAnsi" w:hAnsi="Cambria Math"/>
          </w:rPr>
          <m:t xml:space="preserve"> ≈0.65</m:t>
        </m:r>
      </m:oMath>
      <w:r w:rsidR="00830CDB" w:rsidRPr="009C7CF7">
        <w:rPr>
          <w:rFonts w:eastAsiaTheme="minorHAnsi"/>
        </w:rPr>
        <w:t xml:space="preserve">. </w:t>
      </w:r>
      <w:r w:rsidR="008D77F6" w:rsidRPr="008D77F6">
        <w:rPr>
          <w:rFonts w:eastAsiaTheme="minorHAnsi"/>
          <w:lang w:val="en-GB"/>
        </w:rPr>
        <w:t xml:space="preserve">Two-dimensional LB simulations based on a one-dimensional global reaction mechanism showed reasonable agreement with experimental data. </w:t>
      </w:r>
    </w:p>
    <w:p w14:paraId="60356EB8" w14:textId="77777777" w:rsidR="00DB3C32" w:rsidRDefault="00DB3C32" w:rsidP="009C7CF7">
      <w:pPr>
        <w:pStyle w:val="CETBodytext"/>
        <w:rPr>
          <w:rFonts w:eastAsiaTheme="minorHAnsi"/>
          <w:lang w:val="en-GB"/>
        </w:rPr>
      </w:pPr>
    </w:p>
    <w:p w14:paraId="1BEAB167" w14:textId="0A631172" w:rsidR="00830CDB" w:rsidRPr="009C7CF7" w:rsidRDefault="00DB3C32" w:rsidP="009C7CF7">
      <w:pPr>
        <w:pStyle w:val="CETBodytext"/>
      </w:pPr>
      <w:r>
        <w:rPr>
          <w:rFonts w:eastAsiaTheme="minorHAnsi"/>
          <w:lang w:val="en-GB"/>
        </w:rPr>
        <w:t xml:space="preserve">In sum, </w:t>
      </w:r>
      <w:r w:rsidR="008D77F6" w:rsidRPr="008D77F6">
        <w:rPr>
          <w:rFonts w:eastAsiaTheme="minorHAnsi"/>
          <w:lang w:val="en-GB"/>
        </w:rPr>
        <w:t xml:space="preserve">most </w:t>
      </w:r>
      <w:r>
        <w:rPr>
          <w:rFonts w:eastAsiaTheme="minorHAnsi"/>
          <w:lang w:val="en-GB"/>
        </w:rPr>
        <w:t xml:space="preserve">prior </w:t>
      </w:r>
      <w:r w:rsidR="008D77F6" w:rsidRPr="008D77F6">
        <w:rPr>
          <w:rFonts w:eastAsiaTheme="minorHAnsi"/>
          <w:lang w:val="en-GB"/>
        </w:rPr>
        <w:t>studies employ global reaction schemes within LBM frameworks assuming constant-density flow</w:t>
      </w:r>
      <w:r>
        <w:rPr>
          <w:rFonts w:eastAsiaTheme="minorHAnsi"/>
          <w:lang w:val="en-GB"/>
        </w:rPr>
        <w:t>.</w:t>
      </w:r>
    </w:p>
    <w:p w14:paraId="1C161F3F" w14:textId="2D2DF5CD" w:rsidR="005E1EF2" w:rsidRPr="005E1EF2" w:rsidRDefault="001848E7" w:rsidP="001848E7">
      <w:pPr>
        <w:pStyle w:val="CETHeading1"/>
      </w:pPr>
      <w:r>
        <w:t>Methods</w:t>
      </w:r>
      <w:r>
        <w:tab/>
      </w:r>
    </w:p>
    <w:p w14:paraId="798CC483" w14:textId="593DCCE6" w:rsidR="005E1EF2" w:rsidRDefault="001848E7" w:rsidP="001848E7">
      <w:pPr>
        <w:pStyle w:val="CETheadingx"/>
      </w:pPr>
      <w:r w:rsidRPr="005E1EF2">
        <w:t>Mean-Field Approach</w:t>
      </w:r>
    </w:p>
    <w:p w14:paraId="720A75F3" w14:textId="122D61B0" w:rsidR="005F5025" w:rsidRPr="00E8661E" w:rsidRDefault="007768DD" w:rsidP="004B15CF">
      <w:pPr>
        <w:pStyle w:val="CETBodytext"/>
      </w:pPr>
      <w:r w:rsidRPr="00501BEB">
        <w:rPr>
          <w:lang w:val="en-GB"/>
        </w:rPr>
        <w:t xml:space="preserve">Catalysts exhibit distinct structural features. One example is a washcoat, a </w:t>
      </w:r>
      <w:r w:rsidR="005A6A07" w:rsidRPr="00501BEB">
        <w:rPr>
          <w:lang w:val="en-GB"/>
        </w:rPr>
        <w:t>thin, porous</w:t>
      </w:r>
      <w:r w:rsidRPr="00501BEB">
        <w:rPr>
          <w:lang w:val="en-GB"/>
        </w:rPr>
        <w:t xml:space="preserve"> support layer in which dispersed particles of catalytically active material (e.g., precious metals) are embedded (Figure 1a). In classic</w:t>
      </w:r>
      <w:r w:rsidR="00FC244E">
        <w:rPr>
          <w:lang w:val="en-GB"/>
        </w:rPr>
        <w:t>al CFD approaches, such as the Finite-Volume-M</w:t>
      </w:r>
      <w:r w:rsidRPr="00501BEB">
        <w:rPr>
          <w:lang w:val="en-GB"/>
        </w:rPr>
        <w:t>ethod (FVM), washcoats are commonly modeled using a mean-field approximation.</w:t>
      </w:r>
      <w:r>
        <w:t xml:space="preserve"> </w:t>
      </w:r>
      <w:r w:rsidR="006F37EA" w:rsidRPr="00E8661E">
        <w:fldChar w:fldCharType="begin"/>
      </w:r>
      <w:r w:rsidR="00B20979">
        <w:instrText xml:space="preserve"> ADDIN EN.CITE &lt;EndNote&gt;&lt;Cite&gt;&lt;Author&gt;Kee&lt;/Author&gt;&lt;Year&gt;2003&lt;/Year&gt;&lt;RecNum&gt;39&lt;/RecNum&gt;&lt;DisplayText&gt;(Kee et al., 2003, Deutschmann, 2011)&lt;/DisplayText&gt;&lt;record&gt;&lt;rec-number&gt;39&lt;/rec-number&gt;&lt;foreign-keys&gt;&lt;key app="EN" db-id="tfrsefz59xr0sme0225prszaftt5v2ad9paz" timestamp="1429083403"&gt;39&lt;/key&gt;&lt;/foreign-keys&gt;&lt;ref-type name="Book"&gt;6&lt;/ref-type&gt;&lt;contributors&gt;&lt;authors&gt;&lt;author&gt;Kee, R.J.&lt;/author&gt;&lt;author&gt;Coltrin, M.E.&lt;/author&gt;&lt;author&gt;Glarborg, P.&lt;/author&gt;&lt;/authors&gt;&lt;/contributors&gt;&lt;titles&gt;&lt;title&gt;Chemically Reacting Flow&lt;/title&gt;&lt;/titles&gt;&lt;keywords&gt;&lt;keyword&gt;reactive flows&lt;/keyword&gt;&lt;/keywords&gt;&lt;dates&gt;&lt;year&gt;2003&lt;/year&gt;&lt;/dates&gt;&lt;publisher&gt;Wiley-Interscience&lt;/publisher&gt;&lt;urls&gt;&lt;related-urls&gt;&lt;url&gt;OD&lt;/url&gt;&lt;/related-urls&gt;&lt;/urls&gt;&lt;/record&gt;&lt;/Cite&gt;&lt;Cite&gt;&lt;Author&gt;Deutschmann&lt;/Author&gt;&lt;Year&gt;2011&lt;/Year&gt;&lt;RecNum&gt;40&lt;/RecNum&gt;&lt;record&gt;&lt;rec-number&gt;40&lt;/rec-number&gt;&lt;foreign-keys&gt;&lt;key app="EN" db-id="tfrsefz59xr0sme0225prszaftt5v2ad9paz" timestamp="1429083442"&gt;40&lt;/key&gt;&lt;/foreign-keys&gt;&lt;ref-type name="Book"&gt;6&lt;/ref-type&gt;&lt;contributors&gt;&lt;authors&gt;&lt;author&gt;Deutschmann, O. &lt;/author&gt;&lt;/authors&gt;&lt;/contributors&gt;&lt;titles&gt;&lt;title&gt;Modeling and Simulation of Heterogeneous Catalytic Reactions: From the molecular process to the technical system&lt;/title&gt;&lt;/titles&gt;&lt;dates&gt;&lt;year&gt;2011&lt;/year&gt;&lt;/dates&gt;&lt;pub-location&gt;Weinheim&lt;/pub-location&gt;&lt;publisher&gt;Wiley-VCH &lt;/publisher&gt;&lt;urls&gt;&lt;/urls&gt;&lt;/record&gt;&lt;/Cite&gt;&lt;/EndNote&gt;</w:instrText>
      </w:r>
      <w:r w:rsidR="006F37EA" w:rsidRPr="00E8661E">
        <w:fldChar w:fldCharType="separate"/>
      </w:r>
      <w:r w:rsidR="00B20979">
        <w:rPr>
          <w:noProof/>
        </w:rPr>
        <w:t>(Kee et al., 2003, Deutschmann, 2011)</w:t>
      </w:r>
      <w:r w:rsidR="006F37EA" w:rsidRPr="00E8661E">
        <w:fldChar w:fldCharType="end"/>
      </w:r>
      <w:r w:rsidR="006F37EA" w:rsidRPr="00E8661E">
        <w:t xml:space="preserve">. </w:t>
      </w:r>
      <w:r w:rsidR="006F37EA">
        <w:t>The approach implies that</w:t>
      </w:r>
      <w:r w:rsidR="006F37EA" w:rsidRPr="00E8661E">
        <w:t xml:space="preserve"> </w:t>
      </w:r>
      <w:r w:rsidR="006F37EA">
        <w:t>the geometrical surface of the catalyst is morphologically homogeneous.</w:t>
      </w:r>
      <w:r w:rsidR="006F37EA" w:rsidRPr="006F37EA">
        <w:t xml:space="preserve"> </w:t>
      </w:r>
      <w:r w:rsidR="006F37EA">
        <w:t>T</w:t>
      </w:r>
      <w:r w:rsidR="006F37EA" w:rsidRPr="00E8661E">
        <w:t xml:space="preserve">he local state of the surface is described by </w:t>
      </w:r>
      <w:r>
        <w:t>the</w:t>
      </w:r>
      <w:r w:rsidRPr="00E8661E">
        <w:t xml:space="preserve"> </w:t>
      </w:r>
      <w:r w:rsidR="006F37EA" w:rsidRPr="00E8661E">
        <w:t>coverage with adsorbed species, averaged on a microsc</w:t>
      </w:r>
      <w:r w:rsidR="006F37EA">
        <w:t xml:space="preserve">opic scale. </w:t>
      </w:r>
      <w:r w:rsidR="005F5025" w:rsidRPr="00E8661E">
        <w:t xml:space="preserve">The simplest way to account for the active catalytic surface </w:t>
      </w:r>
      <w:r w:rsidR="006C5DDC">
        <w:t>is by</w:t>
      </w:r>
      <w:r w:rsidR="008529D1">
        <w:t xml:space="preserve"> calculating the flux</w:t>
      </w:r>
      <w:r w:rsidR="005F5025" w:rsidRPr="00E8661E">
        <w:t xml:space="preserve"> </w:t>
      </w:r>
      <m:oMath>
        <m:sSub>
          <m:sSubPr>
            <m:ctrlPr>
              <w:rPr>
                <w:rFonts w:ascii="Cambria Math" w:hAnsi="Cambria Math"/>
              </w:rPr>
            </m:ctrlPr>
          </m:sSubPr>
          <m:e>
            <m:acc>
              <m:accPr>
                <m:chr m:val="̇"/>
                <m:ctrlPr>
                  <w:rPr>
                    <w:rFonts w:ascii="Cambria Math" w:hAnsi="Cambria Math"/>
                    <w:i/>
                  </w:rPr>
                </m:ctrlPr>
              </m:accPr>
              <m:e>
                <m:r>
                  <w:rPr>
                    <w:rFonts w:ascii="Cambria Math" w:hAnsi="Cambria Math"/>
                  </w:rPr>
                  <m:t>R</m:t>
                </m:r>
              </m:e>
            </m:acc>
          </m:e>
          <m:sub>
            <m:r>
              <w:rPr>
                <w:rFonts w:ascii="Cambria Math" w:hAnsi="Cambria Math"/>
              </w:rPr>
              <m:t>a</m:t>
            </m:r>
          </m:sub>
        </m:sSub>
      </m:oMath>
      <w:r w:rsidR="000D04E6">
        <w:t xml:space="preserve"> (in kmol/s</w:t>
      </w:r>
      <w:r w:rsidR="005F5025" w:rsidRPr="00E8661E">
        <w:t xml:space="preserve">) of a specie </w:t>
      </w:r>
      <w:r w:rsidR="005F5025" w:rsidRPr="00BB7A06">
        <w:rPr>
          <w:rFonts w:ascii="Times New Roman" w:hAnsi="Times New Roman"/>
          <w:i/>
        </w:rPr>
        <w:t>a</w:t>
      </w:r>
      <w:r w:rsidR="001735A3">
        <w:t xml:space="preserve"> at the fluid/solid interface</w:t>
      </w:r>
      <w:r w:rsidR="003457CB">
        <w:t>:</w:t>
      </w:r>
      <w:r w:rsidR="001735A3">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6"/>
        <w:gridCol w:w="971"/>
      </w:tblGrid>
      <w:tr w:rsidR="005F5025" w:rsidRPr="00E8661E" w14:paraId="27C2796B" w14:textId="77777777" w:rsidTr="007D01FA">
        <w:tc>
          <w:tcPr>
            <w:tcW w:w="8080" w:type="dxa"/>
          </w:tcPr>
          <w:p w14:paraId="165BDD9F" w14:textId="12842A86" w:rsidR="005F5025" w:rsidRPr="00E8661E" w:rsidRDefault="00B20979" w:rsidP="008529D1">
            <w:pPr>
              <w:pStyle w:val="CETEquation"/>
            </w:pPr>
            <m:oMath>
              <m:sSub>
                <m:sSubPr>
                  <m:ctrlPr>
                    <w:rPr>
                      <w:rFonts w:ascii="Cambria Math" w:hAnsi="Cambria Math"/>
                    </w:rPr>
                  </m:ctrlPr>
                </m:sSubPr>
                <m:e>
                  <m:acc>
                    <m:accPr>
                      <m:chr m:val="̇"/>
                      <m:ctrlPr>
                        <w:rPr>
                          <w:rFonts w:ascii="Cambria Math" w:hAnsi="Cambria Math"/>
                        </w:rPr>
                      </m:ctrlPr>
                    </m:accPr>
                    <m:e>
                      <m:r>
                        <w:rPr>
                          <w:rFonts w:ascii="Cambria Math" w:hAnsi="Cambria Math"/>
                        </w:rPr>
                        <m:t>R</m:t>
                      </m:r>
                    </m:e>
                  </m:acc>
                </m:e>
                <m:sub>
                  <m:r>
                    <w:rPr>
                      <w:rFonts w:ascii="Cambria Math" w:hAnsi="Cambria Math"/>
                    </w:rPr>
                    <m:t>a</m:t>
                  </m:r>
                </m:sub>
              </m:sSub>
              <m:r>
                <m:rPr>
                  <m:sty m:val="p"/>
                </m:rPr>
                <w:rPr>
                  <w:rFonts w:ascii="Cambria Math" w:hAnsi="Cambria Math"/>
                </w:rPr>
                <m:t>=</m:t>
              </m:r>
              <m:sSub>
                <m:sSubPr>
                  <m:ctrlPr>
                    <w:rPr>
                      <w:rFonts w:ascii="Cambria Math" w:hAnsi="Cambria Math"/>
                    </w:rPr>
                  </m:ctrlPr>
                </m:sSubPr>
                <m:e>
                  <m:sSub>
                    <m:sSubPr>
                      <m:ctrlPr>
                        <w:rPr>
                          <w:rFonts w:ascii="Cambria Math" w:hAnsi="Cambria Math"/>
                        </w:rPr>
                      </m:ctrlPr>
                    </m:sSubPr>
                    <m:e>
                      <m:r>
                        <w:rPr>
                          <w:rFonts w:ascii="Cambria Math" w:hAnsi="Cambria Math"/>
                        </w:rPr>
                        <m:t>A</m:t>
                      </m:r>
                    </m:e>
                    <m:sub>
                      <m:r>
                        <w:rPr>
                          <w:rFonts w:ascii="Cambria Math" w:hAnsi="Cambria Math"/>
                        </w:rPr>
                        <m:t>catalytic</m:t>
                      </m:r>
                    </m:sub>
                  </m:sSub>
                  <m:r>
                    <m:rPr>
                      <m:sty m:val="p"/>
                    </m:rPr>
                    <w:rPr>
                      <w:rFonts w:ascii="Cambria Math" w:hAnsi="Cambria Math"/>
                    </w:rPr>
                    <m:t xml:space="preserve">∙ </m:t>
                  </m:r>
                  <m:sSub>
                    <m:sSubPr>
                      <m:ctrlPr>
                        <w:rPr>
                          <w:rFonts w:ascii="Cambria Math" w:hAnsi="Cambria Math"/>
                        </w:rPr>
                      </m:ctrlPr>
                    </m:sSubPr>
                    <m:e>
                      <m:acc>
                        <m:accPr>
                          <m:chr m:val="̇"/>
                          <m:ctrlPr>
                            <w:rPr>
                              <w:rFonts w:ascii="Cambria Math" w:hAnsi="Cambria Math"/>
                            </w:rPr>
                          </m:ctrlPr>
                        </m:accPr>
                        <m:e>
                          <m:r>
                            <w:rPr>
                              <w:rFonts w:ascii="Cambria Math" w:hAnsi="Cambria Math"/>
                            </w:rPr>
                            <m:t>s</m:t>
                          </m:r>
                        </m:e>
                      </m:acc>
                    </m:e>
                    <m:sub>
                      <m:r>
                        <w:rPr>
                          <w:rFonts w:ascii="Cambria Math" w:hAnsi="Cambria Math"/>
                        </w:rPr>
                        <m:t>a</m:t>
                      </m:r>
                    </m:sub>
                  </m:sSub>
                  <m:r>
                    <m:rPr>
                      <m:sty m:val="p"/>
                    </m:rPr>
                    <w:rPr>
                      <w:rFonts w:ascii="Cambria Math" w:hAnsi="Cambria Math"/>
                    </w:rPr>
                    <m:t>=</m:t>
                  </m:r>
                  <m:r>
                    <w:rPr>
                      <w:rFonts w:ascii="Cambria Math" w:hAnsi="Cambria Math"/>
                    </w:rPr>
                    <m:t>A</m:t>
                  </m:r>
                </m:e>
                <m:sub>
                  <m:r>
                    <w:rPr>
                      <w:rFonts w:ascii="Cambria Math" w:hAnsi="Cambria Math"/>
                    </w:rPr>
                    <m:t>geometric</m:t>
                  </m:r>
                </m:sub>
              </m:sSub>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cat</m:t>
                  </m:r>
                  <m:r>
                    <m:rPr>
                      <m:sty m:val="p"/>
                    </m:rPr>
                    <w:rPr>
                      <w:rFonts w:ascii="Cambria Math" w:hAnsi="Cambria Math"/>
                    </w:rPr>
                    <m:t>/</m:t>
                  </m:r>
                  <m:r>
                    <w:rPr>
                      <w:rFonts w:ascii="Cambria Math" w:hAnsi="Cambria Math"/>
                    </w:rPr>
                    <m:t>geo</m:t>
                  </m:r>
                </m:sub>
              </m:sSub>
              <m:r>
                <m:rPr>
                  <m:sty m:val="p"/>
                </m:rPr>
                <w:rPr>
                  <w:rFonts w:ascii="Cambria Math" w:hAnsi="Cambria Math"/>
                </w:rPr>
                <m:t xml:space="preserve">∙ </m:t>
              </m:r>
              <m:r>
                <w:rPr>
                  <w:rFonts w:ascii="Cambria Math" w:hAnsi="Cambria Math"/>
                  <w:i/>
                </w:rPr>
                <w:sym w:font="Symbol" w:char="F068"/>
              </m:r>
              <m:r>
                <m:rPr>
                  <m:sty m:val="p"/>
                </m:rPr>
                <w:rPr>
                  <w:rFonts w:ascii="Cambria Math" w:hAnsi="Cambria Math"/>
                </w:rPr>
                <m:t xml:space="preserve">  ∙ </m:t>
              </m:r>
              <m:sSub>
                <m:sSubPr>
                  <m:ctrlPr>
                    <w:rPr>
                      <w:rFonts w:ascii="Cambria Math" w:hAnsi="Cambria Math"/>
                    </w:rPr>
                  </m:ctrlPr>
                </m:sSubPr>
                <m:e>
                  <m:acc>
                    <m:accPr>
                      <m:chr m:val="̇"/>
                      <m:ctrlPr>
                        <w:rPr>
                          <w:rFonts w:ascii="Cambria Math" w:hAnsi="Cambria Math"/>
                        </w:rPr>
                      </m:ctrlPr>
                    </m:accPr>
                    <m:e>
                      <m:r>
                        <w:rPr>
                          <w:rFonts w:ascii="Cambria Math" w:hAnsi="Cambria Math"/>
                        </w:rPr>
                        <m:t>s</m:t>
                      </m:r>
                    </m:e>
                  </m:acc>
                </m:e>
                <m:sub>
                  <m:r>
                    <w:rPr>
                      <w:rFonts w:ascii="Cambria Math" w:hAnsi="Cambria Math"/>
                    </w:rPr>
                    <m:t>a</m:t>
                  </m:r>
                </m:sub>
              </m:sSub>
            </m:oMath>
            <w:r w:rsidR="008529D1">
              <w:t xml:space="preserve"> </w:t>
            </w:r>
            <w:r w:rsidR="005F5025" w:rsidRPr="00E8661E">
              <w:t>.</w:t>
            </w:r>
          </w:p>
        </w:tc>
        <w:tc>
          <w:tcPr>
            <w:tcW w:w="992" w:type="dxa"/>
            <w:vAlign w:val="center"/>
          </w:tcPr>
          <w:p w14:paraId="5D51D76E" w14:textId="706D82A4" w:rsidR="005F5025" w:rsidRPr="00E8661E" w:rsidRDefault="00C66BA7" w:rsidP="00C66BA7">
            <w:pPr>
              <w:pStyle w:val="CETEquation"/>
            </w:pPr>
            <w:r>
              <w:t>(1</w:t>
            </w:r>
            <w:r w:rsidR="005F5025" w:rsidRPr="00E8661E">
              <w:t>)</w:t>
            </w:r>
          </w:p>
        </w:tc>
      </w:tr>
    </w:tbl>
    <w:p w14:paraId="706D9510" w14:textId="1E0E68D3" w:rsidR="00D448D9" w:rsidRDefault="005F5025" w:rsidP="004B15CF">
      <w:pPr>
        <w:pStyle w:val="CETBodytext"/>
      </w:pPr>
      <w:r w:rsidRPr="00E8661E">
        <w:t xml:space="preserve">Here,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s</m:t>
                </m:r>
              </m:e>
            </m:acc>
          </m:e>
          <m:sub>
            <m:r>
              <w:rPr>
                <w:rFonts w:ascii="Cambria Math" w:hAnsi="Cambria Math"/>
              </w:rPr>
              <m:t>a</m:t>
            </m:r>
          </m:sub>
        </m:sSub>
      </m:oMath>
      <w:r w:rsidRPr="00E8661E">
        <w:t xml:space="preserve"> is the molar net production rate of gas phase species </w:t>
      </w:r>
      <w:r w:rsidR="00570E87" w:rsidRPr="00A97341">
        <w:rPr>
          <w:rFonts w:ascii="Times New Roman" w:hAnsi="Times New Roman"/>
          <w:i/>
        </w:rPr>
        <w:t>a</w:t>
      </w:r>
      <w:r w:rsidR="000D04E6">
        <w:t xml:space="preserve">, given in </w:t>
      </w:r>
      <w:r w:rsidRPr="00E8661E">
        <w:t>kmol/m</w:t>
      </w:r>
      <w:r w:rsidRPr="00E8661E">
        <w:rPr>
          <w:vertAlign w:val="superscript"/>
        </w:rPr>
        <w:t>2</w:t>
      </w:r>
      <w:r w:rsidR="000D04E6">
        <w:t>/s</w:t>
      </w:r>
      <w:r w:rsidRPr="00E8661E">
        <w:t xml:space="preserve">. </w:t>
      </w:r>
      <w:r w:rsidR="00D448D9">
        <w:t xml:space="preserve">The </w:t>
      </w:r>
      <w:r w:rsidR="00D448D9" w:rsidRPr="00E8661E">
        <w:t xml:space="preserve">total molar production rate </w:t>
      </w:r>
      <m:oMath>
        <m:sSub>
          <m:sSubPr>
            <m:ctrlPr>
              <w:rPr>
                <w:rFonts w:ascii="Cambria Math" w:hAnsi="Cambria Math"/>
              </w:rPr>
            </m:ctrlPr>
          </m:sSubPr>
          <m:e>
            <m:acc>
              <m:accPr>
                <m:chr m:val="̇"/>
                <m:ctrlPr>
                  <w:rPr>
                    <w:rFonts w:ascii="Cambria Math" w:hAnsi="Cambria Math"/>
                    <w:iCs/>
                  </w:rPr>
                </m:ctrlPr>
              </m:accPr>
              <m:e>
                <m:r>
                  <m:rPr>
                    <m:sty m:val="p"/>
                  </m:rPr>
                  <w:rPr>
                    <w:rFonts w:ascii="Cambria Math" w:hAnsi="Cambria Math"/>
                  </w:rPr>
                  <m:t>s</m:t>
                </m:r>
              </m:e>
            </m:acc>
          </m:e>
          <m:sub>
            <m:r>
              <w:rPr>
                <w:rFonts w:ascii="Cambria Math" w:hAnsi="Cambria Math"/>
              </w:rPr>
              <m:t>a</m:t>
            </m:r>
          </m:sub>
        </m:sSub>
      </m:oMath>
      <w:r w:rsidR="00D448D9" w:rsidRPr="00E8661E">
        <w:t xml:space="preserve"> of a gaseous species or an adsorbed surface species </w:t>
      </w:r>
      <w:r w:rsidR="00D448D9" w:rsidRPr="00E8661E">
        <w:rPr>
          <w:i/>
        </w:rPr>
        <w:t>a</w:t>
      </w:r>
      <w:r w:rsidR="000D04E6">
        <w:t xml:space="preserve"> (in </w:t>
      </w:r>
      <w:r w:rsidR="00D448D9" w:rsidRPr="00E8661E">
        <w:t>kmol/m</w:t>
      </w:r>
      <w:r w:rsidR="00D448D9" w:rsidRPr="00E8661E">
        <w:rPr>
          <w:vertAlign w:val="superscript"/>
        </w:rPr>
        <w:t>2</w:t>
      </w:r>
      <w:r w:rsidR="000D04E6">
        <w:t>/s</w:t>
      </w:r>
      <w:r w:rsidR="00D448D9" w:rsidRPr="00E8661E">
        <w:t>) is</w:t>
      </w:r>
      <w:r w:rsidR="00D448D9">
        <w:t xml:space="preserve"> the</w:t>
      </w:r>
      <w:r w:rsidR="00D448D9" w:rsidRPr="00E8661E">
        <w:t xml:space="preserve"> </w:t>
      </w:r>
      <w:r w:rsidR="00D448D9">
        <w:t xml:space="preserve">sum of rates for each elemental reaction where this species takes part. The single elemental rates are </w:t>
      </w:r>
      <w:r w:rsidR="00570E87">
        <w:t>described</w:t>
      </w:r>
      <w:r w:rsidR="001735A3">
        <w:t xml:space="preserve"> with</w:t>
      </w:r>
      <w:r w:rsidR="00D448D9">
        <w:t xml:space="preserve"> a modified Arrhenius law </w:t>
      </w:r>
      <w:r w:rsidR="00D448D9" w:rsidRPr="00E8661E">
        <w:t xml:space="preserve">as a function </w:t>
      </w:r>
      <w:r w:rsidR="001735A3">
        <w:t>of the local conditions temperature,</w:t>
      </w:r>
      <w:r w:rsidR="00D448D9" w:rsidRPr="00E8661E">
        <w:t xml:space="preserve"> species co</w:t>
      </w:r>
      <w:r w:rsidR="00FC244E">
        <w:t>ncentration in the gas-phase and</w:t>
      </w:r>
      <w:r w:rsidR="00D448D9" w:rsidRPr="00E8661E">
        <w:t xml:space="preserve"> l</w:t>
      </w:r>
      <w:r w:rsidR="001735A3">
        <w:t xml:space="preserve">ocal </w:t>
      </w:r>
      <w:r w:rsidR="00D448D9" w:rsidRPr="00E8661E">
        <w:t xml:space="preserve">state of the surfaces. </w:t>
      </w:r>
    </w:p>
    <w:p w14:paraId="61BB6DEE" w14:textId="7FC7AADC" w:rsidR="005353C1" w:rsidRDefault="00304F91" w:rsidP="00C66BA7">
      <w:pPr>
        <w:pStyle w:val="CETBodytext"/>
      </w:pPr>
      <w:r w:rsidRPr="00304F91">
        <w:t>To incorporate chemical source terms into the species transport equations of a CFD model, they must be scaled by a characteristic surface area</w:t>
      </w:r>
      <w:r w:rsidR="002570BD">
        <w:t>. However, commonly a</w:t>
      </w:r>
      <w:r w:rsidR="002570BD" w:rsidRPr="00E8661E">
        <w:t xml:space="preserve"> numerical grid resolves only the flow region bounded by the geometrical </w:t>
      </w:r>
      <w:r w:rsidR="002570BD">
        <w:t>surface</w:t>
      </w:r>
      <w:r w:rsidR="002570BD" w:rsidRPr="00E8661E">
        <w:t xml:space="preserve"> of the </w:t>
      </w:r>
      <w:r w:rsidR="001735A3">
        <w:t>catalyst (green outline</w:t>
      </w:r>
      <w:r w:rsidR="00713B90">
        <w:t xml:space="preserve"> in Figure</w:t>
      </w:r>
      <w:r w:rsidR="002570BD" w:rsidRPr="00E8661E">
        <w:t xml:space="preserve"> </w:t>
      </w:r>
      <w:r w:rsidR="000D04E6">
        <w:t>1</w:t>
      </w:r>
      <w:r w:rsidR="008529D1">
        <w:t>a</w:t>
      </w:r>
      <w:r w:rsidR="002570BD" w:rsidRPr="00E8661E">
        <w:t>).</w:t>
      </w:r>
      <w:r w:rsidR="005353C1">
        <w:t xml:space="preserve"> </w:t>
      </w:r>
      <w:r w:rsidR="001735A3" w:rsidRPr="00E8661E">
        <w:t xml:space="preserve">The </w:t>
      </w:r>
      <w:r w:rsidR="001735A3" w:rsidRPr="00E8661E">
        <w:rPr>
          <w:i/>
        </w:rPr>
        <w:t>catalytically active surface area</w:t>
      </w:r>
      <w:r w:rsidR="001735A3" w:rsidRPr="00E8661E">
        <w:t xml:space="preserve"> </w:t>
      </w:r>
      <w:r w:rsidR="005353C1" w:rsidRPr="00E8661E">
        <w:t xml:space="preserve"> </w:t>
      </w:r>
      <m:oMath>
        <m:sSub>
          <m:sSubPr>
            <m:ctrlPr>
              <w:rPr>
                <w:rFonts w:ascii="Cambria Math" w:hAnsi="Cambria Math"/>
                <w:i/>
              </w:rPr>
            </m:ctrlPr>
          </m:sSubPr>
          <m:e>
            <m:r>
              <w:rPr>
                <w:rFonts w:ascii="Cambria Math" w:hAnsi="Cambria Math"/>
              </w:rPr>
              <m:t>A</m:t>
            </m:r>
          </m:e>
          <m:sub>
            <m:r>
              <w:rPr>
                <w:rFonts w:ascii="Cambria Math" w:hAnsi="Cambria Math"/>
              </w:rPr>
              <m:t>catalytic</m:t>
            </m:r>
          </m:sub>
        </m:sSub>
      </m:oMath>
      <w:r w:rsidR="005353C1" w:rsidRPr="00E8661E">
        <w:t xml:space="preserve"> </w:t>
      </w:r>
      <w:r w:rsidR="001735A3" w:rsidRPr="00E8661E">
        <w:t>is the surface area of the catalytic active particles exposed to the ambient gas (fluid) phase</w:t>
      </w:r>
      <w:r w:rsidR="005353C1">
        <w:t xml:space="preserve"> (red outline in Figure 1a</w:t>
      </w:r>
      <w:r w:rsidR="005353C1" w:rsidRPr="00E8661E">
        <w:t>)</w:t>
      </w:r>
      <w:r w:rsidR="001735A3" w:rsidRPr="00E8661E">
        <w:t xml:space="preserve">. This area can be determined experimentally. </w:t>
      </w:r>
      <w:r w:rsidR="005F5025" w:rsidRPr="00E8661E">
        <w:t xml:space="preserve">The parameter </w:t>
      </w:r>
      <m:oMath>
        <m:sSub>
          <m:sSubPr>
            <m:ctrlPr>
              <w:rPr>
                <w:rFonts w:ascii="Cambria Math" w:hAnsi="Cambria Math"/>
                <w:i/>
              </w:rPr>
            </m:ctrlPr>
          </m:sSubPr>
          <m:e>
            <m:r>
              <w:rPr>
                <w:rFonts w:ascii="Cambria Math" w:hAnsi="Cambria Math"/>
              </w:rPr>
              <m:t>F</m:t>
            </m:r>
          </m:e>
          <m:sub>
            <m:r>
              <w:rPr>
                <w:rFonts w:ascii="Cambria Math" w:hAnsi="Cambria Math"/>
              </w:rPr>
              <m:t>catgeo</m:t>
            </m:r>
          </m:sub>
        </m:sSub>
      </m:oMath>
      <w:r w:rsidR="005F5025" w:rsidRPr="00E8661E">
        <w:t xml:space="preserve"> represents the amount of </w:t>
      </w:r>
      <w:r w:rsidR="005F5025" w:rsidRPr="00E8661E">
        <w:rPr>
          <w:i/>
        </w:rPr>
        <w:t>catalytically active surface area</w:t>
      </w:r>
      <w:r w:rsidR="005F5025" w:rsidRPr="00E8661E">
        <w:t xml:space="preserve"> in relation to the </w:t>
      </w:r>
      <w:r w:rsidR="005F5025" w:rsidRPr="00E8661E">
        <w:rPr>
          <w:i/>
        </w:rPr>
        <w:t>geometric surface area</w:t>
      </w:r>
      <w:r w:rsidR="001735A3">
        <w:t xml:space="preserve"> (green outline</w:t>
      </w:r>
      <w:r w:rsidR="000D04E6">
        <w:t xml:space="preserve"> in Figure </w:t>
      </w:r>
      <w:r w:rsidR="005F5025" w:rsidRPr="00E8661E">
        <w:t>1</w:t>
      </w:r>
      <w:r w:rsidR="008529D1">
        <w:t>a</w:t>
      </w:r>
      <w:r w:rsidR="005F5025" w:rsidRPr="00E8661E">
        <w:t xml:space="preserve">) of the fluid-solid interphase. Depending on porosity of the support and the dispersion (e.g. of particles of precious metals) this factor can range from one up to the order of hundred. The </w:t>
      </w:r>
      <w:r w:rsidR="005F5025" w:rsidRPr="00E8661E">
        <w:rPr>
          <w:i/>
        </w:rPr>
        <w:t>catalytically active surface area</w:t>
      </w:r>
      <w:r w:rsidR="005F5025" w:rsidRPr="00E8661E">
        <w:t xml:space="preserve"> should not be confused with the area representing the </w:t>
      </w:r>
      <w:r w:rsidR="005F5025" w:rsidRPr="00E8661E">
        <w:rPr>
          <w:i/>
        </w:rPr>
        <w:t>total inner surface area</w:t>
      </w:r>
      <w:r w:rsidR="005F5025" w:rsidRPr="00E8661E">
        <w:t xml:space="preserve"> of a porous structure (</w:t>
      </w:r>
      <w:r w:rsidR="00713B90">
        <w:t>curved blue outline</w:t>
      </w:r>
      <w:r w:rsidR="00FC244E">
        <w:t>s</w:t>
      </w:r>
      <w:r w:rsidR="00713B90">
        <w:t xml:space="preserve"> in Figure</w:t>
      </w:r>
      <w:r w:rsidR="005F5025" w:rsidRPr="00E8661E">
        <w:t xml:space="preserve"> </w:t>
      </w:r>
      <w:r w:rsidR="000D04E6">
        <w:t>1</w:t>
      </w:r>
      <w:r w:rsidR="005F5025" w:rsidRPr="00E8661E">
        <w:t xml:space="preserve"> </w:t>
      </w:r>
      <w:r w:rsidR="008529D1">
        <w:t>a</w:t>
      </w:r>
      <w:r w:rsidR="005F5025" w:rsidRPr="00E8661E">
        <w:t xml:space="preserve">) (see also </w:t>
      </w:r>
      <w:r w:rsidR="005F5025" w:rsidRPr="00E8661E">
        <w:fldChar w:fldCharType="begin"/>
      </w:r>
      <w:r w:rsidR="00B20979">
        <w:instrText xml:space="preserve"> ADDIN EN.CITE &lt;EndNote&gt;&lt;Cite&gt;&lt;Author&gt;Hettel&lt;/Author&gt;&lt;Year&gt;2018&lt;/Year&gt;&lt;RecNum&gt;234&lt;/RecNum&gt;&lt;DisplayText&gt;(Hettel et al., 2018b)&lt;/DisplayText&gt;&lt;record&gt;&lt;rec-number&gt;234&lt;/rec-number&gt;&lt;foreign-keys&gt;&lt;key app="EN" db-id="ezaprsx2la0xeqeazd9x9xxgasx0fzfwfxvf" timestamp="1753095780"&gt;234&lt;/key&gt;&lt;/foreign-keys&gt;&lt;ref-type name="Book Section"&gt;5&lt;/ref-type&gt;&lt;contributors&gt;&lt;authors&gt;&lt;author&gt;Hettel, Matthias&lt;/author&gt;&lt;author&gt;Wörner, Martin&lt;/author&gt;&lt;author&gt;Deutschmann, Olaf&lt;/author&gt;&lt;/authors&gt;&lt;secondary-authors&gt;&lt;author&gt;Andreoni, Wanda&lt;/author&gt;&lt;author&gt;Yip, Sidney&lt;/author&gt;&lt;/secondary-authors&gt;&lt;/contributors&gt;&lt;titles&gt;&lt;title&gt;Computational Fluid Dynamics of Catalytic Reactors&lt;/title&gt;&lt;secondary-title&gt;Handbook of Materials Modeling: Applications: Current and Emerging Materials&lt;/secondary-title&gt;&lt;/titles&gt;&lt;pages&gt;1-34&lt;/pages&gt;&lt;dates&gt;&lt;year&gt;2018&lt;/year&gt;&lt;pub-dates&gt;&lt;date&gt;2018//&lt;/date&gt;&lt;/pub-dates&gt;&lt;/dates&gt;&lt;pub-location&gt;Cham&lt;/pub-location&gt;&lt;publisher&gt;Springer International Publishing&lt;/publisher&gt;&lt;isbn&gt;978-3-319-50257-1&lt;/isbn&gt;&lt;urls&gt;&lt;related-urls&gt;&lt;url&gt;https://doi.org/10.1007/978-3-319-50257-1_6-1&lt;/url&gt;&lt;/related-urls&gt;&lt;/urls&gt;&lt;electronic-resource-num&gt;https://doi.org/10.1007/978-3-319-50257-1_6-1&lt;/electronic-resource-num&gt;&lt;/record&gt;&lt;/Cite&gt;&lt;/EndNote&gt;</w:instrText>
      </w:r>
      <w:r w:rsidR="005F5025" w:rsidRPr="00E8661E">
        <w:fldChar w:fldCharType="separate"/>
      </w:r>
      <w:r w:rsidR="00B20979">
        <w:rPr>
          <w:noProof/>
        </w:rPr>
        <w:t>(Hettel et al., 2018b)</w:t>
      </w:r>
      <w:r w:rsidR="005F5025" w:rsidRPr="00E8661E">
        <w:fldChar w:fldCharType="end"/>
      </w:r>
      <w:r w:rsidR="005F5025" w:rsidRPr="00E8661E">
        <w:t>).</w:t>
      </w:r>
      <w:r w:rsidR="006A7F74">
        <w:t xml:space="preserve"> </w:t>
      </w:r>
    </w:p>
    <w:p w14:paraId="391E984E" w14:textId="0E9E5C69" w:rsidR="00C76CBE" w:rsidRDefault="005F5025" w:rsidP="00C66BA7">
      <w:pPr>
        <w:pStyle w:val="CETBodytext"/>
      </w:pPr>
      <w:r w:rsidRPr="00E8661E">
        <w:t>The effectiveness factor</w:t>
      </w:r>
      <w:r w:rsidR="00170890">
        <w:t xml:space="preserve"> </w:t>
      </w:r>
      <m:oMath>
        <m:r>
          <w:rPr>
            <w:rFonts w:ascii="Cambria Math" w:hAnsi="Cambria Math"/>
          </w:rPr>
          <m:t>η</m:t>
        </m:r>
      </m:oMath>
      <w:r w:rsidR="00170890">
        <w:t xml:space="preserve"> (</w:t>
      </w:r>
      <m:oMath>
        <m:r>
          <w:rPr>
            <w:rFonts w:ascii="Cambria Math" w:hAnsi="Cambria Math"/>
          </w:rPr>
          <m:t>0≤η≤1</m:t>
        </m:r>
      </m:oMath>
      <w:r w:rsidR="00170890">
        <w:t>)</w:t>
      </w:r>
      <w:r w:rsidRPr="00E8661E">
        <w:t xml:space="preserve"> represents the ratio of the </w:t>
      </w:r>
      <w:r w:rsidR="00FC244E">
        <w:t>conversion</w:t>
      </w:r>
      <w:r w:rsidRPr="00E8661E">
        <w:t xml:space="preserve"> rate to the rate which would occur without internal diffusion limitations inside porous solids (washcoats, particles). This factor includes </w:t>
      </w:r>
      <w:r w:rsidR="00713B90">
        <w:t xml:space="preserve">parameters as </w:t>
      </w:r>
      <w:r w:rsidRPr="00E8661E">
        <w:t xml:space="preserve">washcoat thickness and effective diffusion coefficient in a porous substrate </w:t>
      </w:r>
      <w:r w:rsidRPr="00E8661E">
        <w:fldChar w:fldCharType="begin"/>
      </w:r>
      <w:r w:rsidR="00B20979">
        <w:instrText xml:space="preserve"> ADDIN EN.CITE &lt;EndNote&gt;&lt;Cite&gt;&lt;Author&gt;Deutschmann&lt;/Author&gt;&lt;Year&gt;2011&lt;/Year&gt;&lt;RecNum&gt;2&lt;/RecNum&gt;&lt;DisplayText&gt;(Deutschmann, 2011)&lt;/DisplayText&gt;&lt;record&gt;&lt;rec-number&gt;2&lt;/rec-number&gt;&lt;foreign-keys&gt;&lt;key app="EN" db-id="9rr22r0tjrzvdhevxwlvtxpjtasds2pev2de" timestamp="1500363231"&gt;2&lt;/key&gt;&lt;/foreign-keys&gt;&lt;ref-type name="Book"&gt;6&lt;/ref-type&gt;&lt;contributors&gt;&lt;authors&gt;&lt;author&gt;Deutschmann, O. &lt;/author&gt;&lt;/authors&gt;&lt;/contributors&gt;&lt;titles&gt;&lt;title&gt;Modeling and Simulation of Heterogeneous Catalytic Reactions: From the molecular process to the technical system&lt;/title&gt;&lt;/titles&gt;&lt;dates&gt;&lt;year&gt;2011&lt;/year&gt;&lt;/dates&gt;&lt;pub-location&gt;Weinheim&lt;/pub-location&gt;&lt;publisher&gt;Wiley-VCH &lt;/publisher&gt;&lt;urls&gt;&lt;/urls&gt;&lt;/record&gt;&lt;/Cite&gt;&lt;/EndNote&gt;</w:instrText>
      </w:r>
      <w:r w:rsidRPr="00E8661E">
        <w:fldChar w:fldCharType="separate"/>
      </w:r>
      <w:r w:rsidR="00B20979">
        <w:rPr>
          <w:noProof/>
        </w:rPr>
        <w:t>(Deutschmann, 2011)</w:t>
      </w:r>
      <w:r w:rsidRPr="00E8661E">
        <w:fldChar w:fldCharType="end"/>
      </w:r>
      <w:r w:rsidRPr="00E8661E">
        <w:t xml:space="preserve">. </w:t>
      </w:r>
      <w:r w:rsidR="00713B90">
        <w:t xml:space="preserve">In this work it was estimated that </w:t>
      </w:r>
      <m:oMath>
        <m:r>
          <w:rPr>
            <w:rFonts w:ascii="Cambria Math" w:hAnsi="Cambria Math"/>
            <w:i/>
          </w:rPr>
          <w:sym w:font="Symbol" w:char="F068"/>
        </m:r>
      </m:oMath>
      <w:r w:rsidR="00713B90" w:rsidRPr="00E8661E">
        <w:t xml:space="preserve"> </w:t>
      </w:r>
      <w:r w:rsidR="00713B90">
        <w:t xml:space="preserve">was 1 (as explained later). </w:t>
      </w:r>
    </w:p>
    <w:p w14:paraId="55635C27" w14:textId="77777777" w:rsidR="001E5110" w:rsidRPr="00C66BA7" w:rsidRDefault="001E5110" w:rsidP="00C66BA7">
      <w:pPr>
        <w:pStyle w:val="CETBodytext"/>
      </w:pPr>
    </w:p>
    <w:tbl>
      <w:tblPr>
        <w:tblStyle w:val="Tabellenraster"/>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5"/>
        <w:gridCol w:w="5954"/>
      </w:tblGrid>
      <w:tr w:rsidR="00774020" w:rsidRPr="00E8661E" w14:paraId="2373D14D" w14:textId="77777777" w:rsidTr="005353C1">
        <w:tc>
          <w:tcPr>
            <w:tcW w:w="2835" w:type="dxa"/>
          </w:tcPr>
          <w:p w14:paraId="07230433" w14:textId="4E02741A" w:rsidR="00774020" w:rsidRPr="00E8661E" w:rsidRDefault="00774020" w:rsidP="007D01FA">
            <w:pPr>
              <w:spacing w:after="120" w:line="288" w:lineRule="auto"/>
              <w:jc w:val="center"/>
              <w:rPr>
                <w:rFonts w:asciiTheme="minorHAnsi" w:hAnsiTheme="minorHAnsi" w:cstheme="minorHAnsi"/>
                <w:color w:val="000000" w:themeColor="text1"/>
                <w:lang w:val="en-US"/>
              </w:rPr>
            </w:pPr>
            <w:r w:rsidRPr="00774020">
              <w:rPr>
                <w:rFonts w:asciiTheme="minorHAnsi" w:hAnsiTheme="minorHAnsi" w:cstheme="minorHAnsi"/>
                <w:noProof/>
                <w:color w:val="000000" w:themeColor="text1"/>
                <w:lang w:val="en-US"/>
              </w:rPr>
              <w:drawing>
                <wp:inline distT="0" distB="0" distL="0" distR="0" wp14:anchorId="72133EDB" wp14:editId="6652C9CC">
                  <wp:extent cx="1749490" cy="1333117"/>
                  <wp:effectExtent l="0" t="0" r="3175" b="635"/>
                  <wp:docPr id="12" name="Grafik 12" descr="C:\Users\ow4349\Desktop\PAPER\BILDER-AMTLICH\Figure-1-Poro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w4349\Desktop\PAPER\BILDER-AMTLICH\Figure-1-Porous.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3770" t="3391" b="3350"/>
                          <a:stretch/>
                        </pic:blipFill>
                        <pic:spPr bwMode="auto">
                          <a:xfrm>
                            <a:off x="0" y="0"/>
                            <a:ext cx="1794392" cy="136733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954" w:type="dxa"/>
          </w:tcPr>
          <w:p w14:paraId="7F27584F" w14:textId="0D9BFF5D" w:rsidR="00774020" w:rsidRPr="00E8661E" w:rsidRDefault="00774020" w:rsidP="007D01FA">
            <w:pPr>
              <w:spacing w:after="120" w:line="288" w:lineRule="auto"/>
              <w:jc w:val="center"/>
              <w:rPr>
                <w:rFonts w:asciiTheme="minorHAnsi" w:hAnsiTheme="minorHAnsi" w:cstheme="minorHAnsi"/>
                <w:color w:val="000000" w:themeColor="text1"/>
                <w:lang w:val="en-US"/>
              </w:rPr>
            </w:pPr>
            <w:r w:rsidRPr="00774020">
              <w:rPr>
                <w:rFonts w:asciiTheme="minorHAnsi" w:hAnsiTheme="minorHAnsi" w:cstheme="minorHAnsi"/>
                <w:noProof/>
                <w:color w:val="000000" w:themeColor="text1"/>
                <w:lang w:val="en-US"/>
              </w:rPr>
              <w:drawing>
                <wp:inline distT="0" distB="0" distL="0" distR="0" wp14:anchorId="31134E39" wp14:editId="57A3CC0C">
                  <wp:extent cx="3583219" cy="979715"/>
                  <wp:effectExtent l="0" t="0" r="0" b="0"/>
                  <wp:docPr id="13" name="Grafik 13" descr="C:\Users\ow4349\Desktop\PAPER\BILDER-AMTLICH\Figure-2-Computational-Dom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w4349\Desktop\PAPER\BILDER-AMTLICH\Figure-2-Computational-Domain.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2192"/>
                          <a:stretch/>
                        </pic:blipFill>
                        <pic:spPr bwMode="auto">
                          <a:xfrm>
                            <a:off x="0" y="0"/>
                            <a:ext cx="3775881" cy="103239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76CBE" w:rsidRPr="00480207" w14:paraId="55ABA79E" w14:textId="77777777" w:rsidTr="005353C1">
        <w:tc>
          <w:tcPr>
            <w:tcW w:w="8789" w:type="dxa"/>
            <w:gridSpan w:val="2"/>
          </w:tcPr>
          <w:p w14:paraId="2D314187" w14:textId="76104EF7" w:rsidR="00C76CBE" w:rsidRPr="00E8661E" w:rsidRDefault="00C66BA7" w:rsidP="008529D1">
            <w:pPr>
              <w:shd w:val="clear" w:color="auto" w:fill="FFFFFF" w:themeFill="background1"/>
              <w:spacing w:after="120"/>
              <w:jc w:val="left"/>
              <w:rPr>
                <w:rFonts w:eastAsia="Calibri"/>
              </w:rPr>
            </w:pPr>
            <w:bookmarkStart w:id="2" w:name="_Ref135910220"/>
            <w:r>
              <w:rPr>
                <w:rStyle w:val="CETCaptionCarattere"/>
                <w:rFonts w:eastAsia="Calibri"/>
              </w:rPr>
              <w:t>Figure</w:t>
            </w:r>
            <w:r w:rsidR="00C76CBE" w:rsidRPr="00C66BA7">
              <w:rPr>
                <w:rStyle w:val="CETCaptionCarattere"/>
                <w:rFonts w:eastAsia="Calibri"/>
              </w:rPr>
              <w:t xml:space="preserve"> </w:t>
            </w:r>
            <w:bookmarkEnd w:id="2"/>
            <w:r w:rsidR="00AF083A" w:rsidRPr="00C66BA7">
              <w:rPr>
                <w:rStyle w:val="CETCaptionCarattere"/>
                <w:rFonts w:eastAsia="Calibri"/>
              </w:rPr>
              <w:t>1</w:t>
            </w:r>
            <w:r w:rsidR="00BF72B6">
              <w:rPr>
                <w:rStyle w:val="CETCaptionCarattere"/>
                <w:rFonts w:eastAsia="Calibri"/>
              </w:rPr>
              <w:t>:</w:t>
            </w:r>
            <w:r>
              <w:rPr>
                <w:rStyle w:val="CETCaptionCarattere"/>
                <w:rFonts w:eastAsia="Calibri"/>
              </w:rPr>
              <w:t xml:space="preserve"> </w:t>
            </w:r>
            <w:r w:rsidR="005353C1">
              <w:rPr>
                <w:rStyle w:val="CETCaptionCarattere"/>
                <w:rFonts w:eastAsia="Calibri"/>
              </w:rPr>
              <w:t>(a)</w:t>
            </w:r>
            <w:r w:rsidR="008529D1">
              <w:rPr>
                <w:rStyle w:val="CETCaptionCarattere"/>
                <w:rFonts w:eastAsia="Calibri"/>
              </w:rPr>
              <w:t xml:space="preserve"> </w:t>
            </w:r>
            <w:r w:rsidR="00C76CBE" w:rsidRPr="00C66BA7">
              <w:rPr>
                <w:rStyle w:val="CETCaptionCarattere"/>
                <w:rFonts w:eastAsia="Calibri"/>
              </w:rPr>
              <w:t xml:space="preserve">Definition of surface areas for a </w:t>
            </w:r>
            <w:r w:rsidR="005353C1">
              <w:rPr>
                <w:rStyle w:val="CETCaptionCarattere"/>
                <w:rFonts w:eastAsia="Calibri"/>
              </w:rPr>
              <w:t>porous catalyst. (b)</w:t>
            </w:r>
            <w:r w:rsidR="008529D1">
              <w:rPr>
                <w:rStyle w:val="CETCaptionCarattere"/>
                <w:rFonts w:eastAsia="Calibri"/>
              </w:rPr>
              <w:t xml:space="preserve"> </w:t>
            </w:r>
            <w:r w:rsidR="008529D1">
              <w:rPr>
                <w:rStyle w:val="CETCaptionCarattere"/>
              </w:rPr>
              <w:t>2D slice of reactor and calculation domain</w:t>
            </w:r>
          </w:p>
        </w:tc>
      </w:tr>
    </w:tbl>
    <w:p w14:paraId="6824162B" w14:textId="44228896" w:rsidR="007D01FA" w:rsidRPr="00AC1FD8" w:rsidRDefault="007D01FA" w:rsidP="00AC1FD8">
      <w:pPr>
        <w:pStyle w:val="CETheadingx"/>
      </w:pPr>
      <w:r>
        <w:t>Lattice-Boltzmann Method</w:t>
      </w:r>
      <w:bookmarkStart w:id="3" w:name="_Hlk171941851"/>
    </w:p>
    <w:p w14:paraId="00E61CC9" w14:textId="30B559AE" w:rsidR="00C31691" w:rsidRPr="00E8661E" w:rsidRDefault="007D01FA" w:rsidP="00C31691">
      <w:pPr>
        <w:pStyle w:val="CETBodytext"/>
      </w:pPr>
      <w:r w:rsidRPr="00E8661E">
        <w:t xml:space="preserve">The fundamental variable in kinetic theory is the particle distribution function </w:t>
      </w:r>
      <m:oMath>
        <m:r>
          <w:rPr>
            <w:rFonts w:ascii="Cambria Math" w:hAnsi="Cambria Math"/>
          </w:rPr>
          <m:t>f</m:t>
        </m:r>
        <m:d>
          <m:dPr>
            <m:ctrlPr>
              <w:rPr>
                <w:rFonts w:ascii="Cambria Math" w:hAnsi="Cambria Math"/>
              </w:rPr>
            </m:ctrlPr>
          </m:dPr>
          <m:e>
            <m:r>
              <m:rPr>
                <m:sty m:val="bi"/>
              </m:rPr>
              <w:rPr>
                <w:rFonts w:ascii="Cambria Math" w:hAnsi="Cambria Math"/>
              </w:rPr>
              <m:t>x</m:t>
            </m:r>
            <m:r>
              <w:rPr>
                <w:rFonts w:ascii="Cambria Math" w:hAnsi="Cambria Math"/>
              </w:rPr>
              <m:t>,</m:t>
            </m:r>
            <m:r>
              <m:rPr>
                <m:sty m:val="bi"/>
              </m:rPr>
              <w:rPr>
                <w:rFonts w:ascii="Cambria Math" w:hAnsi="Cambria Math"/>
              </w:rPr>
              <m:t>ξ</m:t>
            </m:r>
            <m:r>
              <w:rPr>
                <w:rFonts w:ascii="Cambria Math" w:hAnsi="Cambria Math"/>
              </w:rPr>
              <m:t>,t</m:t>
            </m:r>
          </m:e>
        </m:d>
      </m:oMath>
      <w:r w:rsidRPr="00E8661E">
        <w:t xml:space="preserve">. It represents the density of particles with velocity </w:t>
      </w:r>
      <m:oMath>
        <m:r>
          <m:rPr>
            <m:sty m:val="bi"/>
          </m:rPr>
          <w:rPr>
            <w:rFonts w:ascii="Cambria Math" w:hAnsi="Cambria Math"/>
          </w:rPr>
          <m:t>ξ=</m:t>
        </m:r>
        <m:d>
          <m:dPr>
            <m:ctrlPr>
              <w:rPr>
                <w:rFonts w:ascii="Cambria Math" w:hAnsi="Cambria Math"/>
              </w:rPr>
            </m:ctrlPr>
          </m:dPr>
          <m:e>
            <m:sSub>
              <m:sSubPr>
                <m:ctrlPr>
                  <w:rPr>
                    <w:rFonts w:ascii="Cambria Math" w:hAnsi="Cambria Math"/>
                    <w:i/>
                  </w:rPr>
                </m:ctrlPr>
              </m:sSubPr>
              <m:e>
                <m:r>
                  <w:rPr>
                    <w:rFonts w:ascii="Cambria Math" w:hAnsi="Cambria Math"/>
                  </w:rPr>
                  <m:t>ξ</m:t>
                </m:r>
              </m:e>
              <m:sub>
                <m:r>
                  <w:rPr>
                    <w:rFonts w:ascii="Cambria Math" w:hAnsi="Cambria Math"/>
                  </w:rPr>
                  <m:t>x</m:t>
                </m:r>
              </m:sub>
            </m:sSub>
            <m:r>
              <w:rPr>
                <w:rFonts w:ascii="Cambria Math" w:hAnsi="Cambria Math"/>
              </w:rPr>
              <m:t xml:space="preserve">, </m:t>
            </m:r>
            <m:sSub>
              <m:sSubPr>
                <m:ctrlPr>
                  <w:rPr>
                    <w:rFonts w:ascii="Cambria Math" w:hAnsi="Cambria Math"/>
                    <w:i/>
                  </w:rPr>
                </m:ctrlPr>
              </m:sSubPr>
              <m:e>
                <m:r>
                  <w:rPr>
                    <w:rFonts w:ascii="Cambria Math" w:hAnsi="Cambria Math"/>
                  </w:rPr>
                  <m:t>ξ</m:t>
                </m:r>
              </m:e>
              <m:sub>
                <m:r>
                  <w:rPr>
                    <w:rFonts w:ascii="Cambria Math" w:hAnsi="Cambria Math"/>
                  </w:rPr>
                  <m:t>y</m:t>
                </m:r>
              </m:sub>
            </m:sSub>
            <m:r>
              <w:rPr>
                <w:rFonts w:ascii="Cambria Math" w:hAnsi="Cambria Math"/>
              </w:rPr>
              <m:t xml:space="preserve">, </m:t>
            </m:r>
            <m:sSub>
              <m:sSubPr>
                <m:ctrlPr>
                  <w:rPr>
                    <w:rFonts w:ascii="Cambria Math" w:hAnsi="Cambria Math"/>
                    <w:i/>
                  </w:rPr>
                </m:ctrlPr>
              </m:sSubPr>
              <m:e>
                <m:r>
                  <w:rPr>
                    <w:rFonts w:ascii="Cambria Math" w:hAnsi="Cambria Math"/>
                  </w:rPr>
                  <m:t>ξ</m:t>
                </m:r>
              </m:e>
              <m:sub>
                <m:r>
                  <w:rPr>
                    <w:rFonts w:ascii="Cambria Math" w:hAnsi="Cambria Math"/>
                  </w:rPr>
                  <m:t>z</m:t>
                </m:r>
              </m:sub>
            </m:sSub>
          </m:e>
        </m:d>
      </m:oMath>
      <w:r w:rsidRPr="00E8661E">
        <w:t xml:space="preserve"> at position </w:t>
      </w:r>
      <w:r w:rsidRPr="00E8661E">
        <w:rPr>
          <w:b/>
          <w:i/>
        </w:rPr>
        <w:t>x</w:t>
      </w:r>
      <w:r w:rsidRPr="00E8661E">
        <w:t xml:space="preserve"> and time t. </w:t>
      </w:r>
      <w:r w:rsidR="00C31691" w:rsidRPr="00E8661E">
        <w:t xml:space="preserve">The Boltzmann equation </w:t>
      </w:r>
      <w:r w:rsidR="005353C1">
        <w:t xml:space="preserve">(2) </w:t>
      </w:r>
      <w:r w:rsidR="00C31691" w:rsidRPr="00E8661E">
        <w:t xml:space="preserve">is </w:t>
      </w:r>
      <w:r w:rsidR="005353C1">
        <w:t xml:space="preserve">a partial differential equation </w:t>
      </w:r>
      <w:r w:rsidR="00C31691" w:rsidRPr="00E8661E">
        <w:t xml:space="preserve">which describes the evolution of the </w:t>
      </w:r>
      <w:r w:rsidR="00170890" w:rsidRPr="00E8661E">
        <w:t>distribution function</w:t>
      </w:r>
      <w:r w:rsidR="00170890">
        <w:t xml:space="preserve"> </w:t>
      </w:r>
      <w:r w:rsidR="00F24B6C">
        <w:t xml:space="preserve">in time: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9"/>
        <w:gridCol w:w="1928"/>
      </w:tblGrid>
      <w:tr w:rsidR="00C31691" w:rsidRPr="00E8661E" w14:paraId="729D4A24" w14:textId="77777777" w:rsidTr="00C31691">
        <w:trPr>
          <w:trHeight w:val="471"/>
        </w:trPr>
        <w:tc>
          <w:tcPr>
            <w:tcW w:w="7084" w:type="dxa"/>
          </w:tcPr>
          <w:p w14:paraId="16EB0A1D" w14:textId="77777777" w:rsidR="00C31691" w:rsidRPr="00E8661E" w:rsidRDefault="00B20979" w:rsidP="00C66BA7">
            <w:pPr>
              <w:pStyle w:val="CETEquation"/>
            </w:pPr>
            <m:oMath>
              <m:f>
                <m:fPr>
                  <m:ctrlPr>
                    <w:rPr>
                      <w:rFonts w:ascii="Cambria Math" w:hAnsi="Cambria Math"/>
                    </w:rPr>
                  </m:ctrlPr>
                </m:fPr>
                <m:num>
                  <m:r>
                    <w:rPr>
                      <w:rFonts w:ascii="Cambria Math" w:hAnsi="Cambria Math"/>
                    </w:rPr>
                    <m:t>∂f</m:t>
                  </m:r>
                </m:num>
                <m:den>
                  <m:r>
                    <w:rPr>
                      <w:rFonts w:ascii="Cambria Math" w:hAnsi="Cambria Math"/>
                    </w:rPr>
                    <m:t>∂t</m:t>
                  </m:r>
                </m:den>
              </m:f>
              <m:r>
                <m:rPr>
                  <m:sty m:val="p"/>
                </m:rPr>
                <w:rPr>
                  <w:rFonts w:ascii="Cambria Math" w:hAnsi="Cambria Math"/>
                </w:rPr>
                <m:t>+</m:t>
              </m:r>
              <m:sSub>
                <m:sSubPr>
                  <m:ctrlPr>
                    <w:rPr>
                      <w:rFonts w:ascii="Cambria Math" w:hAnsi="Cambria Math"/>
                    </w:rPr>
                  </m:ctrlPr>
                </m:sSubPr>
                <m:e>
                  <m:r>
                    <w:rPr>
                      <w:rFonts w:ascii="Cambria Math" w:hAnsi="Cambria Math"/>
                    </w:rPr>
                    <m:t>ξ</m:t>
                  </m:r>
                </m:e>
                <m:sub>
                  <m:r>
                    <w:rPr>
                      <w:rFonts w:ascii="Cambria Math" w:hAnsi="Cambria Math"/>
                    </w:rPr>
                    <m:t>β</m:t>
                  </m:r>
                </m:sub>
              </m:sSub>
              <m:r>
                <m:rPr>
                  <m:sty m:val="p"/>
                </m:rPr>
                <w:rPr>
                  <w:rFonts w:ascii="Cambria Math" w:hAnsi="Cambria Math"/>
                </w:rPr>
                <m:t>∙</m:t>
              </m:r>
              <m:f>
                <m:fPr>
                  <m:ctrlPr>
                    <w:rPr>
                      <w:rFonts w:ascii="Cambria Math" w:hAnsi="Cambria Math"/>
                    </w:rPr>
                  </m:ctrlPr>
                </m:fPr>
                <m:num>
                  <m:r>
                    <w:rPr>
                      <w:rFonts w:ascii="Cambria Math" w:hAnsi="Cambria Math"/>
                    </w:rPr>
                    <m:t>∂f</m:t>
                  </m:r>
                </m:num>
                <m:den>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β</m:t>
                      </m:r>
                    </m:sub>
                  </m:sSub>
                </m:den>
              </m:f>
              <m:r>
                <m:rPr>
                  <m:sty m:val="p"/>
                </m:rPr>
                <w:rPr>
                  <w:rFonts w:ascii="Cambria Math" w:hAnsi="Cambria Math"/>
                </w:rPr>
                <m:t>=</m:t>
              </m:r>
              <m:r>
                <w:rPr>
                  <w:rFonts w:ascii="Cambria Math" w:hAnsi="Cambria Math"/>
                </w:rPr>
                <m:t>Ω</m:t>
              </m:r>
              <m:d>
                <m:dPr>
                  <m:ctrlPr>
                    <w:rPr>
                      <w:rFonts w:ascii="Cambria Math" w:hAnsi="Cambria Math"/>
                    </w:rPr>
                  </m:ctrlPr>
                </m:dPr>
                <m:e>
                  <m:r>
                    <w:rPr>
                      <w:rFonts w:ascii="Cambria Math" w:hAnsi="Cambria Math"/>
                    </w:rPr>
                    <m:t>f</m:t>
                  </m:r>
                </m:e>
              </m:d>
              <m:r>
                <m:rPr>
                  <m:sty m:val="p"/>
                </m:rPr>
                <w:rPr>
                  <w:rFonts w:ascii="Cambria Math" w:hAnsi="Cambria Math"/>
                </w:rPr>
                <m:t xml:space="preserve">     </m:t>
              </m:r>
              <m:r>
                <w:rPr>
                  <w:rFonts w:ascii="Cambria Math" w:hAnsi="Cambria Math"/>
                </w:rPr>
                <m:t>α</m:t>
              </m:r>
              <m:r>
                <m:rPr>
                  <m:sty m:val="p"/>
                </m:rPr>
                <w:rPr>
                  <w:rFonts w:ascii="Cambria Math" w:hAnsi="Cambria Math"/>
                </w:rPr>
                <m:t>,</m:t>
              </m:r>
              <m:r>
                <w:rPr>
                  <w:rFonts w:ascii="Cambria Math" w:hAnsi="Cambria Math"/>
                </w:rPr>
                <m:t>β</m:t>
              </m:r>
              <m:r>
                <m:rPr>
                  <m:sty m:val="p"/>
                </m:rPr>
                <w:rPr>
                  <w:rFonts w:ascii="Cambria Math" w:hAnsi="Cambria Math"/>
                </w:rPr>
                <m:t>∈</m:t>
              </m:r>
              <m:d>
                <m:dPr>
                  <m:begChr m:val="{"/>
                  <m:endChr m:val="}"/>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y</m:t>
                  </m:r>
                </m:e>
              </m:d>
              <m:r>
                <m:rPr>
                  <m:sty m:val="p"/>
                </m:rPr>
                <w:rPr>
                  <w:rFonts w:ascii="Cambria Math" w:hAnsi="Cambria Math"/>
                </w:rPr>
                <m:t xml:space="preserve">  . </m:t>
              </m:r>
            </m:oMath>
            <w:r w:rsidR="00C31691" w:rsidRPr="00E8661E">
              <w:rPr>
                <w:rFonts w:eastAsiaTheme="minorEastAsia"/>
              </w:rPr>
              <w:t xml:space="preserve"> </w:t>
            </w:r>
          </w:p>
        </w:tc>
        <w:tc>
          <w:tcPr>
            <w:tcW w:w="1988" w:type="dxa"/>
            <w:vAlign w:val="center"/>
          </w:tcPr>
          <w:p w14:paraId="51EFABC3" w14:textId="1E7F19DB" w:rsidR="00C31691" w:rsidRPr="00E8661E" w:rsidRDefault="00C66BA7" w:rsidP="00C66BA7">
            <w:pPr>
              <w:pStyle w:val="CETEquation"/>
            </w:pPr>
            <w:r>
              <w:t>(2</w:t>
            </w:r>
            <w:r w:rsidRPr="00E8661E">
              <w:t>)</w:t>
            </w:r>
          </w:p>
        </w:tc>
      </w:tr>
    </w:tbl>
    <w:p w14:paraId="0FC921B8" w14:textId="77777777" w:rsidR="00170890" w:rsidRDefault="00F24B6C" w:rsidP="00C31691">
      <w:pPr>
        <w:pStyle w:val="CETBodytext"/>
      </w:pPr>
      <w:r>
        <w:t>T</w:t>
      </w:r>
      <w:r w:rsidR="00C31691" w:rsidRPr="00E8661E">
        <w:t xml:space="preserve">he first two terms represent the distribution function being advected with the velocity </w:t>
      </w:r>
      <w:r w:rsidR="00C31691" w:rsidRPr="00E8661E">
        <w:rPr>
          <w:i/>
        </w:rPr>
        <w:t>ξ</w:t>
      </w:r>
      <w:r w:rsidR="00C31691" w:rsidRPr="00E8661E">
        <w:t xml:space="preserve"> of its particles. The source term on the right-hand side is the collision operator </w:t>
      </w:r>
      <m:oMath>
        <m:r>
          <w:rPr>
            <w:rFonts w:ascii="Cambria Math" w:hAnsi="Cambria Math"/>
          </w:rPr>
          <m:t>Ω</m:t>
        </m:r>
        <m:d>
          <m:dPr>
            <m:ctrlPr>
              <w:rPr>
                <w:rFonts w:ascii="Cambria Math" w:hAnsi="Cambria Math"/>
                <w:i/>
              </w:rPr>
            </m:ctrlPr>
          </m:dPr>
          <m:e>
            <m:r>
              <w:rPr>
                <w:rFonts w:ascii="Cambria Math" w:hAnsi="Cambria Math"/>
              </w:rPr>
              <m:t>f</m:t>
            </m:r>
          </m:e>
        </m:d>
      </m:oMath>
      <w:r w:rsidR="00C31691" w:rsidRPr="00E8661E">
        <w:t xml:space="preserve">, which represents the local redistribution of </w:t>
      </w:r>
      <w:r w:rsidR="00C31691" w:rsidRPr="00E8661E">
        <w:rPr>
          <w:i/>
        </w:rPr>
        <w:t>f</w:t>
      </w:r>
      <w:r w:rsidR="00C31691" w:rsidRPr="00E8661E">
        <w:t xml:space="preserve"> due to collisions.</w:t>
      </w:r>
      <w:r>
        <w:t xml:space="preserve"> </w:t>
      </w:r>
    </w:p>
    <w:p w14:paraId="52844ABC" w14:textId="7C9AD755" w:rsidR="007D01FA" w:rsidRPr="00E8661E" w:rsidRDefault="00170890" w:rsidP="00C31691">
      <w:pPr>
        <w:pStyle w:val="CETBodytext"/>
      </w:pPr>
      <w:r w:rsidRPr="006D1A0C">
        <w:t>In a quasi-Cartesian lattice, molecules originating from a lattice node are assumed to move only along a fixed set of Cartesian and diagonal directions to neighboring nodes.</w:t>
      </w:r>
      <w:r>
        <w:t xml:space="preserve"> </w:t>
      </w:r>
      <w:r w:rsidRPr="00E8661E">
        <w:t xml:space="preserve">The spatial and temporal probability of movement of a certain number of fluid molecules into a direction </w:t>
      </w:r>
      <w:r w:rsidRPr="00E8661E">
        <w:rPr>
          <w:i/>
        </w:rPr>
        <w:t>i</w:t>
      </w:r>
      <w:r w:rsidRPr="00E8661E">
        <w:t xml:space="preserve"> is described by the discrete distribution function </w:t>
      </w:r>
      <m:oMath>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rPr>
            </m:ctrlPr>
          </m:dPr>
          <m:e>
            <m:r>
              <w:rPr>
                <w:rFonts w:ascii="Cambria Math" w:hAnsi="Cambria Math"/>
              </w:rPr>
              <m:t>ξ</m:t>
            </m:r>
          </m:e>
        </m:d>
      </m:oMath>
      <w:r w:rsidRPr="00E8661E">
        <w:t xml:space="preserve"> which is often called the particle population. </w:t>
      </w:r>
      <w:r w:rsidR="006D1A0C" w:rsidRPr="006D1A0C">
        <w:t>Along these directions, the distribution functions</w:t>
      </w:r>
      <w:r w:rsidR="006D1A0C">
        <w:t xml:space="preserve">, </w:t>
      </w: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 </m:t>
        </m:r>
      </m:oMath>
      <w:r w:rsidR="006D1A0C" w:rsidRPr="006D1A0C">
        <w:t xml:space="preserve"> are streamed (i.e., propagated to adjacent nodes).</w:t>
      </w:r>
      <w:r w:rsidR="006D1A0C">
        <w:t xml:space="preserve"> </w:t>
      </w:r>
      <w:r w:rsidR="003457CB" w:rsidRPr="003457CB">
        <w:t xml:space="preserve">The chosen lattice type determines the number of discrete directions. In the MATRICS code, a D2Q9 lattice is used, where </w:t>
      </w:r>
      <w:r w:rsidR="00FC7F6B">
        <w:t xml:space="preserve">D </w:t>
      </w:r>
      <w:r w:rsidR="003457CB" w:rsidRPr="003457CB">
        <w:t xml:space="preserve">denotes the spatial dimension and </w:t>
      </w:r>
      <w:r w:rsidR="00FC7F6B">
        <w:t>Q t</w:t>
      </w:r>
      <w:r w:rsidR="003457CB" w:rsidRPr="003457CB">
        <w:t xml:space="preserve">he nine discrete velocity directions </w:t>
      </w:r>
      <m:oMath>
        <m:r>
          <w:rPr>
            <w:rFonts w:ascii="Cambria Math" w:hAnsi="Cambria Math"/>
          </w:rPr>
          <m:t>i</m:t>
        </m:r>
      </m:oMath>
      <w:r w:rsidR="003457CB" w:rsidRPr="003457CB">
        <w:t xml:space="preserve">. By discretizing the Boltzmann equation in velocity, space, and time, the </w:t>
      </w:r>
      <w:r>
        <w:t xml:space="preserve">following form of the </w:t>
      </w:r>
      <w:r w:rsidR="003457CB" w:rsidRPr="003457CB">
        <w:t>lattice Boltzmann equation is obtained</w:t>
      </w:r>
      <w:bookmarkEnd w:id="3"/>
      <w:r w:rsidR="007D01FA" w:rsidRPr="00E8661E">
        <w:t xml:space="preserve">: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57"/>
        <w:gridCol w:w="1930"/>
      </w:tblGrid>
      <w:tr w:rsidR="007D01FA" w:rsidRPr="00E8661E" w14:paraId="1C09BC45" w14:textId="77777777" w:rsidTr="007D01FA">
        <w:tc>
          <w:tcPr>
            <w:tcW w:w="7084" w:type="dxa"/>
          </w:tcPr>
          <w:p w14:paraId="3833F27A" w14:textId="77777777" w:rsidR="007D01FA" w:rsidRPr="00E8661E" w:rsidRDefault="00B20979" w:rsidP="00C66BA7">
            <w:pPr>
              <w:pStyle w:val="CETEquation"/>
            </w:pPr>
            <m:oMath>
              <m:sSub>
                <m:sSubPr>
                  <m:ctrlPr>
                    <w:rPr>
                      <w:rFonts w:ascii="Cambria Math" w:hAnsi="Cambria Math"/>
                    </w:rPr>
                  </m:ctrlPr>
                </m:sSubPr>
                <m:e>
                  <m:r>
                    <w:rPr>
                      <w:rFonts w:ascii="Cambria Math" w:hAnsi="Cambria Math"/>
                    </w:rPr>
                    <m:t>f</m:t>
                  </m:r>
                </m:e>
                <m:sub>
                  <m:r>
                    <w:rPr>
                      <w:rFonts w:ascii="Cambria Math" w:hAnsi="Cambria Math"/>
                    </w:rPr>
                    <m:t>i</m:t>
                  </m:r>
                </m:sub>
              </m:sSub>
              <m:d>
                <m:dPr>
                  <m:ctrlPr>
                    <w:rPr>
                      <w:rFonts w:ascii="Cambria Math" w:hAnsi="Cambria Math"/>
                    </w:rPr>
                  </m:ctrlPr>
                </m:dPr>
                <m:e>
                  <m:r>
                    <w:rPr>
                      <w:rFonts w:ascii="Cambria Math" w:hAnsi="Cambria Math"/>
                    </w:rPr>
                    <m:t>x</m:t>
                  </m:r>
                  <m:r>
                    <m:rPr>
                      <m:sty m:val="p"/>
                    </m:rPr>
                    <w:rPr>
                      <w:rFonts w:ascii="Cambria Math" w:hAnsi="Cambria Math"/>
                    </w:rPr>
                    <m:t>+</m:t>
                  </m:r>
                  <m:sSub>
                    <m:sSubPr>
                      <m:ctrlPr>
                        <w:rPr>
                          <w:rFonts w:ascii="Cambria Math" w:hAnsi="Cambria Math"/>
                        </w:rPr>
                      </m:ctrlPr>
                    </m:sSubPr>
                    <m:e>
                      <m:r>
                        <w:rPr>
                          <w:rFonts w:ascii="Cambria Math" w:hAnsi="Cambria Math"/>
                        </w:rPr>
                        <m:t>c</m:t>
                      </m:r>
                    </m:e>
                    <m:sub>
                      <m:r>
                        <w:rPr>
                          <w:rFonts w:ascii="Cambria Math" w:hAnsi="Cambria Math"/>
                        </w:rPr>
                        <m:t>i</m:t>
                      </m:r>
                    </m:sub>
                  </m:sSub>
                  <m:r>
                    <m:rPr>
                      <m:sty m:val="p"/>
                    </m:rPr>
                    <w:rPr>
                      <w:rFonts w:ascii="Cambria Math" w:hAnsi="Cambria Math"/>
                    </w:rPr>
                    <m:t>δ</m:t>
                  </m:r>
                  <m:r>
                    <w:rPr>
                      <w:rFonts w:ascii="Cambria Math" w:hAnsi="Cambria Math"/>
                    </w:rPr>
                    <m:t>t</m:t>
                  </m:r>
                  <m:r>
                    <m:rPr>
                      <m:sty m:val="p"/>
                    </m:rPr>
                    <w:rPr>
                      <w:rFonts w:ascii="Cambria Math" w:hAnsi="Cambria Math"/>
                    </w:rPr>
                    <m:t>,</m:t>
                  </m:r>
                  <m:r>
                    <w:rPr>
                      <w:rFonts w:ascii="Cambria Math" w:hAnsi="Cambria Math"/>
                    </w:rPr>
                    <m:t>t</m:t>
                  </m:r>
                  <m:r>
                    <m:rPr>
                      <m:sty m:val="p"/>
                    </m:rPr>
                    <w:rPr>
                      <w:rFonts w:ascii="Cambria Math" w:hAnsi="Cambria Math"/>
                    </w:rPr>
                    <m:t>+δ</m:t>
                  </m:r>
                  <m:r>
                    <w:rPr>
                      <w:rFonts w:ascii="Cambria Math" w:hAnsi="Cambria Math"/>
                    </w:rPr>
                    <m:t>t</m:t>
                  </m:r>
                </m:e>
              </m:d>
              <m:r>
                <m:rPr>
                  <m:sty m:val="p"/>
                </m:rP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i</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Ω</m:t>
              </m:r>
              <m:d>
                <m:dPr>
                  <m:ctrlPr>
                    <w:rPr>
                      <w:rFonts w:ascii="Cambria Math" w:hAnsi="Cambria Math"/>
                    </w:rPr>
                  </m:ctrlPr>
                </m:dPr>
                <m:e>
                  <m:r>
                    <w:rPr>
                      <w:rFonts w:ascii="Cambria Math" w:hAnsi="Cambria Math"/>
                    </w:rPr>
                    <m:t>f</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τ</m:t>
                  </m:r>
                </m:den>
              </m:f>
              <m:r>
                <m:rPr>
                  <m:sty m:val="p"/>
                </m:rPr>
                <w:rPr>
                  <w:rFonts w:ascii="Cambria Math" w:hAnsi="Cambria Math"/>
                </w:rPr>
                <m:t>∙</m:t>
              </m:r>
              <m:d>
                <m:dPr>
                  <m:ctrlPr>
                    <w:rPr>
                      <w:rFonts w:ascii="Cambria Math" w:hAnsi="Cambria Math"/>
                    </w:rPr>
                  </m:ctrlPr>
                </m:dPr>
                <m:e>
                  <m:sSubSup>
                    <m:sSubSupPr>
                      <m:ctrlPr>
                        <w:rPr>
                          <w:rFonts w:ascii="Cambria Math" w:hAnsi="Cambria Math"/>
                        </w:rPr>
                      </m:ctrlPr>
                    </m:sSubSupPr>
                    <m:e>
                      <m:r>
                        <w:rPr>
                          <w:rFonts w:ascii="Cambria Math" w:hAnsi="Cambria Math"/>
                        </w:rPr>
                        <m:t>f</m:t>
                      </m:r>
                    </m:e>
                    <m:sub>
                      <m:r>
                        <w:rPr>
                          <w:rFonts w:ascii="Cambria Math" w:hAnsi="Cambria Math"/>
                        </w:rPr>
                        <m:t>i</m:t>
                      </m:r>
                    </m:sub>
                    <m:sup>
                      <m:r>
                        <w:rPr>
                          <w:rFonts w:ascii="Cambria Math" w:hAnsi="Cambria Math"/>
                        </w:rPr>
                        <m:t>eq</m:t>
                      </m:r>
                    </m:sup>
                  </m:sSubSup>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t</m:t>
                      </m:r>
                    </m:e>
                  </m:d>
                  <m:r>
                    <m:rPr>
                      <m:sty m:val="p"/>
                    </m:rP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i</m:t>
                      </m:r>
                    </m:sub>
                  </m:sSub>
                  <m:d>
                    <m:dPr>
                      <m:ctrlPr>
                        <w:rPr>
                          <w:rFonts w:ascii="Cambria Math" w:hAnsi="Cambria Math"/>
                        </w:rPr>
                      </m:ctrlPr>
                    </m:dPr>
                    <m:e>
                      <m:r>
                        <w:rPr>
                          <w:rFonts w:ascii="Cambria Math" w:hAnsi="Cambria Math"/>
                        </w:rPr>
                        <m:t>x</m:t>
                      </m:r>
                      <m:r>
                        <m:rPr>
                          <m:sty m:val="p"/>
                        </m:rPr>
                        <w:rPr>
                          <w:rFonts w:ascii="Cambria Math" w:hAnsi="Cambria Math"/>
                        </w:rPr>
                        <m:t>,</m:t>
                      </m:r>
                      <m:r>
                        <w:rPr>
                          <w:rFonts w:ascii="Cambria Math" w:hAnsi="Cambria Math"/>
                        </w:rPr>
                        <m:t>t</m:t>
                      </m:r>
                    </m:e>
                  </m:d>
                </m:e>
              </m:d>
              <m:r>
                <m:rPr>
                  <m:sty m:val="p"/>
                </m:rPr>
                <w:rPr>
                  <w:rFonts w:ascii="Cambria Math" w:hAnsi="Cambria Math"/>
                </w:rPr>
                <m:t xml:space="preserve"> </m:t>
              </m:r>
            </m:oMath>
            <w:r w:rsidR="007D01FA" w:rsidRPr="00E8661E">
              <w:rPr>
                <w:rFonts w:eastAsiaTheme="minorEastAsia"/>
              </w:rPr>
              <w:t>.</w:t>
            </w:r>
          </w:p>
        </w:tc>
        <w:tc>
          <w:tcPr>
            <w:tcW w:w="1988" w:type="dxa"/>
            <w:vAlign w:val="center"/>
          </w:tcPr>
          <w:p w14:paraId="3BEA068A" w14:textId="73031CB9" w:rsidR="007D01FA" w:rsidRPr="00E8661E" w:rsidRDefault="00C66BA7" w:rsidP="00C66BA7">
            <w:pPr>
              <w:pStyle w:val="CETEquation"/>
            </w:pPr>
            <w:r>
              <w:t>(3</w:t>
            </w:r>
            <w:r w:rsidRPr="00E8661E">
              <w:t>)</w:t>
            </w:r>
          </w:p>
        </w:tc>
      </w:tr>
    </w:tbl>
    <w:p w14:paraId="5E782E74" w14:textId="42D06D5B" w:rsidR="005F5025" w:rsidRPr="00C31691" w:rsidRDefault="00AC1FD8" w:rsidP="002526A0">
      <w:pPr>
        <w:pStyle w:val="CETBodytext"/>
      </w:pPr>
      <w:r>
        <w:t>T</w:t>
      </w:r>
      <w:r w:rsidR="007D01FA" w:rsidRPr="00E8661E">
        <w:t xml:space="preserve">he </w:t>
      </w:r>
      <w:r w:rsidR="00F05F44" w:rsidRPr="00E8661E">
        <w:t>left-hand</w:t>
      </w:r>
      <w:r w:rsidR="007D01FA" w:rsidRPr="00E8661E">
        <w:t xml:space="preserve"> side of this equation </w:t>
      </w:r>
      <w:r w:rsidR="00F05F44">
        <w:t>represents</w:t>
      </w:r>
      <w:r w:rsidR="00F05F44" w:rsidRPr="00E8661E">
        <w:t xml:space="preserve"> </w:t>
      </w:r>
      <w:r w:rsidR="007D01FA" w:rsidRPr="00E8661E">
        <w:t>the convection (streaming) of the particle distributions, and the right</w:t>
      </w:r>
      <w:r w:rsidR="00F05F44">
        <w:t>-</w:t>
      </w:r>
      <w:r w:rsidR="007D01FA" w:rsidRPr="00E8661E">
        <w:t xml:space="preserve">hand side the collision term. </w:t>
      </w:r>
      <w:r w:rsidR="00F24B6C">
        <w:t xml:space="preserve">After </w:t>
      </w:r>
      <w:r w:rsidR="00573F98">
        <w:t xml:space="preserve">sufficient </w:t>
      </w:r>
      <w:r w:rsidR="00F24B6C">
        <w:t xml:space="preserve">time </w:t>
      </w:r>
      <w:r w:rsidR="007D01FA" w:rsidRPr="00E8661E">
        <w:t xml:space="preserve">the distribution function </w:t>
      </w:r>
      <m:oMath>
        <m:sSub>
          <m:sSubPr>
            <m:ctrlPr>
              <w:rPr>
                <w:rFonts w:ascii="Cambria Math" w:hAnsi="Cambria Math"/>
                <w:i/>
              </w:rPr>
            </m:ctrlPr>
          </m:sSubPr>
          <m:e>
            <m:r>
              <w:rPr>
                <w:rFonts w:ascii="Cambria Math" w:hAnsi="Cambria Math"/>
              </w:rPr>
              <m:t>f</m:t>
            </m:r>
          </m:e>
          <m:sub>
            <m:r>
              <w:rPr>
                <w:rFonts w:ascii="Cambria Math" w:hAnsi="Cambria Math"/>
              </w:rPr>
              <m:t>i</m:t>
            </m:r>
          </m:sub>
        </m:sSub>
        <m:d>
          <m:dPr>
            <m:ctrlPr>
              <w:rPr>
                <w:rFonts w:ascii="Cambria Math" w:hAnsi="Cambria Math"/>
              </w:rPr>
            </m:ctrlPr>
          </m:dPr>
          <m:e>
            <m:r>
              <m:rPr>
                <m:sty m:val="bi"/>
              </m:rPr>
              <w:rPr>
                <w:rFonts w:ascii="Cambria Math" w:hAnsi="Cambria Math"/>
              </w:rPr>
              <m:t>x</m:t>
            </m:r>
            <m:r>
              <w:rPr>
                <w:rFonts w:ascii="Cambria Math" w:hAnsi="Cambria Math"/>
              </w:rPr>
              <m:t>,</m:t>
            </m:r>
            <m:r>
              <m:rPr>
                <m:sty m:val="bi"/>
              </m:rPr>
              <w:rPr>
                <w:rFonts w:ascii="Cambria Math" w:hAnsi="Cambria Math"/>
              </w:rPr>
              <m:t>ξ</m:t>
            </m:r>
            <m:r>
              <w:rPr>
                <w:rFonts w:ascii="Cambria Math" w:hAnsi="Cambria Math"/>
              </w:rPr>
              <m:t>,t</m:t>
            </m:r>
          </m:e>
        </m:d>
        <m:r>
          <w:rPr>
            <w:rFonts w:ascii="Cambria Math" w:hAnsi="Cambria Math"/>
          </w:rPr>
          <m:t xml:space="preserve"> </m:t>
        </m:r>
      </m:oMath>
      <w:r w:rsidR="007D01FA" w:rsidRPr="00E8661E">
        <w:t xml:space="preserve">will reach an equilibrium distribution </w:t>
      </w:r>
      <m:oMath>
        <m:sSubSup>
          <m:sSubSupPr>
            <m:ctrlPr>
              <w:rPr>
                <w:rFonts w:ascii="Cambria Math" w:hAnsi="Cambria Math"/>
              </w:rPr>
            </m:ctrlPr>
          </m:sSubSupPr>
          <m:e>
            <m:r>
              <w:rPr>
                <w:rFonts w:ascii="Cambria Math" w:hAnsi="Cambria Math"/>
              </w:rPr>
              <m:t>f</m:t>
            </m:r>
          </m:e>
          <m:sub>
            <m:r>
              <w:rPr>
                <w:rFonts w:ascii="Cambria Math" w:hAnsi="Cambria Math"/>
              </w:rPr>
              <m:t>i</m:t>
            </m:r>
          </m:sub>
          <m:sup>
            <m:r>
              <w:rPr>
                <w:rFonts w:ascii="Cambria Math" w:hAnsi="Cambria Math"/>
              </w:rPr>
              <m:t>eq</m:t>
            </m:r>
          </m:sup>
        </m:sSubSup>
        <m:d>
          <m:dPr>
            <m:ctrlPr>
              <w:rPr>
                <w:rFonts w:ascii="Cambria Math" w:hAnsi="Cambria Math"/>
              </w:rPr>
            </m:ctrlPr>
          </m:dPr>
          <m:e>
            <m:r>
              <m:rPr>
                <m:sty m:val="bi"/>
              </m:rPr>
              <w:rPr>
                <w:rFonts w:ascii="Cambria Math" w:hAnsi="Cambria Math"/>
              </w:rPr>
              <m:t>x</m:t>
            </m:r>
            <m:r>
              <w:rPr>
                <w:rFonts w:ascii="Cambria Math" w:hAnsi="Cambria Math"/>
              </w:rPr>
              <m:t>,</m:t>
            </m:r>
            <m:r>
              <m:rPr>
                <m:sty m:val="bi"/>
              </m:rPr>
              <w:rPr>
                <w:rFonts w:ascii="Cambria Math" w:hAnsi="Cambria Math"/>
              </w:rPr>
              <m:t>ξ</m:t>
            </m:r>
            <m:r>
              <w:rPr>
                <w:rFonts w:ascii="Cambria Math" w:hAnsi="Cambria Math"/>
              </w:rPr>
              <m:t>,t</m:t>
            </m:r>
          </m:e>
        </m:d>
      </m:oMath>
      <w:r w:rsidR="00573F98">
        <w:t>,</w:t>
      </w:r>
      <w:r>
        <w:t xml:space="preserve"> which can be </w:t>
      </w:r>
      <w:r w:rsidR="007D01FA" w:rsidRPr="00E8661E">
        <w:t>derived from the Maxwell-Boltzmann equilibrium distribution</w:t>
      </w:r>
      <w:r>
        <w:t xml:space="preserve">. </w:t>
      </w:r>
      <w:r w:rsidR="00170890">
        <w:t>As i</w:t>
      </w:r>
      <w:r w:rsidRPr="00E8661E">
        <w:t>n most LBM codes in MATRICS the BGK (Bhatnagar Gross Krook) collision operator</w:t>
      </w:r>
      <w:r w:rsidR="00857505">
        <w:t>,</w:t>
      </w:r>
      <w:r w:rsidRPr="00E8661E">
        <w:t xml:space="preserve"> </w:t>
      </w:r>
      <w:r>
        <w:sym w:font="Symbol" w:char="F074"/>
      </w:r>
      <w:r w:rsidR="00857505">
        <w:t>,</w:t>
      </w:r>
      <w:r>
        <w:t xml:space="preserve"> </w:t>
      </w:r>
      <w:r w:rsidRPr="00E8661E">
        <w:t>is</w:t>
      </w:r>
      <w:r>
        <w:t xml:space="preserve"> used</w:t>
      </w:r>
      <w:r w:rsidRPr="00E8661E">
        <w:t xml:space="preserve"> </w:t>
      </w:r>
      <w:r w:rsidRPr="00E8661E">
        <w:fldChar w:fldCharType="begin"/>
      </w:r>
      <w:r w:rsidR="00B20979">
        <w:instrText xml:space="preserve"> ADDIN EN.CITE &lt;EndNote&gt;&lt;Cite&gt;&lt;Author&gt;Bhatnagar&lt;/Author&gt;&lt;Year&gt;1954&lt;/Year&gt;&lt;RecNum&gt;172&lt;/RecNum&gt;&lt;DisplayText&gt;(Bhatnagar et al., 1954)&lt;/DisplayText&gt;&lt;record&gt;&lt;rec-number&gt;172&lt;/rec-number&gt;&lt;foreign-keys&gt;&lt;key app="EN" db-id="ezaprsx2la0xeqeazd9x9xxgasx0fzfwfxvf" timestamp="1683793032"&gt;172&lt;/key&gt;&lt;/foreign-keys&gt;&lt;ref-type name="Journal Article"&gt;17&lt;/ref-type&gt;&lt;contributors&gt;&lt;authors&gt;&lt;author&gt;Bhatnagar, P. L.&lt;/author&gt;&lt;author&gt;Gross, E. P.&lt;/author&gt;&lt;author&gt;Krook, M.&lt;/author&gt;&lt;/authors&gt;&lt;/contributors&gt;&lt;titles&gt;&lt;title&gt;A Model for Collision Processes in Gases. I. Small Amplitude Processes in Charged and Neutral One-Component Systems&lt;/title&gt;&lt;secondary-title&gt;Physical Review&lt;/secondary-title&gt;&lt;/titles&gt;&lt;periodical&gt;&lt;full-title&gt;Physical Review&lt;/full-title&gt;&lt;/periodical&gt;&lt;pages&gt;511-525&lt;/pages&gt;&lt;volume&gt;94&lt;/volume&gt;&lt;number&gt;3&lt;/number&gt;&lt;dates&gt;&lt;year&gt;1954&lt;/year&gt;&lt;pub-dates&gt;&lt;date&gt;05/01/&lt;/date&gt;&lt;/pub-dates&gt;&lt;/dates&gt;&lt;publisher&gt;American Physical Society&lt;/publisher&gt;&lt;urls&gt;&lt;related-urls&gt;&lt;url&gt;https://link.aps.org/doi/10.1103/PhysRev.94.511&lt;/url&gt;&lt;/related-urls&gt;&lt;/urls&gt;&lt;electronic-resource-num&gt;https://doi.org/10.1103/PhysRev.94.511&lt;/electronic-resource-num&gt;&lt;/record&gt;&lt;/Cite&gt;&lt;/EndNote&gt;</w:instrText>
      </w:r>
      <w:r w:rsidRPr="00E8661E">
        <w:fldChar w:fldCharType="separate"/>
      </w:r>
      <w:r w:rsidR="00B20979">
        <w:rPr>
          <w:noProof/>
        </w:rPr>
        <w:t>(Bhatnagar et al., 1954)</w:t>
      </w:r>
      <w:r w:rsidRPr="00E8661E">
        <w:fldChar w:fldCharType="end"/>
      </w:r>
      <w:r w:rsidR="002526A0">
        <w:t>. Equation</w:t>
      </w:r>
      <w:r w:rsidR="00A62F2D">
        <w:t xml:space="preserve"> </w:t>
      </w:r>
      <w:r w:rsidR="002526A0">
        <w:t>(3) is solved on a grid which consists of equally sized cells (</w:t>
      </w:r>
      <w:r w:rsidR="00F05F44">
        <w:t xml:space="preserve">aka </w:t>
      </w:r>
      <w:r w:rsidR="002526A0">
        <w:t>lattices)</w:t>
      </w:r>
      <w:r w:rsidR="00F05F44">
        <w:t xml:space="preserve">. </w:t>
      </w:r>
      <w:r w:rsidR="007D01FA" w:rsidRPr="00E8661E">
        <w:t xml:space="preserve"> </w:t>
      </w:r>
      <w:r w:rsidR="00F05F44">
        <w:t>F</w:t>
      </w:r>
      <w:r w:rsidR="007D01FA" w:rsidRPr="00E8661E">
        <w:t>irst the equilibrium and non-equilibrium distributions are calculated</w:t>
      </w:r>
      <w:r w:rsidR="00857505">
        <w:t xml:space="preserve"> (the </w:t>
      </w:r>
      <w:r w:rsidR="00573F98">
        <w:t>collision</w:t>
      </w:r>
      <w:r w:rsidR="00857505">
        <w:t xml:space="preserve"> step)</w:t>
      </w:r>
      <w:r w:rsidR="00F05F44">
        <w:t>, then</w:t>
      </w:r>
      <w:r w:rsidR="00F05F44" w:rsidRPr="00E8661E" w:rsidDel="00F05F44">
        <w:t xml:space="preserve"> </w:t>
      </w:r>
      <w:r w:rsidR="00F05F44">
        <w:t>t</w:t>
      </w:r>
      <w:r w:rsidR="007D01FA" w:rsidRPr="00E8661E">
        <w:t xml:space="preserve">hese distributions are shifted </w:t>
      </w:r>
      <w:r w:rsidR="00857505">
        <w:t xml:space="preserve">(the streaming step) </w:t>
      </w:r>
      <w:r w:rsidR="007D01FA" w:rsidRPr="00E8661E">
        <w:t>to the neighb</w:t>
      </w:r>
      <w:r w:rsidR="00C31691">
        <w:t>or cells.</w:t>
      </w:r>
      <w:r w:rsidR="00573F98">
        <w:t xml:space="preserve"> </w:t>
      </w:r>
      <w:r w:rsidR="007D4A85" w:rsidRPr="007D4A85">
        <w:rPr>
          <w:lang w:val="en-GB"/>
        </w:rPr>
        <w:t xml:space="preserve">Because the LBM algorithm is comprised of just collision and streaming steps, the approach can be computationally </w:t>
      </w:r>
      <w:r w:rsidR="007147C8">
        <w:rPr>
          <w:lang w:val="en-GB"/>
        </w:rPr>
        <w:t xml:space="preserve">very </w:t>
      </w:r>
      <w:r w:rsidR="007D4A85" w:rsidRPr="007D4A85">
        <w:rPr>
          <w:lang w:val="en-GB"/>
        </w:rPr>
        <w:t>fast.</w:t>
      </w:r>
    </w:p>
    <w:p w14:paraId="408E3817" w14:textId="50F472F7" w:rsidR="005E1EF2" w:rsidRPr="00F040E0" w:rsidRDefault="001848E7" w:rsidP="001848E7">
      <w:pPr>
        <w:pStyle w:val="CETheadingx"/>
        <w:rPr>
          <w:lang w:val="de-DE"/>
        </w:rPr>
      </w:pPr>
      <w:r w:rsidRPr="00F040E0">
        <w:rPr>
          <w:lang w:val="de-DE"/>
        </w:rPr>
        <w:t>FVM Code DUO</w:t>
      </w:r>
      <w:r w:rsidRPr="00F040E0">
        <w:rPr>
          <w:lang w:val="de-DE"/>
        </w:rPr>
        <w:tab/>
      </w:r>
    </w:p>
    <w:p w14:paraId="5AF1F50C" w14:textId="5157EB24" w:rsidR="009544D1" w:rsidRPr="009544D1" w:rsidRDefault="009544D1" w:rsidP="00C009D4">
      <w:pPr>
        <w:pStyle w:val="CETBodytext"/>
      </w:pPr>
      <w:r w:rsidRPr="00E8661E">
        <w:t xml:space="preserve">For the validation of the results from the </w:t>
      </w:r>
      <w:r>
        <w:t>LBM code</w:t>
      </w:r>
      <w:r w:rsidRPr="00E8661E">
        <w:t>, the tool DUO</w:t>
      </w:r>
      <w:r w:rsidR="006214F5">
        <w:t xml:space="preserve"> was used</w:t>
      </w:r>
      <w:r w:rsidRPr="00E8661E">
        <w:t xml:space="preserve">, which </w:t>
      </w:r>
      <w:r w:rsidR="00B32758">
        <w:t xml:space="preserve">is an acronym </w:t>
      </w:r>
      <w:r w:rsidRPr="00E8661E">
        <w:t xml:space="preserve">for the coupling of the two computer codes DETCHEM </w:t>
      </w:r>
      <w:r w:rsidR="006214F5">
        <w:t>and</w:t>
      </w:r>
      <w:r w:rsidR="00B32758" w:rsidRPr="00E8661E">
        <w:t xml:space="preserve"> </w:t>
      </w:r>
      <w:r w:rsidR="00B32758">
        <w:t>(</w:t>
      </w:r>
      <w:r w:rsidR="006214F5">
        <w:t>in German U</w:t>
      </w:r>
      <w:r w:rsidR="00B32758">
        <w:t xml:space="preserve">nd) </w:t>
      </w:r>
      <w:r w:rsidRPr="00E8661E">
        <w:t>OpenFOAM</w:t>
      </w:r>
      <w:r w:rsidR="00B32758">
        <w:t xml:space="preserve">. </w:t>
      </w:r>
      <w:r w:rsidRPr="00E8661E">
        <w:t xml:space="preserve">OpenFOAM </w:t>
      </w:r>
      <w:r w:rsidRPr="00E8661E">
        <w:fldChar w:fldCharType="begin"/>
      </w:r>
      <w:r w:rsidR="00A1175F">
        <w:instrText xml:space="preserve"> ADDIN EN.CITE &lt;EndNote&gt;&lt;Cite&gt;&lt;Year&gt;2017&lt;/Year&gt;&lt;RecNum&gt;38&lt;/RecNum&gt;&lt;DisplayText&gt;(2017)&lt;/DisplayText&gt;&lt;record&gt;&lt;rec-number&gt;38&lt;/rec-number&gt;&lt;foreign-keys&gt;&lt;key app="EN" db-id="tfrsefz59xr0sme0225prszaftt5v2ad9paz" timestamp="1492696989"&gt;38&lt;/key&gt;&lt;/foreign-keys&gt;&lt;ref-type name="Computer Program"&gt;9&lt;/ref-type&gt;&lt;contributors&gt;&lt;/contributors&gt;&lt;titles&gt;&lt;title&gt;OpenFOAM-The Open Source CFD Toolbox&lt;/title&gt;&lt;/titles&gt;&lt;dates&gt;&lt;year&gt;2017&lt;/year&gt;&lt;/dates&gt;&lt;publisher&gt;www.openfoam.org&lt;/publisher&gt;&lt;urls&gt;&lt;related-urls&gt;&lt;url&gt;www.detchem.com&lt;/url&gt;&lt;/related-urls&gt;&lt;/urls&gt;&lt;/record&gt;&lt;/Cite&gt;&lt;/EndNote&gt;</w:instrText>
      </w:r>
      <w:r w:rsidRPr="00E8661E">
        <w:fldChar w:fldCharType="separate"/>
      </w:r>
      <w:r w:rsidR="00A1175F">
        <w:rPr>
          <w:noProof/>
        </w:rPr>
        <w:t>(2017)</w:t>
      </w:r>
      <w:r w:rsidRPr="00E8661E">
        <w:fldChar w:fldCharType="end"/>
      </w:r>
      <w:r w:rsidRPr="00E8661E">
        <w:rPr>
          <w:noProof/>
        </w:rPr>
        <w:fldChar w:fldCharType="begin"/>
      </w:r>
      <w:r w:rsidRPr="00E8661E">
        <w:rPr>
          <w:noProof/>
        </w:rPr>
        <w:instrText>1]</w:instrText>
      </w:r>
      <w:r w:rsidRPr="00E8661E">
        <w:fldChar w:fldCharType="end"/>
      </w:r>
      <w:r w:rsidRPr="00E8661E">
        <w:t xml:space="preserve"> is an open source </w:t>
      </w:r>
      <w:r w:rsidR="00B32758">
        <w:t xml:space="preserve">FVM </w:t>
      </w:r>
      <w:r w:rsidRPr="00E8661E">
        <w:t xml:space="preserve">CFD tool, which enables the calculation of multiple combined </w:t>
      </w:r>
      <w:r w:rsidR="00F040E0">
        <w:t>1D/2D/3D</w:t>
      </w:r>
      <w:r w:rsidRPr="00E8661E">
        <w:t xml:space="preserve"> fluid and solid regions. DETCHEM</w:t>
      </w:r>
      <w:r w:rsidRPr="00E8661E">
        <w:rPr>
          <w:vertAlign w:val="superscript"/>
        </w:rPr>
        <w:t>TM</w:t>
      </w:r>
      <w:r w:rsidRPr="00E8661E">
        <w:t xml:space="preserve"> </w:t>
      </w:r>
      <w:r w:rsidRPr="00E8661E">
        <w:fldChar w:fldCharType="begin"/>
      </w:r>
      <w:r w:rsidR="00B20979">
        <w:instrText xml:space="preserve"> ADDIN EN.CITE &lt;EndNote&gt;&lt;Cite&gt;&lt;Author&gt;Deutschmann&lt;/Author&gt;&lt;Year&gt;2014&lt;/Year&gt;&lt;RecNum&gt;88&lt;/RecNum&gt;&lt;DisplayText&gt;(Deutschmann et al., 2014)&lt;/DisplayText&gt;&lt;record&gt;&lt;rec-number&gt;88&lt;/rec-number&gt;&lt;foreign-keys&gt;&lt;key app="EN" db-id="ezaprsx2la0xeqeazd9x9xxgasx0fzfwfxvf" timestamp="1562664314"&gt;88&lt;/key&gt;&lt;/foreign-keys&gt;&lt;ref-type name="Computer Program"&gt;9&lt;/ref-type&gt;&lt;contributors&gt;&lt;authors&gt;&lt;author&gt;O. Deutschmann&lt;/author&gt;&lt;author&gt;S. Tischer&lt;/author&gt;&lt;author&gt;C. Correa&lt;/author&gt;&lt;author&gt;D. Chatterjee&lt;/author&gt;&lt;author&gt;S. Kleditzsch&lt;/author&gt;&lt;author&gt;V. M. Janardhanan&lt;/author&gt;&lt;author&gt;N. Mladenov&lt;/author&gt;&lt;author&gt;H. D. Minh&lt;/author&gt;&lt;author&gt;H. Karadeniz&lt;/author&gt;&lt;author&gt;M. Hettel&lt;/author&gt;&lt;/authors&gt;&lt;/contributors&gt;&lt;titles&gt;&lt;title&gt;DETCHEM Software package&lt;/title&gt;&lt;/titles&gt;&lt;dates&gt;&lt;year&gt;2014&lt;/year&gt;&lt;/dates&gt;&lt;pub-location&gt;Karlsruhe, Germany&lt;/pub-location&gt;&lt;publisher&gt;www.detchem.com&lt;/publisher&gt;&lt;urls&gt;&lt;related-urls&gt;&lt;url&gt;www.detchem.com&lt;/url&gt;&lt;/related-urls&gt;&lt;/urls&gt;&lt;/record&gt;&lt;/Cite&gt;&lt;/EndNote&gt;</w:instrText>
      </w:r>
      <w:r w:rsidRPr="00E8661E">
        <w:fldChar w:fldCharType="separate"/>
      </w:r>
      <w:r w:rsidR="00B20979">
        <w:rPr>
          <w:noProof/>
        </w:rPr>
        <w:t>(Deutschmann et al., 2014)</w:t>
      </w:r>
      <w:r w:rsidRPr="00E8661E">
        <w:fldChar w:fldCharType="end"/>
      </w:r>
      <w:r w:rsidRPr="00E8661E">
        <w:t xml:space="preserve"> is a commercially available package of tools specifically designed for the modeling and simulation of reacting flows based on elementary step mechanisms, particularly for </w:t>
      </w:r>
      <w:r w:rsidR="00F24B6C">
        <w:t>cataly</w:t>
      </w:r>
      <w:r w:rsidR="00380A44">
        <w:t>tic systems</w:t>
      </w:r>
      <w:r w:rsidRPr="00E8661E">
        <w:t xml:space="preserve">. </w:t>
      </w:r>
      <w:r w:rsidR="00B32758">
        <w:t>DUO extends OpenFOAM to solve detailed surface reactions</w:t>
      </w:r>
      <w:r w:rsidR="00A421DF">
        <w:t xml:space="preserve"> </w:t>
      </w:r>
      <w:r w:rsidR="0057403B">
        <w:fldChar w:fldCharType="begin"/>
      </w:r>
      <w:r w:rsidR="00B20979">
        <w:instrText xml:space="preserve"> ADDIN EN.CITE &lt;EndNote&gt;&lt;Cite&gt;&lt;Author&gt;Hettel&lt;/Author&gt;&lt;Year&gt;2018&lt;/Year&gt;&lt;RecNum&gt;45&lt;/RecNum&gt;&lt;DisplayText&gt;(Hettel et al., 2018a)&lt;/DisplayText&gt;&lt;record&gt;&lt;rec-number&gt;45&lt;/rec-number&gt;&lt;foreign-keys&gt;&lt;key app="EN" db-id="ezaprsx2la0xeqeazd9x9xxgasx0fzfwfxvf" timestamp="1557730209"&gt;45&lt;/key&gt;&lt;/foreign-keys&gt;&lt;ref-type name="Journal Article"&gt;17&lt;/ref-type&gt;&lt;contributors&gt;&lt;authors&gt;&lt;author&gt;Hettel, M.&lt;/author&gt;&lt;author&gt;Daymo, E.&lt;/author&gt;&lt;author&gt;Deutschmann, O.&lt;/author&gt;&lt;/authors&gt;&lt;/contributors&gt;&lt;titles&gt;&lt;title&gt;3D modeling of a CPOX-reformer including detailed chemistry and radiation effects with DUO&lt;/title&gt;&lt;secondary-title&gt;Computers &amp;amp; Chemical Engineering&lt;/secondary-title&gt;&lt;/titles&gt;&lt;periodical&gt;&lt;full-title&gt;Computers &amp;amp; Chemical Engineering&lt;/full-title&gt;&lt;/periodical&gt;&lt;pages&gt;166-178&lt;/pages&gt;&lt;volume&gt;109&lt;/volume&gt;&lt;keywords&gt;&lt;keyword&gt;CFD&lt;/keyword&gt;&lt;keyword&gt;3D&lt;/keyword&gt;&lt;keyword&gt;DUO&lt;/keyword&gt;&lt;keyword&gt;OpenFOAM&lt;/keyword&gt;&lt;keyword&gt;DETCHEM&lt;/keyword&gt;&lt;keyword&gt;CPOX&lt;/keyword&gt;&lt;keyword&gt;Simulation&lt;/keyword&gt;&lt;keyword&gt;Modeling&lt;/keyword&gt;&lt;keyword&gt;Monolith catalyst&lt;/keyword&gt;&lt;keyword&gt;Honeycomb catalyst&lt;/keyword&gt;&lt;keyword&gt;Reformer&lt;/keyword&gt;&lt;keyword&gt;Detailed chemistry&lt;/keyword&gt;&lt;keyword&gt;Solid body radiation&lt;/keyword&gt;&lt;/keywords&gt;&lt;dates&gt;&lt;year&gt;2018&lt;/year&gt;&lt;pub-dates&gt;&lt;date&gt;2018/01/04/&lt;/date&gt;&lt;/pub-dates&gt;&lt;/dates&gt;&lt;isbn&gt;0098-1354&lt;/isbn&gt;&lt;urls&gt;&lt;related-urls&gt;&lt;url&gt;http://www.sciencedirect.com/science/article/pii/S0098135417304064&lt;/url&gt;&lt;url&gt;https://www.sciencedirect.com/science/article/pii/S0098135417304064?via%3Dihub&lt;/url&gt;&lt;/related-urls&gt;&lt;/urls&gt;&lt;electronic-resource-num&gt;https://doi.org/10.1016/j.compchemeng.2017.11.005&lt;/electronic-resource-num&gt;&lt;/record&gt;&lt;/Cite&gt;&lt;/EndNote&gt;</w:instrText>
      </w:r>
      <w:r w:rsidR="0057403B">
        <w:fldChar w:fldCharType="separate"/>
      </w:r>
      <w:r w:rsidR="00B20979">
        <w:rPr>
          <w:noProof/>
        </w:rPr>
        <w:t>(Hettel et al., 2018a)</w:t>
      </w:r>
      <w:r w:rsidR="0057403B">
        <w:fldChar w:fldCharType="end"/>
      </w:r>
      <w:r w:rsidRPr="00E8661E">
        <w:t xml:space="preserve">.  </w:t>
      </w:r>
      <w:r w:rsidR="00F040E0">
        <w:t>For the actual calculations the 2D version was applied.</w:t>
      </w:r>
    </w:p>
    <w:p w14:paraId="2B0AA672" w14:textId="77FDB9EA" w:rsidR="005E1EF2" w:rsidRPr="005E1EF2" w:rsidRDefault="001848E7" w:rsidP="001848E7">
      <w:pPr>
        <w:pStyle w:val="CETheadingx"/>
      </w:pPr>
      <w:r>
        <w:t>LBM code MATRICS</w:t>
      </w:r>
      <w:r>
        <w:tab/>
      </w:r>
    </w:p>
    <w:p w14:paraId="6B143CF3" w14:textId="334270D2" w:rsidR="005E1EF2" w:rsidRPr="00AC1FD8" w:rsidRDefault="007D0565" w:rsidP="00AC1FD8">
      <w:pPr>
        <w:pStyle w:val="CETBodytext"/>
      </w:pPr>
      <w:r w:rsidRPr="007D0565">
        <w:rPr>
          <w:lang w:val="en-GB"/>
        </w:rPr>
        <w:t>The LBM code MATRICS employs a D2Q9 lattice</w:t>
      </w:r>
      <w:r>
        <w:rPr>
          <w:lang w:val="en-GB"/>
        </w:rPr>
        <w:t xml:space="preserve"> a</w:t>
      </w:r>
      <w:r w:rsidRPr="007D0565">
        <w:rPr>
          <w:lang w:val="en-GB"/>
        </w:rPr>
        <w:t>nd enables simulations in arbitrarily shaped two-dimensional domains, including detailed surface chemistry</w:t>
      </w:r>
      <w:r>
        <w:rPr>
          <w:lang w:val="en-GB"/>
        </w:rPr>
        <w:t xml:space="preserve"> </w:t>
      </w:r>
      <w:r w:rsidR="00271C21">
        <w:fldChar w:fldCharType="begin"/>
      </w:r>
      <w:r w:rsidR="00B20979">
        <w:instrText xml:space="preserve"> ADDIN EN.CITE &lt;EndNote&gt;&lt;Cite&gt;&lt;Author&gt;Hettel&lt;/Author&gt;&lt;Year&gt;2026&lt;/Year&gt;&lt;RecNum&gt;316&lt;/RecNum&gt;&lt;DisplayText&gt;(Hettel et al., 2026)&lt;/DisplayText&gt;&lt;record&gt;&lt;rec-number&gt;316&lt;/rec-number&gt;&lt;foreign-keys&gt;&lt;key app="EN" db-id="ezaprsx2la0xeqeazd9x9xxgasx0fzfwfxvf" timestamp="1777274335"&gt;316&lt;/key&gt;&lt;/foreign-keys&gt;&lt;ref-type name="Journal Article"&gt;17&lt;/ref-type&gt;&lt;contributors&gt;&lt;authors&gt;&lt;author&gt;Hettel, Matthias&lt;/author&gt;&lt;author&gt;Daymo, Eric A.&lt;/author&gt;&lt;author&gt;Sawant, Nilesh&lt;/author&gt;&lt;author&gt;Deutschmann, Olaf&lt;/author&gt;&lt;/authors&gt;&lt;/contributors&gt;&lt;titles&gt;&lt;title&gt;2D lattice-boltzmann method with detailed surface chemistry: conservation of geometrical surface&lt;/title&gt;&lt;secondary-title&gt;Chemical Engineering Science&lt;/secondary-title&gt;&lt;/titles&gt;&lt;periodical&gt;&lt;full-title&gt;Chemical Engineering Science&lt;/full-title&gt;&lt;/periodical&gt;&lt;pages&gt;122797&lt;/pages&gt;&lt;volume&gt;321&lt;/volume&gt;&lt;keywords&gt;&lt;keyword&gt;Lattice-boltzmann method&lt;/keyword&gt;&lt;keyword&gt;D2Q9&lt;/keyword&gt;&lt;keyword&gt;Catalysis&lt;/keyword&gt;&lt;keyword&gt;Detailed surface chemistry&lt;/keyword&gt;&lt;keyword&gt;Microkinetics model&lt;/keyword&gt;&lt;keyword&gt;Geometrical surface&lt;/keyword&gt;&lt;keyword&gt;Formaldehyde conversion CHO&lt;/keyword&gt;&lt;/keywords&gt;&lt;dates&gt;&lt;year&gt;2026&lt;/year&gt;&lt;pub-dates&gt;&lt;date&gt;2026/02/01/&lt;/date&gt;&lt;/pub-dates&gt;&lt;/dates&gt;&lt;isbn&gt;0009-2509&lt;/isbn&gt;&lt;urls&gt;&lt;related-urls&gt;&lt;url&gt;https://www.sciencedirect.com/science/article/pii/S0009250925016185&lt;/url&gt;&lt;/related-urls&gt;&lt;/urls&gt;&lt;electronic-resource-num&gt;https://doi.org/10.1016/j.ces.2025.122797&lt;/electronic-resource-num&gt;&lt;/record&gt;&lt;/Cite&gt;&lt;/EndNote&gt;</w:instrText>
      </w:r>
      <w:r w:rsidR="00271C21">
        <w:fldChar w:fldCharType="separate"/>
      </w:r>
      <w:r w:rsidR="00B20979">
        <w:rPr>
          <w:noProof/>
        </w:rPr>
        <w:t>(Hettel et al., 2026)</w:t>
      </w:r>
      <w:r w:rsidR="00271C21">
        <w:fldChar w:fldCharType="end"/>
      </w:r>
      <w:r w:rsidR="000A1E3F" w:rsidRPr="00E8661E">
        <w:t xml:space="preserve">. </w:t>
      </w:r>
      <w:r w:rsidRPr="007D0565">
        <w:rPr>
          <w:lang w:val="en-GB"/>
        </w:rPr>
        <w:t>As in the DUO code described above, chemical source terms are computed by coupling</w:t>
      </w:r>
      <w:r>
        <w:rPr>
          <w:lang w:val="en-GB"/>
        </w:rPr>
        <w:tab/>
      </w:r>
      <w:r w:rsidRPr="007D0565">
        <w:rPr>
          <w:lang w:val="en-GB"/>
        </w:rPr>
        <w:t> </w:t>
      </w:r>
      <w:r w:rsidR="000A1E3F" w:rsidRPr="00E8661E">
        <w:t>DETCHEM</w:t>
      </w:r>
      <w:r w:rsidR="000A1E3F" w:rsidRPr="00E8661E">
        <w:rPr>
          <w:vertAlign w:val="superscript"/>
        </w:rPr>
        <w:t>TM</w:t>
      </w:r>
      <w:r w:rsidR="000A1E3F" w:rsidRPr="00E8661E">
        <w:t xml:space="preserve"> </w:t>
      </w:r>
      <w:r w:rsidR="000A1E3F" w:rsidRPr="00E8661E">
        <w:fldChar w:fldCharType="begin"/>
      </w:r>
      <w:r w:rsidR="00B20979">
        <w:instrText xml:space="preserve"> ADDIN EN.CITE &lt;EndNote&gt;&lt;Cite&gt;&lt;Author&gt;Deutschmann&lt;/Author&gt;&lt;Year&gt;2014&lt;/Year&gt;&lt;RecNum&gt;88&lt;/RecNum&gt;&lt;DisplayText&gt;(Deutschmann et al., 2014)&lt;/DisplayText&gt;&lt;record&gt;&lt;rec-number&gt;88&lt;/rec-number&gt;&lt;foreign-keys&gt;&lt;key app="EN" db-id="ezaprsx2la0xeqeazd9x9xxgasx0fzfwfxvf" timestamp="1562664314"&gt;88&lt;/key&gt;&lt;/foreign-keys&gt;&lt;ref-type name="Computer Program"&gt;9&lt;/ref-type&gt;&lt;contributors&gt;&lt;authors&gt;&lt;author&gt;O. Deutschmann&lt;/author&gt;&lt;author&gt;S. Tischer&lt;/author&gt;&lt;author&gt;C. Correa&lt;/author&gt;&lt;author&gt;D. Chatterjee&lt;/author&gt;&lt;author&gt;S. Kleditzsch&lt;/author&gt;&lt;author&gt;V. M. Janardhanan&lt;/author&gt;&lt;author&gt;N. Mladenov&lt;/author&gt;&lt;author&gt;H. D. Minh&lt;/author&gt;&lt;author&gt;H. Karadeniz&lt;/author&gt;&lt;author&gt;M. Hettel&lt;/author&gt;&lt;/authors&gt;&lt;/contributors&gt;&lt;titles&gt;&lt;title&gt;DETCHEM Software package&lt;/title&gt;&lt;/titles&gt;&lt;dates&gt;&lt;year&gt;2014&lt;/year&gt;&lt;/dates&gt;&lt;pub-location&gt;Karlsruhe, Germany&lt;/pub-location&gt;&lt;publisher&gt;www.detchem.com&lt;/publisher&gt;&lt;urls&gt;&lt;related-urls&gt;&lt;url&gt;www.detchem.com&lt;/url&gt;&lt;/related-urls&gt;&lt;/urls&gt;&lt;/record&gt;&lt;/Cite&gt;&lt;/EndNote&gt;</w:instrText>
      </w:r>
      <w:r w:rsidR="000A1E3F" w:rsidRPr="00E8661E">
        <w:fldChar w:fldCharType="separate"/>
      </w:r>
      <w:r w:rsidR="00B20979">
        <w:rPr>
          <w:noProof/>
        </w:rPr>
        <w:t>(Deutschmann et al., 2014)</w:t>
      </w:r>
      <w:r w:rsidR="000A1E3F" w:rsidRPr="00E8661E">
        <w:fldChar w:fldCharType="end"/>
      </w:r>
      <w:r w:rsidR="000A1E3F" w:rsidRPr="00E8661E">
        <w:t xml:space="preserve"> to MATRICS. </w:t>
      </w:r>
      <w:r w:rsidR="005577FE" w:rsidRPr="005577FE">
        <w:rPr>
          <w:lang w:val="en-GB"/>
        </w:rPr>
        <w:t xml:space="preserve">The code supports an arbitrary number of species equations and allows the import and automatic meshing of geometric </w:t>
      </w:r>
      <w:r w:rsidR="005577FE">
        <w:rPr>
          <w:lang w:val="en-GB"/>
        </w:rPr>
        <w:t>features</w:t>
      </w:r>
      <w:r w:rsidR="005577FE" w:rsidRPr="005577FE">
        <w:rPr>
          <w:lang w:val="en-GB"/>
        </w:rPr>
        <w:t xml:space="preserve"> from images. In addition, it can handle flows with variable density, which is not straightforward within standard LBM frameworks</w:t>
      </w:r>
      <w:r w:rsidR="00AC1FD8">
        <w:t>.</w:t>
      </w:r>
    </w:p>
    <w:p w14:paraId="0DD0E6AA" w14:textId="34FB51B0" w:rsidR="005E1EF2" w:rsidRDefault="001848E7" w:rsidP="001848E7">
      <w:pPr>
        <w:pStyle w:val="CETHeading1"/>
      </w:pPr>
      <w:r>
        <w:t xml:space="preserve">Oxidation of </w:t>
      </w:r>
      <w:r w:rsidR="00803FE3">
        <w:t>Formaldehyde</w:t>
      </w:r>
      <w:r>
        <w:tab/>
      </w:r>
    </w:p>
    <w:p w14:paraId="6919C100" w14:textId="25DF08FA" w:rsidR="000A1E3F" w:rsidRPr="000A1E3F" w:rsidRDefault="005D20C1" w:rsidP="001325DD">
      <w:pPr>
        <w:pStyle w:val="CETBodytext"/>
      </w:pPr>
      <w:r w:rsidRPr="005D20C1">
        <w:rPr>
          <w:lang w:val="en-GB"/>
        </w:rPr>
        <w:t>The experimental work i</w:t>
      </w:r>
      <w:r w:rsidR="003D050E">
        <w:rPr>
          <w:lang w:val="en-GB"/>
        </w:rPr>
        <w:t>s motivated by the formation of</w:t>
      </w:r>
      <w:r w:rsidR="000A1E3F" w:rsidRPr="00E8661E">
        <w:t xml:space="preserve"> CH</w:t>
      </w:r>
      <w:r w:rsidR="000A1E3F" w:rsidRPr="00E8661E">
        <w:rPr>
          <w:vertAlign w:val="subscript"/>
        </w:rPr>
        <w:t>2</w:t>
      </w:r>
      <w:r w:rsidR="000A1E3F" w:rsidRPr="00E8661E">
        <w:t xml:space="preserve">O (formaldehyde) as an intermediate </w:t>
      </w:r>
      <w:r w:rsidR="003D050E">
        <w:t xml:space="preserve">of </w:t>
      </w:r>
      <w:r w:rsidR="000A1E3F" w:rsidRPr="00E8661E">
        <w:t xml:space="preserve">methane </w:t>
      </w:r>
      <w:r>
        <w:t xml:space="preserve">oxidation, leading to its presence </w:t>
      </w:r>
      <w:r w:rsidR="000A1E3F" w:rsidRPr="00E8661E">
        <w:t>in the ex</w:t>
      </w:r>
      <w:r w:rsidR="003D050E">
        <w:t>haust of lean-burn gas engines.</w:t>
      </w:r>
      <w:r w:rsidR="00D3115E" w:rsidRPr="00D3115E">
        <w:rPr>
          <w:rFonts w:ascii="Georgia" w:hAnsi="Georgia"/>
          <w:color w:val="27251E"/>
          <w:lang w:val="en-GB"/>
        </w:rPr>
        <w:t xml:space="preserve"> </w:t>
      </w:r>
      <w:r w:rsidR="00D3115E" w:rsidRPr="00D3115E">
        <w:rPr>
          <w:lang w:val="en-GB"/>
        </w:rPr>
        <w:t>High air–fuel ratios, in particular, promote formaldehyde formation</w:t>
      </w:r>
      <w:r w:rsidR="000A1E3F" w:rsidRPr="00E8661E">
        <w:t xml:space="preserve"> </w:t>
      </w:r>
      <w:r w:rsidR="00271C21">
        <w:fldChar w:fldCharType="begin"/>
      </w:r>
      <w:r w:rsidR="00B20979">
        <w:instrText xml:space="preserve"> ADDIN EN.CITE &lt;EndNote&gt;&lt;Cite&gt;&lt;Author&gt;Karavalakis&lt;/Author&gt;&lt;Year&gt;2016&lt;/Year&gt;&lt;RecNum&gt;223&lt;/RecNum&gt;&lt;DisplayText&gt;(Karavalakis et al., 2016)&lt;/DisplayText&gt;&lt;record&gt;&lt;rec-number&gt;223&lt;/rec-number&gt;&lt;foreign-keys&gt;&lt;key app="EN" db-id="ezaprsx2la0xeqeazd9x9xxgasx0fzfwfxvf" timestamp="1753092935"&gt;223&lt;/key&gt;&lt;/foreign-keys&gt;&lt;ref-type name="Journal Article"&gt;17&lt;/ref-type&gt;&lt;contributors&gt;&lt;authors&gt;&lt;author&gt;Karavalakis, Georgios&lt;/author&gt;&lt;author&gt;Hajbabaei, Maryam&lt;/author&gt;&lt;author&gt;Jiang, Yu&lt;/author&gt;&lt;author&gt;Yang, Jiacheng&lt;/author&gt;&lt;author&gt;Johnson, Kent C.&lt;/author&gt;&lt;author&gt;Cocker, David R.&lt;/author&gt;&lt;author&gt;Durbin, Thomas D.&lt;/author&gt;&lt;/authors&gt;&lt;/contributors&gt;&lt;titles&gt;&lt;title&gt;Regulated, greenhouse gas, and particulate emissions from lean-burn and stoichiometric natural gas heavy-duty vehicles on different fuel compositions&lt;/title&gt;&lt;secondary-title&gt;Fuel&lt;/secondary-title&gt;&lt;/titles&gt;&lt;periodical&gt;&lt;full-title&gt;Fuel&lt;/full-title&gt;&lt;/periodical&gt;&lt;pages&gt;146-156&lt;/pages&gt;&lt;volume&gt;175&lt;/volume&gt;&lt;keywords&gt;&lt;keyword&gt;Natural gas composition&lt;/keyword&gt;&lt;keyword&gt;Lean-burn&lt;/keyword&gt;&lt;keyword&gt;Stoichiometric&lt;/keyword&gt;&lt;keyword&gt;NO&lt;/keyword&gt;&lt;keyword&gt;Particulates&lt;/keyword&gt;&lt;/keywords&gt;&lt;dates&gt;&lt;year&gt;2016&lt;/year&gt;&lt;pub-dates&gt;&lt;date&gt;2016/07/01/&lt;/date&gt;&lt;/pub-dates&gt;&lt;/dates&gt;&lt;isbn&gt;0016-2361&lt;/isbn&gt;&lt;urls&gt;&lt;related-urls&gt;&lt;url&gt;https://www.sciencedirect.com/science/article/pii/S0016236116001551&lt;/url&gt;&lt;/related-urls&gt;&lt;/urls&gt;&lt;electronic-resource-num&gt;https://doi.org/10.1016/j.fuel.2016.02.034&lt;/electronic-resource-num&gt;&lt;/record&gt;&lt;/Cite&gt;&lt;/EndNote&gt;</w:instrText>
      </w:r>
      <w:r w:rsidR="00271C21">
        <w:fldChar w:fldCharType="separate"/>
      </w:r>
      <w:r w:rsidR="00B20979">
        <w:rPr>
          <w:noProof/>
        </w:rPr>
        <w:t>(Karavalakis et al., 2016)</w:t>
      </w:r>
      <w:r w:rsidR="00271C21">
        <w:fldChar w:fldCharType="end"/>
      </w:r>
      <w:r w:rsidR="00271C21">
        <w:t xml:space="preserve">. </w:t>
      </w:r>
      <w:r w:rsidR="00D3115E" w:rsidRPr="00D3115E">
        <w:rPr>
          <w:lang w:val="en-GB"/>
        </w:rPr>
        <w:t>Due to increasingly stringent regulations on</w:t>
      </w:r>
      <w:r w:rsidR="00D3115E">
        <w:rPr>
          <w:lang w:val="en-GB"/>
        </w:rPr>
        <w:t xml:space="preserve"> </w:t>
      </w:r>
      <w:r w:rsidR="000A1E3F" w:rsidRPr="00E8661E">
        <w:t>CH</w:t>
      </w:r>
      <w:r w:rsidR="000A1E3F" w:rsidRPr="00E8661E">
        <w:rPr>
          <w:vertAlign w:val="subscript"/>
        </w:rPr>
        <w:t>2</w:t>
      </w:r>
      <w:r w:rsidR="000A1E3F" w:rsidRPr="00E8661E">
        <w:t>O emission</w:t>
      </w:r>
      <w:r w:rsidR="00D3115E">
        <w:t xml:space="preserve">s, </w:t>
      </w:r>
      <w:r w:rsidR="00D3115E" w:rsidRPr="00D3115E">
        <w:rPr>
          <w:lang w:val="en-GB"/>
        </w:rPr>
        <w:t>there is a need to investigate its conversion through both experiments and simulations</w:t>
      </w:r>
      <w:r w:rsidR="00D3115E">
        <w:rPr>
          <w:lang w:val="en-GB"/>
        </w:rPr>
        <w:t>.</w:t>
      </w:r>
      <w:r w:rsidR="000A1E3F" w:rsidRPr="00E8661E">
        <w:t xml:space="preserve">  </w:t>
      </w:r>
    </w:p>
    <w:p w14:paraId="222DB697" w14:textId="3AE7F544" w:rsidR="005E1EF2" w:rsidRDefault="001848E7" w:rsidP="001848E7">
      <w:pPr>
        <w:pStyle w:val="CETheadingx"/>
      </w:pPr>
      <w:r>
        <w:t>Experimental Methodology</w:t>
      </w:r>
      <w:r>
        <w:tab/>
      </w:r>
    </w:p>
    <w:p w14:paraId="14987AB5" w14:textId="67D3071F" w:rsidR="00FB4D3B" w:rsidRPr="00FB4D3B" w:rsidRDefault="00FB4D3B" w:rsidP="00CF4954">
      <w:pPr>
        <w:pStyle w:val="Listenabsatz"/>
        <w:ind w:left="0"/>
        <w:rPr>
          <w:lang w:val="en-US"/>
        </w:rPr>
      </w:pPr>
      <w:r w:rsidRPr="00FB4D3B">
        <w:rPr>
          <w:lang w:val="en-US"/>
        </w:rPr>
        <w:t xml:space="preserve">Figure 1b shows the two-dimensional computational domain representing the central section of the reactor. The parallel-wall channel has a height of 2 mm and a depth of 18 mm. A rectangular recess is introduced at the center of the bottom wall to accommodate the catalyst plate (18 mm × 18 mm). The upper surface of the catalyst is positioned 400 µm below the ceramic bottom wall. The catalytic surface (red line) begins at </w:t>
      </w:r>
      <m:oMath>
        <m:r>
          <w:rPr>
            <w:rFonts w:ascii="Cambria Math" w:hAnsi="Cambria Math"/>
            <w:lang w:val="en-US"/>
          </w:rPr>
          <m:t>x</m:t>
        </m:r>
        <m:r>
          <m:rPr>
            <m:sty m:val="p"/>
          </m:rPr>
          <w:rPr>
            <w:rFonts w:ascii="Cambria Math" w:hAnsi="Cambria Math"/>
            <w:lang w:val="en-US"/>
          </w:rPr>
          <m:t>=0</m:t>
        </m:r>
      </m:oMath>
      <w:r w:rsidRPr="00FB4D3B">
        <w:rPr>
          <w:lang w:val="en-US"/>
        </w:rPr>
        <w:t xml:space="preserve"> mm and is located at </w:t>
      </w:r>
      <m:oMath>
        <m:r>
          <w:rPr>
            <w:rFonts w:ascii="Cambria Math" w:hAnsi="Cambria Math"/>
            <w:lang w:val="en-US"/>
          </w:rPr>
          <m:t>y</m:t>
        </m:r>
        <m:r>
          <m:rPr>
            <m:sty m:val="p"/>
          </m:rPr>
          <w:rPr>
            <w:rFonts w:ascii="Cambria Math" w:hAnsi="Cambria Math"/>
            <w:lang w:val="en-US"/>
          </w:rPr>
          <m:t>=-0.4</m:t>
        </m:r>
      </m:oMath>
      <w:r w:rsidRPr="00FB4D3B">
        <w:rPr>
          <w:lang w:val="en-US"/>
        </w:rPr>
        <w:t xml:space="preserve"> mm.</w:t>
      </w:r>
      <w:r w:rsidR="00EF5E39">
        <w:rPr>
          <w:lang w:val="en-US"/>
        </w:rPr>
        <w:t xml:space="preserve"> The catalytic plate was </w:t>
      </w:r>
      <w:r w:rsidR="00EF5E39" w:rsidRPr="00E8661E">
        <w:t>coated with a catalyst-water slurry where the active component was platinum (Pt).</w:t>
      </w:r>
      <w:r w:rsidR="00EF5E39" w:rsidRPr="00EF5E39">
        <w:t xml:space="preserve"> </w:t>
      </w:r>
      <w:r w:rsidR="00EF5E39" w:rsidRPr="00E8661E">
        <w:t xml:space="preserve">The ratio of the catalytic surface area to geometric area </w:t>
      </w:r>
      <m:oMath>
        <m:sSub>
          <m:sSubPr>
            <m:ctrlPr>
              <w:rPr>
                <w:rFonts w:ascii="Cambria Math" w:hAnsi="Cambria Math"/>
                <w:i/>
              </w:rPr>
            </m:ctrlPr>
          </m:sSubPr>
          <m:e>
            <m:r>
              <w:rPr>
                <w:rFonts w:ascii="Cambria Math" w:hAnsi="Cambria Math"/>
              </w:rPr>
              <m:t>F</m:t>
            </m:r>
          </m:e>
          <m:sub>
            <m:r>
              <m:rPr>
                <m:sty m:val="p"/>
              </m:rPr>
              <w:rPr>
                <w:rFonts w:ascii="Cambria Math" w:hAnsi="Cambria Math"/>
              </w:rPr>
              <m:t>cat/geo</m:t>
            </m:r>
          </m:sub>
        </m:sSub>
      </m:oMath>
      <w:r w:rsidR="00EF5E39">
        <w:t xml:space="preserve"> </w:t>
      </w:r>
      <w:r w:rsidR="00EF5E39" w:rsidRPr="00E8661E">
        <w:t>was estimated to be 4</w:t>
      </w:r>
      <w:r w:rsidR="00EF5E39">
        <w:t>.</w:t>
      </w:r>
    </w:p>
    <w:p w14:paraId="5F243C13" w14:textId="0A818E1B" w:rsidR="000A1E3F" w:rsidRPr="00D21450" w:rsidRDefault="000A1E3F" w:rsidP="001325DD">
      <w:pPr>
        <w:pStyle w:val="CETBodytext"/>
        <w:rPr>
          <w:iCs/>
        </w:rPr>
      </w:pPr>
      <w:r w:rsidRPr="00E8661E">
        <w:t xml:space="preserve">In the experiments </w:t>
      </w:r>
      <w:r w:rsidRPr="00E8661E">
        <w:fldChar w:fldCharType="begin"/>
      </w:r>
      <w:r w:rsidR="00B20979">
        <w:instrText xml:space="preserve"> ADDIN EN.CITE &lt;EndNote&gt;&lt;Cite&gt;&lt;Author&gt;Wan&lt;/Author&gt;&lt;Year&gt;2020&lt;/Year&gt;&lt;RecNum&gt;228&lt;/RecNum&gt;&lt;DisplayText&gt;(Wan et al., 2020)&lt;/DisplayText&gt;&lt;record&gt;&lt;rec-number&gt;228&lt;/rec-number&gt;&lt;foreign-keys&gt;&lt;key app="EN" db-id="ezaprsx2la0xeqeazd9x9xxgasx0fzfwfxvf" timestamp="1753093002"&gt;228&lt;/key&gt;&lt;/foreign-keys&gt;&lt;ref-type name="Journal Article"&gt;17&lt;/ref-type&gt;&lt;contributors&gt;&lt;authors&gt;&lt;author&gt;Wan, Sui&lt;/author&gt;&lt;author&gt;Torkashvand, Bentolhoda&lt;/author&gt;&lt;author&gt;Häber, Thomas&lt;/author&gt;&lt;author&gt;Suntz, Rainer&lt;/author&gt;&lt;author&gt;Deutschmann, Olaf&lt;/author&gt;&lt;/authors&gt;&lt;/contributors&gt;&lt;titles&gt;&lt;title&gt;Investigation of HCHO Catalytic Oxidation over Platinum using Planar Laser-Induced Fluorescence&lt;/title&gt;&lt;secondary-title&gt;Applied Catalysis B: Environmental&lt;/secondary-title&gt;&lt;/titles&gt;&lt;periodical&gt;&lt;full-title&gt;Applied Catalysis B: Environmental&lt;/full-title&gt;&lt;/periodical&gt;&lt;pages&gt;118473&lt;/pages&gt;&lt;volume&gt;264&lt;/volume&gt;&lt;keywords&gt;&lt;keyword&gt;Formaldehyde&lt;/keyword&gt;&lt;keyword&gt;Catalytic oxidation&lt;/keyword&gt;&lt;keyword&gt;Planar laser induced fluorescence (PLIF)&lt;/keyword&gt;&lt;keyword&gt;Reaction kinetic&lt;/keyword&gt;&lt;keyword&gt;Mass transfer limitation&lt;/keyword&gt;&lt;keyword&gt;Diffusion&lt;/keyword&gt;&lt;/keywords&gt;&lt;dates&gt;&lt;year&gt;2020&lt;/year&gt;&lt;pub-dates&gt;&lt;date&gt;2020/05/05/&lt;/date&gt;&lt;/pub-dates&gt;&lt;/dates&gt;&lt;isbn&gt;0926-3373&lt;/isbn&gt;&lt;urls&gt;&lt;related-urls&gt;&lt;url&gt;https://www.sciencedirect.com/science/article/pii/S0926337319312196&lt;/url&gt;&lt;/related-urls&gt;&lt;/urls&gt;&lt;electronic-resource-num&gt;https://doi.org/10.1016/j.apcatb.2019.118473&lt;/electronic-resource-num&gt;&lt;/record&gt;&lt;/Cite&gt;&lt;/EndNote&gt;</w:instrText>
      </w:r>
      <w:r w:rsidRPr="00E8661E">
        <w:fldChar w:fldCharType="separate"/>
      </w:r>
      <w:r w:rsidR="00B20979">
        <w:rPr>
          <w:noProof/>
        </w:rPr>
        <w:t>(Wan et al., 2020)</w:t>
      </w:r>
      <w:r w:rsidRPr="00E8661E">
        <w:fldChar w:fldCharType="end"/>
      </w:r>
      <w:r w:rsidRPr="00E8661E">
        <w:t>, two-dimensional CH</w:t>
      </w:r>
      <w:r w:rsidRPr="00E8661E">
        <w:rPr>
          <w:vertAlign w:val="subscript"/>
        </w:rPr>
        <w:t>2</w:t>
      </w:r>
      <w:r w:rsidRPr="00E8661E">
        <w:t xml:space="preserve">O </w:t>
      </w:r>
      <w:r w:rsidR="00BA1B0A" w:rsidRPr="00E8661E">
        <w:t xml:space="preserve">distributions </w:t>
      </w:r>
      <w:r w:rsidRPr="00E8661E">
        <w:t xml:space="preserve">were measured </w:t>
      </w:r>
      <w:r w:rsidR="001023C7" w:rsidRPr="001023C7">
        <w:rPr>
          <w:lang w:val="en-GB"/>
        </w:rPr>
        <w:t xml:space="preserve">using planar laser-induced fluorescence (PLIF). PLIF is a non-intrusive, laser-based technique that enables high-spatial-resolution </w:t>
      </w:r>
      <w:r w:rsidR="001023C7" w:rsidRPr="001023C7">
        <w:rPr>
          <w:lang w:val="en-GB"/>
        </w:rPr>
        <w:lastRenderedPageBreak/>
        <w:t xml:space="preserve">visualization of gas-phase species without disturbing the flow field. The reactor is equipped with glass windows on the top and side walls to provide optical access. Measurements were obtained in an </w:t>
      </w:r>
      <m:oMath>
        <m:r>
          <w:rPr>
            <w:rFonts w:ascii="Cambria Math" w:hAnsi="Cambria Math"/>
            <w:lang w:val="en-GB"/>
          </w:rPr>
          <m:t>x</m:t>
        </m:r>
      </m:oMath>
      <w:r w:rsidR="001023C7" w:rsidRPr="001023C7">
        <w:rPr>
          <w:lang w:val="en-GB"/>
        </w:rPr>
        <w:t>–</w:t>
      </w:r>
      <m:oMath>
        <m:r>
          <w:rPr>
            <w:rFonts w:ascii="Cambria Math" w:hAnsi="Cambria Math"/>
            <w:lang w:val="en-GB"/>
          </w:rPr>
          <m:t>y</m:t>
        </m:r>
      </m:oMath>
      <w:r w:rsidR="001023C7" w:rsidRPr="001023C7">
        <w:rPr>
          <w:lang w:val="en-GB"/>
        </w:rPr>
        <w:t xml:space="preserve"> plane located at the reactor center along the </w:t>
      </w:r>
      <m:oMath>
        <m:r>
          <w:rPr>
            <w:rFonts w:ascii="Cambria Math" w:hAnsi="Cambria Math"/>
            <w:lang w:val="en-GB"/>
          </w:rPr>
          <m:t>z</m:t>
        </m:r>
      </m:oMath>
      <w:r w:rsidR="001023C7" w:rsidRPr="001023C7">
        <w:rPr>
          <w:lang w:val="en-GB"/>
        </w:rPr>
        <w:t>-axis (</w:t>
      </w:r>
      <m:oMath>
        <m:r>
          <w:rPr>
            <w:rFonts w:ascii="Cambria Math" w:hAnsi="Cambria Math"/>
            <w:lang w:val="en-GB"/>
          </w:rPr>
          <m:t>z</m:t>
        </m:r>
        <m:r>
          <m:rPr>
            <m:sty m:val="p"/>
          </m:rPr>
          <w:rPr>
            <w:rFonts w:ascii="Cambria Math" w:hAnsi="Cambria Math"/>
            <w:lang w:val="en-GB"/>
          </w:rPr>
          <m:t>=9</m:t>
        </m:r>
      </m:oMath>
      <w:r w:rsidR="001023C7" w:rsidRPr="001023C7">
        <w:rPr>
          <w:lang w:val="en-GB"/>
        </w:rPr>
        <w:t xml:space="preserve"> mm).</w:t>
      </w:r>
      <w:r w:rsidRPr="00E8661E">
        <w:t xml:space="preserve">  </w:t>
      </w:r>
      <w:r w:rsidR="00EF5E39">
        <w:rPr>
          <w:iCs/>
        </w:rPr>
        <w:t>M</w:t>
      </w:r>
      <w:r w:rsidR="00EF5E39" w:rsidRPr="00E8661E">
        <w:rPr>
          <w:iCs/>
        </w:rPr>
        <w:t xml:space="preserve">easurement uncertainty </w:t>
      </w:r>
      <w:r w:rsidR="00EF5E39">
        <w:rPr>
          <w:iCs/>
        </w:rPr>
        <w:t>in</w:t>
      </w:r>
      <w:r w:rsidR="00EF5E39" w:rsidRPr="00E8661E">
        <w:rPr>
          <w:iCs/>
        </w:rPr>
        <w:t xml:space="preserve"> the concentration of </w:t>
      </w:r>
      <w:r w:rsidR="00EF5E39" w:rsidRPr="00E8661E">
        <w:t>CH</w:t>
      </w:r>
      <w:r w:rsidR="00EF5E39" w:rsidRPr="00E8661E">
        <w:rPr>
          <w:vertAlign w:val="subscript"/>
        </w:rPr>
        <w:t>2</w:t>
      </w:r>
      <w:r w:rsidR="00EF5E39" w:rsidRPr="00E8661E">
        <w:t>O</w:t>
      </w:r>
      <w:r w:rsidR="00EF5E39" w:rsidRPr="00E8661E">
        <w:rPr>
          <w:iCs/>
        </w:rPr>
        <w:t xml:space="preserve"> caused by the intensity deviation from single shots and the concentration fluctuation of the reference gas is within ±20%. </w:t>
      </w:r>
    </w:p>
    <w:p w14:paraId="3828B36C" w14:textId="77777777" w:rsidR="002D6883" w:rsidRDefault="002D6883" w:rsidP="002D6883">
      <w:pPr>
        <w:pStyle w:val="CETheadingx"/>
      </w:pPr>
      <w:r w:rsidRPr="005E1EF2">
        <w:t>Microkinetic Model</w:t>
      </w:r>
      <w:r>
        <w:t xml:space="preserve"> for Oxidation of Formaldehyde</w:t>
      </w:r>
      <w:r>
        <w:tab/>
      </w:r>
    </w:p>
    <w:p w14:paraId="160B9EDA" w14:textId="51CFE617" w:rsidR="005F5025" w:rsidRDefault="002D6883" w:rsidP="005F5025">
      <w:pPr>
        <w:pStyle w:val="CETBodytext"/>
      </w:pPr>
      <w:r w:rsidRPr="00E8661E">
        <w:t>The global reaction for the catalytic oxidation of CH</w:t>
      </w:r>
      <w:r w:rsidRPr="00E8661E">
        <w:rPr>
          <w:vertAlign w:val="subscript"/>
        </w:rPr>
        <w:t>2</w:t>
      </w:r>
      <w:r w:rsidRPr="00E8661E">
        <w:t>O (formaldehyde) over Pt is</w:t>
      </w:r>
      <w:r>
        <w:t>:</w:t>
      </w:r>
    </w:p>
    <w:tbl>
      <w:tblPr>
        <w:tblW w:w="5000" w:type="pct"/>
        <w:tblLook w:val="04A0" w:firstRow="1" w:lastRow="0" w:firstColumn="1" w:lastColumn="0" w:noHBand="0" w:noVBand="1"/>
      </w:tblPr>
      <w:tblGrid>
        <w:gridCol w:w="7983"/>
        <w:gridCol w:w="804"/>
      </w:tblGrid>
      <w:tr w:rsidR="005F5025" w:rsidRPr="00B57B36" w14:paraId="3815CACA" w14:textId="77777777" w:rsidTr="007D01FA">
        <w:tc>
          <w:tcPr>
            <w:tcW w:w="8188" w:type="dxa"/>
            <w:vAlign w:val="center"/>
          </w:tcPr>
          <w:p w14:paraId="6B84185A" w14:textId="246056FA" w:rsidR="005F5025" w:rsidRPr="00C66BA7" w:rsidRDefault="005F5025" w:rsidP="00C66BA7">
            <w:pPr>
              <w:pStyle w:val="CETEquation"/>
            </w:pPr>
            <m:oMath>
              <m:r>
                <w:rPr>
                  <w:rFonts w:ascii="Cambria Math" w:eastAsia="SimSun" w:hAnsi="Cambria Math"/>
                </w:rPr>
                <m:t>C</m:t>
              </m:r>
              <m:sSub>
                <m:sSubPr>
                  <m:ctrlPr>
                    <w:rPr>
                      <w:rFonts w:ascii="Cambria Math" w:eastAsia="SimSun" w:hAnsi="Cambria Math"/>
                    </w:rPr>
                  </m:ctrlPr>
                </m:sSubPr>
                <m:e>
                  <m:r>
                    <w:rPr>
                      <w:rFonts w:ascii="Cambria Math" w:eastAsia="SimSun" w:hAnsi="Cambria Math"/>
                    </w:rPr>
                    <m:t>H</m:t>
                  </m:r>
                </m:e>
                <m:sub>
                  <m:r>
                    <m:rPr>
                      <m:sty m:val="p"/>
                    </m:rPr>
                    <w:rPr>
                      <w:rFonts w:ascii="Cambria Math" w:eastAsia="SimSun" w:hAnsi="Cambria Math"/>
                    </w:rPr>
                    <m:t>2</m:t>
                  </m:r>
                </m:sub>
              </m:sSub>
              <m:r>
                <w:rPr>
                  <w:rFonts w:ascii="Cambria Math" w:eastAsia="SimSun" w:hAnsi="Cambria Math"/>
                </w:rPr>
                <m:t>O</m:t>
              </m:r>
              <m:r>
                <m:rPr>
                  <m:sty m:val="p"/>
                </m:rPr>
                <w:rPr>
                  <w:rFonts w:ascii="Cambria Math" w:eastAsia="SimSun" w:hAnsi="Cambria Math"/>
                </w:rPr>
                <m:t>+</m:t>
              </m:r>
              <m:sSub>
                <m:sSubPr>
                  <m:ctrlPr>
                    <w:rPr>
                      <w:rFonts w:ascii="Cambria Math" w:eastAsia="SimSun" w:hAnsi="Cambria Math"/>
                    </w:rPr>
                  </m:ctrlPr>
                </m:sSubPr>
                <m:e>
                  <m:r>
                    <w:rPr>
                      <w:rFonts w:ascii="Cambria Math" w:eastAsia="SimSun" w:hAnsi="Cambria Math"/>
                    </w:rPr>
                    <m:t>O</m:t>
                  </m:r>
                </m:e>
                <m:sub>
                  <m:r>
                    <m:rPr>
                      <m:sty m:val="p"/>
                    </m:rPr>
                    <w:rPr>
                      <w:rFonts w:ascii="Cambria Math" w:eastAsia="SimSun" w:hAnsi="Cambria Math"/>
                    </w:rPr>
                    <m:t>2</m:t>
                  </m:r>
                </m:sub>
              </m:sSub>
              <m:box>
                <m:boxPr>
                  <m:opEmu m:val="1"/>
                  <m:ctrlPr>
                    <w:rPr>
                      <w:rFonts w:ascii="Cambria Math" w:eastAsia="SimSun" w:hAnsi="Cambria Math"/>
                    </w:rPr>
                  </m:ctrlPr>
                </m:boxPr>
                <m:e>
                  <m:groupChr>
                    <m:groupChrPr>
                      <m:chr m:val="→"/>
                      <m:vertJc m:val="bot"/>
                      <m:ctrlPr>
                        <w:rPr>
                          <w:rFonts w:ascii="Cambria Math" w:eastAsia="SimSun" w:hAnsi="Cambria Math"/>
                        </w:rPr>
                      </m:ctrlPr>
                    </m:groupChrPr>
                    <m:e>
                      <m:r>
                        <w:rPr>
                          <w:rFonts w:ascii="Cambria Math" w:eastAsia="SimSun" w:hAnsi="Cambria Math"/>
                        </w:rPr>
                        <m:t>Pt</m:t>
                      </m:r>
                      <m:r>
                        <m:rPr>
                          <m:sty m:val="p"/>
                        </m:rPr>
                        <w:rPr>
                          <w:rFonts w:ascii="Cambria Math" w:eastAsia="SimSun" w:hAnsi="Cambria Math"/>
                        </w:rPr>
                        <m:t>(</m:t>
                      </m:r>
                      <m:r>
                        <w:rPr>
                          <w:rFonts w:ascii="Cambria Math" w:eastAsia="SimSun" w:hAnsi="Cambria Math"/>
                        </w:rPr>
                        <m:t>s</m:t>
                      </m:r>
                      <m:r>
                        <m:rPr>
                          <m:sty m:val="p"/>
                        </m:rPr>
                        <w:rPr>
                          <w:rFonts w:ascii="Cambria Math" w:eastAsia="SimSun" w:hAnsi="Cambria Math"/>
                        </w:rPr>
                        <m:t>)</m:t>
                      </m:r>
                    </m:e>
                  </m:groupChr>
                </m:e>
              </m:box>
              <m:sSub>
                <m:sSubPr>
                  <m:ctrlPr>
                    <w:rPr>
                      <w:rFonts w:ascii="Cambria Math" w:eastAsia="SimSun" w:hAnsi="Cambria Math"/>
                    </w:rPr>
                  </m:ctrlPr>
                </m:sSubPr>
                <m:e>
                  <m:r>
                    <w:rPr>
                      <w:rFonts w:ascii="Cambria Math" w:eastAsia="SimSun" w:hAnsi="Cambria Math"/>
                    </w:rPr>
                    <m:t>H</m:t>
                  </m:r>
                </m:e>
                <m:sub>
                  <m:r>
                    <m:rPr>
                      <m:sty m:val="p"/>
                    </m:rPr>
                    <w:rPr>
                      <w:rFonts w:ascii="Cambria Math" w:eastAsia="SimSun" w:hAnsi="Cambria Math"/>
                    </w:rPr>
                    <m:t>2</m:t>
                  </m:r>
                </m:sub>
              </m:sSub>
              <m:r>
                <w:rPr>
                  <w:rFonts w:ascii="Cambria Math" w:eastAsia="SimSun" w:hAnsi="Cambria Math"/>
                </w:rPr>
                <m:t>O</m:t>
              </m:r>
              <m:r>
                <m:rPr>
                  <m:sty m:val="p"/>
                </m:rPr>
                <w:rPr>
                  <w:rFonts w:ascii="Cambria Math" w:eastAsia="SimSun" w:hAnsi="Cambria Math"/>
                </w:rPr>
                <m:t>+</m:t>
              </m:r>
              <m:r>
                <w:rPr>
                  <w:rFonts w:ascii="Cambria Math" w:eastAsia="SimSun" w:hAnsi="Cambria Math"/>
                </w:rPr>
                <m:t>C</m:t>
              </m:r>
              <m:sSub>
                <m:sSubPr>
                  <m:ctrlPr>
                    <w:rPr>
                      <w:rFonts w:ascii="Cambria Math" w:eastAsia="SimSun" w:hAnsi="Cambria Math"/>
                    </w:rPr>
                  </m:ctrlPr>
                </m:sSubPr>
                <m:e>
                  <m:r>
                    <w:rPr>
                      <w:rFonts w:ascii="Cambria Math" w:eastAsia="SimSun" w:hAnsi="Cambria Math"/>
                    </w:rPr>
                    <m:t>O</m:t>
                  </m:r>
                </m:e>
                <m:sub>
                  <m:r>
                    <m:rPr>
                      <m:sty m:val="p"/>
                    </m:rPr>
                    <w:rPr>
                      <w:rFonts w:ascii="Cambria Math" w:eastAsia="SimSun" w:hAnsi="Cambria Math"/>
                    </w:rPr>
                    <m:t>2</m:t>
                  </m:r>
                </m:sub>
              </m:sSub>
            </m:oMath>
            <w:r w:rsidR="007839C0">
              <w:t>.</w:t>
            </w:r>
          </w:p>
        </w:tc>
        <w:tc>
          <w:tcPr>
            <w:tcW w:w="815" w:type="dxa"/>
            <w:vAlign w:val="center"/>
          </w:tcPr>
          <w:p w14:paraId="45A723D0" w14:textId="0EB662B6" w:rsidR="005F5025" w:rsidRPr="00C66BA7" w:rsidRDefault="00C66BA7" w:rsidP="00C66BA7">
            <w:pPr>
              <w:pStyle w:val="CETEquation"/>
            </w:pPr>
            <w:r>
              <w:t>(4</w:t>
            </w:r>
            <w:r w:rsidR="005F5025" w:rsidRPr="00C66BA7">
              <w:t>)</w:t>
            </w:r>
          </w:p>
        </w:tc>
      </w:tr>
    </w:tbl>
    <w:p w14:paraId="6B2F4110" w14:textId="4DC43D3F" w:rsidR="005F5025" w:rsidRPr="005F5025" w:rsidRDefault="005F5025" w:rsidP="005F5025">
      <w:pPr>
        <w:pStyle w:val="CETBodytext"/>
      </w:pPr>
      <w:r w:rsidRPr="00E8661E">
        <w:t>In this work</w:t>
      </w:r>
      <w:r w:rsidR="002D6883">
        <w:t>,</w:t>
      </w:r>
      <w:r w:rsidRPr="00E8661E">
        <w:t xml:space="preserve"> a thermodynamically consistent multi-st</w:t>
      </w:r>
      <w:r w:rsidR="00607DCD">
        <w:t>ep surface reaction mechanism was</w:t>
      </w:r>
      <w:r w:rsidRPr="00E8661E">
        <w:t xml:space="preserve"> used </w:t>
      </w:r>
      <w:r w:rsidRPr="00E8661E">
        <w:fldChar w:fldCharType="begin"/>
      </w:r>
      <w:r w:rsidR="00B20979">
        <w:instrText xml:space="preserve"> ADDIN EN.CITE &lt;EndNote&gt;&lt;Cite&gt;&lt;Author&gt;Torkashvand&lt;/Author&gt;&lt;Year&gt;2019&lt;/Year&gt;&lt;RecNum&gt;225&lt;/RecNum&gt;&lt;DisplayText&gt;(Torkashvand et al., 2019)&lt;/DisplayText&gt;&lt;record&gt;&lt;rec-number&gt;225&lt;/rec-number&gt;&lt;foreign-keys&gt;&lt;key app="EN" db-id="ezaprsx2la0xeqeazd9x9xxgasx0fzfwfxvf" timestamp="1753092962"&gt;225&lt;/key&gt;&lt;/foreign-keys&gt;&lt;ref-type name="Journal Article"&gt;17&lt;/ref-type&gt;&lt;contributors&gt;&lt;authors&gt;&lt;author&gt;Torkashvand, Bentolhoda&lt;/author&gt;&lt;author&gt;Maier, Lubow&lt;/author&gt;&lt;author&gt;Lott, Patrick&lt;/author&gt;&lt;author&gt;Schedlbauer, Thomas&lt;/author&gt;&lt;author&gt;Grunwaldt, Jan-Dierk&lt;/author&gt;&lt;author&gt;Deutschmann, Olaf&lt;/author&gt;&lt;/authors&gt;&lt;/contributors&gt;&lt;titles&gt;&lt;title&gt;Formaldehyde Oxidation Over Platinum: On the Kinetics Relevant to Exhaust Conditions of Lean-Burn Natural Gas Engines&lt;/title&gt;&lt;secondary-title&gt;Topics in Catalysis&lt;/secondary-title&gt;&lt;/titles&gt;&lt;periodical&gt;&lt;full-title&gt;Topics in Catalysis&lt;/full-title&gt;&lt;/periodical&gt;&lt;pages&gt;206-213&lt;/pages&gt;&lt;volume&gt;62&lt;/volume&gt;&lt;number&gt;1&lt;/number&gt;&lt;dates&gt;&lt;year&gt;2019&lt;/year&gt;&lt;pub-dates&gt;&lt;date&gt;2019/02/01&lt;/date&gt;&lt;/pub-dates&gt;&lt;/dates&gt;&lt;isbn&gt;1572-9028&lt;/isbn&gt;&lt;urls&gt;&lt;related-urls&gt;&lt;url&gt;https://doi.org/10.1007/s11244-018-1087-y&lt;/url&gt;&lt;/related-urls&gt;&lt;/urls&gt;&lt;electronic-resource-num&gt;https://doi.org/10.1007/s11244-018-1087-y&lt;/electronic-resource-num&gt;&lt;/record&gt;&lt;/Cite&gt;&lt;/EndNote&gt;</w:instrText>
      </w:r>
      <w:r w:rsidRPr="00E8661E">
        <w:fldChar w:fldCharType="separate"/>
      </w:r>
      <w:r w:rsidR="00B20979">
        <w:rPr>
          <w:noProof/>
        </w:rPr>
        <w:t>(Torkashvand et al., 2019)</w:t>
      </w:r>
      <w:r w:rsidRPr="00E8661E">
        <w:fldChar w:fldCharType="end"/>
      </w:r>
      <w:r w:rsidRPr="00E8661E">
        <w:t xml:space="preserve">. The mechanism contains </w:t>
      </w:r>
      <w:r w:rsidR="002D6883">
        <w:t xml:space="preserve">of </w:t>
      </w:r>
      <w:r w:rsidRPr="00E8661E">
        <w:t>6 gas-phase species (N</w:t>
      </w:r>
      <w:r w:rsidRPr="00E8661E">
        <w:rPr>
          <w:vertAlign w:val="subscript"/>
        </w:rPr>
        <w:t>2</w:t>
      </w:r>
      <w:r w:rsidRPr="00E8661E">
        <w:t>, O</w:t>
      </w:r>
      <w:r w:rsidRPr="00E8661E">
        <w:rPr>
          <w:vertAlign w:val="subscript"/>
        </w:rPr>
        <w:t>2</w:t>
      </w:r>
      <w:r w:rsidRPr="00E8661E">
        <w:t>, H</w:t>
      </w:r>
      <w:r w:rsidRPr="00E8661E">
        <w:rPr>
          <w:vertAlign w:val="subscript"/>
        </w:rPr>
        <w:t>2</w:t>
      </w:r>
      <w:r w:rsidRPr="00E8661E">
        <w:t>, H</w:t>
      </w:r>
      <w:r w:rsidRPr="00E8661E">
        <w:rPr>
          <w:vertAlign w:val="subscript"/>
        </w:rPr>
        <w:t>2</w:t>
      </w:r>
      <w:r w:rsidRPr="00E8661E">
        <w:t>O, CO, CO</w:t>
      </w:r>
      <w:r w:rsidRPr="00E8661E">
        <w:rPr>
          <w:vertAlign w:val="subscript"/>
        </w:rPr>
        <w:t>2</w:t>
      </w:r>
      <w:r w:rsidRPr="00E8661E">
        <w:t>, CH</w:t>
      </w:r>
      <w:r w:rsidRPr="00E8661E">
        <w:rPr>
          <w:vertAlign w:val="subscript"/>
        </w:rPr>
        <w:t>2</w:t>
      </w:r>
      <w:r w:rsidRPr="00E8661E">
        <w:t>O), 10 surface species (Pt(s), H(s), O(s), H</w:t>
      </w:r>
      <w:r w:rsidRPr="00E8661E">
        <w:rPr>
          <w:vertAlign w:val="subscript"/>
        </w:rPr>
        <w:t>2</w:t>
      </w:r>
      <w:r w:rsidRPr="00E8661E">
        <w:t>O(s), CO</w:t>
      </w:r>
      <w:r w:rsidRPr="00E8661E">
        <w:rPr>
          <w:vertAlign w:val="subscript"/>
        </w:rPr>
        <w:t>2</w:t>
      </w:r>
      <w:r w:rsidRPr="00E8661E">
        <w:t>(s), CO(s), CH</w:t>
      </w:r>
      <w:r w:rsidRPr="00E8661E">
        <w:rPr>
          <w:vertAlign w:val="subscript"/>
        </w:rPr>
        <w:t>2</w:t>
      </w:r>
      <w:r w:rsidRPr="00E8661E">
        <w:t xml:space="preserve">O(s), OH(s), C(s), HCO(s)) and 30 elementary steps. </w:t>
      </w:r>
      <w:r w:rsidR="002D6883">
        <w:t>G</w:t>
      </w:r>
      <w:r w:rsidRPr="00E8661E">
        <w:t xml:space="preserve">as-phase reactions can be </w:t>
      </w:r>
      <w:r w:rsidR="00BA084C">
        <w:t>neglected</w:t>
      </w:r>
      <w:r w:rsidR="002D6883">
        <w:t xml:space="preserve"> under the conditions of this study.</w:t>
      </w:r>
    </w:p>
    <w:p w14:paraId="4EC2867D" w14:textId="0EC740A6" w:rsidR="005E1EF2" w:rsidRDefault="001848E7" w:rsidP="001848E7">
      <w:pPr>
        <w:pStyle w:val="CETheadingx"/>
      </w:pPr>
      <w:r>
        <w:t>Numerical Setup</w:t>
      </w:r>
      <w:r>
        <w:tab/>
      </w:r>
    </w:p>
    <w:p w14:paraId="5B05F679" w14:textId="26022896" w:rsidR="00ED571C" w:rsidRDefault="008955B8" w:rsidP="00C009D4">
      <w:pPr>
        <w:pStyle w:val="CETBodytext"/>
      </w:pPr>
      <w:r w:rsidRPr="008955B8">
        <w:rPr>
          <w:lang w:val="en-GB"/>
        </w:rPr>
        <w:t xml:space="preserve">Figure 1b shows </w:t>
      </w:r>
      <w:r w:rsidR="00BC2AB9" w:rsidRPr="008955B8">
        <w:rPr>
          <w:lang w:val="en-GB"/>
        </w:rPr>
        <w:t>a vertical slice through the center</w:t>
      </w:r>
      <w:r w:rsidR="00BC2AB9">
        <w:rPr>
          <w:lang w:val="en-GB"/>
        </w:rPr>
        <w:t xml:space="preserve"> (z = 9 mm) </w:t>
      </w:r>
      <w:r w:rsidRPr="008955B8">
        <w:rPr>
          <w:lang w:val="en-GB"/>
        </w:rPr>
        <w:t xml:space="preserve">of the reactor interior </w:t>
      </w:r>
      <w:r w:rsidR="00BC2AB9" w:rsidRPr="008955B8">
        <w:rPr>
          <w:lang w:val="en-GB"/>
        </w:rPr>
        <w:t>which serve</w:t>
      </w:r>
      <w:r w:rsidR="00BC2AB9">
        <w:rPr>
          <w:lang w:val="en-GB"/>
        </w:rPr>
        <w:t>d</w:t>
      </w:r>
      <w:r w:rsidR="00BC2AB9" w:rsidRPr="008955B8">
        <w:rPr>
          <w:lang w:val="en-GB"/>
        </w:rPr>
        <w:t xml:space="preserve"> as the computational domain</w:t>
      </w:r>
      <w:r w:rsidR="00BC2AB9">
        <w:rPr>
          <w:lang w:val="en-GB"/>
        </w:rPr>
        <w:t>. T</w:t>
      </w:r>
      <w:r w:rsidRPr="008955B8">
        <w:rPr>
          <w:lang w:val="en-GB"/>
        </w:rPr>
        <w:t>he catalytic plate</w:t>
      </w:r>
      <w:r w:rsidR="00BC2AB9">
        <w:rPr>
          <w:lang w:val="en-GB"/>
        </w:rPr>
        <w:t xml:space="preserve"> is highlighted in red</w:t>
      </w:r>
      <w:r w:rsidRPr="008955B8">
        <w:rPr>
          <w:lang w:val="en-GB"/>
        </w:rPr>
        <w:t xml:space="preserve">. All walls (black) </w:t>
      </w:r>
      <w:r w:rsidR="00137954">
        <w:rPr>
          <w:lang w:val="en-GB"/>
        </w:rPr>
        <w:t>were</w:t>
      </w:r>
      <w:r w:rsidRPr="008955B8">
        <w:rPr>
          <w:lang w:val="en-GB"/>
        </w:rPr>
        <w:t xml:space="preserve"> modeled as no-slip boundaries, and a pressure outlet to the atmosphere is applied at the outlet</w:t>
      </w:r>
      <w:r w:rsidR="00BC2AB9">
        <w:rPr>
          <w:lang w:val="en-GB"/>
        </w:rPr>
        <w:t xml:space="preserve"> </w:t>
      </w:r>
      <w:r w:rsidR="00BC2AB9" w:rsidRPr="008955B8">
        <w:rPr>
          <w:lang w:val="en-GB"/>
        </w:rPr>
        <w:t>(magenta)</w:t>
      </w:r>
      <w:r w:rsidRPr="008955B8">
        <w:rPr>
          <w:lang w:val="en-GB"/>
        </w:rPr>
        <w:t>.</w:t>
      </w:r>
      <w:r>
        <w:rPr>
          <w:lang w:val="en-GB"/>
        </w:rPr>
        <w:t xml:space="preserve"> </w:t>
      </w:r>
      <w:r w:rsidR="00665B82">
        <w:t>Consistent with</w:t>
      </w:r>
      <w:r w:rsidR="00075E95" w:rsidRPr="00E8661E">
        <w:t xml:space="preserve"> the experiments</w:t>
      </w:r>
      <w:r w:rsidR="00665B82">
        <w:t>,</w:t>
      </w:r>
      <w:r w:rsidR="00075E95" w:rsidRPr="00E8661E">
        <w:t xml:space="preserve"> </w:t>
      </w:r>
      <w:r w:rsidR="00DB55B8">
        <w:t>a</w:t>
      </w:r>
      <w:r w:rsidR="00075E95" w:rsidRPr="00E8661E">
        <w:t xml:space="preserve"> p</w:t>
      </w:r>
      <w:r w:rsidR="00075E95">
        <w:t>reheated</w:t>
      </w:r>
      <w:r w:rsidR="00503EFC">
        <w:t xml:space="preserve"> gas mixture of 100</w:t>
      </w:r>
      <w:r w:rsidR="00075E95">
        <w:t xml:space="preserve"> </w:t>
      </w:r>
      <w:r w:rsidR="00075E95" w:rsidRPr="00E8661E">
        <w:t>ppm CH</w:t>
      </w:r>
      <w:r w:rsidR="00075E95" w:rsidRPr="00E8661E">
        <w:rPr>
          <w:vertAlign w:val="subscript"/>
        </w:rPr>
        <w:t>2</w:t>
      </w:r>
      <w:r w:rsidR="00075E95" w:rsidRPr="00E8661E">
        <w:t>O, 1.5 vol. % H</w:t>
      </w:r>
      <w:r w:rsidR="00075E95" w:rsidRPr="00E8661E">
        <w:rPr>
          <w:vertAlign w:val="subscript"/>
        </w:rPr>
        <w:t>2</w:t>
      </w:r>
      <w:r w:rsidR="00075E95" w:rsidRPr="00E8661E">
        <w:t>O, 5 vol. % O</w:t>
      </w:r>
      <w:r w:rsidR="00075E95" w:rsidRPr="00E8661E">
        <w:rPr>
          <w:vertAlign w:val="subscript"/>
        </w:rPr>
        <w:t>2</w:t>
      </w:r>
      <w:r w:rsidR="00075E95" w:rsidRPr="00E8661E">
        <w:t>, balanced with N</w:t>
      </w:r>
      <w:r w:rsidR="00075E95" w:rsidRPr="00E8661E">
        <w:rPr>
          <w:vertAlign w:val="subscript"/>
        </w:rPr>
        <w:t>2,</w:t>
      </w:r>
      <w:r w:rsidR="00075E95" w:rsidRPr="00E8661E">
        <w:t xml:space="preserve"> was fed </w:t>
      </w:r>
      <w:r w:rsidR="00137954">
        <w:t xml:space="preserve">to </w:t>
      </w:r>
      <w:r w:rsidR="00503EFC">
        <w:t>the reactor.</w:t>
      </w:r>
      <w:r w:rsidR="00075E95" w:rsidRPr="00E8661E">
        <w:t xml:space="preserve"> </w:t>
      </w:r>
      <w:r w:rsidR="00ED571C" w:rsidRPr="00ED571C">
        <w:rPr>
          <w:lang w:val="en-GB"/>
        </w:rPr>
        <w:t xml:space="preserve">The inlet gas and wall temperatures are set to 673 K. As the heat of reaction is negligible, the system </w:t>
      </w:r>
      <w:r w:rsidR="008A09AD">
        <w:rPr>
          <w:lang w:val="en-GB"/>
        </w:rPr>
        <w:t>was</w:t>
      </w:r>
      <w:r w:rsidR="00ED571C" w:rsidRPr="00ED571C">
        <w:rPr>
          <w:lang w:val="en-GB"/>
        </w:rPr>
        <w:t xml:space="preserve"> assumed to be isothermal. The inlet volumetric flow rate</w:t>
      </w:r>
      <w:r w:rsidR="00ED571C">
        <w:rPr>
          <w:lang w:val="en-GB"/>
        </w:rPr>
        <w:t>,</w:t>
      </w:r>
      <w:r w:rsidR="00ED571C" w:rsidRPr="00ED571C">
        <w:rPr>
          <w:rFonts w:ascii="Cambria Math" w:hAnsi="Cambria Math"/>
          <w:i/>
        </w:rPr>
        <w:t xml:space="preserve"> </w:t>
      </w:r>
      <m:oMath>
        <m:acc>
          <m:accPr>
            <m:chr m:val="̇"/>
            <m:ctrlPr>
              <w:rPr>
                <w:rFonts w:ascii="Cambria Math" w:hAnsi="Cambria Math"/>
                <w:i/>
              </w:rPr>
            </m:ctrlPr>
          </m:accPr>
          <m:e>
            <m:r>
              <w:rPr>
                <w:rFonts w:ascii="Cambria Math" w:hAnsi="Cambria Math"/>
              </w:rPr>
              <m:t>V</m:t>
            </m:r>
          </m:e>
        </m:acc>
      </m:oMath>
      <w:r w:rsidR="00BC2AB9">
        <w:rPr>
          <w:lang w:val="en-GB"/>
        </w:rPr>
        <w:t xml:space="preserve">, </w:t>
      </w:r>
      <w:r w:rsidR="008A09AD">
        <w:rPr>
          <w:lang w:val="en-GB"/>
        </w:rPr>
        <w:t>was</w:t>
      </w:r>
      <w:r w:rsidR="00ED571C" w:rsidRPr="00ED571C">
        <w:rPr>
          <w:lang w:val="en-GB"/>
        </w:rPr>
        <w:t xml:space="preserve"> set to 0.5 and 1 ml/min (i.e., </w:t>
      </w:r>
      <m:oMath>
        <m:sSup>
          <m:sSupPr>
            <m:ctrlPr>
              <w:rPr>
                <w:rFonts w:ascii="Cambria Math" w:hAnsi="Cambria Math"/>
                <w:lang w:val="en-GB"/>
              </w:rPr>
            </m:ctrlPr>
          </m:sSupPr>
          <m:e>
            <m:r>
              <m:rPr>
                <m:sty m:val="p"/>
              </m:rPr>
              <w:rPr>
                <w:rFonts w:ascii="Cambria Math" w:hAnsi="Cambria Math"/>
                <w:lang w:val="en-GB"/>
              </w:rPr>
              <m:t>10</m:t>
            </m:r>
          </m:e>
          <m:sup>
            <m:r>
              <m:rPr>
                <m:sty m:val="p"/>
              </m:rPr>
              <w:rPr>
                <w:rFonts w:ascii="Cambria Math" w:hAnsi="Cambria Math"/>
                <w:lang w:val="en-GB"/>
              </w:rPr>
              <m:t>-6</m:t>
            </m:r>
          </m:sup>
        </m:sSup>
        <m:r>
          <m:rPr>
            <m:sty m:val="p"/>
          </m:rPr>
          <w:rPr>
            <w:rFonts w:ascii="Cambria Math" w:hAnsi="Cambria Math"/>
            <w:lang w:val="en-GB"/>
          </w:rPr>
          <m:t xml:space="preserve"> </m:t>
        </m:r>
        <m:sSup>
          <m:sSupPr>
            <m:ctrlPr>
              <w:rPr>
                <w:rFonts w:ascii="Cambria Math" w:hAnsi="Cambria Math"/>
                <w:lang w:val="en-GB"/>
              </w:rPr>
            </m:ctrlPr>
          </m:sSupPr>
          <m:e>
            <m:r>
              <m:rPr>
                <m:sty m:val="p"/>
              </m:rPr>
              <w:rPr>
                <w:rFonts w:ascii="Cambria Math" w:hAnsi="Cambria Math"/>
                <w:lang w:val="en-GB"/>
              </w:rPr>
              <m:t>m</m:t>
            </m:r>
          </m:e>
          <m:sup>
            <m:r>
              <m:rPr>
                <m:sty m:val="p"/>
              </m:rPr>
              <w:rPr>
                <w:rFonts w:ascii="Cambria Math" w:hAnsi="Cambria Math"/>
                <w:lang w:val="en-GB"/>
              </w:rPr>
              <m:t>3</m:t>
            </m:r>
          </m:sup>
        </m:sSup>
        <m:r>
          <m:rPr>
            <m:sty m:val="p"/>
          </m:rPr>
          <w:rPr>
            <w:rFonts w:ascii="Cambria Math" w:hAnsi="Cambria Math"/>
            <w:lang w:val="en-GB"/>
          </w:rPr>
          <m:t>/60 s</m:t>
        </m:r>
      </m:oMath>
      <w:r w:rsidR="00ED571C" w:rsidRPr="00ED571C">
        <w:rPr>
          <w:lang w:val="en-GB"/>
        </w:rPr>
        <w:t xml:space="preserve">), corresponding to Reynolds numbers of </w:t>
      </w:r>
      <w:r w:rsidR="00F040E0" w:rsidRPr="00ED571C">
        <w:rPr>
          <w:lang w:val="en-GB"/>
        </w:rPr>
        <w:t xml:space="preserve">16.35 </w:t>
      </w:r>
      <w:r w:rsidR="00ED571C" w:rsidRPr="00ED571C">
        <w:rPr>
          <w:lang w:val="en-GB"/>
        </w:rPr>
        <w:t xml:space="preserve">and </w:t>
      </w:r>
      <w:r w:rsidR="00F040E0" w:rsidRPr="00ED571C">
        <w:rPr>
          <w:lang w:val="en-GB"/>
        </w:rPr>
        <w:t xml:space="preserve">32.7 </w:t>
      </w:r>
      <w:r w:rsidR="00ED571C" w:rsidRPr="00ED571C">
        <w:rPr>
          <w:lang w:val="en-GB"/>
        </w:rPr>
        <w:t xml:space="preserve">and average velocities of </w:t>
      </w:r>
      <w:r w:rsidR="00F040E0" w:rsidRPr="00ED571C">
        <w:rPr>
          <w:lang w:val="en-GB"/>
        </w:rPr>
        <w:t xml:space="preserve">0.52 </w:t>
      </w:r>
      <w:r w:rsidR="00ED571C" w:rsidRPr="00ED571C">
        <w:rPr>
          <w:lang w:val="en-GB"/>
        </w:rPr>
        <w:t xml:space="preserve">and </w:t>
      </w:r>
      <w:r w:rsidR="00F040E0" w:rsidRPr="00ED571C">
        <w:rPr>
          <w:lang w:val="en-GB"/>
        </w:rPr>
        <w:t xml:space="preserve">1.04 </w:t>
      </w:r>
      <w:r w:rsidR="00ED571C" w:rsidRPr="00ED571C">
        <w:rPr>
          <w:lang w:val="en-GB"/>
        </w:rPr>
        <w:t>m/s, respectively.</w:t>
      </w:r>
    </w:p>
    <w:p w14:paraId="2AECE986" w14:textId="49853690" w:rsidR="00F03522" w:rsidRPr="00F03522" w:rsidRDefault="00F03522" w:rsidP="00F03522">
      <w:pPr>
        <w:pStyle w:val="CETBodytext"/>
      </w:pPr>
      <w:r w:rsidRPr="00F03522">
        <w:t>Section 4 compares two approaches for representing the washcoat. In the first case (non-resolved washcoat), the fluid</w:t>
      </w:r>
      <w:r>
        <w:t>-</w:t>
      </w:r>
      <w:r w:rsidRPr="00F03522">
        <w:t xml:space="preserve">solid interface corresponds to a flat surface (green line in Figure 1a). The same rectangular grid </w:t>
      </w:r>
      <w:r>
        <w:t>wa</w:t>
      </w:r>
      <w:r w:rsidRPr="00F03522">
        <w:t xml:space="preserve">s used for both FVM and LBM simulations. The 2 mm channel height </w:t>
      </w:r>
      <w:r w:rsidR="00566E83">
        <w:t>wa</w:t>
      </w:r>
      <w:r w:rsidRPr="00F03522">
        <w:t xml:space="preserve">s discretized with 40 cells, </w:t>
      </w:r>
      <w:r w:rsidR="00566E83">
        <w:t xml:space="preserve">which </w:t>
      </w:r>
      <w:r w:rsidRPr="00F03522">
        <w:t>result</w:t>
      </w:r>
      <w:r w:rsidR="00566E83">
        <w:t>ed</w:t>
      </w:r>
      <w:r w:rsidRPr="00F03522">
        <w:t xml:space="preserve"> in an equidistant grid of approximately 56,000 cells with a cell size of 50 µm. Grid independence was verified in preliminary simulations.</w:t>
      </w:r>
    </w:p>
    <w:p w14:paraId="6760D6F4" w14:textId="07076339" w:rsidR="0063572D" w:rsidRDefault="0063572D" w:rsidP="00C009D4">
      <w:pPr>
        <w:pStyle w:val="CETBodytext"/>
        <w:rPr>
          <w:lang w:val="en-GB"/>
        </w:rPr>
      </w:pPr>
      <w:r w:rsidRPr="0063572D">
        <w:rPr>
          <w:lang w:val="en-GB"/>
        </w:rPr>
        <w:t xml:space="preserve">In FVM, a variety of cell shapes can be employed, allowing body-fitted discretization of complex geometries. As a result, deviations between the real and discretized surfaces are typically small and decrease with increasing grid resolution. In contrast, LBM uses uniform, square cells that are assigned exclusively to either fluid or solid domains. Consequently, fluid–solid interfaces are restricted to horizontal and vertical orientations, and curved or inclined boundaries are approximated by staircase-like geometries. A key limitation is that the deviation between the staircase representation and the true geometry does not vanish with increasing </w:t>
      </w:r>
      <w:r w:rsidRPr="00E8661E">
        <w:t>resolution</w:t>
      </w:r>
      <w:r>
        <w:t xml:space="preserve"> </w:t>
      </w:r>
      <w:r>
        <w:fldChar w:fldCharType="begin"/>
      </w:r>
      <w:r w:rsidR="00B20979">
        <w:instrText xml:space="preserve"> ADDIN EN.CITE &lt;EndNote&gt;&lt;Cite&gt;&lt;Author&gt;Hettel&lt;/Author&gt;&lt;Year&gt;2026&lt;/Year&gt;&lt;RecNum&gt;316&lt;/RecNum&gt;&lt;DisplayText&gt;(Hettel et al., 2026)&lt;/DisplayText&gt;&lt;record&gt;&lt;rec-number&gt;316&lt;/rec-number&gt;&lt;foreign-keys&gt;&lt;key app="EN" db-id="ezaprsx2la0xeqeazd9x9xxgasx0fzfwfxvf" timestamp="1777274335"&gt;316&lt;/key&gt;&lt;/foreign-keys&gt;&lt;ref-type name="Journal Article"&gt;17&lt;/ref-type&gt;&lt;contributors&gt;&lt;authors&gt;&lt;author&gt;Hettel, Matthias&lt;/author&gt;&lt;author&gt;Daymo, Eric A.&lt;/author&gt;&lt;author&gt;Sawant, Nilesh&lt;/author&gt;&lt;author&gt;Deutschmann, Olaf&lt;/author&gt;&lt;/authors&gt;&lt;/contributors&gt;&lt;titles&gt;&lt;title&gt;2D lattice-boltzmann method with detailed surface chemistry: conservation of geometrical surface&lt;/title&gt;&lt;secondary-title&gt;Chemical Engineering Science&lt;/secondary-title&gt;&lt;/titles&gt;&lt;periodical&gt;&lt;full-title&gt;Chemical Engineering Science&lt;/full-title&gt;&lt;/periodical&gt;&lt;pages&gt;122797&lt;/pages&gt;&lt;volume&gt;321&lt;/volume&gt;&lt;keywords&gt;&lt;keyword&gt;Lattice-boltzmann method&lt;/keyword&gt;&lt;keyword&gt;D2Q9&lt;/keyword&gt;&lt;keyword&gt;Catalysis&lt;/keyword&gt;&lt;keyword&gt;Detailed surface chemistry&lt;/keyword&gt;&lt;keyword&gt;Microkinetics model&lt;/keyword&gt;&lt;keyword&gt;Geometrical surface&lt;/keyword&gt;&lt;keyword&gt;Formaldehyde conversion CHO&lt;/keyword&gt;&lt;/keywords&gt;&lt;dates&gt;&lt;year&gt;2026&lt;/year&gt;&lt;pub-dates&gt;&lt;date&gt;2026/02/01/&lt;/date&gt;&lt;/pub-dates&gt;&lt;/dates&gt;&lt;isbn&gt;0009-2509&lt;/isbn&gt;&lt;urls&gt;&lt;related-urls&gt;&lt;url&gt;https://www.sciencedirect.com/science/article/pii/S0009250925016185&lt;/url&gt;&lt;/related-urls&gt;&lt;/urls&gt;&lt;electronic-resource-num&gt;https://doi.org/10.1016/j.ces.2025.122797&lt;/electronic-resource-num&gt;&lt;/record&gt;&lt;/Cite&gt;&lt;/EndNote&gt;</w:instrText>
      </w:r>
      <w:r>
        <w:fldChar w:fldCharType="separate"/>
      </w:r>
      <w:r w:rsidR="00B20979">
        <w:rPr>
          <w:noProof/>
        </w:rPr>
        <w:t>(Hettel et al., 2026)</w:t>
      </w:r>
      <w:r>
        <w:fldChar w:fldCharType="end"/>
      </w:r>
      <w:r>
        <w:t>.</w:t>
      </w:r>
      <w:r w:rsidR="00974B94">
        <w:t xml:space="preserve"> </w:t>
      </w:r>
      <w:r w:rsidR="00974B94" w:rsidRPr="00974B94">
        <w:rPr>
          <w:lang w:val="en-GB"/>
        </w:rPr>
        <w:t xml:space="preserve">An exact surface conservation (ESC) approach has been developed to address this issue by preserving geometric interfaces </w:t>
      </w:r>
      <w:r w:rsidR="00974B94">
        <w:fldChar w:fldCharType="begin"/>
      </w:r>
      <w:r w:rsidR="00B20979">
        <w:instrText xml:space="preserve"> ADDIN EN.CITE &lt;EndNote&gt;&lt;Cite&gt;&lt;Author&gt;Hettel&lt;/Author&gt;&lt;Year&gt;2026&lt;/Year&gt;&lt;RecNum&gt;316&lt;/RecNum&gt;&lt;DisplayText&gt;(Hettel et al., 2026)&lt;/DisplayText&gt;&lt;record&gt;&lt;rec-number&gt;316&lt;/rec-number&gt;&lt;foreign-keys&gt;&lt;key app="EN" db-id="ezaprsx2la0xeqeazd9x9xxgasx0fzfwfxvf" timestamp="1777274335"&gt;316&lt;/key&gt;&lt;/foreign-keys&gt;&lt;ref-type name="Journal Article"&gt;17&lt;/ref-type&gt;&lt;contributors&gt;&lt;authors&gt;&lt;author&gt;Hettel, Matthias&lt;/author&gt;&lt;author&gt;Daymo, Eric A.&lt;/author&gt;&lt;author&gt;Sawant, Nilesh&lt;/author&gt;&lt;author&gt;Deutschmann, Olaf&lt;/author&gt;&lt;/authors&gt;&lt;/contributors&gt;&lt;titles&gt;&lt;title&gt;2D lattice-boltzmann method with detailed surface chemistry: conservation of geometrical surface&lt;/title&gt;&lt;secondary-title&gt;Chemical Engineering Science&lt;/secondary-title&gt;&lt;/titles&gt;&lt;periodical&gt;&lt;full-title&gt;Chemical Engineering Science&lt;/full-title&gt;&lt;/periodical&gt;&lt;pages&gt;122797&lt;/pages&gt;&lt;volume&gt;321&lt;/volume&gt;&lt;keywords&gt;&lt;keyword&gt;Lattice-boltzmann method&lt;/keyword&gt;&lt;keyword&gt;D2Q9&lt;/keyword&gt;&lt;keyword&gt;Catalysis&lt;/keyword&gt;&lt;keyword&gt;Detailed surface chemistry&lt;/keyword&gt;&lt;keyword&gt;Microkinetics model&lt;/keyword&gt;&lt;keyword&gt;Geometrical surface&lt;/keyword&gt;&lt;keyword&gt;Formaldehyde conversion CHO&lt;/keyword&gt;&lt;/keywords&gt;&lt;dates&gt;&lt;year&gt;2026&lt;/year&gt;&lt;pub-dates&gt;&lt;date&gt;2026/02/01/&lt;/date&gt;&lt;/pub-dates&gt;&lt;/dates&gt;&lt;isbn&gt;0009-2509&lt;/isbn&gt;&lt;urls&gt;&lt;related-urls&gt;&lt;url&gt;https://www.sciencedirect.com/science/article/pii/S0009250925016185&lt;/url&gt;&lt;/related-urls&gt;&lt;/urls&gt;&lt;electronic-resource-num&gt;https://doi.org/10.1016/j.ces.2025.122797&lt;/electronic-resource-num&gt;&lt;/record&gt;&lt;/Cite&gt;&lt;/EndNote&gt;</w:instrText>
      </w:r>
      <w:r w:rsidR="00974B94">
        <w:fldChar w:fldCharType="separate"/>
      </w:r>
      <w:r w:rsidR="00B20979">
        <w:rPr>
          <w:noProof/>
        </w:rPr>
        <w:t>(Hettel et al., 2026)</w:t>
      </w:r>
      <w:r w:rsidR="00974B94">
        <w:fldChar w:fldCharType="end"/>
      </w:r>
      <w:r w:rsidR="00974B94" w:rsidRPr="00974B94">
        <w:rPr>
          <w:lang w:val="en-GB"/>
        </w:rPr>
        <w:t>. While this method could retain the exact surfaces of the spherical particles used to construct the virtual washcoat, the present study adopt</w:t>
      </w:r>
      <w:r w:rsidR="002E2681">
        <w:rPr>
          <w:lang w:val="en-GB"/>
        </w:rPr>
        <w:t>ed</w:t>
      </w:r>
      <w:r w:rsidR="00974B94" w:rsidRPr="00974B94">
        <w:rPr>
          <w:lang w:val="en-GB"/>
        </w:rPr>
        <w:t xml:space="preserve"> the staircase representation, as particle overlap and surface roughness already introduce geometric irregularities.</w:t>
      </w:r>
    </w:p>
    <w:p w14:paraId="0F63C0AB" w14:textId="7A715908" w:rsidR="00E10175" w:rsidRPr="00E10175" w:rsidRDefault="00E10175" w:rsidP="00E10175">
      <w:pPr>
        <w:pStyle w:val="CETBodytext"/>
      </w:pPr>
      <w:r w:rsidRPr="00E10175">
        <w:t xml:space="preserve">For the resolved washcoat, a simplified virtual structure was constructed. Experiments indicated a geometric surface enhancement factor of </w:t>
      </w:r>
      <m:oMath>
        <m:sSub>
          <m:sSubPr>
            <m:ctrlPr>
              <w:rPr>
                <w:rFonts w:ascii="Cambria Math" w:hAnsi="Cambria Math"/>
              </w:rPr>
            </m:ctrlPr>
          </m:sSubPr>
          <m:e>
            <m:r>
              <w:rPr>
                <w:rFonts w:ascii="Cambria Math" w:hAnsi="Cambria Math"/>
              </w:rPr>
              <m:t>F</m:t>
            </m:r>
          </m:e>
          <m:sub>
            <m:r>
              <m:rPr>
                <m:sty m:val="p"/>
              </m:rPr>
              <w:rPr>
                <w:rFonts w:ascii="Cambria Math" w:hAnsi="Cambria Math"/>
              </w:rPr>
              <m:t>cat,geo</m:t>
            </m:r>
          </m:sub>
        </m:sSub>
        <m:r>
          <m:rPr>
            <m:sty m:val="p"/>
          </m:rPr>
          <w:rPr>
            <w:rFonts w:ascii="Cambria Math" w:hAnsi="Cambria Math"/>
          </w:rPr>
          <m:t>=4</m:t>
        </m:r>
      </m:oMath>
      <w:r w:rsidRPr="00E10175">
        <w:t xml:space="preserve"> and a washcoat thickness of approximately 80 µm. The effectiveness factor was assumed to be unity, implying negligible internal diffusion limitations due to the thin and highly porous washcoat. Accordingly, the total reactive surface in the resolved model was designed to be four times larger than that of the flat plate, ensuring consistency with the non-resolved case.</w:t>
      </w:r>
    </w:p>
    <w:p w14:paraId="0E9CD3D4" w14:textId="04C98470" w:rsidR="007121A4" w:rsidRPr="007121A4" w:rsidRDefault="004B060C" w:rsidP="004B060C">
      <w:pPr>
        <w:pStyle w:val="CETBodytext"/>
      </w:pPr>
      <w:r>
        <w:t xml:space="preserve">As mentioned, MATRICS can also </w:t>
      </w:r>
      <w:r w:rsidR="00A914F8">
        <w:t>handle</w:t>
      </w:r>
      <w:r>
        <w:t xml:space="preserve"> a resolved washcoat. Here, t</w:t>
      </w:r>
      <w:r w:rsidR="007121A4" w:rsidRPr="007121A4">
        <w:t xml:space="preserve">he washcoat was represented as a rectangular region (18 mm × 80 µm) with its top surface located at </w:t>
      </w:r>
      <m:oMath>
        <m:r>
          <w:rPr>
            <w:rFonts w:ascii="Cambria Math" w:hAnsi="Cambria Math"/>
          </w:rPr>
          <m:t>y</m:t>
        </m:r>
        <m:r>
          <m:rPr>
            <m:sty m:val="p"/>
          </m:rPr>
          <w:rPr>
            <w:rFonts w:ascii="Cambria Math" w:hAnsi="Cambria Math"/>
          </w:rPr>
          <m:t>=-0.4</m:t>
        </m:r>
      </m:oMath>
      <w:r w:rsidR="007121A4" w:rsidRPr="007121A4">
        <w:t xml:space="preserve"> mm. Using the MATRICS meshing tool, circular obstacles with a diameter of 20 µm are stochastically distributed within this region</w:t>
      </w:r>
      <w:r w:rsidR="00A914F8">
        <w:t xml:space="preserve"> (see Figure 2b)</w:t>
      </w:r>
      <w:r w:rsidR="007121A4" w:rsidRPr="007121A4">
        <w:t xml:space="preserve">. The total internal surface was monitored during generation, and approximately 3,000 particles were required to achieve a fourfold increase in surface area. Strictly speaking, in two dimensions the reactive quantity is a line length rather than a surface area; thus, the total perimeter of all particles is approximately four times the plate length (18 mm). The resulting porosity </w:t>
      </w:r>
      <w:r w:rsidR="00A914F8">
        <w:t>was</w:t>
      </w:r>
      <w:r w:rsidR="007121A4" w:rsidRPr="007121A4">
        <w:t xml:space="preserve"> 72%.</w:t>
      </w:r>
    </w:p>
    <w:p w14:paraId="7D72E06C" w14:textId="01A3D367" w:rsidR="00075E95" w:rsidRDefault="00D6572D" w:rsidP="00C009D4">
      <w:pPr>
        <w:pStyle w:val="CETBodytext"/>
      </w:pPr>
      <w:r w:rsidRPr="00D6572D">
        <w:t>For the resolved washcoat s</w:t>
      </w:r>
      <w:r w:rsidR="00A914F8">
        <w:t>imulations, the channel height wa</w:t>
      </w:r>
      <w:r w:rsidRPr="00D6572D">
        <w:t xml:space="preserve">s discretized with 400 cells (ten times finer than in the non-resolved case), yielding approximately </w:t>
      </w:r>
      <m:oMath>
        <m:r>
          <m:rPr>
            <m:sty m:val="p"/>
          </m:rPr>
          <w:rPr>
            <w:rFonts w:ascii="Cambria Math" w:hAnsi="Cambria Math"/>
          </w:rPr>
          <m:t>2.8×</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6</m:t>
            </m:r>
          </m:sup>
        </m:sSup>
      </m:oMath>
      <w:r w:rsidRPr="00D6572D">
        <w:t xml:space="preserve"> lattice cells with a resolution of 5 µm. A portion of the resolved washcoat structure is shown in Figure 2b.</w:t>
      </w:r>
      <w:r w:rsidR="00C26701">
        <w:t xml:space="preserve"> </w:t>
      </w:r>
    </w:p>
    <w:p w14:paraId="02531778" w14:textId="3E6341B8" w:rsidR="005E1EF2" w:rsidRDefault="005E1EF2" w:rsidP="00142AB6">
      <w:pPr>
        <w:pStyle w:val="CETHeading1"/>
      </w:pPr>
      <w:r w:rsidRPr="005E1EF2">
        <w:t xml:space="preserve">Comparison </w:t>
      </w:r>
      <w:r w:rsidR="001848E7">
        <w:t>of Experiment and Calculation</w:t>
      </w:r>
      <w:r w:rsidR="001848E7">
        <w:tab/>
      </w:r>
    </w:p>
    <w:p w14:paraId="54D6F309" w14:textId="0218327D" w:rsidR="007D01FA" w:rsidRDefault="00334EA3" w:rsidP="00910FAC">
      <w:pPr>
        <w:pStyle w:val="CETBodytext"/>
      </w:pPr>
      <w:r>
        <w:t xml:space="preserve">Figure </w:t>
      </w:r>
      <w:r w:rsidR="00076985">
        <w:t>2</w:t>
      </w:r>
      <w:r w:rsidR="00A914F8">
        <w:t>a</w:t>
      </w:r>
      <w:r w:rsidR="007D01FA" w:rsidRPr="00E8661E">
        <w:t xml:space="preserve"> shows the </w:t>
      </w:r>
      <w:r w:rsidR="00E571C2" w:rsidRPr="00E8661E">
        <w:t>CH</w:t>
      </w:r>
      <w:r w:rsidR="00E571C2" w:rsidRPr="00E8661E">
        <w:rPr>
          <w:vertAlign w:val="subscript"/>
        </w:rPr>
        <w:t>2</w:t>
      </w:r>
      <w:r w:rsidR="00E571C2" w:rsidRPr="00E8661E">
        <w:t xml:space="preserve">O </w:t>
      </w:r>
      <w:r w:rsidR="008D406C" w:rsidRPr="008D406C">
        <w:rPr>
          <w:lang w:val="en-GB"/>
        </w:rPr>
        <w:t xml:space="preserve">mole fraction in the midplane of the channel for both the measurement (top) and LBM simulation (bottom). Due to limitations in the experimental setup, the entire cross section could not be </w:t>
      </w:r>
      <w:r w:rsidR="008D406C" w:rsidRPr="008D406C">
        <w:rPr>
          <w:lang w:val="en-GB"/>
        </w:rPr>
        <w:lastRenderedPageBreak/>
        <w:t xml:space="preserve">captured by the ICCD camera. As </w:t>
      </w:r>
      <w:r w:rsidR="008D406C" w:rsidRPr="00E8661E">
        <w:t>CH</w:t>
      </w:r>
      <w:r w:rsidR="008D406C" w:rsidRPr="00E8661E">
        <w:rPr>
          <w:vertAlign w:val="subscript"/>
        </w:rPr>
        <w:t>2</w:t>
      </w:r>
      <w:r w:rsidR="008D406C" w:rsidRPr="00E8661E">
        <w:t>O</w:t>
      </w:r>
      <w:r w:rsidR="008D406C" w:rsidRPr="008D406C">
        <w:rPr>
          <w:lang w:val="en-GB"/>
        </w:rPr>
        <w:t xml:space="preserve"> is converted on the catalytic plate, its mole fraction decreases from 100 ppm at the inlet </w:t>
      </w:r>
      <w:r w:rsidR="00A914F8">
        <w:rPr>
          <w:lang w:val="en-GB"/>
        </w:rPr>
        <w:t xml:space="preserve">(left) </w:t>
      </w:r>
      <w:r w:rsidR="008D406C" w:rsidRPr="008D406C">
        <w:rPr>
          <w:lang w:val="en-GB"/>
        </w:rPr>
        <w:t>to approximately 50 ppm at the outlet</w:t>
      </w:r>
      <w:r w:rsidR="00A914F8">
        <w:rPr>
          <w:lang w:val="en-GB"/>
        </w:rPr>
        <w:t xml:space="preserve"> (right)</w:t>
      </w:r>
      <w:r w:rsidR="008D406C" w:rsidRPr="008D406C">
        <w:rPr>
          <w:lang w:val="en-GB"/>
        </w:rPr>
        <w:t>.</w:t>
      </w:r>
    </w:p>
    <w:p w14:paraId="4E207F42" w14:textId="77777777" w:rsidR="001E5110" w:rsidRPr="00E8661E" w:rsidRDefault="001E5110" w:rsidP="00910FAC">
      <w:pPr>
        <w:pStyle w:val="CETBodytex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7"/>
      </w:tblGrid>
      <w:tr w:rsidR="000A1270" w:rsidRPr="00E8661E" w14:paraId="277E4442" w14:textId="2C1FC4F0" w:rsidTr="00C3468E">
        <w:tc>
          <w:tcPr>
            <w:tcW w:w="8787" w:type="dxa"/>
          </w:tcPr>
          <w:p w14:paraId="59D2F2F8" w14:textId="74B8B84D" w:rsidR="000A1270" w:rsidRPr="00E8661E" w:rsidRDefault="00C3468E" w:rsidP="000B00ED">
            <w:pPr>
              <w:spacing w:after="120"/>
              <w:jc w:val="center"/>
              <w:rPr>
                <w:rFonts w:asciiTheme="minorHAnsi" w:hAnsiTheme="minorHAnsi" w:cstheme="minorHAnsi"/>
                <w:noProof/>
                <w:color w:val="000000" w:themeColor="text1"/>
                <w:lang w:val="de-DE" w:eastAsia="de-DE"/>
              </w:rPr>
            </w:pPr>
            <w:r w:rsidRPr="00C3468E">
              <w:rPr>
                <w:rFonts w:asciiTheme="minorHAnsi" w:hAnsiTheme="minorHAnsi" w:cstheme="minorHAnsi"/>
                <w:noProof/>
                <w:color w:val="000000" w:themeColor="text1"/>
                <w:lang w:val="en-US"/>
              </w:rPr>
              <w:drawing>
                <wp:inline distT="0" distB="0" distL="0" distR="0" wp14:anchorId="0777D097" wp14:editId="736A4E68">
                  <wp:extent cx="4877175" cy="1496291"/>
                  <wp:effectExtent l="0" t="0" r="0" b="8890"/>
                  <wp:docPr id="14" name="Grafik 14" descr="C:\Users\ow4349\Desktop\PAPER\BILDER-AMTLICH\Figure-3-ISO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ow4349\Desktop\PAPER\BILDER-AMTLICH\Figure-3-ISOPLOT.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2363" b="7237"/>
                          <a:stretch/>
                        </pic:blipFill>
                        <pic:spPr bwMode="auto">
                          <a:xfrm>
                            <a:off x="0" y="0"/>
                            <a:ext cx="4915460" cy="150803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A1270" w:rsidRPr="00E8661E" w14:paraId="454219B9" w14:textId="0CBFEE63" w:rsidTr="00D21450">
        <w:trPr>
          <w:trHeight w:val="882"/>
        </w:trPr>
        <w:tc>
          <w:tcPr>
            <w:tcW w:w="8787" w:type="dxa"/>
          </w:tcPr>
          <w:p w14:paraId="3A28FAB9" w14:textId="754D8406" w:rsidR="000A1270" w:rsidRPr="000A1270" w:rsidRDefault="000A1270" w:rsidP="004F1D7D">
            <w:pPr>
              <w:shd w:val="clear" w:color="auto" w:fill="FFFFFF" w:themeFill="background1"/>
              <w:spacing w:after="120"/>
              <w:rPr>
                <w:rStyle w:val="CETCaptionCarattere"/>
              </w:rPr>
            </w:pPr>
            <w:r w:rsidRPr="00334EA3">
              <w:rPr>
                <w:rStyle w:val="CETCaptionCarattere"/>
                <w:rFonts w:eastAsia="Calibri"/>
              </w:rPr>
              <w:t xml:space="preserve">Figure </w:t>
            </w:r>
            <w:r w:rsidR="00076985">
              <w:rPr>
                <w:rStyle w:val="CETCaptionCarattere"/>
                <w:rFonts w:eastAsia="Calibri"/>
              </w:rPr>
              <w:t>2</w:t>
            </w:r>
            <w:r w:rsidRPr="00334EA3">
              <w:rPr>
                <w:rStyle w:val="CETCaptionCarattere"/>
                <w:rFonts w:eastAsia="Calibri"/>
              </w:rPr>
              <w:t>:</w:t>
            </w:r>
            <w:r w:rsidRPr="00334EA3">
              <w:rPr>
                <w:rStyle w:val="CETCaptionCarattere"/>
              </w:rPr>
              <w:t xml:space="preserve"> CH</w:t>
            </w:r>
            <w:r w:rsidRPr="000A1270">
              <w:rPr>
                <w:rStyle w:val="CETCaptionCarattere"/>
                <w:vertAlign w:val="subscript"/>
              </w:rPr>
              <w:t>2</w:t>
            </w:r>
            <w:r w:rsidRPr="00334EA3">
              <w:rPr>
                <w:rStyle w:val="CETCaptionCarattere"/>
              </w:rPr>
              <w:t xml:space="preserve">O </w:t>
            </w:r>
            <w:r w:rsidR="00F20493" w:rsidRPr="00F20493">
              <w:rPr>
                <w:i/>
              </w:rPr>
              <w:t>mole fraction in the midplane of the channel at a flow rate of 0.5 ml/min. Flow is from left to right. (a) Comparison of experimental measurements and LBM simulation. The red dashed line indicates the position of the slices shown in Figure 3. (b) Enlarged view of a small region showing the virtual washcoat structure and grid resolution.</w:t>
            </w:r>
          </w:p>
        </w:tc>
      </w:tr>
    </w:tbl>
    <w:p w14:paraId="13E1ADBE" w14:textId="06801EFC" w:rsidR="007D01FA" w:rsidRDefault="00520D60" w:rsidP="00C31691">
      <w:pPr>
        <w:pStyle w:val="CETBodytext"/>
      </w:pPr>
      <w:r w:rsidRPr="00520D60">
        <w:t xml:space="preserve">A distinct vertical gradient is observed, indicating that the system is controlled by mass transfer rather than chemical </w:t>
      </w:r>
      <w:r w:rsidR="00CF4954">
        <w:t>kinetics. The simulation result</w:t>
      </w:r>
      <w:r w:rsidRPr="00520D60">
        <w:t xml:space="preserve"> in the lower panel show</w:t>
      </w:r>
      <w:r w:rsidR="00CF4954">
        <w:t>s</w:t>
      </w:r>
      <w:r w:rsidRPr="00520D60">
        <w:t xml:space="preserve"> good qualitative agreement with experimental data.</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4157"/>
        <w:gridCol w:w="438"/>
        <w:gridCol w:w="3756"/>
      </w:tblGrid>
      <w:tr w:rsidR="001E3CF3" w:rsidRPr="00E8661E" w14:paraId="1D1CCFC0" w14:textId="77777777" w:rsidTr="009C396C">
        <w:tc>
          <w:tcPr>
            <w:tcW w:w="436" w:type="dxa"/>
          </w:tcPr>
          <w:p w14:paraId="3D468783" w14:textId="77777777" w:rsidR="001E3CF3" w:rsidRPr="00C3468E" w:rsidRDefault="001E3CF3" w:rsidP="009C396C">
            <w:pPr>
              <w:spacing w:after="120"/>
              <w:jc w:val="center"/>
              <w:rPr>
                <w:rFonts w:cs="Arial"/>
                <w:i/>
                <w:color w:val="000000" w:themeColor="text1"/>
                <w:lang w:val="en-US"/>
              </w:rPr>
            </w:pPr>
            <w:r w:rsidRPr="00C3468E">
              <w:rPr>
                <w:rFonts w:cs="Arial"/>
                <w:i/>
                <w:color w:val="000000" w:themeColor="text1"/>
                <w:lang w:val="en-US"/>
              </w:rPr>
              <w:t>(a)</w:t>
            </w:r>
          </w:p>
        </w:tc>
        <w:tc>
          <w:tcPr>
            <w:tcW w:w="4157" w:type="dxa"/>
          </w:tcPr>
          <w:p w14:paraId="55C9762B" w14:textId="77777777" w:rsidR="001E3CF3" w:rsidRPr="00E8661E" w:rsidRDefault="001E3CF3" w:rsidP="009C396C">
            <w:pPr>
              <w:spacing w:after="120"/>
              <w:jc w:val="center"/>
              <w:rPr>
                <w:rFonts w:asciiTheme="minorHAnsi" w:hAnsiTheme="minorHAnsi" w:cstheme="minorHAnsi"/>
                <w:color w:val="000000" w:themeColor="text1"/>
                <w:lang w:val="en-US"/>
              </w:rPr>
            </w:pPr>
            <w:r w:rsidRPr="00C138F4">
              <w:rPr>
                <w:rFonts w:asciiTheme="minorHAnsi" w:hAnsiTheme="minorHAnsi" w:cstheme="minorHAnsi"/>
                <w:noProof/>
                <w:color w:val="000000" w:themeColor="text1"/>
                <w:lang w:val="en-US"/>
              </w:rPr>
              <w:drawing>
                <wp:inline distT="0" distB="0" distL="0" distR="0" wp14:anchorId="62901182" wp14:editId="61AA4D40">
                  <wp:extent cx="2077200" cy="1832400"/>
                  <wp:effectExtent l="0" t="0" r="0" b="0"/>
                  <wp:docPr id="4" name="Grafik 4" descr="Z:\3-PUBLIK\1-PAPERS\2026-MATRICS-IPEC\BILDER-AMTLICH\Figure-4-Vergleich-ohne-Wasco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3-PUBLIK\1-PAPERS\2026-MATRICS-IPEC\BILDER-AMTLICH\Figure-4-Vergleich-ohne-Wascoat.jpeg"/>
                          <pic:cNvPicPr>
                            <a:picLocks noChangeAspect="1" noChangeArrowheads="1"/>
                          </pic:cNvPicPr>
                        </pic:nvPicPr>
                        <pic:blipFill rotWithShape="1">
                          <a:blip r:embed="rId13">
                            <a:extLst>
                              <a:ext uri="{28A0092B-C50C-407E-A947-70E740481C1C}">
                                <a14:useLocalDpi xmlns:a14="http://schemas.microsoft.com/office/drawing/2010/main" val="0"/>
                              </a:ext>
                            </a:extLst>
                          </a:blip>
                          <a:srcRect l="466" t="7625" r="6407"/>
                          <a:stretch/>
                        </pic:blipFill>
                        <pic:spPr bwMode="auto">
                          <a:xfrm>
                            <a:off x="0" y="0"/>
                            <a:ext cx="2077200" cy="18324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 w:type="dxa"/>
          </w:tcPr>
          <w:p w14:paraId="2CC737B3" w14:textId="77777777" w:rsidR="001E3CF3" w:rsidRPr="00E8661E" w:rsidRDefault="001E3CF3" w:rsidP="009C396C">
            <w:pPr>
              <w:spacing w:after="120"/>
              <w:jc w:val="center"/>
              <w:rPr>
                <w:rFonts w:asciiTheme="minorHAnsi" w:hAnsiTheme="minorHAnsi" w:cstheme="minorHAnsi"/>
                <w:noProof/>
                <w:color w:val="000000" w:themeColor="text1"/>
                <w:lang w:val="de-DE" w:eastAsia="de-DE"/>
              </w:rPr>
            </w:pPr>
            <w:r>
              <w:rPr>
                <w:rFonts w:cs="Arial"/>
                <w:i/>
                <w:color w:val="000000" w:themeColor="text1"/>
                <w:lang w:val="en-US"/>
              </w:rPr>
              <w:t>(b</w:t>
            </w:r>
            <w:r w:rsidRPr="00C3468E">
              <w:rPr>
                <w:rFonts w:cs="Arial"/>
                <w:i/>
                <w:color w:val="000000" w:themeColor="text1"/>
                <w:lang w:val="en-US"/>
              </w:rPr>
              <w:t>)</w:t>
            </w:r>
          </w:p>
        </w:tc>
        <w:tc>
          <w:tcPr>
            <w:tcW w:w="3756" w:type="dxa"/>
          </w:tcPr>
          <w:p w14:paraId="71B08CF7" w14:textId="77777777" w:rsidR="001E3CF3" w:rsidRPr="00E8661E" w:rsidRDefault="001E3CF3" w:rsidP="009C396C">
            <w:pPr>
              <w:spacing w:after="120"/>
              <w:jc w:val="center"/>
              <w:rPr>
                <w:rFonts w:asciiTheme="minorHAnsi" w:hAnsiTheme="minorHAnsi" w:cstheme="minorHAnsi"/>
                <w:noProof/>
                <w:color w:val="000000" w:themeColor="text1"/>
                <w:lang w:val="de-DE" w:eastAsia="de-DE"/>
              </w:rPr>
            </w:pPr>
            <w:r w:rsidRPr="00C138F4">
              <w:rPr>
                <w:rFonts w:asciiTheme="minorHAnsi" w:hAnsiTheme="minorHAnsi" w:cstheme="minorHAnsi"/>
                <w:noProof/>
                <w:color w:val="000000" w:themeColor="text1"/>
                <w:lang w:val="en-US"/>
              </w:rPr>
              <w:drawing>
                <wp:inline distT="0" distB="0" distL="0" distR="0" wp14:anchorId="35E200A0" wp14:editId="5D6277E0">
                  <wp:extent cx="2077200" cy="1825200"/>
                  <wp:effectExtent l="0" t="0" r="0" b="3810"/>
                  <wp:docPr id="2" name="Grafik 2" descr="Z:\3-PUBLIK\1-PAPERS\2026-MATRICS-IPEC\BILDER-AMTLICH\Figure-5-Vergleich-mit-Wascoa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3-PUBLIK\1-PAPERS\2026-MATRICS-IPEC\BILDER-AMTLICH\Figure-5-Vergleich-mit-Wascoat.jpeg"/>
                          <pic:cNvPicPr>
                            <a:picLocks noChangeAspect="1" noChangeArrowheads="1"/>
                          </pic:cNvPicPr>
                        </pic:nvPicPr>
                        <pic:blipFill rotWithShape="1">
                          <a:blip r:embed="rId14">
                            <a:extLst>
                              <a:ext uri="{28A0092B-C50C-407E-A947-70E740481C1C}">
                                <a14:useLocalDpi xmlns:a14="http://schemas.microsoft.com/office/drawing/2010/main" val="0"/>
                              </a:ext>
                            </a:extLst>
                          </a:blip>
                          <a:srcRect l="466" t="7843" r="6223"/>
                          <a:stretch/>
                        </pic:blipFill>
                        <pic:spPr bwMode="auto">
                          <a:xfrm>
                            <a:off x="0" y="0"/>
                            <a:ext cx="2077200" cy="18252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E3CF3" w:rsidRPr="001548BB" w14:paraId="35BE5A04" w14:textId="77777777" w:rsidTr="009C396C">
        <w:tc>
          <w:tcPr>
            <w:tcW w:w="8787" w:type="dxa"/>
            <w:gridSpan w:val="4"/>
          </w:tcPr>
          <w:p w14:paraId="755AC181" w14:textId="1D7B7A6A" w:rsidR="001E3CF3" w:rsidRPr="00195938" w:rsidRDefault="001E3CF3" w:rsidP="009C396C">
            <w:pPr>
              <w:pStyle w:val="CETCaption"/>
              <w:spacing w:before="0" w:after="0"/>
              <w:rPr>
                <w:rFonts w:eastAsia="Calibri"/>
              </w:rPr>
            </w:pPr>
            <w:r w:rsidRPr="00195938">
              <w:rPr>
                <w:rFonts w:eastAsia="Calibri"/>
              </w:rPr>
              <w:t xml:space="preserve">Figure </w:t>
            </w:r>
            <w:r>
              <w:rPr>
                <w:rFonts w:eastAsia="Calibri"/>
              </w:rPr>
              <w:t>3</w:t>
            </w:r>
            <w:r w:rsidRPr="00195938">
              <w:rPr>
                <w:rFonts w:eastAsia="Calibri"/>
                <w:bCs/>
              </w:rPr>
              <w:t>:</w:t>
            </w:r>
            <w:r w:rsidRPr="00195938">
              <w:t xml:space="preserve"> </w:t>
            </w:r>
            <w:r w:rsidRPr="00E8661E">
              <w:t>CH</w:t>
            </w:r>
            <w:r w:rsidRPr="00E8661E">
              <w:rPr>
                <w:vertAlign w:val="subscript"/>
              </w:rPr>
              <w:t>2</w:t>
            </w:r>
            <w:r w:rsidRPr="00E8661E">
              <w:t xml:space="preserve">O </w:t>
            </w:r>
            <w:r w:rsidR="0061159F" w:rsidRPr="0061159F">
              <w:rPr>
                <w:lang w:val="en-US"/>
              </w:rPr>
              <w:t xml:space="preserve">mole fraction profiles at </w:t>
            </w:r>
            <m:oMath>
              <m:r>
                <w:rPr>
                  <w:rFonts w:ascii="Cambria Math" w:hAnsi="Cambria Math"/>
                  <w:lang w:val="en-US"/>
                </w:rPr>
                <m:t>x=12</m:t>
              </m:r>
            </m:oMath>
            <w:r w:rsidR="0061159F" w:rsidRPr="0061159F">
              <w:rPr>
                <w:lang w:val="en-US"/>
              </w:rPr>
              <w:t xml:space="preserve"> mm. (a) Comparison of FVM (dashed lines) and LBM (solid lines) simulations with non-resolved washcoat. (b) Comparison of LBM simulations with resolved (dashed lines) and non-resolved (solid lines) washcoat</w:t>
            </w:r>
            <w:r w:rsidRPr="00195938">
              <w:rPr>
                <w:rFonts w:eastAsia="Calibri"/>
              </w:rPr>
              <w:t>.</w:t>
            </w:r>
          </w:p>
        </w:tc>
      </w:tr>
    </w:tbl>
    <w:p w14:paraId="440BA296" w14:textId="77777777" w:rsidR="00A73264" w:rsidRDefault="00751D0D" w:rsidP="0028624D">
      <w:pPr>
        <w:pStyle w:val="CETBodytext"/>
      </w:pPr>
      <w:r w:rsidRPr="00751D0D">
        <w:t xml:space="preserve">Figure 3 compares measured </w:t>
      </w:r>
      <w:r w:rsidRPr="00E8661E">
        <w:t>CH</w:t>
      </w:r>
      <w:r w:rsidRPr="00E8661E">
        <w:rPr>
          <w:vertAlign w:val="subscript"/>
        </w:rPr>
        <w:t>2</w:t>
      </w:r>
      <w:r w:rsidRPr="00E8661E">
        <w:t>O</w:t>
      </w:r>
      <w:r>
        <w:t xml:space="preserve"> </w:t>
      </w:r>
      <w:r w:rsidRPr="00751D0D">
        <w:t xml:space="preserve">mole fractions at two volumetric flow rates (0.5 and 1 ml/min) with simulations at an axial position of </w:t>
      </w:r>
      <m:oMath>
        <m:r>
          <w:rPr>
            <w:rFonts w:ascii="Cambria Math" w:hAnsi="Cambria Math"/>
          </w:rPr>
          <m:t>x</m:t>
        </m:r>
        <m:r>
          <m:rPr>
            <m:sty m:val="p"/>
          </m:rPr>
          <w:rPr>
            <w:rFonts w:ascii="Cambria Math" w:hAnsi="Cambria Math"/>
          </w:rPr>
          <m:t>=12</m:t>
        </m:r>
      </m:oMath>
      <w:r w:rsidRPr="00751D0D">
        <w:t xml:space="preserve"> mm (indicated by the red dashed lines in Figure 2a). The experiments show that conversion increases with decreasing flow rate, as lower velocities result in longer residence times. The MATRICS (LBM) and DUO (FVM) simulations, both using a non-resolved washcoat, agree very well (Figure 3a). Considering the reported experimental uncertainty of ±20%, the agreement between numerical and experimental results is good. The simulations indicate that the system is diffusion-controlled for both flow rates, as the </w:t>
      </w:r>
      <w:r w:rsidRPr="00E8661E">
        <w:t>CH</w:t>
      </w:r>
      <w:r w:rsidRPr="00E8661E">
        <w:rPr>
          <w:vertAlign w:val="subscript"/>
        </w:rPr>
        <w:t>2</w:t>
      </w:r>
      <w:r w:rsidRPr="00E8661E">
        <w:t>O</w:t>
      </w:r>
      <w:r w:rsidRPr="00751D0D">
        <w:t xml:space="preserve"> mole fraction reaches zero at the catalytic surface. The reaction is sufficiently fast that all </w:t>
      </w:r>
      <w:r w:rsidRPr="00E8661E">
        <w:t>CH</w:t>
      </w:r>
      <w:r w:rsidRPr="00E8661E">
        <w:rPr>
          <w:vertAlign w:val="subscript"/>
        </w:rPr>
        <w:t>2</w:t>
      </w:r>
      <w:r w:rsidRPr="00E8661E">
        <w:t>O</w:t>
      </w:r>
      <w:r w:rsidRPr="00751D0D">
        <w:t xml:space="preserve"> transported to the surface by diffusion is immediately converted. However, extrapolating the measured data to the surface suggests that the reaction mechanism may overpredict conversion rates. The primary focus of this paper is not mechanism validation</w:t>
      </w:r>
      <w:r w:rsidR="004115A3">
        <w:t>.</w:t>
      </w:r>
      <w:r w:rsidRPr="00751D0D">
        <w:t xml:space="preserve"> </w:t>
      </w:r>
      <w:r w:rsidR="004115A3">
        <w:t>S</w:t>
      </w:r>
      <w:r w:rsidRPr="00751D0D">
        <w:t xml:space="preserve">uch validation would require measurements very close to the catalytic surface, which were not accessible due to optical constraints in the experiments. The key finding is that the LBM code produces nearly identical results to the FVM approach. </w:t>
      </w:r>
    </w:p>
    <w:p w14:paraId="29D57EF2" w14:textId="7B99EDCF" w:rsidR="00751D0D" w:rsidRDefault="00751D0D" w:rsidP="0028624D">
      <w:pPr>
        <w:pStyle w:val="CETBodytext"/>
      </w:pPr>
      <w:r w:rsidRPr="00751D0D">
        <w:t xml:space="preserve">In Figure 3b, LBM simulations with a non-resolved washcoat (solid lines, same as in Figure 3a) yield </w:t>
      </w:r>
      <w:r w:rsidR="00A73264">
        <w:t xml:space="preserve">only </w:t>
      </w:r>
      <w:r w:rsidR="00A914F8">
        <w:t>slightly larger</w:t>
      </w:r>
      <w:r w:rsidRPr="00751D0D">
        <w:t xml:space="preserve"> concentrations than those with a resolved washcoat (dashed lines). </w:t>
      </w:r>
      <w:r w:rsidR="00B06203">
        <w:t>It seems</w:t>
      </w:r>
      <w:r w:rsidR="00A914F8">
        <w:t xml:space="preserve"> that the value </w:t>
      </w:r>
      <w:r w:rsidR="00A914F8" w:rsidRPr="00E10175">
        <w:t xml:space="preserve">of </w:t>
      </w:r>
      <m:oMath>
        <m:sSub>
          <m:sSubPr>
            <m:ctrlPr>
              <w:rPr>
                <w:rFonts w:ascii="Cambria Math" w:hAnsi="Cambria Math"/>
              </w:rPr>
            </m:ctrlPr>
          </m:sSubPr>
          <m:e>
            <m:r>
              <w:rPr>
                <w:rFonts w:ascii="Cambria Math" w:hAnsi="Cambria Math"/>
              </w:rPr>
              <m:t>F</m:t>
            </m:r>
          </m:e>
          <m:sub>
            <m:r>
              <m:rPr>
                <m:sty m:val="p"/>
              </m:rPr>
              <w:rPr>
                <w:rFonts w:ascii="Cambria Math" w:hAnsi="Cambria Math"/>
              </w:rPr>
              <m:t>cat,geo</m:t>
            </m:r>
          </m:sub>
        </m:sSub>
        <m:r>
          <m:rPr>
            <m:sty m:val="p"/>
          </m:rPr>
          <w:rPr>
            <w:rFonts w:ascii="Cambria Math" w:hAnsi="Cambria Math"/>
          </w:rPr>
          <m:t>=4</m:t>
        </m:r>
      </m:oMath>
      <w:r w:rsidR="00A914F8" w:rsidRPr="00E10175">
        <w:t xml:space="preserve"> </w:t>
      </w:r>
      <w:r w:rsidR="00A914F8">
        <w:t xml:space="preserve"> used for the calculation with flat surface was estimated </w:t>
      </w:r>
      <w:r w:rsidR="00D21450">
        <w:t>well. M</w:t>
      </w:r>
      <w:r w:rsidRPr="00751D0D">
        <w:t xml:space="preserve">ore precise experimental data would be needed to determine </w:t>
      </w:r>
      <w:r w:rsidR="00A914F8">
        <w:t xml:space="preserve">which approach is more accurate.  </w:t>
      </w:r>
    </w:p>
    <w:p w14:paraId="04A68D81" w14:textId="118B8FC3" w:rsidR="005E1EF2" w:rsidRPr="005E1EF2" w:rsidRDefault="001848E7" w:rsidP="001848E7">
      <w:pPr>
        <w:pStyle w:val="CETHeading1"/>
      </w:pPr>
      <w:r>
        <w:t>Conclusions</w:t>
      </w:r>
      <w:r>
        <w:tab/>
      </w:r>
    </w:p>
    <w:bookmarkEnd w:id="1"/>
    <w:p w14:paraId="2FC38471" w14:textId="1A1F7E59" w:rsidR="00E947CD" w:rsidRPr="00E947CD" w:rsidRDefault="00E947CD" w:rsidP="00E947CD">
      <w:pPr>
        <w:pStyle w:val="CETBodytext"/>
      </w:pPr>
      <w:r w:rsidRPr="00E947CD">
        <w:t xml:space="preserve">This study investigates the capability of the lattice Boltzmann method (LBM) to simulate fluid flows with detailed catalytic surface chemistry. A two-dimensional LBM code (MATRICS) was developed and applied to model the </w:t>
      </w:r>
      <w:r w:rsidRPr="00E947CD">
        <w:lastRenderedPageBreak/>
        <w:t xml:space="preserve">catalytic oxidation of formaldehyde in a channel reactor. Results were compared with experimental measurements and simulations from the finite volume method (FVM) solver DUO. Two approaches for representing the catalytic washcoat were evaluated: a non-resolved approximation with a flat catalytic surface and a resolved porous geometry. Both approaches yielded similar and accurate results. The simulations showed good agreement with experimental data, particularly in capturing </w:t>
      </w:r>
      <w:r>
        <w:t>CH</w:t>
      </w:r>
      <w:r w:rsidRPr="00187FA8">
        <w:rPr>
          <w:vertAlign w:val="subscript"/>
        </w:rPr>
        <w:t>2</w:t>
      </w:r>
      <w:r>
        <w:t>O</w:t>
      </w:r>
      <w:r w:rsidRPr="00E947CD">
        <w:t xml:space="preserve"> concentration gradients. The analysis confirms that the system is diffusion-controlled, with rapid surface reactions consuming formaldehyde at the catalyst. Furthermore, LBM results closely matched those from the FVM approach, demonstrating comparable accuracy and reliability. Overall, this work demonstrates that LBM is a suitable and efficient method for simulating reactive flows with detailed surface chemistry, offering flexibility in handling complex catalytic structures.</w:t>
      </w:r>
      <w:r w:rsidR="00A914F8">
        <w:t xml:space="preserve"> Next step is to </w:t>
      </w:r>
      <w:r w:rsidR="00D21450">
        <w:t>use</w:t>
      </w:r>
      <w:r w:rsidR="00A914F8">
        <w:t xml:space="preserve"> the </w:t>
      </w:r>
      <w:r w:rsidR="00D21450">
        <w:t xml:space="preserve">geometry of </w:t>
      </w:r>
      <w:r w:rsidR="00A914F8">
        <w:t>real washcoats</w:t>
      </w:r>
      <w:r w:rsidR="00D21450">
        <w:t xml:space="preserve"> in the calculations.  </w:t>
      </w:r>
    </w:p>
    <w:p w14:paraId="428B022A" w14:textId="3521459B" w:rsidR="00E65B91" w:rsidRDefault="006441D2" w:rsidP="006C39A0">
      <w:pPr>
        <w:pStyle w:val="CETReference"/>
      </w:pPr>
      <w:r w:rsidRPr="006C39A0">
        <w:t>References</w:t>
      </w:r>
    </w:p>
    <w:p w14:paraId="698C3540" w14:textId="068F83DD" w:rsidR="00811F9E" w:rsidRDefault="00811F9E" w:rsidP="00811F9E">
      <w:pPr>
        <w:pStyle w:val="CETReferencetext"/>
      </w:pPr>
      <w:r>
        <w:t>Arcidiacono S., J. Mantzaras J., Karlin I. V., 2008, Lattice Boltzmann simulation of catalytic reactions, Physical Review E, 78(4), 046711</w:t>
      </w:r>
    </w:p>
    <w:p w14:paraId="42E3B72F" w14:textId="0DD90F90" w:rsidR="00811F9E" w:rsidRDefault="004F2B5A" w:rsidP="00811F9E">
      <w:pPr>
        <w:pStyle w:val="CETReferencetext"/>
      </w:pPr>
      <w:r>
        <w:rPr>
          <w:lang w:val="en-US"/>
        </w:rPr>
        <w:t>Belot</w:t>
      </w:r>
      <w:r w:rsidR="00811F9E" w:rsidRPr="00811F9E">
        <w:rPr>
          <w:lang w:val="en-US"/>
        </w:rPr>
        <w:t xml:space="preserve"> I., D. Vidal, Greiner R., Votsmeier M., Hayes R. E., Bertrand F., </w:t>
      </w:r>
      <w:r w:rsidR="00811F9E">
        <w:rPr>
          <w:lang w:val="en-US"/>
        </w:rPr>
        <w:t xml:space="preserve">2021, </w:t>
      </w:r>
      <w:r w:rsidR="00811F9E">
        <w:t>Impact of washcoat distribution on the catalytic performance of gasoline particulate filters as predicted by lattice Boltzmann simulations, Chemical Engineering Journal, 406, 127040</w:t>
      </w:r>
    </w:p>
    <w:p w14:paraId="1B56765C" w14:textId="3118F2E8" w:rsidR="004F2B5A" w:rsidRDefault="004F2B5A" w:rsidP="00811F9E">
      <w:pPr>
        <w:pStyle w:val="CETReferencetext"/>
      </w:pPr>
      <w:r>
        <w:t>Bhatnagar</w:t>
      </w:r>
      <w:r w:rsidR="00811F9E">
        <w:t xml:space="preserve"> P. L., Gross E. P., Krook M., 1954, A Model f</w:t>
      </w:r>
      <w:r>
        <w:t>or Collision Processes in Gases,</w:t>
      </w:r>
      <w:r w:rsidR="00811F9E">
        <w:t xml:space="preserve"> I. Small Amplitude Processes in Charged and N</w:t>
      </w:r>
      <w:r>
        <w:t>eutral One-Component Systems,</w:t>
      </w:r>
      <w:r w:rsidR="00811F9E">
        <w:t xml:space="preserve"> Physical Review</w:t>
      </w:r>
      <w:r>
        <w:t>, 94(3), 511-525</w:t>
      </w:r>
    </w:p>
    <w:p w14:paraId="11F37C80" w14:textId="2870FC75" w:rsidR="00811F9E" w:rsidRPr="004F2B5A" w:rsidRDefault="004F2B5A" w:rsidP="00811F9E">
      <w:pPr>
        <w:pStyle w:val="CETReferencetext"/>
        <w:rPr>
          <w:lang w:val="en-US"/>
        </w:rPr>
      </w:pPr>
      <w:r>
        <w:t xml:space="preserve"> Deutschmann O., 2011,</w:t>
      </w:r>
      <w:r w:rsidR="00811F9E">
        <w:t xml:space="preserve"> Modeling and Simulation of Heterogeneous Catalytic Reactions: From the molecular </w:t>
      </w:r>
      <w:r>
        <w:t>process to the technical system,</w:t>
      </w:r>
      <w:r w:rsidR="00811F9E">
        <w:t xml:space="preserve"> </w:t>
      </w:r>
      <w:r w:rsidR="00811F9E" w:rsidRPr="004F2B5A">
        <w:rPr>
          <w:lang w:val="en-US"/>
        </w:rPr>
        <w:t xml:space="preserve">Weinheim, Wiley-VCH </w:t>
      </w:r>
    </w:p>
    <w:p w14:paraId="44FBFBD6" w14:textId="5A64C72B" w:rsidR="00811F9E" w:rsidRPr="004F2B5A" w:rsidRDefault="004F2B5A" w:rsidP="00811F9E">
      <w:pPr>
        <w:pStyle w:val="CETReferencetext"/>
        <w:rPr>
          <w:lang w:val="de-DE"/>
        </w:rPr>
      </w:pPr>
      <w:r>
        <w:rPr>
          <w:lang w:val="de-DE"/>
        </w:rPr>
        <w:t>Deutschmann</w:t>
      </w:r>
      <w:r w:rsidR="00811F9E" w:rsidRPr="00811F9E">
        <w:rPr>
          <w:lang w:val="de-DE"/>
        </w:rPr>
        <w:t xml:space="preserve"> O., </w:t>
      </w:r>
      <w:r w:rsidRPr="00811F9E">
        <w:rPr>
          <w:lang w:val="de-DE"/>
        </w:rPr>
        <w:t xml:space="preserve">Tischer </w:t>
      </w:r>
      <w:r w:rsidR="00811F9E" w:rsidRPr="00811F9E">
        <w:rPr>
          <w:lang w:val="de-DE"/>
        </w:rPr>
        <w:t xml:space="preserve">S., </w:t>
      </w:r>
      <w:r w:rsidRPr="00811F9E">
        <w:rPr>
          <w:lang w:val="de-DE"/>
        </w:rPr>
        <w:t xml:space="preserve">Correa </w:t>
      </w:r>
      <w:r w:rsidR="00811F9E" w:rsidRPr="00811F9E">
        <w:rPr>
          <w:lang w:val="de-DE"/>
        </w:rPr>
        <w:t xml:space="preserve">C., </w:t>
      </w:r>
      <w:r w:rsidRPr="00811F9E">
        <w:rPr>
          <w:lang w:val="de-DE"/>
        </w:rPr>
        <w:t xml:space="preserve">Chatterjee </w:t>
      </w:r>
      <w:r w:rsidR="00811F9E" w:rsidRPr="00811F9E">
        <w:rPr>
          <w:lang w:val="de-DE"/>
        </w:rPr>
        <w:t xml:space="preserve">D., </w:t>
      </w:r>
      <w:r w:rsidRPr="00811F9E">
        <w:rPr>
          <w:lang w:val="de-DE"/>
        </w:rPr>
        <w:t xml:space="preserve">Kleditzsch </w:t>
      </w:r>
      <w:r w:rsidR="00811F9E" w:rsidRPr="00811F9E">
        <w:rPr>
          <w:lang w:val="de-DE"/>
        </w:rPr>
        <w:t xml:space="preserve">S., </w:t>
      </w:r>
      <w:r w:rsidRPr="00811F9E">
        <w:rPr>
          <w:lang w:val="de-DE"/>
        </w:rPr>
        <w:t xml:space="preserve">Janardhanan </w:t>
      </w:r>
      <w:r w:rsidR="00811F9E" w:rsidRPr="00811F9E">
        <w:rPr>
          <w:lang w:val="de-DE"/>
        </w:rPr>
        <w:t xml:space="preserve">V. M., </w:t>
      </w:r>
      <w:r w:rsidRPr="00811F9E">
        <w:rPr>
          <w:lang w:val="de-DE"/>
        </w:rPr>
        <w:t xml:space="preserve">Mladenov </w:t>
      </w:r>
      <w:r w:rsidR="00811F9E" w:rsidRPr="00811F9E">
        <w:rPr>
          <w:lang w:val="de-DE"/>
        </w:rPr>
        <w:t xml:space="preserve">N., </w:t>
      </w:r>
      <w:r w:rsidRPr="00811F9E">
        <w:rPr>
          <w:lang w:val="de-DE"/>
        </w:rPr>
        <w:t xml:space="preserve">Minh </w:t>
      </w:r>
      <w:r w:rsidR="00811F9E" w:rsidRPr="00811F9E">
        <w:rPr>
          <w:lang w:val="de-DE"/>
        </w:rPr>
        <w:t xml:space="preserve">H. D., </w:t>
      </w:r>
      <w:r w:rsidRPr="00811F9E">
        <w:rPr>
          <w:lang w:val="de-DE"/>
        </w:rPr>
        <w:t xml:space="preserve">Karadeniz </w:t>
      </w:r>
      <w:r>
        <w:rPr>
          <w:lang w:val="de-DE"/>
        </w:rPr>
        <w:t xml:space="preserve">H., </w:t>
      </w:r>
      <w:r w:rsidRPr="00811F9E">
        <w:rPr>
          <w:lang w:val="de-DE"/>
        </w:rPr>
        <w:t xml:space="preserve">Hettel </w:t>
      </w:r>
      <w:r>
        <w:rPr>
          <w:lang w:val="de-DE"/>
        </w:rPr>
        <w:t>M., 2014,</w:t>
      </w:r>
      <w:r w:rsidR="00811F9E" w:rsidRPr="00811F9E">
        <w:rPr>
          <w:lang w:val="de-DE"/>
        </w:rPr>
        <w:t xml:space="preserve"> </w:t>
      </w:r>
      <w:r>
        <w:rPr>
          <w:lang w:val="de-DE"/>
        </w:rPr>
        <w:t>DETCHEM Software package,</w:t>
      </w:r>
      <w:r w:rsidR="00811F9E" w:rsidRPr="004F2B5A">
        <w:rPr>
          <w:lang w:val="de-DE"/>
        </w:rPr>
        <w:t xml:space="preserve"> Karlsruhe, Germany, www.detchem.com.</w:t>
      </w:r>
    </w:p>
    <w:p w14:paraId="11F92992" w14:textId="6141F1D3" w:rsidR="00811F9E" w:rsidRDefault="004F2B5A" w:rsidP="00811F9E">
      <w:pPr>
        <w:pStyle w:val="CETReferencetext"/>
      </w:pPr>
      <w:r>
        <w:t>Falcucci G., 2020,</w:t>
      </w:r>
      <w:r w:rsidR="00811F9E">
        <w:t xml:space="preserve"> </w:t>
      </w:r>
      <w:r>
        <w:t xml:space="preserve">Advances in Chemical Engineering. </w:t>
      </w:r>
      <w:r w:rsidR="00811F9E">
        <w:t xml:space="preserve">Chapter Two - LBM </w:t>
      </w:r>
      <w:r>
        <w:t xml:space="preserve">for 2D and 3D chemical reactors, </w:t>
      </w:r>
      <w:r w:rsidR="00811F9E">
        <w:t xml:space="preserve"> </w:t>
      </w:r>
      <w:r>
        <w:t xml:space="preserve">Van den Akker </w:t>
      </w:r>
      <w:r w:rsidR="00811F9E">
        <w:t>H. E. A.</w:t>
      </w:r>
      <w:r>
        <w:t>, Academic Press, 55: 81-141</w:t>
      </w:r>
    </w:p>
    <w:p w14:paraId="1EBC7DF0" w14:textId="5AB7D19F" w:rsidR="00811F9E" w:rsidRDefault="004F2B5A" w:rsidP="00811F9E">
      <w:pPr>
        <w:pStyle w:val="CETReferencetext"/>
      </w:pPr>
      <w:r w:rsidRPr="004F2B5A">
        <w:rPr>
          <w:lang w:val="en-US"/>
        </w:rPr>
        <w:t>Hettel</w:t>
      </w:r>
      <w:r w:rsidR="00811F9E" w:rsidRPr="004F2B5A">
        <w:rPr>
          <w:lang w:val="en-US"/>
        </w:rPr>
        <w:t xml:space="preserve"> M., </w:t>
      </w:r>
      <w:r w:rsidRPr="004F2B5A">
        <w:rPr>
          <w:lang w:val="en-US"/>
        </w:rPr>
        <w:t>Daymo E.,</w:t>
      </w:r>
      <w:r w:rsidR="00811F9E" w:rsidRPr="004F2B5A">
        <w:rPr>
          <w:lang w:val="en-US"/>
        </w:rPr>
        <w:t xml:space="preserve"> </w:t>
      </w:r>
      <w:r w:rsidRPr="004F2B5A">
        <w:rPr>
          <w:lang w:val="en-US"/>
        </w:rPr>
        <w:t xml:space="preserve">Deutschmann O., </w:t>
      </w:r>
      <w:r>
        <w:rPr>
          <w:lang w:val="en-US"/>
        </w:rPr>
        <w:t xml:space="preserve">2018, </w:t>
      </w:r>
      <w:r w:rsidR="00811F9E">
        <w:t xml:space="preserve">3D modeling of a CPOX-reformer including detailed chemistry </w:t>
      </w:r>
      <w:r>
        <w:t>and radiation effects with DUO,</w:t>
      </w:r>
      <w:r w:rsidR="00811F9E">
        <w:t xml:space="preserve"> Computers &amp; Chemical Engineering</w:t>
      </w:r>
      <w:r>
        <w:t>,</w:t>
      </w:r>
      <w:r w:rsidR="00811F9E">
        <w:t xml:space="preserve"> 1</w:t>
      </w:r>
      <w:r>
        <w:t>09, 166-178</w:t>
      </w:r>
    </w:p>
    <w:p w14:paraId="403826FF" w14:textId="3C1F54E0" w:rsidR="00811F9E" w:rsidRDefault="004F2B5A" w:rsidP="00811F9E">
      <w:pPr>
        <w:pStyle w:val="CETReferencetext"/>
      </w:pPr>
      <w:r w:rsidRPr="004F2B5A">
        <w:rPr>
          <w:lang w:val="en-US"/>
        </w:rPr>
        <w:t>Hettel</w:t>
      </w:r>
      <w:r w:rsidR="00811F9E" w:rsidRPr="004F2B5A">
        <w:rPr>
          <w:lang w:val="en-US"/>
        </w:rPr>
        <w:t xml:space="preserve"> M., </w:t>
      </w:r>
      <w:r w:rsidRPr="004F2B5A">
        <w:rPr>
          <w:lang w:val="en-US"/>
        </w:rPr>
        <w:t xml:space="preserve">Daymo </w:t>
      </w:r>
      <w:r w:rsidR="00811F9E" w:rsidRPr="004F2B5A">
        <w:rPr>
          <w:lang w:val="en-US"/>
        </w:rPr>
        <w:t xml:space="preserve">E. A., </w:t>
      </w:r>
      <w:r w:rsidRPr="004F2B5A">
        <w:rPr>
          <w:lang w:val="en-US"/>
        </w:rPr>
        <w:t>Sawant N.,</w:t>
      </w:r>
      <w:r w:rsidR="00811F9E" w:rsidRPr="004F2B5A">
        <w:rPr>
          <w:lang w:val="en-US"/>
        </w:rPr>
        <w:t xml:space="preserve"> </w:t>
      </w:r>
      <w:r w:rsidRPr="004F2B5A">
        <w:rPr>
          <w:lang w:val="en-US"/>
        </w:rPr>
        <w:t xml:space="preserve">Deutschmann O., </w:t>
      </w:r>
      <w:r w:rsidR="00A01BE2">
        <w:rPr>
          <w:lang w:val="en-US"/>
        </w:rPr>
        <w:t>2026</w:t>
      </w:r>
      <w:r>
        <w:rPr>
          <w:lang w:val="en-US"/>
        </w:rPr>
        <w:t xml:space="preserve">, </w:t>
      </w:r>
      <w:r w:rsidR="00811F9E">
        <w:t>2D lattice-boltzmann method with detailed surface chemistry: conse</w:t>
      </w:r>
      <w:r>
        <w:t>rvation of geometrical surface,</w:t>
      </w:r>
      <w:r w:rsidR="00811F9E">
        <w:t xml:space="preserve"> Chemical Engineering Science</w:t>
      </w:r>
      <w:r>
        <w:t>, 321, 122797</w:t>
      </w:r>
    </w:p>
    <w:p w14:paraId="453CD110" w14:textId="4235922D" w:rsidR="00811F9E" w:rsidRDefault="004F2B5A" w:rsidP="00811F9E">
      <w:pPr>
        <w:pStyle w:val="CETReferencetext"/>
      </w:pPr>
      <w:r w:rsidRPr="004F2B5A">
        <w:rPr>
          <w:lang w:val="en-US"/>
        </w:rPr>
        <w:t>Hettel</w:t>
      </w:r>
      <w:r w:rsidR="00811F9E" w:rsidRPr="004F2B5A">
        <w:rPr>
          <w:lang w:val="en-US"/>
        </w:rPr>
        <w:t xml:space="preserve"> M., </w:t>
      </w:r>
      <w:r w:rsidRPr="004F2B5A">
        <w:rPr>
          <w:lang w:val="en-US"/>
        </w:rPr>
        <w:t>Wörner M., Deutschmann O., 2018,</w:t>
      </w:r>
      <w:r w:rsidR="00811F9E" w:rsidRPr="004F2B5A">
        <w:rPr>
          <w:lang w:val="en-US"/>
        </w:rPr>
        <w:t xml:space="preserve"> </w:t>
      </w:r>
      <w:r w:rsidR="00811F9E">
        <w:t>Computational Fluid</w:t>
      </w:r>
      <w:r>
        <w:t xml:space="preserve"> Dynamics of Catalytic Reactors, Handbook of Materials Modeling.</w:t>
      </w:r>
      <w:r w:rsidR="00811F9E">
        <w:t xml:space="preserve"> Applications:</w:t>
      </w:r>
      <w:r>
        <w:t xml:space="preserve"> Current and Emerging Materials,</w:t>
      </w:r>
      <w:r w:rsidR="00811F9E">
        <w:t xml:space="preserve"> </w:t>
      </w:r>
      <w:r>
        <w:t xml:space="preserve">Andreoni W., Cham </w:t>
      </w:r>
      <w:r w:rsidR="00811F9E">
        <w:t>S. Yip., Sp</w:t>
      </w:r>
      <w:r>
        <w:t>ringer International Publishing, 1-34</w:t>
      </w:r>
    </w:p>
    <w:p w14:paraId="492D3724" w14:textId="73C306A7" w:rsidR="00811F9E" w:rsidRDefault="004F2B5A" w:rsidP="00811F9E">
      <w:pPr>
        <w:pStyle w:val="CETReferencetext"/>
      </w:pPr>
      <w:r>
        <w:t>Kang</w:t>
      </w:r>
      <w:r w:rsidR="00811F9E">
        <w:t xml:space="preserve"> J., </w:t>
      </w:r>
      <w:r>
        <w:t xml:space="preserve">Prasianakis N. I., Mantzaras </w:t>
      </w:r>
      <w:r w:rsidR="00A01BE2">
        <w:t xml:space="preserve">J., 2014, </w:t>
      </w:r>
      <w:r w:rsidR="00811F9E">
        <w:t>Thermal multicomponent lattice Boltzmann mode</w:t>
      </w:r>
      <w:r w:rsidR="00A01BE2">
        <w:t>l for catalytic reactive flows,</w:t>
      </w:r>
      <w:r w:rsidR="00811F9E">
        <w:t xml:space="preserve"> Physical Review E</w:t>
      </w:r>
      <w:r w:rsidR="00A01BE2">
        <w:t>, 89(6), 063310</w:t>
      </w:r>
    </w:p>
    <w:p w14:paraId="66A9423B" w14:textId="224BE4B8" w:rsidR="00811F9E" w:rsidRDefault="004F2B5A" w:rsidP="00811F9E">
      <w:pPr>
        <w:pStyle w:val="CETReferencetext"/>
      </w:pPr>
      <w:r>
        <w:t>Karavalakis</w:t>
      </w:r>
      <w:r w:rsidR="00811F9E">
        <w:t xml:space="preserve"> G., </w:t>
      </w:r>
      <w:r>
        <w:t xml:space="preserve">Hajbabaei </w:t>
      </w:r>
      <w:r w:rsidR="00811F9E">
        <w:t xml:space="preserve">M., </w:t>
      </w:r>
      <w:r>
        <w:t xml:space="preserve">Jiang </w:t>
      </w:r>
      <w:r w:rsidR="00811F9E">
        <w:t xml:space="preserve">Y., </w:t>
      </w:r>
      <w:r>
        <w:t xml:space="preserve">Yang </w:t>
      </w:r>
      <w:r w:rsidR="00811F9E">
        <w:t xml:space="preserve">J., </w:t>
      </w:r>
      <w:r>
        <w:t xml:space="preserve">Johnson </w:t>
      </w:r>
      <w:r w:rsidR="00811F9E">
        <w:t xml:space="preserve">K. C., </w:t>
      </w:r>
      <w:r>
        <w:t xml:space="preserve">Cocker D. R., Durbin </w:t>
      </w:r>
      <w:r w:rsidR="00A01BE2">
        <w:t xml:space="preserve">T. D., 2016, </w:t>
      </w:r>
      <w:r w:rsidR="00811F9E">
        <w:t xml:space="preserve">Regulated, greenhouse gas, and particulate emissions from lean-burn and stoichiometric natural gas heavy-duty vehicles </w:t>
      </w:r>
      <w:r w:rsidR="00A01BE2">
        <w:t>on different fuel compositions,</w:t>
      </w:r>
      <w:r w:rsidR="00811F9E">
        <w:t xml:space="preserve"> Fuel</w:t>
      </w:r>
      <w:r w:rsidR="00A01BE2">
        <w:t>, 175, 146-156</w:t>
      </w:r>
    </w:p>
    <w:p w14:paraId="065ECFB1" w14:textId="0C766354" w:rsidR="00811F9E" w:rsidRDefault="004F2B5A" w:rsidP="00811F9E">
      <w:pPr>
        <w:pStyle w:val="CETReferencetext"/>
      </w:pPr>
      <w:r>
        <w:t>Kee</w:t>
      </w:r>
      <w:r w:rsidR="00811F9E">
        <w:t xml:space="preserve"> R. J., </w:t>
      </w:r>
      <w:r>
        <w:t xml:space="preserve">Coltrin M. E., Glarborg </w:t>
      </w:r>
      <w:r w:rsidR="00A01BE2">
        <w:t>P., 2003,</w:t>
      </w:r>
      <w:r w:rsidR="00811F9E">
        <w:t xml:space="preserve"> Chemically Re</w:t>
      </w:r>
      <w:r w:rsidR="00A01BE2">
        <w:t>acting Flow, Wiley-Interscience</w:t>
      </w:r>
    </w:p>
    <w:p w14:paraId="7E526F3F" w14:textId="3C40D351" w:rsidR="00811F9E" w:rsidRDefault="004F2B5A" w:rsidP="00811F9E">
      <w:pPr>
        <w:pStyle w:val="CETReferencetext"/>
      </w:pPr>
      <w:r>
        <w:t>Khatoonabadi</w:t>
      </w:r>
      <w:r w:rsidR="00811F9E">
        <w:t xml:space="preserve"> M., </w:t>
      </w:r>
      <w:r>
        <w:t xml:space="preserve">Prasianakis N. I., Mantzaras </w:t>
      </w:r>
      <w:r w:rsidR="00A01BE2">
        <w:t xml:space="preserve">J., 2024, </w:t>
      </w:r>
      <w:r w:rsidR="00811F9E">
        <w:t>A pore-level 3D lattice Boltzmann simulation of mass transport and reaction in catalytic particl</w:t>
      </w:r>
      <w:r w:rsidR="00A01BE2">
        <w:t xml:space="preserve">es used for methane synthesis, </w:t>
      </w:r>
      <w:r w:rsidR="00811F9E">
        <w:t>International Journal of Heat and Mass Transfer</w:t>
      </w:r>
      <w:r w:rsidR="00A01BE2">
        <w:t>, 221,</w:t>
      </w:r>
      <w:r w:rsidR="00811F9E">
        <w:t xml:space="preserve"> 125025</w:t>
      </w:r>
    </w:p>
    <w:p w14:paraId="3B82BBB3" w14:textId="06481E8C" w:rsidR="00811F9E" w:rsidRPr="00C13B37" w:rsidRDefault="004F2B5A" w:rsidP="00811F9E">
      <w:pPr>
        <w:pStyle w:val="CETReferencetext"/>
        <w:rPr>
          <w:color w:val="000000" w:themeColor="text1"/>
        </w:rPr>
      </w:pPr>
      <w:r w:rsidRPr="00C13B37">
        <w:rPr>
          <w:color w:val="000000" w:themeColor="text1"/>
        </w:rPr>
        <w:t>Krüger</w:t>
      </w:r>
      <w:r w:rsidR="00811F9E" w:rsidRPr="00C13B37">
        <w:rPr>
          <w:color w:val="000000" w:themeColor="text1"/>
        </w:rPr>
        <w:t xml:space="preserve"> T. K., </w:t>
      </w:r>
      <w:r w:rsidR="00C13B37" w:rsidRPr="00C13B37">
        <w:rPr>
          <w:color w:val="000000" w:themeColor="text1"/>
        </w:rPr>
        <w:t xml:space="preserve">Kusumaatmaja H., </w:t>
      </w:r>
      <w:r w:rsidRPr="00C13B37">
        <w:rPr>
          <w:color w:val="000000" w:themeColor="text1"/>
        </w:rPr>
        <w:t>Kuzmin</w:t>
      </w:r>
      <w:r w:rsidR="00C13B37" w:rsidRPr="00C13B37">
        <w:rPr>
          <w:color w:val="000000" w:themeColor="text1"/>
        </w:rPr>
        <w:t xml:space="preserve"> A</w:t>
      </w:r>
      <w:r w:rsidRPr="00C13B37">
        <w:rPr>
          <w:color w:val="000000" w:themeColor="text1"/>
        </w:rPr>
        <w:t>.</w:t>
      </w:r>
      <w:r w:rsidR="00811F9E" w:rsidRPr="00C13B37">
        <w:rPr>
          <w:color w:val="000000" w:themeColor="text1"/>
        </w:rPr>
        <w:t>, Shardt</w:t>
      </w:r>
      <w:r w:rsidR="00C13B37" w:rsidRPr="00C13B37">
        <w:rPr>
          <w:color w:val="000000" w:themeColor="text1"/>
        </w:rPr>
        <w:t xml:space="preserve"> ,</w:t>
      </w:r>
      <w:r w:rsidRPr="00C13B37">
        <w:rPr>
          <w:color w:val="000000" w:themeColor="text1"/>
        </w:rPr>
        <w:t xml:space="preserve"> O.</w:t>
      </w:r>
      <w:r w:rsidR="00811F9E" w:rsidRPr="00C13B37">
        <w:rPr>
          <w:color w:val="000000" w:themeColor="text1"/>
        </w:rPr>
        <w:t xml:space="preserve">, </w:t>
      </w:r>
      <w:r w:rsidRPr="00C13B37">
        <w:rPr>
          <w:color w:val="000000" w:themeColor="text1"/>
        </w:rPr>
        <w:t xml:space="preserve">Silva G., Viggen </w:t>
      </w:r>
      <w:r w:rsidR="00A01BE2" w:rsidRPr="00C13B37">
        <w:rPr>
          <w:color w:val="000000" w:themeColor="text1"/>
        </w:rPr>
        <w:t>E. M., 2017,</w:t>
      </w:r>
      <w:r w:rsidR="00811F9E" w:rsidRPr="00C13B37">
        <w:rPr>
          <w:color w:val="000000" w:themeColor="text1"/>
        </w:rPr>
        <w:t xml:space="preserve"> The Lattice Boltzmann</w:t>
      </w:r>
      <w:r w:rsidR="00A01BE2" w:rsidRPr="00C13B37">
        <w:rPr>
          <w:color w:val="000000" w:themeColor="text1"/>
        </w:rPr>
        <w:t xml:space="preserve"> Method. Principles and Practice</w:t>
      </w:r>
      <w:r w:rsidR="00C13B37" w:rsidRPr="00C13B37">
        <w:rPr>
          <w:color w:val="000000" w:themeColor="text1"/>
        </w:rPr>
        <w:t>, Springer Nature</w:t>
      </w:r>
    </w:p>
    <w:p w14:paraId="21678697" w14:textId="6A4C85A6" w:rsidR="00811F9E" w:rsidRDefault="004F2B5A" w:rsidP="00811F9E">
      <w:pPr>
        <w:pStyle w:val="CETReferencetext"/>
      </w:pPr>
      <w:r>
        <w:t>Li</w:t>
      </w:r>
      <w:r w:rsidR="00811F9E">
        <w:t xml:space="preserve"> X., </w:t>
      </w:r>
      <w:r>
        <w:t xml:space="preserve">Cai </w:t>
      </w:r>
      <w:r w:rsidR="00811F9E">
        <w:t xml:space="preserve">J., </w:t>
      </w:r>
      <w:r>
        <w:t xml:space="preserve">Xin </w:t>
      </w:r>
      <w:r w:rsidR="00811F9E">
        <w:t xml:space="preserve">F., </w:t>
      </w:r>
      <w:r>
        <w:t>Huai X.,</w:t>
      </w:r>
      <w:r w:rsidR="00811F9E">
        <w:t xml:space="preserve"> </w:t>
      </w:r>
      <w:r>
        <w:t xml:space="preserve">Guo </w:t>
      </w:r>
      <w:r w:rsidR="00A01BE2">
        <w:t xml:space="preserve">J., 2013, </w:t>
      </w:r>
      <w:r w:rsidR="00811F9E">
        <w:t>Lattice Boltzmann simulation of endothermal catalytic rea</w:t>
      </w:r>
      <w:r w:rsidR="00A01BE2">
        <w:t>ction in catalyst porous media,</w:t>
      </w:r>
      <w:r w:rsidR="00811F9E">
        <w:t xml:space="preserve"> Applied Thermal Engineering</w:t>
      </w:r>
      <w:r w:rsidR="00A01BE2">
        <w:t>, 50(1), 1194-1200</w:t>
      </w:r>
    </w:p>
    <w:p w14:paraId="43630064" w14:textId="0E73319A" w:rsidR="00811F9E" w:rsidRDefault="00076985" w:rsidP="00811F9E">
      <w:pPr>
        <w:pStyle w:val="CETReferencetext"/>
      </w:pPr>
      <w:r>
        <w:t xml:space="preserve">OpenFOAM, </w:t>
      </w:r>
      <w:r w:rsidR="00811F9E">
        <w:t>The Open Source CFD Toolbox, 2017, www.openfoam.org</w:t>
      </w:r>
    </w:p>
    <w:p w14:paraId="1BA30A0D" w14:textId="19E8DE0D" w:rsidR="00811F9E" w:rsidRDefault="004F2B5A" w:rsidP="00811F9E">
      <w:pPr>
        <w:pStyle w:val="CETReferencetext"/>
      </w:pPr>
      <w:r w:rsidRPr="00A01BE2">
        <w:rPr>
          <w:lang w:val="en-US"/>
        </w:rPr>
        <w:t>Torkashvand</w:t>
      </w:r>
      <w:r w:rsidR="00811F9E" w:rsidRPr="00A01BE2">
        <w:rPr>
          <w:lang w:val="en-US"/>
        </w:rPr>
        <w:t xml:space="preserve"> B., </w:t>
      </w:r>
      <w:r w:rsidRPr="00A01BE2">
        <w:rPr>
          <w:lang w:val="en-US"/>
        </w:rPr>
        <w:t xml:space="preserve">Maier </w:t>
      </w:r>
      <w:r w:rsidR="00811F9E" w:rsidRPr="00A01BE2">
        <w:rPr>
          <w:lang w:val="en-US"/>
        </w:rPr>
        <w:t xml:space="preserve">L., </w:t>
      </w:r>
      <w:r w:rsidRPr="00A01BE2">
        <w:rPr>
          <w:lang w:val="en-US"/>
        </w:rPr>
        <w:t xml:space="preserve">Lott </w:t>
      </w:r>
      <w:r w:rsidR="00811F9E" w:rsidRPr="00A01BE2">
        <w:rPr>
          <w:lang w:val="en-US"/>
        </w:rPr>
        <w:t xml:space="preserve">P., </w:t>
      </w:r>
      <w:r w:rsidRPr="00A01BE2">
        <w:rPr>
          <w:lang w:val="en-US"/>
        </w:rPr>
        <w:t xml:space="preserve">Schedlbauer </w:t>
      </w:r>
      <w:r w:rsidR="00811F9E" w:rsidRPr="00A01BE2">
        <w:rPr>
          <w:lang w:val="en-US"/>
        </w:rPr>
        <w:t xml:space="preserve">T., </w:t>
      </w:r>
      <w:r w:rsidRPr="00A01BE2">
        <w:rPr>
          <w:lang w:val="en-US"/>
        </w:rPr>
        <w:t xml:space="preserve">Grunwaldt J.-D., Deutschmann </w:t>
      </w:r>
      <w:r w:rsidR="00A01BE2" w:rsidRPr="00A01BE2">
        <w:rPr>
          <w:lang w:val="en-US"/>
        </w:rPr>
        <w:t xml:space="preserve">O., </w:t>
      </w:r>
      <w:r w:rsidR="00A01BE2">
        <w:rPr>
          <w:lang w:val="en-US"/>
        </w:rPr>
        <w:t xml:space="preserve">2019, </w:t>
      </w:r>
      <w:r w:rsidR="00811F9E">
        <w:t>Formaldehyde Oxidation Over Platinum: On the Kinetics Relevant to Exhaust Conditions of</w:t>
      </w:r>
      <w:r w:rsidR="00A01BE2">
        <w:t xml:space="preserve"> Lean-Burn Natural Gas Engines,</w:t>
      </w:r>
      <w:r w:rsidR="00811F9E">
        <w:t xml:space="preserve"> Topics in Catalysis</w:t>
      </w:r>
      <w:r w:rsidR="00A01BE2">
        <w:t>, 62(1), 206-213</w:t>
      </w:r>
    </w:p>
    <w:p w14:paraId="6FAA4342" w14:textId="5A75C934" w:rsidR="00C52C3C" w:rsidRDefault="004F2B5A" w:rsidP="006F02D1">
      <w:pPr>
        <w:pStyle w:val="CETReferencetext"/>
      </w:pPr>
      <w:r w:rsidRPr="00A01BE2">
        <w:rPr>
          <w:lang w:val="en-US"/>
        </w:rPr>
        <w:t>Wan</w:t>
      </w:r>
      <w:r w:rsidR="00811F9E" w:rsidRPr="00A01BE2">
        <w:rPr>
          <w:lang w:val="en-US"/>
        </w:rPr>
        <w:t xml:space="preserve"> S., </w:t>
      </w:r>
      <w:r w:rsidRPr="00A01BE2">
        <w:rPr>
          <w:lang w:val="en-US"/>
        </w:rPr>
        <w:t xml:space="preserve">Torkashvand </w:t>
      </w:r>
      <w:r w:rsidR="00811F9E" w:rsidRPr="00A01BE2">
        <w:rPr>
          <w:lang w:val="en-US"/>
        </w:rPr>
        <w:t xml:space="preserve">B., </w:t>
      </w:r>
      <w:r w:rsidRPr="00A01BE2">
        <w:rPr>
          <w:lang w:val="en-US"/>
        </w:rPr>
        <w:t xml:space="preserve">Häber </w:t>
      </w:r>
      <w:r w:rsidR="00811F9E" w:rsidRPr="00A01BE2">
        <w:rPr>
          <w:lang w:val="en-US"/>
        </w:rPr>
        <w:t xml:space="preserve">T., </w:t>
      </w:r>
      <w:r w:rsidRPr="00A01BE2">
        <w:rPr>
          <w:lang w:val="en-US"/>
        </w:rPr>
        <w:t xml:space="preserve">Suntz R., Deutschmann </w:t>
      </w:r>
      <w:r w:rsidR="00A01BE2" w:rsidRPr="00A01BE2">
        <w:rPr>
          <w:lang w:val="en-US"/>
        </w:rPr>
        <w:t xml:space="preserve">O., </w:t>
      </w:r>
      <w:r w:rsidR="00A01BE2">
        <w:rPr>
          <w:lang w:val="en-US"/>
        </w:rPr>
        <w:t xml:space="preserve">2020, </w:t>
      </w:r>
      <w:r w:rsidR="00811F9E">
        <w:t>Investigation of HCHO Catalytic Oxidation over Platinum using Plan</w:t>
      </w:r>
      <w:r w:rsidR="00A01BE2">
        <w:t>ar Laser-Induced Fluorescence, Applied Catalysis B,</w:t>
      </w:r>
      <w:r w:rsidR="00811F9E">
        <w:t xml:space="preserve"> Environmental</w:t>
      </w:r>
      <w:r w:rsidR="00A01BE2">
        <w:t xml:space="preserve">, 264, 118473 </w:t>
      </w:r>
    </w:p>
    <w:p w14:paraId="6FDAF90C" w14:textId="5AA3ABE7" w:rsidR="00BB7A06" w:rsidRDefault="00BB7A06" w:rsidP="00B20979">
      <w:pPr>
        <w:pStyle w:val="CETReferencetext"/>
        <w:ind w:left="0" w:firstLine="0"/>
      </w:pPr>
      <w:bookmarkStart w:id="4" w:name="_GoBack"/>
      <w:bookmarkEnd w:id="4"/>
    </w:p>
    <w:sectPr w:rsidR="00BB7A06" w:rsidSect="008314D7">
      <w:type w:val="continuous"/>
      <w:pgSz w:w="11906" w:h="16838" w:code="9"/>
      <w:pgMar w:top="1701" w:right="1418" w:bottom="1701" w:left="1701" w:header="1701" w:footer="0" w:gutter="0"/>
      <w:cols w:space="708"/>
      <w:formProt w:val="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3AABFA" w16cex:dateUtc="2026-04-28T17: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1C599F" w16cid:durableId="113AABF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3893E" w14:textId="77777777" w:rsidR="005C19A6" w:rsidRDefault="005C19A6" w:rsidP="004F5E36">
      <w:r>
        <w:separator/>
      </w:r>
    </w:p>
  </w:endnote>
  <w:endnote w:type="continuationSeparator" w:id="0">
    <w:p w14:paraId="66AFA8BA" w14:textId="77777777" w:rsidR="005C19A6" w:rsidRDefault="005C19A6"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8AAEB" w14:textId="77777777" w:rsidR="005C19A6" w:rsidRDefault="005C19A6" w:rsidP="004F5E36">
      <w:r>
        <w:separator/>
      </w:r>
    </w:p>
  </w:footnote>
  <w:footnote w:type="continuationSeparator" w:id="0">
    <w:p w14:paraId="1DE127A0" w14:textId="77777777" w:rsidR="005C19A6" w:rsidRDefault="005C19A6"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eEinfach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aprsx2la0xeqeazd9x9xxgasx0fzfwfxvf&quot;&gt;Literatursammlung-MAHE-2&lt;record-ids&gt;&lt;item&gt;45&lt;/item&gt;&lt;item&gt;88&lt;/item&gt;&lt;item&gt;172&lt;/item&gt;&lt;item&gt;193&lt;/item&gt;&lt;item&gt;206&lt;/item&gt;&lt;item&gt;221&lt;/item&gt;&lt;item&gt;223&lt;/item&gt;&lt;item&gt;225&lt;/item&gt;&lt;item&gt;226&lt;/item&gt;&lt;item&gt;228&lt;/item&gt;&lt;item&gt;229&lt;/item&gt;&lt;item&gt;232&lt;/item&gt;&lt;item&gt;234&lt;/item&gt;&lt;item&gt;235&lt;/item&gt;&lt;item&gt;316&lt;/item&gt;&lt;/record-ids&gt;&lt;/item&gt;&lt;/Libraries&gt;"/>
  </w:docVars>
  <w:rsids>
    <w:rsidRoot w:val="000E414A"/>
    <w:rsid w:val="000027C0"/>
    <w:rsid w:val="000052FB"/>
    <w:rsid w:val="00005884"/>
    <w:rsid w:val="00005A19"/>
    <w:rsid w:val="00006E3D"/>
    <w:rsid w:val="000117CB"/>
    <w:rsid w:val="000173F9"/>
    <w:rsid w:val="0003148D"/>
    <w:rsid w:val="00031EEC"/>
    <w:rsid w:val="00034B28"/>
    <w:rsid w:val="00051566"/>
    <w:rsid w:val="000562A9"/>
    <w:rsid w:val="00062A9A"/>
    <w:rsid w:val="00065058"/>
    <w:rsid w:val="000650BB"/>
    <w:rsid w:val="00075E95"/>
    <w:rsid w:val="00076985"/>
    <w:rsid w:val="00085BD9"/>
    <w:rsid w:val="00086C39"/>
    <w:rsid w:val="000A03B2"/>
    <w:rsid w:val="000A1270"/>
    <w:rsid w:val="000A1E3F"/>
    <w:rsid w:val="000B00ED"/>
    <w:rsid w:val="000B36D8"/>
    <w:rsid w:val="000D0268"/>
    <w:rsid w:val="000D04CA"/>
    <w:rsid w:val="000D04E6"/>
    <w:rsid w:val="000D34BE"/>
    <w:rsid w:val="000E102F"/>
    <w:rsid w:val="000E36F1"/>
    <w:rsid w:val="000E3A73"/>
    <w:rsid w:val="000E414A"/>
    <w:rsid w:val="000E75FD"/>
    <w:rsid w:val="000F093C"/>
    <w:rsid w:val="000F54A0"/>
    <w:rsid w:val="000F787B"/>
    <w:rsid w:val="00101F02"/>
    <w:rsid w:val="001023C7"/>
    <w:rsid w:val="0012091F"/>
    <w:rsid w:val="00124AAD"/>
    <w:rsid w:val="00126BC2"/>
    <w:rsid w:val="001308B6"/>
    <w:rsid w:val="0013121F"/>
    <w:rsid w:val="00131FE6"/>
    <w:rsid w:val="001325DD"/>
    <w:rsid w:val="0013263F"/>
    <w:rsid w:val="001331DF"/>
    <w:rsid w:val="00134DE4"/>
    <w:rsid w:val="00137954"/>
    <w:rsid w:val="0014034D"/>
    <w:rsid w:val="00140FE3"/>
    <w:rsid w:val="00142AB6"/>
    <w:rsid w:val="00144D16"/>
    <w:rsid w:val="0014631F"/>
    <w:rsid w:val="00150E59"/>
    <w:rsid w:val="00152DE3"/>
    <w:rsid w:val="00164CF9"/>
    <w:rsid w:val="001667A6"/>
    <w:rsid w:val="00170890"/>
    <w:rsid w:val="001735A3"/>
    <w:rsid w:val="001848E7"/>
    <w:rsid w:val="00184AD6"/>
    <w:rsid w:val="00187FA8"/>
    <w:rsid w:val="00194E74"/>
    <w:rsid w:val="00195938"/>
    <w:rsid w:val="001A4AF7"/>
    <w:rsid w:val="001B0349"/>
    <w:rsid w:val="001B1E93"/>
    <w:rsid w:val="001B382D"/>
    <w:rsid w:val="001B65C1"/>
    <w:rsid w:val="001C260F"/>
    <w:rsid w:val="001C33F1"/>
    <w:rsid w:val="001C4F44"/>
    <w:rsid w:val="001C684B"/>
    <w:rsid w:val="001D0CFB"/>
    <w:rsid w:val="001D21AF"/>
    <w:rsid w:val="001D53FC"/>
    <w:rsid w:val="001E05F4"/>
    <w:rsid w:val="001E3CF3"/>
    <w:rsid w:val="001E5110"/>
    <w:rsid w:val="001F1028"/>
    <w:rsid w:val="001F42A5"/>
    <w:rsid w:val="001F7B9D"/>
    <w:rsid w:val="00201C93"/>
    <w:rsid w:val="00213F45"/>
    <w:rsid w:val="002224B4"/>
    <w:rsid w:val="0022597A"/>
    <w:rsid w:val="002447EF"/>
    <w:rsid w:val="002479D7"/>
    <w:rsid w:val="00251550"/>
    <w:rsid w:val="002526A0"/>
    <w:rsid w:val="002570BD"/>
    <w:rsid w:val="00263B05"/>
    <w:rsid w:val="00263C98"/>
    <w:rsid w:val="00271C21"/>
    <w:rsid w:val="0027221A"/>
    <w:rsid w:val="00275B61"/>
    <w:rsid w:val="00280FAF"/>
    <w:rsid w:val="00282656"/>
    <w:rsid w:val="0028624D"/>
    <w:rsid w:val="00296B83"/>
    <w:rsid w:val="002A1E6B"/>
    <w:rsid w:val="002B4015"/>
    <w:rsid w:val="002B78CE"/>
    <w:rsid w:val="002C09D9"/>
    <w:rsid w:val="002C2FB6"/>
    <w:rsid w:val="002D6883"/>
    <w:rsid w:val="002E2681"/>
    <w:rsid w:val="002E5FA7"/>
    <w:rsid w:val="002F2D57"/>
    <w:rsid w:val="002F3309"/>
    <w:rsid w:val="003008CE"/>
    <w:rsid w:val="003009B7"/>
    <w:rsid w:val="00300E56"/>
    <w:rsid w:val="0030152C"/>
    <w:rsid w:val="0030469C"/>
    <w:rsid w:val="00304F91"/>
    <w:rsid w:val="00321CA6"/>
    <w:rsid w:val="00323763"/>
    <w:rsid w:val="00323C5F"/>
    <w:rsid w:val="00333704"/>
    <w:rsid w:val="00334C09"/>
    <w:rsid w:val="00334EA3"/>
    <w:rsid w:val="003457CB"/>
    <w:rsid w:val="00351A5D"/>
    <w:rsid w:val="003723D4"/>
    <w:rsid w:val="0037658E"/>
    <w:rsid w:val="00380A44"/>
    <w:rsid w:val="00381905"/>
    <w:rsid w:val="00384CC8"/>
    <w:rsid w:val="003871FD"/>
    <w:rsid w:val="00397415"/>
    <w:rsid w:val="003A1E30"/>
    <w:rsid w:val="003A2829"/>
    <w:rsid w:val="003A7D1C"/>
    <w:rsid w:val="003B304B"/>
    <w:rsid w:val="003B3146"/>
    <w:rsid w:val="003D050E"/>
    <w:rsid w:val="003D1E02"/>
    <w:rsid w:val="003E0770"/>
    <w:rsid w:val="003F015E"/>
    <w:rsid w:val="00400414"/>
    <w:rsid w:val="004115A3"/>
    <w:rsid w:val="0041446B"/>
    <w:rsid w:val="0044071E"/>
    <w:rsid w:val="0044329C"/>
    <w:rsid w:val="004517E0"/>
    <w:rsid w:val="00453E24"/>
    <w:rsid w:val="00457456"/>
    <w:rsid w:val="004577FE"/>
    <w:rsid w:val="00457B9C"/>
    <w:rsid w:val="0046164A"/>
    <w:rsid w:val="004628D2"/>
    <w:rsid w:val="00462DCD"/>
    <w:rsid w:val="004648AD"/>
    <w:rsid w:val="004703A9"/>
    <w:rsid w:val="004760DE"/>
    <w:rsid w:val="004763D7"/>
    <w:rsid w:val="0048523C"/>
    <w:rsid w:val="00493553"/>
    <w:rsid w:val="00495C93"/>
    <w:rsid w:val="00496FDD"/>
    <w:rsid w:val="004A004E"/>
    <w:rsid w:val="004A24CF"/>
    <w:rsid w:val="004A5E57"/>
    <w:rsid w:val="004B060C"/>
    <w:rsid w:val="004B15CF"/>
    <w:rsid w:val="004B7648"/>
    <w:rsid w:val="004C194F"/>
    <w:rsid w:val="004C3D1D"/>
    <w:rsid w:val="004C3D84"/>
    <w:rsid w:val="004C7913"/>
    <w:rsid w:val="004E4DD6"/>
    <w:rsid w:val="004F1D7D"/>
    <w:rsid w:val="004F2B5A"/>
    <w:rsid w:val="004F5E36"/>
    <w:rsid w:val="00503EFC"/>
    <w:rsid w:val="00507B47"/>
    <w:rsid w:val="00507BEF"/>
    <w:rsid w:val="00507CC9"/>
    <w:rsid w:val="00510603"/>
    <w:rsid w:val="005119A5"/>
    <w:rsid w:val="00520D60"/>
    <w:rsid w:val="005262FB"/>
    <w:rsid w:val="005278B7"/>
    <w:rsid w:val="00532016"/>
    <w:rsid w:val="005346C8"/>
    <w:rsid w:val="005353C1"/>
    <w:rsid w:val="00543E7D"/>
    <w:rsid w:val="00547A68"/>
    <w:rsid w:val="005531C9"/>
    <w:rsid w:val="005577FE"/>
    <w:rsid w:val="00566E83"/>
    <w:rsid w:val="00570C43"/>
    <w:rsid w:val="00570E87"/>
    <w:rsid w:val="00573F98"/>
    <w:rsid w:val="0057403B"/>
    <w:rsid w:val="0058186D"/>
    <w:rsid w:val="00592274"/>
    <w:rsid w:val="005A6A07"/>
    <w:rsid w:val="005B084F"/>
    <w:rsid w:val="005B2110"/>
    <w:rsid w:val="005B61E6"/>
    <w:rsid w:val="005C19A6"/>
    <w:rsid w:val="005C3BD0"/>
    <w:rsid w:val="005C77E1"/>
    <w:rsid w:val="005D20C1"/>
    <w:rsid w:val="005D668A"/>
    <w:rsid w:val="005D6A2F"/>
    <w:rsid w:val="005E0592"/>
    <w:rsid w:val="005E114A"/>
    <w:rsid w:val="005E1A82"/>
    <w:rsid w:val="005E1EF2"/>
    <w:rsid w:val="005E794C"/>
    <w:rsid w:val="005F0A28"/>
    <w:rsid w:val="005F0E5E"/>
    <w:rsid w:val="005F5025"/>
    <w:rsid w:val="00600535"/>
    <w:rsid w:val="00607DCD"/>
    <w:rsid w:val="00610CD6"/>
    <w:rsid w:val="0061159F"/>
    <w:rsid w:val="00620DEE"/>
    <w:rsid w:val="006214F5"/>
    <w:rsid w:val="00621F92"/>
    <w:rsid w:val="0062280A"/>
    <w:rsid w:val="006231E1"/>
    <w:rsid w:val="00625639"/>
    <w:rsid w:val="00631B33"/>
    <w:rsid w:val="0063572D"/>
    <w:rsid w:val="0064184D"/>
    <w:rsid w:val="006422CC"/>
    <w:rsid w:val="006441D2"/>
    <w:rsid w:val="00651D18"/>
    <w:rsid w:val="00660E3E"/>
    <w:rsid w:val="00662E74"/>
    <w:rsid w:val="00664F9F"/>
    <w:rsid w:val="00665B82"/>
    <w:rsid w:val="00680C23"/>
    <w:rsid w:val="00683E23"/>
    <w:rsid w:val="00693766"/>
    <w:rsid w:val="006A3281"/>
    <w:rsid w:val="006A7F74"/>
    <w:rsid w:val="006B4888"/>
    <w:rsid w:val="006C2E45"/>
    <w:rsid w:val="006C359C"/>
    <w:rsid w:val="006C39A0"/>
    <w:rsid w:val="006C5579"/>
    <w:rsid w:val="006C5DDC"/>
    <w:rsid w:val="006D1A0C"/>
    <w:rsid w:val="006D6E8B"/>
    <w:rsid w:val="006D7209"/>
    <w:rsid w:val="006E2F72"/>
    <w:rsid w:val="006E737D"/>
    <w:rsid w:val="006F02D1"/>
    <w:rsid w:val="006F37EA"/>
    <w:rsid w:val="00707DD1"/>
    <w:rsid w:val="007121A4"/>
    <w:rsid w:val="00713973"/>
    <w:rsid w:val="00713B90"/>
    <w:rsid w:val="007147C8"/>
    <w:rsid w:val="00720A24"/>
    <w:rsid w:val="00732386"/>
    <w:rsid w:val="00734FE9"/>
    <w:rsid w:val="0073514D"/>
    <w:rsid w:val="007447F3"/>
    <w:rsid w:val="00751D0D"/>
    <w:rsid w:val="00752C62"/>
    <w:rsid w:val="0075499F"/>
    <w:rsid w:val="007617CC"/>
    <w:rsid w:val="0076464F"/>
    <w:rsid w:val="00765DF0"/>
    <w:rsid w:val="007661C8"/>
    <w:rsid w:val="0077098D"/>
    <w:rsid w:val="00774020"/>
    <w:rsid w:val="007768DD"/>
    <w:rsid w:val="007839C0"/>
    <w:rsid w:val="00785BF9"/>
    <w:rsid w:val="007931FA"/>
    <w:rsid w:val="007A063C"/>
    <w:rsid w:val="007A4861"/>
    <w:rsid w:val="007A7BBA"/>
    <w:rsid w:val="007B0C50"/>
    <w:rsid w:val="007B12DB"/>
    <w:rsid w:val="007B29B0"/>
    <w:rsid w:val="007B48F9"/>
    <w:rsid w:val="007C1A43"/>
    <w:rsid w:val="007D01FA"/>
    <w:rsid w:val="007D0565"/>
    <w:rsid w:val="007D0951"/>
    <w:rsid w:val="007D11EB"/>
    <w:rsid w:val="007D3ECD"/>
    <w:rsid w:val="007D4A85"/>
    <w:rsid w:val="007F27C8"/>
    <w:rsid w:val="0080013E"/>
    <w:rsid w:val="00803FE3"/>
    <w:rsid w:val="00811486"/>
    <w:rsid w:val="00811F9E"/>
    <w:rsid w:val="00813288"/>
    <w:rsid w:val="008168FC"/>
    <w:rsid w:val="00830996"/>
    <w:rsid w:val="00830CDB"/>
    <w:rsid w:val="008314D7"/>
    <w:rsid w:val="008345F1"/>
    <w:rsid w:val="008529D1"/>
    <w:rsid w:val="00857505"/>
    <w:rsid w:val="00865878"/>
    <w:rsid w:val="00865B07"/>
    <w:rsid w:val="008667EA"/>
    <w:rsid w:val="0087637F"/>
    <w:rsid w:val="00886C8E"/>
    <w:rsid w:val="00892AD5"/>
    <w:rsid w:val="008955B8"/>
    <w:rsid w:val="00896682"/>
    <w:rsid w:val="008966B5"/>
    <w:rsid w:val="008A09AD"/>
    <w:rsid w:val="008A1512"/>
    <w:rsid w:val="008B795F"/>
    <w:rsid w:val="008B7E66"/>
    <w:rsid w:val="008C2651"/>
    <w:rsid w:val="008D32B9"/>
    <w:rsid w:val="008D406C"/>
    <w:rsid w:val="008D433B"/>
    <w:rsid w:val="008D4A16"/>
    <w:rsid w:val="008D77F6"/>
    <w:rsid w:val="008E209A"/>
    <w:rsid w:val="008E45BC"/>
    <w:rsid w:val="008E566E"/>
    <w:rsid w:val="008F5FB4"/>
    <w:rsid w:val="0090161A"/>
    <w:rsid w:val="00901EB6"/>
    <w:rsid w:val="009041F8"/>
    <w:rsid w:val="00904C62"/>
    <w:rsid w:val="00910FAC"/>
    <w:rsid w:val="00922BA8"/>
    <w:rsid w:val="00924DAC"/>
    <w:rsid w:val="00927058"/>
    <w:rsid w:val="009348A4"/>
    <w:rsid w:val="009421D2"/>
    <w:rsid w:val="00942750"/>
    <w:rsid w:val="009450CE"/>
    <w:rsid w:val="009459BB"/>
    <w:rsid w:val="00947179"/>
    <w:rsid w:val="0095164B"/>
    <w:rsid w:val="00954090"/>
    <w:rsid w:val="009542AC"/>
    <w:rsid w:val="009544D1"/>
    <w:rsid w:val="009573E7"/>
    <w:rsid w:val="00963E05"/>
    <w:rsid w:val="00964A45"/>
    <w:rsid w:val="00967843"/>
    <w:rsid w:val="00967D54"/>
    <w:rsid w:val="00971028"/>
    <w:rsid w:val="00974B94"/>
    <w:rsid w:val="00993B84"/>
    <w:rsid w:val="00996483"/>
    <w:rsid w:val="00996F5A"/>
    <w:rsid w:val="009B041A"/>
    <w:rsid w:val="009C37C3"/>
    <w:rsid w:val="009C7C86"/>
    <w:rsid w:val="009C7CF7"/>
    <w:rsid w:val="009D2FF7"/>
    <w:rsid w:val="009D514B"/>
    <w:rsid w:val="009E7884"/>
    <w:rsid w:val="009E788A"/>
    <w:rsid w:val="009F0E08"/>
    <w:rsid w:val="00A01BE2"/>
    <w:rsid w:val="00A079AE"/>
    <w:rsid w:val="00A1175F"/>
    <w:rsid w:val="00A1763D"/>
    <w:rsid w:val="00A17CEC"/>
    <w:rsid w:val="00A26CBB"/>
    <w:rsid w:val="00A27EF0"/>
    <w:rsid w:val="00A40C24"/>
    <w:rsid w:val="00A421DF"/>
    <w:rsid w:val="00A42361"/>
    <w:rsid w:val="00A50B20"/>
    <w:rsid w:val="00A51390"/>
    <w:rsid w:val="00A60D13"/>
    <w:rsid w:val="00A62F2D"/>
    <w:rsid w:val="00A7223D"/>
    <w:rsid w:val="00A72745"/>
    <w:rsid w:val="00A73264"/>
    <w:rsid w:val="00A76EFC"/>
    <w:rsid w:val="00A8010C"/>
    <w:rsid w:val="00A87D50"/>
    <w:rsid w:val="00A91010"/>
    <w:rsid w:val="00A914F8"/>
    <w:rsid w:val="00A97F29"/>
    <w:rsid w:val="00A97F8B"/>
    <w:rsid w:val="00AA702E"/>
    <w:rsid w:val="00AA7D26"/>
    <w:rsid w:val="00AB0964"/>
    <w:rsid w:val="00AB5011"/>
    <w:rsid w:val="00AC1FD8"/>
    <w:rsid w:val="00AC7368"/>
    <w:rsid w:val="00AD0278"/>
    <w:rsid w:val="00AD16B9"/>
    <w:rsid w:val="00AD3913"/>
    <w:rsid w:val="00AE377D"/>
    <w:rsid w:val="00AF083A"/>
    <w:rsid w:val="00AF0EBA"/>
    <w:rsid w:val="00B02C8A"/>
    <w:rsid w:val="00B06203"/>
    <w:rsid w:val="00B17FBD"/>
    <w:rsid w:val="00B20979"/>
    <w:rsid w:val="00B2267D"/>
    <w:rsid w:val="00B315A6"/>
    <w:rsid w:val="00B31813"/>
    <w:rsid w:val="00B32758"/>
    <w:rsid w:val="00B33365"/>
    <w:rsid w:val="00B57B36"/>
    <w:rsid w:val="00B57E6F"/>
    <w:rsid w:val="00B62F93"/>
    <w:rsid w:val="00B63542"/>
    <w:rsid w:val="00B65514"/>
    <w:rsid w:val="00B8686D"/>
    <w:rsid w:val="00B93F69"/>
    <w:rsid w:val="00BA084C"/>
    <w:rsid w:val="00BA1B0A"/>
    <w:rsid w:val="00BB1DDC"/>
    <w:rsid w:val="00BB28BA"/>
    <w:rsid w:val="00BB762A"/>
    <w:rsid w:val="00BB7A06"/>
    <w:rsid w:val="00BC2AB9"/>
    <w:rsid w:val="00BC30C9"/>
    <w:rsid w:val="00BC4788"/>
    <w:rsid w:val="00BD077D"/>
    <w:rsid w:val="00BE3E58"/>
    <w:rsid w:val="00BF631B"/>
    <w:rsid w:val="00BF72B6"/>
    <w:rsid w:val="00C009D4"/>
    <w:rsid w:val="00C01616"/>
    <w:rsid w:val="00C0162B"/>
    <w:rsid w:val="00C068ED"/>
    <w:rsid w:val="00C138F4"/>
    <w:rsid w:val="00C13B37"/>
    <w:rsid w:val="00C16F65"/>
    <w:rsid w:val="00C208E9"/>
    <w:rsid w:val="00C22E0C"/>
    <w:rsid w:val="00C26701"/>
    <w:rsid w:val="00C31691"/>
    <w:rsid w:val="00C345B1"/>
    <w:rsid w:val="00C3468E"/>
    <w:rsid w:val="00C40142"/>
    <w:rsid w:val="00C52C3C"/>
    <w:rsid w:val="00C57182"/>
    <w:rsid w:val="00C57863"/>
    <w:rsid w:val="00C640AF"/>
    <w:rsid w:val="00C655FD"/>
    <w:rsid w:val="00C66BA7"/>
    <w:rsid w:val="00C710B7"/>
    <w:rsid w:val="00C75407"/>
    <w:rsid w:val="00C76CBE"/>
    <w:rsid w:val="00C841C6"/>
    <w:rsid w:val="00C870A8"/>
    <w:rsid w:val="00C94434"/>
    <w:rsid w:val="00C953AA"/>
    <w:rsid w:val="00CA0D75"/>
    <w:rsid w:val="00CA1C95"/>
    <w:rsid w:val="00CA5A9C"/>
    <w:rsid w:val="00CB2614"/>
    <w:rsid w:val="00CC4C20"/>
    <w:rsid w:val="00CD3517"/>
    <w:rsid w:val="00CD5FE2"/>
    <w:rsid w:val="00CE7C68"/>
    <w:rsid w:val="00CF4954"/>
    <w:rsid w:val="00CF6F46"/>
    <w:rsid w:val="00D02B4C"/>
    <w:rsid w:val="00D040C4"/>
    <w:rsid w:val="00D1497B"/>
    <w:rsid w:val="00D20AD1"/>
    <w:rsid w:val="00D21450"/>
    <w:rsid w:val="00D2582C"/>
    <w:rsid w:val="00D2599C"/>
    <w:rsid w:val="00D26E41"/>
    <w:rsid w:val="00D3115E"/>
    <w:rsid w:val="00D448D9"/>
    <w:rsid w:val="00D46B7E"/>
    <w:rsid w:val="00D57C84"/>
    <w:rsid w:val="00D6057D"/>
    <w:rsid w:val="00D6572D"/>
    <w:rsid w:val="00D71640"/>
    <w:rsid w:val="00D76992"/>
    <w:rsid w:val="00D836C5"/>
    <w:rsid w:val="00D84576"/>
    <w:rsid w:val="00D95C18"/>
    <w:rsid w:val="00DA1399"/>
    <w:rsid w:val="00DA24C6"/>
    <w:rsid w:val="00DA3221"/>
    <w:rsid w:val="00DA4D7B"/>
    <w:rsid w:val="00DB3C32"/>
    <w:rsid w:val="00DB55B8"/>
    <w:rsid w:val="00DC0EFB"/>
    <w:rsid w:val="00DC5A5F"/>
    <w:rsid w:val="00DD271C"/>
    <w:rsid w:val="00DE264A"/>
    <w:rsid w:val="00DE680A"/>
    <w:rsid w:val="00DF5072"/>
    <w:rsid w:val="00E02D18"/>
    <w:rsid w:val="00E041E7"/>
    <w:rsid w:val="00E10175"/>
    <w:rsid w:val="00E23CA1"/>
    <w:rsid w:val="00E409A8"/>
    <w:rsid w:val="00E451B8"/>
    <w:rsid w:val="00E47D61"/>
    <w:rsid w:val="00E50C12"/>
    <w:rsid w:val="00E571C2"/>
    <w:rsid w:val="00E65B91"/>
    <w:rsid w:val="00E7209D"/>
    <w:rsid w:val="00E72EAD"/>
    <w:rsid w:val="00E77223"/>
    <w:rsid w:val="00E8528B"/>
    <w:rsid w:val="00E85B94"/>
    <w:rsid w:val="00E947CD"/>
    <w:rsid w:val="00E978D0"/>
    <w:rsid w:val="00EA4613"/>
    <w:rsid w:val="00EA7F91"/>
    <w:rsid w:val="00EB1523"/>
    <w:rsid w:val="00EC0E49"/>
    <w:rsid w:val="00EC101F"/>
    <w:rsid w:val="00EC1D9F"/>
    <w:rsid w:val="00EC2D30"/>
    <w:rsid w:val="00ED571C"/>
    <w:rsid w:val="00EE0131"/>
    <w:rsid w:val="00EE17B0"/>
    <w:rsid w:val="00EF06D9"/>
    <w:rsid w:val="00EF0982"/>
    <w:rsid w:val="00EF5E39"/>
    <w:rsid w:val="00F03522"/>
    <w:rsid w:val="00F040E0"/>
    <w:rsid w:val="00F05F44"/>
    <w:rsid w:val="00F126A5"/>
    <w:rsid w:val="00F20493"/>
    <w:rsid w:val="00F24B6C"/>
    <w:rsid w:val="00F3049E"/>
    <w:rsid w:val="00F30C64"/>
    <w:rsid w:val="00F32BA2"/>
    <w:rsid w:val="00F32CDB"/>
    <w:rsid w:val="00F3348F"/>
    <w:rsid w:val="00F35684"/>
    <w:rsid w:val="00F37280"/>
    <w:rsid w:val="00F41EE4"/>
    <w:rsid w:val="00F45475"/>
    <w:rsid w:val="00F565FE"/>
    <w:rsid w:val="00F63A70"/>
    <w:rsid w:val="00F63D8C"/>
    <w:rsid w:val="00F7534E"/>
    <w:rsid w:val="00F81457"/>
    <w:rsid w:val="00F93EDF"/>
    <w:rsid w:val="00FA1802"/>
    <w:rsid w:val="00FA21D0"/>
    <w:rsid w:val="00FA5F5F"/>
    <w:rsid w:val="00FB4D3B"/>
    <w:rsid w:val="00FB730C"/>
    <w:rsid w:val="00FC244E"/>
    <w:rsid w:val="00FC2695"/>
    <w:rsid w:val="00FC3E03"/>
    <w:rsid w:val="00FC3FC1"/>
    <w:rsid w:val="00FC7F6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berschrift1">
    <w:name w:val="heading 1"/>
    <w:basedOn w:val="CETHeading1"/>
    <w:next w:val="Standard"/>
    <w:link w:val="berschrift1Zchn"/>
    <w:uiPriority w:val="9"/>
    <w:rsid w:val="004F5E36"/>
    <w:pPr>
      <w:tabs>
        <w:tab w:val="clear" w:pos="360"/>
        <w:tab w:val="right" w:pos="7100"/>
      </w:tabs>
      <w:jc w:val="both"/>
      <w:outlineLvl w:val="0"/>
    </w:pPr>
    <w:rPr>
      <w:lang w:val="en-GB"/>
    </w:rPr>
  </w:style>
  <w:style w:type="paragraph" w:styleId="berschrift2">
    <w:name w:val="heading 2"/>
    <w:basedOn w:val="Standard"/>
    <w:next w:val="Standard"/>
    <w:link w:val="berschrift2Zchn"/>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berschrift9">
    <w:name w:val="heading 9"/>
    <w:basedOn w:val="Standard"/>
    <w:next w:val="Standard"/>
    <w:link w:val="berschrift9Zchn"/>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eEinfach1">
    <w:name w:val="Table Simple 1"/>
    <w:basedOn w:val="NormaleTabel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Kommentarzeichen">
    <w:name w:val="annotation reference"/>
    <w:basedOn w:val="Absatz-Standardschriftart"/>
    <w:uiPriority w:val="99"/>
    <w:semiHidden/>
    <w:unhideWhenUsed/>
    <w:rsid w:val="004577FE"/>
    <w:rPr>
      <w:sz w:val="16"/>
      <w:szCs w:val="16"/>
    </w:rPr>
  </w:style>
  <w:style w:type="paragraph" w:styleId="Sprechblasentext">
    <w:name w:val="Balloon Text"/>
    <w:basedOn w:val="Standard"/>
    <w:link w:val="SprechblasentextZchn"/>
    <w:uiPriority w:val="99"/>
    <w:semiHidden/>
    <w:unhideWhenUsed/>
    <w:rsid w:val="000D34B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D34BE"/>
    <w:rPr>
      <w:rFonts w:ascii="Tahoma" w:hAnsi="Tahoma" w:cs="Tahoma"/>
      <w:sz w:val="16"/>
      <w:szCs w:val="16"/>
    </w:rPr>
  </w:style>
  <w:style w:type="paragraph" w:styleId="Literaturverzeichnis">
    <w:name w:val="Bibliography"/>
    <w:basedOn w:val="CETReferencetext"/>
    <w:uiPriority w:val="37"/>
    <w:unhideWhenUsed/>
    <w:rsid w:val="00631B33"/>
    <w:pPr>
      <w:spacing w:line="240" w:lineRule="auto"/>
      <w:ind w:left="720" w:hanging="720"/>
    </w:pPr>
  </w:style>
  <w:style w:type="paragraph" w:styleId="Textkrper2">
    <w:name w:val="Body Text 2"/>
    <w:basedOn w:val="Standard"/>
    <w:link w:val="Textkrper2Zchn"/>
    <w:uiPriority w:val="99"/>
    <w:semiHidden/>
    <w:unhideWhenUsed/>
    <w:rsid w:val="0003148D"/>
    <w:pPr>
      <w:spacing w:after="120" w:line="480" w:lineRule="auto"/>
    </w:pPr>
  </w:style>
  <w:style w:type="character" w:customStyle="1" w:styleId="Textkrper2Zchn">
    <w:name w:val="Textkörper 2 Zchn"/>
    <w:basedOn w:val="Absatz-Standardschriftart"/>
    <w:link w:val="Textkrper2"/>
    <w:uiPriority w:val="99"/>
    <w:semiHidden/>
    <w:rsid w:val="0003148D"/>
  </w:style>
  <w:style w:type="paragraph" w:styleId="Textkrper3">
    <w:name w:val="Body Text 3"/>
    <w:basedOn w:val="Standard"/>
    <w:link w:val="Textkrper3Zchn"/>
    <w:uiPriority w:val="99"/>
    <w:semiHidden/>
    <w:unhideWhenUsed/>
    <w:rsid w:val="0003148D"/>
    <w:pPr>
      <w:spacing w:after="120"/>
    </w:pPr>
    <w:rPr>
      <w:sz w:val="16"/>
      <w:szCs w:val="16"/>
    </w:rPr>
  </w:style>
  <w:style w:type="character" w:customStyle="1" w:styleId="Textkrper3Zchn">
    <w:name w:val="Textkörper 3 Zchn"/>
    <w:basedOn w:val="Absatz-Standardschriftart"/>
    <w:link w:val="Textkrper3"/>
    <w:uiPriority w:val="99"/>
    <w:semiHidden/>
    <w:rsid w:val="0003148D"/>
    <w:rPr>
      <w:sz w:val="16"/>
      <w:szCs w:val="16"/>
    </w:rPr>
  </w:style>
  <w:style w:type="paragraph" w:styleId="Textkrper">
    <w:name w:val="Body Text"/>
    <w:basedOn w:val="Standard"/>
    <w:link w:val="TextkrperZchn"/>
    <w:uiPriority w:val="99"/>
    <w:semiHidden/>
    <w:unhideWhenUsed/>
    <w:rsid w:val="0003148D"/>
    <w:pPr>
      <w:spacing w:after="120"/>
    </w:pPr>
  </w:style>
  <w:style w:type="character" w:customStyle="1" w:styleId="TextkrperZchn">
    <w:name w:val="Textkörper Zchn"/>
    <w:basedOn w:val="Absatz-Standardschriftart"/>
    <w:link w:val="Textkrper"/>
    <w:uiPriority w:val="99"/>
    <w:semiHidden/>
    <w:rsid w:val="0003148D"/>
  </w:style>
  <w:style w:type="paragraph" w:styleId="Datum">
    <w:name w:val="Date"/>
    <w:basedOn w:val="Standard"/>
    <w:next w:val="Standard"/>
    <w:link w:val="DatumZchn"/>
    <w:uiPriority w:val="99"/>
    <w:semiHidden/>
    <w:unhideWhenUsed/>
    <w:rsid w:val="0003148D"/>
  </w:style>
  <w:style w:type="character" w:customStyle="1" w:styleId="DatumZchn">
    <w:name w:val="Datum Zchn"/>
    <w:basedOn w:val="Absatz-Standardschriftart"/>
    <w:link w:val="Datum"/>
    <w:uiPriority w:val="99"/>
    <w:semiHidden/>
    <w:rsid w:val="0003148D"/>
  </w:style>
  <w:style w:type="paragraph" w:styleId="Beschriftung">
    <w:name w:val="caption"/>
    <w:basedOn w:val="Standard"/>
    <w:next w:val="Standard"/>
    <w:uiPriority w:val="35"/>
    <w:unhideWhenUsed/>
    <w:qFormat/>
    <w:rsid w:val="0003148D"/>
    <w:pPr>
      <w:spacing w:line="240" w:lineRule="auto"/>
    </w:pPr>
    <w:rPr>
      <w:b/>
      <w:bCs/>
      <w:color w:val="4F81BD" w:themeColor="accent1"/>
      <w:szCs w:val="18"/>
    </w:rPr>
  </w:style>
  <w:style w:type="paragraph" w:styleId="Liste">
    <w:name w:val="List"/>
    <w:basedOn w:val="Standard"/>
    <w:uiPriority w:val="99"/>
    <w:semiHidden/>
    <w:unhideWhenUsed/>
    <w:rsid w:val="0003148D"/>
    <w:pPr>
      <w:ind w:left="283" w:hanging="283"/>
      <w:contextualSpacing/>
    </w:pPr>
  </w:style>
  <w:style w:type="paragraph" w:styleId="Liste2">
    <w:name w:val="List 2"/>
    <w:basedOn w:val="Standard"/>
    <w:uiPriority w:val="99"/>
    <w:semiHidden/>
    <w:unhideWhenUsed/>
    <w:rsid w:val="0003148D"/>
    <w:pPr>
      <w:ind w:left="566" w:hanging="283"/>
      <w:contextualSpacing/>
    </w:pPr>
  </w:style>
  <w:style w:type="paragraph" w:styleId="Liste3">
    <w:name w:val="List 3"/>
    <w:basedOn w:val="Standard"/>
    <w:uiPriority w:val="99"/>
    <w:semiHidden/>
    <w:unhideWhenUsed/>
    <w:rsid w:val="0003148D"/>
    <w:pPr>
      <w:ind w:left="849" w:hanging="283"/>
      <w:contextualSpacing/>
    </w:pPr>
  </w:style>
  <w:style w:type="paragraph" w:styleId="Liste4">
    <w:name w:val="List 4"/>
    <w:basedOn w:val="Standard"/>
    <w:uiPriority w:val="99"/>
    <w:semiHidden/>
    <w:unhideWhenUsed/>
    <w:rsid w:val="0003148D"/>
    <w:pPr>
      <w:ind w:left="1132" w:hanging="283"/>
      <w:contextualSpacing/>
    </w:pPr>
  </w:style>
  <w:style w:type="paragraph" w:styleId="Liste5">
    <w:name w:val="List 5"/>
    <w:basedOn w:val="Standard"/>
    <w:uiPriority w:val="99"/>
    <w:semiHidden/>
    <w:unhideWhenUsed/>
    <w:rsid w:val="0003148D"/>
    <w:pPr>
      <w:ind w:left="1415" w:hanging="283"/>
      <w:contextualSpacing/>
    </w:pPr>
  </w:style>
  <w:style w:type="paragraph" w:styleId="Listenfortsetzung">
    <w:name w:val="List Continue"/>
    <w:basedOn w:val="Standard"/>
    <w:uiPriority w:val="99"/>
    <w:semiHidden/>
    <w:unhideWhenUsed/>
    <w:rsid w:val="0003148D"/>
    <w:pPr>
      <w:spacing w:after="120"/>
      <w:ind w:left="283"/>
      <w:contextualSpacing/>
    </w:pPr>
  </w:style>
  <w:style w:type="paragraph" w:styleId="Listenfortsetzung2">
    <w:name w:val="List Continue 2"/>
    <w:basedOn w:val="Standard"/>
    <w:uiPriority w:val="99"/>
    <w:semiHidden/>
    <w:unhideWhenUsed/>
    <w:rsid w:val="0003148D"/>
    <w:pPr>
      <w:spacing w:after="120"/>
      <w:ind w:left="566"/>
      <w:contextualSpacing/>
    </w:pPr>
  </w:style>
  <w:style w:type="paragraph" w:styleId="Listenfortsetzung3">
    <w:name w:val="List Continue 3"/>
    <w:basedOn w:val="Standard"/>
    <w:uiPriority w:val="99"/>
    <w:semiHidden/>
    <w:unhideWhenUsed/>
    <w:rsid w:val="0003148D"/>
    <w:pPr>
      <w:spacing w:after="120"/>
      <w:ind w:left="849"/>
      <w:contextualSpacing/>
    </w:pPr>
  </w:style>
  <w:style w:type="paragraph" w:styleId="Listenfortsetzung4">
    <w:name w:val="List Continue 4"/>
    <w:basedOn w:val="Standard"/>
    <w:uiPriority w:val="99"/>
    <w:semiHidden/>
    <w:unhideWhenUsed/>
    <w:rsid w:val="0003148D"/>
    <w:pPr>
      <w:spacing w:after="120"/>
      <w:ind w:left="1132"/>
      <w:contextualSpacing/>
    </w:pPr>
  </w:style>
  <w:style w:type="paragraph" w:styleId="Listenfortsetzung5">
    <w:name w:val="List Continue 5"/>
    <w:basedOn w:val="Standard"/>
    <w:uiPriority w:val="99"/>
    <w:semiHidden/>
    <w:unhideWhenUsed/>
    <w:rsid w:val="0003148D"/>
    <w:pPr>
      <w:spacing w:after="120"/>
      <w:ind w:left="1415"/>
      <w:contextualSpacing/>
    </w:pPr>
  </w:style>
  <w:style w:type="paragraph" w:styleId="Unterschrift">
    <w:name w:val="Signature"/>
    <w:basedOn w:val="Standard"/>
    <w:link w:val="UnterschriftZchn"/>
    <w:uiPriority w:val="99"/>
    <w:semiHidden/>
    <w:unhideWhenUsed/>
    <w:rsid w:val="0003148D"/>
    <w:pPr>
      <w:spacing w:line="240" w:lineRule="auto"/>
      <w:ind w:left="4252"/>
    </w:pPr>
  </w:style>
  <w:style w:type="character" w:customStyle="1" w:styleId="UnterschriftZchn">
    <w:name w:val="Unterschrift Zchn"/>
    <w:basedOn w:val="Absatz-Standardschriftart"/>
    <w:link w:val="Unterschrift"/>
    <w:uiPriority w:val="99"/>
    <w:semiHidden/>
    <w:rsid w:val="0003148D"/>
  </w:style>
  <w:style w:type="paragraph" w:styleId="E-Mail-Signatur">
    <w:name w:val="E-mail Signature"/>
    <w:basedOn w:val="Standard"/>
    <w:link w:val="E-Mail-SignaturZchn"/>
    <w:uiPriority w:val="99"/>
    <w:semiHidden/>
    <w:unhideWhenUsed/>
    <w:rsid w:val="0003148D"/>
    <w:pPr>
      <w:spacing w:line="240" w:lineRule="auto"/>
    </w:pPr>
  </w:style>
  <w:style w:type="character" w:customStyle="1" w:styleId="E-Mail-SignaturZchn">
    <w:name w:val="E-Mail-Signatur Zchn"/>
    <w:basedOn w:val="Absatz-Standardschriftart"/>
    <w:link w:val="E-Mail-Signatur"/>
    <w:uiPriority w:val="99"/>
    <w:semiHidden/>
    <w:rsid w:val="0003148D"/>
  </w:style>
  <w:style w:type="paragraph" w:styleId="Anrede">
    <w:name w:val="Salutation"/>
    <w:basedOn w:val="Standard"/>
    <w:next w:val="Standard"/>
    <w:link w:val="AnredeZchn"/>
    <w:uiPriority w:val="99"/>
    <w:semiHidden/>
    <w:unhideWhenUsed/>
    <w:rsid w:val="0003148D"/>
  </w:style>
  <w:style w:type="character" w:customStyle="1" w:styleId="AnredeZchn">
    <w:name w:val="Anrede Zchn"/>
    <w:basedOn w:val="Absatz-Standardschriftart"/>
    <w:link w:val="Anrede"/>
    <w:uiPriority w:val="99"/>
    <w:semiHidden/>
    <w:rsid w:val="0003148D"/>
  </w:style>
  <w:style w:type="paragraph" w:styleId="Gruformel">
    <w:name w:val="Closing"/>
    <w:basedOn w:val="Standard"/>
    <w:link w:val="GruformelZchn"/>
    <w:uiPriority w:val="99"/>
    <w:semiHidden/>
    <w:unhideWhenUsed/>
    <w:rsid w:val="0003148D"/>
    <w:pPr>
      <w:spacing w:line="240" w:lineRule="auto"/>
      <w:ind w:left="4252"/>
    </w:pPr>
  </w:style>
  <w:style w:type="character" w:customStyle="1" w:styleId="GruformelZchn">
    <w:name w:val="Grußformel Zchn"/>
    <w:basedOn w:val="Absatz-Standardschriftart"/>
    <w:link w:val="Gruformel"/>
    <w:uiPriority w:val="99"/>
    <w:semiHidden/>
    <w:rsid w:val="0003148D"/>
  </w:style>
  <w:style w:type="paragraph" w:styleId="Index1">
    <w:name w:val="index 1"/>
    <w:basedOn w:val="Standard"/>
    <w:next w:val="Standard"/>
    <w:autoRedefine/>
    <w:uiPriority w:val="99"/>
    <w:semiHidden/>
    <w:unhideWhenUsed/>
    <w:rsid w:val="0003148D"/>
    <w:pPr>
      <w:spacing w:line="240" w:lineRule="auto"/>
      <w:ind w:left="220" w:hanging="220"/>
    </w:pPr>
  </w:style>
  <w:style w:type="paragraph" w:styleId="Index2">
    <w:name w:val="index 2"/>
    <w:basedOn w:val="Standard"/>
    <w:next w:val="Standard"/>
    <w:autoRedefine/>
    <w:uiPriority w:val="99"/>
    <w:semiHidden/>
    <w:unhideWhenUsed/>
    <w:rsid w:val="0003148D"/>
    <w:pPr>
      <w:spacing w:line="240" w:lineRule="auto"/>
      <w:ind w:left="440" w:hanging="220"/>
    </w:pPr>
  </w:style>
  <w:style w:type="paragraph" w:styleId="Index3">
    <w:name w:val="index 3"/>
    <w:basedOn w:val="Standard"/>
    <w:next w:val="Standard"/>
    <w:autoRedefine/>
    <w:uiPriority w:val="99"/>
    <w:semiHidden/>
    <w:unhideWhenUsed/>
    <w:rsid w:val="0003148D"/>
    <w:pPr>
      <w:spacing w:line="240" w:lineRule="auto"/>
      <w:ind w:left="660" w:hanging="220"/>
    </w:pPr>
  </w:style>
  <w:style w:type="paragraph" w:styleId="Index4">
    <w:name w:val="index 4"/>
    <w:basedOn w:val="Standard"/>
    <w:next w:val="Standard"/>
    <w:autoRedefine/>
    <w:uiPriority w:val="99"/>
    <w:semiHidden/>
    <w:unhideWhenUsed/>
    <w:rsid w:val="0003148D"/>
    <w:pPr>
      <w:spacing w:line="240" w:lineRule="auto"/>
      <w:ind w:left="880" w:hanging="220"/>
    </w:pPr>
  </w:style>
  <w:style w:type="paragraph" w:styleId="Index5">
    <w:name w:val="index 5"/>
    <w:basedOn w:val="Standard"/>
    <w:next w:val="Standard"/>
    <w:autoRedefine/>
    <w:uiPriority w:val="99"/>
    <w:semiHidden/>
    <w:unhideWhenUsed/>
    <w:rsid w:val="0003148D"/>
    <w:pPr>
      <w:spacing w:line="240" w:lineRule="auto"/>
      <w:ind w:left="1100" w:hanging="220"/>
    </w:pPr>
  </w:style>
  <w:style w:type="paragraph" w:styleId="Index6">
    <w:name w:val="index 6"/>
    <w:basedOn w:val="Standard"/>
    <w:next w:val="Standard"/>
    <w:autoRedefine/>
    <w:uiPriority w:val="99"/>
    <w:semiHidden/>
    <w:unhideWhenUsed/>
    <w:rsid w:val="0003148D"/>
    <w:pPr>
      <w:spacing w:line="240" w:lineRule="auto"/>
      <w:ind w:left="1320" w:hanging="220"/>
    </w:pPr>
  </w:style>
  <w:style w:type="paragraph" w:styleId="Index7">
    <w:name w:val="index 7"/>
    <w:basedOn w:val="Standard"/>
    <w:next w:val="Standard"/>
    <w:autoRedefine/>
    <w:uiPriority w:val="99"/>
    <w:semiHidden/>
    <w:unhideWhenUsed/>
    <w:rsid w:val="0003148D"/>
    <w:pPr>
      <w:spacing w:line="240" w:lineRule="auto"/>
      <w:ind w:left="1540" w:hanging="220"/>
    </w:pPr>
  </w:style>
  <w:style w:type="paragraph" w:styleId="Index8">
    <w:name w:val="index 8"/>
    <w:basedOn w:val="Standard"/>
    <w:next w:val="Standard"/>
    <w:autoRedefine/>
    <w:uiPriority w:val="99"/>
    <w:semiHidden/>
    <w:unhideWhenUsed/>
    <w:rsid w:val="0003148D"/>
    <w:pPr>
      <w:spacing w:line="240" w:lineRule="auto"/>
      <w:ind w:left="1760" w:hanging="220"/>
    </w:pPr>
  </w:style>
  <w:style w:type="paragraph" w:styleId="Index9">
    <w:name w:val="index 9"/>
    <w:basedOn w:val="Standard"/>
    <w:next w:val="Standard"/>
    <w:autoRedefine/>
    <w:uiPriority w:val="99"/>
    <w:semiHidden/>
    <w:unhideWhenUsed/>
    <w:rsid w:val="0003148D"/>
    <w:pPr>
      <w:spacing w:line="240" w:lineRule="auto"/>
      <w:ind w:left="1980" w:hanging="220"/>
    </w:pPr>
  </w:style>
  <w:style w:type="paragraph" w:styleId="Abbildungsverzeichnis">
    <w:name w:val="table of figures"/>
    <w:basedOn w:val="Standard"/>
    <w:next w:val="Standard"/>
    <w:uiPriority w:val="99"/>
    <w:semiHidden/>
    <w:unhideWhenUsed/>
    <w:rsid w:val="0003148D"/>
  </w:style>
  <w:style w:type="paragraph" w:styleId="Rechtsgrundlagenverzeichnis">
    <w:name w:val="table of authorities"/>
    <w:basedOn w:val="Standard"/>
    <w:next w:val="Standard"/>
    <w:uiPriority w:val="99"/>
    <w:semiHidden/>
    <w:unhideWhenUsed/>
    <w:rsid w:val="0003148D"/>
    <w:pPr>
      <w:ind w:left="220" w:hanging="220"/>
    </w:pPr>
  </w:style>
  <w:style w:type="paragraph" w:styleId="Umschlagadresse">
    <w:name w:val="envelope address"/>
    <w:basedOn w:val="Standard"/>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resse">
    <w:name w:val="HTML Address"/>
    <w:basedOn w:val="Standard"/>
    <w:link w:val="HTMLAdresseZchn"/>
    <w:uiPriority w:val="99"/>
    <w:semiHidden/>
    <w:unhideWhenUsed/>
    <w:rsid w:val="0003148D"/>
    <w:pPr>
      <w:spacing w:line="240" w:lineRule="auto"/>
    </w:pPr>
    <w:rPr>
      <w:i/>
      <w:iCs/>
    </w:rPr>
  </w:style>
  <w:style w:type="character" w:customStyle="1" w:styleId="HTMLAdresseZchn">
    <w:name w:val="HTML Adresse Zchn"/>
    <w:basedOn w:val="Absatz-Standardschriftart"/>
    <w:link w:val="HTMLAdresse"/>
    <w:uiPriority w:val="99"/>
    <w:semiHidden/>
    <w:rsid w:val="0003148D"/>
    <w:rPr>
      <w:i/>
      <w:iCs/>
    </w:rPr>
  </w:style>
  <w:style w:type="paragraph" w:styleId="Umschlagabsenderadresse">
    <w:name w:val="envelope return"/>
    <w:basedOn w:val="Standard"/>
    <w:uiPriority w:val="99"/>
    <w:semiHidden/>
    <w:unhideWhenUsed/>
    <w:rsid w:val="0003148D"/>
    <w:pPr>
      <w:spacing w:line="240" w:lineRule="auto"/>
    </w:pPr>
    <w:rPr>
      <w:rFonts w:asciiTheme="majorHAnsi" w:eastAsiaTheme="majorEastAsia" w:hAnsiTheme="majorHAnsi" w:cstheme="majorBidi"/>
    </w:rPr>
  </w:style>
  <w:style w:type="paragraph" w:styleId="Nachrichtenkopf">
    <w:name w:val="Message Header"/>
    <w:basedOn w:val="Standard"/>
    <w:link w:val="NachrichtenkopfZchn"/>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03148D"/>
    <w:rPr>
      <w:rFonts w:asciiTheme="majorHAnsi" w:eastAsiaTheme="majorEastAsia" w:hAnsiTheme="majorHAnsi" w:cstheme="majorBidi"/>
      <w:sz w:val="24"/>
      <w:szCs w:val="24"/>
      <w:shd w:val="pct20" w:color="auto" w:fill="auto"/>
    </w:rPr>
  </w:style>
  <w:style w:type="paragraph" w:styleId="Fu-Endnotenberschrift">
    <w:name w:val="Note Heading"/>
    <w:basedOn w:val="Standard"/>
    <w:next w:val="Standard"/>
    <w:link w:val="Fu-EndnotenberschriftZchn"/>
    <w:uiPriority w:val="99"/>
    <w:semiHidden/>
    <w:unhideWhenUsed/>
    <w:rsid w:val="0003148D"/>
    <w:pPr>
      <w:spacing w:line="240" w:lineRule="auto"/>
    </w:pPr>
  </w:style>
  <w:style w:type="character" w:customStyle="1" w:styleId="Fu-EndnotenberschriftZchn">
    <w:name w:val="Fuß/-Endnotenüberschrift Zchn"/>
    <w:basedOn w:val="Absatz-Standardschriftart"/>
    <w:link w:val="Fu-Endnotenberschrift"/>
    <w:uiPriority w:val="99"/>
    <w:semiHidden/>
    <w:rsid w:val="0003148D"/>
  </w:style>
  <w:style w:type="paragraph" w:styleId="Dokumentstruktur">
    <w:name w:val="Document Map"/>
    <w:basedOn w:val="Standard"/>
    <w:link w:val="DokumentstrukturZchn"/>
    <w:uiPriority w:val="99"/>
    <w:semiHidden/>
    <w:unhideWhenUsed/>
    <w:rsid w:val="0003148D"/>
    <w:pPr>
      <w:spacing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03148D"/>
    <w:rPr>
      <w:rFonts w:ascii="Tahoma" w:hAnsi="Tahoma" w:cs="Tahoma"/>
      <w:sz w:val="16"/>
      <w:szCs w:val="16"/>
    </w:rPr>
  </w:style>
  <w:style w:type="paragraph" w:styleId="StandardWeb">
    <w:name w:val="Normal (Web)"/>
    <w:basedOn w:val="Standard"/>
    <w:uiPriority w:val="99"/>
    <w:semiHidden/>
    <w:unhideWhenUsed/>
    <w:rsid w:val="0003148D"/>
    <w:rPr>
      <w:sz w:val="24"/>
      <w:szCs w:val="24"/>
    </w:rPr>
  </w:style>
  <w:style w:type="paragraph" w:styleId="Listennummer">
    <w:name w:val="List Number"/>
    <w:basedOn w:val="Standard"/>
    <w:uiPriority w:val="99"/>
    <w:semiHidden/>
    <w:unhideWhenUsed/>
    <w:rsid w:val="0003148D"/>
    <w:pPr>
      <w:numPr>
        <w:numId w:val="2"/>
      </w:numPr>
      <w:contextualSpacing/>
    </w:pPr>
  </w:style>
  <w:style w:type="paragraph" w:styleId="Listennummer2">
    <w:name w:val="List Number 2"/>
    <w:basedOn w:val="Standard"/>
    <w:uiPriority w:val="99"/>
    <w:semiHidden/>
    <w:unhideWhenUsed/>
    <w:rsid w:val="0003148D"/>
    <w:pPr>
      <w:numPr>
        <w:numId w:val="3"/>
      </w:numPr>
      <w:contextualSpacing/>
    </w:pPr>
  </w:style>
  <w:style w:type="paragraph" w:styleId="Listennummer3">
    <w:name w:val="List Number 3"/>
    <w:basedOn w:val="Standard"/>
    <w:uiPriority w:val="99"/>
    <w:semiHidden/>
    <w:unhideWhenUsed/>
    <w:rsid w:val="0003148D"/>
    <w:pPr>
      <w:numPr>
        <w:numId w:val="4"/>
      </w:numPr>
      <w:contextualSpacing/>
    </w:pPr>
  </w:style>
  <w:style w:type="paragraph" w:styleId="Listennummer4">
    <w:name w:val="List Number 4"/>
    <w:basedOn w:val="Standard"/>
    <w:uiPriority w:val="99"/>
    <w:semiHidden/>
    <w:unhideWhenUsed/>
    <w:rsid w:val="0003148D"/>
    <w:pPr>
      <w:numPr>
        <w:numId w:val="5"/>
      </w:numPr>
      <w:contextualSpacing/>
    </w:pPr>
  </w:style>
  <w:style w:type="paragraph" w:styleId="Listennummer5">
    <w:name w:val="List Number 5"/>
    <w:basedOn w:val="Standard"/>
    <w:uiPriority w:val="99"/>
    <w:semiHidden/>
    <w:unhideWhenUsed/>
    <w:rsid w:val="0003148D"/>
    <w:pPr>
      <w:numPr>
        <w:numId w:val="6"/>
      </w:numPr>
      <w:contextualSpacing/>
    </w:pPr>
  </w:style>
  <w:style w:type="paragraph" w:styleId="HTMLVorformatiert">
    <w:name w:val="HTML Preformatted"/>
    <w:basedOn w:val="Standard"/>
    <w:link w:val="HTMLVorformatiertZchn"/>
    <w:uiPriority w:val="99"/>
    <w:semiHidden/>
    <w:unhideWhenUsed/>
    <w:rsid w:val="0003148D"/>
    <w:pPr>
      <w:spacing w:line="240" w:lineRule="auto"/>
    </w:pPr>
    <w:rPr>
      <w:rFonts w:ascii="Consolas" w:hAnsi="Consolas" w:cs="Consolas"/>
    </w:rPr>
  </w:style>
  <w:style w:type="character" w:customStyle="1" w:styleId="HTMLVorformatiertZchn">
    <w:name w:val="HTML Vorformatiert Zchn"/>
    <w:basedOn w:val="Absatz-Standardschriftart"/>
    <w:link w:val="HTMLVorformatiert"/>
    <w:uiPriority w:val="99"/>
    <w:semiHidden/>
    <w:rsid w:val="0003148D"/>
    <w:rPr>
      <w:rFonts w:ascii="Consolas" w:hAnsi="Consolas" w:cs="Consolas"/>
      <w:sz w:val="20"/>
      <w:szCs w:val="20"/>
    </w:rPr>
  </w:style>
  <w:style w:type="paragraph" w:styleId="Textkrper-Erstzeileneinzug">
    <w:name w:val="Body Text First Indent"/>
    <w:basedOn w:val="Textkrper"/>
    <w:link w:val="Textkrper-ErstzeileneinzugZchn"/>
    <w:uiPriority w:val="99"/>
    <w:semiHidden/>
    <w:unhideWhenUsed/>
    <w:rsid w:val="0003148D"/>
    <w:pPr>
      <w:spacing w:after="200"/>
      <w:ind w:firstLine="360"/>
    </w:pPr>
  </w:style>
  <w:style w:type="character" w:customStyle="1" w:styleId="Textkrper-ErstzeileneinzugZchn">
    <w:name w:val="Textkörper-Erstzeileneinzug Zchn"/>
    <w:basedOn w:val="TextkrperZchn"/>
    <w:link w:val="Textkrper-Erstzeileneinzug"/>
    <w:uiPriority w:val="99"/>
    <w:semiHidden/>
    <w:rsid w:val="0003148D"/>
  </w:style>
  <w:style w:type="paragraph" w:styleId="Textkrper-Zeileneinzug">
    <w:name w:val="Body Text Indent"/>
    <w:basedOn w:val="Standard"/>
    <w:link w:val="Textkrper-ZeileneinzugZchn"/>
    <w:uiPriority w:val="99"/>
    <w:semiHidden/>
    <w:unhideWhenUsed/>
    <w:rsid w:val="0003148D"/>
    <w:pPr>
      <w:spacing w:after="120"/>
      <w:ind w:left="283"/>
    </w:pPr>
  </w:style>
  <w:style w:type="character" w:customStyle="1" w:styleId="Textkrper-ZeileneinzugZchn">
    <w:name w:val="Textkörper-Zeileneinzug Zchn"/>
    <w:basedOn w:val="Absatz-Standardschriftart"/>
    <w:link w:val="Textkrper-Zeileneinzug"/>
    <w:uiPriority w:val="99"/>
    <w:semiHidden/>
    <w:rsid w:val="0003148D"/>
  </w:style>
  <w:style w:type="paragraph" w:styleId="Textkrper-Erstzeileneinzug2">
    <w:name w:val="Body Text First Indent 2"/>
    <w:basedOn w:val="Textkrper-Zeileneinzug"/>
    <w:link w:val="Textkrper-Erstzeileneinzug2Zchn"/>
    <w:uiPriority w:val="99"/>
    <w:semiHidden/>
    <w:unhideWhenUsed/>
    <w:rsid w:val="0003148D"/>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03148D"/>
  </w:style>
  <w:style w:type="paragraph" w:styleId="Aufzhlungszeichen">
    <w:name w:val="List Bullet"/>
    <w:basedOn w:val="Standard"/>
    <w:uiPriority w:val="99"/>
    <w:semiHidden/>
    <w:unhideWhenUsed/>
    <w:rsid w:val="0003148D"/>
    <w:pPr>
      <w:numPr>
        <w:numId w:val="7"/>
      </w:numPr>
      <w:contextualSpacing/>
    </w:pPr>
  </w:style>
  <w:style w:type="paragraph" w:styleId="Aufzhlungszeichen2">
    <w:name w:val="List Bullet 2"/>
    <w:basedOn w:val="Standard"/>
    <w:uiPriority w:val="99"/>
    <w:semiHidden/>
    <w:unhideWhenUsed/>
    <w:rsid w:val="0003148D"/>
    <w:pPr>
      <w:numPr>
        <w:numId w:val="8"/>
      </w:numPr>
      <w:contextualSpacing/>
    </w:pPr>
  </w:style>
  <w:style w:type="paragraph" w:styleId="Aufzhlungszeichen3">
    <w:name w:val="List Bullet 3"/>
    <w:basedOn w:val="Standard"/>
    <w:uiPriority w:val="99"/>
    <w:semiHidden/>
    <w:unhideWhenUsed/>
    <w:rsid w:val="0003148D"/>
    <w:pPr>
      <w:numPr>
        <w:numId w:val="9"/>
      </w:numPr>
      <w:contextualSpacing/>
    </w:pPr>
  </w:style>
  <w:style w:type="paragraph" w:styleId="Aufzhlungszeichen4">
    <w:name w:val="List Bullet 4"/>
    <w:basedOn w:val="Standard"/>
    <w:uiPriority w:val="99"/>
    <w:semiHidden/>
    <w:unhideWhenUsed/>
    <w:rsid w:val="0003148D"/>
    <w:pPr>
      <w:numPr>
        <w:numId w:val="10"/>
      </w:numPr>
      <w:contextualSpacing/>
    </w:pPr>
  </w:style>
  <w:style w:type="paragraph" w:styleId="Aufzhlungszeichen5">
    <w:name w:val="List Bullet 5"/>
    <w:basedOn w:val="Standard"/>
    <w:uiPriority w:val="99"/>
    <w:semiHidden/>
    <w:unhideWhenUsed/>
    <w:rsid w:val="0003148D"/>
    <w:pPr>
      <w:numPr>
        <w:numId w:val="11"/>
      </w:numPr>
      <w:contextualSpacing/>
    </w:pPr>
  </w:style>
  <w:style w:type="paragraph" w:styleId="Textkrper-Einzug2">
    <w:name w:val="Body Text Indent 2"/>
    <w:basedOn w:val="Standard"/>
    <w:link w:val="Textkrper-Einzug2Zchn"/>
    <w:uiPriority w:val="99"/>
    <w:semiHidden/>
    <w:unhideWhenUsed/>
    <w:rsid w:val="0003148D"/>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03148D"/>
  </w:style>
  <w:style w:type="paragraph" w:styleId="Textkrper-Einzug3">
    <w:name w:val="Body Text Indent 3"/>
    <w:basedOn w:val="Standard"/>
    <w:link w:val="Textkrper-Einzug3Zchn"/>
    <w:uiPriority w:val="99"/>
    <w:semiHidden/>
    <w:unhideWhenUsed/>
    <w:rsid w:val="0003148D"/>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03148D"/>
    <w:rPr>
      <w:sz w:val="16"/>
      <w:szCs w:val="16"/>
    </w:rPr>
  </w:style>
  <w:style w:type="paragraph" w:styleId="Standardeinzug">
    <w:name w:val="Normal Indent"/>
    <w:basedOn w:val="Standard"/>
    <w:uiPriority w:val="99"/>
    <w:semiHidden/>
    <w:unhideWhenUsed/>
    <w:rsid w:val="0003148D"/>
    <w:pPr>
      <w:ind w:left="720"/>
    </w:pPr>
  </w:style>
  <w:style w:type="paragraph" w:styleId="Kommentartext">
    <w:name w:val="annotation text"/>
    <w:basedOn w:val="Standard"/>
    <w:link w:val="KommentartextZchn"/>
    <w:uiPriority w:val="99"/>
    <w:unhideWhenUsed/>
    <w:rsid w:val="0003148D"/>
    <w:pPr>
      <w:spacing w:line="240" w:lineRule="auto"/>
    </w:pPr>
  </w:style>
  <w:style w:type="character" w:customStyle="1" w:styleId="KommentartextZchn">
    <w:name w:val="Kommentartext Zchn"/>
    <w:basedOn w:val="Absatz-Standardschriftart"/>
    <w:link w:val="Kommentartext"/>
    <w:uiPriority w:val="99"/>
    <w:rsid w:val="0003148D"/>
    <w:rPr>
      <w:sz w:val="20"/>
      <w:szCs w:val="20"/>
    </w:rPr>
  </w:style>
  <w:style w:type="paragraph" w:styleId="Kommentarthema">
    <w:name w:val="annotation subject"/>
    <w:basedOn w:val="Kommentartext"/>
    <w:next w:val="Kommentartext"/>
    <w:link w:val="KommentarthemaZchn"/>
    <w:uiPriority w:val="99"/>
    <w:semiHidden/>
    <w:unhideWhenUsed/>
    <w:rsid w:val="0003148D"/>
    <w:rPr>
      <w:b/>
      <w:bCs/>
    </w:rPr>
  </w:style>
  <w:style w:type="character" w:customStyle="1" w:styleId="KommentarthemaZchn">
    <w:name w:val="Kommentarthema Zchn"/>
    <w:basedOn w:val="KommentartextZchn"/>
    <w:link w:val="Kommentarthema"/>
    <w:uiPriority w:val="99"/>
    <w:semiHidden/>
    <w:rsid w:val="0003148D"/>
    <w:rPr>
      <w:b/>
      <w:bCs/>
      <w:sz w:val="20"/>
      <w:szCs w:val="20"/>
    </w:rPr>
  </w:style>
  <w:style w:type="paragraph" w:styleId="Verzeichnis1">
    <w:name w:val="toc 1"/>
    <w:basedOn w:val="Standard"/>
    <w:next w:val="Standard"/>
    <w:autoRedefine/>
    <w:uiPriority w:val="39"/>
    <w:semiHidden/>
    <w:unhideWhenUsed/>
    <w:rsid w:val="0003148D"/>
    <w:pPr>
      <w:spacing w:after="100"/>
    </w:pPr>
  </w:style>
  <w:style w:type="paragraph" w:styleId="Verzeichnis2">
    <w:name w:val="toc 2"/>
    <w:basedOn w:val="Standard"/>
    <w:next w:val="Standard"/>
    <w:autoRedefine/>
    <w:uiPriority w:val="39"/>
    <w:semiHidden/>
    <w:unhideWhenUsed/>
    <w:rsid w:val="0003148D"/>
    <w:pPr>
      <w:spacing w:after="100"/>
      <w:ind w:left="220"/>
    </w:pPr>
  </w:style>
  <w:style w:type="paragraph" w:styleId="Verzeichnis3">
    <w:name w:val="toc 3"/>
    <w:basedOn w:val="Standard"/>
    <w:next w:val="Standard"/>
    <w:autoRedefine/>
    <w:uiPriority w:val="39"/>
    <w:semiHidden/>
    <w:unhideWhenUsed/>
    <w:rsid w:val="0003148D"/>
    <w:pPr>
      <w:spacing w:after="100"/>
      <w:ind w:left="440"/>
    </w:pPr>
  </w:style>
  <w:style w:type="paragraph" w:styleId="Verzeichnis4">
    <w:name w:val="toc 4"/>
    <w:basedOn w:val="Standard"/>
    <w:next w:val="Standard"/>
    <w:autoRedefine/>
    <w:uiPriority w:val="39"/>
    <w:semiHidden/>
    <w:unhideWhenUsed/>
    <w:rsid w:val="0003148D"/>
    <w:pPr>
      <w:spacing w:after="100"/>
      <w:ind w:left="660"/>
    </w:pPr>
  </w:style>
  <w:style w:type="paragraph" w:styleId="Verzeichnis5">
    <w:name w:val="toc 5"/>
    <w:basedOn w:val="Standard"/>
    <w:next w:val="Standard"/>
    <w:autoRedefine/>
    <w:uiPriority w:val="39"/>
    <w:semiHidden/>
    <w:unhideWhenUsed/>
    <w:rsid w:val="0003148D"/>
    <w:pPr>
      <w:spacing w:after="100"/>
      <w:ind w:left="880"/>
    </w:pPr>
  </w:style>
  <w:style w:type="paragraph" w:styleId="Verzeichnis6">
    <w:name w:val="toc 6"/>
    <w:basedOn w:val="Standard"/>
    <w:next w:val="Standard"/>
    <w:autoRedefine/>
    <w:uiPriority w:val="39"/>
    <w:semiHidden/>
    <w:unhideWhenUsed/>
    <w:rsid w:val="0003148D"/>
    <w:pPr>
      <w:spacing w:after="100"/>
      <w:ind w:left="1100"/>
    </w:pPr>
  </w:style>
  <w:style w:type="paragraph" w:styleId="Verzeichnis7">
    <w:name w:val="toc 7"/>
    <w:basedOn w:val="Standard"/>
    <w:next w:val="Standard"/>
    <w:autoRedefine/>
    <w:uiPriority w:val="39"/>
    <w:semiHidden/>
    <w:unhideWhenUsed/>
    <w:rsid w:val="0003148D"/>
    <w:pPr>
      <w:spacing w:after="100"/>
      <w:ind w:left="1320"/>
    </w:pPr>
  </w:style>
  <w:style w:type="paragraph" w:styleId="Verzeichnis8">
    <w:name w:val="toc 8"/>
    <w:basedOn w:val="Standard"/>
    <w:next w:val="Standard"/>
    <w:autoRedefine/>
    <w:uiPriority w:val="39"/>
    <w:semiHidden/>
    <w:unhideWhenUsed/>
    <w:rsid w:val="0003148D"/>
    <w:pPr>
      <w:spacing w:after="100"/>
      <w:ind w:left="1540"/>
    </w:pPr>
  </w:style>
  <w:style w:type="paragraph" w:styleId="Verzeichnis9">
    <w:name w:val="toc 9"/>
    <w:basedOn w:val="Standard"/>
    <w:next w:val="Standard"/>
    <w:autoRedefine/>
    <w:uiPriority w:val="39"/>
    <w:semiHidden/>
    <w:unhideWhenUsed/>
    <w:rsid w:val="0003148D"/>
    <w:pPr>
      <w:spacing w:after="100"/>
      <w:ind w:left="1760"/>
    </w:pPr>
  </w:style>
  <w:style w:type="paragraph" w:styleId="Blocktext">
    <w:name w:val="Block Text"/>
    <w:basedOn w:val="Standard"/>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krotext">
    <w:name w:val="macro"/>
    <w:link w:val="MakrotextZchn"/>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krotextZchn">
    <w:name w:val="Makrotext Zchn"/>
    <w:basedOn w:val="Absatz-Standardschriftart"/>
    <w:link w:val="Makrotext"/>
    <w:uiPriority w:val="99"/>
    <w:semiHidden/>
    <w:rsid w:val="0003148D"/>
    <w:rPr>
      <w:rFonts w:ascii="Consolas" w:hAnsi="Consolas" w:cs="Consolas"/>
      <w:sz w:val="20"/>
      <w:szCs w:val="20"/>
    </w:rPr>
  </w:style>
  <w:style w:type="paragraph" w:styleId="NurText">
    <w:name w:val="Plain Text"/>
    <w:basedOn w:val="Standard"/>
    <w:link w:val="NurTextZchn"/>
    <w:uiPriority w:val="99"/>
    <w:semiHidden/>
    <w:unhideWhenUsed/>
    <w:rsid w:val="0003148D"/>
    <w:pPr>
      <w:spacing w:line="240" w:lineRule="auto"/>
    </w:pPr>
    <w:rPr>
      <w:rFonts w:ascii="Consolas" w:hAnsi="Consolas" w:cs="Consolas"/>
      <w:sz w:val="21"/>
      <w:szCs w:val="21"/>
    </w:rPr>
  </w:style>
  <w:style w:type="character" w:customStyle="1" w:styleId="NurTextZchn">
    <w:name w:val="Nur Text Zchn"/>
    <w:basedOn w:val="Absatz-Standardschriftart"/>
    <w:link w:val="NurText"/>
    <w:uiPriority w:val="99"/>
    <w:semiHidden/>
    <w:rsid w:val="0003148D"/>
    <w:rPr>
      <w:rFonts w:ascii="Consolas" w:hAnsi="Consolas" w:cs="Consolas"/>
      <w:sz w:val="21"/>
      <w:szCs w:val="21"/>
    </w:rPr>
  </w:style>
  <w:style w:type="paragraph" w:styleId="Funotentext">
    <w:name w:val="footnote text"/>
    <w:basedOn w:val="Standard"/>
    <w:link w:val="FunotentextZchn"/>
    <w:uiPriority w:val="99"/>
    <w:semiHidden/>
    <w:unhideWhenUsed/>
    <w:rsid w:val="0003148D"/>
    <w:pPr>
      <w:spacing w:line="240" w:lineRule="auto"/>
    </w:pPr>
  </w:style>
  <w:style w:type="character" w:customStyle="1" w:styleId="FunotentextZchn">
    <w:name w:val="Fußnotentext Zchn"/>
    <w:basedOn w:val="Absatz-Standardschriftart"/>
    <w:link w:val="Funotentext"/>
    <w:uiPriority w:val="99"/>
    <w:semiHidden/>
    <w:rsid w:val="0003148D"/>
    <w:rPr>
      <w:sz w:val="20"/>
      <w:szCs w:val="20"/>
    </w:rPr>
  </w:style>
  <w:style w:type="paragraph" w:styleId="Endnotentext">
    <w:name w:val="endnote text"/>
    <w:basedOn w:val="Standard"/>
    <w:link w:val="EndnotentextZchn"/>
    <w:uiPriority w:val="99"/>
    <w:semiHidden/>
    <w:unhideWhenUsed/>
    <w:rsid w:val="0003148D"/>
    <w:pPr>
      <w:spacing w:line="240" w:lineRule="auto"/>
    </w:pPr>
  </w:style>
  <w:style w:type="character" w:customStyle="1" w:styleId="EndnotentextZchn">
    <w:name w:val="Endnotentext Zchn"/>
    <w:basedOn w:val="Absatz-Standardschriftart"/>
    <w:link w:val="Endnotentext"/>
    <w:uiPriority w:val="99"/>
    <w:semiHidden/>
    <w:rsid w:val="0003148D"/>
    <w:rPr>
      <w:sz w:val="20"/>
      <w:szCs w:val="20"/>
    </w:rPr>
  </w:style>
  <w:style w:type="character" w:customStyle="1" w:styleId="berschrift1Zchn">
    <w:name w:val="Überschrift 1 Zchn"/>
    <w:basedOn w:val="Absatz-Standardschriftart"/>
    <w:link w:val="berschrift1"/>
    <w:uiPriority w:val="9"/>
    <w:rsid w:val="004F5E36"/>
    <w:rPr>
      <w:rFonts w:ascii="Arial" w:eastAsia="Times New Roman" w:hAnsi="Arial" w:cs="Times New Roman"/>
      <w:b/>
      <w:sz w:val="20"/>
      <w:szCs w:val="20"/>
      <w:lang w:val="en-GB"/>
    </w:rPr>
  </w:style>
  <w:style w:type="character" w:customStyle="1" w:styleId="berschrift2Zchn">
    <w:name w:val="Überschrift 2 Zchn"/>
    <w:basedOn w:val="Absatz-Standardschriftart"/>
    <w:link w:val="berschrift2"/>
    <w:uiPriority w:val="9"/>
    <w:semiHidden/>
    <w:rsid w:val="0003148D"/>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03148D"/>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03148D"/>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03148D"/>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03148D"/>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03148D"/>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berschrift">
    <w:name w:val="index heading"/>
    <w:basedOn w:val="Standard"/>
    <w:next w:val="Index1"/>
    <w:uiPriority w:val="99"/>
    <w:semiHidden/>
    <w:unhideWhenUsed/>
    <w:rsid w:val="0003148D"/>
    <w:rPr>
      <w:rFonts w:asciiTheme="majorHAnsi" w:eastAsiaTheme="majorEastAsia" w:hAnsiTheme="majorHAnsi" w:cstheme="majorBidi"/>
      <w:b/>
      <w:bCs/>
    </w:rPr>
  </w:style>
  <w:style w:type="paragraph" w:styleId="RGV-berschrift">
    <w:name w:val="toa heading"/>
    <w:basedOn w:val="Standard"/>
    <w:next w:val="Standard"/>
    <w:uiPriority w:val="99"/>
    <w:semiHidden/>
    <w:unhideWhenUsed/>
    <w:rsid w:val="0003148D"/>
    <w:pPr>
      <w:spacing w:before="120"/>
    </w:pPr>
    <w:rPr>
      <w:rFonts w:asciiTheme="majorHAnsi" w:eastAsiaTheme="majorEastAsia" w:hAnsiTheme="majorHAnsi" w:cstheme="majorBidi"/>
      <w:b/>
      <w:bCs/>
      <w:sz w:val="24"/>
      <w:szCs w:val="24"/>
    </w:rPr>
  </w:style>
  <w:style w:type="paragraph" w:styleId="Inhaltsverzeichnisberschrift">
    <w:name w:val="TOC Heading"/>
    <w:basedOn w:val="berschrift1"/>
    <w:next w:val="Standard"/>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bsatz-Standardschriftar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Kopfzeile">
    <w:name w:val="header"/>
    <w:basedOn w:val="Standard"/>
    <w:link w:val="KopfzeileZchn"/>
    <w:uiPriority w:val="99"/>
    <w:unhideWhenUsed/>
    <w:rsid w:val="005278B7"/>
    <w:pPr>
      <w:tabs>
        <w:tab w:val="clear" w:pos="7100"/>
        <w:tab w:val="center" w:pos="4819"/>
        <w:tab w:val="right" w:pos="9638"/>
      </w:tabs>
      <w:spacing w:line="240" w:lineRule="auto"/>
    </w:pPr>
  </w:style>
  <w:style w:type="character" w:customStyle="1" w:styleId="KopfzeileZchn">
    <w:name w:val="Kopfzeile Zchn"/>
    <w:basedOn w:val="Absatz-Standardschriftart"/>
    <w:link w:val="Kopfzeile"/>
    <w:uiPriority w:val="99"/>
    <w:rsid w:val="005278B7"/>
    <w:rPr>
      <w:rFonts w:ascii="Arial" w:eastAsia="Times New Roman" w:hAnsi="Arial" w:cs="Times New Roman"/>
      <w:sz w:val="18"/>
      <w:szCs w:val="20"/>
      <w:lang w:val="en-GB"/>
    </w:rPr>
  </w:style>
  <w:style w:type="paragraph" w:styleId="Fuzeile">
    <w:name w:val="footer"/>
    <w:basedOn w:val="Standard"/>
    <w:link w:val="FuzeileZchn"/>
    <w:uiPriority w:val="99"/>
    <w:unhideWhenUsed/>
    <w:rsid w:val="005278B7"/>
    <w:pPr>
      <w:tabs>
        <w:tab w:val="clear" w:pos="7100"/>
        <w:tab w:val="center" w:pos="4819"/>
        <w:tab w:val="right" w:pos="9638"/>
      </w:tabs>
      <w:spacing w:line="240" w:lineRule="auto"/>
    </w:pPr>
  </w:style>
  <w:style w:type="character" w:customStyle="1" w:styleId="FuzeileZchn">
    <w:name w:val="Fußzeile Zchn"/>
    <w:basedOn w:val="Absatz-Standardschriftart"/>
    <w:link w:val="Fuzeile"/>
    <w:uiPriority w:val="99"/>
    <w:rsid w:val="005278B7"/>
    <w:rPr>
      <w:rFonts w:ascii="Arial" w:eastAsia="Times New Roman" w:hAnsi="Arial" w:cs="Times New Roman"/>
      <w:sz w:val="18"/>
      <w:szCs w:val="20"/>
      <w:lang w:val="en-GB"/>
    </w:rPr>
  </w:style>
  <w:style w:type="table" w:styleId="Tabellenraster">
    <w:name w:val="Table Grid"/>
    <w:basedOn w:val="NormaleTabelle"/>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904C62"/>
    <w:rPr>
      <w:color w:val="0000FF" w:themeColor="hyperlink"/>
      <w:u w:val="single"/>
    </w:rPr>
  </w:style>
  <w:style w:type="character" w:customStyle="1" w:styleId="eudoraheader">
    <w:name w:val="eudoraheader"/>
    <w:basedOn w:val="Absatz-Standardschriftar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enabsatz">
    <w:name w:val="List Paragraph"/>
    <w:basedOn w:val="Standard"/>
    <w:uiPriority w:val="34"/>
    <w:rsid w:val="00280FAF"/>
    <w:pPr>
      <w:ind w:left="720"/>
      <w:contextualSpacing/>
    </w:pPr>
  </w:style>
  <w:style w:type="character" w:customStyle="1" w:styleId="gmail-apple-converted-space">
    <w:name w:val="gmail-apple-converted-space"/>
    <w:basedOn w:val="Absatz-Standardschriftart"/>
    <w:rsid w:val="00005A19"/>
  </w:style>
  <w:style w:type="paragraph" w:customStyle="1" w:styleId="Equations">
    <w:name w:val="Equations"/>
    <w:basedOn w:val="Beschriftung"/>
    <w:next w:val="Standard"/>
    <w:link w:val="EquationsZchn"/>
    <w:autoRedefine/>
    <w:qFormat/>
    <w:rsid w:val="005F5025"/>
    <w:pPr>
      <w:tabs>
        <w:tab w:val="clear" w:pos="7100"/>
      </w:tabs>
      <w:spacing w:after="120" w:line="288" w:lineRule="auto"/>
    </w:pPr>
    <w:rPr>
      <w:rFonts w:asciiTheme="minorHAnsi" w:hAnsiTheme="minorHAnsi" w:cstheme="minorHAnsi"/>
      <w:b w:val="0"/>
      <w:color w:val="auto"/>
      <w:sz w:val="22"/>
      <w:szCs w:val="22"/>
      <w:lang w:val="en-US" w:eastAsia="de-DE"/>
    </w:rPr>
  </w:style>
  <w:style w:type="character" w:customStyle="1" w:styleId="EquationsZchn">
    <w:name w:val="Equations Zchn"/>
    <w:basedOn w:val="Absatz-Standardschriftart"/>
    <w:link w:val="Equations"/>
    <w:rsid w:val="005F5025"/>
    <w:rPr>
      <w:rFonts w:eastAsia="Times New Roman" w:cstheme="minorHAnsi"/>
      <w:bCs/>
      <w:lang w:val="en-US" w:eastAsia="de-DE"/>
    </w:rPr>
  </w:style>
  <w:style w:type="paragraph" w:customStyle="1" w:styleId="EndNoteBibliographyTitle">
    <w:name w:val="EndNote Bibliography Title"/>
    <w:basedOn w:val="Standard"/>
    <w:link w:val="EndNoteBibliographyTitleZchn"/>
    <w:rsid w:val="00A62F2D"/>
    <w:pPr>
      <w:jc w:val="center"/>
    </w:pPr>
    <w:rPr>
      <w:rFonts w:cs="Arial"/>
      <w:noProof/>
      <w:sz w:val="20"/>
      <w:lang w:val="en-US"/>
    </w:rPr>
  </w:style>
  <w:style w:type="character" w:customStyle="1" w:styleId="EndNoteBibliographyTitleZchn">
    <w:name w:val="EndNote Bibliography Title Zchn"/>
    <w:basedOn w:val="CETBodytextCarattere"/>
    <w:link w:val="EndNoteBibliographyTitle"/>
    <w:rsid w:val="00A62F2D"/>
    <w:rPr>
      <w:rFonts w:ascii="Arial" w:eastAsia="Times New Roman" w:hAnsi="Arial" w:cs="Arial"/>
      <w:noProof/>
      <w:sz w:val="20"/>
      <w:szCs w:val="20"/>
      <w:lang w:val="en-US"/>
    </w:rPr>
  </w:style>
  <w:style w:type="paragraph" w:customStyle="1" w:styleId="EndNoteBibliography">
    <w:name w:val="EndNote Bibliography"/>
    <w:basedOn w:val="Standard"/>
    <w:link w:val="EndNoteBibliographyZchn"/>
    <w:rsid w:val="00A62F2D"/>
    <w:pPr>
      <w:spacing w:line="240" w:lineRule="auto"/>
      <w:jc w:val="left"/>
    </w:pPr>
    <w:rPr>
      <w:rFonts w:cs="Arial"/>
      <w:noProof/>
      <w:sz w:val="20"/>
      <w:lang w:val="en-US"/>
    </w:rPr>
  </w:style>
  <w:style w:type="character" w:customStyle="1" w:styleId="EndNoteBibliographyZchn">
    <w:name w:val="EndNote Bibliography Zchn"/>
    <w:basedOn w:val="CETBodytextCarattere"/>
    <w:link w:val="EndNoteBibliography"/>
    <w:rsid w:val="00A62F2D"/>
    <w:rPr>
      <w:rFonts w:ascii="Arial" w:eastAsia="Times New Roman" w:hAnsi="Arial" w:cs="Arial"/>
      <w:noProof/>
      <w:sz w:val="20"/>
      <w:szCs w:val="20"/>
      <w:lang w:val="en-US"/>
    </w:rPr>
  </w:style>
  <w:style w:type="paragraph" w:styleId="berarbeitung">
    <w:name w:val="Revision"/>
    <w:hidden/>
    <w:uiPriority w:val="99"/>
    <w:semiHidden/>
    <w:rsid w:val="00F05F44"/>
    <w:pPr>
      <w:spacing w:after="0" w:line="240" w:lineRule="auto"/>
    </w:pPr>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549537720">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924576">
      <w:bodyDiv w:val="1"/>
      <w:marLeft w:val="0"/>
      <w:marRight w:val="0"/>
      <w:marTop w:val="0"/>
      <w:marBottom w:val="0"/>
      <w:divBdr>
        <w:top w:val="none" w:sz="0" w:space="0" w:color="auto"/>
        <w:left w:val="none" w:sz="0" w:space="0" w:color="auto"/>
        <w:bottom w:val="none" w:sz="0" w:space="0" w:color="auto"/>
        <w:right w:val="none" w:sz="0" w:space="0" w:color="auto"/>
      </w:divBdr>
      <w:divsChild>
        <w:div w:id="761683437">
          <w:marLeft w:val="0"/>
          <w:marRight w:val="0"/>
          <w:marTop w:val="0"/>
          <w:marBottom w:val="0"/>
          <w:divBdr>
            <w:top w:val="none" w:sz="0" w:space="0" w:color="auto"/>
            <w:left w:val="none" w:sz="0" w:space="0" w:color="auto"/>
            <w:bottom w:val="none" w:sz="0" w:space="0" w:color="auto"/>
            <w:right w:val="none" w:sz="0" w:space="0" w:color="auto"/>
          </w:divBdr>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C53E5-43A7-4A2C-9F35-E7E7A9CC2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7706</Words>
  <Characters>43928</Characters>
  <Application>Microsoft Office Word</Application>
  <DocSecurity>0</DocSecurity>
  <Lines>366</Lines>
  <Paragraphs>103</Paragraphs>
  <ScaleCrop>false</ScaleCrop>
  <HeadingPairs>
    <vt:vector size="6" baseType="variant">
      <vt:variant>
        <vt:lpstr>Titel</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Dipartimento CMIC - Politecnico di Milano</Company>
  <LinksUpToDate>false</LinksUpToDate>
  <CharactersWithSpaces>51531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raffaella</dc:creator>
  <cp:lastModifiedBy>Hettel, Matthias (ITCP)</cp:lastModifiedBy>
  <cp:revision>5</cp:revision>
  <cp:lastPrinted>2015-05-12T18:31:00Z</cp:lastPrinted>
  <dcterms:created xsi:type="dcterms:W3CDTF">2026-04-29T11:06:00Z</dcterms:created>
  <dcterms:modified xsi:type="dcterms:W3CDTF">2026-08-11T08:43:00Z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