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CD3706">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CD3706">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CD3706">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w:t>
            </w:r>
            <w:bookmarkStart w:id="1" w:name="_GoBack"/>
            <w:bookmarkEnd w:id="1"/>
            <w:r w:rsidRPr="00B57B36">
              <w:rPr>
                <w:rFonts w:ascii="Tahoma" w:hAnsi="Tahoma" w:cs="Tahoma"/>
                <w:iCs/>
                <w:color w:val="333333"/>
                <w:sz w:val="14"/>
                <w:szCs w:val="14"/>
                <w:lang w:eastAsia="it-IT"/>
              </w:rPr>
              <w:t>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2E667253" w14:textId="5513D388" w:rsidR="00E978D0" w:rsidRPr="00CD3706" w:rsidRDefault="00CD3706" w:rsidP="00E978D0">
      <w:pPr>
        <w:pStyle w:val="CETTitle"/>
      </w:pPr>
      <w:r w:rsidRPr="00CD3706">
        <w:rPr>
          <w:lang w:bidi="ru-RU"/>
        </w:rPr>
        <w:t xml:space="preserve">Electrophysical and </w:t>
      </w:r>
      <w:r w:rsidR="00D31A06" w:rsidRPr="00CD3706">
        <w:rPr>
          <w:lang w:bidi="ru-RU"/>
        </w:rPr>
        <w:t>Optical</w:t>
      </w:r>
      <w:r w:rsidRPr="00CD3706">
        <w:rPr>
          <w:lang w:bidi="ru-RU"/>
        </w:rPr>
        <w:t xml:space="preserve"> </w:t>
      </w:r>
      <w:r w:rsidR="00D31A06" w:rsidRPr="00CD3706">
        <w:rPr>
          <w:lang w:bidi="ru-RU"/>
        </w:rPr>
        <w:t xml:space="preserve">Properties </w:t>
      </w:r>
      <w:r w:rsidRPr="00CD3706">
        <w:rPr>
          <w:lang w:bidi="ru-RU"/>
        </w:rPr>
        <w:t xml:space="preserve">of a </w:t>
      </w:r>
      <w:r w:rsidR="00D31A06" w:rsidRPr="00CD3706">
        <w:rPr>
          <w:lang w:bidi="ru-RU"/>
        </w:rPr>
        <w:t xml:space="preserve">Silicon Solar </w:t>
      </w:r>
      <w:r w:rsidR="007A24A4">
        <w:rPr>
          <w:lang w:val="en-US"/>
        </w:rPr>
        <w:t>C</w:t>
      </w:r>
      <w:r w:rsidRPr="00CD3706">
        <w:rPr>
          <w:lang w:bidi="ru-RU"/>
        </w:rPr>
        <w:t xml:space="preserve">ell with </w:t>
      </w:r>
      <w:r w:rsidRPr="00CD3706">
        <w:rPr>
          <w:lang w:val="en-US"/>
        </w:rPr>
        <w:t>Multiple</w:t>
      </w:r>
      <w:r w:rsidRPr="00CD3706">
        <w:rPr>
          <w:lang w:bidi="ru-RU"/>
        </w:rPr>
        <w:t xml:space="preserve"> </w:t>
      </w:r>
      <w:r w:rsidR="00D31A06">
        <w:rPr>
          <w:lang w:bidi="ru-RU"/>
        </w:rPr>
        <w:t>N</w:t>
      </w:r>
      <w:r w:rsidRPr="00CD3706">
        <w:rPr>
          <w:lang w:bidi="ru-RU"/>
        </w:rPr>
        <w:t>anoheterojunctions</w:t>
      </w:r>
      <w:r w:rsidRPr="00CD3706">
        <w:rPr>
          <w:lang w:val="en-US"/>
        </w:rPr>
        <w:t xml:space="preserve"> L</w:t>
      </w:r>
      <w:r w:rsidRPr="00CD3706">
        <w:rPr>
          <w:lang w:bidi="ru-RU"/>
        </w:rPr>
        <w:t xml:space="preserve">ead </w:t>
      </w:r>
      <w:r w:rsidR="00D31A06" w:rsidRPr="00CD3706">
        <w:rPr>
          <w:lang w:bidi="ru-RU"/>
        </w:rPr>
        <w:t>Chalcogenides</w:t>
      </w:r>
    </w:p>
    <w:p w14:paraId="0488FED2" w14:textId="726155A7" w:rsidR="00B57E6F" w:rsidRPr="00B57B36" w:rsidRDefault="00CD3706" w:rsidP="00B57E6F">
      <w:pPr>
        <w:pStyle w:val="CETAuthors"/>
      </w:pPr>
      <w:r w:rsidRPr="00CD3706">
        <w:rPr>
          <w:lang w:val="en-US"/>
        </w:rPr>
        <w:t>Mardon Askarov</w:t>
      </w:r>
      <w:r w:rsidRPr="00CD3706">
        <w:rPr>
          <w:vertAlign w:val="superscript"/>
          <w:lang w:val="en-US"/>
        </w:rPr>
        <w:t>a,</w:t>
      </w:r>
      <w:r w:rsidR="000D42CC">
        <w:rPr>
          <w:vertAlign w:val="superscript"/>
          <w:lang w:val="en-US"/>
        </w:rPr>
        <w:sym w:font="Symbol" w:char="F02A"/>
      </w:r>
      <w:r w:rsidRPr="00CD3706">
        <w:rPr>
          <w:lang w:val="en-US"/>
        </w:rPr>
        <w:t>, Erkin Imamov</w:t>
      </w:r>
      <w:r w:rsidRPr="00CD3706">
        <w:rPr>
          <w:vertAlign w:val="superscript"/>
          <w:lang w:val="en-US"/>
        </w:rPr>
        <w:t>b</w:t>
      </w:r>
      <w:r w:rsidRPr="00CD3706">
        <w:rPr>
          <w:lang w:val="en-US"/>
        </w:rPr>
        <w:t xml:space="preserve">, </w:t>
      </w:r>
      <w:r w:rsidR="000B24F2" w:rsidRPr="00CD3706">
        <w:rPr>
          <w:lang w:val="en-US"/>
        </w:rPr>
        <w:t>Khasan</w:t>
      </w:r>
      <w:r w:rsidR="000B24F2">
        <w:rPr>
          <w:lang w:val="en-US"/>
        </w:rPr>
        <w:t xml:space="preserve"> </w:t>
      </w:r>
      <w:r w:rsidRPr="00CD3706">
        <w:rPr>
          <w:lang w:val="en-US"/>
        </w:rPr>
        <w:t>Karimov</w:t>
      </w:r>
      <w:r w:rsidRPr="00CD3706">
        <w:rPr>
          <w:vertAlign w:val="superscript"/>
          <w:lang w:val="en-US"/>
        </w:rPr>
        <w:t>b</w:t>
      </w:r>
      <w:r w:rsidRPr="00CD3706">
        <w:rPr>
          <w:lang w:val="en-US"/>
        </w:rPr>
        <w:t>, Ernazar Kosbergenov</w:t>
      </w:r>
      <w:r w:rsidRPr="00CD3706">
        <w:rPr>
          <w:vertAlign w:val="superscript"/>
          <w:lang w:val="en-US"/>
        </w:rPr>
        <w:t>c</w:t>
      </w:r>
      <w:r w:rsidRPr="00CD3706">
        <w:rPr>
          <w:lang w:val="en-US"/>
        </w:rPr>
        <w:t>, Timur Ismailov</w:t>
      </w:r>
      <w:r w:rsidRPr="00CD3706">
        <w:rPr>
          <w:vertAlign w:val="superscript"/>
          <w:lang w:val="en-US"/>
        </w:rPr>
        <w:t>c</w:t>
      </w:r>
      <w:r w:rsidRPr="00CD3706">
        <w:rPr>
          <w:lang w:val="en-US"/>
        </w:rPr>
        <w:t>, Khurshid Abdurazzakov</w:t>
      </w:r>
      <w:r w:rsidRPr="00CD3706">
        <w:rPr>
          <w:vertAlign w:val="superscript"/>
          <w:lang w:val="en-US"/>
        </w:rPr>
        <w:t>a</w:t>
      </w:r>
    </w:p>
    <w:p w14:paraId="11138454" w14:textId="77777777" w:rsidR="007C04B8" w:rsidRPr="007C04B8" w:rsidRDefault="007C04B8" w:rsidP="007C04B8">
      <w:pPr>
        <w:pStyle w:val="CETAddress"/>
        <w:rPr>
          <w:bCs/>
          <w:iCs/>
          <w:lang w:val="en-US"/>
        </w:rPr>
      </w:pPr>
      <w:r w:rsidRPr="007C04B8">
        <w:rPr>
          <w:bCs/>
          <w:iCs/>
          <w:vertAlign w:val="superscript"/>
          <w:lang w:val="en-US"/>
        </w:rPr>
        <w:t>a</w:t>
      </w:r>
      <w:bookmarkStart w:id="2" w:name="_Hlk217080305"/>
      <w:r w:rsidRPr="007C04B8">
        <w:rPr>
          <w:bCs/>
          <w:iCs/>
          <w:lang w:val="en-US"/>
        </w:rPr>
        <w:t xml:space="preserve">Department of Physics and Energy, </w:t>
      </w:r>
      <w:bookmarkEnd w:id="2"/>
      <w:r w:rsidRPr="007C04B8">
        <w:rPr>
          <w:bCs/>
          <w:iCs/>
          <w:lang w:val="en-US"/>
        </w:rPr>
        <w:t>T</w:t>
      </w:r>
      <w:r w:rsidRPr="007C04B8">
        <w:rPr>
          <w:bCs/>
          <w:iCs/>
          <w:lang w:val="ru-RU"/>
        </w:rPr>
        <w:t>ashkent Institute of Chemical Technology</w:t>
      </w:r>
      <w:r w:rsidRPr="007C04B8">
        <w:rPr>
          <w:bCs/>
          <w:iCs/>
          <w:lang w:val="en-US"/>
        </w:rPr>
        <w:t>, 100011, Tashkent, Uzbekistan</w:t>
      </w:r>
    </w:p>
    <w:p w14:paraId="34C83AC5" w14:textId="77777777" w:rsidR="007C04B8" w:rsidRPr="007C04B8" w:rsidRDefault="007C04B8" w:rsidP="007C04B8">
      <w:pPr>
        <w:pStyle w:val="CETAddress"/>
        <w:rPr>
          <w:bCs/>
          <w:iCs/>
          <w:lang w:val="en-US"/>
        </w:rPr>
      </w:pPr>
      <w:r w:rsidRPr="007C04B8">
        <w:rPr>
          <w:bCs/>
          <w:iCs/>
          <w:vertAlign w:val="superscript"/>
          <w:lang w:val="en-US"/>
        </w:rPr>
        <w:t>b</w:t>
      </w:r>
      <w:bookmarkStart w:id="3" w:name="_Hlk217080338"/>
      <w:r w:rsidRPr="007C04B8">
        <w:rPr>
          <w:bCs/>
          <w:iCs/>
          <w:lang w:val="en-US"/>
        </w:rPr>
        <w:t xml:space="preserve">Department of Physics, </w:t>
      </w:r>
      <w:bookmarkEnd w:id="3"/>
      <w:r w:rsidRPr="007C04B8">
        <w:rPr>
          <w:bCs/>
          <w:iCs/>
          <w:lang w:val="en-US"/>
        </w:rPr>
        <w:t>Tashkent University of Information Technologies named after Muhammad al-Khwarizmi, 100084, Tashkent, Uzbekistan</w:t>
      </w:r>
    </w:p>
    <w:p w14:paraId="6E4A8835" w14:textId="00837083" w:rsidR="00CD3706" w:rsidRPr="007C04B8" w:rsidRDefault="007C04B8" w:rsidP="007C04B8">
      <w:pPr>
        <w:pStyle w:val="CETAddress"/>
        <w:rPr>
          <w:iCs/>
        </w:rPr>
      </w:pPr>
      <w:r w:rsidRPr="007C04B8">
        <w:rPr>
          <w:bCs/>
          <w:iCs/>
          <w:vertAlign w:val="superscript"/>
          <w:lang w:val="en-US"/>
        </w:rPr>
        <w:t>c</w:t>
      </w:r>
      <w:r w:rsidRPr="007C04B8">
        <w:rPr>
          <w:bCs/>
          <w:iCs/>
          <w:lang w:val="en-US"/>
        </w:rPr>
        <w:t xml:space="preserve">Department of General Physics, </w:t>
      </w:r>
      <w:r w:rsidRPr="007C04B8">
        <w:rPr>
          <w:bCs/>
          <w:iCs/>
          <w:lang w:val="ru-RU"/>
        </w:rPr>
        <w:t>National University of Uzbekistan named after Mirzo Ulugbek</w:t>
      </w:r>
      <w:r w:rsidRPr="007C04B8">
        <w:rPr>
          <w:bCs/>
          <w:iCs/>
          <w:lang w:val="en-US"/>
        </w:rPr>
        <w:t xml:space="preserve">, </w:t>
      </w:r>
      <w:r w:rsidRPr="007C04B8">
        <w:rPr>
          <w:bCs/>
          <w:iCs/>
          <w:lang w:val="ru-RU"/>
        </w:rPr>
        <w:t>100174, Tashkent</w:t>
      </w:r>
      <w:r w:rsidRPr="007C04B8">
        <w:rPr>
          <w:bCs/>
          <w:iCs/>
          <w:lang w:val="en-US"/>
        </w:rPr>
        <w:t>, Uzbekistan</w:t>
      </w:r>
    </w:p>
    <w:p w14:paraId="73F1267A" w14:textId="65F5F1AC" w:rsidR="00B57E6F" w:rsidRDefault="008A2956" w:rsidP="00B57E6F">
      <w:pPr>
        <w:pStyle w:val="CETemail"/>
      </w:pPr>
      <w:r w:rsidRPr="00B609D4">
        <w:t>asqarovm@list.ru</w:t>
      </w:r>
    </w:p>
    <w:p w14:paraId="79D4FA4A" w14:textId="77777777" w:rsidR="00B609D4" w:rsidRPr="00B609D4" w:rsidRDefault="00B609D4" w:rsidP="00B609D4">
      <w:pPr>
        <w:pStyle w:val="CETBodytext"/>
        <w:rPr>
          <w:bCs/>
          <w:lang w:val="ru-RU"/>
        </w:rPr>
      </w:pPr>
      <w:r w:rsidRPr="00B609D4">
        <w:rPr>
          <w:bCs/>
          <w:lang w:val="ru-RU"/>
        </w:rPr>
        <w:t>This study substantiates the competitive efficiency of solar cells incorporating non-traditional contact structures, drawing on a series of experimental and patented works. It is demonstrated that the performance of such solar cells is strongly influenced by the innovative selection of contact materials, specifically nano-sized crystalline lead chalcogenides (PbX, where X = S, Se, Te) and non-crystalline silicon</w:t>
      </w:r>
      <w:r w:rsidRPr="00B609D4">
        <w:rPr>
          <w:bCs/>
        </w:rPr>
        <w:t xml:space="preserve"> (Si)</w:t>
      </w:r>
      <w:r w:rsidRPr="00B609D4">
        <w:rPr>
          <w:bCs/>
          <w:lang w:val="ru-RU"/>
        </w:rPr>
        <w:t>. The unique electrophysical properties of these materials are analyzed, revealing their significant contribution to enhancing energy conversion efficiency.</w:t>
      </w:r>
    </w:p>
    <w:p w14:paraId="7A92EACE" w14:textId="77777777" w:rsidR="00B609D4" w:rsidRPr="00B609D4" w:rsidRDefault="00B609D4" w:rsidP="00B609D4">
      <w:pPr>
        <w:pStyle w:val="CETBodytext"/>
        <w:rPr>
          <w:bCs/>
          <w:lang w:val="ru-RU"/>
        </w:rPr>
      </w:pPr>
      <w:r w:rsidRPr="00B609D4">
        <w:rPr>
          <w:bCs/>
          <w:lang w:val="ru-RU"/>
        </w:rPr>
        <w:t>Using solutions of the Poisson equation, the parameters of the contact field in nanoheterojunctions Si:PbX were calculated. The results indicate that highly efficient solar energy conversion is achieved when amorphous silicon is combined with nanoscale lead chalcogenides within heterojunction structures. It is further shown that non-crystalline silicon can function effectively as a substrate only in conjunction with nanoscale PbX materials.</w:t>
      </w:r>
    </w:p>
    <w:p w14:paraId="71CB79F3" w14:textId="6C0E1304" w:rsidR="000836F9" w:rsidRPr="000836F9" w:rsidRDefault="00B609D4" w:rsidP="00B609D4">
      <w:pPr>
        <w:pStyle w:val="CETBodytext"/>
        <w:rPr>
          <w:lang w:val="en-GB"/>
        </w:rPr>
      </w:pPr>
      <w:r w:rsidRPr="00C7101F">
        <w:rPr>
          <w:bCs/>
          <w:lang w:val="ru-RU"/>
        </w:rPr>
        <w:t>The study demonstrates the feasibility of achieving contact field strengths in the range of 10</w:t>
      </w:r>
      <w:r w:rsidRPr="00C7101F">
        <w:rPr>
          <w:bCs/>
          <w:vertAlign w:val="superscript"/>
          <w:lang w:val="ru-RU"/>
        </w:rPr>
        <w:t>5</w:t>
      </w:r>
      <w:r w:rsidRPr="00C7101F">
        <w:rPr>
          <w:bCs/>
          <w:lang w:val="ru-RU"/>
        </w:rPr>
        <w:t xml:space="preserve"> to 10</w:t>
      </w:r>
      <w:r w:rsidRPr="00C7101F">
        <w:rPr>
          <w:bCs/>
          <w:vertAlign w:val="superscript"/>
          <w:lang w:val="ru-RU"/>
        </w:rPr>
        <w:t>6</w:t>
      </w:r>
      <w:r w:rsidRPr="00C7101F">
        <w:rPr>
          <w:bCs/>
          <w:lang w:val="ru-RU"/>
        </w:rPr>
        <w:t xml:space="preserve"> V/m, corresponding to Fermi level differences between silicon and lead chalcogenides of approximately 0</w:t>
      </w:r>
      <w:r w:rsidR="00093775">
        <w:rPr>
          <w:bCs/>
          <w:lang w:val="en-GB"/>
        </w:rPr>
        <w:t>.</w:t>
      </w:r>
      <w:r w:rsidRPr="00C7101F">
        <w:rPr>
          <w:bCs/>
          <w:lang w:val="ru-RU"/>
        </w:rPr>
        <w:t>1 to 0</w:t>
      </w:r>
      <w:r w:rsidR="00093775">
        <w:rPr>
          <w:bCs/>
          <w:lang w:val="en-GB"/>
        </w:rPr>
        <w:t>.</w:t>
      </w:r>
      <w:r w:rsidRPr="00C7101F">
        <w:rPr>
          <w:bCs/>
          <w:lang w:val="ru-RU"/>
        </w:rPr>
        <w:t>2 eV. These findings highlight the potential of nanoheterojunctions Si:PbX for the development of high-efficiency photovoltaic devices.</w:t>
      </w:r>
    </w:p>
    <w:p w14:paraId="476B2F2E" w14:textId="77777777" w:rsidR="00600535" w:rsidRPr="00B57B36" w:rsidRDefault="00600535" w:rsidP="00600535">
      <w:pPr>
        <w:pStyle w:val="CETHeading1"/>
        <w:rPr>
          <w:lang w:val="en-GB"/>
        </w:rPr>
      </w:pPr>
      <w:r w:rsidRPr="00B57B36">
        <w:rPr>
          <w:lang w:val="en-GB"/>
        </w:rPr>
        <w:t>Introduction</w:t>
      </w:r>
    </w:p>
    <w:p w14:paraId="2F247A9B" w14:textId="2B76D084" w:rsidR="007F4842" w:rsidRPr="007F4842" w:rsidRDefault="007F4842" w:rsidP="007F4842">
      <w:pPr>
        <w:pStyle w:val="CETBodytext"/>
        <w:rPr>
          <w:lang w:val="ru-RU"/>
        </w:rPr>
      </w:pPr>
      <w:r w:rsidRPr="007F4842">
        <w:rPr>
          <w:lang w:val="ru-RU"/>
        </w:rPr>
        <w:t>Global energy consumption and population growth are driving an urgent need for sustainable, renewable energy sources (RES) to replace depleting hydrocarbon reserves (Muminov et al., 2023; Askarov et al., 2024). Among these, solar energy is highly promising but currently limited by the high costs associated with traditional monocrystalline silicon solar cells (SCs) (Askarov et al., 2023). To compete effectively with fossil fuels, mass-produced silicon SCs must achieve low manufacturing costs, utilize affordable materials, and maintain long-term operational stability (Zikrillaev et al., 2023, 2025). However, traditional efficiency optimization methods—relying on high-purity single-crystal substrates—are reaching their practical limits, saturating at an efficiency cap of approximately 25–30% (Raab and Springholz, 2002; Sun et al., 2009</w:t>
      </w:r>
      <w:r w:rsidR="00AB2C55">
        <w:t xml:space="preserve">; </w:t>
      </w:r>
      <w:r w:rsidR="00AB2C55" w:rsidRPr="00AB2C55">
        <w:t>Al Tarabsheh A.</w:t>
      </w:r>
      <w:r w:rsidR="00AB2C55">
        <w:t xml:space="preserve"> et. Al., 2013</w:t>
      </w:r>
      <w:r w:rsidRPr="007F4842">
        <w:rPr>
          <w:lang w:val="ru-RU"/>
        </w:rPr>
        <w:t>). Exceeding these limits requires a fundamental departure from conventional manufacturing paradigms.</w:t>
      </w:r>
    </w:p>
    <w:p w14:paraId="25806327" w14:textId="082A2E20" w:rsidR="007F4842" w:rsidRPr="007F4842" w:rsidRDefault="007F4842" w:rsidP="007F4842">
      <w:pPr>
        <w:pStyle w:val="CETBodytext"/>
        <w:rPr>
          <w:lang w:val="ru-RU"/>
        </w:rPr>
      </w:pPr>
      <w:r w:rsidRPr="007F4842">
        <w:rPr>
          <w:lang w:val="ru-RU"/>
        </w:rPr>
        <w:t>To address this challenge, we propose an unconventional approach that utilizes inexpensive, non-crystalline industrial silicon as an efficient substrate for solar converters (Imamov et al., 2025). While traditionally avoided due to its high defect density and lack of structural purity, industrial silicon drastically reduces the economic barrier to mass-scale light-to-electricity conversion. Electrograms reveal that this highly defective substrate contains a rich spectrum of bulk defect formations (concentrations up to 10</w:t>
      </w:r>
      <w:r w:rsidRPr="007F4842">
        <w:rPr>
          <w:vertAlign w:val="superscript"/>
          <w:lang w:val="ru-RU"/>
        </w:rPr>
        <w:t>25</w:t>
      </w:r>
      <w:r w:rsidRPr="007F4842">
        <w:rPr>
          <w:lang w:val="ru-RU"/>
        </w:rPr>
        <w:t xml:space="preserve"> m</w:t>
      </w:r>
      <w:r w:rsidRPr="007F4842">
        <w:rPr>
          <w:vertAlign w:val="superscript"/>
          <w:lang w:val="ru-RU"/>
        </w:rPr>
        <w:t>-3</w:t>
      </w:r>
      <w:r w:rsidRPr="007F4842">
        <w:rPr>
          <w:lang w:val="ru-RU"/>
        </w:rPr>
        <w:t>, sizes from 10</w:t>
      </w:r>
      <w:r w:rsidRPr="007F4842">
        <w:rPr>
          <w:vertAlign w:val="superscript"/>
          <w:lang w:val="ru-RU"/>
        </w:rPr>
        <w:t>-9</w:t>
      </w:r>
      <w:r w:rsidRPr="007F4842">
        <w:rPr>
          <w:lang w:val="ru-RU"/>
        </w:rPr>
        <w:t xml:space="preserve"> to 10</w:t>
      </w:r>
      <w:r w:rsidRPr="007F4842">
        <w:rPr>
          <w:vertAlign w:val="superscript"/>
          <w:lang w:val="ru-RU"/>
        </w:rPr>
        <w:t>-6</w:t>
      </w:r>
      <w:r w:rsidRPr="007F4842">
        <w:rPr>
          <w:lang w:val="ru-RU"/>
        </w:rPr>
        <w:t xml:space="preserve"> m) that form discrete electronic energy states. Crucially, these electrograms also show a high concentration (10</w:t>
      </w:r>
      <w:r w:rsidRPr="007F4842">
        <w:rPr>
          <w:vertAlign w:val="superscript"/>
          <w:lang w:val="ru-RU"/>
        </w:rPr>
        <w:t>22</w:t>
      </w:r>
      <w:r w:rsidRPr="007F4842">
        <w:rPr>
          <w:lang w:val="ru-RU"/>
        </w:rPr>
        <w:t xml:space="preserve"> to 10</w:t>
      </w:r>
      <w:r w:rsidRPr="007F4842">
        <w:rPr>
          <w:vertAlign w:val="superscript"/>
          <w:lang w:val="ru-RU"/>
        </w:rPr>
        <w:t>24</w:t>
      </w:r>
      <w:r w:rsidRPr="007F4842">
        <w:rPr>
          <w:lang w:val="ru-RU"/>
        </w:rPr>
        <w:t xml:space="preserve"> m</w:t>
      </w:r>
      <w:r w:rsidRPr="007F4842">
        <w:rPr>
          <w:vertAlign w:val="superscript"/>
          <w:lang w:val="ru-RU"/>
        </w:rPr>
        <w:t>-3</w:t>
      </w:r>
      <w:r w:rsidRPr="007F4842">
        <w:rPr>
          <w:lang w:val="ru-RU"/>
        </w:rPr>
        <w:t>) of purer, ordered silicon nanocrystallites (1 to 30 nm) within the near-surface layers, which play a central role in generating the built-in electrostatic contact field required for solar cell operations.</w:t>
      </w:r>
    </w:p>
    <w:p w14:paraId="496896A6" w14:textId="77777777" w:rsidR="007F4842" w:rsidRPr="007F4842" w:rsidRDefault="007F4842" w:rsidP="007F4842">
      <w:pPr>
        <w:pStyle w:val="CETBodytext"/>
        <w:rPr>
          <w:lang w:val="ru-RU"/>
        </w:rPr>
      </w:pPr>
      <w:r w:rsidRPr="007F4842">
        <w:rPr>
          <w:lang w:val="ru-RU"/>
        </w:rPr>
        <w:lastRenderedPageBreak/>
        <w:t>This novel architecture is further enhanced by incorporating lead chalcogenide (PbX) nanoinclusions, which form isolated "islands" on the randomly distributed crystallites near the silicon surface (Stancu et al., 2007). These PbX nanocrystals exhibit distinct structural and electronic properties that drastically improve light conversion physics (Askarov et al., 2025), characterized by:</w:t>
      </w:r>
    </w:p>
    <w:p w14:paraId="4C684315" w14:textId="67B33F9E" w:rsidR="007F4842" w:rsidRPr="007F4842" w:rsidRDefault="007F4842" w:rsidP="0002153D">
      <w:pPr>
        <w:pStyle w:val="CETBodytext"/>
        <w:numPr>
          <w:ilvl w:val="0"/>
          <w:numId w:val="33"/>
        </w:numPr>
        <w:tabs>
          <w:tab w:val="clear" w:pos="720"/>
        </w:tabs>
        <w:ind w:left="284" w:hanging="284"/>
        <w:rPr>
          <w:lang w:val="ru-RU"/>
        </w:rPr>
      </w:pPr>
      <w:r w:rsidRPr="007F4842">
        <w:rPr>
          <w:lang w:val="ru-RU"/>
        </w:rPr>
        <w:t>Quasi-Discrete Energy Levels</w:t>
      </w:r>
      <w:r w:rsidR="00AB2C55">
        <w:t>.</w:t>
      </w:r>
      <w:r w:rsidRPr="007F4842">
        <w:rPr>
          <w:lang w:val="ru-RU"/>
        </w:rPr>
        <w:t xml:space="preserve"> An energy spectrum composed of narrow, atom-like quasi-discrete levels (C</w:t>
      </w:r>
      <w:r w:rsidRPr="007F4842">
        <w:rPr>
          <w:vertAlign w:val="subscript"/>
          <w:lang w:val="ru-RU"/>
        </w:rPr>
        <w:t>i</w:t>
      </w:r>
      <w:r w:rsidRPr="007F4842">
        <w:rPr>
          <w:lang w:val="ru-RU"/>
        </w:rPr>
        <w:t xml:space="preserve"> and V</w:t>
      </w:r>
      <w:r w:rsidRPr="007F4842">
        <w:rPr>
          <w:vertAlign w:val="subscript"/>
          <w:lang w:val="ru-RU"/>
        </w:rPr>
        <w:t>i</w:t>
      </w:r>
      <w:r w:rsidRPr="007F4842">
        <w:rPr>
          <w:lang w:val="ru-RU"/>
        </w:rPr>
        <w:t>) within the conduction and valence bands, as illustrated in Figure 1.</w:t>
      </w:r>
    </w:p>
    <w:tbl>
      <w:tblPr>
        <w:tblStyle w:val="afffb"/>
        <w:tblpPr w:leftFromText="180" w:rightFromText="180" w:vertAnchor="text" w:horzAnchor="margin" w:tblpXSpec="right" w:tblpY="1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tblGrid>
      <w:tr w:rsidR="00944EC8" w:rsidRPr="005348FC" w14:paraId="7DAA9931" w14:textId="77777777" w:rsidTr="00944EC8">
        <w:trPr>
          <w:trHeight w:val="3261"/>
        </w:trPr>
        <w:tc>
          <w:tcPr>
            <w:tcW w:w="2916" w:type="dxa"/>
            <w:vAlign w:val="center"/>
          </w:tcPr>
          <w:p w14:paraId="2E6BEE88" w14:textId="77777777" w:rsidR="00944EC8" w:rsidRPr="005348FC" w:rsidRDefault="00944EC8" w:rsidP="0002153D">
            <w:pPr>
              <w:pStyle w:val="JnepNormal"/>
              <w:ind w:left="33" w:firstLine="33"/>
              <w:jc w:val="center"/>
              <w:rPr>
                <w:szCs w:val="18"/>
                <w:lang w:val="ru-RU"/>
              </w:rPr>
            </w:pPr>
            <w:r w:rsidRPr="005348FC">
              <w:rPr>
                <w:rFonts w:ascii="Times New Roman" w:eastAsia="Calibri" w:hAnsi="Times New Roman"/>
                <w:noProof/>
                <w:sz w:val="24"/>
                <w:szCs w:val="24"/>
              </w:rPr>
              <w:drawing>
                <wp:inline distT="0" distB="0" distL="0" distR="0" wp14:anchorId="0D3B389E" wp14:editId="33F7B893">
                  <wp:extent cx="1714675" cy="1956020"/>
                  <wp:effectExtent l="0" t="0" r="0" b="6350"/>
                  <wp:docPr id="49" name="Рисунок 4" descr="C:\Users\Admin\Downloads\Telegram Desktop\image_2023-06-21_12-3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Telegram Desktop\image_2023-06-21_12-35-00.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9119" cy="1961090"/>
                          </a:xfrm>
                          <a:prstGeom prst="rect">
                            <a:avLst/>
                          </a:prstGeom>
                          <a:noFill/>
                          <a:ln>
                            <a:noFill/>
                          </a:ln>
                        </pic:spPr>
                      </pic:pic>
                    </a:graphicData>
                  </a:graphic>
                </wp:inline>
              </w:drawing>
            </w:r>
          </w:p>
        </w:tc>
      </w:tr>
      <w:tr w:rsidR="00944EC8" w:rsidRPr="005348FC" w14:paraId="386B7383" w14:textId="77777777" w:rsidTr="00944EC8">
        <w:trPr>
          <w:trHeight w:val="299"/>
        </w:trPr>
        <w:tc>
          <w:tcPr>
            <w:tcW w:w="2916" w:type="dxa"/>
            <w:vAlign w:val="center"/>
          </w:tcPr>
          <w:p w14:paraId="14C3D913" w14:textId="77777777" w:rsidR="00944EC8" w:rsidRPr="005348FC" w:rsidRDefault="00944EC8" w:rsidP="0002153D">
            <w:pPr>
              <w:pStyle w:val="JnepNormal"/>
              <w:spacing w:line="276" w:lineRule="auto"/>
              <w:ind w:left="33" w:firstLine="33"/>
              <w:jc w:val="center"/>
              <w:rPr>
                <w:rFonts w:ascii="Times New Roman" w:hAnsi="Times New Roman"/>
                <w:sz w:val="16"/>
                <w:szCs w:val="16"/>
              </w:rPr>
            </w:pPr>
            <w:r w:rsidRPr="005348FC">
              <w:rPr>
                <w:rStyle w:val="CETCaptionCarattere"/>
                <w:lang w:eastAsia="en-US"/>
              </w:rPr>
              <w:t>Figu</w:t>
            </w:r>
            <w:r w:rsidRPr="005348FC">
              <w:rPr>
                <w:rStyle w:val="CETCaptionCarattere"/>
              </w:rPr>
              <w:t xml:space="preserve">re </w:t>
            </w:r>
            <w:r w:rsidRPr="005348FC">
              <w:rPr>
                <w:rStyle w:val="CETCaptionCarattere"/>
                <w:lang w:eastAsia="en-US"/>
              </w:rPr>
              <w:t>1.  Change of energy bands of a semiconductor in nanoscale states.</w:t>
            </w:r>
          </w:p>
        </w:tc>
      </w:tr>
    </w:tbl>
    <w:p w14:paraId="56E2623B" w14:textId="26E66959" w:rsidR="007F4842" w:rsidRPr="007F4842" w:rsidRDefault="007F4842" w:rsidP="0002153D">
      <w:pPr>
        <w:pStyle w:val="CETBodytext"/>
        <w:numPr>
          <w:ilvl w:val="0"/>
          <w:numId w:val="33"/>
        </w:numPr>
        <w:tabs>
          <w:tab w:val="clear" w:pos="720"/>
        </w:tabs>
        <w:ind w:left="284" w:hanging="284"/>
        <w:rPr>
          <w:lang w:val="ru-RU"/>
        </w:rPr>
      </w:pPr>
      <w:r w:rsidRPr="007F4842">
        <w:rPr>
          <w:lang w:val="ru-RU"/>
        </w:rPr>
        <w:t>Size-Dependent Sublevel Spacing</w:t>
      </w:r>
      <w:r w:rsidR="00AB2C55">
        <w:t>.</w:t>
      </w:r>
      <w:r w:rsidRPr="007F4842">
        <w:rPr>
          <w:lang w:val="ru-RU"/>
        </w:rPr>
        <w:t xml:space="preserve"> Equal spacing between adjacent sublevels due to the near-equivalence of charge carrier effective masses (m</w:t>
      </w:r>
      <w:r w:rsidRPr="007F4842">
        <w:rPr>
          <w:vertAlign w:val="subscript"/>
          <w:lang w:val="ru-RU"/>
        </w:rPr>
        <w:t>p</w:t>
      </w:r>
      <w:r w:rsidRPr="007F4842">
        <w:rPr>
          <w:lang w:val="ru-RU"/>
        </w:rPr>
        <w:t xml:space="preserve"> </w:t>
      </w:r>
      <w:r w:rsidR="0053003F" w:rsidRPr="005348FC">
        <w:rPr>
          <w:rFonts w:cs="Arial"/>
          <w:lang w:val="ru-RU"/>
        </w:rPr>
        <w:t>≈</w:t>
      </w:r>
      <w:r w:rsidRPr="007F4842">
        <w:rPr>
          <w:lang w:val="ru-RU"/>
        </w:rPr>
        <w:t xml:space="preserve"> m</w:t>
      </w:r>
      <w:r w:rsidRPr="007F4842">
        <w:rPr>
          <w:vertAlign w:val="subscript"/>
          <w:lang w:val="ru-RU"/>
        </w:rPr>
        <w:t>n</w:t>
      </w:r>
      <w:r w:rsidRPr="007F4842">
        <w:rPr>
          <w:lang w:val="ru-RU"/>
        </w:rPr>
        <w:t>). The spacing is inversely proportional to nanocrystal size (Klimov, 2006).</w:t>
      </w:r>
    </w:p>
    <w:p w14:paraId="45DF56F6" w14:textId="53E50D80" w:rsidR="007F4842" w:rsidRPr="007F4842" w:rsidRDefault="007F4842" w:rsidP="0002153D">
      <w:pPr>
        <w:pStyle w:val="CETBodytext"/>
        <w:numPr>
          <w:ilvl w:val="0"/>
          <w:numId w:val="33"/>
        </w:numPr>
        <w:tabs>
          <w:tab w:val="clear" w:pos="720"/>
        </w:tabs>
        <w:ind w:left="284" w:hanging="284"/>
        <w:rPr>
          <w:lang w:val="ru-RU"/>
        </w:rPr>
      </w:pPr>
      <w:r w:rsidRPr="007F4842">
        <w:rPr>
          <w:lang w:val="ru-RU"/>
        </w:rPr>
        <w:t>Tunable Bandgap Expansion</w:t>
      </w:r>
      <w:r w:rsidR="00AB2C55">
        <w:t>.</w:t>
      </w:r>
      <w:r w:rsidRPr="007F4842">
        <w:rPr>
          <w:lang w:val="ru-RU"/>
        </w:rPr>
        <w:t xml:space="preserve"> An increase in the bandgap energy (E</w:t>
      </w:r>
      <w:r w:rsidRPr="007F4842">
        <w:rPr>
          <w:vertAlign w:val="subscript"/>
          <w:lang w:val="ru-RU"/>
        </w:rPr>
        <w:t>g</w:t>
      </w:r>
      <w:r w:rsidRPr="007F4842">
        <w:rPr>
          <w:lang w:val="ru-RU"/>
        </w:rPr>
        <w:t>) with decreasing size; for example, the bulk E</w:t>
      </w:r>
      <w:r w:rsidRPr="007F4842">
        <w:rPr>
          <w:vertAlign w:val="subscript"/>
          <w:lang w:val="ru-RU"/>
        </w:rPr>
        <w:t>g</w:t>
      </w:r>
      <w:r w:rsidRPr="007F4842">
        <w:rPr>
          <w:lang w:val="ru-RU"/>
        </w:rPr>
        <w:t xml:space="preserve"> of PbS (0.39 eV at 300 K) increases by 1.3 to 2 times at the nanoscale (Klimov, 2006).</w:t>
      </w:r>
    </w:p>
    <w:p w14:paraId="2417F9EE" w14:textId="656260FF" w:rsidR="007F4842" w:rsidRPr="007F4842" w:rsidRDefault="007F4842" w:rsidP="0002153D">
      <w:pPr>
        <w:pStyle w:val="CETBodytext"/>
        <w:numPr>
          <w:ilvl w:val="0"/>
          <w:numId w:val="33"/>
        </w:numPr>
        <w:tabs>
          <w:tab w:val="clear" w:pos="720"/>
        </w:tabs>
        <w:ind w:left="284" w:hanging="284"/>
        <w:rPr>
          <w:lang w:val="ru-RU"/>
        </w:rPr>
      </w:pPr>
      <w:r w:rsidRPr="007F4842">
        <w:rPr>
          <w:lang w:val="ru-RU"/>
        </w:rPr>
        <w:t>High Static Dielectric Constants</w:t>
      </w:r>
      <w:r w:rsidR="00AB2C55">
        <w:t>.</w:t>
      </w:r>
      <w:r w:rsidRPr="007F4842">
        <w:rPr>
          <w:lang w:val="ru-RU"/>
        </w:rPr>
        <w:t xml:space="preserve"> Exceptionally high constants (</w:t>
      </w:r>
      <w:r w:rsidR="0053003F" w:rsidRPr="005348FC">
        <w:rPr>
          <w:rFonts w:cs="Arial"/>
          <w:lang w:val="ru-RU"/>
        </w:rPr>
        <w:t>ε</w:t>
      </w:r>
      <w:r w:rsidRPr="007F4842">
        <w:rPr>
          <w:vertAlign w:val="subscript"/>
          <w:lang w:val="ru-RU"/>
        </w:rPr>
        <w:t>PbS</w:t>
      </w:r>
      <w:r w:rsidRPr="007F4842">
        <w:rPr>
          <w:lang w:val="ru-RU"/>
        </w:rPr>
        <w:t xml:space="preserve"> = 178-184, </w:t>
      </w:r>
      <w:r w:rsidR="0053003F" w:rsidRPr="005348FC">
        <w:rPr>
          <w:rFonts w:cs="Arial"/>
          <w:lang w:val="ru-RU"/>
        </w:rPr>
        <w:t>ε</w:t>
      </w:r>
      <w:r w:rsidRPr="007F4842">
        <w:rPr>
          <w:vertAlign w:val="subscript"/>
          <w:lang w:val="ru-RU"/>
        </w:rPr>
        <w:t>PbSe</w:t>
      </w:r>
      <w:r w:rsidRPr="007F4842">
        <w:rPr>
          <w:lang w:val="ru-RU"/>
        </w:rPr>
        <w:t xml:space="preserve"> = 227, and </w:t>
      </w:r>
      <w:r w:rsidR="0053003F" w:rsidRPr="005348FC">
        <w:rPr>
          <w:rFonts w:cs="Arial"/>
          <w:lang w:val="ru-RU"/>
        </w:rPr>
        <w:t>ε</w:t>
      </w:r>
      <w:r w:rsidRPr="007F4842">
        <w:rPr>
          <w:vertAlign w:val="subscript"/>
          <w:lang w:val="ru-RU"/>
        </w:rPr>
        <w:t>PbTe</w:t>
      </w:r>
      <w:r w:rsidRPr="007F4842">
        <w:rPr>
          <w:lang w:val="ru-RU"/>
        </w:rPr>
        <w:t xml:space="preserve"> = 1300 at 77 K) that yield significant electrical capacitance (Zimin and Gorlachev, 2011).</w:t>
      </w:r>
    </w:p>
    <w:p w14:paraId="46DBDBC7" w14:textId="75F80156" w:rsidR="007F4842" w:rsidRPr="007F4842" w:rsidRDefault="007F4842" w:rsidP="0002153D">
      <w:pPr>
        <w:pStyle w:val="CETBodytext"/>
        <w:numPr>
          <w:ilvl w:val="0"/>
          <w:numId w:val="33"/>
        </w:numPr>
        <w:tabs>
          <w:tab w:val="clear" w:pos="720"/>
        </w:tabs>
        <w:ind w:left="284" w:hanging="284"/>
        <w:rPr>
          <w:lang w:val="ru-RU"/>
        </w:rPr>
      </w:pPr>
      <w:r w:rsidRPr="007F4842">
        <w:rPr>
          <w:lang w:val="ru-RU"/>
        </w:rPr>
        <w:t>Enhanced Quantum Yield</w:t>
      </w:r>
      <w:r w:rsidR="00AB2C55">
        <w:t>.</w:t>
      </w:r>
      <w:r w:rsidRPr="007F4842">
        <w:rPr>
          <w:lang w:val="ru-RU"/>
        </w:rPr>
        <w:t xml:space="preserve"> Potential for high quantum yields (</w:t>
      </w:r>
      <w:r w:rsidR="0053003F">
        <w:rPr>
          <w:rFonts w:cs="Arial"/>
          <w:lang w:val="ru-RU"/>
        </w:rPr>
        <w:t>β</w:t>
      </w:r>
      <w:r w:rsidRPr="007F4842">
        <w:rPr>
          <w:lang w:val="ru-RU"/>
        </w:rPr>
        <w:t xml:space="preserve"> = 4 in PbS; </w:t>
      </w:r>
      <w:r w:rsidR="0053003F">
        <w:rPr>
          <w:rFonts w:cs="Arial"/>
          <w:lang w:val="ru-RU"/>
        </w:rPr>
        <w:t>β</w:t>
      </w:r>
      <w:r w:rsidRPr="007F4842">
        <w:rPr>
          <w:lang w:val="ru-RU"/>
        </w:rPr>
        <w:t xml:space="preserve"> = 7 in PbSe) driven by multiexciton generation (Schaller et al., 2006) and carrier multiplication phenomena (</w:t>
      </w:r>
      <w:r w:rsidR="000B24F2">
        <w:t>A.</w:t>
      </w:r>
      <w:r w:rsidRPr="007F4842">
        <w:rPr>
          <w:lang w:val="ru-RU"/>
        </w:rPr>
        <w:t>Nozik, 2002).</w:t>
      </w:r>
    </w:p>
    <w:p w14:paraId="7B8B4398" w14:textId="77777777" w:rsidR="007F4842" w:rsidRPr="007F4842" w:rsidRDefault="007F4842" w:rsidP="007F4842">
      <w:pPr>
        <w:pStyle w:val="CETBodytext"/>
        <w:rPr>
          <w:lang w:val="ru-RU"/>
        </w:rPr>
      </w:pPr>
      <w:r w:rsidRPr="007F4842">
        <w:rPr>
          <w:lang w:val="ru-RU"/>
        </w:rPr>
        <w:t>By pairing the cost-efficiency of defective industrial silicon with the advanced quantum mechanics of lead chalcogenide nanocrystals, this paper presents a feasible pathway toward highly efficient, scalable solar energy conversion devices.</w:t>
      </w:r>
    </w:p>
    <w:p w14:paraId="5741900F" w14:textId="0D1C2881" w:rsidR="00453E24" w:rsidRDefault="002B38E3" w:rsidP="00453E24">
      <w:pPr>
        <w:pStyle w:val="CETHeading1"/>
      </w:pPr>
      <w:r w:rsidRPr="002B38E3">
        <w:t>Methodology</w:t>
      </w:r>
    </w:p>
    <w:p w14:paraId="71FAA5F2" w14:textId="313067CB" w:rsidR="00CD5EA0" w:rsidRDefault="00CD5EA0" w:rsidP="00BC64AA">
      <w:pPr>
        <w:pStyle w:val="CETheadingx"/>
      </w:pPr>
      <w:r w:rsidRPr="00CD5EA0">
        <w:t xml:space="preserve">Formation of </w:t>
      </w:r>
      <w:r w:rsidR="00312A4D">
        <w:t xml:space="preserve">the </w:t>
      </w:r>
      <w:r w:rsidR="00312A4D" w:rsidRPr="00312A4D">
        <w:t>Si:PbX</w:t>
      </w:r>
      <w:r w:rsidRPr="00CD5EA0">
        <w:t xml:space="preserve"> </w:t>
      </w:r>
      <w:r w:rsidR="00312A4D">
        <w:t>N</w:t>
      </w:r>
      <w:r w:rsidRPr="00CD5EA0">
        <w:t>anoheterojunction</w:t>
      </w:r>
    </w:p>
    <w:p w14:paraId="22F558FC" w14:textId="368ADCC1" w:rsidR="00312A4D" w:rsidRPr="00312A4D" w:rsidRDefault="00312A4D" w:rsidP="00312A4D">
      <w:pPr>
        <w:pStyle w:val="CETBodytext"/>
        <w:rPr>
          <w:lang w:val="ru-RU"/>
        </w:rPr>
      </w:pPr>
      <w:r w:rsidRPr="00312A4D">
        <w:rPr>
          <w:lang w:val="ru-RU"/>
        </w:rPr>
        <w:t>The novel solar cell contact architecture is established at the nanoscale interface of two distinct low-dimensional materials. Specifically, a nanoheterojunction (hereafter denoted as Si:PbX) is formed when a silicon (Si) nanocrystallite near the surface of the non-crystalline technical silicon substrate comes into contact with a lead chalcogenide (PbX, where X = S, Se, or Te) nanocrystal.</w:t>
      </w:r>
    </w:p>
    <w:p w14:paraId="39637ADD" w14:textId="77777777" w:rsidR="00312A4D" w:rsidRPr="00312A4D" w:rsidRDefault="00312A4D" w:rsidP="00312A4D">
      <w:pPr>
        <w:pStyle w:val="CETBodytext"/>
        <w:rPr>
          <w:lang w:val="ru-RU"/>
        </w:rPr>
      </w:pPr>
      <w:r w:rsidRPr="00312A4D">
        <w:rPr>
          <w:lang w:val="ru-RU"/>
        </w:rPr>
        <w:t>This structure is synthesized through a multi-stage laboratory procedure:</w:t>
      </w:r>
    </w:p>
    <w:p w14:paraId="386D366B" w14:textId="2AB7B314" w:rsidR="00312A4D" w:rsidRPr="00312A4D" w:rsidRDefault="00312A4D" w:rsidP="007D2740">
      <w:pPr>
        <w:pStyle w:val="CETBodytext"/>
        <w:numPr>
          <w:ilvl w:val="0"/>
          <w:numId w:val="34"/>
        </w:numPr>
        <w:tabs>
          <w:tab w:val="clear" w:pos="720"/>
        </w:tabs>
        <w:ind w:left="284" w:hanging="284"/>
        <w:rPr>
          <w:lang w:val="ru-RU"/>
        </w:rPr>
      </w:pPr>
      <w:r w:rsidRPr="00312A4D">
        <w:rPr>
          <w:lang w:val="ru-RU"/>
        </w:rPr>
        <w:t>Deposition</w:t>
      </w:r>
      <w:r w:rsidR="00E94651">
        <w:t>.</w:t>
      </w:r>
      <w:r w:rsidRPr="00312A4D">
        <w:rPr>
          <w:lang w:val="ru-RU"/>
        </w:rPr>
        <w:t xml:space="preserve"> Molecular beam epitaxy (MBE) is used to deposit a thin solution layer containing the targeted lead chalcogenide (PbS, PbSe, or PbTe) nanocrystals onto the surface of the defective, non-crystalline technical silicon substrate.</w:t>
      </w:r>
    </w:p>
    <w:p w14:paraId="50CD814F" w14:textId="7DAAFD29" w:rsidR="00312A4D" w:rsidRPr="00312A4D" w:rsidRDefault="00312A4D" w:rsidP="007D2740">
      <w:pPr>
        <w:pStyle w:val="CETBodytext"/>
        <w:numPr>
          <w:ilvl w:val="0"/>
          <w:numId w:val="34"/>
        </w:numPr>
        <w:tabs>
          <w:tab w:val="clear" w:pos="720"/>
        </w:tabs>
        <w:ind w:left="284" w:hanging="284"/>
        <w:rPr>
          <w:lang w:val="ru-RU"/>
        </w:rPr>
      </w:pPr>
      <w:r w:rsidRPr="00312A4D">
        <w:rPr>
          <w:lang w:val="ru-RU"/>
        </w:rPr>
        <w:t>Thermal Activation &amp; Self-Organization</w:t>
      </w:r>
      <w:r w:rsidR="00E94651">
        <w:t>.</w:t>
      </w:r>
      <w:r w:rsidRPr="00312A4D">
        <w:rPr>
          <w:lang w:val="ru-RU"/>
        </w:rPr>
        <w:t xml:space="preserve"> The sample undergoes heat treatment at temperatures ranging from 600°C to 800°C. During this process, driven by thermodynamic self-organization, the chalcogenide nanocrystals migrate through the solution matrix to align with structurally compatible silicon nanocrystallites (Raab and Springholz, 2002).</w:t>
      </w:r>
    </w:p>
    <w:p w14:paraId="76E696C0" w14:textId="754FF272" w:rsidR="00312A4D" w:rsidRPr="00312A4D" w:rsidRDefault="00312A4D" w:rsidP="007D2740">
      <w:pPr>
        <w:pStyle w:val="CETBodytext"/>
        <w:numPr>
          <w:ilvl w:val="0"/>
          <w:numId w:val="34"/>
        </w:numPr>
        <w:tabs>
          <w:tab w:val="clear" w:pos="720"/>
        </w:tabs>
        <w:ind w:left="284" w:hanging="284"/>
        <w:rPr>
          <w:lang w:val="ru-RU"/>
        </w:rPr>
      </w:pPr>
      <w:r w:rsidRPr="00312A4D">
        <w:rPr>
          <w:lang w:val="ru-RU"/>
        </w:rPr>
        <w:t>Structural Alignment</w:t>
      </w:r>
      <w:r w:rsidR="00E94651">
        <w:t>.</w:t>
      </w:r>
      <w:r w:rsidRPr="00312A4D">
        <w:rPr>
          <w:lang w:val="ru-RU"/>
        </w:rPr>
        <w:t xml:space="preserve"> This self-assembling phase boundary formation is energetically favored and accelerated because both the Si nanocrystallites and the PbX nanocrystals share a closely matched face-centered cubic lattice geometry—a critical prerequisite for rapid quantum-scale self-organization between disparate materials (Springholz et al., 2007).</w:t>
      </w:r>
    </w:p>
    <w:p w14:paraId="073248E7" w14:textId="6828DF8A" w:rsidR="00312A4D" w:rsidRPr="00312A4D" w:rsidRDefault="00312A4D" w:rsidP="00312A4D">
      <w:pPr>
        <w:pStyle w:val="CETBodytext"/>
        <w:rPr>
          <w:lang w:val="ru-RU"/>
        </w:rPr>
      </w:pPr>
      <w:r w:rsidRPr="00312A4D">
        <w:rPr>
          <w:lang w:val="ru-RU"/>
        </w:rPr>
        <w:t>Following thermal processing, the resulting Si:PbX nanoheterojunctions exhibit superior photovoltaic conversion capabilities. Although an individual nanoheterojunction generates exceptionally low individual currents 10</w:t>
      </w:r>
      <w:r w:rsidRPr="00312A4D">
        <w:rPr>
          <w:vertAlign w:val="superscript"/>
          <w:lang w:val="ru-RU"/>
        </w:rPr>
        <w:t>-9</w:t>
      </w:r>
      <w:r w:rsidRPr="00312A4D">
        <w:rPr>
          <w:lang w:val="ru-RU"/>
        </w:rPr>
        <w:t xml:space="preserve"> to 10</w:t>
      </w:r>
      <w:r w:rsidRPr="00312A4D">
        <w:rPr>
          <w:vertAlign w:val="superscript"/>
          <w:lang w:val="ru-RU"/>
        </w:rPr>
        <w:t>-12</w:t>
      </w:r>
      <w:r w:rsidRPr="00312A4D">
        <w:rPr>
          <w:lang w:val="ru-RU"/>
        </w:rPr>
        <w:t xml:space="preserve"> A) and low output voltages (0.1 to 1 V), the macroscopic power output is determined by summing the parallel contributions of an immense network of these junctions across the technical silicon substrate (Askarov et al., 2024). Given an interfacial junction density ranging from 10</w:t>
      </w:r>
      <w:r w:rsidRPr="00312A4D">
        <w:rPr>
          <w:vertAlign w:val="superscript"/>
          <w:lang w:val="ru-RU"/>
        </w:rPr>
        <w:t>12</w:t>
      </w:r>
      <w:r w:rsidRPr="00312A4D">
        <w:rPr>
          <w:lang w:val="ru-RU"/>
        </w:rPr>
        <w:t xml:space="preserve"> to 10</w:t>
      </w:r>
      <w:r w:rsidRPr="00312A4D">
        <w:rPr>
          <w:vertAlign w:val="superscript"/>
          <w:lang w:val="ru-RU"/>
        </w:rPr>
        <w:t>16</w:t>
      </w:r>
      <w:r w:rsidRPr="00312A4D">
        <w:rPr>
          <w:lang w:val="ru-RU"/>
        </w:rPr>
        <w:t xml:space="preserve"> cm</w:t>
      </w:r>
      <w:r w:rsidRPr="00312A4D">
        <w:rPr>
          <w:vertAlign w:val="superscript"/>
          <w:lang w:val="ru-RU"/>
        </w:rPr>
        <w:t>-2</w:t>
      </w:r>
      <w:r w:rsidRPr="00312A4D">
        <w:rPr>
          <w:lang w:val="ru-RU"/>
        </w:rPr>
        <w:t>, a projected solar panel area of one square meter can reliably yield a power output of several hundred watts</w:t>
      </w:r>
      <w:r w:rsidR="00AB2C55">
        <w:t xml:space="preserve"> (</w:t>
      </w:r>
      <w:r w:rsidR="00AB2C55" w:rsidRPr="00AB2C55">
        <w:t>Zhang B.</w:t>
      </w:r>
      <w:r w:rsidR="00AB2C55">
        <w:t xml:space="preserve"> et. Al., 2016)</w:t>
      </w:r>
      <w:r w:rsidRPr="00312A4D">
        <w:rPr>
          <w:lang w:val="ru-RU"/>
        </w:rPr>
        <w:t>. This significantly outperforms standard industrial, single-crystal roof panels of identical dimensions, which typically generate between 125 and 250 watts.</w:t>
      </w:r>
    </w:p>
    <w:p w14:paraId="2F2370DA" w14:textId="77777777" w:rsidR="00312A4D" w:rsidRPr="00312A4D" w:rsidRDefault="00312A4D" w:rsidP="00312A4D">
      <w:pPr>
        <w:pStyle w:val="CETBodytext"/>
        <w:rPr>
          <w:lang w:val="ru-RU"/>
        </w:rPr>
      </w:pPr>
      <w:r w:rsidRPr="00312A4D">
        <w:rPr>
          <w:lang w:val="ru-RU"/>
        </w:rPr>
        <w:t>During the establishment of thermodynamic equilibrium with the underlying substrate, the two space-charge contact regions of the nanoheterojunction form a complex, heterogeneous junction profile. This configuration introduces two unique characteristics:</w:t>
      </w:r>
    </w:p>
    <w:p w14:paraId="7DAD381A" w14:textId="77777777" w:rsidR="00312A4D" w:rsidRPr="00312A4D" w:rsidRDefault="00312A4D" w:rsidP="007D2740">
      <w:pPr>
        <w:pStyle w:val="CETBodytext"/>
        <w:numPr>
          <w:ilvl w:val="0"/>
          <w:numId w:val="35"/>
        </w:numPr>
        <w:tabs>
          <w:tab w:val="clear" w:pos="720"/>
        </w:tabs>
        <w:ind w:left="284" w:hanging="284"/>
        <w:rPr>
          <w:lang w:val="ru-RU"/>
        </w:rPr>
      </w:pPr>
      <w:r w:rsidRPr="00312A4D">
        <w:rPr>
          <w:lang w:val="ru-RU"/>
        </w:rPr>
        <w:t>The lead chalcogenide nanocrystals exhibit exceptionally high electrical capacitance despite possessing an ultra-thin atomic profile of only 2–3 monolayers.</w:t>
      </w:r>
    </w:p>
    <w:p w14:paraId="14737462" w14:textId="266A42BD" w:rsidR="00312A4D" w:rsidRPr="00816DA4" w:rsidRDefault="00312A4D" w:rsidP="007D2740">
      <w:pPr>
        <w:pStyle w:val="CETBodytext"/>
        <w:numPr>
          <w:ilvl w:val="0"/>
          <w:numId w:val="35"/>
        </w:numPr>
        <w:tabs>
          <w:tab w:val="clear" w:pos="720"/>
        </w:tabs>
        <w:ind w:left="284" w:hanging="284"/>
        <w:rPr>
          <w:lang w:val="ru-RU"/>
        </w:rPr>
      </w:pPr>
      <w:r w:rsidRPr="00312A4D">
        <w:rPr>
          <w:lang w:val="ru-RU"/>
        </w:rPr>
        <w:lastRenderedPageBreak/>
        <w:t>These nanoscale lead chalcogenide crystallites are interconnected via highly conductive, nanoscale current-collecting networks—such as carbon nanotubes or graphene mesh coatings—which dictate the unique transport properties of the device.</w:t>
      </w:r>
    </w:p>
    <w:p w14:paraId="18BAFA6F" w14:textId="189141C0" w:rsidR="00453E24" w:rsidRPr="00B57B36" w:rsidRDefault="00816DA4" w:rsidP="00BC64AA">
      <w:pPr>
        <w:pStyle w:val="CETheadingx"/>
      </w:pPr>
      <w:r w:rsidRPr="00816DA4">
        <w:t>Electrophysical Properties of Multi-Nanoheterojunction Solar Cells</w:t>
      </w:r>
    </w:p>
    <w:p w14:paraId="44F2B9CA" w14:textId="759DF554" w:rsidR="00816DA4" w:rsidRPr="00816DA4" w:rsidRDefault="00816DA4" w:rsidP="00816DA4">
      <w:pPr>
        <w:pStyle w:val="CETBodytext"/>
      </w:pPr>
      <w:r w:rsidRPr="00816DA4">
        <w:rPr>
          <w:lang w:val="ru-RU"/>
        </w:rPr>
        <w:t>Integrating a dense, multi-nanoheterojunction network fundamentally alters the electrophysical behavior of the solar cell, leveraging the unique physical properties that emerge when moving from macroscopic materials to low-dimensional nanoscale states. By combining macroscopic and nanostructured components, a highly efficient separating contact is successfully realized on an otherwise highly defective silicon base. Rather than utilizing a single, continuous bulk silicon p-n junction typical of conventional photovoltaics, the proposed solar cell distributes its photoconversion functions across millions of spatially discrete, parallel-connected "nanoscale p-n heterojunctions"</w:t>
      </w:r>
      <w:r>
        <w:t>.</w:t>
      </w:r>
    </w:p>
    <w:p w14:paraId="2ECE58CC" w14:textId="01E05CB2" w:rsidR="00816DA4" w:rsidRPr="00816DA4" w:rsidRDefault="00816DA4" w:rsidP="00816DA4">
      <w:pPr>
        <w:pStyle w:val="CETBodytext"/>
      </w:pPr>
      <w:r w:rsidRPr="00816DA4">
        <w:rPr>
          <w:lang w:val="ru-RU"/>
        </w:rPr>
        <w:t>To accommodate the necessary charge capacity within the highly constrained spatial volume of a lead chalcogenide nanocrystal (defined by its minimal surface area and a thickness of a few angstroms), a high electrical capacitance is required during thermodynamic equilibration. The accumulation of a high concentration of free electrons transforms the individual nanocrystal into a region of spatially localized negative charge, effectively operating as a nanoscale "p-region"</w:t>
      </w:r>
      <w:r w:rsidRPr="005348FC">
        <w:t>.</w:t>
      </w:r>
    </w:p>
    <w:p w14:paraId="3D314F7E" w14:textId="469053A0" w:rsidR="00816DA4" w:rsidRDefault="00816DA4" w:rsidP="00816DA4">
      <w:pPr>
        <w:pStyle w:val="CETBodytext"/>
        <w:rPr>
          <w:lang w:val="ru-RU"/>
        </w:rPr>
      </w:pPr>
      <w:r w:rsidRPr="00816DA4">
        <w:rPr>
          <w:lang w:val="ru-RU"/>
        </w:rPr>
        <w:t>Conversely, the adjacent space within the substrate</w:t>
      </w:r>
      <w:r w:rsidR="0002153D">
        <w:t xml:space="preserve"> </w:t>
      </w:r>
      <w:r w:rsidRPr="00816DA4">
        <w:rPr>
          <w:lang w:val="ru-RU"/>
        </w:rPr>
        <w:t>—</w:t>
      </w:r>
      <w:r w:rsidR="0002153D">
        <w:t xml:space="preserve"> </w:t>
      </w:r>
      <w:r w:rsidRPr="00816DA4">
        <w:rPr>
          <w:lang w:val="ru-RU"/>
        </w:rPr>
        <w:t>occupied by the native silicon nanocrystallite</w:t>
      </w:r>
      <w:r w:rsidR="0002153D">
        <w:t xml:space="preserve"> </w:t>
      </w:r>
      <w:r w:rsidRPr="00816DA4">
        <w:rPr>
          <w:lang w:val="ru-RU"/>
        </w:rPr>
        <w:t>—</w:t>
      </w:r>
      <w:r w:rsidR="0002153D">
        <w:t xml:space="preserve"> </w:t>
      </w:r>
      <w:r w:rsidRPr="00816DA4">
        <w:rPr>
          <w:lang w:val="ru-RU"/>
        </w:rPr>
        <w:t>serves as the "n-region"</w:t>
      </w:r>
      <w:r w:rsidRPr="005348FC">
        <w:t>.</w:t>
      </w:r>
      <w:r w:rsidRPr="00816DA4">
        <w:rPr>
          <w:lang w:val="ru-RU"/>
        </w:rPr>
        <w:t xml:space="preserve"> This localized n-region of the heterojunction is characterized by immobile, positively charged donor ions left behind as free electrons migrate to the adjacent chalcogenide p-region. While the p-region remains atomically thin, the spatial depth of the n-region extends through the full structural thickness of the silicon nanocrystallite, measuring between 4 and 35 nm.</w:t>
      </w:r>
    </w:p>
    <w:p w14:paraId="0FDE36DD" w14:textId="005015F1" w:rsidR="00D228B2" w:rsidRPr="00B57B36" w:rsidRDefault="00D228B2" w:rsidP="00D228B2">
      <w:pPr>
        <w:pStyle w:val="CETheadingx"/>
      </w:pPr>
      <w:r w:rsidRPr="00D228B2">
        <w:t>Mathematical Modeling of the Nanoheterojunction Contact Field</w:t>
      </w:r>
    </w:p>
    <w:p w14:paraId="0C99430E" w14:textId="50D05284" w:rsidR="00D228B2" w:rsidRPr="00D228B2" w:rsidRDefault="00D228B2" w:rsidP="00D228B2">
      <w:pPr>
        <w:pStyle w:val="CETBodytext"/>
        <w:rPr>
          <w:lang w:val="ru-RU"/>
        </w:rPr>
      </w:pPr>
      <w:r w:rsidRPr="00D228B2">
        <w:rPr>
          <w:lang w:val="ru-RU"/>
        </w:rPr>
        <w:t>To calculate the dynamic formation of the contact field and determine the electrical parameters of the Si:PbX nanoheterojunction, we solve the standard one-dimensional (along the x-direction) Poisson equation (Askarov et al., 2025):</w:t>
      </w:r>
    </w:p>
    <w:tbl>
      <w:tblPr>
        <w:tblW w:w="5000" w:type="pct"/>
        <w:tblLook w:val="04A0" w:firstRow="1" w:lastRow="0" w:firstColumn="1" w:lastColumn="0" w:noHBand="0" w:noVBand="1"/>
      </w:tblPr>
      <w:tblGrid>
        <w:gridCol w:w="7983"/>
        <w:gridCol w:w="804"/>
      </w:tblGrid>
      <w:tr w:rsidR="00D228B2" w:rsidRPr="00B57B36" w14:paraId="5227274F" w14:textId="77777777" w:rsidTr="00A84A8B">
        <w:tc>
          <w:tcPr>
            <w:tcW w:w="7983" w:type="dxa"/>
            <w:vAlign w:val="center"/>
          </w:tcPr>
          <w:p w14:paraId="693CFF72" w14:textId="577B5C2F" w:rsidR="00D228B2" w:rsidRPr="00B57B36" w:rsidRDefault="00D228B2" w:rsidP="00A84A8B">
            <w:pPr>
              <w:pStyle w:val="CETEquation"/>
            </w:pPr>
            <w:r w:rsidRPr="00082E3D">
              <w:rPr>
                <w:position w:val="-30"/>
              </w:rPr>
              <w:object w:dxaOrig="1160" w:dyaOrig="720" w14:anchorId="192534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5pt;height:27.5pt" o:ole="">
                  <v:imagedata r:id="rId11" o:title=""/>
                </v:shape>
                <o:OLEObject Type="Embed" ProgID="Equation.DSMT4" ShapeID="_x0000_i1025" DrawAspect="Content" ObjectID="_1840785525" r:id="rId12"/>
              </w:object>
            </w:r>
            <w:r>
              <w:t>.</w:t>
            </w:r>
          </w:p>
        </w:tc>
        <w:tc>
          <w:tcPr>
            <w:tcW w:w="804" w:type="dxa"/>
            <w:vAlign w:val="center"/>
          </w:tcPr>
          <w:p w14:paraId="64209CAB" w14:textId="77777777" w:rsidR="00D228B2" w:rsidRPr="00B57B36" w:rsidRDefault="00D228B2" w:rsidP="00A84A8B">
            <w:pPr>
              <w:pStyle w:val="CETEquation"/>
              <w:jc w:val="right"/>
            </w:pPr>
            <w:r w:rsidRPr="00B57B36">
              <w:t>(1)</w:t>
            </w:r>
          </w:p>
        </w:tc>
      </w:tr>
    </w:tbl>
    <w:p w14:paraId="6F4C4E59" w14:textId="13428F42" w:rsidR="00D228B2" w:rsidRPr="00D228B2" w:rsidRDefault="00D228B2" w:rsidP="00D228B2">
      <w:pPr>
        <w:pStyle w:val="CETBodytext"/>
        <w:rPr>
          <w:lang w:val="ru-RU"/>
        </w:rPr>
      </w:pPr>
      <w:r w:rsidRPr="00D228B2">
        <w:rPr>
          <w:lang w:val="ru-RU"/>
        </w:rPr>
        <w:t xml:space="preserve">This expression determines the magnitude of the electric field strength vector E(x) and its corresponding electrostatic potential </w:t>
      </w:r>
      <w:r>
        <w:rPr>
          <w:rFonts w:cs="Arial"/>
          <w:lang w:val="ru-RU"/>
        </w:rPr>
        <w:t>φ</w:t>
      </w:r>
      <w:r w:rsidRPr="00D228B2">
        <w:rPr>
          <w:lang w:val="ru-RU"/>
        </w:rPr>
        <w:t xml:space="preserve">(x). Taking into account the boundary and continuity conditions, the solutions for E(x) and </w:t>
      </w:r>
      <w:r>
        <w:rPr>
          <w:rFonts w:cs="Arial"/>
          <w:lang w:val="ru-RU"/>
        </w:rPr>
        <w:t>φ</w:t>
      </w:r>
      <w:r w:rsidRPr="00D228B2">
        <w:rPr>
          <w:lang w:val="ru-RU"/>
        </w:rPr>
        <w:t xml:space="preserve">(x) within the space-charge interval 0 &lt; x &lt; R (where </w:t>
      </w:r>
      <w:r>
        <w:rPr>
          <w:rFonts w:cs="Arial"/>
          <w:lang w:val="ru-RU"/>
        </w:rPr>
        <w:t>ρ</w:t>
      </w:r>
      <w:r w:rsidRPr="00D228B2">
        <w:rPr>
          <w:lang w:val="ru-RU"/>
        </w:rPr>
        <w:t xml:space="preserve"> is the volume charge density) yield:</w:t>
      </w:r>
    </w:p>
    <w:tbl>
      <w:tblPr>
        <w:tblW w:w="5000" w:type="pct"/>
        <w:tblLook w:val="04A0" w:firstRow="1" w:lastRow="0" w:firstColumn="1" w:lastColumn="0" w:noHBand="0" w:noVBand="1"/>
      </w:tblPr>
      <w:tblGrid>
        <w:gridCol w:w="7986"/>
        <w:gridCol w:w="801"/>
      </w:tblGrid>
      <w:tr w:rsidR="00D228B2" w:rsidRPr="00B57B36" w14:paraId="289470AA" w14:textId="77777777" w:rsidTr="00D228B2">
        <w:tc>
          <w:tcPr>
            <w:tcW w:w="7986" w:type="dxa"/>
            <w:vAlign w:val="center"/>
          </w:tcPr>
          <w:p w14:paraId="6B6F0D65" w14:textId="77777777" w:rsidR="00D228B2" w:rsidRPr="00B57B36" w:rsidRDefault="00D228B2" w:rsidP="00FA5CE0">
            <w:pPr>
              <w:pStyle w:val="CETEquation"/>
            </w:pPr>
            <w:r w:rsidRPr="003070F1">
              <w:rPr>
                <w:position w:val="-30"/>
                <w:lang w:val="ru-RU"/>
              </w:rPr>
              <w:object w:dxaOrig="2240" w:dyaOrig="700" w14:anchorId="648CE506">
                <v:shape id="_x0000_i1026" type="#_x0000_t75" style="width:91.5pt;height:29pt" o:ole="">
                  <v:imagedata r:id="rId13" o:title=""/>
                </v:shape>
                <o:OLEObject Type="Embed" ProgID="Equation.DSMT4" ShapeID="_x0000_i1026" DrawAspect="Content" ObjectID="_1840785526" r:id="rId14"/>
              </w:object>
            </w:r>
            <w:r>
              <w:t>,</w:t>
            </w:r>
          </w:p>
        </w:tc>
        <w:tc>
          <w:tcPr>
            <w:tcW w:w="801" w:type="dxa"/>
            <w:vAlign w:val="center"/>
          </w:tcPr>
          <w:p w14:paraId="1E61CA23" w14:textId="77777777" w:rsidR="00D228B2" w:rsidRPr="00B57B36" w:rsidRDefault="00D228B2" w:rsidP="00FA5CE0">
            <w:pPr>
              <w:pStyle w:val="CETEquation"/>
              <w:jc w:val="right"/>
            </w:pPr>
            <w:r w:rsidRPr="00B57B36">
              <w:t>(</w:t>
            </w:r>
            <w:r>
              <w:t>2a</w:t>
            </w:r>
            <w:r w:rsidRPr="00B57B36">
              <w:t>)</w:t>
            </w:r>
          </w:p>
        </w:tc>
      </w:tr>
      <w:tr w:rsidR="00D228B2" w:rsidRPr="00B57B36" w14:paraId="1883359C" w14:textId="77777777" w:rsidTr="00D228B2">
        <w:tc>
          <w:tcPr>
            <w:tcW w:w="7986" w:type="dxa"/>
            <w:vAlign w:val="center"/>
          </w:tcPr>
          <w:p w14:paraId="61B2FC54" w14:textId="77777777" w:rsidR="00D228B2" w:rsidRPr="00C42E0E" w:rsidRDefault="00D228B2" w:rsidP="00FA5CE0">
            <w:pPr>
              <w:pStyle w:val="CETEquation"/>
              <w:rPr>
                <w:lang w:val="en-US"/>
              </w:rPr>
            </w:pPr>
            <w:r w:rsidRPr="003070F1">
              <w:rPr>
                <w:position w:val="-30"/>
                <w:lang w:val="ru-RU"/>
              </w:rPr>
              <w:object w:dxaOrig="2600" w:dyaOrig="740" w14:anchorId="0C3AF777">
                <v:shape id="_x0000_i1027" type="#_x0000_t75" style="width:105pt;height:30pt" o:ole="">
                  <v:imagedata r:id="rId15" o:title=""/>
                </v:shape>
                <o:OLEObject Type="Embed" ProgID="Equation.DSMT4" ShapeID="_x0000_i1027" DrawAspect="Content" ObjectID="_1840785527" r:id="rId16"/>
              </w:object>
            </w:r>
            <w:r>
              <w:rPr>
                <w:lang w:val="en-US"/>
              </w:rPr>
              <w:t>.</w:t>
            </w:r>
          </w:p>
        </w:tc>
        <w:tc>
          <w:tcPr>
            <w:tcW w:w="801" w:type="dxa"/>
            <w:vAlign w:val="center"/>
          </w:tcPr>
          <w:p w14:paraId="2A8702CD" w14:textId="77777777" w:rsidR="00D228B2" w:rsidRPr="00B57B36" w:rsidRDefault="00D228B2" w:rsidP="00FA5CE0">
            <w:pPr>
              <w:pStyle w:val="CETEquation"/>
              <w:jc w:val="right"/>
            </w:pPr>
            <w:r w:rsidRPr="00B57B36">
              <w:t>(</w:t>
            </w:r>
            <w:r>
              <w:t>2b</w:t>
            </w:r>
            <w:r w:rsidRPr="00B57B36">
              <w:t>)</w:t>
            </w:r>
          </w:p>
        </w:tc>
      </w:tr>
    </w:tbl>
    <w:p w14:paraId="6C1006C9" w14:textId="6748A18C" w:rsidR="00D228B2" w:rsidRPr="00D228B2" w:rsidRDefault="00D228B2" w:rsidP="00D228B2">
      <w:pPr>
        <w:pStyle w:val="CETBodytext"/>
        <w:rPr>
          <w:lang w:val="ru-RU"/>
        </w:rPr>
      </w:pPr>
      <w:r w:rsidRPr="00D228B2">
        <w:rPr>
          <w:lang w:val="ru-RU"/>
        </w:rPr>
        <w:t>At the completion of the phase boundary equilibration (x = 0), the amplitude values for the field strength modulus (E</w:t>
      </w:r>
      <w:r w:rsidRPr="00D228B2">
        <w:rPr>
          <w:vertAlign w:val="subscript"/>
          <w:lang w:val="ru-RU"/>
        </w:rPr>
        <w:t>0</w:t>
      </w:r>
      <w:r w:rsidRPr="00D228B2">
        <w:rPr>
          <w:lang w:val="ru-RU"/>
        </w:rPr>
        <w:t>) and the total potential difference (</w:t>
      </w:r>
      <w:r>
        <w:rPr>
          <w:rFonts w:cs="Arial"/>
          <w:lang w:val="ru-RU"/>
        </w:rPr>
        <w:t>φ</w:t>
      </w:r>
      <w:r w:rsidRPr="00D228B2">
        <w:rPr>
          <w:vertAlign w:val="subscript"/>
          <w:lang w:val="ru-RU"/>
        </w:rPr>
        <w:t>0</w:t>
      </w:r>
      <w:r w:rsidRPr="00D228B2">
        <w:rPr>
          <w:lang w:val="ru-RU"/>
        </w:rPr>
        <w:t>) are defined by:</w:t>
      </w:r>
    </w:p>
    <w:tbl>
      <w:tblPr>
        <w:tblW w:w="5000" w:type="pct"/>
        <w:tblLook w:val="04A0" w:firstRow="1" w:lastRow="0" w:firstColumn="1" w:lastColumn="0" w:noHBand="0" w:noVBand="1"/>
      </w:tblPr>
      <w:tblGrid>
        <w:gridCol w:w="7986"/>
        <w:gridCol w:w="801"/>
      </w:tblGrid>
      <w:tr w:rsidR="00D228B2" w:rsidRPr="00B57B36" w14:paraId="15886B74" w14:textId="77777777" w:rsidTr="00D228B2">
        <w:tc>
          <w:tcPr>
            <w:tcW w:w="7986" w:type="dxa"/>
            <w:vAlign w:val="center"/>
          </w:tcPr>
          <w:p w14:paraId="632053A1" w14:textId="77777777" w:rsidR="00D228B2" w:rsidRPr="00B57B36" w:rsidRDefault="00D228B2" w:rsidP="00CE24AD">
            <w:pPr>
              <w:pStyle w:val="CETEquation"/>
            </w:pPr>
            <w:r w:rsidRPr="003070F1">
              <w:rPr>
                <w:position w:val="-30"/>
                <w:lang w:val="uz-Latn-UZ"/>
              </w:rPr>
              <w:object w:dxaOrig="960" w:dyaOrig="680" w14:anchorId="616EC265">
                <v:shape id="_x0000_i1077" type="#_x0000_t75" style="width:41.5pt;height:27.5pt" o:ole="">
                  <v:imagedata r:id="rId17" o:title=""/>
                </v:shape>
                <o:OLEObject Type="Embed" ProgID="Equation.DSMT4" ShapeID="_x0000_i1077" DrawAspect="Content" ObjectID="_1840785528" r:id="rId18"/>
              </w:object>
            </w:r>
            <w:r>
              <w:t>,</w:t>
            </w:r>
          </w:p>
        </w:tc>
        <w:tc>
          <w:tcPr>
            <w:tcW w:w="801" w:type="dxa"/>
            <w:vAlign w:val="center"/>
          </w:tcPr>
          <w:p w14:paraId="6A35303C" w14:textId="77777777" w:rsidR="00D228B2" w:rsidRPr="00B57B36" w:rsidRDefault="00D228B2" w:rsidP="00CE24AD">
            <w:pPr>
              <w:pStyle w:val="CETEquation"/>
              <w:jc w:val="right"/>
            </w:pPr>
            <w:r w:rsidRPr="00B57B36">
              <w:t>(</w:t>
            </w:r>
            <w:r>
              <w:t>3a</w:t>
            </w:r>
            <w:r w:rsidRPr="00B57B36">
              <w:t>)</w:t>
            </w:r>
          </w:p>
        </w:tc>
      </w:tr>
      <w:tr w:rsidR="00D228B2" w:rsidRPr="00B57B36" w14:paraId="11A4BAB6" w14:textId="77777777" w:rsidTr="00D228B2">
        <w:tc>
          <w:tcPr>
            <w:tcW w:w="7986" w:type="dxa"/>
            <w:vAlign w:val="center"/>
          </w:tcPr>
          <w:p w14:paraId="2D8F0C12" w14:textId="77777777" w:rsidR="00D228B2" w:rsidRPr="00C42E0E" w:rsidRDefault="00D228B2" w:rsidP="00CE24AD">
            <w:pPr>
              <w:pStyle w:val="CETEquation"/>
              <w:rPr>
                <w:lang w:val="en-US"/>
              </w:rPr>
            </w:pPr>
            <w:r w:rsidRPr="003070F1">
              <w:rPr>
                <w:position w:val="-30"/>
                <w:lang w:val="uz-Latn-UZ"/>
              </w:rPr>
              <w:object w:dxaOrig="1140" w:dyaOrig="720" w14:anchorId="712489C9">
                <v:shape id="_x0000_i1029" type="#_x0000_t75" style="width:49.5pt;height:30pt" o:ole="">
                  <v:imagedata r:id="rId19" o:title=""/>
                </v:shape>
                <o:OLEObject Type="Embed" ProgID="Equation.DSMT4" ShapeID="_x0000_i1029" DrawAspect="Content" ObjectID="_1840785529" r:id="rId20"/>
              </w:object>
            </w:r>
            <w:r>
              <w:rPr>
                <w:lang w:val="en-US"/>
              </w:rPr>
              <w:t>.</w:t>
            </w:r>
          </w:p>
        </w:tc>
        <w:tc>
          <w:tcPr>
            <w:tcW w:w="801" w:type="dxa"/>
            <w:vAlign w:val="center"/>
          </w:tcPr>
          <w:p w14:paraId="63CEDA97" w14:textId="77777777" w:rsidR="00D228B2" w:rsidRPr="00B57B36" w:rsidRDefault="00D228B2" w:rsidP="00CE24AD">
            <w:pPr>
              <w:pStyle w:val="CETEquation"/>
              <w:jc w:val="right"/>
            </w:pPr>
            <w:r w:rsidRPr="00B57B36">
              <w:t>(</w:t>
            </w:r>
            <w:r>
              <w:t>3b</w:t>
            </w:r>
            <w:r w:rsidRPr="00B57B36">
              <w:t>)</w:t>
            </w:r>
          </w:p>
        </w:tc>
      </w:tr>
    </w:tbl>
    <w:p w14:paraId="56E8718D" w14:textId="03CAD425" w:rsidR="00A5456B" w:rsidRDefault="00A5456B" w:rsidP="00A5456B">
      <w:pPr>
        <w:pStyle w:val="CETBodytext"/>
        <w:rPr>
          <w:lang w:val="ru-RU"/>
        </w:rPr>
      </w:pPr>
      <w:r w:rsidRPr="00A5456B">
        <w:rPr>
          <w:lang w:val="ru-RU"/>
        </w:rPr>
        <w:t>The final potential difference (</w:t>
      </w:r>
      <w:r>
        <w:rPr>
          <w:rFonts w:cs="Arial"/>
          <w:lang w:val="ru-RU"/>
        </w:rPr>
        <w:t>φ</w:t>
      </w:r>
      <w:r w:rsidRPr="00A5456B">
        <w:rPr>
          <w:vertAlign w:val="subscript"/>
          <w:lang w:val="ru-RU"/>
        </w:rPr>
        <w:t>0</w:t>
      </w:r>
      <w:r w:rsidRPr="00A5456B">
        <w:rPr>
          <w:lang w:val="ru-RU"/>
        </w:rPr>
        <w:t>) established across the junction corresponds directly to the energy differential between the initial, uncontacted Fermi levels of the constituent materials: e</w:t>
      </w:r>
      <w:r>
        <w:rPr>
          <w:rFonts w:cs="Arial"/>
          <w:lang w:val="ru-RU"/>
        </w:rPr>
        <w:t>φ</w:t>
      </w:r>
      <w:r w:rsidRPr="00A5456B">
        <w:rPr>
          <w:vertAlign w:val="subscript"/>
          <w:lang w:val="ru-RU"/>
        </w:rPr>
        <w:t>0</w:t>
      </w:r>
      <w:r w:rsidRPr="00A5456B">
        <w:rPr>
          <w:lang w:val="ru-RU"/>
        </w:rPr>
        <w:t xml:space="preserve"> = </w:t>
      </w:r>
      <w:r>
        <w:rPr>
          <w:rFonts w:cs="Arial"/>
          <w:lang w:val="ru-RU"/>
        </w:rPr>
        <w:t>Δ</w:t>
      </w:r>
      <w:r w:rsidRPr="00A5456B">
        <w:rPr>
          <w:lang w:val="ru-RU"/>
        </w:rPr>
        <w:t>F = F</w:t>
      </w:r>
      <w:r w:rsidRPr="00A5456B">
        <w:rPr>
          <w:vertAlign w:val="subscript"/>
          <w:lang w:val="ru-RU"/>
        </w:rPr>
        <w:t>Si</w:t>
      </w:r>
      <w:r w:rsidRPr="00A5456B">
        <w:rPr>
          <w:lang w:val="ru-RU"/>
        </w:rPr>
        <w:t xml:space="preserve"> </w:t>
      </w:r>
      <w:r w:rsidR="00093775">
        <w:rPr>
          <w:lang w:val="ru-RU"/>
        </w:rPr>
        <w:t>–</w:t>
      </w:r>
      <w:r w:rsidRPr="00A5456B">
        <w:rPr>
          <w:lang w:val="ru-RU"/>
        </w:rPr>
        <w:t xml:space="preserve"> F</w:t>
      </w:r>
      <w:r w:rsidRPr="00A5456B">
        <w:rPr>
          <w:vertAlign w:val="subscript"/>
          <w:lang w:val="ru-RU"/>
        </w:rPr>
        <w:t>PbX</w:t>
      </w:r>
      <w:r w:rsidRPr="00A5456B">
        <w:rPr>
          <w:lang w:val="ru-RU"/>
        </w:rPr>
        <w:t xml:space="preserve"> (assuming F</w:t>
      </w:r>
      <w:r w:rsidRPr="00A5456B">
        <w:rPr>
          <w:vertAlign w:val="subscript"/>
          <w:lang w:val="ru-RU"/>
        </w:rPr>
        <w:t>Si</w:t>
      </w:r>
      <w:r w:rsidRPr="00A5456B">
        <w:rPr>
          <w:lang w:val="ru-RU"/>
        </w:rPr>
        <w:t xml:space="preserve"> &gt; F</w:t>
      </w:r>
      <w:r w:rsidRPr="00A5456B">
        <w:rPr>
          <w:vertAlign w:val="subscript"/>
          <w:lang w:val="ru-RU"/>
        </w:rPr>
        <w:t>PbX</w:t>
      </w:r>
      <w:r w:rsidRPr="00A5456B">
        <w:rPr>
          <w:lang w:val="ru-RU"/>
        </w:rPr>
        <w:t>). The spatial length of the contact field (R) depends on the total number of electrons (N) migrating from Si to PbX, and the average length of the chaotic thermal electron hops (b</w:t>
      </w:r>
      <w:r w:rsidRPr="00A5456B">
        <w:rPr>
          <w:vertAlign w:val="subscript"/>
          <w:lang w:val="ru-RU"/>
        </w:rPr>
        <w:t>0</w:t>
      </w:r>
      <w:r w:rsidRPr="00A5456B">
        <w:rPr>
          <w:lang w:val="ru-RU"/>
        </w:rPr>
        <w:t>), which represents the average distance between adjacent local defect energy states (LDES) in the silicon bandgap (see Figure 2).</w:t>
      </w:r>
    </w:p>
    <w:p w14:paraId="4FF50941" w14:textId="3DA08D23" w:rsidR="00A5456B" w:rsidRPr="00A5456B" w:rsidRDefault="00A5456B" w:rsidP="00A5456B">
      <w:pPr>
        <w:pStyle w:val="CETBodytext"/>
        <w:rPr>
          <w:lang w:val="ru-RU"/>
        </w:rPr>
      </w:pPr>
      <w:r w:rsidRPr="00A5456B">
        <w:rPr>
          <w:lang w:val="ru-RU"/>
        </w:rPr>
        <w:t>Modeling the PbX nanocrystal as a flat, thin plate of thickness d and surface area a</w:t>
      </w:r>
      <w:r w:rsidRPr="00A5456B">
        <w:rPr>
          <w:vertAlign w:val="superscript"/>
          <w:lang w:val="ru-RU"/>
        </w:rPr>
        <w:t>2</w:t>
      </w:r>
      <w:r w:rsidRPr="00A5456B">
        <w:rPr>
          <w:lang w:val="ru-RU"/>
        </w:rPr>
        <w:t>, Gauss's theorem for an infinitely thin, uniformly charged conducting plane (q = eN) dictates that at equilibrium, E</w:t>
      </w:r>
      <w:r w:rsidRPr="00A5456B">
        <w:rPr>
          <w:vertAlign w:val="subscript"/>
          <w:lang w:val="ru-RU"/>
        </w:rPr>
        <w:t>0</w:t>
      </w:r>
      <w:r w:rsidRPr="00A5456B">
        <w:rPr>
          <w:lang w:val="ru-RU"/>
        </w:rPr>
        <w:t xml:space="preserve"> and </w:t>
      </w:r>
      <w:r>
        <w:rPr>
          <w:rFonts w:cs="Arial"/>
          <w:lang w:val="ru-RU"/>
        </w:rPr>
        <w:t>φ</w:t>
      </w:r>
      <w:r w:rsidRPr="00A5456B">
        <w:rPr>
          <w:vertAlign w:val="subscript"/>
          <w:lang w:val="ru-RU"/>
        </w:rPr>
        <w:t>0</w:t>
      </w:r>
      <w:r w:rsidRPr="00A5456B">
        <w:rPr>
          <w:lang w:val="ru-RU"/>
        </w:rPr>
        <w:t xml:space="preserve"> take the form:</w:t>
      </w:r>
    </w:p>
    <w:tbl>
      <w:tblPr>
        <w:tblW w:w="5000" w:type="pct"/>
        <w:tblLook w:val="04A0" w:firstRow="1" w:lastRow="0" w:firstColumn="1" w:lastColumn="0" w:noHBand="0" w:noVBand="1"/>
      </w:tblPr>
      <w:tblGrid>
        <w:gridCol w:w="7986"/>
        <w:gridCol w:w="801"/>
      </w:tblGrid>
      <w:tr w:rsidR="00A5456B" w:rsidRPr="00B57B36" w14:paraId="13579CA9" w14:textId="77777777" w:rsidTr="00A5456B">
        <w:tc>
          <w:tcPr>
            <w:tcW w:w="7986" w:type="dxa"/>
            <w:vAlign w:val="center"/>
          </w:tcPr>
          <w:p w14:paraId="7F074D1C" w14:textId="77777777" w:rsidR="00A5456B" w:rsidRPr="00B57B36" w:rsidRDefault="00A5456B" w:rsidP="00B47CDF">
            <w:pPr>
              <w:pStyle w:val="CETEquation"/>
            </w:pPr>
            <w:r w:rsidRPr="003070F1">
              <w:rPr>
                <w:position w:val="-30"/>
                <w:lang w:val="uz-Latn-UZ"/>
              </w:rPr>
              <w:object w:dxaOrig="1380" w:dyaOrig="680" w14:anchorId="3ED034B3">
                <v:shape id="_x0000_i1047" type="#_x0000_t75" style="width:58pt;height:27.5pt" o:ole="">
                  <v:imagedata r:id="rId21" o:title=""/>
                </v:shape>
                <o:OLEObject Type="Embed" ProgID="Equation.DSMT4" ShapeID="_x0000_i1047" DrawAspect="Content" ObjectID="_1840785530" r:id="rId22"/>
              </w:object>
            </w:r>
            <w:r>
              <w:t>,</w:t>
            </w:r>
          </w:p>
        </w:tc>
        <w:tc>
          <w:tcPr>
            <w:tcW w:w="801" w:type="dxa"/>
            <w:vAlign w:val="center"/>
          </w:tcPr>
          <w:p w14:paraId="562638A3" w14:textId="77777777" w:rsidR="00A5456B" w:rsidRPr="00B57B36" w:rsidRDefault="00A5456B" w:rsidP="00B47CDF">
            <w:pPr>
              <w:pStyle w:val="CETEquation"/>
              <w:jc w:val="right"/>
            </w:pPr>
            <w:r w:rsidRPr="00B57B36">
              <w:t>(</w:t>
            </w:r>
            <w:r>
              <w:t>4a</w:t>
            </w:r>
            <w:r w:rsidRPr="00B57B36">
              <w:t>)</w:t>
            </w:r>
          </w:p>
        </w:tc>
      </w:tr>
      <w:tr w:rsidR="00A5456B" w:rsidRPr="00B57B36" w14:paraId="02264064" w14:textId="77777777" w:rsidTr="00A5456B">
        <w:tc>
          <w:tcPr>
            <w:tcW w:w="7986" w:type="dxa"/>
            <w:vAlign w:val="center"/>
          </w:tcPr>
          <w:p w14:paraId="2321B1E6" w14:textId="77777777" w:rsidR="00A5456B" w:rsidRPr="00C42E0E" w:rsidRDefault="00A5456B" w:rsidP="00B47CDF">
            <w:pPr>
              <w:pStyle w:val="CETEquation"/>
              <w:rPr>
                <w:lang w:val="en-US"/>
              </w:rPr>
            </w:pPr>
            <w:r w:rsidRPr="003070F1">
              <w:rPr>
                <w:position w:val="-30"/>
                <w:lang w:val="uz-Latn-UZ"/>
              </w:rPr>
              <w:object w:dxaOrig="1380" w:dyaOrig="680" w14:anchorId="54828E2B">
                <v:shape id="_x0000_i1048" type="#_x0000_t75" style="width:59.5pt;height:28pt" o:ole="">
                  <v:imagedata r:id="rId23" o:title=""/>
                </v:shape>
                <o:OLEObject Type="Embed" ProgID="Equation.DSMT4" ShapeID="_x0000_i1048" DrawAspect="Content" ObjectID="_1840785531" r:id="rId24"/>
              </w:object>
            </w:r>
            <w:r>
              <w:rPr>
                <w:lang w:val="en-US"/>
              </w:rPr>
              <w:t>.</w:t>
            </w:r>
          </w:p>
        </w:tc>
        <w:tc>
          <w:tcPr>
            <w:tcW w:w="801" w:type="dxa"/>
            <w:vAlign w:val="center"/>
          </w:tcPr>
          <w:p w14:paraId="5EB2885D" w14:textId="77777777" w:rsidR="00A5456B" w:rsidRPr="00B57B36" w:rsidRDefault="00A5456B" w:rsidP="00B47CDF">
            <w:pPr>
              <w:pStyle w:val="CETEquation"/>
              <w:jc w:val="right"/>
            </w:pPr>
            <w:r w:rsidRPr="00B57B36">
              <w:t>(</w:t>
            </w:r>
            <w:r>
              <w:t>4b</w:t>
            </w:r>
            <w:r w:rsidRPr="00B57B36">
              <w:t>)</w:t>
            </w:r>
          </w:p>
        </w:tc>
      </w:tr>
    </w:tbl>
    <w:p w14:paraId="7A9D2B6C" w14:textId="77777777" w:rsidR="00F67931" w:rsidRPr="00082E3D" w:rsidRDefault="00F67931" w:rsidP="00F67931">
      <w:pPr>
        <w:pStyle w:val="CETBodytext"/>
        <w:spacing w:before="240" w:after="240"/>
        <w:jc w:val="center"/>
      </w:pPr>
      <w:r w:rsidRPr="00082E3D">
        <w:rPr>
          <w:noProof/>
        </w:rPr>
        <w:drawing>
          <wp:inline distT="0" distB="0" distL="0" distR="0" wp14:anchorId="2CB7D1C9" wp14:editId="34B18D72">
            <wp:extent cx="1751107" cy="1351676"/>
            <wp:effectExtent l="0" t="0" r="1905"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87717" cy="1379935"/>
                    </a:xfrm>
                    <a:prstGeom prst="rect">
                      <a:avLst/>
                    </a:prstGeom>
                    <a:noFill/>
                    <a:ln>
                      <a:noFill/>
                    </a:ln>
                  </pic:spPr>
                </pic:pic>
              </a:graphicData>
            </a:graphic>
          </wp:inline>
        </w:drawing>
      </w:r>
    </w:p>
    <w:p w14:paraId="7A97CD9C" w14:textId="77777777" w:rsidR="00F67931" w:rsidRPr="00082E3D" w:rsidRDefault="00F67931" w:rsidP="00F67931">
      <w:pPr>
        <w:pStyle w:val="CETBodytext"/>
        <w:spacing w:before="240" w:after="240"/>
        <w:rPr>
          <w:rStyle w:val="CETCaptionCarattere"/>
          <w:lang w:val="en-US"/>
        </w:rPr>
      </w:pPr>
      <w:r w:rsidRPr="00082E3D">
        <w:rPr>
          <w:rStyle w:val="CETCaptionCarattere"/>
          <w:lang w:val="en-US"/>
        </w:rPr>
        <w:t>Fig</w:t>
      </w:r>
      <w:r w:rsidRPr="004C11D4">
        <w:rPr>
          <w:rStyle w:val="CETCaptionCarattere"/>
        </w:rPr>
        <w:t>ure</w:t>
      </w:r>
      <w:r w:rsidRPr="00082E3D">
        <w:rPr>
          <w:rStyle w:val="CETCaptionCarattere"/>
          <w:lang w:val="en-US"/>
        </w:rPr>
        <w:t xml:space="preserve"> 2. </w:t>
      </w:r>
      <w:r w:rsidRPr="00082E3D">
        <w:rPr>
          <w:rStyle w:val="CETCaptionCarattere"/>
          <w:lang w:val="ru-RU"/>
        </w:rPr>
        <w:t>Band diagram of the formed nanoheterojunction Si:PbХ.</w:t>
      </w:r>
    </w:p>
    <w:p w14:paraId="1A9C4A23" w14:textId="294CCBD8" w:rsidR="00A5456B" w:rsidRPr="00A5456B" w:rsidRDefault="00A5456B" w:rsidP="00A5456B">
      <w:pPr>
        <w:pStyle w:val="CETBodytext"/>
        <w:rPr>
          <w:lang w:val="ru-RU"/>
        </w:rPr>
      </w:pPr>
      <w:r w:rsidRPr="00A5456B">
        <w:rPr>
          <w:lang w:val="ru-RU"/>
        </w:rPr>
        <w:t xml:space="preserve">Here, </w:t>
      </w:r>
      <w:r>
        <w:rPr>
          <w:rFonts w:cs="Arial"/>
          <w:lang w:val="ru-RU"/>
        </w:rPr>
        <w:t>ε</w:t>
      </w:r>
      <w:r w:rsidRPr="00A5456B">
        <w:rPr>
          <w:vertAlign w:val="subscript"/>
          <w:lang w:val="ru-RU"/>
        </w:rPr>
        <w:t>0</w:t>
      </w:r>
      <w:r w:rsidRPr="00A5456B">
        <w:rPr>
          <w:lang w:val="ru-RU"/>
        </w:rPr>
        <w:t xml:space="preserve"> is the vacuum permittivity, while </w:t>
      </w:r>
      <w:r>
        <w:rPr>
          <w:rFonts w:cs="Arial"/>
          <w:lang w:val="ru-RU"/>
        </w:rPr>
        <w:t>ε</w:t>
      </w:r>
      <w:r w:rsidRPr="00A5456B">
        <w:rPr>
          <w:vertAlign w:val="subscript"/>
          <w:lang w:val="ru-RU"/>
        </w:rPr>
        <w:t>Si</w:t>
      </w:r>
      <w:r w:rsidRPr="00A5456B">
        <w:rPr>
          <w:lang w:val="ru-RU"/>
        </w:rPr>
        <w:t xml:space="preserve"> and </w:t>
      </w:r>
      <w:r>
        <w:rPr>
          <w:rFonts w:cs="Arial"/>
          <w:lang w:val="ru-RU"/>
        </w:rPr>
        <w:t>ε</w:t>
      </w:r>
      <w:r w:rsidRPr="00A5456B">
        <w:rPr>
          <w:vertAlign w:val="subscript"/>
          <w:lang w:val="ru-RU"/>
        </w:rPr>
        <w:t>PbX</w:t>
      </w:r>
      <w:r w:rsidRPr="00A5456B">
        <w:rPr>
          <w:lang w:val="ru-RU"/>
        </w:rPr>
        <w:t xml:space="preserve"> are the relative dielectric constants of the respective semiconductors. The volume charge density </w:t>
      </w:r>
      <w:r w:rsidR="00CB37AE">
        <w:rPr>
          <w:rFonts w:cs="Arial"/>
          <w:lang w:val="ru-RU"/>
        </w:rPr>
        <w:t>ρ</w:t>
      </w:r>
      <w:r w:rsidRPr="00A5456B">
        <w:rPr>
          <w:lang w:val="ru-RU"/>
        </w:rPr>
        <w:t xml:space="preserve"> arises from the transition of N electrons out of the LDES in silicon and into the nanocrystal.</w:t>
      </w:r>
    </w:p>
    <w:p w14:paraId="78D4DB61" w14:textId="1EDDD493" w:rsidR="00A5456B" w:rsidRPr="00A5456B" w:rsidRDefault="00A5456B" w:rsidP="00A5456B">
      <w:pPr>
        <w:pStyle w:val="CETBodytext"/>
        <w:rPr>
          <w:lang w:val="ru-RU"/>
        </w:rPr>
      </w:pPr>
      <w:r w:rsidRPr="00A5456B">
        <w:rPr>
          <w:lang w:val="ru-RU"/>
        </w:rPr>
        <w:t>Geometrically, the space-charge region within the silicon matrix behaves as a parallelepiped with a square base a</w:t>
      </w:r>
      <w:r w:rsidRPr="00A5456B">
        <w:rPr>
          <w:vertAlign w:val="superscript"/>
          <w:lang w:val="ru-RU"/>
        </w:rPr>
        <w:t>2</w:t>
      </w:r>
      <w:r w:rsidRPr="00A5456B">
        <w:rPr>
          <w:lang w:val="ru-RU"/>
        </w:rPr>
        <w:t xml:space="preserve"> and a height R, aligned symmetrically with the illuminated surface. The spatial distribution of the charged LDES defines two interrelated geometric boundaries: b (the lateral distance between surface crystallites, where N</w:t>
      </w:r>
      <w:r w:rsidRPr="00A5456B">
        <w:rPr>
          <w:vertAlign w:val="subscript"/>
          <w:lang w:val="ru-RU"/>
        </w:rPr>
        <w:t>S</w:t>
      </w:r>
      <w:r w:rsidRPr="00A5456B">
        <w:rPr>
          <w:lang w:val="ru-RU"/>
        </w:rPr>
        <w:t xml:space="preserve"> = b</w:t>
      </w:r>
      <w:r w:rsidRPr="00A5456B">
        <w:rPr>
          <w:vertAlign w:val="superscript"/>
          <w:lang w:val="ru-RU"/>
        </w:rPr>
        <w:t>-2</w:t>
      </w:r>
      <w:r w:rsidRPr="00A5456B">
        <w:rPr>
          <w:lang w:val="ru-RU"/>
        </w:rPr>
        <w:t xml:space="preserve"> represents surface concentration) and b</w:t>
      </w:r>
      <w:r w:rsidRPr="00A5456B">
        <w:rPr>
          <w:vertAlign w:val="subscript"/>
          <w:lang w:val="ru-RU"/>
        </w:rPr>
        <w:t>0</w:t>
      </w:r>
      <w:r w:rsidRPr="00A5456B">
        <w:rPr>
          <w:lang w:val="ru-RU"/>
        </w:rPr>
        <w:t xml:space="preserve"> (the distance between bulk crystallites, where N</w:t>
      </w:r>
      <w:r w:rsidRPr="00A5456B">
        <w:rPr>
          <w:vertAlign w:val="subscript"/>
          <w:lang w:val="ru-RU"/>
        </w:rPr>
        <w:t>V</w:t>
      </w:r>
      <w:r w:rsidRPr="00A5456B">
        <w:rPr>
          <w:lang w:val="ru-RU"/>
        </w:rPr>
        <w:t xml:space="preserve"> = b</w:t>
      </w:r>
      <w:r w:rsidRPr="00A5456B">
        <w:rPr>
          <w:vertAlign w:val="subscript"/>
          <w:lang w:val="ru-RU"/>
        </w:rPr>
        <w:t>0</w:t>
      </w:r>
      <w:r w:rsidRPr="00A5456B">
        <w:rPr>
          <w:vertAlign w:val="superscript"/>
          <w:lang w:val="ru-RU"/>
        </w:rPr>
        <w:t>-3</w:t>
      </w:r>
      <w:r w:rsidRPr="00A5456B">
        <w:rPr>
          <w:lang w:val="ru-RU"/>
        </w:rPr>
        <w:t xml:space="preserve"> represents volume concentration). This spatial profile forms two concentric squares (b</w:t>
      </w:r>
      <w:r w:rsidRPr="00A5456B">
        <w:rPr>
          <w:vertAlign w:val="subscript"/>
          <w:lang w:val="ru-RU"/>
        </w:rPr>
        <w:t>0</w:t>
      </w:r>
      <w:r w:rsidRPr="00A5456B">
        <w:rPr>
          <w:vertAlign w:val="superscript"/>
          <w:lang w:val="ru-RU"/>
        </w:rPr>
        <w:t>2</w:t>
      </w:r>
      <w:r w:rsidRPr="00A5456B">
        <w:rPr>
          <w:lang w:val="ru-RU"/>
        </w:rPr>
        <w:t xml:space="preserve"> nested inside b</w:t>
      </w:r>
      <w:r w:rsidRPr="00A5456B">
        <w:rPr>
          <w:vertAlign w:val="superscript"/>
          <w:lang w:val="ru-RU"/>
        </w:rPr>
        <w:t>2</w:t>
      </w:r>
      <w:r w:rsidRPr="00A5456B">
        <w:rPr>
          <w:lang w:val="ru-RU"/>
        </w:rPr>
        <w:t>, where b &gt; b</w:t>
      </w:r>
      <w:r w:rsidRPr="00A5456B">
        <w:rPr>
          <w:vertAlign w:val="subscript"/>
          <w:lang w:val="ru-RU"/>
        </w:rPr>
        <w:t>0</w:t>
      </w:r>
      <w:r w:rsidRPr="00A5456B">
        <w:rPr>
          <w:lang w:val="ru-RU"/>
        </w:rPr>
        <w:t>, see Figure 3), yielding an effective contact field volume of R</w:t>
      </w:r>
      <w:r w:rsidR="00CB37AE">
        <w:rPr>
          <w:rFonts w:cs="Arial"/>
          <w:lang w:val="ru-RU"/>
        </w:rPr>
        <w:t>·</w:t>
      </w:r>
      <w:r w:rsidRPr="00A5456B">
        <w:rPr>
          <w:lang w:val="ru-RU"/>
        </w:rPr>
        <w:t>b</w:t>
      </w:r>
      <w:r w:rsidRPr="00A5456B">
        <w:rPr>
          <w:vertAlign w:val="subscript"/>
          <w:lang w:val="ru-RU"/>
        </w:rPr>
        <w:t>0</w:t>
      </w:r>
      <w:r w:rsidRPr="00A5456B">
        <w:rPr>
          <w:vertAlign w:val="superscript"/>
          <w:lang w:val="ru-RU"/>
        </w:rPr>
        <w:t>2</w:t>
      </w:r>
      <w:r w:rsidRPr="00A5456B">
        <w:rPr>
          <w:lang w:val="ru-RU"/>
        </w:rPr>
        <w:t>.</w:t>
      </w:r>
    </w:p>
    <w:p w14:paraId="4FFC0279" w14:textId="77777777" w:rsidR="00AF728E" w:rsidRPr="00082E3D" w:rsidRDefault="00AF728E" w:rsidP="00AF728E">
      <w:pPr>
        <w:pStyle w:val="CETBodytext"/>
        <w:spacing w:before="240" w:after="240"/>
        <w:jc w:val="center"/>
      </w:pPr>
      <w:r w:rsidRPr="00082E3D">
        <w:rPr>
          <w:noProof/>
        </w:rPr>
        <w:drawing>
          <wp:inline distT="0" distB="0" distL="0" distR="0" wp14:anchorId="68BB111F" wp14:editId="2F8C89EA">
            <wp:extent cx="3389558" cy="1441563"/>
            <wp:effectExtent l="0" t="0" r="1905"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26080" cy="1457096"/>
                    </a:xfrm>
                    <a:prstGeom prst="rect">
                      <a:avLst/>
                    </a:prstGeom>
                    <a:noFill/>
                    <a:ln>
                      <a:noFill/>
                    </a:ln>
                  </pic:spPr>
                </pic:pic>
              </a:graphicData>
            </a:graphic>
          </wp:inline>
        </w:drawing>
      </w:r>
    </w:p>
    <w:p w14:paraId="11F7C130" w14:textId="77777777" w:rsidR="00AF728E" w:rsidRPr="00082E3D" w:rsidRDefault="00AF728E" w:rsidP="00AF728E">
      <w:pPr>
        <w:pStyle w:val="CETBodytext"/>
        <w:spacing w:before="240" w:after="240"/>
        <w:jc w:val="left"/>
        <w:rPr>
          <w:rStyle w:val="CETCaptionCarattere"/>
          <w:lang w:val="en-US"/>
        </w:rPr>
      </w:pPr>
      <w:r w:rsidRPr="00082E3D">
        <w:rPr>
          <w:rStyle w:val="CETCaptionCarattere"/>
          <w:lang w:val="en-US"/>
        </w:rPr>
        <w:t>Fig</w:t>
      </w:r>
      <w:r w:rsidRPr="004C11D4">
        <w:rPr>
          <w:rStyle w:val="CETCaptionCarattere"/>
          <w:lang w:val="en-US"/>
        </w:rPr>
        <w:t>ure</w:t>
      </w:r>
      <w:r w:rsidRPr="00082E3D">
        <w:rPr>
          <w:rStyle w:val="CETCaptionCarattere"/>
          <w:lang w:val="en-US"/>
        </w:rPr>
        <w:t xml:space="preserve"> 3. Formation of the contact field of the nanoheterojunction Si:PbX.</w:t>
      </w:r>
    </w:p>
    <w:p w14:paraId="18F1210F" w14:textId="77777777" w:rsidR="00A5456B" w:rsidRPr="00A5456B" w:rsidRDefault="00A5456B" w:rsidP="00A5456B">
      <w:pPr>
        <w:pStyle w:val="CETBodytext"/>
        <w:rPr>
          <w:lang w:val="ru-RU"/>
        </w:rPr>
      </w:pPr>
      <w:r w:rsidRPr="00A5456B">
        <w:rPr>
          <w:lang w:val="ru-RU"/>
        </w:rPr>
        <w:t>To evaluate these structural dependencies, we introduce the following dimensionless scaling coefficients:</w:t>
      </w:r>
    </w:p>
    <w:tbl>
      <w:tblPr>
        <w:tblW w:w="5000" w:type="pct"/>
        <w:tblLook w:val="04A0" w:firstRow="1" w:lastRow="0" w:firstColumn="1" w:lastColumn="0" w:noHBand="0" w:noVBand="1"/>
      </w:tblPr>
      <w:tblGrid>
        <w:gridCol w:w="7983"/>
        <w:gridCol w:w="804"/>
      </w:tblGrid>
      <w:tr w:rsidR="00CB37AE" w:rsidRPr="00B57B36" w14:paraId="41C45CE5" w14:textId="77777777" w:rsidTr="00950747">
        <w:tc>
          <w:tcPr>
            <w:tcW w:w="7983" w:type="dxa"/>
            <w:vAlign w:val="center"/>
          </w:tcPr>
          <w:p w14:paraId="7AF64E3B" w14:textId="77777777" w:rsidR="00CB37AE" w:rsidRPr="00B57B36" w:rsidRDefault="00CB37AE" w:rsidP="00950747">
            <w:pPr>
              <w:pStyle w:val="CETEquation"/>
            </w:pPr>
            <w:r w:rsidRPr="003070F1">
              <w:rPr>
                <w:position w:val="-24"/>
              </w:rPr>
              <w:object w:dxaOrig="499" w:dyaOrig="620" w14:anchorId="631BE59D">
                <v:shape id="_x0000_i1032" type="#_x0000_t75" style="width:20pt;height:25.5pt" o:ole="">
                  <v:imagedata r:id="rId27" o:title=""/>
                </v:shape>
                <o:OLEObject Type="Embed" ProgID="Equation.DSMT4" ShapeID="_x0000_i1032" DrawAspect="Content" ObjectID="_1840785532" r:id="rId28"/>
              </w:object>
            </w:r>
            <w:r w:rsidRPr="00082E3D">
              <w:t xml:space="preserve">, </w:t>
            </w:r>
            <w:r w:rsidRPr="003070F1">
              <w:rPr>
                <w:position w:val="-24"/>
              </w:rPr>
              <w:object w:dxaOrig="620" w:dyaOrig="620" w14:anchorId="40449C5D">
                <v:shape id="_x0000_i1033" type="#_x0000_t75" style="width:25pt;height:25.5pt" o:ole="">
                  <v:imagedata r:id="rId29" o:title=""/>
                </v:shape>
                <o:OLEObject Type="Embed" ProgID="Equation.DSMT4" ShapeID="_x0000_i1033" DrawAspect="Content" ObjectID="_1840785533" r:id="rId30"/>
              </w:object>
            </w:r>
            <w:r w:rsidRPr="00082E3D">
              <w:t xml:space="preserve">, </w:t>
            </w:r>
            <w:r w:rsidRPr="003070F1">
              <w:rPr>
                <w:position w:val="-30"/>
              </w:rPr>
              <w:object w:dxaOrig="859" w:dyaOrig="680" w14:anchorId="232F7DF1">
                <v:shape id="_x0000_i1034" type="#_x0000_t75" style="width:34.5pt;height:27.5pt" o:ole="">
                  <v:imagedata r:id="rId31" o:title=""/>
                </v:shape>
                <o:OLEObject Type="Embed" ProgID="Equation.DSMT4" ShapeID="_x0000_i1034" DrawAspect="Content" ObjectID="_1840785534" r:id="rId32"/>
              </w:object>
            </w:r>
            <w:r w:rsidRPr="00082E3D">
              <w:t xml:space="preserve">, </w:t>
            </w:r>
            <w:r w:rsidRPr="003070F1">
              <w:rPr>
                <w:position w:val="-24"/>
              </w:rPr>
              <w:object w:dxaOrig="520" w:dyaOrig="620" w14:anchorId="6FFF5E70">
                <v:shape id="_x0000_i1035" type="#_x0000_t75" style="width:21.5pt;height:25.5pt" o:ole="">
                  <v:imagedata r:id="rId33" o:title=""/>
                </v:shape>
                <o:OLEObject Type="Embed" ProgID="Equation.DSMT4" ShapeID="_x0000_i1035" DrawAspect="Content" ObjectID="_1840785535" r:id="rId34"/>
              </w:object>
            </w:r>
            <w:r w:rsidRPr="00082E3D">
              <w:t>.</w:t>
            </w:r>
          </w:p>
        </w:tc>
        <w:tc>
          <w:tcPr>
            <w:tcW w:w="804" w:type="dxa"/>
            <w:vAlign w:val="center"/>
          </w:tcPr>
          <w:p w14:paraId="56241848" w14:textId="77777777" w:rsidR="00CB37AE" w:rsidRPr="00B57B36" w:rsidRDefault="00CB37AE" w:rsidP="00950747">
            <w:pPr>
              <w:pStyle w:val="CETEquation"/>
              <w:jc w:val="right"/>
            </w:pPr>
            <w:r w:rsidRPr="00B57B36">
              <w:t>(</w:t>
            </w:r>
            <w:r>
              <w:t>5</w:t>
            </w:r>
            <w:r w:rsidRPr="00B57B36">
              <w:t>)</w:t>
            </w:r>
          </w:p>
        </w:tc>
      </w:tr>
    </w:tbl>
    <w:p w14:paraId="0A316B9B" w14:textId="4EFC5394" w:rsidR="00CB37AE" w:rsidRPr="00CB37AE" w:rsidRDefault="00CB37AE" w:rsidP="00CB37AE">
      <w:pPr>
        <w:pStyle w:val="CETBodytext"/>
        <w:rPr>
          <w:lang w:val="ru-RU"/>
        </w:rPr>
      </w:pPr>
      <w:r w:rsidRPr="00CB37AE">
        <w:rPr>
          <w:lang w:val="ru-RU"/>
        </w:rPr>
        <w:t>By equating the electrostatically derived relationships for the maximum field strength E</w:t>
      </w:r>
      <w:r w:rsidRPr="00CB37AE">
        <w:rPr>
          <w:vertAlign w:val="subscript"/>
          <w:lang w:val="ru-RU"/>
        </w:rPr>
        <w:t>0</w:t>
      </w:r>
      <w:r w:rsidRPr="00CB37AE">
        <w:rPr>
          <w:lang w:val="ru-RU"/>
        </w:rPr>
        <w:t xml:space="preserve"> (Eq. 3a/3b vs. Eq. 4a/4b), we solve explicitly for the absolute number of transferred equilibrium electrons (N):</w:t>
      </w:r>
    </w:p>
    <w:tbl>
      <w:tblPr>
        <w:tblW w:w="5000" w:type="pct"/>
        <w:tblLook w:val="04A0" w:firstRow="1" w:lastRow="0" w:firstColumn="1" w:lastColumn="0" w:noHBand="0" w:noVBand="1"/>
      </w:tblPr>
      <w:tblGrid>
        <w:gridCol w:w="7984"/>
        <w:gridCol w:w="803"/>
      </w:tblGrid>
      <w:tr w:rsidR="00CB37AE" w:rsidRPr="00B57B36" w14:paraId="10F06DBD" w14:textId="77777777" w:rsidTr="00CB37AE">
        <w:tc>
          <w:tcPr>
            <w:tcW w:w="7984" w:type="dxa"/>
            <w:vAlign w:val="center"/>
          </w:tcPr>
          <w:p w14:paraId="24F9CA04" w14:textId="1C543A13" w:rsidR="00CB37AE" w:rsidRPr="00B57B36" w:rsidRDefault="00CB37AE" w:rsidP="008A3955">
            <w:pPr>
              <w:pStyle w:val="CETEquation"/>
            </w:pPr>
            <w:r w:rsidRPr="003070F1">
              <w:rPr>
                <w:position w:val="-28"/>
                <w:lang w:val="ru-RU"/>
              </w:rPr>
              <w:object w:dxaOrig="1719" w:dyaOrig="820" w14:anchorId="290399D6">
                <v:shape id="_x0000_i1036" type="#_x0000_t75" style="width:69.5pt;height:33pt" o:ole="">
                  <v:imagedata r:id="rId35" o:title=""/>
                </v:shape>
                <o:OLEObject Type="Embed" ProgID="Equation.DSMT4" ShapeID="_x0000_i1036" DrawAspect="Content" ObjectID="_1840785536" r:id="rId36"/>
              </w:object>
            </w:r>
            <w:r w:rsidR="00E94651">
              <w:t>.</w:t>
            </w:r>
          </w:p>
        </w:tc>
        <w:tc>
          <w:tcPr>
            <w:tcW w:w="803" w:type="dxa"/>
            <w:vAlign w:val="center"/>
          </w:tcPr>
          <w:p w14:paraId="1DC7B17B" w14:textId="77777777" w:rsidR="00CB37AE" w:rsidRPr="00B57B36" w:rsidRDefault="00CB37AE" w:rsidP="008A3955">
            <w:pPr>
              <w:pStyle w:val="CETEquation"/>
              <w:jc w:val="right"/>
            </w:pPr>
            <w:r w:rsidRPr="00B57B36">
              <w:t>(</w:t>
            </w:r>
            <w:r>
              <w:t>6</w:t>
            </w:r>
            <w:r w:rsidRPr="00B57B36">
              <w:t>)</w:t>
            </w:r>
          </w:p>
        </w:tc>
      </w:tr>
    </w:tbl>
    <w:p w14:paraId="5F8A8934" w14:textId="1E1D90E0" w:rsidR="00CB37AE" w:rsidRPr="00CB37AE" w:rsidRDefault="00CB37AE" w:rsidP="00CB37AE">
      <w:pPr>
        <w:pStyle w:val="CETBodytext"/>
        <w:rPr>
          <w:lang w:val="ru-RU"/>
        </w:rPr>
      </w:pPr>
      <w:r w:rsidRPr="00CB37AE">
        <w:rPr>
          <w:lang w:val="ru-RU"/>
        </w:rPr>
        <w:t>Eq. (6) demonstrates that the equilibrium electron transfer metric (N) is explicitly governed by the intrinsic material properties (F</w:t>
      </w:r>
      <w:r w:rsidRPr="00CB37AE">
        <w:rPr>
          <w:vertAlign w:val="subscript"/>
          <w:lang w:val="ru-RU"/>
        </w:rPr>
        <w:t>Si</w:t>
      </w:r>
      <w:r w:rsidRPr="00CB37AE">
        <w:rPr>
          <w:lang w:val="ru-RU"/>
        </w:rPr>
        <w:t>, F</w:t>
      </w:r>
      <w:r w:rsidRPr="00CB37AE">
        <w:rPr>
          <w:vertAlign w:val="subscript"/>
          <w:lang w:val="ru-RU"/>
        </w:rPr>
        <w:t>PbX</w:t>
      </w:r>
      <w:r w:rsidRPr="00CB37AE">
        <w:rPr>
          <w:lang w:val="ru-RU"/>
        </w:rPr>
        <w:t xml:space="preserve">, </w:t>
      </w:r>
      <w:r>
        <w:rPr>
          <w:rFonts w:cs="Arial"/>
          <w:lang w:val="ru-RU"/>
        </w:rPr>
        <w:t>ε</w:t>
      </w:r>
      <w:r w:rsidRPr="00CB37AE">
        <w:rPr>
          <w:lang w:val="ru-RU"/>
        </w:rPr>
        <w:t xml:space="preserve">*) and the nanoscale structural geometry (a, </w:t>
      </w:r>
      <w:r w:rsidRPr="00082E3D">
        <w:t xml:space="preserve">α, </w:t>
      </w:r>
      <w:r w:rsidRPr="00CB37AE">
        <w:t>k</w:t>
      </w:r>
      <w:r w:rsidRPr="00CB37AE">
        <w:rPr>
          <w:lang w:val="ru-RU"/>
        </w:rPr>
        <w:t xml:space="preserve">, z). Assuming these boundary conditions are known </w:t>
      </w:r>
      <w:r w:rsidRPr="00CB37AE">
        <w:rPr>
          <w:i/>
          <w:iCs/>
          <w:lang w:val="ru-RU"/>
        </w:rPr>
        <w:t>a priori</w:t>
      </w:r>
      <w:r w:rsidRPr="00CB37AE">
        <w:rPr>
          <w:lang w:val="ru-RU"/>
        </w:rPr>
        <w:t>, calculating N allows for the analytical determination of all secondary contact field parameters:</w:t>
      </w:r>
    </w:p>
    <w:p w14:paraId="60BE7079" w14:textId="6AF579C7" w:rsidR="00CB37AE" w:rsidRPr="00CB37AE" w:rsidRDefault="00CB37AE" w:rsidP="007D2740">
      <w:pPr>
        <w:pStyle w:val="CETBodytext"/>
        <w:numPr>
          <w:ilvl w:val="0"/>
          <w:numId w:val="36"/>
        </w:numPr>
        <w:tabs>
          <w:tab w:val="clear" w:pos="720"/>
        </w:tabs>
        <w:ind w:left="284" w:hanging="284"/>
        <w:rPr>
          <w:lang w:val="ru-RU"/>
        </w:rPr>
      </w:pPr>
      <w:r w:rsidRPr="005348FC">
        <w:lastRenderedPageBreak/>
        <w:t>N(φ</w:t>
      </w:r>
      <w:r w:rsidRPr="005348FC">
        <w:rPr>
          <w:vertAlign w:val="subscript"/>
        </w:rPr>
        <w:t>0</w:t>
      </w:r>
      <w:r w:rsidRPr="005348FC">
        <w:t>)</w:t>
      </w:r>
      <w:r w:rsidRPr="00CB37AE">
        <w:rPr>
          <w:lang w:val="ru-RU"/>
        </w:rPr>
        <w:t>: The quantitative electron transition count from Si to PbX.</w:t>
      </w:r>
    </w:p>
    <w:p w14:paraId="04EDB0F8" w14:textId="52DB8F41" w:rsidR="00CB37AE" w:rsidRPr="00CB37AE" w:rsidRDefault="00143313" w:rsidP="007D2740">
      <w:pPr>
        <w:pStyle w:val="CETBodytext"/>
        <w:numPr>
          <w:ilvl w:val="0"/>
          <w:numId w:val="36"/>
        </w:numPr>
        <w:tabs>
          <w:tab w:val="clear" w:pos="720"/>
        </w:tabs>
        <w:ind w:left="284" w:hanging="284"/>
        <w:rPr>
          <w:lang w:val="ru-RU"/>
        </w:rPr>
      </w:pPr>
      <w:r w:rsidRPr="005348FC">
        <w:t>E</w:t>
      </w:r>
      <w:r w:rsidRPr="005348FC">
        <w:rPr>
          <w:vertAlign w:val="subscript"/>
        </w:rPr>
        <w:t>0</w:t>
      </w:r>
      <w:r w:rsidRPr="005348FC">
        <w:t>(φ</w:t>
      </w:r>
      <w:r w:rsidRPr="005348FC">
        <w:rPr>
          <w:vertAlign w:val="subscript"/>
        </w:rPr>
        <w:t>0</w:t>
      </w:r>
      <w:r w:rsidRPr="005348FC">
        <w:t>)</w:t>
      </w:r>
      <w:r w:rsidR="00CB37AE" w:rsidRPr="00CB37AE">
        <w:rPr>
          <w:lang w:val="ru-RU"/>
        </w:rPr>
        <w:t>: The maximum amplitude of the electric field vector.</w:t>
      </w:r>
    </w:p>
    <w:p w14:paraId="2DAAD9DC" w14:textId="038BB84C" w:rsidR="00CB37AE" w:rsidRPr="00CB37AE" w:rsidRDefault="00143313" w:rsidP="007D2740">
      <w:pPr>
        <w:pStyle w:val="CETBodytext"/>
        <w:numPr>
          <w:ilvl w:val="0"/>
          <w:numId w:val="36"/>
        </w:numPr>
        <w:tabs>
          <w:tab w:val="clear" w:pos="720"/>
        </w:tabs>
        <w:ind w:left="284" w:hanging="284"/>
        <w:rPr>
          <w:lang w:val="ru-RU"/>
        </w:rPr>
      </w:pPr>
      <w:r w:rsidRPr="005348FC">
        <w:t>q(N(φ</w:t>
      </w:r>
      <w:r w:rsidRPr="005348FC">
        <w:rPr>
          <w:vertAlign w:val="subscript"/>
        </w:rPr>
        <w:t>0</w:t>
      </w:r>
      <w:r w:rsidRPr="005348FC">
        <w:t>))</w:t>
      </w:r>
      <w:r w:rsidR="00CB37AE" w:rsidRPr="00CB37AE">
        <w:rPr>
          <w:lang w:val="ru-RU"/>
        </w:rPr>
        <w:t>: The total accumulated net charge on the nanocrystal face (a</w:t>
      </w:r>
      <w:r w:rsidR="00CB37AE" w:rsidRPr="00CB37AE">
        <w:rPr>
          <w:vertAlign w:val="superscript"/>
          <w:lang w:val="ru-RU"/>
        </w:rPr>
        <w:t>2</w:t>
      </w:r>
      <w:r w:rsidR="00CB37AE" w:rsidRPr="00CB37AE">
        <w:rPr>
          <w:lang w:val="ru-RU"/>
        </w:rPr>
        <w:t>).</w:t>
      </w:r>
    </w:p>
    <w:p w14:paraId="0E749681" w14:textId="164DF7C9" w:rsidR="00CB37AE" w:rsidRPr="00CB37AE" w:rsidRDefault="00143313" w:rsidP="007D2740">
      <w:pPr>
        <w:pStyle w:val="CETBodytext"/>
        <w:numPr>
          <w:ilvl w:val="0"/>
          <w:numId w:val="36"/>
        </w:numPr>
        <w:tabs>
          <w:tab w:val="clear" w:pos="720"/>
        </w:tabs>
        <w:ind w:left="284" w:hanging="284"/>
        <w:rPr>
          <w:lang w:val="ru-RU"/>
        </w:rPr>
      </w:pPr>
      <w:r w:rsidRPr="005348FC">
        <w:t>R(N(φ</w:t>
      </w:r>
      <w:r w:rsidRPr="005348FC">
        <w:rPr>
          <w:vertAlign w:val="subscript"/>
        </w:rPr>
        <w:t>0</w:t>
      </w:r>
      <w:r w:rsidRPr="005348FC">
        <w:t>))</w:t>
      </w:r>
      <w:r w:rsidR="00CB37AE" w:rsidRPr="00CB37AE">
        <w:rPr>
          <w:lang w:val="ru-RU"/>
        </w:rPr>
        <w:t>: The precise depletion width/space-charge depth within the silicon substrate.</w:t>
      </w:r>
    </w:p>
    <w:p w14:paraId="6257987B" w14:textId="1B4CAAFE" w:rsidR="00CB37AE" w:rsidRPr="00AF728E" w:rsidRDefault="00CB37AE" w:rsidP="00D228B2">
      <w:pPr>
        <w:pStyle w:val="CETBodytext"/>
        <w:numPr>
          <w:ilvl w:val="0"/>
          <w:numId w:val="36"/>
        </w:numPr>
        <w:tabs>
          <w:tab w:val="clear" w:pos="720"/>
        </w:tabs>
        <w:ind w:left="284" w:hanging="284"/>
        <w:rPr>
          <w:lang w:val="ru-RU"/>
        </w:rPr>
      </w:pPr>
      <w:r w:rsidRPr="00CB37AE">
        <w:rPr>
          <w:lang w:val="ru-RU"/>
        </w:rPr>
        <w:t>F: The final, uniform equilibrium Fermi level across the heterojunction.</w:t>
      </w:r>
    </w:p>
    <w:p w14:paraId="677EBFF0" w14:textId="180EDEAB" w:rsidR="00600535" w:rsidRPr="00B57B36" w:rsidRDefault="00776ABA" w:rsidP="00600535">
      <w:pPr>
        <w:pStyle w:val="CETHeading1"/>
        <w:tabs>
          <w:tab w:val="clear" w:pos="360"/>
          <w:tab w:val="right" w:pos="7100"/>
        </w:tabs>
        <w:jc w:val="both"/>
        <w:rPr>
          <w:lang w:val="en-GB"/>
        </w:rPr>
      </w:pPr>
      <w:r w:rsidRPr="00776ABA">
        <w:rPr>
          <w:lang w:val="en-GB"/>
        </w:rPr>
        <w:t>Result and discussion</w:t>
      </w:r>
    </w:p>
    <w:p w14:paraId="04963A06" w14:textId="453021EF" w:rsidR="00600535" w:rsidRPr="00B57B36" w:rsidRDefault="00143313" w:rsidP="00BC64AA">
      <w:pPr>
        <w:pStyle w:val="CETheadingx"/>
      </w:pPr>
      <w:r w:rsidRPr="00143313">
        <w:t>Parametric Analysis of the Nanoheterojunction Profile</w:t>
      </w:r>
    </w:p>
    <w:p w14:paraId="2215217F" w14:textId="3D533EC8" w:rsidR="00143313" w:rsidRPr="00143313" w:rsidRDefault="00143313" w:rsidP="00143313">
      <w:pPr>
        <w:pStyle w:val="CETBodytext"/>
        <w:rPr>
          <w:lang w:val="ru-RU"/>
        </w:rPr>
      </w:pPr>
      <w:r w:rsidRPr="00143313">
        <w:rPr>
          <w:lang w:val="ru-RU"/>
        </w:rPr>
        <w:t>The quantitative determination of the electron transfer value N via Eq. (6) provides a foundation for isolating the localized electrophysical properties of a single nanoheterojunction on the technical silicon substrate. Evaluating N enables the explicit mapping of the following architectural parameters:</w:t>
      </w:r>
    </w:p>
    <w:p w14:paraId="1FB2C4AE" w14:textId="06E46404" w:rsidR="00143313" w:rsidRPr="00143313" w:rsidRDefault="00143313" w:rsidP="007D2740">
      <w:pPr>
        <w:pStyle w:val="CETBodytext"/>
        <w:numPr>
          <w:ilvl w:val="0"/>
          <w:numId w:val="37"/>
        </w:numPr>
        <w:tabs>
          <w:tab w:val="clear" w:pos="720"/>
        </w:tabs>
        <w:ind w:left="284" w:hanging="284"/>
        <w:rPr>
          <w:lang w:val="ru-RU"/>
        </w:rPr>
      </w:pPr>
      <w:r w:rsidRPr="00143313">
        <w:rPr>
          <w:lang w:val="ru-RU"/>
        </w:rPr>
        <w:t xml:space="preserve">Depletion Width (R): The precise boundary layer depth within the silicon substrate, written as R = </w:t>
      </w:r>
      <w:r w:rsidRPr="005348FC">
        <w:rPr>
          <w:rFonts w:cs="Arial"/>
          <w:lang w:val="ru-RU"/>
        </w:rPr>
        <w:t>α·</w:t>
      </w:r>
      <w:r w:rsidRPr="00143313">
        <w:rPr>
          <w:lang w:val="ru-RU"/>
        </w:rPr>
        <w:t>b</w:t>
      </w:r>
      <w:r w:rsidRPr="00143313">
        <w:rPr>
          <w:vertAlign w:val="subscript"/>
          <w:lang w:val="ru-RU"/>
        </w:rPr>
        <w:t>0</w:t>
      </w:r>
      <w:r w:rsidRPr="00143313">
        <w:rPr>
          <w:lang w:val="ru-RU"/>
        </w:rPr>
        <w:t>.</w:t>
      </w:r>
    </w:p>
    <w:p w14:paraId="282FFBE3" w14:textId="465B5F3B" w:rsidR="00143313" w:rsidRPr="00143313" w:rsidRDefault="00143313" w:rsidP="007D2740">
      <w:pPr>
        <w:pStyle w:val="CETBodytext"/>
        <w:numPr>
          <w:ilvl w:val="0"/>
          <w:numId w:val="37"/>
        </w:numPr>
        <w:tabs>
          <w:tab w:val="clear" w:pos="720"/>
        </w:tabs>
        <w:ind w:left="284" w:hanging="284"/>
        <w:rPr>
          <w:lang w:val="ru-RU"/>
        </w:rPr>
      </w:pPr>
      <w:r w:rsidRPr="00143313">
        <w:rPr>
          <w:lang w:val="ru-RU"/>
        </w:rPr>
        <w:t xml:space="preserve">Nanocrystal Surface Charge (q): Assuming an ultra-thin atomic profile (a </w:t>
      </w:r>
      <w:r w:rsidRPr="005348FC">
        <w:t>&gt;&gt;</w:t>
      </w:r>
      <w:r w:rsidRPr="00143313">
        <w:rPr>
          <w:lang w:val="ru-RU"/>
        </w:rPr>
        <w:t xml:space="preserve"> d) across 1-2 monolayers, the system fits the Gauss model for an infinitely thin, uniformly charged plane, yielding q(N, a</w:t>
      </w:r>
      <w:r w:rsidRPr="00143313">
        <w:rPr>
          <w:vertAlign w:val="superscript"/>
          <w:lang w:val="ru-RU"/>
        </w:rPr>
        <w:t>2</w:t>
      </w:r>
      <w:r w:rsidRPr="00143313">
        <w:rPr>
          <w:lang w:val="ru-RU"/>
        </w:rPr>
        <w:t>) = e</w:t>
      </w:r>
      <w:r w:rsidRPr="005348FC">
        <w:rPr>
          <w:rFonts w:cs="Arial"/>
          <w:lang w:val="ru-RU"/>
        </w:rPr>
        <w:t>·</w:t>
      </w:r>
      <w:r w:rsidRPr="00143313">
        <w:rPr>
          <w:lang w:val="ru-RU"/>
        </w:rPr>
        <w:t>N.</w:t>
      </w:r>
    </w:p>
    <w:p w14:paraId="53DF018A" w14:textId="6474F998" w:rsidR="00143313" w:rsidRPr="00143313" w:rsidRDefault="00143313" w:rsidP="007D2740">
      <w:pPr>
        <w:pStyle w:val="CETBodytext"/>
        <w:numPr>
          <w:ilvl w:val="0"/>
          <w:numId w:val="37"/>
        </w:numPr>
        <w:tabs>
          <w:tab w:val="clear" w:pos="720"/>
        </w:tabs>
        <w:ind w:left="284" w:hanging="284"/>
        <w:rPr>
          <w:lang w:val="ru-RU"/>
        </w:rPr>
      </w:pPr>
      <w:r w:rsidRPr="00143313">
        <w:rPr>
          <w:lang w:val="ru-RU"/>
        </w:rPr>
        <w:t>Internal Field Strength (E</w:t>
      </w:r>
      <w:r w:rsidRPr="00143313">
        <w:rPr>
          <w:vertAlign w:val="subscript"/>
          <w:lang w:val="ru-RU"/>
        </w:rPr>
        <w:t>PbX</w:t>
      </w:r>
      <w:r w:rsidRPr="00143313">
        <w:rPr>
          <w:lang w:val="ru-RU"/>
        </w:rPr>
        <w:t xml:space="preserve">): The electrical field induced directly within the PbX cluster, defined by </w:t>
      </w:r>
      <w:r w:rsidR="0017560D" w:rsidRPr="005348FC">
        <w:rPr>
          <w:position w:val="-30"/>
        </w:rPr>
        <w:object w:dxaOrig="1700" w:dyaOrig="680" w14:anchorId="24EE490B">
          <v:shape id="_x0000_i1055" type="#_x0000_t75" style="width:75pt;height:32.5pt" o:ole="">
            <v:imagedata r:id="rId37" o:title=""/>
          </v:shape>
          <o:OLEObject Type="Embed" ProgID="Equation.DSMT4" ShapeID="_x0000_i1055" DrawAspect="Content" ObjectID="_1840785537" r:id="rId38"/>
        </w:object>
      </w:r>
      <w:r w:rsidRPr="00143313">
        <w:rPr>
          <w:lang w:val="ru-RU"/>
        </w:rPr>
        <w:t>.</w:t>
      </w:r>
    </w:p>
    <w:p w14:paraId="2D4AEF50" w14:textId="31A9A204" w:rsidR="00143313" w:rsidRPr="00143313" w:rsidRDefault="00143313" w:rsidP="007D2740">
      <w:pPr>
        <w:pStyle w:val="CETBodytext"/>
        <w:numPr>
          <w:ilvl w:val="0"/>
          <w:numId w:val="37"/>
        </w:numPr>
        <w:tabs>
          <w:tab w:val="clear" w:pos="720"/>
        </w:tabs>
        <w:ind w:left="284" w:hanging="284"/>
        <w:rPr>
          <w:lang w:val="ru-RU"/>
        </w:rPr>
      </w:pPr>
      <w:r w:rsidRPr="00143313">
        <w:rPr>
          <w:lang w:val="ru-RU"/>
        </w:rPr>
        <w:t>Potential Profile (</w:t>
      </w:r>
      <w:r w:rsidR="0017560D" w:rsidRPr="005348FC">
        <w:rPr>
          <w:rFonts w:cs="Arial"/>
          <w:lang w:val="ru-RU"/>
        </w:rPr>
        <w:t>φ</w:t>
      </w:r>
      <w:r w:rsidRPr="00143313">
        <w:rPr>
          <w:vertAlign w:val="subscript"/>
          <w:lang w:val="ru-RU"/>
        </w:rPr>
        <w:t>0</w:t>
      </w:r>
      <w:r w:rsidRPr="00143313">
        <w:rPr>
          <w:lang w:val="ru-RU"/>
        </w:rPr>
        <w:t xml:space="preserve">): The stable contact potential difference governed by </w:t>
      </w:r>
      <w:r w:rsidR="0017560D" w:rsidRPr="005348FC">
        <w:rPr>
          <w:position w:val="-24"/>
        </w:rPr>
        <w:object w:dxaOrig="1400" w:dyaOrig="620" w14:anchorId="07ED3226">
          <v:shape id="_x0000_i1056" type="#_x0000_t75" style="width:65pt;height:29pt" o:ole="">
            <v:imagedata r:id="rId39" o:title=""/>
          </v:shape>
          <o:OLEObject Type="Embed" ProgID="Equation.DSMT4" ShapeID="_x0000_i1056" DrawAspect="Content" ObjectID="_1840785538" r:id="rId40"/>
        </w:object>
      </w:r>
      <w:r w:rsidRPr="00143313">
        <w:rPr>
          <w:lang w:val="ru-RU"/>
        </w:rPr>
        <w:t>.</w:t>
      </w:r>
    </w:p>
    <w:p w14:paraId="2ECBA449" w14:textId="77D00185" w:rsidR="00143313" w:rsidRPr="00143313" w:rsidRDefault="00143313" w:rsidP="007D2740">
      <w:pPr>
        <w:pStyle w:val="CETBodytext"/>
        <w:numPr>
          <w:ilvl w:val="0"/>
          <w:numId w:val="37"/>
        </w:numPr>
        <w:tabs>
          <w:tab w:val="clear" w:pos="720"/>
        </w:tabs>
        <w:ind w:left="284" w:hanging="284"/>
        <w:rPr>
          <w:lang w:val="ru-RU"/>
        </w:rPr>
      </w:pPr>
      <w:r w:rsidRPr="00143313">
        <w:rPr>
          <w:lang w:val="ru-RU"/>
        </w:rPr>
        <w:t xml:space="preserve">Equilibrium Fermi Level (F): The steady-state chemical potential across the interface, expressed as a function of the charge distribution, </w:t>
      </w:r>
      <w:r w:rsidR="0017560D" w:rsidRPr="0017560D">
        <w:rPr>
          <w:lang w:val="uz-Cyrl-UZ"/>
        </w:rPr>
        <w:t>F</w:t>
      </w:r>
      <w:r w:rsidR="0017560D" w:rsidRPr="0017560D">
        <w:t xml:space="preserve"> </w:t>
      </w:r>
      <w:r w:rsidR="0017560D" w:rsidRPr="0017560D">
        <w:rPr>
          <w:lang w:val="uz-Cyrl-UZ"/>
        </w:rPr>
        <w:t>=</w:t>
      </w:r>
      <w:r w:rsidR="0017560D" w:rsidRPr="0017560D">
        <w:t xml:space="preserve"> </w:t>
      </w:r>
      <w:r w:rsidR="0017560D" w:rsidRPr="0017560D">
        <w:rPr>
          <w:lang w:val="uz-Cyrl-UZ"/>
        </w:rPr>
        <w:t>f(q·</w:t>
      </w:r>
      <w:r w:rsidR="0017560D" w:rsidRPr="0017560D">
        <w:rPr>
          <w:lang w:val="ru-RU"/>
        </w:rPr>
        <w:t>φ</w:t>
      </w:r>
      <w:r w:rsidR="0017560D" w:rsidRPr="0017560D">
        <w:rPr>
          <w:vertAlign w:val="subscript"/>
        </w:rPr>
        <w:t>0</w:t>
      </w:r>
      <w:r w:rsidR="0017560D" w:rsidRPr="0017560D">
        <w:rPr>
          <w:lang w:val="uz-Cyrl-UZ"/>
        </w:rPr>
        <w:t>)</w:t>
      </w:r>
      <w:r w:rsidRPr="00143313">
        <w:rPr>
          <w:lang w:val="ru-RU"/>
        </w:rPr>
        <w:t>.</w:t>
      </w:r>
    </w:p>
    <w:p w14:paraId="5FE6EC81" w14:textId="20FF6A97" w:rsidR="005348FC" w:rsidRPr="005348FC" w:rsidRDefault="005348FC" w:rsidP="005348FC">
      <w:pPr>
        <w:pStyle w:val="CETBodytext"/>
        <w:rPr>
          <w:lang w:val="ru-RU"/>
        </w:rPr>
      </w:pPr>
      <w:r w:rsidRPr="005348FC">
        <w:rPr>
          <w:lang w:val="ru-RU"/>
        </w:rPr>
        <w:t>It is worth noting that the calculated maximum contact field strength (E</w:t>
      </w:r>
      <w:r w:rsidRPr="005348FC">
        <w:rPr>
          <w:vertAlign w:val="subscript"/>
          <w:lang w:val="ru-RU"/>
        </w:rPr>
        <w:t>0</w:t>
      </w:r>
      <w:r w:rsidRPr="005348FC">
        <w:rPr>
          <w:lang w:val="ru-RU"/>
        </w:rPr>
        <w:t xml:space="preserve"> </w:t>
      </w:r>
      <w:r>
        <w:rPr>
          <w:rFonts w:cs="Arial"/>
          <w:lang w:val="ru-RU"/>
        </w:rPr>
        <w:t>≈</w:t>
      </w:r>
      <w:r w:rsidRPr="005348FC">
        <w:rPr>
          <w:lang w:val="ru-RU"/>
        </w:rPr>
        <w:t xml:space="preserve"> 10</w:t>
      </w:r>
      <w:r w:rsidRPr="005348FC">
        <w:rPr>
          <w:vertAlign w:val="superscript"/>
          <w:lang w:val="ru-RU"/>
        </w:rPr>
        <w:t>5</w:t>
      </w:r>
      <w:r w:rsidRPr="005348FC">
        <w:rPr>
          <w:lang w:val="ru-RU"/>
        </w:rPr>
        <w:t xml:space="preserve"> to 10</w:t>
      </w:r>
      <w:r w:rsidRPr="005348FC">
        <w:rPr>
          <w:vertAlign w:val="superscript"/>
          <w:lang w:val="ru-RU"/>
        </w:rPr>
        <w:t>6</w:t>
      </w:r>
      <w:r w:rsidRPr="005348FC">
        <w:rPr>
          <w:lang w:val="ru-RU"/>
        </w:rPr>
        <w:t xml:space="preserve"> V/m) within these discrete nanoheterojunctions is highly comparable to—and in some configurations exceeds—the internal built-in electric field of a standard macroscopic monocrystalline silicon p-n junction, which typically operates in the range of 10</w:t>
      </w:r>
      <w:r w:rsidRPr="005348FC">
        <w:rPr>
          <w:vertAlign w:val="superscript"/>
          <w:lang w:val="ru-RU"/>
        </w:rPr>
        <w:t>5</w:t>
      </w:r>
      <w:r w:rsidRPr="005348FC">
        <w:rPr>
          <w:lang w:val="ru-RU"/>
        </w:rPr>
        <w:t xml:space="preserve"> V/m. Achieving an electric field magnitude of this order is remarkable given that it is sustained across an inexpensive, highly defective, non-crystalline industrial silicon substrate. In a traditional bulk cell, such high defect densities would induce massive carrier recombination, collapsing the internal field. Here, by localizing the field at the nanometer scale (4 to 35 nm) via self-organized quantum-confined phase boundaries, the system maintains a robust drift field for efficient electron-hole separation while bypassing the strict requirement for high-purity, single-crystal manufacturing.</w:t>
      </w:r>
    </w:p>
    <w:p w14:paraId="556A3E4A" w14:textId="35EA758B" w:rsidR="00143313" w:rsidRPr="00143313" w:rsidRDefault="00143313" w:rsidP="00143313">
      <w:pPr>
        <w:pStyle w:val="CETBodytext"/>
        <w:rPr>
          <w:lang w:val="ru-RU"/>
        </w:rPr>
      </w:pPr>
      <w:r w:rsidRPr="00143313">
        <w:rPr>
          <w:lang w:val="ru-RU"/>
        </w:rPr>
        <w:t xml:space="preserve">Evaluating the mathematical limits of Eq. (6) allows us to optimize the operational limits of N relative to structural and dielectric fluctuations </w:t>
      </w:r>
      <w:r w:rsidR="0017560D">
        <w:t>(</w:t>
      </w:r>
      <w:r w:rsidR="0017560D" w:rsidRPr="00BC64AA">
        <w:t xml:space="preserve">ε, </w:t>
      </w:r>
      <w:r w:rsidR="0017560D" w:rsidRPr="00BC64AA">
        <w:rPr>
          <w:lang w:val="ru-RU"/>
        </w:rPr>
        <w:t>φ</w:t>
      </w:r>
      <w:r w:rsidR="0017560D">
        <w:rPr>
          <w:vertAlign w:val="subscript"/>
        </w:rPr>
        <w:t>0</w:t>
      </w:r>
      <w:r w:rsidR="0017560D" w:rsidRPr="00BC64AA">
        <w:rPr>
          <w:lang w:val="uz-Cyrl-UZ"/>
        </w:rPr>
        <w:t xml:space="preserve">, </w:t>
      </w:r>
      <w:r w:rsidR="0017560D" w:rsidRPr="00BC64AA">
        <w:rPr>
          <w:bCs/>
          <w:iCs/>
          <w:lang w:val="uz-Cyrl-UZ"/>
        </w:rPr>
        <w:t>b</w:t>
      </w:r>
      <w:r w:rsidR="0017560D">
        <w:rPr>
          <w:bCs/>
          <w:iCs/>
          <w:vertAlign w:val="subscript"/>
        </w:rPr>
        <w:t>0</w:t>
      </w:r>
      <w:r w:rsidR="0017560D" w:rsidRPr="00BC64AA">
        <w:rPr>
          <w:lang w:val="uz-Cyrl-UZ"/>
        </w:rPr>
        <w:t>, а</w:t>
      </w:r>
      <w:r w:rsidR="0017560D" w:rsidRPr="00BC64AA">
        <w:rPr>
          <w:vertAlign w:val="superscript"/>
          <w:lang w:val="uz-Cyrl-UZ"/>
        </w:rPr>
        <w:t>2</w:t>
      </w:r>
      <w:r w:rsidRPr="00143313">
        <w:rPr>
          <w:lang w:val="ru-RU"/>
        </w:rPr>
        <w:t>). Under typical laboratory self-organization parameters, several key physical trends emerge:</w:t>
      </w:r>
    </w:p>
    <w:p w14:paraId="67E47871" w14:textId="74D83A3D" w:rsidR="00143313" w:rsidRPr="00143313" w:rsidRDefault="00143313" w:rsidP="007D2740">
      <w:pPr>
        <w:pStyle w:val="CETBodytext"/>
        <w:numPr>
          <w:ilvl w:val="0"/>
          <w:numId w:val="38"/>
        </w:numPr>
        <w:tabs>
          <w:tab w:val="clear" w:pos="720"/>
        </w:tabs>
        <w:ind w:left="284" w:hanging="284"/>
        <w:rPr>
          <w:lang w:val="ru-RU"/>
        </w:rPr>
      </w:pPr>
      <w:r w:rsidRPr="00143313">
        <w:rPr>
          <w:lang w:val="ru-RU"/>
        </w:rPr>
        <w:t>Junction Density Scaling</w:t>
      </w:r>
      <w:r w:rsidR="00E94651">
        <w:t>.</w:t>
      </w:r>
      <w:r w:rsidRPr="00143313">
        <w:rPr>
          <w:lang w:val="ru-RU"/>
        </w:rPr>
        <w:t xml:space="preserve"> Depending on the thermal growth conditions and the specific structural matrices </w:t>
      </w:r>
      <w:r w:rsidR="0017560D" w:rsidRPr="005348FC">
        <w:t xml:space="preserve">(ε, </w:t>
      </w:r>
      <w:r w:rsidR="0017560D" w:rsidRPr="005348FC">
        <w:rPr>
          <w:lang w:val="ru-RU"/>
        </w:rPr>
        <w:t>φ</w:t>
      </w:r>
      <w:r w:rsidR="0017560D" w:rsidRPr="005348FC">
        <w:rPr>
          <w:vertAlign w:val="subscript"/>
        </w:rPr>
        <w:t>0</w:t>
      </w:r>
      <w:r w:rsidR="0017560D" w:rsidRPr="005348FC">
        <w:rPr>
          <w:lang w:val="uz-Cyrl-UZ"/>
        </w:rPr>
        <w:t xml:space="preserve">, </w:t>
      </w:r>
      <w:r w:rsidR="0017560D" w:rsidRPr="005348FC">
        <w:rPr>
          <w:iCs/>
          <w:lang w:val="uz-Cyrl-UZ"/>
        </w:rPr>
        <w:t>b</w:t>
      </w:r>
      <w:r w:rsidR="0017560D" w:rsidRPr="005348FC">
        <w:rPr>
          <w:iCs/>
          <w:vertAlign w:val="subscript"/>
        </w:rPr>
        <w:t>0</w:t>
      </w:r>
      <w:r w:rsidR="0017560D" w:rsidRPr="005348FC">
        <w:rPr>
          <w:lang w:val="uz-Cyrl-UZ"/>
        </w:rPr>
        <w:t>, а</w:t>
      </w:r>
      <w:r w:rsidR="0017560D" w:rsidRPr="005348FC">
        <w:rPr>
          <w:vertAlign w:val="superscript"/>
          <w:lang w:val="uz-Cyrl-UZ"/>
        </w:rPr>
        <w:t>2</w:t>
      </w:r>
      <w:r w:rsidR="0017560D" w:rsidRPr="00143313">
        <w:rPr>
          <w:lang w:val="ru-RU"/>
        </w:rPr>
        <w:t>)</w:t>
      </w:r>
      <w:r w:rsidRPr="00143313">
        <w:rPr>
          <w:lang w:val="ru-RU"/>
        </w:rPr>
        <w:t>, the superficial allocation of these active parallel nanoheterojunctions can scale up to a high density of 10</w:t>
      </w:r>
      <w:r w:rsidRPr="00143313">
        <w:rPr>
          <w:vertAlign w:val="superscript"/>
          <w:lang w:val="ru-RU"/>
        </w:rPr>
        <w:t>14</w:t>
      </w:r>
      <w:r w:rsidRPr="00143313">
        <w:rPr>
          <w:lang w:val="ru-RU"/>
        </w:rPr>
        <w:t xml:space="preserve"> m</w:t>
      </w:r>
      <w:r w:rsidRPr="00143313">
        <w:rPr>
          <w:vertAlign w:val="superscript"/>
          <w:lang w:val="ru-RU"/>
        </w:rPr>
        <w:t>-2</w:t>
      </w:r>
      <w:r w:rsidRPr="00143313">
        <w:rPr>
          <w:lang w:val="ru-RU"/>
        </w:rPr>
        <w:t>.</w:t>
      </w:r>
    </w:p>
    <w:p w14:paraId="42ED85E8" w14:textId="6154C81F" w:rsidR="00143313" w:rsidRPr="00143313" w:rsidRDefault="00143313" w:rsidP="007D2740">
      <w:pPr>
        <w:pStyle w:val="CETBodytext"/>
        <w:numPr>
          <w:ilvl w:val="0"/>
          <w:numId w:val="38"/>
        </w:numPr>
        <w:tabs>
          <w:tab w:val="clear" w:pos="720"/>
        </w:tabs>
        <w:ind w:left="284" w:hanging="284"/>
        <w:rPr>
          <w:lang w:val="ru-RU"/>
        </w:rPr>
      </w:pPr>
      <w:r w:rsidRPr="00143313">
        <w:rPr>
          <w:lang w:val="ru-RU"/>
        </w:rPr>
        <w:t>Fermi Level Windows</w:t>
      </w:r>
      <w:r w:rsidR="00E94651">
        <w:t>.</w:t>
      </w:r>
      <w:r w:rsidRPr="00143313">
        <w:rPr>
          <w:lang w:val="ru-RU"/>
        </w:rPr>
        <w:t xml:space="preserve"> Due to the narrow-bandgap configuration of the chosen lead chalcogenides and the underlying silicon substrate, the contact potential difference (</w:t>
      </w:r>
      <w:r w:rsidR="0017560D" w:rsidRPr="005348FC">
        <w:rPr>
          <w:rFonts w:cs="Arial"/>
          <w:lang w:val="ru-RU"/>
        </w:rPr>
        <w:t>φ</w:t>
      </w:r>
      <w:r w:rsidRPr="00143313">
        <w:rPr>
          <w:vertAlign w:val="subscript"/>
          <w:lang w:val="ru-RU"/>
        </w:rPr>
        <w:t>0</w:t>
      </w:r>
      <w:r w:rsidRPr="00143313">
        <w:rPr>
          <w:lang w:val="ru-RU"/>
        </w:rPr>
        <w:t>) varies within a highly confined range, from a minimum of 0.05 eV to a maximum peak of 0.25 eV.</w:t>
      </w:r>
    </w:p>
    <w:p w14:paraId="2D36DC9D" w14:textId="458FF5D5" w:rsidR="00143313" w:rsidRPr="00143313" w:rsidRDefault="00143313" w:rsidP="007D2740">
      <w:pPr>
        <w:pStyle w:val="CETBodytext"/>
        <w:numPr>
          <w:ilvl w:val="0"/>
          <w:numId w:val="38"/>
        </w:numPr>
        <w:tabs>
          <w:tab w:val="clear" w:pos="720"/>
        </w:tabs>
        <w:ind w:left="284" w:hanging="284"/>
        <w:rPr>
          <w:lang w:val="ru-RU"/>
        </w:rPr>
      </w:pPr>
      <w:r w:rsidRPr="00143313">
        <w:rPr>
          <w:lang w:val="ru-RU"/>
        </w:rPr>
        <w:t>Nanoinclusion Geometry</w:t>
      </w:r>
      <w:r w:rsidR="00E94651">
        <w:t>.</w:t>
      </w:r>
      <w:r w:rsidRPr="00143313">
        <w:rPr>
          <w:lang w:val="ru-RU"/>
        </w:rPr>
        <w:t xml:space="preserve"> Under controlled high-vacuum, high-temperature epitaxial growth states, the self-organized PbX clusters display highly uniform lateral development, reliably stabilizing at a linear size (a) of approximately 10 nm.</w:t>
      </w:r>
    </w:p>
    <w:p w14:paraId="1FDDB88C" w14:textId="4F40125F" w:rsidR="00BC64AA" w:rsidRPr="0017560D" w:rsidRDefault="00143313" w:rsidP="007D2740">
      <w:pPr>
        <w:pStyle w:val="CETBodytext"/>
        <w:numPr>
          <w:ilvl w:val="0"/>
          <w:numId w:val="38"/>
        </w:numPr>
        <w:tabs>
          <w:tab w:val="clear" w:pos="720"/>
        </w:tabs>
        <w:ind w:left="284" w:hanging="284"/>
        <w:rPr>
          <w:lang w:val="ru-RU"/>
        </w:rPr>
      </w:pPr>
      <w:r w:rsidRPr="00143313">
        <w:rPr>
          <w:lang w:val="ru-RU"/>
        </w:rPr>
        <w:t>Substrate Crystallite Boundaries</w:t>
      </w:r>
      <w:r w:rsidR="00E94651">
        <w:t>.</w:t>
      </w:r>
      <w:r w:rsidRPr="00143313">
        <w:rPr>
          <w:lang w:val="ru-RU"/>
        </w:rPr>
        <w:t xml:space="preserve"> The structural domain size of the native silicon nanocrystallites (b</w:t>
      </w:r>
      <w:r w:rsidRPr="00143313">
        <w:rPr>
          <w:vertAlign w:val="subscript"/>
          <w:lang w:val="ru-RU"/>
        </w:rPr>
        <w:t>0</w:t>
      </w:r>
      <w:r w:rsidRPr="00143313">
        <w:rPr>
          <w:lang w:val="ru-RU"/>
        </w:rPr>
        <w:t>, tracked along the electric field vector) closely tracks the dimensions of the resting PbX nanoinclusions, yielding a physical thickness range up to a maximum of 20 nm.</w:t>
      </w:r>
    </w:p>
    <w:p w14:paraId="68D26B83" w14:textId="77777777" w:rsidR="00600535" w:rsidRPr="00B57B36" w:rsidRDefault="00600535" w:rsidP="00600535">
      <w:pPr>
        <w:pStyle w:val="CETHeading1"/>
        <w:rPr>
          <w:lang w:val="en-GB"/>
        </w:rPr>
      </w:pPr>
      <w:r w:rsidRPr="00B57B36">
        <w:rPr>
          <w:lang w:val="en-GB"/>
        </w:rPr>
        <w:t>Conclusions</w:t>
      </w:r>
    </w:p>
    <w:p w14:paraId="023845B1" w14:textId="3913D497" w:rsidR="00097CAB" w:rsidRPr="00097CAB" w:rsidRDefault="005348FC" w:rsidP="00097CAB">
      <w:pPr>
        <w:pStyle w:val="CETBodytext"/>
        <w:rPr>
          <w:lang w:val="ru-RU"/>
        </w:rPr>
      </w:pPr>
      <w:r w:rsidRPr="005348FC">
        <w:rPr>
          <w:lang w:val="ru-RU"/>
        </w:rPr>
        <w:t>In summary, this study demonstrates that the proposed Si:PbX nanoheterojunction operates simultaneously as a localized p-n junction, a distinct heterojunction, and a low-dimensional nanoscale structure. The junction is characterized by two fixed, oppositely charged regions that establish a robust internal contact field, with both the p- and n-zones confined to nanometer dimensions. Efficient, macro-scale carrier extraction from this dense network of surface nanoheterostructures is successfully mediated by highly conductive carbon nanotube or graphene mesh top-coatings.</w:t>
      </w:r>
      <w:r w:rsidR="000B24F2">
        <w:t xml:space="preserve"> </w:t>
      </w:r>
      <w:r w:rsidRPr="005348FC">
        <w:rPr>
          <w:lang w:val="ru-RU"/>
        </w:rPr>
        <w:t xml:space="preserve">The innovative pairing of low-dimensional crystalline lead chalcogenides with an inexpensive, highly defective, non-crystalline technical silicon substrate represents a paradigm shift in </w:t>
      </w:r>
      <w:r w:rsidRPr="005348FC">
        <w:rPr>
          <w:lang w:val="ru-RU"/>
        </w:rPr>
        <w:lastRenderedPageBreak/>
        <w:t>photovoltaic design. By capitalizing on the unique quantum-confinement and electrophysical properties of PbX nanoinclusions alongside the structural characteristics of native silicon nanocrystallites, a highly efficient separating contact is successfully realized on an otherwise low-grade substrate.</w:t>
      </w:r>
      <w:r w:rsidR="000B24F2">
        <w:t xml:space="preserve"> </w:t>
      </w:r>
      <w:r w:rsidRPr="005348FC">
        <w:rPr>
          <w:lang w:val="ru-RU"/>
        </w:rPr>
        <w:t>Ultimately, these multi-nanoheterojunction solar cells define a promising new class of third-generation photovoltaic devices that bypass the performance and economic bottlenecks of traditional single-crystal manufacturing. This work successfully established the fundamental structural dependencies governing device efficiency, mapped the analytical model describing the thermodynamic self-organization of the Si:PbX contact field, and quantified the exact equilibrium electron transfer (N) required to sustain charge separation.</w:t>
      </w:r>
    </w:p>
    <w:p w14:paraId="4F1327F8" w14:textId="77777777" w:rsidR="00600535" w:rsidRPr="00B57B36" w:rsidRDefault="00600535" w:rsidP="00600535">
      <w:pPr>
        <w:pStyle w:val="CETReference"/>
      </w:pPr>
      <w:r w:rsidRPr="00B57B36">
        <w:t>References</w:t>
      </w:r>
    </w:p>
    <w:p w14:paraId="462F5271" w14:textId="75A5421E" w:rsidR="00093775" w:rsidRPr="00E94651" w:rsidRDefault="00093775" w:rsidP="00E22F74">
      <w:pPr>
        <w:pStyle w:val="CETReferencetext"/>
        <w:rPr>
          <w:lang w:val="en-US"/>
        </w:rPr>
      </w:pPr>
      <w:r w:rsidRPr="00E94651">
        <w:rPr>
          <w:lang w:val="en-US"/>
        </w:rPr>
        <w:t xml:space="preserve">A.J. Nozik, 2002, </w:t>
      </w:r>
      <w:r w:rsidR="00E94651" w:rsidRPr="00E94651">
        <w:rPr>
          <w:lang w:val="en-US"/>
        </w:rPr>
        <w:t>Quantum dot solar cells</w:t>
      </w:r>
      <w:r w:rsidR="00E94651">
        <w:rPr>
          <w:lang w:val="en-US"/>
        </w:rPr>
        <w:t xml:space="preserve">, </w:t>
      </w:r>
      <w:r w:rsidRPr="00E94651">
        <w:rPr>
          <w:lang w:val="en-US"/>
        </w:rPr>
        <w:t>Physica E 14, 115 – 120.</w:t>
      </w:r>
    </w:p>
    <w:p w14:paraId="207A9417" w14:textId="2F57793E" w:rsidR="00093775" w:rsidRPr="00E94651" w:rsidRDefault="00093775" w:rsidP="00E22F74">
      <w:pPr>
        <w:pStyle w:val="CETReferencetext"/>
      </w:pPr>
      <w:bookmarkStart w:id="4" w:name="_Hlk230165714"/>
      <w:r w:rsidRPr="00E94651">
        <w:t>Al Tarabsheh A.,</w:t>
      </w:r>
      <w:bookmarkEnd w:id="4"/>
      <w:r w:rsidRPr="00E94651">
        <w:t xml:space="preserve"> Voutetakis S., Papadopoulos A.I., Seferlis P., Etier I., Saraereh O., 2013, Investigation of temperature effects in efficiency improvement of non-uniformly cooled photovoltaic cells, Chemical Engineering Transactions, 35, 1387- 1392</w:t>
      </w:r>
      <w:r w:rsidR="0002153D">
        <w:t>.</w:t>
      </w:r>
    </w:p>
    <w:p w14:paraId="2D3D80C2" w14:textId="77777777" w:rsidR="00E94651" w:rsidRPr="00E94651" w:rsidRDefault="00093775" w:rsidP="00E94651">
      <w:pPr>
        <w:pStyle w:val="CETReferencetext"/>
        <w:rPr>
          <w:lang w:val="en-US"/>
        </w:rPr>
      </w:pPr>
      <w:r w:rsidRPr="00E94651">
        <w:rPr>
          <w:lang w:val="en-US"/>
        </w:rPr>
        <w:t xml:space="preserve">Askarov M.A., Imamov E.Z., Muminov R.A., 2023, </w:t>
      </w:r>
      <w:r w:rsidR="00E94651" w:rsidRPr="00E94651">
        <w:rPr>
          <w:lang w:val="en-US"/>
        </w:rPr>
        <w:t>Electrophysical Properties of a Solar Cell with Non-Traditional</w:t>
      </w:r>
    </w:p>
    <w:p w14:paraId="1990046F" w14:textId="5329065C" w:rsidR="00093775" w:rsidRPr="00E94651" w:rsidRDefault="00E94651" w:rsidP="00E94651">
      <w:pPr>
        <w:pStyle w:val="CETReferencetext"/>
        <w:rPr>
          <w:lang w:val="en-US"/>
        </w:rPr>
      </w:pPr>
      <w:r w:rsidRPr="00E94651">
        <w:rPr>
          <w:lang w:val="en-US"/>
        </w:rPr>
        <w:t>Contact Structures</w:t>
      </w:r>
      <w:r>
        <w:rPr>
          <w:lang w:val="en-US"/>
        </w:rPr>
        <w:t xml:space="preserve">, </w:t>
      </w:r>
      <w:r w:rsidR="00093775" w:rsidRPr="00E94651">
        <w:rPr>
          <w:lang w:val="en-US"/>
        </w:rPr>
        <w:t>J. Computational Nanotechnology</w:t>
      </w:r>
      <w:r>
        <w:rPr>
          <w:lang w:val="en-US"/>
        </w:rPr>
        <w:t>,</w:t>
      </w:r>
      <w:r w:rsidR="00093775" w:rsidRPr="00E94651">
        <w:rPr>
          <w:lang w:val="en-US"/>
        </w:rPr>
        <w:t xml:space="preserve"> 10 No. 4.  110–121.</w:t>
      </w:r>
    </w:p>
    <w:p w14:paraId="4506D424" w14:textId="67E5DB4D" w:rsidR="00093775" w:rsidRPr="00E94651" w:rsidRDefault="00093775" w:rsidP="00DC4D45">
      <w:pPr>
        <w:pStyle w:val="CETReferencetext"/>
        <w:rPr>
          <w:lang w:val="en-US"/>
        </w:rPr>
      </w:pPr>
      <w:r w:rsidRPr="00E94651">
        <w:rPr>
          <w:lang w:val="en-US"/>
        </w:rPr>
        <w:t xml:space="preserve">E.Z. Imamov, R.A. Muminov, M.A. Askarov, Kh.N. Karimov, 2025, </w:t>
      </w:r>
      <w:r w:rsidR="00DC4D45" w:rsidRPr="00DC4D45">
        <w:rPr>
          <w:lang w:val="en-US"/>
        </w:rPr>
        <w:t>Determination of Contact Field Parameters of a Solar Cell with Multiple Nanoheterojunctions</w:t>
      </w:r>
      <w:r w:rsidR="00DC4D45">
        <w:rPr>
          <w:lang w:val="en-US"/>
        </w:rPr>
        <w:t xml:space="preserve"> </w:t>
      </w:r>
      <w:r w:rsidR="00DC4D45" w:rsidRPr="00DC4D45">
        <w:rPr>
          <w:lang w:val="en-US"/>
        </w:rPr>
        <w:t>&lt;Si:PbX&gt;</w:t>
      </w:r>
      <w:r w:rsidR="00DC4D45">
        <w:rPr>
          <w:lang w:val="en-US"/>
        </w:rPr>
        <w:t xml:space="preserve">, </w:t>
      </w:r>
      <w:r w:rsidRPr="00E94651">
        <w:rPr>
          <w:lang w:val="en-US"/>
        </w:rPr>
        <w:t>J. Nano- Electron. Phys. 17 No 5, 05017.</w:t>
      </w:r>
      <w:r w:rsidR="00DC4D45">
        <w:rPr>
          <w:lang w:val="en-US"/>
        </w:rPr>
        <w:t xml:space="preserve"> </w:t>
      </w:r>
    </w:p>
    <w:p w14:paraId="32053D4C" w14:textId="0E9B5924" w:rsidR="00093775" w:rsidRPr="00E94651" w:rsidRDefault="00093775" w:rsidP="00E22F74">
      <w:pPr>
        <w:pStyle w:val="CETReferencetext"/>
        <w:rPr>
          <w:lang w:val="en-US"/>
        </w:rPr>
      </w:pPr>
      <w:r w:rsidRPr="00E94651">
        <w:rPr>
          <w:lang w:val="en-US"/>
        </w:rPr>
        <w:t xml:space="preserve">K. Szendrei, W. Gomulya, M. Yarema, W. Heiss, and M. A. Loi. </w:t>
      </w:r>
      <w:r w:rsidR="00DC4D45" w:rsidRPr="00E94651">
        <w:rPr>
          <w:lang w:val="en-US"/>
        </w:rPr>
        <w:t xml:space="preserve">2010, </w:t>
      </w:r>
      <w:r w:rsidR="00DC4D45" w:rsidRPr="00DC4D45">
        <w:rPr>
          <w:lang w:val="en-US"/>
        </w:rPr>
        <w:t>PbS nanocrystal solar cells with high efficiency and fill factor</w:t>
      </w:r>
      <w:r w:rsidR="00DC4D45">
        <w:rPr>
          <w:lang w:val="en-US"/>
        </w:rPr>
        <w:t xml:space="preserve">, </w:t>
      </w:r>
      <w:r w:rsidRPr="00E94651">
        <w:rPr>
          <w:lang w:val="en-US"/>
        </w:rPr>
        <w:t>Appl. Phys. Lett. 97, 203501.</w:t>
      </w:r>
    </w:p>
    <w:p w14:paraId="0E0D6CBF" w14:textId="0D591F52" w:rsidR="00093775" w:rsidRPr="00E94651" w:rsidRDefault="00093775" w:rsidP="004C11D4">
      <w:pPr>
        <w:pStyle w:val="CETReferencetext"/>
        <w:rPr>
          <w:lang w:val="en-US"/>
        </w:rPr>
      </w:pPr>
      <w:r w:rsidRPr="00E94651">
        <w:rPr>
          <w:lang w:val="en-US"/>
        </w:rPr>
        <w:t>Klimov V.</w:t>
      </w:r>
      <w:r w:rsidR="0002153D">
        <w:rPr>
          <w:lang w:val="en-US"/>
        </w:rPr>
        <w:t>,</w:t>
      </w:r>
      <w:r w:rsidRPr="00E94651">
        <w:rPr>
          <w:lang w:val="en-US"/>
        </w:rPr>
        <w:t xml:space="preserve"> 2006, </w:t>
      </w:r>
      <w:r w:rsidR="00DC4D45" w:rsidRPr="00DC4D45">
        <w:rPr>
          <w:lang w:val="en-US"/>
        </w:rPr>
        <w:t>Mechanisms for Photogeneration and Recombination of Multiexcitons in Semiconductor Nanocrystals:  Implications for Lasing and Solar Energy Conversion</w:t>
      </w:r>
      <w:r w:rsidR="00DC4D45">
        <w:rPr>
          <w:lang w:val="en-US"/>
        </w:rPr>
        <w:t xml:space="preserve">, </w:t>
      </w:r>
      <w:r w:rsidRPr="00E94651">
        <w:rPr>
          <w:lang w:val="en-US"/>
        </w:rPr>
        <w:t>J. Phys. Chem. B. No. 110. 16827–16845.</w:t>
      </w:r>
    </w:p>
    <w:p w14:paraId="34119096" w14:textId="3D9CBED4" w:rsidR="00093775" w:rsidRPr="00E94651" w:rsidRDefault="00093775" w:rsidP="004C11D4">
      <w:pPr>
        <w:pStyle w:val="CETReferencetext"/>
        <w:rPr>
          <w:lang w:val="en-US"/>
        </w:rPr>
      </w:pPr>
      <w:r w:rsidRPr="00E94651">
        <w:rPr>
          <w:lang w:val="en-US"/>
        </w:rPr>
        <w:t xml:space="preserve">M.A. Askarov, E.Z. Imamov, Kh.N. Karimov, 2024, </w:t>
      </w:r>
      <w:r w:rsidR="00DC4D45" w:rsidRPr="00DC4D45">
        <w:rPr>
          <w:lang w:val="en-US"/>
        </w:rPr>
        <w:t>Physics of High Efficiency Silicon Solar Cell with Nanoinclusions of Lead Chalcogenides</w:t>
      </w:r>
      <w:r w:rsidR="00DC4D45">
        <w:rPr>
          <w:lang w:val="en-US"/>
        </w:rPr>
        <w:t xml:space="preserve">, </w:t>
      </w:r>
      <w:r w:rsidRPr="00E94651">
        <w:rPr>
          <w:lang w:val="en-US"/>
        </w:rPr>
        <w:t>J. Nano-Electron. Phys. 16 No 1, 01030.</w:t>
      </w:r>
    </w:p>
    <w:p w14:paraId="20E4A2FC" w14:textId="7439B6B6" w:rsidR="00093775" w:rsidRPr="00E94651" w:rsidRDefault="00093775" w:rsidP="004C11D4">
      <w:pPr>
        <w:pStyle w:val="CETReferencetext"/>
        <w:rPr>
          <w:lang w:val="en-US"/>
        </w:rPr>
      </w:pPr>
      <w:r w:rsidRPr="00E94651">
        <w:rPr>
          <w:lang w:val="en-US"/>
        </w:rPr>
        <w:t xml:space="preserve">M.A. Askarov, E.Z. Imamov, Kh.N. Karimov, 2025, </w:t>
      </w:r>
      <w:r w:rsidR="00DC4D45" w:rsidRPr="00DC4D45">
        <w:rPr>
          <w:lang w:val="en-US"/>
        </w:rPr>
        <w:t>Research of Electrophysical Processes in a Silicon Solar Cell with Many Surface Nanoheterojunctions</w:t>
      </w:r>
      <w:r w:rsidR="00DC4D45">
        <w:rPr>
          <w:lang w:val="en-US"/>
        </w:rPr>
        <w:t xml:space="preserve">, </w:t>
      </w:r>
      <w:r w:rsidRPr="00E94651">
        <w:rPr>
          <w:lang w:val="en-US"/>
        </w:rPr>
        <w:t>J. Nano- Electron. Phys. 17 No 1, 01007.</w:t>
      </w:r>
    </w:p>
    <w:p w14:paraId="7E4D64E0" w14:textId="1742CCC4" w:rsidR="00093775" w:rsidRPr="00E94651" w:rsidRDefault="00093775" w:rsidP="00E22F74">
      <w:pPr>
        <w:pStyle w:val="CETReferencetext"/>
        <w:rPr>
          <w:lang w:val="en-US"/>
        </w:rPr>
      </w:pPr>
      <w:r w:rsidRPr="00E94651">
        <w:rPr>
          <w:lang w:val="en-US"/>
        </w:rPr>
        <w:t xml:space="preserve">R. D. Schaller, M. A. Petruska, V. I. Klimov, 2005, </w:t>
      </w:r>
      <w:r w:rsidR="00DC4D45" w:rsidRPr="00DC4D45">
        <w:rPr>
          <w:lang w:val="en-US"/>
        </w:rPr>
        <w:t>Effect of electronic structure on carrier multiplication efficiency: Comparative study of PbSe and CdSe nanocrystals</w:t>
      </w:r>
      <w:r w:rsidR="00DC4D45">
        <w:rPr>
          <w:lang w:val="en-US"/>
        </w:rPr>
        <w:t xml:space="preserve">, </w:t>
      </w:r>
      <w:r w:rsidRPr="00E94651">
        <w:rPr>
          <w:lang w:val="en-US"/>
        </w:rPr>
        <w:t>Appl. Phys. Lett. 87, 253102.</w:t>
      </w:r>
    </w:p>
    <w:p w14:paraId="7A23E294" w14:textId="2AF8C8B6" w:rsidR="00093775" w:rsidRPr="00E94651" w:rsidRDefault="00093775" w:rsidP="00E22F74">
      <w:pPr>
        <w:pStyle w:val="CETReferencetext"/>
        <w:rPr>
          <w:lang w:val="en-US"/>
        </w:rPr>
      </w:pPr>
      <w:r w:rsidRPr="00E94651">
        <w:rPr>
          <w:lang w:val="en-US"/>
        </w:rPr>
        <w:t xml:space="preserve">R. D. Schaller, V. I. Klimov, 2004, </w:t>
      </w:r>
      <w:r w:rsidR="007A46B2" w:rsidRPr="007A46B2">
        <w:rPr>
          <w:lang w:val="en-US"/>
        </w:rPr>
        <w:t>High Efficiency Carrier Multiplication in PbSe Nanocrystals: Implications for Solar Energy Conversion</w:t>
      </w:r>
      <w:r w:rsidR="007A46B2">
        <w:rPr>
          <w:lang w:val="en-US"/>
        </w:rPr>
        <w:t xml:space="preserve">, </w:t>
      </w:r>
      <w:r w:rsidRPr="00E94651">
        <w:rPr>
          <w:lang w:val="en-US"/>
        </w:rPr>
        <w:t>Phys. Rev. Lett. 92, 186601.</w:t>
      </w:r>
    </w:p>
    <w:p w14:paraId="2F3194AA" w14:textId="77777777" w:rsidR="007A46B2" w:rsidRPr="007A46B2" w:rsidRDefault="00093775" w:rsidP="007A46B2">
      <w:pPr>
        <w:pStyle w:val="CETReferencetext"/>
        <w:rPr>
          <w:lang w:val="en-US"/>
        </w:rPr>
      </w:pPr>
      <w:r w:rsidRPr="00E94651">
        <w:rPr>
          <w:lang w:val="en-US"/>
        </w:rPr>
        <w:t xml:space="preserve">R.A. Muminov, E.Z. Imamov, R.Kh. Rakhimov, M.A. Askarov, 2023, </w:t>
      </w:r>
      <w:r w:rsidR="007A46B2" w:rsidRPr="007A46B2">
        <w:rPr>
          <w:lang w:val="en-US"/>
        </w:rPr>
        <w:t>Factors of Efficient Generation of Electricity</w:t>
      </w:r>
    </w:p>
    <w:p w14:paraId="4DB835AF" w14:textId="02BBDD45" w:rsidR="00093775" w:rsidRPr="00E94651" w:rsidRDefault="007A46B2" w:rsidP="007A46B2">
      <w:pPr>
        <w:pStyle w:val="CETReferencetext"/>
        <w:rPr>
          <w:lang w:val="en-US"/>
        </w:rPr>
      </w:pPr>
      <w:r w:rsidRPr="007A46B2">
        <w:rPr>
          <w:lang w:val="en-US"/>
        </w:rPr>
        <w:t>in a Solar Cell with Nanohetero Junctions</w:t>
      </w:r>
      <w:r>
        <w:rPr>
          <w:lang w:val="en-US"/>
        </w:rPr>
        <w:t xml:space="preserve">, </w:t>
      </w:r>
      <w:r w:rsidR="00093775" w:rsidRPr="00E94651">
        <w:rPr>
          <w:lang w:val="en-US"/>
        </w:rPr>
        <w:t>J. Computational Nanotechnology 10 No 1. 119–127.</w:t>
      </w:r>
    </w:p>
    <w:p w14:paraId="2EF06666" w14:textId="1AE4B34F" w:rsidR="00093775" w:rsidRPr="00E94651" w:rsidRDefault="00093775" w:rsidP="00E22F74">
      <w:pPr>
        <w:pStyle w:val="CETReferencetext"/>
        <w:rPr>
          <w:lang w:val="en-US"/>
        </w:rPr>
      </w:pPr>
      <w:r w:rsidRPr="00E94651">
        <w:rPr>
          <w:lang w:val="en-US"/>
        </w:rPr>
        <w:t>Raab A., Springholz G.</w:t>
      </w:r>
      <w:r w:rsidR="007A46B2">
        <w:rPr>
          <w:lang w:val="en-US"/>
        </w:rPr>
        <w:t>,</w:t>
      </w:r>
      <w:r w:rsidRPr="00E94651">
        <w:rPr>
          <w:lang w:val="en-US"/>
        </w:rPr>
        <w:t xml:space="preserve"> </w:t>
      </w:r>
      <w:r w:rsidRPr="00E94651">
        <w:rPr>
          <w:lang w:val="ru-RU"/>
        </w:rPr>
        <w:t>2002</w:t>
      </w:r>
      <w:r w:rsidRPr="00E94651">
        <w:rPr>
          <w:lang w:val="en-US"/>
        </w:rPr>
        <w:t xml:space="preserve">, </w:t>
      </w:r>
      <w:r w:rsidR="007A46B2" w:rsidRPr="007A46B2">
        <w:rPr>
          <w:lang w:val="en-US"/>
        </w:rPr>
        <w:t>Controlling the size and density of self-assembled PbSe quantum dots by adjusting the substrate temperature and layer thickness</w:t>
      </w:r>
      <w:r w:rsidR="007A46B2">
        <w:rPr>
          <w:lang w:val="en-US"/>
        </w:rPr>
        <w:t xml:space="preserve">, </w:t>
      </w:r>
      <w:r w:rsidRPr="00E94651">
        <w:rPr>
          <w:lang w:val="en-US"/>
        </w:rPr>
        <w:t>Appl. Phys</w:t>
      </w:r>
      <w:r w:rsidRPr="00E94651">
        <w:rPr>
          <w:lang w:val="ru-RU"/>
        </w:rPr>
        <w:t xml:space="preserve">. </w:t>
      </w:r>
      <w:r w:rsidRPr="00E94651">
        <w:rPr>
          <w:lang w:val="en-US"/>
        </w:rPr>
        <w:t>Lett</w:t>
      </w:r>
      <w:r w:rsidRPr="00E94651">
        <w:rPr>
          <w:lang w:val="ru-RU"/>
        </w:rPr>
        <w:t>.</w:t>
      </w:r>
      <w:r w:rsidRPr="00E94651">
        <w:rPr>
          <w:lang w:val="en-US"/>
        </w:rPr>
        <w:t xml:space="preserve"> </w:t>
      </w:r>
      <w:r w:rsidRPr="00E94651">
        <w:rPr>
          <w:lang w:val="ru-RU"/>
        </w:rPr>
        <w:t>81</w:t>
      </w:r>
      <w:r w:rsidRPr="00E94651">
        <w:rPr>
          <w:lang w:val="en-US"/>
        </w:rPr>
        <w:t xml:space="preserve">, </w:t>
      </w:r>
      <w:r w:rsidRPr="00E94651">
        <w:rPr>
          <w:lang w:val="ru-RU"/>
        </w:rPr>
        <w:t>2457-2459</w:t>
      </w:r>
      <w:r w:rsidRPr="00E94651">
        <w:rPr>
          <w:lang w:val="en-US"/>
        </w:rPr>
        <w:t>.</w:t>
      </w:r>
    </w:p>
    <w:p w14:paraId="57951924" w14:textId="77777777" w:rsidR="00093775" w:rsidRPr="00E94651" w:rsidRDefault="00093775" w:rsidP="00E22F74">
      <w:pPr>
        <w:pStyle w:val="CETReferencetext"/>
        <w:rPr>
          <w:lang w:val="uz-Cyrl-UZ"/>
        </w:rPr>
      </w:pPr>
      <w:r w:rsidRPr="00E94651">
        <w:rPr>
          <w:lang w:val="uk-UA"/>
        </w:rPr>
        <w:t>S. P. Zimin, E. S. Gorlachev S. P. 2011</w:t>
      </w:r>
      <w:r w:rsidRPr="00E94651">
        <w:rPr>
          <w:lang w:val="en-US"/>
        </w:rPr>
        <w:t xml:space="preserve">, </w:t>
      </w:r>
      <w:r w:rsidRPr="00E94651">
        <w:rPr>
          <w:lang w:val="uk-UA"/>
        </w:rPr>
        <w:t>Nanostructured chalcogenides of lead: monograph</w:t>
      </w:r>
      <w:r w:rsidRPr="00E94651">
        <w:rPr>
          <w:lang w:val="ru-RU"/>
        </w:rPr>
        <w:t>,</w:t>
      </w:r>
      <w:r w:rsidRPr="00E94651">
        <w:rPr>
          <w:lang w:val="uk-UA"/>
        </w:rPr>
        <w:t xml:space="preserve"> Yaroslav State University named after P. G. Demidov, –</w:t>
      </w:r>
      <w:r w:rsidRPr="00E94651">
        <w:rPr>
          <w:lang w:val="en-US"/>
        </w:rPr>
        <w:t>p.</w:t>
      </w:r>
      <w:r w:rsidRPr="00E94651">
        <w:rPr>
          <w:lang w:val="uk-UA"/>
        </w:rPr>
        <w:t xml:space="preserve"> 232</w:t>
      </w:r>
      <w:r w:rsidRPr="00E94651">
        <w:rPr>
          <w:lang w:val="ru-RU"/>
        </w:rPr>
        <w:t>.</w:t>
      </w:r>
    </w:p>
    <w:p w14:paraId="0DF25BDD" w14:textId="1ACC760A" w:rsidR="00093775" w:rsidRPr="00E94651" w:rsidRDefault="00093775" w:rsidP="00E22F74">
      <w:pPr>
        <w:pStyle w:val="CETReferencetext"/>
        <w:rPr>
          <w:lang w:val="en-US"/>
        </w:rPr>
      </w:pPr>
      <w:r w:rsidRPr="00E94651">
        <w:rPr>
          <w:lang w:val="en-US"/>
        </w:rPr>
        <w:t>Schaller, R.D.; Sykora, M.; Pietryga, J.M.; Klimov, V.I.</w:t>
      </w:r>
      <w:r w:rsidR="00BD5B1E">
        <w:rPr>
          <w:lang w:val="en-US"/>
        </w:rPr>
        <w:t>,</w:t>
      </w:r>
      <w:r w:rsidRPr="00E94651">
        <w:rPr>
          <w:lang w:val="en-US"/>
        </w:rPr>
        <w:t xml:space="preserve"> 2006,</w:t>
      </w:r>
      <w:r w:rsidR="00BD5B1E">
        <w:rPr>
          <w:lang w:val="en-US"/>
        </w:rPr>
        <w:t xml:space="preserve"> </w:t>
      </w:r>
      <w:r w:rsidR="00BD5B1E" w:rsidRPr="00BD5B1E">
        <w:rPr>
          <w:lang w:val="en-US"/>
        </w:rPr>
        <w:t>Seven excitons at a cost of one: redefining the limits for conversion efficiency of photons into charge carriers</w:t>
      </w:r>
      <w:r w:rsidR="00BD5B1E">
        <w:rPr>
          <w:lang w:val="en-US"/>
        </w:rPr>
        <w:t>,</w:t>
      </w:r>
      <w:r w:rsidRPr="00E94651">
        <w:rPr>
          <w:lang w:val="en-US"/>
        </w:rPr>
        <w:t xml:space="preserve"> Nano Lett., 6, 3, 424-429</w:t>
      </w:r>
      <w:r w:rsidR="00BD5B1E">
        <w:rPr>
          <w:lang w:val="en-US"/>
        </w:rPr>
        <w:t>.</w:t>
      </w:r>
    </w:p>
    <w:p w14:paraId="25BAE256" w14:textId="2A9CE065" w:rsidR="00093775" w:rsidRPr="00E94651" w:rsidRDefault="00093775" w:rsidP="004C11D4">
      <w:pPr>
        <w:pStyle w:val="CETReferencetext"/>
        <w:rPr>
          <w:lang w:val="en-US"/>
        </w:rPr>
      </w:pPr>
      <w:r w:rsidRPr="00E94651">
        <w:rPr>
          <w:lang w:val="en-US"/>
        </w:rPr>
        <w:t>Springholz G., Bauer G. 2007, Molecular beam epitaxy of IV–VI hetero-and nano-structures</w:t>
      </w:r>
      <w:r w:rsidR="00BD5B1E">
        <w:rPr>
          <w:lang w:val="en-US"/>
        </w:rPr>
        <w:t>,</w:t>
      </w:r>
      <w:r w:rsidRPr="00E94651">
        <w:rPr>
          <w:lang w:val="en-US"/>
        </w:rPr>
        <w:t xml:space="preserve"> Phys. Stat. Sol. (b). Vol. 244. No. 8. 2752–2767.</w:t>
      </w:r>
    </w:p>
    <w:p w14:paraId="0D89C7CD" w14:textId="247A47C2" w:rsidR="00093775" w:rsidRPr="00E94651" w:rsidRDefault="00093775" w:rsidP="00BD5B1E">
      <w:pPr>
        <w:pStyle w:val="CETReferencetext"/>
        <w:rPr>
          <w:lang w:val="en-US"/>
        </w:rPr>
      </w:pPr>
      <w:bookmarkStart w:id="5" w:name="_Hlk155702589"/>
      <w:r w:rsidRPr="00E94651">
        <w:rPr>
          <w:lang w:val="en-US"/>
        </w:rPr>
        <w:t>Stancu V., Pentia E., Goldenblum A., Buda M., Iordache G., Botila T.</w:t>
      </w:r>
      <w:r w:rsidR="00BD5B1E">
        <w:rPr>
          <w:lang w:val="en-US"/>
        </w:rPr>
        <w:t>,</w:t>
      </w:r>
      <w:r w:rsidRPr="00E94651">
        <w:rPr>
          <w:lang w:val="en-US"/>
        </w:rPr>
        <w:t xml:space="preserve"> 2007,</w:t>
      </w:r>
      <w:r w:rsidR="00BD5B1E">
        <w:rPr>
          <w:lang w:val="en-US"/>
        </w:rPr>
        <w:t xml:space="preserve"> </w:t>
      </w:r>
      <w:r w:rsidR="00BD5B1E" w:rsidRPr="00BD5B1E">
        <w:rPr>
          <w:lang w:val="en-US"/>
        </w:rPr>
        <w:t>A Comparative Study of Microcrystalline</w:t>
      </w:r>
      <w:r w:rsidR="00BD5B1E">
        <w:rPr>
          <w:lang w:val="en-US"/>
        </w:rPr>
        <w:t xml:space="preserve"> </w:t>
      </w:r>
      <w:r w:rsidR="00BD5B1E" w:rsidRPr="00BD5B1E">
        <w:rPr>
          <w:lang w:val="en-US"/>
        </w:rPr>
        <w:t>and Nanocrystalline Lead Sulfide Based</w:t>
      </w:r>
      <w:r w:rsidR="00BD5B1E">
        <w:rPr>
          <w:lang w:val="en-US"/>
        </w:rPr>
        <w:t xml:space="preserve"> </w:t>
      </w:r>
      <w:r w:rsidR="00BD5B1E" w:rsidRPr="00BD5B1E">
        <w:rPr>
          <w:lang w:val="en-US"/>
        </w:rPr>
        <w:t>PbS/SiO</w:t>
      </w:r>
      <w:r w:rsidR="00BD5B1E" w:rsidRPr="00BD5B1E">
        <w:rPr>
          <w:vertAlign w:val="subscript"/>
          <w:lang w:val="en-US"/>
        </w:rPr>
        <w:t>2</w:t>
      </w:r>
      <w:r w:rsidR="00BD5B1E" w:rsidRPr="00BD5B1E">
        <w:rPr>
          <w:lang w:val="en-US"/>
        </w:rPr>
        <w:t>/Si Heterostructures</w:t>
      </w:r>
      <w:r w:rsidRPr="00E94651">
        <w:rPr>
          <w:lang w:val="en-US"/>
        </w:rPr>
        <w:t xml:space="preserve"> Romanian Journal  of Information  Science  and Technology. 10. № 1. Рp. 53–66.</w:t>
      </w:r>
    </w:p>
    <w:p w14:paraId="79C2ACAE" w14:textId="1386246E" w:rsidR="00093775" w:rsidRPr="00E94651" w:rsidRDefault="00093775" w:rsidP="00E22F74">
      <w:pPr>
        <w:pStyle w:val="CETReferencetext"/>
        <w:rPr>
          <w:lang w:val="en-US"/>
        </w:rPr>
      </w:pPr>
      <w:r w:rsidRPr="00E94651">
        <w:rPr>
          <w:lang w:val="en-US"/>
        </w:rPr>
        <w:t>Sun B., Findikoglu A. T., Sykora M., Werder D. J., Klimov V. I.</w:t>
      </w:r>
      <w:r w:rsidR="00BD5B1E">
        <w:rPr>
          <w:lang w:val="en-US"/>
        </w:rPr>
        <w:t>,</w:t>
      </w:r>
      <w:r w:rsidRPr="00E94651">
        <w:rPr>
          <w:lang w:val="en-US"/>
        </w:rPr>
        <w:t xml:space="preserve"> 2009,</w:t>
      </w:r>
      <w:r w:rsidR="00BD5B1E">
        <w:rPr>
          <w:lang w:val="en-US"/>
        </w:rPr>
        <w:t xml:space="preserve"> </w:t>
      </w:r>
      <w:r w:rsidR="00BD5B1E" w:rsidRPr="00BD5B1E">
        <w:rPr>
          <w:lang w:val="en-US"/>
        </w:rPr>
        <w:t>Hybrid Photovoltaics Based on Semiconductor Nanocrystals and Amorphous Silicon</w:t>
      </w:r>
      <w:r w:rsidR="00BD5B1E">
        <w:rPr>
          <w:lang w:val="en-US"/>
        </w:rPr>
        <w:t>,</w:t>
      </w:r>
      <w:r w:rsidRPr="00E94651">
        <w:rPr>
          <w:lang w:val="en-US"/>
        </w:rPr>
        <w:t xml:space="preserve"> Nano Lett. 9, 3, 1235-1241.</w:t>
      </w:r>
    </w:p>
    <w:p w14:paraId="3C678BAB" w14:textId="444C7B2B" w:rsidR="00093775" w:rsidRPr="00E94651" w:rsidRDefault="00093775" w:rsidP="00E22F74">
      <w:pPr>
        <w:pStyle w:val="CETReferencetext"/>
        <w:rPr>
          <w:lang w:val="en-US"/>
        </w:rPr>
      </w:pPr>
      <w:bookmarkStart w:id="6" w:name="_Hlk230166047"/>
      <w:r w:rsidRPr="00E94651">
        <w:t>Zhang B.</w:t>
      </w:r>
      <w:bookmarkEnd w:id="6"/>
      <w:r w:rsidRPr="00E94651">
        <w:t>, Li Y., Qiao S.L., Li L., Wang Z.W., 2016, Research into fabrication and popularization of organic thin film solar cells, Chemical Engineering Transactions, 55, 25-30</w:t>
      </w:r>
      <w:r w:rsidR="000B24F2">
        <w:t>.</w:t>
      </w:r>
    </w:p>
    <w:bookmarkEnd w:id="5"/>
    <w:p w14:paraId="6B65EDB8" w14:textId="067A849E" w:rsidR="00093775" w:rsidRPr="00E94651" w:rsidRDefault="00093775" w:rsidP="00E22F74">
      <w:pPr>
        <w:pStyle w:val="CETReferencetext"/>
        <w:rPr>
          <w:lang w:val="uz-Cyrl-UZ"/>
        </w:rPr>
      </w:pPr>
      <w:r w:rsidRPr="00E94651">
        <w:rPr>
          <w:lang w:val="uz-Cyrl-UZ"/>
        </w:rPr>
        <w:t>Zikrillaev, N.F.</w:t>
      </w:r>
      <w:r w:rsidRPr="00E94651">
        <w:rPr>
          <w:lang w:val="en-US"/>
        </w:rPr>
        <w:t xml:space="preserve">, </w:t>
      </w:r>
      <w:r w:rsidRPr="00E94651">
        <w:rPr>
          <w:lang w:val="uz-Cyrl-UZ"/>
        </w:rPr>
        <w:t>Koveshnikov,</w:t>
      </w:r>
      <w:r w:rsidRPr="00E94651">
        <w:rPr>
          <w:lang w:val="en-US"/>
        </w:rPr>
        <w:t xml:space="preserve"> </w:t>
      </w:r>
      <w:r w:rsidRPr="00E94651">
        <w:rPr>
          <w:lang w:val="uz-Cyrl-UZ"/>
        </w:rPr>
        <w:t>S.V.</w:t>
      </w:r>
      <w:r w:rsidRPr="00E94651">
        <w:rPr>
          <w:lang w:val="en-US"/>
        </w:rPr>
        <w:t>,</w:t>
      </w:r>
      <w:r w:rsidRPr="00E94651">
        <w:rPr>
          <w:lang w:val="uz-Cyrl-UZ"/>
        </w:rPr>
        <w:t xml:space="preserve"> Trabzon, L</w:t>
      </w:r>
      <w:r w:rsidRPr="00E94651">
        <w:rPr>
          <w:lang w:val="en-US"/>
        </w:rPr>
        <w:t xml:space="preserve">., </w:t>
      </w:r>
      <w:r w:rsidRPr="00E94651">
        <w:rPr>
          <w:lang w:val="uz-Cyrl-UZ"/>
        </w:rPr>
        <w:t>Mavlonov,</w:t>
      </w:r>
      <w:r w:rsidRPr="00E94651">
        <w:rPr>
          <w:lang w:val="en-US"/>
        </w:rPr>
        <w:t xml:space="preserve"> </w:t>
      </w:r>
      <w:r w:rsidRPr="00E94651">
        <w:rPr>
          <w:lang w:val="uz-Cyrl-UZ"/>
        </w:rPr>
        <w:t>G.Kh.</w:t>
      </w:r>
      <w:r w:rsidRPr="00E94651">
        <w:rPr>
          <w:lang w:val="en-US"/>
        </w:rPr>
        <w:t>,</w:t>
      </w:r>
      <w:r w:rsidRPr="00E94651">
        <w:rPr>
          <w:lang w:val="uz-Cyrl-UZ"/>
        </w:rPr>
        <w:t xml:space="preserve"> Ismaylov,</w:t>
      </w:r>
      <w:r w:rsidRPr="00E94651">
        <w:rPr>
          <w:lang w:val="en-US"/>
        </w:rPr>
        <w:t xml:space="preserve"> </w:t>
      </w:r>
      <w:r w:rsidRPr="00E94651">
        <w:rPr>
          <w:lang w:val="uz-Cyrl-UZ"/>
        </w:rPr>
        <w:t>B.K.</w:t>
      </w:r>
      <w:r w:rsidRPr="00E94651">
        <w:rPr>
          <w:lang w:val="en-US"/>
        </w:rPr>
        <w:t>,</w:t>
      </w:r>
      <w:r w:rsidRPr="00E94651">
        <w:rPr>
          <w:lang w:val="uz-Cyrl-UZ"/>
        </w:rPr>
        <w:t xml:space="preserve"> Ismailov, T.B.</w:t>
      </w:r>
      <w:r w:rsidRPr="00E94651">
        <w:rPr>
          <w:lang w:val="en-US"/>
        </w:rPr>
        <w:t xml:space="preserve">, </w:t>
      </w:r>
      <w:r w:rsidRPr="00E94651">
        <w:rPr>
          <w:lang w:val="uz-Cyrl-UZ"/>
        </w:rPr>
        <w:t>Urakova</w:t>
      </w:r>
      <w:r w:rsidRPr="00E94651">
        <w:rPr>
          <w:lang w:val="en-US"/>
        </w:rPr>
        <w:t xml:space="preserve">, </w:t>
      </w:r>
      <w:r w:rsidRPr="00E94651">
        <w:rPr>
          <w:lang w:val="uz-Cyrl-UZ"/>
        </w:rPr>
        <w:t>F.E</w:t>
      </w:r>
      <w:r w:rsidRPr="00E94651">
        <w:rPr>
          <w:lang w:val="en-US"/>
        </w:rPr>
        <w:t>.</w:t>
      </w:r>
      <w:r w:rsidR="007D2740">
        <w:rPr>
          <w:lang w:val="en-US"/>
        </w:rPr>
        <w:t>,</w:t>
      </w:r>
      <w:r w:rsidRPr="00E94651">
        <w:rPr>
          <w:lang w:val="en-US"/>
        </w:rPr>
        <w:t xml:space="preserve"> 2025,</w:t>
      </w:r>
      <w:r w:rsidR="007D2740">
        <w:rPr>
          <w:lang w:val="en-US"/>
        </w:rPr>
        <w:t xml:space="preserve"> </w:t>
      </w:r>
      <w:r w:rsidR="007D2740" w:rsidRPr="007D2740">
        <w:rPr>
          <w:lang w:val="en-US"/>
        </w:rPr>
        <w:t>Ferromagnetic Properties of Silicon Doped Manganese Atoms, Surface Engineering and Applied Electrochemistry</w:t>
      </w:r>
      <w:r w:rsidR="007D2740">
        <w:rPr>
          <w:lang w:val="en-US"/>
        </w:rPr>
        <w:t>,</w:t>
      </w:r>
      <w:r w:rsidRPr="00E94651">
        <w:rPr>
          <w:lang w:val="en-US"/>
        </w:rPr>
        <w:t xml:space="preserve"> Surface Engineering and Applied Electrochemistry, 61, No. 1., 75–80.</w:t>
      </w:r>
    </w:p>
    <w:p w14:paraId="405D9A70" w14:textId="3CE32D2A" w:rsidR="00093775" w:rsidRPr="00E94651" w:rsidRDefault="00093775" w:rsidP="00E22F74">
      <w:pPr>
        <w:pStyle w:val="CETReferencetext"/>
      </w:pPr>
      <w:r w:rsidRPr="00E94651">
        <w:rPr>
          <w:lang w:val="ru-RU"/>
        </w:rPr>
        <w:t>Zikrillaev, N.F., Urakova, F.E., Toshev, A.R., Kushiev, G.A., Ismailov, T.B., Abduganiev, Y.A., Norkulov, N.</w:t>
      </w:r>
      <w:r w:rsidR="007D2740">
        <w:rPr>
          <w:lang w:val="en-US"/>
        </w:rPr>
        <w:t>,</w:t>
      </w:r>
      <w:r w:rsidRPr="00E94651">
        <w:rPr>
          <w:lang w:val="ru-RU"/>
        </w:rPr>
        <w:t xml:space="preserve"> 2025</w:t>
      </w:r>
      <w:r w:rsidRPr="00E94651">
        <w:rPr>
          <w:lang w:val="en-US"/>
        </w:rPr>
        <w:t xml:space="preserve">, </w:t>
      </w:r>
      <w:r w:rsidR="007D2740" w:rsidRPr="007D2740">
        <w:rPr>
          <w:lang w:val="ru-RU"/>
        </w:rPr>
        <w:t>Physical and Magnetic Properties of Silicon Doped with Impurity Germanium Atoms</w:t>
      </w:r>
      <w:r w:rsidR="007D2740">
        <w:rPr>
          <w:lang w:val="en-US"/>
        </w:rPr>
        <w:t xml:space="preserve">, </w:t>
      </w:r>
      <w:r w:rsidRPr="00E94651">
        <w:rPr>
          <w:lang w:val="ru-RU"/>
        </w:rPr>
        <w:t>East European Journal of Physics, (1), 184–189</w:t>
      </w:r>
      <w:r w:rsidRPr="00E94651">
        <w:rPr>
          <w:lang w:val="en-US"/>
        </w:rPr>
        <w:t>.</w:t>
      </w:r>
    </w:p>
    <w:p w14:paraId="61FA986C" w14:textId="5FCD1144" w:rsidR="00093775" w:rsidRPr="00E94651" w:rsidRDefault="00093775" w:rsidP="00E22F74">
      <w:pPr>
        <w:pStyle w:val="CETReferencetext"/>
        <w:rPr>
          <w:lang w:val="en-US"/>
        </w:rPr>
      </w:pPr>
      <w:r w:rsidRPr="00E94651">
        <w:rPr>
          <w:lang w:val="uz-Cyrl-UZ"/>
        </w:rPr>
        <w:t>Zikrillayev, N.F., Mavlonov, G.Kh., Trabzon, L., Koveshnikov, S.V., Kenzhaev, Z.T., Ismailov, T.B., Abduganiev, Y.A.</w:t>
      </w:r>
      <w:r w:rsidR="007D2740">
        <w:rPr>
          <w:lang w:val="en-US"/>
        </w:rPr>
        <w:t>,</w:t>
      </w:r>
      <w:r w:rsidRPr="00E94651">
        <w:rPr>
          <w:lang w:val="uz-Cyrl-UZ"/>
        </w:rPr>
        <w:t xml:space="preserve"> 2023</w:t>
      </w:r>
      <w:r w:rsidRPr="00E94651">
        <w:rPr>
          <w:lang w:val="en-US"/>
        </w:rPr>
        <w:t xml:space="preserve">, </w:t>
      </w:r>
      <w:r w:rsidR="007D2740" w:rsidRPr="007D2740">
        <w:rPr>
          <w:lang w:val="en-US"/>
        </w:rPr>
        <w:t>Magnetic Properties of Silicon with Paramagnetic Impurity Atoms</w:t>
      </w:r>
      <w:r w:rsidR="007D2740">
        <w:rPr>
          <w:lang w:val="en-US"/>
        </w:rPr>
        <w:t>,</w:t>
      </w:r>
      <w:r w:rsidR="007D2740" w:rsidRPr="007D2740">
        <w:rPr>
          <w:lang w:val="en-US"/>
        </w:rPr>
        <w:t xml:space="preserve"> </w:t>
      </w:r>
      <w:r w:rsidRPr="00E94651">
        <w:rPr>
          <w:lang w:val="uz-Cyrl-UZ"/>
        </w:rPr>
        <w:t>East European Journal of Physics, (3), 380–384</w:t>
      </w:r>
      <w:r w:rsidRPr="00E94651">
        <w:rPr>
          <w:lang w:val="en-US"/>
        </w:rPr>
        <w:t>.</w:t>
      </w:r>
    </w:p>
    <w:sectPr w:rsidR="00093775" w:rsidRPr="00E94651"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86BD86" w14:textId="77777777" w:rsidR="006E690A" w:rsidRDefault="006E690A" w:rsidP="004F5E36">
      <w:r>
        <w:separator/>
      </w:r>
    </w:p>
  </w:endnote>
  <w:endnote w:type="continuationSeparator" w:id="0">
    <w:p w14:paraId="0E202B16" w14:textId="77777777" w:rsidR="006E690A" w:rsidRDefault="006E690A"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367482" w14:textId="77777777" w:rsidR="006E690A" w:rsidRDefault="006E690A" w:rsidP="004F5E36">
      <w:r>
        <w:separator/>
      </w:r>
    </w:p>
  </w:footnote>
  <w:footnote w:type="continuationSeparator" w:id="0">
    <w:p w14:paraId="724ABB74" w14:textId="77777777" w:rsidR="006E690A" w:rsidRDefault="006E690A"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8DC7285"/>
    <w:multiLevelType w:val="multilevel"/>
    <w:tmpl w:val="3F68E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9D19F0"/>
    <w:multiLevelType w:val="hybridMultilevel"/>
    <w:tmpl w:val="7C2632C6"/>
    <w:lvl w:ilvl="0" w:tplc="04190001">
      <w:start w:val="1"/>
      <w:numFmt w:val="bullet"/>
      <w:lvlText w:val=""/>
      <w:lvlJc w:val="left"/>
      <w:pPr>
        <w:ind w:left="1004" w:hanging="360"/>
      </w:pPr>
      <w:rPr>
        <w:rFonts w:ascii="Symbol" w:hAnsi="Symbol" w:hint="default"/>
      </w:rPr>
    </w:lvl>
    <w:lvl w:ilvl="1" w:tplc="3A703F8E">
      <w:numFmt w:val="bullet"/>
      <w:lvlText w:val="-"/>
      <w:lvlJc w:val="left"/>
      <w:pPr>
        <w:ind w:left="1724" w:hanging="360"/>
      </w:pPr>
      <w:rPr>
        <w:rFonts w:ascii="Century Schoolbook" w:eastAsia="Times New Roman" w:hAnsi="Century Schoolbook" w:cs="Times New Roman"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1FD277E2"/>
    <w:multiLevelType w:val="hybridMultilevel"/>
    <w:tmpl w:val="966A0A50"/>
    <w:lvl w:ilvl="0" w:tplc="5DB69416">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FFB07FE"/>
    <w:multiLevelType w:val="hybridMultilevel"/>
    <w:tmpl w:val="AB625928"/>
    <w:lvl w:ilvl="0" w:tplc="5DB69416">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438217E"/>
    <w:multiLevelType w:val="multilevel"/>
    <w:tmpl w:val="F596292E"/>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5" w15:restartNumberingAfterBreak="0">
    <w:nsid w:val="29322B9F"/>
    <w:multiLevelType w:val="multilevel"/>
    <w:tmpl w:val="1E642A78"/>
    <w:lvl w:ilvl="0">
      <w:start w:val="1"/>
      <w:numFmt w:val="upperLetter"/>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6" w15:restartNumberingAfterBreak="0">
    <w:nsid w:val="30D809F1"/>
    <w:multiLevelType w:val="multilevel"/>
    <w:tmpl w:val="29B4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3D505C21"/>
    <w:multiLevelType w:val="hybridMultilevel"/>
    <w:tmpl w:val="75A47E0C"/>
    <w:lvl w:ilvl="0" w:tplc="C8BC72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10232AF"/>
    <w:multiLevelType w:val="multilevel"/>
    <w:tmpl w:val="275C6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6F454D"/>
    <w:multiLevelType w:val="multilevel"/>
    <w:tmpl w:val="A70A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2B52CE"/>
    <w:multiLevelType w:val="multilevel"/>
    <w:tmpl w:val="DCEA7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D40A0A"/>
    <w:multiLevelType w:val="multilevel"/>
    <w:tmpl w:val="CB04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29" w15:restartNumberingAfterBreak="0">
    <w:nsid w:val="57BB63B5"/>
    <w:multiLevelType w:val="hybridMultilevel"/>
    <w:tmpl w:val="A4283338"/>
    <w:lvl w:ilvl="0" w:tplc="C8BC72CA">
      <w:start w:val="1"/>
      <w:numFmt w:val="bullet"/>
      <w:lvlText w:val=""/>
      <w:lvlJc w:val="left"/>
      <w:pPr>
        <w:ind w:left="1004" w:hanging="360"/>
      </w:pPr>
      <w:rPr>
        <w:rFonts w:ascii="Symbol" w:hAnsi="Symbol" w:hint="default"/>
      </w:rPr>
    </w:lvl>
    <w:lvl w:ilvl="1" w:tplc="3A703F8E">
      <w:numFmt w:val="bullet"/>
      <w:lvlText w:val="-"/>
      <w:lvlJc w:val="left"/>
      <w:pPr>
        <w:ind w:left="1724" w:hanging="360"/>
      </w:pPr>
      <w:rPr>
        <w:rFonts w:ascii="Century Schoolbook" w:eastAsia="Times New Roman" w:hAnsi="Century Schoolbook" w:cs="Times New Roman"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668972C9"/>
    <w:multiLevelType w:val="hybridMultilevel"/>
    <w:tmpl w:val="2D547B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32F226F"/>
    <w:multiLevelType w:val="multilevel"/>
    <w:tmpl w:val="5B121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4A3699C"/>
    <w:multiLevelType w:val="hybridMultilevel"/>
    <w:tmpl w:val="9D4860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E16604B"/>
    <w:multiLevelType w:val="multilevel"/>
    <w:tmpl w:val="E050D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28"/>
  </w:num>
  <w:num w:numId="13">
    <w:abstractNumId w:val="18"/>
  </w:num>
  <w:num w:numId="14">
    <w:abstractNumId w:val="30"/>
  </w:num>
  <w:num w:numId="15">
    <w:abstractNumId w:val="33"/>
  </w:num>
  <w:num w:numId="16">
    <w:abstractNumId w:val="31"/>
  </w:num>
  <w:num w:numId="17">
    <w:abstractNumId w:val="17"/>
  </w:num>
  <w:num w:numId="18">
    <w:abstractNumId w:val="18"/>
    <w:lvlOverride w:ilvl="0">
      <w:startOverride w:val="1"/>
    </w:lvlOverride>
  </w:num>
  <w:num w:numId="19">
    <w:abstractNumId w:val="27"/>
  </w:num>
  <w:num w:numId="20">
    <w:abstractNumId w:val="26"/>
  </w:num>
  <w:num w:numId="21">
    <w:abstractNumId w:val="20"/>
  </w:num>
  <w:num w:numId="22">
    <w:abstractNumId w:val="19"/>
  </w:num>
  <w:num w:numId="23">
    <w:abstractNumId w:val="16"/>
  </w:num>
  <w:num w:numId="24">
    <w:abstractNumId w:val="15"/>
  </w:num>
  <w:num w:numId="25">
    <w:abstractNumId w:val="11"/>
  </w:num>
  <w:num w:numId="26">
    <w:abstractNumId w:val="32"/>
  </w:num>
  <w:num w:numId="27">
    <w:abstractNumId w:val="29"/>
  </w:num>
  <w:num w:numId="28">
    <w:abstractNumId w:val="21"/>
  </w:num>
  <w:num w:numId="29">
    <w:abstractNumId w:val="25"/>
  </w:num>
  <w:num w:numId="30">
    <w:abstractNumId w:val="35"/>
  </w:num>
  <w:num w:numId="31">
    <w:abstractNumId w:val="12"/>
  </w:num>
  <w:num w:numId="32">
    <w:abstractNumId w:val="13"/>
  </w:num>
  <w:num w:numId="33">
    <w:abstractNumId w:val="24"/>
  </w:num>
  <w:num w:numId="34">
    <w:abstractNumId w:val="10"/>
  </w:num>
  <w:num w:numId="35">
    <w:abstractNumId w:val="22"/>
  </w:num>
  <w:num w:numId="36">
    <w:abstractNumId w:val="36"/>
  </w:num>
  <w:num w:numId="37">
    <w:abstractNumId w:val="23"/>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3E59"/>
    <w:rsid w:val="000173F9"/>
    <w:rsid w:val="0002153D"/>
    <w:rsid w:val="0003148D"/>
    <w:rsid w:val="00031EEC"/>
    <w:rsid w:val="00051566"/>
    <w:rsid w:val="000562A9"/>
    <w:rsid w:val="00062A9A"/>
    <w:rsid w:val="00065058"/>
    <w:rsid w:val="00082E3D"/>
    <w:rsid w:val="000836F9"/>
    <w:rsid w:val="00086C39"/>
    <w:rsid w:val="000930A6"/>
    <w:rsid w:val="00093775"/>
    <w:rsid w:val="00097CAB"/>
    <w:rsid w:val="000A03B2"/>
    <w:rsid w:val="000B24F2"/>
    <w:rsid w:val="000D0268"/>
    <w:rsid w:val="000D34BE"/>
    <w:rsid w:val="000D42CC"/>
    <w:rsid w:val="000E0614"/>
    <w:rsid w:val="000E102F"/>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2AA5"/>
    <w:rsid w:val="001331DF"/>
    <w:rsid w:val="00134DE4"/>
    <w:rsid w:val="0014034D"/>
    <w:rsid w:val="00140FE3"/>
    <w:rsid w:val="00143313"/>
    <w:rsid w:val="00144D16"/>
    <w:rsid w:val="00150E59"/>
    <w:rsid w:val="00152DE3"/>
    <w:rsid w:val="00164CF9"/>
    <w:rsid w:val="001667A6"/>
    <w:rsid w:val="0017560D"/>
    <w:rsid w:val="00184AD6"/>
    <w:rsid w:val="001A4AF7"/>
    <w:rsid w:val="001B0349"/>
    <w:rsid w:val="001B1E93"/>
    <w:rsid w:val="001B65C1"/>
    <w:rsid w:val="001C260F"/>
    <w:rsid w:val="001C33F1"/>
    <w:rsid w:val="001C684B"/>
    <w:rsid w:val="001C6917"/>
    <w:rsid w:val="001D0CFB"/>
    <w:rsid w:val="001D21AF"/>
    <w:rsid w:val="001D53FC"/>
    <w:rsid w:val="001F42A5"/>
    <w:rsid w:val="001F7B9D"/>
    <w:rsid w:val="00201C93"/>
    <w:rsid w:val="002224B4"/>
    <w:rsid w:val="0022780C"/>
    <w:rsid w:val="00242C87"/>
    <w:rsid w:val="002447EF"/>
    <w:rsid w:val="00251550"/>
    <w:rsid w:val="00263B05"/>
    <w:rsid w:val="0027221A"/>
    <w:rsid w:val="00275B61"/>
    <w:rsid w:val="00280FAF"/>
    <w:rsid w:val="00282656"/>
    <w:rsid w:val="002857D5"/>
    <w:rsid w:val="00296B83"/>
    <w:rsid w:val="002B38E3"/>
    <w:rsid w:val="002B4015"/>
    <w:rsid w:val="002B78CE"/>
    <w:rsid w:val="002C2FB6"/>
    <w:rsid w:val="002D1F60"/>
    <w:rsid w:val="002E5FA7"/>
    <w:rsid w:val="002F3309"/>
    <w:rsid w:val="003008CE"/>
    <w:rsid w:val="003009B7"/>
    <w:rsid w:val="00300E56"/>
    <w:rsid w:val="0030152C"/>
    <w:rsid w:val="0030469C"/>
    <w:rsid w:val="003070F1"/>
    <w:rsid w:val="00312A4D"/>
    <w:rsid w:val="00321CA6"/>
    <w:rsid w:val="00323763"/>
    <w:rsid w:val="00323C5F"/>
    <w:rsid w:val="00334C09"/>
    <w:rsid w:val="00343648"/>
    <w:rsid w:val="003723D4"/>
    <w:rsid w:val="00381905"/>
    <w:rsid w:val="00384CC8"/>
    <w:rsid w:val="003871FD"/>
    <w:rsid w:val="003A1E30"/>
    <w:rsid w:val="003A2829"/>
    <w:rsid w:val="003A7D1C"/>
    <w:rsid w:val="003B304B"/>
    <w:rsid w:val="003B3146"/>
    <w:rsid w:val="003C7840"/>
    <w:rsid w:val="003D1E02"/>
    <w:rsid w:val="003F015E"/>
    <w:rsid w:val="00400414"/>
    <w:rsid w:val="0041446B"/>
    <w:rsid w:val="0044071E"/>
    <w:rsid w:val="0044329C"/>
    <w:rsid w:val="00453E24"/>
    <w:rsid w:val="00457456"/>
    <w:rsid w:val="004577FE"/>
    <w:rsid w:val="00457B9C"/>
    <w:rsid w:val="0046164A"/>
    <w:rsid w:val="004628D2"/>
    <w:rsid w:val="00462DCD"/>
    <w:rsid w:val="004648AD"/>
    <w:rsid w:val="004703A9"/>
    <w:rsid w:val="004760DE"/>
    <w:rsid w:val="004763D7"/>
    <w:rsid w:val="004A004E"/>
    <w:rsid w:val="004A24CF"/>
    <w:rsid w:val="004A5E57"/>
    <w:rsid w:val="004C0EF1"/>
    <w:rsid w:val="004C11D4"/>
    <w:rsid w:val="004C194F"/>
    <w:rsid w:val="004C3D1D"/>
    <w:rsid w:val="004C3D84"/>
    <w:rsid w:val="004C7913"/>
    <w:rsid w:val="004E4DD6"/>
    <w:rsid w:val="004F5E36"/>
    <w:rsid w:val="004F7812"/>
    <w:rsid w:val="00507B47"/>
    <w:rsid w:val="00507BEF"/>
    <w:rsid w:val="00507CC9"/>
    <w:rsid w:val="005119A5"/>
    <w:rsid w:val="005278B7"/>
    <w:rsid w:val="0053003F"/>
    <w:rsid w:val="00532016"/>
    <w:rsid w:val="005346C8"/>
    <w:rsid w:val="005348FC"/>
    <w:rsid w:val="00543E7D"/>
    <w:rsid w:val="00547A68"/>
    <w:rsid w:val="005531C9"/>
    <w:rsid w:val="00555B3D"/>
    <w:rsid w:val="00570C43"/>
    <w:rsid w:val="00587154"/>
    <w:rsid w:val="00592274"/>
    <w:rsid w:val="005B2110"/>
    <w:rsid w:val="005B61E6"/>
    <w:rsid w:val="005C77E1"/>
    <w:rsid w:val="005D668A"/>
    <w:rsid w:val="005D6A2F"/>
    <w:rsid w:val="005E0592"/>
    <w:rsid w:val="005E1A82"/>
    <w:rsid w:val="005E794C"/>
    <w:rsid w:val="005F0A28"/>
    <w:rsid w:val="005F0E5E"/>
    <w:rsid w:val="00600535"/>
    <w:rsid w:val="00610CD6"/>
    <w:rsid w:val="00620DEE"/>
    <w:rsid w:val="00621F92"/>
    <w:rsid w:val="0062280A"/>
    <w:rsid w:val="006231E1"/>
    <w:rsid w:val="00625639"/>
    <w:rsid w:val="00631B33"/>
    <w:rsid w:val="0064184D"/>
    <w:rsid w:val="006422CC"/>
    <w:rsid w:val="00651D18"/>
    <w:rsid w:val="00660E3E"/>
    <w:rsid w:val="00662E74"/>
    <w:rsid w:val="00664F9F"/>
    <w:rsid w:val="00680C23"/>
    <w:rsid w:val="00683E23"/>
    <w:rsid w:val="00693766"/>
    <w:rsid w:val="006A3281"/>
    <w:rsid w:val="006B4888"/>
    <w:rsid w:val="006C2E45"/>
    <w:rsid w:val="006C359C"/>
    <w:rsid w:val="006C5579"/>
    <w:rsid w:val="006D6E8B"/>
    <w:rsid w:val="006D7209"/>
    <w:rsid w:val="006E690A"/>
    <w:rsid w:val="006E737D"/>
    <w:rsid w:val="00707DD1"/>
    <w:rsid w:val="00713973"/>
    <w:rsid w:val="00720A24"/>
    <w:rsid w:val="00732386"/>
    <w:rsid w:val="0073514D"/>
    <w:rsid w:val="007356C2"/>
    <w:rsid w:val="007447F3"/>
    <w:rsid w:val="0075499F"/>
    <w:rsid w:val="00757E83"/>
    <w:rsid w:val="007617CC"/>
    <w:rsid w:val="00765DF0"/>
    <w:rsid w:val="007661C8"/>
    <w:rsid w:val="0077098D"/>
    <w:rsid w:val="00776ABA"/>
    <w:rsid w:val="00785BF9"/>
    <w:rsid w:val="007931FA"/>
    <w:rsid w:val="007A24A4"/>
    <w:rsid w:val="007A46B2"/>
    <w:rsid w:val="007A4861"/>
    <w:rsid w:val="007A7BBA"/>
    <w:rsid w:val="007B0C50"/>
    <w:rsid w:val="007B48F9"/>
    <w:rsid w:val="007C04B8"/>
    <w:rsid w:val="007C1A43"/>
    <w:rsid w:val="007D0951"/>
    <w:rsid w:val="007D2740"/>
    <w:rsid w:val="007D3C76"/>
    <w:rsid w:val="007E43EE"/>
    <w:rsid w:val="007F27C8"/>
    <w:rsid w:val="007F4842"/>
    <w:rsid w:val="0080013E"/>
    <w:rsid w:val="00813288"/>
    <w:rsid w:val="008168FC"/>
    <w:rsid w:val="00816DA4"/>
    <w:rsid w:val="00830996"/>
    <w:rsid w:val="008314D7"/>
    <w:rsid w:val="008345F1"/>
    <w:rsid w:val="00865B07"/>
    <w:rsid w:val="008667EA"/>
    <w:rsid w:val="0087637F"/>
    <w:rsid w:val="00892AD5"/>
    <w:rsid w:val="008A1512"/>
    <w:rsid w:val="008A2956"/>
    <w:rsid w:val="008D32B9"/>
    <w:rsid w:val="008D433B"/>
    <w:rsid w:val="008D4A16"/>
    <w:rsid w:val="008E209A"/>
    <w:rsid w:val="008E45BC"/>
    <w:rsid w:val="008E566E"/>
    <w:rsid w:val="0090161A"/>
    <w:rsid w:val="00901EB6"/>
    <w:rsid w:val="009041F8"/>
    <w:rsid w:val="00904C62"/>
    <w:rsid w:val="00922BA8"/>
    <w:rsid w:val="0092406D"/>
    <w:rsid w:val="00924DAC"/>
    <w:rsid w:val="00927058"/>
    <w:rsid w:val="00942750"/>
    <w:rsid w:val="00944EC8"/>
    <w:rsid w:val="009450CE"/>
    <w:rsid w:val="009459BB"/>
    <w:rsid w:val="00947179"/>
    <w:rsid w:val="0095164B"/>
    <w:rsid w:val="00954090"/>
    <w:rsid w:val="009573E7"/>
    <w:rsid w:val="00963E05"/>
    <w:rsid w:val="00964A45"/>
    <w:rsid w:val="00967843"/>
    <w:rsid w:val="00967D54"/>
    <w:rsid w:val="00971028"/>
    <w:rsid w:val="00993B84"/>
    <w:rsid w:val="00996483"/>
    <w:rsid w:val="00996F5A"/>
    <w:rsid w:val="009B041A"/>
    <w:rsid w:val="009C37C3"/>
    <w:rsid w:val="009C7C86"/>
    <w:rsid w:val="009D2FF7"/>
    <w:rsid w:val="009E7884"/>
    <w:rsid w:val="009E788A"/>
    <w:rsid w:val="009F0E08"/>
    <w:rsid w:val="009F2057"/>
    <w:rsid w:val="00A079AE"/>
    <w:rsid w:val="00A161A1"/>
    <w:rsid w:val="00A1763D"/>
    <w:rsid w:val="00A17CEC"/>
    <w:rsid w:val="00A26CBB"/>
    <w:rsid w:val="00A27EF0"/>
    <w:rsid w:val="00A42361"/>
    <w:rsid w:val="00A467B1"/>
    <w:rsid w:val="00A50B20"/>
    <w:rsid w:val="00A51390"/>
    <w:rsid w:val="00A5456B"/>
    <w:rsid w:val="00A60D13"/>
    <w:rsid w:val="00A7223D"/>
    <w:rsid w:val="00A72745"/>
    <w:rsid w:val="00A76002"/>
    <w:rsid w:val="00A76EFC"/>
    <w:rsid w:val="00A87D50"/>
    <w:rsid w:val="00A91010"/>
    <w:rsid w:val="00A97F29"/>
    <w:rsid w:val="00AA702E"/>
    <w:rsid w:val="00AA7D26"/>
    <w:rsid w:val="00AB0964"/>
    <w:rsid w:val="00AB2C55"/>
    <w:rsid w:val="00AB5011"/>
    <w:rsid w:val="00AB7507"/>
    <w:rsid w:val="00AC2237"/>
    <w:rsid w:val="00AC7368"/>
    <w:rsid w:val="00AD0278"/>
    <w:rsid w:val="00AD16B9"/>
    <w:rsid w:val="00AE377D"/>
    <w:rsid w:val="00AF0EBA"/>
    <w:rsid w:val="00AF728E"/>
    <w:rsid w:val="00B02C8A"/>
    <w:rsid w:val="00B17FBD"/>
    <w:rsid w:val="00B315A6"/>
    <w:rsid w:val="00B31813"/>
    <w:rsid w:val="00B33365"/>
    <w:rsid w:val="00B37EBF"/>
    <w:rsid w:val="00B57B36"/>
    <w:rsid w:val="00B57E6F"/>
    <w:rsid w:val="00B609D4"/>
    <w:rsid w:val="00B63FA9"/>
    <w:rsid w:val="00B83DE0"/>
    <w:rsid w:val="00B8686D"/>
    <w:rsid w:val="00B93F69"/>
    <w:rsid w:val="00BB1DDC"/>
    <w:rsid w:val="00BB6C6A"/>
    <w:rsid w:val="00BC30C9"/>
    <w:rsid w:val="00BC64AA"/>
    <w:rsid w:val="00BD077D"/>
    <w:rsid w:val="00BD5B1E"/>
    <w:rsid w:val="00BE3E58"/>
    <w:rsid w:val="00BF0085"/>
    <w:rsid w:val="00C01616"/>
    <w:rsid w:val="00C0162B"/>
    <w:rsid w:val="00C048A4"/>
    <w:rsid w:val="00C068ED"/>
    <w:rsid w:val="00C208E9"/>
    <w:rsid w:val="00C22E0C"/>
    <w:rsid w:val="00C345B1"/>
    <w:rsid w:val="00C40142"/>
    <w:rsid w:val="00C42E0E"/>
    <w:rsid w:val="00C52C3C"/>
    <w:rsid w:val="00C57182"/>
    <w:rsid w:val="00C57863"/>
    <w:rsid w:val="00C640AF"/>
    <w:rsid w:val="00C655FD"/>
    <w:rsid w:val="00C75407"/>
    <w:rsid w:val="00C841C6"/>
    <w:rsid w:val="00C870A8"/>
    <w:rsid w:val="00C94434"/>
    <w:rsid w:val="00CA0D75"/>
    <w:rsid w:val="00CA1C95"/>
    <w:rsid w:val="00CA5A9C"/>
    <w:rsid w:val="00CB2614"/>
    <w:rsid w:val="00CB37AE"/>
    <w:rsid w:val="00CC4C20"/>
    <w:rsid w:val="00CC6F84"/>
    <w:rsid w:val="00CD3517"/>
    <w:rsid w:val="00CD3706"/>
    <w:rsid w:val="00CD5EA0"/>
    <w:rsid w:val="00CD5FE2"/>
    <w:rsid w:val="00CE7C68"/>
    <w:rsid w:val="00D02B4C"/>
    <w:rsid w:val="00D040C4"/>
    <w:rsid w:val="00D041FC"/>
    <w:rsid w:val="00D20AD1"/>
    <w:rsid w:val="00D228B2"/>
    <w:rsid w:val="00D2582C"/>
    <w:rsid w:val="00D31A06"/>
    <w:rsid w:val="00D46B7E"/>
    <w:rsid w:val="00D57C84"/>
    <w:rsid w:val="00D6057D"/>
    <w:rsid w:val="00D64E93"/>
    <w:rsid w:val="00D703D8"/>
    <w:rsid w:val="00D71640"/>
    <w:rsid w:val="00D836C5"/>
    <w:rsid w:val="00D84576"/>
    <w:rsid w:val="00DA1399"/>
    <w:rsid w:val="00DA24C6"/>
    <w:rsid w:val="00DA4D7B"/>
    <w:rsid w:val="00DC4D45"/>
    <w:rsid w:val="00DD271C"/>
    <w:rsid w:val="00DE264A"/>
    <w:rsid w:val="00DF5072"/>
    <w:rsid w:val="00E02D18"/>
    <w:rsid w:val="00E041E7"/>
    <w:rsid w:val="00E22F74"/>
    <w:rsid w:val="00E23583"/>
    <w:rsid w:val="00E23CA1"/>
    <w:rsid w:val="00E364B7"/>
    <w:rsid w:val="00E409A8"/>
    <w:rsid w:val="00E45A2F"/>
    <w:rsid w:val="00E47D61"/>
    <w:rsid w:val="00E50C12"/>
    <w:rsid w:val="00E65B91"/>
    <w:rsid w:val="00E7209D"/>
    <w:rsid w:val="00E72EAD"/>
    <w:rsid w:val="00E77223"/>
    <w:rsid w:val="00E8528B"/>
    <w:rsid w:val="00E85B94"/>
    <w:rsid w:val="00E94651"/>
    <w:rsid w:val="00E978D0"/>
    <w:rsid w:val="00EA4613"/>
    <w:rsid w:val="00EA7F91"/>
    <w:rsid w:val="00EB1523"/>
    <w:rsid w:val="00EC0E49"/>
    <w:rsid w:val="00EC101F"/>
    <w:rsid w:val="00EC1D9F"/>
    <w:rsid w:val="00EE0131"/>
    <w:rsid w:val="00EE17B0"/>
    <w:rsid w:val="00EF06D9"/>
    <w:rsid w:val="00EF0982"/>
    <w:rsid w:val="00F126A5"/>
    <w:rsid w:val="00F12B2F"/>
    <w:rsid w:val="00F164EA"/>
    <w:rsid w:val="00F3049E"/>
    <w:rsid w:val="00F30C64"/>
    <w:rsid w:val="00F32BA2"/>
    <w:rsid w:val="00F32CDB"/>
    <w:rsid w:val="00F3348F"/>
    <w:rsid w:val="00F37280"/>
    <w:rsid w:val="00F41EE4"/>
    <w:rsid w:val="00F459A8"/>
    <w:rsid w:val="00F565FE"/>
    <w:rsid w:val="00F60E0B"/>
    <w:rsid w:val="00F63A70"/>
    <w:rsid w:val="00F63D8C"/>
    <w:rsid w:val="00F67931"/>
    <w:rsid w:val="00F7534E"/>
    <w:rsid w:val="00F93EDF"/>
    <w:rsid w:val="00FA1802"/>
    <w:rsid w:val="00FA21D0"/>
    <w:rsid w:val="00FA5F5F"/>
    <w:rsid w:val="00FB730C"/>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D46692FD-8E66-4E5B-A979-F66116939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BC64AA"/>
    <w:pPr>
      <w:keepNext/>
      <w:numPr>
        <w:ilvl w:val="2"/>
        <w:numId w:val="1"/>
      </w:numPr>
      <w:suppressAutoHyphens/>
      <w:spacing w:before="120" w:after="120" w:line="240" w:lineRule="auto"/>
    </w:pPr>
    <w:rPr>
      <w:rFonts w:ascii="Arial" w:eastAsia="Times New Roman" w:hAnsi="Arial" w:cs="Times New Roman"/>
      <w:b/>
      <w:iCs/>
      <w:sz w:val="18"/>
      <w:szCs w:val="20"/>
      <w:lang w:val="en-GB"/>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BC64AA"/>
    <w:rPr>
      <w:rFonts w:ascii="Arial" w:eastAsia="Times New Roman" w:hAnsi="Arial" w:cs="Times New Roman"/>
      <w:b/>
      <w:iCs/>
      <w:sz w:val="18"/>
      <w:szCs w:val="20"/>
      <w:lang w:val="en-GB"/>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iCs/>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character" w:styleId="afffe">
    <w:name w:val="footnote reference"/>
    <w:basedOn w:val="a2"/>
    <w:uiPriority w:val="99"/>
    <w:semiHidden/>
    <w:unhideWhenUsed/>
    <w:rsid w:val="00CD3706"/>
    <w:rPr>
      <w:vertAlign w:val="superscript"/>
    </w:rPr>
  </w:style>
  <w:style w:type="character" w:styleId="affff">
    <w:name w:val="Unresolved Mention"/>
    <w:basedOn w:val="a2"/>
    <w:uiPriority w:val="99"/>
    <w:semiHidden/>
    <w:unhideWhenUsed/>
    <w:rsid w:val="008A2956"/>
    <w:rPr>
      <w:color w:val="605E5C"/>
      <w:shd w:val="clear" w:color="auto" w:fill="E1DFDD"/>
    </w:rPr>
  </w:style>
  <w:style w:type="paragraph" w:customStyle="1" w:styleId="JnepNormal">
    <w:name w:val="Jnep_Normal"/>
    <w:link w:val="JnepNormal0"/>
    <w:rsid w:val="00555B3D"/>
    <w:pPr>
      <w:widowControl w:val="0"/>
      <w:spacing w:after="0" w:line="240" w:lineRule="auto"/>
      <w:ind w:firstLine="284"/>
      <w:jc w:val="both"/>
    </w:pPr>
    <w:rPr>
      <w:rFonts w:ascii="Century Schoolbook" w:eastAsia="Times New Roman" w:hAnsi="Century Schoolbook" w:cs="Times New Roman"/>
      <w:sz w:val="18"/>
      <w:szCs w:val="20"/>
      <w:lang w:val="en-US" w:eastAsia="ru-RU"/>
    </w:rPr>
  </w:style>
  <w:style w:type="character" w:customStyle="1" w:styleId="JnepNormal0">
    <w:name w:val="Jnep_Normal Знак"/>
    <w:link w:val="JnepNormal"/>
    <w:rsid w:val="00555B3D"/>
    <w:rPr>
      <w:rFonts w:ascii="Century Schoolbook" w:eastAsia="Times New Roman" w:hAnsi="Century Schoolbook" w:cs="Times New Roman"/>
      <w:sz w:val="18"/>
      <w:szCs w:val="20"/>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297404">
      <w:bodyDiv w:val="1"/>
      <w:marLeft w:val="0"/>
      <w:marRight w:val="0"/>
      <w:marTop w:val="0"/>
      <w:marBottom w:val="0"/>
      <w:divBdr>
        <w:top w:val="none" w:sz="0" w:space="0" w:color="auto"/>
        <w:left w:val="none" w:sz="0" w:space="0" w:color="auto"/>
        <w:bottom w:val="none" w:sz="0" w:space="0" w:color="auto"/>
        <w:right w:val="none" w:sz="0" w:space="0" w:color="auto"/>
      </w:divBdr>
    </w:div>
    <w:div w:id="133372353">
      <w:bodyDiv w:val="1"/>
      <w:marLeft w:val="0"/>
      <w:marRight w:val="0"/>
      <w:marTop w:val="0"/>
      <w:marBottom w:val="0"/>
      <w:divBdr>
        <w:top w:val="none" w:sz="0" w:space="0" w:color="auto"/>
        <w:left w:val="none" w:sz="0" w:space="0" w:color="auto"/>
        <w:bottom w:val="none" w:sz="0" w:space="0" w:color="auto"/>
        <w:right w:val="none" w:sz="0" w:space="0" w:color="auto"/>
      </w:divBdr>
    </w:div>
    <w:div w:id="238246404">
      <w:bodyDiv w:val="1"/>
      <w:marLeft w:val="0"/>
      <w:marRight w:val="0"/>
      <w:marTop w:val="0"/>
      <w:marBottom w:val="0"/>
      <w:divBdr>
        <w:top w:val="none" w:sz="0" w:space="0" w:color="auto"/>
        <w:left w:val="none" w:sz="0" w:space="0" w:color="auto"/>
        <w:bottom w:val="none" w:sz="0" w:space="0" w:color="auto"/>
        <w:right w:val="none" w:sz="0" w:space="0" w:color="auto"/>
      </w:divBdr>
    </w:div>
    <w:div w:id="465049230">
      <w:bodyDiv w:val="1"/>
      <w:marLeft w:val="0"/>
      <w:marRight w:val="0"/>
      <w:marTop w:val="0"/>
      <w:marBottom w:val="0"/>
      <w:divBdr>
        <w:top w:val="none" w:sz="0" w:space="0" w:color="auto"/>
        <w:left w:val="none" w:sz="0" w:space="0" w:color="auto"/>
        <w:bottom w:val="none" w:sz="0" w:space="0" w:color="auto"/>
        <w:right w:val="none" w:sz="0" w:space="0" w:color="auto"/>
      </w:divBdr>
    </w:div>
    <w:div w:id="703557254">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948569">
      <w:bodyDiv w:val="1"/>
      <w:marLeft w:val="0"/>
      <w:marRight w:val="0"/>
      <w:marTop w:val="0"/>
      <w:marBottom w:val="0"/>
      <w:divBdr>
        <w:top w:val="none" w:sz="0" w:space="0" w:color="auto"/>
        <w:left w:val="none" w:sz="0" w:space="0" w:color="auto"/>
        <w:bottom w:val="none" w:sz="0" w:space="0" w:color="auto"/>
        <w:right w:val="none" w:sz="0" w:space="0" w:color="auto"/>
      </w:divBdr>
    </w:div>
    <w:div w:id="1267498184">
      <w:bodyDiv w:val="1"/>
      <w:marLeft w:val="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362899341">
      <w:bodyDiv w:val="1"/>
      <w:marLeft w:val="0"/>
      <w:marRight w:val="0"/>
      <w:marTop w:val="0"/>
      <w:marBottom w:val="0"/>
      <w:divBdr>
        <w:top w:val="none" w:sz="0" w:space="0" w:color="auto"/>
        <w:left w:val="none" w:sz="0" w:space="0" w:color="auto"/>
        <w:bottom w:val="none" w:sz="0" w:space="0" w:color="auto"/>
        <w:right w:val="none" w:sz="0" w:space="0" w:color="auto"/>
      </w:divBdr>
    </w:div>
    <w:div w:id="1385060991">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36946509">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509981715">
      <w:bodyDiv w:val="1"/>
      <w:marLeft w:val="0"/>
      <w:marRight w:val="0"/>
      <w:marTop w:val="0"/>
      <w:marBottom w:val="0"/>
      <w:divBdr>
        <w:top w:val="none" w:sz="0" w:space="0" w:color="auto"/>
        <w:left w:val="none" w:sz="0" w:space="0" w:color="auto"/>
        <w:bottom w:val="none" w:sz="0" w:space="0" w:color="auto"/>
        <w:right w:val="none" w:sz="0" w:space="0" w:color="auto"/>
      </w:divBdr>
    </w:div>
    <w:div w:id="1554149498">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35090">
      <w:bodyDiv w:val="1"/>
      <w:marLeft w:val="0"/>
      <w:marRight w:val="0"/>
      <w:marTop w:val="0"/>
      <w:marBottom w:val="0"/>
      <w:divBdr>
        <w:top w:val="none" w:sz="0" w:space="0" w:color="auto"/>
        <w:left w:val="none" w:sz="0" w:space="0" w:color="auto"/>
        <w:bottom w:val="none" w:sz="0" w:space="0" w:color="auto"/>
        <w:right w:val="none" w:sz="0" w:space="0" w:color="auto"/>
      </w:divBdr>
    </w:div>
    <w:div w:id="1757434871">
      <w:bodyDiv w:val="1"/>
      <w:marLeft w:val="0"/>
      <w:marRight w:val="0"/>
      <w:marTop w:val="0"/>
      <w:marBottom w:val="0"/>
      <w:divBdr>
        <w:top w:val="none" w:sz="0" w:space="0" w:color="auto"/>
        <w:left w:val="none" w:sz="0" w:space="0" w:color="auto"/>
        <w:bottom w:val="none" w:sz="0" w:space="0" w:color="auto"/>
        <w:right w:val="none" w:sz="0" w:space="0" w:color="auto"/>
      </w:divBdr>
    </w:div>
    <w:div w:id="2025866010">
      <w:bodyDiv w:val="1"/>
      <w:marLeft w:val="0"/>
      <w:marRight w:val="0"/>
      <w:marTop w:val="0"/>
      <w:marBottom w:val="0"/>
      <w:divBdr>
        <w:top w:val="none" w:sz="0" w:space="0" w:color="auto"/>
        <w:left w:val="none" w:sz="0" w:space="0" w:color="auto"/>
        <w:bottom w:val="none" w:sz="0" w:space="0" w:color="auto"/>
        <w:right w:val="none" w:sz="0" w:space="0" w:color="auto"/>
      </w:divBdr>
    </w:div>
    <w:div w:id="2051372257">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4983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4.bin"/><Relationship Id="rId26" Type="http://schemas.openxmlformats.org/officeDocument/2006/relationships/image" Target="media/image12.png"/><Relationship Id="rId39" Type="http://schemas.openxmlformats.org/officeDocument/2006/relationships/image" Target="media/image19.wmf"/><Relationship Id="rId21" Type="http://schemas.openxmlformats.org/officeDocument/2006/relationships/image" Target="media/image9.wmf"/><Relationship Id="rId34" Type="http://schemas.openxmlformats.org/officeDocument/2006/relationships/oleObject" Target="embeddings/oleObject11.bin"/><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image" Target="media/image14.w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oleObject" Target="embeddings/oleObject7.bin"/><Relationship Id="rId32" Type="http://schemas.openxmlformats.org/officeDocument/2006/relationships/oleObject" Target="embeddings/oleObject10.bin"/><Relationship Id="rId37" Type="http://schemas.openxmlformats.org/officeDocument/2006/relationships/image" Target="media/image18.wmf"/><Relationship Id="rId40" Type="http://schemas.openxmlformats.org/officeDocument/2006/relationships/oleObject" Target="embeddings/oleObject14.bin"/><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8.bin"/><Relationship Id="rId36" Type="http://schemas.openxmlformats.org/officeDocument/2006/relationships/oleObject" Target="embeddings/oleObject12.bin"/><Relationship Id="rId10" Type="http://schemas.openxmlformats.org/officeDocument/2006/relationships/image" Target="media/image3.png"/><Relationship Id="rId19" Type="http://schemas.openxmlformats.org/officeDocument/2006/relationships/image" Target="media/image8.wmf"/><Relationship Id="rId31" Type="http://schemas.openxmlformats.org/officeDocument/2006/relationships/image" Target="media/image15.w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3.wmf"/><Relationship Id="rId30" Type="http://schemas.openxmlformats.org/officeDocument/2006/relationships/oleObject" Target="embeddings/oleObject9.bin"/><Relationship Id="rId35" Type="http://schemas.openxmlformats.org/officeDocument/2006/relationships/image" Target="media/image17.wmf"/><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7.wmf"/><Relationship Id="rId25" Type="http://schemas.openxmlformats.org/officeDocument/2006/relationships/image" Target="media/image11.png"/><Relationship Id="rId33" Type="http://schemas.openxmlformats.org/officeDocument/2006/relationships/image" Target="media/image16.wmf"/><Relationship Id="rId38" Type="http://schemas.openxmlformats.org/officeDocument/2006/relationships/oleObject" Target="embeddings/oleObject13.bin"/></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F79A5-8EAA-43AC-B65D-005FD82DD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6</Pages>
  <Words>3510</Words>
  <Characters>20013</Characters>
  <Application>Microsoft Office Word</Application>
  <DocSecurity>0</DocSecurity>
  <Lines>166</Lines>
  <Paragraphs>46</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Mardon Askarov</dc:creator>
  <cp:keywords/>
  <dc:description/>
  <cp:lastModifiedBy>Mardon Askarov</cp:lastModifiedBy>
  <cp:revision>11</cp:revision>
  <cp:lastPrinted>2015-05-12T18:31:00Z</cp:lastPrinted>
  <dcterms:created xsi:type="dcterms:W3CDTF">2026-04-23T17:22:00Z</dcterms:created>
  <dcterms:modified xsi:type="dcterms:W3CDTF">2026-05-20T07:32:00Z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y fmtid="{D5CDD505-2E9C-101B-9397-08002B2CF9AE}" pid="4" name="MTWinEqns">
    <vt:bool>true</vt:bool>
  </property>
</Properties>
</file>