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9825A1">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9825A1">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9825A1">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 xml:space="preserve">Flavio Manenti, </w:t>
            </w:r>
            <w:proofErr w:type="spellStart"/>
            <w:r w:rsidR="00CB2614" w:rsidRPr="00CB2614">
              <w:rPr>
                <w:rFonts w:ascii="Tahoma" w:hAnsi="Tahoma" w:cs="Tahoma"/>
                <w:color w:val="000000"/>
                <w:sz w:val="14"/>
                <w:szCs w:val="14"/>
                <w:shd w:val="clear" w:color="auto" w:fill="FFFFFF"/>
                <w:lang w:val="it-IT"/>
              </w:rPr>
              <w:t>Botir</w:t>
            </w:r>
            <w:proofErr w:type="spellEnd"/>
            <w:r w:rsidR="00CB2614" w:rsidRPr="00CB2614">
              <w:rPr>
                <w:rFonts w:ascii="Tahoma" w:hAnsi="Tahoma" w:cs="Tahoma"/>
                <w:color w:val="000000"/>
                <w:sz w:val="14"/>
                <w:szCs w:val="14"/>
                <w:shd w:val="clear" w:color="auto" w:fill="FFFFFF"/>
                <w:lang w:val="it-IT"/>
              </w:rPr>
              <w:t xml:space="preserve"> </w:t>
            </w:r>
            <w:proofErr w:type="spellStart"/>
            <w:r w:rsidR="00CB2614" w:rsidRPr="00CB2614">
              <w:rPr>
                <w:rFonts w:ascii="Tahoma" w:hAnsi="Tahoma" w:cs="Tahoma"/>
                <w:color w:val="000000"/>
                <w:sz w:val="14"/>
                <w:szCs w:val="14"/>
                <w:shd w:val="clear" w:color="auto" w:fill="FFFFFF"/>
                <w:lang w:val="it-IT"/>
              </w:rPr>
              <w:t>Usmonov</w:t>
            </w:r>
            <w:proofErr w:type="spellEnd"/>
            <w:r w:rsidR="00CB2614" w:rsidRPr="00CB2614">
              <w:rPr>
                <w:rFonts w:ascii="Tahoma" w:hAnsi="Tahoma" w:cs="Tahoma"/>
                <w:color w:val="000000"/>
                <w:sz w:val="14"/>
                <w:szCs w:val="14"/>
                <w:shd w:val="clear" w:color="auto" w:fill="FFFFFF"/>
                <w:lang w:val="it-IT"/>
              </w:rPr>
              <w:t>,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xml:space="preserve">, AIDIC </w:t>
            </w:r>
            <w:proofErr w:type="spellStart"/>
            <w:r w:rsidRPr="00B57B36">
              <w:rPr>
                <w:rFonts w:ascii="Tahoma" w:hAnsi="Tahoma" w:cs="Tahoma"/>
                <w:iCs/>
                <w:color w:val="333333"/>
                <w:sz w:val="14"/>
                <w:szCs w:val="14"/>
                <w:lang w:eastAsia="it-IT"/>
              </w:rPr>
              <w:t>Servizi</w:t>
            </w:r>
            <w:proofErr w:type="spellEnd"/>
            <w:r w:rsidRPr="00B57B36">
              <w:rPr>
                <w:rFonts w:ascii="Tahoma" w:hAnsi="Tahoma" w:cs="Tahoma"/>
                <w:iCs/>
                <w:color w:val="333333"/>
                <w:sz w:val="14"/>
                <w:szCs w:val="14"/>
                <w:lang w:eastAsia="it-IT"/>
              </w:rPr>
              <w:t xml:space="preserve">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0C30CF37" w14:textId="77777777" w:rsidR="003C02E7" w:rsidRPr="003C02E7" w:rsidRDefault="003C02E7" w:rsidP="003C02E7">
      <w:pPr>
        <w:pStyle w:val="Titolo"/>
        <w:rPr>
          <w:rFonts w:ascii="Arial" w:hAnsi="Arial" w:cs="Arial"/>
          <w:sz w:val="32"/>
          <w:szCs w:val="32"/>
        </w:rPr>
      </w:pPr>
      <w:r w:rsidRPr="003C02E7">
        <w:rPr>
          <w:rFonts w:ascii="Arial" w:hAnsi="Arial" w:cs="Arial"/>
          <w:sz w:val="32"/>
          <w:szCs w:val="32"/>
        </w:rPr>
        <w:t>A risk-based methodology integrating phenomenological and stochastic modelling for viticulture decision support</w:t>
      </w:r>
    </w:p>
    <w:p w14:paraId="0488FED2" w14:textId="69207219" w:rsidR="00B57E6F" w:rsidRPr="003C02E7" w:rsidRDefault="000019DF" w:rsidP="003C02E7">
      <w:pPr>
        <w:pStyle w:val="CETAuthors"/>
      </w:pPr>
      <w:r w:rsidRPr="003C02E7">
        <w:t>Simone Colombo</w:t>
      </w:r>
      <w:r w:rsidR="003C02E7" w:rsidRPr="003C02E7">
        <w:t>*</w:t>
      </w:r>
      <w:r w:rsidR="00295C29">
        <w:rPr>
          <w:vertAlign w:val="superscript"/>
        </w:rPr>
        <w:t>a</w:t>
      </w:r>
      <w:r w:rsidRPr="003C02E7">
        <w:t>,</w:t>
      </w:r>
      <w:r w:rsidR="003C02E7" w:rsidRPr="003C02E7">
        <w:t xml:space="preserve"> </w:t>
      </w:r>
      <w:r w:rsidR="006B5A33">
        <w:t>Stefano Poni</w:t>
      </w:r>
      <w:r w:rsidR="00295C29">
        <w:rPr>
          <w:vertAlign w:val="superscript"/>
        </w:rPr>
        <w:t>b</w:t>
      </w:r>
      <w:r w:rsidR="006B5A33">
        <w:t xml:space="preserve">, </w:t>
      </w:r>
      <w:r w:rsidR="00E94CF3">
        <w:t>Flavio Manenti</w:t>
      </w:r>
      <w:r w:rsidR="00E94CF3" w:rsidRPr="00E94CF3">
        <w:rPr>
          <w:vertAlign w:val="superscript"/>
        </w:rPr>
        <w:t>a</w:t>
      </w:r>
      <w:r w:rsidR="00E94CF3">
        <w:t>,</w:t>
      </w:r>
      <w:r w:rsidR="006B5A33">
        <w:t xml:space="preserve"> </w:t>
      </w:r>
      <w:r w:rsidRPr="003C02E7">
        <w:t>Giulia Bozzano</w:t>
      </w:r>
      <w:r w:rsidR="00295C29">
        <w:rPr>
          <w:vertAlign w:val="superscript"/>
        </w:rPr>
        <w:t>a</w:t>
      </w:r>
    </w:p>
    <w:p w14:paraId="6B2D21B3" w14:textId="60C230FA" w:rsidR="00B57E6F" w:rsidRDefault="00295C29" w:rsidP="003C02E7">
      <w:pPr>
        <w:pStyle w:val="CETAddress"/>
        <w:rPr>
          <w:lang w:val="it-IT"/>
        </w:rPr>
      </w:pPr>
      <w:r w:rsidRPr="00295C29">
        <w:rPr>
          <w:vertAlign w:val="superscript"/>
          <w:lang w:val="it-IT"/>
        </w:rPr>
        <w:t>a</w:t>
      </w:r>
      <w:r>
        <w:rPr>
          <w:lang w:val="it-IT"/>
        </w:rPr>
        <w:t xml:space="preserve"> </w:t>
      </w:r>
      <w:r w:rsidR="009825A1" w:rsidRPr="009825A1">
        <w:rPr>
          <w:lang w:val="it-IT"/>
        </w:rPr>
        <w:t>Politecnico di Milano, CMIC Dept. „Giulio Natta“, Pi</w:t>
      </w:r>
      <w:r w:rsidR="009038E4">
        <w:rPr>
          <w:lang w:val="it-IT"/>
        </w:rPr>
        <w:t>azz</w:t>
      </w:r>
      <w:r w:rsidR="009825A1" w:rsidRPr="009825A1">
        <w:rPr>
          <w:lang w:val="it-IT"/>
        </w:rPr>
        <w:t>a Leonardo da Vinci 32, 20133 Milano, Italy</w:t>
      </w:r>
    </w:p>
    <w:p w14:paraId="46BE6A82" w14:textId="4C88F0D9" w:rsidR="00295C29" w:rsidRPr="00295C29" w:rsidRDefault="00295C29" w:rsidP="00295C29">
      <w:pPr>
        <w:pStyle w:val="CETAddress"/>
      </w:pPr>
      <w:r w:rsidRPr="00295C29">
        <w:rPr>
          <w:vertAlign w:val="superscript"/>
        </w:rPr>
        <w:t>b</w:t>
      </w:r>
      <w:r w:rsidRPr="00295C29">
        <w:t xml:space="preserve"> Università Cattolica del Sacro Cuore, Dipartimento</w:t>
      </w:r>
      <w:hyperlink r:id="rId10" w:tooltip="Dipartimento di Scienze delle produzioni vegetali sostenibili" w:history="1">
        <w:r w:rsidRPr="00295C29">
          <w:rPr>
            <w:rStyle w:val="Collegamentoipertestuale"/>
            <w:color w:val="auto"/>
            <w:u w:val="none"/>
          </w:rPr>
          <w:t xml:space="preserve"> di Scienze delle </w:t>
        </w:r>
        <w:r w:rsidR="009C23B4">
          <w:rPr>
            <w:rStyle w:val="Collegamentoipertestuale"/>
            <w:color w:val="auto"/>
            <w:u w:val="none"/>
          </w:rPr>
          <w:t>P</w:t>
        </w:r>
        <w:r w:rsidRPr="00295C29">
          <w:rPr>
            <w:rStyle w:val="Collegamentoipertestuale"/>
            <w:color w:val="auto"/>
            <w:u w:val="none"/>
          </w:rPr>
          <w:t xml:space="preserve">roduzioni </w:t>
        </w:r>
        <w:r w:rsidR="009C23B4">
          <w:rPr>
            <w:rStyle w:val="Collegamentoipertestuale"/>
            <w:color w:val="auto"/>
            <w:u w:val="none"/>
          </w:rPr>
          <w:t>V</w:t>
        </w:r>
        <w:r w:rsidRPr="00295C29">
          <w:rPr>
            <w:rStyle w:val="Collegamentoipertestuale"/>
            <w:color w:val="auto"/>
            <w:u w:val="none"/>
          </w:rPr>
          <w:t xml:space="preserve">egetali </w:t>
        </w:r>
        <w:r w:rsidR="009C23B4">
          <w:rPr>
            <w:rStyle w:val="Collegamentoipertestuale"/>
            <w:color w:val="auto"/>
            <w:u w:val="none"/>
          </w:rPr>
          <w:t>S</w:t>
        </w:r>
        <w:r w:rsidRPr="00295C29">
          <w:rPr>
            <w:rStyle w:val="Collegamentoipertestuale"/>
            <w:color w:val="auto"/>
            <w:u w:val="none"/>
          </w:rPr>
          <w:t>ostenibili</w:t>
        </w:r>
      </w:hyperlink>
      <w:r>
        <w:t>, Via Emilia Parmense 84, 29122 Piacenza (Italy)</w:t>
      </w:r>
    </w:p>
    <w:p w14:paraId="73F1267A" w14:textId="2AD3456F" w:rsidR="00B57E6F" w:rsidRDefault="00295C29" w:rsidP="003C02E7">
      <w:pPr>
        <w:pStyle w:val="CETAddress"/>
        <w:rPr>
          <w:rStyle w:val="Collegamentoipertestuale"/>
        </w:rPr>
      </w:pPr>
      <w:r>
        <w:rPr>
          <w:lang w:val="it-IT"/>
        </w:rPr>
        <w:t xml:space="preserve"> </w:t>
      </w:r>
      <w:r w:rsidR="00064EB5">
        <w:t xml:space="preserve">* </w:t>
      </w:r>
      <w:r w:rsidR="009038E4">
        <w:t>C</w:t>
      </w:r>
      <w:r>
        <w:t xml:space="preserve">orresponding </w:t>
      </w:r>
      <w:r w:rsidR="009038E4">
        <w:t xml:space="preserve">author </w:t>
      </w:r>
      <w:hyperlink r:id="rId11" w:history="1">
        <w:r w:rsidR="009038E4" w:rsidRPr="001905A6">
          <w:rPr>
            <w:rStyle w:val="Collegamentoipertestuale"/>
          </w:rPr>
          <w:t>Simone.colombo@polimi.it</w:t>
        </w:r>
      </w:hyperlink>
    </w:p>
    <w:p w14:paraId="6D0A3010" w14:textId="77777777" w:rsidR="003C02E7" w:rsidRPr="00B57B36" w:rsidRDefault="003C02E7" w:rsidP="003C02E7">
      <w:pPr>
        <w:pStyle w:val="CETAddress"/>
      </w:pPr>
    </w:p>
    <w:p w14:paraId="4D5AFF03" w14:textId="3761CC8C" w:rsidR="003C02E7" w:rsidRPr="003C02E7" w:rsidRDefault="003C02E7" w:rsidP="003C02E7">
      <w:pPr>
        <w:pStyle w:val="CETBodytext"/>
      </w:pPr>
      <w:r w:rsidRPr="003C02E7">
        <w:t>Viticulture is increasingly exposed to climate variability and extreme weather events, which affect yield stability and complicate agronomic decision-making. Conventional decision support systems (DSS) increasingly rely on data-driven and machine-learning approaches, but their application may be limited by the availability of large historical datasets and by their difficulty in representing qualitative management decisions and rare events. This work presents a risk-based methodology that integrates a phenomenological model of grapevine development with a logic-stochastic framework based on the Holistic Risk Analysis and Modelling (</w:t>
      </w:r>
      <w:proofErr w:type="spellStart"/>
      <w:r w:rsidRPr="003C02E7">
        <w:t>HoRAM</w:t>
      </w:r>
      <w:proofErr w:type="spellEnd"/>
      <w:r w:rsidRPr="003C02E7">
        <w:t xml:space="preserve">) approach. The model was tested on four </w:t>
      </w:r>
      <w:r w:rsidRPr="003C02E7">
        <w:rPr>
          <w:rStyle w:val="Enfasicorsivo"/>
          <w:i w:val="0"/>
          <w:iCs w:val="0"/>
        </w:rPr>
        <w:t>Vitis vinifera</w:t>
      </w:r>
      <w:r w:rsidRPr="003C02E7">
        <w:t xml:space="preserve"> cultivars (Sangiovese, Barbera, </w:t>
      </w:r>
      <w:proofErr w:type="spellStart"/>
      <w:r w:rsidRPr="003C02E7">
        <w:t>Croatina</w:t>
      </w:r>
      <w:proofErr w:type="spellEnd"/>
      <w:r w:rsidRPr="003C02E7">
        <w:t xml:space="preserve"> and Chardonnay) and on a commercial Chardonnay vineyard in Veneto, Italy. Across the cultivar validation cases, the mean percentage error remained below 4%, while the overall </w:t>
      </w:r>
      <w:r w:rsidR="009038E4">
        <w:t>Mean Absolute Percentage Error (</w:t>
      </w:r>
      <w:r w:rsidRPr="003C02E7">
        <w:t>MAPE</w:t>
      </w:r>
      <w:r w:rsidR="009038E4">
        <w:t>)</w:t>
      </w:r>
      <w:r w:rsidRPr="003C02E7">
        <w:t xml:space="preserve"> and </w:t>
      </w:r>
      <w:r w:rsidR="009038E4">
        <w:t>Root Mean Square Error (</w:t>
      </w:r>
      <w:r w:rsidRPr="003C02E7">
        <w:t>RMSE</w:t>
      </w:r>
      <w:r w:rsidR="009038E4">
        <w:t>)</w:t>
      </w:r>
      <w:r w:rsidRPr="003C02E7">
        <w:t xml:space="preserve"> were 24.5% and </w:t>
      </w:r>
      <w:r w:rsidR="00686641">
        <w:t>28.5 g vine</w:t>
      </w:r>
      <w:r w:rsidR="00686641" w:rsidRPr="00686641">
        <w:rPr>
          <w:vertAlign w:val="superscript"/>
        </w:rPr>
        <w:t>-1</w:t>
      </w:r>
      <w:r w:rsidRPr="003C02E7">
        <w:t>, respectively. In the 2024 field case, the measured yield of 3.0 kg vine</w:t>
      </w:r>
      <w:r w:rsidRPr="003C02E7">
        <w:rPr>
          <w:rFonts w:ascii="Cambria Math" w:hAnsi="Cambria Math" w:cs="Cambria Math"/>
        </w:rPr>
        <w:t>⁻</w:t>
      </w:r>
      <w:r w:rsidRPr="003C02E7">
        <w:rPr>
          <w:rFonts w:cs="Arial"/>
        </w:rPr>
        <w:t>¹</w:t>
      </w:r>
      <w:r w:rsidRPr="003C02E7">
        <w:t xml:space="preserve"> was predicted with deviations of </w:t>
      </w:r>
      <w:r w:rsidRPr="003C02E7">
        <w:rPr>
          <w:rFonts w:cs="Arial"/>
        </w:rPr>
        <w:t>−</w:t>
      </w:r>
      <w:r w:rsidRPr="003C02E7">
        <w:t>6% and +8% using variable and fixed fruit-set coefficients, respectively. Stochastic simulations further demonstrated the ability of the framework to quantify the effects of spring frost and early basal leaf removal. The results indicate that the proposed approach can provide interpretable yield distributions and scenario-based risk assessment using a relatively limited set of agronomic and environmental inputs.</w:t>
      </w:r>
    </w:p>
    <w:p w14:paraId="476B2F2E" w14:textId="5B7190B0" w:rsidR="00600535" w:rsidRPr="00B57B36" w:rsidRDefault="00600535" w:rsidP="008E2EA3">
      <w:pPr>
        <w:pStyle w:val="CETHeading1"/>
        <w:rPr>
          <w:lang w:val="en-GB"/>
        </w:rPr>
      </w:pPr>
      <w:r w:rsidRPr="00B57B36">
        <w:rPr>
          <w:lang w:val="en-GB"/>
        </w:rPr>
        <w:t>Introduction</w:t>
      </w:r>
    </w:p>
    <w:p w14:paraId="680A0285" w14:textId="10E9E2C2" w:rsidR="003C02E7" w:rsidRPr="003C02E7" w:rsidRDefault="003C02E7" w:rsidP="003C02E7">
      <w:pPr>
        <w:pStyle w:val="CETBodytext"/>
        <w:rPr>
          <w:lang w:eastAsia="it-IT"/>
        </w:rPr>
      </w:pPr>
      <w:r>
        <w:t>Viticulture is a complex production system in which yield results from the interaction of environmental conditions, plant physiology and agronomic management. Temperature, radiation, water availability and extreme events affect vine development, while cultivar, bud load, pruning and canopy management determine the conditions under which these factors act (van Leeuwen et al., 2019). Climate variability increases uncertainty in vineyard production, with spring frost being a relevant example (</w:t>
      </w:r>
      <w:proofErr w:type="spellStart"/>
      <w:r>
        <w:t>Terpou</w:t>
      </w:r>
      <w:proofErr w:type="spellEnd"/>
      <w:r>
        <w:t xml:space="preserve"> et al., 2024).</w:t>
      </w:r>
    </w:p>
    <w:p w14:paraId="630F9389" w14:textId="09AF0715" w:rsidR="003C02E7" w:rsidRPr="003C02E7" w:rsidRDefault="003C02E7" w:rsidP="003C02E7">
      <w:pPr>
        <w:pStyle w:val="CETBodytext"/>
        <w:rPr>
          <w:lang w:eastAsia="it-IT"/>
        </w:rPr>
      </w:pPr>
      <w:r>
        <w:t xml:space="preserve">Decision Support Systems (DSS) support irrigation, disease management, yield forecasting and other operational decisions. Modern DSS increasingly exploit machine learning, remote sensing, IoT and large environmental datasets (Fountas et al., 2020; </w:t>
      </w:r>
      <w:proofErr w:type="spellStart"/>
      <w:r>
        <w:t>Wolfert</w:t>
      </w:r>
      <w:proofErr w:type="spellEnd"/>
      <w:r>
        <w:t xml:space="preserve"> et al., 2017; </w:t>
      </w:r>
      <w:proofErr w:type="spellStart"/>
      <w:r>
        <w:t>Liakos</w:t>
      </w:r>
      <w:proofErr w:type="spellEnd"/>
      <w:r>
        <w:t xml:space="preserve"> et al., 2018). However, data-driven approaches may require extensive historical datasets and provide limited interpretability for previously unobserved scenarios; qualitative management decisions are also difficult to represent through purely statistical relationships.</w:t>
      </w:r>
    </w:p>
    <w:p w14:paraId="63C13CE9" w14:textId="2657304E" w:rsidR="003C02E7" w:rsidRPr="003C02E7" w:rsidRDefault="008068E1" w:rsidP="003C02E7">
      <w:pPr>
        <w:pStyle w:val="CETBodytext"/>
        <w:rPr>
          <w:lang w:eastAsia="it-IT"/>
        </w:rPr>
      </w:pPr>
      <w:r>
        <w:t>This work integrates a phenomenological model of grapevine development and yield formation with a logic-stochastic model describing uncertain environmental, biological and management conditions. The integration follows the Holistic Risk Analysis and Modelling (</w:t>
      </w:r>
      <w:proofErr w:type="spellStart"/>
      <w:r>
        <w:t>HoRAM</w:t>
      </w:r>
      <w:proofErr w:type="spellEnd"/>
      <w:r>
        <w:t xml:space="preserve">) methodology (Colombo, 2019), implemented through </w:t>
      </w:r>
      <w:proofErr w:type="spellStart"/>
      <w:r>
        <w:t>Klarisk</w:t>
      </w:r>
      <w:proofErr w:type="spellEnd"/>
      <w:r>
        <w:t>®</w:t>
      </w:r>
      <w:r w:rsidR="009038E4">
        <w:t xml:space="preserve">, a digital platform that supports organizations in </w:t>
      </w:r>
      <w:r w:rsidR="009038E4">
        <w:rPr>
          <w:rStyle w:val="Enfasigrassetto"/>
        </w:rPr>
        <w:t>identifying, assessing, and managing risks</w:t>
      </w:r>
      <w:r w:rsidR="009038E4">
        <w:t xml:space="preserve">, helping them make informed decisions and improve resilience through data-driven risk analysis. </w:t>
      </w:r>
      <w:r>
        <w:t>(Colombo et al., 2024).</w:t>
      </w:r>
    </w:p>
    <w:p w14:paraId="581ED6F6" w14:textId="0AA298FE" w:rsidR="003C02E7" w:rsidRPr="003C02E7" w:rsidRDefault="005026F4" w:rsidP="003C02E7">
      <w:pPr>
        <w:pStyle w:val="CETBodytext"/>
        <w:rPr>
          <w:lang w:eastAsia="it-IT"/>
        </w:rPr>
      </w:pPr>
      <w:r>
        <w:t xml:space="preserve">The methodology integrates the main processes contributing to yield, represents environmental, biological and management variability, and propagates these uncertainties into yield distributions for scenario comparison. </w:t>
      </w:r>
      <w:r>
        <w:lastRenderedPageBreak/>
        <w:t xml:space="preserve">The aim is not exhaustive calibration of all physiological </w:t>
      </w:r>
      <w:proofErr w:type="spellStart"/>
      <w:r>
        <w:t>submodels</w:t>
      </w:r>
      <w:proofErr w:type="spellEnd"/>
      <w:r>
        <w:t>, but demonstration of the integrated methodology through multi-cultivar validation and a field case study.</w:t>
      </w:r>
    </w:p>
    <w:p w14:paraId="0F68A660" w14:textId="2482DA73" w:rsidR="003C02E7" w:rsidRPr="003C02E7" w:rsidRDefault="003C02E7" w:rsidP="008E2EA3">
      <w:pPr>
        <w:pStyle w:val="CETHeading1"/>
      </w:pPr>
      <w:r w:rsidRPr="003C02E7">
        <w:t>Materials and methods</w:t>
      </w:r>
    </w:p>
    <w:p w14:paraId="3CC35943" w14:textId="72330CDB" w:rsidR="003C02E7" w:rsidRDefault="003C02E7" w:rsidP="003C02E7">
      <w:pPr>
        <w:pStyle w:val="CETheadingx"/>
      </w:pPr>
      <w:r>
        <w:t>Overall modelling framework</w:t>
      </w:r>
    </w:p>
    <w:p w14:paraId="3274235A" w14:textId="6CA06B22" w:rsidR="003C02E7" w:rsidRDefault="003C02E7" w:rsidP="003C02E7">
      <w:pPr>
        <w:pStyle w:val="CETBodytext"/>
      </w:pPr>
      <w:r>
        <w:t>The methodology combines two components (Figure 1). The phenomenological model calculates yield components, while the logic-stochastic model defines possible system states and their probabilities. These scenarios are propagated through the phenomenological model to generate a yield distribution rather than a single deterministic value.</w:t>
      </w:r>
    </w:p>
    <w:p w14:paraId="3077D9E1" w14:textId="31053784" w:rsidR="003C02E7" w:rsidRPr="006B5A33" w:rsidRDefault="003C02E7" w:rsidP="003C02E7">
      <w:pPr>
        <w:pStyle w:val="CETBodytext"/>
        <w:rPr>
          <w:b/>
          <w:bCs/>
          <w:i/>
          <w:iCs/>
        </w:rPr>
      </w:pPr>
      <w:r>
        <w:t xml:space="preserve">Main user-defined inputs are cultivar, vine </w:t>
      </w:r>
      <w:proofErr w:type="spellStart"/>
      <w:r>
        <w:t>vigour</w:t>
      </w:r>
      <w:proofErr w:type="spellEnd"/>
      <w:r>
        <w:t>, bud number and pruning type, together with shoot tipping, early basal leaf removal and frost-mitigation measures.</w:t>
      </w:r>
    </w:p>
    <w:p w14:paraId="5C6AE166" w14:textId="77777777" w:rsidR="003C02E7" w:rsidRDefault="003C02E7" w:rsidP="003C02E7">
      <w:pPr>
        <w:pStyle w:val="CETBodytext"/>
      </w:pPr>
    </w:p>
    <w:p w14:paraId="36FC1906" w14:textId="77777777" w:rsidR="003C02E7" w:rsidRDefault="003C02E7" w:rsidP="003C02E7">
      <w:pPr>
        <w:pStyle w:val="CETBodytext"/>
        <w:jc w:val="center"/>
        <w:rPr>
          <w:rStyle w:val="Enfasigrassetto"/>
        </w:rPr>
      </w:pPr>
      <w:r>
        <w:rPr>
          <w:noProof/>
        </w:rPr>
        <w:drawing>
          <wp:inline distT="0" distB="0" distL="0" distR="0" wp14:anchorId="3C8B8AFF" wp14:editId="0BC8FB81">
            <wp:extent cx="3600632" cy="2400300"/>
            <wp:effectExtent l="0" t="0" r="0" b="0"/>
            <wp:docPr id="330991430" name="Immagine 3" descr="Immagine che contiene testo, schermata, diagramm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329242" name="Immagine 3" descr="Immagine che contiene testo, schermata, diagramma, Carattere&#10;&#10;Il contenuto generato dall'IA potrebbe non essere corrett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8231" cy="2458697"/>
                    </a:xfrm>
                    <a:prstGeom prst="rect">
                      <a:avLst/>
                    </a:prstGeom>
                  </pic:spPr>
                </pic:pic>
              </a:graphicData>
            </a:graphic>
          </wp:inline>
        </w:drawing>
      </w:r>
    </w:p>
    <w:p w14:paraId="7A6DDF76" w14:textId="6B1945F6" w:rsidR="003C02E7" w:rsidRPr="003C02E7" w:rsidRDefault="003C02E7" w:rsidP="003C02E7">
      <w:pPr>
        <w:pStyle w:val="CETCaption"/>
      </w:pPr>
      <w:r w:rsidRPr="003C02E7">
        <w:rPr>
          <w:rStyle w:val="Enfasigrassetto"/>
          <w:b w:val="0"/>
          <w:bCs w:val="0"/>
        </w:rPr>
        <w:t xml:space="preserve">Figure 1: Conceptual architecture of the proposed methodology: interaction between the phenomenological model, the logic-stochastic module and the risk-based output generated by </w:t>
      </w:r>
      <w:proofErr w:type="spellStart"/>
      <w:r w:rsidRPr="003C02E7">
        <w:rPr>
          <w:rStyle w:val="Enfasigrassetto"/>
          <w:b w:val="0"/>
          <w:bCs w:val="0"/>
        </w:rPr>
        <w:t>Klarisk</w:t>
      </w:r>
      <w:proofErr w:type="spellEnd"/>
      <w:r w:rsidRPr="003C02E7">
        <w:rPr>
          <w:rStyle w:val="Enfasigrassetto"/>
          <w:b w:val="0"/>
          <w:bCs w:val="0"/>
        </w:rPr>
        <w:t>®.</w:t>
      </w:r>
    </w:p>
    <w:p w14:paraId="12DB5948" w14:textId="77777777" w:rsidR="008E2EA3" w:rsidRDefault="008E2EA3" w:rsidP="008E2EA3">
      <w:pPr>
        <w:pStyle w:val="CETHeading1"/>
        <w:numPr>
          <w:ilvl w:val="0"/>
          <w:numId w:val="0"/>
        </w:numPr>
        <w:rPr>
          <w:rFonts w:ascii="Times New Roman" w:hAnsi="Times New Roman"/>
          <w:sz w:val="36"/>
          <w:lang w:val="it-IT"/>
        </w:rPr>
      </w:pPr>
      <w:r>
        <w:t>2.2. Phenomenological model</w:t>
      </w:r>
    </w:p>
    <w:p w14:paraId="03FCCC0B" w14:textId="77777777" w:rsidR="008E2EA3" w:rsidRDefault="008E2EA3" w:rsidP="008E2EA3">
      <w:pPr>
        <w:pStyle w:val="CETBodytext"/>
      </w:pPr>
      <w:r>
        <w:t>The phenomenological model describes the annual grapevine cycle from bud development to berry ripening, using the extended BBCH scale as reference (Lorenz et al., 1995).</w:t>
      </w:r>
    </w:p>
    <w:p w14:paraId="142C6DE8" w14:textId="77777777" w:rsidR="008E2EA3" w:rsidRDefault="008E2EA3" w:rsidP="008E2EA3">
      <w:pPr>
        <w:pStyle w:val="CETBodytext"/>
      </w:pPr>
      <w:r>
        <w:t>It integrates literature on grapevine fertility, flowering, fruit set, canopy development, carbon assimilation and berry growth. Yield calculation follows the decomposition proposed by Coombe and Dry (2001) and is divided into three modules: cluster and berry number, early berry development, and final berry weight and yield.</w:t>
      </w:r>
    </w:p>
    <w:p w14:paraId="57863E01" w14:textId="5B99BDAF" w:rsidR="008E2EA3" w:rsidRDefault="008E2EA3" w:rsidP="008E2EA3">
      <w:pPr>
        <w:spacing w:before="240" w:after="240"/>
        <w:jc w:val="center"/>
        <w:rPr>
          <w:rFonts w:eastAsia="Calibri"/>
        </w:rPr>
      </w:pPr>
      <m:oMath>
        <m:r>
          <w:rPr>
            <w:rFonts w:ascii="Cambria Math" w:hAnsi="Cambria Math"/>
            <w:sz w:val="20"/>
            <w:szCs w:val="22"/>
          </w:rPr>
          <m:t>Yield=</m:t>
        </m:r>
        <m:limLow>
          <m:limLowPr>
            <m:ctrlPr>
              <w:rPr>
                <w:rFonts w:ascii="Cambria Math" w:hAnsi="Cambria Math"/>
                <w:sz w:val="20"/>
                <w:szCs w:val="22"/>
              </w:rPr>
            </m:ctrlPr>
          </m:limLowPr>
          <m:e>
            <m:groupChr>
              <m:groupChrPr>
                <m:ctrlPr>
                  <w:rPr>
                    <w:rFonts w:ascii="Cambria Math" w:hAnsi="Cambria Math"/>
                    <w:sz w:val="20"/>
                    <w:szCs w:val="22"/>
                  </w:rPr>
                </m:ctrlPr>
              </m:groupChrPr>
              <m:e>
                <m:f>
                  <m:fPr>
                    <m:ctrlPr>
                      <w:rPr>
                        <w:rFonts w:ascii="Cambria Math" w:hAnsi="Cambria Math"/>
                        <w:sz w:val="20"/>
                        <w:szCs w:val="22"/>
                      </w:rPr>
                    </m:ctrlPr>
                  </m:fPr>
                  <m:num>
                    <m:r>
                      <w:rPr>
                        <w:rFonts w:ascii="Cambria Math" w:hAnsi="Cambria Math"/>
                        <w:sz w:val="20"/>
                        <w:szCs w:val="22"/>
                      </w:rPr>
                      <m:t>Buds</m:t>
                    </m:r>
                  </m:num>
                  <m:den>
                    <m:r>
                      <w:rPr>
                        <w:rFonts w:ascii="Cambria Math" w:hAnsi="Cambria Math"/>
                        <w:sz w:val="20"/>
                        <w:szCs w:val="22"/>
                      </w:rPr>
                      <m:t>Vine</m:t>
                    </m:r>
                  </m:den>
                </m:f>
                <m:r>
                  <w:rPr>
                    <w:rFonts w:ascii="Cambria Math" w:hAnsi="Cambria Math"/>
                    <w:sz w:val="20"/>
                    <w:szCs w:val="22"/>
                  </w:rPr>
                  <m:t>∙</m:t>
                </m:r>
                <m:f>
                  <m:fPr>
                    <m:ctrlPr>
                      <w:rPr>
                        <w:rFonts w:ascii="Cambria Math" w:hAnsi="Cambria Math"/>
                        <w:sz w:val="20"/>
                        <w:szCs w:val="22"/>
                      </w:rPr>
                    </m:ctrlPr>
                  </m:fPr>
                  <m:num>
                    <m:r>
                      <w:rPr>
                        <w:rFonts w:ascii="Cambria Math" w:hAnsi="Cambria Math"/>
                        <w:sz w:val="20"/>
                        <w:szCs w:val="22"/>
                      </w:rPr>
                      <m:t>Shoots</m:t>
                    </m:r>
                  </m:num>
                  <m:den>
                    <m:r>
                      <w:rPr>
                        <w:rFonts w:ascii="Cambria Math" w:hAnsi="Cambria Math"/>
                        <w:sz w:val="20"/>
                        <w:szCs w:val="22"/>
                      </w:rPr>
                      <m:t>Bud</m:t>
                    </m:r>
                  </m:den>
                </m:f>
                <m:r>
                  <w:rPr>
                    <w:rFonts w:ascii="Cambria Math" w:hAnsi="Cambria Math"/>
                    <w:sz w:val="20"/>
                    <w:szCs w:val="22"/>
                  </w:rPr>
                  <m:t>∙</m:t>
                </m:r>
                <m:f>
                  <m:fPr>
                    <m:ctrlPr>
                      <w:rPr>
                        <w:rFonts w:ascii="Cambria Math" w:hAnsi="Cambria Math"/>
                        <w:sz w:val="20"/>
                        <w:szCs w:val="22"/>
                      </w:rPr>
                    </m:ctrlPr>
                  </m:fPr>
                  <m:num>
                    <m:r>
                      <w:rPr>
                        <w:rFonts w:ascii="Cambria Math" w:hAnsi="Cambria Math"/>
                        <w:sz w:val="20"/>
                        <w:szCs w:val="22"/>
                      </w:rPr>
                      <m:t>Clusters</m:t>
                    </m:r>
                  </m:num>
                  <m:den>
                    <m:r>
                      <w:rPr>
                        <w:rFonts w:ascii="Cambria Math" w:hAnsi="Cambria Math"/>
                        <w:sz w:val="20"/>
                        <w:szCs w:val="22"/>
                      </w:rPr>
                      <m:t>Shoot</m:t>
                    </m:r>
                  </m:den>
                </m:f>
              </m:e>
            </m:groupChr>
          </m:e>
          <m:lim>
            <m:r>
              <w:rPr>
                <w:rFonts w:ascii="Cambria Math" w:hAnsi="Cambria Math"/>
                <w:sz w:val="20"/>
                <w:szCs w:val="22"/>
              </w:rPr>
              <m:t>cluster /vine</m:t>
            </m:r>
          </m:lim>
        </m:limLow>
        <m:r>
          <w:rPr>
            <w:rFonts w:ascii="Cambria Math" w:hAnsi="Cambria Math"/>
            <w:sz w:val="20"/>
            <w:szCs w:val="22"/>
          </w:rPr>
          <m:t>∙</m:t>
        </m:r>
        <m:f>
          <m:fPr>
            <m:ctrlPr>
              <w:rPr>
                <w:rFonts w:ascii="Cambria Math" w:hAnsi="Cambria Math"/>
                <w:sz w:val="20"/>
                <w:szCs w:val="22"/>
              </w:rPr>
            </m:ctrlPr>
          </m:fPr>
          <m:num>
            <m:r>
              <w:rPr>
                <w:rFonts w:ascii="Cambria Math" w:hAnsi="Cambria Math"/>
                <w:sz w:val="20"/>
                <w:szCs w:val="22"/>
              </w:rPr>
              <m:t>Berries</m:t>
            </m:r>
          </m:num>
          <m:den>
            <m:r>
              <w:rPr>
                <w:rFonts w:ascii="Cambria Math" w:hAnsi="Cambria Math"/>
                <w:sz w:val="20"/>
                <w:szCs w:val="22"/>
              </w:rPr>
              <m:t>Cluster</m:t>
            </m:r>
          </m:den>
        </m:f>
        <m:r>
          <w:rPr>
            <w:rFonts w:ascii="Cambria Math" w:hAnsi="Cambria Math"/>
            <w:sz w:val="20"/>
            <w:szCs w:val="22"/>
          </w:rPr>
          <m:t>∙Berry Weight</m:t>
        </m:r>
      </m:oMath>
      <w:r w:rsidR="009038E4" w:rsidRPr="00E57243">
        <w:rPr>
          <w:rFonts w:eastAsia="Calibri"/>
          <w:sz w:val="24"/>
          <w:szCs w:val="28"/>
        </w:rPr>
        <w:t xml:space="preserve">  </w:t>
      </w:r>
      <w:r w:rsidR="009038E4">
        <w:rPr>
          <w:rFonts w:eastAsia="Calibri"/>
        </w:rPr>
        <w:t xml:space="preserve">  </w:t>
      </w:r>
      <w:r w:rsidR="00E34296">
        <w:rPr>
          <w:rFonts w:eastAsia="Calibri"/>
        </w:rPr>
        <w:t xml:space="preserve">                    </w:t>
      </w:r>
      <w:r w:rsidR="009038E4">
        <w:rPr>
          <w:rFonts w:eastAsia="Calibri"/>
        </w:rPr>
        <w:t xml:space="preserve"> (1)</w:t>
      </w:r>
    </w:p>
    <w:p w14:paraId="3D733E4D" w14:textId="54031B85" w:rsidR="008E2EA3" w:rsidRDefault="008E2EA3" w:rsidP="008E2EA3">
      <w:pPr>
        <w:pStyle w:val="CETBodytext"/>
      </w:pPr>
      <w:r>
        <w:t>This bottom-up structure retains uncertainty in individual components when calculating total production.</w:t>
      </w:r>
    </w:p>
    <w:p w14:paraId="28351FA6" w14:textId="74724D47" w:rsidR="008E2EA3" w:rsidRDefault="008E2EA3" w:rsidP="008E2EA3">
      <w:pPr>
        <w:pStyle w:val="CETheadingx"/>
        <w:numPr>
          <w:ilvl w:val="0"/>
          <w:numId w:val="0"/>
        </w:numPr>
      </w:pPr>
      <w:r>
        <w:t>2.2.1. Cluster number estimation</w:t>
      </w:r>
    </w:p>
    <w:p w14:paraId="7B0F90B7" w14:textId="249CA23D" w:rsidR="008E2EA3" w:rsidRDefault="008E2EA3" w:rsidP="008E2EA3">
      <w:pPr>
        <w:pStyle w:val="CETBodytext"/>
      </w:pPr>
      <w:r>
        <w:t xml:space="preserve">The first module estimates inflorescences generated by buds after pruning through the Average Potential Fertility (APF). Bud fertility depends on node position, cultivar, vine </w:t>
      </w:r>
      <w:proofErr w:type="spellStart"/>
      <w:r>
        <w:t>vigour</w:t>
      </w:r>
      <w:proofErr w:type="spellEnd"/>
      <w:r>
        <w:t xml:space="preserve"> and conditions during inflorescence initiation (Boss et al., 2003; Vasconcelos et al., 2009; </w:t>
      </w:r>
      <w:proofErr w:type="spellStart"/>
      <w:r>
        <w:t>Palliotti</w:t>
      </w:r>
      <w:proofErr w:type="spellEnd"/>
      <w:r>
        <w:t xml:space="preserve"> et al., 2018). The shoot is therefore divided into functional zones with a fertility profile for each node.</w:t>
      </w:r>
    </w:p>
    <w:p w14:paraId="1F2FB4E4" w14:textId="77777777" w:rsidR="008E2EA3" w:rsidRDefault="008E2EA3" w:rsidP="008E2EA3">
      <w:pPr>
        <w:pStyle w:val="CETBodytext"/>
      </w:pPr>
      <w:r>
        <w:t>The APF is expressed as:</w:t>
      </w:r>
    </w:p>
    <w:p w14:paraId="0B208697" w14:textId="420950AD" w:rsidR="008E2EA3" w:rsidRDefault="008E2EA3" w:rsidP="008E2EA3">
      <w:pPr>
        <w:jc w:val="center"/>
      </w:pPr>
      <m:oMath>
        <m:r>
          <w:rPr>
            <w:rFonts w:ascii="Cambria Math" w:hAnsi="Cambria Math"/>
          </w:rPr>
          <m:t>APF = AP</m:t>
        </m:r>
        <m:sSub>
          <m:sSubPr>
            <m:ctrlPr>
              <w:rPr>
                <w:rFonts w:ascii="Cambria Math" w:hAnsi="Cambria Math"/>
              </w:rPr>
            </m:ctrlPr>
          </m:sSubPr>
          <m:e>
            <m:r>
              <w:rPr>
                <w:rFonts w:ascii="Cambria Math" w:hAnsi="Cambria Math"/>
              </w:rPr>
              <m:t>F</m:t>
            </m:r>
          </m:e>
          <m:sub>
            <m:r>
              <w:rPr>
                <w:rFonts w:ascii="Cambria Math" w:hAnsi="Cambria Math"/>
              </w:rPr>
              <m:t>grad</m:t>
            </m:r>
          </m:sub>
        </m:sSub>
        <m: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S1⋅0.6</m:t>
                </m:r>
              </m:e>
            </m:d>
            <m:r>
              <w:rPr>
                <w:rFonts w:ascii="Cambria Math" w:hAnsi="Cambria Math"/>
              </w:rPr>
              <m:t>+</m:t>
            </m:r>
            <m:d>
              <m:dPr>
                <m:ctrlPr>
                  <w:rPr>
                    <w:rFonts w:ascii="Cambria Math" w:hAnsi="Cambria Math"/>
                  </w:rPr>
                </m:ctrlPr>
              </m:dPr>
              <m:e>
                <m:r>
                  <w:rPr>
                    <w:rFonts w:ascii="Cambria Math" w:hAnsi="Cambria Math"/>
                  </w:rPr>
                  <m:t>S2⋅0.4</m:t>
                </m:r>
              </m:e>
            </m:d>
          </m:e>
        </m:d>
      </m:oMath>
      <w:r w:rsidR="00E34296">
        <w:t xml:space="preserve">                                                   (2)</w:t>
      </w:r>
    </w:p>
    <w:p w14:paraId="78F4BC80" w14:textId="77777777" w:rsidR="008E2EA3" w:rsidRDefault="008E2EA3" w:rsidP="008E2EA3">
      <w:pPr>
        <w:pStyle w:val="CETBodytext"/>
      </w:pPr>
    </w:p>
    <w:p w14:paraId="0D0777D3" w14:textId="4F696D3F" w:rsidR="008E2EA3" w:rsidRDefault="008E2EA3" w:rsidP="008E2EA3">
      <w:pPr>
        <w:pStyle w:val="CETBodytext"/>
      </w:pPr>
      <w:proofErr w:type="spellStart"/>
      <w:r>
        <w:t>APF</w:t>
      </w:r>
      <w:r w:rsidRPr="009038E4">
        <w:rPr>
          <w:vertAlign w:val="subscript"/>
        </w:rPr>
        <w:t>grad</w:t>
      </w:r>
      <w:proofErr w:type="spellEnd"/>
      <w:r w:rsidRPr="009038E4">
        <w:rPr>
          <w:vertAlign w:val="subscript"/>
        </w:rPr>
        <w:t xml:space="preserve"> </w:t>
      </w:r>
      <w:r>
        <w:t>represents the positional fertility gradient, while S1 and S2 represent previous- and current-season effects, combining physiological, environmental and controllable factors.</w:t>
      </w:r>
    </w:p>
    <w:p w14:paraId="47D4F22A" w14:textId="49D921DD" w:rsidR="008E2EA3" w:rsidRDefault="00E57243" w:rsidP="00E34296">
      <w:pPr>
        <w:spacing w:before="240" w:after="240"/>
        <w:jc w:val="center"/>
        <w:rPr>
          <w:rFonts w:eastAsia="Calibri"/>
        </w:rPr>
      </w:pPr>
      <m:oMath>
        <m:r>
          <w:rPr>
            <w:rFonts w:ascii="Cambria Math" w:hAnsi="Cambria Math"/>
          </w:rPr>
          <w:lastRenderedPageBreak/>
          <m:t>S1=0.33 </m:t>
        </m:r>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end</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exo1</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mit</m:t>
                </m:r>
              </m:sub>
            </m:sSub>
          </m:e>
        </m:d>
        <m:r>
          <w:rPr>
            <w:rFonts w:ascii="Cambria Math" w:hAnsi="Cambria Math"/>
          </w:rPr>
          <m:t>,</m:t>
        </m:r>
      </m:oMath>
      <w:r w:rsidR="00E34296">
        <w:rPr>
          <w:rFonts w:eastAsia="Calibri"/>
        </w:rPr>
        <w:t xml:space="preserve">                                                               (3)</w:t>
      </w:r>
    </w:p>
    <w:p w14:paraId="4F5B0907" w14:textId="7C2DEAE0" w:rsidR="008E2EA3" w:rsidRPr="00E34296" w:rsidRDefault="00E57243" w:rsidP="00E34296">
      <w:pPr>
        <w:spacing w:before="240" w:after="240"/>
        <w:jc w:val="center"/>
      </w:pPr>
      <m:oMath>
        <m:r>
          <w:rPr>
            <w:rFonts w:ascii="Cambria Math" w:hAnsi="Cambria Math"/>
          </w:rPr>
          <m:t>S2=0.5 </m:t>
        </m:r>
        <m:d>
          <m:dPr>
            <m:ctrlPr>
              <w:rPr>
                <w:rFonts w:ascii="Cambria Math" w:hAnsi="Cambria Math"/>
              </w:rPr>
            </m:ctrlPr>
          </m:dPr>
          <m:e>
            <m:sSub>
              <m:sSubPr>
                <m:ctrlPr>
                  <w:rPr>
                    <w:rFonts w:ascii="Cambria Math" w:hAnsi="Cambria Math"/>
                  </w:rPr>
                </m:ctrlPr>
              </m:sSubPr>
              <m:e>
                <m:r>
                  <w:rPr>
                    <w:rFonts w:ascii="Cambria Math" w:hAnsi="Cambria Math"/>
                  </w:rPr>
                  <m:t>F</m:t>
                </m:r>
              </m:e>
              <m:sub>
                <m:r>
                  <w:rPr>
                    <w:rFonts w:ascii="Cambria Math" w:hAnsi="Cambria Math"/>
                  </w:rPr>
                  <m:t>end</m:t>
                </m:r>
              </m:sub>
            </m:sSub>
            <m:r>
              <w:rPr>
                <w:rFonts w:ascii="Cambria Math" w:hAnsi="Cambria Math"/>
              </w:rPr>
              <m:t>+</m:t>
            </m:r>
            <m:sSub>
              <m:sSubPr>
                <m:ctrlPr>
                  <w:rPr>
                    <w:rFonts w:ascii="Cambria Math" w:hAnsi="Cambria Math"/>
                  </w:rPr>
                </m:ctrlPr>
              </m:sSubPr>
              <m:e>
                <m:r>
                  <w:rPr>
                    <w:rFonts w:ascii="Cambria Math" w:hAnsi="Cambria Math"/>
                  </w:rPr>
                  <m:t>F</m:t>
                </m:r>
              </m:e>
              <m:sub>
                <m:r>
                  <w:rPr>
                    <w:rFonts w:ascii="Cambria Math" w:hAnsi="Cambria Math"/>
                  </w:rPr>
                  <m:t>exo2</m:t>
                </m:r>
              </m:sub>
            </m:sSub>
          </m:e>
        </m:d>
        <m:r>
          <w:rPr>
            <w:rFonts w:ascii="Cambria Math" w:hAnsi="Cambria Math"/>
          </w:rPr>
          <m:t>,</m:t>
        </m:r>
      </m:oMath>
      <w:r w:rsidR="00E34296">
        <w:t xml:space="preserve">                                                                            (4)</w:t>
      </w:r>
    </w:p>
    <w:p w14:paraId="31F44212" w14:textId="695E5623" w:rsidR="008E2EA3" w:rsidRDefault="008E2EA3" w:rsidP="008E2EA3">
      <w:pPr>
        <w:pStyle w:val="CETBodytext"/>
      </w:pPr>
      <w:r>
        <w:t>where the individual factors are represented as binary indicators.</w:t>
      </w:r>
      <w:r w:rsidR="000E6DB5">
        <w:t xml:space="preserve"> </w:t>
      </w:r>
      <w:r>
        <w:t>The 60/40 weighting reflects the different contributions of the two seasons to reproductive potential.</w:t>
      </w:r>
    </w:p>
    <w:p w14:paraId="0297791F" w14:textId="77777777" w:rsidR="008E2EA3" w:rsidRDefault="008E2EA3" w:rsidP="008E2EA3">
      <w:pPr>
        <w:pStyle w:val="CETBodytext"/>
      </w:pPr>
      <w:r>
        <w:t>Spring frost is introduced by reducing the number of surviving buds:</w:t>
      </w:r>
    </w:p>
    <w:p w14:paraId="4E6C26ED" w14:textId="42F3A763" w:rsidR="008E2EA3" w:rsidRDefault="00F653B0" w:rsidP="008E2EA3">
      <w:pPr>
        <w:spacing w:before="240" w:after="240"/>
        <w:jc w:val="center"/>
      </w:pPr>
      <m:oMath>
        <m:sSub>
          <m:sSubPr>
            <m:ctrlPr>
              <w:rPr>
                <w:rFonts w:ascii="Cambria Math" w:hAnsi="Cambria Math"/>
              </w:rPr>
            </m:ctrlPr>
          </m:sSubPr>
          <m:e>
            <m:r>
              <w:rPr>
                <w:rFonts w:ascii="Cambria Math" w:hAnsi="Cambria Math"/>
              </w:rPr>
              <m:t>N</m:t>
            </m:r>
          </m:e>
          <m:sub>
            <m:r>
              <w:rPr>
                <w:rFonts w:ascii="Cambria Math" w:hAnsi="Cambria Math"/>
              </w:rPr>
              <m:t>buds-left</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buds</m:t>
            </m:r>
          </m:sub>
        </m:sSub>
        <m:d>
          <m:dPr>
            <m:ctrlPr>
              <w:rPr>
                <w:rFonts w:ascii="Cambria Math" w:hAnsi="Cambria Math"/>
              </w:rPr>
            </m:ctrlPr>
          </m:dPr>
          <m:e>
            <m:r>
              <w:rPr>
                <w:rFonts w:ascii="Cambria Math" w:hAnsi="Cambria Math"/>
              </w:rPr>
              <m:t>1-Fraction of Frost Damage</m:t>
            </m:r>
          </m:e>
        </m:d>
      </m:oMath>
      <w:r w:rsidR="00E34296">
        <w:t xml:space="preserve">                                 (5)</w:t>
      </w:r>
    </w:p>
    <w:p w14:paraId="25B27564" w14:textId="569AADF8" w:rsidR="008E2EA3" w:rsidRDefault="008E2EA3" w:rsidP="008E2EA3">
      <w:pPr>
        <w:pStyle w:val="CETBodytext"/>
      </w:pPr>
      <w:r>
        <w:t>Frost damage is generated stochastically according to phenological stage and environmental conditions.</w:t>
      </w:r>
    </w:p>
    <w:p w14:paraId="4A4E4699" w14:textId="70133D0A" w:rsidR="008E2EA3" w:rsidRDefault="008E2EA3" w:rsidP="008E2EA3">
      <w:pPr>
        <w:pStyle w:val="CETBodytext"/>
      </w:pPr>
      <w:r>
        <w:t>The total number of clusters per vine is finally obtained by summing APF over the surviving buds:</w:t>
      </w:r>
    </w:p>
    <w:p w14:paraId="2D199BCD" w14:textId="77777777" w:rsidR="00E34296" w:rsidRDefault="00E34296" w:rsidP="008E2EA3">
      <w:pPr>
        <w:pStyle w:val="CETBodytext"/>
      </w:pPr>
    </w:p>
    <w:p w14:paraId="69E08F46" w14:textId="1968AC14" w:rsidR="008E2EA3" w:rsidRDefault="008E2EA3" w:rsidP="008E2EA3">
      <w:pPr>
        <w:jc w:val="center"/>
      </w:pPr>
      <m:oMath>
        <m:r>
          <w:rPr>
            <w:rFonts w:ascii="Cambria Math" w:hAnsi="Cambria Math"/>
          </w:rPr>
          <m:t>Cluster per vine =</m:t>
        </m:r>
        <m:nary>
          <m:naryPr>
            <m:chr m:val="∑"/>
            <m:ctrlPr>
              <w:rPr>
                <w:rFonts w:ascii="Cambria Math" w:hAnsi="Cambria Math"/>
              </w:rPr>
            </m:ctrlPr>
          </m:naryPr>
          <m:sub>
            <m:r>
              <w:rPr>
                <w:rFonts w:ascii="Cambria Math" w:hAnsi="Cambria Math"/>
              </w:rPr>
              <m:t>node =1</m:t>
            </m:r>
          </m:sub>
          <m:sup>
            <m:sSub>
              <m:sSubPr>
                <m:ctrlPr>
                  <w:rPr>
                    <w:rFonts w:ascii="Cambria Math" w:hAnsi="Cambria Math"/>
                  </w:rPr>
                </m:ctrlPr>
              </m:sSubPr>
              <m:e>
                <m:r>
                  <w:rPr>
                    <w:rFonts w:ascii="Cambria Math" w:hAnsi="Cambria Math"/>
                  </w:rPr>
                  <m:t>N</m:t>
                </m:r>
              </m:e>
              <m:sub>
                <m:r>
                  <w:rPr>
                    <w:rFonts w:ascii="Cambria Math" w:hAnsi="Cambria Math"/>
                  </w:rPr>
                  <m:t>buds-left</m:t>
                </m:r>
              </m:sub>
            </m:sSub>
          </m:sup>
          <m:e>
            <m:r>
              <w:rPr>
                <w:rFonts w:ascii="Cambria Math" w:hAnsi="Cambria Math"/>
              </w:rPr>
              <m:t>APF</m:t>
            </m:r>
            <m:d>
              <m:dPr>
                <m:ctrlPr>
                  <w:rPr>
                    <w:rFonts w:ascii="Cambria Math" w:hAnsi="Cambria Math"/>
                  </w:rPr>
                </m:ctrlPr>
              </m:dPr>
              <m:e>
                <m:r>
                  <w:rPr>
                    <w:rFonts w:ascii="Cambria Math" w:hAnsi="Cambria Math"/>
                  </w:rPr>
                  <m:t>node</m:t>
                </m:r>
              </m:e>
            </m:d>
          </m:e>
        </m:nary>
      </m:oMath>
      <w:r w:rsidR="00E34296">
        <w:t xml:space="preserve">                                                 (6)</w:t>
      </w:r>
    </w:p>
    <w:p w14:paraId="65E09A38" w14:textId="77777777" w:rsidR="00E34296" w:rsidRDefault="00E34296" w:rsidP="008E2EA3">
      <w:pPr>
        <w:jc w:val="center"/>
      </w:pPr>
    </w:p>
    <w:p w14:paraId="2334E183" w14:textId="77777777" w:rsidR="008E2EA3" w:rsidRDefault="008E2EA3" w:rsidP="008E2EA3">
      <w:pPr>
        <w:pStyle w:val="CETBodytext"/>
      </w:pPr>
      <w:r>
        <w:t>Thus, frost or adverse reproductive conditions propagate to subsequent yield components.</w:t>
      </w:r>
    </w:p>
    <w:p w14:paraId="1FD394AF" w14:textId="77777777" w:rsidR="008E2EA3" w:rsidRDefault="008E2EA3" w:rsidP="008E2EA3">
      <w:pPr>
        <w:pStyle w:val="CETheadingx"/>
        <w:numPr>
          <w:ilvl w:val="0"/>
          <w:numId w:val="0"/>
        </w:numPr>
        <w:rPr>
          <w:rFonts w:ascii="Times New Roman" w:hAnsi="Times New Roman"/>
          <w:sz w:val="36"/>
          <w:lang w:val="it-IT"/>
        </w:rPr>
      </w:pPr>
      <w:r>
        <w:t>2.2.2. Berry number estimation</w:t>
      </w:r>
    </w:p>
    <w:p w14:paraId="12FBBD1E" w14:textId="77777777" w:rsidR="008E2EA3" w:rsidRDefault="008E2EA3" w:rsidP="008E2EA3">
      <w:pPr>
        <w:pStyle w:val="CETBodytext"/>
      </w:pPr>
      <w:r>
        <w:t>The number of berries per cluster is calculated from the number of flowers and the fruit-set coefficient:</w:t>
      </w:r>
    </w:p>
    <w:p w14:paraId="2A75DF2E" w14:textId="707F2B16" w:rsidR="008E2EA3" w:rsidRDefault="00F653B0" w:rsidP="00E34296">
      <w:pPr>
        <w:spacing w:before="240" w:after="240"/>
        <w:jc w:val="center"/>
      </w:pPr>
      <m:oMath>
        <m:f>
          <m:fPr>
            <m:ctrlPr>
              <w:rPr>
                <w:rFonts w:ascii="Cambria Math" w:hAnsi="Cambria Math"/>
                <w:i/>
                <w:sz w:val="22"/>
                <w:szCs w:val="24"/>
              </w:rPr>
            </m:ctrlPr>
          </m:fPr>
          <m:num>
            <m:r>
              <w:rPr>
                <w:rFonts w:ascii="Cambria Math" w:hAnsi="Cambria Math"/>
                <w:sz w:val="22"/>
                <w:szCs w:val="24"/>
              </w:rPr>
              <m:t>number of berries </m:t>
            </m:r>
          </m:num>
          <m:den>
            <m:r>
              <w:rPr>
                <w:rFonts w:ascii="Cambria Math" w:hAnsi="Cambria Math"/>
                <w:sz w:val="22"/>
                <w:szCs w:val="24"/>
              </w:rPr>
              <m:t>cluster</m:t>
            </m:r>
          </m:den>
        </m:f>
        <m:r>
          <w:rPr>
            <w:rFonts w:ascii="Cambria Math" w:hAnsi="Cambria Math"/>
            <w:sz w:val="22"/>
            <w:szCs w:val="24"/>
          </w:rPr>
          <m:t>= </m:t>
        </m:r>
        <m:f>
          <m:fPr>
            <m:ctrlPr>
              <w:rPr>
                <w:rFonts w:ascii="Cambria Math" w:hAnsi="Cambria Math"/>
                <w:i/>
                <w:sz w:val="22"/>
                <w:szCs w:val="24"/>
              </w:rPr>
            </m:ctrlPr>
          </m:fPr>
          <m:num>
            <m:r>
              <w:rPr>
                <w:rFonts w:ascii="Cambria Math" w:hAnsi="Cambria Math"/>
                <w:sz w:val="22"/>
                <w:szCs w:val="24"/>
              </w:rPr>
              <m:t>Flowers number</m:t>
            </m:r>
          </m:num>
          <m:den>
            <m:r>
              <w:rPr>
                <w:rFonts w:ascii="Cambria Math" w:hAnsi="Cambria Math"/>
                <w:sz w:val="22"/>
                <w:szCs w:val="24"/>
              </w:rPr>
              <m:t>cluster</m:t>
            </m:r>
          </m:den>
        </m:f>
        <m:r>
          <w:rPr>
            <w:rFonts w:ascii="Cambria Math" w:hAnsi="Cambria Math"/>
            <w:sz w:val="22"/>
            <w:szCs w:val="24"/>
          </w:rPr>
          <m:t> ⋅FS  </m:t>
        </m:r>
      </m:oMath>
      <w:r w:rsidR="00E34296">
        <w:t xml:space="preserve">                                         (7)</w:t>
      </w:r>
    </w:p>
    <w:p w14:paraId="741F497F" w14:textId="741FE304" w:rsidR="008E2EA3" w:rsidRDefault="008E2EA3" w:rsidP="008E2EA3">
      <w:pPr>
        <w:pStyle w:val="CETBodytext"/>
      </w:pPr>
      <w:r>
        <w:t>Flowers per inflorescence are represented as a discrete stochastic variable from 200 to 500, with maximum probability at 350, accounting for biological variability among cultivars and inflorescences.</w:t>
      </w:r>
    </w:p>
    <w:p w14:paraId="728A7DF9" w14:textId="08AC0BF0" w:rsidR="008E2EA3" w:rsidRDefault="008E2EA3" w:rsidP="008E2EA3">
      <w:pPr>
        <w:pStyle w:val="CETBodytext"/>
      </w:pPr>
      <w:r>
        <w:t>The baseline fruit-set coefficient (FS) is 0.35 and can vary with plant physiological status. Carbon availability and shoot competition affect source-sink balance around flowering and fruit set.</w:t>
      </w:r>
    </w:p>
    <w:p w14:paraId="5F1914C4" w14:textId="27BC5D1C" w:rsidR="008E2EA3" w:rsidRDefault="008E2EA3" w:rsidP="00E34296">
      <w:pPr>
        <w:spacing w:before="240" w:after="240"/>
        <w:jc w:val="center"/>
      </w:pPr>
      <m:oMath>
        <m:r>
          <w:rPr>
            <w:rFonts w:ascii="Cambria Math" w:hAnsi="Cambria Math"/>
          </w:rPr>
          <m:t>FS=F</m:t>
        </m:r>
        <m:sSub>
          <m:sSubPr>
            <m:ctrlPr>
              <w:rPr>
                <w:rFonts w:ascii="Cambria Math" w:hAnsi="Cambria Math"/>
              </w:rPr>
            </m:ctrlPr>
          </m:sSubPr>
          <m:e>
            <m:r>
              <w:rPr>
                <w:rFonts w:ascii="Cambria Math" w:hAnsi="Cambria Math"/>
              </w:rPr>
              <m:t>S</m:t>
            </m:r>
          </m:e>
          <m:sub>
            <m:r>
              <w:rPr>
                <w:rFonts w:ascii="Cambria Math" w:hAnsi="Cambria Math"/>
              </w:rPr>
              <m:t>baseline</m:t>
            </m:r>
          </m:sub>
        </m:sSub>
        <m:r>
          <w:rPr>
            <w:rFonts w:ascii="Cambria Math" w:hAnsi="Cambria Math"/>
          </w:rPr>
          <m:t>*</m:t>
        </m:r>
        <m:d>
          <m:dPr>
            <m:begChr m:val="["/>
            <m:endChr m:val="]"/>
            <m:ctrlPr>
              <w:rPr>
                <w:rFonts w:ascii="Cambria Math" w:hAnsi="Cambria Math"/>
              </w:rPr>
            </m:ctrlPr>
          </m:dPr>
          <m:e>
            <m:d>
              <m:dPr>
                <m:ctrlPr>
                  <w:rPr>
                    <w:rFonts w:ascii="Cambria Math" w:hAnsi="Cambria Math"/>
                  </w:rPr>
                </m:ctrlPr>
              </m:dPr>
              <m:e>
                <m:r>
                  <w:rPr>
                    <w:rFonts w:ascii="Cambria Math" w:hAnsi="Cambria Math"/>
                  </w:rPr>
                  <m:t>0.7*CS</m:t>
                </m:r>
              </m:e>
            </m:d>
            <m:r>
              <w:rPr>
                <w:rFonts w:ascii="Cambria Math" w:hAnsi="Cambria Math"/>
              </w:rPr>
              <m:t>+0.3*</m:t>
            </m:r>
            <m:d>
              <m:dPr>
                <m:ctrlPr>
                  <w:rPr>
                    <w:rFonts w:ascii="Cambria Math" w:hAnsi="Cambria Math"/>
                  </w:rPr>
                </m:ctrlPr>
              </m:dPr>
              <m:e>
                <m:r>
                  <w:rPr>
                    <w:rFonts w:ascii="Cambria Math" w:hAnsi="Cambria Math"/>
                  </w:rPr>
                  <m:t>1-SC</m:t>
                </m:r>
              </m:e>
            </m:d>
          </m:e>
        </m:d>
      </m:oMath>
      <w:r w:rsidR="00E34296">
        <w:t xml:space="preserve">                                             (8)</w:t>
      </w:r>
    </w:p>
    <w:p w14:paraId="1CF2E4D0" w14:textId="64415EF2" w:rsidR="008E2EA3" w:rsidRDefault="008E2EA3" w:rsidP="008E2EA3">
      <w:pPr>
        <w:pStyle w:val="CETBodytext"/>
      </w:pPr>
      <w:r>
        <w:t xml:space="preserve">Carbon availability was estimated from radiation interception, photosynthetic assimilation and maintenance respiration, using </w:t>
      </w:r>
      <w:proofErr w:type="spellStart"/>
      <w:r>
        <w:t>Oyarzun</w:t>
      </w:r>
      <w:proofErr w:type="spellEnd"/>
      <w:r>
        <w:t xml:space="preserve"> et al. (2007) and Cola et al. (2014). Meteorological inputs were obtained from regional observations and PVGIS data.</w:t>
      </w:r>
    </w:p>
    <w:p w14:paraId="2ADE61BB" w14:textId="08E5E4D4" w:rsidR="008E2EA3" w:rsidRDefault="008E2EA3" w:rsidP="008E2EA3">
      <w:pPr>
        <w:pStyle w:val="CETheadingx"/>
        <w:numPr>
          <w:ilvl w:val="0"/>
          <w:numId w:val="0"/>
        </w:numPr>
      </w:pPr>
      <w:r>
        <w:t>2.2.3. Berry weight estimation</w:t>
      </w:r>
    </w:p>
    <w:p w14:paraId="30580F96" w14:textId="77777777" w:rsidR="008E2EA3" w:rsidRDefault="008E2EA3" w:rsidP="008E2EA3">
      <w:pPr>
        <w:pStyle w:val="CETBodytext"/>
      </w:pPr>
      <w:r>
        <w:t>Berry growth was represented using the source-sink framework of Zhu et al. (2019), adapted from hourly ripening to a daily simulation from fruit set to harvest.</w:t>
      </w:r>
    </w:p>
    <w:p w14:paraId="3D5AC05D" w14:textId="0C2CF21B" w:rsidR="008E2EA3" w:rsidRDefault="008E2EA3" w:rsidP="008E2EA3">
      <w:pPr>
        <w:pStyle w:val="CETBodytext"/>
      </w:pPr>
      <w:r>
        <w:t>Berry fresh weight was calculated as:</w:t>
      </w:r>
    </w:p>
    <w:p w14:paraId="3350B054" w14:textId="77777777" w:rsidR="008E2EA3" w:rsidRDefault="008E2EA3" w:rsidP="008E2EA3">
      <w:pPr>
        <w:pStyle w:val="CETBodytext"/>
      </w:pPr>
    </w:p>
    <w:p w14:paraId="09DFCF27" w14:textId="77C03792" w:rsidR="008E2EA3" w:rsidRDefault="00F653B0" w:rsidP="008E2EA3">
      <w:pPr>
        <w:spacing w:after="240"/>
        <w:jc w:val="center"/>
        <w:rPr>
          <w:rFonts w:eastAsia="Calibri"/>
        </w:rPr>
      </w:pPr>
      <m:oMath>
        <m:f>
          <m:fPr>
            <m:ctrlPr>
              <w:rPr>
                <w:rFonts w:ascii="Cambria Math" w:hAnsi="Cambria Math"/>
                <w:sz w:val="22"/>
                <w:szCs w:val="24"/>
              </w:rPr>
            </m:ctrlPr>
          </m:fPr>
          <m:num>
            <m:r>
              <w:rPr>
                <w:rFonts w:ascii="Cambria Math" w:hAnsi="Cambria Math"/>
                <w:sz w:val="22"/>
                <w:szCs w:val="24"/>
              </w:rPr>
              <m:t>d </m:t>
            </m:r>
            <m:sSub>
              <m:sSubPr>
                <m:ctrlPr>
                  <w:rPr>
                    <w:rFonts w:ascii="Cambria Math" w:hAnsi="Cambria Math"/>
                    <w:sz w:val="22"/>
                    <w:szCs w:val="24"/>
                  </w:rPr>
                </m:ctrlPr>
              </m:sSubPr>
              <m:e>
                <m:r>
                  <w:rPr>
                    <w:rFonts w:ascii="Cambria Math" w:hAnsi="Cambria Math"/>
                    <w:sz w:val="22"/>
                    <w:szCs w:val="24"/>
                  </w:rPr>
                  <m:t>W</m:t>
                </m:r>
              </m:e>
              <m:sub>
                <m:r>
                  <w:rPr>
                    <w:rFonts w:ascii="Cambria Math" w:hAnsi="Cambria Math"/>
                    <w:sz w:val="22"/>
                    <w:szCs w:val="24"/>
                  </w:rPr>
                  <m:t>berry</m:t>
                </m:r>
              </m:sub>
            </m:sSub>
          </m:num>
          <m:den>
            <m:r>
              <w:rPr>
                <w:rFonts w:ascii="Cambria Math" w:hAnsi="Cambria Math"/>
                <w:sz w:val="22"/>
                <w:szCs w:val="24"/>
              </w:rPr>
              <m:t>dt</m:t>
            </m:r>
          </m:den>
        </m:f>
        <m:r>
          <w:rPr>
            <w:rFonts w:ascii="Cambria Math" w:hAnsi="Cambria Math"/>
            <w:sz w:val="22"/>
            <w:szCs w:val="24"/>
          </w:rPr>
          <m:t>=</m:t>
        </m:r>
        <m:f>
          <m:fPr>
            <m:ctrlPr>
              <w:rPr>
                <w:rFonts w:ascii="Cambria Math" w:hAnsi="Cambria Math"/>
                <w:sz w:val="22"/>
                <w:szCs w:val="24"/>
              </w:rPr>
            </m:ctrlPr>
          </m:fPr>
          <m:num>
            <m:r>
              <w:rPr>
                <w:rFonts w:ascii="Cambria Math" w:hAnsi="Cambria Math"/>
                <w:sz w:val="22"/>
                <w:szCs w:val="24"/>
              </w:rPr>
              <m:t>d </m:t>
            </m:r>
            <m:sSub>
              <m:sSubPr>
                <m:ctrlPr>
                  <w:rPr>
                    <w:rFonts w:ascii="Cambria Math" w:hAnsi="Cambria Math"/>
                    <w:sz w:val="22"/>
                    <w:szCs w:val="24"/>
                  </w:rPr>
                </m:ctrlPr>
              </m:sSubPr>
              <m:e>
                <m:r>
                  <w:rPr>
                    <w:rFonts w:ascii="Cambria Math" w:hAnsi="Cambria Math"/>
                    <w:sz w:val="22"/>
                    <w:szCs w:val="24"/>
                  </w:rPr>
                  <m:t>W</m:t>
                </m:r>
              </m:e>
              <m:sub>
                <m:r>
                  <w:rPr>
                    <w:rFonts w:ascii="Cambria Math" w:hAnsi="Cambria Math"/>
                    <w:sz w:val="22"/>
                    <w:szCs w:val="24"/>
                  </w:rPr>
                  <m:t>water</m:t>
                </m:r>
              </m:sub>
            </m:sSub>
          </m:num>
          <m:den>
            <m:r>
              <w:rPr>
                <w:rFonts w:ascii="Cambria Math" w:hAnsi="Cambria Math"/>
                <w:sz w:val="22"/>
                <w:szCs w:val="24"/>
              </w:rPr>
              <m:t>dt</m:t>
            </m:r>
          </m:den>
        </m:f>
        <m:r>
          <w:rPr>
            <w:rFonts w:ascii="Cambria Math" w:hAnsi="Cambria Math"/>
            <w:sz w:val="22"/>
            <w:szCs w:val="24"/>
          </w:rPr>
          <m:t>+</m:t>
        </m:r>
        <m:f>
          <m:fPr>
            <m:ctrlPr>
              <w:rPr>
                <w:rFonts w:ascii="Cambria Math" w:hAnsi="Cambria Math"/>
                <w:sz w:val="22"/>
                <w:szCs w:val="24"/>
              </w:rPr>
            </m:ctrlPr>
          </m:fPr>
          <m:num>
            <m:r>
              <w:rPr>
                <w:rFonts w:ascii="Cambria Math" w:hAnsi="Cambria Math"/>
                <w:sz w:val="22"/>
                <w:szCs w:val="24"/>
              </w:rPr>
              <m:t>d </m:t>
            </m:r>
            <m:sSub>
              <m:sSubPr>
                <m:ctrlPr>
                  <w:rPr>
                    <w:rFonts w:ascii="Cambria Math" w:hAnsi="Cambria Math"/>
                    <w:sz w:val="22"/>
                    <w:szCs w:val="24"/>
                  </w:rPr>
                </m:ctrlPr>
              </m:sSubPr>
              <m:e>
                <m:r>
                  <w:rPr>
                    <w:rFonts w:ascii="Cambria Math" w:hAnsi="Cambria Math"/>
                    <w:sz w:val="22"/>
                    <w:szCs w:val="24"/>
                  </w:rPr>
                  <m:t>W</m:t>
                </m:r>
              </m:e>
              <m:sub>
                <m:r>
                  <w:rPr>
                    <w:rFonts w:ascii="Cambria Math" w:hAnsi="Cambria Math"/>
                    <w:sz w:val="22"/>
                    <w:szCs w:val="24"/>
                  </w:rPr>
                  <m:t>dry</m:t>
                </m:r>
              </m:sub>
            </m:sSub>
          </m:num>
          <m:den>
            <m:r>
              <w:rPr>
                <w:rFonts w:ascii="Cambria Math" w:hAnsi="Cambria Math"/>
                <w:sz w:val="22"/>
                <w:szCs w:val="24"/>
              </w:rPr>
              <m:t>dt</m:t>
            </m:r>
          </m:den>
        </m:f>
        <m:r>
          <w:rPr>
            <w:rFonts w:ascii="Cambria Math" w:hAnsi="Cambria Math"/>
            <w:sz w:val="22"/>
            <w:szCs w:val="24"/>
          </w:rPr>
          <m:t xml:space="preserve">         </m:t>
        </m:r>
        <m:d>
          <m:dPr>
            <m:begChr m:val="["/>
            <m:endChr m:val="]"/>
            <m:ctrlPr>
              <w:rPr>
                <w:rFonts w:ascii="Cambria Math" w:hAnsi="Cambria Math"/>
                <w:sz w:val="22"/>
                <w:szCs w:val="24"/>
              </w:rPr>
            </m:ctrlPr>
          </m:dPr>
          <m:e>
            <m:r>
              <w:rPr>
                <w:rFonts w:ascii="Cambria Math" w:hAnsi="Cambria Math"/>
                <w:sz w:val="22"/>
                <w:szCs w:val="24"/>
              </w:rPr>
              <m:t>g/day</m:t>
            </m:r>
          </m:e>
        </m:d>
      </m:oMath>
      <w:r w:rsidR="00E34296">
        <w:rPr>
          <w:rFonts w:eastAsia="Calibri"/>
        </w:rPr>
        <w:t xml:space="preserve">                                        (9)</w:t>
      </w:r>
    </w:p>
    <w:p w14:paraId="625600C6" w14:textId="6BF257D8" w:rsidR="008E2EA3" w:rsidRDefault="008E2EA3" w:rsidP="008E2EA3">
      <w:pPr>
        <w:pStyle w:val="CETBodytext"/>
      </w:pPr>
      <w:r>
        <w:t xml:space="preserve">The model accounts for xylem and phloem water transport, dry matter accumulation, transpiration and sugar uptake, with temperature and </w:t>
      </w:r>
      <w:proofErr w:type="spellStart"/>
      <w:r>
        <w:t>vapour</w:t>
      </w:r>
      <w:proofErr w:type="spellEnd"/>
      <w:r>
        <w:t xml:space="preserve"> pressure deficit affecting growth. A 90-day simulation was adopted (60 days of green growth and 30 days of ripening), solved numerically with a daily time step. A cultivar-specific maximum berry weight </w:t>
      </w:r>
      <w:proofErr w:type="spellStart"/>
      <w:r>
        <w:t>Wberrymax</w:t>
      </w:r>
      <w:proofErr w:type="spellEnd"/>
      <w:r>
        <w:t xml:space="preserve"> constrains biologically unrealistic values.</w:t>
      </w:r>
    </w:p>
    <w:p w14:paraId="18689C66" w14:textId="77777777" w:rsidR="008E2EA3" w:rsidRDefault="008E2EA3" w:rsidP="008E2EA3">
      <w:pPr>
        <w:pStyle w:val="CETBodytext"/>
      </w:pPr>
      <w:r>
        <w:t>Berry-weight variability is propagated from berry to cluster and vine. A Gaussian distribution with approximately 15% coefficient of variation represents intra-cluster variability; stratified sampling and the Box-Muller transformation generate representative berry populations (Box and Muller, 1958).</w:t>
      </w:r>
    </w:p>
    <w:p w14:paraId="60C1A117" w14:textId="77777777" w:rsidR="00FD77FC" w:rsidRDefault="00FD77FC" w:rsidP="00FD77FC">
      <w:pPr>
        <w:pStyle w:val="CETheadingx"/>
        <w:numPr>
          <w:ilvl w:val="0"/>
          <w:numId w:val="0"/>
        </w:numPr>
        <w:rPr>
          <w:rFonts w:ascii="Times New Roman" w:hAnsi="Times New Roman"/>
          <w:sz w:val="48"/>
          <w:lang w:val="it-IT"/>
        </w:rPr>
      </w:pPr>
      <w:r>
        <w:t xml:space="preserve">2.3. Logic-stochastic model and </w:t>
      </w:r>
      <w:proofErr w:type="spellStart"/>
      <w:r>
        <w:t>HoRAM</w:t>
      </w:r>
      <w:proofErr w:type="spellEnd"/>
      <w:r>
        <w:t xml:space="preserve"> implementation</w:t>
      </w:r>
    </w:p>
    <w:p w14:paraId="259CF72F" w14:textId="15CA7C46" w:rsidR="00FD77FC" w:rsidRDefault="00FD77FC" w:rsidP="00FD77FC">
      <w:pPr>
        <w:pStyle w:val="CETBodytext"/>
      </w:pPr>
      <w:r>
        <w:t xml:space="preserve">The second component applies the </w:t>
      </w:r>
      <w:proofErr w:type="spellStart"/>
      <w:r>
        <w:t>HoRAM</w:t>
      </w:r>
      <w:proofErr w:type="spellEnd"/>
      <w:r>
        <w:t xml:space="preserve"> methodology (Colombo, 2019), treating the vineyard as a productive system in which environmental, biological and operational events define alternative configurations. Implementation was performed through </w:t>
      </w:r>
      <w:proofErr w:type="spellStart"/>
      <w:r>
        <w:t>Klarisk</w:t>
      </w:r>
      <w:proofErr w:type="spellEnd"/>
      <w:r>
        <w:t>® (Colombo et al., 2024)</w:t>
      </w:r>
      <w:r w:rsidR="00686641">
        <w:t xml:space="preserve"> that </w:t>
      </w:r>
      <w:r w:rsidR="00686641" w:rsidRPr="7A632943">
        <w:rPr>
          <w:rFonts w:eastAsia="Calibri"/>
        </w:rPr>
        <w:t>relies on two principal modules:</w:t>
      </w:r>
    </w:p>
    <w:p w14:paraId="11C38265" w14:textId="77777777" w:rsidR="00FD77FC" w:rsidRDefault="00FD77FC" w:rsidP="00FD77FC">
      <w:pPr>
        <w:pStyle w:val="CETBodytext"/>
        <w:numPr>
          <w:ilvl w:val="0"/>
          <w:numId w:val="41"/>
        </w:numPr>
      </w:pPr>
      <w:r>
        <w:t xml:space="preserve">a </w:t>
      </w:r>
      <w:r>
        <w:rPr>
          <w:rStyle w:val="Enfasigrassetto"/>
        </w:rPr>
        <w:t>Logic-Stochastic Module</w:t>
      </w:r>
      <w:r>
        <w:t xml:space="preserve">, which generates possible combinations of system events according to their assigned probabilities; </w:t>
      </w:r>
    </w:p>
    <w:p w14:paraId="33C0A7C6" w14:textId="77777777" w:rsidR="00FD77FC" w:rsidRDefault="00FD77FC" w:rsidP="00FD77FC">
      <w:pPr>
        <w:pStyle w:val="CETBodytext"/>
        <w:numPr>
          <w:ilvl w:val="0"/>
          <w:numId w:val="41"/>
        </w:numPr>
      </w:pPr>
      <w:r w:rsidRPr="00FD77FC">
        <w:t xml:space="preserve">a </w:t>
      </w:r>
      <w:r w:rsidRPr="00FD77FC">
        <w:rPr>
          <w:rStyle w:val="Enfasigrassetto"/>
        </w:rPr>
        <w:t>Consequence Module</w:t>
      </w:r>
      <w:r w:rsidRPr="00FD77FC">
        <w:t xml:space="preserve">, which applies the logical relationships between events and propagates their effects towards the final yield. </w:t>
      </w:r>
    </w:p>
    <w:p w14:paraId="1720D72D" w14:textId="00F12130" w:rsidR="00FD77FC" w:rsidRPr="00FD77FC" w:rsidRDefault="00FD77FC" w:rsidP="00FD77FC">
      <w:pPr>
        <w:pStyle w:val="CETBodytext"/>
      </w:pPr>
      <w:r>
        <w:lastRenderedPageBreak/>
        <w:t>Stochastic variables include temperature, radiation, relative humidity, frost, flowers per inflorescence, leaf number, management operations and frost mitigation.</w:t>
      </w:r>
    </w:p>
    <w:p w14:paraId="61EBA792" w14:textId="77777777" w:rsidR="00FD77FC" w:rsidRPr="00FD77FC" w:rsidRDefault="00FD77FC" w:rsidP="00FD77FC">
      <w:pPr>
        <w:pStyle w:val="CETBodytext"/>
      </w:pPr>
      <w:r>
        <w:t xml:space="preserve">Environmental probabilities were estimated from </w:t>
      </w:r>
      <w:proofErr w:type="spellStart"/>
      <w:r>
        <w:t>Agna</w:t>
      </w:r>
      <w:proofErr w:type="spellEnd"/>
      <w:r>
        <w:t xml:space="preserve"> station records (Province of Padua, 2010–2024), with temperature and radiation classified according to literature thresholds.</w:t>
      </w:r>
    </w:p>
    <w:p w14:paraId="28887E28" w14:textId="77777777" w:rsidR="00FD77FC" w:rsidRPr="00FD77FC" w:rsidRDefault="00FD77FC" w:rsidP="00FD77FC">
      <w:pPr>
        <w:pStyle w:val="CETBodytext"/>
      </w:pPr>
      <w:r>
        <w:t>The stochastic structure represents both normal variability and extreme events; for spring frost, probability is conditioned on phenological stage to distinguish different levels of vulnerability.</w:t>
      </w:r>
    </w:p>
    <w:p w14:paraId="5520AC1C" w14:textId="77777777" w:rsidR="00FD77FC" w:rsidRDefault="00FD77FC" w:rsidP="00FD77FC">
      <w:pPr>
        <w:pStyle w:val="CETheadingx"/>
        <w:numPr>
          <w:ilvl w:val="0"/>
          <w:numId w:val="0"/>
        </w:numPr>
      </w:pPr>
      <w:r>
        <w:t>2.4. Representation of management actions</w:t>
      </w:r>
    </w:p>
    <w:p w14:paraId="3DE7D2F3" w14:textId="234386D9" w:rsidR="00FD77FC" w:rsidRPr="005217BF" w:rsidRDefault="00FD77FC" w:rsidP="00FD77FC">
      <w:pPr>
        <w:pStyle w:val="CETBodytext"/>
        <w:rPr>
          <w:b/>
          <w:bCs/>
        </w:rPr>
      </w:pPr>
      <w:r>
        <w:t xml:space="preserve">Management decisions such as shoot tipping and early basal leaf removal are represented as binary variables, allowing alternative operation scenarios to be compared. Two frost mitigation strategies were considered: overhead anti-frost irrigation alone and combined with the </w:t>
      </w:r>
      <w:proofErr w:type="spellStart"/>
      <w:r>
        <w:t>A.N.Gela</w:t>
      </w:r>
      <w:proofErr w:type="spellEnd"/>
      <w:r>
        <w:t xml:space="preserve"> early-warning system.</w:t>
      </w:r>
    </w:p>
    <w:p w14:paraId="39CF7593" w14:textId="6CCAFB72" w:rsidR="00FD77FC" w:rsidRDefault="00FD77FC" w:rsidP="00FD77FC">
      <w:pPr>
        <w:pStyle w:val="CETBodytext"/>
      </w:pPr>
      <w:r>
        <w:t xml:space="preserve">Anti-frost protection was represented through timely-activation probability and assumed frost-damage reduction. Because quantitative effectiveness data were unavailable for all conditions, some reduction parameters were assumed and can later be replaced by calibrated values. Timely activation was assumed to increase from 70% without the warning service to 95% with </w:t>
      </w:r>
      <w:proofErr w:type="spellStart"/>
      <w:r>
        <w:t>A.N.Gela</w:t>
      </w:r>
      <w:proofErr w:type="spellEnd"/>
      <w:r>
        <w:t>.</w:t>
      </w:r>
    </w:p>
    <w:p w14:paraId="79412620" w14:textId="0DC676B0" w:rsidR="00FD77FC" w:rsidRDefault="00FD77FC" w:rsidP="00FD77FC">
      <w:pPr>
        <w:pStyle w:val="CETheadingx"/>
        <w:numPr>
          <w:ilvl w:val="0"/>
          <w:numId w:val="0"/>
        </w:numPr>
      </w:pPr>
      <w:r>
        <w:t>2.5. Multiphase computational implementation</w:t>
      </w:r>
    </w:p>
    <w:p w14:paraId="2B816F6D" w14:textId="7098F9C9" w:rsidR="00FD77FC" w:rsidRDefault="00FD77FC" w:rsidP="00FD77FC">
      <w:pPr>
        <w:pStyle w:val="CETBodytext"/>
      </w:pPr>
      <w:r>
        <w:t xml:space="preserve">The direct integration of all stochastic and phenomenological equations generated excessive computational burden; the model was therefore decomposed into three sequential </w:t>
      </w:r>
      <w:proofErr w:type="spellStart"/>
      <w:r>
        <w:t>submodels</w:t>
      </w:r>
      <w:proofErr w:type="spellEnd"/>
      <w:r>
        <w:t>.</w:t>
      </w:r>
    </w:p>
    <w:p w14:paraId="797D461B" w14:textId="77777777" w:rsidR="00FD77FC" w:rsidRDefault="00FD77FC" w:rsidP="00FD77FC">
      <w:pPr>
        <w:pStyle w:val="CETBodytext"/>
        <w:rPr>
          <w:rStyle w:val="Enfasigrassetto"/>
        </w:rPr>
      </w:pPr>
      <w:proofErr w:type="spellStart"/>
      <w:r>
        <w:rPr>
          <w:rStyle w:val="Enfasigrassetto"/>
        </w:rPr>
        <w:t>Submodel</w:t>
      </w:r>
      <w:proofErr w:type="spellEnd"/>
      <w:r>
        <w:rPr>
          <w:rStyle w:val="Enfasigrassetto"/>
        </w:rPr>
        <w:t xml:space="preserve"> 1 – Cluster and berry number.</w:t>
      </w:r>
    </w:p>
    <w:p w14:paraId="3C6486E7" w14:textId="6803C9CE" w:rsidR="00FD77FC" w:rsidRDefault="00FD77FC" w:rsidP="00FD77FC">
      <w:pPr>
        <w:pStyle w:val="CETBodytext"/>
      </w:pPr>
      <w:r>
        <w:t xml:space="preserve">Cultivar, vine </w:t>
      </w:r>
      <w:proofErr w:type="spellStart"/>
      <w:r>
        <w:t>vigour</w:t>
      </w:r>
      <w:proofErr w:type="spellEnd"/>
      <w:r>
        <w:t>, bud load and pruning type are used to estimate shoots per bud, clusters per vine and berries per cluster.</w:t>
      </w:r>
    </w:p>
    <w:p w14:paraId="0FB4F200" w14:textId="77777777" w:rsidR="00FD77FC" w:rsidRDefault="00FD77FC" w:rsidP="00FD77FC">
      <w:pPr>
        <w:pStyle w:val="CETBodytext"/>
        <w:contextualSpacing/>
        <w:rPr>
          <w:rStyle w:val="Enfasigrassetto"/>
        </w:rPr>
      </w:pPr>
      <w:proofErr w:type="spellStart"/>
      <w:r>
        <w:rPr>
          <w:rStyle w:val="Enfasigrassetto"/>
        </w:rPr>
        <w:t>Submodel</w:t>
      </w:r>
      <w:proofErr w:type="spellEnd"/>
      <w:r>
        <w:rPr>
          <w:rStyle w:val="Enfasigrassetto"/>
        </w:rPr>
        <w:t xml:space="preserve"> 2 – Early berry development.</w:t>
      </w:r>
    </w:p>
    <w:p w14:paraId="77982647" w14:textId="23D61C2E" w:rsidR="00FD77FC" w:rsidRDefault="00FD77FC" w:rsidP="00FD77FC">
      <w:pPr>
        <w:pStyle w:val="CETBodytext"/>
      </w:pPr>
      <w:r>
        <w:t>Meteorological conditions during June, July and early August are used to estimate preliminary berry weight.</w:t>
      </w:r>
    </w:p>
    <w:p w14:paraId="497A94F8" w14:textId="77777777" w:rsidR="00FD77FC" w:rsidRDefault="00FD77FC" w:rsidP="00FD77FC">
      <w:pPr>
        <w:pStyle w:val="CETBodytext"/>
        <w:rPr>
          <w:rStyle w:val="Enfasigrassetto"/>
        </w:rPr>
      </w:pPr>
      <w:proofErr w:type="spellStart"/>
      <w:r>
        <w:rPr>
          <w:rStyle w:val="Enfasigrassetto"/>
        </w:rPr>
        <w:t>Submodel</w:t>
      </w:r>
      <w:proofErr w:type="spellEnd"/>
      <w:r>
        <w:rPr>
          <w:rStyle w:val="Enfasigrassetto"/>
        </w:rPr>
        <w:t xml:space="preserve"> 3 – Final yield estimation.</w:t>
      </w:r>
    </w:p>
    <w:p w14:paraId="57A499AE" w14:textId="5DBBA79A" w:rsidR="00FD77FC" w:rsidRDefault="00FD77FC" w:rsidP="00FD77FC">
      <w:pPr>
        <w:pStyle w:val="CETBodytext"/>
      </w:pPr>
      <w:proofErr w:type="spellStart"/>
      <w:r>
        <w:t>Submodel</w:t>
      </w:r>
      <w:proofErr w:type="spellEnd"/>
      <w:r>
        <w:t xml:space="preserve"> 3 combines the structural information from the first two modules with late-season environmental conditions to calculate the final yield distribution. To reduce computational time, minimum, mean and maximum intermediate values were propagated rather than the complete scenario set. Outputs include the Yield Probability Distribution, descriptive statistics, Risk Distribution Function (RDF), Complementary Cumulative Distribution Function (CCDF) and Critical Function List (CFL).</w:t>
      </w:r>
    </w:p>
    <w:p w14:paraId="60A87D8D" w14:textId="77777777" w:rsidR="00FD77FC" w:rsidRDefault="00FD77FC" w:rsidP="00FD77FC">
      <w:pPr>
        <w:pStyle w:val="CETBodytext"/>
      </w:pPr>
      <w:r>
        <w:t>The RDF describes production or production-loss probability, the CCDF the probability of exceeding a selected threshold, and the CFL the variables contributing most strongly to the final result.</w:t>
      </w:r>
    </w:p>
    <w:p w14:paraId="125870A5" w14:textId="0B3783F7" w:rsidR="00FD77FC" w:rsidRDefault="00137CD7" w:rsidP="00FD77FC">
      <w:pPr>
        <w:pStyle w:val="CETHeading1"/>
        <w:numPr>
          <w:ilvl w:val="0"/>
          <w:numId w:val="0"/>
        </w:numPr>
      </w:pPr>
      <w:r>
        <w:t>3</w:t>
      </w:r>
      <w:r w:rsidR="00FD77FC">
        <w:t>. Results and discussion</w:t>
      </w:r>
    </w:p>
    <w:p w14:paraId="65E621B0" w14:textId="77777777" w:rsidR="00FD77FC" w:rsidRDefault="00FD77FC" w:rsidP="00FD77FC">
      <w:pPr>
        <w:pStyle w:val="CETheadingx"/>
        <w:numPr>
          <w:ilvl w:val="0"/>
          <w:numId w:val="0"/>
        </w:numPr>
      </w:pPr>
      <w:r>
        <w:t>3.1. Multi-cultivar validation</w:t>
      </w:r>
    </w:p>
    <w:p w14:paraId="281CA89C" w14:textId="208E2BA5" w:rsidR="00137CD7" w:rsidRDefault="00FD77FC" w:rsidP="00137CD7">
      <w:pPr>
        <w:pStyle w:val="CETBodytext"/>
      </w:pPr>
      <w:r>
        <w:t xml:space="preserve">The phenomenological model was first evaluated using four </w:t>
      </w:r>
      <w:r>
        <w:rPr>
          <w:rStyle w:val="Enfasicorsivo"/>
        </w:rPr>
        <w:t>Vitis vinifera</w:t>
      </w:r>
      <w:r>
        <w:t xml:space="preserve"> cultivars. Experimental production data were obtained from literature studies and complemented by the 2024 Chardonnay case at the </w:t>
      </w:r>
      <w:proofErr w:type="spellStart"/>
      <w:r>
        <w:t>Dominio</w:t>
      </w:r>
      <w:proofErr w:type="spellEnd"/>
      <w:r>
        <w:t xml:space="preserve"> di Bagnoli vineyard in the Province of Padua.</w:t>
      </w:r>
      <w:r w:rsidR="00137CD7">
        <w:t xml:space="preserve"> </w:t>
      </w:r>
      <w:r>
        <w:t>The main input parameters used in the validation are summarized in Table 1</w:t>
      </w:r>
      <w:r w:rsidR="005217BF">
        <w:t xml:space="preserve"> (FS has been assumed 0.35 in all the cases</w:t>
      </w:r>
      <w:r w:rsidR="000E6DB5">
        <w:t>)</w:t>
      </w:r>
      <w:r>
        <w:t>.</w:t>
      </w:r>
    </w:p>
    <w:p w14:paraId="0E74E40C" w14:textId="2B138D33" w:rsidR="00FD77FC" w:rsidRDefault="00FD77FC" w:rsidP="00137CD7">
      <w:pPr>
        <w:pStyle w:val="CETTabletitle"/>
      </w:pPr>
      <w:r>
        <w:t>Table 1. Main input parameters used for phenomenological validation</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1981"/>
        <w:gridCol w:w="1681"/>
        <w:gridCol w:w="1121"/>
        <w:gridCol w:w="1919"/>
        <w:gridCol w:w="1242"/>
      </w:tblGrid>
      <w:tr w:rsidR="005217BF" w14:paraId="7D70B56C" w14:textId="77777777" w:rsidTr="00137CD7">
        <w:trPr>
          <w:trHeight w:val="20"/>
        </w:trPr>
        <w:tc>
          <w:tcPr>
            <w:tcW w:w="0" w:type="auto"/>
            <w:tcBorders>
              <w:top w:val="single" w:sz="4" w:space="0" w:color="auto"/>
              <w:bottom w:val="single" w:sz="4" w:space="0" w:color="auto"/>
            </w:tcBorders>
            <w:shd w:val="clear" w:color="auto" w:fill="auto"/>
            <w:tcMar>
              <w:top w:w="120" w:type="dxa"/>
              <w:left w:w="180" w:type="dxa"/>
              <w:bottom w:w="120" w:type="dxa"/>
              <w:right w:w="180" w:type="dxa"/>
            </w:tcMar>
            <w:vAlign w:val="center"/>
          </w:tcPr>
          <w:p w14:paraId="717537B7" w14:textId="77777777" w:rsidR="005217BF" w:rsidRPr="00237A50" w:rsidRDefault="005217BF" w:rsidP="003405B3">
            <w:pPr>
              <w:pStyle w:val="CETBodytext"/>
              <w:spacing w:line="240" w:lineRule="auto"/>
              <w:rPr>
                <w:b/>
                <w:bCs/>
              </w:rPr>
            </w:pPr>
            <w:r w:rsidRPr="00237A50">
              <w:rPr>
                <w:b/>
                <w:bCs/>
              </w:rPr>
              <w:t>Cultivar</w:t>
            </w:r>
          </w:p>
        </w:tc>
        <w:tc>
          <w:tcPr>
            <w:tcW w:w="0" w:type="auto"/>
            <w:tcBorders>
              <w:top w:val="single" w:sz="4" w:space="0" w:color="auto"/>
              <w:bottom w:val="single" w:sz="4" w:space="0" w:color="auto"/>
            </w:tcBorders>
            <w:shd w:val="clear" w:color="auto" w:fill="auto"/>
            <w:tcMar>
              <w:top w:w="120" w:type="dxa"/>
              <w:left w:w="180" w:type="dxa"/>
              <w:bottom w:w="120" w:type="dxa"/>
              <w:right w:w="180" w:type="dxa"/>
            </w:tcMar>
            <w:vAlign w:val="center"/>
          </w:tcPr>
          <w:p w14:paraId="156A58C5" w14:textId="30C48E98" w:rsidR="005217BF" w:rsidRPr="00237A50" w:rsidRDefault="00F653B0" w:rsidP="003405B3">
            <w:pPr>
              <w:pStyle w:val="CETBodytext"/>
              <w:spacing w:line="240" w:lineRule="auto"/>
              <w:rPr>
                <w:b/>
                <w:bCs/>
              </w:rPr>
            </w:pPr>
            <m:oMathPara>
              <m:oMath>
                <m:sSub>
                  <m:sSubPr>
                    <m:ctrlPr>
                      <w:rPr>
                        <w:rFonts w:ascii="Cambria Math" w:hAnsi="Cambria Math"/>
                        <w:b/>
                        <w:bCs/>
                      </w:rPr>
                    </m:ctrlPr>
                  </m:sSubPr>
                  <m:e>
                    <m:r>
                      <m:rPr>
                        <m:sty m:val="bi"/>
                      </m:rPr>
                      <w:rPr>
                        <w:rFonts w:ascii="Cambria Math" w:hAnsi="Cambria Math"/>
                      </w:rPr>
                      <m:t>N</m:t>
                    </m:r>
                  </m:e>
                  <m:sub>
                    <m:r>
                      <m:rPr>
                        <m:sty m:val="bi"/>
                      </m:rPr>
                      <w:rPr>
                        <w:rFonts w:ascii="Cambria Math" w:hAnsi="Cambria Math"/>
                      </w:rPr>
                      <m:t>buds</m:t>
                    </m:r>
                  </m:sub>
                </m:sSub>
                <m:r>
                  <m:rPr>
                    <m:sty m:val="bi"/>
                  </m:rPr>
                  <w:rPr>
                    <w:rFonts w:ascii="Cambria Math" w:hAnsi="Cambria Math"/>
                  </w:rPr>
                  <m:t> </m:t>
                </m:r>
              </m:oMath>
            </m:oMathPara>
          </w:p>
        </w:tc>
        <w:tc>
          <w:tcPr>
            <w:tcW w:w="0" w:type="auto"/>
            <w:tcBorders>
              <w:top w:val="single" w:sz="4" w:space="0" w:color="auto"/>
              <w:bottom w:val="single" w:sz="4" w:space="0" w:color="auto"/>
            </w:tcBorders>
            <w:shd w:val="clear" w:color="auto" w:fill="auto"/>
            <w:tcMar>
              <w:top w:w="120" w:type="dxa"/>
              <w:left w:w="180" w:type="dxa"/>
              <w:bottom w:w="120" w:type="dxa"/>
              <w:right w:w="180" w:type="dxa"/>
            </w:tcMar>
            <w:vAlign w:val="center"/>
          </w:tcPr>
          <w:p w14:paraId="2BDC4187" w14:textId="50FBB1B6" w:rsidR="005217BF" w:rsidRPr="00237A50" w:rsidRDefault="005217BF" w:rsidP="003405B3">
            <w:pPr>
              <w:pStyle w:val="CETBodytext"/>
              <w:spacing w:line="240" w:lineRule="auto"/>
              <w:rPr>
                <w:rFonts w:ascii="Cambria" w:eastAsia="Cambria" w:hAnsi="Cambria" w:cs="Cambria"/>
                <w:b/>
                <w:bCs/>
                <w:color w:val="000000" w:themeColor="text1"/>
                <w:lang w:val="it-IT"/>
              </w:rPr>
            </w:pPr>
            <w:r w:rsidRPr="00237A50">
              <w:rPr>
                <w:rFonts w:ascii="Cambria" w:eastAsia="Cambria" w:hAnsi="Cambria" w:cs="Cambria"/>
                <w:b/>
                <w:bCs/>
                <w:color w:val="000000" w:themeColor="text1"/>
              </w:rPr>
              <w:t xml:space="preserve">APF </w:t>
            </w:r>
          </w:p>
        </w:tc>
        <w:tc>
          <w:tcPr>
            <w:tcW w:w="0" w:type="auto"/>
            <w:tcBorders>
              <w:top w:val="single" w:sz="4" w:space="0" w:color="auto"/>
              <w:bottom w:val="single" w:sz="4" w:space="0" w:color="auto"/>
            </w:tcBorders>
            <w:shd w:val="clear" w:color="auto" w:fill="auto"/>
            <w:tcMar>
              <w:top w:w="120" w:type="dxa"/>
              <w:left w:w="180" w:type="dxa"/>
              <w:bottom w:w="120" w:type="dxa"/>
              <w:right w:w="180" w:type="dxa"/>
            </w:tcMar>
            <w:vAlign w:val="center"/>
          </w:tcPr>
          <w:p w14:paraId="3BCAA838" w14:textId="03DF5DCE" w:rsidR="005217BF" w:rsidRPr="00237A50" w:rsidRDefault="00F653B0" w:rsidP="003405B3">
            <w:pPr>
              <w:pStyle w:val="CETBodytext"/>
              <w:spacing w:line="240" w:lineRule="auto"/>
              <w:rPr>
                <w:b/>
                <w:bCs/>
              </w:rPr>
            </w:pPr>
            <m:oMathPara>
              <m:oMath>
                <m:f>
                  <m:fPr>
                    <m:ctrlPr>
                      <w:rPr>
                        <w:rFonts w:ascii="Cambria Math" w:hAnsi="Cambria Math"/>
                        <w:b/>
                        <w:bCs/>
                      </w:rPr>
                    </m:ctrlPr>
                  </m:fPr>
                  <m:num>
                    <m:r>
                      <m:rPr>
                        <m:sty m:val="bi"/>
                      </m:rPr>
                      <w:rPr>
                        <w:rFonts w:ascii="Cambria Math" w:hAnsi="Cambria Math"/>
                      </w:rPr>
                      <m:t>Flowers number</m:t>
                    </m:r>
                  </m:num>
                  <m:den>
                    <m:r>
                      <m:rPr>
                        <m:sty m:val="bi"/>
                      </m:rPr>
                      <w:rPr>
                        <w:rFonts w:ascii="Cambria Math" w:hAnsi="Cambria Math"/>
                      </w:rPr>
                      <m:t>cluster</m:t>
                    </m:r>
                  </m:den>
                </m:f>
                <m:r>
                  <m:rPr>
                    <m:sty m:val="bi"/>
                  </m:rPr>
                  <w:rPr>
                    <w:rFonts w:ascii="Cambria Math" w:hAnsi="Cambria Math"/>
                  </w:rPr>
                  <m:t>  </m:t>
                </m:r>
              </m:oMath>
            </m:oMathPara>
          </w:p>
        </w:tc>
        <w:tc>
          <w:tcPr>
            <w:tcW w:w="0" w:type="auto"/>
            <w:tcBorders>
              <w:top w:val="single" w:sz="4" w:space="0" w:color="auto"/>
              <w:bottom w:val="single" w:sz="4" w:space="0" w:color="auto"/>
            </w:tcBorders>
            <w:shd w:val="clear" w:color="auto" w:fill="auto"/>
            <w:tcMar>
              <w:top w:w="120" w:type="dxa"/>
              <w:left w:w="180" w:type="dxa"/>
              <w:bottom w:w="120" w:type="dxa"/>
              <w:right w:w="180" w:type="dxa"/>
            </w:tcMar>
            <w:vAlign w:val="center"/>
          </w:tcPr>
          <w:p w14:paraId="68A42D74" w14:textId="6488167C" w:rsidR="005217BF" w:rsidRPr="00237A50" w:rsidRDefault="00F653B0" w:rsidP="003405B3">
            <w:pPr>
              <w:pStyle w:val="CETBodytext"/>
              <w:spacing w:line="240" w:lineRule="auto"/>
              <w:rPr>
                <w:b/>
                <w:bCs/>
              </w:rPr>
            </w:pPr>
            <m:oMath>
              <m:sSubSup>
                <m:sSubSupPr>
                  <m:ctrlPr>
                    <w:rPr>
                      <w:rFonts w:ascii="Cambria Math" w:hAnsi="Cambria Math"/>
                      <w:b/>
                      <w:bCs/>
                    </w:rPr>
                  </m:ctrlPr>
                </m:sSubSupPr>
                <m:e>
                  <m:r>
                    <m:rPr>
                      <m:sty m:val="bi"/>
                    </m:rPr>
                    <w:rPr>
                      <w:rFonts w:ascii="Cambria Math" w:hAnsi="Cambria Math"/>
                    </w:rPr>
                    <m:t>W</m:t>
                  </m:r>
                </m:e>
                <m:sub>
                  <m:r>
                    <m:rPr>
                      <m:sty m:val="bi"/>
                    </m:rPr>
                    <w:rPr>
                      <w:rFonts w:ascii="Cambria Math" w:hAnsi="Cambria Math"/>
                    </w:rPr>
                    <m:t>berry</m:t>
                  </m:r>
                </m:sub>
                <m:sup>
                  <m:r>
                    <m:rPr>
                      <m:sty m:val="bi"/>
                    </m:rPr>
                    <w:rPr>
                      <w:rFonts w:ascii="Cambria Math" w:hAnsi="Cambria Math"/>
                    </w:rPr>
                    <m:t>max</m:t>
                  </m:r>
                </m:sup>
              </m:sSubSup>
            </m:oMath>
            <w:r w:rsidR="005217BF" w:rsidRPr="00237A50">
              <w:rPr>
                <w:b/>
                <w:bCs/>
              </w:rPr>
              <w:t xml:space="preserve">  [g]</w:t>
            </w:r>
          </w:p>
        </w:tc>
      </w:tr>
      <w:tr w:rsidR="005217BF" w14:paraId="508F999B" w14:textId="77777777" w:rsidTr="00137CD7">
        <w:trPr>
          <w:trHeight w:val="20"/>
        </w:trPr>
        <w:tc>
          <w:tcPr>
            <w:tcW w:w="0" w:type="auto"/>
            <w:tcBorders>
              <w:top w:val="single" w:sz="4" w:space="0" w:color="auto"/>
            </w:tcBorders>
            <w:tcMar>
              <w:top w:w="120" w:type="dxa"/>
              <w:left w:w="180" w:type="dxa"/>
              <w:bottom w:w="120" w:type="dxa"/>
              <w:right w:w="180" w:type="dxa"/>
            </w:tcMar>
          </w:tcPr>
          <w:p w14:paraId="67ECDADB" w14:textId="77777777" w:rsidR="005217BF" w:rsidRPr="00237A50" w:rsidRDefault="005217BF" w:rsidP="003405B3">
            <w:pPr>
              <w:pStyle w:val="CETBodytext"/>
              <w:spacing w:line="240" w:lineRule="auto"/>
              <w:jc w:val="left"/>
            </w:pPr>
            <w:r w:rsidRPr="00237A50">
              <w:t>Sangiovese</w:t>
            </w:r>
          </w:p>
        </w:tc>
        <w:tc>
          <w:tcPr>
            <w:tcW w:w="0" w:type="auto"/>
            <w:tcBorders>
              <w:top w:val="single" w:sz="4" w:space="0" w:color="auto"/>
            </w:tcBorders>
            <w:tcMar>
              <w:top w:w="120" w:type="dxa"/>
              <w:left w:w="180" w:type="dxa"/>
              <w:bottom w:w="120" w:type="dxa"/>
              <w:right w:w="180" w:type="dxa"/>
            </w:tcMar>
          </w:tcPr>
          <w:p w14:paraId="60BBC42B" w14:textId="77777777" w:rsidR="005217BF" w:rsidRPr="00237A50" w:rsidRDefault="005217BF" w:rsidP="003405B3">
            <w:pPr>
              <w:pStyle w:val="CETBodytext"/>
              <w:spacing w:line="240" w:lineRule="auto"/>
              <w:jc w:val="left"/>
            </w:pPr>
            <w:r w:rsidRPr="00237A50">
              <w:t>16</w:t>
            </w:r>
          </w:p>
        </w:tc>
        <w:tc>
          <w:tcPr>
            <w:tcW w:w="0" w:type="auto"/>
            <w:tcBorders>
              <w:top w:val="single" w:sz="4" w:space="0" w:color="auto"/>
            </w:tcBorders>
            <w:tcMar>
              <w:top w:w="120" w:type="dxa"/>
              <w:left w:w="180" w:type="dxa"/>
              <w:bottom w:w="120" w:type="dxa"/>
              <w:right w:w="180" w:type="dxa"/>
            </w:tcMar>
          </w:tcPr>
          <w:p w14:paraId="1E619D49" w14:textId="77777777" w:rsidR="005217BF" w:rsidRPr="00237A50" w:rsidRDefault="005217BF" w:rsidP="003405B3">
            <w:pPr>
              <w:pStyle w:val="CETBodytext"/>
              <w:spacing w:line="240" w:lineRule="auto"/>
              <w:jc w:val="left"/>
            </w:pPr>
            <w:r w:rsidRPr="00237A50">
              <w:t>High</w:t>
            </w:r>
          </w:p>
        </w:tc>
        <w:tc>
          <w:tcPr>
            <w:tcW w:w="0" w:type="auto"/>
            <w:tcBorders>
              <w:top w:val="single" w:sz="4" w:space="0" w:color="auto"/>
            </w:tcBorders>
            <w:tcMar>
              <w:top w:w="120" w:type="dxa"/>
              <w:left w:w="180" w:type="dxa"/>
              <w:bottom w:w="120" w:type="dxa"/>
              <w:right w:w="180" w:type="dxa"/>
            </w:tcMar>
          </w:tcPr>
          <w:p w14:paraId="21DBB012" w14:textId="77777777" w:rsidR="005217BF" w:rsidRPr="00237A50" w:rsidRDefault="005217BF" w:rsidP="003405B3">
            <w:pPr>
              <w:pStyle w:val="CETBodytext"/>
              <w:spacing w:line="240" w:lineRule="auto"/>
              <w:jc w:val="left"/>
            </w:pPr>
            <w:r w:rsidRPr="00237A50">
              <w:t>200-500</w:t>
            </w:r>
          </w:p>
        </w:tc>
        <w:tc>
          <w:tcPr>
            <w:tcW w:w="0" w:type="auto"/>
            <w:tcBorders>
              <w:top w:val="single" w:sz="4" w:space="0" w:color="auto"/>
            </w:tcBorders>
            <w:tcMar>
              <w:top w:w="120" w:type="dxa"/>
              <w:left w:w="180" w:type="dxa"/>
              <w:bottom w:w="120" w:type="dxa"/>
              <w:right w:w="180" w:type="dxa"/>
            </w:tcMar>
          </w:tcPr>
          <w:p w14:paraId="03FE5F03" w14:textId="77777777" w:rsidR="005217BF" w:rsidRPr="00237A50" w:rsidRDefault="005217BF" w:rsidP="003405B3">
            <w:pPr>
              <w:pStyle w:val="CETBodytext"/>
              <w:spacing w:line="240" w:lineRule="auto"/>
              <w:jc w:val="left"/>
            </w:pPr>
            <w:r w:rsidRPr="00237A50">
              <w:t>2.05</w:t>
            </w:r>
          </w:p>
        </w:tc>
      </w:tr>
      <w:tr w:rsidR="005217BF" w14:paraId="350EC876" w14:textId="77777777" w:rsidTr="00137CD7">
        <w:trPr>
          <w:trHeight w:val="20"/>
        </w:trPr>
        <w:tc>
          <w:tcPr>
            <w:tcW w:w="0" w:type="auto"/>
            <w:tcMar>
              <w:top w:w="120" w:type="dxa"/>
              <w:left w:w="180" w:type="dxa"/>
              <w:bottom w:w="120" w:type="dxa"/>
              <w:right w:w="180" w:type="dxa"/>
            </w:tcMar>
          </w:tcPr>
          <w:p w14:paraId="3004ACE5" w14:textId="77777777" w:rsidR="005217BF" w:rsidRPr="00237A50" w:rsidRDefault="005217BF" w:rsidP="003405B3">
            <w:pPr>
              <w:pStyle w:val="CETBodytext"/>
              <w:spacing w:line="240" w:lineRule="auto"/>
              <w:jc w:val="left"/>
            </w:pPr>
            <w:r w:rsidRPr="00237A50">
              <w:t>Barbera</w:t>
            </w:r>
          </w:p>
        </w:tc>
        <w:tc>
          <w:tcPr>
            <w:tcW w:w="0" w:type="auto"/>
            <w:tcMar>
              <w:top w:w="120" w:type="dxa"/>
              <w:left w:w="180" w:type="dxa"/>
              <w:bottom w:w="120" w:type="dxa"/>
              <w:right w:w="180" w:type="dxa"/>
            </w:tcMar>
          </w:tcPr>
          <w:p w14:paraId="7579183D" w14:textId="77777777" w:rsidR="005217BF" w:rsidRPr="00237A50" w:rsidRDefault="005217BF" w:rsidP="003405B3">
            <w:pPr>
              <w:pStyle w:val="CETBodytext"/>
              <w:spacing w:line="240" w:lineRule="auto"/>
              <w:jc w:val="left"/>
            </w:pPr>
            <w:r w:rsidRPr="00237A50">
              <w:t>13</w:t>
            </w:r>
          </w:p>
        </w:tc>
        <w:tc>
          <w:tcPr>
            <w:tcW w:w="0" w:type="auto"/>
            <w:tcMar>
              <w:top w:w="120" w:type="dxa"/>
              <w:left w:w="180" w:type="dxa"/>
              <w:bottom w:w="120" w:type="dxa"/>
              <w:right w:w="180" w:type="dxa"/>
            </w:tcMar>
          </w:tcPr>
          <w:p w14:paraId="41A3E37B" w14:textId="77777777" w:rsidR="005217BF" w:rsidRPr="00237A50" w:rsidRDefault="005217BF" w:rsidP="003405B3">
            <w:pPr>
              <w:pStyle w:val="CETBodytext"/>
              <w:spacing w:line="240" w:lineRule="auto"/>
              <w:jc w:val="left"/>
            </w:pPr>
            <w:r w:rsidRPr="00237A50">
              <w:t>Moderate</w:t>
            </w:r>
          </w:p>
        </w:tc>
        <w:tc>
          <w:tcPr>
            <w:tcW w:w="0" w:type="auto"/>
            <w:tcMar>
              <w:top w:w="120" w:type="dxa"/>
              <w:left w:w="180" w:type="dxa"/>
              <w:bottom w:w="120" w:type="dxa"/>
              <w:right w:w="180" w:type="dxa"/>
            </w:tcMar>
          </w:tcPr>
          <w:p w14:paraId="475AC152" w14:textId="77777777" w:rsidR="005217BF" w:rsidRPr="00237A50" w:rsidRDefault="005217BF" w:rsidP="003405B3">
            <w:pPr>
              <w:pStyle w:val="CETBodytext"/>
              <w:spacing w:line="240" w:lineRule="auto"/>
              <w:jc w:val="left"/>
            </w:pPr>
            <w:r w:rsidRPr="00237A50">
              <w:t>200-500</w:t>
            </w:r>
          </w:p>
        </w:tc>
        <w:tc>
          <w:tcPr>
            <w:tcW w:w="0" w:type="auto"/>
            <w:tcMar>
              <w:top w:w="120" w:type="dxa"/>
              <w:left w:w="180" w:type="dxa"/>
              <w:bottom w:w="120" w:type="dxa"/>
              <w:right w:w="180" w:type="dxa"/>
            </w:tcMar>
          </w:tcPr>
          <w:p w14:paraId="7FB7463F" w14:textId="77777777" w:rsidR="005217BF" w:rsidRPr="00237A50" w:rsidRDefault="005217BF" w:rsidP="003405B3">
            <w:pPr>
              <w:pStyle w:val="CETBodytext"/>
              <w:spacing w:line="240" w:lineRule="auto"/>
              <w:jc w:val="left"/>
            </w:pPr>
            <w:r w:rsidRPr="00237A50">
              <w:t>2.05</w:t>
            </w:r>
          </w:p>
        </w:tc>
      </w:tr>
      <w:tr w:rsidR="005217BF" w14:paraId="50A4289A" w14:textId="77777777" w:rsidTr="00137CD7">
        <w:trPr>
          <w:trHeight w:val="20"/>
        </w:trPr>
        <w:tc>
          <w:tcPr>
            <w:tcW w:w="0" w:type="auto"/>
            <w:tcMar>
              <w:top w:w="120" w:type="dxa"/>
              <w:left w:w="180" w:type="dxa"/>
              <w:bottom w:w="120" w:type="dxa"/>
              <w:right w:w="180" w:type="dxa"/>
            </w:tcMar>
          </w:tcPr>
          <w:p w14:paraId="132D2E29" w14:textId="77777777" w:rsidR="005217BF" w:rsidRPr="00237A50" w:rsidRDefault="005217BF" w:rsidP="003405B3">
            <w:pPr>
              <w:pStyle w:val="CETBodytext"/>
              <w:spacing w:line="240" w:lineRule="auto"/>
              <w:jc w:val="left"/>
            </w:pPr>
            <w:proofErr w:type="spellStart"/>
            <w:r w:rsidRPr="00237A50">
              <w:t>Croatina</w:t>
            </w:r>
            <w:proofErr w:type="spellEnd"/>
          </w:p>
        </w:tc>
        <w:tc>
          <w:tcPr>
            <w:tcW w:w="0" w:type="auto"/>
            <w:tcMar>
              <w:top w:w="120" w:type="dxa"/>
              <w:left w:w="180" w:type="dxa"/>
              <w:bottom w:w="120" w:type="dxa"/>
              <w:right w:w="180" w:type="dxa"/>
            </w:tcMar>
          </w:tcPr>
          <w:p w14:paraId="7BF65BB4" w14:textId="77777777" w:rsidR="005217BF" w:rsidRPr="00237A50" w:rsidRDefault="005217BF" w:rsidP="003405B3">
            <w:pPr>
              <w:pStyle w:val="CETBodytext"/>
              <w:spacing w:line="240" w:lineRule="auto"/>
              <w:jc w:val="left"/>
            </w:pPr>
            <w:r w:rsidRPr="00237A50">
              <w:t>38 (19 per cane)</w:t>
            </w:r>
          </w:p>
        </w:tc>
        <w:tc>
          <w:tcPr>
            <w:tcW w:w="0" w:type="auto"/>
            <w:tcMar>
              <w:top w:w="120" w:type="dxa"/>
              <w:left w:w="180" w:type="dxa"/>
              <w:bottom w:w="120" w:type="dxa"/>
              <w:right w:w="180" w:type="dxa"/>
            </w:tcMar>
          </w:tcPr>
          <w:p w14:paraId="3528F03E" w14:textId="37A8406C" w:rsidR="005217BF" w:rsidRPr="00237A50" w:rsidRDefault="00E57243" w:rsidP="003405B3">
            <w:pPr>
              <w:pStyle w:val="CETBodytext"/>
              <w:spacing w:line="240" w:lineRule="auto"/>
              <w:jc w:val="left"/>
            </w:pPr>
            <w:r>
              <w:t>L</w:t>
            </w:r>
            <w:r w:rsidR="005217BF" w:rsidRPr="00237A50">
              <w:t>ow</w:t>
            </w:r>
          </w:p>
        </w:tc>
        <w:tc>
          <w:tcPr>
            <w:tcW w:w="0" w:type="auto"/>
            <w:tcMar>
              <w:top w:w="120" w:type="dxa"/>
              <w:left w:w="180" w:type="dxa"/>
              <w:bottom w:w="120" w:type="dxa"/>
              <w:right w:w="180" w:type="dxa"/>
            </w:tcMar>
          </w:tcPr>
          <w:p w14:paraId="7E954B11" w14:textId="77777777" w:rsidR="005217BF" w:rsidRPr="00237A50" w:rsidRDefault="005217BF" w:rsidP="003405B3">
            <w:pPr>
              <w:pStyle w:val="CETBodytext"/>
              <w:spacing w:line="240" w:lineRule="auto"/>
              <w:jc w:val="left"/>
            </w:pPr>
            <w:r w:rsidRPr="00237A50">
              <w:t>200-500</w:t>
            </w:r>
          </w:p>
        </w:tc>
        <w:tc>
          <w:tcPr>
            <w:tcW w:w="0" w:type="auto"/>
            <w:tcMar>
              <w:top w:w="120" w:type="dxa"/>
              <w:left w:w="180" w:type="dxa"/>
              <w:bottom w:w="120" w:type="dxa"/>
              <w:right w:w="180" w:type="dxa"/>
            </w:tcMar>
          </w:tcPr>
          <w:p w14:paraId="406DD57E" w14:textId="77777777" w:rsidR="005217BF" w:rsidRPr="00237A50" w:rsidRDefault="005217BF" w:rsidP="003405B3">
            <w:pPr>
              <w:pStyle w:val="CETBodytext"/>
              <w:spacing w:line="240" w:lineRule="auto"/>
              <w:jc w:val="left"/>
            </w:pPr>
            <w:r w:rsidRPr="00237A50">
              <w:t>1.7</w:t>
            </w:r>
          </w:p>
        </w:tc>
      </w:tr>
      <w:tr w:rsidR="005217BF" w14:paraId="79870CFA" w14:textId="77777777" w:rsidTr="00137CD7">
        <w:trPr>
          <w:trHeight w:val="20"/>
        </w:trPr>
        <w:tc>
          <w:tcPr>
            <w:tcW w:w="0" w:type="auto"/>
            <w:tcMar>
              <w:top w:w="120" w:type="dxa"/>
              <w:left w:w="180" w:type="dxa"/>
              <w:bottom w:w="120" w:type="dxa"/>
              <w:right w:w="180" w:type="dxa"/>
            </w:tcMar>
          </w:tcPr>
          <w:p w14:paraId="44B67004" w14:textId="77777777" w:rsidR="005217BF" w:rsidRPr="00237A50" w:rsidRDefault="005217BF" w:rsidP="003405B3">
            <w:pPr>
              <w:pStyle w:val="CETBodytext"/>
              <w:spacing w:line="240" w:lineRule="auto"/>
              <w:jc w:val="left"/>
            </w:pPr>
            <w:r w:rsidRPr="00237A50">
              <w:t>Chardonnay</w:t>
            </w:r>
          </w:p>
        </w:tc>
        <w:tc>
          <w:tcPr>
            <w:tcW w:w="0" w:type="auto"/>
            <w:tcMar>
              <w:top w:w="120" w:type="dxa"/>
              <w:left w:w="180" w:type="dxa"/>
              <w:bottom w:w="120" w:type="dxa"/>
              <w:right w:w="180" w:type="dxa"/>
            </w:tcMar>
          </w:tcPr>
          <w:p w14:paraId="20D5931D" w14:textId="77777777" w:rsidR="005217BF" w:rsidRPr="00237A50" w:rsidRDefault="005217BF" w:rsidP="003405B3">
            <w:pPr>
              <w:pStyle w:val="CETBodytext"/>
              <w:spacing w:line="240" w:lineRule="auto"/>
              <w:jc w:val="left"/>
            </w:pPr>
            <w:r w:rsidRPr="00237A50">
              <w:t>9</w:t>
            </w:r>
          </w:p>
        </w:tc>
        <w:tc>
          <w:tcPr>
            <w:tcW w:w="0" w:type="auto"/>
            <w:tcMar>
              <w:top w:w="120" w:type="dxa"/>
              <w:left w:w="180" w:type="dxa"/>
              <w:bottom w:w="120" w:type="dxa"/>
              <w:right w:w="180" w:type="dxa"/>
            </w:tcMar>
          </w:tcPr>
          <w:p w14:paraId="3C7970EA" w14:textId="77777777" w:rsidR="005217BF" w:rsidRPr="00237A50" w:rsidRDefault="005217BF" w:rsidP="003405B3">
            <w:pPr>
              <w:pStyle w:val="CETBodytext"/>
              <w:spacing w:line="240" w:lineRule="auto"/>
              <w:jc w:val="left"/>
            </w:pPr>
            <w:r w:rsidRPr="00237A50">
              <w:t>Moderate</w:t>
            </w:r>
          </w:p>
        </w:tc>
        <w:tc>
          <w:tcPr>
            <w:tcW w:w="0" w:type="auto"/>
            <w:tcMar>
              <w:top w:w="120" w:type="dxa"/>
              <w:left w:w="180" w:type="dxa"/>
              <w:bottom w:w="120" w:type="dxa"/>
              <w:right w:w="180" w:type="dxa"/>
            </w:tcMar>
          </w:tcPr>
          <w:p w14:paraId="19ED8F63" w14:textId="77777777" w:rsidR="005217BF" w:rsidRPr="00237A50" w:rsidRDefault="005217BF" w:rsidP="003405B3">
            <w:pPr>
              <w:pStyle w:val="CETBodytext"/>
              <w:spacing w:line="240" w:lineRule="auto"/>
              <w:jc w:val="left"/>
            </w:pPr>
            <w:r w:rsidRPr="00237A50">
              <w:t>200-500</w:t>
            </w:r>
          </w:p>
        </w:tc>
        <w:tc>
          <w:tcPr>
            <w:tcW w:w="0" w:type="auto"/>
            <w:tcMar>
              <w:top w:w="120" w:type="dxa"/>
              <w:left w:w="180" w:type="dxa"/>
              <w:bottom w:w="120" w:type="dxa"/>
              <w:right w:w="180" w:type="dxa"/>
            </w:tcMar>
          </w:tcPr>
          <w:p w14:paraId="49A27C4A" w14:textId="77777777" w:rsidR="005217BF" w:rsidRPr="00237A50" w:rsidRDefault="005217BF" w:rsidP="003405B3">
            <w:pPr>
              <w:pStyle w:val="CETBodytext"/>
              <w:spacing w:line="240" w:lineRule="auto"/>
              <w:jc w:val="left"/>
            </w:pPr>
            <w:r w:rsidRPr="00237A50">
              <w:t>1.49</w:t>
            </w:r>
          </w:p>
        </w:tc>
      </w:tr>
      <w:tr w:rsidR="005217BF" w14:paraId="7D15BAAA" w14:textId="77777777" w:rsidTr="00137CD7">
        <w:trPr>
          <w:trHeight w:val="20"/>
        </w:trPr>
        <w:tc>
          <w:tcPr>
            <w:tcW w:w="0" w:type="auto"/>
            <w:tcBorders>
              <w:bottom w:val="single" w:sz="4" w:space="0" w:color="auto"/>
            </w:tcBorders>
            <w:tcMar>
              <w:top w:w="120" w:type="dxa"/>
              <w:left w:w="180" w:type="dxa"/>
              <w:bottom w:w="120" w:type="dxa"/>
              <w:right w:w="180" w:type="dxa"/>
            </w:tcMar>
          </w:tcPr>
          <w:p w14:paraId="4D09DAD1" w14:textId="77777777" w:rsidR="005217BF" w:rsidRPr="00237A50" w:rsidRDefault="005217BF" w:rsidP="003405B3">
            <w:pPr>
              <w:pStyle w:val="CETBodytext"/>
              <w:spacing w:line="240" w:lineRule="auto"/>
              <w:jc w:val="left"/>
            </w:pPr>
            <w:r w:rsidRPr="00237A50">
              <w:t>Chardonnay</w:t>
            </w:r>
          </w:p>
          <w:p w14:paraId="0E1C517B" w14:textId="77777777" w:rsidR="005217BF" w:rsidRPr="00237A50" w:rsidRDefault="005217BF" w:rsidP="003405B3">
            <w:pPr>
              <w:pStyle w:val="CETBodytext"/>
              <w:spacing w:line="240" w:lineRule="auto"/>
              <w:jc w:val="left"/>
            </w:pPr>
            <w:r w:rsidRPr="00237A50">
              <w:t>“</w:t>
            </w:r>
            <w:proofErr w:type="spellStart"/>
            <w:r w:rsidRPr="00237A50">
              <w:t>Dominio</w:t>
            </w:r>
            <w:proofErr w:type="spellEnd"/>
            <w:r w:rsidRPr="00237A50">
              <w:t xml:space="preserve"> di Bagnoli”</w:t>
            </w:r>
          </w:p>
        </w:tc>
        <w:tc>
          <w:tcPr>
            <w:tcW w:w="0" w:type="auto"/>
            <w:tcBorders>
              <w:bottom w:val="single" w:sz="4" w:space="0" w:color="auto"/>
            </w:tcBorders>
            <w:tcMar>
              <w:top w:w="120" w:type="dxa"/>
              <w:left w:w="180" w:type="dxa"/>
              <w:bottom w:w="120" w:type="dxa"/>
              <w:right w:w="180" w:type="dxa"/>
            </w:tcMar>
          </w:tcPr>
          <w:p w14:paraId="7F7409B1" w14:textId="77777777" w:rsidR="005217BF" w:rsidRPr="00237A50" w:rsidRDefault="005217BF" w:rsidP="003405B3">
            <w:pPr>
              <w:pStyle w:val="CETBodytext"/>
              <w:spacing w:line="240" w:lineRule="auto"/>
              <w:jc w:val="left"/>
            </w:pPr>
            <w:r w:rsidRPr="00237A50">
              <w:t>13</w:t>
            </w:r>
          </w:p>
        </w:tc>
        <w:tc>
          <w:tcPr>
            <w:tcW w:w="0" w:type="auto"/>
            <w:tcBorders>
              <w:bottom w:val="single" w:sz="4" w:space="0" w:color="auto"/>
            </w:tcBorders>
            <w:tcMar>
              <w:top w:w="120" w:type="dxa"/>
              <w:left w:w="180" w:type="dxa"/>
              <w:bottom w:w="120" w:type="dxa"/>
              <w:right w:w="180" w:type="dxa"/>
            </w:tcMar>
          </w:tcPr>
          <w:p w14:paraId="21A4CF40" w14:textId="77777777" w:rsidR="005217BF" w:rsidRPr="00237A50" w:rsidRDefault="005217BF" w:rsidP="003405B3">
            <w:pPr>
              <w:pStyle w:val="CETBodytext"/>
              <w:spacing w:line="240" w:lineRule="auto"/>
              <w:jc w:val="left"/>
            </w:pPr>
            <w:r w:rsidRPr="00237A50">
              <w:t>Moderate</w:t>
            </w:r>
          </w:p>
          <w:p w14:paraId="4AAF9F25" w14:textId="77777777" w:rsidR="005217BF" w:rsidRPr="00237A50" w:rsidRDefault="005217BF" w:rsidP="003405B3">
            <w:pPr>
              <w:pStyle w:val="CETBodytext"/>
              <w:spacing w:line="240" w:lineRule="auto"/>
              <w:jc w:val="left"/>
            </w:pPr>
          </w:p>
        </w:tc>
        <w:tc>
          <w:tcPr>
            <w:tcW w:w="0" w:type="auto"/>
            <w:tcBorders>
              <w:bottom w:val="single" w:sz="4" w:space="0" w:color="auto"/>
            </w:tcBorders>
            <w:tcMar>
              <w:top w:w="120" w:type="dxa"/>
              <w:left w:w="180" w:type="dxa"/>
              <w:bottom w:w="120" w:type="dxa"/>
              <w:right w:w="180" w:type="dxa"/>
            </w:tcMar>
          </w:tcPr>
          <w:p w14:paraId="4E792090" w14:textId="77777777" w:rsidR="005217BF" w:rsidRPr="00237A50" w:rsidRDefault="005217BF" w:rsidP="003405B3">
            <w:pPr>
              <w:pStyle w:val="CETBodytext"/>
              <w:spacing w:line="240" w:lineRule="auto"/>
              <w:jc w:val="left"/>
            </w:pPr>
            <w:r w:rsidRPr="00237A50">
              <w:t>200-500</w:t>
            </w:r>
          </w:p>
        </w:tc>
        <w:tc>
          <w:tcPr>
            <w:tcW w:w="0" w:type="auto"/>
            <w:tcBorders>
              <w:bottom w:val="single" w:sz="4" w:space="0" w:color="auto"/>
            </w:tcBorders>
            <w:tcMar>
              <w:top w:w="120" w:type="dxa"/>
              <w:left w:w="180" w:type="dxa"/>
              <w:bottom w:w="120" w:type="dxa"/>
              <w:right w:w="180" w:type="dxa"/>
            </w:tcMar>
          </w:tcPr>
          <w:p w14:paraId="17E31127" w14:textId="77777777" w:rsidR="005217BF" w:rsidRPr="00237A50" w:rsidRDefault="005217BF" w:rsidP="003405B3">
            <w:pPr>
              <w:pStyle w:val="CETBodytext"/>
              <w:spacing w:line="240" w:lineRule="auto"/>
              <w:jc w:val="left"/>
            </w:pPr>
            <w:r w:rsidRPr="00237A50">
              <w:t>1.52</w:t>
            </w:r>
          </w:p>
        </w:tc>
      </w:tr>
    </w:tbl>
    <w:p w14:paraId="43F4E92A" w14:textId="77777777" w:rsidR="003405B3" w:rsidRDefault="003405B3" w:rsidP="003B72A9">
      <w:pPr>
        <w:pStyle w:val="CETBodytext"/>
      </w:pPr>
    </w:p>
    <w:p w14:paraId="4A7D4B4C" w14:textId="071B23EC" w:rsidR="003B72A9" w:rsidRDefault="003B72A9" w:rsidP="003B72A9">
      <w:pPr>
        <w:pStyle w:val="CETBodytext"/>
      </w:pPr>
      <w:r>
        <w:lastRenderedPageBreak/>
        <w:t>Simulated yields were compared with observed production. Mean percentage error remained below 4% for all cultivars; aggregate MAPE and RMSE were 24.5% and 28.5 g</w:t>
      </w:r>
      <w:r w:rsidR="00686641">
        <w:t xml:space="preserve"> vine</w:t>
      </w:r>
      <w:r w:rsidR="00686641" w:rsidRPr="00686641">
        <w:rPr>
          <w:vertAlign w:val="superscript"/>
        </w:rPr>
        <w:t>-1</w:t>
      </w:r>
      <w:r>
        <w:t xml:space="preserve">, respectively. Higher errors occurred for </w:t>
      </w:r>
      <w:proofErr w:type="spellStart"/>
      <w:r>
        <w:t>Croatina</w:t>
      </w:r>
      <w:proofErr w:type="spellEnd"/>
      <w:r>
        <w:t xml:space="preserve"> and Chardonnay, associated with high bud load, uncertainty in flower number and the representativeness of climatic data. These results indicate the importance of cultivar-specific fertility parameters and site-representative meteorological data.</w:t>
      </w:r>
    </w:p>
    <w:p w14:paraId="43BE843E" w14:textId="77777777" w:rsidR="003B72A9" w:rsidRDefault="003B72A9" w:rsidP="003B72A9">
      <w:pPr>
        <w:pStyle w:val="CETBodytext"/>
      </w:pPr>
    </w:p>
    <w:p w14:paraId="0DAD2ECD" w14:textId="77777777" w:rsidR="003B72A9" w:rsidRDefault="003B72A9" w:rsidP="003B72A9">
      <w:pPr>
        <w:pStyle w:val="CETheadingx"/>
        <w:numPr>
          <w:ilvl w:val="0"/>
          <w:numId w:val="0"/>
        </w:numPr>
      </w:pPr>
      <w:r>
        <w:t>3.2. Field case study: Chardonnay vineyard</w:t>
      </w:r>
    </w:p>
    <w:p w14:paraId="5A76F736" w14:textId="2EBA2ACA" w:rsidR="003B72A9" w:rsidRDefault="003B72A9" w:rsidP="003B72A9">
      <w:pPr>
        <w:pStyle w:val="CETBodytext"/>
      </w:pPr>
      <w:r>
        <w:t xml:space="preserve">The integrated framework was tested with 2024 production data from the </w:t>
      </w:r>
      <w:proofErr w:type="spellStart"/>
      <w:r>
        <w:t>Dominio</w:t>
      </w:r>
      <w:proofErr w:type="spellEnd"/>
      <w:r>
        <w:t xml:space="preserve"> di Bagnoli Chardonnay vineyard (Bagnoli di Sopra, Veneto). The vineyard had medium </w:t>
      </w:r>
      <w:proofErr w:type="spellStart"/>
      <w:r>
        <w:t>vigour</w:t>
      </w:r>
      <w:proofErr w:type="spellEnd"/>
      <w:r>
        <w:t>, 13 buds per vine and long pruning; shoot tipping was performed, while early basal leaf removal and anti-frost protection were absent. Measured yield was 3.0 kg vine⁻¹.</w:t>
      </w:r>
    </w:p>
    <w:p w14:paraId="3296326D" w14:textId="540B8178" w:rsidR="003B72A9" w:rsidRDefault="003B72A9" w:rsidP="003B72A9">
      <w:pPr>
        <w:pStyle w:val="CETBodytext"/>
      </w:pPr>
      <w:r>
        <w:t>Using observed 2024 meteorological conditions, the predicted yield differed from measurement by −6% with variable fruit set and +8% with fixed FS = 0.35, demonstrating that the model can reproduce field-scale production with limited inputs.</w:t>
      </w:r>
    </w:p>
    <w:p w14:paraId="31CE17C4" w14:textId="77777777" w:rsidR="003B72A9" w:rsidRDefault="003B72A9" w:rsidP="003B72A9">
      <w:pPr>
        <w:pStyle w:val="CETheadingx"/>
        <w:numPr>
          <w:ilvl w:val="0"/>
          <w:numId w:val="0"/>
        </w:numPr>
      </w:pPr>
      <w:r>
        <w:t>3.3. Full stochastic simulation</w:t>
      </w:r>
    </w:p>
    <w:p w14:paraId="287B1D9C" w14:textId="6DFB405F" w:rsidR="003B72A9" w:rsidRDefault="003B72A9" w:rsidP="003B72A9">
      <w:pPr>
        <w:pStyle w:val="CETBodytext"/>
      </w:pPr>
      <w:r>
        <w:t>Under full stochasticity, deviations from the observed 3.0 kg vine⁻¹ were −16% for variable fruit set and −2% for fixed fruit set.</w:t>
      </w:r>
    </w:p>
    <w:p w14:paraId="25AB04C7" w14:textId="14021244" w:rsidR="003B72A9" w:rsidRDefault="003B72A9" w:rsidP="003B72A9">
      <w:pPr>
        <w:pStyle w:val="CETBodytext"/>
      </w:pPr>
      <w:r>
        <w:t>The larger deviation with variable fruit set reflects additional uncertainty in a key reproductive component. Rather than suppressing variability to obtain a single prediction, the framework propagates it to provide a range of outcomes that can be interpreted as a production-risk indicator.</w:t>
      </w:r>
    </w:p>
    <w:p w14:paraId="1AA32B98" w14:textId="77777777" w:rsidR="003B72A9" w:rsidRDefault="003B72A9" w:rsidP="003B72A9">
      <w:pPr>
        <w:pStyle w:val="CETheadingx"/>
        <w:numPr>
          <w:ilvl w:val="0"/>
          <w:numId w:val="0"/>
        </w:numPr>
      </w:pPr>
      <w:r>
        <w:t>3.4. Spring frost risk and mitigation</w:t>
      </w:r>
    </w:p>
    <w:p w14:paraId="4DCF366B" w14:textId="582A58C6" w:rsidR="003B72A9" w:rsidRDefault="003B72A9" w:rsidP="003B72A9">
      <w:pPr>
        <w:pStyle w:val="CETBodytext"/>
      </w:pPr>
      <w:r>
        <w:t xml:space="preserve">Spring frost was simulated under three configurations: (1) no mitigation, (2) anti-frost irrigation, and (3) irrigation combined with the </w:t>
      </w:r>
      <w:proofErr w:type="spellStart"/>
      <w:r>
        <w:t>A.N.Gela</w:t>
      </w:r>
      <w:proofErr w:type="spellEnd"/>
      <w:r>
        <w:t xml:space="preserve"> warning system.</w:t>
      </w:r>
    </w:p>
    <w:p w14:paraId="21677972" w14:textId="77777777" w:rsidR="003B72A9" w:rsidRDefault="003B72A9" w:rsidP="003B72A9">
      <w:pPr>
        <w:pStyle w:val="CETBodytext"/>
      </w:pPr>
      <w:r>
        <w:t>Mean damaged shoots decreased from 9.71 without mitigation to 4.46 with irrigation and 2.55 with irrigation plus early warning. The corresponding CFL contribution decreased from 7.51×10⁻¹ to 3.47×10⁻¹ and 2.00×10⁻¹.</w:t>
      </w:r>
    </w:p>
    <w:p w14:paraId="37D88B7D" w14:textId="745A574F" w:rsidR="003B72A9" w:rsidRDefault="003B72A9" w:rsidP="003B72A9">
      <w:pPr>
        <w:pStyle w:val="CETBodytext"/>
      </w:pPr>
      <w:r>
        <w:t>The framework therefore represents the chain</w:t>
      </w:r>
      <w:r w:rsidR="000E6DB5">
        <w:t xml:space="preserve">: </w:t>
      </w:r>
      <w:r>
        <w:rPr>
          <w:rStyle w:val="Enfasigrassetto"/>
        </w:rPr>
        <w:t>environmental event → phenological vulnerability → damage → management response → final production.</w:t>
      </w:r>
    </w:p>
    <w:p w14:paraId="0FA86B93" w14:textId="015083EB" w:rsidR="003B72A9" w:rsidRDefault="003B72A9" w:rsidP="003B72A9">
      <w:pPr>
        <w:pStyle w:val="CETBodytext"/>
      </w:pPr>
      <w:r>
        <w:t>The warning system does not directly prevent frost but increases the probability of timely mitigation; risk reduction thus results from the interaction among event, plant vulnerability, management response and intervention probability.</w:t>
      </w:r>
    </w:p>
    <w:p w14:paraId="183560CC" w14:textId="77777777" w:rsidR="003B72A9" w:rsidRDefault="003B72A9" w:rsidP="003B72A9">
      <w:pPr>
        <w:pStyle w:val="CETheadingx"/>
        <w:numPr>
          <w:ilvl w:val="0"/>
          <w:numId w:val="0"/>
        </w:numPr>
      </w:pPr>
      <w:r>
        <w:t>3.5. Effect of early basal leaf removal</w:t>
      </w:r>
    </w:p>
    <w:p w14:paraId="721DC36D" w14:textId="6FA3B3A9" w:rsidR="003B72A9" w:rsidRDefault="003B72A9" w:rsidP="003B72A9">
      <w:pPr>
        <w:pStyle w:val="CETBodytext"/>
      </w:pPr>
      <w:r>
        <w:t>The effect of excessive early basal leaf removal was also evaluated. A 20% probability of incorrect implementation was assumed, defined as removal exceeding 60% of basal leaf area. Excessive defoliation reduces photosynthetic source capacity during flowering-to-fruit set and affects fruit set.</w:t>
      </w:r>
    </w:p>
    <w:p w14:paraId="7ADF1DE3" w14:textId="77777777" w:rsidR="003B72A9" w:rsidRDefault="003B72A9" w:rsidP="003B72A9">
      <w:pPr>
        <w:pStyle w:val="CETBodytext"/>
      </w:pPr>
      <w:r>
        <w:t xml:space="preserve">The simulated mean number of berries per cluster decreased from </w:t>
      </w:r>
      <w:r>
        <w:rPr>
          <w:rStyle w:val="Enfasigrassetto"/>
        </w:rPr>
        <w:t>84 to 58</w:t>
      </w:r>
      <w:r>
        <w:t>, while mean yield decreased from:</w:t>
      </w:r>
    </w:p>
    <w:p w14:paraId="3AED5C86" w14:textId="663135D6" w:rsidR="003B72A9" w:rsidRDefault="003B72A9" w:rsidP="003B72A9">
      <w:pPr>
        <w:pStyle w:val="CETBodytext"/>
      </w:pPr>
      <w:r>
        <w:rPr>
          <w:rStyle w:val="katex"/>
        </w:rPr>
        <w:t>2.53  k</w:t>
      </w:r>
      <w:r w:rsidR="00686641" w:rsidRPr="003C02E7">
        <w:t xml:space="preserve">g </w:t>
      </w:r>
      <w:r w:rsidR="00686641">
        <w:t>vine</w:t>
      </w:r>
      <w:r w:rsidR="00686641" w:rsidRPr="00686641">
        <w:rPr>
          <w:vertAlign w:val="superscript"/>
        </w:rPr>
        <w:t>-1</w:t>
      </w:r>
      <w:r>
        <w:rPr>
          <w:rStyle w:val="katex"/>
        </w:rPr>
        <w:t xml:space="preserve"> t</w:t>
      </w:r>
      <w:r>
        <w:t xml:space="preserve">o </w:t>
      </w:r>
      <w:r>
        <w:rPr>
          <w:rStyle w:val="katex"/>
        </w:rPr>
        <w:t>1.43  k</w:t>
      </w:r>
      <w:r w:rsidR="00686641" w:rsidRPr="003C02E7">
        <w:t xml:space="preserve">g </w:t>
      </w:r>
      <w:r w:rsidR="00686641">
        <w:t>vine</w:t>
      </w:r>
      <w:r w:rsidR="00686641" w:rsidRPr="00686641">
        <w:rPr>
          <w:vertAlign w:val="superscript"/>
        </w:rPr>
        <w:t>-1</w:t>
      </w:r>
      <w:r>
        <w:rPr>
          <w:rStyle w:val="katex"/>
        </w:rPr>
        <w:t>.</w:t>
      </w:r>
      <w:r>
        <w:t xml:space="preserve">  This corresponds to an average production reduction of approximately </w:t>
      </w:r>
      <w:r>
        <w:rPr>
          <w:rStyle w:val="Enfasigrassetto"/>
        </w:rPr>
        <w:t>43%</w:t>
      </w:r>
      <w:r>
        <w:t>.</w:t>
      </w:r>
    </w:p>
    <w:p w14:paraId="3F03489C" w14:textId="77777777" w:rsidR="003B72A9" w:rsidRDefault="003B72A9" w:rsidP="003B72A9">
      <w:pPr>
        <w:pStyle w:val="CETBodytext"/>
      </w:pPr>
      <w:r>
        <w:t>The result demonstrates that the stochastic model can evaluate both environmental risks and management decisions, supporting ex-ante assessment of agronomic operations.</w:t>
      </w:r>
    </w:p>
    <w:p w14:paraId="77C8F46E" w14:textId="77777777" w:rsidR="003B72A9" w:rsidRDefault="003B72A9" w:rsidP="003B72A9">
      <w:pPr>
        <w:pStyle w:val="CETheadingx"/>
        <w:numPr>
          <w:ilvl w:val="0"/>
          <w:numId w:val="0"/>
        </w:numPr>
      </w:pPr>
      <w:r>
        <w:t>3.6. Methodological implications</w:t>
      </w:r>
    </w:p>
    <w:p w14:paraId="1C4E747D" w14:textId="43911BEB" w:rsidR="003B72A9" w:rsidRDefault="003B72A9" w:rsidP="003B72A9">
      <w:pPr>
        <w:pStyle w:val="CETBodytext"/>
      </w:pPr>
      <w:r>
        <w:t>The results highlight three complementary capabilities: phenomenological representation of yield formation, stochastic propagation of biological and environmental variability, and logical scenario analysis of management and mitigation strategies.</w:t>
      </w:r>
    </w:p>
    <w:p w14:paraId="52C30DC6" w14:textId="596CCDC7" w:rsidR="003B72A9" w:rsidRDefault="003B72A9" w:rsidP="003B72A9">
      <w:pPr>
        <w:pStyle w:val="CETBodytext"/>
      </w:pPr>
      <w:r>
        <w:t>Prediction quality depends mainly on representative climatic data, calibrated cultivar-specific reproductive parameters such as APF and flower number, and biologically consistent management inputs.</w:t>
      </w:r>
    </w:p>
    <w:p w14:paraId="1FF43495" w14:textId="77777777" w:rsidR="003B72A9" w:rsidRDefault="003B72A9" w:rsidP="003B72A9">
      <w:pPr>
        <w:pStyle w:val="CETBodytext"/>
      </w:pPr>
      <w:r>
        <w:t>An incorrect definition of bud load, pruning type or flower number may produce a logically coherent but agronomically unrealistic simulation. Model improvement therefore requires not only equations or data, but also consistent and representative inputs.</w:t>
      </w:r>
    </w:p>
    <w:p w14:paraId="5784056B" w14:textId="77777777" w:rsidR="003B72A9" w:rsidRDefault="003B72A9" w:rsidP="003B72A9">
      <w:pPr>
        <w:pStyle w:val="CETheadingx"/>
        <w:numPr>
          <w:ilvl w:val="0"/>
          <w:numId w:val="0"/>
        </w:numPr>
      </w:pPr>
      <w:r>
        <w:t>4. Conclusions</w:t>
      </w:r>
    </w:p>
    <w:p w14:paraId="7ED0C1F1" w14:textId="77777777" w:rsidR="003B72A9" w:rsidRDefault="003B72A9" w:rsidP="003B72A9">
      <w:pPr>
        <w:pStyle w:val="CETBodytext"/>
      </w:pPr>
      <w:r>
        <w:t>A risk-based methodology integrating phenomenological and logic-stochastic modelling has been developed for yield prediction and decision support in viticulture.</w:t>
      </w:r>
    </w:p>
    <w:p w14:paraId="29AD4638" w14:textId="7193250D" w:rsidR="003B72A9" w:rsidRDefault="003B72A9" w:rsidP="003B72A9">
      <w:pPr>
        <w:pStyle w:val="CETBodytext"/>
      </w:pPr>
      <w:r>
        <w:t xml:space="preserve">The framework combines a process-oriented description of grapevine development with </w:t>
      </w:r>
      <w:proofErr w:type="spellStart"/>
      <w:r>
        <w:t>HoRAM</w:t>
      </w:r>
      <w:proofErr w:type="spellEnd"/>
      <w:r>
        <w:t xml:space="preserve"> and its </w:t>
      </w:r>
      <w:proofErr w:type="spellStart"/>
      <w:r>
        <w:t>Klarisk</w:t>
      </w:r>
      <w:proofErr w:type="spellEnd"/>
      <w:r>
        <w:t>® implementation. The phenomenological model estimates yield, while the logic-stochastic component represents uncertainty in environmental conditions, biological variability and management decisions.</w:t>
      </w:r>
    </w:p>
    <w:p w14:paraId="776B9BFF" w14:textId="77777777" w:rsidR="003B72A9" w:rsidRDefault="003B72A9" w:rsidP="003B72A9">
      <w:pPr>
        <w:pStyle w:val="CETBodytext"/>
      </w:pPr>
      <w:r>
        <w:lastRenderedPageBreak/>
        <w:t>Its main advantage is the conversion of these heterogeneous uncertainties into production probability distributions and alternative scenarios, providing information on both expected production and production risk.</w:t>
      </w:r>
    </w:p>
    <w:p w14:paraId="764C74AD" w14:textId="7572A215" w:rsidR="003B72A9" w:rsidRDefault="00383D04" w:rsidP="003B72A9">
      <w:pPr>
        <w:pStyle w:val="CETBodytext"/>
      </w:pPr>
      <w:r>
        <w:t>Validation against four cultivars showed a mean percentage error (MPE) below 4%, indicating a low overall prediction bias, while the mean absolute percentage error (MAPE) was 24.5%. The RMSE was 28.5 g vine</w:t>
      </w:r>
      <w:r>
        <w:rPr>
          <w:rFonts w:ascii="Cambria Math" w:hAnsi="Cambria Math" w:cs="Cambria Math"/>
        </w:rPr>
        <w:t>⁻</w:t>
      </w:r>
      <w:r>
        <w:rPr>
          <w:rFonts w:cs="Arial"/>
        </w:rPr>
        <w:t>¹</w:t>
      </w:r>
      <w:r>
        <w:t>, indicating the magnitude of the prediction error in absolute terms.</w:t>
      </w:r>
      <w:r w:rsidR="009C705D">
        <w:t xml:space="preserve"> </w:t>
      </w:r>
      <w:r w:rsidR="003B72A9">
        <w:t>The 2024 Chardonnay case showed deviations of −6% and +8% for variable and fixed fruit-set coefficients, respectively.</w:t>
      </w:r>
    </w:p>
    <w:p w14:paraId="6E25188A" w14:textId="77777777" w:rsidR="003B72A9" w:rsidRDefault="003B72A9" w:rsidP="003B72A9">
      <w:pPr>
        <w:pStyle w:val="CETBodytext"/>
      </w:pPr>
      <w:r>
        <w:t>The stochastic tests represented extreme events and management actions: combining anti-frost irrigation with early warning reduced damaged shoots from 9.71 to 2.55, while excessive early basal leaf removal reduced simulated yield by approximately 43%.</w:t>
      </w:r>
    </w:p>
    <w:p w14:paraId="202B648A" w14:textId="77777777" w:rsidR="003B72A9" w:rsidRDefault="003B72A9" w:rsidP="003B72A9">
      <w:pPr>
        <w:pStyle w:val="CETBodytext"/>
      </w:pPr>
      <w:r>
        <w:t>The framework therefore shows potential as a low-input, interpretable DSS for vineyard management under uncertainty and can be progressively updated as new observations become available.</w:t>
      </w:r>
    </w:p>
    <w:p w14:paraId="3BBCC618" w14:textId="77777777" w:rsidR="003B72A9" w:rsidRDefault="003B72A9" w:rsidP="003B72A9">
      <w:pPr>
        <w:pStyle w:val="CETBodytext"/>
      </w:pPr>
      <w:r>
        <w:t>Further work should focus on cultivar-specific calibration, improved flower-number estimation, site-specific climatic and pedoclimatic information, and experimental calibration of management and mitigation probabilities.</w:t>
      </w:r>
    </w:p>
    <w:p w14:paraId="540856E4" w14:textId="3F21B961" w:rsidR="003B72A9" w:rsidRDefault="003B72A9" w:rsidP="003B72A9">
      <w:pPr>
        <w:pStyle w:val="CETBodytext"/>
      </w:pPr>
      <w:r>
        <w:t>The methodology provides a foundation for a more comprehensive vineyard digital twin combining deterministic physiological modelling with stochastic risk analysis and field observations.</w:t>
      </w:r>
    </w:p>
    <w:p w14:paraId="7D258F2D" w14:textId="77777777" w:rsidR="006D4339" w:rsidRPr="00B57B36" w:rsidRDefault="006D4339" w:rsidP="006D4339">
      <w:pPr>
        <w:pStyle w:val="CETAcknowledgementstitle"/>
      </w:pPr>
      <w:r w:rsidRPr="00B57B36">
        <w:t>Acknowledgments</w:t>
      </w:r>
    </w:p>
    <w:p w14:paraId="24F29AA0" w14:textId="41506B51" w:rsidR="006D4339" w:rsidRPr="00B57B36" w:rsidRDefault="006D4339" w:rsidP="006D4339">
      <w:pPr>
        <w:pStyle w:val="CETBodytext"/>
        <w:rPr>
          <w:lang w:val="en-GB"/>
        </w:rPr>
      </w:pPr>
      <w:r>
        <w:rPr>
          <w:lang w:val="en-GB"/>
        </w:rPr>
        <w:t>Support from Ing. Massimiliano Bosini and Giorgio Cassal</w:t>
      </w:r>
      <w:r w:rsidR="00E94CF3">
        <w:rPr>
          <w:lang w:val="en-GB"/>
        </w:rPr>
        <w:t>a</w:t>
      </w:r>
      <w:r>
        <w:rPr>
          <w:lang w:val="en-GB"/>
        </w:rPr>
        <w:t xml:space="preserve"> </w:t>
      </w:r>
      <w:r w:rsidR="00E94CF3">
        <w:rPr>
          <w:lang w:val="en-GB"/>
        </w:rPr>
        <w:t>is</w:t>
      </w:r>
      <w:r>
        <w:rPr>
          <w:lang w:val="en-GB"/>
        </w:rPr>
        <w:t xml:space="preserve"> gratefully acknowledged.</w:t>
      </w:r>
    </w:p>
    <w:p w14:paraId="43E79441" w14:textId="77777777" w:rsidR="003B72A9" w:rsidRDefault="003B72A9" w:rsidP="00DD76EE">
      <w:pPr>
        <w:pStyle w:val="CETReference"/>
      </w:pPr>
      <w:r>
        <w:t>References</w:t>
      </w:r>
    </w:p>
    <w:p w14:paraId="3713C65D" w14:textId="7A889DB8" w:rsidR="00470E0C" w:rsidRDefault="00470E0C" w:rsidP="003405B3">
      <w:pPr>
        <w:pStyle w:val="CETReferencetext"/>
      </w:pPr>
      <w:r>
        <w:t xml:space="preserve">Boss, P.K., </w:t>
      </w:r>
      <w:proofErr w:type="spellStart"/>
      <w:r>
        <w:t>Buckeridge</w:t>
      </w:r>
      <w:proofErr w:type="spellEnd"/>
      <w:r>
        <w:t>, E.J., Poole, A., Thomas, M.R., 2003. New insights into grapevine flowering. Functional Plant Biology 30(6), 593–606.</w:t>
      </w:r>
    </w:p>
    <w:p w14:paraId="661795C0" w14:textId="24F215FC" w:rsidR="00E57243" w:rsidRDefault="00E57243" w:rsidP="003405B3">
      <w:pPr>
        <w:pStyle w:val="CETReferencetext"/>
      </w:pPr>
      <w:r w:rsidRPr="3C8B31EC">
        <w:rPr>
          <w:rFonts w:eastAsia="Calibri"/>
        </w:rPr>
        <w:t xml:space="preserve">Box, G. E. P., &amp; Muller, M. E., </w:t>
      </w:r>
      <w:r>
        <w:rPr>
          <w:rFonts w:eastAsia="Calibri"/>
        </w:rPr>
        <w:t xml:space="preserve">1958. </w:t>
      </w:r>
      <w:r w:rsidRPr="3C8B31EC">
        <w:rPr>
          <w:rFonts w:eastAsia="Calibri"/>
        </w:rPr>
        <w:t xml:space="preserve">A Note on the Generation of Random Normal Deviates, </w:t>
      </w:r>
      <w:r w:rsidRPr="3C8B31EC">
        <w:rPr>
          <w:rFonts w:eastAsia="Calibri"/>
          <w:i/>
          <w:iCs/>
        </w:rPr>
        <w:t>Annals of Mathematical Statistics</w:t>
      </w:r>
      <w:r w:rsidRPr="3C8B31EC">
        <w:rPr>
          <w:rFonts w:eastAsia="Calibri"/>
        </w:rPr>
        <w:t>, vol. 29, no. 2, pp. 610–611</w:t>
      </w:r>
    </w:p>
    <w:p w14:paraId="21F5CCF3" w14:textId="53CCAD60" w:rsidR="00470E0C" w:rsidRDefault="00470E0C" w:rsidP="003405B3">
      <w:pPr>
        <w:pStyle w:val="CETReferencetext"/>
      </w:pPr>
      <w:r>
        <w:t xml:space="preserve">Cola, G., Mariani, L., </w:t>
      </w:r>
      <w:proofErr w:type="spellStart"/>
      <w:r>
        <w:t>Salinari</w:t>
      </w:r>
      <w:proofErr w:type="spellEnd"/>
      <w:r>
        <w:t xml:space="preserve">, F., </w:t>
      </w:r>
      <w:proofErr w:type="spellStart"/>
      <w:r>
        <w:t>Civardi</w:t>
      </w:r>
      <w:proofErr w:type="spellEnd"/>
      <w:r>
        <w:t xml:space="preserve">, S., </w:t>
      </w:r>
      <w:proofErr w:type="spellStart"/>
      <w:r>
        <w:t>Bernizzoni</w:t>
      </w:r>
      <w:proofErr w:type="spellEnd"/>
      <w:r>
        <w:t xml:space="preserve">, F., Gatti, M., Poni, S., 2014. Description and testing of a weather-based model for predicting phenology, canopy development and source–sink balance in </w:t>
      </w:r>
      <w:r>
        <w:rPr>
          <w:rStyle w:val="Enfasicorsivo"/>
        </w:rPr>
        <w:t>Vitis vinifera</w:t>
      </w:r>
      <w:r>
        <w:t xml:space="preserve"> L. cv. Barbera. </w:t>
      </w:r>
      <w:r>
        <w:rPr>
          <w:rStyle w:val="Enfasicorsivo"/>
        </w:rPr>
        <w:t>Agricultural and Forest Meteorology</w:t>
      </w:r>
      <w:r>
        <w:t xml:space="preserve"> 184, 117–136.</w:t>
      </w:r>
    </w:p>
    <w:p w14:paraId="6E242B97" w14:textId="57B7E2F2" w:rsidR="00E57243" w:rsidRPr="00DD76EE" w:rsidRDefault="00E57243" w:rsidP="003405B3">
      <w:pPr>
        <w:pStyle w:val="CETReferencetext"/>
        <w:rPr>
          <w:lang w:val="en-US"/>
        </w:rPr>
      </w:pPr>
      <w:r w:rsidRPr="7412B7AF">
        <w:rPr>
          <w:rFonts w:eastAsia="Calibri"/>
        </w:rPr>
        <w:t>Colombo, S.</w:t>
      </w:r>
      <w:r>
        <w:rPr>
          <w:rFonts w:eastAsia="Calibri"/>
        </w:rPr>
        <w:t xml:space="preserve">, </w:t>
      </w:r>
      <w:r w:rsidRPr="7412B7AF">
        <w:rPr>
          <w:rFonts w:eastAsia="Calibri"/>
        </w:rPr>
        <w:t>2019. The Holistic Risk Analysis and Modelling (</w:t>
      </w:r>
      <w:proofErr w:type="spellStart"/>
      <w:r w:rsidRPr="7412B7AF">
        <w:rPr>
          <w:rFonts w:eastAsia="Calibri"/>
        </w:rPr>
        <w:t>HoRAM</w:t>
      </w:r>
      <w:proofErr w:type="spellEnd"/>
      <w:r w:rsidRPr="7412B7AF">
        <w:rPr>
          <w:rFonts w:eastAsia="Calibri"/>
        </w:rPr>
        <w:t xml:space="preserve">) method. </w:t>
      </w:r>
      <w:r w:rsidRPr="7412B7AF">
        <w:rPr>
          <w:rFonts w:eastAsia="Calibri"/>
          <w:i/>
          <w:iCs/>
        </w:rPr>
        <w:t>Safety Science</w:t>
      </w:r>
      <w:r w:rsidRPr="7412B7AF">
        <w:rPr>
          <w:rFonts w:eastAsia="Calibri"/>
        </w:rPr>
        <w:t>, 112, 18–37.</w:t>
      </w:r>
    </w:p>
    <w:p w14:paraId="6CA04C08" w14:textId="0E7A8C68" w:rsidR="00470E0C" w:rsidRPr="00DD76EE" w:rsidRDefault="00470E0C" w:rsidP="003405B3">
      <w:pPr>
        <w:pStyle w:val="CETReferencetext"/>
        <w:rPr>
          <w:lang w:val="en-US"/>
        </w:rPr>
      </w:pPr>
      <w:r>
        <w:t xml:space="preserve">Colombo, S., Ciotola, A., Piazza, L., 2024. Logic-driven, simulation-based risk engineering to ensure the sustainability of productive processes even with data scarcity. </w:t>
      </w:r>
      <w:r>
        <w:rPr>
          <w:rStyle w:val="Enfasicorsivo"/>
        </w:rPr>
        <w:t>Expert Systems with Applications</w:t>
      </w:r>
      <w:r>
        <w:t xml:space="preserve"> 255, 124735.</w:t>
      </w:r>
    </w:p>
    <w:p w14:paraId="0A01AB07" w14:textId="77777777" w:rsidR="00470E0C" w:rsidRDefault="00470E0C" w:rsidP="003405B3">
      <w:pPr>
        <w:pStyle w:val="CETReferencetext"/>
      </w:pPr>
      <w:r>
        <w:t xml:space="preserve">Coombe, B.G., Dry, P.R. (Eds.), 2001. </w:t>
      </w:r>
      <w:r>
        <w:rPr>
          <w:rStyle w:val="Enfasicorsivo"/>
        </w:rPr>
        <w:t>Viticulture, Volume 2: Practices</w:t>
      </w:r>
      <w:r>
        <w:t xml:space="preserve">. </w:t>
      </w:r>
      <w:proofErr w:type="spellStart"/>
      <w:r>
        <w:t>Winetitles</w:t>
      </w:r>
      <w:proofErr w:type="spellEnd"/>
      <w:r>
        <w:t>, Adelaide.</w:t>
      </w:r>
    </w:p>
    <w:p w14:paraId="68661BB8" w14:textId="77777777" w:rsidR="00470E0C" w:rsidRDefault="00470E0C" w:rsidP="003405B3">
      <w:pPr>
        <w:pStyle w:val="CETReferencetext"/>
      </w:pPr>
      <w:r>
        <w:t xml:space="preserve">Fountas, S., </w:t>
      </w:r>
      <w:proofErr w:type="spellStart"/>
      <w:r>
        <w:t>Mylonas</w:t>
      </w:r>
      <w:proofErr w:type="spellEnd"/>
      <w:r>
        <w:t xml:space="preserve">, N., </w:t>
      </w:r>
      <w:proofErr w:type="spellStart"/>
      <w:r>
        <w:t>Malounas</w:t>
      </w:r>
      <w:proofErr w:type="spellEnd"/>
      <w:r>
        <w:t xml:space="preserve">, I., </w:t>
      </w:r>
      <w:proofErr w:type="spellStart"/>
      <w:r>
        <w:t>Rodias</w:t>
      </w:r>
      <w:proofErr w:type="spellEnd"/>
      <w:r>
        <w:t xml:space="preserve">, E., Hellmann Santos, C., </w:t>
      </w:r>
      <w:proofErr w:type="spellStart"/>
      <w:r>
        <w:t>Pekkeriet</w:t>
      </w:r>
      <w:proofErr w:type="spellEnd"/>
      <w:r>
        <w:t xml:space="preserve">, E., 2020. Agricultural robotics for field operations. </w:t>
      </w:r>
      <w:r>
        <w:rPr>
          <w:rStyle w:val="Enfasicorsivo"/>
        </w:rPr>
        <w:t>Sensors</w:t>
      </w:r>
      <w:r>
        <w:t xml:space="preserve"> 20(9), 2672.</w:t>
      </w:r>
    </w:p>
    <w:p w14:paraId="02F91AFF" w14:textId="1E4D0058" w:rsidR="003B72A9" w:rsidRPr="00DD76EE" w:rsidRDefault="00470E0C" w:rsidP="003405B3">
      <w:pPr>
        <w:pStyle w:val="CETReferencetext"/>
        <w:rPr>
          <w:lang w:val="en-US"/>
        </w:rPr>
      </w:pPr>
      <w:proofErr w:type="spellStart"/>
      <w:r>
        <w:t>Liakos</w:t>
      </w:r>
      <w:proofErr w:type="spellEnd"/>
      <w:r>
        <w:t xml:space="preserve">, K.G., </w:t>
      </w:r>
      <w:proofErr w:type="spellStart"/>
      <w:r>
        <w:t>Busato</w:t>
      </w:r>
      <w:proofErr w:type="spellEnd"/>
      <w:r>
        <w:t xml:space="preserve">, P., </w:t>
      </w:r>
      <w:proofErr w:type="spellStart"/>
      <w:r>
        <w:t>Moshou</w:t>
      </w:r>
      <w:proofErr w:type="spellEnd"/>
      <w:r>
        <w:t xml:space="preserve">, D., Pearson, S., </w:t>
      </w:r>
      <w:proofErr w:type="spellStart"/>
      <w:r>
        <w:t>Bochtis</w:t>
      </w:r>
      <w:proofErr w:type="spellEnd"/>
      <w:r>
        <w:t xml:space="preserve">, D., 2018. Machine learning in agriculture: A review. </w:t>
      </w:r>
      <w:r>
        <w:rPr>
          <w:rStyle w:val="Enfasicorsivo"/>
        </w:rPr>
        <w:t>Sensors</w:t>
      </w:r>
      <w:r>
        <w:t xml:space="preserve"> 18(8), 2674.</w:t>
      </w:r>
    </w:p>
    <w:p w14:paraId="57E3F55B" w14:textId="3411C3A4" w:rsidR="00470E0C" w:rsidRDefault="00470E0C" w:rsidP="003405B3">
      <w:pPr>
        <w:pStyle w:val="CETReferencetext"/>
      </w:pPr>
      <w:r>
        <w:t xml:space="preserve">Lorenz, D.H., Eichhorn, K.W., </w:t>
      </w:r>
      <w:proofErr w:type="spellStart"/>
      <w:r>
        <w:t>Bleiholder</w:t>
      </w:r>
      <w:proofErr w:type="spellEnd"/>
      <w:r>
        <w:t>, H., Klose, R., Meier, U., Weber, E., 1995. Growth stages of the grapevine: Phenological growth stages of the grapevine (</w:t>
      </w:r>
      <w:r>
        <w:rPr>
          <w:rStyle w:val="Enfasicorsivo"/>
        </w:rPr>
        <w:t>Vitis vinifera</w:t>
      </w:r>
      <w:r>
        <w:t xml:space="preserve"> L. ssp. </w:t>
      </w:r>
      <w:r>
        <w:rPr>
          <w:rStyle w:val="Enfasicorsivo"/>
        </w:rPr>
        <w:t>vinifera</w:t>
      </w:r>
      <w:r>
        <w:t xml:space="preserve">)—Codes and descriptions according to the extended BBCH scale. </w:t>
      </w:r>
      <w:r>
        <w:rPr>
          <w:rStyle w:val="Enfasicorsivo"/>
        </w:rPr>
        <w:t>Australian Journal of Grape and Wine Research</w:t>
      </w:r>
      <w:r>
        <w:t xml:space="preserve"> 1(2), 100–103.</w:t>
      </w:r>
    </w:p>
    <w:p w14:paraId="288B41CC" w14:textId="63FB6F92" w:rsidR="00470E0C" w:rsidRDefault="00470E0C" w:rsidP="003405B3">
      <w:pPr>
        <w:pStyle w:val="CETReferencetext"/>
      </w:pPr>
      <w:proofErr w:type="spellStart"/>
      <w:r>
        <w:t>Oyarzun</w:t>
      </w:r>
      <w:proofErr w:type="spellEnd"/>
      <w:r>
        <w:t xml:space="preserve">, R.A., </w:t>
      </w:r>
      <w:proofErr w:type="spellStart"/>
      <w:r>
        <w:t>Stöckle</w:t>
      </w:r>
      <w:proofErr w:type="spellEnd"/>
      <w:r>
        <w:t xml:space="preserve">, C.O., Whiting, M.D., 2007. A simple approach to </w:t>
      </w:r>
      <w:proofErr w:type="spellStart"/>
      <w:r>
        <w:t>modeling</w:t>
      </w:r>
      <w:proofErr w:type="spellEnd"/>
      <w:r>
        <w:t xml:space="preserve"> radiation interception by fruit-tree orchards. Agricultural and Forest Meteorology 142, 12–24.</w:t>
      </w:r>
    </w:p>
    <w:p w14:paraId="0C10F71A" w14:textId="77777777" w:rsidR="00470E0C" w:rsidRDefault="00470E0C" w:rsidP="003405B3">
      <w:pPr>
        <w:pStyle w:val="CETReferencetext"/>
      </w:pPr>
      <w:proofErr w:type="spellStart"/>
      <w:r>
        <w:t>Palliotti</w:t>
      </w:r>
      <w:proofErr w:type="spellEnd"/>
      <w:r>
        <w:t xml:space="preserve">, A., Poni, S., </w:t>
      </w:r>
      <w:proofErr w:type="spellStart"/>
      <w:r>
        <w:t>Silvestroni</w:t>
      </w:r>
      <w:proofErr w:type="spellEnd"/>
      <w:r>
        <w:t xml:space="preserve">, O., 2018. </w:t>
      </w:r>
      <w:proofErr w:type="spellStart"/>
      <w:r>
        <w:rPr>
          <w:rStyle w:val="Enfasicorsivo"/>
        </w:rPr>
        <w:t>Manuale</w:t>
      </w:r>
      <w:proofErr w:type="spellEnd"/>
      <w:r>
        <w:rPr>
          <w:rStyle w:val="Enfasicorsivo"/>
        </w:rPr>
        <w:t xml:space="preserve"> di </w:t>
      </w:r>
      <w:proofErr w:type="spellStart"/>
      <w:r>
        <w:rPr>
          <w:rStyle w:val="Enfasicorsivo"/>
        </w:rPr>
        <w:t>viticoltura</w:t>
      </w:r>
      <w:proofErr w:type="spellEnd"/>
      <w:r>
        <w:t xml:space="preserve">. </w:t>
      </w:r>
      <w:proofErr w:type="spellStart"/>
      <w:r>
        <w:t>Edagricole</w:t>
      </w:r>
      <w:proofErr w:type="spellEnd"/>
      <w:r>
        <w:t>, Milano.</w:t>
      </w:r>
    </w:p>
    <w:p w14:paraId="346EA451" w14:textId="1F25FCA7" w:rsidR="003B72A9" w:rsidRPr="00DD76EE" w:rsidRDefault="00470E0C" w:rsidP="003405B3">
      <w:pPr>
        <w:pStyle w:val="CETReferencetext"/>
        <w:rPr>
          <w:lang w:val="en-US"/>
        </w:rPr>
      </w:pPr>
      <w:proofErr w:type="spellStart"/>
      <w:r>
        <w:t>Terpou</w:t>
      </w:r>
      <w:proofErr w:type="spellEnd"/>
      <w:r>
        <w:t xml:space="preserve">, A., </w:t>
      </w:r>
      <w:proofErr w:type="spellStart"/>
      <w:r>
        <w:t>Arvaniti</w:t>
      </w:r>
      <w:proofErr w:type="spellEnd"/>
      <w:r>
        <w:t xml:space="preserve">, O.S., </w:t>
      </w:r>
      <w:proofErr w:type="spellStart"/>
      <w:r>
        <w:t>Afratis</w:t>
      </w:r>
      <w:proofErr w:type="spellEnd"/>
      <w:r>
        <w:t xml:space="preserve">, N., </w:t>
      </w:r>
      <w:proofErr w:type="spellStart"/>
      <w:r>
        <w:t>Athanasiou</w:t>
      </w:r>
      <w:proofErr w:type="spellEnd"/>
      <w:r>
        <w:t xml:space="preserve">, G., </w:t>
      </w:r>
      <w:proofErr w:type="spellStart"/>
      <w:r>
        <w:t>Binard</w:t>
      </w:r>
      <w:proofErr w:type="spellEnd"/>
      <w:r>
        <w:t xml:space="preserve">, F., </w:t>
      </w:r>
      <w:proofErr w:type="spellStart"/>
      <w:r>
        <w:t>Zahariadis</w:t>
      </w:r>
      <w:proofErr w:type="spellEnd"/>
      <w:r>
        <w:t xml:space="preserve">, T., 2024. Sustainable solutions for mitigating spring frost effects on grape and wine quality: Facilitating digital transactions in the viniculture sector. </w:t>
      </w:r>
      <w:r>
        <w:rPr>
          <w:rStyle w:val="Enfasicorsivo"/>
        </w:rPr>
        <w:t>Sustainable Food Technology</w:t>
      </w:r>
      <w:r>
        <w:t xml:space="preserve"> 2, 967–975.</w:t>
      </w:r>
    </w:p>
    <w:p w14:paraId="7F5305C4" w14:textId="77777777" w:rsidR="00470E0C" w:rsidRDefault="00470E0C" w:rsidP="003405B3">
      <w:pPr>
        <w:pStyle w:val="CETReferencetext"/>
      </w:pPr>
      <w:r>
        <w:t xml:space="preserve">van Leeuwen, C., </w:t>
      </w:r>
      <w:proofErr w:type="spellStart"/>
      <w:r>
        <w:t>Destrac</w:t>
      </w:r>
      <w:proofErr w:type="spellEnd"/>
      <w:r>
        <w:t xml:space="preserve">-Irvine, A., </w:t>
      </w:r>
      <w:proofErr w:type="spellStart"/>
      <w:r>
        <w:t>Dubernet</w:t>
      </w:r>
      <w:proofErr w:type="spellEnd"/>
      <w:r>
        <w:t xml:space="preserve">, M., </w:t>
      </w:r>
      <w:proofErr w:type="spellStart"/>
      <w:r>
        <w:t>Duchêne</w:t>
      </w:r>
      <w:proofErr w:type="spellEnd"/>
      <w:r>
        <w:t xml:space="preserve">, E., </w:t>
      </w:r>
      <w:proofErr w:type="spellStart"/>
      <w:r>
        <w:t>Gowdy</w:t>
      </w:r>
      <w:proofErr w:type="spellEnd"/>
      <w:r>
        <w:t xml:space="preserve">, M., </w:t>
      </w:r>
      <w:proofErr w:type="spellStart"/>
      <w:r>
        <w:t>Marguerit</w:t>
      </w:r>
      <w:proofErr w:type="spellEnd"/>
      <w:r>
        <w:t xml:space="preserve">, E., </w:t>
      </w:r>
      <w:proofErr w:type="spellStart"/>
      <w:r>
        <w:t>Pieri</w:t>
      </w:r>
      <w:proofErr w:type="spellEnd"/>
      <w:r>
        <w:t xml:space="preserve">, P., Parker, A., de </w:t>
      </w:r>
      <w:proofErr w:type="spellStart"/>
      <w:r>
        <w:t>Rességuier</w:t>
      </w:r>
      <w:proofErr w:type="spellEnd"/>
      <w:r>
        <w:t xml:space="preserve">, L., </w:t>
      </w:r>
      <w:proofErr w:type="spellStart"/>
      <w:r>
        <w:t>Ollat</w:t>
      </w:r>
      <w:proofErr w:type="spellEnd"/>
      <w:r>
        <w:t xml:space="preserve">, N., 2019. An update on the impact of climate change in viticulture and potential adaptations. </w:t>
      </w:r>
      <w:r>
        <w:rPr>
          <w:rStyle w:val="Enfasicorsivo"/>
        </w:rPr>
        <w:t>Agronomy</w:t>
      </w:r>
      <w:r>
        <w:t xml:space="preserve"> 9(9), 514.</w:t>
      </w:r>
    </w:p>
    <w:p w14:paraId="4D046699" w14:textId="77777777" w:rsidR="00470E0C" w:rsidRDefault="00470E0C" w:rsidP="003405B3">
      <w:pPr>
        <w:pStyle w:val="CETReferencetext"/>
      </w:pPr>
      <w:r>
        <w:t xml:space="preserve">Vasconcelos, M.C., </w:t>
      </w:r>
      <w:proofErr w:type="spellStart"/>
      <w:r>
        <w:t>Greven</w:t>
      </w:r>
      <w:proofErr w:type="spellEnd"/>
      <w:r>
        <w:t xml:space="preserve">, M., </w:t>
      </w:r>
      <w:proofErr w:type="spellStart"/>
      <w:r>
        <w:t>Winefield</w:t>
      </w:r>
      <w:proofErr w:type="spellEnd"/>
      <w:r>
        <w:t xml:space="preserve">, C.S., </w:t>
      </w:r>
      <w:proofErr w:type="spellStart"/>
      <w:r>
        <w:t>Trought</w:t>
      </w:r>
      <w:proofErr w:type="spellEnd"/>
      <w:r>
        <w:t xml:space="preserve">, M.C.T., Raw, V., 2009. The flowering process of </w:t>
      </w:r>
      <w:r>
        <w:rPr>
          <w:rStyle w:val="Enfasicorsivo"/>
        </w:rPr>
        <w:t>Vitis vinifera</w:t>
      </w:r>
      <w:r>
        <w:t xml:space="preserve">: A review. </w:t>
      </w:r>
      <w:r>
        <w:rPr>
          <w:rStyle w:val="Enfasicorsivo"/>
        </w:rPr>
        <w:t xml:space="preserve">American Journal of </w:t>
      </w:r>
      <w:proofErr w:type="spellStart"/>
      <w:r>
        <w:rPr>
          <w:rStyle w:val="Enfasicorsivo"/>
        </w:rPr>
        <w:t>Enology</w:t>
      </w:r>
      <w:proofErr w:type="spellEnd"/>
      <w:r>
        <w:rPr>
          <w:rStyle w:val="Enfasicorsivo"/>
        </w:rPr>
        <w:t xml:space="preserve"> and Viticulture</w:t>
      </w:r>
      <w:r>
        <w:t xml:space="preserve"> 60(4), 411–434.</w:t>
      </w:r>
    </w:p>
    <w:p w14:paraId="130FFE61" w14:textId="77777777" w:rsidR="00470E0C" w:rsidRDefault="00470E0C" w:rsidP="003405B3">
      <w:pPr>
        <w:pStyle w:val="CETReferencetext"/>
      </w:pPr>
      <w:proofErr w:type="spellStart"/>
      <w:r>
        <w:t>Wolfert</w:t>
      </w:r>
      <w:proofErr w:type="spellEnd"/>
      <w:r>
        <w:t xml:space="preserve">, S., Ge, L., </w:t>
      </w:r>
      <w:proofErr w:type="spellStart"/>
      <w:r>
        <w:t>Verdouw</w:t>
      </w:r>
      <w:proofErr w:type="spellEnd"/>
      <w:r>
        <w:t xml:space="preserve">, C., </w:t>
      </w:r>
      <w:proofErr w:type="spellStart"/>
      <w:r>
        <w:t>Bogaardt</w:t>
      </w:r>
      <w:proofErr w:type="spellEnd"/>
      <w:r>
        <w:t xml:space="preserve">, M.J., 2017. Big Data in smart farming—A review. </w:t>
      </w:r>
      <w:r>
        <w:rPr>
          <w:rStyle w:val="Enfasicorsivo"/>
        </w:rPr>
        <w:t>Agricultural Systems</w:t>
      </w:r>
      <w:r>
        <w:t xml:space="preserve"> 153, 69–80.</w:t>
      </w:r>
    </w:p>
    <w:p w14:paraId="1F67E3B2" w14:textId="435D50A9" w:rsidR="00FD77FC" w:rsidRDefault="00470E0C" w:rsidP="003405B3">
      <w:pPr>
        <w:pStyle w:val="CETReferencetext"/>
      </w:pPr>
      <w:r>
        <w:t xml:space="preserve">Zhu, J., </w:t>
      </w:r>
      <w:proofErr w:type="spellStart"/>
      <w:r>
        <w:t>Génard</w:t>
      </w:r>
      <w:proofErr w:type="spellEnd"/>
      <w:r>
        <w:t xml:space="preserve">, M., Poni, S., Gambetta, G.A., </w:t>
      </w:r>
      <w:proofErr w:type="spellStart"/>
      <w:r>
        <w:t>Vivin</w:t>
      </w:r>
      <w:proofErr w:type="spellEnd"/>
      <w:r>
        <w:t xml:space="preserve">, P., </w:t>
      </w:r>
      <w:proofErr w:type="spellStart"/>
      <w:r>
        <w:t>Vercambre</w:t>
      </w:r>
      <w:proofErr w:type="spellEnd"/>
      <w:r>
        <w:t xml:space="preserve">, G., </w:t>
      </w:r>
      <w:proofErr w:type="spellStart"/>
      <w:r>
        <w:t>Trought</w:t>
      </w:r>
      <w:proofErr w:type="spellEnd"/>
      <w:r>
        <w:t xml:space="preserve">, M.C.T., </w:t>
      </w:r>
      <w:proofErr w:type="spellStart"/>
      <w:r>
        <w:t>Ollat</w:t>
      </w:r>
      <w:proofErr w:type="spellEnd"/>
      <w:r>
        <w:t xml:space="preserve">, N., </w:t>
      </w:r>
      <w:proofErr w:type="spellStart"/>
      <w:r>
        <w:t>Delrot</w:t>
      </w:r>
      <w:proofErr w:type="spellEnd"/>
      <w:r>
        <w:t xml:space="preserve">, S., Dai, Z., 2019. Modelling grape growth in relation to whole-plant carbon and water fluxes. </w:t>
      </w:r>
      <w:r>
        <w:rPr>
          <w:rStyle w:val="Enfasicorsivo"/>
        </w:rPr>
        <w:t>Journal of Experimental Botany</w:t>
      </w:r>
      <w:r>
        <w:t xml:space="preserve"> 70(9), 2505–2521.</w:t>
      </w:r>
    </w:p>
    <w:sectPr w:rsidR="00FD77FC"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45AEF" w14:textId="77777777" w:rsidR="00F653B0" w:rsidRDefault="00F653B0" w:rsidP="004F5E36">
      <w:r>
        <w:separator/>
      </w:r>
    </w:p>
  </w:endnote>
  <w:endnote w:type="continuationSeparator" w:id="0">
    <w:p w14:paraId="0ABFCF1E" w14:textId="77777777" w:rsidR="00F653B0" w:rsidRDefault="00F653B0"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Cambria"/>
    <w:charset w:val="00"/>
    <w:family w:val="roman"/>
    <w:pitch w:val="variable"/>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BA1CE" w14:textId="77777777" w:rsidR="00F653B0" w:rsidRDefault="00F653B0" w:rsidP="004F5E36">
      <w:r>
        <w:separator/>
      </w:r>
    </w:p>
  </w:footnote>
  <w:footnote w:type="continuationSeparator" w:id="0">
    <w:p w14:paraId="38223889" w14:textId="77777777" w:rsidR="00F653B0" w:rsidRDefault="00F653B0"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3656C06"/>
    <w:multiLevelType w:val="multilevel"/>
    <w:tmpl w:val="C082C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5A105C"/>
    <w:multiLevelType w:val="hybridMultilevel"/>
    <w:tmpl w:val="86F259AC"/>
    <w:lvl w:ilvl="0" w:tplc="04100001">
      <w:start w:val="1"/>
      <w:numFmt w:val="bullet"/>
      <w:lvlText w:val=""/>
      <w:lvlJc w:val="left"/>
      <w:pPr>
        <w:ind w:left="410" w:hanging="360"/>
      </w:pPr>
      <w:rPr>
        <w:rFonts w:ascii="Symbol" w:hAnsi="Symbol"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12" w15:restartNumberingAfterBreak="0">
    <w:nsid w:val="169C0D75"/>
    <w:multiLevelType w:val="multilevel"/>
    <w:tmpl w:val="EB326A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AB5F19"/>
    <w:multiLevelType w:val="hybridMultilevel"/>
    <w:tmpl w:val="FF68006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1F3E5373"/>
    <w:multiLevelType w:val="hybridMultilevel"/>
    <w:tmpl w:val="5B1E1F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ellasemplic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6" w15:restartNumberingAfterBreak="0">
    <w:nsid w:val="255D19DA"/>
    <w:multiLevelType w:val="multilevel"/>
    <w:tmpl w:val="F0F80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62A1C5F"/>
    <w:multiLevelType w:val="hybridMultilevel"/>
    <w:tmpl w:val="03C4F0D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4CCF6B46"/>
    <w:multiLevelType w:val="hybridMultilevel"/>
    <w:tmpl w:val="B4CEEA8E"/>
    <w:lvl w:ilvl="0" w:tplc="6ED6837C">
      <w:start w:val="2"/>
      <w:numFmt w:val="bullet"/>
      <w:lvlText w:val="-"/>
      <w:lvlJc w:val="left"/>
      <w:pPr>
        <w:ind w:left="410" w:hanging="360"/>
      </w:pPr>
      <w:rPr>
        <w:rFonts w:ascii="Arial" w:eastAsia="Times New Roman" w:hAnsi="Arial" w:cs="Arial"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23"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26" w15:restartNumberingAfterBreak="0">
    <w:nsid w:val="58504C2B"/>
    <w:multiLevelType w:val="hybridMultilevel"/>
    <w:tmpl w:val="988CA706"/>
    <w:lvl w:ilvl="0" w:tplc="04100001">
      <w:start w:val="1"/>
      <w:numFmt w:val="bullet"/>
      <w:lvlText w:val=""/>
      <w:lvlJc w:val="left"/>
      <w:pPr>
        <w:ind w:left="410" w:hanging="360"/>
      </w:pPr>
      <w:rPr>
        <w:rFonts w:ascii="Symbol" w:hAnsi="Symbol"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27"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68305087"/>
    <w:multiLevelType w:val="multilevel"/>
    <w:tmpl w:val="06600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1423F42"/>
    <w:multiLevelType w:val="multilevel"/>
    <w:tmpl w:val="2EB4F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695B08"/>
    <w:multiLevelType w:val="multilevel"/>
    <w:tmpl w:val="180A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4D1040"/>
    <w:multiLevelType w:val="multilevel"/>
    <w:tmpl w:val="0FEAC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25"/>
  </w:num>
  <w:num w:numId="13">
    <w:abstractNumId w:val="18"/>
  </w:num>
  <w:num w:numId="14">
    <w:abstractNumId w:val="27"/>
  </w:num>
  <w:num w:numId="15">
    <w:abstractNumId w:val="30"/>
  </w:num>
  <w:num w:numId="16">
    <w:abstractNumId w:val="28"/>
  </w:num>
  <w:num w:numId="17">
    <w:abstractNumId w:val="17"/>
  </w:num>
  <w:num w:numId="18">
    <w:abstractNumId w:val="18"/>
    <w:lvlOverride w:ilvl="0">
      <w:startOverride w:val="1"/>
    </w:lvlOverride>
  </w:num>
  <w:num w:numId="19">
    <w:abstractNumId w:val="24"/>
  </w:num>
  <w:num w:numId="20">
    <w:abstractNumId w:val="23"/>
  </w:num>
  <w:num w:numId="21">
    <w:abstractNumId w:val="21"/>
  </w:num>
  <w:num w:numId="22">
    <w:abstractNumId w:val="20"/>
  </w:num>
  <w:num w:numId="23">
    <w:abstractNumId w:val="15"/>
  </w:num>
  <w:num w:numId="24">
    <w:abstractNumId w:val="15"/>
  </w:num>
  <w:num w:numId="25">
    <w:abstractNumId w:val="22"/>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1"/>
  </w:num>
  <w:num w:numId="33">
    <w:abstractNumId w:val="14"/>
  </w:num>
  <w:num w:numId="34">
    <w:abstractNumId w:val="26"/>
  </w:num>
  <w:num w:numId="35">
    <w:abstractNumId w:val="31"/>
  </w:num>
  <w:num w:numId="36">
    <w:abstractNumId w:val="13"/>
  </w:num>
  <w:num w:numId="37">
    <w:abstractNumId w:val="33"/>
  </w:num>
  <w:num w:numId="38">
    <w:abstractNumId w:val="10"/>
  </w:num>
  <w:num w:numId="39">
    <w:abstractNumId w:val="32"/>
  </w:num>
  <w:num w:numId="40">
    <w:abstractNumId w:val="12"/>
  </w:num>
  <w:num w:numId="41">
    <w:abstractNumId w:val="19"/>
  </w:num>
  <w:num w:numId="42">
    <w:abstractNumId w:val="29"/>
  </w:num>
  <w:num w:numId="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19DF"/>
    <w:rsid w:val="000027C0"/>
    <w:rsid w:val="000052FB"/>
    <w:rsid w:val="00005884"/>
    <w:rsid w:val="00005A19"/>
    <w:rsid w:val="000117CB"/>
    <w:rsid w:val="000173F9"/>
    <w:rsid w:val="0003148D"/>
    <w:rsid w:val="00031EEC"/>
    <w:rsid w:val="0004403E"/>
    <w:rsid w:val="00051566"/>
    <w:rsid w:val="000562A9"/>
    <w:rsid w:val="00062A9A"/>
    <w:rsid w:val="00064EB5"/>
    <w:rsid w:val="00065058"/>
    <w:rsid w:val="000805A4"/>
    <w:rsid w:val="00086C39"/>
    <w:rsid w:val="000A03B2"/>
    <w:rsid w:val="000A3461"/>
    <w:rsid w:val="000D0268"/>
    <w:rsid w:val="000D1EAA"/>
    <w:rsid w:val="000D34BE"/>
    <w:rsid w:val="000E102F"/>
    <w:rsid w:val="000E36F1"/>
    <w:rsid w:val="000E3A73"/>
    <w:rsid w:val="000E414A"/>
    <w:rsid w:val="000E6DB5"/>
    <w:rsid w:val="000E75FD"/>
    <w:rsid w:val="000F093C"/>
    <w:rsid w:val="000F787B"/>
    <w:rsid w:val="00101F02"/>
    <w:rsid w:val="0012091F"/>
    <w:rsid w:val="001239B2"/>
    <w:rsid w:val="00124AAD"/>
    <w:rsid w:val="00126BC2"/>
    <w:rsid w:val="001308B6"/>
    <w:rsid w:val="0013121F"/>
    <w:rsid w:val="00131FE6"/>
    <w:rsid w:val="0013263F"/>
    <w:rsid w:val="001331DF"/>
    <w:rsid w:val="00134DE4"/>
    <w:rsid w:val="00137CD7"/>
    <w:rsid w:val="0014034D"/>
    <w:rsid w:val="00140FE3"/>
    <w:rsid w:val="00144D16"/>
    <w:rsid w:val="00150E59"/>
    <w:rsid w:val="00152DE3"/>
    <w:rsid w:val="00164CF9"/>
    <w:rsid w:val="001667A6"/>
    <w:rsid w:val="00184AD6"/>
    <w:rsid w:val="001A4AF7"/>
    <w:rsid w:val="001B0349"/>
    <w:rsid w:val="001B1E93"/>
    <w:rsid w:val="001B65C1"/>
    <w:rsid w:val="001B7AEB"/>
    <w:rsid w:val="001C260F"/>
    <w:rsid w:val="001C33F1"/>
    <w:rsid w:val="001C684B"/>
    <w:rsid w:val="001D0CFB"/>
    <w:rsid w:val="001D21AF"/>
    <w:rsid w:val="001D53FC"/>
    <w:rsid w:val="001F3AFF"/>
    <w:rsid w:val="001F42A5"/>
    <w:rsid w:val="001F7B9D"/>
    <w:rsid w:val="00200C65"/>
    <w:rsid w:val="00201C93"/>
    <w:rsid w:val="00217868"/>
    <w:rsid w:val="002224B4"/>
    <w:rsid w:val="00237A50"/>
    <w:rsid w:val="002447EF"/>
    <w:rsid w:val="00251550"/>
    <w:rsid w:val="00263B05"/>
    <w:rsid w:val="0027221A"/>
    <w:rsid w:val="00275B61"/>
    <w:rsid w:val="00280FAF"/>
    <w:rsid w:val="00282656"/>
    <w:rsid w:val="00295C29"/>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405B3"/>
    <w:rsid w:val="003723D4"/>
    <w:rsid w:val="00381905"/>
    <w:rsid w:val="00383D04"/>
    <w:rsid w:val="00384CC8"/>
    <w:rsid w:val="003871FD"/>
    <w:rsid w:val="003A1E30"/>
    <w:rsid w:val="003A2829"/>
    <w:rsid w:val="003A7D1C"/>
    <w:rsid w:val="003B304B"/>
    <w:rsid w:val="003B3146"/>
    <w:rsid w:val="003B72A9"/>
    <w:rsid w:val="003C02E7"/>
    <w:rsid w:val="003C283A"/>
    <w:rsid w:val="003D1E02"/>
    <w:rsid w:val="003F015E"/>
    <w:rsid w:val="003F239F"/>
    <w:rsid w:val="003F7BEE"/>
    <w:rsid w:val="00400414"/>
    <w:rsid w:val="00414327"/>
    <w:rsid w:val="0041446B"/>
    <w:rsid w:val="0044071E"/>
    <w:rsid w:val="0044329C"/>
    <w:rsid w:val="0044447B"/>
    <w:rsid w:val="00453E24"/>
    <w:rsid w:val="00457456"/>
    <w:rsid w:val="004577FE"/>
    <w:rsid w:val="00457B9C"/>
    <w:rsid w:val="0046164A"/>
    <w:rsid w:val="004628D2"/>
    <w:rsid w:val="00462DCD"/>
    <w:rsid w:val="004648AD"/>
    <w:rsid w:val="00464C4C"/>
    <w:rsid w:val="004703A9"/>
    <w:rsid w:val="00470E0C"/>
    <w:rsid w:val="004720E1"/>
    <w:rsid w:val="004760DE"/>
    <w:rsid w:val="004763D7"/>
    <w:rsid w:val="00487793"/>
    <w:rsid w:val="004A0020"/>
    <w:rsid w:val="004A004E"/>
    <w:rsid w:val="004A24CF"/>
    <w:rsid w:val="004A5E57"/>
    <w:rsid w:val="004C194F"/>
    <w:rsid w:val="004C2EDC"/>
    <w:rsid w:val="004C3D1D"/>
    <w:rsid w:val="004C3D84"/>
    <w:rsid w:val="004C7913"/>
    <w:rsid w:val="004E4DD6"/>
    <w:rsid w:val="004F5E36"/>
    <w:rsid w:val="005026F4"/>
    <w:rsid w:val="00507B47"/>
    <w:rsid w:val="00507BEF"/>
    <w:rsid w:val="00507CC9"/>
    <w:rsid w:val="005119A5"/>
    <w:rsid w:val="005141B8"/>
    <w:rsid w:val="005217BF"/>
    <w:rsid w:val="005278B7"/>
    <w:rsid w:val="00532016"/>
    <w:rsid w:val="005346C8"/>
    <w:rsid w:val="00543E7D"/>
    <w:rsid w:val="0054449A"/>
    <w:rsid w:val="00547A68"/>
    <w:rsid w:val="005531C9"/>
    <w:rsid w:val="00570C43"/>
    <w:rsid w:val="00592274"/>
    <w:rsid w:val="005A1FE4"/>
    <w:rsid w:val="005B0FBC"/>
    <w:rsid w:val="005B2110"/>
    <w:rsid w:val="005B61E6"/>
    <w:rsid w:val="005C77E1"/>
    <w:rsid w:val="005D668A"/>
    <w:rsid w:val="005D6A2F"/>
    <w:rsid w:val="005D77DB"/>
    <w:rsid w:val="005E0592"/>
    <w:rsid w:val="005E1A82"/>
    <w:rsid w:val="005E794C"/>
    <w:rsid w:val="005F0A28"/>
    <w:rsid w:val="005F0E5E"/>
    <w:rsid w:val="00600535"/>
    <w:rsid w:val="00610CD6"/>
    <w:rsid w:val="00620DEE"/>
    <w:rsid w:val="00621F92"/>
    <w:rsid w:val="0062280A"/>
    <w:rsid w:val="006231E1"/>
    <w:rsid w:val="00623CE9"/>
    <w:rsid w:val="00625639"/>
    <w:rsid w:val="00631B33"/>
    <w:rsid w:val="0064184D"/>
    <w:rsid w:val="006422CC"/>
    <w:rsid w:val="00651D18"/>
    <w:rsid w:val="00660E3E"/>
    <w:rsid w:val="00662E74"/>
    <w:rsid w:val="00664F9F"/>
    <w:rsid w:val="00680C23"/>
    <w:rsid w:val="00683E23"/>
    <w:rsid w:val="00686641"/>
    <w:rsid w:val="00692C18"/>
    <w:rsid w:val="00693766"/>
    <w:rsid w:val="006A3281"/>
    <w:rsid w:val="006B4888"/>
    <w:rsid w:val="006B5A33"/>
    <w:rsid w:val="006C2E45"/>
    <w:rsid w:val="006C359C"/>
    <w:rsid w:val="006C5579"/>
    <w:rsid w:val="006D4339"/>
    <w:rsid w:val="006D6E8B"/>
    <w:rsid w:val="006D7209"/>
    <w:rsid w:val="006E737D"/>
    <w:rsid w:val="00703CEA"/>
    <w:rsid w:val="00707DD1"/>
    <w:rsid w:val="00713973"/>
    <w:rsid w:val="00720A24"/>
    <w:rsid w:val="00732386"/>
    <w:rsid w:val="0073514D"/>
    <w:rsid w:val="007447F3"/>
    <w:rsid w:val="0075499F"/>
    <w:rsid w:val="007578DF"/>
    <w:rsid w:val="007617CC"/>
    <w:rsid w:val="00765DF0"/>
    <w:rsid w:val="007661C8"/>
    <w:rsid w:val="0077098D"/>
    <w:rsid w:val="007734FB"/>
    <w:rsid w:val="00785BF9"/>
    <w:rsid w:val="007931FA"/>
    <w:rsid w:val="007A4861"/>
    <w:rsid w:val="007A55AA"/>
    <w:rsid w:val="007A7BBA"/>
    <w:rsid w:val="007B0C50"/>
    <w:rsid w:val="007B48F9"/>
    <w:rsid w:val="007C1A43"/>
    <w:rsid w:val="007C3A56"/>
    <w:rsid w:val="007D0951"/>
    <w:rsid w:val="007F27C8"/>
    <w:rsid w:val="0080013E"/>
    <w:rsid w:val="008068E1"/>
    <w:rsid w:val="00813288"/>
    <w:rsid w:val="008168FC"/>
    <w:rsid w:val="00830996"/>
    <w:rsid w:val="008314D7"/>
    <w:rsid w:val="008345F1"/>
    <w:rsid w:val="00860BAF"/>
    <w:rsid w:val="00865B07"/>
    <w:rsid w:val="008667EA"/>
    <w:rsid w:val="0087637F"/>
    <w:rsid w:val="00892AD5"/>
    <w:rsid w:val="008A1512"/>
    <w:rsid w:val="008B7E44"/>
    <w:rsid w:val="008D32B9"/>
    <w:rsid w:val="008D433B"/>
    <w:rsid w:val="008D4A16"/>
    <w:rsid w:val="008E209A"/>
    <w:rsid w:val="008E2EA3"/>
    <w:rsid w:val="008E45BC"/>
    <w:rsid w:val="008E566E"/>
    <w:rsid w:val="008F3FF4"/>
    <w:rsid w:val="0090161A"/>
    <w:rsid w:val="00901EB6"/>
    <w:rsid w:val="009038E4"/>
    <w:rsid w:val="009041F8"/>
    <w:rsid w:val="00904C62"/>
    <w:rsid w:val="0090771D"/>
    <w:rsid w:val="00922BA8"/>
    <w:rsid w:val="00924DAC"/>
    <w:rsid w:val="00927058"/>
    <w:rsid w:val="009426CB"/>
    <w:rsid w:val="00942750"/>
    <w:rsid w:val="009450CE"/>
    <w:rsid w:val="009459BB"/>
    <w:rsid w:val="00947179"/>
    <w:rsid w:val="0095164B"/>
    <w:rsid w:val="00954090"/>
    <w:rsid w:val="009573E7"/>
    <w:rsid w:val="00963E05"/>
    <w:rsid w:val="00964A45"/>
    <w:rsid w:val="00967843"/>
    <w:rsid w:val="00967D54"/>
    <w:rsid w:val="00971028"/>
    <w:rsid w:val="0097118B"/>
    <w:rsid w:val="00975B0A"/>
    <w:rsid w:val="009825A1"/>
    <w:rsid w:val="009858DE"/>
    <w:rsid w:val="00993B84"/>
    <w:rsid w:val="00996483"/>
    <w:rsid w:val="00996F5A"/>
    <w:rsid w:val="009B041A"/>
    <w:rsid w:val="009C23B4"/>
    <w:rsid w:val="009C37C3"/>
    <w:rsid w:val="009C705D"/>
    <w:rsid w:val="009C7C86"/>
    <w:rsid w:val="009D2FF7"/>
    <w:rsid w:val="009E2076"/>
    <w:rsid w:val="009E7884"/>
    <w:rsid w:val="009E788A"/>
    <w:rsid w:val="009F0E08"/>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AF4E67"/>
    <w:rsid w:val="00B02C8A"/>
    <w:rsid w:val="00B17FBD"/>
    <w:rsid w:val="00B315A6"/>
    <w:rsid w:val="00B31813"/>
    <w:rsid w:val="00B33365"/>
    <w:rsid w:val="00B57B36"/>
    <w:rsid w:val="00B57E6F"/>
    <w:rsid w:val="00B628D7"/>
    <w:rsid w:val="00B8686D"/>
    <w:rsid w:val="00B93F69"/>
    <w:rsid w:val="00BB1DDC"/>
    <w:rsid w:val="00BC30C9"/>
    <w:rsid w:val="00BD077D"/>
    <w:rsid w:val="00BD189A"/>
    <w:rsid w:val="00BE3E58"/>
    <w:rsid w:val="00BE4B8E"/>
    <w:rsid w:val="00C01616"/>
    <w:rsid w:val="00C0162B"/>
    <w:rsid w:val="00C068ED"/>
    <w:rsid w:val="00C11E25"/>
    <w:rsid w:val="00C208E9"/>
    <w:rsid w:val="00C22E0C"/>
    <w:rsid w:val="00C345B1"/>
    <w:rsid w:val="00C40142"/>
    <w:rsid w:val="00C47E0C"/>
    <w:rsid w:val="00C52C3C"/>
    <w:rsid w:val="00C57182"/>
    <w:rsid w:val="00C57863"/>
    <w:rsid w:val="00C623EB"/>
    <w:rsid w:val="00C640AF"/>
    <w:rsid w:val="00C655FD"/>
    <w:rsid w:val="00C741D0"/>
    <w:rsid w:val="00C75407"/>
    <w:rsid w:val="00C81253"/>
    <w:rsid w:val="00C841C6"/>
    <w:rsid w:val="00C870A8"/>
    <w:rsid w:val="00C9117D"/>
    <w:rsid w:val="00C94434"/>
    <w:rsid w:val="00CA0D75"/>
    <w:rsid w:val="00CA1C95"/>
    <w:rsid w:val="00CA5A9C"/>
    <w:rsid w:val="00CB2614"/>
    <w:rsid w:val="00CB6428"/>
    <w:rsid w:val="00CB77E3"/>
    <w:rsid w:val="00CC4C20"/>
    <w:rsid w:val="00CD3517"/>
    <w:rsid w:val="00CD5FE2"/>
    <w:rsid w:val="00CE7C68"/>
    <w:rsid w:val="00D02B4C"/>
    <w:rsid w:val="00D040C4"/>
    <w:rsid w:val="00D14CDC"/>
    <w:rsid w:val="00D20AD1"/>
    <w:rsid w:val="00D2582C"/>
    <w:rsid w:val="00D26E65"/>
    <w:rsid w:val="00D46B7E"/>
    <w:rsid w:val="00D57C84"/>
    <w:rsid w:val="00D6057D"/>
    <w:rsid w:val="00D71640"/>
    <w:rsid w:val="00D836C5"/>
    <w:rsid w:val="00D84576"/>
    <w:rsid w:val="00D94EE9"/>
    <w:rsid w:val="00D95D43"/>
    <w:rsid w:val="00DA1399"/>
    <w:rsid w:val="00DA24C6"/>
    <w:rsid w:val="00DA4D7B"/>
    <w:rsid w:val="00DA6240"/>
    <w:rsid w:val="00DC539A"/>
    <w:rsid w:val="00DD271C"/>
    <w:rsid w:val="00DD76EE"/>
    <w:rsid w:val="00DE264A"/>
    <w:rsid w:val="00DF5072"/>
    <w:rsid w:val="00E02D18"/>
    <w:rsid w:val="00E041E7"/>
    <w:rsid w:val="00E16EA5"/>
    <w:rsid w:val="00E23CA1"/>
    <w:rsid w:val="00E34296"/>
    <w:rsid w:val="00E409A8"/>
    <w:rsid w:val="00E47D61"/>
    <w:rsid w:val="00E50C12"/>
    <w:rsid w:val="00E57243"/>
    <w:rsid w:val="00E65B91"/>
    <w:rsid w:val="00E7209D"/>
    <w:rsid w:val="00E72EAD"/>
    <w:rsid w:val="00E77223"/>
    <w:rsid w:val="00E8528B"/>
    <w:rsid w:val="00E85B94"/>
    <w:rsid w:val="00E94CF3"/>
    <w:rsid w:val="00E978D0"/>
    <w:rsid w:val="00EA4613"/>
    <w:rsid w:val="00EA7F91"/>
    <w:rsid w:val="00EB1523"/>
    <w:rsid w:val="00EC0E49"/>
    <w:rsid w:val="00EC101F"/>
    <w:rsid w:val="00EC1D9F"/>
    <w:rsid w:val="00EE0131"/>
    <w:rsid w:val="00EE17B0"/>
    <w:rsid w:val="00EE1A67"/>
    <w:rsid w:val="00EE1A72"/>
    <w:rsid w:val="00EF06D9"/>
    <w:rsid w:val="00EF0982"/>
    <w:rsid w:val="00F126A5"/>
    <w:rsid w:val="00F271BD"/>
    <w:rsid w:val="00F3049E"/>
    <w:rsid w:val="00F30C64"/>
    <w:rsid w:val="00F314FE"/>
    <w:rsid w:val="00F32BA2"/>
    <w:rsid w:val="00F32CDB"/>
    <w:rsid w:val="00F3348F"/>
    <w:rsid w:val="00F37280"/>
    <w:rsid w:val="00F40F48"/>
    <w:rsid w:val="00F41EE4"/>
    <w:rsid w:val="00F565FE"/>
    <w:rsid w:val="00F63A70"/>
    <w:rsid w:val="00F63D8C"/>
    <w:rsid w:val="00F653B0"/>
    <w:rsid w:val="00F7534E"/>
    <w:rsid w:val="00F93EDF"/>
    <w:rsid w:val="00FA1802"/>
    <w:rsid w:val="00FA21D0"/>
    <w:rsid w:val="00FA5F5F"/>
    <w:rsid w:val="00FB036A"/>
    <w:rsid w:val="00FB730C"/>
    <w:rsid w:val="00FC2695"/>
    <w:rsid w:val="00FC3E03"/>
    <w:rsid w:val="00FC3FC1"/>
    <w:rsid w:val="00FD6FDE"/>
    <w:rsid w:val="00FD77FC"/>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Titolo1">
    <w:name w:val="heading 1"/>
    <w:basedOn w:val="CETHeading1"/>
    <w:next w:val="Normale"/>
    <w:link w:val="Titolo1Carattere"/>
    <w:uiPriority w:val="9"/>
    <w:rsid w:val="004F5E36"/>
    <w:pPr>
      <w:tabs>
        <w:tab w:val="clear" w:pos="360"/>
        <w:tab w:val="right" w:pos="7100"/>
      </w:tabs>
      <w:jc w:val="both"/>
      <w:outlineLvl w:val="0"/>
    </w:pPr>
    <w:rPr>
      <w:lang w:val="en-GB"/>
    </w:rPr>
  </w:style>
  <w:style w:type="paragraph" w:styleId="Titolo2">
    <w:name w:val="heading 2"/>
    <w:basedOn w:val="Normale"/>
    <w:next w:val="Normale"/>
    <w:link w:val="Titolo2Carattere"/>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itolo9">
    <w:name w:val="heading 9"/>
    <w:basedOn w:val="Normale"/>
    <w:next w:val="Normale"/>
    <w:link w:val="Titolo9Carattere"/>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ellasemplice1">
    <w:name w:val="Table Simple 1"/>
    <w:basedOn w:val="Tabellanormale"/>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imandocommento">
    <w:name w:val="annotation reference"/>
    <w:basedOn w:val="Carpredefinitoparagrafo"/>
    <w:unhideWhenUsed/>
    <w:rsid w:val="004577FE"/>
    <w:rPr>
      <w:sz w:val="16"/>
      <w:szCs w:val="16"/>
    </w:rPr>
  </w:style>
  <w:style w:type="paragraph" w:styleId="Testofumetto">
    <w:name w:val="Balloon Text"/>
    <w:basedOn w:val="Normale"/>
    <w:link w:val="TestofumettoCarattere"/>
    <w:uiPriority w:val="99"/>
    <w:semiHidden/>
    <w:unhideWhenUsed/>
    <w:rsid w:val="000D34BE"/>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34BE"/>
    <w:rPr>
      <w:rFonts w:ascii="Tahoma" w:hAnsi="Tahoma" w:cs="Tahoma"/>
      <w:sz w:val="16"/>
      <w:szCs w:val="16"/>
    </w:rPr>
  </w:style>
  <w:style w:type="paragraph" w:styleId="Bibliografia">
    <w:name w:val="Bibliography"/>
    <w:basedOn w:val="CETReferencetext"/>
    <w:uiPriority w:val="37"/>
    <w:unhideWhenUsed/>
    <w:rsid w:val="00631B33"/>
    <w:pPr>
      <w:spacing w:line="240" w:lineRule="auto"/>
      <w:ind w:left="720" w:hanging="720"/>
    </w:pPr>
  </w:style>
  <w:style w:type="paragraph" w:styleId="Corpodeltesto2">
    <w:name w:val="Body Text 2"/>
    <w:basedOn w:val="Normale"/>
    <w:link w:val="Corpodeltesto2Carattere"/>
    <w:uiPriority w:val="99"/>
    <w:semiHidden/>
    <w:unhideWhenUsed/>
    <w:rsid w:val="0003148D"/>
    <w:pPr>
      <w:spacing w:after="120" w:line="480" w:lineRule="auto"/>
    </w:pPr>
  </w:style>
  <w:style w:type="character" w:customStyle="1" w:styleId="Corpodeltesto2Carattere">
    <w:name w:val="Corpo del testo 2 Carattere"/>
    <w:basedOn w:val="Carpredefinitoparagrafo"/>
    <w:link w:val="Corpodeltesto2"/>
    <w:uiPriority w:val="99"/>
    <w:semiHidden/>
    <w:rsid w:val="0003148D"/>
  </w:style>
  <w:style w:type="paragraph" w:styleId="Corpodeltesto3">
    <w:name w:val="Body Text 3"/>
    <w:basedOn w:val="Normale"/>
    <w:link w:val="Corpodeltesto3Carattere"/>
    <w:uiPriority w:val="99"/>
    <w:semiHidden/>
    <w:unhideWhenUsed/>
    <w:rsid w:val="0003148D"/>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03148D"/>
    <w:rPr>
      <w:sz w:val="16"/>
      <w:szCs w:val="16"/>
    </w:rPr>
  </w:style>
  <w:style w:type="paragraph" w:styleId="Corpotesto">
    <w:name w:val="Body Text"/>
    <w:basedOn w:val="Normale"/>
    <w:link w:val="CorpotestoCarattere"/>
    <w:uiPriority w:val="99"/>
    <w:semiHidden/>
    <w:unhideWhenUsed/>
    <w:rsid w:val="0003148D"/>
    <w:pPr>
      <w:spacing w:after="120"/>
    </w:pPr>
  </w:style>
  <w:style w:type="character" w:customStyle="1" w:styleId="CorpotestoCarattere">
    <w:name w:val="Corpo testo Carattere"/>
    <w:basedOn w:val="Carpredefinitoparagrafo"/>
    <w:link w:val="Corpotesto"/>
    <w:uiPriority w:val="99"/>
    <w:semiHidden/>
    <w:rsid w:val="0003148D"/>
  </w:style>
  <w:style w:type="paragraph" w:styleId="Data">
    <w:name w:val="Date"/>
    <w:basedOn w:val="Normale"/>
    <w:next w:val="Normale"/>
    <w:link w:val="DataCarattere"/>
    <w:uiPriority w:val="99"/>
    <w:semiHidden/>
    <w:unhideWhenUsed/>
    <w:rsid w:val="0003148D"/>
  </w:style>
  <w:style w:type="character" w:customStyle="1" w:styleId="DataCarattere">
    <w:name w:val="Data Carattere"/>
    <w:basedOn w:val="Carpredefinitoparagrafo"/>
    <w:link w:val="Data"/>
    <w:uiPriority w:val="99"/>
    <w:semiHidden/>
    <w:rsid w:val="0003148D"/>
  </w:style>
  <w:style w:type="paragraph" w:styleId="Didascalia">
    <w:name w:val="caption"/>
    <w:basedOn w:val="Normale"/>
    <w:next w:val="Normale"/>
    <w:uiPriority w:val="35"/>
    <w:semiHidden/>
    <w:unhideWhenUsed/>
    <w:qFormat/>
    <w:rsid w:val="0003148D"/>
    <w:pPr>
      <w:spacing w:line="240" w:lineRule="auto"/>
    </w:pPr>
    <w:rPr>
      <w:b/>
      <w:bCs/>
      <w:color w:val="4F81BD" w:themeColor="accent1"/>
      <w:szCs w:val="18"/>
    </w:rPr>
  </w:style>
  <w:style w:type="paragraph" w:styleId="Elenco">
    <w:name w:val="List"/>
    <w:basedOn w:val="Normale"/>
    <w:uiPriority w:val="99"/>
    <w:semiHidden/>
    <w:unhideWhenUsed/>
    <w:rsid w:val="0003148D"/>
    <w:pPr>
      <w:ind w:left="283" w:hanging="283"/>
      <w:contextualSpacing/>
    </w:pPr>
  </w:style>
  <w:style w:type="paragraph" w:styleId="Elenco2">
    <w:name w:val="List 2"/>
    <w:basedOn w:val="Normale"/>
    <w:uiPriority w:val="99"/>
    <w:semiHidden/>
    <w:unhideWhenUsed/>
    <w:rsid w:val="0003148D"/>
    <w:pPr>
      <w:ind w:left="566" w:hanging="283"/>
      <w:contextualSpacing/>
    </w:pPr>
  </w:style>
  <w:style w:type="paragraph" w:styleId="Elenco3">
    <w:name w:val="List 3"/>
    <w:basedOn w:val="Normale"/>
    <w:uiPriority w:val="99"/>
    <w:semiHidden/>
    <w:unhideWhenUsed/>
    <w:rsid w:val="0003148D"/>
    <w:pPr>
      <w:ind w:left="849" w:hanging="283"/>
      <w:contextualSpacing/>
    </w:pPr>
  </w:style>
  <w:style w:type="paragraph" w:styleId="Elenco4">
    <w:name w:val="List 4"/>
    <w:basedOn w:val="Normale"/>
    <w:uiPriority w:val="99"/>
    <w:semiHidden/>
    <w:unhideWhenUsed/>
    <w:rsid w:val="0003148D"/>
    <w:pPr>
      <w:ind w:left="1132" w:hanging="283"/>
      <w:contextualSpacing/>
    </w:pPr>
  </w:style>
  <w:style w:type="paragraph" w:styleId="Elenco5">
    <w:name w:val="List 5"/>
    <w:basedOn w:val="Normale"/>
    <w:uiPriority w:val="99"/>
    <w:semiHidden/>
    <w:unhideWhenUsed/>
    <w:rsid w:val="0003148D"/>
    <w:pPr>
      <w:ind w:left="1415" w:hanging="283"/>
      <w:contextualSpacing/>
    </w:pPr>
  </w:style>
  <w:style w:type="paragraph" w:styleId="Elencocontinua">
    <w:name w:val="List Continue"/>
    <w:basedOn w:val="Normale"/>
    <w:uiPriority w:val="99"/>
    <w:semiHidden/>
    <w:unhideWhenUsed/>
    <w:rsid w:val="0003148D"/>
    <w:pPr>
      <w:spacing w:after="120"/>
      <w:ind w:left="283"/>
      <w:contextualSpacing/>
    </w:pPr>
  </w:style>
  <w:style w:type="paragraph" w:styleId="Elencocontinua2">
    <w:name w:val="List Continue 2"/>
    <w:basedOn w:val="Normale"/>
    <w:uiPriority w:val="99"/>
    <w:semiHidden/>
    <w:unhideWhenUsed/>
    <w:rsid w:val="0003148D"/>
    <w:pPr>
      <w:spacing w:after="120"/>
      <w:ind w:left="566"/>
      <w:contextualSpacing/>
    </w:pPr>
  </w:style>
  <w:style w:type="paragraph" w:styleId="Elencocontinua3">
    <w:name w:val="List Continue 3"/>
    <w:basedOn w:val="Normale"/>
    <w:uiPriority w:val="99"/>
    <w:semiHidden/>
    <w:unhideWhenUsed/>
    <w:rsid w:val="0003148D"/>
    <w:pPr>
      <w:spacing w:after="120"/>
      <w:ind w:left="849"/>
      <w:contextualSpacing/>
    </w:pPr>
  </w:style>
  <w:style w:type="paragraph" w:styleId="Elencocontinua4">
    <w:name w:val="List Continue 4"/>
    <w:basedOn w:val="Normale"/>
    <w:uiPriority w:val="99"/>
    <w:semiHidden/>
    <w:unhideWhenUsed/>
    <w:rsid w:val="0003148D"/>
    <w:pPr>
      <w:spacing w:after="120"/>
      <w:ind w:left="1132"/>
      <w:contextualSpacing/>
    </w:pPr>
  </w:style>
  <w:style w:type="paragraph" w:styleId="Elencocontinua5">
    <w:name w:val="List Continue 5"/>
    <w:basedOn w:val="Normale"/>
    <w:uiPriority w:val="99"/>
    <w:semiHidden/>
    <w:unhideWhenUsed/>
    <w:rsid w:val="0003148D"/>
    <w:pPr>
      <w:spacing w:after="120"/>
      <w:ind w:left="1415"/>
      <w:contextualSpacing/>
    </w:pPr>
  </w:style>
  <w:style w:type="paragraph" w:styleId="Firma">
    <w:name w:val="Signature"/>
    <w:basedOn w:val="Normale"/>
    <w:link w:val="FirmaCarattere"/>
    <w:uiPriority w:val="99"/>
    <w:semiHidden/>
    <w:unhideWhenUsed/>
    <w:rsid w:val="0003148D"/>
    <w:pPr>
      <w:spacing w:line="240" w:lineRule="auto"/>
      <w:ind w:left="4252"/>
    </w:pPr>
  </w:style>
  <w:style w:type="character" w:customStyle="1" w:styleId="FirmaCarattere">
    <w:name w:val="Firma Carattere"/>
    <w:basedOn w:val="Carpredefinitoparagrafo"/>
    <w:link w:val="Firma"/>
    <w:uiPriority w:val="99"/>
    <w:semiHidden/>
    <w:rsid w:val="0003148D"/>
  </w:style>
  <w:style w:type="paragraph" w:styleId="Firmadipostaelettronica">
    <w:name w:val="E-mail Signature"/>
    <w:basedOn w:val="Normale"/>
    <w:link w:val="FirmadipostaelettronicaCarattere"/>
    <w:uiPriority w:val="99"/>
    <w:semiHidden/>
    <w:unhideWhenUsed/>
    <w:rsid w:val="0003148D"/>
    <w:pPr>
      <w:spacing w:line="240" w:lineRule="auto"/>
    </w:pPr>
  </w:style>
  <w:style w:type="character" w:customStyle="1" w:styleId="FirmadipostaelettronicaCarattere">
    <w:name w:val="Firma di posta elettronica Carattere"/>
    <w:basedOn w:val="Carpredefinitoparagrafo"/>
    <w:link w:val="Firmadipostaelettronica"/>
    <w:uiPriority w:val="99"/>
    <w:semiHidden/>
    <w:rsid w:val="0003148D"/>
  </w:style>
  <w:style w:type="paragraph" w:styleId="Formuladiapertura">
    <w:name w:val="Salutation"/>
    <w:basedOn w:val="Normale"/>
    <w:next w:val="Normale"/>
    <w:link w:val="FormuladiaperturaCarattere"/>
    <w:uiPriority w:val="99"/>
    <w:semiHidden/>
    <w:unhideWhenUsed/>
    <w:rsid w:val="0003148D"/>
  </w:style>
  <w:style w:type="character" w:customStyle="1" w:styleId="FormuladiaperturaCarattere">
    <w:name w:val="Formula di apertura Carattere"/>
    <w:basedOn w:val="Carpredefinitoparagrafo"/>
    <w:link w:val="Formuladiapertura"/>
    <w:uiPriority w:val="99"/>
    <w:semiHidden/>
    <w:rsid w:val="0003148D"/>
  </w:style>
  <w:style w:type="paragraph" w:styleId="Formuladichiusura">
    <w:name w:val="Closing"/>
    <w:basedOn w:val="Normale"/>
    <w:link w:val="FormuladichiusuraCarattere"/>
    <w:uiPriority w:val="99"/>
    <w:semiHidden/>
    <w:unhideWhenUsed/>
    <w:rsid w:val="0003148D"/>
    <w:pPr>
      <w:spacing w:line="240" w:lineRule="auto"/>
      <w:ind w:left="4252"/>
    </w:pPr>
  </w:style>
  <w:style w:type="character" w:customStyle="1" w:styleId="FormuladichiusuraCarattere">
    <w:name w:val="Formula di chiusura Carattere"/>
    <w:basedOn w:val="Carpredefinitoparagrafo"/>
    <w:link w:val="Formuladichiusura"/>
    <w:uiPriority w:val="99"/>
    <w:semiHidden/>
    <w:rsid w:val="0003148D"/>
  </w:style>
  <w:style w:type="paragraph" w:styleId="Indice1">
    <w:name w:val="index 1"/>
    <w:basedOn w:val="Normale"/>
    <w:next w:val="Normale"/>
    <w:autoRedefine/>
    <w:uiPriority w:val="99"/>
    <w:semiHidden/>
    <w:unhideWhenUsed/>
    <w:rsid w:val="0003148D"/>
    <w:pPr>
      <w:spacing w:line="240" w:lineRule="auto"/>
      <w:ind w:left="220" w:hanging="220"/>
    </w:pPr>
  </w:style>
  <w:style w:type="paragraph" w:styleId="Indice2">
    <w:name w:val="index 2"/>
    <w:basedOn w:val="Normale"/>
    <w:next w:val="Normale"/>
    <w:autoRedefine/>
    <w:uiPriority w:val="99"/>
    <w:semiHidden/>
    <w:unhideWhenUsed/>
    <w:rsid w:val="0003148D"/>
    <w:pPr>
      <w:spacing w:line="240" w:lineRule="auto"/>
      <w:ind w:left="440" w:hanging="220"/>
    </w:pPr>
  </w:style>
  <w:style w:type="paragraph" w:styleId="Indice3">
    <w:name w:val="index 3"/>
    <w:basedOn w:val="Normale"/>
    <w:next w:val="Normale"/>
    <w:autoRedefine/>
    <w:uiPriority w:val="99"/>
    <w:semiHidden/>
    <w:unhideWhenUsed/>
    <w:rsid w:val="0003148D"/>
    <w:pPr>
      <w:spacing w:line="240" w:lineRule="auto"/>
      <w:ind w:left="660" w:hanging="220"/>
    </w:pPr>
  </w:style>
  <w:style w:type="paragraph" w:styleId="Indice4">
    <w:name w:val="index 4"/>
    <w:basedOn w:val="Normale"/>
    <w:next w:val="Normale"/>
    <w:autoRedefine/>
    <w:uiPriority w:val="99"/>
    <w:semiHidden/>
    <w:unhideWhenUsed/>
    <w:rsid w:val="0003148D"/>
    <w:pPr>
      <w:spacing w:line="240" w:lineRule="auto"/>
      <w:ind w:left="880" w:hanging="220"/>
    </w:pPr>
  </w:style>
  <w:style w:type="paragraph" w:styleId="Indice5">
    <w:name w:val="index 5"/>
    <w:basedOn w:val="Normale"/>
    <w:next w:val="Normale"/>
    <w:autoRedefine/>
    <w:uiPriority w:val="99"/>
    <w:semiHidden/>
    <w:unhideWhenUsed/>
    <w:rsid w:val="0003148D"/>
    <w:pPr>
      <w:spacing w:line="240" w:lineRule="auto"/>
      <w:ind w:left="1100" w:hanging="220"/>
    </w:pPr>
  </w:style>
  <w:style w:type="paragraph" w:styleId="Indice6">
    <w:name w:val="index 6"/>
    <w:basedOn w:val="Normale"/>
    <w:next w:val="Normale"/>
    <w:autoRedefine/>
    <w:uiPriority w:val="99"/>
    <w:semiHidden/>
    <w:unhideWhenUsed/>
    <w:rsid w:val="0003148D"/>
    <w:pPr>
      <w:spacing w:line="240" w:lineRule="auto"/>
      <w:ind w:left="1320" w:hanging="220"/>
    </w:pPr>
  </w:style>
  <w:style w:type="paragraph" w:styleId="Indice7">
    <w:name w:val="index 7"/>
    <w:basedOn w:val="Normale"/>
    <w:next w:val="Normale"/>
    <w:autoRedefine/>
    <w:uiPriority w:val="99"/>
    <w:semiHidden/>
    <w:unhideWhenUsed/>
    <w:rsid w:val="0003148D"/>
    <w:pPr>
      <w:spacing w:line="240" w:lineRule="auto"/>
      <w:ind w:left="1540" w:hanging="220"/>
    </w:pPr>
  </w:style>
  <w:style w:type="paragraph" w:styleId="Indice8">
    <w:name w:val="index 8"/>
    <w:basedOn w:val="Normale"/>
    <w:next w:val="Normale"/>
    <w:autoRedefine/>
    <w:uiPriority w:val="99"/>
    <w:semiHidden/>
    <w:unhideWhenUsed/>
    <w:rsid w:val="0003148D"/>
    <w:pPr>
      <w:spacing w:line="240" w:lineRule="auto"/>
      <w:ind w:left="1760" w:hanging="220"/>
    </w:pPr>
  </w:style>
  <w:style w:type="paragraph" w:styleId="Indice9">
    <w:name w:val="index 9"/>
    <w:basedOn w:val="Normale"/>
    <w:next w:val="Normale"/>
    <w:autoRedefine/>
    <w:uiPriority w:val="99"/>
    <w:semiHidden/>
    <w:unhideWhenUsed/>
    <w:rsid w:val="0003148D"/>
    <w:pPr>
      <w:spacing w:line="240" w:lineRule="auto"/>
      <w:ind w:left="1980" w:hanging="220"/>
    </w:pPr>
  </w:style>
  <w:style w:type="paragraph" w:styleId="Indicedellefigure">
    <w:name w:val="table of figures"/>
    <w:basedOn w:val="Normale"/>
    <w:next w:val="Normale"/>
    <w:uiPriority w:val="99"/>
    <w:semiHidden/>
    <w:unhideWhenUsed/>
    <w:rsid w:val="0003148D"/>
  </w:style>
  <w:style w:type="paragraph" w:styleId="Indicefonti">
    <w:name w:val="table of authorities"/>
    <w:basedOn w:val="Normale"/>
    <w:next w:val="Normale"/>
    <w:uiPriority w:val="99"/>
    <w:semiHidden/>
    <w:unhideWhenUsed/>
    <w:rsid w:val="0003148D"/>
    <w:pPr>
      <w:ind w:left="220" w:hanging="220"/>
    </w:pPr>
  </w:style>
  <w:style w:type="paragraph" w:styleId="Indirizzodestinatario">
    <w:name w:val="envelope address"/>
    <w:basedOn w:val="Normale"/>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IndirizzoHTML">
    <w:name w:val="HTML Address"/>
    <w:basedOn w:val="Normale"/>
    <w:link w:val="IndirizzoHTMLCarattere"/>
    <w:uiPriority w:val="99"/>
    <w:semiHidden/>
    <w:unhideWhenUsed/>
    <w:rsid w:val="0003148D"/>
    <w:pPr>
      <w:spacing w:line="240" w:lineRule="auto"/>
    </w:pPr>
    <w:rPr>
      <w:i/>
      <w:iCs/>
    </w:rPr>
  </w:style>
  <w:style w:type="character" w:customStyle="1" w:styleId="IndirizzoHTMLCarattere">
    <w:name w:val="Indirizzo HTML Carattere"/>
    <w:basedOn w:val="Carpredefinitoparagrafo"/>
    <w:link w:val="IndirizzoHTML"/>
    <w:uiPriority w:val="99"/>
    <w:semiHidden/>
    <w:rsid w:val="0003148D"/>
    <w:rPr>
      <w:i/>
      <w:iCs/>
    </w:rPr>
  </w:style>
  <w:style w:type="paragraph" w:styleId="Indirizzomittente">
    <w:name w:val="envelope return"/>
    <w:basedOn w:val="Normale"/>
    <w:uiPriority w:val="99"/>
    <w:semiHidden/>
    <w:unhideWhenUsed/>
    <w:rsid w:val="0003148D"/>
    <w:pPr>
      <w:spacing w:line="240" w:lineRule="auto"/>
    </w:pPr>
    <w:rPr>
      <w:rFonts w:asciiTheme="majorHAnsi" w:eastAsiaTheme="majorEastAsia" w:hAnsiTheme="majorHAnsi" w:cstheme="majorBidi"/>
    </w:rPr>
  </w:style>
  <w:style w:type="paragraph" w:styleId="Intestazionemessaggio">
    <w:name w:val="Message Header"/>
    <w:basedOn w:val="Normale"/>
    <w:link w:val="IntestazionemessaggioCarattere"/>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IntestazionemessaggioCarattere">
    <w:name w:val="Intestazione messaggio Carattere"/>
    <w:basedOn w:val="Carpredefinitoparagrafo"/>
    <w:link w:val="Intestazionemessaggio"/>
    <w:uiPriority w:val="99"/>
    <w:semiHidden/>
    <w:rsid w:val="0003148D"/>
    <w:rPr>
      <w:rFonts w:asciiTheme="majorHAnsi" w:eastAsiaTheme="majorEastAsia" w:hAnsiTheme="majorHAnsi" w:cstheme="majorBidi"/>
      <w:sz w:val="24"/>
      <w:szCs w:val="24"/>
      <w:shd w:val="pct20" w:color="auto" w:fill="auto"/>
    </w:rPr>
  </w:style>
  <w:style w:type="paragraph" w:styleId="Intestazionenota">
    <w:name w:val="Note Heading"/>
    <w:basedOn w:val="Normale"/>
    <w:next w:val="Normale"/>
    <w:link w:val="IntestazionenotaCarattere"/>
    <w:uiPriority w:val="99"/>
    <w:semiHidden/>
    <w:unhideWhenUsed/>
    <w:rsid w:val="0003148D"/>
    <w:pPr>
      <w:spacing w:line="240" w:lineRule="auto"/>
    </w:pPr>
  </w:style>
  <w:style w:type="character" w:customStyle="1" w:styleId="IntestazionenotaCarattere">
    <w:name w:val="Intestazione nota Carattere"/>
    <w:basedOn w:val="Carpredefinitoparagrafo"/>
    <w:link w:val="Intestazionenota"/>
    <w:uiPriority w:val="99"/>
    <w:semiHidden/>
    <w:rsid w:val="0003148D"/>
  </w:style>
  <w:style w:type="paragraph" w:styleId="Mappadocumento">
    <w:name w:val="Document Map"/>
    <w:basedOn w:val="Normale"/>
    <w:link w:val="MappadocumentoCarattere"/>
    <w:uiPriority w:val="99"/>
    <w:semiHidden/>
    <w:unhideWhenUsed/>
    <w:rsid w:val="0003148D"/>
    <w:pPr>
      <w:spacing w:line="240" w:lineRule="auto"/>
    </w:pPr>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03148D"/>
    <w:rPr>
      <w:rFonts w:ascii="Tahoma" w:hAnsi="Tahoma" w:cs="Tahoma"/>
      <w:sz w:val="16"/>
      <w:szCs w:val="16"/>
    </w:rPr>
  </w:style>
  <w:style w:type="paragraph" w:styleId="NormaleWeb">
    <w:name w:val="Normal (Web)"/>
    <w:basedOn w:val="Normale"/>
    <w:uiPriority w:val="99"/>
    <w:semiHidden/>
    <w:unhideWhenUsed/>
    <w:rsid w:val="0003148D"/>
    <w:rPr>
      <w:sz w:val="24"/>
      <w:szCs w:val="24"/>
    </w:rPr>
  </w:style>
  <w:style w:type="paragraph" w:styleId="Numeroelenco">
    <w:name w:val="List Number"/>
    <w:basedOn w:val="Normale"/>
    <w:uiPriority w:val="99"/>
    <w:semiHidden/>
    <w:unhideWhenUsed/>
    <w:rsid w:val="0003148D"/>
    <w:pPr>
      <w:numPr>
        <w:numId w:val="2"/>
      </w:numPr>
      <w:contextualSpacing/>
    </w:pPr>
  </w:style>
  <w:style w:type="paragraph" w:styleId="Numeroelenco2">
    <w:name w:val="List Number 2"/>
    <w:basedOn w:val="Normale"/>
    <w:uiPriority w:val="99"/>
    <w:semiHidden/>
    <w:unhideWhenUsed/>
    <w:rsid w:val="0003148D"/>
    <w:pPr>
      <w:numPr>
        <w:numId w:val="3"/>
      </w:numPr>
      <w:contextualSpacing/>
    </w:pPr>
  </w:style>
  <w:style w:type="paragraph" w:styleId="Numeroelenco3">
    <w:name w:val="List Number 3"/>
    <w:basedOn w:val="Normale"/>
    <w:uiPriority w:val="99"/>
    <w:semiHidden/>
    <w:unhideWhenUsed/>
    <w:rsid w:val="0003148D"/>
    <w:pPr>
      <w:numPr>
        <w:numId w:val="4"/>
      </w:numPr>
      <w:contextualSpacing/>
    </w:pPr>
  </w:style>
  <w:style w:type="paragraph" w:styleId="Numeroelenco4">
    <w:name w:val="List Number 4"/>
    <w:basedOn w:val="Normale"/>
    <w:uiPriority w:val="99"/>
    <w:semiHidden/>
    <w:unhideWhenUsed/>
    <w:rsid w:val="0003148D"/>
    <w:pPr>
      <w:numPr>
        <w:numId w:val="5"/>
      </w:numPr>
      <w:contextualSpacing/>
    </w:pPr>
  </w:style>
  <w:style w:type="paragraph" w:styleId="Numeroelenco5">
    <w:name w:val="List Number 5"/>
    <w:basedOn w:val="Normale"/>
    <w:uiPriority w:val="99"/>
    <w:semiHidden/>
    <w:unhideWhenUsed/>
    <w:rsid w:val="0003148D"/>
    <w:pPr>
      <w:numPr>
        <w:numId w:val="6"/>
      </w:numPr>
      <w:contextualSpacing/>
    </w:pPr>
  </w:style>
  <w:style w:type="paragraph" w:styleId="PreformattatoHTML">
    <w:name w:val="HTML Preformatted"/>
    <w:basedOn w:val="Normale"/>
    <w:link w:val="PreformattatoHTMLCarattere"/>
    <w:uiPriority w:val="99"/>
    <w:semiHidden/>
    <w:unhideWhenUsed/>
    <w:rsid w:val="0003148D"/>
    <w:pPr>
      <w:spacing w:line="240" w:lineRule="auto"/>
    </w:pPr>
    <w:rPr>
      <w:rFonts w:ascii="Consolas" w:hAnsi="Consolas" w:cs="Consolas"/>
    </w:rPr>
  </w:style>
  <w:style w:type="character" w:customStyle="1" w:styleId="PreformattatoHTMLCarattere">
    <w:name w:val="Preformattato HTML Carattere"/>
    <w:basedOn w:val="Carpredefinitoparagrafo"/>
    <w:link w:val="PreformattatoHTML"/>
    <w:uiPriority w:val="99"/>
    <w:semiHidden/>
    <w:rsid w:val="0003148D"/>
    <w:rPr>
      <w:rFonts w:ascii="Consolas" w:hAnsi="Consolas" w:cs="Consolas"/>
      <w:sz w:val="20"/>
      <w:szCs w:val="20"/>
    </w:rPr>
  </w:style>
  <w:style w:type="paragraph" w:styleId="Primorientrocorpodeltesto">
    <w:name w:val="Body Text First Indent"/>
    <w:basedOn w:val="Corpotesto"/>
    <w:link w:val="PrimorientrocorpodeltestoCarattere"/>
    <w:uiPriority w:val="99"/>
    <w:semiHidden/>
    <w:unhideWhenUsed/>
    <w:rsid w:val="0003148D"/>
    <w:pPr>
      <w:spacing w:after="200"/>
      <w:ind w:firstLine="360"/>
    </w:pPr>
  </w:style>
  <w:style w:type="character" w:customStyle="1" w:styleId="PrimorientrocorpodeltestoCarattere">
    <w:name w:val="Primo rientro corpo del testo Carattere"/>
    <w:basedOn w:val="CorpotestoCarattere"/>
    <w:link w:val="Primorientrocorpodeltesto"/>
    <w:uiPriority w:val="99"/>
    <w:semiHidden/>
    <w:rsid w:val="0003148D"/>
  </w:style>
  <w:style w:type="paragraph" w:styleId="Rientrocorpodeltesto">
    <w:name w:val="Body Text Indent"/>
    <w:basedOn w:val="Normale"/>
    <w:link w:val="RientrocorpodeltestoCarattere"/>
    <w:uiPriority w:val="99"/>
    <w:semiHidden/>
    <w:unhideWhenUsed/>
    <w:rsid w:val="0003148D"/>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03148D"/>
  </w:style>
  <w:style w:type="paragraph" w:styleId="Primorientrocorpodeltesto2">
    <w:name w:val="Body Text First Indent 2"/>
    <w:basedOn w:val="Rientrocorpodeltesto"/>
    <w:link w:val="Primorientrocorpodeltesto2Carattere"/>
    <w:uiPriority w:val="99"/>
    <w:semiHidden/>
    <w:unhideWhenUsed/>
    <w:rsid w:val="0003148D"/>
    <w:pPr>
      <w:spacing w:after="200"/>
      <w:ind w:left="360" w:firstLine="360"/>
    </w:pPr>
  </w:style>
  <w:style w:type="character" w:customStyle="1" w:styleId="Primorientrocorpodeltesto2Carattere">
    <w:name w:val="Primo rientro corpo del testo 2 Carattere"/>
    <w:basedOn w:val="RientrocorpodeltestoCarattere"/>
    <w:link w:val="Primorientrocorpodeltesto2"/>
    <w:uiPriority w:val="99"/>
    <w:semiHidden/>
    <w:rsid w:val="0003148D"/>
  </w:style>
  <w:style w:type="paragraph" w:styleId="Puntoelenco">
    <w:name w:val="List Bullet"/>
    <w:basedOn w:val="Normale"/>
    <w:uiPriority w:val="99"/>
    <w:semiHidden/>
    <w:unhideWhenUsed/>
    <w:rsid w:val="0003148D"/>
    <w:pPr>
      <w:numPr>
        <w:numId w:val="7"/>
      </w:numPr>
      <w:contextualSpacing/>
    </w:pPr>
  </w:style>
  <w:style w:type="paragraph" w:styleId="Puntoelenco2">
    <w:name w:val="List Bullet 2"/>
    <w:basedOn w:val="Normale"/>
    <w:uiPriority w:val="99"/>
    <w:semiHidden/>
    <w:unhideWhenUsed/>
    <w:rsid w:val="0003148D"/>
    <w:pPr>
      <w:numPr>
        <w:numId w:val="8"/>
      </w:numPr>
      <w:contextualSpacing/>
    </w:pPr>
  </w:style>
  <w:style w:type="paragraph" w:styleId="Puntoelenco3">
    <w:name w:val="List Bullet 3"/>
    <w:basedOn w:val="Normale"/>
    <w:uiPriority w:val="99"/>
    <w:semiHidden/>
    <w:unhideWhenUsed/>
    <w:rsid w:val="0003148D"/>
    <w:pPr>
      <w:numPr>
        <w:numId w:val="9"/>
      </w:numPr>
      <w:contextualSpacing/>
    </w:pPr>
  </w:style>
  <w:style w:type="paragraph" w:styleId="Puntoelenco4">
    <w:name w:val="List Bullet 4"/>
    <w:basedOn w:val="Normale"/>
    <w:uiPriority w:val="99"/>
    <w:semiHidden/>
    <w:unhideWhenUsed/>
    <w:rsid w:val="0003148D"/>
    <w:pPr>
      <w:numPr>
        <w:numId w:val="10"/>
      </w:numPr>
      <w:contextualSpacing/>
    </w:pPr>
  </w:style>
  <w:style w:type="paragraph" w:styleId="Puntoelenco5">
    <w:name w:val="List Bullet 5"/>
    <w:basedOn w:val="Normale"/>
    <w:uiPriority w:val="99"/>
    <w:semiHidden/>
    <w:unhideWhenUsed/>
    <w:rsid w:val="0003148D"/>
    <w:pPr>
      <w:numPr>
        <w:numId w:val="11"/>
      </w:numPr>
      <w:contextualSpacing/>
    </w:pPr>
  </w:style>
  <w:style w:type="paragraph" w:styleId="Rientrocorpodeltesto2">
    <w:name w:val="Body Text Indent 2"/>
    <w:basedOn w:val="Normale"/>
    <w:link w:val="Rientrocorpodeltesto2Carattere"/>
    <w:uiPriority w:val="99"/>
    <w:semiHidden/>
    <w:unhideWhenUsed/>
    <w:rsid w:val="0003148D"/>
    <w:pPr>
      <w:spacing w:after="120" w:line="480" w:lineRule="auto"/>
      <w:ind w:left="283"/>
    </w:pPr>
  </w:style>
  <w:style w:type="character" w:customStyle="1" w:styleId="Rientrocorpodeltesto2Carattere">
    <w:name w:val="Rientro corpo del testo 2 Carattere"/>
    <w:basedOn w:val="Carpredefinitoparagrafo"/>
    <w:link w:val="Rientrocorpodeltesto2"/>
    <w:uiPriority w:val="99"/>
    <w:semiHidden/>
    <w:rsid w:val="0003148D"/>
  </w:style>
  <w:style w:type="paragraph" w:styleId="Rientrocorpodeltesto3">
    <w:name w:val="Body Text Indent 3"/>
    <w:basedOn w:val="Normale"/>
    <w:link w:val="Rientrocorpodeltesto3Carattere"/>
    <w:uiPriority w:val="99"/>
    <w:semiHidden/>
    <w:unhideWhenUsed/>
    <w:rsid w:val="0003148D"/>
    <w:pPr>
      <w:spacing w:after="120"/>
      <w:ind w:left="283"/>
    </w:pPr>
    <w:rPr>
      <w:sz w:val="16"/>
      <w:szCs w:val="16"/>
    </w:rPr>
  </w:style>
  <w:style w:type="character" w:customStyle="1" w:styleId="Rientrocorpodeltesto3Carattere">
    <w:name w:val="Rientro corpo del testo 3 Carattere"/>
    <w:basedOn w:val="Carpredefinitoparagrafo"/>
    <w:link w:val="Rientrocorpodeltesto3"/>
    <w:uiPriority w:val="99"/>
    <w:semiHidden/>
    <w:rsid w:val="0003148D"/>
    <w:rPr>
      <w:sz w:val="16"/>
      <w:szCs w:val="16"/>
    </w:rPr>
  </w:style>
  <w:style w:type="paragraph" w:styleId="Rientronormale">
    <w:name w:val="Normal Indent"/>
    <w:basedOn w:val="Normale"/>
    <w:uiPriority w:val="99"/>
    <w:semiHidden/>
    <w:unhideWhenUsed/>
    <w:rsid w:val="0003148D"/>
    <w:pPr>
      <w:ind w:left="720"/>
    </w:pPr>
  </w:style>
  <w:style w:type="paragraph" w:styleId="Testocommento">
    <w:name w:val="annotation text"/>
    <w:basedOn w:val="Normale"/>
    <w:link w:val="TestocommentoCarattere"/>
    <w:uiPriority w:val="1"/>
    <w:unhideWhenUsed/>
    <w:rsid w:val="0003148D"/>
    <w:pPr>
      <w:spacing w:line="240" w:lineRule="auto"/>
    </w:pPr>
  </w:style>
  <w:style w:type="character" w:customStyle="1" w:styleId="TestocommentoCarattere">
    <w:name w:val="Testo commento Carattere"/>
    <w:basedOn w:val="Carpredefinitoparagrafo"/>
    <w:link w:val="Testocommento"/>
    <w:uiPriority w:val="1"/>
    <w:rsid w:val="0003148D"/>
    <w:rPr>
      <w:sz w:val="20"/>
      <w:szCs w:val="20"/>
    </w:rPr>
  </w:style>
  <w:style w:type="paragraph" w:styleId="Soggettocommento">
    <w:name w:val="annotation subject"/>
    <w:basedOn w:val="Testocommento"/>
    <w:next w:val="Testocommento"/>
    <w:link w:val="SoggettocommentoCarattere"/>
    <w:uiPriority w:val="99"/>
    <w:semiHidden/>
    <w:unhideWhenUsed/>
    <w:rsid w:val="0003148D"/>
    <w:rPr>
      <w:b/>
      <w:bCs/>
    </w:rPr>
  </w:style>
  <w:style w:type="character" w:customStyle="1" w:styleId="SoggettocommentoCarattere">
    <w:name w:val="Soggetto commento Carattere"/>
    <w:basedOn w:val="TestocommentoCarattere"/>
    <w:link w:val="Soggettocommento"/>
    <w:uiPriority w:val="99"/>
    <w:semiHidden/>
    <w:rsid w:val="0003148D"/>
    <w:rPr>
      <w:b/>
      <w:bCs/>
      <w:sz w:val="20"/>
      <w:szCs w:val="20"/>
    </w:rPr>
  </w:style>
  <w:style w:type="paragraph" w:styleId="Sommario1">
    <w:name w:val="toc 1"/>
    <w:basedOn w:val="Normale"/>
    <w:next w:val="Normale"/>
    <w:autoRedefine/>
    <w:uiPriority w:val="39"/>
    <w:semiHidden/>
    <w:unhideWhenUsed/>
    <w:rsid w:val="0003148D"/>
    <w:pPr>
      <w:spacing w:after="100"/>
    </w:pPr>
  </w:style>
  <w:style w:type="paragraph" w:styleId="Sommario2">
    <w:name w:val="toc 2"/>
    <w:basedOn w:val="Normale"/>
    <w:next w:val="Normale"/>
    <w:autoRedefine/>
    <w:uiPriority w:val="39"/>
    <w:semiHidden/>
    <w:unhideWhenUsed/>
    <w:rsid w:val="0003148D"/>
    <w:pPr>
      <w:spacing w:after="100"/>
      <w:ind w:left="220"/>
    </w:pPr>
  </w:style>
  <w:style w:type="paragraph" w:styleId="Sommario3">
    <w:name w:val="toc 3"/>
    <w:basedOn w:val="Normale"/>
    <w:next w:val="Normale"/>
    <w:autoRedefine/>
    <w:uiPriority w:val="39"/>
    <w:semiHidden/>
    <w:unhideWhenUsed/>
    <w:rsid w:val="0003148D"/>
    <w:pPr>
      <w:spacing w:after="100"/>
      <w:ind w:left="440"/>
    </w:pPr>
  </w:style>
  <w:style w:type="paragraph" w:styleId="Sommario4">
    <w:name w:val="toc 4"/>
    <w:basedOn w:val="Normale"/>
    <w:next w:val="Normale"/>
    <w:autoRedefine/>
    <w:uiPriority w:val="39"/>
    <w:semiHidden/>
    <w:unhideWhenUsed/>
    <w:rsid w:val="0003148D"/>
    <w:pPr>
      <w:spacing w:after="100"/>
      <w:ind w:left="660"/>
    </w:pPr>
  </w:style>
  <w:style w:type="paragraph" w:styleId="Sommario5">
    <w:name w:val="toc 5"/>
    <w:basedOn w:val="Normale"/>
    <w:next w:val="Normale"/>
    <w:autoRedefine/>
    <w:uiPriority w:val="39"/>
    <w:semiHidden/>
    <w:unhideWhenUsed/>
    <w:rsid w:val="0003148D"/>
    <w:pPr>
      <w:spacing w:after="100"/>
      <w:ind w:left="880"/>
    </w:pPr>
  </w:style>
  <w:style w:type="paragraph" w:styleId="Sommario6">
    <w:name w:val="toc 6"/>
    <w:basedOn w:val="Normale"/>
    <w:next w:val="Normale"/>
    <w:autoRedefine/>
    <w:uiPriority w:val="39"/>
    <w:semiHidden/>
    <w:unhideWhenUsed/>
    <w:rsid w:val="0003148D"/>
    <w:pPr>
      <w:spacing w:after="100"/>
      <w:ind w:left="1100"/>
    </w:pPr>
  </w:style>
  <w:style w:type="paragraph" w:styleId="Sommario7">
    <w:name w:val="toc 7"/>
    <w:basedOn w:val="Normale"/>
    <w:next w:val="Normale"/>
    <w:autoRedefine/>
    <w:uiPriority w:val="39"/>
    <w:semiHidden/>
    <w:unhideWhenUsed/>
    <w:rsid w:val="0003148D"/>
    <w:pPr>
      <w:spacing w:after="100"/>
      <w:ind w:left="1320"/>
    </w:pPr>
  </w:style>
  <w:style w:type="paragraph" w:styleId="Sommario8">
    <w:name w:val="toc 8"/>
    <w:basedOn w:val="Normale"/>
    <w:next w:val="Normale"/>
    <w:autoRedefine/>
    <w:uiPriority w:val="39"/>
    <w:semiHidden/>
    <w:unhideWhenUsed/>
    <w:rsid w:val="0003148D"/>
    <w:pPr>
      <w:spacing w:after="100"/>
      <w:ind w:left="1540"/>
    </w:pPr>
  </w:style>
  <w:style w:type="paragraph" w:styleId="Sommario9">
    <w:name w:val="toc 9"/>
    <w:basedOn w:val="Normale"/>
    <w:next w:val="Normale"/>
    <w:autoRedefine/>
    <w:uiPriority w:val="39"/>
    <w:semiHidden/>
    <w:unhideWhenUsed/>
    <w:rsid w:val="0003148D"/>
    <w:pPr>
      <w:spacing w:after="100"/>
      <w:ind w:left="1760"/>
    </w:pPr>
  </w:style>
  <w:style w:type="paragraph" w:styleId="Testodelblocco">
    <w:name w:val="Block Text"/>
    <w:basedOn w:val="Normale"/>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stomacro">
    <w:name w:val="macro"/>
    <w:link w:val="TestomacroCarattere"/>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stomacroCarattere">
    <w:name w:val="Testo macro Carattere"/>
    <w:basedOn w:val="Carpredefinitoparagrafo"/>
    <w:link w:val="Testomacro"/>
    <w:uiPriority w:val="99"/>
    <w:semiHidden/>
    <w:rsid w:val="0003148D"/>
    <w:rPr>
      <w:rFonts w:ascii="Consolas" w:hAnsi="Consolas" w:cs="Consolas"/>
      <w:sz w:val="20"/>
      <w:szCs w:val="20"/>
    </w:rPr>
  </w:style>
  <w:style w:type="paragraph" w:styleId="Testonormale">
    <w:name w:val="Plain Text"/>
    <w:basedOn w:val="Normale"/>
    <w:link w:val="TestonormaleCarattere"/>
    <w:uiPriority w:val="99"/>
    <w:semiHidden/>
    <w:unhideWhenUsed/>
    <w:rsid w:val="0003148D"/>
    <w:pPr>
      <w:spacing w:line="240" w:lineRule="auto"/>
    </w:pPr>
    <w:rPr>
      <w:rFonts w:ascii="Consolas" w:hAnsi="Consolas" w:cs="Consolas"/>
      <w:sz w:val="21"/>
      <w:szCs w:val="21"/>
    </w:rPr>
  </w:style>
  <w:style w:type="character" w:customStyle="1" w:styleId="TestonormaleCarattere">
    <w:name w:val="Testo normale Carattere"/>
    <w:basedOn w:val="Carpredefinitoparagrafo"/>
    <w:link w:val="Testonormale"/>
    <w:uiPriority w:val="99"/>
    <w:semiHidden/>
    <w:rsid w:val="0003148D"/>
    <w:rPr>
      <w:rFonts w:ascii="Consolas" w:hAnsi="Consolas" w:cs="Consolas"/>
      <w:sz w:val="21"/>
      <w:szCs w:val="21"/>
    </w:rPr>
  </w:style>
  <w:style w:type="paragraph" w:styleId="Testonotaapidipagina">
    <w:name w:val="footnote text"/>
    <w:basedOn w:val="Normale"/>
    <w:link w:val="TestonotaapidipaginaCarattere"/>
    <w:uiPriority w:val="99"/>
    <w:semiHidden/>
    <w:unhideWhenUsed/>
    <w:rsid w:val="0003148D"/>
    <w:pPr>
      <w:spacing w:line="240" w:lineRule="auto"/>
    </w:pPr>
  </w:style>
  <w:style w:type="character" w:customStyle="1" w:styleId="TestonotaapidipaginaCarattere">
    <w:name w:val="Testo nota a piè di pagina Carattere"/>
    <w:basedOn w:val="Carpredefinitoparagrafo"/>
    <w:link w:val="Testonotaapidipagina"/>
    <w:uiPriority w:val="99"/>
    <w:semiHidden/>
    <w:rsid w:val="0003148D"/>
    <w:rPr>
      <w:sz w:val="20"/>
      <w:szCs w:val="20"/>
    </w:rPr>
  </w:style>
  <w:style w:type="paragraph" w:styleId="Testonotadichiusura">
    <w:name w:val="endnote text"/>
    <w:basedOn w:val="Normale"/>
    <w:link w:val="TestonotadichiusuraCarattere"/>
    <w:uiPriority w:val="99"/>
    <w:semiHidden/>
    <w:unhideWhenUsed/>
    <w:rsid w:val="0003148D"/>
    <w:pPr>
      <w:spacing w:line="240" w:lineRule="auto"/>
    </w:pPr>
  </w:style>
  <w:style w:type="character" w:customStyle="1" w:styleId="TestonotadichiusuraCarattere">
    <w:name w:val="Testo nota di chiusura Carattere"/>
    <w:basedOn w:val="Carpredefinitoparagrafo"/>
    <w:link w:val="Testonotadichiusura"/>
    <w:uiPriority w:val="99"/>
    <w:semiHidden/>
    <w:rsid w:val="0003148D"/>
    <w:rPr>
      <w:sz w:val="20"/>
      <w:szCs w:val="20"/>
    </w:rPr>
  </w:style>
  <w:style w:type="character" w:customStyle="1" w:styleId="Titolo1Carattere">
    <w:name w:val="Titolo 1 Carattere"/>
    <w:basedOn w:val="Carpredefinitoparagrafo"/>
    <w:link w:val="Titolo1"/>
    <w:uiPriority w:val="9"/>
    <w:rsid w:val="004F5E36"/>
    <w:rPr>
      <w:rFonts w:ascii="Arial" w:eastAsia="Times New Roman" w:hAnsi="Arial" w:cs="Times New Roman"/>
      <w:b/>
      <w:sz w:val="20"/>
      <w:szCs w:val="20"/>
      <w:lang w:val="en-GB"/>
    </w:rPr>
  </w:style>
  <w:style w:type="character" w:customStyle="1" w:styleId="Titolo2Carattere">
    <w:name w:val="Titolo 2 Carattere"/>
    <w:basedOn w:val="Carpredefinitoparagrafo"/>
    <w:link w:val="Tito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semiHidden/>
    <w:rsid w:val="0003148D"/>
    <w:rPr>
      <w:rFonts w:asciiTheme="majorHAnsi" w:eastAsiaTheme="majorEastAsia" w:hAnsiTheme="majorHAnsi" w:cstheme="majorBidi"/>
      <w:b/>
      <w:bCs/>
      <w:color w:val="4F81BD" w:themeColor="accent1"/>
    </w:rPr>
  </w:style>
  <w:style w:type="character" w:customStyle="1" w:styleId="Titolo4Carattere">
    <w:name w:val="Titolo 4 Carattere"/>
    <w:basedOn w:val="Carpredefinitoparagrafo"/>
    <w:link w:val="Titolo4"/>
    <w:uiPriority w:val="9"/>
    <w:semiHidden/>
    <w:rsid w:val="0003148D"/>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03148D"/>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03148D"/>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03148D"/>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itolo9Carattere">
    <w:name w:val="Titolo 9 Carattere"/>
    <w:basedOn w:val="Carpredefinitoparagrafo"/>
    <w:link w:val="Titolo9"/>
    <w:uiPriority w:val="9"/>
    <w:semiHidden/>
    <w:rsid w:val="0003148D"/>
    <w:rPr>
      <w:rFonts w:asciiTheme="majorHAnsi" w:eastAsiaTheme="majorEastAsia" w:hAnsiTheme="majorHAnsi" w:cstheme="majorBidi"/>
      <w:i/>
      <w:iCs/>
      <w:color w:val="404040" w:themeColor="text1" w:themeTint="BF"/>
      <w:sz w:val="20"/>
      <w:szCs w:val="20"/>
    </w:rPr>
  </w:style>
  <w:style w:type="paragraph" w:styleId="Titoloindice">
    <w:name w:val="index heading"/>
    <w:basedOn w:val="Normale"/>
    <w:next w:val="Indice1"/>
    <w:uiPriority w:val="99"/>
    <w:semiHidden/>
    <w:unhideWhenUsed/>
    <w:rsid w:val="0003148D"/>
    <w:rPr>
      <w:rFonts w:asciiTheme="majorHAnsi" w:eastAsiaTheme="majorEastAsia" w:hAnsiTheme="majorHAnsi" w:cstheme="majorBidi"/>
      <w:b/>
      <w:bCs/>
    </w:rPr>
  </w:style>
  <w:style w:type="paragraph" w:styleId="Titoloindicefonti">
    <w:name w:val="toa heading"/>
    <w:basedOn w:val="Normale"/>
    <w:next w:val="Normale"/>
    <w:uiPriority w:val="99"/>
    <w:semiHidden/>
    <w:unhideWhenUsed/>
    <w:rsid w:val="0003148D"/>
    <w:pPr>
      <w:spacing w:before="120"/>
    </w:pPr>
    <w:rPr>
      <w:rFonts w:asciiTheme="majorHAnsi" w:eastAsiaTheme="majorEastAsia" w:hAnsiTheme="majorHAnsi" w:cstheme="majorBidi"/>
      <w:b/>
      <w:bCs/>
      <w:sz w:val="24"/>
      <w:szCs w:val="24"/>
    </w:rPr>
  </w:style>
  <w:style w:type="paragraph" w:styleId="Titolosommario">
    <w:name w:val="TOC Heading"/>
    <w:basedOn w:val="Titolo1"/>
    <w:next w:val="Normale"/>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Carpredefinitoparagrafo"/>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Intestazione">
    <w:name w:val="header"/>
    <w:basedOn w:val="Normale"/>
    <w:link w:val="IntestazioneCarattere"/>
    <w:uiPriority w:val="99"/>
    <w:unhideWhenUsed/>
    <w:rsid w:val="005278B7"/>
    <w:pPr>
      <w:tabs>
        <w:tab w:val="clear" w:pos="7100"/>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278B7"/>
    <w:rPr>
      <w:rFonts w:ascii="Arial" w:eastAsia="Times New Roman" w:hAnsi="Arial" w:cs="Times New Roman"/>
      <w:sz w:val="18"/>
      <w:szCs w:val="20"/>
      <w:lang w:val="en-GB"/>
    </w:rPr>
  </w:style>
  <w:style w:type="paragraph" w:styleId="Pidipagina">
    <w:name w:val="footer"/>
    <w:basedOn w:val="Normale"/>
    <w:link w:val="PidipaginaCarattere"/>
    <w:uiPriority w:val="99"/>
    <w:unhideWhenUsed/>
    <w:rsid w:val="005278B7"/>
    <w:pPr>
      <w:tabs>
        <w:tab w:val="clear" w:pos="7100"/>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278B7"/>
    <w:rPr>
      <w:rFonts w:ascii="Arial" w:eastAsia="Times New Roman" w:hAnsi="Arial" w:cs="Times New Roman"/>
      <w:sz w:val="18"/>
      <w:szCs w:val="20"/>
      <w:lang w:val="en-GB"/>
    </w:rPr>
  </w:style>
  <w:style w:type="table" w:styleId="Grigliatabella">
    <w:name w:val="Table Grid"/>
    <w:basedOn w:val="Tabellanormale"/>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04C62"/>
    <w:rPr>
      <w:color w:val="0000FF" w:themeColor="hyperlink"/>
      <w:u w:val="single"/>
    </w:rPr>
  </w:style>
  <w:style w:type="character" w:customStyle="1" w:styleId="eudoraheader">
    <w:name w:val="eudoraheader"/>
    <w:basedOn w:val="Carpredefinitoparagrafo"/>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Paragrafoelenco">
    <w:name w:val="List Paragraph"/>
    <w:basedOn w:val="Normale"/>
    <w:uiPriority w:val="34"/>
    <w:rsid w:val="00280FAF"/>
    <w:pPr>
      <w:ind w:left="720"/>
      <w:contextualSpacing/>
    </w:pPr>
  </w:style>
  <w:style w:type="character" w:customStyle="1" w:styleId="gmail-apple-converted-space">
    <w:name w:val="gmail-apple-converted-space"/>
    <w:basedOn w:val="Carpredefinitoparagrafo"/>
    <w:rsid w:val="00005A19"/>
  </w:style>
  <w:style w:type="character" w:styleId="Menzionenonrisolta">
    <w:name w:val="Unresolved Mention"/>
    <w:basedOn w:val="Carpredefinitoparagrafo"/>
    <w:uiPriority w:val="99"/>
    <w:semiHidden/>
    <w:unhideWhenUsed/>
    <w:rsid w:val="009825A1"/>
    <w:rPr>
      <w:color w:val="605E5C"/>
      <w:shd w:val="clear" w:color="auto" w:fill="E1DFDD"/>
    </w:rPr>
  </w:style>
  <w:style w:type="paragraph" w:styleId="Titolo">
    <w:name w:val="Title"/>
    <w:basedOn w:val="Normale"/>
    <w:next w:val="Normale"/>
    <w:link w:val="TitoloCarattere"/>
    <w:qFormat/>
    <w:rsid w:val="003C02E7"/>
    <w:pPr>
      <w:tabs>
        <w:tab w:val="clear" w:pos="7100"/>
      </w:tabs>
      <w:spacing w:before="600" w:after="400" w:line="240" w:lineRule="auto"/>
      <w:ind w:right="-436"/>
      <w:jc w:val="center"/>
    </w:pPr>
    <w:rPr>
      <w:rFonts w:ascii="Calibri" w:hAnsi="Calibri" w:cs="Calibri"/>
      <w:b/>
      <w:bCs/>
      <w:color w:val="404040"/>
      <w:sz w:val="40"/>
      <w:szCs w:val="40"/>
    </w:rPr>
  </w:style>
  <w:style w:type="character" w:customStyle="1" w:styleId="TitoloCarattere">
    <w:name w:val="Titolo Carattere"/>
    <w:basedOn w:val="Carpredefinitoparagrafo"/>
    <w:link w:val="Titolo"/>
    <w:rsid w:val="003C02E7"/>
    <w:rPr>
      <w:rFonts w:ascii="Calibri" w:eastAsia="Times New Roman" w:hAnsi="Calibri" w:cs="Calibri"/>
      <w:b/>
      <w:bCs/>
      <w:color w:val="404040"/>
      <w:sz w:val="40"/>
      <w:szCs w:val="40"/>
      <w:lang w:val="en-GB"/>
    </w:rPr>
  </w:style>
  <w:style w:type="character" w:styleId="Enfasicorsivo">
    <w:name w:val="Emphasis"/>
    <w:basedOn w:val="Carpredefinitoparagrafo"/>
    <w:uiPriority w:val="20"/>
    <w:qFormat/>
    <w:rsid w:val="003C02E7"/>
    <w:rPr>
      <w:i/>
      <w:iCs/>
    </w:rPr>
  </w:style>
  <w:style w:type="paragraph" w:customStyle="1" w:styleId="pdq2pgselectionanchorcontainer">
    <w:name w:val="pdq2pg_selectionanchorcontainer"/>
    <w:basedOn w:val="Normale"/>
    <w:rsid w:val="003C02E7"/>
    <w:pPr>
      <w:tabs>
        <w:tab w:val="clear" w:pos="7100"/>
      </w:tabs>
      <w:spacing w:before="100" w:beforeAutospacing="1" w:after="100" w:afterAutospacing="1" w:line="240" w:lineRule="auto"/>
      <w:jc w:val="left"/>
    </w:pPr>
    <w:rPr>
      <w:rFonts w:ascii="Times New Roman" w:hAnsi="Times New Roman"/>
      <w:sz w:val="24"/>
      <w:szCs w:val="24"/>
      <w:lang w:val="it-IT" w:eastAsia="it-IT"/>
    </w:rPr>
  </w:style>
  <w:style w:type="character" w:styleId="Enfasigrassetto">
    <w:name w:val="Strong"/>
    <w:basedOn w:val="Carpredefinitoparagrafo"/>
    <w:uiPriority w:val="22"/>
    <w:qFormat/>
    <w:rsid w:val="003C02E7"/>
    <w:rPr>
      <w:b/>
      <w:bCs/>
    </w:rPr>
  </w:style>
  <w:style w:type="character" w:customStyle="1" w:styleId="katex">
    <w:name w:val="katex"/>
    <w:basedOn w:val="Carpredefinitoparagrafo"/>
    <w:rsid w:val="008E2E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9186368">
      <w:bodyDiv w:val="1"/>
      <w:marLeft w:val="0"/>
      <w:marRight w:val="0"/>
      <w:marTop w:val="0"/>
      <w:marBottom w:val="0"/>
      <w:divBdr>
        <w:top w:val="none" w:sz="0" w:space="0" w:color="auto"/>
        <w:left w:val="none" w:sz="0" w:space="0" w:color="auto"/>
        <w:bottom w:val="none" w:sz="0" w:space="0" w:color="auto"/>
        <w:right w:val="none" w:sz="0" w:space="0" w:color="auto"/>
      </w:divBdr>
    </w:div>
    <w:div w:id="393285693">
      <w:bodyDiv w:val="1"/>
      <w:marLeft w:val="0"/>
      <w:marRight w:val="0"/>
      <w:marTop w:val="0"/>
      <w:marBottom w:val="0"/>
      <w:divBdr>
        <w:top w:val="none" w:sz="0" w:space="0" w:color="auto"/>
        <w:left w:val="none" w:sz="0" w:space="0" w:color="auto"/>
        <w:bottom w:val="none" w:sz="0" w:space="0" w:color="auto"/>
        <w:right w:val="none" w:sz="0" w:space="0" w:color="auto"/>
      </w:divBdr>
    </w:div>
    <w:div w:id="544298143">
      <w:bodyDiv w:val="1"/>
      <w:marLeft w:val="0"/>
      <w:marRight w:val="0"/>
      <w:marTop w:val="0"/>
      <w:marBottom w:val="0"/>
      <w:divBdr>
        <w:top w:val="none" w:sz="0" w:space="0" w:color="auto"/>
        <w:left w:val="none" w:sz="0" w:space="0" w:color="auto"/>
        <w:bottom w:val="none" w:sz="0" w:space="0" w:color="auto"/>
        <w:right w:val="none" w:sz="0" w:space="0" w:color="auto"/>
      </w:divBdr>
    </w:div>
    <w:div w:id="551425921">
      <w:bodyDiv w:val="1"/>
      <w:marLeft w:val="0"/>
      <w:marRight w:val="0"/>
      <w:marTop w:val="0"/>
      <w:marBottom w:val="0"/>
      <w:divBdr>
        <w:top w:val="none" w:sz="0" w:space="0" w:color="auto"/>
        <w:left w:val="none" w:sz="0" w:space="0" w:color="auto"/>
        <w:bottom w:val="none" w:sz="0" w:space="0" w:color="auto"/>
        <w:right w:val="none" w:sz="0" w:space="0" w:color="auto"/>
      </w:divBdr>
    </w:div>
    <w:div w:id="583076451">
      <w:bodyDiv w:val="1"/>
      <w:marLeft w:val="0"/>
      <w:marRight w:val="0"/>
      <w:marTop w:val="0"/>
      <w:marBottom w:val="0"/>
      <w:divBdr>
        <w:top w:val="none" w:sz="0" w:space="0" w:color="auto"/>
        <w:left w:val="none" w:sz="0" w:space="0" w:color="auto"/>
        <w:bottom w:val="none" w:sz="0" w:space="0" w:color="auto"/>
        <w:right w:val="none" w:sz="0" w:space="0" w:color="auto"/>
      </w:divBdr>
    </w:div>
    <w:div w:id="680814376">
      <w:bodyDiv w:val="1"/>
      <w:marLeft w:val="0"/>
      <w:marRight w:val="0"/>
      <w:marTop w:val="0"/>
      <w:marBottom w:val="0"/>
      <w:divBdr>
        <w:top w:val="none" w:sz="0" w:space="0" w:color="auto"/>
        <w:left w:val="none" w:sz="0" w:space="0" w:color="auto"/>
        <w:bottom w:val="none" w:sz="0" w:space="0" w:color="auto"/>
        <w:right w:val="none" w:sz="0" w:space="0" w:color="auto"/>
      </w:divBdr>
    </w:div>
    <w:div w:id="730079086">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290340">
      <w:bodyDiv w:val="1"/>
      <w:marLeft w:val="0"/>
      <w:marRight w:val="0"/>
      <w:marTop w:val="0"/>
      <w:marBottom w:val="0"/>
      <w:divBdr>
        <w:top w:val="none" w:sz="0" w:space="0" w:color="auto"/>
        <w:left w:val="none" w:sz="0" w:space="0" w:color="auto"/>
        <w:bottom w:val="none" w:sz="0" w:space="0" w:color="auto"/>
        <w:right w:val="none" w:sz="0" w:space="0" w:color="auto"/>
      </w:divBdr>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61454">
      <w:bodyDiv w:val="1"/>
      <w:marLeft w:val="0"/>
      <w:marRight w:val="0"/>
      <w:marTop w:val="0"/>
      <w:marBottom w:val="0"/>
      <w:divBdr>
        <w:top w:val="none" w:sz="0" w:space="0" w:color="auto"/>
        <w:left w:val="none" w:sz="0" w:space="0" w:color="auto"/>
        <w:bottom w:val="none" w:sz="0" w:space="0" w:color="auto"/>
        <w:right w:val="none" w:sz="0" w:space="0" w:color="auto"/>
      </w:divBdr>
    </w:div>
    <w:div w:id="1206604699">
      <w:bodyDiv w:val="1"/>
      <w:marLeft w:val="0"/>
      <w:marRight w:val="0"/>
      <w:marTop w:val="0"/>
      <w:marBottom w:val="0"/>
      <w:divBdr>
        <w:top w:val="none" w:sz="0" w:space="0" w:color="auto"/>
        <w:left w:val="none" w:sz="0" w:space="0" w:color="auto"/>
        <w:bottom w:val="none" w:sz="0" w:space="0" w:color="auto"/>
        <w:right w:val="none" w:sz="0" w:space="0" w:color="auto"/>
      </w:divBdr>
    </w:div>
    <w:div w:id="1290090838">
      <w:bodyDiv w:val="1"/>
      <w:marLeft w:val="0"/>
      <w:marRight w:val="0"/>
      <w:marTop w:val="0"/>
      <w:marBottom w:val="0"/>
      <w:divBdr>
        <w:top w:val="none" w:sz="0" w:space="0" w:color="auto"/>
        <w:left w:val="none" w:sz="0" w:space="0" w:color="auto"/>
        <w:bottom w:val="none" w:sz="0" w:space="0" w:color="auto"/>
        <w:right w:val="none" w:sz="0" w:space="0" w:color="auto"/>
      </w:divBdr>
      <w:divsChild>
        <w:div w:id="38482462">
          <w:marLeft w:val="0"/>
          <w:marRight w:val="0"/>
          <w:marTop w:val="0"/>
          <w:marBottom w:val="0"/>
          <w:divBdr>
            <w:top w:val="none" w:sz="0" w:space="0" w:color="auto"/>
            <w:left w:val="none" w:sz="0" w:space="0" w:color="auto"/>
            <w:bottom w:val="none" w:sz="0" w:space="0" w:color="auto"/>
            <w:right w:val="none" w:sz="0" w:space="0" w:color="auto"/>
          </w:divBdr>
        </w:div>
        <w:div w:id="1165977449">
          <w:marLeft w:val="0"/>
          <w:marRight w:val="0"/>
          <w:marTop w:val="0"/>
          <w:marBottom w:val="0"/>
          <w:divBdr>
            <w:top w:val="none" w:sz="0" w:space="0" w:color="auto"/>
            <w:left w:val="none" w:sz="0" w:space="0" w:color="auto"/>
            <w:bottom w:val="none" w:sz="0" w:space="0" w:color="auto"/>
            <w:right w:val="none" w:sz="0" w:space="0" w:color="auto"/>
          </w:divBdr>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mone.colombo@polimi.it" TargetMode="External"/><Relationship Id="rId5" Type="http://schemas.openxmlformats.org/officeDocument/2006/relationships/webSettings" Target="webSettings.xml"/><Relationship Id="rId10" Type="http://schemas.openxmlformats.org/officeDocument/2006/relationships/hyperlink" Target="https://dipartimenti.unicatt.it/diproves-home"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3042</Words>
  <Characters>19686</Characters>
  <Application>Microsoft Office Word</Application>
  <DocSecurity>0</DocSecurity>
  <Lines>322</Lines>
  <Paragraphs>190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Dipartimento CMIC - Politecnico di Milano</Company>
  <LinksUpToDate>false</LinksUpToDate>
  <CharactersWithSpaces>22538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raffaella</dc:creator>
  <cp:lastModifiedBy>Giulia Luisa Bozzano</cp:lastModifiedBy>
  <cp:revision>5</cp:revision>
  <cp:lastPrinted>2015-05-12T18:31:00Z</cp:lastPrinted>
  <dcterms:created xsi:type="dcterms:W3CDTF">2026-10-06T15:31:00Z</dcterms:created>
  <dcterms:modified xsi:type="dcterms:W3CDTF">2026-10-08T13:47:00Z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