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Borders>
          <w:bottom w:val="single" w:sz="4" w:space="0" w:color="auto"/>
        </w:tblBorders>
        <w:tblLook w:val="04A0" w:firstRow="1" w:lastRow="0" w:firstColumn="1" w:lastColumn="0" w:noHBand="0" w:noVBand="1"/>
      </w:tblPr>
      <w:tblGrid>
        <w:gridCol w:w="6704"/>
        <w:gridCol w:w="1818"/>
      </w:tblGrid>
      <w:tr w:rsidR="003279EC" w14:paraId="1AE0C7F9" w14:textId="77777777">
        <w:trPr>
          <w:trHeight w:val="852"/>
          <w:jc w:val="center"/>
        </w:trPr>
        <w:tc>
          <w:tcPr>
            <w:tcW w:w="6940" w:type="dxa"/>
            <w:vMerge w:val="restart"/>
            <w:tcBorders>
              <w:right w:val="single" w:sz="4" w:space="0" w:color="auto"/>
            </w:tcBorders>
          </w:tcPr>
          <w:p w14:paraId="17767A8B" w14:textId="77777777" w:rsidR="003279EC" w:rsidRDefault="00FB4380">
            <w:pPr>
              <w:tabs>
                <w:tab w:val="left" w:pos="-108"/>
                <w:tab w:val="right" w:pos="7100"/>
              </w:tabs>
              <w:ind w:left="-108"/>
              <w:rPr>
                <w:rFonts w:cs="Arial"/>
                <w:b/>
                <w:bCs/>
                <w:i/>
                <w:iCs/>
                <w:color w:val="000066"/>
                <w:sz w:val="12"/>
                <w:szCs w:val="12"/>
                <w:lang w:eastAsia="it-IT"/>
              </w:rPr>
            </w:pPr>
            <w:bookmarkStart w:id="0" w:name="_Hlk145068772"/>
            <w:r>
              <w:rPr>
                <w:rFonts w:ascii="AdvP6960" w:hAnsi="AdvP6960" w:cs="AdvP6960"/>
                <w:noProof/>
                <w:color w:val="241F20"/>
                <w:szCs w:val="18"/>
                <w:lang w:val="it-IT" w:eastAsia="it-IT"/>
              </w:rPr>
              <w:drawing>
                <wp:inline distT="0" distB="0" distL="0" distR="0" wp14:anchorId="078F2E66" wp14:editId="1AF3B245">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cet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640080" cy="373380"/>
                          </a:xfrm>
                          <a:prstGeom prst="rect">
                            <a:avLst/>
                          </a:prstGeom>
                          <a:noFill/>
                          <a:ln>
                            <a:noFill/>
                          </a:ln>
                        </pic:spPr>
                      </pic:pic>
                    </a:graphicData>
                  </a:graphic>
                </wp:inline>
              </w:drawing>
            </w:r>
            <w:r>
              <w:rPr>
                <w:rFonts w:ascii="AdvP6960" w:hAnsi="AdvP6960" w:cs="AdvP6960"/>
                <w:color w:val="241F20"/>
                <w:szCs w:val="18"/>
                <w:lang w:eastAsia="it-IT"/>
              </w:rPr>
              <w:t xml:space="preserve"> </w:t>
            </w:r>
            <w:r>
              <w:rPr>
                <w:rFonts w:cs="Arial"/>
                <w:b/>
                <w:bCs/>
                <w:i/>
                <w:iCs/>
                <w:color w:val="000066"/>
                <w:sz w:val="24"/>
                <w:szCs w:val="24"/>
                <w:lang w:eastAsia="it-IT"/>
              </w:rPr>
              <w:t>CHEMICAL ENGINEERING</w:t>
            </w:r>
            <w:r>
              <w:rPr>
                <w:rFonts w:cs="Arial"/>
                <w:b/>
                <w:bCs/>
                <w:i/>
                <w:iCs/>
                <w:color w:val="0033FF"/>
                <w:sz w:val="24"/>
                <w:szCs w:val="24"/>
                <w:lang w:eastAsia="it-IT"/>
              </w:rPr>
              <w:t xml:space="preserve"> </w:t>
            </w:r>
            <w:r>
              <w:rPr>
                <w:rFonts w:cs="Arial"/>
                <w:b/>
                <w:bCs/>
                <w:i/>
                <w:iCs/>
                <w:color w:val="666666"/>
                <w:sz w:val="24"/>
                <w:szCs w:val="24"/>
                <w:lang w:eastAsia="it-IT"/>
              </w:rPr>
              <w:t>TRANSACTIONS</w:t>
            </w:r>
            <w:r>
              <w:rPr>
                <w:color w:val="333333"/>
                <w:sz w:val="24"/>
                <w:szCs w:val="24"/>
                <w:lang w:eastAsia="it-IT"/>
              </w:rPr>
              <w:t xml:space="preserve"> </w:t>
            </w:r>
            <w:r>
              <w:rPr>
                <w:rFonts w:cs="Arial"/>
                <w:b/>
                <w:bCs/>
                <w:i/>
                <w:iCs/>
                <w:color w:val="000066"/>
                <w:sz w:val="27"/>
                <w:szCs w:val="27"/>
                <w:lang w:eastAsia="it-IT"/>
              </w:rPr>
              <w:br/>
            </w:r>
          </w:p>
          <w:p w14:paraId="3747F28D" w14:textId="77777777" w:rsidR="003279EC" w:rsidRDefault="00FB4380">
            <w:pPr>
              <w:tabs>
                <w:tab w:val="left" w:pos="-108"/>
                <w:tab w:val="right" w:pos="7100"/>
              </w:tabs>
              <w:ind w:left="-108"/>
              <w:rPr>
                <w:rFonts w:cs="Arial"/>
                <w:b/>
                <w:bCs/>
                <w:i/>
                <w:iCs/>
                <w:color w:val="000066"/>
                <w:sz w:val="22"/>
                <w:szCs w:val="22"/>
                <w:lang w:eastAsia="it-IT"/>
              </w:rPr>
            </w:pPr>
            <w:r>
              <w:rPr>
                <w:rFonts w:cs="Arial"/>
                <w:b/>
                <w:bCs/>
                <w:i/>
                <w:iCs/>
                <w:color w:val="000066"/>
                <w:sz w:val="22"/>
                <w:szCs w:val="22"/>
                <w:lang w:eastAsia="it-IT"/>
              </w:rPr>
              <w:t>VOL. xxx, 2026</w:t>
            </w:r>
          </w:p>
        </w:tc>
        <w:tc>
          <w:tcPr>
            <w:tcW w:w="1842" w:type="dxa"/>
            <w:tcBorders>
              <w:left w:val="single" w:sz="4" w:space="0" w:color="auto"/>
              <w:bottom w:val="nil"/>
              <w:right w:val="single" w:sz="4" w:space="0" w:color="auto"/>
            </w:tcBorders>
          </w:tcPr>
          <w:p w14:paraId="5E30CCB5" w14:textId="77777777" w:rsidR="003279EC" w:rsidRDefault="00FB4380">
            <w:pPr>
              <w:tabs>
                <w:tab w:val="right" w:pos="7100"/>
              </w:tabs>
              <w:spacing w:line="140" w:lineRule="atLeast"/>
              <w:jc w:val="right"/>
              <w:rPr>
                <w:rFonts w:cs="Arial"/>
                <w:sz w:val="14"/>
                <w:szCs w:val="14"/>
              </w:rPr>
            </w:pPr>
            <w:r>
              <w:rPr>
                <w:rFonts w:cs="Arial"/>
                <w:sz w:val="14"/>
                <w:szCs w:val="14"/>
              </w:rPr>
              <w:t>A publication of</w:t>
            </w:r>
          </w:p>
          <w:p w14:paraId="112A3285" w14:textId="77777777" w:rsidR="003279EC" w:rsidRDefault="00FB4380">
            <w:pPr>
              <w:tabs>
                <w:tab w:val="right" w:pos="7100"/>
              </w:tabs>
              <w:jc w:val="right"/>
            </w:pPr>
            <w:r>
              <w:rPr>
                <w:noProof/>
                <w:lang w:val="it-IT" w:eastAsia="it-IT"/>
              </w:rPr>
              <w:drawing>
                <wp:inline distT="0" distB="0" distL="0" distR="0" wp14:anchorId="120ACD89" wp14:editId="437BAF0A">
                  <wp:extent cx="670560" cy="358140"/>
                  <wp:effectExtent l="0" t="0" r="1524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descr="aidiclogo_grand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670560" cy="358140"/>
                          </a:xfrm>
                          <a:prstGeom prst="rect">
                            <a:avLst/>
                          </a:prstGeom>
                          <a:noFill/>
                          <a:ln>
                            <a:noFill/>
                          </a:ln>
                        </pic:spPr>
                      </pic:pic>
                    </a:graphicData>
                  </a:graphic>
                </wp:inline>
              </w:drawing>
            </w:r>
          </w:p>
        </w:tc>
      </w:tr>
      <w:tr w:rsidR="003279EC" w14:paraId="77BF3F94" w14:textId="77777777">
        <w:trPr>
          <w:trHeight w:val="567"/>
          <w:jc w:val="center"/>
        </w:trPr>
        <w:tc>
          <w:tcPr>
            <w:tcW w:w="6940" w:type="dxa"/>
            <w:vMerge/>
            <w:tcBorders>
              <w:right w:val="single" w:sz="4" w:space="0" w:color="auto"/>
            </w:tcBorders>
          </w:tcPr>
          <w:p w14:paraId="3C646304" w14:textId="77777777" w:rsidR="003279EC" w:rsidRDefault="003279EC">
            <w:pPr>
              <w:tabs>
                <w:tab w:val="left" w:pos="-108"/>
                <w:tab w:val="right" w:pos="7100"/>
              </w:tabs>
            </w:pPr>
          </w:p>
        </w:tc>
        <w:tc>
          <w:tcPr>
            <w:tcW w:w="1842" w:type="dxa"/>
            <w:tcBorders>
              <w:left w:val="single" w:sz="4" w:space="0" w:color="auto"/>
              <w:bottom w:val="nil"/>
              <w:right w:val="single" w:sz="4" w:space="0" w:color="auto"/>
            </w:tcBorders>
          </w:tcPr>
          <w:p w14:paraId="723755D6" w14:textId="77777777" w:rsidR="003279EC" w:rsidRDefault="00FB4380">
            <w:pPr>
              <w:tabs>
                <w:tab w:val="right" w:pos="7100"/>
              </w:tabs>
              <w:spacing w:line="140" w:lineRule="atLeast"/>
              <w:jc w:val="right"/>
              <w:rPr>
                <w:rFonts w:cs="Arial"/>
                <w:sz w:val="14"/>
                <w:szCs w:val="14"/>
              </w:rPr>
            </w:pPr>
            <w:r>
              <w:rPr>
                <w:rFonts w:cs="Arial"/>
                <w:sz w:val="14"/>
                <w:szCs w:val="14"/>
              </w:rPr>
              <w:t>The Italian Association</w:t>
            </w:r>
          </w:p>
          <w:p w14:paraId="4FE4D439" w14:textId="77777777" w:rsidR="003279EC" w:rsidRDefault="00FB4380">
            <w:pPr>
              <w:tabs>
                <w:tab w:val="right" w:pos="7100"/>
              </w:tabs>
              <w:spacing w:line="140" w:lineRule="atLeast"/>
              <w:jc w:val="right"/>
              <w:rPr>
                <w:rFonts w:cs="Arial"/>
                <w:sz w:val="14"/>
                <w:szCs w:val="14"/>
              </w:rPr>
            </w:pPr>
            <w:r>
              <w:rPr>
                <w:rFonts w:cs="Arial"/>
                <w:sz w:val="14"/>
                <w:szCs w:val="14"/>
              </w:rPr>
              <w:t>of Chemical Engineering</w:t>
            </w:r>
          </w:p>
          <w:p w14:paraId="18AE74B0" w14:textId="77777777" w:rsidR="003279EC" w:rsidRDefault="00FB4380">
            <w:pPr>
              <w:tabs>
                <w:tab w:val="right" w:pos="7100"/>
              </w:tabs>
              <w:spacing w:line="140" w:lineRule="atLeast"/>
              <w:jc w:val="right"/>
              <w:rPr>
                <w:rFonts w:cs="Arial"/>
                <w:sz w:val="13"/>
                <w:szCs w:val="13"/>
              </w:rPr>
            </w:pPr>
            <w:r>
              <w:rPr>
                <w:rFonts w:cs="Arial"/>
                <w:sz w:val="13"/>
                <w:szCs w:val="13"/>
              </w:rPr>
              <w:t>Online at www.cetjournal.it</w:t>
            </w:r>
          </w:p>
        </w:tc>
      </w:tr>
      <w:tr w:rsidR="003279EC" w14:paraId="1C1326B8" w14:textId="77777777">
        <w:trPr>
          <w:trHeight w:val="68"/>
          <w:jc w:val="center"/>
        </w:trPr>
        <w:tc>
          <w:tcPr>
            <w:tcW w:w="8782" w:type="dxa"/>
            <w:gridSpan w:val="2"/>
          </w:tcPr>
          <w:p w14:paraId="7EF70114" w14:textId="77777777" w:rsidR="003279EC" w:rsidRDefault="00FB4380">
            <w:pPr>
              <w:tabs>
                <w:tab w:val="right" w:pos="7100"/>
              </w:tabs>
              <w:ind w:left="-107"/>
              <w:outlineLvl w:val="2"/>
              <w:rPr>
                <w:rFonts w:ascii="Tahoma" w:hAnsi="Tahoma" w:cs="Tahoma"/>
                <w:color w:val="000000"/>
                <w:sz w:val="14"/>
                <w:szCs w:val="14"/>
                <w:shd w:val="clear" w:color="auto" w:fill="FFFFFF"/>
                <w:lang w:val="it-IT"/>
              </w:rPr>
            </w:pPr>
            <w:r>
              <w:rPr>
                <w:rFonts w:ascii="Tahoma" w:hAnsi="Tahoma" w:cs="Tahoma"/>
                <w:iCs/>
                <w:color w:val="333333"/>
                <w:sz w:val="14"/>
                <w:szCs w:val="14"/>
                <w:lang w:val="it-IT" w:eastAsia="it-IT"/>
              </w:rPr>
              <w:t>Guest Editors:</w:t>
            </w:r>
            <w:r>
              <w:rPr>
                <w:rFonts w:ascii="Tahoma" w:hAnsi="Tahoma" w:cs="Tahoma"/>
                <w:color w:val="000000"/>
                <w:sz w:val="14"/>
                <w:szCs w:val="14"/>
                <w:shd w:val="clear" w:color="auto" w:fill="FFFFFF"/>
                <w:lang w:val="it-IT"/>
              </w:rPr>
              <w:t xml:space="preserve"> Flavio Manenti, Botir Usmonov, Alessandro Di Pretoro</w:t>
            </w:r>
          </w:p>
          <w:p w14:paraId="64F16741" w14:textId="77777777" w:rsidR="003279EC" w:rsidRDefault="00FB4380">
            <w:pPr>
              <w:tabs>
                <w:tab w:val="left" w:pos="-108"/>
                <w:tab w:val="right" w:pos="7100"/>
              </w:tabs>
              <w:spacing w:line="140" w:lineRule="atLeast"/>
              <w:ind w:left="-107"/>
            </w:pPr>
            <w:r>
              <w:rPr>
                <w:rFonts w:ascii="Tahoma" w:hAnsi="Tahoma" w:cs="Tahoma"/>
                <w:iCs/>
                <w:color w:val="333333"/>
                <w:sz w:val="14"/>
                <w:szCs w:val="14"/>
                <w:lang w:eastAsia="it-IT"/>
              </w:rPr>
              <w:t xml:space="preserve">Copyright © 2026, AIDIC </w:t>
            </w:r>
            <w:proofErr w:type="spellStart"/>
            <w:r>
              <w:rPr>
                <w:rFonts w:ascii="Tahoma" w:hAnsi="Tahoma" w:cs="Tahoma"/>
                <w:iCs/>
                <w:color w:val="333333"/>
                <w:sz w:val="14"/>
                <w:szCs w:val="14"/>
                <w:lang w:eastAsia="it-IT"/>
              </w:rPr>
              <w:t>Servizi</w:t>
            </w:r>
            <w:proofErr w:type="spellEnd"/>
            <w:r>
              <w:rPr>
                <w:rFonts w:ascii="Tahoma" w:hAnsi="Tahoma" w:cs="Tahoma"/>
                <w:iCs/>
                <w:color w:val="333333"/>
                <w:sz w:val="14"/>
                <w:szCs w:val="14"/>
                <w:lang w:eastAsia="it-IT"/>
              </w:rPr>
              <w:t xml:space="preserve"> </w:t>
            </w:r>
            <w:proofErr w:type="spellStart"/>
            <w:r>
              <w:rPr>
                <w:rFonts w:ascii="Tahoma" w:hAnsi="Tahoma" w:cs="Tahoma"/>
                <w:iCs/>
                <w:color w:val="333333"/>
                <w:sz w:val="14"/>
                <w:szCs w:val="14"/>
                <w:lang w:eastAsia="it-IT"/>
              </w:rPr>
              <w:t>S.r.l</w:t>
            </w:r>
            <w:proofErr w:type="spellEnd"/>
            <w:r>
              <w:rPr>
                <w:rFonts w:ascii="Tahoma" w:hAnsi="Tahoma" w:cs="Tahoma"/>
                <w:iCs/>
                <w:color w:val="333333"/>
                <w:sz w:val="14"/>
                <w:szCs w:val="14"/>
                <w:lang w:eastAsia="it-IT"/>
              </w:rPr>
              <w:t>.</w:t>
            </w:r>
            <w:r>
              <w:rPr>
                <w:rFonts w:ascii="Tahoma" w:hAnsi="Tahoma" w:cs="Tahoma"/>
                <w:iCs/>
                <w:color w:val="333333"/>
                <w:sz w:val="14"/>
                <w:szCs w:val="14"/>
                <w:lang w:eastAsia="it-IT"/>
              </w:rPr>
              <w:br/>
            </w:r>
            <w:r>
              <w:rPr>
                <w:rFonts w:ascii="Tahoma" w:hAnsi="Tahoma" w:cs="Tahoma"/>
                <w:b/>
                <w:iCs/>
                <w:color w:val="000000"/>
                <w:sz w:val="14"/>
                <w:szCs w:val="14"/>
                <w:lang w:eastAsia="it-IT"/>
              </w:rPr>
              <w:t>ISBN</w:t>
            </w:r>
            <w:r>
              <w:rPr>
                <w:rFonts w:ascii="Tahoma" w:hAnsi="Tahoma" w:cs="Tahoma"/>
                <w:iCs/>
                <w:color w:val="000000"/>
                <w:sz w:val="14"/>
                <w:szCs w:val="14"/>
                <w:lang w:eastAsia="it-IT"/>
              </w:rPr>
              <w:t xml:space="preserve"> </w:t>
            </w:r>
            <w:r>
              <w:rPr>
                <w:rFonts w:ascii="Tahoma" w:hAnsi="Tahoma" w:cs="Tahoma"/>
                <w:sz w:val="14"/>
                <w:szCs w:val="14"/>
              </w:rPr>
              <w:t>979-12-81206-xx-x</w:t>
            </w:r>
            <w:r>
              <w:rPr>
                <w:rFonts w:ascii="Tahoma" w:hAnsi="Tahoma" w:cs="Tahoma"/>
                <w:iCs/>
                <w:color w:val="333333"/>
                <w:sz w:val="14"/>
                <w:szCs w:val="14"/>
                <w:lang w:eastAsia="it-IT"/>
              </w:rPr>
              <w:t xml:space="preserve">; </w:t>
            </w:r>
            <w:r>
              <w:rPr>
                <w:rFonts w:ascii="Tahoma" w:hAnsi="Tahoma" w:cs="Tahoma"/>
                <w:b/>
                <w:iCs/>
                <w:color w:val="333333"/>
                <w:sz w:val="14"/>
                <w:szCs w:val="14"/>
                <w:lang w:eastAsia="it-IT"/>
              </w:rPr>
              <w:t>ISSN</w:t>
            </w:r>
            <w:r>
              <w:rPr>
                <w:rFonts w:ascii="Tahoma" w:hAnsi="Tahoma" w:cs="Tahoma"/>
                <w:iCs/>
                <w:color w:val="333333"/>
                <w:sz w:val="14"/>
                <w:szCs w:val="14"/>
                <w:lang w:eastAsia="it-IT"/>
              </w:rPr>
              <w:t xml:space="preserve"> 2283-9216</w:t>
            </w:r>
          </w:p>
        </w:tc>
      </w:tr>
    </w:tbl>
    <w:bookmarkEnd w:id="0"/>
    <w:p w14:paraId="25C12F38" w14:textId="4E304DE6" w:rsidR="003279EC" w:rsidRDefault="00FB4380">
      <w:pPr>
        <w:pStyle w:val="CETTitle"/>
      </w:pPr>
      <w:r>
        <w:rPr>
          <w:lang w:bidi="ru-RU"/>
        </w:rPr>
        <w:t xml:space="preserve">A </w:t>
      </w:r>
      <w:r w:rsidR="00806571">
        <w:rPr>
          <w:lang w:bidi="ru-RU"/>
        </w:rPr>
        <w:t>P</w:t>
      </w:r>
      <w:r>
        <w:rPr>
          <w:lang w:bidi="ru-RU"/>
        </w:rPr>
        <w:t xml:space="preserve">recision </w:t>
      </w:r>
      <w:r w:rsidR="00806571">
        <w:rPr>
          <w:lang w:bidi="ru-RU"/>
        </w:rPr>
        <w:t>M</w:t>
      </w:r>
      <w:r>
        <w:rPr>
          <w:lang w:bidi="ru-RU"/>
        </w:rPr>
        <w:t xml:space="preserve">ethod for Remote </w:t>
      </w:r>
      <w:r w:rsidR="00806571">
        <w:rPr>
          <w:lang w:bidi="ru-RU"/>
        </w:rPr>
        <w:t>S</w:t>
      </w:r>
      <w:r>
        <w:rPr>
          <w:lang w:bidi="ru-RU"/>
        </w:rPr>
        <w:t xml:space="preserve">ensing of Terrestrial Vegetation </w:t>
      </w:r>
      <w:r w:rsidR="00806571">
        <w:rPr>
          <w:lang w:bidi="ru-RU"/>
        </w:rPr>
        <w:t>C</w:t>
      </w:r>
      <w:r>
        <w:rPr>
          <w:lang w:bidi="ru-RU"/>
        </w:rPr>
        <w:t>onditions</w:t>
      </w:r>
    </w:p>
    <w:p w14:paraId="7F3D5108" w14:textId="24D71862" w:rsidR="003279EC" w:rsidRDefault="00FB4380">
      <w:pPr>
        <w:pStyle w:val="CETAuthors"/>
      </w:pPr>
      <w:proofErr w:type="spellStart"/>
      <w:r>
        <w:rPr>
          <w:lang w:val="en-US"/>
        </w:rPr>
        <w:t>Abdushukur</w:t>
      </w:r>
      <w:proofErr w:type="spellEnd"/>
      <w:r>
        <w:rPr>
          <w:lang w:val="en-US"/>
        </w:rPr>
        <w:t xml:space="preserve"> </w:t>
      </w:r>
      <w:proofErr w:type="spellStart"/>
      <w:r>
        <w:rPr>
          <w:lang w:val="en-US"/>
        </w:rPr>
        <w:t>Mukhamedov</w:t>
      </w:r>
      <w:r>
        <w:rPr>
          <w:vertAlign w:val="superscript"/>
          <w:lang w:val="en-US"/>
        </w:rPr>
        <w:t>a</w:t>
      </w:r>
      <w:proofErr w:type="spellEnd"/>
      <w:r>
        <w:rPr>
          <w:vertAlign w:val="superscript"/>
          <w:lang w:val="en-US"/>
        </w:rPr>
        <w:sym w:font="Symbol" w:char="F02A"/>
      </w:r>
      <w:r>
        <w:rPr>
          <w:lang w:val="en-US"/>
        </w:rPr>
        <w:t xml:space="preserve">, </w:t>
      </w:r>
      <w:proofErr w:type="spellStart"/>
      <w:r>
        <w:rPr>
          <w:lang w:val="en-US"/>
        </w:rPr>
        <w:t>Shamsiddin</w:t>
      </w:r>
      <w:proofErr w:type="spellEnd"/>
      <w:r>
        <w:rPr>
          <w:lang w:val="en-US"/>
        </w:rPr>
        <w:t xml:space="preserve"> </w:t>
      </w:r>
      <w:proofErr w:type="spellStart"/>
      <w:r>
        <w:rPr>
          <w:lang w:val="en-US"/>
        </w:rPr>
        <w:t>Ernaz</w:t>
      </w:r>
      <w:r w:rsidR="002D615F">
        <w:rPr>
          <w:lang w:val="en-US"/>
        </w:rPr>
        <w:t>a</w:t>
      </w:r>
      <w:r>
        <w:rPr>
          <w:lang w:val="en-US"/>
        </w:rPr>
        <w:t>rov</w:t>
      </w:r>
      <w:r>
        <w:rPr>
          <w:vertAlign w:val="superscript"/>
          <w:lang w:val="en-US"/>
        </w:rPr>
        <w:t>a</w:t>
      </w:r>
      <w:proofErr w:type="spellEnd"/>
      <w:r>
        <w:rPr>
          <w:lang w:val="en-US"/>
        </w:rPr>
        <w:t xml:space="preserve">, </w:t>
      </w:r>
      <w:proofErr w:type="spellStart"/>
      <w:r>
        <w:rPr>
          <w:lang w:val="en-US"/>
        </w:rPr>
        <w:t>Fazliddin</w:t>
      </w:r>
      <w:proofErr w:type="spellEnd"/>
      <w:r>
        <w:rPr>
          <w:lang w:val="en-US"/>
        </w:rPr>
        <w:t xml:space="preserve"> </w:t>
      </w:r>
      <w:proofErr w:type="spellStart"/>
      <w:r>
        <w:rPr>
          <w:lang w:val="en-US"/>
        </w:rPr>
        <w:t>Isaev</w:t>
      </w:r>
      <w:r>
        <w:rPr>
          <w:vertAlign w:val="superscript"/>
          <w:lang w:val="en-US"/>
        </w:rPr>
        <w:t>a</w:t>
      </w:r>
      <w:proofErr w:type="spellEnd"/>
      <w:r>
        <w:rPr>
          <w:lang w:val="en-US"/>
        </w:rPr>
        <w:t xml:space="preserve">, Farid </w:t>
      </w:r>
      <w:proofErr w:type="spellStart"/>
      <w:r>
        <w:rPr>
          <w:lang w:val="en-US"/>
        </w:rPr>
        <w:t>Umarov</w:t>
      </w:r>
      <w:r>
        <w:rPr>
          <w:vertAlign w:val="superscript"/>
          <w:lang w:val="en-US"/>
        </w:rPr>
        <w:t>b</w:t>
      </w:r>
      <w:proofErr w:type="spellEnd"/>
    </w:p>
    <w:p w14:paraId="6E5A8A01" w14:textId="77777777" w:rsidR="003279EC" w:rsidRDefault="00FB4380">
      <w:pPr>
        <w:spacing w:beforeAutospacing="1" w:afterAutospacing="1"/>
        <w:jc w:val="both"/>
        <w:rPr>
          <w:rFonts w:ascii="Arial" w:hAnsi="Arial" w:cs="Arial"/>
          <w:szCs w:val="16"/>
          <w:lang w:eastAsia="ru-RU"/>
        </w:rPr>
      </w:pPr>
      <w:proofErr w:type="spellStart"/>
      <w:r>
        <w:rPr>
          <w:rFonts w:ascii="Arial" w:hAnsi="Arial" w:cs="Arial"/>
          <w:bCs/>
          <w:iCs/>
          <w:vertAlign w:val="superscript"/>
        </w:rPr>
        <w:t>a</w:t>
      </w:r>
      <w:bookmarkStart w:id="1" w:name="_Hlk217080305"/>
      <w:r>
        <w:rPr>
          <w:rFonts w:ascii="Arial" w:hAnsi="Arial" w:cs="Arial"/>
          <w:bCs/>
          <w:iCs/>
        </w:rPr>
        <w:t>Department</w:t>
      </w:r>
      <w:proofErr w:type="spellEnd"/>
      <w:r>
        <w:rPr>
          <w:rFonts w:ascii="Arial" w:hAnsi="Arial" w:cs="Arial"/>
          <w:bCs/>
          <w:iCs/>
        </w:rPr>
        <w:t xml:space="preserve"> of Physics and Energy, </w:t>
      </w:r>
      <w:bookmarkEnd w:id="1"/>
      <w:r>
        <w:rPr>
          <w:rFonts w:ascii="Arial" w:hAnsi="Arial" w:cs="Arial"/>
          <w:bCs/>
          <w:iCs/>
        </w:rPr>
        <w:t>Tashkent Institute of Chemical Technology, 100011, Tashkent, Uzbekistan.</w:t>
      </w:r>
      <w:r>
        <w:rPr>
          <w:rFonts w:ascii="Arial" w:hAnsi="Arial" w:cs="Arial"/>
          <w:bCs/>
          <w:iCs/>
        </w:rPr>
        <w:br/>
      </w:r>
      <w:proofErr w:type="spellStart"/>
      <w:r>
        <w:rPr>
          <w:rFonts w:ascii="Arial" w:hAnsi="Arial" w:cs="Arial"/>
          <w:bCs/>
          <w:iCs/>
          <w:szCs w:val="16"/>
          <w:vertAlign w:val="superscript"/>
        </w:rPr>
        <w:t>b</w:t>
      </w:r>
      <w:bookmarkStart w:id="2" w:name="_Hlk217080338"/>
      <w:r>
        <w:rPr>
          <w:rFonts w:ascii="Arial" w:hAnsi="Arial" w:cs="Arial"/>
          <w:szCs w:val="16"/>
          <w:lang w:eastAsia="ru-RU"/>
        </w:rPr>
        <w:t>Kazakhstan</w:t>
      </w:r>
      <w:proofErr w:type="spellEnd"/>
      <w:r>
        <w:rPr>
          <w:rFonts w:ascii="Arial" w:hAnsi="Arial" w:cs="Arial"/>
          <w:szCs w:val="16"/>
          <w:lang w:eastAsia="ru-RU"/>
        </w:rPr>
        <w:t>-British Technical University, Tole Bi 59, Almaty, Republic of Kazakhstan</w:t>
      </w:r>
      <w:bookmarkEnd w:id="2"/>
      <w:r>
        <w:rPr>
          <w:rFonts w:ascii="Arial" w:hAnsi="Arial" w:cs="Arial"/>
          <w:szCs w:val="16"/>
          <w:lang w:eastAsia="ru-RU"/>
        </w:rPr>
        <w:t>.</w:t>
      </w:r>
      <w:r>
        <w:rPr>
          <w:rFonts w:ascii="Arial" w:hAnsi="Arial" w:cs="Arial"/>
          <w:szCs w:val="16"/>
          <w:lang w:eastAsia="ru-RU"/>
        </w:rPr>
        <w:br/>
      </w:r>
      <w:r>
        <w:rPr>
          <w:rFonts w:ascii="Arial" w:hAnsi="Arial" w:cs="Arial"/>
          <w:sz w:val="18"/>
          <w:szCs w:val="18"/>
          <w:lang w:eastAsia="ru-RU"/>
        </w:rPr>
        <w:t>mabdushukur@mail.ru</w:t>
      </w:r>
    </w:p>
    <w:p w14:paraId="226D29FF" w14:textId="59C5573C" w:rsidR="003279EC" w:rsidRDefault="00FB4380">
      <w:pPr>
        <w:spacing w:beforeAutospacing="1" w:afterAutospacing="1"/>
        <w:jc w:val="both"/>
      </w:pPr>
      <w:r>
        <w:t>T</w:t>
      </w:r>
      <w:r>
        <w:rPr>
          <w:rFonts w:ascii="Arial" w:hAnsi="Arial" w:cs="Arial"/>
          <w:sz w:val="18"/>
          <w:szCs w:val="18"/>
        </w:rPr>
        <w:t xml:space="preserve">o ensure optimal agrochemical treatment of local crop areas </w:t>
      </w:r>
      <w:r w:rsidR="00806571">
        <w:rPr>
          <w:rFonts w:ascii="Arial" w:hAnsi="Arial" w:cs="Arial"/>
          <w:sz w:val="18"/>
          <w:szCs w:val="18"/>
        </w:rPr>
        <w:t>characterized</w:t>
      </w:r>
      <w:r>
        <w:rPr>
          <w:rFonts w:ascii="Arial" w:hAnsi="Arial" w:cs="Arial"/>
          <w:sz w:val="18"/>
          <w:szCs w:val="18"/>
        </w:rPr>
        <w:t xml:space="preserve"> by a deficiency of certain types of mineral </w:t>
      </w:r>
      <w:r w:rsidR="00806571">
        <w:rPr>
          <w:rFonts w:ascii="Arial" w:hAnsi="Arial" w:cs="Arial"/>
          <w:sz w:val="18"/>
          <w:szCs w:val="18"/>
        </w:rPr>
        <w:t>fertilizers</w:t>
      </w:r>
      <w:r>
        <w:rPr>
          <w:rFonts w:ascii="Arial" w:hAnsi="Arial" w:cs="Arial"/>
          <w:sz w:val="18"/>
          <w:szCs w:val="18"/>
        </w:rPr>
        <w:t>, it is necessary to employ modern tools for the rapid monitoring of the physiological state of plants. As such a tool, a method for the remote measurement of the laser</w:t>
      </w:r>
      <w:r>
        <w:rPr>
          <w:rFonts w:ascii="Arial" w:hAnsi="Arial" w:cs="Arial"/>
          <w:sz w:val="18"/>
          <w:szCs w:val="18"/>
        </w:rPr>
        <w:noBreakHyphen/>
        <w:t>induced fluorescence (LIF) spectrum of plant leaves is proposed; this method enables the acquisition of the most reliable data on the physiological condition of crops.</w:t>
      </w:r>
      <w:r w:rsidR="00806571">
        <w:rPr>
          <w:rFonts w:ascii="Arial" w:hAnsi="Arial" w:cs="Arial"/>
          <w:sz w:val="18"/>
          <w:szCs w:val="18"/>
        </w:rPr>
        <w:t xml:space="preserve"> </w:t>
      </w:r>
      <w:r>
        <w:rPr>
          <w:rFonts w:ascii="Arial" w:hAnsi="Arial" w:cs="Arial"/>
          <w:sz w:val="18"/>
          <w:szCs w:val="18"/>
        </w:rPr>
        <w:t>In laboratory studies conducted on experimental plant samples, a correlation was established between the fluorescent response, the physiological state, and the dry weight of plants — both under conditions of normal mineral nutrition and under induced mineral stress. The methodological basis of the approach consists in comparing the array of remotely obtained data (including the vertical profile and the spectral shape of the fluorescent response) with reference data generated on the basis of training samples.</w:t>
      </w:r>
      <w:r w:rsidR="00806571">
        <w:rPr>
          <w:rFonts w:ascii="Arial" w:hAnsi="Arial" w:cs="Arial"/>
          <w:sz w:val="18"/>
          <w:szCs w:val="18"/>
        </w:rPr>
        <w:t xml:space="preserve"> </w:t>
      </w:r>
      <w:r>
        <w:rPr>
          <w:rFonts w:ascii="Arial" w:hAnsi="Arial" w:cs="Arial"/>
          <w:sz w:val="18"/>
          <w:szCs w:val="18"/>
        </w:rPr>
        <w:t>The practical implementation of this method ensures reliable identification of the physiological state of vegetation and allows for the quantitative assessment of biomass, which facilitates the creation of maps of problematic areas in agricultural crops that require chemical treatment. The effectiveness of the proposed method was verified during field tests: a high degree of convergence was observed between the results of remote measurements and ground</w:t>
      </w:r>
      <w:r>
        <w:rPr>
          <w:rFonts w:ascii="Arial" w:hAnsi="Arial" w:cs="Arial"/>
          <w:sz w:val="18"/>
          <w:szCs w:val="18"/>
        </w:rPr>
        <w:noBreakHyphen/>
        <w:t>based observation data.</w:t>
      </w:r>
      <w:r w:rsidR="00806571">
        <w:rPr>
          <w:rFonts w:ascii="Arial" w:hAnsi="Arial" w:cs="Arial"/>
          <w:sz w:val="18"/>
          <w:szCs w:val="18"/>
        </w:rPr>
        <w:t xml:space="preserve"> </w:t>
      </w:r>
      <w:r>
        <w:rPr>
          <w:rFonts w:ascii="Arial" w:hAnsi="Arial" w:cs="Arial"/>
          <w:sz w:val="18"/>
          <w:szCs w:val="18"/>
        </w:rPr>
        <w:t xml:space="preserve">The obtained results provide scientific and practical grounds for </w:t>
      </w:r>
      <w:r w:rsidR="00806571">
        <w:rPr>
          <w:rFonts w:ascii="Arial" w:hAnsi="Arial" w:cs="Arial"/>
          <w:sz w:val="18"/>
          <w:szCs w:val="18"/>
        </w:rPr>
        <w:t>optimizing</w:t>
      </w:r>
      <w:r>
        <w:rPr>
          <w:rFonts w:ascii="Arial" w:hAnsi="Arial" w:cs="Arial"/>
          <w:sz w:val="18"/>
          <w:szCs w:val="18"/>
        </w:rPr>
        <w:t xml:space="preserve"> the application rates of mineral </w:t>
      </w:r>
      <w:r w:rsidR="00806571">
        <w:rPr>
          <w:rFonts w:ascii="Arial" w:hAnsi="Arial" w:cs="Arial"/>
          <w:sz w:val="18"/>
          <w:szCs w:val="18"/>
        </w:rPr>
        <w:t>fertilizers</w:t>
      </w:r>
      <w:r>
        <w:rPr>
          <w:rFonts w:ascii="Arial" w:hAnsi="Arial" w:cs="Arial"/>
          <w:sz w:val="18"/>
          <w:szCs w:val="18"/>
        </w:rPr>
        <w:t xml:space="preserve"> within the framework of precision farming technologies.</w:t>
      </w:r>
    </w:p>
    <w:p w14:paraId="50F0E930" w14:textId="77777777" w:rsidR="003279EC" w:rsidRDefault="00FB4380">
      <w:pPr>
        <w:pStyle w:val="CETHeading1"/>
        <w:rPr>
          <w:lang w:val="en-GB"/>
        </w:rPr>
      </w:pPr>
      <w:r>
        <w:rPr>
          <w:lang w:val="en-GB"/>
        </w:rPr>
        <w:t>Introduction</w:t>
      </w:r>
    </w:p>
    <w:p w14:paraId="452EB034" w14:textId="3C853C6A" w:rsidR="003279EC" w:rsidRDefault="00FB4380">
      <w:pPr>
        <w:pStyle w:val="a5"/>
        <w:jc w:val="both"/>
      </w:pPr>
      <w:r>
        <w:rPr>
          <w:rFonts w:ascii="Arial" w:hAnsi="Arial" w:cs="Arial"/>
          <w:sz w:val="18"/>
          <w:szCs w:val="18"/>
        </w:rPr>
        <w:t xml:space="preserve">The intensification of agricultural production relies significantly on the use of chemical </w:t>
      </w:r>
      <w:r w:rsidR="00806571">
        <w:rPr>
          <w:rFonts w:ascii="Arial" w:hAnsi="Arial" w:cs="Arial"/>
          <w:sz w:val="18"/>
          <w:szCs w:val="18"/>
        </w:rPr>
        <w:t>fertilizers</w:t>
      </w:r>
      <w:r>
        <w:rPr>
          <w:rFonts w:ascii="Arial" w:hAnsi="Arial" w:cs="Arial"/>
          <w:sz w:val="18"/>
          <w:szCs w:val="18"/>
        </w:rPr>
        <w:t xml:space="preserve">. The integration of advances from the chemical industry into agriculture involves the application of mineral </w:t>
      </w:r>
      <w:r w:rsidR="00806571">
        <w:rPr>
          <w:rFonts w:ascii="Arial" w:hAnsi="Arial" w:cs="Arial"/>
          <w:sz w:val="18"/>
          <w:szCs w:val="18"/>
        </w:rPr>
        <w:t>fertilizers</w:t>
      </w:r>
      <w:r>
        <w:rPr>
          <w:rFonts w:ascii="Arial" w:hAnsi="Arial" w:cs="Arial"/>
          <w:sz w:val="18"/>
          <w:szCs w:val="18"/>
        </w:rPr>
        <w:t xml:space="preserve"> (such as potassium, phosphorus, magnesium, and others), as well as chemical agents for the protection of cultivated crops against pests and diseases (Nanda, S.P.et.all.,2020; Mohammad </w:t>
      </w:r>
      <w:proofErr w:type="spellStart"/>
      <w:r>
        <w:rPr>
          <w:rFonts w:ascii="Arial" w:hAnsi="Arial" w:cs="Arial"/>
          <w:sz w:val="18"/>
          <w:szCs w:val="18"/>
        </w:rPr>
        <w:t>Sarvestani</w:t>
      </w:r>
      <w:proofErr w:type="spellEnd"/>
      <w:r>
        <w:rPr>
          <w:rFonts w:ascii="Arial" w:hAnsi="Arial" w:cs="Arial"/>
          <w:sz w:val="18"/>
          <w:szCs w:val="18"/>
        </w:rPr>
        <w:t>,</w:t>
      </w:r>
      <w:r w:rsidRPr="002D615F">
        <w:rPr>
          <w:rFonts w:ascii="Arial" w:hAnsi="Arial" w:cs="Arial"/>
          <w:sz w:val="18"/>
          <w:szCs w:val="18"/>
        </w:rPr>
        <w:t xml:space="preserve"> 2024)</w:t>
      </w:r>
      <w:r>
        <w:rPr>
          <w:rFonts w:ascii="Arial" w:hAnsi="Arial" w:cs="Arial"/>
          <w:sz w:val="18"/>
          <w:szCs w:val="18"/>
        </w:rPr>
        <w:t>. Adherence to agrochemical application norms contributes to increased crop yields. Conversely, non</w:t>
      </w:r>
      <w:r>
        <w:rPr>
          <w:rFonts w:ascii="Arial" w:hAnsi="Arial" w:cs="Arial"/>
          <w:sz w:val="18"/>
          <w:szCs w:val="18"/>
        </w:rPr>
        <w:noBreakHyphen/>
        <w:t xml:space="preserve">compliance with these norms poses a serious threat to agroecosystems. Insufficient application of chemical </w:t>
      </w:r>
      <w:r w:rsidR="00806571">
        <w:rPr>
          <w:rFonts w:ascii="Arial" w:hAnsi="Arial" w:cs="Arial"/>
          <w:sz w:val="18"/>
          <w:szCs w:val="18"/>
        </w:rPr>
        <w:t>fertilizers</w:t>
      </w:r>
      <w:r>
        <w:rPr>
          <w:rFonts w:ascii="Arial" w:hAnsi="Arial" w:cs="Arial"/>
          <w:sz w:val="18"/>
          <w:szCs w:val="18"/>
        </w:rPr>
        <w:t xml:space="preserve"> leads to a reduction in biomass and yield, whereas excessive application results in soil compaction and contamination of air and water resources.</w:t>
      </w:r>
      <w:r>
        <w:rPr>
          <w:rFonts w:ascii="Arial" w:hAnsi="Arial" w:cs="Arial"/>
          <w:sz w:val="18"/>
          <w:szCs w:val="18"/>
        </w:rPr>
        <w:br/>
        <w:t xml:space="preserve">Furthermore, the proper implementation of agrochemical measures enables substantial savings of chemical inputs within the closed cycle of agricultural production (Joni S. </w:t>
      </w:r>
      <w:proofErr w:type="spellStart"/>
      <w:r>
        <w:rPr>
          <w:rFonts w:ascii="Arial" w:hAnsi="Arial" w:cs="Arial"/>
          <w:sz w:val="18"/>
          <w:szCs w:val="18"/>
        </w:rPr>
        <w:t>Adiansyaha</w:t>
      </w:r>
      <w:proofErr w:type="spellEnd"/>
      <w:r>
        <w:rPr>
          <w:rFonts w:ascii="Arial" w:hAnsi="Arial" w:cs="Arial"/>
          <w:sz w:val="18"/>
          <w:szCs w:val="18"/>
        </w:rPr>
        <w:t xml:space="preserve"> </w:t>
      </w:r>
      <w:proofErr w:type="spellStart"/>
      <w:r>
        <w:rPr>
          <w:rFonts w:ascii="Arial" w:hAnsi="Arial" w:cs="Arial"/>
          <w:sz w:val="18"/>
          <w:szCs w:val="18"/>
        </w:rPr>
        <w:t>et.all</w:t>
      </w:r>
      <w:proofErr w:type="spellEnd"/>
      <w:r>
        <w:rPr>
          <w:rFonts w:ascii="Arial" w:hAnsi="Arial" w:cs="Arial"/>
          <w:sz w:val="18"/>
          <w:szCs w:val="18"/>
        </w:rPr>
        <w:t>., 2021).</w:t>
      </w:r>
    </w:p>
    <w:p w14:paraId="2B2A8599" w14:textId="43C3E220" w:rsidR="003279EC" w:rsidRDefault="00806571" w:rsidP="00806571">
      <w:pPr>
        <w:pStyle w:val="CETheadingx"/>
      </w:pPr>
      <w:r>
        <w:t xml:space="preserve">1.1 </w:t>
      </w:r>
      <w:r w:rsidR="00FB4380">
        <w:t>Existing Techniques</w:t>
      </w:r>
    </w:p>
    <w:p w14:paraId="1953F5BB" w14:textId="66DEE5E8" w:rsidR="003279EC" w:rsidRDefault="00FB4380">
      <w:pPr>
        <w:pStyle w:val="a5"/>
        <w:jc w:val="both"/>
        <w:rPr>
          <w:rFonts w:ascii="Arial" w:hAnsi="Arial" w:cs="Arial"/>
          <w:sz w:val="18"/>
          <w:szCs w:val="18"/>
        </w:rPr>
      </w:pPr>
      <w:r>
        <w:rPr>
          <w:rFonts w:ascii="Arial" w:hAnsi="Arial" w:cs="Arial"/>
          <w:sz w:val="18"/>
          <w:szCs w:val="18"/>
        </w:rPr>
        <w:t xml:space="preserve">A key factor in </w:t>
      </w:r>
      <w:r w:rsidR="00806571">
        <w:rPr>
          <w:rFonts w:ascii="Arial" w:hAnsi="Arial" w:cs="Arial"/>
          <w:sz w:val="18"/>
          <w:szCs w:val="18"/>
        </w:rPr>
        <w:t>optimizing</w:t>
      </w:r>
      <w:r>
        <w:rPr>
          <w:rFonts w:ascii="Arial" w:hAnsi="Arial" w:cs="Arial"/>
          <w:sz w:val="18"/>
          <w:szCs w:val="18"/>
        </w:rPr>
        <w:t xml:space="preserve"> agrochemical treatment is the targeted application of chemical agents, which relies on precise local data on the condition of plants across the entire area of agricultural land. In this context, plants serve as reliable indicators of the environment in which they develop. Consequently, the most effective monitoring tool remains optical surveillance using sensors mounted on board aerial vehicles — aircraft, helicopters, or unmanned aerial vehicles (UAVs).</w:t>
      </w:r>
      <w:r>
        <w:rPr>
          <w:rFonts w:ascii="Arial" w:hAnsi="Arial" w:cs="Arial"/>
          <w:sz w:val="18"/>
          <w:szCs w:val="18"/>
        </w:rPr>
        <w:br/>
        <w:t xml:space="preserve">Parameters such as biomass and overall appearance enable inferences regarding soil condition, </w:t>
      </w:r>
      <w:r>
        <w:rPr>
          <w:rFonts w:ascii="Arial" w:hAnsi="Arial" w:cs="Arial"/>
          <w:sz w:val="18"/>
          <w:szCs w:val="18"/>
        </w:rPr>
        <w:lastRenderedPageBreak/>
        <w:t>including its chemical composition and moisture level. The spectral characteristics of plants, along with their geometric parameters (e.g., height and density), provide valuable information on plant status. Particularly informative is the fluorescent response of leaves, which is closely linked to the condition of the plants’ photosynthetic apparatus.</w:t>
      </w:r>
      <w:r>
        <w:rPr>
          <w:rFonts w:ascii="Arial" w:hAnsi="Arial" w:cs="Arial"/>
          <w:sz w:val="18"/>
          <w:szCs w:val="18"/>
        </w:rPr>
        <w:br/>
        <w:t>This factor has accounted for the widespread adoption of vegetation fluorescence response in remote sensing studies (Hoge F. E. et al., 1983; Chappelle E. W. et al., 1984). The principal advantage of this method is the capacity to discriminate signals attributable exclusively to vegetation within the upwelling radiance flux. These signals originate from chlorophyll molecules present in the leaves, which function as a unique indicator providing data on the physiological status of plants</w:t>
      </w:r>
      <w:r w:rsidR="00B64DD3">
        <w:rPr>
          <w:rFonts w:ascii="Arial" w:hAnsi="Arial" w:cs="Arial"/>
          <w:sz w:val="18"/>
          <w:szCs w:val="18"/>
        </w:rPr>
        <w:t xml:space="preserve"> (</w:t>
      </w:r>
      <w:hyperlink r:id="rId7" w:anchor="auth-Hazem_M_-Kalaji-Aff1" w:history="1">
        <w:r w:rsidR="00B64DD3" w:rsidRPr="00E344D2">
          <w:rPr>
            <w:rStyle w:val="a3"/>
            <w:rFonts w:ascii="Arial" w:hAnsi="Arial" w:cs="Arial"/>
            <w:color w:val="auto"/>
            <w:sz w:val="18"/>
            <w:szCs w:val="18"/>
            <w:u w:val="none"/>
          </w:rPr>
          <w:t xml:space="preserve">Hazem M. </w:t>
        </w:r>
        <w:proofErr w:type="spellStart"/>
        <w:r w:rsidR="00B64DD3" w:rsidRPr="00E344D2">
          <w:rPr>
            <w:rStyle w:val="a3"/>
            <w:rFonts w:ascii="Arial" w:hAnsi="Arial" w:cs="Arial"/>
            <w:color w:val="auto"/>
            <w:sz w:val="18"/>
            <w:szCs w:val="18"/>
            <w:u w:val="none"/>
          </w:rPr>
          <w:t>Kalaji</w:t>
        </w:r>
        <w:proofErr w:type="spellEnd"/>
      </w:hyperlink>
      <w:r w:rsidR="00B64DD3" w:rsidRPr="00E344D2">
        <w:rPr>
          <w:rFonts w:ascii="Arial" w:hAnsi="Arial" w:cs="Arial"/>
          <w:sz w:val="18"/>
          <w:szCs w:val="18"/>
        </w:rPr>
        <w:t xml:space="preserve">, </w:t>
      </w:r>
      <w:hyperlink r:id="rId8" w:anchor="auth-Anjana-Jajoo-Aff2" w:history="1">
        <w:r w:rsidR="00B64DD3" w:rsidRPr="00E344D2">
          <w:rPr>
            <w:rStyle w:val="a3"/>
            <w:rFonts w:ascii="Arial" w:hAnsi="Arial" w:cs="Arial"/>
            <w:color w:val="auto"/>
            <w:sz w:val="18"/>
            <w:szCs w:val="18"/>
            <w:u w:val="none"/>
          </w:rPr>
          <w:t xml:space="preserve">Anjana </w:t>
        </w:r>
        <w:proofErr w:type="spellStart"/>
        <w:r w:rsidR="00B64DD3" w:rsidRPr="00E344D2">
          <w:rPr>
            <w:rStyle w:val="a3"/>
            <w:rFonts w:ascii="Arial" w:hAnsi="Arial" w:cs="Arial"/>
            <w:color w:val="auto"/>
            <w:sz w:val="18"/>
            <w:szCs w:val="18"/>
            <w:u w:val="none"/>
          </w:rPr>
          <w:t>Jajoo</w:t>
        </w:r>
        <w:proofErr w:type="spellEnd"/>
      </w:hyperlink>
      <w:r w:rsidR="00B64DD3" w:rsidRPr="00E344D2">
        <w:rPr>
          <w:rFonts w:ascii="Arial" w:hAnsi="Arial" w:cs="Arial"/>
          <w:sz w:val="18"/>
          <w:szCs w:val="18"/>
        </w:rPr>
        <w:t xml:space="preserve"> at.all.</w:t>
      </w:r>
      <w:r w:rsidR="00B64DD3">
        <w:rPr>
          <w:rFonts w:ascii="Arial" w:hAnsi="Arial" w:cs="Arial"/>
          <w:sz w:val="18"/>
          <w:szCs w:val="18"/>
        </w:rPr>
        <w:t>,2016</w:t>
      </w:r>
      <w:r w:rsidR="00B64DD3">
        <w:rPr>
          <w:rFonts w:ascii="Arial" w:hAnsi="Arial" w:cs="Arial"/>
          <w:sz w:val="18"/>
          <w:szCs w:val="18"/>
        </w:rPr>
        <w:t>)</w:t>
      </w:r>
      <w:r>
        <w:rPr>
          <w:rFonts w:ascii="Arial" w:hAnsi="Arial" w:cs="Arial"/>
          <w:sz w:val="18"/>
          <w:szCs w:val="18"/>
        </w:rPr>
        <w:t>.</w:t>
      </w:r>
      <w:r>
        <w:rPr>
          <w:rFonts w:ascii="Arial" w:hAnsi="Arial" w:cs="Arial"/>
          <w:sz w:val="18"/>
          <w:szCs w:val="18"/>
        </w:rPr>
        <w:br/>
        <w:t>The level of the fluorescence signal is generally determined by the quantity of fluorescent chlorophyll molecules present in plant organs. To avoid dependence on instrument parameters and the influence of atmospheric interference, the ratio of fluorescence intensity in two characteristic spectral regions is typically recorded, such as F690/F735 or F690/F740. This selection is justified by the fact that the chlorophyll fluorescence spectrum in the green leaf of higher plants exhibits a rather narrow short</w:t>
      </w:r>
      <w:r>
        <w:rPr>
          <w:rFonts w:ascii="Arial" w:hAnsi="Arial" w:cs="Arial"/>
          <w:sz w:val="18"/>
          <w:szCs w:val="18"/>
        </w:rPr>
        <w:noBreakHyphen/>
        <w:t>wavelength band with a maximum in the red region around 685–690 nm, and a broad long</w:t>
      </w:r>
      <w:r>
        <w:rPr>
          <w:rFonts w:ascii="Arial" w:hAnsi="Arial" w:cs="Arial"/>
          <w:sz w:val="18"/>
          <w:szCs w:val="18"/>
        </w:rPr>
        <w:noBreakHyphen/>
        <w:t>wavelength band with a maximum in the far</w:t>
      </w:r>
      <w:r>
        <w:rPr>
          <w:rFonts w:ascii="Arial" w:hAnsi="Arial" w:cs="Arial"/>
          <w:sz w:val="18"/>
          <w:szCs w:val="18"/>
        </w:rPr>
        <w:noBreakHyphen/>
        <w:t>red region around 730–740 nm.</w:t>
      </w:r>
      <w:r>
        <w:rPr>
          <w:rFonts w:ascii="Arial" w:hAnsi="Arial" w:cs="Arial"/>
          <w:sz w:val="18"/>
          <w:szCs w:val="18"/>
        </w:rPr>
        <w:br/>
        <w:t>Thus, it can be stated that the ratio of chlorophyll fluorescence in the red and far</w:t>
      </w:r>
      <w:r>
        <w:rPr>
          <w:rFonts w:ascii="Arial" w:hAnsi="Arial" w:cs="Arial"/>
          <w:sz w:val="18"/>
          <w:szCs w:val="18"/>
        </w:rPr>
        <w:noBreakHyphen/>
        <w:t>red ranges is considered a convenient tool for detecting differences in chlorophyll content in leaves, as well as for monitoring changes in the plant photosynthetic apparatus (PSA) induced by alterations in environmental conditions (</w:t>
      </w:r>
      <w:proofErr w:type="spellStart"/>
      <w:r>
        <w:rPr>
          <w:rFonts w:ascii="Arial" w:hAnsi="Arial" w:cs="Arial"/>
          <w:sz w:val="18"/>
          <w:szCs w:val="18"/>
        </w:rPr>
        <w:t>Buschmann</w:t>
      </w:r>
      <w:proofErr w:type="spellEnd"/>
      <w:r>
        <w:rPr>
          <w:rFonts w:ascii="Arial" w:hAnsi="Arial" w:cs="Arial"/>
          <w:sz w:val="18"/>
          <w:szCs w:val="18"/>
        </w:rPr>
        <w:t>, 2007).</w:t>
      </w:r>
    </w:p>
    <w:p w14:paraId="4506D4C9" w14:textId="133666A0" w:rsidR="003279EC" w:rsidRDefault="00806571" w:rsidP="00806571">
      <w:pPr>
        <w:pStyle w:val="CETheadingx"/>
        <w:rPr>
          <w:rFonts w:cs="Arial"/>
          <w:szCs w:val="18"/>
        </w:rPr>
      </w:pPr>
      <w:r>
        <w:t xml:space="preserve">1.2 </w:t>
      </w:r>
      <w:r w:rsidR="00FB4380">
        <w:t>Factors Affecting the Fluorescence Spectrum</w:t>
      </w:r>
    </w:p>
    <w:p w14:paraId="321DF24B" w14:textId="77777777" w:rsidR="003279EC" w:rsidRDefault="00FB4380">
      <w:pPr>
        <w:pStyle w:val="a5"/>
        <w:jc w:val="both"/>
        <w:rPr>
          <w:rFonts w:ascii="Arial" w:hAnsi="Arial" w:cs="Arial"/>
          <w:sz w:val="18"/>
          <w:szCs w:val="18"/>
        </w:rPr>
      </w:pPr>
      <w:r>
        <w:rPr>
          <w:rFonts w:ascii="Arial" w:hAnsi="Arial" w:cs="Arial"/>
          <w:sz w:val="18"/>
          <w:szCs w:val="18"/>
        </w:rPr>
        <w:t>The functioning of the photosynthetic apparatus (PSA) is affected by a number of adverse factors, such as a deficiency of certain nutrients (N, P, K, Ca, Mg, S, or Fe) or insufficient water supply (</w:t>
      </w:r>
      <w:proofErr w:type="spellStart"/>
      <w:r>
        <w:rPr>
          <w:rFonts w:ascii="Arial" w:hAnsi="Arial" w:cs="Arial"/>
          <w:sz w:val="18"/>
          <w:szCs w:val="18"/>
        </w:rPr>
        <w:t>Agati</w:t>
      </w:r>
      <w:proofErr w:type="spellEnd"/>
      <w:r>
        <w:rPr>
          <w:rFonts w:ascii="Arial" w:hAnsi="Arial" w:cs="Arial"/>
          <w:sz w:val="18"/>
          <w:szCs w:val="18"/>
        </w:rPr>
        <w:t xml:space="preserve"> G., </w:t>
      </w:r>
      <w:proofErr w:type="spellStart"/>
      <w:r>
        <w:rPr>
          <w:rFonts w:ascii="Arial" w:hAnsi="Arial" w:cs="Arial"/>
          <w:sz w:val="18"/>
          <w:szCs w:val="18"/>
        </w:rPr>
        <w:t>Cerovic</w:t>
      </w:r>
      <w:proofErr w:type="spellEnd"/>
      <w:r>
        <w:rPr>
          <w:rFonts w:ascii="Arial" w:hAnsi="Arial" w:cs="Arial"/>
          <w:sz w:val="18"/>
          <w:szCs w:val="18"/>
        </w:rPr>
        <w:t> Z. G. et al., 2000). These factors also exert a significant influence on the fluorescence yield. Chappelle E. W. et al. (1984) noted that nitrogen and phosphorus deficiencies reduce the fluorescence intensity at 690 and 740 nm by a factor of two to three. Analysis of the laser</w:t>
      </w:r>
      <w:r>
        <w:rPr>
          <w:rFonts w:ascii="Arial" w:hAnsi="Arial" w:cs="Arial"/>
          <w:sz w:val="18"/>
          <w:szCs w:val="18"/>
        </w:rPr>
        <w:noBreakHyphen/>
        <w:t>induced fluorescence (LIF) spectral curves of plant leaves revealed that cotton grown under conditions without the addition of key mineral nutrients (nitrogen, phosphorus, and potassium) to the substrate exhibits a lower fluorescence yield compared to the control samples. This can be attributed solely to the reduction in chlorophyll content in the leaves under nutrient deficiency, i.e., a decrease in the number of fluorescent molecules.</w:t>
      </w:r>
      <w:r>
        <w:rPr>
          <w:rFonts w:ascii="Arial" w:hAnsi="Arial" w:cs="Arial"/>
          <w:sz w:val="18"/>
          <w:szCs w:val="18"/>
        </w:rPr>
        <w:br/>
        <w:t>However, the divergent nature of the fluorescence response to external conditions complicates the unambiguous interpretation of remote sensing data, not only based on measurements of the total fluorescence yield but also on the F680/F740 ratio. Therefore, the most appropriate approach appears to be the use of the fluorescence spectral structure across a broad wavelength range—rather than in just two spectral regions—as an indicator of plant status.</w:t>
      </w:r>
    </w:p>
    <w:p w14:paraId="41E507D4" w14:textId="77777777" w:rsidR="003279EC" w:rsidRDefault="00FB4380">
      <w:pPr>
        <w:pStyle w:val="CETHeading1"/>
      </w:pPr>
      <w:r>
        <w:t>Methodology</w:t>
      </w:r>
    </w:p>
    <w:p w14:paraId="0A6A2F07" w14:textId="31514EF4" w:rsidR="003279EC" w:rsidRDefault="00FB4380">
      <w:pPr>
        <w:rPr>
          <w:rFonts w:ascii="Arial" w:hAnsi="Arial" w:cs="Arial"/>
          <w:sz w:val="18"/>
          <w:szCs w:val="18"/>
          <w:lang w:val="ru-RU"/>
        </w:rPr>
      </w:pPr>
      <w:r>
        <w:rPr>
          <w:rFonts w:ascii="Arial" w:hAnsi="Arial" w:cs="Arial"/>
          <w:b/>
          <w:bCs/>
          <w:sz w:val="18"/>
          <w:szCs w:val="18"/>
          <w:lang w:val="ru-RU"/>
        </w:rPr>
        <w:t>2.1</w:t>
      </w:r>
      <w:r>
        <w:rPr>
          <w:rFonts w:ascii="Arial" w:hAnsi="Arial" w:cs="Arial"/>
          <w:b/>
          <w:bCs/>
          <w:sz w:val="18"/>
          <w:szCs w:val="18"/>
        </w:rPr>
        <w:t xml:space="preserve"> </w:t>
      </w:r>
      <w:r>
        <w:rPr>
          <w:rStyle w:val="a4"/>
          <w:rFonts w:ascii="Arial" w:hAnsi="Arial" w:cs="Arial"/>
          <w:sz w:val="18"/>
          <w:szCs w:val="18"/>
        </w:rPr>
        <w:t>Experimental Methodology</w:t>
      </w:r>
    </w:p>
    <w:p w14:paraId="269ADF4F" w14:textId="6ACF2916" w:rsidR="003279EC" w:rsidRDefault="00FB4380">
      <w:pPr>
        <w:pStyle w:val="a5"/>
        <w:jc w:val="both"/>
        <w:rPr>
          <w:rFonts w:ascii="Arial" w:hAnsi="Arial" w:cs="Arial"/>
          <w:sz w:val="18"/>
          <w:szCs w:val="18"/>
        </w:rPr>
      </w:pPr>
      <w:r>
        <w:rPr>
          <w:rFonts w:ascii="Arial" w:hAnsi="Arial" w:cs="Arial"/>
          <w:sz w:val="18"/>
          <w:szCs w:val="18"/>
        </w:rPr>
        <w:t>The study focused on cultivated cotton varieties C</w:t>
      </w:r>
      <w:r>
        <w:rPr>
          <w:rFonts w:ascii="Arial" w:hAnsi="Arial" w:cs="Arial"/>
          <w:sz w:val="18"/>
          <w:szCs w:val="18"/>
        </w:rPr>
        <w:noBreakHyphen/>
        <w:t>4727 and Tashkent</w:t>
      </w:r>
      <w:r>
        <w:rPr>
          <w:rFonts w:ascii="Arial" w:hAnsi="Arial" w:cs="Arial"/>
          <w:sz w:val="18"/>
          <w:szCs w:val="18"/>
        </w:rPr>
        <w:noBreakHyphen/>
        <w:t>4. The plants were grown in Wagner pots with a capacity of 28–30 kg at the vegetation site of the Institute of Genetics and Experimental Biology of Plants (INEBP), Academy of Sciences of the Republic of Uzbekistan. The pots were filled with a sand–soil mixture in a 1:3 ratio. The substrate moisture content was maintained at 65–70 % of the total water</w:t>
      </w:r>
      <w:r>
        <w:rPr>
          <w:rFonts w:ascii="Arial" w:hAnsi="Arial" w:cs="Arial"/>
          <w:sz w:val="18"/>
          <w:szCs w:val="18"/>
        </w:rPr>
        <w:noBreakHyphen/>
        <w:t>holding capacity throughout the cotton development period.</w:t>
      </w:r>
      <w:r>
        <w:rPr>
          <w:rFonts w:ascii="Arial" w:hAnsi="Arial" w:cs="Arial"/>
          <w:sz w:val="18"/>
          <w:szCs w:val="18"/>
        </w:rPr>
        <w:br/>
        <w:t>The experiment on mineral nutrition of cotton was arranged according to the following scheme: five pots with cotton plants were cultivated with the application of an optimal dose of nitrogen, phosphorus, and potassium; the next five pots with cotton plants were cultivated without the addition of these elements.</w:t>
      </w:r>
      <w:r>
        <w:rPr>
          <w:rFonts w:ascii="Arial" w:hAnsi="Arial" w:cs="Arial"/>
          <w:sz w:val="18"/>
          <w:szCs w:val="18"/>
        </w:rPr>
        <w:br/>
        <w:t>Phosphorus and potassium fertilizers, at rates of 4 g and 3 g, respectively, were applied when filling the pots. Nitrogen fertilizer, at a rate of 2 g in dissolved form, was applied prior to sowing, and the remaining portion (1 g each) was administered in three top</w:t>
      </w:r>
      <w:r>
        <w:rPr>
          <w:rFonts w:ascii="Arial" w:hAnsi="Arial" w:cs="Arial"/>
          <w:sz w:val="18"/>
          <w:szCs w:val="18"/>
        </w:rPr>
        <w:noBreakHyphen/>
        <w:t>dressing applications: during the 2–3 true</w:t>
      </w:r>
      <w:r>
        <w:rPr>
          <w:rFonts w:ascii="Arial" w:hAnsi="Arial" w:cs="Arial"/>
          <w:sz w:val="18"/>
          <w:szCs w:val="18"/>
        </w:rPr>
        <w:noBreakHyphen/>
        <w:t xml:space="preserve">leaf stage, at budding, and at the onset of flowering. The first signs of mineral stress were detected as early as the </w:t>
      </w:r>
      <w:r w:rsidR="002D615F">
        <w:rPr>
          <w:rFonts w:ascii="Arial" w:hAnsi="Arial" w:cs="Arial"/>
          <w:sz w:val="18"/>
          <w:szCs w:val="18"/>
        </w:rPr>
        <w:br/>
      </w:r>
      <w:r>
        <w:rPr>
          <w:rFonts w:ascii="Arial" w:hAnsi="Arial" w:cs="Arial"/>
          <w:sz w:val="18"/>
          <w:szCs w:val="18"/>
        </w:rPr>
        <w:t>2–3 true</w:t>
      </w:r>
      <w:r>
        <w:rPr>
          <w:rFonts w:ascii="Arial" w:hAnsi="Arial" w:cs="Arial"/>
          <w:sz w:val="18"/>
          <w:szCs w:val="18"/>
        </w:rPr>
        <w:noBreakHyphen/>
        <w:t>leaf stage.</w:t>
      </w:r>
      <w:r>
        <w:rPr>
          <w:rFonts w:ascii="Arial" w:hAnsi="Arial" w:cs="Arial"/>
          <w:sz w:val="18"/>
          <w:szCs w:val="18"/>
        </w:rPr>
        <w:br/>
        <w:t>Laboratory measurements of the laser</w:t>
      </w:r>
      <w:r>
        <w:rPr>
          <w:rFonts w:ascii="Arial" w:hAnsi="Arial" w:cs="Arial"/>
          <w:sz w:val="18"/>
          <w:szCs w:val="18"/>
        </w:rPr>
        <w:noBreakHyphen/>
        <w:t>induced fluorescence (LIF) spectra of leaves from reference plants were carried out using a spectral computing device equipped with a helium–neon laser and a nitrogen laser, generating radiation in the blue and green regions of the visible spectrum at wavelengths of 514.5 nm, 488.0 nm, and 476.5 nm, with a power of approximately 1 W across all lines. Remote experiments were conducted using a spectrometric complex mounted on board an aircraft.</w:t>
      </w:r>
    </w:p>
    <w:p w14:paraId="1E75A348" w14:textId="77777777" w:rsidR="003279EC" w:rsidRPr="002D615F" w:rsidRDefault="003279EC">
      <w:pPr>
        <w:pStyle w:val="CETBodytext"/>
      </w:pPr>
    </w:p>
    <w:p w14:paraId="2205C2DF" w14:textId="35061BF8" w:rsidR="003279EC" w:rsidRDefault="00806571" w:rsidP="00806571">
      <w:pPr>
        <w:pStyle w:val="CETheadingx"/>
      </w:pPr>
      <w:r>
        <w:lastRenderedPageBreak/>
        <w:t xml:space="preserve">2.2 </w:t>
      </w:r>
      <w:r w:rsidR="00FB4380">
        <w:t>Algorithm for Recognizing and Calculating Plant Biomass</w:t>
      </w:r>
    </w:p>
    <w:p w14:paraId="5211A3F3" w14:textId="2604901E" w:rsidR="003279EC" w:rsidRDefault="00FB4380" w:rsidP="00FB4380">
      <w:pPr>
        <w:jc w:val="both"/>
        <w:rPr>
          <w:rFonts w:ascii="Arial" w:hAnsi="Arial" w:cs="Arial"/>
          <w:sz w:val="18"/>
          <w:szCs w:val="18"/>
          <w:lang w:val="en-GB"/>
        </w:rPr>
      </w:pPr>
      <w:r>
        <w:rPr>
          <w:rFonts w:ascii="Arial" w:hAnsi="Arial" w:cs="Arial"/>
          <w:sz w:val="18"/>
          <w:szCs w:val="18"/>
          <w:lang w:val="en-GB"/>
        </w:rPr>
        <w:t>For mathematical processing of the results and construction of a classifier based on spectral data, an image recognition method based on the calculation of discriminant functions was used (Yu H., J. Yang</w:t>
      </w:r>
      <w:r>
        <w:rPr>
          <w:rFonts w:ascii="Arial" w:hAnsi="Arial" w:cs="Arial"/>
          <w:sz w:val="18"/>
          <w:szCs w:val="18"/>
        </w:rPr>
        <w:t>,</w:t>
      </w:r>
      <w:r>
        <w:rPr>
          <w:rFonts w:ascii="Arial" w:hAnsi="Arial" w:cs="Arial"/>
          <w:sz w:val="18"/>
          <w:szCs w:val="18"/>
          <w:lang w:val="en-GB"/>
        </w:rPr>
        <w:t xml:space="preserve"> 2001)</w:t>
      </w:r>
      <w:r>
        <w:rPr>
          <w:lang w:val="en-GB"/>
        </w:rPr>
        <w:t>.</w:t>
      </w:r>
      <w:r>
        <w:rPr>
          <w:lang w:val="en-GB"/>
        </w:rPr>
        <w:br/>
      </w:r>
      <w:r>
        <w:rPr>
          <w:rFonts w:ascii="Arial" w:hAnsi="Arial" w:cs="Arial"/>
          <w:sz w:val="18"/>
          <w:szCs w:val="18"/>
          <w:lang w:val="en-GB"/>
        </w:rPr>
        <w:t>A comparison of the statistical series curve obtained from a series of spectra (whose mathematical expectation and variance were calculated from tabulated data on cotton fluorescence spectra) with the normal distribution curve showed that the distribution of the probability density of luminescence intensity in each spectral channel obeys the normal law. At the same time, the spectral responses measured in two characteristic spectral channels were found to be dependent. These signal properties provided the basis for selecting a discriminant function in the form of a normal distribution.</w:t>
      </w:r>
      <w:r w:rsidR="00806571" w:rsidRPr="00806571">
        <w:rPr>
          <w:rFonts w:ascii="Arial" w:hAnsi="Arial" w:cs="Arial"/>
          <w:sz w:val="18"/>
          <w:szCs w:val="18"/>
          <w:lang w:val="en-GB"/>
        </w:rPr>
        <w:t xml:space="preserve"> </w:t>
      </w:r>
      <w:r w:rsidR="00806571">
        <w:rPr>
          <w:rFonts w:ascii="Arial" w:hAnsi="Arial" w:cs="Arial"/>
          <w:sz w:val="18"/>
          <w:szCs w:val="18"/>
          <w:lang w:val="en-GB"/>
        </w:rPr>
        <w:t xml:space="preserve">The discriminant function </w:t>
      </w:r>
      <w:proofErr w:type="spellStart"/>
      <w:r w:rsidR="00806571">
        <w:rPr>
          <w:rFonts w:ascii="Arial" w:hAnsi="Arial" w:cs="Arial"/>
          <w:i/>
          <w:iCs/>
          <w:sz w:val="18"/>
          <w:szCs w:val="18"/>
          <w:lang w:val="en-GB"/>
        </w:rPr>
        <w:t>g</w:t>
      </w:r>
      <w:r w:rsidR="00806571">
        <w:rPr>
          <w:rFonts w:ascii="Arial" w:hAnsi="Arial" w:cs="Arial"/>
          <w:i/>
          <w:iCs/>
          <w:sz w:val="18"/>
          <w:szCs w:val="18"/>
          <w:vertAlign w:val="subscript"/>
          <w:lang w:val="en-GB"/>
        </w:rPr>
        <w:t>i</w:t>
      </w:r>
      <w:proofErr w:type="spellEnd"/>
      <w:r w:rsidR="00806571">
        <w:rPr>
          <w:rFonts w:ascii="Arial" w:hAnsi="Arial" w:cs="Arial"/>
          <w:sz w:val="18"/>
          <w:szCs w:val="18"/>
          <w:lang w:val="en-GB"/>
        </w:rPr>
        <w:t>(</w:t>
      </w:r>
      <w:r w:rsidR="00806571">
        <w:rPr>
          <w:rFonts w:ascii="Arial" w:hAnsi="Arial" w:cs="Arial"/>
          <w:i/>
          <w:iCs/>
          <w:sz w:val="18"/>
          <w:szCs w:val="18"/>
          <w:lang w:val="en-GB"/>
        </w:rPr>
        <w:t>x</w:t>
      </w:r>
      <w:r w:rsidR="00806571">
        <w:rPr>
          <w:rFonts w:ascii="Arial" w:hAnsi="Arial" w:cs="Arial"/>
          <w:sz w:val="18"/>
          <w:szCs w:val="18"/>
          <w:lang w:val="en-GB"/>
        </w:rPr>
        <w:t xml:space="preserve">) of different classes </w:t>
      </w:r>
      <w:proofErr w:type="spellStart"/>
      <w:r w:rsidR="00806571">
        <w:rPr>
          <w:rFonts w:ascii="Arial" w:hAnsi="Arial" w:cs="Arial"/>
          <w:i/>
          <w:iCs/>
          <w:sz w:val="18"/>
          <w:szCs w:val="18"/>
          <w:lang w:val="en-GB"/>
        </w:rPr>
        <w:t>i</w:t>
      </w:r>
      <w:proofErr w:type="spellEnd"/>
      <w:r w:rsidR="00806571">
        <w:rPr>
          <w:rFonts w:ascii="Arial" w:hAnsi="Arial" w:cs="Arial"/>
          <w:sz w:val="18"/>
          <w:szCs w:val="18"/>
          <w:lang w:val="en-GB"/>
        </w:rPr>
        <w:t xml:space="preserve"> was estimated according to the maximum likelihood rule</w:t>
      </w:r>
    </w:p>
    <w:tbl>
      <w:tblPr>
        <w:tblW w:w="5000" w:type="pct"/>
        <w:tblLook w:val="04A0" w:firstRow="1" w:lastRow="0" w:firstColumn="1" w:lastColumn="0" w:noHBand="0" w:noVBand="1"/>
      </w:tblPr>
      <w:tblGrid>
        <w:gridCol w:w="7742"/>
        <w:gridCol w:w="780"/>
      </w:tblGrid>
      <w:tr w:rsidR="003279EC" w14:paraId="3349CD11" w14:textId="77777777" w:rsidTr="00806571">
        <w:tc>
          <w:tcPr>
            <w:tcW w:w="7986" w:type="dxa"/>
            <w:vAlign w:val="center"/>
          </w:tcPr>
          <w:p w14:paraId="09CB914C" w14:textId="13A752F3" w:rsidR="003279EC" w:rsidRDefault="00FB4380">
            <w:pPr>
              <w:pStyle w:val="CETBodytext"/>
            </w:pPr>
            <w:r>
              <w:rPr>
                <w:position w:val="-12"/>
              </w:rPr>
              <w:object w:dxaOrig="3416" w:dyaOrig="410" w14:anchorId="7AF6DF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alt="" style="width:171pt;height:20.25pt" o:ole="">
                  <v:imagedata r:id="rId9" o:title=""/>
                </v:shape>
                <o:OLEObject Type="Embed" ProgID="Equation.DSMT4" ShapeID="_x0000_i1049" DrawAspect="Content" ObjectID="_1843746949" r:id="rId10"/>
              </w:object>
            </w:r>
            <w:r>
              <w:t>,</w:t>
            </w:r>
          </w:p>
        </w:tc>
        <w:tc>
          <w:tcPr>
            <w:tcW w:w="801" w:type="dxa"/>
            <w:vAlign w:val="center"/>
          </w:tcPr>
          <w:p w14:paraId="6191D94A" w14:textId="77777777" w:rsidR="003279EC" w:rsidRDefault="00FB4380">
            <w:pPr>
              <w:pStyle w:val="CETEquation"/>
              <w:jc w:val="right"/>
            </w:pPr>
            <w:r>
              <w:t>(1)</w:t>
            </w:r>
          </w:p>
        </w:tc>
      </w:tr>
    </w:tbl>
    <w:p w14:paraId="314CCF35" w14:textId="3F54409B" w:rsidR="003279EC" w:rsidRPr="00764B94" w:rsidRDefault="00FB4380" w:rsidP="00764B94">
      <w:pPr>
        <w:pStyle w:val="a5"/>
        <w:rPr>
          <w:rFonts w:ascii="Arial" w:hAnsi="Arial" w:cs="Arial"/>
          <w:sz w:val="18"/>
          <w:szCs w:val="18"/>
        </w:rPr>
      </w:pPr>
      <w:r w:rsidRPr="00803962">
        <w:rPr>
          <w:rFonts w:ascii="Arial" w:hAnsi="Arial" w:cs="Arial"/>
          <w:sz w:val="18"/>
          <w:szCs w:val="18"/>
          <w:lang w:val="en-GB"/>
        </w:rPr>
        <w:t xml:space="preserve">where </w:t>
      </w:r>
      <w:r w:rsidRPr="00803962">
        <w:rPr>
          <w:rFonts w:ascii="Arial" w:hAnsi="Arial" w:cs="Arial"/>
          <w:i/>
          <w:iCs/>
          <w:sz w:val="18"/>
          <w:szCs w:val="18"/>
          <w:lang w:val="en-GB"/>
        </w:rPr>
        <w:t>P</w:t>
      </w:r>
      <w:r w:rsidRPr="00803962">
        <w:rPr>
          <w:rFonts w:ascii="Arial" w:hAnsi="Arial" w:cs="Arial"/>
          <w:sz w:val="18"/>
          <w:szCs w:val="18"/>
          <w:lang w:val="en-GB"/>
        </w:rPr>
        <w:t>(</w:t>
      </w:r>
      <w:r w:rsidRPr="00803962">
        <w:rPr>
          <w:rFonts w:ascii="Arial" w:hAnsi="Arial" w:cs="Arial"/>
          <w:i/>
          <w:iCs/>
          <w:sz w:val="18"/>
          <w:szCs w:val="18"/>
          <w:lang w:val="ru-RU"/>
        </w:rPr>
        <w:sym w:font="Symbol" w:char="F077"/>
      </w:r>
      <w:proofErr w:type="spellStart"/>
      <w:r w:rsidRPr="00803962">
        <w:rPr>
          <w:rFonts w:ascii="Arial" w:hAnsi="Arial" w:cs="Arial"/>
          <w:sz w:val="18"/>
          <w:szCs w:val="18"/>
          <w:vertAlign w:val="subscript"/>
          <w:lang w:val="en-GB"/>
        </w:rPr>
        <w:t>i</w:t>
      </w:r>
      <w:proofErr w:type="spellEnd"/>
      <w:r w:rsidRPr="00803962">
        <w:rPr>
          <w:rFonts w:ascii="Arial" w:hAnsi="Arial" w:cs="Arial"/>
          <w:sz w:val="18"/>
          <w:szCs w:val="18"/>
          <w:lang w:val="en-GB"/>
        </w:rPr>
        <w:t xml:space="preserve">) is the prior probability of class </w:t>
      </w:r>
      <w:proofErr w:type="spellStart"/>
      <w:r w:rsidRPr="00803962">
        <w:rPr>
          <w:rFonts w:ascii="Arial" w:hAnsi="Arial" w:cs="Arial"/>
          <w:i/>
          <w:iCs/>
          <w:sz w:val="18"/>
          <w:szCs w:val="18"/>
          <w:lang w:val="en-GB"/>
        </w:rPr>
        <w:t>i</w:t>
      </w:r>
      <w:proofErr w:type="spellEnd"/>
      <w:r w:rsidRPr="00803962">
        <w:rPr>
          <w:rFonts w:ascii="Arial" w:hAnsi="Arial" w:cs="Arial"/>
          <w:sz w:val="18"/>
          <w:szCs w:val="18"/>
          <w:lang w:val="en-GB"/>
        </w:rPr>
        <w:t xml:space="preserve">, i.e., the probability of observing an image from class </w:t>
      </w:r>
      <w:proofErr w:type="spellStart"/>
      <w:r w:rsidRPr="00803962">
        <w:rPr>
          <w:rFonts w:ascii="Arial" w:hAnsi="Arial" w:cs="Arial"/>
          <w:i/>
          <w:iCs/>
          <w:sz w:val="18"/>
          <w:szCs w:val="18"/>
          <w:lang w:val="en-GB"/>
        </w:rPr>
        <w:t>i</w:t>
      </w:r>
      <w:proofErr w:type="spellEnd"/>
      <w:r w:rsidRPr="00803962">
        <w:rPr>
          <w:rFonts w:ascii="Arial" w:hAnsi="Arial" w:cs="Arial"/>
          <w:sz w:val="18"/>
          <w:szCs w:val="18"/>
          <w:lang w:val="en-GB"/>
        </w:rPr>
        <w:t>, independent of any other information.</w:t>
      </w:r>
      <w:r w:rsidR="00B64DD3" w:rsidRPr="00803962">
        <w:rPr>
          <w:rFonts w:ascii="Arial" w:hAnsi="Arial" w:cs="Arial"/>
          <w:sz w:val="18"/>
          <w:szCs w:val="18"/>
          <w:lang w:val="en-GB"/>
        </w:rPr>
        <w:br/>
      </w:r>
      <w:r w:rsidRPr="00803962">
        <w:rPr>
          <w:rFonts w:ascii="Arial" w:hAnsi="Arial" w:cs="Arial"/>
          <w:sz w:val="18"/>
          <w:szCs w:val="18"/>
        </w:rPr>
        <w:br/>
      </w:r>
      <w:r w:rsidR="00803962" w:rsidRPr="00803962">
        <w:rPr>
          <w:rFonts w:ascii="Arial" w:eastAsia="Times New Roman" w:hAnsi="Arial" w:cs="Arial"/>
          <w:sz w:val="18"/>
          <w:szCs w:val="18"/>
          <w:lang w:eastAsia="ru-RU"/>
        </w:rPr>
        <w:t>Biomass was calculated numerically according to the following algorithm</w:t>
      </w:r>
      <w:r w:rsidR="00803962" w:rsidRPr="00803962">
        <w:rPr>
          <w:rFonts w:ascii="Arial" w:eastAsia="Times New Roman" w:hAnsi="Arial" w:cs="Arial"/>
          <w:sz w:val="18"/>
          <w:szCs w:val="18"/>
          <w:lang w:eastAsia="ru-RU"/>
        </w:rPr>
        <w:t xml:space="preserve"> </w:t>
      </w:r>
      <w:r w:rsidRPr="00803962">
        <w:rPr>
          <w:rFonts w:ascii="Arial" w:hAnsi="Arial" w:cs="Arial"/>
          <w:sz w:val="18"/>
          <w:szCs w:val="18"/>
          <w:lang w:val="en-GB"/>
        </w:rPr>
        <w:t>(</w:t>
      </w:r>
      <w:proofErr w:type="spellStart"/>
      <w:r w:rsidRPr="00803962">
        <w:rPr>
          <w:rFonts w:ascii="Arial" w:hAnsi="Arial" w:cs="Arial"/>
          <w:sz w:val="18"/>
          <w:szCs w:val="18"/>
          <w:lang w:val="en-GB"/>
        </w:rPr>
        <w:t>Mukhamedov</w:t>
      </w:r>
      <w:proofErr w:type="spellEnd"/>
      <w:r w:rsidRPr="00803962">
        <w:rPr>
          <w:rFonts w:ascii="Arial" w:hAnsi="Arial" w:cs="Arial"/>
          <w:sz w:val="18"/>
          <w:szCs w:val="18"/>
          <w:lang w:val="en-GB"/>
        </w:rPr>
        <w:t xml:space="preserve"> A.A. et al. 202</w:t>
      </w:r>
      <w:r w:rsidR="00803962" w:rsidRPr="00803962">
        <w:rPr>
          <w:rFonts w:ascii="Arial" w:hAnsi="Arial" w:cs="Arial"/>
          <w:sz w:val="18"/>
          <w:szCs w:val="18"/>
        </w:rPr>
        <w:t>5</w:t>
      </w:r>
      <w:r w:rsidRPr="00803962">
        <w:rPr>
          <w:rFonts w:ascii="Arial" w:hAnsi="Arial" w:cs="Arial"/>
          <w:sz w:val="18"/>
          <w:szCs w:val="18"/>
        </w:rPr>
        <w:t>)</w:t>
      </w:r>
      <w:r w:rsidR="00764B94">
        <w:rPr>
          <w:rFonts w:ascii="Arial" w:hAnsi="Arial" w:cs="Arial"/>
          <w:sz w:val="18"/>
          <w:szCs w:val="18"/>
        </w:rPr>
        <w:br/>
      </w:r>
      <w:r w:rsidR="00764B94" w:rsidRPr="00764B94">
        <w:rPr>
          <w:rFonts w:ascii="Arial" w:hAnsi="Arial" w:cs="Arial"/>
          <w:sz w:val="18"/>
          <w:szCs w:val="18"/>
        </w:rPr>
        <w:t xml:space="preserve">          </w:t>
      </w:r>
    </w:p>
    <w:tbl>
      <w:tblPr>
        <w:tblW w:w="5000" w:type="pct"/>
        <w:tblLook w:val="04A0" w:firstRow="1" w:lastRow="0" w:firstColumn="1" w:lastColumn="0" w:noHBand="0" w:noVBand="1"/>
      </w:tblPr>
      <w:tblGrid>
        <w:gridCol w:w="7737"/>
        <w:gridCol w:w="785"/>
      </w:tblGrid>
      <w:tr w:rsidR="003279EC" w14:paraId="234E9BE6" w14:textId="77777777">
        <w:tc>
          <w:tcPr>
            <w:tcW w:w="7986" w:type="dxa"/>
            <w:vAlign w:val="center"/>
          </w:tcPr>
          <w:p w14:paraId="6AB5E969" w14:textId="77777777" w:rsidR="003279EC" w:rsidRDefault="00FB4380" w:rsidP="00764B94">
            <w:pPr>
              <w:pStyle w:val="CETEquation"/>
              <w:spacing w:line="240" w:lineRule="auto"/>
            </w:pPr>
            <w:r>
              <w:rPr>
                <w:position w:val="-22"/>
              </w:rPr>
              <w:object w:dxaOrig="2094" w:dyaOrig="589" w14:anchorId="6BEAD5F9">
                <v:shape id="_x0000_i1064" type="#_x0000_t75" alt="" style="width:104.25pt;height:29.25pt" o:ole="">
                  <v:imagedata r:id="rId11" o:title=""/>
                </v:shape>
                <o:OLEObject Type="Embed" ProgID="Equation.DSMT4" ShapeID="_x0000_i1064" DrawAspect="Content" ObjectID="_1843746950" r:id="rId12"/>
              </w:object>
            </w:r>
            <w:r>
              <w:t>,</w:t>
            </w:r>
          </w:p>
        </w:tc>
        <w:tc>
          <w:tcPr>
            <w:tcW w:w="801" w:type="dxa"/>
            <w:vAlign w:val="center"/>
          </w:tcPr>
          <w:p w14:paraId="5FC85415" w14:textId="77777777" w:rsidR="003279EC" w:rsidRDefault="00FB4380" w:rsidP="00764B94">
            <w:pPr>
              <w:pStyle w:val="CETEquation"/>
              <w:spacing w:line="240" w:lineRule="auto"/>
              <w:jc w:val="right"/>
            </w:pPr>
            <w:r>
              <w:t>(</w:t>
            </w:r>
            <w:r>
              <w:rPr>
                <w:lang w:val="ru-RU"/>
              </w:rPr>
              <w:t>2</w:t>
            </w:r>
            <w:r>
              <w:t>)</w:t>
            </w:r>
          </w:p>
        </w:tc>
      </w:tr>
    </w:tbl>
    <w:p w14:paraId="19BF7A1C" w14:textId="77777777" w:rsidR="003279EC" w:rsidRDefault="00FB4380">
      <w:pPr>
        <w:pStyle w:val="CETBodytext"/>
        <w:rPr>
          <w:lang w:val="en-GB"/>
        </w:rPr>
      </w:pPr>
      <w:r>
        <w:rPr>
          <w:lang w:val="en-GB"/>
        </w:rPr>
        <w:t xml:space="preserve">where </w:t>
      </w:r>
      <w:r>
        <w:rPr>
          <w:i/>
          <w:iCs/>
          <w:lang w:val="en-GB"/>
        </w:rPr>
        <w:t>S</w:t>
      </w:r>
      <w:r>
        <w:rPr>
          <w:i/>
          <w:iCs/>
          <w:vertAlign w:val="subscript"/>
          <w:lang w:val="en-GB"/>
        </w:rPr>
        <w:t>t</w:t>
      </w:r>
      <w:r>
        <w:rPr>
          <w:vertAlign w:val="subscript"/>
          <w:lang w:val="en-GB"/>
        </w:rPr>
        <w:t xml:space="preserve"> </w:t>
      </w:r>
      <w:r>
        <w:rPr>
          <w:vertAlign w:val="subscript"/>
        </w:rPr>
        <w:t xml:space="preserve"> </w:t>
      </w:r>
      <w:r>
        <w:rPr>
          <w:lang w:val="en-GB"/>
        </w:rPr>
        <w:t xml:space="preserve">is the total length of the sounding route, </w:t>
      </w:r>
      <w:proofErr w:type="spellStart"/>
      <w:r>
        <w:rPr>
          <w:i/>
          <w:iCs/>
          <w:lang w:val="en-GB"/>
        </w:rPr>
        <w:t>l</w:t>
      </w:r>
      <w:r>
        <w:rPr>
          <w:i/>
          <w:iCs/>
          <w:vertAlign w:val="subscript"/>
          <w:lang w:val="en-GB"/>
        </w:rPr>
        <w:t>m</w:t>
      </w:r>
      <w:proofErr w:type="spellEnd"/>
      <w:r>
        <w:rPr>
          <w:vertAlign w:val="subscript"/>
          <w:lang w:val="en-GB"/>
        </w:rPr>
        <w:t xml:space="preserve">  </w:t>
      </w:r>
      <w:r>
        <w:rPr>
          <w:lang w:val="en-GB"/>
        </w:rPr>
        <w:t xml:space="preserve">is the maximum height of plants along the route, </w:t>
      </w:r>
      <w:r>
        <w:rPr>
          <w:i/>
          <w:iCs/>
          <w:lang w:val="en-GB"/>
        </w:rPr>
        <w:t>K</w:t>
      </w:r>
      <w:r>
        <w:rPr>
          <w:lang w:val="en-GB"/>
        </w:rPr>
        <w:t>(</w:t>
      </w:r>
      <w:r>
        <w:rPr>
          <w:i/>
          <w:iCs/>
          <w:lang w:val="ru-RU"/>
        </w:rPr>
        <w:t>ε</w:t>
      </w:r>
      <w:proofErr w:type="spellStart"/>
      <w:r>
        <w:rPr>
          <w:i/>
          <w:iCs/>
          <w:vertAlign w:val="subscript"/>
          <w:lang w:val="en-GB"/>
        </w:rPr>
        <w:t>i</w:t>
      </w:r>
      <w:proofErr w:type="spellEnd"/>
      <w:r>
        <w:rPr>
          <w:lang w:val="en-GB"/>
        </w:rPr>
        <w:t>) is a correction factor that establishes the correspondence between biomass and fluorescence level for each plant class.</w:t>
      </w:r>
    </w:p>
    <w:p w14:paraId="61BC3672" w14:textId="3EDCB687" w:rsidR="003279EC" w:rsidRDefault="00FB4380">
      <w:pPr>
        <w:pStyle w:val="CETHeading1"/>
        <w:tabs>
          <w:tab w:val="clear" w:pos="360"/>
          <w:tab w:val="right" w:pos="7100"/>
        </w:tabs>
        <w:jc w:val="both"/>
        <w:rPr>
          <w:lang w:val="en-GB"/>
        </w:rPr>
      </w:pPr>
      <w:r>
        <w:rPr>
          <w:lang w:val="en-GB"/>
        </w:rPr>
        <w:t>Result and Discussion</w:t>
      </w:r>
    </w:p>
    <w:p w14:paraId="0C81AF0D" w14:textId="75192DB0" w:rsidR="003279EC" w:rsidRDefault="00FB4380">
      <w:pPr>
        <w:pStyle w:val="CETBodytext"/>
        <w:rPr>
          <w:rFonts w:cs="Arial"/>
          <w:szCs w:val="18"/>
        </w:rPr>
      </w:pPr>
      <w:r>
        <w:rPr>
          <w:rFonts w:cs="Arial"/>
          <w:b/>
          <w:bCs/>
          <w:szCs w:val="18"/>
        </w:rPr>
        <w:t xml:space="preserve">3.1. </w:t>
      </w:r>
      <w:r>
        <w:rPr>
          <w:rFonts w:eastAsia="SimSun" w:cs="Arial"/>
          <w:b/>
          <w:bCs/>
          <w:szCs w:val="18"/>
        </w:rPr>
        <w:t>Laboratory Experiments</w:t>
      </w:r>
      <w:r>
        <w:rPr>
          <w:rFonts w:eastAsia="SimSun" w:cs="Arial"/>
          <w:b/>
          <w:bCs/>
          <w:szCs w:val="18"/>
        </w:rPr>
        <w:br/>
      </w:r>
      <w:r>
        <w:rPr>
          <w:rFonts w:eastAsia="SimSun" w:cs="Arial"/>
          <w:b/>
          <w:bCs/>
          <w:szCs w:val="18"/>
        </w:rPr>
        <w:br/>
      </w:r>
      <w:r>
        <w:rPr>
          <w:rFonts w:cs="Arial"/>
          <w:szCs w:val="18"/>
        </w:rPr>
        <w:t>Analysis of the obtained laser</w:t>
      </w:r>
      <w:r>
        <w:rPr>
          <w:rFonts w:cs="Arial"/>
          <w:szCs w:val="18"/>
        </w:rPr>
        <w:noBreakHyphen/>
        <w:t>induced fluorescence (LIF) spectral curves of plant leaves (Figure 1a) reveals that cotton grown under conditions without the addition of key mineral nutrients (nitrogen, phosphorus, and potassium) to the substrate exhibits a lower fluorescence yield compared to the control samples. In the normalized spectra, this difference manifests as a slight increase in the relative height of the long</w:t>
      </w:r>
      <w:r>
        <w:rPr>
          <w:rFonts w:cs="Arial"/>
          <w:szCs w:val="18"/>
        </w:rPr>
        <w:noBreakHyphen/>
        <w:t>wavelength maximum (Figure 1b).</w:t>
      </w:r>
    </w:p>
    <w:p w14:paraId="66252DF5" w14:textId="77777777" w:rsidR="003279EC" w:rsidRDefault="00FB4380">
      <w:pPr>
        <w:pStyle w:val="a5"/>
      </w:pPr>
      <w:r>
        <w:rPr>
          <w:noProof/>
        </w:rPr>
        <w:drawing>
          <wp:inline distT="0" distB="0" distL="114300" distR="114300" wp14:anchorId="2B1FA2AD" wp14:editId="77B08C01">
            <wp:extent cx="2438400" cy="2560320"/>
            <wp:effectExtent l="0" t="0" r="0" b="0"/>
            <wp:docPr id="3" name="Изображение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10"/>
                    <pic:cNvPicPr>
                      <a:picLocks noChangeAspect="1"/>
                    </pic:cNvPicPr>
                  </pic:nvPicPr>
                  <pic:blipFill>
                    <a:blip r:embed="rId13"/>
                    <a:stretch>
                      <a:fillRect/>
                    </a:stretch>
                  </pic:blipFill>
                  <pic:spPr>
                    <a:xfrm>
                      <a:off x="0" y="0"/>
                      <a:ext cx="2438400" cy="2560320"/>
                    </a:xfrm>
                    <a:prstGeom prst="rect">
                      <a:avLst/>
                    </a:prstGeom>
                    <a:noFill/>
                    <a:ln>
                      <a:noFill/>
                    </a:ln>
                  </pic:spPr>
                </pic:pic>
              </a:graphicData>
            </a:graphic>
          </wp:inline>
        </w:drawing>
      </w:r>
      <w:r>
        <w:rPr>
          <w:noProof/>
        </w:rPr>
        <w:drawing>
          <wp:inline distT="0" distB="0" distL="114300" distR="114300" wp14:anchorId="4AF7F54E" wp14:editId="258A7D64">
            <wp:extent cx="2752725" cy="2606040"/>
            <wp:effectExtent l="0" t="0" r="0" b="0"/>
            <wp:docPr id="37"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Изображение 2"/>
                    <pic:cNvPicPr>
                      <a:picLocks noChangeAspect="1"/>
                    </pic:cNvPicPr>
                  </pic:nvPicPr>
                  <pic:blipFill>
                    <a:blip r:embed="rId14"/>
                    <a:stretch>
                      <a:fillRect/>
                    </a:stretch>
                  </pic:blipFill>
                  <pic:spPr>
                    <a:xfrm>
                      <a:off x="0" y="0"/>
                      <a:ext cx="2752725" cy="2606040"/>
                    </a:xfrm>
                    <a:prstGeom prst="rect">
                      <a:avLst/>
                    </a:prstGeom>
                    <a:noFill/>
                    <a:ln>
                      <a:noFill/>
                    </a:ln>
                  </pic:spPr>
                </pic:pic>
              </a:graphicData>
            </a:graphic>
          </wp:inline>
        </w:drawing>
      </w:r>
    </w:p>
    <w:p w14:paraId="3B60FE99" w14:textId="3B692F22" w:rsidR="003279EC" w:rsidRDefault="00FB4380">
      <w:pPr>
        <w:pStyle w:val="a5"/>
        <w:jc w:val="both"/>
        <w:rPr>
          <w:rFonts w:ascii="Arial" w:hAnsi="Arial" w:cs="Arial"/>
          <w:sz w:val="18"/>
          <w:szCs w:val="18"/>
        </w:rPr>
      </w:pPr>
      <w:r>
        <w:rPr>
          <w:rFonts w:ascii="Arial" w:hAnsi="Arial" w:cs="Arial"/>
          <w:i/>
          <w:iCs/>
          <w:sz w:val="18"/>
          <w:szCs w:val="18"/>
        </w:rPr>
        <w:t>Fig</w:t>
      </w:r>
      <w:r w:rsidR="00806571">
        <w:rPr>
          <w:rFonts w:ascii="Arial" w:hAnsi="Arial" w:cs="Arial"/>
          <w:i/>
          <w:iCs/>
          <w:sz w:val="18"/>
          <w:szCs w:val="18"/>
        </w:rPr>
        <w:t>ure</w:t>
      </w:r>
      <w:r>
        <w:rPr>
          <w:rFonts w:ascii="Arial" w:hAnsi="Arial" w:cs="Arial"/>
          <w:i/>
          <w:iCs/>
          <w:sz w:val="18"/>
          <w:szCs w:val="18"/>
        </w:rPr>
        <w:t> 1</w:t>
      </w:r>
      <w:r w:rsidR="00806571">
        <w:rPr>
          <w:rFonts w:ascii="Arial" w:hAnsi="Arial" w:cs="Arial"/>
          <w:i/>
          <w:iCs/>
          <w:sz w:val="18"/>
          <w:szCs w:val="18"/>
        </w:rPr>
        <w:t>:</w:t>
      </w:r>
      <w:r>
        <w:rPr>
          <w:rFonts w:ascii="Arial" w:hAnsi="Arial" w:cs="Arial"/>
          <w:i/>
          <w:iCs/>
          <w:sz w:val="18"/>
          <w:szCs w:val="18"/>
        </w:rPr>
        <w:t xml:space="preserve"> Laser</w:t>
      </w:r>
      <w:r>
        <w:rPr>
          <w:rFonts w:ascii="Arial" w:hAnsi="Arial" w:cs="Arial"/>
          <w:i/>
          <w:iCs/>
          <w:sz w:val="18"/>
          <w:szCs w:val="18"/>
        </w:rPr>
        <w:noBreakHyphen/>
        <w:t>induced fluorescence spectrum. 1 — control plants; 2 — mineral stress. (Confidence interval at a confidence level of 0.95)</w:t>
      </w:r>
      <w:r>
        <w:rPr>
          <w:rFonts w:ascii="Arial" w:hAnsi="Arial" w:cs="Arial"/>
          <w:sz w:val="18"/>
          <w:szCs w:val="18"/>
        </w:rPr>
        <w:br/>
      </w:r>
      <w:r w:rsidR="00806571">
        <w:rPr>
          <w:rFonts w:ascii="Arial" w:hAnsi="Arial" w:cs="Arial"/>
          <w:sz w:val="18"/>
          <w:szCs w:val="18"/>
        </w:rPr>
        <w:t>It</w:t>
      </w:r>
      <w:r>
        <w:rPr>
          <w:rFonts w:ascii="Arial" w:hAnsi="Arial" w:cs="Arial"/>
          <w:sz w:val="18"/>
          <w:szCs w:val="18"/>
        </w:rPr>
        <w:t xml:space="preserve"> was also established that each plant genotype exhibits an individual spectral structure in the red region of the spectrum. However, measurements conducted on a large sample of experimental plants revealed a considerable variability in the spectral profile of fluorescence emission, even within the same </w:t>
      </w:r>
      <w:r>
        <w:rPr>
          <w:rFonts w:ascii="Arial" w:hAnsi="Arial" w:cs="Arial"/>
          <w:sz w:val="18"/>
          <w:szCs w:val="18"/>
        </w:rPr>
        <w:lastRenderedPageBreak/>
        <w:t>class (Figure 2). Naturally, this circumstance may lead to ambiguous interpretations of remote sensing data.</w:t>
      </w:r>
    </w:p>
    <w:p w14:paraId="13141152" w14:textId="77777777" w:rsidR="003279EC" w:rsidRDefault="00FB4380">
      <w:pPr>
        <w:pStyle w:val="a5"/>
      </w:pPr>
      <w:r w:rsidRPr="002D615F">
        <w:t xml:space="preserve">                                 </w:t>
      </w:r>
      <w:r>
        <w:rPr>
          <w:noProof/>
        </w:rPr>
        <w:drawing>
          <wp:inline distT="0" distB="0" distL="114300" distR="114300" wp14:anchorId="4CF926D1" wp14:editId="0D52F054">
            <wp:extent cx="3096895" cy="2724785"/>
            <wp:effectExtent l="0" t="0" r="0" b="0"/>
            <wp:docPr id="2" name="Изображение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9"/>
                    <pic:cNvPicPr>
                      <a:picLocks noChangeAspect="1"/>
                    </pic:cNvPicPr>
                  </pic:nvPicPr>
                  <pic:blipFill>
                    <a:blip r:embed="rId15"/>
                    <a:stretch>
                      <a:fillRect/>
                    </a:stretch>
                  </pic:blipFill>
                  <pic:spPr>
                    <a:xfrm>
                      <a:off x="0" y="0"/>
                      <a:ext cx="3096895" cy="2724785"/>
                    </a:xfrm>
                    <a:prstGeom prst="rect">
                      <a:avLst/>
                    </a:prstGeom>
                    <a:noFill/>
                    <a:ln>
                      <a:noFill/>
                    </a:ln>
                  </pic:spPr>
                </pic:pic>
              </a:graphicData>
            </a:graphic>
          </wp:inline>
        </w:drawing>
      </w:r>
    </w:p>
    <w:p w14:paraId="03E9332F" w14:textId="77777777" w:rsidR="003279EC" w:rsidRDefault="00FB4380">
      <w:pPr>
        <w:pStyle w:val="a5"/>
        <w:rPr>
          <w:rFonts w:ascii="Arial" w:hAnsi="Arial" w:cs="Arial"/>
          <w:i/>
          <w:sz w:val="18"/>
          <w:szCs w:val="18"/>
          <w:lang w:val="en-GB"/>
        </w:rPr>
      </w:pPr>
      <w:r>
        <w:rPr>
          <w:rStyle w:val="CETCaptionCarattere"/>
          <w:rFonts w:eastAsia="SimSun" w:cs="Arial"/>
          <w:szCs w:val="18"/>
          <w:lang w:val="en-US"/>
        </w:rPr>
        <w:t xml:space="preserve">Figure </w:t>
      </w:r>
      <w:r w:rsidRPr="002D615F">
        <w:rPr>
          <w:rStyle w:val="CETCaptionCarattere"/>
          <w:rFonts w:eastAsia="SimSun" w:cs="Arial"/>
          <w:szCs w:val="18"/>
          <w:lang w:val="en-US"/>
        </w:rPr>
        <w:t>2</w:t>
      </w:r>
      <w:r>
        <w:rPr>
          <w:rStyle w:val="CETCaptionCarattere"/>
          <w:rFonts w:eastAsia="SimSun" w:cs="Arial"/>
          <w:szCs w:val="18"/>
          <w:lang w:val="en-US"/>
        </w:rPr>
        <w:t xml:space="preserve">: </w:t>
      </w:r>
      <w:r>
        <w:rPr>
          <w:rFonts w:ascii="Arial" w:hAnsi="Arial" w:cs="Arial"/>
          <w:i/>
          <w:sz w:val="18"/>
          <w:szCs w:val="18"/>
          <w:lang w:val="en-GB"/>
        </w:rPr>
        <w:t xml:space="preserve">Statistical dispersion of spectral curves normalized to </w:t>
      </w:r>
      <w:proofErr w:type="spellStart"/>
      <w:r>
        <w:rPr>
          <w:rFonts w:ascii="Arial" w:hAnsi="Arial" w:cs="Arial"/>
          <w:i/>
          <w:iCs/>
          <w:sz w:val="22"/>
          <w:szCs w:val="22"/>
          <w:lang w:val="en-GB"/>
        </w:rPr>
        <w:t>I</w:t>
      </w:r>
      <w:r>
        <w:rPr>
          <w:rFonts w:ascii="Arial" w:hAnsi="Arial" w:cs="Arial"/>
          <w:i/>
          <w:iCs/>
          <w:sz w:val="22"/>
          <w:szCs w:val="22"/>
          <w:vertAlign w:val="subscript"/>
          <w:lang w:val="en-GB"/>
        </w:rPr>
        <w:t>fl</w:t>
      </w:r>
      <w:proofErr w:type="spellEnd"/>
      <w:r>
        <w:rPr>
          <w:rFonts w:ascii="Arial" w:hAnsi="Arial" w:cs="Arial"/>
          <w:i/>
          <w:sz w:val="18"/>
          <w:szCs w:val="18"/>
          <w:lang w:val="en-GB"/>
        </w:rPr>
        <w:t xml:space="preserve"> (680 </w:t>
      </w:r>
      <w:r>
        <w:rPr>
          <w:rFonts w:ascii="Arial" w:hAnsi="Arial" w:cs="Arial"/>
          <w:i/>
          <w:iCs/>
          <w:sz w:val="18"/>
          <w:szCs w:val="18"/>
          <w:lang w:val="en-GB"/>
        </w:rPr>
        <w:t>nm</w:t>
      </w:r>
      <w:r>
        <w:rPr>
          <w:rFonts w:ascii="Arial" w:hAnsi="Arial" w:cs="Arial"/>
          <w:i/>
          <w:sz w:val="18"/>
          <w:szCs w:val="18"/>
          <w:lang w:val="en-GB"/>
        </w:rPr>
        <w:t>) for different plant species: 1 - cotton, 2 - corn, 3 - wheat (confidence interval at a confidence level of 0.95)</w:t>
      </w:r>
    </w:p>
    <w:p w14:paraId="245D54FD" w14:textId="77777777" w:rsidR="003279EC" w:rsidRDefault="00FB4380">
      <w:pPr>
        <w:pStyle w:val="a5"/>
        <w:jc w:val="both"/>
        <w:rPr>
          <w:rFonts w:ascii="Arial" w:hAnsi="Arial" w:cs="Arial"/>
          <w:sz w:val="18"/>
          <w:szCs w:val="18"/>
        </w:rPr>
      </w:pPr>
      <w:r>
        <w:rPr>
          <w:rFonts w:ascii="Arial" w:hAnsi="Arial" w:cs="Arial"/>
          <w:sz w:val="18"/>
          <w:szCs w:val="18"/>
        </w:rPr>
        <w:t>Nevertheless, an in</w:t>
      </w:r>
      <w:r>
        <w:rPr>
          <w:rFonts w:ascii="Arial" w:hAnsi="Arial" w:cs="Arial"/>
          <w:sz w:val="18"/>
          <w:szCs w:val="18"/>
        </w:rPr>
        <w:noBreakHyphen/>
        <w:t>depth statistical analysis of the data cloud, based on machine learning, enabled the identification of sufficiently stable spectral features for the accurate classification of plant species and their physiological states. This result suggests that, despite the universality of photochemical processes occurring in the photosynthetic apparatus (PSA) of higher plants, there are state</w:t>
      </w:r>
      <w:r>
        <w:rPr>
          <w:rFonts w:ascii="Arial" w:hAnsi="Arial" w:cs="Arial"/>
          <w:sz w:val="18"/>
          <w:szCs w:val="18"/>
        </w:rPr>
        <w:noBreakHyphen/>
        <w:t>specific characteristics in the reaction dynamics that manifest in the fluorescence signature. Consequently, to address this problem effectively, it is necessary to have a set of classifiers built on a large sample of training datasets.</w:t>
      </w:r>
      <w:r>
        <w:rPr>
          <w:rFonts w:ascii="Arial" w:hAnsi="Arial" w:cs="Arial"/>
          <w:sz w:val="18"/>
          <w:szCs w:val="18"/>
        </w:rPr>
        <w:br/>
        <w:t>The spectral data consisted of digitized values normalized to the intensity of the main fluorescence maximum (approximately λ = 680 nm), along with fluorescence intensity values measured in the 670–750 nm range at 10 nm intervals. The array of digital data obtained during laboratory measurements served as training samples for the subsequent development of the classifier.</w:t>
      </w:r>
      <w:r>
        <w:rPr>
          <w:rFonts w:ascii="Arial" w:hAnsi="Arial" w:cs="Arial"/>
          <w:sz w:val="18"/>
          <w:szCs w:val="18"/>
        </w:rPr>
        <w:br/>
        <w:t>Statistical analysis of the digital values of the fluorescence spectral curves revealed a notable difference between the averaged values (mean and variance) across different plant classes (Table 1).</w:t>
      </w:r>
    </w:p>
    <w:p w14:paraId="2B922941" w14:textId="77777777" w:rsidR="003279EC" w:rsidRDefault="00FB4380">
      <w:pPr>
        <w:pStyle w:val="CETTabletitle"/>
      </w:pPr>
      <w:r>
        <w:t xml:space="preserve">Table 1: </w:t>
      </w:r>
      <w:r>
        <w:rPr>
          <w:lang w:val="en-US"/>
        </w:rPr>
        <w:t>Mathematical expectation and variance for healthy (class 1) and water-stressed (class 2), nitrogen-stressed (class 3), and water-nitrogen-stressed (class 4) cotton plants. Indices (1) and (2) correspond to spectral channel numbers 680 and 730 nm. (Spectral data in arbitrary units)</w:t>
      </w:r>
    </w:p>
    <w:tbl>
      <w:tblPr>
        <w:tblpPr w:leftFromText="180" w:rightFromText="180" w:vertAnchor="text" w:horzAnchor="page" w:tblpX="2249" w:tblpY="187"/>
        <w:tblOverlap w:val="never"/>
        <w:tblW w:w="0" w:type="auto"/>
        <w:tblBorders>
          <w:top w:val="single" w:sz="12" w:space="0" w:color="008000"/>
          <w:bottom w:val="single" w:sz="12" w:space="0" w:color="008000"/>
        </w:tblBorders>
        <w:shd w:val="clear" w:color="auto" w:fill="FFFFFF"/>
        <w:tblCellMar>
          <w:left w:w="0" w:type="dxa"/>
          <w:right w:w="0" w:type="dxa"/>
        </w:tblCellMar>
        <w:tblLook w:val="04A0" w:firstRow="1" w:lastRow="0" w:firstColumn="1" w:lastColumn="0" w:noHBand="0" w:noVBand="1"/>
      </w:tblPr>
      <w:tblGrid>
        <w:gridCol w:w="1134"/>
        <w:gridCol w:w="1134"/>
        <w:gridCol w:w="1134"/>
        <w:gridCol w:w="1134"/>
        <w:gridCol w:w="1134"/>
        <w:gridCol w:w="1134"/>
      </w:tblGrid>
      <w:tr w:rsidR="003279EC" w14:paraId="433DADB9" w14:textId="77777777">
        <w:tc>
          <w:tcPr>
            <w:tcW w:w="1134" w:type="dxa"/>
            <w:tcBorders>
              <w:top w:val="single" w:sz="12" w:space="0" w:color="008000"/>
              <w:bottom w:val="single" w:sz="6" w:space="0" w:color="008000"/>
            </w:tcBorders>
            <w:shd w:val="clear" w:color="auto" w:fill="FFFFFF"/>
          </w:tcPr>
          <w:p w14:paraId="2145770F" w14:textId="77777777" w:rsidR="003279EC" w:rsidRDefault="00FB4380">
            <w:pPr>
              <w:pStyle w:val="CETBodytext"/>
              <w:jc w:val="center"/>
              <w:rPr>
                <w:lang w:val="en-GB"/>
              </w:rPr>
            </w:pPr>
            <w:r>
              <w:t>Classes</w:t>
            </w:r>
          </w:p>
        </w:tc>
        <w:tc>
          <w:tcPr>
            <w:tcW w:w="1134" w:type="dxa"/>
            <w:tcBorders>
              <w:top w:val="single" w:sz="12" w:space="0" w:color="008000"/>
              <w:bottom w:val="single" w:sz="6" w:space="0" w:color="008000"/>
            </w:tcBorders>
            <w:shd w:val="clear" w:color="auto" w:fill="FFFFFF"/>
          </w:tcPr>
          <w:p w14:paraId="00F54921" w14:textId="77777777" w:rsidR="003279EC" w:rsidRDefault="00FB4380">
            <w:pPr>
              <w:pStyle w:val="CETBodytext"/>
              <w:jc w:val="center"/>
              <w:rPr>
                <w:lang w:val="en-GB"/>
              </w:rPr>
            </w:pPr>
            <w:r>
              <w:rPr>
                <w:rFonts w:cs="Arial"/>
              </w:rPr>
              <w:t>μ</w:t>
            </w:r>
            <w:r>
              <w:rPr>
                <w:vertAlign w:val="subscript"/>
              </w:rPr>
              <w:t>1</w:t>
            </w:r>
          </w:p>
        </w:tc>
        <w:tc>
          <w:tcPr>
            <w:tcW w:w="1134" w:type="dxa"/>
            <w:tcBorders>
              <w:top w:val="single" w:sz="12" w:space="0" w:color="008000"/>
              <w:bottom w:val="single" w:sz="6" w:space="0" w:color="008000"/>
            </w:tcBorders>
            <w:shd w:val="clear" w:color="auto" w:fill="FFFFFF"/>
          </w:tcPr>
          <w:p w14:paraId="5D031FD3" w14:textId="77777777" w:rsidR="003279EC" w:rsidRDefault="00FB4380">
            <w:pPr>
              <w:pStyle w:val="CETBodytext"/>
              <w:jc w:val="center"/>
              <w:rPr>
                <w:lang w:val="en-GB"/>
              </w:rPr>
            </w:pPr>
            <w:r>
              <w:rPr>
                <w:rFonts w:cs="Arial"/>
              </w:rPr>
              <w:t>μ</w:t>
            </w:r>
            <w:r>
              <w:rPr>
                <w:vertAlign w:val="subscript"/>
              </w:rPr>
              <w:t>2</w:t>
            </w:r>
          </w:p>
        </w:tc>
        <w:tc>
          <w:tcPr>
            <w:tcW w:w="1134" w:type="dxa"/>
            <w:tcBorders>
              <w:top w:val="single" w:sz="12" w:space="0" w:color="008000"/>
              <w:bottom w:val="single" w:sz="6" w:space="0" w:color="008000"/>
            </w:tcBorders>
            <w:shd w:val="clear" w:color="auto" w:fill="FFFFFF"/>
          </w:tcPr>
          <w:p w14:paraId="5BE8BB44" w14:textId="77777777" w:rsidR="003279EC" w:rsidRDefault="00FB4380">
            <w:pPr>
              <w:pStyle w:val="CETBodytext"/>
              <w:ind w:right="-1"/>
              <w:jc w:val="center"/>
              <w:rPr>
                <w:rFonts w:cs="Arial"/>
                <w:szCs w:val="18"/>
                <w:lang w:val="en-GB"/>
              </w:rPr>
            </w:pPr>
            <w:r>
              <w:rPr>
                <w:rFonts w:cs="Arial"/>
              </w:rPr>
              <w:t>σ</w:t>
            </w:r>
            <w:r>
              <w:rPr>
                <w:vertAlign w:val="superscript"/>
              </w:rPr>
              <w:t>2</w:t>
            </w:r>
            <w:r>
              <w:rPr>
                <w:vertAlign w:val="subscript"/>
              </w:rPr>
              <w:t>11</w:t>
            </w:r>
          </w:p>
        </w:tc>
        <w:tc>
          <w:tcPr>
            <w:tcW w:w="1134" w:type="dxa"/>
            <w:tcBorders>
              <w:top w:val="single" w:sz="12" w:space="0" w:color="008000"/>
              <w:bottom w:val="single" w:sz="6" w:space="0" w:color="008000"/>
            </w:tcBorders>
            <w:shd w:val="clear" w:color="auto" w:fill="FFFFFF"/>
          </w:tcPr>
          <w:p w14:paraId="0A650E4D" w14:textId="77777777" w:rsidR="003279EC" w:rsidRDefault="00FB4380">
            <w:pPr>
              <w:pStyle w:val="CETBodytext"/>
              <w:ind w:right="-1"/>
              <w:jc w:val="center"/>
              <w:rPr>
                <w:rFonts w:cs="Arial"/>
                <w:szCs w:val="18"/>
                <w:lang w:val="en-GB"/>
              </w:rPr>
            </w:pPr>
            <w:r>
              <w:rPr>
                <w:rFonts w:cs="Arial"/>
              </w:rPr>
              <w:t>σ</w:t>
            </w:r>
            <w:r>
              <w:rPr>
                <w:vertAlign w:val="superscript"/>
              </w:rPr>
              <w:t>2</w:t>
            </w:r>
            <w:r>
              <w:rPr>
                <w:vertAlign w:val="subscript"/>
              </w:rPr>
              <w:t>22</w:t>
            </w:r>
          </w:p>
        </w:tc>
        <w:tc>
          <w:tcPr>
            <w:tcW w:w="1134" w:type="dxa"/>
            <w:tcBorders>
              <w:top w:val="single" w:sz="12" w:space="0" w:color="008000"/>
              <w:bottom w:val="single" w:sz="6" w:space="0" w:color="008000"/>
            </w:tcBorders>
            <w:shd w:val="clear" w:color="auto" w:fill="FFFFFF"/>
          </w:tcPr>
          <w:p w14:paraId="61E25758" w14:textId="77777777" w:rsidR="003279EC" w:rsidRDefault="00FB4380">
            <w:pPr>
              <w:pStyle w:val="CETBodytext"/>
              <w:ind w:right="-1"/>
              <w:jc w:val="center"/>
              <w:rPr>
                <w:rFonts w:cs="Arial"/>
                <w:szCs w:val="18"/>
                <w:lang w:val="en-GB"/>
              </w:rPr>
            </w:pPr>
            <w:r>
              <w:rPr>
                <w:rFonts w:cs="Arial"/>
              </w:rPr>
              <w:t>σ</w:t>
            </w:r>
            <w:r>
              <w:rPr>
                <w:vertAlign w:val="superscript"/>
              </w:rPr>
              <w:t>2</w:t>
            </w:r>
            <w:r>
              <w:rPr>
                <w:vertAlign w:val="subscript"/>
              </w:rPr>
              <w:t>12</w:t>
            </w:r>
          </w:p>
        </w:tc>
      </w:tr>
      <w:tr w:rsidR="003279EC" w14:paraId="56A3F53C" w14:textId="77777777">
        <w:tc>
          <w:tcPr>
            <w:tcW w:w="1134" w:type="dxa"/>
            <w:shd w:val="clear" w:color="auto" w:fill="FFFFFF"/>
          </w:tcPr>
          <w:p w14:paraId="303E7B7C" w14:textId="77777777" w:rsidR="003279EC" w:rsidRDefault="00FB4380">
            <w:pPr>
              <w:pStyle w:val="CETBodytext"/>
              <w:jc w:val="center"/>
              <w:rPr>
                <w:lang w:val="en-GB"/>
              </w:rPr>
            </w:pPr>
            <w:r>
              <w:t>1</w:t>
            </w:r>
          </w:p>
        </w:tc>
        <w:tc>
          <w:tcPr>
            <w:tcW w:w="1134" w:type="dxa"/>
            <w:shd w:val="clear" w:color="auto" w:fill="FFFFFF"/>
          </w:tcPr>
          <w:p w14:paraId="6813FF63" w14:textId="77777777" w:rsidR="003279EC" w:rsidRDefault="00FB4380">
            <w:pPr>
              <w:pStyle w:val="CETBodytext"/>
              <w:jc w:val="center"/>
              <w:rPr>
                <w:lang w:val="en-GB"/>
              </w:rPr>
            </w:pPr>
            <w:r>
              <w:t>7.71 Е-01</w:t>
            </w:r>
          </w:p>
        </w:tc>
        <w:tc>
          <w:tcPr>
            <w:tcW w:w="1134" w:type="dxa"/>
            <w:shd w:val="clear" w:color="auto" w:fill="FFFFFF"/>
          </w:tcPr>
          <w:p w14:paraId="623973C5" w14:textId="77777777" w:rsidR="003279EC" w:rsidRDefault="00FB4380">
            <w:pPr>
              <w:pStyle w:val="CETBodytext"/>
              <w:jc w:val="center"/>
              <w:rPr>
                <w:lang w:val="en-GB"/>
              </w:rPr>
            </w:pPr>
            <w:r>
              <w:t>7.46 Е-03</w:t>
            </w:r>
          </w:p>
        </w:tc>
        <w:tc>
          <w:tcPr>
            <w:tcW w:w="1134" w:type="dxa"/>
            <w:shd w:val="clear" w:color="auto" w:fill="FFFFFF"/>
          </w:tcPr>
          <w:p w14:paraId="511B419B" w14:textId="77777777" w:rsidR="003279EC" w:rsidRDefault="00FB4380">
            <w:pPr>
              <w:pStyle w:val="CETBodytext"/>
              <w:ind w:right="-1"/>
              <w:jc w:val="center"/>
              <w:rPr>
                <w:rFonts w:cs="Arial"/>
                <w:szCs w:val="18"/>
                <w:lang w:val="en-GB"/>
              </w:rPr>
            </w:pPr>
            <w:r>
              <w:t>3.31 Е-03</w:t>
            </w:r>
          </w:p>
        </w:tc>
        <w:tc>
          <w:tcPr>
            <w:tcW w:w="1134" w:type="dxa"/>
            <w:shd w:val="clear" w:color="auto" w:fill="FFFFFF"/>
          </w:tcPr>
          <w:p w14:paraId="1DB0A683" w14:textId="77777777" w:rsidR="003279EC" w:rsidRDefault="00FB4380">
            <w:pPr>
              <w:pStyle w:val="CETBodytext"/>
              <w:ind w:right="-1"/>
              <w:jc w:val="center"/>
              <w:rPr>
                <w:rFonts w:cs="Arial"/>
                <w:szCs w:val="18"/>
                <w:lang w:val="en-GB"/>
              </w:rPr>
            </w:pPr>
            <w:r>
              <w:t>3.59 Е-03</w:t>
            </w:r>
          </w:p>
        </w:tc>
        <w:tc>
          <w:tcPr>
            <w:tcW w:w="1134" w:type="dxa"/>
            <w:shd w:val="clear" w:color="auto" w:fill="FFFFFF"/>
          </w:tcPr>
          <w:p w14:paraId="1CF0A2D8" w14:textId="77777777" w:rsidR="003279EC" w:rsidRDefault="00FB4380">
            <w:pPr>
              <w:pStyle w:val="CETBodytext"/>
              <w:ind w:right="-1"/>
              <w:jc w:val="center"/>
              <w:rPr>
                <w:rFonts w:cs="Arial"/>
                <w:szCs w:val="18"/>
                <w:lang w:val="en-GB"/>
              </w:rPr>
            </w:pPr>
            <w:r>
              <w:t>2.59 Е-03</w:t>
            </w:r>
          </w:p>
        </w:tc>
      </w:tr>
      <w:tr w:rsidR="003279EC" w14:paraId="2A240C34" w14:textId="77777777">
        <w:tc>
          <w:tcPr>
            <w:tcW w:w="1134" w:type="dxa"/>
            <w:shd w:val="clear" w:color="auto" w:fill="FFFFFF"/>
          </w:tcPr>
          <w:p w14:paraId="6B03E48C" w14:textId="77777777" w:rsidR="003279EC" w:rsidRDefault="00FB4380">
            <w:pPr>
              <w:pStyle w:val="CETBodytext"/>
              <w:ind w:right="-1"/>
              <w:jc w:val="center"/>
              <w:rPr>
                <w:rFonts w:cs="Arial"/>
                <w:szCs w:val="18"/>
                <w:lang w:val="en-GB"/>
              </w:rPr>
            </w:pPr>
            <w:r>
              <w:t>2</w:t>
            </w:r>
          </w:p>
        </w:tc>
        <w:tc>
          <w:tcPr>
            <w:tcW w:w="1134" w:type="dxa"/>
            <w:shd w:val="clear" w:color="auto" w:fill="FFFFFF"/>
          </w:tcPr>
          <w:p w14:paraId="0F63C254" w14:textId="77777777" w:rsidR="003279EC" w:rsidRDefault="00FB4380">
            <w:pPr>
              <w:pStyle w:val="CETBodytext"/>
              <w:ind w:right="-1"/>
              <w:jc w:val="center"/>
              <w:rPr>
                <w:rFonts w:cs="Arial"/>
                <w:szCs w:val="18"/>
                <w:lang w:val="en-GB"/>
              </w:rPr>
            </w:pPr>
            <w:r>
              <w:t>7.30 Е-01</w:t>
            </w:r>
          </w:p>
        </w:tc>
        <w:tc>
          <w:tcPr>
            <w:tcW w:w="1134" w:type="dxa"/>
            <w:shd w:val="clear" w:color="auto" w:fill="FFFFFF"/>
          </w:tcPr>
          <w:p w14:paraId="0122C08C" w14:textId="77777777" w:rsidR="003279EC" w:rsidRDefault="00FB4380">
            <w:pPr>
              <w:pStyle w:val="CETBodytext"/>
              <w:ind w:right="-1"/>
              <w:jc w:val="center"/>
              <w:rPr>
                <w:rFonts w:cs="Arial"/>
                <w:szCs w:val="18"/>
                <w:lang w:val="en-GB"/>
              </w:rPr>
            </w:pPr>
            <w:r>
              <w:t>6.48 Е-01</w:t>
            </w:r>
          </w:p>
        </w:tc>
        <w:tc>
          <w:tcPr>
            <w:tcW w:w="1134" w:type="dxa"/>
            <w:shd w:val="clear" w:color="auto" w:fill="FFFFFF"/>
          </w:tcPr>
          <w:p w14:paraId="2D417EE5" w14:textId="77777777" w:rsidR="003279EC" w:rsidRDefault="00FB4380">
            <w:pPr>
              <w:pStyle w:val="CETBodytext"/>
              <w:ind w:right="-1"/>
              <w:jc w:val="center"/>
              <w:rPr>
                <w:rFonts w:cs="Arial"/>
                <w:szCs w:val="18"/>
                <w:lang w:val="en-GB"/>
              </w:rPr>
            </w:pPr>
            <w:r>
              <w:t>3.40 Е-02</w:t>
            </w:r>
          </w:p>
        </w:tc>
        <w:tc>
          <w:tcPr>
            <w:tcW w:w="1134" w:type="dxa"/>
            <w:shd w:val="clear" w:color="auto" w:fill="FFFFFF"/>
          </w:tcPr>
          <w:p w14:paraId="44ADEE56" w14:textId="77777777" w:rsidR="003279EC" w:rsidRDefault="00FB4380">
            <w:pPr>
              <w:pStyle w:val="CETBodytext"/>
              <w:ind w:right="-1"/>
              <w:jc w:val="center"/>
              <w:rPr>
                <w:rFonts w:cs="Arial"/>
                <w:szCs w:val="18"/>
                <w:lang w:val="en-GB"/>
              </w:rPr>
            </w:pPr>
            <w:r>
              <w:t>1.48 Е-02</w:t>
            </w:r>
          </w:p>
        </w:tc>
        <w:tc>
          <w:tcPr>
            <w:tcW w:w="1134" w:type="dxa"/>
            <w:shd w:val="clear" w:color="auto" w:fill="FFFFFF"/>
          </w:tcPr>
          <w:p w14:paraId="5F9D21BC" w14:textId="77777777" w:rsidR="003279EC" w:rsidRDefault="00FB4380">
            <w:pPr>
              <w:pStyle w:val="CETBodytext"/>
              <w:ind w:right="-1"/>
              <w:jc w:val="center"/>
              <w:rPr>
                <w:rFonts w:cs="Arial"/>
                <w:szCs w:val="18"/>
                <w:lang w:val="en-GB"/>
              </w:rPr>
            </w:pPr>
            <w:r>
              <w:t>5.48 Е-03</w:t>
            </w:r>
          </w:p>
        </w:tc>
      </w:tr>
      <w:tr w:rsidR="003279EC" w14:paraId="12C4F7FA" w14:textId="77777777">
        <w:tc>
          <w:tcPr>
            <w:tcW w:w="1134" w:type="dxa"/>
            <w:shd w:val="clear" w:color="auto" w:fill="FFFFFF"/>
          </w:tcPr>
          <w:p w14:paraId="43F4F7BD" w14:textId="77777777" w:rsidR="003279EC" w:rsidRDefault="00FB4380">
            <w:pPr>
              <w:pStyle w:val="CETBodytext"/>
              <w:ind w:right="-1"/>
              <w:jc w:val="center"/>
              <w:rPr>
                <w:rFonts w:cs="Arial"/>
                <w:szCs w:val="18"/>
                <w:lang w:val="en-GB"/>
              </w:rPr>
            </w:pPr>
            <w:r>
              <w:t>3</w:t>
            </w:r>
          </w:p>
        </w:tc>
        <w:tc>
          <w:tcPr>
            <w:tcW w:w="1134" w:type="dxa"/>
            <w:shd w:val="clear" w:color="auto" w:fill="FFFFFF"/>
          </w:tcPr>
          <w:p w14:paraId="27D0E720" w14:textId="77777777" w:rsidR="003279EC" w:rsidRDefault="00FB4380">
            <w:pPr>
              <w:pStyle w:val="CETBodytext"/>
              <w:ind w:right="-1"/>
              <w:jc w:val="center"/>
              <w:rPr>
                <w:rFonts w:cs="Arial"/>
                <w:szCs w:val="18"/>
                <w:lang w:val="en-GB"/>
              </w:rPr>
            </w:pPr>
            <w:r>
              <w:t>7.54 Е-01</w:t>
            </w:r>
          </w:p>
        </w:tc>
        <w:tc>
          <w:tcPr>
            <w:tcW w:w="1134" w:type="dxa"/>
            <w:shd w:val="clear" w:color="auto" w:fill="FFFFFF"/>
          </w:tcPr>
          <w:p w14:paraId="143F8BD2" w14:textId="77777777" w:rsidR="003279EC" w:rsidRDefault="00FB4380">
            <w:pPr>
              <w:pStyle w:val="CETBodytext"/>
              <w:ind w:right="-1"/>
              <w:jc w:val="center"/>
              <w:rPr>
                <w:rFonts w:cs="Arial"/>
                <w:szCs w:val="18"/>
                <w:lang w:val="en-GB"/>
              </w:rPr>
            </w:pPr>
            <w:r>
              <w:t>6.97 Е-01</w:t>
            </w:r>
          </w:p>
        </w:tc>
        <w:tc>
          <w:tcPr>
            <w:tcW w:w="1134" w:type="dxa"/>
            <w:shd w:val="clear" w:color="auto" w:fill="FFFFFF"/>
          </w:tcPr>
          <w:p w14:paraId="64E3BEEB" w14:textId="77777777" w:rsidR="003279EC" w:rsidRDefault="00FB4380">
            <w:pPr>
              <w:pStyle w:val="CETBodytext"/>
              <w:ind w:right="-1"/>
              <w:jc w:val="center"/>
              <w:rPr>
                <w:rFonts w:cs="Arial"/>
                <w:szCs w:val="18"/>
                <w:lang w:val="en-GB"/>
              </w:rPr>
            </w:pPr>
            <w:r>
              <w:t>3.86 Е-03</w:t>
            </w:r>
          </w:p>
        </w:tc>
        <w:tc>
          <w:tcPr>
            <w:tcW w:w="1134" w:type="dxa"/>
            <w:shd w:val="clear" w:color="auto" w:fill="FFFFFF"/>
          </w:tcPr>
          <w:p w14:paraId="10203017" w14:textId="77777777" w:rsidR="003279EC" w:rsidRDefault="00FB4380">
            <w:pPr>
              <w:pStyle w:val="CETBodytext"/>
              <w:ind w:right="-1"/>
              <w:jc w:val="center"/>
              <w:rPr>
                <w:rFonts w:cs="Arial"/>
                <w:szCs w:val="18"/>
                <w:lang w:val="en-GB"/>
              </w:rPr>
            </w:pPr>
            <w:r>
              <w:t>4.56 Е-03</w:t>
            </w:r>
          </w:p>
        </w:tc>
        <w:tc>
          <w:tcPr>
            <w:tcW w:w="1134" w:type="dxa"/>
            <w:shd w:val="clear" w:color="auto" w:fill="FFFFFF"/>
          </w:tcPr>
          <w:p w14:paraId="3DE1995A" w14:textId="77777777" w:rsidR="003279EC" w:rsidRDefault="00FB4380">
            <w:pPr>
              <w:pStyle w:val="CETBodytext"/>
              <w:ind w:right="-1"/>
              <w:jc w:val="center"/>
              <w:rPr>
                <w:rFonts w:cs="Arial"/>
                <w:szCs w:val="18"/>
                <w:lang w:val="en-GB"/>
              </w:rPr>
            </w:pPr>
            <w:r>
              <w:t>3.79 Е-03</w:t>
            </w:r>
          </w:p>
        </w:tc>
      </w:tr>
      <w:tr w:rsidR="003279EC" w14:paraId="0A70E7E2" w14:textId="77777777">
        <w:tc>
          <w:tcPr>
            <w:tcW w:w="1134" w:type="dxa"/>
            <w:shd w:val="clear" w:color="auto" w:fill="FFFFFF"/>
          </w:tcPr>
          <w:p w14:paraId="2969E2FA" w14:textId="77777777" w:rsidR="003279EC" w:rsidRDefault="00FB4380">
            <w:pPr>
              <w:pStyle w:val="CETBodytext"/>
              <w:ind w:right="-1"/>
              <w:jc w:val="center"/>
              <w:rPr>
                <w:rFonts w:cs="Arial"/>
                <w:szCs w:val="18"/>
                <w:lang w:val="en-GB"/>
              </w:rPr>
            </w:pPr>
            <w:r>
              <w:t>4</w:t>
            </w:r>
          </w:p>
        </w:tc>
        <w:tc>
          <w:tcPr>
            <w:tcW w:w="1134" w:type="dxa"/>
            <w:shd w:val="clear" w:color="auto" w:fill="FFFFFF"/>
          </w:tcPr>
          <w:p w14:paraId="5E354A4A" w14:textId="77777777" w:rsidR="003279EC" w:rsidRDefault="00FB4380">
            <w:pPr>
              <w:pStyle w:val="CETBodytext"/>
              <w:ind w:right="-1"/>
              <w:jc w:val="center"/>
              <w:rPr>
                <w:rFonts w:cs="Arial"/>
                <w:szCs w:val="18"/>
                <w:lang w:val="en-GB"/>
              </w:rPr>
            </w:pPr>
            <w:r>
              <w:t>8.03 Е-01</w:t>
            </w:r>
          </w:p>
        </w:tc>
        <w:tc>
          <w:tcPr>
            <w:tcW w:w="1134" w:type="dxa"/>
            <w:shd w:val="clear" w:color="auto" w:fill="FFFFFF"/>
          </w:tcPr>
          <w:p w14:paraId="3D6FDEF0" w14:textId="77777777" w:rsidR="003279EC" w:rsidRDefault="00FB4380">
            <w:pPr>
              <w:pStyle w:val="CETBodytext"/>
              <w:ind w:right="-1"/>
              <w:jc w:val="center"/>
              <w:rPr>
                <w:rFonts w:cs="Arial"/>
                <w:szCs w:val="18"/>
                <w:lang w:val="en-GB"/>
              </w:rPr>
            </w:pPr>
            <w:r>
              <w:t>8.18 Е-01</w:t>
            </w:r>
          </w:p>
        </w:tc>
        <w:tc>
          <w:tcPr>
            <w:tcW w:w="1134" w:type="dxa"/>
            <w:shd w:val="clear" w:color="auto" w:fill="FFFFFF"/>
          </w:tcPr>
          <w:p w14:paraId="07C85FCD" w14:textId="77777777" w:rsidR="003279EC" w:rsidRDefault="00FB4380">
            <w:pPr>
              <w:pStyle w:val="CETBodytext"/>
              <w:ind w:right="-1"/>
              <w:jc w:val="center"/>
              <w:rPr>
                <w:rFonts w:cs="Arial"/>
                <w:szCs w:val="18"/>
                <w:lang w:val="en-GB"/>
              </w:rPr>
            </w:pPr>
            <w:r>
              <w:t>7.02 Е-03</w:t>
            </w:r>
          </w:p>
        </w:tc>
        <w:tc>
          <w:tcPr>
            <w:tcW w:w="1134" w:type="dxa"/>
            <w:shd w:val="clear" w:color="auto" w:fill="FFFFFF"/>
          </w:tcPr>
          <w:p w14:paraId="2D10014F" w14:textId="77777777" w:rsidR="003279EC" w:rsidRDefault="00FB4380">
            <w:pPr>
              <w:pStyle w:val="CETBodytext"/>
              <w:ind w:right="-1"/>
              <w:jc w:val="center"/>
              <w:rPr>
                <w:rFonts w:cs="Arial"/>
                <w:szCs w:val="18"/>
                <w:lang w:val="en-GB"/>
              </w:rPr>
            </w:pPr>
            <w:r>
              <w:t>2.24 Е-03</w:t>
            </w:r>
          </w:p>
        </w:tc>
        <w:tc>
          <w:tcPr>
            <w:tcW w:w="1134" w:type="dxa"/>
            <w:shd w:val="clear" w:color="auto" w:fill="FFFFFF"/>
          </w:tcPr>
          <w:p w14:paraId="5A0EF243" w14:textId="77777777" w:rsidR="003279EC" w:rsidRDefault="00FB4380">
            <w:pPr>
              <w:pStyle w:val="CETBodytext"/>
              <w:ind w:right="-1"/>
              <w:jc w:val="center"/>
              <w:rPr>
                <w:rFonts w:cs="Arial"/>
                <w:szCs w:val="18"/>
                <w:lang w:val="en-GB"/>
              </w:rPr>
            </w:pPr>
            <w:r>
              <w:t>2.70 Е-03</w:t>
            </w:r>
          </w:p>
        </w:tc>
      </w:tr>
    </w:tbl>
    <w:p w14:paraId="287C8007" w14:textId="77777777" w:rsidR="003279EC" w:rsidRDefault="003279EC">
      <w:pPr>
        <w:pStyle w:val="a5"/>
        <w:jc w:val="both"/>
        <w:rPr>
          <w:rFonts w:ascii="Arial" w:hAnsi="Arial" w:cs="Arial"/>
          <w:sz w:val="18"/>
          <w:szCs w:val="18"/>
        </w:rPr>
      </w:pPr>
    </w:p>
    <w:p w14:paraId="4B48457D" w14:textId="77777777" w:rsidR="003279EC" w:rsidRDefault="003279EC">
      <w:pPr>
        <w:pStyle w:val="a5"/>
        <w:jc w:val="both"/>
        <w:rPr>
          <w:rFonts w:ascii="Arial" w:hAnsi="Arial" w:cs="Arial"/>
          <w:sz w:val="18"/>
          <w:szCs w:val="18"/>
        </w:rPr>
      </w:pPr>
    </w:p>
    <w:p w14:paraId="2E9EA80D" w14:textId="77777777" w:rsidR="003279EC" w:rsidRDefault="003279EC">
      <w:pPr>
        <w:pStyle w:val="a5"/>
        <w:jc w:val="both"/>
        <w:rPr>
          <w:rFonts w:ascii="Arial" w:hAnsi="Arial" w:cs="Arial"/>
          <w:sz w:val="18"/>
          <w:szCs w:val="18"/>
        </w:rPr>
      </w:pPr>
    </w:p>
    <w:p w14:paraId="317C4280" w14:textId="7E0AB053" w:rsidR="003279EC" w:rsidRDefault="00FB4380" w:rsidP="00764B94">
      <w:pPr>
        <w:pStyle w:val="a5"/>
        <w:jc w:val="both"/>
        <w:rPr>
          <w:rStyle w:val="CETCaptionCarattere"/>
          <w:rFonts w:eastAsia="SimSun"/>
          <w:lang w:val="en-US"/>
        </w:rPr>
      </w:pPr>
      <w:r>
        <w:rPr>
          <w:rFonts w:ascii="Arial" w:hAnsi="Arial" w:cs="Arial"/>
          <w:sz w:val="18"/>
          <w:szCs w:val="18"/>
        </w:rPr>
        <w:br/>
        <w:t>These data indicate a marked difference in the averaged values for individually selected spectral channels. Based on this, the corresponding discriminant functions for each class were constructed using multichannel spectral data.</w:t>
      </w:r>
      <w:r w:rsidR="002D615F">
        <w:rPr>
          <w:rFonts w:ascii="Arial" w:hAnsi="Arial" w:cs="Arial"/>
          <w:sz w:val="18"/>
          <w:szCs w:val="18"/>
        </w:rPr>
        <w:br/>
      </w:r>
      <w:r w:rsidR="002D615F" w:rsidRPr="002D615F">
        <w:rPr>
          <w:rFonts w:ascii="Arial" w:hAnsi="Arial" w:cs="Arial"/>
          <w:sz w:val="18"/>
          <w:szCs w:val="18"/>
          <w:lang w:eastAsia="ru-RU"/>
        </w:rPr>
        <w:t xml:space="preserve">The analysis showed that the greater the number of channels, the greater the recognition accuracy (in the case of </w:t>
      </w:r>
      <w:r w:rsidR="002D615F" w:rsidRPr="002D615F">
        <w:rPr>
          <w:rFonts w:ascii="Arial" w:hAnsi="Arial" w:cs="Arial"/>
          <w:i/>
          <w:iCs/>
          <w:sz w:val="18"/>
          <w:szCs w:val="18"/>
          <w:lang w:eastAsia="ru-RU"/>
        </w:rPr>
        <w:t>n</w:t>
      </w:r>
      <w:r w:rsidR="002D615F" w:rsidRPr="002D615F">
        <w:rPr>
          <w:rFonts w:ascii="Arial" w:hAnsi="Arial" w:cs="Arial"/>
          <w:sz w:val="18"/>
          <w:szCs w:val="18"/>
          <w:lang w:eastAsia="ru-RU"/>
        </w:rPr>
        <w:t xml:space="preserve"> = 8–12, the identification accuracy is 85–95%).</w:t>
      </w:r>
      <w:r>
        <w:rPr>
          <w:rFonts w:ascii="Arial" w:hAnsi="Arial" w:cs="Arial"/>
          <w:sz w:val="18"/>
          <w:szCs w:val="18"/>
        </w:rPr>
        <w:br/>
      </w:r>
      <w:r>
        <w:rPr>
          <w:rFonts w:ascii="Arial" w:hAnsi="Arial" w:cs="Arial"/>
          <w:b/>
          <w:bCs/>
          <w:sz w:val="18"/>
          <w:szCs w:val="18"/>
        </w:rPr>
        <w:br/>
      </w:r>
      <w:r w:rsidRPr="002D615F">
        <w:rPr>
          <w:rFonts w:ascii="Arial" w:hAnsi="Arial" w:cs="Arial"/>
          <w:b/>
          <w:bCs/>
          <w:sz w:val="18"/>
          <w:szCs w:val="18"/>
        </w:rPr>
        <w:t>3</w:t>
      </w:r>
      <w:r>
        <w:rPr>
          <w:rFonts w:ascii="Arial" w:hAnsi="Arial" w:cs="Arial"/>
          <w:b/>
          <w:bCs/>
          <w:sz w:val="18"/>
          <w:szCs w:val="18"/>
        </w:rPr>
        <w:t xml:space="preserve">.2. Remote Experiments </w:t>
      </w:r>
      <w:r>
        <w:rPr>
          <w:rFonts w:ascii="Arial" w:hAnsi="Arial" w:cs="Arial"/>
          <w:b/>
          <w:bCs/>
          <w:sz w:val="18"/>
          <w:szCs w:val="18"/>
        </w:rPr>
        <w:br/>
      </w:r>
      <w:r>
        <w:rPr>
          <w:rFonts w:ascii="Arial" w:hAnsi="Arial" w:cs="Arial"/>
          <w:sz w:val="18"/>
          <w:szCs w:val="18"/>
        </w:rPr>
        <w:br/>
      </w:r>
      <w:r>
        <w:rPr>
          <w:rFonts w:ascii="Arial" w:hAnsi="Arial" w:cs="Arial"/>
          <w:sz w:val="18"/>
          <w:szCs w:val="18"/>
          <w:lang w:val="en-GB"/>
        </w:rPr>
        <w:t xml:space="preserve">The biomass estimate based on remote measurements obtained during field flight experiments using a laser-optical complex over cotton crops showed a fairly good correlation with the results of ground estimates using traditional methods, especially in the early stages of plant development. Plant biomass throughout the entire growing season (from seedling emergence to maturity), which lasted 90 days, </w:t>
      </w:r>
      <w:r>
        <w:rPr>
          <w:rFonts w:ascii="Arial" w:hAnsi="Arial" w:cs="Arial"/>
          <w:sz w:val="18"/>
          <w:szCs w:val="18"/>
          <w:lang w:val="en-GB"/>
        </w:rPr>
        <w:lastRenderedPageBreak/>
        <w:t xml:space="preserve">tended to increase monotonically. However, as the leaf index increased, remote assessments became less accurate (Figure </w:t>
      </w:r>
      <w:r w:rsidRPr="002D615F">
        <w:rPr>
          <w:rFonts w:ascii="Arial" w:hAnsi="Arial" w:cs="Arial"/>
          <w:sz w:val="18"/>
          <w:szCs w:val="18"/>
        </w:rPr>
        <w:t>3</w:t>
      </w:r>
      <w:r>
        <w:rPr>
          <w:rFonts w:ascii="Arial" w:hAnsi="Arial" w:cs="Arial"/>
          <w:sz w:val="18"/>
          <w:szCs w:val="18"/>
          <w:lang w:val="en-GB"/>
        </w:rPr>
        <w:t xml:space="preserve">). </w:t>
      </w:r>
    </w:p>
    <w:p w14:paraId="070FFFB8" w14:textId="77777777" w:rsidR="003279EC" w:rsidRDefault="00FB4380">
      <w:pPr>
        <w:pStyle w:val="CETBodytext"/>
        <w:spacing w:before="240" w:after="240"/>
        <w:rPr>
          <w:rStyle w:val="CETCaptionCarattere"/>
          <w:lang w:val="ru-RU"/>
        </w:rPr>
      </w:pPr>
      <w:r w:rsidRPr="002D615F">
        <w:rPr>
          <w:rStyle w:val="CETCaptionCarattere"/>
          <w:lang w:val="en-US"/>
        </w:rPr>
        <w:t xml:space="preserve">                       </w:t>
      </w:r>
      <w:r>
        <w:rPr>
          <w:rFonts w:cs="Arial"/>
          <w:noProof/>
          <w:szCs w:val="18"/>
        </w:rPr>
        <w:drawing>
          <wp:inline distT="0" distB="0" distL="0" distR="0" wp14:anchorId="41DA762C" wp14:editId="74F43D8A">
            <wp:extent cx="3401695" cy="246316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6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3401695" cy="2463165"/>
                    </a:xfrm>
                    <a:prstGeom prst="rect">
                      <a:avLst/>
                    </a:prstGeom>
                    <a:noFill/>
                  </pic:spPr>
                </pic:pic>
              </a:graphicData>
            </a:graphic>
          </wp:inline>
        </w:drawing>
      </w:r>
    </w:p>
    <w:p w14:paraId="0BD1F9CF" w14:textId="77777777" w:rsidR="003279EC" w:rsidRDefault="00FB4380">
      <w:pPr>
        <w:pStyle w:val="CETBodytext"/>
        <w:spacing w:before="240" w:after="240"/>
        <w:rPr>
          <w:rStyle w:val="CETCaptionCarattere"/>
          <w:lang w:val="en-US"/>
        </w:rPr>
      </w:pPr>
      <w:r>
        <w:rPr>
          <w:rStyle w:val="CETCaptionCarattere"/>
          <w:lang w:val="en-US"/>
        </w:rPr>
        <w:t xml:space="preserve">Figure </w:t>
      </w:r>
      <w:r w:rsidRPr="002D615F">
        <w:rPr>
          <w:rStyle w:val="CETCaptionCarattere"/>
          <w:lang w:val="en-US"/>
        </w:rPr>
        <w:t>3</w:t>
      </w:r>
      <w:r>
        <w:rPr>
          <w:rStyle w:val="CETCaptionCarattere"/>
          <w:lang w:val="en-US"/>
        </w:rPr>
        <w:t xml:space="preserve">: </w:t>
      </w:r>
      <w:r>
        <w:rPr>
          <w:i/>
          <w:lang w:val="en-GB"/>
        </w:rPr>
        <w:t xml:space="preserve">Seasonal changes in cotton biomass: </w:t>
      </w:r>
      <w:r>
        <w:rPr>
          <w:i/>
          <w:iCs/>
          <w:lang w:val="en-GB"/>
        </w:rPr>
        <w:t>a</w:t>
      </w:r>
      <w:r>
        <w:rPr>
          <w:i/>
          <w:lang w:val="en-GB"/>
        </w:rPr>
        <w:t xml:space="preserve"> – ground-based data, </w:t>
      </w:r>
      <w:r>
        <w:rPr>
          <w:i/>
          <w:iCs/>
          <w:lang w:val="en-GB"/>
        </w:rPr>
        <w:t>b</w:t>
      </w:r>
      <w:r>
        <w:rPr>
          <w:i/>
          <w:lang w:val="en-GB"/>
        </w:rPr>
        <w:t xml:space="preserve"> – remote estimates</w:t>
      </w:r>
      <w:bookmarkStart w:id="3" w:name="_Hlk223440883"/>
      <w:r>
        <w:rPr>
          <w:i/>
          <w:lang w:val="en-GB"/>
        </w:rPr>
        <w:t xml:space="preserve"> (confidence interval at a confidence level of 0.95).</w:t>
      </w:r>
      <w:bookmarkEnd w:id="3"/>
    </w:p>
    <w:p w14:paraId="11692403" w14:textId="77777777" w:rsidR="003279EC" w:rsidRDefault="00FB4380">
      <w:pPr>
        <w:pStyle w:val="CETBodytext"/>
        <w:spacing w:before="240"/>
        <w:rPr>
          <w:lang w:val="en-GB"/>
        </w:rPr>
      </w:pPr>
      <w:r>
        <w:rPr>
          <w:lang w:val="en-GB"/>
        </w:rPr>
        <w:t>This discrepancy was due to a decrease in the penetration of the probing laser beam into the depth of the crop.</w:t>
      </w:r>
      <w:r w:rsidRPr="002D615F">
        <w:t xml:space="preserve"> </w:t>
      </w:r>
      <w:r>
        <w:rPr>
          <w:lang w:val="en-GB"/>
        </w:rPr>
        <w:tab/>
        <w:t>Obviously, in such cases, this method must be used in combination with other remote sensing tools, such as radar sounding, etc.</w:t>
      </w:r>
    </w:p>
    <w:p w14:paraId="09974835" w14:textId="77777777" w:rsidR="003279EC" w:rsidRDefault="00FB4380">
      <w:pPr>
        <w:pStyle w:val="a5"/>
        <w:rPr>
          <w:rFonts w:ascii="Arial" w:hAnsi="Arial" w:cs="Arial"/>
          <w:sz w:val="18"/>
          <w:szCs w:val="18"/>
        </w:rPr>
      </w:pPr>
      <w:r>
        <w:rPr>
          <w:rStyle w:val="a4"/>
          <w:rFonts w:ascii="Arial" w:hAnsi="Arial" w:cs="Arial"/>
          <w:sz w:val="18"/>
          <w:szCs w:val="18"/>
        </w:rPr>
        <w:t>CONCLUSION</w:t>
      </w:r>
    </w:p>
    <w:p w14:paraId="0BB9C6D0" w14:textId="77777777" w:rsidR="003279EC" w:rsidRDefault="00FB4380">
      <w:pPr>
        <w:pStyle w:val="a5"/>
        <w:jc w:val="both"/>
        <w:rPr>
          <w:lang w:val="en-GB"/>
        </w:rPr>
      </w:pPr>
      <w:r>
        <w:rPr>
          <w:rFonts w:ascii="Arial" w:hAnsi="Arial" w:cs="Arial"/>
          <w:sz w:val="18"/>
          <w:szCs w:val="18"/>
        </w:rPr>
        <w:t>The study demonstrated that the state and biomass of vegetation can be assessed with sufficient accuracy based on the remote detection of the fluorescence response. To ensure accuracy, it is essential to simultaneously measure the intensity of the fluorescence signal both along the flight path of the onboard detector and with respect to plant height. A spatial representation of the distribution of fluorescent organic matter is achieved through the use of pulsed lasers in combination with a high</w:t>
      </w:r>
      <w:r>
        <w:rPr>
          <w:rFonts w:ascii="Arial" w:hAnsi="Arial" w:cs="Arial"/>
          <w:sz w:val="18"/>
          <w:szCs w:val="18"/>
        </w:rPr>
        <w:noBreakHyphen/>
        <w:t>speed recording system.</w:t>
      </w:r>
      <w:r>
        <w:rPr>
          <w:rFonts w:ascii="Arial" w:hAnsi="Arial" w:cs="Arial"/>
          <w:sz w:val="18"/>
          <w:szCs w:val="18"/>
        </w:rPr>
        <w:br/>
        <w:t>A second critical condition for ensuring the accuracy of the calculations is the simultaneous registration of the spectral shape of the fluorescence response, which allows for accounting of the physiological state of the plants. The estimation accuracy, in this case, depends on the number of spectral channels used for signal registration.</w:t>
      </w:r>
      <w:r>
        <w:rPr>
          <w:rFonts w:ascii="Arial" w:hAnsi="Arial" w:cs="Arial"/>
          <w:sz w:val="18"/>
          <w:szCs w:val="18"/>
        </w:rPr>
        <w:br/>
        <w:t>Field flight tests showed that the rapid diagnostics of croplands covering an area of 100 ha, including the concurrent processing of digital data, requires no more than 2–3 hours of flight time. Consequently, decision</w:t>
      </w:r>
      <w:r>
        <w:rPr>
          <w:rFonts w:ascii="Arial" w:hAnsi="Arial" w:cs="Arial"/>
          <w:sz w:val="18"/>
          <w:szCs w:val="18"/>
        </w:rPr>
        <w:noBreakHyphen/>
        <w:t>making based on remote sensing data takes no more than 3–4 hours, whereas ground</w:t>
      </w:r>
      <w:r>
        <w:rPr>
          <w:rFonts w:ascii="Arial" w:hAnsi="Arial" w:cs="Arial"/>
          <w:sz w:val="18"/>
          <w:szCs w:val="18"/>
        </w:rPr>
        <w:noBreakHyphen/>
        <w:t>based services would require at least 5–7 working days — which significantly compromises the timeliness of implementing agrotechnical measures.</w:t>
      </w:r>
      <w:r>
        <w:rPr>
          <w:rFonts w:ascii="Arial" w:hAnsi="Arial" w:cs="Arial"/>
          <w:sz w:val="18"/>
          <w:szCs w:val="18"/>
        </w:rPr>
        <w:br/>
        <w:t>Analysis of the data from field flight tests conducted over cotton fields during different vegetation periods revealed that, during the spring maturation period — when the leaf area index enables registration throughout the entire depth of the plant canopy — the results of remote biomass estimation show good agreement with ground</w:t>
      </w:r>
      <w:r>
        <w:rPr>
          <w:rFonts w:ascii="Arial" w:hAnsi="Arial" w:cs="Arial"/>
          <w:sz w:val="18"/>
          <w:szCs w:val="18"/>
        </w:rPr>
        <w:noBreakHyphen/>
        <w:t>based measurement data. Therefore, the application of the described method can serve as an effective tool for the rapid mapping of the condition of local crop areas, which is important for targeted agrochemical treatment of agricultural lands.</w:t>
      </w:r>
    </w:p>
    <w:p w14:paraId="710CDDD2" w14:textId="77777777" w:rsidR="003279EC" w:rsidRDefault="00FB4380">
      <w:pPr>
        <w:pStyle w:val="CETReference"/>
      </w:pPr>
      <w:r>
        <w:t>References</w:t>
      </w:r>
    </w:p>
    <w:p w14:paraId="15A6AD57" w14:textId="77602D95" w:rsidR="003279EC" w:rsidRDefault="00FB4380" w:rsidP="00806571">
      <w:pPr>
        <w:jc w:val="both"/>
        <w:rPr>
          <w:rFonts w:ascii="Arial" w:eastAsia="sans-serif" w:hAnsi="Arial" w:cs="Arial"/>
          <w:color w:val="000000"/>
          <w:sz w:val="18"/>
          <w:szCs w:val="18"/>
          <w:shd w:val="clear" w:color="auto" w:fill="FFFFFF"/>
        </w:rPr>
      </w:pPr>
      <w:bookmarkStart w:id="4" w:name="_Hlk222580339"/>
      <w:bookmarkStart w:id="5" w:name="_Hlk214349622"/>
      <w:proofErr w:type="spellStart"/>
      <w:r>
        <w:rPr>
          <w:rFonts w:ascii="Arial" w:hAnsi="Arial" w:cs="Arial"/>
          <w:sz w:val="18"/>
          <w:szCs w:val="18"/>
        </w:rPr>
        <w:t>Agati</w:t>
      </w:r>
      <w:proofErr w:type="spellEnd"/>
      <w:r>
        <w:rPr>
          <w:rFonts w:ascii="Arial" w:hAnsi="Arial" w:cs="Arial"/>
          <w:sz w:val="18"/>
          <w:szCs w:val="18"/>
        </w:rPr>
        <w:t xml:space="preserve"> G., </w:t>
      </w:r>
      <w:proofErr w:type="spellStart"/>
      <w:r>
        <w:rPr>
          <w:rFonts w:ascii="Arial" w:hAnsi="Arial" w:cs="Arial"/>
          <w:sz w:val="18"/>
          <w:szCs w:val="18"/>
        </w:rPr>
        <w:t>Cerovic</w:t>
      </w:r>
      <w:proofErr w:type="spellEnd"/>
      <w:r>
        <w:rPr>
          <w:rFonts w:ascii="Arial" w:hAnsi="Arial" w:cs="Arial"/>
          <w:sz w:val="18"/>
          <w:szCs w:val="18"/>
        </w:rPr>
        <w:t xml:space="preserve"> Z.G., Moya I., 2000. The Effect of Decreasing Temperature up to Chilling Values</w:t>
      </w:r>
      <w:r>
        <w:rPr>
          <w:rFonts w:ascii="Arial" w:hAnsi="Arial" w:cs="Arial"/>
          <w:sz w:val="18"/>
          <w:szCs w:val="18"/>
        </w:rPr>
        <w:br/>
        <w:t xml:space="preserve">        on the in vivo F685/F735 Chlorophyll Fluorescence Ratio in Phaseolus vulgaris and</w:t>
      </w:r>
      <w:r>
        <w:rPr>
          <w:rFonts w:ascii="Arial" w:hAnsi="Arial" w:cs="Arial"/>
          <w:sz w:val="18"/>
          <w:szCs w:val="18"/>
        </w:rPr>
        <w:br/>
        <w:t xml:space="preserve">        </w:t>
      </w:r>
      <w:proofErr w:type="spellStart"/>
      <w:r>
        <w:rPr>
          <w:rFonts w:ascii="Arial" w:hAnsi="Arial" w:cs="Arial"/>
          <w:sz w:val="18"/>
          <w:szCs w:val="18"/>
        </w:rPr>
        <w:t>Pisumsativum</w:t>
      </w:r>
      <w:proofErr w:type="spellEnd"/>
      <w:r>
        <w:rPr>
          <w:rFonts w:ascii="Arial" w:hAnsi="Arial" w:cs="Arial"/>
          <w:sz w:val="18"/>
          <w:szCs w:val="18"/>
        </w:rPr>
        <w:t xml:space="preserve">: The Role of the Photosystem I Contribution to the 735 nm Fluorescence </w:t>
      </w:r>
      <w:r>
        <w:rPr>
          <w:rFonts w:ascii="Arial" w:hAnsi="Arial" w:cs="Arial"/>
          <w:sz w:val="18"/>
          <w:szCs w:val="18"/>
        </w:rPr>
        <w:br/>
        <w:t xml:space="preserve">         Band // Photochemistry and Photobiology.  Vol. 72.  75–84.</w:t>
      </w:r>
    </w:p>
    <w:p w14:paraId="51D0004C" w14:textId="50C9D637" w:rsidR="003279EC" w:rsidRDefault="00764B94" w:rsidP="00806571">
      <w:pPr>
        <w:pBdr>
          <w:left w:val="single" w:sz="6" w:space="6" w:color="FFFFFF"/>
        </w:pBdr>
        <w:spacing w:line="15" w:lineRule="atLeast"/>
        <w:ind w:right="255"/>
        <w:rPr>
          <w:rFonts w:ascii="Arial" w:eastAsia="Times New Roman" w:hAnsi="Arial" w:cs="Arial"/>
          <w:color w:val="1A1A1A"/>
          <w:sz w:val="18"/>
          <w:szCs w:val="18"/>
        </w:rPr>
      </w:pPr>
      <w:hyperlink r:id="rId17" w:anchor="auth-Claus-Buschmann-Aff1" w:history="1">
        <w:r w:rsidR="00FB4380">
          <w:rPr>
            <w:rStyle w:val="a3"/>
            <w:rFonts w:ascii="Arial" w:eastAsia="Helvetica" w:hAnsi="Arial" w:cs="Arial"/>
            <w:color w:val="000000"/>
            <w:sz w:val="18"/>
            <w:szCs w:val="18"/>
            <w:u w:val="none"/>
            <w:shd w:val="clear" w:color="auto" w:fill="FFFFFF"/>
          </w:rPr>
          <w:t>Claus Buschmann</w:t>
        </w:r>
      </w:hyperlink>
      <w:r w:rsidR="00FB4380">
        <w:rPr>
          <w:rStyle w:val="a3"/>
          <w:rFonts w:ascii="Arial" w:eastAsia="Helvetica" w:hAnsi="Arial" w:cs="Arial"/>
          <w:color w:val="000000"/>
          <w:sz w:val="18"/>
          <w:szCs w:val="18"/>
          <w:u w:val="none"/>
          <w:shd w:val="clear" w:color="auto" w:fill="FFFFFF"/>
        </w:rPr>
        <w:t xml:space="preserve">, </w:t>
      </w:r>
      <w:r w:rsidR="00FB4380">
        <w:rPr>
          <w:rFonts w:ascii="Arial" w:eastAsia="Helvetica" w:hAnsi="Arial" w:cs="Arial"/>
          <w:color w:val="000000"/>
          <w:sz w:val="18"/>
          <w:szCs w:val="18"/>
          <w:shd w:val="clear" w:color="auto" w:fill="FFFFFF"/>
        </w:rPr>
        <w:t xml:space="preserve">2007. Variability and application of the </w:t>
      </w:r>
      <w:proofErr w:type="spellStart"/>
      <w:r w:rsidR="00FB4380">
        <w:rPr>
          <w:rFonts w:ascii="Arial" w:eastAsia="Helvetica" w:hAnsi="Arial" w:cs="Arial"/>
          <w:color w:val="000000"/>
          <w:sz w:val="18"/>
          <w:szCs w:val="18"/>
          <w:shd w:val="clear" w:color="auto" w:fill="FFFFFF"/>
        </w:rPr>
        <w:t>chlorofill</w:t>
      </w:r>
      <w:proofErr w:type="spellEnd"/>
      <w:r w:rsidR="00FB4380">
        <w:rPr>
          <w:rFonts w:ascii="Arial" w:eastAsia="Helvetica" w:hAnsi="Arial" w:cs="Arial"/>
          <w:color w:val="000000"/>
          <w:sz w:val="18"/>
          <w:szCs w:val="18"/>
          <w:shd w:val="clear" w:color="auto" w:fill="FFFFFF"/>
        </w:rPr>
        <w:t xml:space="preserve"> fluorescence emission ratio</w:t>
      </w:r>
      <w:r w:rsidR="00FB4380">
        <w:rPr>
          <w:rFonts w:ascii="Arial" w:eastAsia="Helvetica" w:hAnsi="Arial" w:cs="Arial"/>
          <w:color w:val="000000"/>
          <w:sz w:val="18"/>
          <w:szCs w:val="18"/>
          <w:shd w:val="clear" w:color="auto" w:fill="FFFFFF"/>
        </w:rPr>
        <w:br/>
        <w:t xml:space="preserve">          red/far-red of leaves. Research Article Published: 25 may  Volume 92,  261-271. </w:t>
      </w:r>
      <w:r w:rsidR="00FB4380">
        <w:rPr>
          <w:rFonts w:ascii="Arial" w:eastAsia="Helvetica" w:hAnsi="Arial" w:cs="Arial"/>
          <w:color w:val="000000"/>
          <w:sz w:val="18"/>
          <w:szCs w:val="18"/>
          <w:shd w:val="clear" w:color="auto" w:fill="FFFFFF"/>
        </w:rPr>
        <w:br/>
        <w:t xml:space="preserve">          </w:t>
      </w:r>
      <w:r w:rsidR="00FB4380" w:rsidRPr="00806571">
        <w:rPr>
          <w:rFonts w:ascii="Arial" w:eastAsia="Times New Roman" w:hAnsi="Arial" w:cs="Arial"/>
          <w:sz w:val="18"/>
          <w:szCs w:val="18"/>
        </w:rPr>
        <w:t>https://link.springer.com/article/10.1007/s11120-007-9187-8</w:t>
      </w:r>
    </w:p>
    <w:p w14:paraId="5A46FF8F" w14:textId="7521B381" w:rsidR="003279EC" w:rsidRDefault="00FB4380" w:rsidP="00806571">
      <w:pPr>
        <w:jc w:val="both"/>
        <w:rPr>
          <w:rFonts w:ascii="Arial" w:hAnsi="Arial" w:cs="Arial"/>
          <w:sz w:val="18"/>
          <w:szCs w:val="18"/>
        </w:rPr>
      </w:pPr>
      <w:bookmarkStart w:id="6" w:name="_Hlk222580404"/>
      <w:bookmarkEnd w:id="4"/>
      <w:r>
        <w:rPr>
          <w:rFonts w:ascii="Arial" w:hAnsi="Arial" w:cs="Arial"/>
          <w:sz w:val="18"/>
          <w:szCs w:val="18"/>
        </w:rPr>
        <w:t>Chappelle E.W.,</w:t>
      </w:r>
      <w:r w:rsidR="00806571">
        <w:rPr>
          <w:rFonts w:ascii="Arial" w:hAnsi="Arial" w:cs="Arial"/>
          <w:sz w:val="18"/>
          <w:szCs w:val="18"/>
        </w:rPr>
        <w:t xml:space="preserve"> </w:t>
      </w:r>
      <w:r>
        <w:rPr>
          <w:rFonts w:ascii="Arial" w:hAnsi="Arial" w:cs="Arial"/>
          <w:sz w:val="18"/>
          <w:szCs w:val="18"/>
        </w:rPr>
        <w:t xml:space="preserve">De </w:t>
      </w:r>
      <w:proofErr w:type="spellStart"/>
      <w:r>
        <w:rPr>
          <w:rFonts w:ascii="Arial" w:hAnsi="Arial" w:cs="Arial"/>
          <w:sz w:val="18"/>
          <w:szCs w:val="18"/>
        </w:rPr>
        <w:t>Murtrey</w:t>
      </w:r>
      <w:proofErr w:type="spellEnd"/>
      <w:r>
        <w:rPr>
          <w:rFonts w:ascii="Arial" w:hAnsi="Arial" w:cs="Arial"/>
          <w:sz w:val="18"/>
          <w:szCs w:val="18"/>
        </w:rPr>
        <w:t xml:space="preserve"> J.E., Wood F.M., </w:t>
      </w:r>
      <w:proofErr w:type="spellStart"/>
      <w:r>
        <w:rPr>
          <w:rFonts w:ascii="Arial" w:hAnsi="Arial" w:cs="Arial"/>
          <w:sz w:val="18"/>
          <w:szCs w:val="18"/>
        </w:rPr>
        <w:t>Newcomp</w:t>
      </w:r>
      <w:proofErr w:type="spellEnd"/>
      <w:r>
        <w:rPr>
          <w:rFonts w:ascii="Arial" w:hAnsi="Arial" w:cs="Arial"/>
          <w:sz w:val="18"/>
          <w:szCs w:val="18"/>
        </w:rPr>
        <w:t xml:space="preserve"> W.W., 1984. Laser-induced Fluorescence</w:t>
      </w:r>
      <w:r>
        <w:rPr>
          <w:rFonts w:ascii="Arial" w:hAnsi="Arial" w:cs="Arial"/>
          <w:sz w:val="18"/>
          <w:szCs w:val="18"/>
        </w:rPr>
        <w:br/>
        <w:t xml:space="preserve">          of green plants.1: A technique for the remote detection of plant stress and species</w:t>
      </w:r>
      <w:r>
        <w:rPr>
          <w:rFonts w:ascii="Arial" w:hAnsi="Arial" w:cs="Arial"/>
          <w:sz w:val="18"/>
          <w:szCs w:val="18"/>
        </w:rPr>
        <w:br/>
      </w:r>
      <w:r>
        <w:rPr>
          <w:rFonts w:ascii="Arial" w:hAnsi="Arial" w:cs="Arial"/>
          <w:sz w:val="18"/>
          <w:szCs w:val="18"/>
        </w:rPr>
        <w:lastRenderedPageBreak/>
        <w:t xml:space="preserve">          differentiation // </w:t>
      </w:r>
      <w:proofErr w:type="spellStart"/>
      <w:r>
        <w:rPr>
          <w:rFonts w:ascii="Arial" w:hAnsi="Arial" w:cs="Arial"/>
          <w:sz w:val="18"/>
          <w:szCs w:val="18"/>
        </w:rPr>
        <w:t>Appl.Opt</w:t>
      </w:r>
      <w:proofErr w:type="spellEnd"/>
      <w:r>
        <w:rPr>
          <w:rFonts w:ascii="Arial" w:hAnsi="Arial" w:cs="Arial"/>
          <w:sz w:val="18"/>
          <w:szCs w:val="18"/>
        </w:rPr>
        <w:t>., V.23, № 1,  134-138.</w:t>
      </w:r>
      <w:r>
        <w:rPr>
          <w:rFonts w:ascii="Arial" w:hAnsi="Arial" w:cs="Arial"/>
          <w:sz w:val="18"/>
          <w:szCs w:val="18"/>
        </w:rPr>
        <w:br/>
        <w:t xml:space="preserve">          </w:t>
      </w:r>
      <w:hyperlink r:id="rId18" w:history="1">
        <w:r w:rsidR="00E344D2" w:rsidRPr="003B23C0">
          <w:rPr>
            <w:rStyle w:val="a3"/>
            <w:rFonts w:ascii="Arial" w:hAnsi="Arial" w:cs="Arial"/>
            <w:sz w:val="18"/>
            <w:szCs w:val="18"/>
          </w:rPr>
          <w:t>https://doi.org/10.1364/AO.24.000074</w:t>
        </w:r>
      </w:hyperlink>
    </w:p>
    <w:p w14:paraId="755E3ABB" w14:textId="4A7C1114" w:rsidR="00E344D2" w:rsidRDefault="00E344D2" w:rsidP="00806571">
      <w:pPr>
        <w:jc w:val="both"/>
        <w:rPr>
          <w:rFonts w:ascii="Arial" w:hAnsi="Arial" w:cs="Arial"/>
          <w:sz w:val="18"/>
          <w:szCs w:val="18"/>
        </w:rPr>
      </w:pPr>
    </w:p>
    <w:bookmarkStart w:id="7" w:name="_Hlk233132915"/>
    <w:p w14:paraId="69D144AE" w14:textId="05299EBA" w:rsidR="00E344D2" w:rsidRPr="00E344D2" w:rsidRDefault="00E344D2" w:rsidP="00E344D2">
      <w:pPr>
        <w:jc w:val="both"/>
        <w:rPr>
          <w:rFonts w:ascii="Arial" w:hAnsi="Arial" w:cs="Arial"/>
          <w:sz w:val="18"/>
          <w:szCs w:val="18"/>
        </w:rPr>
      </w:pPr>
      <w:r w:rsidRPr="00E344D2">
        <w:rPr>
          <w:rFonts w:ascii="Arial" w:hAnsi="Arial" w:cs="Arial"/>
          <w:sz w:val="18"/>
          <w:szCs w:val="18"/>
        </w:rPr>
        <w:fldChar w:fldCharType="begin"/>
      </w:r>
      <w:r w:rsidRPr="00E344D2">
        <w:rPr>
          <w:rFonts w:ascii="Arial" w:hAnsi="Arial" w:cs="Arial"/>
          <w:sz w:val="18"/>
          <w:szCs w:val="18"/>
        </w:rPr>
        <w:instrText xml:space="preserve"> HYPERLINK "file:///C:\\Users\\User\\Desktop\\IPEC\\Черновик%20ipec%20.docx" \l "auth-Hazem_M_-Kalaji-Aff1" </w:instrText>
      </w:r>
      <w:r w:rsidRPr="00E344D2">
        <w:rPr>
          <w:rFonts w:ascii="Arial" w:hAnsi="Arial" w:cs="Arial"/>
          <w:sz w:val="18"/>
          <w:szCs w:val="18"/>
        </w:rPr>
        <w:fldChar w:fldCharType="separate"/>
      </w:r>
      <w:r w:rsidRPr="00E344D2">
        <w:rPr>
          <w:rStyle w:val="a3"/>
          <w:rFonts w:ascii="Arial" w:hAnsi="Arial" w:cs="Arial"/>
          <w:color w:val="auto"/>
          <w:sz w:val="18"/>
          <w:szCs w:val="18"/>
          <w:u w:val="none"/>
        </w:rPr>
        <w:t>Hazem M. Kalaji</w:t>
      </w:r>
      <w:r w:rsidRPr="00E344D2">
        <w:rPr>
          <w:rFonts w:ascii="Arial" w:hAnsi="Arial" w:cs="Arial"/>
          <w:sz w:val="18"/>
          <w:szCs w:val="18"/>
        </w:rPr>
        <w:fldChar w:fldCharType="end"/>
      </w:r>
      <w:r w:rsidRPr="00E344D2">
        <w:rPr>
          <w:rFonts w:ascii="Arial" w:hAnsi="Arial" w:cs="Arial"/>
          <w:sz w:val="18"/>
          <w:szCs w:val="18"/>
        </w:rPr>
        <w:t xml:space="preserve">, </w:t>
      </w:r>
      <w:hyperlink r:id="rId19" w:anchor="auth-Anjana-Jajoo-Aff2" w:history="1">
        <w:r w:rsidRPr="00E344D2">
          <w:rPr>
            <w:rStyle w:val="a3"/>
            <w:rFonts w:ascii="Arial" w:hAnsi="Arial" w:cs="Arial"/>
            <w:color w:val="auto"/>
            <w:sz w:val="18"/>
            <w:szCs w:val="18"/>
            <w:u w:val="none"/>
          </w:rPr>
          <w:t>Anjana Jajoo</w:t>
        </w:r>
      </w:hyperlink>
      <w:r w:rsidRPr="00E344D2">
        <w:rPr>
          <w:rFonts w:ascii="Arial" w:hAnsi="Arial" w:cs="Arial"/>
          <w:sz w:val="18"/>
          <w:szCs w:val="18"/>
        </w:rPr>
        <w:t xml:space="preserve"> at.all.</w:t>
      </w:r>
      <w:r>
        <w:rPr>
          <w:rFonts w:ascii="Arial" w:hAnsi="Arial" w:cs="Arial"/>
          <w:sz w:val="18"/>
          <w:szCs w:val="18"/>
        </w:rPr>
        <w:t>,2016</w:t>
      </w:r>
      <w:bookmarkEnd w:id="7"/>
      <w:r>
        <w:rPr>
          <w:rFonts w:ascii="Arial" w:hAnsi="Arial" w:cs="Arial"/>
          <w:sz w:val="18"/>
          <w:szCs w:val="18"/>
        </w:rPr>
        <w:t>.</w:t>
      </w:r>
      <w:r w:rsidRPr="00E344D2">
        <w:rPr>
          <w:rFonts w:ascii="Arial" w:hAnsi="Arial" w:cs="Arial"/>
          <w:sz w:val="18"/>
          <w:szCs w:val="18"/>
        </w:rPr>
        <w:t xml:space="preserve"> Chlorophyll a fluorescence as a tool to monitor</w:t>
      </w:r>
      <w:r w:rsidRPr="00E344D2">
        <w:rPr>
          <w:rFonts w:ascii="Arial" w:hAnsi="Arial" w:cs="Arial"/>
          <w:sz w:val="18"/>
          <w:szCs w:val="18"/>
        </w:rPr>
        <w:br/>
        <w:t xml:space="preserve">          physiological status of plants under abiotic stress conditions.  Acta </w:t>
      </w:r>
      <w:r w:rsidR="00B64DD3" w:rsidRPr="00E344D2">
        <w:rPr>
          <w:rFonts w:ascii="Arial" w:hAnsi="Arial" w:cs="Arial"/>
          <w:sz w:val="18"/>
          <w:szCs w:val="18"/>
        </w:rPr>
        <w:t>Physiological</w:t>
      </w:r>
      <w:r w:rsidRPr="00E344D2">
        <w:rPr>
          <w:rFonts w:ascii="Arial" w:hAnsi="Arial" w:cs="Arial"/>
          <w:sz w:val="18"/>
          <w:szCs w:val="18"/>
        </w:rPr>
        <w:br/>
        <w:t xml:space="preserve">          </w:t>
      </w:r>
      <w:proofErr w:type="spellStart"/>
      <w:r w:rsidRPr="00E344D2">
        <w:rPr>
          <w:rFonts w:ascii="Arial" w:hAnsi="Arial" w:cs="Arial"/>
          <w:sz w:val="18"/>
          <w:szCs w:val="18"/>
        </w:rPr>
        <w:t>Plantarum.Volume</w:t>
      </w:r>
      <w:proofErr w:type="spellEnd"/>
      <w:r w:rsidRPr="00E344D2">
        <w:rPr>
          <w:rFonts w:ascii="Arial" w:hAnsi="Arial" w:cs="Arial"/>
          <w:sz w:val="18"/>
          <w:szCs w:val="18"/>
        </w:rPr>
        <w:t xml:space="preserve"> 38, article number 102</w:t>
      </w:r>
      <w:r>
        <w:rPr>
          <w:rFonts w:ascii="Arial" w:hAnsi="Arial" w:cs="Arial"/>
          <w:sz w:val="18"/>
          <w:szCs w:val="18"/>
        </w:rPr>
        <w:br/>
      </w:r>
      <w:r w:rsidRPr="00E344D2">
        <w:rPr>
          <w:rFonts w:ascii="Arial" w:hAnsi="Arial" w:cs="Arial"/>
          <w:sz w:val="18"/>
          <w:szCs w:val="18"/>
        </w:rPr>
        <w:t xml:space="preserve">          </w:t>
      </w:r>
      <w:hyperlink r:id="rId20" w:history="1">
        <w:r w:rsidRPr="00E344D2">
          <w:rPr>
            <w:rStyle w:val="a3"/>
            <w:rFonts w:ascii="Arial" w:hAnsi="Arial" w:cs="Arial"/>
            <w:color w:val="auto"/>
            <w:sz w:val="18"/>
            <w:szCs w:val="18"/>
            <w:u w:val="none"/>
          </w:rPr>
          <w:t>https://link.s</w:t>
        </w:r>
        <w:r w:rsidRPr="00E344D2">
          <w:rPr>
            <w:rStyle w:val="a3"/>
            <w:rFonts w:ascii="Arial" w:hAnsi="Arial" w:cs="Arial"/>
            <w:color w:val="auto"/>
            <w:sz w:val="18"/>
            <w:szCs w:val="18"/>
            <w:u w:val="none"/>
          </w:rPr>
          <w:t>p</w:t>
        </w:r>
        <w:r w:rsidRPr="00E344D2">
          <w:rPr>
            <w:rStyle w:val="a3"/>
            <w:rFonts w:ascii="Arial" w:hAnsi="Arial" w:cs="Arial"/>
            <w:color w:val="auto"/>
            <w:sz w:val="18"/>
            <w:szCs w:val="18"/>
            <w:u w:val="none"/>
          </w:rPr>
          <w:t>ringer.com/article/10.1007/s11738-016-2113-y</w:t>
        </w:r>
      </w:hyperlink>
    </w:p>
    <w:p w14:paraId="1A04BABD" w14:textId="77777777" w:rsidR="003279EC" w:rsidRDefault="00FB4380" w:rsidP="00806571">
      <w:pPr>
        <w:jc w:val="both"/>
        <w:rPr>
          <w:rFonts w:ascii="Arial" w:hAnsi="Arial" w:cs="Arial"/>
          <w:sz w:val="18"/>
          <w:szCs w:val="18"/>
          <w:lang w:bidi="ar"/>
        </w:rPr>
      </w:pPr>
      <w:r>
        <w:rPr>
          <w:rFonts w:ascii="Arial" w:hAnsi="Arial" w:cs="Arial"/>
          <w:sz w:val="18"/>
          <w:szCs w:val="18"/>
          <w:lang w:bidi="ar"/>
        </w:rPr>
        <w:t xml:space="preserve">Hoge F.E., Swift R.N. and </w:t>
      </w:r>
      <w:proofErr w:type="spellStart"/>
      <w:r>
        <w:rPr>
          <w:rFonts w:ascii="Arial" w:hAnsi="Arial" w:cs="Arial"/>
          <w:sz w:val="18"/>
          <w:szCs w:val="18"/>
          <w:lang w:bidi="ar"/>
        </w:rPr>
        <w:t>Jungel</w:t>
      </w:r>
      <w:proofErr w:type="spellEnd"/>
      <w:r>
        <w:rPr>
          <w:rFonts w:ascii="Arial" w:hAnsi="Arial" w:cs="Arial"/>
          <w:sz w:val="18"/>
          <w:szCs w:val="18"/>
          <w:lang w:bidi="ar"/>
        </w:rPr>
        <w:t xml:space="preserve"> J.K., 1983. Feasibility of airborne detection of laser-</w:t>
      </w:r>
      <w:proofErr w:type="spellStart"/>
      <w:r>
        <w:rPr>
          <w:rFonts w:ascii="Arial" w:hAnsi="Arial" w:cs="Arial"/>
          <w:sz w:val="18"/>
          <w:szCs w:val="18"/>
          <w:lang w:bidi="ar"/>
        </w:rPr>
        <w:t>indused</w:t>
      </w:r>
      <w:proofErr w:type="spellEnd"/>
    </w:p>
    <w:p w14:paraId="427CA6F9" w14:textId="77777777" w:rsidR="003279EC" w:rsidRDefault="00FB4380" w:rsidP="00806571">
      <w:pPr>
        <w:jc w:val="both"/>
        <w:rPr>
          <w:rFonts w:ascii="Arial" w:hAnsi="Arial" w:cs="Arial"/>
          <w:sz w:val="18"/>
          <w:szCs w:val="18"/>
          <w:lang w:bidi="ar"/>
        </w:rPr>
      </w:pPr>
      <w:r>
        <w:rPr>
          <w:rFonts w:ascii="Arial" w:hAnsi="Arial" w:cs="Arial"/>
          <w:sz w:val="18"/>
          <w:szCs w:val="18"/>
          <w:lang w:bidi="ar"/>
        </w:rPr>
        <w:t xml:space="preserve">           fluorescence emission from green terrestrial plants</w:t>
      </w:r>
      <w:r>
        <w:rPr>
          <w:rFonts w:ascii="Arial" w:hAnsi="Arial" w:cs="Arial"/>
          <w:sz w:val="18"/>
          <w:szCs w:val="18"/>
          <w:lang w:val="en-GB" w:bidi="ar"/>
        </w:rPr>
        <w:t xml:space="preserve"> // </w:t>
      </w:r>
      <w:proofErr w:type="spellStart"/>
      <w:r>
        <w:rPr>
          <w:rFonts w:ascii="Arial" w:hAnsi="Arial" w:cs="Arial"/>
          <w:sz w:val="18"/>
          <w:szCs w:val="18"/>
          <w:lang w:bidi="ar"/>
        </w:rPr>
        <w:t>Appl.Opt</w:t>
      </w:r>
      <w:proofErr w:type="spellEnd"/>
      <w:r>
        <w:rPr>
          <w:rFonts w:ascii="Arial" w:hAnsi="Arial" w:cs="Arial"/>
          <w:sz w:val="18"/>
          <w:szCs w:val="18"/>
          <w:lang w:bidi="ar"/>
        </w:rPr>
        <w:t>., V.22,</w:t>
      </w:r>
      <w:r>
        <w:rPr>
          <w:rFonts w:ascii="Arial" w:hAnsi="Arial" w:cs="Arial"/>
          <w:sz w:val="18"/>
          <w:szCs w:val="18"/>
          <w:lang w:val="en-GB" w:bidi="ar"/>
        </w:rPr>
        <w:t xml:space="preserve"> №</w:t>
      </w:r>
      <w:r>
        <w:rPr>
          <w:rFonts w:ascii="Arial" w:hAnsi="Arial" w:cs="Arial"/>
          <w:sz w:val="18"/>
          <w:szCs w:val="18"/>
          <w:lang w:bidi="ar"/>
        </w:rPr>
        <w:t xml:space="preserve"> 19, 2981-3001.</w:t>
      </w:r>
    </w:p>
    <w:bookmarkEnd w:id="5"/>
    <w:bookmarkEnd w:id="6"/>
    <w:p w14:paraId="431E6EC8" w14:textId="77777777" w:rsidR="003279EC" w:rsidRDefault="00FB4380" w:rsidP="00806571">
      <w:pPr>
        <w:pStyle w:val="a5"/>
        <w:spacing w:beforeAutospacing="0" w:afterAutospacing="0"/>
        <w:ind w:left="540" w:hangingChars="300" w:hanging="540"/>
        <w:rPr>
          <w:rFonts w:ascii="Arial" w:hAnsi="Arial" w:cs="Arial"/>
          <w:sz w:val="18"/>
          <w:szCs w:val="18"/>
        </w:rPr>
      </w:pPr>
      <w:r>
        <w:rPr>
          <w:rFonts w:ascii="Arial" w:hAnsi="Arial" w:cs="Arial"/>
          <w:sz w:val="18"/>
          <w:szCs w:val="18"/>
        </w:rPr>
        <w:t xml:space="preserve">Joni S. </w:t>
      </w:r>
      <w:proofErr w:type="spellStart"/>
      <w:r>
        <w:rPr>
          <w:rFonts w:ascii="Arial" w:hAnsi="Arial" w:cs="Arial"/>
          <w:sz w:val="18"/>
          <w:szCs w:val="18"/>
        </w:rPr>
        <w:t>Adiansyaha</w:t>
      </w:r>
      <w:proofErr w:type="spellEnd"/>
      <w:r>
        <w:rPr>
          <w:rFonts w:ascii="Arial" w:hAnsi="Arial" w:cs="Arial"/>
          <w:sz w:val="18"/>
          <w:szCs w:val="18"/>
        </w:rPr>
        <w:t xml:space="preserve">, </w:t>
      </w:r>
      <w:proofErr w:type="spellStart"/>
      <w:r>
        <w:rPr>
          <w:rFonts w:ascii="Arial" w:hAnsi="Arial" w:cs="Arial"/>
          <w:sz w:val="18"/>
          <w:szCs w:val="18"/>
        </w:rPr>
        <w:t>Hadiyanto</w:t>
      </w:r>
      <w:proofErr w:type="spellEnd"/>
      <w:r>
        <w:rPr>
          <w:rFonts w:ascii="Arial" w:hAnsi="Arial" w:cs="Arial"/>
          <w:sz w:val="18"/>
          <w:szCs w:val="18"/>
        </w:rPr>
        <w:t xml:space="preserve"> </w:t>
      </w:r>
      <w:proofErr w:type="spellStart"/>
      <w:r>
        <w:rPr>
          <w:rFonts w:ascii="Arial" w:hAnsi="Arial" w:cs="Arial"/>
          <w:sz w:val="18"/>
          <w:szCs w:val="18"/>
        </w:rPr>
        <w:t>Hadiyantoc</w:t>
      </w:r>
      <w:proofErr w:type="spellEnd"/>
      <w:r>
        <w:rPr>
          <w:rFonts w:ascii="Arial" w:hAnsi="Arial" w:cs="Arial"/>
          <w:sz w:val="18"/>
          <w:szCs w:val="18"/>
        </w:rPr>
        <w:t xml:space="preserve">, </w:t>
      </w:r>
      <w:proofErr w:type="spellStart"/>
      <w:r>
        <w:rPr>
          <w:rFonts w:ascii="Arial" w:hAnsi="Arial" w:cs="Arial"/>
          <w:sz w:val="18"/>
          <w:szCs w:val="18"/>
        </w:rPr>
        <w:t>Naliawati</w:t>
      </w:r>
      <w:proofErr w:type="spellEnd"/>
      <w:r>
        <w:rPr>
          <w:rFonts w:ascii="Arial" w:hAnsi="Arial" w:cs="Arial"/>
          <w:sz w:val="18"/>
          <w:szCs w:val="18"/>
        </w:rPr>
        <w:t xml:space="preserve"> </w:t>
      </w:r>
      <w:proofErr w:type="spellStart"/>
      <w:r>
        <w:rPr>
          <w:rFonts w:ascii="Arial" w:hAnsi="Arial" w:cs="Arial"/>
          <w:sz w:val="18"/>
          <w:szCs w:val="18"/>
        </w:rPr>
        <w:t>Ningrumb</w:t>
      </w:r>
      <w:proofErr w:type="spellEnd"/>
      <w:r>
        <w:rPr>
          <w:rFonts w:ascii="Arial" w:hAnsi="Arial" w:cs="Arial"/>
          <w:sz w:val="18"/>
          <w:szCs w:val="18"/>
        </w:rPr>
        <w:t>,</w:t>
      </w:r>
      <w:r w:rsidRPr="002D615F">
        <w:rPr>
          <w:rFonts w:ascii="Arial" w:hAnsi="Arial" w:cs="Arial"/>
          <w:sz w:val="18"/>
          <w:szCs w:val="18"/>
        </w:rPr>
        <w:t xml:space="preserve"> </w:t>
      </w:r>
      <w:r>
        <w:rPr>
          <w:rFonts w:ascii="Arial" w:hAnsi="Arial" w:cs="Arial"/>
          <w:sz w:val="18"/>
          <w:szCs w:val="18"/>
        </w:rPr>
        <w:t xml:space="preserve">2021. Application of Life Cycle Assessment for  Improving the Energy and Waste Management Strategy: A Case Study of Fertilizer Plant in Indonesia .CHEMICAL ENGINEERING TRANSACTIONS VOL. 89, </w:t>
      </w:r>
      <w:r>
        <w:rPr>
          <w:rFonts w:ascii="Arial" w:hAnsi="Arial" w:cs="Arial"/>
          <w:sz w:val="18"/>
          <w:szCs w:val="18"/>
        </w:rPr>
        <w:br/>
        <w:t>ISBN 978-88-95608-87-7; ISSN 2283-9216</w:t>
      </w:r>
      <w:r>
        <w:rPr>
          <w:rFonts w:ascii="Arial" w:hAnsi="Arial" w:cs="Arial"/>
          <w:sz w:val="18"/>
          <w:szCs w:val="18"/>
        </w:rPr>
        <w:br/>
        <w:t>DOI: 10.3303/CET2189025</w:t>
      </w:r>
    </w:p>
    <w:p w14:paraId="018CBDB6" w14:textId="77777777" w:rsidR="003279EC" w:rsidRDefault="00FB4380" w:rsidP="00806571">
      <w:pPr>
        <w:pStyle w:val="a5"/>
        <w:spacing w:beforeAutospacing="0" w:afterAutospacing="0"/>
        <w:ind w:left="450" w:hangingChars="250" w:hanging="450"/>
        <w:rPr>
          <w:rFonts w:ascii="Arial" w:hAnsi="Arial" w:cs="Arial"/>
          <w:sz w:val="18"/>
          <w:szCs w:val="18"/>
        </w:rPr>
      </w:pPr>
      <w:r>
        <w:rPr>
          <w:rFonts w:ascii="Arial" w:hAnsi="Arial" w:cs="Arial"/>
          <w:sz w:val="18"/>
          <w:szCs w:val="18"/>
        </w:rPr>
        <w:t xml:space="preserve">Mohammad </w:t>
      </w:r>
      <w:proofErr w:type="spellStart"/>
      <w:r>
        <w:rPr>
          <w:rFonts w:ascii="Arial" w:hAnsi="Arial" w:cs="Arial"/>
          <w:sz w:val="18"/>
          <w:szCs w:val="18"/>
        </w:rPr>
        <w:t>Sarvestani</w:t>
      </w:r>
      <w:proofErr w:type="spellEnd"/>
      <w:r>
        <w:rPr>
          <w:rFonts w:ascii="Arial" w:hAnsi="Arial" w:cs="Arial"/>
          <w:sz w:val="18"/>
          <w:szCs w:val="18"/>
        </w:rPr>
        <w:t>, 2024. Plant Protection and Fertilizer Production</w:t>
      </w:r>
      <w:r w:rsidRPr="002D615F">
        <w:rPr>
          <w:rFonts w:ascii="Arial" w:hAnsi="Arial" w:cs="Arial"/>
          <w:sz w:val="18"/>
          <w:szCs w:val="18"/>
        </w:rPr>
        <w:t xml:space="preserve">. </w:t>
      </w:r>
      <w:r>
        <w:rPr>
          <w:rFonts w:ascii="Arial" w:hAnsi="Arial" w:cs="Arial"/>
          <w:sz w:val="18"/>
          <w:szCs w:val="18"/>
        </w:rPr>
        <w:t>Journal of Chemical Sciences</w:t>
      </w:r>
      <w:r>
        <w:rPr>
          <w:rFonts w:ascii="Arial" w:hAnsi="Arial" w:cs="Arial"/>
          <w:sz w:val="18"/>
          <w:szCs w:val="18"/>
        </w:rPr>
        <w:br/>
        <w:t xml:space="preserve"> ISSN: 2150-3494 Short Communication,  Volume 15, Issue 5 Industrial Chemistry in Agriculture </w:t>
      </w:r>
    </w:p>
    <w:p w14:paraId="0F56946F" w14:textId="28C5E2A3" w:rsidR="003279EC" w:rsidRDefault="00FB4380" w:rsidP="00806571">
      <w:pPr>
        <w:ind w:left="450" w:hangingChars="250" w:hanging="450"/>
        <w:jc w:val="both"/>
        <w:rPr>
          <w:rFonts w:ascii="Arial" w:hAnsi="Arial" w:cs="Arial"/>
          <w:sz w:val="18"/>
          <w:szCs w:val="18"/>
        </w:rPr>
      </w:pPr>
      <w:proofErr w:type="spellStart"/>
      <w:r>
        <w:rPr>
          <w:rFonts w:ascii="Arial" w:eastAsia="TimesNewRomanPS-BoldMT" w:hAnsi="Arial" w:cs="Arial"/>
          <w:color w:val="000000"/>
          <w:sz w:val="18"/>
          <w:szCs w:val="18"/>
          <w:lang w:bidi="ar"/>
        </w:rPr>
        <w:t>Mukhamedov</w:t>
      </w:r>
      <w:proofErr w:type="spellEnd"/>
      <w:r>
        <w:rPr>
          <w:rFonts w:ascii="Arial" w:eastAsia="TimesNewRomanPS-BoldMT" w:hAnsi="Arial" w:cs="Arial"/>
          <w:color w:val="000000"/>
          <w:sz w:val="18"/>
          <w:szCs w:val="18"/>
          <w:lang w:bidi="ar"/>
        </w:rPr>
        <w:t xml:space="preserve"> A., </w:t>
      </w:r>
      <w:proofErr w:type="spellStart"/>
      <w:r>
        <w:rPr>
          <w:rFonts w:ascii="Arial" w:eastAsia="TimesNewRomanPS-BoldMT" w:hAnsi="Arial" w:cs="Arial"/>
          <w:color w:val="000000"/>
          <w:sz w:val="18"/>
          <w:szCs w:val="18"/>
          <w:lang w:bidi="ar"/>
        </w:rPr>
        <w:t>Ernazarov</w:t>
      </w:r>
      <w:proofErr w:type="spellEnd"/>
      <w:r>
        <w:rPr>
          <w:rFonts w:ascii="Arial" w:eastAsia="TimesNewRomanPS-BoldMT" w:hAnsi="Arial" w:cs="Arial"/>
          <w:color w:val="000000"/>
          <w:sz w:val="18"/>
          <w:szCs w:val="18"/>
          <w:lang w:bidi="ar"/>
        </w:rPr>
        <w:t xml:space="preserve"> N., </w:t>
      </w:r>
      <w:proofErr w:type="spellStart"/>
      <w:r>
        <w:rPr>
          <w:rFonts w:ascii="Arial" w:eastAsia="TimesNewRomanPS-BoldMT" w:hAnsi="Arial" w:cs="Arial"/>
          <w:color w:val="000000"/>
          <w:sz w:val="18"/>
          <w:szCs w:val="18"/>
          <w:lang w:bidi="ar"/>
        </w:rPr>
        <w:t>Khujamshukurov</w:t>
      </w:r>
      <w:proofErr w:type="spellEnd"/>
      <w:r>
        <w:rPr>
          <w:rFonts w:ascii="Arial" w:eastAsia="TimesNewRomanPS-BoldMT" w:hAnsi="Arial" w:cs="Arial"/>
          <w:color w:val="000000"/>
          <w:sz w:val="18"/>
          <w:szCs w:val="18"/>
          <w:lang w:bidi="ar"/>
        </w:rPr>
        <w:t xml:space="preserve"> N., Isaev F., 2025. </w:t>
      </w:r>
      <w:r w:rsidRPr="00806571">
        <w:rPr>
          <w:rStyle w:val="a3"/>
          <w:rFonts w:ascii="Arial" w:eastAsia="sans-serif" w:hAnsi="Arial" w:cs="Arial"/>
          <w:color w:val="auto"/>
          <w:sz w:val="18"/>
          <w:szCs w:val="18"/>
          <w:u w:val="none"/>
        </w:rPr>
        <w:t>E</w:t>
      </w:r>
      <w:r>
        <w:rPr>
          <w:rFonts w:ascii="Arial" w:eastAsia="sans-serif" w:hAnsi="Arial" w:cs="Arial"/>
          <w:color w:val="000000"/>
          <w:sz w:val="18"/>
          <w:szCs w:val="18"/>
          <w:shd w:val="clear" w:color="auto" w:fill="FFFFFF"/>
        </w:rPr>
        <w:t>stimation of Vegetation Cover Biomass by Remote Sensing.</w:t>
      </w:r>
      <w:r w:rsidR="00806571">
        <w:rPr>
          <w:rFonts w:ascii="Arial" w:eastAsia="sans-serif" w:hAnsi="Arial" w:cs="Arial"/>
          <w:color w:val="000000"/>
          <w:sz w:val="18"/>
          <w:szCs w:val="18"/>
          <w:shd w:val="clear" w:color="auto" w:fill="FFFFFF"/>
        </w:rPr>
        <w:t xml:space="preserve"> </w:t>
      </w:r>
      <w:r w:rsidR="00806571" w:rsidRPr="00806571">
        <w:rPr>
          <w:rFonts w:ascii="Arial" w:eastAsia="sans-serif" w:hAnsi="Arial" w:cs="Arial"/>
          <w:color w:val="000000"/>
          <w:sz w:val="18"/>
          <w:szCs w:val="18"/>
          <w:shd w:val="clear" w:color="auto" w:fill="FFFFFF"/>
        </w:rPr>
        <w:t>International  journal of engineering research &amp; technology (IJERT.ORG)</w:t>
      </w:r>
      <w:r>
        <w:rPr>
          <w:rStyle w:val="a4"/>
          <w:rFonts w:ascii="Arial" w:eastAsia="sans-serif" w:hAnsi="Arial" w:cs="Arial"/>
          <w:b w:val="0"/>
          <w:bCs w:val="0"/>
          <w:sz w:val="18"/>
          <w:szCs w:val="18"/>
          <w:shd w:val="clear" w:color="auto" w:fill="F7F7F7"/>
          <w:lang w:bidi="ar"/>
        </w:rPr>
        <w:t>.</w:t>
      </w:r>
      <w:r>
        <w:rPr>
          <w:rStyle w:val="a4"/>
          <w:rFonts w:ascii="Arial" w:eastAsia="sans-serif" w:hAnsi="Arial" w:cs="Arial"/>
          <w:b w:val="0"/>
          <w:bCs w:val="0"/>
          <w:color w:val="FF6600"/>
          <w:sz w:val="18"/>
          <w:szCs w:val="18"/>
          <w:shd w:val="clear" w:color="auto" w:fill="F7F7F7"/>
          <w:lang w:bidi="ar"/>
        </w:rPr>
        <w:t xml:space="preserve"> </w:t>
      </w:r>
      <w:hyperlink r:id="rId21" w:history="1">
        <w:r>
          <w:rPr>
            <w:rStyle w:val="a3"/>
            <w:rFonts w:ascii="Arial" w:eastAsia="sans-serif" w:hAnsi="Arial" w:cs="Arial"/>
            <w:color w:val="auto"/>
            <w:sz w:val="18"/>
            <w:szCs w:val="18"/>
            <w:u w:val="none"/>
            <w:shd w:val="clear" w:color="auto" w:fill="FFFFFF"/>
          </w:rPr>
          <w:t>Volume 13, Issue 06.</w:t>
        </w:r>
      </w:hyperlink>
      <w:r>
        <w:rPr>
          <w:rStyle w:val="a3"/>
          <w:rFonts w:ascii="Arial" w:eastAsia="sans-serif" w:hAnsi="Arial" w:cs="Arial"/>
          <w:color w:val="auto"/>
          <w:sz w:val="18"/>
          <w:szCs w:val="18"/>
          <w:u w:val="none"/>
        </w:rPr>
        <w:t xml:space="preserve"> </w:t>
      </w:r>
      <w:r w:rsidR="00E344D2" w:rsidRPr="00E344D2">
        <w:rPr>
          <w:rStyle w:val="a3"/>
          <w:rFonts w:ascii="Arial" w:eastAsia="sans-serif" w:hAnsi="Arial" w:cs="Arial"/>
          <w:color w:val="auto"/>
          <w:sz w:val="18"/>
          <w:szCs w:val="18"/>
          <w:u w:val="none"/>
        </w:rPr>
        <w:t>DOI: 10.17577/IJERTCONV13IS06004</w:t>
      </w:r>
      <w:r>
        <w:rPr>
          <w:rStyle w:val="a3"/>
          <w:rFonts w:ascii="Arial" w:eastAsia="sans-serif" w:hAnsi="Arial" w:cs="Arial"/>
          <w:color w:val="auto"/>
          <w:sz w:val="18"/>
          <w:szCs w:val="18"/>
          <w:u w:val="none"/>
        </w:rPr>
        <w:br/>
      </w:r>
      <w:hyperlink r:id="rId22" w:history="1">
        <w:r>
          <w:rPr>
            <w:rStyle w:val="a3"/>
            <w:rFonts w:ascii="Arial" w:hAnsi="Arial" w:cs="Arial"/>
            <w:color w:val="auto"/>
            <w:sz w:val="18"/>
            <w:szCs w:val="18"/>
            <w:u w:val="none"/>
          </w:rPr>
          <w:t>https://www.ijert.org/estimation-of-vegetation-cover-biomass-by- remote-sensing</w:t>
        </w:r>
      </w:hyperlink>
      <w:r>
        <w:rPr>
          <w:rFonts w:ascii="Arial" w:hAnsi="Arial" w:cs="Arial"/>
          <w:sz w:val="18"/>
          <w:szCs w:val="18"/>
        </w:rPr>
        <w:t>.</w:t>
      </w:r>
    </w:p>
    <w:p w14:paraId="07892B57" w14:textId="653A25F4" w:rsidR="003279EC" w:rsidRDefault="00FB4380" w:rsidP="00806571">
      <w:pPr>
        <w:pStyle w:val="a5"/>
        <w:spacing w:beforeAutospacing="0" w:afterAutospacing="0"/>
        <w:rPr>
          <w:rFonts w:ascii="Arial" w:hAnsi="Arial" w:cs="Arial"/>
          <w:sz w:val="18"/>
          <w:szCs w:val="18"/>
        </w:rPr>
      </w:pPr>
      <w:r>
        <w:rPr>
          <w:rFonts w:ascii="Arial" w:hAnsi="Arial" w:cs="Arial"/>
          <w:sz w:val="18"/>
          <w:szCs w:val="18"/>
        </w:rPr>
        <w:t xml:space="preserve">Nanda, S.P., </w:t>
      </w:r>
      <w:proofErr w:type="spellStart"/>
      <w:r>
        <w:rPr>
          <w:rFonts w:ascii="Arial" w:hAnsi="Arial" w:cs="Arial"/>
          <w:sz w:val="18"/>
          <w:szCs w:val="18"/>
        </w:rPr>
        <w:t>Borkataki</w:t>
      </w:r>
      <w:proofErr w:type="spellEnd"/>
      <w:r>
        <w:rPr>
          <w:rFonts w:ascii="Arial" w:hAnsi="Arial" w:cs="Arial"/>
          <w:sz w:val="18"/>
          <w:szCs w:val="18"/>
        </w:rPr>
        <w:t>, S., Taye, R.R., &amp; Reddy, M.D., 2020. Chemistry in Agriculture – A Review,</w:t>
      </w:r>
      <w:r>
        <w:rPr>
          <w:rFonts w:ascii="Arial" w:hAnsi="Arial" w:cs="Arial"/>
          <w:sz w:val="18"/>
          <w:szCs w:val="18"/>
        </w:rPr>
        <w:br/>
        <w:t xml:space="preserve">         Ind. J. Pure App. </w:t>
      </w:r>
      <w:proofErr w:type="spellStart"/>
      <w:r>
        <w:rPr>
          <w:rFonts w:ascii="Arial" w:hAnsi="Arial" w:cs="Arial"/>
          <w:sz w:val="18"/>
          <w:szCs w:val="18"/>
        </w:rPr>
        <w:t>Biosci</w:t>
      </w:r>
      <w:proofErr w:type="spellEnd"/>
      <w:r>
        <w:rPr>
          <w:rFonts w:ascii="Arial" w:hAnsi="Arial" w:cs="Arial"/>
          <w:sz w:val="18"/>
          <w:szCs w:val="18"/>
        </w:rPr>
        <w:t xml:space="preserve">. 8(3), 241-247. </w:t>
      </w:r>
      <w:proofErr w:type="spellStart"/>
      <w:r>
        <w:rPr>
          <w:rFonts w:ascii="Arial" w:hAnsi="Arial" w:cs="Arial"/>
          <w:sz w:val="18"/>
          <w:szCs w:val="18"/>
        </w:rPr>
        <w:t>doi</w:t>
      </w:r>
      <w:proofErr w:type="spellEnd"/>
      <w:r>
        <w:rPr>
          <w:rFonts w:ascii="Arial" w:hAnsi="Arial" w:cs="Arial"/>
          <w:sz w:val="18"/>
          <w:szCs w:val="18"/>
        </w:rPr>
        <w:t xml:space="preserve">: </w:t>
      </w:r>
      <w:r w:rsidRPr="00806571">
        <w:rPr>
          <w:rFonts w:ascii="Arial" w:hAnsi="Arial" w:cs="Arial"/>
          <w:sz w:val="18"/>
          <w:szCs w:val="18"/>
        </w:rPr>
        <w:t>http://dx.doi.org/10.18782/2582-2845.8129</w:t>
      </w:r>
    </w:p>
    <w:p w14:paraId="34504C63" w14:textId="4A9459B6" w:rsidR="003279EC" w:rsidRDefault="00FB4380" w:rsidP="00806571">
      <w:pPr>
        <w:pStyle w:val="CETReferencetext"/>
        <w:ind w:left="526" w:hangingChars="292" w:hanging="526"/>
        <w:rPr>
          <w:lang w:val="en-US"/>
        </w:rPr>
      </w:pPr>
      <w:r>
        <w:rPr>
          <w:lang w:val="en-US"/>
        </w:rPr>
        <w:t xml:space="preserve">Yu H., </w:t>
      </w:r>
      <w:proofErr w:type="spellStart"/>
      <w:r>
        <w:rPr>
          <w:lang w:val="en-US"/>
        </w:rPr>
        <w:t>J.Yang</w:t>
      </w:r>
      <w:proofErr w:type="spellEnd"/>
      <w:r>
        <w:rPr>
          <w:lang w:val="en-US"/>
        </w:rPr>
        <w:t>, 2001.</w:t>
      </w:r>
      <w:r>
        <w:rPr>
          <w:i/>
          <w:iCs/>
          <w:lang w:val="en-US"/>
        </w:rPr>
        <w:t xml:space="preserve"> </w:t>
      </w:r>
      <w:r>
        <w:rPr>
          <w:lang w:val="en-US"/>
        </w:rPr>
        <w:t>A direct LDA algorithm for high-dimensional data — with application to face recognition. Pattern Recognition.. -</w:t>
      </w:r>
      <w:r>
        <w:rPr>
          <w:lang w:val="ru-RU"/>
        </w:rPr>
        <w:t>Т</w:t>
      </w:r>
      <w:r>
        <w:rPr>
          <w:lang w:val="en-US"/>
        </w:rPr>
        <w:t xml:space="preserve">.34, </w:t>
      </w:r>
      <w:proofErr w:type="spellStart"/>
      <w:r>
        <w:rPr>
          <w:lang w:val="en-US"/>
        </w:rPr>
        <w:t>iss</w:t>
      </w:r>
      <w:proofErr w:type="spellEnd"/>
      <w:r>
        <w:rPr>
          <w:lang w:val="en-US"/>
        </w:rPr>
        <w:t>. 10. DOI: 10.1016/s0031-3203(00)00162-x.</w:t>
      </w:r>
    </w:p>
    <w:sectPr w:rsidR="003279EC">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dvP6960">
    <w:altName w:val="Times New Roman"/>
    <w:panose1 w:val="00000000000000000000"/>
    <w:charset w:val="4D"/>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sans-serif">
    <w:altName w:val="Segoe Print"/>
    <w:charset w:val="00"/>
    <w:family w:val="auto"/>
    <w:pitch w:val="default"/>
  </w:font>
  <w:font w:name="Helvetica">
    <w:panose1 w:val="020B0604020202020204"/>
    <w:charset w:val="00"/>
    <w:family w:val="auto"/>
    <w:pitch w:val="default"/>
  </w:font>
  <w:font w:name="TimesNewRomanPS-BoldMT">
    <w:altName w:val="Segoe Print"/>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38217E"/>
    <w:multiLevelType w:val="multilevel"/>
    <w:tmpl w:val="2438217E"/>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proofState w:spelling="clean"/>
  <w:defaultTabStop w:val="708"/>
  <w:drawingGridVerticalSpacing w:val="156"/>
  <w:noPunctuationKerning/>
  <w:characterSpacingControl w:val="doNotCompress"/>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79EC"/>
    <w:rsid w:val="002D615F"/>
    <w:rsid w:val="003279EC"/>
    <w:rsid w:val="00764B94"/>
    <w:rsid w:val="00803962"/>
    <w:rsid w:val="00806571"/>
    <w:rsid w:val="00B64DD3"/>
    <w:rsid w:val="00E344D2"/>
    <w:rsid w:val="00FB4380"/>
    <w:rsid w:val="14DF599A"/>
    <w:rsid w:val="3BA6788F"/>
    <w:rsid w:val="47CB7855"/>
    <w:rsid w:val="4A161B4D"/>
    <w:rsid w:val="5C906BF0"/>
    <w:rsid w:val="697D0F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6135F"/>
  <w15:docId w15:val="{6A4CFC01-4994-4E87-B269-3E7EF69BB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Theme="minorHAnsi" w:eastAsiaTheme="minorEastAsia" w:hAnsiTheme="minorHAnsi" w:cstheme="minorBidi"/>
      <w:lang w:val="en-US"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character" w:styleId="a4">
    <w:name w:val="Strong"/>
    <w:basedOn w:val="a0"/>
    <w:qFormat/>
    <w:rPr>
      <w:b/>
      <w:bCs/>
    </w:rPr>
  </w:style>
  <w:style w:type="paragraph" w:styleId="a5">
    <w:name w:val="Normal (Web)"/>
    <w:pPr>
      <w:spacing w:beforeAutospacing="1" w:afterAutospacing="1"/>
    </w:pPr>
    <w:rPr>
      <w:sz w:val="24"/>
      <w:szCs w:val="24"/>
      <w:lang w:val="en-US" w:eastAsia="zh-CN"/>
    </w:rPr>
  </w:style>
  <w:style w:type="paragraph" w:customStyle="1" w:styleId="CETHeading1">
    <w:name w:val="CET Heading1"/>
    <w:next w:val="CETBodytext"/>
    <w:qFormat/>
    <w:pPr>
      <w:keepNext/>
      <w:numPr>
        <w:ilvl w:val="1"/>
        <w:numId w:val="1"/>
      </w:numPr>
      <w:tabs>
        <w:tab w:val="left" w:pos="360"/>
      </w:tabs>
      <w:suppressAutoHyphens/>
      <w:spacing w:before="240" w:after="120"/>
    </w:pPr>
    <w:rPr>
      <w:rFonts w:ascii="Arial" w:eastAsia="Times New Roman" w:hAnsi="Arial"/>
      <w:b/>
      <w:lang w:val="en-US" w:eastAsia="en-US"/>
    </w:rPr>
  </w:style>
  <w:style w:type="paragraph" w:customStyle="1" w:styleId="CETBodytext">
    <w:name w:val="CET Body text"/>
    <w:qFormat/>
    <w:pPr>
      <w:tabs>
        <w:tab w:val="right" w:pos="7100"/>
      </w:tabs>
      <w:spacing w:line="264" w:lineRule="auto"/>
      <w:jc w:val="both"/>
    </w:pPr>
    <w:rPr>
      <w:rFonts w:ascii="Arial" w:eastAsia="Times New Roman" w:hAnsi="Arial"/>
      <w:sz w:val="18"/>
      <w:lang w:val="en-US" w:eastAsia="en-US"/>
    </w:rPr>
  </w:style>
  <w:style w:type="paragraph" w:customStyle="1" w:styleId="CETheadingx">
    <w:name w:val="CET headingx"/>
    <w:next w:val="CETBodytext"/>
    <w:autoRedefine/>
    <w:qFormat/>
    <w:rsid w:val="00806571"/>
    <w:pPr>
      <w:keepNext/>
      <w:suppressAutoHyphens/>
      <w:spacing w:before="120" w:after="120"/>
    </w:pPr>
    <w:rPr>
      <w:rFonts w:ascii="Arial" w:eastAsia="Times New Roman" w:hAnsi="Arial"/>
      <w:b/>
      <w:iCs/>
      <w:sz w:val="18"/>
      <w:lang w:val="en-GB" w:eastAsia="en-US"/>
    </w:rPr>
  </w:style>
  <w:style w:type="paragraph" w:customStyle="1" w:styleId="CETEquation">
    <w:name w:val="CET Equation"/>
    <w:basedOn w:val="CETBodytext"/>
    <w:next w:val="CETBodytext"/>
    <w:qFormat/>
    <w:pPr>
      <w:spacing w:before="120" w:after="120"/>
      <w:jc w:val="left"/>
    </w:pPr>
    <w:rPr>
      <w:lang w:val="en-GB"/>
    </w:rPr>
  </w:style>
  <w:style w:type="character" w:customStyle="1" w:styleId="CETCaptionCarattere">
    <w:name w:val="CET Caption Carattere"/>
    <w:link w:val="CETCaption"/>
    <w:qFormat/>
    <w:rPr>
      <w:rFonts w:ascii="Arial" w:eastAsia="Times New Roman" w:hAnsi="Arial" w:cs="Times New Roman"/>
      <w:i/>
      <w:sz w:val="18"/>
      <w:szCs w:val="20"/>
      <w:lang w:val="en-GB" w:eastAsia="en-US" w:bidi="ar-SA"/>
    </w:rPr>
  </w:style>
  <w:style w:type="paragraph" w:customStyle="1" w:styleId="CETCaption">
    <w:name w:val="CET Caption"/>
    <w:link w:val="CETCaptionCarattere"/>
    <w:qFormat/>
    <w:pPr>
      <w:spacing w:before="240" w:after="240" w:line="264" w:lineRule="auto"/>
      <w:jc w:val="both"/>
    </w:pPr>
    <w:rPr>
      <w:rFonts w:ascii="Arial" w:eastAsia="Times New Roman" w:hAnsi="Arial"/>
      <w:i/>
      <w:sz w:val="18"/>
      <w:lang w:val="en-GB" w:eastAsia="en-US"/>
    </w:rPr>
  </w:style>
  <w:style w:type="paragraph" w:customStyle="1" w:styleId="CETTabletitle">
    <w:name w:val="CET Table title"/>
    <w:qFormat/>
    <w:pPr>
      <w:keepNext/>
      <w:spacing w:before="240" w:after="80" w:line="240" w:lineRule="exact"/>
    </w:pPr>
    <w:rPr>
      <w:rFonts w:ascii="Arial" w:eastAsia="Times New Roman" w:hAnsi="Arial"/>
      <w:i/>
      <w:sz w:val="18"/>
      <w:lang w:val="en-GB" w:eastAsia="en-US"/>
    </w:rPr>
  </w:style>
  <w:style w:type="paragraph" w:customStyle="1" w:styleId="CETReference">
    <w:name w:val="CET Reference"/>
    <w:qFormat/>
    <w:pPr>
      <w:spacing w:before="200" w:after="120"/>
    </w:pPr>
    <w:rPr>
      <w:rFonts w:ascii="Arial" w:eastAsia="Times New Roman" w:hAnsi="Arial"/>
      <w:b/>
      <w:sz w:val="18"/>
      <w:lang w:val="en-GB" w:eastAsia="en-US"/>
    </w:rPr>
  </w:style>
  <w:style w:type="paragraph" w:customStyle="1" w:styleId="CETTitle">
    <w:name w:val="CET Title"/>
    <w:next w:val="CETAuthors"/>
    <w:qFormat/>
    <w:pPr>
      <w:suppressAutoHyphens/>
      <w:spacing w:before="480" w:after="120" w:line="264" w:lineRule="auto"/>
      <w:jc w:val="center"/>
      <w:outlineLvl w:val="0"/>
    </w:pPr>
    <w:rPr>
      <w:rFonts w:ascii="Arial" w:eastAsia="Times New Roman" w:hAnsi="Arial"/>
      <w:sz w:val="32"/>
      <w:lang w:val="en-GB" w:eastAsia="en-US"/>
    </w:rPr>
  </w:style>
  <w:style w:type="paragraph" w:customStyle="1" w:styleId="CETAuthors">
    <w:name w:val="CET Authors"/>
    <w:basedOn w:val="CETBodytext"/>
    <w:qFormat/>
    <w:pPr>
      <w:keepNext/>
      <w:suppressAutoHyphens/>
      <w:spacing w:after="120"/>
    </w:pPr>
    <w:rPr>
      <w:sz w:val="24"/>
      <w:lang w:val="en-GB"/>
    </w:rPr>
  </w:style>
  <w:style w:type="paragraph" w:customStyle="1" w:styleId="CETemail">
    <w:name w:val="CET email"/>
    <w:next w:val="CETBodytext"/>
    <w:qFormat/>
    <w:pPr>
      <w:spacing w:after="240" w:line="276" w:lineRule="auto"/>
    </w:pPr>
    <w:rPr>
      <w:rFonts w:ascii="Arial" w:eastAsia="Times New Roman" w:hAnsi="Arial"/>
      <w:sz w:val="16"/>
      <w:lang w:val="en-GB" w:eastAsia="en-US"/>
    </w:rPr>
  </w:style>
  <w:style w:type="paragraph" w:customStyle="1" w:styleId="CETReferencetext">
    <w:name w:val="CET Reference text"/>
    <w:qFormat/>
    <w:pPr>
      <w:spacing w:line="264" w:lineRule="auto"/>
      <w:ind w:left="284" w:hanging="284"/>
      <w:jc w:val="both"/>
    </w:pPr>
    <w:rPr>
      <w:rFonts w:ascii="Arial" w:eastAsia="Times New Roman" w:hAnsi="Arial"/>
      <w:sz w:val="18"/>
      <w:lang w:val="en-GB" w:eastAsia="en-US"/>
    </w:rPr>
  </w:style>
  <w:style w:type="character" w:styleId="a6">
    <w:name w:val="Unresolved Mention"/>
    <w:basedOn w:val="a0"/>
    <w:uiPriority w:val="99"/>
    <w:semiHidden/>
    <w:unhideWhenUsed/>
    <w:rsid w:val="00806571"/>
    <w:rPr>
      <w:color w:val="605E5C"/>
      <w:shd w:val="clear" w:color="auto" w:fill="E1DFDD"/>
    </w:rPr>
  </w:style>
  <w:style w:type="character" w:styleId="a7">
    <w:name w:val="FollowedHyperlink"/>
    <w:basedOn w:val="a0"/>
    <w:rsid w:val="00B64DD3"/>
    <w:rPr>
      <w:color w:val="7E1FA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61919">
      <w:bodyDiv w:val="1"/>
      <w:marLeft w:val="0"/>
      <w:marRight w:val="0"/>
      <w:marTop w:val="0"/>
      <w:marBottom w:val="0"/>
      <w:divBdr>
        <w:top w:val="none" w:sz="0" w:space="0" w:color="auto"/>
        <w:left w:val="none" w:sz="0" w:space="0" w:color="auto"/>
        <w:bottom w:val="none" w:sz="0" w:space="0" w:color="auto"/>
        <w:right w:val="none" w:sz="0" w:space="0" w:color="auto"/>
      </w:divBdr>
    </w:div>
    <w:div w:id="911621572">
      <w:bodyDiv w:val="1"/>
      <w:marLeft w:val="0"/>
      <w:marRight w:val="0"/>
      <w:marTop w:val="0"/>
      <w:marBottom w:val="0"/>
      <w:divBdr>
        <w:top w:val="none" w:sz="0" w:space="0" w:color="auto"/>
        <w:left w:val="none" w:sz="0" w:space="0" w:color="auto"/>
        <w:bottom w:val="none" w:sz="0" w:space="0" w:color="auto"/>
        <w:right w:val="none" w:sz="0" w:space="0" w:color="auto"/>
      </w:divBdr>
    </w:div>
    <w:div w:id="1213075025">
      <w:bodyDiv w:val="1"/>
      <w:marLeft w:val="0"/>
      <w:marRight w:val="0"/>
      <w:marTop w:val="0"/>
      <w:marBottom w:val="0"/>
      <w:divBdr>
        <w:top w:val="none" w:sz="0" w:space="0" w:color="auto"/>
        <w:left w:val="none" w:sz="0" w:space="0" w:color="auto"/>
        <w:bottom w:val="none" w:sz="0" w:space="0" w:color="auto"/>
        <w:right w:val="none" w:sz="0" w:space="0" w:color="auto"/>
      </w:divBdr>
    </w:div>
    <w:div w:id="13678773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IPEC\&#1063;&#1077;&#1088;&#1085;&#1086;&#1074;&#1080;&#1082;%20ipec%20.docx" TargetMode="External"/><Relationship Id="rId13" Type="http://schemas.openxmlformats.org/officeDocument/2006/relationships/image" Target="media/image5.png"/><Relationship Id="rId18" Type="http://schemas.openxmlformats.org/officeDocument/2006/relationships/hyperlink" Target="https://doi.org/10.1364/AO.24.000074" TargetMode="External"/><Relationship Id="rId3" Type="http://schemas.openxmlformats.org/officeDocument/2006/relationships/settings" Target="settings.xml"/><Relationship Id="rId21" Type="http://schemas.openxmlformats.org/officeDocument/2006/relationships/hyperlink" Target="file:///C:\Users\USER\OneDrive\Desktop\Measurement\Volume%2013,%20Issue%2006%20(July%202025)" TargetMode="External"/><Relationship Id="rId7" Type="http://schemas.openxmlformats.org/officeDocument/2006/relationships/hyperlink" Target="file:///C:\Users\User\Desktop\IPEC\&#1063;&#1077;&#1088;&#1085;&#1086;&#1074;&#1080;&#1082;%20ipec%20.docx" TargetMode="External"/><Relationship Id="rId12" Type="http://schemas.openxmlformats.org/officeDocument/2006/relationships/oleObject" Target="embeddings/oleObject2.bin"/><Relationship Id="rId17" Type="http://schemas.openxmlformats.org/officeDocument/2006/relationships/hyperlink" Target="https://link.springer.com/article/10.1007/s11120-007-9187-8" TargetMode="Externa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s://link.springer.com/article/10.1007/s11738-016-2113-y"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wmf"/><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hyperlink" Target="file:///C:\Users\User\Desktop\IPEC\&#1063;&#1077;&#1088;&#1085;&#1086;&#1074;&#1080;&#1082;%20ipec%20.docx" TargetMode="Externa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6.png"/><Relationship Id="rId22" Type="http://schemas.openxmlformats.org/officeDocument/2006/relationships/hyperlink" Target="https://www.ijert.org/estimation-of-vegetation-%20%20%20%20%20%20%20cover-biomass-by-%20remote-sensing"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6</Pages>
  <Words>3041</Words>
  <Characters>17336</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3</cp:revision>
  <dcterms:created xsi:type="dcterms:W3CDTF">2026-06-22T15:03:00Z</dcterms:created>
  <dcterms:modified xsi:type="dcterms:W3CDTF">2026-06-23T14:09:00Z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KSOTemplateDocerSaveRecord">
    <vt:lpwstr>eyJoZGlkIjoiYjJjOTQxYzhjODMyMDAzZmE0MDJkMWFkNmJlNDkwYTUiLCJ1c2VySWQiOiI4ODEzMzg2NDU5NjQ0In0=</vt:lpwstr>
  </property>
  <property fmtid="{D5CDD505-2E9C-101B-9397-08002B2CF9AE}" pid="4" name="ICV">
    <vt:lpwstr>BD49609E52964287B5C4E31EC14A120E_12</vt:lpwstr>
  </property>
</Properties>
</file>