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40" w:lineRule="auto"/>
        <w:jc w:val="center"/>
      </w:pPr>
      <w:r>
        <w:rPr>
          <w:rFonts w:ascii="Times New Roman" w:hAnsi="Times New Roman" w:eastAsia="Times New Roman"/>
          <w:b/>
          <w:i w:val="0"/>
          <w:sz w:val="28"/>
        </w:rPr>
        <w:t>Response to Reviewers</w:t>
      </w:r>
    </w:p>
    <w:p>
      <w:pPr>
        <w:spacing w:after="60" w:line="240" w:lineRule="auto"/>
        <w:jc w:val="center"/>
      </w:pPr>
      <w:r>
        <w:rPr>
          <w:rFonts w:ascii="Times New Roman" w:hAnsi="Times New Roman" w:eastAsia="Times New Roman"/>
          <w:b/>
          <w:i w:val="0"/>
          <w:sz w:val="20"/>
        </w:rPr>
        <w:t>Paper #96</w:t>
      </w:r>
    </w:p>
    <w:p>
      <w:pPr>
        <w:spacing w:after="160" w:line="240" w:lineRule="auto"/>
        <w:jc w:val="center"/>
      </w:pPr>
      <w:r>
        <w:rPr>
          <w:rFonts w:ascii="Times New Roman" w:hAnsi="Times New Roman" w:eastAsia="Times New Roman"/>
          <w:b w:val="0"/>
          <w:i w:val="0"/>
          <w:sz w:val="20"/>
        </w:rPr>
        <w:t>Manuscript title: Synthesis and Application of Polyester-Based Demulsifying Additives for Breaking Water-in-Oil Emulsions</w:t>
      </w:r>
    </w:p>
    <w:p>
      <w:pPr>
        <w:spacing w:after="200" w:line="240" w:lineRule="auto"/>
        <w:jc w:val="center"/>
      </w:pPr>
      <w:r>
        <w:rPr>
          <w:rFonts w:ascii="Times New Roman" w:hAnsi="Times New Roman" w:eastAsia="Times New Roman"/>
          <w:b w:val="0"/>
          <w:i w:val="0"/>
          <w:sz w:val="20"/>
        </w:rPr>
        <w:t>Authors: Dilshod Boboyev, Masud Karimov, Feruz Ismoilov</w:t>
      </w:r>
    </w:p>
    <w:p>
      <w:pPr>
        <w:spacing w:after="60" w:line="240" w:lineRule="auto"/>
      </w:pPr>
      <w:r>
        <w:rPr>
          <w:rFonts w:ascii="Times New Roman" w:hAnsi="Times New Roman" w:eastAsia="Times New Roman"/>
          <w:b w:val="0"/>
          <w:i w:val="0"/>
          <w:sz w:val="20"/>
        </w:rPr>
        <w:t>Dear Editor and Reviewers,</w:t>
      </w:r>
    </w:p>
    <w:p>
      <w:pPr>
        <w:spacing w:after="60" w:line="240" w:lineRule="auto"/>
      </w:pPr>
      <w:r>
        <w:rPr>
          <w:rFonts w:ascii="Times New Roman" w:hAnsi="Times New Roman" w:eastAsia="Times New Roman"/>
          <w:b w:val="0"/>
          <w:i w:val="0"/>
          <w:sz w:val="20"/>
        </w:rPr>
        <w:t>We sincerely thank the Editor and both reviewers for their careful evaluation of our manuscript and for the constructive comments. We have revised the manuscript substantially in accordance with all recommendations. In the revised version, the Introduction has been shortened and focused, the English language has been edited throughout, the terminology has been unified as “demulsifier”, the experimental design has been clarified, equations have been corrected, reproducibility and error analysis have been added, the FTIR interpretation has been expanded, the demulsification mechanism has been included, the comparison with blank settling and a commercial demulsifier benchmark has been added, and the references have been reformatted according to the Harvard/CET style with DOI information where available.</w:t>
      </w:r>
    </w:p>
    <w:p>
      <w:pPr>
        <w:spacing w:after="60" w:line="240" w:lineRule="auto"/>
      </w:pPr>
      <w:r>
        <w:rPr>
          <w:rFonts w:ascii="Times New Roman" w:hAnsi="Times New Roman" w:eastAsia="Times New Roman"/>
          <w:b w:val="0"/>
          <w:i w:val="0"/>
          <w:sz w:val="20"/>
        </w:rPr>
        <w:t>All in-text citations were checked against the reference list. Each reference included in the bibliography is cited in the manuscript text, and each in-text citation has a corresponding entry in the reference list. The formulas for water content, demulsification efficiency, relative standard deviation and relative separation factor were corrected and presented in a consistent equation format.</w:t>
      </w:r>
    </w:p>
    <w:p>
      <w:pPr>
        <w:pStyle w:val="Heading1"/>
        <w:spacing w:before="120" w:after="80"/>
      </w:pPr>
      <w:r>
        <w:t>Summary of Major Revisions</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D9EAF7"/>
          </w:tcPr>
          <w:p>
            <w:pPr>
              <w:spacing w:after="0"/>
            </w:pPr>
            <w:r/>
            <w:r>
              <w:rPr>
                <w:rFonts w:ascii="Times New Roman" w:hAnsi="Times New Roman" w:eastAsia="Times New Roman"/>
                <w:b/>
                <w:sz w:val="18"/>
              </w:rPr>
              <w:t>Issue raised by reviewers</w:t>
            </w:r>
          </w:p>
        </w:tc>
        <w:tc>
          <w:tcPr>
            <w:tcW w:type="dxa" w:w="3360"/>
            <w:shd w:fill="D9EAF7"/>
          </w:tcPr>
          <w:p>
            <w:pPr>
              <w:spacing w:after="0"/>
            </w:pPr>
            <w:r/>
            <w:r>
              <w:rPr>
                <w:rFonts w:ascii="Times New Roman" w:hAnsi="Times New Roman" w:eastAsia="Times New Roman"/>
                <w:b/>
                <w:sz w:val="18"/>
              </w:rPr>
              <w:t>Revision made</w:t>
            </w:r>
          </w:p>
        </w:tc>
        <w:tc>
          <w:tcPr>
            <w:tcW w:type="dxa" w:w="3360"/>
            <w:shd w:fill="D9EAF7"/>
          </w:tcPr>
          <w:p>
            <w:pPr>
              <w:spacing w:after="0"/>
            </w:pPr>
            <w:r/>
            <w:r>
              <w:rPr>
                <w:rFonts w:ascii="Times New Roman" w:hAnsi="Times New Roman" w:eastAsia="Times New Roman"/>
                <w:b/>
                <w:sz w:val="18"/>
              </w:rPr>
              <w:t>Location in revised manuscript</w:t>
            </w:r>
          </w:p>
        </w:tc>
      </w:tr>
      <w:tr>
        <w:tc>
          <w:tcPr>
            <w:tcW w:type="dxa" w:w="3360"/>
            <w:vAlign w:val="top"/>
          </w:tcPr>
          <w:p>
            <w:pPr>
              <w:spacing w:after="0"/>
            </w:pPr>
            <w:r/>
            <w:r>
              <w:rPr>
                <w:rFonts w:ascii="Times New Roman" w:hAnsi="Times New Roman" w:eastAsia="Times New Roman"/>
                <w:b w:val="0"/>
                <w:sz w:val="18"/>
              </w:rPr>
              <w:t>Introduction too long and insufficiently focused</w:t>
            </w:r>
          </w:p>
        </w:tc>
        <w:tc>
          <w:tcPr>
            <w:tcW w:type="dxa" w:w="3360"/>
            <w:vAlign w:val="top"/>
          </w:tcPr>
          <w:p>
            <w:pPr>
              <w:spacing w:after="0"/>
            </w:pPr>
            <w:r/>
            <w:r>
              <w:rPr>
                <w:rFonts w:ascii="Times New Roman" w:hAnsi="Times New Roman" w:eastAsia="Times New Roman"/>
                <w:b w:val="0"/>
                <w:sz w:val="18"/>
              </w:rPr>
              <w:t>The Introduction was shortened and rewritten to focus on W/O crude-oil emulsions, demulsifier chemistry, and the aim of this study.</w:t>
            </w:r>
          </w:p>
        </w:tc>
        <w:tc>
          <w:tcPr>
            <w:tcW w:type="dxa" w:w="3360"/>
            <w:vAlign w:val="top"/>
          </w:tcPr>
          <w:p>
            <w:pPr>
              <w:spacing w:after="0"/>
            </w:pPr>
            <w:r/>
            <w:r>
              <w:rPr>
                <w:rFonts w:ascii="Times New Roman" w:hAnsi="Times New Roman" w:eastAsia="Times New Roman"/>
                <w:b w:val="0"/>
                <w:sz w:val="18"/>
              </w:rPr>
              <w:t>Abstract and Section 1</w:t>
            </w:r>
          </w:p>
        </w:tc>
      </w:tr>
      <w:tr>
        <w:tc>
          <w:tcPr>
            <w:tcW w:type="dxa" w:w="3360"/>
            <w:vAlign w:val="top"/>
          </w:tcPr>
          <w:p>
            <w:pPr>
              <w:spacing w:after="0"/>
            </w:pPr>
            <w:r/>
            <w:r>
              <w:rPr>
                <w:rFonts w:ascii="Times New Roman" w:hAnsi="Times New Roman" w:eastAsia="Times New Roman"/>
                <w:b w:val="0"/>
                <w:sz w:val="18"/>
              </w:rPr>
              <w:t>References insufficient and not in Harvard/CET style</w:t>
            </w:r>
          </w:p>
        </w:tc>
        <w:tc>
          <w:tcPr>
            <w:tcW w:type="dxa" w:w="3360"/>
            <w:vAlign w:val="top"/>
          </w:tcPr>
          <w:p>
            <w:pPr>
              <w:spacing w:after="0"/>
            </w:pPr>
            <w:r/>
            <w:r>
              <w:rPr>
                <w:rFonts w:ascii="Times New Roman" w:hAnsi="Times New Roman" w:eastAsia="Times New Roman"/>
                <w:b w:val="0"/>
                <w:sz w:val="18"/>
              </w:rPr>
              <w:t>The reference list was revised, DOI information was added where available, and in-text citations were matched to the bibliography. A Chemical Engineering Transactions reference was added.</w:t>
            </w:r>
          </w:p>
        </w:tc>
        <w:tc>
          <w:tcPr>
            <w:tcW w:type="dxa" w:w="3360"/>
            <w:vAlign w:val="top"/>
          </w:tcPr>
          <w:p>
            <w:pPr>
              <w:spacing w:after="0"/>
            </w:pPr>
            <w:r/>
            <w:r>
              <w:rPr>
                <w:rFonts w:ascii="Times New Roman" w:hAnsi="Times New Roman" w:eastAsia="Times New Roman"/>
                <w:b w:val="0"/>
                <w:sz w:val="18"/>
              </w:rPr>
              <w:t>Section 1 and References</w:t>
            </w:r>
          </w:p>
        </w:tc>
      </w:tr>
      <w:tr>
        <w:tc>
          <w:tcPr>
            <w:tcW w:type="dxa" w:w="3360"/>
            <w:vAlign w:val="top"/>
          </w:tcPr>
          <w:p>
            <w:pPr>
              <w:spacing w:after="0"/>
            </w:pPr>
            <w:r/>
            <w:r>
              <w:rPr>
                <w:rFonts w:ascii="Times New Roman" w:hAnsi="Times New Roman" w:eastAsia="Times New Roman"/>
                <w:b w:val="0"/>
                <w:sz w:val="18"/>
              </w:rPr>
              <w:t>Poor English and inconsistent terminology</w:t>
            </w:r>
          </w:p>
        </w:tc>
        <w:tc>
          <w:tcPr>
            <w:tcW w:type="dxa" w:w="3360"/>
            <w:vAlign w:val="top"/>
          </w:tcPr>
          <w:p>
            <w:pPr>
              <w:spacing w:after="0"/>
            </w:pPr>
            <w:r/>
            <w:r>
              <w:rPr>
                <w:rFonts w:ascii="Times New Roman" w:hAnsi="Times New Roman" w:eastAsia="Times New Roman"/>
                <w:b w:val="0"/>
                <w:sz w:val="18"/>
              </w:rPr>
              <w:t>The manuscript was edited throughout for grammar, clarity, and technical consistency. The term “demulsifier” is now used consistently.</w:t>
            </w:r>
          </w:p>
        </w:tc>
        <w:tc>
          <w:tcPr>
            <w:tcW w:type="dxa" w:w="3360"/>
            <w:vAlign w:val="top"/>
          </w:tcPr>
          <w:p>
            <w:pPr>
              <w:spacing w:after="0"/>
            </w:pPr>
            <w:r/>
            <w:r>
              <w:rPr>
                <w:rFonts w:ascii="Times New Roman" w:hAnsi="Times New Roman" w:eastAsia="Times New Roman"/>
                <w:b w:val="0"/>
                <w:sz w:val="18"/>
              </w:rPr>
              <w:t>Entire manuscript</w:t>
            </w:r>
          </w:p>
        </w:tc>
      </w:tr>
      <w:tr>
        <w:tc>
          <w:tcPr>
            <w:tcW w:type="dxa" w:w="3360"/>
            <w:vAlign w:val="top"/>
          </w:tcPr>
          <w:p>
            <w:pPr>
              <w:spacing w:after="0"/>
            </w:pPr>
            <w:r/>
            <w:r>
              <w:rPr>
                <w:rFonts w:ascii="Times New Roman" w:hAnsi="Times New Roman" w:eastAsia="Times New Roman"/>
                <w:b w:val="0"/>
                <w:sz w:val="18"/>
              </w:rPr>
              <w:t>Insufficient experimental design and reproducibility</w:t>
            </w:r>
          </w:p>
        </w:tc>
        <w:tc>
          <w:tcPr>
            <w:tcW w:type="dxa" w:w="3360"/>
            <w:vAlign w:val="top"/>
          </w:tcPr>
          <w:p>
            <w:pPr>
              <w:spacing w:after="0"/>
            </w:pPr>
            <w:r/>
            <w:r>
              <w:rPr>
                <w:rFonts w:ascii="Times New Roman" w:hAnsi="Times New Roman" w:eastAsia="Times New Roman"/>
                <w:b w:val="0"/>
                <w:sz w:val="18"/>
              </w:rPr>
              <w:t>The Dean-Stark method, bottle-test procedure, blank test, commercial benchmark, triplicate testing, SD and RSD reporting were added.</w:t>
            </w:r>
          </w:p>
        </w:tc>
        <w:tc>
          <w:tcPr>
            <w:tcW w:type="dxa" w:w="3360"/>
            <w:vAlign w:val="top"/>
          </w:tcPr>
          <w:p>
            <w:pPr>
              <w:spacing w:after="0"/>
            </w:pPr>
            <w:r/>
            <w:r>
              <w:rPr>
                <w:rFonts w:ascii="Times New Roman" w:hAnsi="Times New Roman" w:eastAsia="Times New Roman"/>
                <w:b w:val="0"/>
                <w:sz w:val="18"/>
              </w:rPr>
              <w:t>Sections 2.2 and 2.4; Tables 2 and 3</w:t>
            </w:r>
          </w:p>
        </w:tc>
      </w:tr>
      <w:tr>
        <w:tc>
          <w:tcPr>
            <w:tcW w:type="dxa" w:w="3360"/>
            <w:vAlign w:val="top"/>
          </w:tcPr>
          <w:p>
            <w:pPr>
              <w:spacing w:after="0"/>
            </w:pPr>
            <w:r/>
            <w:r>
              <w:rPr>
                <w:rFonts w:ascii="Times New Roman" w:hAnsi="Times New Roman" w:eastAsia="Times New Roman"/>
                <w:b w:val="0"/>
                <w:sz w:val="18"/>
              </w:rPr>
              <w:t>Incorrect or incomplete formulas</w:t>
            </w:r>
          </w:p>
        </w:tc>
        <w:tc>
          <w:tcPr>
            <w:tcW w:type="dxa" w:w="3360"/>
            <w:vAlign w:val="top"/>
          </w:tcPr>
          <w:p>
            <w:pPr>
              <w:spacing w:after="0"/>
            </w:pPr>
            <w:r/>
            <w:r>
              <w:rPr>
                <w:rFonts w:ascii="Times New Roman" w:hAnsi="Times New Roman" w:eastAsia="Times New Roman"/>
                <w:b w:val="0"/>
                <w:sz w:val="18"/>
              </w:rPr>
              <w:t>Equations for water content, demulsification efficiency, RSD and relative separation factor were corrected and explained.</w:t>
            </w:r>
          </w:p>
        </w:tc>
        <w:tc>
          <w:tcPr>
            <w:tcW w:type="dxa" w:w="3360"/>
            <w:vAlign w:val="top"/>
          </w:tcPr>
          <w:p>
            <w:pPr>
              <w:spacing w:after="0"/>
            </w:pPr>
            <w:r/>
            <w:r>
              <w:rPr>
                <w:rFonts w:ascii="Times New Roman" w:hAnsi="Times New Roman" w:eastAsia="Times New Roman"/>
                <w:b w:val="0"/>
                <w:sz w:val="18"/>
              </w:rPr>
              <w:t>Sections 2.2, 2.4 and Results</w:t>
            </w:r>
          </w:p>
        </w:tc>
      </w:tr>
      <w:tr>
        <w:tc>
          <w:tcPr>
            <w:tcW w:type="dxa" w:w="3360"/>
            <w:vAlign w:val="top"/>
          </w:tcPr>
          <w:p>
            <w:pPr>
              <w:spacing w:after="0"/>
            </w:pPr>
            <w:r/>
            <w:r>
              <w:rPr>
                <w:rFonts w:ascii="Times New Roman" w:hAnsi="Times New Roman" w:eastAsia="Times New Roman"/>
                <w:b w:val="0"/>
                <w:sz w:val="18"/>
              </w:rPr>
              <w:t>Insufficient characterization and weak structural interpretation</w:t>
            </w:r>
          </w:p>
        </w:tc>
        <w:tc>
          <w:tcPr>
            <w:tcW w:type="dxa" w:w="3360"/>
            <w:vAlign w:val="top"/>
          </w:tcPr>
          <w:p>
            <w:pPr>
              <w:spacing w:after="0"/>
            </w:pPr>
            <w:r/>
            <w:r>
              <w:rPr>
                <w:rFonts w:ascii="Times New Roman" w:hAnsi="Times New Roman" w:eastAsia="Times New Roman"/>
                <w:b w:val="0"/>
                <w:sz w:val="18"/>
              </w:rPr>
              <w:t>FTIR assignments were expanded and summarized in a dedicated table linking functional groups to demulsification activity.</w:t>
            </w:r>
          </w:p>
        </w:tc>
        <w:tc>
          <w:tcPr>
            <w:tcW w:type="dxa" w:w="3360"/>
            <w:vAlign w:val="top"/>
          </w:tcPr>
          <w:p>
            <w:pPr>
              <w:spacing w:after="0"/>
            </w:pPr>
            <w:r/>
            <w:r>
              <w:rPr>
                <w:rFonts w:ascii="Times New Roman" w:hAnsi="Times New Roman" w:eastAsia="Times New Roman"/>
                <w:b w:val="0"/>
                <w:sz w:val="18"/>
              </w:rPr>
              <w:t>Section 3.4 and Table 4</w:t>
            </w:r>
          </w:p>
        </w:tc>
      </w:tr>
      <w:tr>
        <w:tc>
          <w:tcPr>
            <w:tcW w:type="dxa" w:w="3360"/>
            <w:vAlign w:val="top"/>
          </w:tcPr>
          <w:p>
            <w:pPr>
              <w:spacing w:after="0"/>
            </w:pPr>
            <w:r/>
            <w:r>
              <w:rPr>
                <w:rFonts w:ascii="Times New Roman" w:hAnsi="Times New Roman" w:eastAsia="Times New Roman"/>
                <w:b w:val="0"/>
                <w:sz w:val="18"/>
              </w:rPr>
              <w:t>Lack of mechanistic explanation</w:t>
            </w:r>
          </w:p>
        </w:tc>
        <w:tc>
          <w:tcPr>
            <w:tcW w:type="dxa" w:w="3360"/>
            <w:vAlign w:val="top"/>
          </w:tcPr>
          <w:p>
            <w:pPr>
              <w:spacing w:after="0"/>
            </w:pPr>
            <w:r/>
            <w:r>
              <w:rPr>
                <w:rFonts w:ascii="Times New Roman" w:hAnsi="Times New Roman" w:eastAsia="Times New Roman"/>
                <w:b w:val="0"/>
                <w:sz w:val="18"/>
              </w:rPr>
              <w:t>A new mechanistic section was added describing adsorption at the oil-water interface, displacement/weakening of the asphaltene-resin film, droplet coalescence and gravitational settling.</w:t>
            </w:r>
          </w:p>
        </w:tc>
        <w:tc>
          <w:tcPr>
            <w:tcW w:type="dxa" w:w="3360"/>
            <w:vAlign w:val="top"/>
          </w:tcPr>
          <w:p>
            <w:pPr>
              <w:spacing w:after="0"/>
            </w:pPr>
            <w:r/>
            <w:r>
              <w:rPr>
                <w:rFonts w:ascii="Times New Roman" w:hAnsi="Times New Roman" w:eastAsia="Times New Roman"/>
                <w:b w:val="0"/>
                <w:sz w:val="18"/>
              </w:rPr>
              <w:t>Section 3.5 and Figure 5</w:t>
            </w:r>
          </w:p>
        </w:tc>
      </w:tr>
      <w:tr>
        <w:tc>
          <w:tcPr>
            <w:tcW w:type="dxa" w:w="3360"/>
            <w:vAlign w:val="top"/>
          </w:tcPr>
          <w:p>
            <w:pPr>
              <w:spacing w:after="0"/>
            </w:pPr>
            <w:r/>
            <w:r>
              <w:rPr>
                <w:rFonts w:ascii="Times New Roman" w:hAnsi="Times New Roman" w:eastAsia="Times New Roman"/>
                <w:b w:val="0"/>
                <w:sz w:val="18"/>
              </w:rPr>
              <w:t>No comparison with industrial demulsifier</w:t>
            </w:r>
          </w:p>
        </w:tc>
        <w:tc>
          <w:tcPr>
            <w:tcW w:type="dxa" w:w="3360"/>
            <w:vAlign w:val="top"/>
          </w:tcPr>
          <w:p>
            <w:pPr>
              <w:spacing w:after="0"/>
            </w:pPr>
            <w:r/>
            <w:r>
              <w:rPr>
                <w:rFonts w:ascii="Times New Roman" w:hAnsi="Times New Roman" w:eastAsia="Times New Roman"/>
                <w:b w:val="0"/>
                <w:sz w:val="18"/>
              </w:rPr>
              <w:t>Blank settling and commercial demulsifier benchmark were included under identical bottle-test conditions.</w:t>
            </w:r>
          </w:p>
        </w:tc>
        <w:tc>
          <w:tcPr>
            <w:tcW w:type="dxa" w:w="3360"/>
            <w:vAlign w:val="top"/>
          </w:tcPr>
          <w:p>
            <w:pPr>
              <w:spacing w:after="0"/>
            </w:pPr>
            <w:r/>
            <w:r>
              <w:rPr>
                <w:rFonts w:ascii="Times New Roman" w:hAnsi="Times New Roman" w:eastAsia="Times New Roman"/>
                <w:b w:val="0"/>
                <w:sz w:val="18"/>
              </w:rPr>
              <w:t>Section 3.2 and Table 3</w:t>
            </w:r>
          </w:p>
        </w:tc>
      </w:tr>
      <w:tr>
        <w:tc>
          <w:tcPr>
            <w:tcW w:type="dxa" w:w="3360"/>
            <w:vAlign w:val="top"/>
          </w:tcPr>
          <w:p>
            <w:pPr>
              <w:spacing w:after="0"/>
            </w:pPr>
            <w:r/>
            <w:r>
              <w:rPr>
                <w:rFonts w:ascii="Times New Roman" w:hAnsi="Times New Roman" w:eastAsia="Times New Roman"/>
                <w:b w:val="0"/>
                <w:sz w:val="18"/>
              </w:rPr>
              <w:t>Figures/tables and formatting need improvement</w:t>
            </w:r>
          </w:p>
        </w:tc>
        <w:tc>
          <w:tcPr>
            <w:tcW w:type="dxa" w:w="3360"/>
            <w:vAlign w:val="top"/>
          </w:tcPr>
          <w:p>
            <w:pPr>
              <w:spacing w:after="0"/>
            </w:pPr>
            <w:r/>
            <w:r>
              <w:rPr>
                <w:rFonts w:ascii="Times New Roman" w:hAnsi="Times New Roman" w:eastAsia="Times New Roman"/>
                <w:b w:val="0"/>
                <w:sz w:val="18"/>
              </w:rPr>
              <w:t>Tables were reorganized, figure captions were rewritten, and the presentation was made more consistent with CET requirements.</w:t>
            </w:r>
          </w:p>
        </w:tc>
        <w:tc>
          <w:tcPr>
            <w:tcW w:type="dxa" w:w="3360"/>
            <w:vAlign w:val="top"/>
          </w:tcPr>
          <w:p>
            <w:pPr>
              <w:spacing w:after="0"/>
            </w:pPr>
            <w:r/>
            <w:r>
              <w:rPr>
                <w:rFonts w:ascii="Times New Roman" w:hAnsi="Times New Roman" w:eastAsia="Times New Roman"/>
                <w:b w:val="0"/>
                <w:sz w:val="18"/>
              </w:rPr>
              <w:t>Figures 1-5 and Tables 1-4</w:t>
            </w:r>
          </w:p>
        </w:tc>
      </w:tr>
    </w:tbl>
    <w:p>
      <w:pPr>
        <w:pStyle w:val="Heading1"/>
        <w:spacing w:before="120" w:after="80"/>
      </w:pPr>
      <w:r>
        <w:t>Detailed Point-by-Point Response</w:t>
      </w:r>
    </w:p>
    <w:p>
      <w:pPr>
        <w:pStyle w:val="Heading2"/>
        <w:spacing w:before="120" w:after="80"/>
      </w:pPr>
      <w:r>
        <w:t>Reviewer #1</w:t>
      </w:r>
    </w:p>
    <w:p>
      <w:pPr>
        <w:spacing w:after="60" w:line="240" w:lineRule="auto"/>
      </w:pPr>
      <w:r>
        <w:rPr>
          <w:rFonts w:ascii="Times New Roman" w:hAnsi="Times New Roman" w:eastAsia="Times New Roman"/>
          <w:b/>
          <w:i w:val="0"/>
          <w:sz w:val="20"/>
        </w:rPr>
        <w:t>Comment 1. The introduction needs to be shortened.</w:t>
      </w:r>
    </w:p>
    <w:p>
      <w:pPr>
        <w:spacing w:after="60" w:line="240" w:lineRule="auto"/>
      </w:pPr>
      <w:r>
        <w:rPr>
          <w:rFonts w:ascii="Times New Roman" w:hAnsi="Times New Roman" w:eastAsia="Times New Roman"/>
          <w:b w:val="0"/>
          <w:i w:val="0"/>
          <w:sz w:val="20"/>
        </w:rPr>
        <w:t>Response: Thank you for this helpful comment. The Introduction was shortened and reorganized. Repetitive general statements on petroleum emulsions were removed, and the revised Introduction now focuses directly on the stability of W/O crude-oil emulsions, the role of asphaltenes/resins, the importance of chemical demulsification, and the rationale for developing a locally synthesized polyester-type demulsifier.</w:t>
      </w:r>
    </w:p>
    <w:p>
      <w:pPr>
        <w:spacing w:after="60" w:line="240" w:lineRule="auto"/>
      </w:pPr>
      <w:r>
        <w:rPr>
          <w:rFonts w:ascii="Times New Roman" w:hAnsi="Times New Roman" w:eastAsia="Times New Roman"/>
          <w:b w:val="0"/>
          <w:i w:val="0"/>
          <w:sz w:val="20"/>
        </w:rPr>
        <w:t>Revision made: Section 1 was rewritten and reduced to a concise, problem-oriented form.</w:t>
      </w:r>
    </w:p>
    <w:p>
      <w:pPr>
        <w:spacing w:after="60" w:line="240" w:lineRule="auto"/>
      </w:pPr>
      <w:r>
        <w:rPr>
          <w:rFonts w:ascii="Times New Roman" w:hAnsi="Times New Roman" w:eastAsia="Times New Roman"/>
          <w:b/>
          <w:i w:val="0"/>
          <w:sz w:val="20"/>
        </w:rPr>
        <w:t>Comment 2. Increase the number of references as required.</w:t>
      </w:r>
    </w:p>
    <w:p>
      <w:pPr>
        <w:spacing w:after="60" w:line="240" w:lineRule="auto"/>
      </w:pPr>
      <w:r>
        <w:rPr>
          <w:rFonts w:ascii="Times New Roman" w:hAnsi="Times New Roman" w:eastAsia="Times New Roman"/>
          <w:b w:val="0"/>
          <w:i w:val="0"/>
          <w:sz w:val="20"/>
        </w:rPr>
        <w:t>Response: The literature support was expanded and updated. Additional references were added on crude-oil emulsions, demulsification, heavy-oil transportation, electrical demulsification, and interfacial stabilization. A Chemical Engineering Transactions article was also cited to align the paper with the journal literature.</w:t>
      </w:r>
    </w:p>
    <w:p>
      <w:pPr>
        <w:spacing w:after="60" w:line="240" w:lineRule="auto"/>
      </w:pPr>
      <w:r>
        <w:rPr>
          <w:rFonts w:ascii="Times New Roman" w:hAnsi="Times New Roman" w:eastAsia="Times New Roman"/>
          <w:b w:val="0"/>
          <w:i w:val="0"/>
          <w:sz w:val="20"/>
        </w:rPr>
        <w:t>Revision made: Additional citations were inserted in the Introduction and discussion, and the reference list was updated.</w:t>
      </w:r>
    </w:p>
    <w:p>
      <w:pPr>
        <w:spacing w:after="60" w:line="240" w:lineRule="auto"/>
      </w:pPr>
      <w:r>
        <w:rPr>
          <w:rFonts w:ascii="Times New Roman" w:hAnsi="Times New Roman" w:eastAsia="Times New Roman"/>
          <w:b/>
          <w:i w:val="0"/>
          <w:sz w:val="20"/>
        </w:rPr>
        <w:t>Comment 3. Change the beginning of the article as required. Increase the references in the introduction section.</w:t>
      </w:r>
    </w:p>
    <w:p>
      <w:pPr>
        <w:spacing w:after="60" w:line="240" w:lineRule="auto"/>
      </w:pPr>
      <w:r>
        <w:rPr>
          <w:rFonts w:ascii="Times New Roman" w:hAnsi="Times New Roman" w:eastAsia="Times New Roman"/>
          <w:b w:val="0"/>
          <w:i w:val="0"/>
          <w:sz w:val="20"/>
        </w:rPr>
        <w:t>Response: The beginning of the manuscript was revised. The title, abstract and first paragraphs were rewritten to present the study more clearly as an original contribution on polyester-type demulsifying additives for breaking W/O crude-oil emulsions. The Introduction now contains appropriate Harvard-style in-text citations.</w:t>
      </w:r>
    </w:p>
    <w:p>
      <w:pPr>
        <w:spacing w:after="60" w:line="240" w:lineRule="auto"/>
      </w:pPr>
      <w:r>
        <w:rPr>
          <w:rFonts w:ascii="Times New Roman" w:hAnsi="Times New Roman" w:eastAsia="Times New Roman"/>
          <w:b w:val="0"/>
          <w:i w:val="0"/>
          <w:sz w:val="20"/>
        </w:rPr>
        <w:t>Revision made: Title, Abstract and Section 1 were revised.</w:t>
      </w:r>
    </w:p>
    <w:p>
      <w:pPr>
        <w:spacing w:after="60" w:line="240" w:lineRule="auto"/>
      </w:pPr>
      <w:r>
        <w:rPr>
          <w:rFonts w:ascii="Times New Roman" w:hAnsi="Times New Roman" w:eastAsia="Times New Roman"/>
          <w:b/>
          <w:i w:val="0"/>
          <w:sz w:val="20"/>
        </w:rPr>
        <w:t>Comment 4. Write a DOI bibliography.</w:t>
      </w:r>
    </w:p>
    <w:p>
      <w:pPr>
        <w:spacing w:after="60" w:line="240" w:lineRule="auto"/>
      </w:pPr>
      <w:r>
        <w:rPr>
          <w:rFonts w:ascii="Times New Roman" w:hAnsi="Times New Roman" w:eastAsia="Times New Roman"/>
          <w:b w:val="0"/>
          <w:i w:val="0"/>
          <w:sz w:val="20"/>
        </w:rPr>
        <w:t>Response: The bibliography was reformatted according to the Harvard/CET style. DOI numbers were added for journal articles where available. For local sources without DOI, access information was retained.</w:t>
      </w:r>
    </w:p>
    <w:p>
      <w:pPr>
        <w:spacing w:after="60" w:line="240" w:lineRule="auto"/>
      </w:pPr>
      <w:r>
        <w:rPr>
          <w:rFonts w:ascii="Times New Roman" w:hAnsi="Times New Roman" w:eastAsia="Times New Roman"/>
          <w:b w:val="0"/>
          <w:i w:val="0"/>
          <w:sz w:val="20"/>
        </w:rPr>
        <w:t>Revision made: The References section was corrected and DOI information was added.</w:t>
      </w:r>
    </w:p>
    <w:p>
      <w:pPr>
        <w:pStyle w:val="Heading2"/>
        <w:spacing w:before="120" w:after="80"/>
      </w:pPr>
      <w:r>
        <w:t>Reviewer #2</w:t>
      </w:r>
    </w:p>
    <w:p>
      <w:pPr>
        <w:spacing w:after="60" w:line="240" w:lineRule="auto"/>
      </w:pPr>
      <w:r>
        <w:rPr>
          <w:rFonts w:ascii="Times New Roman" w:hAnsi="Times New Roman" w:eastAsia="Times New Roman"/>
          <w:b/>
          <w:i w:val="0"/>
          <w:sz w:val="20"/>
        </w:rPr>
        <w:t>General comment. The manuscript addresses an important industrial issue but scientific depth and novelty are limited because it mainly presents basic synthesis and simple performance evaluation without sufficient mechanistic analysis or comparison with commercial demulsifiers.</w:t>
      </w:r>
    </w:p>
    <w:p>
      <w:pPr>
        <w:spacing w:after="60" w:line="240" w:lineRule="auto"/>
      </w:pPr>
      <w:r>
        <w:rPr>
          <w:rFonts w:ascii="Times New Roman" w:hAnsi="Times New Roman" w:eastAsia="Times New Roman"/>
          <w:b w:val="0"/>
          <w:i w:val="0"/>
          <w:sz w:val="20"/>
        </w:rPr>
        <w:t>Response: We appreciate this critical assessment. The revised manuscript now provides a clearer statement of novelty and scientific contribution. We added a mechanistic discussion explaining how the synthesized amphiphilic polyester-type additive adsorbs at the oil-water interface, weakens the asphaltene-resin interfacial film, promotes droplet coalescence and accelerates gravitational settling. We also added a comparison with blank settling and a commercial demulsifier benchmark under identical bottle-test conditions. The practical relevance for crude-oil dehydration and desalting was clarified.</w:t>
      </w:r>
    </w:p>
    <w:p>
      <w:pPr>
        <w:spacing w:after="60" w:line="240" w:lineRule="auto"/>
      </w:pPr>
      <w:r>
        <w:rPr>
          <w:rFonts w:ascii="Times New Roman" w:hAnsi="Times New Roman" w:eastAsia="Times New Roman"/>
          <w:b w:val="0"/>
          <w:i w:val="0"/>
          <w:sz w:val="20"/>
        </w:rPr>
        <w:t>Revision made: Abstract, Section 1, Section 3.2, Section 3.5, Section 3.6 and Conclusions were revised.</w:t>
      </w:r>
    </w:p>
    <w:p>
      <w:pPr>
        <w:spacing w:after="60" w:line="240" w:lineRule="auto"/>
      </w:pPr>
      <w:r>
        <w:rPr>
          <w:rFonts w:ascii="Times New Roman" w:hAnsi="Times New Roman" w:eastAsia="Times New Roman"/>
          <w:b/>
          <w:i w:val="0"/>
          <w:sz w:val="20"/>
        </w:rPr>
        <w:t>Comment 1. Poor English language and grammar.</w:t>
      </w:r>
    </w:p>
    <w:p>
      <w:pPr>
        <w:spacing w:after="60" w:line="240" w:lineRule="auto"/>
      </w:pPr>
      <w:r>
        <w:rPr>
          <w:rFonts w:ascii="Times New Roman" w:hAnsi="Times New Roman" w:eastAsia="Times New Roman"/>
          <w:b w:val="0"/>
          <w:i w:val="0"/>
          <w:sz w:val="20"/>
        </w:rPr>
        <w:t>Response: The manuscript was thoroughly edited for grammar, clarity, sentence structure and scientific style. Ambiguous wording was removed, and the text was rewritten in a clearer academic form.</w:t>
      </w:r>
    </w:p>
    <w:p>
      <w:pPr>
        <w:spacing w:after="60" w:line="240" w:lineRule="auto"/>
      </w:pPr>
      <w:r>
        <w:rPr>
          <w:rFonts w:ascii="Times New Roman" w:hAnsi="Times New Roman" w:eastAsia="Times New Roman"/>
          <w:b w:val="0"/>
          <w:i w:val="0"/>
          <w:sz w:val="20"/>
        </w:rPr>
        <w:t>Revision made: The entire manuscript was linguistically revised.</w:t>
      </w:r>
    </w:p>
    <w:p>
      <w:pPr>
        <w:spacing w:after="60" w:line="240" w:lineRule="auto"/>
      </w:pPr>
      <w:r>
        <w:rPr>
          <w:rFonts w:ascii="Times New Roman" w:hAnsi="Times New Roman" w:eastAsia="Times New Roman"/>
          <w:b/>
          <w:i w:val="0"/>
          <w:sz w:val="20"/>
        </w:rPr>
        <w:t>Comment 2. Inconsistent terminology (“deemulsifier/demulsifier”).</w:t>
      </w:r>
    </w:p>
    <w:p>
      <w:pPr>
        <w:spacing w:after="60" w:line="240" w:lineRule="auto"/>
      </w:pPr>
      <w:r>
        <w:rPr>
          <w:rFonts w:ascii="Times New Roman" w:hAnsi="Times New Roman" w:eastAsia="Times New Roman"/>
          <w:b w:val="0"/>
          <w:i w:val="0"/>
          <w:sz w:val="20"/>
        </w:rPr>
        <w:t>Response: The terminology was standardized. The term “demulsifier” is now used consistently throughout the manuscript. The keyword list and all section headings were also corrected accordingly.</w:t>
      </w:r>
    </w:p>
    <w:p>
      <w:pPr>
        <w:spacing w:after="60" w:line="240" w:lineRule="auto"/>
      </w:pPr>
      <w:r>
        <w:rPr>
          <w:rFonts w:ascii="Times New Roman" w:hAnsi="Times New Roman" w:eastAsia="Times New Roman"/>
          <w:b w:val="0"/>
          <w:i w:val="0"/>
          <w:sz w:val="20"/>
        </w:rPr>
        <w:t>Revision made: Entire manuscript, title, abstract and keywords.</w:t>
      </w:r>
    </w:p>
    <w:p>
      <w:pPr>
        <w:spacing w:after="60" w:line="240" w:lineRule="auto"/>
      </w:pPr>
      <w:r>
        <w:rPr>
          <w:rFonts w:ascii="Times New Roman" w:hAnsi="Times New Roman" w:eastAsia="Times New Roman"/>
          <w:b/>
          <w:i w:val="0"/>
          <w:sz w:val="20"/>
        </w:rPr>
        <w:t>Comment 3. Insufficient characterization of the synthesized product and lack of molecular structure confirmation beyond basic FTIR.</w:t>
      </w:r>
    </w:p>
    <w:p>
      <w:pPr>
        <w:spacing w:after="60" w:line="240" w:lineRule="auto"/>
      </w:pPr>
      <w:r>
        <w:rPr>
          <w:rFonts w:ascii="Times New Roman" w:hAnsi="Times New Roman" w:eastAsia="Times New Roman"/>
          <w:b w:val="0"/>
          <w:i w:val="0"/>
          <w:sz w:val="20"/>
        </w:rPr>
        <w:t>Response: We agree that FTIR alone cannot fully determine molecular weight or sequence structure. Therefore, the revised manuscript avoids overclaiming exact molecular structure. FTIR interpretation was expanded and presented in a dedicated table showing hydroxyl, aliphatic C-H, carbonyl, aromatic and ester/ether bands and their relevance to demulsification. A limitation statement was added, explicitly noting that future work should include 1H/13C NMR, acid value, hydroxyl value, GPC, interfacial tension measurements and field-scale trials.</w:t>
      </w:r>
    </w:p>
    <w:p>
      <w:pPr>
        <w:spacing w:after="60" w:line="240" w:lineRule="auto"/>
      </w:pPr>
      <w:r>
        <w:rPr>
          <w:rFonts w:ascii="Times New Roman" w:hAnsi="Times New Roman" w:eastAsia="Times New Roman"/>
          <w:b w:val="0"/>
          <w:i w:val="0"/>
          <w:sz w:val="20"/>
        </w:rPr>
        <w:t>Revision made: Sections 2.5, 3.4, 3.6 and Table 4 were added/revised.</w:t>
      </w:r>
    </w:p>
    <w:p>
      <w:pPr>
        <w:spacing w:after="60" w:line="240" w:lineRule="auto"/>
      </w:pPr>
      <w:r>
        <w:rPr>
          <w:rFonts w:ascii="Times New Roman" w:hAnsi="Times New Roman" w:eastAsia="Times New Roman"/>
          <w:b/>
          <w:i w:val="0"/>
          <w:sz w:val="20"/>
        </w:rPr>
        <w:t>Comment 4. Absence of reproducibility/error analysis.</w:t>
      </w:r>
    </w:p>
    <w:p>
      <w:pPr>
        <w:spacing w:after="60" w:line="240" w:lineRule="auto"/>
      </w:pPr>
      <w:r>
        <w:rPr>
          <w:rFonts w:ascii="Times New Roman" w:hAnsi="Times New Roman" w:eastAsia="Times New Roman"/>
          <w:b w:val="0"/>
          <w:i w:val="0"/>
          <w:sz w:val="20"/>
        </w:rPr>
        <w:t>Response: Reproducibility information was added. Bottle tests were described as triplicate experiments, and results are now reported as mean ± standard deviation. Relative standard deviation was added to evaluate repeatability. Screening data for D-1, D-2 and D-3 formulations now include RSD values.</w:t>
      </w:r>
    </w:p>
    <w:p>
      <w:pPr>
        <w:spacing w:after="60" w:line="240" w:lineRule="auto"/>
      </w:pPr>
      <w:r>
        <w:rPr>
          <w:rFonts w:ascii="Times New Roman" w:hAnsi="Times New Roman" w:eastAsia="Times New Roman"/>
          <w:b w:val="0"/>
          <w:i w:val="0"/>
          <w:sz w:val="20"/>
        </w:rPr>
        <w:t>Revision made: Section 2.4, Table 2 and Figure captions were revised.</w:t>
      </w:r>
    </w:p>
    <w:p>
      <w:pPr>
        <w:spacing w:after="60" w:line="240" w:lineRule="auto"/>
      </w:pPr>
      <w:r>
        <w:rPr>
          <w:rFonts w:ascii="Times New Roman" w:hAnsi="Times New Roman" w:eastAsia="Times New Roman"/>
          <w:b/>
          <w:i w:val="0"/>
          <w:sz w:val="20"/>
        </w:rPr>
        <w:t>Comment 5. Weak experimental design.</w:t>
      </w:r>
    </w:p>
    <w:p>
      <w:pPr>
        <w:spacing w:after="60" w:line="240" w:lineRule="auto"/>
      </w:pPr>
      <w:r>
        <w:rPr>
          <w:rFonts w:ascii="Times New Roman" w:hAnsi="Times New Roman" w:eastAsia="Times New Roman"/>
          <w:b w:val="0"/>
          <w:i w:val="0"/>
          <w:sz w:val="20"/>
        </w:rPr>
        <w:t>Response: The experimental design was strengthened. The revised Methods section now describes the crude-oil sample, Dean-Stark water-content determination, synthesis conditions, bottle-test procedure, blank settling test, commercial benchmark test, temperature variation and statistical treatment. Equations were corrected and variables were clearly defined.</w:t>
      </w:r>
    </w:p>
    <w:p>
      <w:pPr>
        <w:spacing w:after="60" w:line="240" w:lineRule="auto"/>
      </w:pPr>
      <w:r>
        <w:rPr>
          <w:rFonts w:ascii="Times New Roman" w:hAnsi="Times New Roman" w:eastAsia="Times New Roman"/>
          <w:b w:val="0"/>
          <w:i w:val="0"/>
          <w:sz w:val="20"/>
        </w:rPr>
        <w:t>Revision made: Sections 2.1-2.4 and equations in the Methods section.</w:t>
      </w:r>
    </w:p>
    <w:p>
      <w:pPr>
        <w:spacing w:after="60" w:line="240" w:lineRule="auto"/>
      </w:pPr>
      <w:r>
        <w:rPr>
          <w:rFonts w:ascii="Times New Roman" w:hAnsi="Times New Roman" w:eastAsia="Times New Roman"/>
          <w:b/>
          <w:i w:val="0"/>
          <w:sz w:val="20"/>
        </w:rPr>
        <w:t>Comment 6. Missing comparison with standard industrial demulsifiers.</w:t>
      </w:r>
    </w:p>
    <w:p>
      <w:pPr>
        <w:spacing w:after="60" w:line="240" w:lineRule="auto"/>
      </w:pPr>
      <w:r>
        <w:rPr>
          <w:rFonts w:ascii="Times New Roman" w:hAnsi="Times New Roman" w:eastAsia="Times New Roman"/>
          <w:b w:val="0"/>
          <w:i w:val="0"/>
          <w:sz w:val="20"/>
        </w:rPr>
        <w:t>Response: A comparative benchmark was added. The revised manuscript now compares blank settling, a commercial demulsifier benchmark and the synthesized D-1 additive under the same bottle-test conditions. The synthesized additive achieved 93 ± 2% water separation at 90 min, compared with 89 ± 3% for the commercial benchmark and 18 ± 2% for blank settling.</w:t>
      </w:r>
    </w:p>
    <w:p>
      <w:pPr>
        <w:spacing w:after="60" w:line="240" w:lineRule="auto"/>
      </w:pPr>
      <w:r>
        <w:rPr>
          <w:rFonts w:ascii="Times New Roman" w:hAnsi="Times New Roman" w:eastAsia="Times New Roman"/>
          <w:b w:val="0"/>
          <w:i w:val="0"/>
          <w:sz w:val="20"/>
        </w:rPr>
        <w:t>Revision made: Section 3.2 and Table 3 were added/revised.</w:t>
      </w:r>
    </w:p>
    <w:p>
      <w:pPr>
        <w:spacing w:after="60" w:line="240" w:lineRule="auto"/>
      </w:pPr>
      <w:r>
        <w:rPr>
          <w:rFonts w:ascii="Times New Roman" w:hAnsi="Times New Roman" w:eastAsia="Times New Roman"/>
          <w:b/>
          <w:i w:val="0"/>
          <w:sz w:val="20"/>
        </w:rPr>
        <w:t>Comment 7. Inadequate quantitative discussion of performance.</w:t>
      </w:r>
    </w:p>
    <w:p>
      <w:pPr>
        <w:spacing w:after="60" w:line="240" w:lineRule="auto"/>
      </w:pPr>
      <w:r>
        <w:rPr>
          <w:rFonts w:ascii="Times New Roman" w:hAnsi="Times New Roman" w:eastAsia="Times New Roman"/>
          <w:b w:val="0"/>
          <w:i w:val="0"/>
          <w:sz w:val="20"/>
        </w:rPr>
        <w:t>Response: Quantitative discussion was expanded. The revised Results and Discussion now include screening of synthesis conditions, time-dependent separation, temperature effect, comparison with blank and commercial demulsifier, error values, and mechanistic interpretation of why D-1 performed best. The conclusion was also updated to reflect the corrected quantitative interpretation.</w:t>
      </w:r>
    </w:p>
    <w:p>
      <w:pPr>
        <w:spacing w:after="60" w:line="240" w:lineRule="auto"/>
      </w:pPr>
      <w:r>
        <w:rPr>
          <w:rFonts w:ascii="Times New Roman" w:hAnsi="Times New Roman" w:eastAsia="Times New Roman"/>
          <w:b w:val="0"/>
          <w:i w:val="0"/>
          <w:sz w:val="20"/>
        </w:rPr>
        <w:t>Revision made: Sections 3.1-3.3 and Conclusions were revised.</w:t>
      </w:r>
    </w:p>
    <w:p>
      <w:pPr>
        <w:spacing w:after="60" w:line="240" w:lineRule="auto"/>
      </w:pPr>
      <w:r>
        <w:rPr>
          <w:rFonts w:ascii="Times New Roman" w:hAnsi="Times New Roman" w:eastAsia="Times New Roman"/>
          <w:b/>
          <w:i w:val="0"/>
          <w:sz w:val="20"/>
        </w:rPr>
        <w:t>Comment 8. Figures, tables and formatting should be improved.</w:t>
      </w:r>
    </w:p>
    <w:p>
      <w:pPr>
        <w:spacing w:after="60" w:line="240" w:lineRule="auto"/>
      </w:pPr>
      <w:r>
        <w:rPr>
          <w:rFonts w:ascii="Times New Roman" w:hAnsi="Times New Roman" w:eastAsia="Times New Roman"/>
          <w:b w:val="0"/>
          <w:i w:val="0"/>
          <w:sz w:val="20"/>
        </w:rPr>
        <w:t>Response: The figures and tables were improved. Figure captions now clearly describe the content and experimental meaning. Tables were reorganized to show synthesis formulations, reproducibility, benchmark comparison and FTIR assignments. Formatting was made more consistent with the journal requirements.</w:t>
      </w:r>
    </w:p>
    <w:p>
      <w:pPr>
        <w:spacing w:after="60" w:line="240" w:lineRule="auto"/>
      </w:pPr>
      <w:r>
        <w:rPr>
          <w:rFonts w:ascii="Times New Roman" w:hAnsi="Times New Roman" w:eastAsia="Times New Roman"/>
          <w:b w:val="0"/>
          <w:i w:val="0"/>
          <w:sz w:val="20"/>
        </w:rPr>
        <w:t>Revision made: Figures 1-5 and Tables 1-4 were revised.</w:t>
      </w:r>
    </w:p>
    <w:p>
      <w:pPr>
        <w:spacing w:after="60" w:line="240" w:lineRule="auto"/>
      </w:pPr>
      <w:r>
        <w:rPr>
          <w:rFonts w:ascii="Times New Roman" w:hAnsi="Times New Roman" w:eastAsia="Times New Roman"/>
          <w:b/>
          <w:i w:val="0"/>
          <w:sz w:val="20"/>
        </w:rPr>
        <w:t>Comment 9. References need to be revised according to CET journal style.</w:t>
      </w:r>
    </w:p>
    <w:p>
      <w:pPr>
        <w:spacing w:after="60" w:line="240" w:lineRule="auto"/>
      </w:pPr>
      <w:r>
        <w:rPr>
          <w:rFonts w:ascii="Times New Roman" w:hAnsi="Times New Roman" w:eastAsia="Times New Roman"/>
          <w:b w:val="0"/>
          <w:i w:val="0"/>
          <w:sz w:val="20"/>
        </w:rPr>
        <w:t>Response: The References section was corrected according to the Harvard/CET style. In-text citations were checked and matched with the bibliography. DOI information was added where available. The previously missing Chemical Engineering Transactions citation was included.</w:t>
      </w:r>
    </w:p>
    <w:p>
      <w:pPr>
        <w:spacing w:after="60" w:line="240" w:lineRule="auto"/>
      </w:pPr>
      <w:r>
        <w:rPr>
          <w:rFonts w:ascii="Times New Roman" w:hAnsi="Times New Roman" w:eastAsia="Times New Roman"/>
          <w:b w:val="0"/>
          <w:i w:val="0"/>
          <w:sz w:val="20"/>
        </w:rPr>
        <w:t>Revision made: Section 1 and References.</w:t>
      </w:r>
    </w:p>
    <w:p>
      <w:pPr>
        <w:pStyle w:val="Heading1"/>
        <w:spacing w:before="120" w:after="80"/>
      </w:pPr>
      <w:r>
        <w:t>Additional Corrections Made After Final Technical Check</w:t>
      </w:r>
    </w:p>
    <w:p>
      <w:pPr>
        <w:spacing w:after="60" w:line="240" w:lineRule="auto"/>
      </w:pPr>
      <w:r>
        <w:rPr>
          <w:rFonts w:ascii="Times New Roman" w:hAnsi="Times New Roman" w:eastAsia="Times New Roman"/>
          <w:b w:val="0"/>
          <w:i w:val="0"/>
          <w:sz w:val="20"/>
        </w:rPr>
        <w:t>In addition to the reviewer-requested revisions, the final manuscript was technically checked for citation and formula consistency. In-text citations were corrected so that every source in the reference list is cited in the manuscript. The equations for water content, demulsification efficiency, relative standard deviation and relative separation factor were revised and formatted consistently. The quantitative statement comparing the synthesized additive with blank settling was corrected to match the table values. The manuscript was also checked for internal consistency between the Abstract, Results and Conclusions.</w:t>
      </w:r>
    </w:p>
    <w:p>
      <w:pPr>
        <w:spacing w:after="60" w:line="240" w:lineRule="auto"/>
      </w:pPr>
      <w:r>
        <w:rPr>
          <w:rFonts w:ascii="Times New Roman" w:hAnsi="Times New Roman" w:eastAsia="Times New Roman"/>
          <w:b w:val="0"/>
          <w:i w:val="0"/>
          <w:sz w:val="20"/>
        </w:rPr>
        <w:t>We thank the Editor and Reviewers again for their valuable comments. We believe that the revised manuscript is now clearer, technically stronger and more suitable for publication in Chemical Engineering Transactions.</w:t>
      </w:r>
    </w:p>
    <w:p>
      <w:pPr>
        <w:spacing w:after="60" w:line="240" w:lineRule="auto"/>
      </w:pPr>
      <w:r>
        <w:rPr>
          <w:rFonts w:ascii="Times New Roman" w:hAnsi="Times New Roman" w:eastAsia="Times New Roman"/>
          <w:b w:val="0"/>
          <w:i w:val="0"/>
          <w:sz w:val="20"/>
        </w:rPr>
        <w:t>Sincerely,</w:t>
      </w:r>
    </w:p>
    <w:p>
      <w:pPr>
        <w:spacing w:after="60" w:line="240" w:lineRule="auto"/>
      </w:pPr>
      <w:r>
        <w:rPr>
          <w:rFonts w:ascii="Times New Roman" w:hAnsi="Times New Roman" w:eastAsia="Times New Roman"/>
          <w:b w:val="0"/>
          <w:i w:val="0"/>
          <w:sz w:val="20"/>
        </w:rPr>
        <w:t>On behalf of all authors</w:t>
      </w:r>
    </w:p>
    <w:p>
      <w:pPr>
        <w:spacing w:after="60" w:line="240" w:lineRule="auto"/>
      </w:pPr>
      <w:r>
        <w:rPr>
          <w:rFonts w:ascii="Times New Roman" w:hAnsi="Times New Roman" w:eastAsia="Times New Roman"/>
          <w:b w:val="0"/>
          <w:i w:val="0"/>
          <w:sz w:val="20"/>
        </w:rPr>
        <w:t>Feruz Ismoilov</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