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6F168A0E"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 xml:space="preserve">lerio Cozzani, </w:t>
            </w:r>
            <w:r w:rsidR="00F27EE4" w:rsidRPr="00F27EE4">
              <w:rPr>
                <w:rFonts w:ascii="Tahoma" w:hAnsi="Tahoma" w:cs="Tahoma"/>
                <w:color w:val="000000"/>
                <w:sz w:val="14"/>
                <w:szCs w:val="14"/>
                <w:shd w:val="clear" w:color="auto" w:fill="FFFFFF"/>
                <w:lang w:val="it-IT"/>
              </w:rPr>
              <w:t>Ales Bernatik</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3EC893AE" w:rsidR="00E978D0" w:rsidRPr="00B57B36" w:rsidRDefault="007F5DC4" w:rsidP="00E978D0">
      <w:pPr>
        <w:pStyle w:val="CETTitle"/>
      </w:pPr>
      <w:r>
        <w:t xml:space="preserve">Biomethane Production Plants: a Case Study </w:t>
      </w:r>
      <w:r w:rsidR="007C5B0F">
        <w:t>Aimed at Atex Zones Classification</w:t>
      </w:r>
    </w:p>
    <w:p w14:paraId="0488FED2" w14:textId="10110B10" w:rsidR="00B57E6F" w:rsidRPr="00B57B36" w:rsidRDefault="009C1B73" w:rsidP="00B57E6F">
      <w:pPr>
        <w:pStyle w:val="CETAuthors"/>
      </w:pPr>
      <w:r>
        <w:t>Roberto Lauri</w:t>
      </w:r>
      <w:r w:rsidR="00B57E6F" w:rsidRPr="00B57B36">
        <w:rPr>
          <w:vertAlign w:val="superscript"/>
        </w:rPr>
        <w:t>a</w:t>
      </w:r>
    </w:p>
    <w:p w14:paraId="172831A6" w14:textId="306386E7" w:rsidR="00A577F1" w:rsidRPr="00B57B36" w:rsidRDefault="00A577F1" w:rsidP="00A577F1">
      <w:pPr>
        <w:pStyle w:val="CETAddress"/>
      </w:pPr>
      <w:r w:rsidRPr="006A158A">
        <w:rPr>
          <w:vertAlign w:val="superscript"/>
        </w:rPr>
        <w:t>a</w:t>
      </w:r>
      <w:r>
        <w:t>Inail, Department of Technological Innovations and Safety of Plants, Products and Human Settlements, Via del Torraccio di Torrenova 7, 00133 Rome, Italy</w:t>
      </w:r>
      <w:r w:rsidRPr="00B57B36">
        <w:t xml:space="preserve"> </w:t>
      </w:r>
    </w:p>
    <w:p w14:paraId="7C057C80" w14:textId="77777777" w:rsidR="00A577F1" w:rsidRPr="005F5BEE" w:rsidRDefault="00A577F1" w:rsidP="00A577F1">
      <w:pPr>
        <w:pStyle w:val="CETemail"/>
        <w:rPr>
          <w:lang w:val="fr-FR"/>
        </w:rPr>
      </w:pPr>
      <w:r>
        <w:rPr>
          <w:lang w:val="fr-FR"/>
        </w:rPr>
        <w:t>r.lauri@inail.it</w:t>
      </w:r>
    </w:p>
    <w:p w14:paraId="3B695094" w14:textId="68B6DD42" w:rsidR="00AC006F" w:rsidRPr="00AC006F" w:rsidRDefault="00AC006F" w:rsidP="00AC006F">
      <w:pPr>
        <w:spacing w:line="240" w:lineRule="auto"/>
        <w:rPr>
          <w:rStyle w:val="Enfasigrassetto"/>
          <w:rFonts w:cs="Arial"/>
          <w:b w:val="0"/>
          <w:bCs w:val="0"/>
          <w:color w:val="000000" w:themeColor="text1"/>
          <w:szCs w:val="18"/>
        </w:rPr>
      </w:pPr>
      <w:r w:rsidRPr="00AC006F">
        <w:rPr>
          <w:rFonts w:cs="Arial"/>
          <w:color w:val="000000" w:themeColor="text1"/>
          <w:szCs w:val="18"/>
          <w:shd w:val="clear" w:color="auto" w:fill="FFFFFF"/>
        </w:rPr>
        <w:t xml:space="preserve">Biomethane is the purified version of biogas and it is one of the main renewable gases of the future and </w:t>
      </w:r>
      <w:r w:rsidR="00E64482" w:rsidRPr="00AC006F">
        <w:rPr>
          <w:rFonts w:cs="Arial"/>
          <w:color w:val="000000" w:themeColor="text1"/>
          <w:szCs w:val="18"/>
          <w:shd w:val="clear" w:color="auto" w:fill="FFFFFF"/>
        </w:rPr>
        <w:t>available to</w:t>
      </w:r>
      <w:r w:rsidRPr="00AC006F">
        <w:rPr>
          <w:rFonts w:cs="Arial"/>
          <w:color w:val="000000" w:themeColor="text1"/>
          <w:szCs w:val="18"/>
          <w:shd w:val="clear" w:color="auto" w:fill="FFFFFF"/>
        </w:rPr>
        <w:t xml:space="preserve"> help decarbonise the European Union (EU) energy system. </w:t>
      </w:r>
      <w:r w:rsidRPr="00AC006F">
        <w:rPr>
          <w:rFonts w:cs="Arial"/>
          <w:color w:val="000000" w:themeColor="text1"/>
          <w:szCs w:val="18"/>
        </w:rPr>
        <w:t>For these reasons, there is a clear need to</w:t>
      </w:r>
      <w:r w:rsidRPr="00AC006F">
        <w:rPr>
          <w:rFonts w:cs="Arial"/>
          <w:b/>
          <w:bCs/>
          <w:color w:val="000000" w:themeColor="text1"/>
          <w:szCs w:val="18"/>
        </w:rPr>
        <w:t> </w:t>
      </w:r>
      <w:r w:rsidR="00FB6721" w:rsidRPr="00FB6721">
        <w:rPr>
          <w:rFonts w:cs="Arial"/>
          <w:color w:val="000000" w:themeColor="text1"/>
          <w:szCs w:val="18"/>
        </w:rPr>
        <w:t>increase</w:t>
      </w:r>
      <w:r w:rsidRPr="00AC006F">
        <w:rPr>
          <w:rStyle w:val="Enfasigrassetto"/>
          <w:rFonts w:cs="Arial"/>
          <w:b w:val="0"/>
          <w:bCs w:val="0"/>
          <w:color w:val="000000" w:themeColor="text1"/>
          <w:szCs w:val="18"/>
        </w:rPr>
        <w:t xml:space="preserve"> </w:t>
      </w:r>
      <w:r w:rsidR="00FB6721">
        <w:rPr>
          <w:rStyle w:val="Enfasigrassetto"/>
          <w:rFonts w:cs="Arial"/>
          <w:b w:val="0"/>
          <w:bCs w:val="0"/>
          <w:color w:val="000000" w:themeColor="text1"/>
          <w:szCs w:val="18"/>
        </w:rPr>
        <w:t xml:space="preserve">the </w:t>
      </w:r>
      <w:r w:rsidRPr="00AC006F">
        <w:rPr>
          <w:rStyle w:val="Enfasigrassetto"/>
          <w:rFonts w:cs="Arial"/>
          <w:b w:val="0"/>
          <w:bCs w:val="0"/>
          <w:color w:val="000000" w:themeColor="text1"/>
          <w:szCs w:val="18"/>
        </w:rPr>
        <w:t xml:space="preserve">biomethane </w:t>
      </w:r>
      <w:r w:rsidR="00FB6721">
        <w:rPr>
          <w:rStyle w:val="Enfasigrassetto"/>
          <w:rFonts w:cs="Arial"/>
          <w:b w:val="0"/>
          <w:bCs w:val="0"/>
          <w:color w:val="000000" w:themeColor="text1"/>
          <w:szCs w:val="18"/>
        </w:rPr>
        <w:t xml:space="preserve">production </w:t>
      </w:r>
      <w:r w:rsidRPr="00AC006F">
        <w:rPr>
          <w:rStyle w:val="Enfasigrassetto"/>
          <w:rFonts w:cs="Arial"/>
          <w:b w:val="0"/>
          <w:bCs w:val="0"/>
          <w:color w:val="000000" w:themeColor="text1"/>
          <w:szCs w:val="18"/>
        </w:rPr>
        <w:t>by 2030</w:t>
      </w:r>
      <w:r w:rsidRPr="00AC006F">
        <w:rPr>
          <w:rFonts w:cs="Arial"/>
          <w:color w:val="000000" w:themeColor="text1"/>
          <w:szCs w:val="18"/>
        </w:rPr>
        <w:t>, as reported in the RepowerEU (18 May 2022). In particular, the european biomethane production needs to reach </w:t>
      </w:r>
      <w:r w:rsidRPr="00AC006F">
        <w:rPr>
          <w:rStyle w:val="Enfasigrassetto"/>
          <w:rFonts w:cs="Arial"/>
          <w:b w:val="0"/>
          <w:bCs w:val="0"/>
          <w:color w:val="000000" w:themeColor="text1"/>
          <w:szCs w:val="18"/>
        </w:rPr>
        <w:t>35 billion m</w:t>
      </w:r>
      <w:r w:rsidRPr="00AC006F">
        <w:rPr>
          <w:rStyle w:val="Enfasigrassetto"/>
          <w:rFonts w:cs="Arial"/>
          <w:b w:val="0"/>
          <w:bCs w:val="0"/>
          <w:color w:val="000000" w:themeColor="text1"/>
          <w:szCs w:val="18"/>
          <w:vertAlign w:val="superscript"/>
        </w:rPr>
        <w:t>3</w:t>
      </w:r>
      <w:r w:rsidRPr="00AC006F">
        <w:rPr>
          <w:rStyle w:val="Enfasigrassetto"/>
          <w:rFonts w:cs="Arial"/>
          <w:b w:val="0"/>
          <w:bCs w:val="0"/>
          <w:color w:val="000000" w:themeColor="text1"/>
          <w:szCs w:val="18"/>
        </w:rPr>
        <w:t xml:space="preserve"> by 2030. The strategic biomethane importance requires a specific attention to the production plants safety. Indeed, one of the main hazards associated with its production process is the possible formation of potentially explosive atmospheres (Atex zones) due to accidental releases from several components, such as valves, flanges, compressors, etc. In accordance with Atex Directive 99/92/EC, the employer is obliged to classify the workplaces zones, where explosive mixtures could occur.  The paper </w:t>
      </w:r>
      <w:r w:rsidR="00D02C36">
        <w:rPr>
          <w:rStyle w:val="Enfasigrassetto"/>
          <w:rFonts w:cs="Arial"/>
          <w:b w:val="0"/>
          <w:bCs w:val="0"/>
          <w:color w:val="000000" w:themeColor="text1"/>
          <w:szCs w:val="18"/>
        </w:rPr>
        <w:t>is</w:t>
      </w:r>
      <w:r w:rsidRPr="00AC006F">
        <w:rPr>
          <w:rStyle w:val="Enfasigrassetto"/>
          <w:rFonts w:cs="Arial"/>
          <w:b w:val="0"/>
          <w:bCs w:val="0"/>
          <w:color w:val="000000" w:themeColor="text1"/>
          <w:szCs w:val="18"/>
        </w:rPr>
        <w:t xml:space="preserve"> focused on a biomethane production plant and the goal </w:t>
      </w:r>
      <w:r w:rsidR="00E82817">
        <w:rPr>
          <w:rStyle w:val="Enfasigrassetto"/>
          <w:rFonts w:cs="Arial"/>
          <w:b w:val="0"/>
          <w:bCs w:val="0"/>
          <w:color w:val="000000" w:themeColor="text1"/>
          <w:szCs w:val="18"/>
        </w:rPr>
        <w:t>is</w:t>
      </w:r>
      <w:r w:rsidRPr="00AC006F">
        <w:rPr>
          <w:rStyle w:val="Enfasigrassetto"/>
          <w:rFonts w:cs="Arial"/>
          <w:b w:val="0"/>
          <w:bCs w:val="0"/>
          <w:color w:val="000000" w:themeColor="text1"/>
          <w:szCs w:val="18"/>
        </w:rPr>
        <w:t xml:space="preserve"> the classification of Atex zone, which could be generated by a potential bio</w:t>
      </w:r>
      <w:r w:rsidR="003675C1">
        <w:rPr>
          <w:rStyle w:val="Enfasigrassetto"/>
          <w:rFonts w:cs="Arial"/>
          <w:b w:val="0"/>
          <w:bCs w:val="0"/>
          <w:color w:val="000000" w:themeColor="text1"/>
          <w:szCs w:val="18"/>
        </w:rPr>
        <w:t>fuel</w:t>
      </w:r>
      <w:r w:rsidRPr="00AC006F">
        <w:rPr>
          <w:rStyle w:val="Enfasigrassetto"/>
          <w:rFonts w:cs="Arial"/>
          <w:b w:val="0"/>
          <w:bCs w:val="0"/>
          <w:color w:val="000000" w:themeColor="text1"/>
          <w:szCs w:val="18"/>
        </w:rPr>
        <w:t xml:space="preserve"> release</w:t>
      </w:r>
      <w:r w:rsidR="003D304F">
        <w:rPr>
          <w:rStyle w:val="Enfasigrassetto"/>
          <w:rFonts w:cs="Arial"/>
          <w:b w:val="0"/>
          <w:bCs w:val="0"/>
          <w:color w:val="000000" w:themeColor="text1"/>
          <w:szCs w:val="18"/>
        </w:rPr>
        <w:t xml:space="preserve"> from the compressor</w:t>
      </w:r>
      <w:r w:rsidRPr="00AC006F">
        <w:rPr>
          <w:rStyle w:val="Enfasigrassetto"/>
          <w:rFonts w:cs="Arial"/>
          <w:b w:val="0"/>
          <w:bCs w:val="0"/>
          <w:color w:val="000000" w:themeColor="text1"/>
          <w:szCs w:val="18"/>
        </w:rPr>
        <w:t xml:space="preserve">.  In particular, the biofuel compression unit </w:t>
      </w:r>
      <w:r w:rsidR="00254327">
        <w:rPr>
          <w:rStyle w:val="Enfasigrassetto"/>
          <w:rFonts w:cs="Arial"/>
          <w:b w:val="0"/>
          <w:bCs w:val="0"/>
          <w:color w:val="000000" w:themeColor="text1"/>
          <w:szCs w:val="18"/>
        </w:rPr>
        <w:t>has been</w:t>
      </w:r>
      <w:r w:rsidRPr="00AC006F">
        <w:rPr>
          <w:rStyle w:val="Enfasigrassetto"/>
          <w:rFonts w:cs="Arial"/>
          <w:b w:val="0"/>
          <w:bCs w:val="0"/>
          <w:color w:val="000000" w:themeColor="text1"/>
          <w:szCs w:val="18"/>
        </w:rPr>
        <w:t xml:space="preserve"> examined, because it is the potentially more hazardous place. This hazardousness is due to the exiguous dilution of the natural ventilation (indoor place) and to the maximum biomethane pressure, which strongly increases the released mass flow. </w:t>
      </w:r>
      <w:r w:rsidR="004710E4">
        <w:rPr>
          <w:rStyle w:val="Enfasigrassetto"/>
          <w:rFonts w:cs="Arial"/>
          <w:b w:val="0"/>
          <w:bCs w:val="0"/>
          <w:color w:val="000000" w:themeColor="text1"/>
          <w:szCs w:val="18"/>
        </w:rPr>
        <w:t xml:space="preserve">In the </w:t>
      </w:r>
      <w:r w:rsidR="00A117FC">
        <w:rPr>
          <w:rStyle w:val="Enfasigrassetto"/>
          <w:rFonts w:cs="Arial"/>
          <w:b w:val="0"/>
          <w:bCs w:val="0"/>
          <w:color w:val="000000" w:themeColor="text1"/>
          <w:szCs w:val="18"/>
        </w:rPr>
        <w:t>paper</w:t>
      </w:r>
      <w:r w:rsidR="004710E4">
        <w:rPr>
          <w:rStyle w:val="Enfasigrassetto"/>
          <w:rFonts w:cs="Arial"/>
          <w:b w:val="0"/>
          <w:bCs w:val="0"/>
          <w:color w:val="000000" w:themeColor="text1"/>
          <w:szCs w:val="18"/>
        </w:rPr>
        <w:t>, a</w:t>
      </w:r>
      <w:r w:rsidRPr="00AC006F">
        <w:rPr>
          <w:rStyle w:val="Enfasigrassetto"/>
          <w:rFonts w:cs="Arial"/>
          <w:b w:val="0"/>
          <w:bCs w:val="0"/>
          <w:color w:val="000000" w:themeColor="text1"/>
          <w:szCs w:val="18"/>
        </w:rPr>
        <w:t xml:space="preserve"> specific software </w:t>
      </w:r>
      <w:r w:rsidR="00FF4E60">
        <w:rPr>
          <w:rStyle w:val="Enfasigrassetto"/>
          <w:rFonts w:cs="Arial"/>
          <w:b w:val="0"/>
          <w:bCs w:val="0"/>
          <w:color w:val="000000" w:themeColor="text1"/>
          <w:szCs w:val="18"/>
        </w:rPr>
        <w:t>has been</w:t>
      </w:r>
      <w:r w:rsidRPr="00AC006F">
        <w:rPr>
          <w:rStyle w:val="Enfasigrassetto"/>
          <w:rFonts w:cs="Arial"/>
          <w:b w:val="0"/>
          <w:bCs w:val="0"/>
          <w:color w:val="000000" w:themeColor="text1"/>
          <w:szCs w:val="18"/>
        </w:rPr>
        <w:t xml:space="preserve"> used to study the biofuel outflow from the potential </w:t>
      </w:r>
      <w:r w:rsidR="00187AD3">
        <w:rPr>
          <w:rStyle w:val="Enfasigrassetto"/>
          <w:rFonts w:cs="Arial"/>
          <w:b w:val="0"/>
          <w:bCs w:val="0"/>
          <w:color w:val="000000" w:themeColor="text1"/>
          <w:szCs w:val="18"/>
        </w:rPr>
        <w:t xml:space="preserve">emission </w:t>
      </w:r>
      <w:r w:rsidRPr="00AC006F">
        <w:rPr>
          <w:rStyle w:val="Enfasigrassetto"/>
          <w:rFonts w:cs="Arial"/>
          <w:b w:val="0"/>
          <w:bCs w:val="0"/>
          <w:color w:val="000000" w:themeColor="text1"/>
          <w:szCs w:val="18"/>
        </w:rPr>
        <w:t xml:space="preserve">source </w:t>
      </w:r>
      <w:r w:rsidR="00334E86">
        <w:rPr>
          <w:rStyle w:val="Enfasigrassetto"/>
          <w:rFonts w:cs="Arial"/>
          <w:b w:val="0"/>
          <w:bCs w:val="0"/>
          <w:color w:val="000000" w:themeColor="text1"/>
          <w:szCs w:val="18"/>
        </w:rPr>
        <w:t xml:space="preserve">(compressor) </w:t>
      </w:r>
      <w:r w:rsidRPr="00AC006F">
        <w:rPr>
          <w:rStyle w:val="Enfasigrassetto"/>
          <w:rFonts w:cs="Arial"/>
          <w:b w:val="0"/>
          <w:bCs w:val="0"/>
          <w:color w:val="000000" w:themeColor="text1"/>
          <w:szCs w:val="18"/>
        </w:rPr>
        <w:t>and classify the zone</w:t>
      </w:r>
      <w:r w:rsidR="00334E86">
        <w:rPr>
          <w:rStyle w:val="Enfasigrassetto"/>
          <w:rFonts w:cs="Arial"/>
          <w:b w:val="0"/>
          <w:bCs w:val="0"/>
          <w:color w:val="000000" w:themeColor="text1"/>
          <w:szCs w:val="18"/>
        </w:rPr>
        <w:t xml:space="preserve"> (hazardous or non-hazardous area)</w:t>
      </w:r>
      <w:r w:rsidRPr="00AC006F">
        <w:rPr>
          <w:rStyle w:val="Enfasigrassetto"/>
          <w:rFonts w:cs="Arial"/>
          <w:b w:val="0"/>
          <w:bCs w:val="0"/>
          <w:color w:val="000000" w:themeColor="text1"/>
          <w:szCs w:val="18"/>
        </w:rPr>
        <w:t xml:space="preserve">.    </w:t>
      </w:r>
    </w:p>
    <w:p w14:paraId="1881821D" w14:textId="77777777" w:rsidR="00AC006F" w:rsidRDefault="00AC006F" w:rsidP="00600535">
      <w:pPr>
        <w:pStyle w:val="CETBodytext"/>
        <w:rPr>
          <w:lang w:val="en-GB"/>
        </w:rPr>
      </w:pPr>
    </w:p>
    <w:p w14:paraId="1149D498" w14:textId="77777777" w:rsidR="00E84F58" w:rsidRPr="00B57B36" w:rsidRDefault="00E84F58" w:rsidP="00E84F58">
      <w:pPr>
        <w:pStyle w:val="CETHeading1"/>
        <w:rPr>
          <w:lang w:val="en-GB"/>
        </w:rPr>
      </w:pPr>
      <w:r w:rsidRPr="00B57B36">
        <w:rPr>
          <w:lang w:val="en-GB"/>
        </w:rPr>
        <w:t>Introduction</w:t>
      </w:r>
    </w:p>
    <w:p w14:paraId="6C4048C8" w14:textId="57BEFD46" w:rsidR="006B1F9E" w:rsidRPr="00E145AA" w:rsidRDefault="006B1F9E" w:rsidP="001E66FD">
      <w:pPr>
        <w:tabs>
          <w:tab w:val="clear" w:pos="7100"/>
        </w:tabs>
        <w:autoSpaceDE w:val="0"/>
        <w:autoSpaceDN w:val="0"/>
        <w:adjustRightInd w:val="0"/>
        <w:spacing w:line="240" w:lineRule="auto"/>
        <w:rPr>
          <w:rFonts w:eastAsiaTheme="minorHAnsi" w:cs="Arial"/>
          <w:color w:val="000000"/>
          <w:szCs w:val="18"/>
          <w:lang w:val="en-US"/>
        </w:rPr>
      </w:pPr>
      <w:r w:rsidRPr="0032457B">
        <w:rPr>
          <w:rFonts w:eastAsiaTheme="minorHAnsi" w:cs="Arial"/>
          <w:szCs w:val="18"/>
          <w:lang w:val="en-US"/>
        </w:rPr>
        <w:t>The European Commission estimates that 350 TWh or 3</w:t>
      </w:r>
      <w:r w:rsidR="0032457B">
        <w:rPr>
          <w:rFonts w:eastAsiaTheme="minorHAnsi" w:cs="Arial"/>
          <w:szCs w:val="18"/>
          <w:lang w:val="en-US"/>
        </w:rPr>
        <w:t>5</w:t>
      </w:r>
      <w:r w:rsidRPr="0032457B">
        <w:rPr>
          <w:rFonts w:eastAsiaTheme="minorHAnsi" w:cs="Arial"/>
          <w:szCs w:val="18"/>
          <w:lang w:val="en-US"/>
        </w:rPr>
        <w:t xml:space="preserve"> billion cubic meters of biomethane could be produced per year in 2030, which equal around 10% of the projected European Union natural gas use (Alberici et al., 202</w:t>
      </w:r>
      <w:r w:rsidR="00727D2C">
        <w:rPr>
          <w:rFonts w:eastAsiaTheme="minorHAnsi" w:cs="Arial"/>
          <w:szCs w:val="18"/>
          <w:lang w:val="en-US"/>
        </w:rPr>
        <w:t>2</w:t>
      </w:r>
      <w:r w:rsidRPr="0032457B">
        <w:rPr>
          <w:rFonts w:eastAsiaTheme="minorHAnsi" w:cs="Arial"/>
          <w:szCs w:val="18"/>
          <w:lang w:val="en-US"/>
        </w:rPr>
        <w:t>). This biofuel quantity would save about 110 Mt CO</w:t>
      </w:r>
      <w:r w:rsidRPr="0032457B">
        <w:rPr>
          <w:rFonts w:eastAsiaTheme="minorHAnsi" w:cs="Arial"/>
          <w:szCs w:val="18"/>
          <w:vertAlign w:val="subscript"/>
          <w:lang w:val="en-US"/>
        </w:rPr>
        <w:t>2</w:t>
      </w:r>
      <w:r w:rsidRPr="0032457B">
        <w:rPr>
          <w:rFonts w:eastAsiaTheme="minorHAnsi" w:cs="Arial"/>
          <w:szCs w:val="18"/>
          <w:lang w:val="en-US"/>
        </w:rPr>
        <w:t xml:space="preserve"> emissions or around 6% of the required effort to achieve 55% GHG </w:t>
      </w:r>
      <w:r w:rsidR="00470446">
        <w:rPr>
          <w:rFonts w:eastAsiaTheme="minorHAnsi" w:cs="Arial"/>
          <w:szCs w:val="18"/>
          <w:lang w:val="en-US"/>
        </w:rPr>
        <w:t xml:space="preserve">(greenhouse gases) </w:t>
      </w:r>
      <w:r w:rsidRPr="0032457B">
        <w:rPr>
          <w:rFonts w:eastAsiaTheme="minorHAnsi" w:cs="Arial"/>
          <w:szCs w:val="18"/>
          <w:lang w:val="en-US"/>
        </w:rPr>
        <w:t>reduction. This can simultaneously offer environmental and social benefits. Nowadays, this gaseous biofuel is not available in large quantities and needs to be rapidly scaled up to exploit its full potential.</w:t>
      </w:r>
      <w:r w:rsidR="00E145AA">
        <w:rPr>
          <w:rFonts w:eastAsiaTheme="minorHAnsi" w:cs="Arial"/>
          <w:color w:val="000000"/>
          <w:szCs w:val="18"/>
          <w:lang w:val="en-US"/>
        </w:rPr>
        <w:t xml:space="preserve"> </w:t>
      </w:r>
      <w:r w:rsidR="00EB220F" w:rsidRPr="00F16F0E">
        <w:rPr>
          <w:rFonts w:eastAsiaTheme="minorHAnsi" w:cs="Arial"/>
          <w:szCs w:val="18"/>
          <w:lang w:val="en-US"/>
        </w:rPr>
        <w:t xml:space="preserve">Biomethane is a storable and flexible energy source with a high greenhouse gas saving potential. Furthermore, </w:t>
      </w:r>
      <w:r w:rsidR="00B2187C">
        <w:rPr>
          <w:rFonts w:eastAsiaTheme="minorHAnsi" w:cs="Arial"/>
          <w:szCs w:val="18"/>
          <w:lang w:val="en-US"/>
        </w:rPr>
        <w:t>it</w:t>
      </w:r>
      <w:r w:rsidR="00EB220F" w:rsidRPr="00F16F0E">
        <w:rPr>
          <w:rFonts w:eastAsiaTheme="minorHAnsi" w:cs="Arial"/>
          <w:szCs w:val="18"/>
          <w:lang w:val="en-US"/>
        </w:rPr>
        <w:t xml:space="preserve"> can be transported through </w:t>
      </w:r>
      <w:r w:rsidR="00D55216">
        <w:rPr>
          <w:rFonts w:eastAsiaTheme="minorHAnsi" w:cs="Arial"/>
          <w:szCs w:val="18"/>
          <w:lang w:val="en-US"/>
        </w:rPr>
        <w:t xml:space="preserve">the </w:t>
      </w:r>
      <w:r w:rsidR="00EB220F" w:rsidRPr="00F16F0E">
        <w:rPr>
          <w:rFonts w:eastAsiaTheme="minorHAnsi" w:cs="Arial"/>
          <w:szCs w:val="18"/>
          <w:lang w:val="en-US"/>
        </w:rPr>
        <w:t>existing gas infrastructure. With reference to these properties, it becomes an appealing fuel in order to achieve a climate neutral energy system</w:t>
      </w:r>
      <w:r w:rsidR="00E47791">
        <w:rPr>
          <w:rFonts w:eastAsiaTheme="minorHAnsi" w:cs="Arial"/>
          <w:szCs w:val="18"/>
          <w:lang w:val="en-US"/>
        </w:rPr>
        <w:t xml:space="preserve">. </w:t>
      </w:r>
      <w:r w:rsidRPr="001E66FD">
        <w:rPr>
          <w:rFonts w:eastAsiaTheme="minorHAnsi" w:cs="Arial"/>
          <w:szCs w:val="18"/>
          <w:lang w:val="en-US"/>
        </w:rPr>
        <w:t xml:space="preserve">This scenario requires a particular attention to the potential hazards associated with </w:t>
      </w:r>
      <w:r w:rsidR="00425D32">
        <w:rPr>
          <w:rFonts w:eastAsiaTheme="minorHAnsi" w:cs="Arial"/>
          <w:szCs w:val="18"/>
          <w:lang w:val="en-US"/>
        </w:rPr>
        <w:t xml:space="preserve">the </w:t>
      </w:r>
      <w:r w:rsidRPr="001E66FD">
        <w:rPr>
          <w:rFonts w:eastAsiaTheme="minorHAnsi" w:cs="Arial"/>
          <w:szCs w:val="18"/>
          <w:lang w:val="en-US"/>
        </w:rPr>
        <w:t xml:space="preserve">biomethane production. One of the main hazards is the possible formation of potentially explosive atmospheres </w:t>
      </w:r>
      <w:r w:rsidR="0011029A">
        <w:rPr>
          <w:rFonts w:eastAsiaTheme="minorHAnsi" w:cs="Arial"/>
          <w:szCs w:val="18"/>
          <w:lang w:val="en-US"/>
        </w:rPr>
        <w:t xml:space="preserve">(Atex zones) </w:t>
      </w:r>
      <w:r w:rsidRPr="001E66FD">
        <w:rPr>
          <w:rFonts w:eastAsiaTheme="minorHAnsi" w:cs="Arial"/>
          <w:szCs w:val="18"/>
          <w:lang w:val="en-US"/>
        </w:rPr>
        <w:t>due to accidental biofuel releases from components</w:t>
      </w:r>
      <w:r w:rsidR="009E2741">
        <w:rPr>
          <w:rFonts w:eastAsiaTheme="minorHAnsi" w:cs="Arial"/>
          <w:szCs w:val="18"/>
          <w:lang w:val="en-US"/>
        </w:rPr>
        <w:t xml:space="preserve"> (Geng et al., </w:t>
      </w:r>
      <w:r w:rsidR="00F206D1">
        <w:rPr>
          <w:rFonts w:eastAsiaTheme="minorHAnsi" w:cs="Arial"/>
          <w:szCs w:val="18"/>
          <w:lang w:val="en-US"/>
        </w:rPr>
        <w:t>2020)</w:t>
      </w:r>
      <w:r w:rsidRPr="001E66FD">
        <w:rPr>
          <w:rFonts w:eastAsiaTheme="minorHAnsi" w:cs="Arial"/>
          <w:szCs w:val="18"/>
          <w:lang w:val="en-US"/>
        </w:rPr>
        <w:t xml:space="preserve">, such as flanges, </w:t>
      </w:r>
      <w:r w:rsidR="00D840CE">
        <w:rPr>
          <w:rFonts w:eastAsiaTheme="minorHAnsi" w:cs="Arial"/>
          <w:szCs w:val="18"/>
          <w:lang w:val="en-US"/>
        </w:rPr>
        <w:t xml:space="preserve">control </w:t>
      </w:r>
      <w:r w:rsidRPr="001E66FD">
        <w:rPr>
          <w:rFonts w:eastAsiaTheme="minorHAnsi" w:cs="Arial"/>
          <w:szCs w:val="18"/>
          <w:lang w:val="en-US"/>
        </w:rPr>
        <w:t xml:space="preserve">valves, compressors, etc. </w:t>
      </w:r>
      <w:r w:rsidRPr="001E66FD">
        <w:rPr>
          <w:rFonts w:eastAsia="CharisSIL" w:cs="Arial"/>
          <w:szCs w:val="18"/>
          <w:lang w:val="en-US"/>
        </w:rPr>
        <w:t xml:space="preserve">In appropriate ratios, the mixture of air and biomethane has explosive properties. </w:t>
      </w:r>
      <w:r w:rsidRPr="001E66FD">
        <w:rPr>
          <w:rFonts w:eastAsiaTheme="minorHAnsi" w:cs="Arial"/>
          <w:szCs w:val="18"/>
          <w:lang w:val="en-US"/>
        </w:rPr>
        <w:t>In particular, t</w:t>
      </w:r>
      <w:r w:rsidRPr="001E66FD">
        <w:rPr>
          <w:rFonts w:cs="Arial"/>
          <w:szCs w:val="18"/>
        </w:rPr>
        <w:t>he biomethane compression is the most hazardous phase of its production process, because it occurs in an indoor place (compression unit) and it is characterized by the maximum pressure values, which can exceed 70-80 bar</w:t>
      </w:r>
      <w:r w:rsidR="009B2698">
        <w:rPr>
          <w:rFonts w:cs="Arial"/>
          <w:szCs w:val="18"/>
        </w:rPr>
        <w:t xml:space="preserve"> (Lauri</w:t>
      </w:r>
      <w:r w:rsidR="003A6233">
        <w:rPr>
          <w:rFonts w:cs="Arial"/>
          <w:szCs w:val="18"/>
        </w:rPr>
        <w:t>, 2023)</w:t>
      </w:r>
      <w:r w:rsidRPr="001E66FD">
        <w:rPr>
          <w:rFonts w:cs="Arial"/>
          <w:szCs w:val="18"/>
        </w:rPr>
        <w:t xml:space="preserve">. Therefore, the choice of operating parameters (air velocity and flow) of the forced ventilation system becomes extremely important for diluting the explosive mixture, decreasing the Atex zones hazardousness and their persistence time. The paper </w:t>
      </w:r>
      <w:r w:rsidR="00977CCC">
        <w:rPr>
          <w:rFonts w:cs="Arial"/>
          <w:szCs w:val="18"/>
        </w:rPr>
        <w:t xml:space="preserve">is aimed at </w:t>
      </w:r>
      <w:r w:rsidR="00E11C0F">
        <w:rPr>
          <w:rFonts w:cs="Arial"/>
          <w:szCs w:val="18"/>
        </w:rPr>
        <w:t>investigat</w:t>
      </w:r>
      <w:r w:rsidR="00977CCC">
        <w:rPr>
          <w:rFonts w:cs="Arial"/>
          <w:szCs w:val="18"/>
        </w:rPr>
        <w:t>ing</w:t>
      </w:r>
      <w:r w:rsidR="00E11C0F">
        <w:rPr>
          <w:rFonts w:cs="Arial"/>
          <w:szCs w:val="18"/>
        </w:rPr>
        <w:t xml:space="preserve"> </w:t>
      </w:r>
      <w:r w:rsidR="009A594D">
        <w:rPr>
          <w:rFonts w:cs="Arial"/>
          <w:szCs w:val="18"/>
        </w:rPr>
        <w:t xml:space="preserve">the </w:t>
      </w:r>
      <w:r w:rsidR="008C7733">
        <w:rPr>
          <w:rFonts w:cs="Arial"/>
          <w:szCs w:val="18"/>
        </w:rPr>
        <w:t xml:space="preserve">possible </w:t>
      </w:r>
      <w:r w:rsidR="009A594D">
        <w:rPr>
          <w:rFonts w:cs="Arial"/>
          <w:szCs w:val="18"/>
        </w:rPr>
        <w:t xml:space="preserve">biomethane release </w:t>
      </w:r>
      <w:r w:rsidR="00914991">
        <w:rPr>
          <w:rFonts w:cs="Arial"/>
          <w:szCs w:val="18"/>
        </w:rPr>
        <w:t xml:space="preserve">from the compressor </w:t>
      </w:r>
      <w:r w:rsidR="00570A1F">
        <w:rPr>
          <w:rFonts w:cs="Arial"/>
          <w:szCs w:val="18"/>
        </w:rPr>
        <w:t xml:space="preserve">and </w:t>
      </w:r>
      <w:r w:rsidR="00570A1F" w:rsidRPr="001E66FD">
        <w:rPr>
          <w:rFonts w:cs="Arial"/>
          <w:szCs w:val="18"/>
        </w:rPr>
        <w:t>at</w:t>
      </w:r>
      <w:r w:rsidR="00CD2D4C">
        <w:rPr>
          <w:rFonts w:cs="Arial"/>
          <w:szCs w:val="18"/>
        </w:rPr>
        <w:t xml:space="preserve"> classifying the </w:t>
      </w:r>
      <w:r w:rsidR="0011029A">
        <w:rPr>
          <w:rFonts w:cs="Arial"/>
          <w:szCs w:val="18"/>
        </w:rPr>
        <w:t>zone</w:t>
      </w:r>
      <w:r w:rsidRPr="001E66FD">
        <w:rPr>
          <w:rFonts w:cs="Arial"/>
          <w:szCs w:val="18"/>
        </w:rPr>
        <w:t xml:space="preserve"> </w:t>
      </w:r>
      <w:r w:rsidR="009B565E">
        <w:rPr>
          <w:rFonts w:cs="Arial"/>
          <w:szCs w:val="18"/>
        </w:rPr>
        <w:t>(hazardous or non-hazardous area)</w:t>
      </w:r>
      <w:r w:rsidR="00B879F2">
        <w:rPr>
          <w:rFonts w:cs="Arial"/>
          <w:szCs w:val="18"/>
        </w:rPr>
        <w:t xml:space="preserve"> as function of ventilation </w:t>
      </w:r>
      <w:r w:rsidR="008E55E9">
        <w:rPr>
          <w:rFonts w:cs="Arial"/>
          <w:szCs w:val="18"/>
        </w:rPr>
        <w:t>flow</w:t>
      </w:r>
      <w:r w:rsidR="00B879F2">
        <w:rPr>
          <w:rFonts w:cs="Arial"/>
          <w:szCs w:val="18"/>
        </w:rPr>
        <w:t>.</w:t>
      </w:r>
      <w:r w:rsidRPr="001E66FD">
        <w:rPr>
          <w:rFonts w:eastAsiaTheme="minorHAnsi" w:cs="Arial"/>
          <w:szCs w:val="18"/>
          <w:lang w:val="en-US"/>
        </w:rPr>
        <w:t xml:space="preserve"> </w:t>
      </w:r>
      <w:r w:rsidR="008C7EB9">
        <w:rPr>
          <w:rFonts w:cs="Arial"/>
          <w:color w:val="333333"/>
          <w:szCs w:val="18"/>
          <w:shd w:val="clear" w:color="auto" w:fill="FFFFFF"/>
        </w:rPr>
        <w:t xml:space="preserve">In particular, the Atex zones classification has relevant outcomes on industrial processes safety, because it influences the choice of (electrical or non-electrical) equipment, which can be used in hazardous areas, thus decreasing their probability of becoming potential ignition sources. Therefore, the Atex zones classification is a fundamental phase for avoiding explosions in the process industry.   </w:t>
      </w:r>
    </w:p>
    <w:p w14:paraId="7E84847F" w14:textId="77777777" w:rsidR="004831DD" w:rsidRDefault="004831DD" w:rsidP="001E66FD">
      <w:pPr>
        <w:tabs>
          <w:tab w:val="clear" w:pos="7100"/>
        </w:tabs>
        <w:autoSpaceDE w:val="0"/>
        <w:autoSpaceDN w:val="0"/>
        <w:adjustRightInd w:val="0"/>
        <w:spacing w:line="240" w:lineRule="auto"/>
        <w:rPr>
          <w:rFonts w:eastAsiaTheme="minorHAnsi" w:cs="Arial"/>
          <w:szCs w:val="18"/>
          <w:lang w:val="en-US"/>
        </w:rPr>
      </w:pPr>
    </w:p>
    <w:p w14:paraId="5E89260F" w14:textId="17B28EFC" w:rsidR="004831DD" w:rsidRDefault="004831DD" w:rsidP="004831DD">
      <w:pPr>
        <w:pStyle w:val="CETHeading1"/>
        <w:rPr>
          <w:rFonts w:eastAsiaTheme="minorHAnsi"/>
        </w:rPr>
      </w:pPr>
      <w:r>
        <w:rPr>
          <w:rFonts w:eastAsiaTheme="minorHAnsi"/>
        </w:rPr>
        <w:lastRenderedPageBreak/>
        <w:t>Materials and Methods</w:t>
      </w:r>
    </w:p>
    <w:p w14:paraId="250C2B5D" w14:textId="7F0C1EEC" w:rsidR="0069565D" w:rsidRPr="008D39AE" w:rsidRDefault="0069565D" w:rsidP="0069565D">
      <w:pPr>
        <w:pStyle w:val="CETBodytext"/>
        <w:spacing w:line="22" w:lineRule="atLeast"/>
        <w:rPr>
          <w:rFonts w:cs="Arial"/>
          <w:szCs w:val="18"/>
        </w:rPr>
      </w:pPr>
      <w:r w:rsidRPr="008D39AE">
        <w:rPr>
          <w:rFonts w:cs="Arial"/>
          <w:szCs w:val="18"/>
          <w:lang w:val="en-GB"/>
        </w:rPr>
        <w:t xml:space="preserve">The </w:t>
      </w:r>
      <w:r w:rsidR="00E60FD7">
        <w:rPr>
          <w:rFonts w:cs="Arial"/>
          <w:szCs w:val="18"/>
          <w:lang w:val="en-GB"/>
        </w:rPr>
        <w:t xml:space="preserve">software </w:t>
      </w:r>
      <w:r w:rsidR="00A65E87">
        <w:rPr>
          <w:rFonts w:cs="Arial"/>
          <w:szCs w:val="18"/>
          <w:lang w:val="en-GB"/>
        </w:rPr>
        <w:t xml:space="preserve">Atmosphere Risk Analysis Gas Plus 3.0 is used to study the </w:t>
      </w:r>
      <w:r w:rsidR="008309ED">
        <w:rPr>
          <w:rFonts w:cs="Arial"/>
          <w:szCs w:val="18"/>
          <w:lang w:val="en-GB"/>
        </w:rPr>
        <w:t xml:space="preserve">biomethane outflow from the </w:t>
      </w:r>
      <w:r w:rsidR="008C5760">
        <w:rPr>
          <w:rFonts w:cs="Arial"/>
          <w:szCs w:val="18"/>
          <w:lang w:val="en-GB"/>
        </w:rPr>
        <w:t>po</w:t>
      </w:r>
      <w:r w:rsidR="00B20C5A">
        <w:rPr>
          <w:rFonts w:cs="Arial"/>
          <w:szCs w:val="18"/>
          <w:lang w:val="en-GB"/>
        </w:rPr>
        <w:t>ssible</w:t>
      </w:r>
      <w:r w:rsidR="008C5760">
        <w:rPr>
          <w:rFonts w:cs="Arial"/>
          <w:szCs w:val="18"/>
          <w:lang w:val="en-GB"/>
        </w:rPr>
        <w:t xml:space="preserve"> </w:t>
      </w:r>
      <w:r w:rsidR="00311D31">
        <w:rPr>
          <w:rFonts w:cs="Arial"/>
          <w:szCs w:val="18"/>
          <w:lang w:val="en-GB"/>
        </w:rPr>
        <w:t xml:space="preserve">release </w:t>
      </w:r>
      <w:r w:rsidR="008C5760">
        <w:rPr>
          <w:rFonts w:cs="Arial"/>
          <w:szCs w:val="18"/>
          <w:lang w:val="en-GB"/>
        </w:rPr>
        <w:t xml:space="preserve">sources </w:t>
      </w:r>
      <w:r w:rsidR="00311D31">
        <w:rPr>
          <w:rFonts w:cs="Arial"/>
          <w:szCs w:val="18"/>
          <w:lang w:val="en-GB"/>
        </w:rPr>
        <w:t xml:space="preserve">and classify the zone, which could be generated by </w:t>
      </w:r>
      <w:r w:rsidR="00AD5137">
        <w:rPr>
          <w:rFonts w:cs="Arial"/>
          <w:szCs w:val="18"/>
          <w:lang w:val="en-GB"/>
        </w:rPr>
        <w:t xml:space="preserve">compressor emission. </w:t>
      </w:r>
      <w:r w:rsidR="00392567">
        <w:rPr>
          <w:rFonts w:cs="Arial"/>
          <w:szCs w:val="18"/>
          <w:lang w:val="en-GB"/>
        </w:rPr>
        <w:t xml:space="preserve">Software </w:t>
      </w:r>
      <w:r>
        <w:rPr>
          <w:rFonts w:cs="Arial"/>
          <w:szCs w:val="18"/>
          <w:lang w:val="en-GB"/>
        </w:rPr>
        <w:t xml:space="preserve">is based on </w:t>
      </w:r>
      <w:r w:rsidR="000975F3">
        <w:rPr>
          <w:rFonts w:cs="Arial"/>
          <w:szCs w:val="18"/>
          <w:lang w:val="en-GB"/>
        </w:rPr>
        <w:t xml:space="preserve">International </w:t>
      </w:r>
      <w:r w:rsidR="000975F3" w:rsidRPr="008D39AE">
        <w:rPr>
          <w:rFonts w:cs="Arial"/>
          <w:szCs w:val="18"/>
          <w:lang w:val="en-GB"/>
        </w:rPr>
        <w:t>Standard</w:t>
      </w:r>
      <w:r w:rsidRPr="008D39AE">
        <w:rPr>
          <w:rFonts w:cs="Arial"/>
          <w:szCs w:val="18"/>
          <w:lang w:val="en-GB"/>
        </w:rPr>
        <w:t xml:space="preserve"> IEC </w:t>
      </w:r>
      <w:r>
        <w:rPr>
          <w:rFonts w:cs="Arial"/>
          <w:szCs w:val="18"/>
          <w:lang w:val="en-GB"/>
        </w:rPr>
        <w:t xml:space="preserve">EN </w:t>
      </w:r>
      <w:r w:rsidRPr="008D39AE">
        <w:rPr>
          <w:rFonts w:cs="Arial"/>
          <w:szCs w:val="18"/>
          <w:lang w:val="en-GB"/>
        </w:rPr>
        <w:t>60079-10-1</w:t>
      </w:r>
      <w:r>
        <w:rPr>
          <w:rFonts w:cs="Arial"/>
          <w:szCs w:val="18"/>
          <w:lang w:val="en-GB"/>
        </w:rPr>
        <w:t>, which is</w:t>
      </w:r>
      <w:r w:rsidRPr="008D39AE">
        <w:rPr>
          <w:rFonts w:cs="Arial"/>
          <w:szCs w:val="18"/>
          <w:lang w:val="en-GB"/>
        </w:rPr>
        <w:t xml:space="preserve"> used to classify the areas (Atex zones), where a potentially explosive mixture could form. The zones</w:t>
      </w:r>
      <w:r w:rsidRPr="008D39AE">
        <w:rPr>
          <w:rFonts w:cs="Arial"/>
          <w:szCs w:val="18"/>
        </w:rPr>
        <w:t xml:space="preserve"> classification depends on three following parameters (IEC, 20</w:t>
      </w:r>
      <w:r>
        <w:rPr>
          <w:rFonts w:cs="Arial"/>
          <w:szCs w:val="18"/>
        </w:rPr>
        <w:t>2</w:t>
      </w:r>
      <w:r w:rsidR="00824456">
        <w:rPr>
          <w:rFonts w:cs="Arial"/>
          <w:szCs w:val="18"/>
        </w:rPr>
        <w:t>3</w:t>
      </w:r>
      <w:r w:rsidRPr="008D39AE">
        <w:rPr>
          <w:rFonts w:cs="Arial"/>
          <w:szCs w:val="18"/>
        </w:rPr>
        <w:t>):</w:t>
      </w:r>
    </w:p>
    <w:p w14:paraId="5EE8530B" w14:textId="77777777" w:rsidR="0069565D" w:rsidRPr="008D39AE" w:rsidRDefault="0069565D" w:rsidP="0069565D">
      <w:pPr>
        <w:pStyle w:val="CETBodytext"/>
        <w:numPr>
          <w:ilvl w:val="0"/>
          <w:numId w:val="24"/>
        </w:numPr>
        <w:spacing w:line="22" w:lineRule="atLeast"/>
        <w:ind w:left="426" w:hanging="426"/>
        <w:rPr>
          <w:rFonts w:cs="Arial"/>
          <w:szCs w:val="18"/>
        </w:rPr>
      </w:pPr>
      <w:r w:rsidRPr="008D39AE">
        <w:rPr>
          <w:rFonts w:cs="Arial"/>
          <w:szCs w:val="18"/>
        </w:rPr>
        <w:t xml:space="preserve">source release grade (continuous, primary or secondary); </w:t>
      </w:r>
    </w:p>
    <w:p w14:paraId="11C6B90C" w14:textId="77777777" w:rsidR="0069565D" w:rsidRPr="008D39AE" w:rsidRDefault="0069565D" w:rsidP="0069565D">
      <w:pPr>
        <w:pStyle w:val="CETBodytext"/>
        <w:numPr>
          <w:ilvl w:val="0"/>
          <w:numId w:val="24"/>
        </w:numPr>
        <w:spacing w:line="22" w:lineRule="atLeast"/>
        <w:ind w:left="426" w:hanging="426"/>
        <w:rPr>
          <w:rFonts w:cs="Arial"/>
          <w:szCs w:val="18"/>
        </w:rPr>
      </w:pPr>
      <w:r w:rsidRPr="008D39AE">
        <w:rPr>
          <w:rFonts w:cs="Arial"/>
          <w:szCs w:val="18"/>
        </w:rPr>
        <w:t xml:space="preserve">dilution degree (high, medium or low); </w:t>
      </w:r>
    </w:p>
    <w:p w14:paraId="4518A705" w14:textId="40EC1E9B" w:rsidR="0069565D" w:rsidRPr="0041118E" w:rsidRDefault="0069565D" w:rsidP="0069565D">
      <w:pPr>
        <w:pStyle w:val="CETBodytext"/>
        <w:numPr>
          <w:ilvl w:val="0"/>
          <w:numId w:val="24"/>
        </w:numPr>
        <w:spacing w:line="22" w:lineRule="atLeast"/>
        <w:ind w:left="426" w:hanging="426"/>
        <w:rPr>
          <w:rFonts w:cs="Arial"/>
          <w:szCs w:val="18"/>
        </w:rPr>
      </w:pPr>
      <w:r w:rsidRPr="008D39AE">
        <w:rPr>
          <w:rFonts w:cs="Arial"/>
          <w:szCs w:val="18"/>
        </w:rPr>
        <w:t xml:space="preserve">ventilation availability (good, fair or poor). </w:t>
      </w:r>
    </w:p>
    <w:p w14:paraId="5DCC500B" w14:textId="3BF85A01" w:rsidR="0069565D" w:rsidRDefault="0069565D" w:rsidP="0069565D">
      <w:pPr>
        <w:pStyle w:val="CETBodytext"/>
        <w:tabs>
          <w:tab w:val="left" w:pos="284"/>
        </w:tabs>
        <w:spacing w:line="22" w:lineRule="atLeast"/>
        <w:rPr>
          <w:rFonts w:cs="Arial"/>
          <w:szCs w:val="18"/>
        </w:rPr>
      </w:pPr>
      <w:r w:rsidRPr="008D39AE">
        <w:rPr>
          <w:rFonts w:cs="Arial"/>
          <w:szCs w:val="18"/>
        </w:rPr>
        <w:t xml:space="preserve">The first parameter is determined by the analysis of components (valves, flanges, compressors, etc.) operating conditions, whereas the others mainly depend on natural ventilation (outdoor places) or </w:t>
      </w:r>
      <w:r>
        <w:rPr>
          <w:rFonts w:cs="Arial"/>
          <w:szCs w:val="18"/>
        </w:rPr>
        <w:t>forced</w:t>
      </w:r>
      <w:r w:rsidRPr="008D39AE">
        <w:rPr>
          <w:rFonts w:cs="Arial"/>
          <w:szCs w:val="18"/>
        </w:rPr>
        <w:t xml:space="preserve"> ventilation (indoor places). </w:t>
      </w:r>
      <w:r>
        <w:rPr>
          <w:rFonts w:cs="Arial"/>
          <w:szCs w:val="18"/>
        </w:rPr>
        <w:t>T</w:t>
      </w:r>
      <w:r w:rsidRPr="008D39AE">
        <w:rPr>
          <w:rFonts w:cs="Arial"/>
          <w:szCs w:val="18"/>
        </w:rPr>
        <w:t>he dilution degree is determined (IEC, 20</w:t>
      </w:r>
      <w:r>
        <w:rPr>
          <w:rFonts w:cs="Arial"/>
          <w:szCs w:val="18"/>
        </w:rPr>
        <w:t>2</w:t>
      </w:r>
      <w:r w:rsidR="00E85CA4">
        <w:rPr>
          <w:rFonts w:cs="Arial"/>
          <w:szCs w:val="18"/>
        </w:rPr>
        <w:t>3</w:t>
      </w:r>
      <w:r w:rsidRPr="008D39AE">
        <w:rPr>
          <w:rFonts w:cs="Arial"/>
          <w:szCs w:val="18"/>
        </w:rPr>
        <w:t xml:space="preserve">) by the diagram (Figure </w:t>
      </w:r>
      <w:r>
        <w:rPr>
          <w:rFonts w:cs="Arial"/>
          <w:szCs w:val="18"/>
        </w:rPr>
        <w:t>1</w:t>
      </w:r>
      <w:r w:rsidRPr="008D39AE">
        <w:rPr>
          <w:rFonts w:cs="Arial"/>
          <w:szCs w:val="18"/>
        </w:rPr>
        <w:t xml:space="preserve">) reported in </w:t>
      </w:r>
      <w:r>
        <w:rPr>
          <w:rFonts w:cs="Arial"/>
          <w:szCs w:val="18"/>
        </w:rPr>
        <w:t xml:space="preserve">the </w:t>
      </w:r>
      <w:r w:rsidRPr="008D39AE">
        <w:rPr>
          <w:rFonts w:cs="Arial"/>
          <w:szCs w:val="18"/>
        </w:rPr>
        <w:t>mentioned Standard.</w:t>
      </w:r>
      <w:r>
        <w:rPr>
          <w:rFonts w:cs="Arial"/>
          <w:szCs w:val="18"/>
        </w:rPr>
        <w:t xml:space="preserve"> In </w:t>
      </w:r>
      <w:r w:rsidR="00766D70">
        <w:rPr>
          <w:rFonts w:cs="Arial"/>
          <w:szCs w:val="18"/>
        </w:rPr>
        <w:t xml:space="preserve">particular, </w:t>
      </w:r>
      <w:r>
        <w:rPr>
          <w:rFonts w:cs="Arial"/>
          <w:szCs w:val="18"/>
        </w:rPr>
        <w:t>t</w:t>
      </w:r>
      <w:r w:rsidRPr="00616B27">
        <w:rPr>
          <w:rFonts w:cs="Arial"/>
          <w:szCs w:val="18"/>
        </w:rPr>
        <w:t xml:space="preserve">he </w:t>
      </w:r>
      <w:r>
        <w:rPr>
          <w:rFonts w:cs="Arial"/>
          <w:szCs w:val="18"/>
        </w:rPr>
        <w:t>volumetric release characteristic (Q</w:t>
      </w:r>
      <w:r>
        <w:rPr>
          <w:rFonts w:cs="Arial"/>
          <w:szCs w:val="18"/>
          <w:vertAlign w:val="subscript"/>
        </w:rPr>
        <w:t>c</w:t>
      </w:r>
      <w:r>
        <w:rPr>
          <w:rFonts w:cs="Arial"/>
          <w:szCs w:val="18"/>
        </w:rPr>
        <w:t xml:space="preserve">) is expressed by the following equation </w:t>
      </w:r>
      <w:r w:rsidRPr="008D39AE">
        <w:rPr>
          <w:rFonts w:cs="Arial"/>
          <w:szCs w:val="18"/>
        </w:rPr>
        <w:t>(IEC, 20</w:t>
      </w:r>
      <w:r>
        <w:rPr>
          <w:rFonts w:cs="Arial"/>
          <w:szCs w:val="18"/>
        </w:rPr>
        <w:t>2</w:t>
      </w:r>
      <w:r w:rsidR="00824456">
        <w:rPr>
          <w:rFonts w:cs="Arial"/>
          <w:szCs w:val="18"/>
        </w:rPr>
        <w:t>3</w:t>
      </w:r>
      <w:r w:rsidRPr="008D39AE">
        <w:rPr>
          <w:rFonts w:cs="Arial"/>
          <w:szCs w:val="18"/>
        </w:rPr>
        <w:t>)</w:t>
      </w:r>
      <w:r>
        <w:rPr>
          <w:rFonts w:cs="Arial"/>
          <w:szCs w:val="18"/>
        </w:rPr>
        <w:t>:</w:t>
      </w:r>
    </w:p>
    <w:p w14:paraId="02279F0D" w14:textId="77777777" w:rsidR="0069565D" w:rsidRPr="00616B27" w:rsidRDefault="0069565D" w:rsidP="0069565D">
      <w:pPr>
        <w:pStyle w:val="CETBodytext"/>
        <w:tabs>
          <w:tab w:val="left" w:pos="284"/>
        </w:tabs>
        <w:spacing w:line="22" w:lineRule="atLeast"/>
        <w:rPr>
          <w:rFonts w:cs="Arial"/>
          <w:szCs w:val="18"/>
        </w:rPr>
      </w:pPr>
      <w:r>
        <w:object w:dxaOrig="8740" w:dyaOrig="620" w14:anchorId="14069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15pt;height:31.65pt" o:ole="">
            <v:imagedata r:id="rId10" o:title=""/>
          </v:shape>
          <o:OLEObject Type="Embed" ProgID="Unknown" ShapeID="_x0000_i1025" DrawAspect="Content" ObjectID="_1790495223" r:id="rId11"/>
        </w:object>
      </w:r>
      <w:r>
        <w:rPr>
          <w:rFonts w:cs="Arial"/>
          <w:szCs w:val="18"/>
        </w:rPr>
        <w:t xml:space="preserve">                                                                                                                              </w:t>
      </w:r>
    </w:p>
    <w:p w14:paraId="450D5C29" w14:textId="77777777" w:rsidR="0069565D" w:rsidRDefault="0069565D" w:rsidP="0069565D">
      <w:pPr>
        <w:pStyle w:val="CETBodytext"/>
        <w:spacing w:line="22" w:lineRule="atLeast"/>
        <w:rPr>
          <w:rFonts w:cs="Arial"/>
          <w:szCs w:val="18"/>
        </w:rPr>
      </w:pPr>
      <w:r>
        <w:rPr>
          <w:rFonts w:cs="Arial"/>
          <w:szCs w:val="18"/>
        </w:rPr>
        <w:t>Where:</w:t>
      </w:r>
    </w:p>
    <w:p w14:paraId="2C9571B5" w14:textId="77777777" w:rsidR="0069565D" w:rsidRPr="000600EB" w:rsidRDefault="0069565D" w:rsidP="0069565D">
      <w:pPr>
        <w:pStyle w:val="Paragrafoelenco"/>
        <w:numPr>
          <w:ilvl w:val="0"/>
          <w:numId w:val="25"/>
        </w:numPr>
        <w:tabs>
          <w:tab w:val="clear" w:pos="7100"/>
          <w:tab w:val="left" w:pos="284"/>
        </w:tabs>
        <w:autoSpaceDE w:val="0"/>
        <w:autoSpaceDN w:val="0"/>
        <w:adjustRightInd w:val="0"/>
        <w:spacing w:line="22" w:lineRule="atLeast"/>
        <w:ind w:hanging="720"/>
        <w:rPr>
          <w:rFonts w:cs="Arial"/>
          <w:szCs w:val="18"/>
          <w:lang w:val="en-US"/>
        </w:rPr>
      </w:pPr>
      <w:r w:rsidRPr="000600EB">
        <w:rPr>
          <w:rFonts w:cs="Arial"/>
          <w:szCs w:val="18"/>
        </w:rPr>
        <w:t>W</w:t>
      </w:r>
      <w:r w:rsidRPr="000600EB">
        <w:rPr>
          <w:rFonts w:cs="Arial"/>
          <w:szCs w:val="18"/>
          <w:vertAlign w:val="subscript"/>
        </w:rPr>
        <w:t>g</w:t>
      </w:r>
      <w:r>
        <w:rPr>
          <w:rFonts w:cs="Arial"/>
          <w:szCs w:val="18"/>
          <w:vertAlign w:val="subscript"/>
        </w:rPr>
        <w:t xml:space="preserve"> </w:t>
      </w:r>
      <w:r w:rsidRPr="000600EB">
        <w:rPr>
          <w:rFonts w:cs="Arial"/>
          <w:szCs w:val="18"/>
        </w:rPr>
        <w:t xml:space="preserve">(kg/s) is </w:t>
      </w:r>
      <w:r w:rsidRPr="000600EB">
        <w:rPr>
          <w:rFonts w:cs="Arial"/>
          <w:szCs w:val="18"/>
          <w:lang w:val="en-US"/>
        </w:rPr>
        <w:t xml:space="preserve">the </w:t>
      </w:r>
      <w:r>
        <w:rPr>
          <w:rFonts w:cs="Arial"/>
          <w:szCs w:val="18"/>
          <w:lang w:val="en-US"/>
        </w:rPr>
        <w:t xml:space="preserve">overall </w:t>
      </w:r>
      <w:r w:rsidRPr="000600EB">
        <w:rPr>
          <w:rFonts w:cs="Arial"/>
          <w:szCs w:val="18"/>
          <w:lang w:val="en-US"/>
        </w:rPr>
        <w:t>mass flow of flammable compound</w:t>
      </w:r>
      <w:r>
        <w:rPr>
          <w:rFonts w:cs="Arial"/>
          <w:szCs w:val="18"/>
          <w:lang w:val="en-US"/>
        </w:rPr>
        <w:t xml:space="preserve"> (biomethane)</w:t>
      </w:r>
      <w:r w:rsidRPr="000600EB">
        <w:rPr>
          <w:rFonts w:cs="Arial"/>
          <w:szCs w:val="18"/>
          <w:lang w:val="en-US"/>
        </w:rPr>
        <w:t>;</w:t>
      </w:r>
    </w:p>
    <w:p w14:paraId="7C37EAF1" w14:textId="77777777" w:rsidR="0069565D" w:rsidRPr="000600EB" w:rsidRDefault="0069565D" w:rsidP="0069565D">
      <w:pPr>
        <w:pStyle w:val="Paragrafoelenco"/>
        <w:numPr>
          <w:ilvl w:val="0"/>
          <w:numId w:val="25"/>
        </w:numPr>
        <w:tabs>
          <w:tab w:val="clear" w:pos="7100"/>
          <w:tab w:val="left" w:pos="284"/>
        </w:tabs>
        <w:autoSpaceDE w:val="0"/>
        <w:autoSpaceDN w:val="0"/>
        <w:adjustRightInd w:val="0"/>
        <w:spacing w:line="22" w:lineRule="atLeast"/>
        <w:ind w:left="0" w:firstLine="0"/>
        <w:rPr>
          <w:rFonts w:cs="Arial"/>
          <w:szCs w:val="18"/>
          <w:lang w:val="en-US"/>
        </w:rPr>
      </w:pPr>
      <w:r w:rsidRPr="000600EB">
        <w:rPr>
          <w:rFonts w:cs="Arial"/>
          <w:szCs w:val="18"/>
          <w:lang w:val="en-US"/>
        </w:rPr>
        <w:t>ρ</w:t>
      </w:r>
      <w:r w:rsidRPr="000600EB">
        <w:rPr>
          <w:rFonts w:cs="Arial"/>
          <w:szCs w:val="18"/>
          <w:vertAlign w:val="subscript"/>
          <w:lang w:val="en-US"/>
        </w:rPr>
        <w:t xml:space="preserve">g </w:t>
      </w:r>
      <w:r w:rsidRPr="000600EB">
        <w:rPr>
          <w:rFonts w:cs="Arial"/>
          <w:szCs w:val="18"/>
          <w:lang w:val="en-US"/>
        </w:rPr>
        <w:t>(kg/m</w:t>
      </w:r>
      <w:r w:rsidRPr="000600EB">
        <w:rPr>
          <w:rFonts w:cs="Arial"/>
          <w:szCs w:val="18"/>
          <w:vertAlign w:val="superscript"/>
          <w:lang w:val="en-US"/>
        </w:rPr>
        <w:t>3</w:t>
      </w:r>
      <w:r w:rsidRPr="000600EB">
        <w:rPr>
          <w:rFonts w:cs="Arial"/>
          <w:szCs w:val="18"/>
          <w:lang w:val="en-US"/>
        </w:rPr>
        <w:t>)</w:t>
      </w:r>
      <w:r>
        <w:rPr>
          <w:rFonts w:cs="Arial"/>
          <w:szCs w:val="18"/>
          <w:lang w:val="en-US"/>
        </w:rPr>
        <w:t xml:space="preserve"> </w:t>
      </w:r>
      <w:r w:rsidRPr="000600EB">
        <w:rPr>
          <w:rFonts w:cs="Arial"/>
          <w:szCs w:val="18"/>
          <w:lang w:val="en-US"/>
        </w:rPr>
        <w:t>indicates the gas or vapo</w:t>
      </w:r>
      <w:r>
        <w:rPr>
          <w:rFonts w:cs="Arial"/>
          <w:szCs w:val="18"/>
          <w:lang w:val="en-US"/>
        </w:rPr>
        <w:t>u</w:t>
      </w:r>
      <w:r w:rsidRPr="000600EB">
        <w:rPr>
          <w:rFonts w:cs="Arial"/>
          <w:szCs w:val="18"/>
          <w:lang w:val="en-US"/>
        </w:rPr>
        <w:t>r density</w:t>
      </w:r>
      <w:r>
        <w:rPr>
          <w:rFonts w:cs="Arial"/>
          <w:szCs w:val="18"/>
          <w:lang w:val="en-US"/>
        </w:rPr>
        <w:t xml:space="preserve"> (the parameter is linked to ambient pressure and temperature) and it is calculated </w:t>
      </w:r>
      <w:r>
        <w:rPr>
          <w:rFonts w:eastAsiaTheme="minorHAnsi"/>
        </w:rPr>
        <w:t>by the ideal gas law</w:t>
      </w:r>
      <w:r w:rsidRPr="000600EB">
        <w:rPr>
          <w:rFonts w:cs="Arial"/>
          <w:szCs w:val="18"/>
          <w:lang w:val="en-US"/>
        </w:rPr>
        <w:t>;</w:t>
      </w:r>
    </w:p>
    <w:p w14:paraId="6DF88F0B" w14:textId="5DA42755" w:rsidR="001A0846" w:rsidRPr="00020256" w:rsidRDefault="0069565D" w:rsidP="0069565D">
      <w:pPr>
        <w:pStyle w:val="Paragrafoelenco"/>
        <w:numPr>
          <w:ilvl w:val="0"/>
          <w:numId w:val="25"/>
        </w:numPr>
        <w:tabs>
          <w:tab w:val="clear" w:pos="7100"/>
          <w:tab w:val="left" w:pos="284"/>
        </w:tabs>
        <w:autoSpaceDE w:val="0"/>
        <w:autoSpaceDN w:val="0"/>
        <w:adjustRightInd w:val="0"/>
        <w:spacing w:line="22" w:lineRule="atLeast"/>
        <w:ind w:hanging="720"/>
        <w:rPr>
          <w:rFonts w:cs="Arial"/>
          <w:szCs w:val="18"/>
        </w:rPr>
      </w:pPr>
      <w:r w:rsidRPr="005A6E4B">
        <w:rPr>
          <w:rFonts w:cs="Arial"/>
          <w:szCs w:val="18"/>
          <w:vertAlign w:val="subscript"/>
          <w:lang w:val="en-US"/>
        </w:rPr>
        <w:t xml:space="preserve"> </w:t>
      </w:r>
      <w:r w:rsidRPr="005A6E4B">
        <w:rPr>
          <w:rFonts w:cs="Arial"/>
          <w:szCs w:val="18"/>
          <w:lang w:val="en-US"/>
        </w:rPr>
        <w:t>LFL (</w:t>
      </w:r>
      <w:r>
        <w:rPr>
          <w:rFonts w:cs="Arial"/>
          <w:szCs w:val="18"/>
          <w:lang w:val="en-US"/>
        </w:rPr>
        <w:t>4</w:t>
      </w:r>
      <w:r w:rsidR="00371AF2">
        <w:rPr>
          <w:rFonts w:cs="Arial"/>
          <w:szCs w:val="18"/>
          <w:lang w:val="en-US"/>
        </w:rPr>
        <w:t>.4</w:t>
      </w:r>
      <w:r>
        <w:rPr>
          <w:rFonts w:cs="Arial"/>
          <w:szCs w:val="18"/>
          <w:lang w:val="en-US"/>
        </w:rPr>
        <w:t xml:space="preserve"> </w:t>
      </w:r>
      <w:r w:rsidRPr="005A6E4B">
        <w:rPr>
          <w:rFonts w:cs="Arial"/>
          <w:szCs w:val="18"/>
          <w:lang w:val="en-US"/>
        </w:rPr>
        <w:t>%</w:t>
      </w:r>
      <w:r>
        <w:rPr>
          <w:rFonts w:cs="Arial"/>
          <w:szCs w:val="18"/>
          <w:lang w:val="en-US"/>
        </w:rPr>
        <w:t xml:space="preserve"> </w:t>
      </w:r>
      <w:r w:rsidRPr="005A6E4B">
        <w:rPr>
          <w:rFonts w:cs="Arial"/>
          <w:szCs w:val="18"/>
          <w:lang w:val="en-US"/>
        </w:rPr>
        <w:t xml:space="preserve">v/v) is the lower flammability limit of biomethane. </w:t>
      </w:r>
    </w:p>
    <w:p w14:paraId="250B5F31" w14:textId="77777777" w:rsidR="001A0846" w:rsidRDefault="001A0846" w:rsidP="0069565D">
      <w:pPr>
        <w:tabs>
          <w:tab w:val="clear" w:pos="7100"/>
          <w:tab w:val="left" w:pos="284"/>
        </w:tabs>
        <w:autoSpaceDE w:val="0"/>
        <w:autoSpaceDN w:val="0"/>
        <w:adjustRightInd w:val="0"/>
        <w:spacing w:line="22" w:lineRule="atLeast"/>
        <w:rPr>
          <w:rFonts w:cs="Arial"/>
          <w:szCs w:val="18"/>
        </w:rPr>
      </w:pPr>
    </w:p>
    <w:p w14:paraId="4B2E1C22" w14:textId="57112782" w:rsidR="001A0846" w:rsidRDefault="001A0846" w:rsidP="00BB04DD">
      <w:pPr>
        <w:tabs>
          <w:tab w:val="clear" w:pos="7100"/>
          <w:tab w:val="left" w:pos="284"/>
        </w:tabs>
        <w:autoSpaceDE w:val="0"/>
        <w:autoSpaceDN w:val="0"/>
        <w:adjustRightInd w:val="0"/>
        <w:spacing w:line="22" w:lineRule="atLeast"/>
        <w:jc w:val="left"/>
        <w:rPr>
          <w:rFonts w:cs="Arial"/>
          <w:szCs w:val="18"/>
        </w:rPr>
      </w:pPr>
      <w:r w:rsidRPr="00D71F90">
        <w:rPr>
          <w:rFonts w:cs="Arial"/>
          <w:noProof/>
          <w:szCs w:val="18"/>
          <w:lang w:val="it-IT" w:eastAsia="it-IT"/>
        </w:rPr>
        <w:drawing>
          <wp:inline distT="0" distB="0" distL="0" distR="0" wp14:anchorId="48258BC1" wp14:editId="43361131">
            <wp:extent cx="3765600" cy="2970000"/>
            <wp:effectExtent l="0" t="0" r="6350" b="1905"/>
            <wp:docPr id="4" name="Immagine 4" descr="C:\Users\xf45702\OneDrive - INAIL\Back up Lauri\Documenti\Lavoro di ricerca Roberto\FeX 2023\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xf45702\OneDrive - INAIL\Back up Lauri\Documenti\Lavoro di ricerca Roberto\FeX 2023\Figure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5600" cy="2970000"/>
                    </a:xfrm>
                    <a:prstGeom prst="rect">
                      <a:avLst/>
                    </a:prstGeom>
                    <a:noFill/>
                    <a:ln>
                      <a:noFill/>
                    </a:ln>
                  </pic:spPr>
                </pic:pic>
              </a:graphicData>
            </a:graphic>
          </wp:inline>
        </w:drawing>
      </w:r>
    </w:p>
    <w:p w14:paraId="0E822534" w14:textId="77777777" w:rsidR="001A0846" w:rsidRDefault="001A0846" w:rsidP="0069565D">
      <w:pPr>
        <w:tabs>
          <w:tab w:val="clear" w:pos="7100"/>
          <w:tab w:val="left" w:pos="284"/>
        </w:tabs>
        <w:autoSpaceDE w:val="0"/>
        <w:autoSpaceDN w:val="0"/>
        <w:adjustRightInd w:val="0"/>
        <w:spacing w:line="22" w:lineRule="atLeast"/>
        <w:rPr>
          <w:rFonts w:cs="Arial"/>
          <w:szCs w:val="18"/>
        </w:rPr>
      </w:pPr>
    </w:p>
    <w:p w14:paraId="5030762F" w14:textId="77777777" w:rsidR="0066434F" w:rsidRPr="004C2916" w:rsidRDefault="0066434F" w:rsidP="0066434F">
      <w:pPr>
        <w:pStyle w:val="CETBodytext"/>
        <w:tabs>
          <w:tab w:val="left" w:pos="284"/>
        </w:tabs>
        <w:jc w:val="left"/>
        <w:rPr>
          <w:rFonts w:cs="Arial"/>
          <w:i/>
          <w:szCs w:val="18"/>
        </w:rPr>
      </w:pPr>
      <w:r w:rsidRPr="004C2916">
        <w:rPr>
          <w:rFonts w:cs="Arial"/>
          <w:i/>
          <w:szCs w:val="18"/>
        </w:rPr>
        <w:t xml:space="preserve">Figure </w:t>
      </w:r>
      <w:r>
        <w:rPr>
          <w:rFonts w:cs="Arial"/>
          <w:i/>
          <w:szCs w:val="18"/>
        </w:rPr>
        <w:t>1</w:t>
      </w:r>
      <w:r w:rsidRPr="004C2916">
        <w:rPr>
          <w:rFonts w:cs="Arial"/>
          <w:i/>
          <w:szCs w:val="18"/>
        </w:rPr>
        <w:t>: Dilution degree assessment</w:t>
      </w:r>
      <w:r>
        <w:rPr>
          <w:rFonts w:cs="Arial"/>
          <w:i/>
          <w:szCs w:val="18"/>
        </w:rPr>
        <w:t xml:space="preserve"> (IEC EN 60079-10-1)</w:t>
      </w:r>
    </w:p>
    <w:p w14:paraId="10F4787F" w14:textId="77777777" w:rsidR="001A0846" w:rsidRPr="0066434F" w:rsidRDefault="001A0846" w:rsidP="0069565D">
      <w:pPr>
        <w:tabs>
          <w:tab w:val="clear" w:pos="7100"/>
          <w:tab w:val="left" w:pos="284"/>
        </w:tabs>
        <w:autoSpaceDE w:val="0"/>
        <w:autoSpaceDN w:val="0"/>
        <w:adjustRightInd w:val="0"/>
        <w:spacing w:line="22" w:lineRule="atLeast"/>
        <w:rPr>
          <w:rFonts w:cs="Arial"/>
          <w:szCs w:val="18"/>
          <w:lang w:val="en-US"/>
        </w:rPr>
      </w:pPr>
    </w:p>
    <w:p w14:paraId="72917B13" w14:textId="1DCCC126" w:rsidR="00D734F2" w:rsidRDefault="0069565D" w:rsidP="0069565D">
      <w:pPr>
        <w:tabs>
          <w:tab w:val="clear" w:pos="7100"/>
          <w:tab w:val="left" w:pos="284"/>
        </w:tabs>
        <w:autoSpaceDE w:val="0"/>
        <w:autoSpaceDN w:val="0"/>
        <w:adjustRightInd w:val="0"/>
        <w:spacing w:line="22" w:lineRule="atLeast"/>
        <w:rPr>
          <w:rFonts w:cs="Arial"/>
          <w:szCs w:val="18"/>
        </w:rPr>
      </w:pPr>
      <w:r w:rsidRPr="00861357">
        <w:rPr>
          <w:rFonts w:cs="Arial"/>
          <w:szCs w:val="18"/>
        </w:rPr>
        <w:t xml:space="preserve">In </w:t>
      </w:r>
      <w:r w:rsidR="00DF08A6">
        <w:rPr>
          <w:rFonts w:cs="Arial"/>
          <w:szCs w:val="18"/>
        </w:rPr>
        <w:t>indoor places, such as the compression unit</w:t>
      </w:r>
      <w:r w:rsidR="002F198B">
        <w:rPr>
          <w:rFonts w:cs="Arial"/>
          <w:szCs w:val="18"/>
        </w:rPr>
        <w:t>, with more source</w:t>
      </w:r>
      <w:r w:rsidR="00D342EB">
        <w:rPr>
          <w:rFonts w:cs="Arial"/>
          <w:szCs w:val="18"/>
        </w:rPr>
        <w:t>s</w:t>
      </w:r>
      <w:r w:rsidR="002F198B">
        <w:rPr>
          <w:rFonts w:cs="Arial"/>
          <w:szCs w:val="18"/>
        </w:rPr>
        <w:t xml:space="preserve"> of release</w:t>
      </w:r>
      <w:r w:rsidR="000637B0">
        <w:rPr>
          <w:rFonts w:cs="Arial"/>
          <w:szCs w:val="18"/>
        </w:rPr>
        <w:t xml:space="preserve">, in order to </w:t>
      </w:r>
      <w:r w:rsidR="00BD1143">
        <w:rPr>
          <w:rFonts w:cs="Arial"/>
          <w:szCs w:val="18"/>
        </w:rPr>
        <w:t>determine the Atex zone typology and extent</w:t>
      </w:r>
      <w:r w:rsidR="002A389A">
        <w:rPr>
          <w:rFonts w:cs="Arial"/>
          <w:szCs w:val="18"/>
        </w:rPr>
        <w:t>, the emissions have to be summed</w:t>
      </w:r>
      <w:r w:rsidR="00BE7D9A">
        <w:rPr>
          <w:rFonts w:cs="Arial"/>
          <w:szCs w:val="18"/>
        </w:rPr>
        <w:t xml:space="preserve"> (IEC</w:t>
      </w:r>
      <w:r w:rsidR="000434EB">
        <w:rPr>
          <w:rFonts w:cs="Arial"/>
          <w:szCs w:val="18"/>
        </w:rPr>
        <w:t>, 2023)</w:t>
      </w:r>
      <w:r w:rsidR="002A389A">
        <w:rPr>
          <w:rFonts w:cs="Arial"/>
          <w:szCs w:val="18"/>
        </w:rPr>
        <w:t>:</w:t>
      </w:r>
    </w:p>
    <w:p w14:paraId="54EEA1A6" w14:textId="37A664D4" w:rsidR="00D734F2" w:rsidRDefault="0036590A" w:rsidP="005F5B96">
      <w:pPr>
        <w:pStyle w:val="Paragrafoelenco"/>
        <w:numPr>
          <w:ilvl w:val="0"/>
          <w:numId w:val="29"/>
        </w:numPr>
        <w:tabs>
          <w:tab w:val="clear" w:pos="7100"/>
          <w:tab w:val="left" w:pos="284"/>
          <w:tab w:val="left" w:pos="426"/>
        </w:tabs>
        <w:autoSpaceDE w:val="0"/>
        <w:autoSpaceDN w:val="0"/>
        <w:adjustRightInd w:val="0"/>
        <w:spacing w:line="22" w:lineRule="atLeast"/>
        <w:ind w:left="0" w:firstLine="0"/>
        <w:rPr>
          <w:rFonts w:cs="Arial"/>
          <w:szCs w:val="18"/>
        </w:rPr>
      </w:pPr>
      <w:r>
        <w:rPr>
          <w:rFonts w:cs="Arial"/>
          <w:szCs w:val="18"/>
        </w:rPr>
        <w:t xml:space="preserve">the overall continuous release is given by the sum of </w:t>
      </w:r>
      <w:r w:rsidR="00BE7C9F">
        <w:rPr>
          <w:rFonts w:cs="Arial"/>
          <w:szCs w:val="18"/>
        </w:rPr>
        <w:t>all continuous emissions</w:t>
      </w:r>
      <w:r w:rsidR="003147F6">
        <w:rPr>
          <w:rFonts w:cs="Arial"/>
          <w:szCs w:val="18"/>
        </w:rPr>
        <w:t xml:space="preserve"> </w:t>
      </w:r>
      <w:r w:rsidR="00B01A46">
        <w:rPr>
          <w:rFonts w:cs="Arial"/>
          <w:szCs w:val="18"/>
        </w:rPr>
        <w:t xml:space="preserve">(sources of </w:t>
      </w:r>
      <w:r w:rsidR="004E0527">
        <w:rPr>
          <w:rFonts w:cs="Arial"/>
          <w:szCs w:val="18"/>
        </w:rPr>
        <w:t>continuous</w:t>
      </w:r>
      <w:r w:rsidR="00B01A46">
        <w:rPr>
          <w:rFonts w:cs="Arial"/>
          <w:szCs w:val="18"/>
        </w:rPr>
        <w:t xml:space="preserve"> </w:t>
      </w:r>
      <w:r w:rsidR="004E0527">
        <w:rPr>
          <w:rFonts w:cs="Arial"/>
          <w:szCs w:val="18"/>
        </w:rPr>
        <w:t>release degree)</w:t>
      </w:r>
      <w:r w:rsidR="00BE7C9F">
        <w:rPr>
          <w:rFonts w:cs="Arial"/>
          <w:szCs w:val="18"/>
        </w:rPr>
        <w:t>;</w:t>
      </w:r>
    </w:p>
    <w:p w14:paraId="1039EE79" w14:textId="2D28DF94" w:rsidR="00D734F2" w:rsidRDefault="00BE7C9F" w:rsidP="005F5B96">
      <w:pPr>
        <w:pStyle w:val="Paragrafoelenco"/>
        <w:numPr>
          <w:ilvl w:val="0"/>
          <w:numId w:val="29"/>
        </w:numPr>
        <w:tabs>
          <w:tab w:val="clear" w:pos="7100"/>
          <w:tab w:val="left" w:pos="0"/>
          <w:tab w:val="left" w:pos="284"/>
        </w:tabs>
        <w:autoSpaceDE w:val="0"/>
        <w:autoSpaceDN w:val="0"/>
        <w:adjustRightInd w:val="0"/>
        <w:spacing w:line="22" w:lineRule="atLeast"/>
        <w:ind w:left="0" w:firstLine="0"/>
        <w:rPr>
          <w:rFonts w:cs="Arial"/>
          <w:szCs w:val="18"/>
        </w:rPr>
      </w:pPr>
      <w:r>
        <w:rPr>
          <w:rFonts w:cs="Arial"/>
          <w:szCs w:val="18"/>
        </w:rPr>
        <w:t xml:space="preserve">the overall primary </w:t>
      </w:r>
      <w:r w:rsidR="004763C9">
        <w:rPr>
          <w:rFonts w:cs="Arial"/>
          <w:szCs w:val="18"/>
        </w:rPr>
        <w:t>release is given by the</w:t>
      </w:r>
      <w:r w:rsidR="003278BC">
        <w:rPr>
          <w:rFonts w:cs="Arial"/>
          <w:szCs w:val="18"/>
        </w:rPr>
        <w:t xml:space="preserve"> sum of some </w:t>
      </w:r>
      <w:r w:rsidR="00807E58">
        <w:rPr>
          <w:rFonts w:cs="Arial"/>
          <w:szCs w:val="18"/>
        </w:rPr>
        <w:t xml:space="preserve">(contemporary) </w:t>
      </w:r>
      <w:r w:rsidR="003278BC">
        <w:rPr>
          <w:rFonts w:cs="Arial"/>
          <w:szCs w:val="18"/>
        </w:rPr>
        <w:t>of the primary releases</w:t>
      </w:r>
      <w:r w:rsidR="00F51249">
        <w:rPr>
          <w:rFonts w:cs="Arial"/>
          <w:szCs w:val="18"/>
        </w:rPr>
        <w:t xml:space="preserve"> combined with the overall continuous release</w:t>
      </w:r>
      <w:r w:rsidR="008C34FE">
        <w:rPr>
          <w:rFonts w:cs="Arial"/>
          <w:szCs w:val="18"/>
        </w:rPr>
        <w:t>;</w:t>
      </w:r>
    </w:p>
    <w:p w14:paraId="1F6B189E" w14:textId="6A292F14" w:rsidR="00D734F2" w:rsidRDefault="008C34FE" w:rsidP="005F5B96">
      <w:pPr>
        <w:pStyle w:val="Paragrafoelenco"/>
        <w:numPr>
          <w:ilvl w:val="0"/>
          <w:numId w:val="29"/>
        </w:numPr>
        <w:tabs>
          <w:tab w:val="clear" w:pos="7100"/>
          <w:tab w:val="left" w:pos="142"/>
          <w:tab w:val="left" w:pos="284"/>
        </w:tabs>
        <w:autoSpaceDE w:val="0"/>
        <w:autoSpaceDN w:val="0"/>
        <w:adjustRightInd w:val="0"/>
        <w:spacing w:line="22" w:lineRule="atLeast"/>
        <w:ind w:left="0" w:firstLine="0"/>
        <w:rPr>
          <w:rFonts w:cs="Arial"/>
          <w:szCs w:val="18"/>
        </w:rPr>
      </w:pPr>
      <w:r>
        <w:rPr>
          <w:rFonts w:cs="Arial"/>
          <w:szCs w:val="18"/>
        </w:rPr>
        <w:t xml:space="preserve">the overall secondary release is </w:t>
      </w:r>
      <w:r w:rsidR="00400C02">
        <w:rPr>
          <w:rFonts w:cs="Arial"/>
          <w:szCs w:val="18"/>
        </w:rPr>
        <w:t xml:space="preserve">the biggest secondary release </w:t>
      </w:r>
      <w:r w:rsidR="00523AA5">
        <w:rPr>
          <w:rFonts w:cs="Arial"/>
          <w:szCs w:val="18"/>
        </w:rPr>
        <w:t>(W</w:t>
      </w:r>
      <w:r w:rsidR="00523AA5" w:rsidRPr="00523AA5">
        <w:rPr>
          <w:rFonts w:cs="Arial"/>
          <w:szCs w:val="18"/>
          <w:vertAlign w:val="subscript"/>
        </w:rPr>
        <w:t>gmax</w:t>
      </w:r>
      <w:r w:rsidR="00523AA5">
        <w:rPr>
          <w:rFonts w:cs="Arial"/>
          <w:szCs w:val="18"/>
        </w:rPr>
        <w:t xml:space="preserve">) </w:t>
      </w:r>
      <w:r w:rsidR="00400C02">
        <w:rPr>
          <w:rFonts w:cs="Arial"/>
          <w:szCs w:val="18"/>
        </w:rPr>
        <w:t xml:space="preserve">combined with </w:t>
      </w:r>
      <w:r w:rsidR="00405C4C">
        <w:rPr>
          <w:rFonts w:cs="Arial"/>
          <w:szCs w:val="18"/>
        </w:rPr>
        <w:t>the overall primary release</w:t>
      </w:r>
      <w:r w:rsidR="00F74909">
        <w:rPr>
          <w:rFonts w:cs="Arial"/>
          <w:szCs w:val="18"/>
        </w:rPr>
        <w:t>.</w:t>
      </w:r>
    </w:p>
    <w:p w14:paraId="1E64CA39" w14:textId="500C45CD" w:rsidR="005F5B96" w:rsidRPr="005F5B96" w:rsidRDefault="005F5B96" w:rsidP="005F5B96">
      <w:pPr>
        <w:tabs>
          <w:tab w:val="clear" w:pos="7100"/>
          <w:tab w:val="left" w:pos="142"/>
          <w:tab w:val="left" w:pos="284"/>
        </w:tabs>
        <w:autoSpaceDE w:val="0"/>
        <w:autoSpaceDN w:val="0"/>
        <w:adjustRightInd w:val="0"/>
        <w:spacing w:line="22" w:lineRule="atLeast"/>
        <w:rPr>
          <w:rFonts w:cs="Arial"/>
          <w:szCs w:val="18"/>
        </w:rPr>
      </w:pPr>
      <w:r>
        <w:rPr>
          <w:rFonts w:cs="Arial"/>
          <w:szCs w:val="18"/>
        </w:rPr>
        <w:t xml:space="preserve">The third condition is </w:t>
      </w:r>
      <w:r w:rsidR="00E21C3B">
        <w:rPr>
          <w:rFonts w:cs="Arial"/>
          <w:szCs w:val="18"/>
        </w:rPr>
        <w:t>calculated by the following equation:</w:t>
      </w:r>
    </w:p>
    <w:p w14:paraId="3EFE33C4" w14:textId="27FBDAC6" w:rsidR="006554F8" w:rsidRPr="006554F8" w:rsidRDefault="009F7FA0" w:rsidP="006554F8">
      <w:pPr>
        <w:tabs>
          <w:tab w:val="clear" w:pos="7100"/>
          <w:tab w:val="left" w:pos="142"/>
          <w:tab w:val="left" w:pos="284"/>
        </w:tabs>
        <w:autoSpaceDE w:val="0"/>
        <w:autoSpaceDN w:val="0"/>
        <w:adjustRightInd w:val="0"/>
        <w:spacing w:line="22" w:lineRule="atLeast"/>
        <w:rPr>
          <w:rFonts w:cs="Arial"/>
          <w:szCs w:val="18"/>
        </w:rPr>
      </w:pPr>
      <w:r>
        <w:object w:dxaOrig="10500" w:dyaOrig="620" w14:anchorId="1EFEDFE6">
          <v:shape id="_x0000_i1026" type="#_x0000_t75" style="width:457.4pt;height:26.65pt" o:ole="">
            <v:imagedata r:id="rId13" o:title=""/>
          </v:shape>
          <o:OLEObject Type="Embed" ProgID="Unknown" ShapeID="_x0000_i1026" DrawAspect="Content" ObjectID="_1790495224" r:id="rId14"/>
        </w:object>
      </w:r>
    </w:p>
    <w:p w14:paraId="279FFB19" w14:textId="77777777" w:rsidR="00E21C3B" w:rsidRDefault="00E21C3B" w:rsidP="00D734F2">
      <w:pPr>
        <w:tabs>
          <w:tab w:val="clear" w:pos="7100"/>
          <w:tab w:val="left" w:pos="284"/>
        </w:tabs>
        <w:autoSpaceDE w:val="0"/>
        <w:autoSpaceDN w:val="0"/>
        <w:adjustRightInd w:val="0"/>
        <w:spacing w:line="22" w:lineRule="atLeast"/>
        <w:ind w:left="53"/>
        <w:rPr>
          <w:rFonts w:cs="Arial"/>
          <w:szCs w:val="18"/>
        </w:rPr>
      </w:pPr>
      <w:r>
        <w:rPr>
          <w:rFonts w:cs="Arial"/>
          <w:szCs w:val="18"/>
        </w:rPr>
        <w:t>Where:</w:t>
      </w:r>
    </w:p>
    <w:p w14:paraId="22EE0BEB" w14:textId="7F7E1CF5" w:rsidR="002660FA" w:rsidRDefault="002660FA" w:rsidP="002660FA">
      <w:pPr>
        <w:pStyle w:val="Paragrafoelenco"/>
        <w:numPr>
          <w:ilvl w:val="0"/>
          <w:numId w:val="30"/>
        </w:numPr>
        <w:tabs>
          <w:tab w:val="clear" w:pos="7100"/>
          <w:tab w:val="left" w:pos="284"/>
        </w:tabs>
        <w:autoSpaceDE w:val="0"/>
        <w:autoSpaceDN w:val="0"/>
        <w:adjustRightInd w:val="0"/>
        <w:spacing w:line="22" w:lineRule="atLeast"/>
        <w:ind w:hanging="773"/>
        <w:rPr>
          <w:rFonts w:cs="Arial"/>
          <w:szCs w:val="18"/>
        </w:rPr>
      </w:pPr>
      <w:r>
        <w:rPr>
          <w:rFonts w:cs="Arial"/>
          <w:szCs w:val="18"/>
        </w:rPr>
        <w:t>M</w:t>
      </w:r>
      <w:r>
        <w:rPr>
          <w:rFonts w:cs="Arial"/>
          <w:szCs w:val="18"/>
          <w:vertAlign w:val="subscript"/>
        </w:rPr>
        <w:t>i</w:t>
      </w:r>
      <w:r>
        <w:rPr>
          <w:rFonts w:cs="Arial"/>
          <w:szCs w:val="18"/>
        </w:rPr>
        <w:t xml:space="preserve"> (kg/s) is the </w:t>
      </w:r>
      <w:r w:rsidR="001031D9">
        <w:rPr>
          <w:rFonts w:cs="Arial"/>
          <w:szCs w:val="18"/>
        </w:rPr>
        <w:t xml:space="preserve">mass flow released by the </w:t>
      </w:r>
      <w:r w:rsidR="00B13B79">
        <w:rPr>
          <w:rFonts w:cs="Arial"/>
          <w:szCs w:val="18"/>
        </w:rPr>
        <w:t xml:space="preserve">potential </w:t>
      </w:r>
      <w:r w:rsidR="001031D9">
        <w:rPr>
          <w:rFonts w:cs="Arial"/>
          <w:szCs w:val="18"/>
        </w:rPr>
        <w:t>sources</w:t>
      </w:r>
      <w:r w:rsidR="00474408">
        <w:rPr>
          <w:rFonts w:cs="Arial"/>
          <w:szCs w:val="18"/>
        </w:rPr>
        <w:t xml:space="preserve"> included in the </w:t>
      </w:r>
      <w:r w:rsidR="00450D95">
        <w:rPr>
          <w:rFonts w:cs="Arial"/>
          <w:szCs w:val="18"/>
        </w:rPr>
        <w:t>building</w:t>
      </w:r>
      <w:r w:rsidR="000D6A6B">
        <w:rPr>
          <w:rFonts w:cs="Arial"/>
          <w:szCs w:val="18"/>
        </w:rPr>
        <w:t>.</w:t>
      </w:r>
    </w:p>
    <w:p w14:paraId="7A878248" w14:textId="77777777" w:rsidR="002660FA" w:rsidRPr="002660FA" w:rsidRDefault="002660FA" w:rsidP="002660FA">
      <w:pPr>
        <w:tabs>
          <w:tab w:val="clear" w:pos="7100"/>
          <w:tab w:val="left" w:pos="284"/>
        </w:tabs>
        <w:autoSpaceDE w:val="0"/>
        <w:autoSpaceDN w:val="0"/>
        <w:adjustRightInd w:val="0"/>
        <w:spacing w:line="22" w:lineRule="atLeast"/>
        <w:rPr>
          <w:rFonts w:cs="Arial"/>
          <w:szCs w:val="18"/>
        </w:rPr>
      </w:pPr>
    </w:p>
    <w:p w14:paraId="0738E522" w14:textId="6ED06067" w:rsidR="00BD0844" w:rsidRPr="00861357" w:rsidRDefault="00BD0844" w:rsidP="00BD0844">
      <w:pPr>
        <w:tabs>
          <w:tab w:val="clear" w:pos="7100"/>
          <w:tab w:val="left" w:pos="284"/>
        </w:tabs>
        <w:autoSpaceDE w:val="0"/>
        <w:autoSpaceDN w:val="0"/>
        <w:adjustRightInd w:val="0"/>
        <w:spacing w:line="22" w:lineRule="atLeast"/>
        <w:rPr>
          <w:rFonts w:cs="Arial"/>
          <w:szCs w:val="18"/>
        </w:rPr>
      </w:pPr>
      <w:r w:rsidRPr="00861357">
        <w:rPr>
          <w:rFonts w:cs="Arial"/>
          <w:szCs w:val="18"/>
        </w:rPr>
        <w:lastRenderedPageBreak/>
        <w:t>In case of gaseous release, W</w:t>
      </w:r>
      <w:r w:rsidRPr="00861357">
        <w:rPr>
          <w:rFonts w:cs="Arial"/>
          <w:szCs w:val="18"/>
          <w:vertAlign w:val="subscript"/>
        </w:rPr>
        <w:t>g</w:t>
      </w:r>
      <w:r w:rsidRPr="00861357">
        <w:rPr>
          <w:rFonts w:cs="Arial"/>
          <w:szCs w:val="18"/>
        </w:rPr>
        <w:t xml:space="preserve"> </w:t>
      </w:r>
      <w:r w:rsidR="00A94415">
        <w:rPr>
          <w:rFonts w:cs="Arial"/>
          <w:szCs w:val="18"/>
        </w:rPr>
        <w:t>and M</w:t>
      </w:r>
      <w:r w:rsidR="00A94415">
        <w:rPr>
          <w:rFonts w:cs="Arial"/>
          <w:szCs w:val="18"/>
          <w:vertAlign w:val="subscript"/>
        </w:rPr>
        <w:t>i</w:t>
      </w:r>
      <w:r w:rsidR="00A94415">
        <w:rPr>
          <w:rFonts w:cs="Arial"/>
          <w:szCs w:val="18"/>
        </w:rPr>
        <w:t xml:space="preserve"> </w:t>
      </w:r>
      <w:r w:rsidRPr="00861357">
        <w:rPr>
          <w:rFonts w:cs="Arial"/>
          <w:szCs w:val="18"/>
        </w:rPr>
        <w:t xml:space="preserve">depend on flow conditions (sonic or subsonic), which are determined by the </w:t>
      </w:r>
      <w:r w:rsidR="00546D49" w:rsidRPr="00861357">
        <w:rPr>
          <w:rFonts w:cs="Arial"/>
          <w:szCs w:val="18"/>
        </w:rPr>
        <w:t>following equations</w:t>
      </w:r>
      <w:r>
        <w:rPr>
          <w:rFonts w:cs="Arial"/>
          <w:szCs w:val="18"/>
        </w:rPr>
        <w:t xml:space="preserve"> (Casal, 2018)</w:t>
      </w:r>
      <w:r w:rsidRPr="00861357">
        <w:rPr>
          <w:rFonts w:cs="Arial"/>
          <w:szCs w:val="18"/>
        </w:rPr>
        <w:t>:</w:t>
      </w:r>
    </w:p>
    <w:p w14:paraId="2CBAF317" w14:textId="57C1892E" w:rsidR="00BD0844" w:rsidRPr="00F43814" w:rsidRDefault="00CC3694" w:rsidP="00DC191D">
      <w:pPr>
        <w:pStyle w:val="CETBodytext"/>
        <w:spacing w:line="22" w:lineRule="atLeast"/>
        <w:rPr>
          <w:rFonts w:cs="Arial"/>
          <w:szCs w:val="18"/>
        </w:rPr>
      </w:pPr>
      <w:r>
        <w:object w:dxaOrig="8880" w:dyaOrig="760" w14:anchorId="390B0947">
          <v:shape id="_x0000_i1027" type="#_x0000_t75" style="width:444.05pt;height:37.85pt" o:ole="">
            <v:imagedata r:id="rId15" o:title=""/>
          </v:shape>
          <o:OLEObject Type="Embed" ProgID="Unknown" ShapeID="_x0000_i1027" DrawAspect="Content" ObjectID="_1790495225" r:id="rId16"/>
        </w:object>
      </w:r>
      <w:r w:rsidR="00BD0844" w:rsidRPr="00F43814">
        <w:rPr>
          <w:rFonts w:cs="Arial"/>
        </w:rPr>
        <w:t xml:space="preserve">                                                                </w:t>
      </w:r>
    </w:p>
    <w:p w14:paraId="1B0C7381" w14:textId="177A6828" w:rsidR="00BD0844" w:rsidRPr="008523D1" w:rsidRDefault="00CC3694" w:rsidP="00F178B2">
      <w:pPr>
        <w:pStyle w:val="CETBodytext"/>
        <w:spacing w:line="22" w:lineRule="atLeast"/>
        <w:rPr>
          <w:rFonts w:cs="Arial"/>
        </w:rPr>
      </w:pPr>
      <w:r>
        <w:object w:dxaOrig="9620" w:dyaOrig="760" w14:anchorId="067DBA96">
          <v:shape id="_x0000_i1028" type="#_x0000_t75" style="width:442.8pt;height:34.95pt" o:ole="">
            <v:imagedata r:id="rId17" o:title=""/>
          </v:shape>
          <o:OLEObject Type="Embed" ProgID="Unknown" ShapeID="_x0000_i1028" DrawAspect="Content" ObjectID="_1790495226" r:id="rId18"/>
        </w:object>
      </w:r>
    </w:p>
    <w:p w14:paraId="47B7CD8A" w14:textId="77777777" w:rsidR="00BD0844" w:rsidRDefault="00BD0844" w:rsidP="00BD0844">
      <w:pPr>
        <w:pStyle w:val="CETBodytext"/>
        <w:spacing w:line="22" w:lineRule="atLeast"/>
        <w:rPr>
          <w:lang w:val="en-GB"/>
        </w:rPr>
      </w:pPr>
      <w:r>
        <w:rPr>
          <w:lang w:val="en-GB"/>
        </w:rPr>
        <w:t>Where:</w:t>
      </w:r>
    </w:p>
    <w:p w14:paraId="71551161" w14:textId="77777777" w:rsidR="00BD0844" w:rsidRDefault="00BD0844" w:rsidP="00BD0844">
      <w:pPr>
        <w:pStyle w:val="CETBodytext"/>
        <w:numPr>
          <w:ilvl w:val="0"/>
          <w:numId w:val="26"/>
        </w:numPr>
        <w:tabs>
          <w:tab w:val="left" w:pos="284"/>
        </w:tabs>
        <w:spacing w:line="22" w:lineRule="atLeast"/>
        <w:ind w:hanging="720"/>
        <w:rPr>
          <w:lang w:val="en-GB"/>
        </w:rPr>
      </w:pPr>
      <w:r>
        <w:rPr>
          <w:lang w:val="en-GB"/>
        </w:rPr>
        <w:t>p</w:t>
      </w:r>
      <w:r>
        <w:rPr>
          <w:vertAlign w:val="subscript"/>
          <w:lang w:val="en-GB"/>
        </w:rPr>
        <w:t xml:space="preserve">in </w:t>
      </w:r>
      <w:r>
        <w:rPr>
          <w:lang w:val="en-GB"/>
        </w:rPr>
        <w:t>(Pa) is the pressure inside the vessel or component;</w:t>
      </w:r>
    </w:p>
    <w:p w14:paraId="6788A5CE" w14:textId="77777777" w:rsidR="00BD0844" w:rsidRDefault="00BD0844" w:rsidP="00BD0844">
      <w:pPr>
        <w:pStyle w:val="CETBodytext"/>
        <w:numPr>
          <w:ilvl w:val="0"/>
          <w:numId w:val="26"/>
        </w:numPr>
        <w:tabs>
          <w:tab w:val="left" w:pos="284"/>
        </w:tabs>
        <w:spacing w:line="22" w:lineRule="atLeast"/>
        <w:ind w:hanging="720"/>
        <w:rPr>
          <w:lang w:val="en-GB"/>
        </w:rPr>
      </w:pPr>
      <w:r>
        <w:rPr>
          <w:lang w:val="en-GB"/>
        </w:rPr>
        <w:t>p</w:t>
      </w:r>
      <w:r w:rsidRPr="00EA56A3">
        <w:rPr>
          <w:vertAlign w:val="subscript"/>
          <w:lang w:val="en-GB"/>
        </w:rPr>
        <w:t>atm</w:t>
      </w:r>
      <w:r>
        <w:rPr>
          <w:lang w:val="en-GB"/>
        </w:rPr>
        <w:t xml:space="preserve"> (101325 Pa) indicates the atmospheric pressure;</w:t>
      </w:r>
    </w:p>
    <w:p w14:paraId="004DBB83" w14:textId="77777777" w:rsidR="00BD0844" w:rsidRDefault="00BD0844" w:rsidP="00BD0844">
      <w:pPr>
        <w:pStyle w:val="CETBodytext"/>
        <w:numPr>
          <w:ilvl w:val="0"/>
          <w:numId w:val="26"/>
        </w:numPr>
        <w:tabs>
          <w:tab w:val="left" w:pos="284"/>
        </w:tabs>
        <w:spacing w:line="22" w:lineRule="atLeast"/>
        <w:ind w:hanging="720"/>
        <w:rPr>
          <w:lang w:val="en-GB"/>
        </w:rPr>
      </w:pPr>
      <w:r>
        <w:rPr>
          <w:rFonts w:cs="Arial"/>
          <w:lang w:val="en-GB"/>
        </w:rPr>
        <w:t>γ</w:t>
      </w:r>
      <w:r>
        <w:rPr>
          <w:lang w:val="en-GB"/>
        </w:rPr>
        <w:t xml:space="preserve"> (dimensionless parameter) = c</w:t>
      </w:r>
      <w:r w:rsidRPr="00861357">
        <w:rPr>
          <w:vertAlign w:val="subscript"/>
          <w:lang w:val="en-GB"/>
        </w:rPr>
        <w:t>p</w:t>
      </w:r>
      <w:r>
        <w:rPr>
          <w:lang w:val="en-GB"/>
        </w:rPr>
        <w:t>/c</w:t>
      </w:r>
      <w:r w:rsidRPr="00861357">
        <w:rPr>
          <w:vertAlign w:val="subscript"/>
          <w:lang w:val="en-GB"/>
        </w:rPr>
        <w:t xml:space="preserve">v </w:t>
      </w:r>
      <w:r>
        <w:rPr>
          <w:lang w:val="en-GB"/>
        </w:rPr>
        <w:t xml:space="preserve">(heat capacities ratio). </w:t>
      </w:r>
    </w:p>
    <w:p w14:paraId="3A532046" w14:textId="0A57411A" w:rsidR="0022799A" w:rsidRDefault="008A6178" w:rsidP="002660FA">
      <w:pPr>
        <w:tabs>
          <w:tab w:val="clear" w:pos="7100"/>
          <w:tab w:val="left" w:pos="284"/>
        </w:tabs>
        <w:autoSpaceDE w:val="0"/>
        <w:autoSpaceDN w:val="0"/>
        <w:adjustRightInd w:val="0"/>
        <w:spacing w:line="22" w:lineRule="atLeast"/>
        <w:rPr>
          <w:rFonts w:cs="Arial"/>
          <w:szCs w:val="18"/>
        </w:rPr>
      </w:pPr>
      <w:r>
        <w:rPr>
          <w:rFonts w:cs="Arial"/>
          <w:szCs w:val="18"/>
        </w:rPr>
        <w:t>In indoor place</w:t>
      </w:r>
      <w:r w:rsidR="004F55C9">
        <w:rPr>
          <w:rFonts w:cs="Arial"/>
          <w:szCs w:val="18"/>
        </w:rPr>
        <w:t>s</w:t>
      </w:r>
      <w:r>
        <w:rPr>
          <w:rFonts w:cs="Arial"/>
          <w:szCs w:val="18"/>
        </w:rPr>
        <w:t xml:space="preserve">, </w:t>
      </w:r>
      <w:r w:rsidR="0060317B">
        <w:rPr>
          <w:rFonts w:cs="Arial"/>
          <w:szCs w:val="18"/>
        </w:rPr>
        <w:t xml:space="preserve">the dilution degree assessment </w:t>
      </w:r>
      <w:r w:rsidR="00EF120F">
        <w:rPr>
          <w:rFonts w:cs="Arial"/>
          <w:szCs w:val="18"/>
        </w:rPr>
        <w:t xml:space="preserve">always </w:t>
      </w:r>
      <w:r w:rsidR="0060317B">
        <w:rPr>
          <w:rFonts w:cs="Arial"/>
          <w:szCs w:val="18"/>
        </w:rPr>
        <w:t>depends on the comparison between background concentratio</w:t>
      </w:r>
      <w:r w:rsidR="00F01A0A">
        <w:rPr>
          <w:rFonts w:cs="Arial"/>
          <w:szCs w:val="18"/>
        </w:rPr>
        <w:t>n (X</w:t>
      </w:r>
      <w:r w:rsidR="00F01A0A" w:rsidRPr="00F01A0A">
        <w:rPr>
          <w:rFonts w:cs="Arial"/>
          <w:szCs w:val="18"/>
          <w:vertAlign w:val="subscript"/>
        </w:rPr>
        <w:t>b</w:t>
      </w:r>
      <w:r w:rsidR="00F01A0A">
        <w:rPr>
          <w:rFonts w:cs="Arial"/>
          <w:szCs w:val="18"/>
        </w:rPr>
        <w:t xml:space="preserve">) </w:t>
      </w:r>
      <w:r>
        <w:rPr>
          <w:rFonts w:cs="Arial"/>
          <w:szCs w:val="18"/>
        </w:rPr>
        <w:t xml:space="preserve"> </w:t>
      </w:r>
      <w:r w:rsidR="00F01A0A">
        <w:rPr>
          <w:rFonts w:cs="Arial"/>
          <w:szCs w:val="18"/>
        </w:rPr>
        <w:t>and critical concentration (X</w:t>
      </w:r>
      <w:r w:rsidR="00F01A0A" w:rsidRPr="004F55C9">
        <w:rPr>
          <w:rFonts w:cs="Arial"/>
          <w:szCs w:val="18"/>
          <w:vertAlign w:val="subscript"/>
        </w:rPr>
        <w:t>cr</w:t>
      </w:r>
      <w:r w:rsidR="00F01A0A">
        <w:rPr>
          <w:rFonts w:cs="Arial"/>
          <w:szCs w:val="18"/>
        </w:rPr>
        <w:t>)</w:t>
      </w:r>
      <w:r w:rsidR="0022799A">
        <w:rPr>
          <w:rFonts w:cs="Arial"/>
          <w:szCs w:val="18"/>
        </w:rPr>
        <w:t>. X</w:t>
      </w:r>
      <w:r w:rsidR="0022799A" w:rsidRPr="0022799A">
        <w:rPr>
          <w:rFonts w:cs="Arial"/>
          <w:szCs w:val="18"/>
          <w:vertAlign w:val="subscript"/>
        </w:rPr>
        <w:t>b</w:t>
      </w:r>
      <w:r w:rsidR="00F01A0A">
        <w:rPr>
          <w:rFonts w:cs="Arial"/>
          <w:szCs w:val="18"/>
        </w:rPr>
        <w:t xml:space="preserve"> </w:t>
      </w:r>
      <w:r w:rsidR="0022799A">
        <w:rPr>
          <w:rFonts w:cs="Arial"/>
          <w:szCs w:val="18"/>
        </w:rPr>
        <w:t>is expressed by the following equation:</w:t>
      </w:r>
    </w:p>
    <w:p w14:paraId="227C0C8E" w14:textId="38B79EEB" w:rsidR="009F45FA" w:rsidRDefault="00D920E3" w:rsidP="002660FA">
      <w:pPr>
        <w:tabs>
          <w:tab w:val="clear" w:pos="7100"/>
          <w:tab w:val="left" w:pos="284"/>
        </w:tabs>
        <w:autoSpaceDE w:val="0"/>
        <w:autoSpaceDN w:val="0"/>
        <w:adjustRightInd w:val="0"/>
        <w:spacing w:line="22" w:lineRule="atLeast"/>
        <w:rPr>
          <w:rFonts w:cs="Arial"/>
          <w:szCs w:val="18"/>
        </w:rPr>
      </w:pPr>
      <w:r>
        <w:object w:dxaOrig="8820" w:dyaOrig="620" w14:anchorId="6DCCDE85">
          <v:shape id="_x0000_i1029" type="#_x0000_t75" style="width:440.75pt;height:31.2pt" o:ole="">
            <v:imagedata r:id="rId19" o:title=""/>
          </v:shape>
          <o:OLEObject Type="Embed" ProgID="Unknown" ShapeID="_x0000_i1029" DrawAspect="Content" ObjectID="_1790495227" r:id="rId20"/>
        </w:object>
      </w:r>
    </w:p>
    <w:p w14:paraId="3CFD3772" w14:textId="2BA2E01A" w:rsidR="0038129A" w:rsidRDefault="0038129A" w:rsidP="002660FA">
      <w:pPr>
        <w:tabs>
          <w:tab w:val="clear" w:pos="7100"/>
          <w:tab w:val="left" w:pos="284"/>
        </w:tabs>
        <w:autoSpaceDE w:val="0"/>
        <w:autoSpaceDN w:val="0"/>
        <w:adjustRightInd w:val="0"/>
        <w:spacing w:line="22" w:lineRule="atLeast"/>
        <w:rPr>
          <w:rFonts w:cs="Arial"/>
          <w:szCs w:val="18"/>
        </w:rPr>
      </w:pPr>
      <w:r>
        <w:rPr>
          <w:rFonts w:cs="Arial"/>
          <w:szCs w:val="18"/>
        </w:rPr>
        <w:t>Where:</w:t>
      </w:r>
    </w:p>
    <w:p w14:paraId="2515C179" w14:textId="3CA6A349" w:rsidR="00350046" w:rsidRDefault="0038129A" w:rsidP="0044532D">
      <w:pPr>
        <w:pStyle w:val="Paragrafoelenco"/>
        <w:numPr>
          <w:ilvl w:val="0"/>
          <w:numId w:val="30"/>
        </w:numPr>
        <w:tabs>
          <w:tab w:val="clear" w:pos="7100"/>
          <w:tab w:val="left" w:pos="284"/>
        </w:tabs>
        <w:autoSpaceDE w:val="0"/>
        <w:autoSpaceDN w:val="0"/>
        <w:adjustRightInd w:val="0"/>
        <w:spacing w:line="22" w:lineRule="atLeast"/>
        <w:ind w:left="709" w:hanging="709"/>
        <w:rPr>
          <w:rFonts w:cs="Arial"/>
          <w:szCs w:val="18"/>
        </w:rPr>
      </w:pPr>
      <w:r>
        <w:rPr>
          <w:rFonts w:cs="Arial"/>
          <w:szCs w:val="18"/>
        </w:rPr>
        <w:t xml:space="preserve">f (dimensionless </w:t>
      </w:r>
      <w:r w:rsidR="00350046">
        <w:rPr>
          <w:rFonts w:cs="Arial"/>
          <w:szCs w:val="18"/>
        </w:rPr>
        <w:t>parameter) is the ventilation inefficiency factor</w:t>
      </w:r>
      <w:r w:rsidR="00DD5685">
        <w:rPr>
          <w:rFonts w:cs="Arial"/>
          <w:szCs w:val="18"/>
        </w:rPr>
        <w:t xml:space="preserve"> (it ranges between 1 and 5)</w:t>
      </w:r>
      <w:r w:rsidR="00350046">
        <w:rPr>
          <w:rFonts w:cs="Arial"/>
          <w:szCs w:val="18"/>
        </w:rPr>
        <w:t>;</w:t>
      </w:r>
    </w:p>
    <w:p w14:paraId="0470D6AE" w14:textId="14CE1704" w:rsidR="00525BB0" w:rsidRDefault="00794F18" w:rsidP="0044532D">
      <w:pPr>
        <w:pStyle w:val="Paragrafoelenco"/>
        <w:numPr>
          <w:ilvl w:val="0"/>
          <w:numId w:val="30"/>
        </w:numPr>
        <w:tabs>
          <w:tab w:val="clear" w:pos="7100"/>
          <w:tab w:val="left" w:pos="284"/>
        </w:tabs>
        <w:autoSpaceDE w:val="0"/>
        <w:autoSpaceDN w:val="0"/>
        <w:adjustRightInd w:val="0"/>
        <w:spacing w:line="22" w:lineRule="atLeast"/>
        <w:ind w:left="709" w:hanging="709"/>
        <w:rPr>
          <w:rFonts w:cs="Arial"/>
          <w:szCs w:val="18"/>
        </w:rPr>
      </w:pPr>
      <w:r w:rsidRPr="00794F18">
        <w:rPr>
          <w:rFonts w:cs="Arial"/>
          <w:szCs w:val="18"/>
        </w:rPr>
        <w:t>Q</w:t>
      </w:r>
      <w:r>
        <w:rPr>
          <w:rFonts w:cs="Arial"/>
          <w:szCs w:val="18"/>
          <w:vertAlign w:val="subscript"/>
        </w:rPr>
        <w:t>g</w:t>
      </w:r>
      <w:r>
        <w:rPr>
          <w:rFonts w:cs="Arial"/>
          <w:szCs w:val="18"/>
        </w:rPr>
        <w:t xml:space="preserve"> </w:t>
      </w:r>
      <w:r w:rsidR="00132006">
        <w:rPr>
          <w:rFonts w:cs="Arial"/>
          <w:szCs w:val="18"/>
        </w:rPr>
        <w:t>(m</w:t>
      </w:r>
      <w:r w:rsidR="00132006" w:rsidRPr="00132006">
        <w:rPr>
          <w:rFonts w:cs="Arial"/>
          <w:szCs w:val="18"/>
          <w:vertAlign w:val="superscript"/>
        </w:rPr>
        <w:t>3</w:t>
      </w:r>
      <w:r w:rsidR="00132006">
        <w:rPr>
          <w:rFonts w:cs="Arial"/>
          <w:szCs w:val="18"/>
        </w:rPr>
        <w:t xml:space="preserve">/s) </w:t>
      </w:r>
      <w:r>
        <w:rPr>
          <w:rFonts w:cs="Arial"/>
          <w:szCs w:val="18"/>
        </w:rPr>
        <w:t>i</w:t>
      </w:r>
      <w:r w:rsidR="00132006">
        <w:rPr>
          <w:rFonts w:cs="Arial"/>
          <w:szCs w:val="18"/>
        </w:rPr>
        <w:t>ndicates</w:t>
      </w:r>
      <w:r>
        <w:rPr>
          <w:rFonts w:cs="Arial"/>
          <w:szCs w:val="18"/>
        </w:rPr>
        <w:t xml:space="preserve"> the </w:t>
      </w:r>
      <w:r w:rsidR="00132006">
        <w:rPr>
          <w:rFonts w:cs="Arial"/>
          <w:szCs w:val="18"/>
        </w:rPr>
        <w:t>volumetric gas flow</w:t>
      </w:r>
      <w:r w:rsidR="004A03F2">
        <w:rPr>
          <w:rFonts w:cs="Arial"/>
          <w:szCs w:val="18"/>
        </w:rPr>
        <w:t xml:space="preserve"> and </w:t>
      </w:r>
      <w:r w:rsidR="005D7BB7">
        <w:rPr>
          <w:rFonts w:cs="Arial"/>
          <w:szCs w:val="18"/>
        </w:rPr>
        <w:t>it is given by W</w:t>
      </w:r>
      <w:r w:rsidR="005D7BB7">
        <w:rPr>
          <w:rFonts w:cs="Arial"/>
          <w:szCs w:val="18"/>
          <w:vertAlign w:val="subscript"/>
        </w:rPr>
        <w:t>g</w:t>
      </w:r>
      <w:r w:rsidR="005D7BB7">
        <w:rPr>
          <w:rFonts w:cs="Arial"/>
          <w:szCs w:val="18"/>
        </w:rPr>
        <w:t>/ρ</w:t>
      </w:r>
      <w:r w:rsidR="009E4022">
        <w:rPr>
          <w:rFonts w:cs="Arial"/>
          <w:szCs w:val="18"/>
          <w:vertAlign w:val="subscript"/>
        </w:rPr>
        <w:t>g</w:t>
      </w:r>
      <w:r w:rsidR="00525BB0">
        <w:rPr>
          <w:rFonts w:cs="Arial"/>
          <w:szCs w:val="18"/>
        </w:rPr>
        <w:t>;</w:t>
      </w:r>
    </w:p>
    <w:p w14:paraId="13211E65" w14:textId="63810700" w:rsidR="00525BB0" w:rsidRDefault="00525BB0" w:rsidP="0044532D">
      <w:pPr>
        <w:pStyle w:val="Paragrafoelenco"/>
        <w:numPr>
          <w:ilvl w:val="0"/>
          <w:numId w:val="30"/>
        </w:numPr>
        <w:tabs>
          <w:tab w:val="clear" w:pos="7100"/>
          <w:tab w:val="left" w:pos="284"/>
        </w:tabs>
        <w:autoSpaceDE w:val="0"/>
        <w:autoSpaceDN w:val="0"/>
        <w:adjustRightInd w:val="0"/>
        <w:spacing w:line="22" w:lineRule="atLeast"/>
        <w:ind w:left="709" w:hanging="709"/>
        <w:rPr>
          <w:rFonts w:cs="Arial"/>
          <w:szCs w:val="18"/>
        </w:rPr>
      </w:pPr>
      <w:r w:rsidRPr="00794F18">
        <w:rPr>
          <w:rFonts w:cs="Arial"/>
          <w:szCs w:val="18"/>
        </w:rPr>
        <w:t>Q</w:t>
      </w:r>
      <w:r w:rsidR="00A62EC6">
        <w:rPr>
          <w:rFonts w:cs="Arial"/>
          <w:szCs w:val="18"/>
          <w:vertAlign w:val="subscript"/>
        </w:rPr>
        <w:t>a</w:t>
      </w:r>
      <w:r>
        <w:rPr>
          <w:rFonts w:cs="Arial"/>
          <w:szCs w:val="18"/>
        </w:rPr>
        <w:t xml:space="preserve"> (m</w:t>
      </w:r>
      <w:r w:rsidRPr="00132006">
        <w:rPr>
          <w:rFonts w:cs="Arial"/>
          <w:szCs w:val="18"/>
          <w:vertAlign w:val="superscript"/>
        </w:rPr>
        <w:t>3</w:t>
      </w:r>
      <w:r>
        <w:rPr>
          <w:rFonts w:cs="Arial"/>
          <w:szCs w:val="18"/>
        </w:rPr>
        <w:t>/s) i</w:t>
      </w:r>
      <w:r w:rsidR="00A62EC6">
        <w:rPr>
          <w:rFonts w:cs="Arial"/>
          <w:szCs w:val="18"/>
        </w:rPr>
        <w:t>s</w:t>
      </w:r>
      <w:r>
        <w:rPr>
          <w:rFonts w:cs="Arial"/>
          <w:szCs w:val="18"/>
        </w:rPr>
        <w:t xml:space="preserve"> the volumetric </w:t>
      </w:r>
      <w:r w:rsidR="00A62EC6">
        <w:rPr>
          <w:rFonts w:cs="Arial"/>
          <w:szCs w:val="18"/>
        </w:rPr>
        <w:t xml:space="preserve">air </w:t>
      </w:r>
      <w:r>
        <w:rPr>
          <w:rFonts w:cs="Arial"/>
          <w:szCs w:val="18"/>
        </w:rPr>
        <w:t>flow</w:t>
      </w:r>
      <w:r w:rsidR="00A62EC6">
        <w:rPr>
          <w:rFonts w:cs="Arial"/>
          <w:szCs w:val="18"/>
        </w:rPr>
        <w:t>.</w:t>
      </w:r>
    </w:p>
    <w:p w14:paraId="64AE98E6" w14:textId="727CB80B" w:rsidR="00631751" w:rsidRDefault="0028486A" w:rsidP="00122B21">
      <w:pPr>
        <w:tabs>
          <w:tab w:val="clear" w:pos="7100"/>
          <w:tab w:val="left" w:pos="284"/>
        </w:tabs>
        <w:autoSpaceDE w:val="0"/>
        <w:autoSpaceDN w:val="0"/>
        <w:adjustRightInd w:val="0"/>
        <w:spacing w:line="22" w:lineRule="atLeast"/>
        <w:rPr>
          <w:rFonts w:cs="Arial"/>
          <w:szCs w:val="18"/>
        </w:rPr>
      </w:pPr>
      <w:r>
        <w:rPr>
          <w:rFonts w:cs="Arial"/>
          <w:szCs w:val="18"/>
        </w:rPr>
        <w:t>X</w:t>
      </w:r>
      <w:r>
        <w:rPr>
          <w:rFonts w:cs="Arial"/>
          <w:szCs w:val="18"/>
          <w:vertAlign w:val="subscript"/>
        </w:rPr>
        <w:t>cr</w:t>
      </w:r>
      <w:r>
        <w:rPr>
          <w:rFonts w:cs="Arial"/>
          <w:szCs w:val="18"/>
        </w:rPr>
        <w:t xml:space="preserve"> is </w:t>
      </w:r>
      <w:r w:rsidR="00692063">
        <w:rPr>
          <w:rFonts w:cs="Arial"/>
          <w:szCs w:val="18"/>
        </w:rPr>
        <w:t>about 0.25 LFL</w:t>
      </w:r>
      <w:r w:rsidR="006130A6">
        <w:rPr>
          <w:rFonts w:cs="Arial"/>
          <w:szCs w:val="18"/>
        </w:rPr>
        <w:t xml:space="preserve"> (</w:t>
      </w:r>
      <w:r w:rsidR="0031040B">
        <w:rPr>
          <w:rFonts w:cs="Arial"/>
          <w:szCs w:val="18"/>
        </w:rPr>
        <w:t>low level alarm threshol</w:t>
      </w:r>
      <w:r w:rsidR="0016715C">
        <w:rPr>
          <w:rFonts w:cs="Arial"/>
          <w:szCs w:val="18"/>
        </w:rPr>
        <w:t>d of a gas detector)</w:t>
      </w:r>
      <w:r w:rsidR="007D5B33">
        <w:rPr>
          <w:rFonts w:cs="Arial"/>
          <w:szCs w:val="18"/>
        </w:rPr>
        <w:t xml:space="preserve">. </w:t>
      </w:r>
      <w:r w:rsidR="00341CD7">
        <w:rPr>
          <w:rFonts w:cs="Arial"/>
          <w:szCs w:val="18"/>
        </w:rPr>
        <w:t xml:space="preserve">When </w:t>
      </w:r>
      <w:r w:rsidR="00695CAC">
        <w:rPr>
          <w:rFonts w:cs="Arial"/>
          <w:szCs w:val="18"/>
        </w:rPr>
        <w:t>X</w:t>
      </w:r>
      <w:r w:rsidR="00695CAC" w:rsidRPr="00F01A0A">
        <w:rPr>
          <w:rFonts w:cs="Arial"/>
          <w:szCs w:val="18"/>
          <w:vertAlign w:val="subscript"/>
        </w:rPr>
        <w:t>b</w:t>
      </w:r>
      <w:r w:rsidR="00695CAC">
        <w:rPr>
          <w:rFonts w:cs="Arial"/>
          <w:szCs w:val="18"/>
          <w:vertAlign w:val="subscript"/>
        </w:rPr>
        <w:t xml:space="preserve"> </w:t>
      </w:r>
      <w:r w:rsidR="00695CAC" w:rsidRPr="00695CAC">
        <w:rPr>
          <w:rFonts w:cs="Arial"/>
          <w:szCs w:val="18"/>
        </w:rPr>
        <w:t>≥</w:t>
      </w:r>
      <w:r w:rsidR="00695CAC">
        <w:rPr>
          <w:rFonts w:cs="Arial"/>
          <w:szCs w:val="18"/>
        </w:rPr>
        <w:t xml:space="preserve"> X</w:t>
      </w:r>
      <w:r w:rsidR="00695CAC" w:rsidRPr="004F55C9">
        <w:rPr>
          <w:rFonts w:cs="Arial"/>
          <w:szCs w:val="18"/>
          <w:vertAlign w:val="subscript"/>
        </w:rPr>
        <w:t>cr</w:t>
      </w:r>
      <w:r w:rsidR="00BE6116">
        <w:rPr>
          <w:rFonts w:cs="Arial"/>
          <w:szCs w:val="18"/>
        </w:rPr>
        <w:t xml:space="preserve">, the dilution degree is low and </w:t>
      </w:r>
      <w:r w:rsidR="00511BB6">
        <w:rPr>
          <w:rFonts w:cs="Arial"/>
          <w:szCs w:val="18"/>
        </w:rPr>
        <w:t xml:space="preserve">the diagram, reported in Figure 1, is not necessary to assess this parameter. </w:t>
      </w:r>
      <w:r w:rsidR="00BE6116">
        <w:rPr>
          <w:rFonts w:cs="Arial"/>
          <w:szCs w:val="18"/>
          <w:vertAlign w:val="subscript"/>
        </w:rPr>
        <w:t xml:space="preserve"> </w:t>
      </w:r>
      <w:r w:rsidR="00D12045" w:rsidRPr="00D12045">
        <w:rPr>
          <w:rFonts w:cs="Arial"/>
          <w:szCs w:val="18"/>
        </w:rPr>
        <w:t>In ca</w:t>
      </w:r>
      <w:r w:rsidR="00D12045">
        <w:rPr>
          <w:rFonts w:cs="Arial"/>
          <w:szCs w:val="18"/>
        </w:rPr>
        <w:t>s</w:t>
      </w:r>
      <w:r w:rsidR="00D12045" w:rsidRPr="00D12045">
        <w:rPr>
          <w:rFonts w:cs="Arial"/>
          <w:szCs w:val="18"/>
        </w:rPr>
        <w:t>e</w:t>
      </w:r>
      <w:r w:rsidR="00BE6116">
        <w:rPr>
          <w:rFonts w:cs="Arial"/>
          <w:szCs w:val="18"/>
        </w:rPr>
        <w:t xml:space="preserve"> </w:t>
      </w:r>
      <w:r w:rsidR="00D12045">
        <w:rPr>
          <w:rFonts w:cs="Arial"/>
          <w:szCs w:val="18"/>
        </w:rPr>
        <w:t xml:space="preserve">of </w:t>
      </w:r>
      <w:r w:rsidR="00A81D18">
        <w:rPr>
          <w:rFonts w:cs="Arial"/>
          <w:szCs w:val="18"/>
        </w:rPr>
        <w:t>X</w:t>
      </w:r>
      <w:r w:rsidR="00A81D18" w:rsidRPr="00F01A0A">
        <w:rPr>
          <w:rFonts w:cs="Arial"/>
          <w:szCs w:val="18"/>
          <w:vertAlign w:val="subscript"/>
        </w:rPr>
        <w:t>b</w:t>
      </w:r>
      <w:r w:rsidR="00A81D18">
        <w:rPr>
          <w:rFonts w:cs="Arial"/>
          <w:szCs w:val="18"/>
          <w:vertAlign w:val="subscript"/>
        </w:rPr>
        <w:t xml:space="preserve"> </w:t>
      </w:r>
      <w:r w:rsidR="005A7D2D">
        <w:rPr>
          <w:rFonts w:cs="Arial"/>
          <w:szCs w:val="18"/>
        </w:rPr>
        <w:t>&lt;</w:t>
      </w:r>
      <w:r w:rsidR="00A81D18">
        <w:rPr>
          <w:rFonts w:cs="Arial"/>
          <w:szCs w:val="18"/>
        </w:rPr>
        <w:t xml:space="preserve"> X</w:t>
      </w:r>
      <w:r w:rsidR="00A81D18" w:rsidRPr="004F55C9">
        <w:rPr>
          <w:rFonts w:cs="Arial"/>
          <w:szCs w:val="18"/>
          <w:vertAlign w:val="subscript"/>
        </w:rPr>
        <w:t>cr</w:t>
      </w:r>
      <w:r w:rsidR="005A7D2D">
        <w:rPr>
          <w:rFonts w:cs="Arial"/>
          <w:szCs w:val="18"/>
        </w:rPr>
        <w:t xml:space="preserve"> the diagram has to be used to assess the dilution degree.</w:t>
      </w:r>
      <w:r w:rsidR="00DC5C74">
        <w:rPr>
          <w:rFonts w:cs="Arial"/>
          <w:szCs w:val="18"/>
        </w:rPr>
        <w:t xml:space="preserve"> Biomethane LFL is 4.</w:t>
      </w:r>
      <w:r w:rsidR="00237E56">
        <w:rPr>
          <w:rFonts w:cs="Arial"/>
          <w:szCs w:val="18"/>
        </w:rPr>
        <w:t xml:space="preserve">4 (vol/vol %) and therefore </w:t>
      </w:r>
      <w:r w:rsidR="0089482F">
        <w:rPr>
          <w:rFonts w:cs="Arial"/>
          <w:szCs w:val="18"/>
        </w:rPr>
        <w:t>X</w:t>
      </w:r>
      <w:r w:rsidR="0089482F">
        <w:rPr>
          <w:rFonts w:cs="Arial"/>
          <w:szCs w:val="18"/>
          <w:vertAlign w:val="subscript"/>
        </w:rPr>
        <w:t>cr</w:t>
      </w:r>
      <w:r w:rsidR="0089482F">
        <w:rPr>
          <w:rFonts w:cs="Arial"/>
          <w:szCs w:val="18"/>
        </w:rPr>
        <w:t xml:space="preserve"> is 0.011</w:t>
      </w:r>
      <w:r w:rsidR="00BC3613">
        <w:rPr>
          <w:rFonts w:cs="Arial"/>
          <w:szCs w:val="18"/>
        </w:rPr>
        <w:t>.</w:t>
      </w:r>
      <w:r w:rsidR="00237E56">
        <w:rPr>
          <w:rFonts w:cs="Arial"/>
          <w:szCs w:val="18"/>
        </w:rPr>
        <w:t xml:space="preserve"> </w:t>
      </w:r>
      <w:r w:rsidR="00631751">
        <w:rPr>
          <w:rFonts w:cs="Arial"/>
          <w:szCs w:val="18"/>
        </w:rPr>
        <w:t xml:space="preserve">In accordance with Technical Standard IEC EN 60079-10-1, a potential release source could generate non-hazardous or hazardous (Atex zone) area. </w:t>
      </w:r>
      <w:r w:rsidR="00016690">
        <w:rPr>
          <w:rFonts w:cs="Arial"/>
          <w:szCs w:val="18"/>
        </w:rPr>
        <w:t>In ca</w:t>
      </w:r>
      <w:r w:rsidR="00F01E4C">
        <w:rPr>
          <w:rFonts w:cs="Arial"/>
          <w:szCs w:val="18"/>
        </w:rPr>
        <w:t xml:space="preserve">se of flammable gas emission, </w:t>
      </w:r>
      <w:r w:rsidR="00631751">
        <w:rPr>
          <w:rFonts w:cs="Arial"/>
          <w:szCs w:val="18"/>
        </w:rPr>
        <w:t>Atex zones are:</w:t>
      </w:r>
    </w:p>
    <w:p w14:paraId="378FE7F6" w14:textId="5A0FB0F3" w:rsidR="00631751" w:rsidRPr="00631751" w:rsidRDefault="00631751" w:rsidP="00631751">
      <w:pPr>
        <w:pStyle w:val="Paragrafoelenco"/>
        <w:numPr>
          <w:ilvl w:val="0"/>
          <w:numId w:val="33"/>
        </w:numPr>
        <w:tabs>
          <w:tab w:val="left" w:pos="284"/>
        </w:tabs>
        <w:spacing w:line="22" w:lineRule="atLeast"/>
        <w:ind w:left="0" w:firstLine="0"/>
        <w:rPr>
          <w:rFonts w:cs="Arial"/>
          <w:szCs w:val="18"/>
          <w:lang w:val="en-US"/>
        </w:rPr>
      </w:pPr>
      <w:r w:rsidRPr="00631751">
        <w:rPr>
          <w:rFonts w:cs="Arial"/>
          <w:szCs w:val="18"/>
          <w:lang w:val="en-US"/>
        </w:rPr>
        <w:t>zone 0</w:t>
      </w:r>
      <w:r>
        <w:rPr>
          <w:rFonts w:cs="Arial"/>
          <w:szCs w:val="18"/>
          <w:lang w:val="en-US"/>
        </w:rPr>
        <w:t xml:space="preserve"> (</w:t>
      </w:r>
      <w:r w:rsidR="00D61E63">
        <w:rPr>
          <w:rFonts w:cs="Arial"/>
          <w:szCs w:val="18"/>
          <w:lang w:val="en-US"/>
        </w:rPr>
        <w:t xml:space="preserve">the </w:t>
      </w:r>
      <w:r>
        <w:rPr>
          <w:rFonts w:cs="Arial"/>
          <w:szCs w:val="18"/>
          <w:lang w:val="en-US"/>
        </w:rPr>
        <w:t>most hazardous area)</w:t>
      </w:r>
      <w:r w:rsidRPr="00631751">
        <w:rPr>
          <w:rFonts w:cs="Arial"/>
          <w:szCs w:val="18"/>
          <w:lang w:val="en-US"/>
        </w:rPr>
        <w:t>:</w:t>
      </w:r>
      <w:r>
        <w:rPr>
          <w:rFonts w:cs="Arial"/>
          <w:szCs w:val="18"/>
          <w:lang w:val="en-US"/>
        </w:rPr>
        <w:t xml:space="preserve"> </w:t>
      </w:r>
      <w:r w:rsidRPr="00631751">
        <w:rPr>
          <w:rFonts w:cs="Arial"/>
          <w:szCs w:val="18"/>
          <w:lang w:val="en-US"/>
        </w:rPr>
        <w:t xml:space="preserve">area in which an explosive gas atmosphere is present </w:t>
      </w:r>
      <w:r>
        <w:rPr>
          <w:rFonts w:cs="Arial"/>
          <w:szCs w:val="18"/>
          <w:lang w:val="en-US"/>
        </w:rPr>
        <w:t xml:space="preserve">in continuous way </w:t>
      </w:r>
      <w:r w:rsidRPr="00631751">
        <w:rPr>
          <w:rFonts w:cs="Arial"/>
          <w:szCs w:val="18"/>
          <w:lang w:val="en-US"/>
        </w:rPr>
        <w:t>or for long periods</w:t>
      </w:r>
      <w:r>
        <w:rPr>
          <w:rFonts w:cs="Arial"/>
          <w:szCs w:val="18"/>
          <w:lang w:val="en-US"/>
        </w:rPr>
        <w:t>;</w:t>
      </w:r>
    </w:p>
    <w:p w14:paraId="29F324E8" w14:textId="1B325159" w:rsidR="00631751" w:rsidRPr="00631751" w:rsidRDefault="00631751" w:rsidP="00631751">
      <w:pPr>
        <w:pStyle w:val="Paragrafoelenco"/>
        <w:numPr>
          <w:ilvl w:val="0"/>
          <w:numId w:val="33"/>
        </w:numPr>
        <w:tabs>
          <w:tab w:val="left" w:pos="284"/>
        </w:tabs>
        <w:spacing w:line="22" w:lineRule="atLeast"/>
        <w:ind w:left="0" w:firstLine="0"/>
        <w:rPr>
          <w:rFonts w:cs="Arial"/>
          <w:szCs w:val="18"/>
          <w:lang w:val="en-US"/>
        </w:rPr>
      </w:pPr>
      <w:r w:rsidRPr="00631751">
        <w:rPr>
          <w:rFonts w:cs="Arial"/>
          <w:szCs w:val="18"/>
          <w:lang w:val="en-US"/>
        </w:rPr>
        <w:t>zone 1:</w:t>
      </w:r>
      <w:r>
        <w:rPr>
          <w:rFonts w:cs="Arial"/>
          <w:szCs w:val="18"/>
          <w:lang w:val="en-US"/>
        </w:rPr>
        <w:t xml:space="preserve"> </w:t>
      </w:r>
      <w:r w:rsidRPr="00631751">
        <w:rPr>
          <w:rFonts w:cs="Arial"/>
          <w:szCs w:val="18"/>
          <w:lang w:val="en-US"/>
        </w:rPr>
        <w:t xml:space="preserve">area in which an explosive atmosphere is likely to occur periodically or occasionally </w:t>
      </w:r>
      <w:r>
        <w:rPr>
          <w:rFonts w:cs="Arial"/>
          <w:szCs w:val="18"/>
          <w:lang w:val="en-US"/>
        </w:rPr>
        <w:t xml:space="preserve">during </w:t>
      </w:r>
      <w:r w:rsidRPr="00631751">
        <w:rPr>
          <w:rFonts w:cs="Arial"/>
          <w:szCs w:val="18"/>
          <w:lang w:val="en-US"/>
        </w:rPr>
        <w:t>normal operation;</w:t>
      </w:r>
    </w:p>
    <w:p w14:paraId="75CBD824" w14:textId="62168610" w:rsidR="00A62EC6" w:rsidRDefault="00631751" w:rsidP="007B16C8">
      <w:pPr>
        <w:pStyle w:val="Paragrafoelenco"/>
        <w:numPr>
          <w:ilvl w:val="0"/>
          <w:numId w:val="33"/>
        </w:numPr>
        <w:tabs>
          <w:tab w:val="left" w:pos="284"/>
        </w:tabs>
        <w:spacing w:line="22" w:lineRule="atLeast"/>
        <w:ind w:left="0" w:firstLine="0"/>
        <w:rPr>
          <w:rFonts w:cs="Arial"/>
          <w:szCs w:val="18"/>
          <w:lang w:val="en-US"/>
        </w:rPr>
      </w:pPr>
      <w:r w:rsidRPr="00631751">
        <w:rPr>
          <w:rFonts w:cs="Arial"/>
          <w:szCs w:val="18"/>
          <w:lang w:val="en-US"/>
        </w:rPr>
        <w:t>zone 2</w:t>
      </w:r>
      <w:r w:rsidR="00876FCE">
        <w:rPr>
          <w:rFonts w:cs="Arial"/>
          <w:szCs w:val="18"/>
          <w:lang w:val="en-US"/>
        </w:rPr>
        <w:t xml:space="preserve"> (less hazardous area)</w:t>
      </w:r>
      <w:r w:rsidR="00FB73E7" w:rsidRPr="00FB73E7">
        <w:rPr>
          <w:rFonts w:cs="Arial"/>
          <w:szCs w:val="18"/>
          <w:lang w:val="en-US"/>
        </w:rPr>
        <w:t>:</w:t>
      </w:r>
      <w:r w:rsidR="00FB73E7">
        <w:rPr>
          <w:rFonts w:cs="Arial"/>
          <w:szCs w:val="18"/>
          <w:lang w:val="en-US"/>
        </w:rPr>
        <w:t xml:space="preserve"> </w:t>
      </w:r>
      <w:r w:rsidRPr="00FB73E7">
        <w:rPr>
          <w:rFonts w:cs="Arial"/>
          <w:szCs w:val="18"/>
          <w:lang w:val="en-US"/>
        </w:rPr>
        <w:t xml:space="preserve">area in which an explosive </w:t>
      </w:r>
      <w:r w:rsidR="00EF2A8E">
        <w:rPr>
          <w:rFonts w:cs="Arial"/>
          <w:szCs w:val="18"/>
          <w:lang w:val="en-US"/>
        </w:rPr>
        <w:t>mixture</w:t>
      </w:r>
      <w:r w:rsidRPr="00FB73E7">
        <w:rPr>
          <w:rFonts w:cs="Arial"/>
          <w:szCs w:val="18"/>
          <w:lang w:val="en-US"/>
        </w:rPr>
        <w:t xml:space="preserve"> is </w:t>
      </w:r>
      <w:r w:rsidR="001A5637">
        <w:rPr>
          <w:rFonts w:cs="Arial"/>
          <w:szCs w:val="18"/>
          <w:lang w:val="en-US"/>
        </w:rPr>
        <w:t>un</w:t>
      </w:r>
      <w:r w:rsidRPr="00FB73E7">
        <w:rPr>
          <w:rFonts w:cs="Arial"/>
          <w:szCs w:val="18"/>
          <w:lang w:val="en-US"/>
        </w:rPr>
        <w:t xml:space="preserve">likely to occur </w:t>
      </w:r>
      <w:r w:rsidR="00EE4F1C">
        <w:rPr>
          <w:rFonts w:cs="Arial"/>
          <w:szCs w:val="18"/>
          <w:lang w:val="en-US"/>
        </w:rPr>
        <w:t xml:space="preserve">during </w:t>
      </w:r>
      <w:r w:rsidRPr="00FB73E7">
        <w:rPr>
          <w:rFonts w:cs="Arial"/>
          <w:szCs w:val="18"/>
          <w:lang w:val="en-US"/>
        </w:rPr>
        <w:t xml:space="preserve">normal operation </w:t>
      </w:r>
      <w:r w:rsidR="00B013D1">
        <w:rPr>
          <w:rFonts w:cs="Arial"/>
          <w:szCs w:val="18"/>
          <w:lang w:val="en-US"/>
        </w:rPr>
        <w:t xml:space="preserve">and </w:t>
      </w:r>
      <w:r w:rsidR="00B013D1" w:rsidRPr="00FB73E7">
        <w:rPr>
          <w:rFonts w:cs="Arial"/>
          <w:szCs w:val="18"/>
          <w:lang w:val="en-US"/>
        </w:rPr>
        <w:t>if</w:t>
      </w:r>
      <w:r w:rsidR="007B16C8">
        <w:rPr>
          <w:rFonts w:cs="Arial"/>
          <w:szCs w:val="18"/>
          <w:lang w:val="en-US"/>
        </w:rPr>
        <w:t xml:space="preserve"> </w:t>
      </w:r>
      <w:r w:rsidRPr="007B16C8">
        <w:rPr>
          <w:rFonts w:cs="Arial"/>
          <w:szCs w:val="18"/>
          <w:lang w:val="en-US"/>
        </w:rPr>
        <w:t xml:space="preserve">it </w:t>
      </w:r>
      <w:r w:rsidR="00904E8C">
        <w:rPr>
          <w:rFonts w:cs="Arial"/>
          <w:szCs w:val="18"/>
          <w:lang w:val="en-US"/>
        </w:rPr>
        <w:t xml:space="preserve">was generated, its duration would be extremely </w:t>
      </w:r>
      <w:r w:rsidRPr="007B16C8">
        <w:rPr>
          <w:rFonts w:cs="Arial"/>
          <w:szCs w:val="18"/>
          <w:lang w:val="en-US"/>
        </w:rPr>
        <w:t>short</w:t>
      </w:r>
      <w:r w:rsidR="00904E8C">
        <w:rPr>
          <w:rFonts w:cs="Arial"/>
          <w:szCs w:val="18"/>
          <w:lang w:val="en-US"/>
        </w:rPr>
        <w:t xml:space="preserve">. </w:t>
      </w:r>
    </w:p>
    <w:p w14:paraId="65DC100C" w14:textId="77777777" w:rsidR="00952F2E" w:rsidRDefault="0035157B" w:rsidP="00916FB8">
      <w:pPr>
        <w:tabs>
          <w:tab w:val="left" w:pos="284"/>
        </w:tabs>
        <w:spacing w:line="22" w:lineRule="atLeast"/>
        <w:rPr>
          <w:rFonts w:cs="Arial"/>
          <w:szCs w:val="18"/>
          <w:lang w:val="en-US"/>
        </w:rPr>
      </w:pPr>
      <w:r>
        <w:rPr>
          <w:rFonts w:cs="Arial"/>
          <w:szCs w:val="18"/>
          <w:lang w:val="en-US"/>
        </w:rPr>
        <w:t xml:space="preserve">In case of Atex zone, </w:t>
      </w:r>
      <w:r w:rsidR="00067795">
        <w:rPr>
          <w:rFonts w:cs="Arial"/>
          <w:szCs w:val="18"/>
          <w:lang w:val="en-US"/>
        </w:rPr>
        <w:t>its extension</w:t>
      </w:r>
      <w:r w:rsidR="00AD6FB6">
        <w:rPr>
          <w:rFonts w:cs="Arial"/>
          <w:szCs w:val="18"/>
          <w:lang w:val="en-US"/>
        </w:rPr>
        <w:t xml:space="preserve"> (hazardous distance) can be estimated </w:t>
      </w:r>
      <w:r w:rsidR="002971BC">
        <w:rPr>
          <w:rFonts w:cs="Arial"/>
          <w:szCs w:val="18"/>
          <w:lang w:val="en-US"/>
        </w:rPr>
        <w:t xml:space="preserve">by the diagram </w:t>
      </w:r>
      <w:r w:rsidR="00AE7E18">
        <w:rPr>
          <w:rFonts w:cs="Arial"/>
          <w:szCs w:val="18"/>
          <w:lang w:val="en-US"/>
        </w:rPr>
        <w:t xml:space="preserve">(figure 2) </w:t>
      </w:r>
      <w:r w:rsidR="002971BC">
        <w:rPr>
          <w:rFonts w:cs="Arial"/>
          <w:szCs w:val="18"/>
          <w:lang w:val="en-US"/>
        </w:rPr>
        <w:t>reported in IEC EN 60079-10-1</w:t>
      </w:r>
      <w:r w:rsidR="00952F2E">
        <w:rPr>
          <w:rFonts w:cs="Arial"/>
          <w:szCs w:val="18"/>
          <w:lang w:val="en-US"/>
        </w:rPr>
        <w:t>:</w:t>
      </w:r>
    </w:p>
    <w:p w14:paraId="32EF9923" w14:textId="77777777" w:rsidR="00776B76" w:rsidRDefault="00E34AE3" w:rsidP="006B09D4">
      <w:pPr>
        <w:pStyle w:val="Paragrafoelenco"/>
        <w:numPr>
          <w:ilvl w:val="0"/>
          <w:numId w:val="35"/>
        </w:numPr>
        <w:tabs>
          <w:tab w:val="left" w:pos="284"/>
          <w:tab w:val="left" w:pos="426"/>
        </w:tabs>
        <w:spacing w:line="22" w:lineRule="atLeast"/>
        <w:ind w:hanging="770"/>
        <w:rPr>
          <w:rFonts w:cs="Arial"/>
          <w:szCs w:val="18"/>
          <w:lang w:val="en-US"/>
        </w:rPr>
      </w:pPr>
      <w:r>
        <w:rPr>
          <w:rFonts w:cs="Arial"/>
          <w:szCs w:val="18"/>
          <w:lang w:val="en-US"/>
        </w:rPr>
        <w:t xml:space="preserve">heavy gas </w:t>
      </w:r>
      <w:r w:rsidR="000605E0">
        <w:rPr>
          <w:rFonts w:cs="Arial"/>
          <w:szCs w:val="18"/>
          <w:lang w:val="en-US"/>
        </w:rPr>
        <w:t>line (vapour</w:t>
      </w:r>
      <w:r w:rsidR="00B52EF2">
        <w:rPr>
          <w:rFonts w:cs="Arial"/>
          <w:szCs w:val="18"/>
          <w:lang w:val="en-US"/>
        </w:rPr>
        <w:t xml:space="preserve">/gas density is </w:t>
      </w:r>
      <w:r w:rsidR="00776B76">
        <w:rPr>
          <w:rFonts w:cs="Arial"/>
          <w:szCs w:val="18"/>
          <w:lang w:val="en-US"/>
        </w:rPr>
        <w:t>bigger than air density);</w:t>
      </w:r>
    </w:p>
    <w:p w14:paraId="6403EDDC" w14:textId="3B9724FC" w:rsidR="006B09D4" w:rsidRDefault="006B09D4" w:rsidP="006B09D4">
      <w:pPr>
        <w:pStyle w:val="Paragrafoelenco"/>
        <w:numPr>
          <w:ilvl w:val="0"/>
          <w:numId w:val="35"/>
        </w:numPr>
        <w:tabs>
          <w:tab w:val="left" w:pos="284"/>
          <w:tab w:val="left" w:pos="426"/>
        </w:tabs>
        <w:spacing w:line="22" w:lineRule="atLeast"/>
        <w:ind w:hanging="770"/>
        <w:rPr>
          <w:rFonts w:cs="Arial"/>
          <w:szCs w:val="18"/>
          <w:lang w:val="en-US"/>
        </w:rPr>
      </w:pPr>
      <w:r>
        <w:rPr>
          <w:rFonts w:cs="Arial"/>
          <w:szCs w:val="18"/>
          <w:lang w:val="en-US"/>
        </w:rPr>
        <w:t>diffusive</w:t>
      </w:r>
      <w:r w:rsidR="00E70ED6">
        <w:rPr>
          <w:rFonts w:cs="Arial"/>
          <w:szCs w:val="18"/>
          <w:lang w:val="en-US"/>
        </w:rPr>
        <w:t xml:space="preserve"> line (subsonic </w:t>
      </w:r>
      <w:r>
        <w:rPr>
          <w:rFonts w:cs="Arial"/>
          <w:szCs w:val="18"/>
          <w:lang w:val="en-US"/>
        </w:rPr>
        <w:t>release);</w:t>
      </w:r>
    </w:p>
    <w:p w14:paraId="57009D83" w14:textId="220B99DD" w:rsidR="00755F8B" w:rsidRPr="00952F2E" w:rsidRDefault="006B09D4" w:rsidP="006B09D4">
      <w:pPr>
        <w:pStyle w:val="Paragrafoelenco"/>
        <w:numPr>
          <w:ilvl w:val="0"/>
          <w:numId w:val="35"/>
        </w:numPr>
        <w:tabs>
          <w:tab w:val="left" w:pos="284"/>
          <w:tab w:val="left" w:pos="426"/>
        </w:tabs>
        <w:spacing w:line="22" w:lineRule="atLeast"/>
        <w:ind w:hanging="770"/>
        <w:rPr>
          <w:rFonts w:cs="Arial"/>
          <w:szCs w:val="18"/>
          <w:lang w:val="en-US"/>
        </w:rPr>
      </w:pPr>
      <w:r>
        <w:rPr>
          <w:rFonts w:cs="Arial"/>
          <w:szCs w:val="18"/>
          <w:lang w:val="en-US"/>
        </w:rPr>
        <w:t>jet line (sonic release).</w:t>
      </w:r>
      <w:r w:rsidR="00B52EF2">
        <w:rPr>
          <w:rFonts w:cs="Arial"/>
          <w:szCs w:val="18"/>
          <w:lang w:val="en-US"/>
        </w:rPr>
        <w:t xml:space="preserve"> </w:t>
      </w:r>
    </w:p>
    <w:p w14:paraId="320B598B" w14:textId="77777777" w:rsidR="00755F8B" w:rsidRDefault="00755F8B" w:rsidP="006B09D4">
      <w:pPr>
        <w:tabs>
          <w:tab w:val="left" w:pos="284"/>
          <w:tab w:val="left" w:pos="426"/>
        </w:tabs>
        <w:spacing w:line="22" w:lineRule="atLeast"/>
        <w:ind w:hanging="770"/>
        <w:rPr>
          <w:rFonts w:cs="Arial"/>
          <w:szCs w:val="18"/>
          <w:lang w:val="en-US"/>
        </w:rPr>
      </w:pPr>
    </w:p>
    <w:p w14:paraId="06FBE09C" w14:textId="77777777" w:rsidR="00755F8B" w:rsidRDefault="00755F8B" w:rsidP="00916FB8">
      <w:pPr>
        <w:tabs>
          <w:tab w:val="left" w:pos="284"/>
        </w:tabs>
        <w:spacing w:line="22" w:lineRule="atLeast"/>
        <w:rPr>
          <w:rFonts w:cs="Arial"/>
          <w:szCs w:val="18"/>
          <w:lang w:val="en-US"/>
        </w:rPr>
      </w:pPr>
    </w:p>
    <w:p w14:paraId="63511B94" w14:textId="2A0C348E" w:rsidR="00755F8B" w:rsidRDefault="00755F8B" w:rsidP="00916FB8">
      <w:pPr>
        <w:tabs>
          <w:tab w:val="left" w:pos="284"/>
        </w:tabs>
        <w:spacing w:line="22" w:lineRule="atLeast"/>
        <w:rPr>
          <w:rFonts w:cs="Arial"/>
          <w:szCs w:val="18"/>
          <w:lang w:val="en-US"/>
        </w:rPr>
      </w:pPr>
      <w:r>
        <w:rPr>
          <w:noProof/>
        </w:rPr>
        <w:drawing>
          <wp:inline distT="0" distB="0" distL="0" distR="0" wp14:anchorId="584F44F2" wp14:editId="557F6504">
            <wp:extent cx="3801600" cy="2955600"/>
            <wp:effectExtent l="0" t="0" r="8890" b="0"/>
            <wp:docPr id="1294918916" name="Immagine 1" descr="Immagine che contiene linea, Diagramma, diagramm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18916" name="Immagine 1" descr="Immagine che contiene linea, Diagramma, diagramma, Parallelo&#10;&#10;Descrizione generat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1600" cy="2955600"/>
                    </a:xfrm>
                    <a:prstGeom prst="rect">
                      <a:avLst/>
                    </a:prstGeom>
                    <a:noFill/>
                    <a:ln>
                      <a:noFill/>
                    </a:ln>
                  </pic:spPr>
                </pic:pic>
              </a:graphicData>
            </a:graphic>
          </wp:inline>
        </w:drawing>
      </w:r>
    </w:p>
    <w:p w14:paraId="762F06E1" w14:textId="5BDB4289" w:rsidR="006E0538" w:rsidRPr="004C2916" w:rsidRDefault="006E0538" w:rsidP="006E0538">
      <w:pPr>
        <w:pStyle w:val="CETBodytext"/>
        <w:tabs>
          <w:tab w:val="left" w:pos="284"/>
        </w:tabs>
        <w:jc w:val="left"/>
        <w:rPr>
          <w:rFonts w:cs="Arial"/>
          <w:i/>
          <w:szCs w:val="18"/>
        </w:rPr>
      </w:pPr>
      <w:r w:rsidRPr="004C2916">
        <w:rPr>
          <w:rFonts w:cs="Arial"/>
          <w:i/>
          <w:szCs w:val="18"/>
        </w:rPr>
        <w:t xml:space="preserve">Figure </w:t>
      </w:r>
      <w:r>
        <w:rPr>
          <w:rFonts w:cs="Arial"/>
          <w:i/>
          <w:szCs w:val="18"/>
        </w:rPr>
        <w:t>2</w:t>
      </w:r>
      <w:r w:rsidRPr="004C2916">
        <w:rPr>
          <w:rFonts w:cs="Arial"/>
          <w:i/>
          <w:szCs w:val="18"/>
        </w:rPr>
        <w:t xml:space="preserve">: </w:t>
      </w:r>
      <w:r>
        <w:rPr>
          <w:rFonts w:cs="Arial"/>
          <w:i/>
          <w:szCs w:val="18"/>
        </w:rPr>
        <w:t xml:space="preserve">Hazardous distance </w:t>
      </w:r>
      <w:r w:rsidRPr="004C2916">
        <w:rPr>
          <w:rFonts w:cs="Arial"/>
          <w:i/>
          <w:szCs w:val="18"/>
        </w:rPr>
        <w:t>assessment</w:t>
      </w:r>
      <w:r>
        <w:rPr>
          <w:rFonts w:cs="Arial"/>
          <w:i/>
          <w:szCs w:val="18"/>
        </w:rPr>
        <w:t xml:space="preserve"> (Atex zone)</w:t>
      </w:r>
    </w:p>
    <w:p w14:paraId="2B200300" w14:textId="77777777" w:rsidR="00755F8B" w:rsidRDefault="00755F8B" w:rsidP="00916FB8">
      <w:pPr>
        <w:tabs>
          <w:tab w:val="left" w:pos="284"/>
        </w:tabs>
        <w:spacing w:line="22" w:lineRule="atLeast"/>
        <w:rPr>
          <w:rFonts w:cs="Arial"/>
          <w:szCs w:val="18"/>
          <w:lang w:val="en-US"/>
        </w:rPr>
      </w:pPr>
    </w:p>
    <w:p w14:paraId="7B052CD1" w14:textId="239B6A05" w:rsidR="00C17036" w:rsidRDefault="006810E5" w:rsidP="00916FB8">
      <w:pPr>
        <w:tabs>
          <w:tab w:val="left" w:pos="284"/>
        </w:tabs>
        <w:spacing w:line="22" w:lineRule="atLeast"/>
        <w:rPr>
          <w:rFonts w:cs="Arial"/>
          <w:szCs w:val="18"/>
          <w:lang w:val="en-US"/>
        </w:rPr>
      </w:pPr>
      <w:r>
        <w:rPr>
          <w:rFonts w:cs="Arial"/>
          <w:szCs w:val="18"/>
          <w:lang w:val="en-US"/>
        </w:rPr>
        <w:t xml:space="preserve">In </w:t>
      </w:r>
      <w:r w:rsidR="009A56C8">
        <w:rPr>
          <w:rFonts w:cs="Arial"/>
          <w:szCs w:val="18"/>
          <w:lang w:val="en-US"/>
        </w:rPr>
        <w:t>indoor workplaces</w:t>
      </w:r>
      <w:r w:rsidR="00B95DF2">
        <w:rPr>
          <w:rFonts w:cs="Arial"/>
          <w:szCs w:val="18"/>
          <w:lang w:val="en-US"/>
        </w:rPr>
        <w:t xml:space="preserve">, such as the biomethane compression unit, </w:t>
      </w:r>
      <w:r w:rsidR="003F7863">
        <w:rPr>
          <w:rFonts w:cs="Arial"/>
          <w:szCs w:val="18"/>
          <w:lang w:val="en-US"/>
        </w:rPr>
        <w:t xml:space="preserve">in case </w:t>
      </w:r>
      <w:r w:rsidR="00A20736">
        <w:rPr>
          <w:rFonts w:cs="Arial"/>
          <w:szCs w:val="18"/>
          <w:lang w:val="en-US"/>
        </w:rPr>
        <w:t xml:space="preserve">of possible formation of potentially explosive </w:t>
      </w:r>
      <w:r w:rsidR="00333F3B">
        <w:rPr>
          <w:rFonts w:cs="Arial"/>
          <w:szCs w:val="18"/>
          <w:lang w:val="en-US"/>
        </w:rPr>
        <w:t>atmosphere, its persistence time (t</w:t>
      </w:r>
      <w:r w:rsidR="00333F3B" w:rsidRPr="00333F3B">
        <w:rPr>
          <w:rFonts w:cs="Arial"/>
          <w:szCs w:val="18"/>
          <w:vertAlign w:val="subscript"/>
          <w:lang w:val="en-US"/>
        </w:rPr>
        <w:t>d</w:t>
      </w:r>
      <w:r w:rsidR="00333F3B">
        <w:rPr>
          <w:rFonts w:cs="Arial"/>
          <w:szCs w:val="18"/>
          <w:lang w:val="en-US"/>
        </w:rPr>
        <w:t xml:space="preserve">) has to be estimated, because it has </w:t>
      </w:r>
      <w:r w:rsidR="005B1DDB">
        <w:rPr>
          <w:rFonts w:cs="Arial"/>
          <w:szCs w:val="18"/>
          <w:lang w:val="en-US"/>
        </w:rPr>
        <w:t xml:space="preserve">remarkable outcomes on </w:t>
      </w:r>
      <w:r w:rsidR="0015663F">
        <w:rPr>
          <w:rFonts w:cs="Arial"/>
          <w:szCs w:val="18"/>
          <w:lang w:val="en-US"/>
        </w:rPr>
        <w:t>safety</w:t>
      </w:r>
      <w:r w:rsidR="00FD512B">
        <w:rPr>
          <w:rFonts w:cs="Arial"/>
          <w:szCs w:val="18"/>
          <w:lang w:val="en-US"/>
        </w:rPr>
        <w:t xml:space="preserve"> </w:t>
      </w:r>
      <w:r w:rsidR="0001199E">
        <w:rPr>
          <w:rFonts w:cs="Arial"/>
          <w:szCs w:val="18"/>
          <w:lang w:val="en-US"/>
        </w:rPr>
        <w:t>(Lauri, 2018)</w:t>
      </w:r>
      <w:r w:rsidR="0015663F">
        <w:rPr>
          <w:rFonts w:cs="Arial"/>
          <w:szCs w:val="18"/>
          <w:lang w:val="en-US"/>
        </w:rPr>
        <w:t xml:space="preserve">. Indeed, this parameter </w:t>
      </w:r>
      <w:r w:rsidR="00A57021">
        <w:rPr>
          <w:rFonts w:cs="Arial"/>
          <w:szCs w:val="18"/>
        </w:rPr>
        <w:t>i</w:t>
      </w:r>
      <w:r w:rsidR="00475111">
        <w:rPr>
          <w:rFonts w:cs="Arial"/>
          <w:szCs w:val="18"/>
        </w:rPr>
        <w:t>ndicates</w:t>
      </w:r>
      <w:r w:rsidR="00A57021">
        <w:rPr>
          <w:rFonts w:cs="Arial"/>
          <w:szCs w:val="18"/>
        </w:rPr>
        <w:t xml:space="preserve"> the theoretical time required to dilute the flammable substance concentration to values, which are lower than lower flammability limit.</w:t>
      </w:r>
      <w:r w:rsidR="00DD70CE">
        <w:rPr>
          <w:rFonts w:cs="Arial"/>
          <w:szCs w:val="18"/>
        </w:rPr>
        <w:t xml:space="preserve"> In accordance with Technical Standard IEC EN 60079-10-1, </w:t>
      </w:r>
      <w:r w:rsidR="00906DE3">
        <w:rPr>
          <w:rFonts w:cs="Arial"/>
          <w:szCs w:val="18"/>
        </w:rPr>
        <w:t xml:space="preserve">the mentioned </w:t>
      </w:r>
      <w:r w:rsidR="00DD70CE">
        <w:rPr>
          <w:rFonts w:cs="Arial"/>
          <w:szCs w:val="18"/>
        </w:rPr>
        <w:t>software</w:t>
      </w:r>
      <w:r w:rsidR="00906DE3">
        <w:rPr>
          <w:rFonts w:cs="Arial"/>
          <w:szCs w:val="18"/>
        </w:rPr>
        <w:t xml:space="preserve"> uses the following equation to calculate </w:t>
      </w:r>
      <w:r w:rsidR="007A7738">
        <w:rPr>
          <w:rFonts w:cs="Arial"/>
          <w:szCs w:val="18"/>
          <w:lang w:val="en-US"/>
        </w:rPr>
        <w:t>t</w:t>
      </w:r>
      <w:r w:rsidR="007A7738" w:rsidRPr="00333F3B">
        <w:rPr>
          <w:rFonts w:cs="Arial"/>
          <w:szCs w:val="18"/>
          <w:vertAlign w:val="subscript"/>
          <w:lang w:val="en-US"/>
        </w:rPr>
        <w:t>d</w:t>
      </w:r>
      <w:r w:rsidR="00C17036">
        <w:rPr>
          <w:rFonts w:cs="Arial"/>
          <w:szCs w:val="18"/>
          <w:lang w:val="en-US"/>
        </w:rPr>
        <w:t>:</w:t>
      </w:r>
    </w:p>
    <w:p w14:paraId="4255A556" w14:textId="313BED28" w:rsidR="00916FB8" w:rsidRPr="00916FB8" w:rsidRDefault="00EC3D0C" w:rsidP="00916FB8">
      <w:pPr>
        <w:tabs>
          <w:tab w:val="left" w:pos="284"/>
        </w:tabs>
        <w:spacing w:line="22" w:lineRule="atLeast"/>
        <w:rPr>
          <w:rFonts w:cs="Arial"/>
          <w:szCs w:val="18"/>
          <w:lang w:val="en-US"/>
        </w:rPr>
      </w:pPr>
      <w:r>
        <w:object w:dxaOrig="8919" w:dyaOrig="600" w14:anchorId="46BED8BC">
          <v:shape id="_x0000_i1030" type="#_x0000_t75" style="width:446.15pt;height:29.95pt" o:ole="">
            <v:imagedata r:id="rId22" o:title=""/>
          </v:shape>
          <o:OLEObject Type="Embed" ProgID="Unknown" ShapeID="_x0000_i1030" DrawAspect="Content" ObjectID="_1790495228" r:id="rId23"/>
        </w:object>
      </w:r>
      <w:r w:rsidR="00906DE3">
        <w:rPr>
          <w:rFonts w:cs="Arial"/>
          <w:szCs w:val="18"/>
        </w:rPr>
        <w:t xml:space="preserve"> </w:t>
      </w:r>
      <w:r w:rsidR="00DD70CE">
        <w:rPr>
          <w:rFonts w:cs="Arial"/>
          <w:szCs w:val="18"/>
        </w:rPr>
        <w:t xml:space="preserve">  </w:t>
      </w:r>
    </w:p>
    <w:p w14:paraId="12D43967" w14:textId="77777777" w:rsidR="00280155" w:rsidRDefault="00280155" w:rsidP="00280155">
      <w:pPr>
        <w:tabs>
          <w:tab w:val="clear" w:pos="7100"/>
          <w:tab w:val="left" w:pos="284"/>
        </w:tabs>
        <w:autoSpaceDE w:val="0"/>
        <w:autoSpaceDN w:val="0"/>
        <w:adjustRightInd w:val="0"/>
        <w:spacing w:line="22" w:lineRule="atLeast"/>
        <w:rPr>
          <w:rFonts w:cs="Arial"/>
          <w:szCs w:val="18"/>
        </w:rPr>
      </w:pPr>
      <w:r>
        <w:rPr>
          <w:rFonts w:cs="Arial"/>
          <w:szCs w:val="18"/>
        </w:rPr>
        <w:t>Where:</w:t>
      </w:r>
    </w:p>
    <w:p w14:paraId="279BA76F" w14:textId="005F43ED" w:rsidR="0069565D" w:rsidRPr="00364346" w:rsidRDefault="00364346" w:rsidP="00364346">
      <w:pPr>
        <w:pStyle w:val="Paragrafoelenco"/>
        <w:numPr>
          <w:ilvl w:val="0"/>
          <w:numId w:val="34"/>
        </w:numPr>
        <w:tabs>
          <w:tab w:val="clear" w:pos="7100"/>
          <w:tab w:val="left" w:pos="284"/>
        </w:tabs>
        <w:autoSpaceDE w:val="0"/>
        <w:autoSpaceDN w:val="0"/>
        <w:adjustRightInd w:val="0"/>
        <w:spacing w:line="22" w:lineRule="atLeast"/>
        <w:ind w:hanging="817"/>
        <w:rPr>
          <w:szCs w:val="18"/>
        </w:rPr>
      </w:pPr>
      <w:r w:rsidRPr="00364346">
        <w:rPr>
          <w:szCs w:val="18"/>
        </w:rPr>
        <w:t xml:space="preserve">C </w:t>
      </w:r>
      <w:r w:rsidR="005C2D64">
        <w:rPr>
          <w:szCs w:val="18"/>
        </w:rPr>
        <w:t>(s</w:t>
      </w:r>
      <w:r w:rsidR="002E52A8" w:rsidRPr="002E52A8">
        <w:rPr>
          <w:szCs w:val="18"/>
          <w:vertAlign w:val="superscript"/>
        </w:rPr>
        <w:t>-1</w:t>
      </w:r>
      <w:r w:rsidR="002E52A8">
        <w:rPr>
          <w:szCs w:val="18"/>
        </w:rPr>
        <w:t xml:space="preserve">) </w:t>
      </w:r>
      <w:r>
        <w:rPr>
          <w:szCs w:val="18"/>
        </w:rPr>
        <w:t xml:space="preserve">is </w:t>
      </w:r>
      <w:r w:rsidR="002E52A8">
        <w:rPr>
          <w:szCs w:val="18"/>
        </w:rPr>
        <w:t xml:space="preserve">the air changes number per </w:t>
      </w:r>
      <w:r w:rsidR="008D5312">
        <w:rPr>
          <w:szCs w:val="18"/>
        </w:rPr>
        <w:t xml:space="preserve">time unit. </w:t>
      </w:r>
    </w:p>
    <w:p w14:paraId="197307FF" w14:textId="277E75AF" w:rsidR="0069565D" w:rsidRDefault="0045768C" w:rsidP="0045768C">
      <w:pPr>
        <w:pStyle w:val="CETHeading1"/>
      </w:pPr>
      <w:r>
        <w:t>The case study</w:t>
      </w:r>
      <w:r w:rsidR="0086054A">
        <w:t>: biomethane production plant</w:t>
      </w:r>
    </w:p>
    <w:p w14:paraId="0C7ECFCD" w14:textId="71A169CA" w:rsidR="00497852" w:rsidRPr="00781082" w:rsidRDefault="00394721" w:rsidP="000D4AD9">
      <w:pPr>
        <w:tabs>
          <w:tab w:val="clear" w:pos="7100"/>
        </w:tabs>
        <w:autoSpaceDE w:val="0"/>
        <w:autoSpaceDN w:val="0"/>
        <w:adjustRightInd w:val="0"/>
        <w:spacing w:line="240" w:lineRule="auto"/>
        <w:rPr>
          <w:rFonts w:eastAsiaTheme="minorHAnsi" w:cs="Arial"/>
          <w:szCs w:val="18"/>
          <w:lang w:val="en-US"/>
        </w:rPr>
      </w:pPr>
      <w:r>
        <w:t xml:space="preserve">The </w:t>
      </w:r>
      <w:r w:rsidR="00497852">
        <w:t>biomethane production plant</w:t>
      </w:r>
      <w:r w:rsidR="008B203D">
        <w:t xml:space="preserve"> is located in southern Italy and</w:t>
      </w:r>
      <w:r w:rsidR="00497852">
        <w:t xml:space="preserve"> the compression unit increases the biofuel pressure, which depends on intended purpose. Indeed, in case of biomethane injection into the natural gas network, the pressure can usually vary from 40 bar to 80 bar, whereas, in case of compressed natural gas (CNG) production, it is about 220-230 bar. </w:t>
      </w:r>
      <w:r w:rsidR="00A5666A">
        <w:t xml:space="preserve">In the case study, </w:t>
      </w:r>
      <w:r w:rsidR="00970CCF">
        <w:t xml:space="preserve">the operating pressure </w:t>
      </w:r>
      <w:r w:rsidR="00DB592E">
        <w:t>of natural gas pipeline</w:t>
      </w:r>
      <w:r w:rsidR="006969E8">
        <w:t xml:space="preserve"> is equal to </w:t>
      </w:r>
      <w:r w:rsidR="001536E4">
        <w:t>3</w:t>
      </w:r>
      <w:r w:rsidR="006969E8">
        <w:t>0 bar and therefor</w:t>
      </w:r>
      <w:r w:rsidR="004C4E11">
        <w:t>e</w:t>
      </w:r>
      <w:r w:rsidR="00355C0F">
        <w:t xml:space="preserve">, </w:t>
      </w:r>
      <w:r w:rsidR="004C4E11">
        <w:t xml:space="preserve">because of </w:t>
      </w:r>
      <w:r w:rsidR="00831AC7">
        <w:t>the pressure drop</w:t>
      </w:r>
      <w:r w:rsidR="0024697F">
        <w:t xml:space="preserve">, the biomethane is compressed up to </w:t>
      </w:r>
      <w:r w:rsidR="00EE17C5">
        <w:t>36</w:t>
      </w:r>
      <w:r w:rsidR="0024697F">
        <w:t xml:space="preserve"> bar.</w:t>
      </w:r>
      <w:r w:rsidR="00054183">
        <w:t xml:space="preserve"> </w:t>
      </w:r>
      <w:r w:rsidR="00054183">
        <w:rPr>
          <w:rFonts w:cs="Arial"/>
          <w:szCs w:val="18"/>
        </w:rPr>
        <w:t>A multi-stage r</w:t>
      </w:r>
      <w:r w:rsidR="00054183" w:rsidRPr="00D17E91">
        <w:rPr>
          <w:rFonts w:cs="Arial"/>
          <w:szCs w:val="18"/>
        </w:rPr>
        <w:t xml:space="preserve">eciprocating compressor </w:t>
      </w:r>
      <w:r w:rsidR="00054183">
        <w:rPr>
          <w:rFonts w:cs="Arial"/>
          <w:szCs w:val="18"/>
        </w:rPr>
        <w:t>is</w:t>
      </w:r>
      <w:r w:rsidR="00054183" w:rsidRPr="00D17E91">
        <w:rPr>
          <w:rFonts w:cs="Arial"/>
          <w:szCs w:val="18"/>
        </w:rPr>
        <w:t xml:space="preserve"> used to increase the biofuel pressure.</w:t>
      </w:r>
      <w:r w:rsidR="00054183">
        <w:rPr>
          <w:rFonts w:cs="Arial"/>
          <w:szCs w:val="18"/>
        </w:rPr>
        <w:t xml:space="preserve"> </w:t>
      </w:r>
      <w:r w:rsidR="00054183" w:rsidRPr="00792908">
        <w:rPr>
          <w:rFonts w:eastAsiaTheme="minorHAnsi" w:cs="Arial"/>
          <w:szCs w:val="18"/>
          <w:lang w:val="en-US"/>
        </w:rPr>
        <w:t>On multi</w:t>
      </w:r>
      <w:r w:rsidR="00054183">
        <w:rPr>
          <w:rFonts w:eastAsiaTheme="minorHAnsi" w:cs="Arial"/>
          <w:szCs w:val="18"/>
          <w:lang w:val="en-US"/>
        </w:rPr>
        <w:t>-</w:t>
      </w:r>
      <w:r w:rsidR="00054183" w:rsidRPr="00792908">
        <w:rPr>
          <w:rFonts w:eastAsiaTheme="minorHAnsi" w:cs="Arial"/>
          <w:szCs w:val="18"/>
          <w:lang w:val="en-US"/>
        </w:rPr>
        <w:t xml:space="preserve">stage machines, intercoolers </w:t>
      </w:r>
      <w:r w:rsidR="00054183">
        <w:rPr>
          <w:rFonts w:eastAsiaTheme="minorHAnsi" w:cs="Arial"/>
          <w:szCs w:val="18"/>
          <w:lang w:val="en-US"/>
        </w:rPr>
        <w:t xml:space="preserve">remove the </w:t>
      </w:r>
      <w:r w:rsidR="00054183" w:rsidRPr="00792908">
        <w:rPr>
          <w:rFonts w:eastAsiaTheme="minorHAnsi" w:cs="Arial"/>
          <w:szCs w:val="18"/>
          <w:lang w:val="en-US"/>
        </w:rPr>
        <w:t xml:space="preserve">compression </w:t>
      </w:r>
      <w:r w:rsidR="005A60FA" w:rsidRPr="00792908">
        <w:rPr>
          <w:rFonts w:eastAsiaTheme="minorHAnsi" w:cs="Arial"/>
          <w:szCs w:val="18"/>
          <w:lang w:val="en-US"/>
        </w:rPr>
        <w:t>heat from</w:t>
      </w:r>
      <w:r w:rsidR="00054183" w:rsidRPr="00792908">
        <w:rPr>
          <w:rFonts w:eastAsiaTheme="minorHAnsi" w:cs="Arial"/>
          <w:szCs w:val="18"/>
          <w:lang w:val="en-US"/>
        </w:rPr>
        <w:t xml:space="preserve"> the </w:t>
      </w:r>
      <w:r w:rsidR="00054183">
        <w:rPr>
          <w:rFonts w:eastAsiaTheme="minorHAnsi" w:cs="Arial"/>
          <w:szCs w:val="18"/>
          <w:lang w:val="en-US"/>
        </w:rPr>
        <w:t>biofuel</w:t>
      </w:r>
      <w:r w:rsidR="00054183" w:rsidRPr="00792908">
        <w:rPr>
          <w:rFonts w:eastAsiaTheme="minorHAnsi" w:cs="Arial"/>
          <w:szCs w:val="18"/>
          <w:lang w:val="en-US"/>
        </w:rPr>
        <w:t xml:space="preserve"> and reduce its</w:t>
      </w:r>
      <w:r w:rsidR="00054183">
        <w:rPr>
          <w:rFonts w:eastAsiaTheme="minorHAnsi" w:cs="Arial"/>
          <w:szCs w:val="18"/>
          <w:lang w:val="en-US"/>
        </w:rPr>
        <w:t xml:space="preserve"> temperature </w:t>
      </w:r>
      <w:r w:rsidR="00054183" w:rsidRPr="00792908">
        <w:rPr>
          <w:rFonts w:eastAsiaTheme="minorHAnsi" w:cs="Arial"/>
          <w:szCs w:val="18"/>
          <w:lang w:val="en-US"/>
        </w:rPr>
        <w:t xml:space="preserve">to </w:t>
      </w:r>
      <w:r w:rsidR="00054183">
        <w:rPr>
          <w:rFonts w:eastAsiaTheme="minorHAnsi" w:cs="Arial"/>
          <w:szCs w:val="18"/>
          <w:lang w:val="en-US"/>
        </w:rPr>
        <w:t xml:space="preserve">value existing at the compressor </w:t>
      </w:r>
      <w:r w:rsidR="00054183" w:rsidRPr="00792908">
        <w:rPr>
          <w:rFonts w:eastAsiaTheme="minorHAnsi" w:cs="Arial"/>
          <w:szCs w:val="18"/>
          <w:lang w:val="en-US"/>
        </w:rPr>
        <w:t>intake.</w:t>
      </w:r>
      <w:r w:rsidR="00054183">
        <w:rPr>
          <w:rFonts w:eastAsiaTheme="minorHAnsi" w:cs="Arial"/>
          <w:szCs w:val="18"/>
          <w:lang w:val="en-US"/>
        </w:rPr>
        <w:t xml:space="preserve"> </w:t>
      </w:r>
      <w:r w:rsidR="003410FD">
        <w:rPr>
          <w:rFonts w:eastAsiaTheme="minorHAnsi" w:cs="Arial"/>
          <w:szCs w:val="18"/>
          <w:lang w:val="en-US"/>
        </w:rPr>
        <w:t>In particular, t</w:t>
      </w:r>
      <w:r w:rsidR="00054183">
        <w:rPr>
          <w:rFonts w:eastAsiaTheme="minorHAnsi" w:cs="Arial"/>
          <w:szCs w:val="18"/>
          <w:lang w:val="en-US"/>
        </w:rPr>
        <w:t>he compressor is oil free and water cooling. Its operating parameters are listed in table 1.</w:t>
      </w:r>
      <w:r w:rsidR="00611450">
        <w:rPr>
          <w:rFonts w:eastAsiaTheme="minorHAnsi" w:cs="Arial"/>
          <w:szCs w:val="18"/>
          <w:lang w:val="en-US"/>
        </w:rPr>
        <w:t xml:space="preserve"> </w:t>
      </w:r>
      <w:r w:rsidR="00611450">
        <w:rPr>
          <w:rFonts w:cs="Arial"/>
          <w:szCs w:val="18"/>
        </w:rPr>
        <w:t xml:space="preserve">With reference to </w:t>
      </w:r>
      <w:r w:rsidR="00D25343">
        <w:rPr>
          <w:rFonts w:cs="Arial"/>
          <w:szCs w:val="18"/>
        </w:rPr>
        <w:t>reciprocating</w:t>
      </w:r>
      <w:r w:rsidR="00611450">
        <w:rPr>
          <w:rFonts w:cs="Arial"/>
          <w:szCs w:val="18"/>
        </w:rPr>
        <w:t xml:space="preserve"> compressors, t</w:t>
      </w:r>
      <w:r w:rsidR="00611450">
        <w:rPr>
          <w:rFonts w:cs="Arial"/>
          <w:color w:val="000000" w:themeColor="text1"/>
          <w:szCs w:val="18"/>
        </w:rPr>
        <w:t xml:space="preserve">he </w:t>
      </w:r>
      <w:r w:rsidR="00611450" w:rsidRPr="00034635">
        <w:rPr>
          <w:rFonts w:eastAsiaTheme="minorHAnsi" w:cs="Arial"/>
          <w:szCs w:val="18"/>
          <w:lang w:val="en-US"/>
        </w:rPr>
        <w:t xml:space="preserve">leak is </w:t>
      </w:r>
      <w:r w:rsidR="00611450">
        <w:rPr>
          <w:rFonts w:eastAsiaTheme="minorHAnsi" w:cs="Arial"/>
          <w:szCs w:val="18"/>
          <w:lang w:val="en-US"/>
        </w:rPr>
        <w:t>the</w:t>
      </w:r>
      <w:r w:rsidR="00611450" w:rsidRPr="00034635">
        <w:rPr>
          <w:rFonts w:eastAsiaTheme="minorHAnsi" w:cs="Arial"/>
          <w:szCs w:val="18"/>
          <w:lang w:val="en-US"/>
        </w:rPr>
        <w:t xml:space="preserve"> ma</w:t>
      </w:r>
      <w:r w:rsidR="00611450">
        <w:rPr>
          <w:rFonts w:eastAsiaTheme="minorHAnsi" w:cs="Arial"/>
          <w:szCs w:val="18"/>
          <w:lang w:val="en-US"/>
        </w:rPr>
        <w:t>in</w:t>
      </w:r>
      <w:r w:rsidR="00611450" w:rsidRPr="00034635">
        <w:rPr>
          <w:rFonts w:eastAsiaTheme="minorHAnsi" w:cs="Arial"/>
          <w:szCs w:val="18"/>
          <w:lang w:val="en-US"/>
        </w:rPr>
        <w:t xml:space="preserve"> source of inefficiency </w:t>
      </w:r>
      <w:r w:rsidR="00611450">
        <w:rPr>
          <w:rFonts w:eastAsiaTheme="minorHAnsi" w:cs="Arial"/>
          <w:szCs w:val="18"/>
          <w:lang w:val="en-US"/>
        </w:rPr>
        <w:t xml:space="preserve">(Matsumura et al., 1992) </w:t>
      </w:r>
      <w:r w:rsidR="00611450" w:rsidRPr="008D39AE">
        <w:rPr>
          <w:rFonts w:eastAsiaTheme="minorHAnsi" w:cs="Arial"/>
          <w:szCs w:val="18"/>
          <w:lang w:val="en-US"/>
        </w:rPr>
        <w:t>and it can become dangerous in case of flammable gases releases. Areas of high leak frequency from reciprocating compressors include flanges, valves and fittings located on compressors. However, the highest volume of gas loss is associated with piston rod packing systems and blowdown open-ended lines (</w:t>
      </w:r>
      <w:r w:rsidR="00611450" w:rsidRPr="008D39AE">
        <w:rPr>
          <w:rFonts w:cs="Arial"/>
          <w:szCs w:val="18"/>
        </w:rPr>
        <w:t>Gas Processors Suppliers Association, 2004</w:t>
      </w:r>
      <w:r w:rsidR="00611450" w:rsidRPr="008D39AE">
        <w:rPr>
          <w:rFonts w:eastAsiaTheme="minorHAnsi" w:cs="Arial"/>
          <w:szCs w:val="18"/>
          <w:lang w:val="en-US"/>
        </w:rPr>
        <w:t>).</w:t>
      </w:r>
      <w:r w:rsidR="00611450" w:rsidRPr="008D39AE">
        <w:rPr>
          <w:rFonts w:cs="Arial"/>
          <w:color w:val="000000" w:themeColor="text1"/>
          <w:szCs w:val="18"/>
        </w:rPr>
        <w:t xml:space="preserve"> </w:t>
      </w:r>
      <w:r w:rsidR="00611450" w:rsidRPr="007371D0">
        <w:rPr>
          <w:rFonts w:cs="Arial"/>
          <w:color w:val="000000" w:themeColor="text1"/>
          <w:szCs w:val="18"/>
        </w:rPr>
        <w:t>The</w:t>
      </w:r>
      <w:r w:rsidR="00611450">
        <w:rPr>
          <w:rFonts w:cs="Arial"/>
          <w:color w:val="000000" w:themeColor="text1"/>
          <w:szCs w:val="18"/>
        </w:rPr>
        <w:t xml:space="preserve"> </w:t>
      </w:r>
      <w:r w:rsidR="00611450" w:rsidRPr="007371D0">
        <w:rPr>
          <w:rFonts w:cs="Arial"/>
          <w:color w:val="000000" w:themeColor="text1"/>
          <w:szCs w:val="18"/>
        </w:rPr>
        <w:t xml:space="preserve">compressor is equipped with </w:t>
      </w:r>
      <w:r w:rsidR="00FA6D17">
        <w:rPr>
          <w:rFonts w:cs="Arial"/>
          <w:color w:val="000000" w:themeColor="text1"/>
          <w:szCs w:val="18"/>
        </w:rPr>
        <w:t xml:space="preserve">two </w:t>
      </w:r>
      <w:r w:rsidR="00611450" w:rsidRPr="007371D0">
        <w:rPr>
          <w:rFonts w:cs="Arial"/>
          <w:color w:val="000000" w:themeColor="text1"/>
          <w:szCs w:val="18"/>
        </w:rPr>
        <w:t>safety valves aimed at limiting the discharge and inter-stage pressure and ensuring a safe machine operating. The safety valves</w:t>
      </w:r>
      <w:r w:rsidR="00611450">
        <w:rPr>
          <w:rFonts w:cs="Arial"/>
          <w:color w:val="000000" w:themeColor="text1"/>
          <w:szCs w:val="18"/>
        </w:rPr>
        <w:t xml:space="preserve"> (SV)</w:t>
      </w:r>
      <w:r w:rsidR="00611450" w:rsidRPr="007371D0">
        <w:rPr>
          <w:rFonts w:cs="Arial"/>
          <w:color w:val="000000" w:themeColor="text1"/>
          <w:szCs w:val="18"/>
        </w:rPr>
        <w:t xml:space="preserve"> are set to open at pressure</w:t>
      </w:r>
      <w:r w:rsidR="00611450">
        <w:rPr>
          <w:rFonts w:cs="Arial"/>
          <w:color w:val="000000" w:themeColor="text1"/>
          <w:szCs w:val="18"/>
        </w:rPr>
        <w:t>s, which are</w:t>
      </w:r>
      <w:r w:rsidR="00611450" w:rsidRPr="007371D0">
        <w:rPr>
          <w:rFonts w:cs="Arial"/>
          <w:color w:val="000000" w:themeColor="text1"/>
          <w:szCs w:val="18"/>
        </w:rPr>
        <w:t xml:space="preserve"> slightly higher than the normal discharge pressure.</w:t>
      </w:r>
      <w:r w:rsidR="00611450">
        <w:rPr>
          <w:rFonts w:cs="Arial"/>
          <w:color w:val="000000" w:themeColor="text1"/>
          <w:szCs w:val="18"/>
        </w:rPr>
        <w:t xml:space="preserve"> </w:t>
      </w:r>
      <w:r w:rsidR="00054183">
        <w:rPr>
          <w:rFonts w:eastAsiaTheme="minorHAnsi" w:cs="Arial"/>
          <w:szCs w:val="18"/>
          <w:lang w:val="en-US"/>
        </w:rPr>
        <w:t xml:space="preserve"> </w:t>
      </w:r>
      <w:r w:rsidR="0024156A">
        <w:rPr>
          <w:rFonts w:eastAsiaTheme="minorHAnsi" w:cs="Arial"/>
          <w:szCs w:val="18"/>
          <w:lang w:val="en-US"/>
        </w:rPr>
        <w:t xml:space="preserve">In particular, </w:t>
      </w:r>
      <w:r w:rsidR="0058359A">
        <w:rPr>
          <w:rFonts w:eastAsiaTheme="minorHAnsi" w:cs="Arial"/>
          <w:szCs w:val="18"/>
          <w:lang w:val="en-US"/>
        </w:rPr>
        <w:t>valves setting pressures</w:t>
      </w:r>
      <w:r w:rsidR="00B82DBB">
        <w:rPr>
          <w:rFonts w:eastAsiaTheme="minorHAnsi" w:cs="Arial"/>
          <w:szCs w:val="18"/>
          <w:lang w:val="en-US"/>
        </w:rPr>
        <w:t xml:space="preserve"> are 17.6 bar (first stage) and 39.6 bar (</w:t>
      </w:r>
      <w:r w:rsidR="00C15770">
        <w:rPr>
          <w:rFonts w:eastAsiaTheme="minorHAnsi" w:cs="Arial"/>
          <w:szCs w:val="18"/>
          <w:lang w:val="en-US"/>
        </w:rPr>
        <w:t>discharge)</w:t>
      </w:r>
      <w:r w:rsidR="00206DD7">
        <w:rPr>
          <w:rFonts w:eastAsiaTheme="minorHAnsi" w:cs="Arial"/>
          <w:szCs w:val="18"/>
          <w:lang w:val="en-US"/>
        </w:rPr>
        <w:t xml:space="preserve">. </w:t>
      </w:r>
      <w:r w:rsidR="00CB264C">
        <w:rPr>
          <w:rFonts w:eastAsiaTheme="minorHAnsi" w:cs="Arial"/>
          <w:szCs w:val="18"/>
          <w:lang w:val="en-US"/>
        </w:rPr>
        <w:t xml:space="preserve">The </w:t>
      </w:r>
      <w:r w:rsidR="00074FC3">
        <w:rPr>
          <w:rFonts w:eastAsiaTheme="minorHAnsi" w:cs="Arial"/>
          <w:szCs w:val="18"/>
          <w:lang w:val="en-US"/>
        </w:rPr>
        <w:t xml:space="preserve">area of </w:t>
      </w:r>
      <w:r w:rsidR="00CB264C">
        <w:rPr>
          <w:rFonts w:eastAsiaTheme="minorHAnsi" w:cs="Arial"/>
          <w:szCs w:val="18"/>
          <w:lang w:val="en-US"/>
        </w:rPr>
        <w:t xml:space="preserve">valves </w:t>
      </w:r>
      <w:r w:rsidR="0027774D">
        <w:rPr>
          <w:rFonts w:eastAsiaTheme="minorHAnsi" w:cs="Arial"/>
          <w:szCs w:val="18"/>
          <w:lang w:val="en-US"/>
        </w:rPr>
        <w:t>emission hole is 0.71 cm</w:t>
      </w:r>
      <w:r w:rsidR="0027774D">
        <w:rPr>
          <w:rFonts w:eastAsiaTheme="minorHAnsi" w:cs="Arial"/>
          <w:szCs w:val="18"/>
          <w:vertAlign w:val="superscript"/>
          <w:lang w:val="en-US"/>
        </w:rPr>
        <w:t>2</w:t>
      </w:r>
      <w:r w:rsidR="0027774D">
        <w:rPr>
          <w:rFonts w:eastAsiaTheme="minorHAnsi" w:cs="Arial"/>
          <w:szCs w:val="18"/>
          <w:lang w:val="en-US"/>
        </w:rPr>
        <w:t xml:space="preserve"> and </w:t>
      </w:r>
      <w:r w:rsidR="009758CE">
        <w:rPr>
          <w:rFonts w:eastAsiaTheme="minorHAnsi" w:cs="Arial"/>
          <w:szCs w:val="18"/>
          <w:lang w:val="en-US"/>
        </w:rPr>
        <w:t xml:space="preserve">their </w:t>
      </w:r>
      <w:r w:rsidR="00CB264C">
        <w:rPr>
          <w:rFonts w:eastAsiaTheme="minorHAnsi" w:cs="Arial"/>
          <w:szCs w:val="18"/>
          <w:lang w:val="en-US"/>
        </w:rPr>
        <w:t>disc</w:t>
      </w:r>
      <w:r w:rsidR="00F97922">
        <w:rPr>
          <w:rFonts w:eastAsiaTheme="minorHAnsi" w:cs="Arial"/>
          <w:szCs w:val="18"/>
          <w:lang w:val="en-US"/>
        </w:rPr>
        <w:t xml:space="preserve">harge is conveyed </w:t>
      </w:r>
      <w:r w:rsidR="009758CE">
        <w:rPr>
          <w:rFonts w:eastAsiaTheme="minorHAnsi" w:cs="Arial"/>
          <w:szCs w:val="18"/>
          <w:lang w:val="en-US"/>
        </w:rPr>
        <w:t xml:space="preserve">to </w:t>
      </w:r>
      <w:r w:rsidR="000F54A5">
        <w:rPr>
          <w:rFonts w:eastAsiaTheme="minorHAnsi" w:cs="Arial"/>
          <w:szCs w:val="18"/>
          <w:lang w:val="en-US"/>
        </w:rPr>
        <w:t xml:space="preserve">the </w:t>
      </w:r>
      <w:r w:rsidR="009758CE">
        <w:rPr>
          <w:rFonts w:eastAsiaTheme="minorHAnsi" w:cs="Arial"/>
          <w:szCs w:val="18"/>
          <w:lang w:val="en-US"/>
        </w:rPr>
        <w:t>atmosphere</w:t>
      </w:r>
      <w:r w:rsidR="00D444A3">
        <w:rPr>
          <w:rFonts w:eastAsiaTheme="minorHAnsi" w:cs="Arial"/>
          <w:szCs w:val="18"/>
          <w:lang w:val="en-US"/>
        </w:rPr>
        <w:t>.</w:t>
      </w:r>
      <w:r w:rsidR="00D353B5">
        <w:rPr>
          <w:rFonts w:eastAsiaTheme="minorHAnsi" w:cs="Arial"/>
          <w:szCs w:val="18"/>
          <w:lang w:val="en-US"/>
        </w:rPr>
        <w:t xml:space="preserve"> In the case study, according to Purple Book</w:t>
      </w:r>
      <w:r w:rsidR="00F017DE">
        <w:rPr>
          <w:rFonts w:eastAsiaTheme="minorHAnsi" w:cs="Arial"/>
          <w:szCs w:val="18"/>
          <w:lang w:val="en-US"/>
        </w:rPr>
        <w:t xml:space="preserve"> (CPR, 2005)</w:t>
      </w:r>
      <w:r w:rsidR="00D353B5">
        <w:rPr>
          <w:rFonts w:eastAsiaTheme="minorHAnsi" w:cs="Arial"/>
          <w:szCs w:val="18"/>
          <w:lang w:val="en-US"/>
        </w:rPr>
        <w:t xml:space="preserve">, </w:t>
      </w:r>
      <w:r w:rsidR="000D4AD9" w:rsidRPr="00781082">
        <w:rPr>
          <w:rFonts w:eastAsiaTheme="minorHAnsi" w:cs="Arial"/>
          <w:szCs w:val="18"/>
          <w:lang w:val="en-US"/>
        </w:rPr>
        <w:t>outflow is from a leak with an effective diameter of 10% of the</w:t>
      </w:r>
      <w:r w:rsidR="00781082">
        <w:rPr>
          <w:rFonts w:eastAsiaTheme="minorHAnsi" w:cs="Arial"/>
          <w:szCs w:val="18"/>
          <w:lang w:val="en-US"/>
        </w:rPr>
        <w:t xml:space="preserve"> </w:t>
      </w:r>
      <w:r w:rsidR="000D4AD9" w:rsidRPr="00781082">
        <w:rPr>
          <w:rFonts w:eastAsiaTheme="minorHAnsi" w:cs="Arial"/>
          <w:szCs w:val="18"/>
          <w:lang w:val="en-US"/>
        </w:rPr>
        <w:t>nominal diameter</w:t>
      </w:r>
      <w:r w:rsidR="005A2F02">
        <w:rPr>
          <w:rFonts w:eastAsiaTheme="minorHAnsi" w:cs="Arial"/>
          <w:szCs w:val="18"/>
          <w:lang w:val="en-US"/>
        </w:rPr>
        <w:t xml:space="preserve"> </w:t>
      </w:r>
      <w:r w:rsidR="001F19E6">
        <w:rPr>
          <w:rFonts w:eastAsiaTheme="minorHAnsi" w:cs="Arial"/>
          <w:szCs w:val="18"/>
          <w:lang w:val="en-US"/>
        </w:rPr>
        <w:t>(D=</w:t>
      </w:r>
      <w:r w:rsidR="008E2A97">
        <w:rPr>
          <w:rFonts w:eastAsiaTheme="minorHAnsi" w:cs="Arial"/>
          <w:szCs w:val="18"/>
          <w:lang w:val="en-US"/>
        </w:rPr>
        <w:t>0.95 cm)</w:t>
      </w:r>
      <w:r w:rsidR="00781082">
        <w:rPr>
          <w:rFonts w:eastAsiaTheme="minorHAnsi" w:cs="Arial"/>
          <w:szCs w:val="18"/>
          <w:lang w:val="en-US"/>
        </w:rPr>
        <w:t xml:space="preserve">. </w:t>
      </w:r>
    </w:p>
    <w:p w14:paraId="241ED5DF" w14:textId="0D7E3493" w:rsidR="00114547" w:rsidRPr="00B57B36" w:rsidRDefault="00114547" w:rsidP="00114547">
      <w:pPr>
        <w:pStyle w:val="CETTabletitle"/>
      </w:pPr>
      <w:r w:rsidRPr="00B57B36">
        <w:t xml:space="preserve">Table 1: </w:t>
      </w:r>
      <w:r w:rsidR="00D24A70">
        <w:t xml:space="preserve">Compressor operating parameters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7"/>
        <w:gridCol w:w="1701"/>
        <w:gridCol w:w="1559"/>
        <w:gridCol w:w="1419"/>
        <w:gridCol w:w="1984"/>
      </w:tblGrid>
      <w:tr w:rsidR="004D5159" w:rsidRPr="00B57B36" w14:paraId="41EFC707" w14:textId="77777777" w:rsidTr="00D91A6A">
        <w:tc>
          <w:tcPr>
            <w:tcW w:w="1417" w:type="dxa"/>
            <w:tcBorders>
              <w:top w:val="single" w:sz="12" w:space="0" w:color="008000"/>
              <w:bottom w:val="single" w:sz="6" w:space="0" w:color="008000"/>
            </w:tcBorders>
            <w:shd w:val="clear" w:color="auto" w:fill="FFFFFF"/>
          </w:tcPr>
          <w:p w14:paraId="4DFF9345" w14:textId="49586032" w:rsidR="004D5159" w:rsidRPr="00B57B36" w:rsidRDefault="004D5159" w:rsidP="00295877">
            <w:pPr>
              <w:pStyle w:val="CETBodytext"/>
              <w:jc w:val="center"/>
              <w:rPr>
                <w:lang w:val="en-GB"/>
              </w:rPr>
            </w:pPr>
            <w:r>
              <w:rPr>
                <w:lang w:val="en-GB"/>
              </w:rPr>
              <w:t>Suction pressure</w:t>
            </w:r>
            <w:r w:rsidRPr="00B57B36">
              <w:rPr>
                <w:lang w:val="en-GB"/>
              </w:rPr>
              <w:t xml:space="preserve"> </w:t>
            </w:r>
            <w:r>
              <w:rPr>
                <w:lang w:val="en-GB"/>
              </w:rPr>
              <w:t>(bar)</w:t>
            </w:r>
          </w:p>
        </w:tc>
        <w:tc>
          <w:tcPr>
            <w:tcW w:w="1701" w:type="dxa"/>
            <w:tcBorders>
              <w:top w:val="single" w:sz="12" w:space="0" w:color="008000"/>
              <w:bottom w:val="single" w:sz="6" w:space="0" w:color="008000"/>
            </w:tcBorders>
            <w:shd w:val="clear" w:color="auto" w:fill="FFFFFF"/>
          </w:tcPr>
          <w:p w14:paraId="60C18DF0" w14:textId="03A7B084" w:rsidR="004D5159" w:rsidRPr="00B57B36" w:rsidRDefault="004D5159" w:rsidP="00295877">
            <w:pPr>
              <w:pStyle w:val="CETBodytext"/>
              <w:jc w:val="center"/>
              <w:rPr>
                <w:lang w:val="en-GB"/>
              </w:rPr>
            </w:pPr>
            <w:r>
              <w:rPr>
                <w:lang w:val="en-GB"/>
              </w:rPr>
              <w:t>Discharge pressure (bar)</w:t>
            </w:r>
          </w:p>
        </w:tc>
        <w:tc>
          <w:tcPr>
            <w:tcW w:w="1559" w:type="dxa"/>
            <w:tcBorders>
              <w:top w:val="single" w:sz="12" w:space="0" w:color="008000"/>
              <w:bottom w:val="single" w:sz="6" w:space="0" w:color="008000"/>
            </w:tcBorders>
            <w:shd w:val="clear" w:color="auto" w:fill="FFFFFF"/>
          </w:tcPr>
          <w:p w14:paraId="7C6F2226" w14:textId="009ED131" w:rsidR="004D5159" w:rsidRPr="00B57B36" w:rsidRDefault="004D5159" w:rsidP="00295877">
            <w:pPr>
              <w:pStyle w:val="CETBodytext"/>
              <w:jc w:val="center"/>
              <w:rPr>
                <w:lang w:val="en-GB"/>
              </w:rPr>
            </w:pPr>
            <w:r>
              <w:rPr>
                <w:lang w:val="en-GB"/>
              </w:rPr>
              <w:t>Volumetric flow (Sm</w:t>
            </w:r>
            <w:r w:rsidRPr="00B0280A">
              <w:rPr>
                <w:vertAlign w:val="superscript"/>
                <w:lang w:val="en-GB"/>
              </w:rPr>
              <w:t>3</w:t>
            </w:r>
            <w:r>
              <w:rPr>
                <w:lang w:val="en-GB"/>
              </w:rPr>
              <w:t>/h)</w:t>
            </w:r>
          </w:p>
        </w:tc>
        <w:tc>
          <w:tcPr>
            <w:tcW w:w="1419" w:type="dxa"/>
            <w:tcBorders>
              <w:top w:val="single" w:sz="12" w:space="0" w:color="008000"/>
              <w:bottom w:val="single" w:sz="6" w:space="0" w:color="008000"/>
            </w:tcBorders>
            <w:shd w:val="clear" w:color="auto" w:fill="FFFFFF"/>
          </w:tcPr>
          <w:p w14:paraId="4E7E1692" w14:textId="5EF049D0" w:rsidR="004D5159" w:rsidRPr="00B57B36" w:rsidRDefault="004D5159" w:rsidP="00295877">
            <w:pPr>
              <w:pStyle w:val="CETBodytext"/>
              <w:ind w:right="-1"/>
              <w:jc w:val="center"/>
              <w:rPr>
                <w:rFonts w:cs="Arial"/>
                <w:szCs w:val="18"/>
                <w:lang w:val="en-GB"/>
              </w:rPr>
            </w:pPr>
            <w:r>
              <w:rPr>
                <w:rFonts w:cs="Arial"/>
                <w:szCs w:val="18"/>
                <w:lang w:val="en-GB"/>
              </w:rPr>
              <w:t>Average speed (rpm)</w:t>
            </w:r>
          </w:p>
        </w:tc>
        <w:tc>
          <w:tcPr>
            <w:tcW w:w="1984" w:type="dxa"/>
            <w:tcBorders>
              <w:top w:val="single" w:sz="12" w:space="0" w:color="008000"/>
              <w:bottom w:val="single" w:sz="6" w:space="0" w:color="008000"/>
            </w:tcBorders>
            <w:shd w:val="clear" w:color="auto" w:fill="FFFFFF"/>
          </w:tcPr>
          <w:p w14:paraId="0569842F" w14:textId="0A273F77" w:rsidR="004D5159" w:rsidRDefault="004D5159" w:rsidP="00295877">
            <w:pPr>
              <w:pStyle w:val="CETBodytext"/>
              <w:ind w:right="-1"/>
              <w:jc w:val="center"/>
              <w:rPr>
                <w:rFonts w:cs="Arial"/>
                <w:szCs w:val="18"/>
                <w:lang w:val="en-GB"/>
              </w:rPr>
            </w:pPr>
            <w:r>
              <w:rPr>
                <w:rFonts w:cs="Arial"/>
                <w:szCs w:val="18"/>
                <w:lang w:val="en-GB"/>
              </w:rPr>
              <w:t>Initial biomethane temperature (°C)</w:t>
            </w:r>
          </w:p>
        </w:tc>
      </w:tr>
      <w:tr w:rsidR="004D5159" w:rsidRPr="00B57B36" w14:paraId="7B4E932C" w14:textId="77777777" w:rsidTr="00D91A6A">
        <w:tc>
          <w:tcPr>
            <w:tcW w:w="1417" w:type="dxa"/>
            <w:shd w:val="clear" w:color="auto" w:fill="FFFFFF"/>
          </w:tcPr>
          <w:p w14:paraId="26B3343B" w14:textId="35D35A69" w:rsidR="004D5159" w:rsidRPr="00B57B36" w:rsidRDefault="004D5159" w:rsidP="00295877">
            <w:pPr>
              <w:pStyle w:val="CETBodytext"/>
              <w:jc w:val="center"/>
              <w:rPr>
                <w:lang w:val="en-GB"/>
              </w:rPr>
            </w:pPr>
            <w:r>
              <w:rPr>
                <w:lang w:val="en-GB"/>
              </w:rPr>
              <w:t>6</w:t>
            </w:r>
          </w:p>
        </w:tc>
        <w:tc>
          <w:tcPr>
            <w:tcW w:w="1701" w:type="dxa"/>
            <w:shd w:val="clear" w:color="auto" w:fill="FFFFFF"/>
          </w:tcPr>
          <w:p w14:paraId="43E7895C" w14:textId="796E1D70" w:rsidR="004D5159" w:rsidRPr="00B57B36" w:rsidRDefault="004D5159" w:rsidP="00295877">
            <w:pPr>
              <w:pStyle w:val="CETBodytext"/>
              <w:jc w:val="center"/>
              <w:rPr>
                <w:lang w:val="en-GB"/>
              </w:rPr>
            </w:pPr>
            <w:r>
              <w:rPr>
                <w:lang w:val="en-GB"/>
              </w:rPr>
              <w:t>36</w:t>
            </w:r>
          </w:p>
        </w:tc>
        <w:tc>
          <w:tcPr>
            <w:tcW w:w="1559" w:type="dxa"/>
            <w:shd w:val="clear" w:color="auto" w:fill="FFFFFF"/>
          </w:tcPr>
          <w:p w14:paraId="248D64AB" w14:textId="58910940" w:rsidR="004D5159" w:rsidRPr="00B57B36" w:rsidRDefault="004D5159" w:rsidP="00295877">
            <w:pPr>
              <w:pStyle w:val="CETBodytext"/>
              <w:jc w:val="center"/>
              <w:rPr>
                <w:lang w:val="en-GB"/>
              </w:rPr>
            </w:pPr>
            <w:r>
              <w:rPr>
                <w:lang w:val="en-GB"/>
              </w:rPr>
              <w:t>500</w:t>
            </w:r>
          </w:p>
        </w:tc>
        <w:tc>
          <w:tcPr>
            <w:tcW w:w="1419" w:type="dxa"/>
            <w:shd w:val="clear" w:color="auto" w:fill="FFFFFF"/>
          </w:tcPr>
          <w:p w14:paraId="5F5BAA38" w14:textId="4DDE72A2" w:rsidR="004D5159" w:rsidRPr="00B57B36" w:rsidRDefault="004D5159" w:rsidP="00295877">
            <w:pPr>
              <w:pStyle w:val="CETBodytext"/>
              <w:ind w:right="-1"/>
              <w:jc w:val="center"/>
              <w:rPr>
                <w:rFonts w:cs="Arial"/>
                <w:szCs w:val="18"/>
                <w:lang w:val="en-GB"/>
              </w:rPr>
            </w:pPr>
            <w:r>
              <w:rPr>
                <w:rFonts w:cs="Arial"/>
                <w:szCs w:val="18"/>
                <w:lang w:val="en-GB"/>
              </w:rPr>
              <w:t>750-1,150</w:t>
            </w:r>
          </w:p>
        </w:tc>
        <w:tc>
          <w:tcPr>
            <w:tcW w:w="1984" w:type="dxa"/>
            <w:shd w:val="clear" w:color="auto" w:fill="FFFFFF"/>
          </w:tcPr>
          <w:p w14:paraId="670F89A9" w14:textId="60759FAE" w:rsidR="004D5159" w:rsidRDefault="004D5159" w:rsidP="00295877">
            <w:pPr>
              <w:pStyle w:val="CETBodytext"/>
              <w:ind w:right="-1"/>
              <w:jc w:val="center"/>
              <w:rPr>
                <w:rFonts w:cs="Arial"/>
                <w:szCs w:val="18"/>
                <w:lang w:val="en-GB"/>
              </w:rPr>
            </w:pPr>
            <w:r>
              <w:rPr>
                <w:rFonts w:cs="Arial"/>
                <w:szCs w:val="18"/>
                <w:lang w:val="en-GB"/>
              </w:rPr>
              <w:t>25</w:t>
            </w:r>
          </w:p>
        </w:tc>
      </w:tr>
    </w:tbl>
    <w:p w14:paraId="3BDC9B3E" w14:textId="77777777" w:rsidR="00114547" w:rsidRDefault="00114547" w:rsidP="00497852">
      <w:pPr>
        <w:tabs>
          <w:tab w:val="clear" w:pos="7100"/>
        </w:tabs>
        <w:autoSpaceDE w:val="0"/>
        <w:autoSpaceDN w:val="0"/>
        <w:adjustRightInd w:val="0"/>
        <w:spacing w:line="240" w:lineRule="auto"/>
        <w:rPr>
          <w:rFonts w:eastAsiaTheme="minorHAnsi" w:cs="Arial"/>
          <w:szCs w:val="18"/>
          <w:lang w:val="en-US"/>
        </w:rPr>
      </w:pPr>
    </w:p>
    <w:p w14:paraId="3D455DED" w14:textId="77777777" w:rsidR="00114547" w:rsidRDefault="00114547" w:rsidP="00497852">
      <w:pPr>
        <w:tabs>
          <w:tab w:val="clear" w:pos="7100"/>
        </w:tabs>
        <w:autoSpaceDE w:val="0"/>
        <w:autoSpaceDN w:val="0"/>
        <w:adjustRightInd w:val="0"/>
        <w:spacing w:line="240" w:lineRule="auto"/>
        <w:rPr>
          <w:rFonts w:eastAsiaTheme="minorHAnsi" w:cs="Arial"/>
          <w:szCs w:val="18"/>
          <w:lang w:val="en-US"/>
        </w:rPr>
      </w:pPr>
    </w:p>
    <w:p w14:paraId="11CD7DA3" w14:textId="368486D8" w:rsidR="00D95C04" w:rsidRDefault="00314202" w:rsidP="00D95C04">
      <w:pPr>
        <w:pStyle w:val="CETBodytext"/>
      </w:pPr>
      <w:r>
        <w:t>The</w:t>
      </w:r>
      <w:r w:rsidR="00D95C04">
        <w:t xml:space="preserve"> compression unit is composed by:</w:t>
      </w:r>
    </w:p>
    <w:p w14:paraId="13599F33" w14:textId="77777777" w:rsidR="00D95C04" w:rsidRPr="003B6A84" w:rsidRDefault="00D95C04" w:rsidP="00D95C04">
      <w:pPr>
        <w:pStyle w:val="CETBodytext"/>
        <w:numPr>
          <w:ilvl w:val="0"/>
          <w:numId w:val="31"/>
        </w:numPr>
        <w:tabs>
          <w:tab w:val="left" w:pos="284"/>
        </w:tabs>
        <w:ind w:left="0" w:firstLine="0"/>
        <w:rPr>
          <w:rFonts w:cs="Arial"/>
          <w:color w:val="000000" w:themeColor="text1"/>
        </w:rPr>
      </w:pPr>
      <w:r>
        <w:rPr>
          <w:rFonts w:cs="Arial"/>
          <w:color w:val="000000" w:themeColor="text1"/>
          <w:szCs w:val="18"/>
        </w:rPr>
        <w:t>c</w:t>
      </w:r>
      <w:r w:rsidRPr="003B6A84">
        <w:rPr>
          <w:rFonts w:cs="Arial"/>
          <w:color w:val="000000" w:themeColor="text1"/>
          <w:szCs w:val="18"/>
        </w:rPr>
        <w:t>ompressor</w:t>
      </w:r>
      <w:r>
        <w:rPr>
          <w:rFonts w:cs="Arial"/>
          <w:color w:val="000000" w:themeColor="text1"/>
          <w:szCs w:val="18"/>
        </w:rPr>
        <w:t>;</w:t>
      </w:r>
      <w:r w:rsidRPr="003B6A84">
        <w:rPr>
          <w:rFonts w:cs="Arial"/>
          <w:color w:val="000000" w:themeColor="text1"/>
          <w:szCs w:val="18"/>
        </w:rPr>
        <w:t xml:space="preserve"> </w:t>
      </w:r>
    </w:p>
    <w:p w14:paraId="703D17DA" w14:textId="77777777" w:rsidR="00D95C04" w:rsidRPr="003B6A84" w:rsidRDefault="00D95C04" w:rsidP="00D95C04">
      <w:pPr>
        <w:pStyle w:val="CETBodytext"/>
        <w:numPr>
          <w:ilvl w:val="0"/>
          <w:numId w:val="31"/>
        </w:numPr>
        <w:tabs>
          <w:tab w:val="left" w:pos="284"/>
        </w:tabs>
        <w:ind w:left="0" w:firstLine="0"/>
        <w:rPr>
          <w:rFonts w:cs="Arial"/>
          <w:color w:val="000000" w:themeColor="text1"/>
        </w:rPr>
      </w:pPr>
      <w:r w:rsidRPr="003B6A84">
        <w:rPr>
          <w:rFonts w:cs="Arial"/>
          <w:color w:val="000000" w:themeColor="text1"/>
          <w:szCs w:val="18"/>
        </w:rPr>
        <w:t>anti-explosive electric motor</w:t>
      </w:r>
      <w:r>
        <w:rPr>
          <w:rFonts w:cs="Arial"/>
          <w:color w:val="000000" w:themeColor="text1"/>
          <w:szCs w:val="18"/>
        </w:rPr>
        <w:t>;</w:t>
      </w:r>
      <w:r w:rsidRPr="003B6A84">
        <w:rPr>
          <w:rFonts w:cs="Arial"/>
          <w:color w:val="000000" w:themeColor="text1"/>
          <w:szCs w:val="18"/>
        </w:rPr>
        <w:t xml:space="preserve"> </w:t>
      </w:r>
    </w:p>
    <w:p w14:paraId="72C90C77" w14:textId="77777777" w:rsidR="00D95C04" w:rsidRPr="003B6A84" w:rsidRDefault="00D95C04" w:rsidP="00D95C04">
      <w:pPr>
        <w:pStyle w:val="CETBodytext"/>
        <w:numPr>
          <w:ilvl w:val="0"/>
          <w:numId w:val="31"/>
        </w:numPr>
        <w:tabs>
          <w:tab w:val="left" w:pos="284"/>
        </w:tabs>
        <w:ind w:left="0" w:firstLine="0"/>
        <w:rPr>
          <w:rFonts w:cs="Arial"/>
          <w:color w:val="000000" w:themeColor="text1"/>
        </w:rPr>
      </w:pPr>
      <w:r w:rsidRPr="003B6A84">
        <w:rPr>
          <w:rFonts w:cs="Arial"/>
          <w:color w:val="000000" w:themeColor="text1"/>
          <w:szCs w:val="18"/>
        </w:rPr>
        <w:t>cooling unit</w:t>
      </w:r>
      <w:r>
        <w:rPr>
          <w:rFonts w:cs="Arial"/>
          <w:color w:val="000000" w:themeColor="text1"/>
          <w:szCs w:val="18"/>
        </w:rPr>
        <w:t>;</w:t>
      </w:r>
      <w:r w:rsidRPr="003B6A84">
        <w:rPr>
          <w:rFonts w:cs="Arial"/>
          <w:color w:val="000000" w:themeColor="text1"/>
          <w:szCs w:val="18"/>
        </w:rPr>
        <w:t xml:space="preserve"> </w:t>
      </w:r>
    </w:p>
    <w:p w14:paraId="25F01E41" w14:textId="77777777" w:rsidR="00D95C04" w:rsidRPr="00FA65DD" w:rsidRDefault="00D95C04" w:rsidP="00D95C04">
      <w:pPr>
        <w:pStyle w:val="CETBodytext"/>
        <w:numPr>
          <w:ilvl w:val="0"/>
          <w:numId w:val="31"/>
        </w:numPr>
        <w:tabs>
          <w:tab w:val="left" w:pos="284"/>
        </w:tabs>
        <w:ind w:left="0" w:firstLine="0"/>
        <w:rPr>
          <w:rFonts w:cs="Arial"/>
          <w:color w:val="000000" w:themeColor="text1"/>
        </w:rPr>
      </w:pPr>
      <w:r w:rsidRPr="003B6A84">
        <w:rPr>
          <w:rFonts w:cs="Arial"/>
          <w:color w:val="000000" w:themeColor="text1"/>
          <w:szCs w:val="18"/>
        </w:rPr>
        <w:t>connection pipeline</w:t>
      </w:r>
      <w:r>
        <w:rPr>
          <w:rFonts w:cs="Arial"/>
          <w:color w:val="000000" w:themeColor="text1"/>
          <w:szCs w:val="18"/>
        </w:rPr>
        <w:t>;</w:t>
      </w:r>
      <w:r w:rsidRPr="003B6A84">
        <w:rPr>
          <w:rFonts w:cs="Arial"/>
          <w:color w:val="000000" w:themeColor="text1"/>
          <w:szCs w:val="18"/>
        </w:rPr>
        <w:t xml:space="preserve"> </w:t>
      </w:r>
    </w:p>
    <w:p w14:paraId="07C5622F" w14:textId="77777777" w:rsidR="00D95C04" w:rsidRPr="003B6A84" w:rsidRDefault="00D95C04" w:rsidP="00D95C04">
      <w:pPr>
        <w:pStyle w:val="CETBodytext"/>
        <w:numPr>
          <w:ilvl w:val="0"/>
          <w:numId w:val="31"/>
        </w:numPr>
        <w:tabs>
          <w:tab w:val="left" w:pos="284"/>
        </w:tabs>
        <w:ind w:left="0" w:firstLine="0"/>
        <w:rPr>
          <w:rFonts w:cs="Arial"/>
          <w:color w:val="000000" w:themeColor="text1"/>
        </w:rPr>
      </w:pPr>
      <w:r>
        <w:rPr>
          <w:rFonts w:cs="Arial"/>
          <w:color w:val="000000" w:themeColor="text1"/>
          <w:szCs w:val="18"/>
        </w:rPr>
        <w:t>control valves;</w:t>
      </w:r>
    </w:p>
    <w:p w14:paraId="3A544BE3" w14:textId="77777777" w:rsidR="00D95C04" w:rsidRPr="003B6A84" w:rsidRDefault="00D95C04" w:rsidP="00D95C04">
      <w:pPr>
        <w:pStyle w:val="CETBodytext"/>
        <w:numPr>
          <w:ilvl w:val="0"/>
          <w:numId w:val="31"/>
        </w:numPr>
        <w:tabs>
          <w:tab w:val="left" w:pos="284"/>
        </w:tabs>
        <w:ind w:left="0" w:firstLine="0"/>
        <w:rPr>
          <w:rFonts w:cs="Arial"/>
          <w:color w:val="000000" w:themeColor="text1"/>
        </w:rPr>
      </w:pPr>
      <w:r w:rsidRPr="003B6A84">
        <w:rPr>
          <w:rFonts w:cs="Arial"/>
          <w:color w:val="000000" w:themeColor="text1"/>
          <w:szCs w:val="18"/>
        </w:rPr>
        <w:t>safety valve</w:t>
      </w:r>
      <w:r>
        <w:rPr>
          <w:rFonts w:cs="Arial"/>
          <w:color w:val="000000" w:themeColor="text1"/>
          <w:szCs w:val="18"/>
        </w:rPr>
        <w:t>s;</w:t>
      </w:r>
      <w:r w:rsidRPr="003B6A84">
        <w:rPr>
          <w:rFonts w:cs="Arial"/>
          <w:color w:val="000000" w:themeColor="text1"/>
          <w:szCs w:val="18"/>
        </w:rPr>
        <w:t xml:space="preserve"> </w:t>
      </w:r>
    </w:p>
    <w:p w14:paraId="4EF020C0" w14:textId="77777777" w:rsidR="00D95C04" w:rsidRPr="003B6A84" w:rsidRDefault="00D95C04" w:rsidP="00D95C04">
      <w:pPr>
        <w:pStyle w:val="CETBodytext"/>
        <w:numPr>
          <w:ilvl w:val="0"/>
          <w:numId w:val="31"/>
        </w:numPr>
        <w:tabs>
          <w:tab w:val="left" w:pos="284"/>
        </w:tabs>
        <w:ind w:left="0" w:firstLine="0"/>
        <w:rPr>
          <w:rFonts w:cs="Arial"/>
          <w:color w:val="000000" w:themeColor="text1"/>
        </w:rPr>
      </w:pPr>
      <w:r w:rsidRPr="003B6A84">
        <w:rPr>
          <w:rFonts w:cs="Arial"/>
          <w:color w:val="000000" w:themeColor="text1"/>
          <w:szCs w:val="18"/>
        </w:rPr>
        <w:t>blow-down valve</w:t>
      </w:r>
      <w:r>
        <w:rPr>
          <w:rFonts w:cs="Arial"/>
          <w:color w:val="000000" w:themeColor="text1"/>
          <w:szCs w:val="18"/>
        </w:rPr>
        <w:t>;</w:t>
      </w:r>
    </w:p>
    <w:p w14:paraId="6D25450E" w14:textId="77777777" w:rsidR="00D95C04" w:rsidRPr="003B6A84" w:rsidRDefault="00D95C04" w:rsidP="00D95C04">
      <w:pPr>
        <w:pStyle w:val="CETBodytext"/>
        <w:numPr>
          <w:ilvl w:val="0"/>
          <w:numId w:val="31"/>
        </w:numPr>
        <w:tabs>
          <w:tab w:val="left" w:pos="284"/>
        </w:tabs>
        <w:ind w:left="0" w:firstLine="0"/>
        <w:rPr>
          <w:rFonts w:cs="Arial"/>
          <w:color w:val="000000" w:themeColor="text1"/>
        </w:rPr>
      </w:pPr>
      <w:r w:rsidRPr="003B6A84">
        <w:rPr>
          <w:rFonts w:cs="Arial"/>
          <w:color w:val="000000" w:themeColor="text1"/>
          <w:szCs w:val="18"/>
        </w:rPr>
        <w:t>control cabinet.</w:t>
      </w:r>
    </w:p>
    <w:p w14:paraId="5DC61CF0" w14:textId="7806D81E" w:rsidR="00FD78EA" w:rsidRDefault="00521A11" w:rsidP="003655CD">
      <w:pPr>
        <w:tabs>
          <w:tab w:val="clear" w:pos="7100"/>
        </w:tabs>
        <w:autoSpaceDE w:val="0"/>
        <w:autoSpaceDN w:val="0"/>
        <w:adjustRightInd w:val="0"/>
        <w:spacing w:line="240" w:lineRule="auto"/>
        <w:rPr>
          <w:rFonts w:eastAsiaTheme="minorHAnsi" w:cs="Arial"/>
          <w:szCs w:val="18"/>
          <w:lang w:val="en-US"/>
        </w:rPr>
      </w:pPr>
      <w:r>
        <w:rPr>
          <w:rFonts w:eastAsiaTheme="minorHAnsi" w:cs="Arial"/>
          <w:szCs w:val="18"/>
          <w:lang w:val="en-US"/>
        </w:rPr>
        <w:t xml:space="preserve">Because of the </w:t>
      </w:r>
      <w:r w:rsidR="00A1292C">
        <w:rPr>
          <w:rFonts w:eastAsiaTheme="minorHAnsi" w:cs="Arial"/>
          <w:szCs w:val="18"/>
          <w:lang w:val="en-US"/>
        </w:rPr>
        <w:t xml:space="preserve">mentioned components presence, </w:t>
      </w:r>
      <w:r w:rsidR="001417C5">
        <w:rPr>
          <w:rFonts w:cs="Arial"/>
          <w:szCs w:val="18"/>
        </w:rPr>
        <w:t xml:space="preserve">the ventilation inefficiency factor </w:t>
      </w:r>
      <w:r w:rsidR="001417C5">
        <w:rPr>
          <w:rFonts w:cs="Arial"/>
          <w:szCs w:val="18"/>
        </w:rPr>
        <w:t xml:space="preserve">has been assumed to </w:t>
      </w:r>
      <w:r w:rsidR="00D31C45">
        <w:rPr>
          <w:rFonts w:cs="Arial"/>
          <w:szCs w:val="18"/>
        </w:rPr>
        <w:t xml:space="preserve">be </w:t>
      </w:r>
      <w:r w:rsidR="001417C5">
        <w:rPr>
          <w:rFonts w:cs="Arial"/>
          <w:szCs w:val="18"/>
        </w:rPr>
        <w:t xml:space="preserve">3. </w:t>
      </w:r>
      <w:r w:rsidR="00EA4B40">
        <w:rPr>
          <w:rFonts w:eastAsiaTheme="minorHAnsi" w:cs="Arial"/>
          <w:szCs w:val="18"/>
          <w:lang w:val="en-US"/>
        </w:rPr>
        <w:t xml:space="preserve">The compression unit is characterized by the following </w:t>
      </w:r>
      <w:r w:rsidR="00FD78EA">
        <w:rPr>
          <w:rFonts w:eastAsiaTheme="minorHAnsi" w:cs="Arial"/>
          <w:szCs w:val="18"/>
          <w:lang w:val="en-US"/>
        </w:rPr>
        <w:t>dimensions</w:t>
      </w:r>
      <w:r w:rsidR="00AF4DED">
        <w:rPr>
          <w:rFonts w:eastAsiaTheme="minorHAnsi" w:cs="Arial"/>
          <w:szCs w:val="18"/>
          <w:lang w:val="en-US"/>
        </w:rPr>
        <w:t xml:space="preserve"> (figure </w:t>
      </w:r>
      <w:r w:rsidR="00A14870">
        <w:rPr>
          <w:rFonts w:eastAsiaTheme="minorHAnsi" w:cs="Arial"/>
          <w:szCs w:val="18"/>
          <w:lang w:val="en-US"/>
        </w:rPr>
        <w:t>3</w:t>
      </w:r>
      <w:r w:rsidR="00AF4DED">
        <w:rPr>
          <w:rFonts w:eastAsiaTheme="minorHAnsi" w:cs="Arial"/>
          <w:szCs w:val="18"/>
          <w:lang w:val="en-US"/>
        </w:rPr>
        <w:t>)</w:t>
      </w:r>
      <w:r w:rsidR="00FD78EA">
        <w:rPr>
          <w:rFonts w:eastAsiaTheme="minorHAnsi" w:cs="Arial"/>
          <w:szCs w:val="18"/>
          <w:lang w:val="en-US"/>
        </w:rPr>
        <w:t>:</w:t>
      </w:r>
    </w:p>
    <w:p w14:paraId="16A8D0C1" w14:textId="51D58433" w:rsidR="000404DE" w:rsidRDefault="000404DE" w:rsidP="000404DE">
      <w:pPr>
        <w:pStyle w:val="Paragrafoelenco"/>
        <w:numPr>
          <w:ilvl w:val="0"/>
          <w:numId w:val="31"/>
        </w:numPr>
        <w:tabs>
          <w:tab w:val="clear" w:pos="7100"/>
          <w:tab w:val="left" w:pos="284"/>
        </w:tabs>
        <w:autoSpaceDE w:val="0"/>
        <w:autoSpaceDN w:val="0"/>
        <w:adjustRightInd w:val="0"/>
        <w:spacing w:line="240" w:lineRule="auto"/>
        <w:ind w:hanging="720"/>
        <w:rPr>
          <w:rFonts w:eastAsiaTheme="minorHAnsi" w:cs="Arial"/>
          <w:szCs w:val="18"/>
          <w:lang w:val="en-US"/>
        </w:rPr>
      </w:pPr>
      <w:r>
        <w:rPr>
          <w:rFonts w:eastAsiaTheme="minorHAnsi" w:cs="Arial"/>
          <w:szCs w:val="18"/>
          <w:lang w:val="en-US"/>
        </w:rPr>
        <w:t>length (mm) = 6</w:t>
      </w:r>
      <w:r w:rsidR="00FD496F">
        <w:rPr>
          <w:rFonts w:eastAsiaTheme="minorHAnsi" w:cs="Arial"/>
          <w:szCs w:val="18"/>
          <w:lang w:val="en-US"/>
        </w:rPr>
        <w:t>,</w:t>
      </w:r>
      <w:r>
        <w:rPr>
          <w:rFonts w:eastAsiaTheme="minorHAnsi" w:cs="Arial"/>
          <w:szCs w:val="18"/>
          <w:lang w:val="en-US"/>
        </w:rPr>
        <w:t>800;</w:t>
      </w:r>
    </w:p>
    <w:p w14:paraId="423DCC92" w14:textId="5DAF36EB" w:rsidR="000404DE" w:rsidRDefault="00FD496F" w:rsidP="000404DE">
      <w:pPr>
        <w:pStyle w:val="Paragrafoelenco"/>
        <w:numPr>
          <w:ilvl w:val="0"/>
          <w:numId w:val="31"/>
        </w:numPr>
        <w:tabs>
          <w:tab w:val="clear" w:pos="7100"/>
          <w:tab w:val="left" w:pos="284"/>
        </w:tabs>
        <w:autoSpaceDE w:val="0"/>
        <w:autoSpaceDN w:val="0"/>
        <w:adjustRightInd w:val="0"/>
        <w:spacing w:line="240" w:lineRule="auto"/>
        <w:ind w:hanging="720"/>
        <w:rPr>
          <w:rFonts w:eastAsiaTheme="minorHAnsi" w:cs="Arial"/>
          <w:szCs w:val="18"/>
          <w:lang w:val="en-US"/>
        </w:rPr>
      </w:pPr>
      <w:r>
        <w:rPr>
          <w:rFonts w:eastAsiaTheme="minorHAnsi" w:cs="Arial"/>
          <w:szCs w:val="18"/>
          <w:lang w:val="en-US"/>
        </w:rPr>
        <w:t>height (mm) =2,570;</w:t>
      </w:r>
    </w:p>
    <w:p w14:paraId="5535119C" w14:textId="22C0DBEB" w:rsidR="00FD496F" w:rsidRPr="000404DE" w:rsidRDefault="00FD496F" w:rsidP="000404DE">
      <w:pPr>
        <w:pStyle w:val="Paragrafoelenco"/>
        <w:numPr>
          <w:ilvl w:val="0"/>
          <w:numId w:val="31"/>
        </w:numPr>
        <w:tabs>
          <w:tab w:val="clear" w:pos="7100"/>
          <w:tab w:val="left" w:pos="284"/>
        </w:tabs>
        <w:autoSpaceDE w:val="0"/>
        <w:autoSpaceDN w:val="0"/>
        <w:adjustRightInd w:val="0"/>
        <w:spacing w:line="240" w:lineRule="auto"/>
        <w:ind w:hanging="720"/>
        <w:rPr>
          <w:rFonts w:eastAsiaTheme="minorHAnsi" w:cs="Arial"/>
          <w:szCs w:val="18"/>
          <w:lang w:val="en-US"/>
        </w:rPr>
      </w:pPr>
      <w:r>
        <w:rPr>
          <w:rFonts w:eastAsiaTheme="minorHAnsi" w:cs="Arial"/>
          <w:szCs w:val="18"/>
          <w:lang w:val="en-US"/>
        </w:rPr>
        <w:t>width (mm)</w:t>
      </w:r>
      <w:r w:rsidR="00277594">
        <w:rPr>
          <w:rFonts w:eastAsiaTheme="minorHAnsi" w:cs="Arial"/>
          <w:szCs w:val="18"/>
          <w:lang w:val="en-US"/>
        </w:rPr>
        <w:t xml:space="preserve"> =3,100.</w:t>
      </w:r>
    </w:p>
    <w:p w14:paraId="4954B040" w14:textId="1908A9C5" w:rsidR="00D812F6" w:rsidRPr="0045768C" w:rsidRDefault="00D812F6" w:rsidP="00D812F6">
      <w:pPr>
        <w:tabs>
          <w:tab w:val="clear" w:pos="7100"/>
        </w:tabs>
        <w:autoSpaceDE w:val="0"/>
        <w:autoSpaceDN w:val="0"/>
        <w:adjustRightInd w:val="0"/>
        <w:spacing w:line="240" w:lineRule="auto"/>
      </w:pPr>
      <w:r>
        <w:rPr>
          <w:rFonts w:cs="Arial"/>
          <w:color w:val="000000" w:themeColor="text1"/>
          <w:szCs w:val="18"/>
        </w:rPr>
        <w:t>With reference to classification of Atex zones,</w:t>
      </w:r>
      <w:r w:rsidRPr="008D39AE">
        <w:rPr>
          <w:rFonts w:cs="Arial"/>
          <w:szCs w:val="18"/>
        </w:rPr>
        <w:t xml:space="preserve"> the compressor can be considered as a source of secondary grade (</w:t>
      </w:r>
      <w:r>
        <w:rPr>
          <w:rFonts w:cs="Arial"/>
          <w:szCs w:val="18"/>
        </w:rPr>
        <w:t xml:space="preserve">the </w:t>
      </w:r>
      <w:r w:rsidRPr="008D39AE">
        <w:rPr>
          <w:rFonts w:cs="Arial"/>
          <w:szCs w:val="18"/>
        </w:rPr>
        <w:t xml:space="preserve">emission is not expected during the normal operating or release duration would be extremely short) release, whereas the safety valves are sources of primary grade release, because their emission can occasionally occur during the operating. </w:t>
      </w:r>
      <w:r>
        <w:rPr>
          <w:rFonts w:cs="Arial"/>
          <w:szCs w:val="18"/>
        </w:rPr>
        <w:t>The compression unit is a complex engineering system, which can be affected by failures of several components (flanges, control valve, compressor, etc.), which c</w:t>
      </w:r>
      <w:r w:rsidR="00683535">
        <w:rPr>
          <w:rFonts w:cs="Arial"/>
          <w:szCs w:val="18"/>
        </w:rPr>
        <w:t>ould</w:t>
      </w:r>
      <w:r>
        <w:rPr>
          <w:rFonts w:cs="Arial"/>
          <w:szCs w:val="18"/>
        </w:rPr>
        <w:t xml:space="preserve"> generate uncontrolled biomethane releases. </w:t>
      </w:r>
      <w:r w:rsidR="001E1C8D">
        <w:rPr>
          <w:rFonts w:cs="Arial"/>
          <w:szCs w:val="18"/>
        </w:rPr>
        <w:t xml:space="preserve">The compression unit is equipped with a </w:t>
      </w:r>
      <w:r w:rsidR="00DF311A">
        <w:rPr>
          <w:rFonts w:cs="Arial"/>
          <w:szCs w:val="18"/>
        </w:rPr>
        <w:t xml:space="preserve">forced ventilation system, which </w:t>
      </w:r>
      <w:r w:rsidR="00A22163">
        <w:rPr>
          <w:rFonts w:cs="Arial"/>
          <w:szCs w:val="18"/>
        </w:rPr>
        <w:t>can</w:t>
      </w:r>
      <w:r w:rsidR="00DF311A">
        <w:rPr>
          <w:rFonts w:cs="Arial"/>
          <w:szCs w:val="18"/>
        </w:rPr>
        <w:t xml:space="preserve"> inject </w:t>
      </w:r>
      <w:r w:rsidR="00CE6B85">
        <w:rPr>
          <w:rFonts w:cs="Arial"/>
          <w:szCs w:val="18"/>
        </w:rPr>
        <w:t>a</w:t>
      </w:r>
      <w:r w:rsidR="002E3687">
        <w:rPr>
          <w:rFonts w:cs="Arial"/>
          <w:szCs w:val="18"/>
        </w:rPr>
        <w:t xml:space="preserve"> volumetric</w:t>
      </w:r>
      <w:r w:rsidR="00CE6B85">
        <w:rPr>
          <w:rFonts w:cs="Arial"/>
          <w:szCs w:val="18"/>
        </w:rPr>
        <w:t xml:space="preserve"> air flow</w:t>
      </w:r>
      <w:r w:rsidR="00A22163">
        <w:rPr>
          <w:rFonts w:cs="Arial"/>
          <w:szCs w:val="18"/>
        </w:rPr>
        <w:t xml:space="preserve"> ranged between 0.2 m</w:t>
      </w:r>
      <w:r w:rsidR="00A22163" w:rsidRPr="00A22163">
        <w:rPr>
          <w:rFonts w:cs="Arial"/>
          <w:szCs w:val="18"/>
          <w:vertAlign w:val="superscript"/>
        </w:rPr>
        <w:t>3</w:t>
      </w:r>
      <w:r w:rsidR="00A22163">
        <w:rPr>
          <w:rFonts w:cs="Arial"/>
          <w:szCs w:val="18"/>
        </w:rPr>
        <w:t>/s and 0.</w:t>
      </w:r>
      <w:r w:rsidR="00EE7505">
        <w:rPr>
          <w:rFonts w:cs="Arial"/>
          <w:szCs w:val="18"/>
        </w:rPr>
        <w:t>8</w:t>
      </w:r>
      <w:r w:rsidR="00A22163">
        <w:rPr>
          <w:rFonts w:cs="Arial"/>
          <w:szCs w:val="18"/>
        </w:rPr>
        <w:t xml:space="preserve"> </w:t>
      </w:r>
      <w:r w:rsidR="007245C0">
        <w:rPr>
          <w:rFonts w:cs="Arial"/>
          <w:szCs w:val="18"/>
        </w:rPr>
        <w:t>m</w:t>
      </w:r>
      <w:r w:rsidR="007245C0" w:rsidRPr="00A22163">
        <w:rPr>
          <w:rFonts w:cs="Arial"/>
          <w:szCs w:val="18"/>
          <w:vertAlign w:val="superscript"/>
        </w:rPr>
        <w:t>3</w:t>
      </w:r>
      <w:r w:rsidR="007245C0">
        <w:rPr>
          <w:rFonts w:cs="Arial"/>
          <w:szCs w:val="18"/>
        </w:rPr>
        <w:t>/s.</w:t>
      </w:r>
      <w:r w:rsidR="00CE6B85">
        <w:rPr>
          <w:rFonts w:cs="Arial"/>
          <w:szCs w:val="18"/>
        </w:rPr>
        <w:t xml:space="preserve">  </w:t>
      </w:r>
      <w:r w:rsidR="001E1C8D">
        <w:rPr>
          <w:rFonts w:cs="Arial"/>
          <w:szCs w:val="18"/>
        </w:rPr>
        <w:t xml:space="preserve"> </w:t>
      </w:r>
    </w:p>
    <w:p w14:paraId="52CBBA61" w14:textId="77777777" w:rsidR="00AF4DED" w:rsidRDefault="00AF4DED" w:rsidP="003655CD">
      <w:pPr>
        <w:tabs>
          <w:tab w:val="clear" w:pos="7100"/>
        </w:tabs>
        <w:autoSpaceDE w:val="0"/>
        <w:autoSpaceDN w:val="0"/>
        <w:adjustRightInd w:val="0"/>
        <w:spacing w:line="240" w:lineRule="auto"/>
        <w:rPr>
          <w:rFonts w:cs="Arial"/>
          <w:color w:val="000000" w:themeColor="text1"/>
          <w:szCs w:val="18"/>
        </w:rPr>
      </w:pPr>
    </w:p>
    <w:p w14:paraId="373AB813" w14:textId="1F2AEDC2" w:rsidR="00AF4DED" w:rsidRDefault="00AF4DED" w:rsidP="003655CD">
      <w:pPr>
        <w:tabs>
          <w:tab w:val="clear" w:pos="7100"/>
        </w:tabs>
        <w:autoSpaceDE w:val="0"/>
        <w:autoSpaceDN w:val="0"/>
        <w:adjustRightInd w:val="0"/>
        <w:spacing w:line="240" w:lineRule="auto"/>
        <w:rPr>
          <w:rFonts w:cs="Arial"/>
          <w:color w:val="000000" w:themeColor="text1"/>
          <w:szCs w:val="18"/>
        </w:rPr>
      </w:pPr>
      <w:r>
        <w:rPr>
          <w:noProof/>
        </w:rPr>
        <w:lastRenderedPageBreak/>
        <w:drawing>
          <wp:inline distT="0" distB="0" distL="0" distR="0" wp14:anchorId="4CEFEB2A" wp14:editId="67880117">
            <wp:extent cx="1724400" cy="1468800"/>
            <wp:effectExtent l="0" t="0" r="9525" b="0"/>
            <wp:docPr id="1197250477" name="Immagine 1" descr="Immagine che contiene scatola, contenito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50477" name="Immagine 1" descr="Immagine che contiene scatola, contenitore&#10;&#10;Descrizione generata automa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4400" cy="1468800"/>
                    </a:xfrm>
                    <a:prstGeom prst="rect">
                      <a:avLst/>
                    </a:prstGeom>
                    <a:noFill/>
                    <a:ln>
                      <a:noFill/>
                    </a:ln>
                  </pic:spPr>
                </pic:pic>
              </a:graphicData>
            </a:graphic>
          </wp:inline>
        </w:drawing>
      </w:r>
    </w:p>
    <w:p w14:paraId="2CC5021E" w14:textId="77777777" w:rsidR="00AF4DED" w:rsidRDefault="00AF4DED" w:rsidP="00AF4DED">
      <w:pPr>
        <w:tabs>
          <w:tab w:val="clear" w:pos="7100"/>
        </w:tabs>
        <w:autoSpaceDE w:val="0"/>
        <w:autoSpaceDN w:val="0"/>
        <w:adjustRightInd w:val="0"/>
        <w:spacing w:line="22" w:lineRule="atLeast"/>
        <w:rPr>
          <w:rFonts w:cs="Arial"/>
          <w:szCs w:val="18"/>
        </w:rPr>
      </w:pPr>
    </w:p>
    <w:p w14:paraId="1CEF0447" w14:textId="013A2D33" w:rsidR="00AF4DED" w:rsidRPr="00A53A97" w:rsidRDefault="00AF4DED" w:rsidP="00AF4DED">
      <w:pPr>
        <w:pStyle w:val="CETBodytext"/>
        <w:tabs>
          <w:tab w:val="left" w:pos="284"/>
        </w:tabs>
        <w:jc w:val="left"/>
        <w:rPr>
          <w:rFonts w:cs="Arial"/>
          <w:i/>
          <w:szCs w:val="18"/>
        </w:rPr>
      </w:pPr>
      <w:r w:rsidRPr="004C2916">
        <w:rPr>
          <w:rFonts w:cs="Arial"/>
          <w:i/>
          <w:szCs w:val="18"/>
        </w:rPr>
        <w:t xml:space="preserve">Figure </w:t>
      </w:r>
      <w:r w:rsidR="00A14870">
        <w:rPr>
          <w:rFonts w:cs="Arial"/>
          <w:i/>
          <w:szCs w:val="18"/>
        </w:rPr>
        <w:t>3</w:t>
      </w:r>
      <w:r w:rsidRPr="004C2916">
        <w:rPr>
          <w:rFonts w:cs="Arial"/>
          <w:i/>
          <w:szCs w:val="18"/>
        </w:rPr>
        <w:t xml:space="preserve">: </w:t>
      </w:r>
      <w:r>
        <w:rPr>
          <w:rFonts w:cs="Arial"/>
          <w:i/>
          <w:szCs w:val="18"/>
        </w:rPr>
        <w:t>Biomethane compression unit</w:t>
      </w:r>
    </w:p>
    <w:p w14:paraId="53936E37" w14:textId="77777777" w:rsidR="00AF4DED" w:rsidRDefault="00AF4DED" w:rsidP="003655CD">
      <w:pPr>
        <w:tabs>
          <w:tab w:val="clear" w:pos="7100"/>
        </w:tabs>
        <w:autoSpaceDE w:val="0"/>
        <w:autoSpaceDN w:val="0"/>
        <w:adjustRightInd w:val="0"/>
        <w:spacing w:line="240" w:lineRule="auto"/>
        <w:rPr>
          <w:rFonts w:cs="Arial"/>
          <w:color w:val="000000" w:themeColor="text1"/>
          <w:szCs w:val="18"/>
        </w:rPr>
      </w:pPr>
    </w:p>
    <w:p w14:paraId="1321F85F" w14:textId="0F9A1B0B" w:rsidR="00AF4DED" w:rsidRDefault="004B00B0" w:rsidP="004B00B0">
      <w:pPr>
        <w:pStyle w:val="CETHeading1"/>
      </w:pPr>
      <w:r>
        <w:t>Results</w:t>
      </w:r>
      <w:r w:rsidR="008868AB">
        <w:t xml:space="preserve"> and discussion</w:t>
      </w:r>
    </w:p>
    <w:p w14:paraId="4DF36F2A" w14:textId="73F43287" w:rsidR="00A940AE" w:rsidRPr="00B14F58" w:rsidRDefault="000C7C50" w:rsidP="00A940AE">
      <w:pPr>
        <w:tabs>
          <w:tab w:val="clear" w:pos="7100"/>
        </w:tabs>
        <w:autoSpaceDE w:val="0"/>
        <w:autoSpaceDN w:val="0"/>
        <w:adjustRightInd w:val="0"/>
        <w:spacing w:line="240" w:lineRule="auto"/>
        <w:rPr>
          <w:rFonts w:cs="Arial"/>
          <w:szCs w:val="18"/>
        </w:rPr>
      </w:pPr>
      <w:r>
        <w:t xml:space="preserve">In order to classify </w:t>
      </w:r>
      <w:r w:rsidR="00A40396">
        <w:t xml:space="preserve">the </w:t>
      </w:r>
      <w:r w:rsidR="00FA612C">
        <w:t xml:space="preserve">(hazardous or non-hazardous) </w:t>
      </w:r>
      <w:r w:rsidR="00A40396">
        <w:t>zone generated by the possible biomethane release from the compressor</w:t>
      </w:r>
      <w:r w:rsidR="005248DF">
        <w:t xml:space="preserve">, </w:t>
      </w:r>
      <w:r w:rsidR="0015415A">
        <w:t>four</w:t>
      </w:r>
      <w:r w:rsidR="005248DF">
        <w:t xml:space="preserve"> </w:t>
      </w:r>
      <w:r w:rsidR="007B4D8B">
        <w:t xml:space="preserve">values </w:t>
      </w:r>
      <w:r w:rsidR="00D2237F">
        <w:t>of ventilation flow have been investigated</w:t>
      </w:r>
      <w:r w:rsidR="00A940AE">
        <w:t>: 0.2</w:t>
      </w:r>
      <w:r w:rsidR="00A940AE">
        <w:rPr>
          <w:rFonts w:cs="Arial"/>
          <w:szCs w:val="18"/>
        </w:rPr>
        <w:t xml:space="preserve"> m</w:t>
      </w:r>
      <w:r w:rsidR="00A940AE" w:rsidRPr="00A22163">
        <w:rPr>
          <w:rFonts w:cs="Arial"/>
          <w:szCs w:val="18"/>
          <w:vertAlign w:val="superscript"/>
        </w:rPr>
        <w:t>3</w:t>
      </w:r>
      <w:r w:rsidR="00A940AE">
        <w:rPr>
          <w:rFonts w:cs="Arial"/>
          <w:szCs w:val="18"/>
        </w:rPr>
        <w:t>/s</w:t>
      </w:r>
      <w:r w:rsidR="00000E54">
        <w:rPr>
          <w:rFonts w:cs="Arial"/>
          <w:szCs w:val="18"/>
        </w:rPr>
        <w:t>, 0.4 m</w:t>
      </w:r>
      <w:r w:rsidR="00000E54" w:rsidRPr="00A22163">
        <w:rPr>
          <w:rFonts w:cs="Arial"/>
          <w:szCs w:val="18"/>
          <w:vertAlign w:val="superscript"/>
        </w:rPr>
        <w:t>3</w:t>
      </w:r>
      <w:r w:rsidR="00000E54">
        <w:rPr>
          <w:rFonts w:cs="Arial"/>
          <w:szCs w:val="18"/>
        </w:rPr>
        <w:t>/s</w:t>
      </w:r>
      <w:r w:rsidR="0009500B">
        <w:rPr>
          <w:rFonts w:cs="Arial"/>
          <w:szCs w:val="18"/>
        </w:rPr>
        <w:t xml:space="preserve">, </w:t>
      </w:r>
      <w:r w:rsidR="00A940AE">
        <w:rPr>
          <w:rFonts w:cs="Arial"/>
          <w:szCs w:val="18"/>
        </w:rPr>
        <w:t>0.6 m</w:t>
      </w:r>
      <w:r w:rsidR="00A940AE" w:rsidRPr="00A22163">
        <w:rPr>
          <w:rFonts w:cs="Arial"/>
          <w:szCs w:val="18"/>
          <w:vertAlign w:val="superscript"/>
        </w:rPr>
        <w:t>3</w:t>
      </w:r>
      <w:r w:rsidR="00A940AE">
        <w:rPr>
          <w:rFonts w:cs="Arial"/>
          <w:szCs w:val="18"/>
        </w:rPr>
        <w:t>/s</w:t>
      </w:r>
      <w:r w:rsidR="0009500B">
        <w:rPr>
          <w:rFonts w:cs="Arial"/>
          <w:szCs w:val="18"/>
        </w:rPr>
        <w:t xml:space="preserve"> and 0.8 m</w:t>
      </w:r>
      <w:r w:rsidR="0009500B" w:rsidRPr="00A22163">
        <w:rPr>
          <w:rFonts w:cs="Arial"/>
          <w:szCs w:val="18"/>
          <w:vertAlign w:val="superscript"/>
        </w:rPr>
        <w:t>3</w:t>
      </w:r>
      <w:r w:rsidR="0009500B">
        <w:rPr>
          <w:rFonts w:cs="Arial"/>
          <w:szCs w:val="18"/>
        </w:rPr>
        <w:t>/s</w:t>
      </w:r>
      <w:r w:rsidR="00A940AE">
        <w:rPr>
          <w:rFonts w:cs="Arial"/>
          <w:szCs w:val="18"/>
        </w:rPr>
        <w:t xml:space="preserve">.  </w:t>
      </w:r>
      <w:r w:rsidR="004979C0">
        <w:rPr>
          <w:rFonts w:cs="Arial"/>
          <w:szCs w:val="18"/>
        </w:rPr>
        <w:t xml:space="preserve">The </w:t>
      </w:r>
      <w:r w:rsidR="00584D2B">
        <w:rPr>
          <w:rFonts w:cs="Arial"/>
          <w:szCs w:val="18"/>
        </w:rPr>
        <w:t>results obtained</w:t>
      </w:r>
      <w:r w:rsidR="00BB72D0">
        <w:rPr>
          <w:rFonts w:cs="Arial"/>
          <w:szCs w:val="18"/>
        </w:rPr>
        <w:t xml:space="preserve"> from the software are reported in </w:t>
      </w:r>
      <w:r w:rsidR="00E64405">
        <w:rPr>
          <w:rFonts w:cs="Arial"/>
          <w:szCs w:val="18"/>
        </w:rPr>
        <w:t>t</w:t>
      </w:r>
      <w:r w:rsidR="00BB72D0">
        <w:rPr>
          <w:rFonts w:cs="Arial"/>
          <w:szCs w:val="18"/>
        </w:rPr>
        <w:t>a</w:t>
      </w:r>
      <w:r w:rsidR="00E64405">
        <w:rPr>
          <w:rFonts w:cs="Arial"/>
          <w:szCs w:val="18"/>
        </w:rPr>
        <w:t>b</w:t>
      </w:r>
      <w:r w:rsidR="00BB72D0">
        <w:rPr>
          <w:rFonts w:cs="Arial"/>
          <w:szCs w:val="18"/>
        </w:rPr>
        <w:t xml:space="preserve">le </w:t>
      </w:r>
      <w:r w:rsidR="008B150F">
        <w:rPr>
          <w:rFonts w:cs="Arial"/>
          <w:szCs w:val="18"/>
        </w:rPr>
        <w:t>2</w:t>
      </w:r>
      <w:r w:rsidR="00C2260A">
        <w:rPr>
          <w:rFonts w:cs="Arial"/>
          <w:szCs w:val="18"/>
        </w:rPr>
        <w:t>.</w:t>
      </w:r>
      <w:r w:rsidR="00156663">
        <w:rPr>
          <w:rFonts w:cs="Arial"/>
          <w:szCs w:val="18"/>
        </w:rPr>
        <w:t xml:space="preserve"> </w:t>
      </w:r>
      <w:r w:rsidR="004605F0">
        <w:rPr>
          <w:rFonts w:cs="Arial"/>
          <w:szCs w:val="18"/>
        </w:rPr>
        <w:t xml:space="preserve">According to equation 2, </w:t>
      </w:r>
      <w:r w:rsidR="0066457F">
        <w:rPr>
          <w:rFonts w:cs="Arial"/>
          <w:szCs w:val="18"/>
        </w:rPr>
        <w:t>X</w:t>
      </w:r>
      <w:r w:rsidR="0066457F" w:rsidRPr="0066457F">
        <w:rPr>
          <w:rFonts w:cs="Arial"/>
          <w:szCs w:val="18"/>
          <w:vertAlign w:val="subscript"/>
        </w:rPr>
        <w:t>btot</w:t>
      </w:r>
      <w:r w:rsidR="0066457F">
        <w:rPr>
          <w:rFonts w:cs="Arial"/>
          <w:szCs w:val="18"/>
        </w:rPr>
        <w:t xml:space="preserve"> depends on the </w:t>
      </w:r>
      <w:r w:rsidR="00B14F58">
        <w:rPr>
          <w:rFonts w:cs="Arial"/>
          <w:szCs w:val="18"/>
        </w:rPr>
        <w:t>sum of X</w:t>
      </w:r>
      <w:r w:rsidR="00B14F58">
        <w:rPr>
          <w:rFonts w:cs="Arial"/>
          <w:szCs w:val="18"/>
          <w:vertAlign w:val="subscript"/>
        </w:rPr>
        <w:t>b</w:t>
      </w:r>
      <w:r w:rsidR="00B14F58">
        <w:rPr>
          <w:rFonts w:cs="Arial"/>
          <w:szCs w:val="18"/>
        </w:rPr>
        <w:t xml:space="preserve"> </w:t>
      </w:r>
      <w:r w:rsidR="006E729C">
        <w:rPr>
          <w:rFonts w:cs="Arial"/>
          <w:szCs w:val="18"/>
        </w:rPr>
        <w:t xml:space="preserve">related to </w:t>
      </w:r>
      <w:r w:rsidR="002B74CE">
        <w:rPr>
          <w:rFonts w:cs="Arial"/>
          <w:szCs w:val="18"/>
        </w:rPr>
        <w:t>all</w:t>
      </w:r>
      <w:r w:rsidR="007A072C">
        <w:rPr>
          <w:rFonts w:cs="Arial"/>
          <w:szCs w:val="18"/>
        </w:rPr>
        <w:t xml:space="preserve"> potential </w:t>
      </w:r>
      <w:r w:rsidR="003904BC">
        <w:rPr>
          <w:rFonts w:cs="Arial"/>
          <w:szCs w:val="18"/>
        </w:rPr>
        <w:t>emission sources (safety valves and compressor)</w:t>
      </w:r>
      <w:r w:rsidR="00095B62">
        <w:rPr>
          <w:rFonts w:cs="Arial"/>
          <w:szCs w:val="18"/>
        </w:rPr>
        <w:t xml:space="preserve">, because the reciprocating compressor can be considered as </w:t>
      </w:r>
      <w:r w:rsidR="00A01571">
        <w:rPr>
          <w:rFonts w:cs="Arial"/>
          <w:szCs w:val="18"/>
        </w:rPr>
        <w:t xml:space="preserve">secondary grade source. </w:t>
      </w:r>
      <w:r w:rsidR="00F23BB1">
        <w:rPr>
          <w:rFonts w:cs="Arial"/>
          <w:szCs w:val="18"/>
        </w:rPr>
        <w:t xml:space="preserve">In case of </w:t>
      </w:r>
      <w:r w:rsidR="006912C2">
        <w:rPr>
          <w:rFonts w:cs="Arial"/>
          <w:szCs w:val="18"/>
        </w:rPr>
        <w:t xml:space="preserve">biofuel emission from </w:t>
      </w:r>
      <w:r w:rsidR="002B74CE">
        <w:rPr>
          <w:rFonts w:cs="Arial"/>
          <w:szCs w:val="18"/>
        </w:rPr>
        <w:t xml:space="preserve">the compressor, </w:t>
      </w:r>
      <w:r w:rsidR="00FB7B5F">
        <w:rPr>
          <w:rFonts w:cs="Arial"/>
          <w:szCs w:val="18"/>
        </w:rPr>
        <w:t>X</w:t>
      </w:r>
      <w:r w:rsidR="00FB7B5F" w:rsidRPr="0066457F">
        <w:rPr>
          <w:rFonts w:cs="Arial"/>
          <w:szCs w:val="18"/>
          <w:vertAlign w:val="subscript"/>
        </w:rPr>
        <w:t>btot</w:t>
      </w:r>
      <w:r w:rsidR="00FB7B5F">
        <w:rPr>
          <w:rFonts w:cs="Arial"/>
          <w:szCs w:val="18"/>
        </w:rPr>
        <w:t xml:space="preserve"> is </w:t>
      </w:r>
      <w:r w:rsidR="004D0110">
        <w:rPr>
          <w:rFonts w:cs="Arial"/>
          <w:szCs w:val="18"/>
        </w:rPr>
        <w:t>bigger than X</w:t>
      </w:r>
      <w:r w:rsidR="004D0110" w:rsidRPr="004D0110">
        <w:rPr>
          <w:rFonts w:cs="Arial"/>
          <w:szCs w:val="18"/>
          <w:vertAlign w:val="subscript"/>
        </w:rPr>
        <w:t>cr</w:t>
      </w:r>
      <w:r w:rsidR="006912C2" w:rsidRPr="004D0110">
        <w:rPr>
          <w:rFonts w:cs="Arial"/>
          <w:szCs w:val="18"/>
          <w:vertAlign w:val="subscript"/>
        </w:rPr>
        <w:t xml:space="preserve"> </w:t>
      </w:r>
      <w:r w:rsidR="004D0110">
        <w:rPr>
          <w:rFonts w:cs="Arial"/>
          <w:szCs w:val="18"/>
        </w:rPr>
        <w:t>(0.011) and therefore</w:t>
      </w:r>
      <w:r w:rsidR="004E3D38">
        <w:rPr>
          <w:rFonts w:cs="Arial"/>
          <w:szCs w:val="18"/>
        </w:rPr>
        <w:t xml:space="preserve">, </w:t>
      </w:r>
      <w:r w:rsidR="003E59EF">
        <w:rPr>
          <w:rFonts w:cs="Arial"/>
          <w:szCs w:val="18"/>
        </w:rPr>
        <w:t>in spite of ventilation flow increase</w:t>
      </w:r>
      <w:r w:rsidR="005F28B6">
        <w:rPr>
          <w:rFonts w:cs="Arial"/>
          <w:szCs w:val="18"/>
        </w:rPr>
        <w:t>,</w:t>
      </w:r>
      <w:r w:rsidR="004D0110">
        <w:rPr>
          <w:rFonts w:cs="Arial"/>
          <w:szCs w:val="18"/>
        </w:rPr>
        <w:t xml:space="preserve"> </w:t>
      </w:r>
      <w:r w:rsidR="00A1706E">
        <w:rPr>
          <w:rFonts w:cs="Arial"/>
          <w:szCs w:val="18"/>
        </w:rPr>
        <w:t>the dilution degree is low</w:t>
      </w:r>
      <w:r w:rsidR="005F28B6">
        <w:rPr>
          <w:rFonts w:cs="Arial"/>
          <w:szCs w:val="18"/>
        </w:rPr>
        <w:t>.</w:t>
      </w:r>
      <w:r w:rsidR="001B2A3B">
        <w:rPr>
          <w:rFonts w:cs="Arial"/>
          <w:szCs w:val="18"/>
        </w:rPr>
        <w:t xml:space="preserve"> </w:t>
      </w:r>
      <w:r w:rsidR="008844D7">
        <w:rPr>
          <w:rFonts w:cs="Arial"/>
          <w:szCs w:val="18"/>
        </w:rPr>
        <w:t xml:space="preserve"> </w:t>
      </w:r>
      <w:r w:rsidR="005F28B6">
        <w:rPr>
          <w:rFonts w:cs="Arial"/>
          <w:szCs w:val="18"/>
        </w:rPr>
        <w:t xml:space="preserve"> </w:t>
      </w:r>
      <w:r w:rsidR="00F23BB1">
        <w:rPr>
          <w:rFonts w:cs="Arial"/>
          <w:szCs w:val="18"/>
        </w:rPr>
        <w:t xml:space="preserve"> </w:t>
      </w:r>
      <w:r w:rsidR="00095B62">
        <w:rPr>
          <w:rFonts w:cs="Arial"/>
          <w:szCs w:val="18"/>
        </w:rPr>
        <w:t xml:space="preserve">  </w:t>
      </w:r>
    </w:p>
    <w:p w14:paraId="4D1587CC" w14:textId="77777777" w:rsidR="00C2260A" w:rsidRDefault="00C2260A" w:rsidP="00A940AE">
      <w:pPr>
        <w:tabs>
          <w:tab w:val="clear" w:pos="7100"/>
        </w:tabs>
        <w:autoSpaceDE w:val="0"/>
        <w:autoSpaceDN w:val="0"/>
        <w:adjustRightInd w:val="0"/>
        <w:spacing w:line="240" w:lineRule="auto"/>
        <w:rPr>
          <w:rFonts w:cs="Arial"/>
          <w:szCs w:val="18"/>
        </w:rPr>
      </w:pPr>
    </w:p>
    <w:p w14:paraId="2F33478D" w14:textId="5E440C41" w:rsidR="00981FB7" w:rsidRPr="00D85560" w:rsidRDefault="00981FB7" w:rsidP="00A940AE">
      <w:pPr>
        <w:tabs>
          <w:tab w:val="clear" w:pos="7100"/>
        </w:tabs>
        <w:autoSpaceDE w:val="0"/>
        <w:autoSpaceDN w:val="0"/>
        <w:adjustRightInd w:val="0"/>
        <w:spacing w:line="240" w:lineRule="auto"/>
        <w:rPr>
          <w:rFonts w:cs="Arial"/>
          <w:i/>
          <w:iCs/>
          <w:szCs w:val="18"/>
        </w:rPr>
      </w:pPr>
      <w:r w:rsidRPr="00D85560">
        <w:rPr>
          <w:rFonts w:cs="Arial"/>
          <w:i/>
          <w:iCs/>
          <w:szCs w:val="18"/>
        </w:rPr>
        <w:t>Table 2: Results</w:t>
      </w:r>
    </w:p>
    <w:tbl>
      <w:tblPr>
        <w:tblW w:w="864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709"/>
        <w:gridCol w:w="850"/>
        <w:gridCol w:w="1701"/>
        <w:gridCol w:w="1528"/>
        <w:gridCol w:w="1165"/>
        <w:gridCol w:w="567"/>
        <w:gridCol w:w="1276"/>
      </w:tblGrid>
      <w:tr w:rsidR="00565EFA" w:rsidRPr="00B57B36" w14:paraId="263F471C" w14:textId="5D9193E9" w:rsidTr="00E633A8">
        <w:tc>
          <w:tcPr>
            <w:tcW w:w="851" w:type="dxa"/>
            <w:tcBorders>
              <w:top w:val="single" w:sz="12" w:space="0" w:color="008000"/>
              <w:bottom w:val="single" w:sz="4" w:space="0" w:color="auto"/>
            </w:tcBorders>
            <w:shd w:val="clear" w:color="auto" w:fill="FFFFFF"/>
          </w:tcPr>
          <w:p w14:paraId="47291A3A" w14:textId="44661D69" w:rsidR="00565EFA" w:rsidRPr="000A5C4F" w:rsidRDefault="00565EFA" w:rsidP="009B69DF">
            <w:pPr>
              <w:pStyle w:val="CETBodytext"/>
              <w:jc w:val="center"/>
              <w:rPr>
                <w:lang w:val="en-GB"/>
              </w:rPr>
            </w:pPr>
            <w:r>
              <w:rPr>
                <w:lang w:val="en-GB"/>
              </w:rPr>
              <w:t>Q</w:t>
            </w:r>
            <w:r>
              <w:rPr>
                <w:vertAlign w:val="subscript"/>
                <w:lang w:val="en-GB"/>
              </w:rPr>
              <w:t>a</w:t>
            </w:r>
            <w:r>
              <w:rPr>
                <w:lang w:val="en-GB"/>
              </w:rPr>
              <w:t xml:space="preserve"> (</w:t>
            </w:r>
            <w:r>
              <w:rPr>
                <w:rFonts w:cs="Arial"/>
                <w:szCs w:val="18"/>
              </w:rPr>
              <w:t>m</w:t>
            </w:r>
            <w:r w:rsidRPr="00A22163">
              <w:rPr>
                <w:rFonts w:cs="Arial"/>
                <w:szCs w:val="18"/>
                <w:vertAlign w:val="superscript"/>
              </w:rPr>
              <w:t>3</w:t>
            </w:r>
            <w:r>
              <w:rPr>
                <w:rFonts w:cs="Arial"/>
                <w:szCs w:val="18"/>
              </w:rPr>
              <w:t>/s</w:t>
            </w:r>
            <w:r>
              <w:rPr>
                <w:lang w:val="en-GB"/>
              </w:rPr>
              <w:t>)</w:t>
            </w:r>
          </w:p>
        </w:tc>
        <w:tc>
          <w:tcPr>
            <w:tcW w:w="709" w:type="dxa"/>
            <w:tcBorders>
              <w:top w:val="single" w:sz="12" w:space="0" w:color="008000"/>
              <w:bottom w:val="single" w:sz="4" w:space="0" w:color="auto"/>
            </w:tcBorders>
            <w:shd w:val="clear" w:color="auto" w:fill="FFFFFF"/>
          </w:tcPr>
          <w:p w14:paraId="0EE000CF" w14:textId="65AC6BFF" w:rsidR="00565EFA" w:rsidRPr="00B57B36" w:rsidRDefault="00C239F1" w:rsidP="009B69DF">
            <w:pPr>
              <w:pStyle w:val="CETBodytext"/>
              <w:jc w:val="center"/>
              <w:rPr>
                <w:lang w:val="en-GB"/>
              </w:rPr>
            </w:pPr>
            <w:r>
              <w:rPr>
                <w:lang w:val="en-GB"/>
              </w:rPr>
              <w:t>F</w:t>
            </w:r>
            <w:r w:rsidR="00565EFA">
              <w:rPr>
                <w:lang w:val="en-GB"/>
              </w:rPr>
              <w:t>low</w:t>
            </w:r>
          </w:p>
        </w:tc>
        <w:tc>
          <w:tcPr>
            <w:tcW w:w="850" w:type="dxa"/>
            <w:tcBorders>
              <w:top w:val="single" w:sz="12" w:space="0" w:color="008000"/>
              <w:bottom w:val="single" w:sz="4" w:space="0" w:color="auto"/>
            </w:tcBorders>
            <w:shd w:val="clear" w:color="auto" w:fill="FFFFFF"/>
          </w:tcPr>
          <w:p w14:paraId="428BC197" w14:textId="74096C11" w:rsidR="00565EFA" w:rsidRPr="00A20232" w:rsidRDefault="00565EFA" w:rsidP="009B69DF">
            <w:pPr>
              <w:pStyle w:val="CETBodytext"/>
              <w:jc w:val="center"/>
              <w:rPr>
                <w:lang w:val="en-GB"/>
              </w:rPr>
            </w:pPr>
            <w:r>
              <w:rPr>
                <w:lang w:val="en-GB"/>
              </w:rPr>
              <w:t>u</w:t>
            </w:r>
            <w:r>
              <w:rPr>
                <w:vertAlign w:val="subscript"/>
                <w:lang w:val="en-GB"/>
              </w:rPr>
              <w:t>w</w:t>
            </w:r>
            <w:r>
              <w:rPr>
                <w:lang w:val="en-GB"/>
              </w:rPr>
              <w:t xml:space="preserve"> (m/s)</w:t>
            </w:r>
          </w:p>
        </w:tc>
        <w:tc>
          <w:tcPr>
            <w:tcW w:w="1701" w:type="dxa"/>
            <w:tcBorders>
              <w:top w:val="single" w:sz="12" w:space="0" w:color="008000"/>
              <w:bottom w:val="single" w:sz="4" w:space="0" w:color="auto"/>
            </w:tcBorders>
            <w:shd w:val="clear" w:color="auto" w:fill="FFFFFF"/>
          </w:tcPr>
          <w:p w14:paraId="7669B6CA" w14:textId="227D7F88" w:rsidR="008B16FC" w:rsidRDefault="00565EFA" w:rsidP="009B69DF">
            <w:pPr>
              <w:pStyle w:val="CETBodytext"/>
              <w:ind w:right="-1"/>
              <w:jc w:val="center"/>
              <w:rPr>
                <w:rFonts w:cs="Arial"/>
                <w:szCs w:val="18"/>
                <w:vertAlign w:val="subscript"/>
                <w:lang w:val="en-GB"/>
              </w:rPr>
            </w:pPr>
            <w:r>
              <w:rPr>
                <w:rFonts w:cs="Arial"/>
                <w:szCs w:val="18"/>
                <w:lang w:val="en-GB"/>
              </w:rPr>
              <w:t>X</w:t>
            </w:r>
            <w:r>
              <w:rPr>
                <w:rFonts w:cs="Arial"/>
                <w:szCs w:val="18"/>
                <w:vertAlign w:val="subscript"/>
                <w:lang w:val="en-GB"/>
              </w:rPr>
              <w:t>b</w:t>
            </w:r>
            <w:r w:rsidR="00AC2690">
              <w:rPr>
                <w:rFonts w:cs="Arial"/>
                <w:szCs w:val="18"/>
                <w:vertAlign w:val="subscript"/>
                <w:lang w:val="en-GB"/>
              </w:rPr>
              <w:t>1</w:t>
            </w:r>
          </w:p>
          <w:p w14:paraId="068EA722" w14:textId="024A45F0" w:rsidR="00565EFA" w:rsidRPr="00CD1C29" w:rsidRDefault="00565EFA" w:rsidP="009B69DF">
            <w:pPr>
              <w:pStyle w:val="CETBodytext"/>
              <w:ind w:right="-1"/>
              <w:jc w:val="center"/>
              <w:rPr>
                <w:rFonts w:cs="Arial"/>
                <w:szCs w:val="18"/>
                <w:lang w:val="en-GB"/>
              </w:rPr>
            </w:pPr>
            <w:r>
              <w:rPr>
                <w:rFonts w:cs="Arial"/>
                <w:szCs w:val="18"/>
                <w:lang w:val="en-GB"/>
              </w:rPr>
              <w:t>(safety valve/first stage)</w:t>
            </w:r>
          </w:p>
        </w:tc>
        <w:tc>
          <w:tcPr>
            <w:tcW w:w="1528" w:type="dxa"/>
            <w:tcBorders>
              <w:top w:val="single" w:sz="12" w:space="0" w:color="008000"/>
              <w:bottom w:val="single" w:sz="4" w:space="0" w:color="auto"/>
            </w:tcBorders>
            <w:shd w:val="clear" w:color="auto" w:fill="FFFFFF"/>
          </w:tcPr>
          <w:p w14:paraId="29AE7EB2" w14:textId="439244C5" w:rsidR="00565EFA" w:rsidRPr="00935374" w:rsidRDefault="00565EFA" w:rsidP="009B69DF">
            <w:pPr>
              <w:pStyle w:val="CETBodytext"/>
              <w:ind w:right="-1"/>
              <w:jc w:val="center"/>
              <w:rPr>
                <w:rFonts w:cs="Arial"/>
                <w:szCs w:val="18"/>
                <w:vertAlign w:val="subscript"/>
                <w:lang w:val="en-GB"/>
              </w:rPr>
            </w:pPr>
            <w:r>
              <w:rPr>
                <w:rFonts w:cs="Arial"/>
                <w:szCs w:val="18"/>
                <w:lang w:val="en-GB"/>
              </w:rPr>
              <w:t>X</w:t>
            </w:r>
            <w:r>
              <w:rPr>
                <w:rFonts w:cs="Arial"/>
                <w:szCs w:val="18"/>
                <w:vertAlign w:val="subscript"/>
                <w:lang w:val="en-GB"/>
              </w:rPr>
              <w:t>b</w:t>
            </w:r>
            <w:r w:rsidR="00AC2690">
              <w:rPr>
                <w:rFonts w:cs="Arial"/>
                <w:szCs w:val="18"/>
                <w:vertAlign w:val="subscript"/>
                <w:lang w:val="en-GB"/>
              </w:rPr>
              <w:t>2</w:t>
            </w:r>
            <w:r>
              <w:rPr>
                <w:rFonts w:cs="Arial"/>
                <w:szCs w:val="18"/>
                <w:vertAlign w:val="subscript"/>
                <w:lang w:val="en-GB"/>
              </w:rPr>
              <w:t xml:space="preserve"> </w:t>
            </w:r>
            <w:r w:rsidR="00935374">
              <w:rPr>
                <w:rFonts w:cs="Arial"/>
                <w:szCs w:val="18"/>
                <w:vertAlign w:val="subscript"/>
                <w:lang w:val="en-GB"/>
              </w:rPr>
              <w:t xml:space="preserve"> </w:t>
            </w:r>
            <w:r>
              <w:rPr>
                <w:rFonts w:cs="Arial"/>
                <w:szCs w:val="18"/>
                <w:lang w:val="en-GB"/>
              </w:rPr>
              <w:t>(safety valve/compressor outlet)</w:t>
            </w:r>
          </w:p>
        </w:tc>
        <w:tc>
          <w:tcPr>
            <w:tcW w:w="1165" w:type="dxa"/>
            <w:tcBorders>
              <w:top w:val="single" w:sz="12" w:space="0" w:color="008000"/>
              <w:bottom w:val="single" w:sz="4" w:space="0" w:color="auto"/>
            </w:tcBorders>
            <w:shd w:val="clear" w:color="auto" w:fill="FFFFFF"/>
          </w:tcPr>
          <w:p w14:paraId="62C89419" w14:textId="2F246B14" w:rsidR="00565EFA" w:rsidRPr="00B57B36" w:rsidRDefault="00565EFA" w:rsidP="009B69DF">
            <w:pPr>
              <w:pStyle w:val="CETBodytext"/>
              <w:ind w:right="-1"/>
              <w:jc w:val="center"/>
              <w:rPr>
                <w:rFonts w:cs="Arial"/>
                <w:szCs w:val="18"/>
                <w:lang w:val="en-GB"/>
              </w:rPr>
            </w:pPr>
            <w:r>
              <w:rPr>
                <w:rFonts w:cs="Arial"/>
                <w:szCs w:val="18"/>
                <w:lang w:val="en-GB"/>
              </w:rPr>
              <w:t>X</w:t>
            </w:r>
            <w:r>
              <w:rPr>
                <w:rFonts w:cs="Arial"/>
                <w:szCs w:val="18"/>
                <w:vertAlign w:val="subscript"/>
                <w:lang w:val="en-GB"/>
              </w:rPr>
              <w:t>b</w:t>
            </w:r>
            <w:r w:rsidR="007C3D34">
              <w:rPr>
                <w:rFonts w:cs="Arial"/>
                <w:szCs w:val="18"/>
                <w:vertAlign w:val="subscript"/>
                <w:lang w:val="en-GB"/>
              </w:rPr>
              <w:t>3</w:t>
            </w:r>
            <w:r>
              <w:rPr>
                <w:rFonts w:cs="Arial"/>
                <w:szCs w:val="18"/>
                <w:vertAlign w:val="subscript"/>
                <w:lang w:val="en-GB"/>
              </w:rPr>
              <w:t xml:space="preserve"> </w:t>
            </w:r>
            <w:r>
              <w:rPr>
                <w:rFonts w:cs="Arial"/>
                <w:szCs w:val="18"/>
                <w:lang w:val="en-GB"/>
              </w:rPr>
              <w:t>(compressor)</w:t>
            </w:r>
          </w:p>
        </w:tc>
        <w:tc>
          <w:tcPr>
            <w:tcW w:w="567" w:type="dxa"/>
            <w:tcBorders>
              <w:top w:val="single" w:sz="12" w:space="0" w:color="008000"/>
              <w:bottom w:val="single" w:sz="4" w:space="0" w:color="auto"/>
            </w:tcBorders>
            <w:shd w:val="clear" w:color="auto" w:fill="FFFFFF"/>
          </w:tcPr>
          <w:p w14:paraId="0E03378A" w14:textId="02FD1F84" w:rsidR="00565EFA" w:rsidRPr="00377DF8" w:rsidRDefault="00565EFA" w:rsidP="009B69DF">
            <w:pPr>
              <w:pStyle w:val="CETBodytext"/>
              <w:ind w:right="-1"/>
              <w:jc w:val="center"/>
              <w:rPr>
                <w:rFonts w:cs="Arial"/>
                <w:szCs w:val="18"/>
                <w:vertAlign w:val="subscript"/>
                <w:lang w:val="en-GB"/>
              </w:rPr>
            </w:pPr>
            <w:r>
              <w:rPr>
                <w:rFonts w:cs="Arial"/>
                <w:szCs w:val="18"/>
                <w:lang w:val="en-GB"/>
              </w:rPr>
              <w:t>X</w:t>
            </w:r>
            <w:r>
              <w:rPr>
                <w:rFonts w:cs="Arial"/>
                <w:szCs w:val="18"/>
                <w:vertAlign w:val="subscript"/>
                <w:lang w:val="en-GB"/>
              </w:rPr>
              <w:t>btot</w:t>
            </w:r>
          </w:p>
        </w:tc>
        <w:tc>
          <w:tcPr>
            <w:tcW w:w="1276" w:type="dxa"/>
            <w:tcBorders>
              <w:top w:val="single" w:sz="12" w:space="0" w:color="008000"/>
              <w:bottom w:val="single" w:sz="4" w:space="0" w:color="auto"/>
            </w:tcBorders>
            <w:shd w:val="clear" w:color="auto" w:fill="FFFFFF"/>
          </w:tcPr>
          <w:p w14:paraId="34E43A8C" w14:textId="2EA26EAA" w:rsidR="00565EFA" w:rsidRDefault="00565EFA" w:rsidP="009B69DF">
            <w:pPr>
              <w:pStyle w:val="CETBodytext"/>
              <w:ind w:right="-1"/>
              <w:jc w:val="center"/>
              <w:rPr>
                <w:rFonts w:cs="Arial"/>
                <w:szCs w:val="18"/>
                <w:lang w:val="en-GB"/>
              </w:rPr>
            </w:pPr>
            <w:r>
              <w:rPr>
                <w:rFonts w:cs="Arial"/>
                <w:szCs w:val="18"/>
                <w:lang w:val="en-GB"/>
              </w:rPr>
              <w:t>Dilution degree</w:t>
            </w:r>
          </w:p>
        </w:tc>
      </w:tr>
      <w:tr w:rsidR="00565EFA" w:rsidRPr="00B57B36" w14:paraId="435945B9" w14:textId="5EB9EDC7" w:rsidTr="00E633A8">
        <w:tc>
          <w:tcPr>
            <w:tcW w:w="851" w:type="dxa"/>
            <w:tcBorders>
              <w:top w:val="single" w:sz="4" w:space="0" w:color="auto"/>
              <w:bottom w:val="nil"/>
            </w:tcBorders>
            <w:shd w:val="clear" w:color="auto" w:fill="FFFFFF"/>
          </w:tcPr>
          <w:p w14:paraId="6497CBD8" w14:textId="45A81460" w:rsidR="00565EFA" w:rsidRPr="00B57B36" w:rsidRDefault="00E83921" w:rsidP="009B69DF">
            <w:pPr>
              <w:pStyle w:val="CETBodytext"/>
              <w:jc w:val="center"/>
              <w:rPr>
                <w:lang w:val="en-GB"/>
              </w:rPr>
            </w:pPr>
            <w:r>
              <w:rPr>
                <w:lang w:val="en-GB"/>
              </w:rPr>
              <w:t>0.2</w:t>
            </w:r>
          </w:p>
        </w:tc>
        <w:tc>
          <w:tcPr>
            <w:tcW w:w="709" w:type="dxa"/>
            <w:tcBorders>
              <w:top w:val="single" w:sz="4" w:space="0" w:color="auto"/>
              <w:bottom w:val="nil"/>
            </w:tcBorders>
            <w:shd w:val="clear" w:color="auto" w:fill="FFFFFF"/>
          </w:tcPr>
          <w:p w14:paraId="2E741308" w14:textId="066C983D" w:rsidR="00565EFA" w:rsidRPr="00B57B36" w:rsidRDefault="009B69DF" w:rsidP="009B69DF">
            <w:pPr>
              <w:pStyle w:val="CETBodytext"/>
              <w:jc w:val="center"/>
              <w:rPr>
                <w:lang w:val="en-GB"/>
              </w:rPr>
            </w:pPr>
            <w:r>
              <w:rPr>
                <w:lang w:val="en-GB"/>
              </w:rPr>
              <w:t>s</w:t>
            </w:r>
            <w:r w:rsidR="00252E2F">
              <w:rPr>
                <w:lang w:val="en-GB"/>
              </w:rPr>
              <w:t>onic</w:t>
            </w:r>
          </w:p>
        </w:tc>
        <w:tc>
          <w:tcPr>
            <w:tcW w:w="850" w:type="dxa"/>
            <w:tcBorders>
              <w:top w:val="single" w:sz="4" w:space="0" w:color="auto"/>
              <w:bottom w:val="nil"/>
            </w:tcBorders>
            <w:shd w:val="clear" w:color="auto" w:fill="FFFFFF"/>
          </w:tcPr>
          <w:p w14:paraId="360AF385" w14:textId="5270C479" w:rsidR="00565EFA" w:rsidRPr="00B57B36" w:rsidRDefault="00252E2F" w:rsidP="009B69DF">
            <w:pPr>
              <w:pStyle w:val="CETBodytext"/>
              <w:jc w:val="center"/>
              <w:rPr>
                <w:lang w:val="en-GB"/>
              </w:rPr>
            </w:pPr>
            <w:r>
              <w:rPr>
                <w:lang w:val="en-GB"/>
              </w:rPr>
              <w:t>0.011</w:t>
            </w:r>
          </w:p>
        </w:tc>
        <w:tc>
          <w:tcPr>
            <w:tcW w:w="1701" w:type="dxa"/>
            <w:tcBorders>
              <w:top w:val="single" w:sz="4" w:space="0" w:color="auto"/>
              <w:bottom w:val="nil"/>
            </w:tcBorders>
            <w:shd w:val="clear" w:color="auto" w:fill="FFFFFF"/>
          </w:tcPr>
          <w:p w14:paraId="5D2D1872" w14:textId="01AA5636" w:rsidR="00565EFA" w:rsidRPr="00B57B36" w:rsidRDefault="00F61303" w:rsidP="009B69DF">
            <w:pPr>
              <w:pStyle w:val="CETBodytext"/>
              <w:ind w:right="-1"/>
              <w:jc w:val="center"/>
              <w:rPr>
                <w:rFonts w:cs="Arial"/>
                <w:szCs w:val="18"/>
                <w:lang w:val="en-GB"/>
              </w:rPr>
            </w:pPr>
            <w:r>
              <w:rPr>
                <w:rFonts w:cs="Arial"/>
                <w:szCs w:val="18"/>
                <w:lang w:val="en-GB"/>
              </w:rPr>
              <w:t>0.148</w:t>
            </w:r>
          </w:p>
        </w:tc>
        <w:tc>
          <w:tcPr>
            <w:tcW w:w="1528" w:type="dxa"/>
            <w:tcBorders>
              <w:top w:val="single" w:sz="4" w:space="0" w:color="auto"/>
              <w:bottom w:val="nil"/>
            </w:tcBorders>
            <w:shd w:val="clear" w:color="auto" w:fill="FFFFFF"/>
          </w:tcPr>
          <w:p w14:paraId="260FB32B" w14:textId="074AE643" w:rsidR="00565EFA" w:rsidRPr="00B57B36" w:rsidRDefault="00092FFD" w:rsidP="009B69DF">
            <w:pPr>
              <w:pStyle w:val="CETBodytext"/>
              <w:ind w:right="-1"/>
              <w:jc w:val="center"/>
              <w:rPr>
                <w:rFonts w:cs="Arial"/>
                <w:szCs w:val="18"/>
                <w:lang w:val="en-GB"/>
              </w:rPr>
            </w:pPr>
            <w:r>
              <w:rPr>
                <w:rFonts w:cs="Arial"/>
                <w:szCs w:val="18"/>
                <w:lang w:val="en-GB"/>
              </w:rPr>
              <w:t>0.157</w:t>
            </w:r>
          </w:p>
        </w:tc>
        <w:tc>
          <w:tcPr>
            <w:tcW w:w="1165" w:type="dxa"/>
            <w:tcBorders>
              <w:top w:val="single" w:sz="4" w:space="0" w:color="auto"/>
              <w:bottom w:val="nil"/>
            </w:tcBorders>
            <w:shd w:val="clear" w:color="auto" w:fill="FFFFFF"/>
          </w:tcPr>
          <w:p w14:paraId="34A919BE" w14:textId="5F703A6E" w:rsidR="00565EFA" w:rsidRPr="00B57B36" w:rsidRDefault="00AA3301" w:rsidP="009B69DF">
            <w:pPr>
              <w:pStyle w:val="CETBodytext"/>
              <w:ind w:right="-1"/>
              <w:jc w:val="center"/>
              <w:rPr>
                <w:rFonts w:cs="Arial"/>
                <w:szCs w:val="18"/>
                <w:lang w:val="en-GB"/>
              </w:rPr>
            </w:pPr>
            <w:r>
              <w:rPr>
                <w:rFonts w:cs="Arial"/>
                <w:szCs w:val="18"/>
                <w:lang w:val="en-GB"/>
              </w:rPr>
              <w:t>0.25</w:t>
            </w:r>
            <w:r w:rsidR="00092FFD">
              <w:rPr>
                <w:rFonts w:cs="Arial"/>
                <w:szCs w:val="18"/>
                <w:lang w:val="en-GB"/>
              </w:rPr>
              <w:t>2</w:t>
            </w:r>
          </w:p>
        </w:tc>
        <w:tc>
          <w:tcPr>
            <w:tcW w:w="567" w:type="dxa"/>
            <w:tcBorders>
              <w:top w:val="single" w:sz="4" w:space="0" w:color="auto"/>
              <w:bottom w:val="nil"/>
            </w:tcBorders>
            <w:shd w:val="clear" w:color="auto" w:fill="FFFFFF"/>
          </w:tcPr>
          <w:p w14:paraId="57635325" w14:textId="27715AF5" w:rsidR="00565EFA" w:rsidRPr="00B57B36" w:rsidRDefault="00092FFD" w:rsidP="009B69DF">
            <w:pPr>
              <w:pStyle w:val="CETBodytext"/>
              <w:ind w:right="-1"/>
              <w:jc w:val="center"/>
              <w:rPr>
                <w:rFonts w:cs="Arial"/>
                <w:szCs w:val="18"/>
                <w:lang w:val="en-GB"/>
              </w:rPr>
            </w:pPr>
            <w:r>
              <w:rPr>
                <w:rFonts w:cs="Arial"/>
                <w:szCs w:val="18"/>
                <w:lang w:val="en-GB"/>
              </w:rPr>
              <w:t>0.</w:t>
            </w:r>
            <w:r w:rsidR="00652469">
              <w:rPr>
                <w:rFonts w:cs="Arial"/>
                <w:szCs w:val="18"/>
                <w:lang w:val="en-GB"/>
              </w:rPr>
              <w:t>557</w:t>
            </w:r>
          </w:p>
        </w:tc>
        <w:tc>
          <w:tcPr>
            <w:tcW w:w="1276" w:type="dxa"/>
            <w:tcBorders>
              <w:top w:val="single" w:sz="4" w:space="0" w:color="auto"/>
              <w:bottom w:val="nil"/>
            </w:tcBorders>
            <w:shd w:val="clear" w:color="auto" w:fill="FFFFFF"/>
          </w:tcPr>
          <w:p w14:paraId="1DE3CC1A" w14:textId="78BB4C2C" w:rsidR="00565EFA" w:rsidRPr="00B57B36" w:rsidRDefault="009B69DF" w:rsidP="009B69DF">
            <w:pPr>
              <w:pStyle w:val="CETBodytext"/>
              <w:ind w:right="-1"/>
              <w:jc w:val="center"/>
              <w:rPr>
                <w:rFonts w:cs="Arial"/>
                <w:szCs w:val="18"/>
                <w:lang w:val="en-GB"/>
              </w:rPr>
            </w:pPr>
            <w:r>
              <w:rPr>
                <w:rFonts w:cs="Arial"/>
                <w:szCs w:val="18"/>
                <w:lang w:val="en-GB"/>
              </w:rPr>
              <w:t>low</w:t>
            </w:r>
          </w:p>
        </w:tc>
      </w:tr>
      <w:tr w:rsidR="00565EFA" w:rsidRPr="00B57B36" w14:paraId="76125B82" w14:textId="2361C820" w:rsidTr="00E633A8">
        <w:tc>
          <w:tcPr>
            <w:tcW w:w="851" w:type="dxa"/>
            <w:tcBorders>
              <w:top w:val="nil"/>
              <w:bottom w:val="nil"/>
            </w:tcBorders>
            <w:shd w:val="clear" w:color="auto" w:fill="FFFFFF"/>
          </w:tcPr>
          <w:p w14:paraId="52D4A086" w14:textId="05FEB782" w:rsidR="00565EFA" w:rsidRPr="00B57B36" w:rsidRDefault="00E83921" w:rsidP="009B69DF">
            <w:pPr>
              <w:pStyle w:val="CETBodytext"/>
              <w:ind w:right="-1"/>
              <w:jc w:val="center"/>
              <w:rPr>
                <w:rFonts w:cs="Arial"/>
                <w:szCs w:val="18"/>
                <w:lang w:val="en-GB"/>
              </w:rPr>
            </w:pPr>
            <w:r>
              <w:rPr>
                <w:rFonts w:cs="Arial"/>
                <w:szCs w:val="18"/>
                <w:lang w:val="en-GB"/>
              </w:rPr>
              <w:t>0.4</w:t>
            </w:r>
          </w:p>
        </w:tc>
        <w:tc>
          <w:tcPr>
            <w:tcW w:w="709" w:type="dxa"/>
            <w:tcBorders>
              <w:top w:val="nil"/>
              <w:bottom w:val="nil"/>
            </w:tcBorders>
            <w:shd w:val="clear" w:color="auto" w:fill="FFFFFF"/>
          </w:tcPr>
          <w:p w14:paraId="421F181C" w14:textId="4F2D9EC6" w:rsidR="00565EFA" w:rsidRPr="00B57B36" w:rsidRDefault="009B69DF" w:rsidP="009B69DF">
            <w:pPr>
              <w:pStyle w:val="CETBodytext"/>
              <w:ind w:right="-1"/>
              <w:jc w:val="center"/>
              <w:rPr>
                <w:rFonts w:cs="Arial"/>
                <w:szCs w:val="18"/>
                <w:lang w:val="en-GB"/>
              </w:rPr>
            </w:pPr>
            <w:r>
              <w:rPr>
                <w:rFonts w:cs="Arial"/>
                <w:szCs w:val="18"/>
                <w:lang w:val="en-GB"/>
              </w:rPr>
              <w:t>sonic</w:t>
            </w:r>
          </w:p>
        </w:tc>
        <w:tc>
          <w:tcPr>
            <w:tcW w:w="850" w:type="dxa"/>
            <w:tcBorders>
              <w:top w:val="nil"/>
              <w:bottom w:val="nil"/>
            </w:tcBorders>
            <w:shd w:val="clear" w:color="auto" w:fill="FFFFFF"/>
          </w:tcPr>
          <w:p w14:paraId="3DECC56F" w14:textId="1F2BF147" w:rsidR="00565EFA" w:rsidRPr="00B57B36" w:rsidRDefault="0092520A" w:rsidP="009B69DF">
            <w:pPr>
              <w:pStyle w:val="CETBodytext"/>
              <w:ind w:right="-1"/>
              <w:jc w:val="center"/>
              <w:rPr>
                <w:rFonts w:cs="Arial"/>
                <w:szCs w:val="18"/>
                <w:lang w:val="en-GB"/>
              </w:rPr>
            </w:pPr>
            <w:r>
              <w:rPr>
                <w:rFonts w:cs="Arial"/>
                <w:szCs w:val="18"/>
                <w:lang w:val="en-GB"/>
              </w:rPr>
              <w:t>0.02</w:t>
            </w:r>
            <w:r w:rsidR="0090107D">
              <w:rPr>
                <w:rFonts w:cs="Arial"/>
                <w:szCs w:val="18"/>
                <w:lang w:val="en-GB"/>
              </w:rPr>
              <w:t>2</w:t>
            </w:r>
          </w:p>
        </w:tc>
        <w:tc>
          <w:tcPr>
            <w:tcW w:w="1701" w:type="dxa"/>
            <w:tcBorders>
              <w:top w:val="nil"/>
              <w:bottom w:val="nil"/>
            </w:tcBorders>
            <w:shd w:val="clear" w:color="auto" w:fill="FFFFFF"/>
          </w:tcPr>
          <w:p w14:paraId="3F5F164E" w14:textId="5083E210" w:rsidR="00565EFA" w:rsidRPr="00B57B36" w:rsidRDefault="00221F3A" w:rsidP="009B69DF">
            <w:pPr>
              <w:pStyle w:val="CETBodytext"/>
              <w:ind w:right="-1"/>
              <w:jc w:val="center"/>
              <w:rPr>
                <w:rFonts w:cs="Arial"/>
                <w:szCs w:val="18"/>
                <w:lang w:val="en-GB"/>
              </w:rPr>
            </w:pPr>
            <w:r>
              <w:rPr>
                <w:rFonts w:cs="Arial"/>
                <w:szCs w:val="18"/>
                <w:lang w:val="en-GB"/>
              </w:rPr>
              <w:t>0.0</w:t>
            </w:r>
            <w:r w:rsidR="006E2805">
              <w:rPr>
                <w:rFonts w:cs="Arial"/>
                <w:szCs w:val="18"/>
                <w:lang w:val="en-GB"/>
              </w:rPr>
              <w:t>3</w:t>
            </w:r>
            <w:r>
              <w:rPr>
                <w:rFonts w:cs="Arial"/>
                <w:szCs w:val="18"/>
                <w:lang w:val="en-GB"/>
              </w:rPr>
              <w:t>7</w:t>
            </w:r>
          </w:p>
        </w:tc>
        <w:tc>
          <w:tcPr>
            <w:tcW w:w="1528" w:type="dxa"/>
            <w:tcBorders>
              <w:top w:val="nil"/>
              <w:bottom w:val="nil"/>
            </w:tcBorders>
            <w:shd w:val="clear" w:color="auto" w:fill="FFFFFF"/>
          </w:tcPr>
          <w:p w14:paraId="3DE78627" w14:textId="10992D69" w:rsidR="00565EFA" w:rsidRPr="00B57B36" w:rsidRDefault="008F33CE" w:rsidP="009B69DF">
            <w:pPr>
              <w:pStyle w:val="CETBodytext"/>
              <w:ind w:right="-1"/>
              <w:jc w:val="center"/>
              <w:rPr>
                <w:rFonts w:cs="Arial"/>
                <w:szCs w:val="18"/>
                <w:lang w:val="en-GB"/>
              </w:rPr>
            </w:pPr>
            <w:r>
              <w:rPr>
                <w:rFonts w:cs="Arial"/>
                <w:szCs w:val="18"/>
                <w:lang w:val="en-GB"/>
              </w:rPr>
              <w:t>0.079</w:t>
            </w:r>
          </w:p>
        </w:tc>
        <w:tc>
          <w:tcPr>
            <w:tcW w:w="1165" w:type="dxa"/>
            <w:tcBorders>
              <w:top w:val="nil"/>
              <w:bottom w:val="nil"/>
            </w:tcBorders>
            <w:shd w:val="clear" w:color="auto" w:fill="FFFFFF"/>
          </w:tcPr>
          <w:p w14:paraId="4C8780C2" w14:textId="7C435511" w:rsidR="00565EFA" w:rsidRPr="00B57B36" w:rsidRDefault="00890960" w:rsidP="009B69DF">
            <w:pPr>
              <w:pStyle w:val="CETBodytext"/>
              <w:ind w:right="-1"/>
              <w:jc w:val="center"/>
              <w:rPr>
                <w:rFonts w:cs="Arial"/>
                <w:szCs w:val="18"/>
                <w:lang w:val="en-GB"/>
              </w:rPr>
            </w:pPr>
            <w:r>
              <w:rPr>
                <w:rFonts w:cs="Arial"/>
                <w:szCs w:val="18"/>
                <w:lang w:val="en-GB"/>
              </w:rPr>
              <w:t>0.</w:t>
            </w:r>
            <w:r w:rsidR="008F33CE">
              <w:rPr>
                <w:rFonts w:cs="Arial"/>
                <w:szCs w:val="18"/>
                <w:lang w:val="en-GB"/>
              </w:rPr>
              <w:t>1</w:t>
            </w:r>
            <w:r w:rsidR="00D61E54">
              <w:rPr>
                <w:rFonts w:cs="Arial"/>
                <w:szCs w:val="18"/>
                <w:lang w:val="en-GB"/>
              </w:rPr>
              <w:t>3</w:t>
            </w:r>
          </w:p>
        </w:tc>
        <w:tc>
          <w:tcPr>
            <w:tcW w:w="567" w:type="dxa"/>
            <w:tcBorders>
              <w:top w:val="nil"/>
              <w:bottom w:val="nil"/>
            </w:tcBorders>
            <w:shd w:val="clear" w:color="auto" w:fill="FFFFFF"/>
          </w:tcPr>
          <w:p w14:paraId="76F5EC0B" w14:textId="203DD70B" w:rsidR="00565EFA" w:rsidRPr="00B57B36" w:rsidRDefault="00A939E4" w:rsidP="009B69DF">
            <w:pPr>
              <w:pStyle w:val="CETBodytext"/>
              <w:ind w:right="-1"/>
              <w:jc w:val="center"/>
              <w:rPr>
                <w:rFonts w:cs="Arial"/>
                <w:szCs w:val="18"/>
                <w:lang w:val="en-GB"/>
              </w:rPr>
            </w:pPr>
            <w:r>
              <w:rPr>
                <w:rFonts w:cs="Arial"/>
                <w:szCs w:val="18"/>
                <w:lang w:val="en-GB"/>
              </w:rPr>
              <w:t>0.24</w:t>
            </w:r>
            <w:r w:rsidR="00525601">
              <w:rPr>
                <w:rFonts w:cs="Arial"/>
                <w:szCs w:val="18"/>
                <w:lang w:val="en-GB"/>
              </w:rPr>
              <w:t>6</w:t>
            </w:r>
          </w:p>
        </w:tc>
        <w:tc>
          <w:tcPr>
            <w:tcW w:w="1276" w:type="dxa"/>
            <w:tcBorders>
              <w:top w:val="nil"/>
              <w:bottom w:val="nil"/>
            </w:tcBorders>
            <w:shd w:val="clear" w:color="auto" w:fill="FFFFFF"/>
          </w:tcPr>
          <w:p w14:paraId="79472AC5" w14:textId="0ACE643E" w:rsidR="00565EFA" w:rsidRPr="00B57B36" w:rsidRDefault="00890960" w:rsidP="009B69DF">
            <w:pPr>
              <w:pStyle w:val="CETBodytext"/>
              <w:ind w:right="-1"/>
              <w:jc w:val="center"/>
              <w:rPr>
                <w:rFonts w:cs="Arial"/>
                <w:szCs w:val="18"/>
                <w:lang w:val="en-GB"/>
              </w:rPr>
            </w:pPr>
            <w:r>
              <w:rPr>
                <w:rFonts w:cs="Arial"/>
                <w:szCs w:val="18"/>
                <w:lang w:val="en-GB"/>
              </w:rPr>
              <w:t>low</w:t>
            </w:r>
          </w:p>
        </w:tc>
      </w:tr>
      <w:tr w:rsidR="00565EFA" w:rsidRPr="00B57B36" w14:paraId="1F84965B" w14:textId="5F2988EA" w:rsidTr="00E633A8">
        <w:tc>
          <w:tcPr>
            <w:tcW w:w="851" w:type="dxa"/>
            <w:tcBorders>
              <w:top w:val="nil"/>
              <w:bottom w:val="nil"/>
            </w:tcBorders>
            <w:shd w:val="clear" w:color="auto" w:fill="FFFFFF"/>
          </w:tcPr>
          <w:p w14:paraId="47887240" w14:textId="2B1701D7" w:rsidR="00565EFA" w:rsidRPr="00B57B36" w:rsidRDefault="00E83921" w:rsidP="009B69DF">
            <w:pPr>
              <w:pStyle w:val="CETBodytext"/>
              <w:ind w:right="-1"/>
              <w:jc w:val="center"/>
              <w:rPr>
                <w:rFonts w:cs="Arial"/>
                <w:szCs w:val="18"/>
                <w:lang w:val="en-GB"/>
              </w:rPr>
            </w:pPr>
            <w:r>
              <w:rPr>
                <w:rFonts w:cs="Arial"/>
                <w:szCs w:val="18"/>
                <w:lang w:val="en-GB"/>
              </w:rPr>
              <w:t>0.6</w:t>
            </w:r>
          </w:p>
        </w:tc>
        <w:tc>
          <w:tcPr>
            <w:tcW w:w="709" w:type="dxa"/>
            <w:tcBorders>
              <w:top w:val="nil"/>
              <w:bottom w:val="nil"/>
            </w:tcBorders>
            <w:shd w:val="clear" w:color="auto" w:fill="FFFFFF"/>
          </w:tcPr>
          <w:p w14:paraId="5893DFBC" w14:textId="55EF8AF8" w:rsidR="00565EFA" w:rsidRPr="00B57B36" w:rsidRDefault="00890960" w:rsidP="009B69DF">
            <w:pPr>
              <w:pStyle w:val="CETBodytext"/>
              <w:ind w:right="-1"/>
              <w:jc w:val="center"/>
              <w:rPr>
                <w:rFonts w:cs="Arial"/>
                <w:szCs w:val="18"/>
                <w:lang w:val="en-GB"/>
              </w:rPr>
            </w:pPr>
            <w:r>
              <w:rPr>
                <w:rFonts w:cs="Arial"/>
                <w:szCs w:val="18"/>
                <w:lang w:val="en-GB"/>
              </w:rPr>
              <w:t>sonic</w:t>
            </w:r>
          </w:p>
        </w:tc>
        <w:tc>
          <w:tcPr>
            <w:tcW w:w="850" w:type="dxa"/>
            <w:tcBorders>
              <w:top w:val="nil"/>
              <w:bottom w:val="nil"/>
            </w:tcBorders>
            <w:shd w:val="clear" w:color="auto" w:fill="FFFFFF"/>
          </w:tcPr>
          <w:p w14:paraId="3BFB0B02" w14:textId="26C01083" w:rsidR="00565EFA" w:rsidRPr="00B57B36" w:rsidRDefault="00C07207" w:rsidP="009B69DF">
            <w:pPr>
              <w:pStyle w:val="CETBodytext"/>
              <w:ind w:right="-1"/>
              <w:jc w:val="center"/>
              <w:rPr>
                <w:rFonts w:cs="Arial"/>
                <w:szCs w:val="18"/>
                <w:lang w:val="en-GB"/>
              </w:rPr>
            </w:pPr>
            <w:r>
              <w:rPr>
                <w:rFonts w:cs="Arial"/>
                <w:szCs w:val="18"/>
                <w:lang w:val="en-GB"/>
              </w:rPr>
              <w:t>0,03</w:t>
            </w:r>
            <w:r w:rsidR="0090107D">
              <w:rPr>
                <w:rFonts w:cs="Arial"/>
                <w:szCs w:val="18"/>
                <w:lang w:val="en-GB"/>
              </w:rPr>
              <w:t>3</w:t>
            </w:r>
          </w:p>
        </w:tc>
        <w:tc>
          <w:tcPr>
            <w:tcW w:w="1701" w:type="dxa"/>
            <w:tcBorders>
              <w:top w:val="nil"/>
              <w:bottom w:val="nil"/>
            </w:tcBorders>
            <w:shd w:val="clear" w:color="auto" w:fill="FFFFFF"/>
          </w:tcPr>
          <w:p w14:paraId="28E23228" w14:textId="630AD0EA" w:rsidR="00565EFA" w:rsidRPr="00B57B36" w:rsidRDefault="00C07207" w:rsidP="009B69DF">
            <w:pPr>
              <w:pStyle w:val="CETBodytext"/>
              <w:ind w:right="-1"/>
              <w:jc w:val="center"/>
              <w:rPr>
                <w:rFonts w:cs="Arial"/>
                <w:szCs w:val="18"/>
                <w:lang w:val="en-GB"/>
              </w:rPr>
            </w:pPr>
            <w:r>
              <w:rPr>
                <w:rFonts w:cs="Arial"/>
                <w:szCs w:val="18"/>
                <w:lang w:val="en-GB"/>
              </w:rPr>
              <w:t>0.</w:t>
            </w:r>
            <w:r w:rsidR="005437CE">
              <w:rPr>
                <w:rFonts w:cs="Arial"/>
                <w:szCs w:val="18"/>
                <w:lang w:val="en-GB"/>
              </w:rPr>
              <w:t>025</w:t>
            </w:r>
          </w:p>
        </w:tc>
        <w:tc>
          <w:tcPr>
            <w:tcW w:w="1528" w:type="dxa"/>
            <w:tcBorders>
              <w:top w:val="nil"/>
              <w:bottom w:val="nil"/>
            </w:tcBorders>
            <w:shd w:val="clear" w:color="auto" w:fill="FFFFFF"/>
          </w:tcPr>
          <w:p w14:paraId="08AAE7A0" w14:textId="79E00389" w:rsidR="00565EFA" w:rsidRPr="00B57B36" w:rsidRDefault="00F2071C" w:rsidP="009B69DF">
            <w:pPr>
              <w:pStyle w:val="CETBodytext"/>
              <w:ind w:right="-1"/>
              <w:jc w:val="center"/>
              <w:rPr>
                <w:rFonts w:cs="Arial"/>
                <w:szCs w:val="18"/>
                <w:lang w:val="en-GB"/>
              </w:rPr>
            </w:pPr>
            <w:r>
              <w:rPr>
                <w:rFonts w:cs="Arial"/>
                <w:szCs w:val="18"/>
                <w:lang w:val="en-GB"/>
              </w:rPr>
              <w:t>0.052</w:t>
            </w:r>
          </w:p>
        </w:tc>
        <w:tc>
          <w:tcPr>
            <w:tcW w:w="1165" w:type="dxa"/>
            <w:tcBorders>
              <w:top w:val="nil"/>
              <w:bottom w:val="nil"/>
            </w:tcBorders>
            <w:shd w:val="clear" w:color="auto" w:fill="FFFFFF"/>
          </w:tcPr>
          <w:p w14:paraId="553D12A8" w14:textId="18733060" w:rsidR="00565EFA" w:rsidRPr="00B57B36" w:rsidRDefault="00C07207" w:rsidP="009B69DF">
            <w:pPr>
              <w:pStyle w:val="CETBodytext"/>
              <w:ind w:right="-1"/>
              <w:jc w:val="center"/>
              <w:rPr>
                <w:rFonts w:cs="Arial"/>
                <w:szCs w:val="18"/>
                <w:lang w:val="en-GB"/>
              </w:rPr>
            </w:pPr>
            <w:r>
              <w:rPr>
                <w:rFonts w:cs="Arial"/>
                <w:szCs w:val="18"/>
                <w:lang w:val="en-GB"/>
              </w:rPr>
              <w:t>0.08</w:t>
            </w:r>
          </w:p>
        </w:tc>
        <w:tc>
          <w:tcPr>
            <w:tcW w:w="567" w:type="dxa"/>
            <w:tcBorders>
              <w:top w:val="nil"/>
              <w:bottom w:val="nil"/>
            </w:tcBorders>
            <w:shd w:val="clear" w:color="auto" w:fill="FFFFFF"/>
          </w:tcPr>
          <w:p w14:paraId="4CAADCF1" w14:textId="08F525FD" w:rsidR="00565EFA" w:rsidRPr="00B57B36" w:rsidRDefault="00253526" w:rsidP="009B69DF">
            <w:pPr>
              <w:pStyle w:val="CETBodytext"/>
              <w:ind w:right="-1"/>
              <w:jc w:val="center"/>
              <w:rPr>
                <w:rFonts w:cs="Arial"/>
                <w:szCs w:val="18"/>
                <w:lang w:val="en-GB"/>
              </w:rPr>
            </w:pPr>
            <w:r>
              <w:rPr>
                <w:rFonts w:cs="Arial"/>
                <w:szCs w:val="18"/>
                <w:lang w:val="en-GB"/>
              </w:rPr>
              <w:t>0</w:t>
            </w:r>
            <w:r w:rsidR="00C07207">
              <w:rPr>
                <w:rFonts w:cs="Arial"/>
                <w:szCs w:val="18"/>
                <w:lang w:val="en-GB"/>
              </w:rPr>
              <w:t>.</w:t>
            </w:r>
            <w:r>
              <w:rPr>
                <w:rFonts w:cs="Arial"/>
                <w:szCs w:val="18"/>
                <w:lang w:val="en-GB"/>
              </w:rPr>
              <w:t>157</w:t>
            </w:r>
          </w:p>
        </w:tc>
        <w:tc>
          <w:tcPr>
            <w:tcW w:w="1276" w:type="dxa"/>
            <w:tcBorders>
              <w:top w:val="nil"/>
              <w:bottom w:val="nil"/>
            </w:tcBorders>
            <w:shd w:val="clear" w:color="auto" w:fill="FFFFFF"/>
          </w:tcPr>
          <w:p w14:paraId="577653E5" w14:textId="2936F981" w:rsidR="00565EFA" w:rsidRPr="00B57B36" w:rsidRDefault="00C07207" w:rsidP="009B69DF">
            <w:pPr>
              <w:pStyle w:val="CETBodytext"/>
              <w:ind w:right="-1"/>
              <w:jc w:val="center"/>
              <w:rPr>
                <w:rFonts w:cs="Arial"/>
                <w:szCs w:val="18"/>
                <w:lang w:val="en-GB"/>
              </w:rPr>
            </w:pPr>
            <w:r>
              <w:rPr>
                <w:rFonts w:cs="Arial"/>
                <w:szCs w:val="18"/>
                <w:lang w:val="en-GB"/>
              </w:rPr>
              <w:t>low</w:t>
            </w:r>
          </w:p>
        </w:tc>
      </w:tr>
      <w:tr w:rsidR="00B97693" w:rsidRPr="00B57B36" w14:paraId="2328817E" w14:textId="77777777" w:rsidTr="00E633A8">
        <w:tc>
          <w:tcPr>
            <w:tcW w:w="851" w:type="dxa"/>
            <w:tcBorders>
              <w:top w:val="nil"/>
              <w:bottom w:val="single" w:sz="4" w:space="0" w:color="auto"/>
            </w:tcBorders>
            <w:shd w:val="clear" w:color="auto" w:fill="FFFFFF"/>
          </w:tcPr>
          <w:p w14:paraId="22B8CC83" w14:textId="0328F565" w:rsidR="00B97693" w:rsidRDefault="00B97693" w:rsidP="009B69DF">
            <w:pPr>
              <w:pStyle w:val="CETBodytext"/>
              <w:ind w:right="-1"/>
              <w:jc w:val="center"/>
              <w:rPr>
                <w:rFonts w:cs="Arial"/>
                <w:szCs w:val="18"/>
                <w:lang w:val="en-GB"/>
              </w:rPr>
            </w:pPr>
            <w:r>
              <w:rPr>
                <w:rFonts w:cs="Arial"/>
                <w:szCs w:val="18"/>
                <w:lang w:val="en-GB"/>
              </w:rPr>
              <w:t>0.8</w:t>
            </w:r>
          </w:p>
        </w:tc>
        <w:tc>
          <w:tcPr>
            <w:tcW w:w="709" w:type="dxa"/>
            <w:tcBorders>
              <w:top w:val="nil"/>
              <w:bottom w:val="single" w:sz="4" w:space="0" w:color="auto"/>
            </w:tcBorders>
            <w:shd w:val="clear" w:color="auto" w:fill="FFFFFF"/>
          </w:tcPr>
          <w:p w14:paraId="268A83A6" w14:textId="627751B3" w:rsidR="00B97693" w:rsidRDefault="00B97693" w:rsidP="009B69DF">
            <w:pPr>
              <w:pStyle w:val="CETBodytext"/>
              <w:ind w:right="-1"/>
              <w:jc w:val="center"/>
              <w:rPr>
                <w:rFonts w:cs="Arial"/>
                <w:szCs w:val="18"/>
                <w:lang w:val="en-GB"/>
              </w:rPr>
            </w:pPr>
            <w:r>
              <w:rPr>
                <w:rFonts w:cs="Arial"/>
                <w:szCs w:val="18"/>
                <w:lang w:val="en-GB"/>
              </w:rPr>
              <w:t>sonic</w:t>
            </w:r>
          </w:p>
        </w:tc>
        <w:tc>
          <w:tcPr>
            <w:tcW w:w="850" w:type="dxa"/>
            <w:tcBorders>
              <w:top w:val="nil"/>
              <w:bottom w:val="single" w:sz="4" w:space="0" w:color="auto"/>
            </w:tcBorders>
            <w:shd w:val="clear" w:color="auto" w:fill="FFFFFF"/>
          </w:tcPr>
          <w:p w14:paraId="2AE94AC7" w14:textId="197EC0FC" w:rsidR="00B97693" w:rsidRDefault="00221FEF" w:rsidP="009B69DF">
            <w:pPr>
              <w:pStyle w:val="CETBodytext"/>
              <w:ind w:right="-1"/>
              <w:jc w:val="center"/>
              <w:rPr>
                <w:rFonts w:cs="Arial"/>
                <w:szCs w:val="18"/>
                <w:lang w:val="en-GB"/>
              </w:rPr>
            </w:pPr>
            <w:r>
              <w:rPr>
                <w:rFonts w:cs="Arial"/>
                <w:szCs w:val="18"/>
                <w:lang w:val="en-GB"/>
              </w:rPr>
              <w:t>0.044</w:t>
            </w:r>
          </w:p>
        </w:tc>
        <w:tc>
          <w:tcPr>
            <w:tcW w:w="1701" w:type="dxa"/>
            <w:tcBorders>
              <w:top w:val="nil"/>
              <w:bottom w:val="single" w:sz="4" w:space="0" w:color="auto"/>
            </w:tcBorders>
            <w:shd w:val="clear" w:color="auto" w:fill="FFFFFF"/>
          </w:tcPr>
          <w:p w14:paraId="52E6751B" w14:textId="3F768DA6" w:rsidR="00B97693" w:rsidRDefault="00221FEF" w:rsidP="009B69DF">
            <w:pPr>
              <w:pStyle w:val="CETBodytext"/>
              <w:ind w:right="-1"/>
              <w:jc w:val="center"/>
              <w:rPr>
                <w:rFonts w:cs="Arial"/>
                <w:szCs w:val="18"/>
                <w:lang w:val="en-GB"/>
              </w:rPr>
            </w:pPr>
            <w:r>
              <w:rPr>
                <w:rFonts w:cs="Arial"/>
                <w:szCs w:val="18"/>
                <w:lang w:val="en-GB"/>
              </w:rPr>
              <w:t>0.017</w:t>
            </w:r>
          </w:p>
        </w:tc>
        <w:tc>
          <w:tcPr>
            <w:tcW w:w="1528" w:type="dxa"/>
            <w:tcBorders>
              <w:top w:val="nil"/>
              <w:bottom w:val="single" w:sz="4" w:space="0" w:color="auto"/>
            </w:tcBorders>
            <w:shd w:val="clear" w:color="auto" w:fill="FFFFFF"/>
          </w:tcPr>
          <w:p w14:paraId="6E276B37" w14:textId="2DAB189B" w:rsidR="00B97693" w:rsidRDefault="00221FEF" w:rsidP="009B69DF">
            <w:pPr>
              <w:pStyle w:val="CETBodytext"/>
              <w:ind w:right="-1"/>
              <w:jc w:val="center"/>
              <w:rPr>
                <w:rFonts w:cs="Arial"/>
                <w:szCs w:val="18"/>
                <w:lang w:val="en-GB"/>
              </w:rPr>
            </w:pPr>
            <w:r>
              <w:rPr>
                <w:rFonts w:cs="Arial"/>
                <w:szCs w:val="18"/>
                <w:lang w:val="en-GB"/>
              </w:rPr>
              <w:t>0.036</w:t>
            </w:r>
          </w:p>
        </w:tc>
        <w:tc>
          <w:tcPr>
            <w:tcW w:w="1165" w:type="dxa"/>
            <w:tcBorders>
              <w:top w:val="nil"/>
              <w:bottom w:val="single" w:sz="4" w:space="0" w:color="auto"/>
            </w:tcBorders>
            <w:shd w:val="clear" w:color="auto" w:fill="FFFFFF"/>
          </w:tcPr>
          <w:p w14:paraId="79491816" w14:textId="3842EB44" w:rsidR="00B97693" w:rsidRDefault="00221FEF" w:rsidP="009B69DF">
            <w:pPr>
              <w:pStyle w:val="CETBodytext"/>
              <w:ind w:right="-1"/>
              <w:jc w:val="center"/>
              <w:rPr>
                <w:rFonts w:cs="Arial"/>
                <w:szCs w:val="18"/>
                <w:lang w:val="en-GB"/>
              </w:rPr>
            </w:pPr>
            <w:r>
              <w:rPr>
                <w:rFonts w:cs="Arial"/>
                <w:szCs w:val="18"/>
                <w:lang w:val="en-GB"/>
              </w:rPr>
              <w:t>0.06</w:t>
            </w:r>
          </w:p>
        </w:tc>
        <w:tc>
          <w:tcPr>
            <w:tcW w:w="567" w:type="dxa"/>
            <w:tcBorders>
              <w:top w:val="nil"/>
              <w:bottom w:val="single" w:sz="4" w:space="0" w:color="auto"/>
            </w:tcBorders>
            <w:shd w:val="clear" w:color="auto" w:fill="FFFFFF"/>
          </w:tcPr>
          <w:p w14:paraId="042DEE9E" w14:textId="3B971498" w:rsidR="00B97693" w:rsidRDefault="006D7C79" w:rsidP="009B69DF">
            <w:pPr>
              <w:pStyle w:val="CETBodytext"/>
              <w:ind w:right="-1"/>
              <w:jc w:val="center"/>
              <w:rPr>
                <w:rFonts w:cs="Arial"/>
                <w:szCs w:val="18"/>
                <w:lang w:val="en-GB"/>
              </w:rPr>
            </w:pPr>
            <w:r>
              <w:rPr>
                <w:rFonts w:cs="Arial"/>
                <w:szCs w:val="18"/>
                <w:lang w:val="en-GB"/>
              </w:rPr>
              <w:t>0.113</w:t>
            </w:r>
          </w:p>
        </w:tc>
        <w:tc>
          <w:tcPr>
            <w:tcW w:w="1276" w:type="dxa"/>
            <w:tcBorders>
              <w:top w:val="nil"/>
              <w:bottom w:val="single" w:sz="4" w:space="0" w:color="auto"/>
            </w:tcBorders>
            <w:shd w:val="clear" w:color="auto" w:fill="FFFFFF"/>
          </w:tcPr>
          <w:p w14:paraId="7127E927" w14:textId="5CDD4584" w:rsidR="00B97693" w:rsidRDefault="006D7C79" w:rsidP="009B69DF">
            <w:pPr>
              <w:pStyle w:val="CETBodytext"/>
              <w:ind w:right="-1"/>
              <w:jc w:val="center"/>
              <w:rPr>
                <w:rFonts w:cs="Arial"/>
                <w:szCs w:val="18"/>
                <w:lang w:val="en-GB"/>
              </w:rPr>
            </w:pPr>
            <w:r>
              <w:rPr>
                <w:rFonts w:cs="Arial"/>
                <w:szCs w:val="18"/>
                <w:lang w:val="en-GB"/>
              </w:rPr>
              <w:t>low</w:t>
            </w:r>
          </w:p>
        </w:tc>
      </w:tr>
    </w:tbl>
    <w:p w14:paraId="0FB8B676" w14:textId="77777777" w:rsidR="00C2260A" w:rsidRPr="0045768C" w:rsidRDefault="00C2260A" w:rsidP="00A940AE">
      <w:pPr>
        <w:tabs>
          <w:tab w:val="clear" w:pos="7100"/>
        </w:tabs>
        <w:autoSpaceDE w:val="0"/>
        <w:autoSpaceDN w:val="0"/>
        <w:adjustRightInd w:val="0"/>
        <w:spacing w:line="240" w:lineRule="auto"/>
      </w:pPr>
    </w:p>
    <w:p w14:paraId="65BB9D4A" w14:textId="053B7E02" w:rsidR="00F86F71" w:rsidRPr="00CE3BC1" w:rsidRDefault="004E02C6" w:rsidP="00A940AE">
      <w:pPr>
        <w:tabs>
          <w:tab w:val="clear" w:pos="7100"/>
        </w:tabs>
        <w:autoSpaceDE w:val="0"/>
        <w:autoSpaceDN w:val="0"/>
        <w:adjustRightInd w:val="0"/>
        <w:spacing w:line="240" w:lineRule="auto"/>
        <w:rPr>
          <w:rFonts w:cs="Arial"/>
          <w:color w:val="000000" w:themeColor="text1"/>
          <w:szCs w:val="18"/>
          <w:lang w:val="en-US"/>
        </w:rPr>
      </w:pPr>
      <w:r>
        <w:rPr>
          <w:rFonts w:cs="Arial"/>
          <w:szCs w:val="18"/>
        </w:rPr>
        <w:t xml:space="preserve">The biomethane outflow is always sonic and therefore it generates a gaseous jet. </w:t>
      </w:r>
      <w:r w:rsidR="0041051E">
        <w:rPr>
          <w:rFonts w:cs="Arial"/>
          <w:color w:val="000000" w:themeColor="text1"/>
          <w:szCs w:val="18"/>
        </w:rPr>
        <w:t xml:space="preserve">In case of </w:t>
      </w:r>
      <w:r>
        <w:rPr>
          <w:rFonts w:cs="Arial"/>
          <w:color w:val="000000" w:themeColor="text1"/>
          <w:szCs w:val="18"/>
        </w:rPr>
        <w:t xml:space="preserve">jet release in small </w:t>
      </w:r>
      <w:r w:rsidR="004B56AB">
        <w:rPr>
          <w:rFonts w:cs="Arial"/>
          <w:color w:val="000000" w:themeColor="text1"/>
          <w:szCs w:val="18"/>
        </w:rPr>
        <w:t xml:space="preserve">artificially ventilated </w:t>
      </w:r>
      <w:r w:rsidR="00D722A8">
        <w:rPr>
          <w:rFonts w:cs="Arial"/>
          <w:color w:val="000000" w:themeColor="text1"/>
          <w:szCs w:val="18"/>
        </w:rPr>
        <w:t>building</w:t>
      </w:r>
      <w:r w:rsidR="00BA6347">
        <w:rPr>
          <w:rFonts w:cs="Arial"/>
          <w:color w:val="000000" w:themeColor="text1"/>
          <w:szCs w:val="18"/>
        </w:rPr>
        <w:t>s</w:t>
      </w:r>
      <w:r w:rsidR="00D722A8">
        <w:rPr>
          <w:rFonts w:cs="Arial"/>
          <w:color w:val="000000" w:themeColor="text1"/>
          <w:szCs w:val="18"/>
        </w:rPr>
        <w:t xml:space="preserve">, such as the compression unit, </w:t>
      </w:r>
      <w:r w:rsidR="00BA6347">
        <w:rPr>
          <w:rFonts w:cs="Arial"/>
          <w:color w:val="000000" w:themeColor="text1"/>
          <w:szCs w:val="18"/>
        </w:rPr>
        <w:t xml:space="preserve">a remark can be </w:t>
      </w:r>
      <w:r w:rsidR="009F2BF0">
        <w:rPr>
          <w:rFonts w:cs="Arial"/>
          <w:color w:val="000000" w:themeColor="text1"/>
          <w:szCs w:val="18"/>
        </w:rPr>
        <w:t xml:space="preserve">expressed about the dilution. Indeed, </w:t>
      </w:r>
      <w:r w:rsidR="00D92D28">
        <w:rPr>
          <w:rFonts w:cs="Arial"/>
          <w:color w:val="000000" w:themeColor="text1"/>
          <w:szCs w:val="18"/>
          <w:lang w:val="en-US"/>
        </w:rPr>
        <w:t xml:space="preserve">the </w:t>
      </w:r>
      <w:r w:rsidR="00EF27DA">
        <w:rPr>
          <w:rFonts w:cs="Arial"/>
          <w:color w:val="000000" w:themeColor="text1"/>
          <w:szCs w:val="18"/>
          <w:lang w:val="en-US"/>
        </w:rPr>
        <w:t xml:space="preserve">obstacles </w:t>
      </w:r>
      <w:r w:rsidR="00DD4E68">
        <w:rPr>
          <w:rFonts w:cs="Arial"/>
          <w:szCs w:val="18"/>
        </w:rPr>
        <w:t xml:space="preserve">(process pipes, electric engine, auxiliary equipment, etc.) </w:t>
      </w:r>
      <w:r w:rsidR="00EF27DA">
        <w:rPr>
          <w:rFonts w:cs="Arial"/>
          <w:color w:val="000000" w:themeColor="text1"/>
          <w:szCs w:val="18"/>
          <w:lang w:val="en-US"/>
        </w:rPr>
        <w:t xml:space="preserve">presence </w:t>
      </w:r>
      <w:r w:rsidR="00FC49A0">
        <w:rPr>
          <w:rFonts w:cs="Arial"/>
          <w:color w:val="000000" w:themeColor="text1"/>
          <w:szCs w:val="18"/>
          <w:lang w:val="en-US"/>
        </w:rPr>
        <w:t xml:space="preserve">(possible collision) </w:t>
      </w:r>
      <w:r w:rsidR="00EF27DA">
        <w:rPr>
          <w:rFonts w:cs="Arial"/>
          <w:color w:val="000000" w:themeColor="text1"/>
          <w:szCs w:val="18"/>
          <w:lang w:val="en-US"/>
        </w:rPr>
        <w:t xml:space="preserve">can split up the </w:t>
      </w:r>
      <w:r w:rsidR="00D92D28">
        <w:rPr>
          <w:rFonts w:cs="Arial"/>
          <w:color w:val="000000" w:themeColor="text1"/>
          <w:szCs w:val="18"/>
          <w:lang w:val="en-US"/>
        </w:rPr>
        <w:t xml:space="preserve">biofuel </w:t>
      </w:r>
      <w:r w:rsidR="001616A7" w:rsidRPr="00B755DA">
        <w:rPr>
          <w:rFonts w:cs="Arial"/>
          <w:color w:val="000000" w:themeColor="text1"/>
          <w:szCs w:val="18"/>
          <w:lang w:val="en-US"/>
        </w:rPr>
        <w:t xml:space="preserve">jet </w:t>
      </w:r>
      <w:r w:rsidR="00747694">
        <w:rPr>
          <w:rFonts w:cs="Arial"/>
          <w:color w:val="000000" w:themeColor="text1"/>
          <w:szCs w:val="18"/>
          <w:lang w:val="en-US"/>
        </w:rPr>
        <w:t xml:space="preserve">and </w:t>
      </w:r>
      <w:r w:rsidR="00F4179A">
        <w:rPr>
          <w:rFonts w:cs="Arial"/>
          <w:color w:val="000000" w:themeColor="text1"/>
          <w:szCs w:val="18"/>
          <w:lang w:val="en-US"/>
        </w:rPr>
        <w:t xml:space="preserve">so </w:t>
      </w:r>
      <w:r w:rsidR="001616A7" w:rsidRPr="00B755DA">
        <w:rPr>
          <w:rFonts w:cs="Arial"/>
          <w:color w:val="000000" w:themeColor="text1"/>
          <w:szCs w:val="18"/>
          <w:lang w:val="en-US"/>
        </w:rPr>
        <w:t xml:space="preserve">the </w:t>
      </w:r>
      <w:r w:rsidR="00831EDA">
        <w:rPr>
          <w:rFonts w:cs="Arial"/>
          <w:color w:val="000000" w:themeColor="text1"/>
          <w:szCs w:val="18"/>
          <w:lang w:val="en-US"/>
        </w:rPr>
        <w:t xml:space="preserve">air </w:t>
      </w:r>
      <w:r w:rsidR="001616A7" w:rsidRPr="00B755DA">
        <w:rPr>
          <w:rFonts w:cs="Arial"/>
          <w:color w:val="000000" w:themeColor="text1"/>
          <w:szCs w:val="18"/>
          <w:lang w:val="en-US"/>
        </w:rPr>
        <w:t xml:space="preserve">amount </w:t>
      </w:r>
      <w:r w:rsidR="006E58A9">
        <w:rPr>
          <w:rFonts w:cs="Arial"/>
          <w:color w:val="000000" w:themeColor="text1"/>
          <w:szCs w:val="18"/>
          <w:lang w:val="en-US"/>
        </w:rPr>
        <w:t>could</w:t>
      </w:r>
      <w:r w:rsidR="006E58A9" w:rsidRPr="00B755DA">
        <w:rPr>
          <w:rFonts w:cs="Arial"/>
          <w:color w:val="000000" w:themeColor="text1"/>
          <w:szCs w:val="18"/>
          <w:lang w:val="en-US"/>
        </w:rPr>
        <w:t xml:space="preserve"> increase</w:t>
      </w:r>
      <w:r w:rsidR="00CE34E1">
        <w:rPr>
          <w:rFonts w:cs="Arial"/>
          <w:color w:val="000000" w:themeColor="text1"/>
          <w:szCs w:val="18"/>
          <w:lang w:val="en-US"/>
        </w:rPr>
        <w:t>.</w:t>
      </w:r>
      <w:r w:rsidR="00707916">
        <w:rPr>
          <w:rFonts w:cs="Arial"/>
          <w:color w:val="000000" w:themeColor="text1"/>
          <w:szCs w:val="18"/>
          <w:lang w:val="en-US"/>
        </w:rPr>
        <w:t xml:space="preserve"> The consequ</w:t>
      </w:r>
      <w:r w:rsidR="009347D7">
        <w:rPr>
          <w:rFonts w:cs="Arial"/>
          <w:color w:val="000000" w:themeColor="text1"/>
          <w:szCs w:val="18"/>
          <w:lang w:val="en-US"/>
        </w:rPr>
        <w:t xml:space="preserve">ent result could </w:t>
      </w:r>
      <w:r w:rsidR="006D0BAB">
        <w:rPr>
          <w:rFonts w:cs="Arial"/>
          <w:color w:val="000000" w:themeColor="text1"/>
          <w:szCs w:val="18"/>
          <w:lang w:val="en-US"/>
        </w:rPr>
        <w:t xml:space="preserve">be a </w:t>
      </w:r>
      <w:r w:rsidR="001E49B9" w:rsidRPr="001616A7">
        <w:rPr>
          <w:rFonts w:cs="Arial"/>
          <w:color w:val="000000" w:themeColor="text1"/>
          <w:szCs w:val="18"/>
          <w:lang w:val="en-US"/>
        </w:rPr>
        <w:t>very diluted</w:t>
      </w:r>
      <w:r w:rsidR="001E49B9">
        <w:rPr>
          <w:rFonts w:cs="Arial"/>
          <w:color w:val="000000" w:themeColor="text1"/>
          <w:szCs w:val="18"/>
          <w:lang w:val="en-US"/>
        </w:rPr>
        <w:t xml:space="preserve"> jet</w:t>
      </w:r>
      <w:r w:rsidR="001E49B9" w:rsidRPr="001616A7">
        <w:rPr>
          <w:rFonts w:cs="Arial"/>
          <w:color w:val="000000" w:themeColor="text1"/>
          <w:szCs w:val="18"/>
          <w:lang w:val="en-US"/>
        </w:rPr>
        <w:t>.</w:t>
      </w:r>
      <w:r w:rsidR="00CE3BC1">
        <w:rPr>
          <w:rFonts w:cs="Arial"/>
          <w:color w:val="000000" w:themeColor="text1"/>
          <w:szCs w:val="18"/>
          <w:lang w:val="en-US"/>
        </w:rPr>
        <w:t xml:space="preserve"> </w:t>
      </w:r>
      <w:r w:rsidR="00887BD1">
        <w:rPr>
          <w:rFonts w:cs="Arial"/>
          <w:color w:val="000000" w:themeColor="text1"/>
          <w:szCs w:val="18"/>
          <w:lang w:val="en-US"/>
        </w:rPr>
        <w:t>Therefore, i</w:t>
      </w:r>
      <w:r w:rsidR="0005240B">
        <w:rPr>
          <w:rFonts w:cs="Arial"/>
          <w:color w:val="000000" w:themeColor="text1"/>
          <w:szCs w:val="18"/>
          <w:lang w:val="en-US"/>
        </w:rPr>
        <w:t>t</w:t>
      </w:r>
      <w:r w:rsidR="00CE3BC1">
        <w:rPr>
          <w:rFonts w:cs="Arial"/>
          <w:color w:val="000000" w:themeColor="text1"/>
          <w:szCs w:val="18"/>
          <w:lang w:val="en-US"/>
        </w:rPr>
        <w:t xml:space="preserve"> </w:t>
      </w:r>
      <w:r w:rsidR="00AD7ED8">
        <w:rPr>
          <w:rFonts w:cs="Arial"/>
          <w:color w:val="000000" w:themeColor="text1"/>
          <w:szCs w:val="18"/>
          <w:lang w:val="en-US"/>
        </w:rPr>
        <w:t>is</w:t>
      </w:r>
      <w:r w:rsidR="001616A7" w:rsidRPr="001616A7">
        <w:rPr>
          <w:rFonts w:cs="Arial"/>
          <w:color w:val="000000" w:themeColor="text1"/>
          <w:szCs w:val="18"/>
          <w:lang w:val="en-US"/>
        </w:rPr>
        <w:t xml:space="preserve"> clear that </w:t>
      </w:r>
      <w:r w:rsidR="0036267A">
        <w:rPr>
          <w:rFonts w:cs="Arial"/>
          <w:color w:val="000000" w:themeColor="text1"/>
          <w:szCs w:val="18"/>
          <w:lang w:val="en-US"/>
        </w:rPr>
        <w:t>the</w:t>
      </w:r>
      <w:r w:rsidR="00675824">
        <w:rPr>
          <w:rFonts w:cs="Arial"/>
          <w:color w:val="000000" w:themeColor="text1"/>
          <w:szCs w:val="18"/>
          <w:lang w:val="en-US"/>
        </w:rPr>
        <w:t xml:space="preserve"> </w:t>
      </w:r>
      <w:r w:rsidR="00C61733">
        <w:rPr>
          <w:rFonts w:cs="Arial"/>
          <w:color w:val="000000" w:themeColor="text1"/>
          <w:szCs w:val="18"/>
          <w:lang w:val="en-US"/>
        </w:rPr>
        <w:t xml:space="preserve">possible </w:t>
      </w:r>
      <w:r w:rsidR="00C61733" w:rsidRPr="001616A7">
        <w:rPr>
          <w:rFonts w:cs="Arial"/>
          <w:color w:val="000000" w:themeColor="text1"/>
          <w:szCs w:val="18"/>
          <w:lang w:val="en-US"/>
        </w:rPr>
        <w:t>fragmentation</w:t>
      </w:r>
      <w:r w:rsidR="0036267A">
        <w:rPr>
          <w:rFonts w:cs="Arial"/>
          <w:color w:val="000000" w:themeColor="text1"/>
          <w:szCs w:val="18"/>
          <w:lang w:val="en-US"/>
        </w:rPr>
        <w:t xml:space="preserve"> of the </w:t>
      </w:r>
      <w:r w:rsidR="00A46B97">
        <w:rPr>
          <w:rFonts w:cs="Arial"/>
          <w:color w:val="000000" w:themeColor="text1"/>
          <w:szCs w:val="18"/>
          <w:lang w:val="en-US"/>
        </w:rPr>
        <w:t xml:space="preserve">biomethane jet </w:t>
      </w:r>
      <w:r w:rsidR="001616A7" w:rsidRPr="001616A7">
        <w:rPr>
          <w:rFonts w:cs="Arial"/>
          <w:color w:val="000000" w:themeColor="text1"/>
          <w:szCs w:val="18"/>
          <w:lang w:val="en-US"/>
        </w:rPr>
        <w:t xml:space="preserve">during </w:t>
      </w:r>
      <w:r w:rsidR="00A46B97">
        <w:rPr>
          <w:rFonts w:cs="Arial"/>
          <w:color w:val="000000" w:themeColor="text1"/>
          <w:szCs w:val="18"/>
          <w:lang w:val="en-US"/>
        </w:rPr>
        <w:t>a</w:t>
      </w:r>
      <w:r w:rsidR="001616A7" w:rsidRPr="001616A7">
        <w:rPr>
          <w:rFonts w:cs="Arial"/>
          <w:color w:val="000000" w:themeColor="text1"/>
          <w:szCs w:val="18"/>
          <w:lang w:val="en-US"/>
        </w:rPr>
        <w:t xml:space="preserve"> collision is </w:t>
      </w:r>
      <w:r w:rsidR="00094E42">
        <w:rPr>
          <w:rFonts w:cs="Arial"/>
          <w:color w:val="000000" w:themeColor="text1"/>
          <w:szCs w:val="18"/>
          <w:lang w:val="en-US"/>
        </w:rPr>
        <w:t>extremely</w:t>
      </w:r>
      <w:r w:rsidR="001616A7" w:rsidRPr="001616A7">
        <w:rPr>
          <w:rFonts w:cs="Arial"/>
          <w:color w:val="000000" w:themeColor="text1"/>
          <w:szCs w:val="18"/>
          <w:lang w:val="en-US"/>
        </w:rPr>
        <w:t xml:space="preserve"> important. Some</w:t>
      </w:r>
      <w:r w:rsidR="00CE3BC1">
        <w:rPr>
          <w:rFonts w:cs="Arial"/>
          <w:color w:val="000000" w:themeColor="text1"/>
          <w:szCs w:val="18"/>
          <w:lang w:val="en-US"/>
        </w:rPr>
        <w:t xml:space="preserve"> </w:t>
      </w:r>
      <w:r w:rsidR="001616A7" w:rsidRPr="001616A7">
        <w:rPr>
          <w:rFonts w:cs="Arial"/>
          <w:color w:val="000000" w:themeColor="text1"/>
          <w:szCs w:val="18"/>
          <w:lang w:val="en-US"/>
        </w:rPr>
        <w:t>parameters</w:t>
      </w:r>
      <w:r w:rsidR="00CB4103">
        <w:rPr>
          <w:rFonts w:cs="Arial"/>
          <w:color w:val="000000" w:themeColor="text1"/>
          <w:szCs w:val="18"/>
          <w:lang w:val="en-US"/>
        </w:rPr>
        <w:t>,</w:t>
      </w:r>
      <w:r w:rsidR="001616A7" w:rsidRPr="001616A7">
        <w:rPr>
          <w:rFonts w:cs="Arial"/>
          <w:color w:val="000000" w:themeColor="text1"/>
          <w:szCs w:val="18"/>
          <w:lang w:val="en-US"/>
        </w:rPr>
        <w:t xml:space="preserve"> which play a </w:t>
      </w:r>
      <w:r w:rsidR="0025316A">
        <w:rPr>
          <w:rFonts w:cs="Arial"/>
          <w:color w:val="000000" w:themeColor="text1"/>
          <w:szCs w:val="18"/>
          <w:lang w:val="en-US"/>
        </w:rPr>
        <w:t xml:space="preserve">fundamental </w:t>
      </w:r>
      <w:r w:rsidR="00CB4103" w:rsidRPr="001616A7">
        <w:rPr>
          <w:rFonts w:cs="Arial"/>
          <w:color w:val="000000" w:themeColor="text1"/>
          <w:szCs w:val="18"/>
          <w:lang w:val="en-US"/>
        </w:rPr>
        <w:t>role</w:t>
      </w:r>
      <w:r w:rsidR="00C61733">
        <w:rPr>
          <w:rFonts w:cs="Arial"/>
          <w:color w:val="000000" w:themeColor="text1"/>
          <w:szCs w:val="18"/>
          <w:lang w:val="en-US"/>
        </w:rPr>
        <w:t>,</w:t>
      </w:r>
      <w:r w:rsidR="001616A7" w:rsidRPr="001616A7">
        <w:rPr>
          <w:rFonts w:cs="Arial"/>
          <w:color w:val="000000" w:themeColor="text1"/>
          <w:szCs w:val="18"/>
          <w:lang w:val="en-US"/>
        </w:rPr>
        <w:t xml:space="preserve"> are the </w:t>
      </w:r>
      <w:r w:rsidR="00ED7355">
        <w:rPr>
          <w:rFonts w:cs="Arial"/>
          <w:color w:val="000000" w:themeColor="text1"/>
          <w:szCs w:val="18"/>
          <w:lang w:val="en-US"/>
        </w:rPr>
        <w:t xml:space="preserve">obstacle </w:t>
      </w:r>
      <w:r w:rsidR="001616A7" w:rsidRPr="001616A7">
        <w:rPr>
          <w:rFonts w:cs="Arial"/>
          <w:color w:val="000000" w:themeColor="text1"/>
          <w:szCs w:val="18"/>
          <w:lang w:val="en-US"/>
        </w:rPr>
        <w:t xml:space="preserve">dimensions, </w:t>
      </w:r>
      <w:r w:rsidR="00ED7355">
        <w:rPr>
          <w:rFonts w:cs="Arial"/>
          <w:color w:val="000000" w:themeColor="text1"/>
          <w:szCs w:val="18"/>
          <w:lang w:val="en-US"/>
        </w:rPr>
        <w:t>its</w:t>
      </w:r>
      <w:r w:rsidR="001616A7" w:rsidRPr="001616A7">
        <w:rPr>
          <w:rFonts w:cs="Arial"/>
          <w:color w:val="000000" w:themeColor="text1"/>
          <w:szCs w:val="18"/>
          <w:lang w:val="en-US"/>
        </w:rPr>
        <w:t xml:space="preserve"> geometrical shape and</w:t>
      </w:r>
      <w:r w:rsidR="00CE3BC1">
        <w:rPr>
          <w:rFonts w:cs="Arial"/>
          <w:color w:val="000000" w:themeColor="text1"/>
          <w:szCs w:val="18"/>
          <w:lang w:val="en-US"/>
        </w:rPr>
        <w:t xml:space="preserve"> </w:t>
      </w:r>
      <w:r w:rsidR="001616A7" w:rsidRPr="001616A7">
        <w:rPr>
          <w:rFonts w:cs="Arial"/>
          <w:color w:val="000000" w:themeColor="text1"/>
          <w:szCs w:val="18"/>
          <w:lang w:val="en-US"/>
        </w:rPr>
        <w:t xml:space="preserve">the distance </w:t>
      </w:r>
      <w:r w:rsidR="00ED7355">
        <w:rPr>
          <w:rFonts w:cs="Arial"/>
          <w:color w:val="000000" w:themeColor="text1"/>
          <w:szCs w:val="18"/>
          <w:lang w:val="en-US"/>
        </w:rPr>
        <w:t xml:space="preserve">between </w:t>
      </w:r>
      <w:r w:rsidR="00A62C21">
        <w:rPr>
          <w:rFonts w:cs="Arial"/>
          <w:color w:val="000000" w:themeColor="text1"/>
          <w:szCs w:val="18"/>
          <w:lang w:val="en-US"/>
        </w:rPr>
        <w:t>release hole and obstacle</w:t>
      </w:r>
      <w:r w:rsidR="001616A7" w:rsidRPr="001616A7">
        <w:rPr>
          <w:rFonts w:cs="Arial"/>
          <w:color w:val="000000" w:themeColor="text1"/>
          <w:szCs w:val="18"/>
          <w:lang w:val="en-US"/>
        </w:rPr>
        <w:t xml:space="preserve">. So far, there are no general criteria for determining </w:t>
      </w:r>
      <w:r w:rsidR="00C8246F">
        <w:rPr>
          <w:rFonts w:cs="Arial"/>
          <w:color w:val="000000" w:themeColor="text1"/>
          <w:szCs w:val="18"/>
          <w:lang w:val="en-US"/>
        </w:rPr>
        <w:t xml:space="preserve">the </w:t>
      </w:r>
      <w:r w:rsidR="003A149C" w:rsidRPr="001616A7">
        <w:rPr>
          <w:rFonts w:cs="Arial"/>
          <w:color w:val="000000" w:themeColor="text1"/>
          <w:szCs w:val="18"/>
          <w:lang w:val="en-US"/>
        </w:rPr>
        <w:t>s</w:t>
      </w:r>
      <w:r w:rsidR="003A149C">
        <w:rPr>
          <w:rFonts w:cs="Arial"/>
          <w:color w:val="000000" w:themeColor="text1"/>
          <w:szCs w:val="18"/>
          <w:lang w:val="en-US"/>
        </w:rPr>
        <w:t xml:space="preserve">cenario, which could </w:t>
      </w:r>
      <w:r w:rsidR="001616A7" w:rsidRPr="00B755DA">
        <w:rPr>
          <w:rFonts w:cs="Arial"/>
          <w:color w:val="000000" w:themeColor="text1"/>
          <w:szCs w:val="18"/>
          <w:lang w:val="en-US"/>
        </w:rPr>
        <w:t xml:space="preserve">arise. </w:t>
      </w:r>
      <w:r w:rsidR="0011219C">
        <w:rPr>
          <w:rFonts w:cs="Arial"/>
          <w:color w:val="000000" w:themeColor="text1"/>
          <w:szCs w:val="18"/>
        </w:rPr>
        <w:t>The Q</w:t>
      </w:r>
      <w:r w:rsidR="0011219C" w:rsidRPr="0011219C">
        <w:rPr>
          <w:rFonts w:cs="Arial"/>
          <w:color w:val="000000" w:themeColor="text1"/>
          <w:szCs w:val="18"/>
          <w:vertAlign w:val="subscript"/>
        </w:rPr>
        <w:t>a</w:t>
      </w:r>
      <w:r w:rsidR="0011219C">
        <w:rPr>
          <w:rFonts w:cs="Arial"/>
          <w:color w:val="000000" w:themeColor="text1"/>
          <w:szCs w:val="18"/>
        </w:rPr>
        <w:t xml:space="preserve"> passage from 0.2 </w:t>
      </w:r>
      <w:r w:rsidR="0011219C">
        <w:rPr>
          <w:rFonts w:cs="Arial"/>
          <w:szCs w:val="18"/>
        </w:rPr>
        <w:t>m</w:t>
      </w:r>
      <w:r w:rsidR="0011219C" w:rsidRPr="00A22163">
        <w:rPr>
          <w:rFonts w:cs="Arial"/>
          <w:szCs w:val="18"/>
          <w:vertAlign w:val="superscript"/>
        </w:rPr>
        <w:t>3</w:t>
      </w:r>
      <w:r w:rsidR="0011219C">
        <w:rPr>
          <w:rFonts w:cs="Arial"/>
          <w:szCs w:val="18"/>
        </w:rPr>
        <w:t>/s to 0.</w:t>
      </w:r>
      <w:r w:rsidR="00CF7689">
        <w:rPr>
          <w:rFonts w:cs="Arial"/>
          <w:szCs w:val="18"/>
        </w:rPr>
        <w:t>8</w:t>
      </w:r>
      <w:r w:rsidR="0011219C">
        <w:rPr>
          <w:rFonts w:cs="Arial"/>
          <w:szCs w:val="18"/>
        </w:rPr>
        <w:t xml:space="preserve"> m</w:t>
      </w:r>
      <w:r w:rsidR="0011219C" w:rsidRPr="00A22163">
        <w:rPr>
          <w:rFonts w:cs="Arial"/>
          <w:szCs w:val="18"/>
          <w:vertAlign w:val="superscript"/>
        </w:rPr>
        <w:t>3</w:t>
      </w:r>
      <w:r w:rsidR="0011219C">
        <w:rPr>
          <w:rFonts w:cs="Arial"/>
          <w:szCs w:val="18"/>
        </w:rPr>
        <w:t xml:space="preserve">/s </w:t>
      </w:r>
      <w:r w:rsidR="005B3FEF">
        <w:rPr>
          <w:rFonts w:cs="Arial"/>
          <w:szCs w:val="18"/>
        </w:rPr>
        <w:t xml:space="preserve">causes </w:t>
      </w:r>
      <w:r w:rsidR="00EC178B">
        <w:rPr>
          <w:rFonts w:cs="Arial"/>
          <w:szCs w:val="18"/>
        </w:rPr>
        <w:t>remarkable decreases</w:t>
      </w:r>
      <w:r w:rsidR="00A26575">
        <w:rPr>
          <w:rFonts w:cs="Arial"/>
          <w:szCs w:val="18"/>
        </w:rPr>
        <w:t xml:space="preserve"> of the background concentrations. Indeed, they are equal to </w:t>
      </w:r>
      <w:r w:rsidR="004205EE">
        <w:rPr>
          <w:rFonts w:cs="Arial"/>
          <w:szCs w:val="18"/>
        </w:rPr>
        <w:t>8</w:t>
      </w:r>
      <w:r w:rsidR="00571401">
        <w:rPr>
          <w:rFonts w:cs="Arial"/>
          <w:szCs w:val="18"/>
        </w:rPr>
        <w:t>8</w:t>
      </w:r>
      <w:r w:rsidR="004205EE">
        <w:rPr>
          <w:rFonts w:cs="Arial"/>
          <w:szCs w:val="18"/>
        </w:rPr>
        <w:t>.</w:t>
      </w:r>
      <w:r w:rsidR="00571401">
        <w:rPr>
          <w:rFonts w:cs="Arial"/>
          <w:szCs w:val="18"/>
        </w:rPr>
        <w:t>5</w:t>
      </w:r>
      <w:r w:rsidR="004205EE">
        <w:rPr>
          <w:rFonts w:cs="Arial"/>
          <w:szCs w:val="18"/>
        </w:rPr>
        <w:t>% for X</w:t>
      </w:r>
      <w:r w:rsidR="004205EE" w:rsidRPr="008427D7">
        <w:rPr>
          <w:rFonts w:cs="Arial"/>
          <w:szCs w:val="18"/>
          <w:vertAlign w:val="subscript"/>
        </w:rPr>
        <w:t>b1</w:t>
      </w:r>
      <w:r w:rsidR="006361DC">
        <w:rPr>
          <w:rFonts w:cs="Arial"/>
          <w:szCs w:val="18"/>
        </w:rPr>
        <w:t xml:space="preserve">, </w:t>
      </w:r>
      <w:r w:rsidR="009B1FF5">
        <w:rPr>
          <w:rFonts w:cs="Arial"/>
          <w:szCs w:val="18"/>
        </w:rPr>
        <w:t>77</w:t>
      </w:r>
      <w:r w:rsidR="00771EBC">
        <w:rPr>
          <w:rFonts w:cs="Arial"/>
          <w:szCs w:val="18"/>
        </w:rPr>
        <w:t>%</w:t>
      </w:r>
      <w:r w:rsidR="006361DC">
        <w:rPr>
          <w:rFonts w:cs="Arial"/>
          <w:szCs w:val="18"/>
        </w:rPr>
        <w:t xml:space="preserve"> for X</w:t>
      </w:r>
      <w:r w:rsidR="006361DC" w:rsidRPr="00C811AC">
        <w:rPr>
          <w:rFonts w:cs="Arial"/>
          <w:szCs w:val="18"/>
          <w:vertAlign w:val="subscript"/>
        </w:rPr>
        <w:t>b2</w:t>
      </w:r>
      <w:r w:rsidR="006361DC">
        <w:rPr>
          <w:rFonts w:cs="Arial"/>
          <w:szCs w:val="18"/>
        </w:rPr>
        <w:t xml:space="preserve"> and </w:t>
      </w:r>
      <w:r w:rsidR="009B1FF5">
        <w:rPr>
          <w:rFonts w:cs="Arial"/>
          <w:szCs w:val="18"/>
        </w:rPr>
        <w:t>76</w:t>
      </w:r>
      <w:r w:rsidR="006361DC">
        <w:rPr>
          <w:rFonts w:cs="Arial"/>
          <w:szCs w:val="18"/>
        </w:rPr>
        <w:t>.2% for X</w:t>
      </w:r>
      <w:r w:rsidR="006361DC" w:rsidRPr="00C811AC">
        <w:rPr>
          <w:rFonts w:cs="Arial"/>
          <w:szCs w:val="18"/>
          <w:vertAlign w:val="subscript"/>
        </w:rPr>
        <w:t>b</w:t>
      </w:r>
      <w:r w:rsidR="008427D7" w:rsidRPr="00C811AC">
        <w:rPr>
          <w:rFonts w:cs="Arial"/>
          <w:szCs w:val="18"/>
          <w:vertAlign w:val="subscript"/>
        </w:rPr>
        <w:t>3</w:t>
      </w:r>
      <w:r w:rsidR="008427D7">
        <w:rPr>
          <w:rFonts w:cs="Arial"/>
          <w:szCs w:val="18"/>
        </w:rPr>
        <w:t xml:space="preserve">. </w:t>
      </w:r>
      <w:r w:rsidR="003B12FC">
        <w:rPr>
          <w:rFonts w:cs="Arial"/>
          <w:szCs w:val="18"/>
        </w:rPr>
        <w:t>The X</w:t>
      </w:r>
      <w:r w:rsidR="003B12FC" w:rsidRPr="00AB4F37">
        <w:rPr>
          <w:rFonts w:cs="Arial"/>
          <w:szCs w:val="18"/>
          <w:vertAlign w:val="subscript"/>
        </w:rPr>
        <w:t>btot</w:t>
      </w:r>
      <w:r w:rsidR="003B12FC">
        <w:rPr>
          <w:rFonts w:cs="Arial"/>
          <w:szCs w:val="18"/>
        </w:rPr>
        <w:t xml:space="preserve"> decrease is about </w:t>
      </w:r>
      <w:r w:rsidR="00AB4F37">
        <w:rPr>
          <w:rFonts w:cs="Arial"/>
          <w:szCs w:val="18"/>
        </w:rPr>
        <w:t>7</w:t>
      </w:r>
      <w:r w:rsidR="009B1FF5">
        <w:rPr>
          <w:rFonts w:cs="Arial"/>
          <w:szCs w:val="18"/>
        </w:rPr>
        <w:t>9</w:t>
      </w:r>
      <w:r w:rsidR="00AB4F37">
        <w:rPr>
          <w:rFonts w:cs="Arial"/>
          <w:szCs w:val="18"/>
        </w:rPr>
        <w:t>.</w:t>
      </w:r>
      <w:r w:rsidR="009B1FF5">
        <w:rPr>
          <w:rFonts w:cs="Arial"/>
          <w:szCs w:val="18"/>
        </w:rPr>
        <w:t>7</w:t>
      </w:r>
      <w:r w:rsidR="00AB4F37">
        <w:rPr>
          <w:rFonts w:cs="Arial"/>
          <w:szCs w:val="18"/>
        </w:rPr>
        <w:t xml:space="preserve">%. </w:t>
      </w:r>
      <w:r w:rsidR="00E8334D">
        <w:rPr>
          <w:rFonts w:cs="Arial"/>
          <w:szCs w:val="18"/>
        </w:rPr>
        <w:t xml:space="preserve">In figure </w:t>
      </w:r>
      <w:r w:rsidR="00D1380E">
        <w:rPr>
          <w:rFonts w:cs="Arial"/>
          <w:szCs w:val="18"/>
        </w:rPr>
        <w:t>4</w:t>
      </w:r>
      <w:r w:rsidR="00BF37ED">
        <w:rPr>
          <w:rFonts w:cs="Arial"/>
          <w:szCs w:val="18"/>
        </w:rPr>
        <w:t xml:space="preserve">, </w:t>
      </w:r>
      <w:r w:rsidR="00665881">
        <w:rPr>
          <w:rFonts w:cs="Arial"/>
          <w:szCs w:val="18"/>
        </w:rPr>
        <w:t xml:space="preserve">the classification </w:t>
      </w:r>
      <w:r w:rsidR="00B363FC">
        <w:rPr>
          <w:rFonts w:cs="Arial"/>
          <w:szCs w:val="18"/>
        </w:rPr>
        <w:t>results (biomethane release from compressor)</w:t>
      </w:r>
      <w:r w:rsidR="000B2657">
        <w:rPr>
          <w:rFonts w:cs="Arial"/>
          <w:szCs w:val="18"/>
        </w:rPr>
        <w:t xml:space="preserve"> are reported. </w:t>
      </w:r>
      <w:r w:rsidR="009D7E9B">
        <w:rPr>
          <w:rFonts w:cs="Arial"/>
          <w:szCs w:val="18"/>
        </w:rPr>
        <w:t xml:space="preserve">It has to be highlighted that, because of </w:t>
      </w:r>
      <w:r w:rsidR="00336F92">
        <w:rPr>
          <w:rFonts w:cs="Arial"/>
          <w:szCs w:val="18"/>
        </w:rPr>
        <w:t xml:space="preserve">low dilution, the ventilation availability does not influence </w:t>
      </w:r>
      <w:r w:rsidR="000F49CD">
        <w:rPr>
          <w:rFonts w:cs="Arial"/>
          <w:szCs w:val="18"/>
        </w:rPr>
        <w:t xml:space="preserve">the </w:t>
      </w:r>
      <w:r w:rsidR="00D903C4">
        <w:rPr>
          <w:rFonts w:cs="Arial"/>
          <w:szCs w:val="18"/>
        </w:rPr>
        <w:t>Atex zone typology</w:t>
      </w:r>
      <w:r w:rsidR="00FC60E6">
        <w:rPr>
          <w:rFonts w:cs="Arial"/>
          <w:szCs w:val="18"/>
        </w:rPr>
        <w:t xml:space="preserve">. Indeed, </w:t>
      </w:r>
      <w:r w:rsidR="00E33D73">
        <w:rPr>
          <w:rFonts w:cs="Arial"/>
          <w:szCs w:val="18"/>
        </w:rPr>
        <w:t xml:space="preserve">accidental </w:t>
      </w:r>
      <w:r w:rsidR="00404422">
        <w:rPr>
          <w:rFonts w:cs="Arial"/>
          <w:szCs w:val="18"/>
        </w:rPr>
        <w:t xml:space="preserve">biofuel emissions from </w:t>
      </w:r>
      <w:r w:rsidR="009013CC">
        <w:rPr>
          <w:rFonts w:cs="Arial"/>
          <w:szCs w:val="18"/>
        </w:rPr>
        <w:t xml:space="preserve">the </w:t>
      </w:r>
      <w:r w:rsidR="00404422">
        <w:rPr>
          <w:rFonts w:cs="Arial"/>
          <w:szCs w:val="18"/>
        </w:rPr>
        <w:t xml:space="preserve">reciprocating compressor could </w:t>
      </w:r>
      <w:r w:rsidR="00E765DF">
        <w:rPr>
          <w:rFonts w:cs="Arial"/>
          <w:szCs w:val="18"/>
        </w:rPr>
        <w:t>generate zone 1 and even zone 0</w:t>
      </w:r>
      <w:r w:rsidR="005451AF">
        <w:rPr>
          <w:rFonts w:cs="Arial"/>
          <w:szCs w:val="18"/>
        </w:rPr>
        <w:t xml:space="preserve"> (</w:t>
      </w:r>
      <w:r w:rsidR="00771EBC">
        <w:rPr>
          <w:rFonts w:cs="Arial"/>
          <w:szCs w:val="18"/>
        </w:rPr>
        <w:t xml:space="preserve">the </w:t>
      </w:r>
      <w:r w:rsidR="005451AF">
        <w:rPr>
          <w:rFonts w:cs="Arial"/>
          <w:szCs w:val="18"/>
        </w:rPr>
        <w:t>most hazardous area)</w:t>
      </w:r>
      <w:r w:rsidR="009013CC">
        <w:rPr>
          <w:rFonts w:cs="Arial"/>
          <w:szCs w:val="18"/>
        </w:rPr>
        <w:t xml:space="preserve">. </w:t>
      </w:r>
      <w:r w:rsidR="00404422">
        <w:rPr>
          <w:rFonts w:cs="Arial"/>
          <w:szCs w:val="18"/>
        </w:rPr>
        <w:t xml:space="preserve"> </w:t>
      </w:r>
      <w:r w:rsidR="00EC688E">
        <w:rPr>
          <w:rFonts w:cs="Arial"/>
          <w:szCs w:val="18"/>
        </w:rPr>
        <w:t xml:space="preserve">However, </w:t>
      </w:r>
      <w:r w:rsidR="00620352">
        <w:rPr>
          <w:rFonts w:cs="Arial"/>
          <w:szCs w:val="18"/>
        </w:rPr>
        <w:t xml:space="preserve">zone </w:t>
      </w:r>
      <w:r w:rsidR="00BB4534">
        <w:rPr>
          <w:rFonts w:cs="Arial"/>
          <w:szCs w:val="18"/>
        </w:rPr>
        <w:t xml:space="preserve">0 could occur in case of particularly weak ventilation </w:t>
      </w:r>
      <w:r w:rsidR="00C255FF">
        <w:rPr>
          <w:rFonts w:cs="Arial"/>
          <w:szCs w:val="18"/>
        </w:rPr>
        <w:t xml:space="preserve">and </w:t>
      </w:r>
      <w:r w:rsidR="007D4023">
        <w:rPr>
          <w:rFonts w:cs="Arial"/>
          <w:szCs w:val="18"/>
        </w:rPr>
        <w:t xml:space="preserve">continuous presence </w:t>
      </w:r>
      <w:r w:rsidR="00C56DB6">
        <w:rPr>
          <w:rFonts w:cs="Arial"/>
          <w:szCs w:val="18"/>
        </w:rPr>
        <w:t>of potentially explosive atmosphere</w:t>
      </w:r>
      <w:r w:rsidR="00C661F8">
        <w:rPr>
          <w:rFonts w:cs="Arial"/>
          <w:szCs w:val="18"/>
        </w:rPr>
        <w:t>, but th</w:t>
      </w:r>
      <w:r w:rsidR="00865C3A">
        <w:rPr>
          <w:rFonts w:cs="Arial"/>
          <w:szCs w:val="18"/>
        </w:rPr>
        <w:t xml:space="preserve">e forced </w:t>
      </w:r>
      <w:r w:rsidR="00DA3AE7">
        <w:rPr>
          <w:rFonts w:cs="Arial"/>
          <w:szCs w:val="18"/>
        </w:rPr>
        <w:t xml:space="preserve">ventilation system and </w:t>
      </w:r>
      <w:r w:rsidR="001A1A3E">
        <w:rPr>
          <w:rFonts w:cs="Arial"/>
          <w:szCs w:val="18"/>
        </w:rPr>
        <w:t xml:space="preserve">adjustment of </w:t>
      </w:r>
      <w:r w:rsidR="00DA3AE7">
        <w:rPr>
          <w:rFonts w:cs="Arial"/>
          <w:szCs w:val="18"/>
        </w:rPr>
        <w:t xml:space="preserve">its </w:t>
      </w:r>
      <w:r w:rsidR="001C2D6E">
        <w:rPr>
          <w:rFonts w:cs="Arial"/>
          <w:szCs w:val="18"/>
        </w:rPr>
        <w:t>ope</w:t>
      </w:r>
      <w:r w:rsidR="001A1A3E">
        <w:rPr>
          <w:rFonts w:cs="Arial"/>
          <w:szCs w:val="18"/>
        </w:rPr>
        <w:t xml:space="preserve">rating parameters make </w:t>
      </w:r>
      <w:r w:rsidR="004D2D60">
        <w:rPr>
          <w:rFonts w:cs="Arial"/>
          <w:szCs w:val="18"/>
        </w:rPr>
        <w:t xml:space="preserve">zone 0 formation </w:t>
      </w:r>
      <w:r w:rsidR="00B20017">
        <w:rPr>
          <w:rFonts w:cs="Arial"/>
          <w:szCs w:val="18"/>
        </w:rPr>
        <w:t xml:space="preserve">extremely unlikely. </w:t>
      </w:r>
      <w:r w:rsidR="00AC5462">
        <w:rPr>
          <w:rFonts w:cs="Arial"/>
          <w:szCs w:val="18"/>
        </w:rPr>
        <w:t>Furthermore, i</w:t>
      </w:r>
      <w:r w:rsidR="00786BDE">
        <w:rPr>
          <w:rFonts w:cs="Arial"/>
          <w:szCs w:val="18"/>
        </w:rPr>
        <w:t xml:space="preserve">n the biomethane compression unit, </w:t>
      </w:r>
      <w:r w:rsidR="00BA5BE6">
        <w:rPr>
          <w:rFonts w:cs="Arial"/>
          <w:szCs w:val="18"/>
        </w:rPr>
        <w:t xml:space="preserve">the redundancy of </w:t>
      </w:r>
      <w:r w:rsidR="00E41FEA">
        <w:rPr>
          <w:rFonts w:cs="Arial"/>
          <w:szCs w:val="18"/>
        </w:rPr>
        <w:t xml:space="preserve">ventilation </w:t>
      </w:r>
      <w:r w:rsidR="00457E45">
        <w:rPr>
          <w:rFonts w:cs="Arial"/>
          <w:szCs w:val="18"/>
        </w:rPr>
        <w:t xml:space="preserve">plant components (fan) and </w:t>
      </w:r>
      <w:r w:rsidR="00637458">
        <w:rPr>
          <w:rFonts w:cs="Arial"/>
          <w:szCs w:val="18"/>
        </w:rPr>
        <w:t xml:space="preserve">gas detectors can ensure </w:t>
      </w:r>
      <w:r w:rsidR="005F2A27">
        <w:rPr>
          <w:rFonts w:cs="Arial"/>
          <w:szCs w:val="18"/>
        </w:rPr>
        <w:t xml:space="preserve">uninterrupted </w:t>
      </w:r>
      <w:r w:rsidR="008659C9">
        <w:rPr>
          <w:rFonts w:cs="Arial"/>
          <w:szCs w:val="18"/>
        </w:rPr>
        <w:t xml:space="preserve">air flow </w:t>
      </w:r>
      <w:r w:rsidR="00526B39">
        <w:rPr>
          <w:rFonts w:cs="Arial"/>
          <w:szCs w:val="18"/>
        </w:rPr>
        <w:t>availability and</w:t>
      </w:r>
      <w:r w:rsidR="008659C9">
        <w:rPr>
          <w:rFonts w:cs="Arial"/>
          <w:szCs w:val="18"/>
        </w:rPr>
        <w:t xml:space="preserve"> </w:t>
      </w:r>
      <w:r w:rsidR="003240EB">
        <w:rPr>
          <w:rFonts w:cs="Arial"/>
          <w:szCs w:val="18"/>
        </w:rPr>
        <w:t>continuous monitoring of biomethane concentration</w:t>
      </w:r>
      <w:r w:rsidR="007056D5">
        <w:rPr>
          <w:rFonts w:cs="Arial"/>
          <w:szCs w:val="18"/>
        </w:rPr>
        <w:t xml:space="preserve">, </w:t>
      </w:r>
      <w:r w:rsidR="008C4C32">
        <w:rPr>
          <w:rFonts w:cs="Arial"/>
          <w:szCs w:val="18"/>
        </w:rPr>
        <w:t xml:space="preserve">thereby avoiding </w:t>
      </w:r>
      <w:r w:rsidR="001F7959">
        <w:rPr>
          <w:rFonts w:cs="Arial"/>
          <w:szCs w:val="18"/>
        </w:rPr>
        <w:t>the zone 0 generation</w:t>
      </w:r>
      <w:r w:rsidR="0068575A">
        <w:rPr>
          <w:rFonts w:cs="Arial"/>
          <w:szCs w:val="18"/>
        </w:rPr>
        <w:t xml:space="preserve"> and </w:t>
      </w:r>
      <w:r w:rsidR="008C1F5A">
        <w:rPr>
          <w:rFonts w:cs="Arial"/>
          <w:szCs w:val="18"/>
        </w:rPr>
        <w:t xml:space="preserve">decreasing the </w:t>
      </w:r>
      <w:r w:rsidR="000D1CA6">
        <w:rPr>
          <w:rFonts w:cs="Arial"/>
          <w:szCs w:val="18"/>
        </w:rPr>
        <w:t>hazardous zone persistence time</w:t>
      </w:r>
      <w:r w:rsidR="001F7959">
        <w:rPr>
          <w:rFonts w:cs="Arial"/>
          <w:szCs w:val="18"/>
        </w:rPr>
        <w:t>.</w:t>
      </w:r>
      <w:r w:rsidR="003240EB">
        <w:rPr>
          <w:rFonts w:cs="Arial"/>
          <w:szCs w:val="18"/>
        </w:rPr>
        <w:t xml:space="preserve"> </w:t>
      </w:r>
      <w:r w:rsidR="005E0A6F">
        <w:rPr>
          <w:rFonts w:cs="Arial"/>
          <w:szCs w:val="18"/>
        </w:rPr>
        <w:t xml:space="preserve">Therefore, </w:t>
      </w:r>
      <w:r w:rsidR="00E05EFE">
        <w:rPr>
          <w:rFonts w:cs="Arial"/>
          <w:szCs w:val="18"/>
        </w:rPr>
        <w:t>zone 1 is the most probable scenario</w:t>
      </w:r>
      <w:r w:rsidR="00972184">
        <w:rPr>
          <w:rFonts w:cs="Arial"/>
          <w:szCs w:val="18"/>
        </w:rPr>
        <w:t xml:space="preserve">, which could </w:t>
      </w:r>
      <w:r w:rsidR="001F724F">
        <w:rPr>
          <w:rFonts w:cs="Arial"/>
          <w:szCs w:val="18"/>
        </w:rPr>
        <w:t xml:space="preserve">be generated by </w:t>
      </w:r>
      <w:r w:rsidR="00E8042C">
        <w:rPr>
          <w:rFonts w:cs="Arial"/>
          <w:szCs w:val="18"/>
        </w:rPr>
        <w:t>gaseous biofuel release from rec</w:t>
      </w:r>
      <w:r w:rsidR="00FC2651">
        <w:rPr>
          <w:rFonts w:cs="Arial"/>
          <w:szCs w:val="18"/>
        </w:rPr>
        <w:t xml:space="preserve">iprocating compressor. </w:t>
      </w:r>
      <w:r w:rsidR="00A84FB9">
        <w:rPr>
          <w:rFonts w:cs="Arial"/>
          <w:szCs w:val="18"/>
        </w:rPr>
        <w:t xml:space="preserve">With reference to </w:t>
      </w:r>
      <w:r w:rsidR="00C12B5F">
        <w:rPr>
          <w:rFonts w:cs="Arial"/>
          <w:szCs w:val="18"/>
        </w:rPr>
        <w:t xml:space="preserve">the </w:t>
      </w:r>
      <w:r w:rsidR="00133ADE">
        <w:rPr>
          <w:rFonts w:cs="Arial"/>
          <w:szCs w:val="18"/>
        </w:rPr>
        <w:t xml:space="preserve">Atex zone extension, in case of </w:t>
      </w:r>
      <w:r w:rsidR="00873C79">
        <w:rPr>
          <w:rFonts w:cs="Arial"/>
          <w:szCs w:val="18"/>
        </w:rPr>
        <w:t>X</w:t>
      </w:r>
      <w:r w:rsidR="00873C79" w:rsidRPr="00335D59">
        <w:rPr>
          <w:rFonts w:cs="Arial"/>
          <w:szCs w:val="18"/>
          <w:vertAlign w:val="subscript"/>
        </w:rPr>
        <w:t>btot</w:t>
      </w:r>
      <w:r w:rsidR="00335D59" w:rsidRPr="00335D59">
        <w:rPr>
          <w:rFonts w:cs="Arial"/>
          <w:szCs w:val="18"/>
          <w:vertAlign w:val="subscript"/>
        </w:rPr>
        <w:t xml:space="preserve"> </w:t>
      </w:r>
      <w:r w:rsidR="00335D59">
        <w:rPr>
          <w:rFonts w:cs="Arial"/>
          <w:szCs w:val="18"/>
        </w:rPr>
        <w:t>&gt; X</w:t>
      </w:r>
      <w:r w:rsidR="00335D59" w:rsidRPr="00335D59">
        <w:rPr>
          <w:rFonts w:cs="Arial"/>
          <w:szCs w:val="18"/>
          <w:vertAlign w:val="subscript"/>
        </w:rPr>
        <w:t>cr</w:t>
      </w:r>
      <w:r w:rsidR="00335D59">
        <w:rPr>
          <w:rFonts w:cs="Arial"/>
          <w:szCs w:val="18"/>
        </w:rPr>
        <w:t xml:space="preserve">, </w:t>
      </w:r>
      <w:r w:rsidR="00A01F55">
        <w:rPr>
          <w:rFonts w:cs="Arial"/>
          <w:szCs w:val="18"/>
        </w:rPr>
        <w:t xml:space="preserve">the overall building </w:t>
      </w:r>
      <w:r w:rsidR="002B79C7">
        <w:rPr>
          <w:rFonts w:cs="Arial"/>
          <w:szCs w:val="18"/>
        </w:rPr>
        <w:t xml:space="preserve">has to be considered </w:t>
      </w:r>
      <w:r w:rsidR="004F493F">
        <w:rPr>
          <w:rFonts w:cs="Arial"/>
          <w:szCs w:val="18"/>
        </w:rPr>
        <w:t xml:space="preserve">hazardous area. </w:t>
      </w:r>
      <w:r w:rsidR="0071337B">
        <w:rPr>
          <w:rFonts w:cs="Arial"/>
          <w:szCs w:val="18"/>
        </w:rPr>
        <w:t>Finally, t</w:t>
      </w:r>
      <w:r w:rsidR="00D00DC8">
        <w:rPr>
          <w:rFonts w:cs="Arial"/>
          <w:szCs w:val="18"/>
        </w:rPr>
        <w:t xml:space="preserve">he </w:t>
      </w:r>
      <w:r w:rsidR="006F7848">
        <w:rPr>
          <w:rFonts w:cs="Arial"/>
          <w:szCs w:val="18"/>
        </w:rPr>
        <w:t xml:space="preserve">air flow influence on time of </w:t>
      </w:r>
      <w:r w:rsidR="00F86F71">
        <w:rPr>
          <w:rFonts w:cs="Arial"/>
          <w:szCs w:val="18"/>
        </w:rPr>
        <w:t xml:space="preserve">Atex zone </w:t>
      </w:r>
      <w:r w:rsidR="00C84659">
        <w:rPr>
          <w:rFonts w:cs="Arial"/>
          <w:szCs w:val="18"/>
        </w:rPr>
        <w:t>persistence is</w:t>
      </w:r>
      <w:r w:rsidR="00F86F71">
        <w:rPr>
          <w:rFonts w:cs="Arial"/>
          <w:szCs w:val="18"/>
        </w:rPr>
        <w:t xml:space="preserve"> reported in table 3. </w:t>
      </w:r>
    </w:p>
    <w:p w14:paraId="09D6DBAC" w14:textId="77777777" w:rsidR="00F86F71" w:rsidRDefault="00F86F71" w:rsidP="00A940AE">
      <w:pPr>
        <w:tabs>
          <w:tab w:val="clear" w:pos="7100"/>
        </w:tabs>
        <w:autoSpaceDE w:val="0"/>
        <w:autoSpaceDN w:val="0"/>
        <w:adjustRightInd w:val="0"/>
        <w:spacing w:line="240" w:lineRule="auto"/>
        <w:rPr>
          <w:rFonts w:cs="Arial"/>
          <w:szCs w:val="18"/>
        </w:rPr>
      </w:pPr>
    </w:p>
    <w:p w14:paraId="30D97A5B" w14:textId="5D5D821F" w:rsidR="00C5575B" w:rsidRPr="00621809" w:rsidRDefault="00296E67" w:rsidP="00A940AE">
      <w:pPr>
        <w:tabs>
          <w:tab w:val="clear" w:pos="7100"/>
        </w:tabs>
        <w:autoSpaceDE w:val="0"/>
        <w:autoSpaceDN w:val="0"/>
        <w:adjustRightInd w:val="0"/>
        <w:spacing w:line="240" w:lineRule="auto"/>
        <w:rPr>
          <w:rFonts w:cs="Arial"/>
          <w:i/>
          <w:iCs/>
          <w:szCs w:val="18"/>
        </w:rPr>
      </w:pPr>
      <w:r>
        <w:rPr>
          <w:rFonts w:cs="Arial"/>
          <w:szCs w:val="18"/>
        </w:rPr>
        <w:t xml:space="preserve"> </w:t>
      </w:r>
      <w:r w:rsidR="00C84659" w:rsidRPr="00621809">
        <w:rPr>
          <w:rFonts w:cs="Arial"/>
          <w:i/>
          <w:iCs/>
          <w:szCs w:val="18"/>
        </w:rPr>
        <w:t xml:space="preserve">Table 3: </w:t>
      </w:r>
      <w:r w:rsidR="00772132" w:rsidRPr="00621809">
        <w:rPr>
          <w:rFonts w:cs="Arial"/>
          <w:i/>
          <w:iCs/>
          <w:szCs w:val="18"/>
        </w:rPr>
        <w:t xml:space="preserve">Atex zone persistence time </w:t>
      </w:r>
      <w:r w:rsidR="00E05EFE" w:rsidRPr="00621809">
        <w:rPr>
          <w:rFonts w:cs="Arial"/>
          <w:i/>
          <w:iCs/>
          <w:szCs w:val="18"/>
        </w:rPr>
        <w:t xml:space="preserve"> </w:t>
      </w:r>
      <w:r w:rsidR="003240EB" w:rsidRPr="00621809">
        <w:rPr>
          <w:rFonts w:cs="Arial"/>
          <w:i/>
          <w:iCs/>
          <w:szCs w:val="18"/>
        </w:rPr>
        <w:t xml:space="preserve">  </w:t>
      </w:r>
      <w:r w:rsidR="007D4023" w:rsidRPr="00621809">
        <w:rPr>
          <w:rFonts w:cs="Arial"/>
          <w:i/>
          <w:iCs/>
          <w:szCs w:val="18"/>
        </w:rPr>
        <w:t xml:space="preserve"> </w:t>
      </w:r>
      <w:r w:rsidR="00FC60E6" w:rsidRPr="00621809">
        <w:rPr>
          <w:rFonts w:cs="Arial"/>
          <w:i/>
          <w:iCs/>
          <w:szCs w:val="18"/>
        </w:rPr>
        <w:t xml:space="preserve"> </w:t>
      </w:r>
      <w:r w:rsidR="009D7E9B" w:rsidRPr="00621809">
        <w:rPr>
          <w:rFonts w:cs="Arial"/>
          <w:i/>
          <w:iCs/>
          <w:szCs w:val="18"/>
        </w:rPr>
        <w:t xml:space="preserve"> </w:t>
      </w:r>
      <w:r w:rsidR="00B363FC" w:rsidRPr="00621809">
        <w:rPr>
          <w:rFonts w:cs="Arial"/>
          <w:i/>
          <w:iCs/>
          <w:szCs w:val="18"/>
        </w:rPr>
        <w:t xml:space="preserve">  </w:t>
      </w:r>
      <w:r w:rsidR="00E8334D" w:rsidRPr="00621809">
        <w:rPr>
          <w:rFonts w:cs="Arial"/>
          <w:i/>
          <w:iCs/>
          <w:szCs w:val="18"/>
        </w:rPr>
        <w:t xml:space="preserve"> </w:t>
      </w:r>
      <w:r w:rsidR="006361DC" w:rsidRPr="00621809">
        <w:rPr>
          <w:rFonts w:cs="Arial"/>
          <w:i/>
          <w:iCs/>
          <w:szCs w:val="18"/>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134"/>
        <w:gridCol w:w="2126"/>
      </w:tblGrid>
      <w:tr w:rsidR="00B918DB" w14:paraId="4B84D92E" w14:textId="77777777" w:rsidTr="00182E53">
        <w:tc>
          <w:tcPr>
            <w:tcW w:w="851" w:type="dxa"/>
            <w:tcBorders>
              <w:top w:val="single" w:sz="12" w:space="0" w:color="008000"/>
              <w:bottom w:val="single" w:sz="4" w:space="0" w:color="auto"/>
            </w:tcBorders>
            <w:shd w:val="clear" w:color="auto" w:fill="FFFFFF"/>
          </w:tcPr>
          <w:p w14:paraId="68CBC9D4" w14:textId="77777777" w:rsidR="00B918DB" w:rsidRPr="000A5C4F" w:rsidRDefault="00B918DB" w:rsidP="00B56BFD">
            <w:pPr>
              <w:pStyle w:val="CETBodytext"/>
              <w:jc w:val="center"/>
              <w:rPr>
                <w:lang w:val="en-GB"/>
              </w:rPr>
            </w:pPr>
            <w:r>
              <w:rPr>
                <w:lang w:val="en-GB"/>
              </w:rPr>
              <w:t>Q</w:t>
            </w:r>
            <w:r>
              <w:rPr>
                <w:vertAlign w:val="subscript"/>
                <w:lang w:val="en-GB"/>
              </w:rPr>
              <w:t>a</w:t>
            </w:r>
            <w:r>
              <w:rPr>
                <w:lang w:val="en-GB"/>
              </w:rPr>
              <w:t xml:space="preserve"> (</w:t>
            </w:r>
            <w:r>
              <w:rPr>
                <w:rFonts w:cs="Arial"/>
                <w:szCs w:val="18"/>
              </w:rPr>
              <w:t>m</w:t>
            </w:r>
            <w:r w:rsidRPr="00A22163">
              <w:rPr>
                <w:rFonts w:cs="Arial"/>
                <w:szCs w:val="18"/>
                <w:vertAlign w:val="superscript"/>
              </w:rPr>
              <w:t>3</w:t>
            </w:r>
            <w:r>
              <w:rPr>
                <w:rFonts w:cs="Arial"/>
                <w:szCs w:val="18"/>
              </w:rPr>
              <w:t>/s</w:t>
            </w:r>
            <w:r>
              <w:rPr>
                <w:lang w:val="en-GB"/>
              </w:rPr>
              <w:t>)</w:t>
            </w:r>
          </w:p>
        </w:tc>
        <w:tc>
          <w:tcPr>
            <w:tcW w:w="1134" w:type="dxa"/>
            <w:tcBorders>
              <w:top w:val="single" w:sz="12" w:space="0" w:color="008000"/>
              <w:bottom w:val="single" w:sz="4" w:space="0" w:color="auto"/>
            </w:tcBorders>
            <w:shd w:val="clear" w:color="auto" w:fill="FFFFFF"/>
          </w:tcPr>
          <w:p w14:paraId="7536C7D6" w14:textId="516DE27C" w:rsidR="00B918DB" w:rsidRDefault="00B918DB" w:rsidP="00B56BFD">
            <w:pPr>
              <w:pStyle w:val="CETBodytext"/>
              <w:jc w:val="center"/>
              <w:rPr>
                <w:lang w:val="en-GB"/>
              </w:rPr>
            </w:pPr>
            <w:r>
              <w:rPr>
                <w:lang w:val="en-GB"/>
              </w:rPr>
              <w:t>C (s</w:t>
            </w:r>
            <w:r w:rsidRPr="00BD6A43">
              <w:rPr>
                <w:vertAlign w:val="superscript"/>
                <w:lang w:val="en-GB"/>
              </w:rPr>
              <w:t>-1</w:t>
            </w:r>
            <w:r>
              <w:rPr>
                <w:lang w:val="en-GB"/>
              </w:rPr>
              <w:t>)</w:t>
            </w:r>
          </w:p>
        </w:tc>
        <w:tc>
          <w:tcPr>
            <w:tcW w:w="2126" w:type="dxa"/>
            <w:tcBorders>
              <w:top w:val="single" w:sz="12" w:space="0" w:color="008000"/>
              <w:bottom w:val="single" w:sz="4" w:space="0" w:color="auto"/>
            </w:tcBorders>
            <w:shd w:val="clear" w:color="auto" w:fill="FFFFFF"/>
          </w:tcPr>
          <w:p w14:paraId="6D0AB131" w14:textId="51E910CF" w:rsidR="00B918DB" w:rsidRPr="00B57B36" w:rsidRDefault="00B918DB" w:rsidP="00B56BFD">
            <w:pPr>
              <w:pStyle w:val="CETBodytext"/>
              <w:jc w:val="center"/>
              <w:rPr>
                <w:lang w:val="en-GB"/>
              </w:rPr>
            </w:pPr>
            <w:r>
              <w:rPr>
                <w:lang w:val="en-GB"/>
              </w:rPr>
              <w:t>Persistence time (s)</w:t>
            </w:r>
          </w:p>
        </w:tc>
      </w:tr>
      <w:tr w:rsidR="00B918DB" w:rsidRPr="00B57B36" w14:paraId="2D8061AE" w14:textId="77777777" w:rsidTr="00182E53">
        <w:tc>
          <w:tcPr>
            <w:tcW w:w="851" w:type="dxa"/>
            <w:tcBorders>
              <w:top w:val="single" w:sz="4" w:space="0" w:color="auto"/>
              <w:bottom w:val="nil"/>
            </w:tcBorders>
            <w:shd w:val="clear" w:color="auto" w:fill="FFFFFF"/>
          </w:tcPr>
          <w:p w14:paraId="428C8B9C" w14:textId="77777777" w:rsidR="00B918DB" w:rsidRPr="00B57B36" w:rsidRDefault="00B918DB" w:rsidP="00B56BFD">
            <w:pPr>
              <w:pStyle w:val="CETBodytext"/>
              <w:jc w:val="center"/>
              <w:rPr>
                <w:lang w:val="en-GB"/>
              </w:rPr>
            </w:pPr>
            <w:r>
              <w:rPr>
                <w:lang w:val="en-GB"/>
              </w:rPr>
              <w:t>0.2</w:t>
            </w:r>
          </w:p>
        </w:tc>
        <w:tc>
          <w:tcPr>
            <w:tcW w:w="1134" w:type="dxa"/>
            <w:tcBorders>
              <w:top w:val="single" w:sz="4" w:space="0" w:color="auto"/>
              <w:bottom w:val="nil"/>
            </w:tcBorders>
            <w:shd w:val="clear" w:color="auto" w:fill="FFFFFF"/>
          </w:tcPr>
          <w:p w14:paraId="7AF2CE64" w14:textId="6AE258BE" w:rsidR="00B918DB" w:rsidRDefault="00FE7753" w:rsidP="00B56BFD">
            <w:pPr>
              <w:pStyle w:val="CETBodytext"/>
              <w:jc w:val="center"/>
              <w:rPr>
                <w:lang w:val="en-GB"/>
              </w:rPr>
            </w:pPr>
            <w:r>
              <w:rPr>
                <w:lang w:val="en-GB"/>
              </w:rPr>
              <w:t>0.006</w:t>
            </w:r>
          </w:p>
        </w:tc>
        <w:tc>
          <w:tcPr>
            <w:tcW w:w="2126" w:type="dxa"/>
            <w:tcBorders>
              <w:top w:val="single" w:sz="4" w:space="0" w:color="auto"/>
              <w:bottom w:val="nil"/>
            </w:tcBorders>
            <w:shd w:val="clear" w:color="auto" w:fill="FFFFFF"/>
          </w:tcPr>
          <w:p w14:paraId="24D4A79B" w14:textId="7714FB1F" w:rsidR="00B918DB" w:rsidRPr="00B57B36" w:rsidRDefault="00B918DB" w:rsidP="00B56BFD">
            <w:pPr>
              <w:pStyle w:val="CETBodytext"/>
              <w:jc w:val="center"/>
              <w:rPr>
                <w:lang w:val="en-GB"/>
              </w:rPr>
            </w:pPr>
            <w:r>
              <w:rPr>
                <w:lang w:val="en-GB"/>
              </w:rPr>
              <w:t>1,914</w:t>
            </w:r>
          </w:p>
        </w:tc>
      </w:tr>
      <w:tr w:rsidR="00B918DB" w:rsidRPr="00B57B36" w14:paraId="28A65463" w14:textId="77777777" w:rsidTr="00182E53">
        <w:tc>
          <w:tcPr>
            <w:tcW w:w="851" w:type="dxa"/>
            <w:tcBorders>
              <w:top w:val="nil"/>
              <w:bottom w:val="nil"/>
            </w:tcBorders>
            <w:shd w:val="clear" w:color="auto" w:fill="FFFFFF"/>
          </w:tcPr>
          <w:p w14:paraId="31302DF3" w14:textId="77777777" w:rsidR="00B918DB" w:rsidRPr="00B57B36" w:rsidRDefault="00B918DB" w:rsidP="00B56BFD">
            <w:pPr>
              <w:pStyle w:val="CETBodytext"/>
              <w:ind w:right="-1"/>
              <w:jc w:val="center"/>
              <w:rPr>
                <w:rFonts w:cs="Arial"/>
                <w:szCs w:val="18"/>
                <w:lang w:val="en-GB"/>
              </w:rPr>
            </w:pPr>
            <w:r>
              <w:rPr>
                <w:rFonts w:cs="Arial"/>
                <w:szCs w:val="18"/>
                <w:lang w:val="en-GB"/>
              </w:rPr>
              <w:t>0.4</w:t>
            </w:r>
          </w:p>
        </w:tc>
        <w:tc>
          <w:tcPr>
            <w:tcW w:w="1134" w:type="dxa"/>
            <w:tcBorders>
              <w:top w:val="nil"/>
              <w:bottom w:val="nil"/>
            </w:tcBorders>
            <w:shd w:val="clear" w:color="auto" w:fill="FFFFFF"/>
          </w:tcPr>
          <w:p w14:paraId="026A8A43" w14:textId="16A7D9FB" w:rsidR="00B918DB" w:rsidRDefault="00680A52" w:rsidP="00B56BFD">
            <w:pPr>
              <w:pStyle w:val="CETBodytext"/>
              <w:ind w:right="-1"/>
              <w:jc w:val="center"/>
              <w:rPr>
                <w:rFonts w:cs="Arial"/>
                <w:szCs w:val="18"/>
                <w:lang w:val="en-GB"/>
              </w:rPr>
            </w:pPr>
            <w:r>
              <w:rPr>
                <w:rFonts w:cs="Arial"/>
                <w:szCs w:val="18"/>
                <w:lang w:val="en-GB"/>
              </w:rPr>
              <w:t>0.012</w:t>
            </w:r>
          </w:p>
        </w:tc>
        <w:tc>
          <w:tcPr>
            <w:tcW w:w="2126" w:type="dxa"/>
            <w:tcBorders>
              <w:top w:val="nil"/>
              <w:bottom w:val="nil"/>
            </w:tcBorders>
            <w:shd w:val="clear" w:color="auto" w:fill="FFFFFF"/>
          </w:tcPr>
          <w:p w14:paraId="205F7FAC" w14:textId="7667AD26" w:rsidR="00B918DB" w:rsidRPr="00B57B36" w:rsidRDefault="00B918DB" w:rsidP="00B56BFD">
            <w:pPr>
              <w:pStyle w:val="CETBodytext"/>
              <w:ind w:right="-1"/>
              <w:jc w:val="center"/>
              <w:rPr>
                <w:rFonts w:cs="Arial"/>
                <w:szCs w:val="18"/>
                <w:lang w:val="en-GB"/>
              </w:rPr>
            </w:pPr>
            <w:r>
              <w:rPr>
                <w:rFonts w:cs="Arial"/>
                <w:szCs w:val="18"/>
                <w:lang w:val="en-GB"/>
              </w:rPr>
              <w:t>754</w:t>
            </w:r>
          </w:p>
        </w:tc>
      </w:tr>
      <w:tr w:rsidR="00B918DB" w:rsidRPr="00B57B36" w14:paraId="5ACA6D07" w14:textId="77777777" w:rsidTr="00182E53">
        <w:tc>
          <w:tcPr>
            <w:tcW w:w="851" w:type="dxa"/>
            <w:tcBorders>
              <w:top w:val="nil"/>
              <w:bottom w:val="nil"/>
            </w:tcBorders>
            <w:shd w:val="clear" w:color="auto" w:fill="FFFFFF"/>
          </w:tcPr>
          <w:p w14:paraId="10001A2F" w14:textId="77777777" w:rsidR="00B918DB" w:rsidRPr="00B57B36" w:rsidRDefault="00B918DB" w:rsidP="00B56BFD">
            <w:pPr>
              <w:pStyle w:val="CETBodytext"/>
              <w:ind w:right="-1"/>
              <w:jc w:val="center"/>
              <w:rPr>
                <w:rFonts w:cs="Arial"/>
                <w:szCs w:val="18"/>
                <w:lang w:val="en-GB"/>
              </w:rPr>
            </w:pPr>
            <w:r>
              <w:rPr>
                <w:rFonts w:cs="Arial"/>
                <w:szCs w:val="18"/>
                <w:lang w:val="en-GB"/>
              </w:rPr>
              <w:t>0.6</w:t>
            </w:r>
          </w:p>
        </w:tc>
        <w:tc>
          <w:tcPr>
            <w:tcW w:w="1134" w:type="dxa"/>
            <w:tcBorders>
              <w:top w:val="nil"/>
              <w:bottom w:val="nil"/>
            </w:tcBorders>
            <w:shd w:val="clear" w:color="auto" w:fill="FFFFFF"/>
          </w:tcPr>
          <w:p w14:paraId="4CF3F824" w14:textId="4418E573" w:rsidR="00B918DB" w:rsidRDefault="00452CB4" w:rsidP="00B56BFD">
            <w:pPr>
              <w:pStyle w:val="CETBodytext"/>
              <w:ind w:right="-1"/>
              <w:jc w:val="center"/>
              <w:rPr>
                <w:rFonts w:cs="Arial"/>
                <w:szCs w:val="18"/>
                <w:lang w:val="en-GB"/>
              </w:rPr>
            </w:pPr>
            <w:r>
              <w:rPr>
                <w:rFonts w:cs="Arial"/>
                <w:szCs w:val="18"/>
                <w:lang w:val="en-GB"/>
              </w:rPr>
              <w:t>0.018</w:t>
            </w:r>
          </w:p>
        </w:tc>
        <w:tc>
          <w:tcPr>
            <w:tcW w:w="2126" w:type="dxa"/>
            <w:tcBorders>
              <w:top w:val="nil"/>
              <w:bottom w:val="nil"/>
            </w:tcBorders>
            <w:shd w:val="clear" w:color="auto" w:fill="FFFFFF"/>
          </w:tcPr>
          <w:p w14:paraId="6EF923BC" w14:textId="16CCE182" w:rsidR="00B918DB" w:rsidRPr="00B57B36" w:rsidRDefault="00B918DB" w:rsidP="00B56BFD">
            <w:pPr>
              <w:pStyle w:val="CETBodytext"/>
              <w:ind w:right="-1"/>
              <w:jc w:val="center"/>
              <w:rPr>
                <w:rFonts w:cs="Arial"/>
                <w:szCs w:val="18"/>
                <w:lang w:val="en-GB"/>
              </w:rPr>
            </w:pPr>
            <w:r>
              <w:rPr>
                <w:rFonts w:cs="Arial"/>
                <w:szCs w:val="18"/>
                <w:lang w:val="en-GB"/>
              </w:rPr>
              <w:t>436</w:t>
            </w:r>
          </w:p>
        </w:tc>
      </w:tr>
      <w:tr w:rsidR="00DA1285" w:rsidRPr="00B57B36" w14:paraId="3EFBCD1C" w14:textId="77777777" w:rsidTr="00182E53">
        <w:tc>
          <w:tcPr>
            <w:tcW w:w="851" w:type="dxa"/>
            <w:tcBorders>
              <w:top w:val="nil"/>
              <w:bottom w:val="single" w:sz="4" w:space="0" w:color="auto"/>
            </w:tcBorders>
            <w:shd w:val="clear" w:color="auto" w:fill="FFFFFF"/>
          </w:tcPr>
          <w:p w14:paraId="1A541777" w14:textId="46930CCF" w:rsidR="00DA1285" w:rsidRDefault="00DA1285" w:rsidP="00B56BFD">
            <w:pPr>
              <w:pStyle w:val="CETBodytext"/>
              <w:ind w:right="-1"/>
              <w:jc w:val="center"/>
              <w:rPr>
                <w:rFonts w:cs="Arial"/>
                <w:szCs w:val="18"/>
                <w:lang w:val="en-GB"/>
              </w:rPr>
            </w:pPr>
            <w:r>
              <w:rPr>
                <w:rFonts w:cs="Arial"/>
                <w:szCs w:val="18"/>
                <w:lang w:val="en-GB"/>
              </w:rPr>
              <w:t>0.8</w:t>
            </w:r>
          </w:p>
        </w:tc>
        <w:tc>
          <w:tcPr>
            <w:tcW w:w="1134" w:type="dxa"/>
            <w:tcBorders>
              <w:top w:val="nil"/>
              <w:bottom w:val="single" w:sz="4" w:space="0" w:color="auto"/>
            </w:tcBorders>
            <w:shd w:val="clear" w:color="auto" w:fill="FFFFFF"/>
          </w:tcPr>
          <w:p w14:paraId="2714DF83" w14:textId="3B98E69A" w:rsidR="00DA1285" w:rsidRDefault="00DA1285" w:rsidP="00B56BFD">
            <w:pPr>
              <w:pStyle w:val="CETBodytext"/>
              <w:ind w:right="-1"/>
              <w:jc w:val="center"/>
              <w:rPr>
                <w:rFonts w:cs="Arial"/>
                <w:szCs w:val="18"/>
                <w:lang w:val="en-GB"/>
              </w:rPr>
            </w:pPr>
            <w:r>
              <w:rPr>
                <w:rFonts w:cs="Arial"/>
                <w:szCs w:val="18"/>
                <w:lang w:val="en-GB"/>
              </w:rPr>
              <w:t>0.024</w:t>
            </w:r>
          </w:p>
        </w:tc>
        <w:tc>
          <w:tcPr>
            <w:tcW w:w="2126" w:type="dxa"/>
            <w:tcBorders>
              <w:top w:val="nil"/>
              <w:bottom w:val="single" w:sz="4" w:space="0" w:color="auto"/>
            </w:tcBorders>
            <w:shd w:val="clear" w:color="auto" w:fill="FFFFFF"/>
          </w:tcPr>
          <w:p w14:paraId="66CF6FAA" w14:textId="54AE4EE8" w:rsidR="00DA1285" w:rsidRDefault="00DA1285" w:rsidP="00B56BFD">
            <w:pPr>
              <w:pStyle w:val="CETBodytext"/>
              <w:ind w:right="-1"/>
              <w:jc w:val="center"/>
              <w:rPr>
                <w:rFonts w:cs="Arial"/>
                <w:szCs w:val="18"/>
                <w:lang w:val="en-GB"/>
              </w:rPr>
            </w:pPr>
            <w:r>
              <w:rPr>
                <w:rFonts w:cs="Arial"/>
                <w:szCs w:val="18"/>
                <w:lang w:val="en-GB"/>
              </w:rPr>
              <w:t>287</w:t>
            </w:r>
          </w:p>
        </w:tc>
      </w:tr>
    </w:tbl>
    <w:p w14:paraId="12D9AF6D" w14:textId="77777777" w:rsidR="00CB6492" w:rsidRDefault="00CB6492" w:rsidP="00A940AE">
      <w:pPr>
        <w:tabs>
          <w:tab w:val="clear" w:pos="7100"/>
        </w:tabs>
        <w:autoSpaceDE w:val="0"/>
        <w:autoSpaceDN w:val="0"/>
        <w:adjustRightInd w:val="0"/>
        <w:spacing w:line="240" w:lineRule="auto"/>
        <w:rPr>
          <w:rFonts w:cs="Arial"/>
          <w:szCs w:val="18"/>
        </w:rPr>
      </w:pPr>
    </w:p>
    <w:p w14:paraId="32BB2C62" w14:textId="6017BCB4" w:rsidR="00FE79B3" w:rsidRPr="00CE3BC1" w:rsidRDefault="00FE79B3" w:rsidP="00FE79B3">
      <w:pPr>
        <w:tabs>
          <w:tab w:val="clear" w:pos="7100"/>
        </w:tabs>
        <w:autoSpaceDE w:val="0"/>
        <w:autoSpaceDN w:val="0"/>
        <w:adjustRightInd w:val="0"/>
        <w:spacing w:line="240" w:lineRule="auto"/>
        <w:rPr>
          <w:rFonts w:cs="Arial"/>
          <w:color w:val="000000" w:themeColor="text1"/>
          <w:szCs w:val="18"/>
          <w:lang w:val="en-US"/>
        </w:rPr>
      </w:pPr>
      <w:r>
        <w:rPr>
          <w:rFonts w:cs="Arial"/>
          <w:szCs w:val="18"/>
        </w:rPr>
        <w:lastRenderedPageBreak/>
        <w:t xml:space="preserve">Its calculation is based on an ideal dilution of the potentially explosive mixture, therefore safety margins </w:t>
      </w:r>
      <w:r w:rsidR="0041243C">
        <w:rPr>
          <w:rFonts w:cs="Arial"/>
          <w:szCs w:val="18"/>
        </w:rPr>
        <w:t>(Alve</w:t>
      </w:r>
      <w:r w:rsidR="000F582D">
        <w:rPr>
          <w:rFonts w:cs="Arial"/>
          <w:szCs w:val="18"/>
        </w:rPr>
        <w:t xml:space="preserve">s et al., 2019) </w:t>
      </w:r>
      <w:r>
        <w:rPr>
          <w:rFonts w:cs="Arial"/>
          <w:szCs w:val="18"/>
        </w:rPr>
        <w:t>should be considered to take in account turbulence and uneven biomethane distribution due to the obstacles presence. Q</w:t>
      </w:r>
      <w:r>
        <w:rPr>
          <w:rFonts w:cs="Arial"/>
          <w:szCs w:val="18"/>
          <w:vertAlign w:val="subscript"/>
        </w:rPr>
        <w:t>a</w:t>
      </w:r>
      <w:r>
        <w:rPr>
          <w:rFonts w:cs="Arial"/>
          <w:szCs w:val="18"/>
        </w:rPr>
        <w:t xml:space="preserve"> passage from 0.2</w:t>
      </w:r>
      <w:r>
        <w:rPr>
          <w:rFonts w:cs="Arial"/>
          <w:color w:val="000000" w:themeColor="text1"/>
          <w:szCs w:val="18"/>
        </w:rPr>
        <w:t xml:space="preserve"> </w:t>
      </w:r>
      <w:r>
        <w:rPr>
          <w:rFonts w:cs="Arial"/>
          <w:szCs w:val="18"/>
        </w:rPr>
        <w:t>m</w:t>
      </w:r>
      <w:r w:rsidRPr="00A22163">
        <w:rPr>
          <w:rFonts w:cs="Arial"/>
          <w:szCs w:val="18"/>
          <w:vertAlign w:val="superscript"/>
        </w:rPr>
        <w:t>3</w:t>
      </w:r>
      <w:r>
        <w:rPr>
          <w:rFonts w:cs="Arial"/>
          <w:szCs w:val="18"/>
        </w:rPr>
        <w:t>/s to 0.8 m</w:t>
      </w:r>
      <w:r w:rsidRPr="00A22163">
        <w:rPr>
          <w:rFonts w:cs="Arial"/>
          <w:szCs w:val="18"/>
          <w:vertAlign w:val="superscript"/>
        </w:rPr>
        <w:t>3</w:t>
      </w:r>
      <w:r>
        <w:rPr>
          <w:rFonts w:cs="Arial"/>
          <w:szCs w:val="18"/>
        </w:rPr>
        <w:t>/s causes a significant t</w:t>
      </w:r>
      <w:r w:rsidRPr="00BC4F54">
        <w:rPr>
          <w:rFonts w:cs="Arial"/>
          <w:szCs w:val="18"/>
          <w:vertAlign w:val="subscript"/>
        </w:rPr>
        <w:t>d</w:t>
      </w:r>
      <w:r>
        <w:rPr>
          <w:rFonts w:cs="Arial"/>
          <w:szCs w:val="18"/>
        </w:rPr>
        <w:t xml:space="preserve"> decrease, which is about  85%. </w:t>
      </w:r>
    </w:p>
    <w:p w14:paraId="4F79BCB6" w14:textId="51A28032" w:rsidR="00C5575B" w:rsidRDefault="00CB6492" w:rsidP="00A940AE">
      <w:pPr>
        <w:tabs>
          <w:tab w:val="clear" w:pos="7100"/>
        </w:tabs>
        <w:autoSpaceDE w:val="0"/>
        <w:autoSpaceDN w:val="0"/>
        <w:adjustRightInd w:val="0"/>
        <w:spacing w:line="240" w:lineRule="auto"/>
        <w:rPr>
          <w:rFonts w:cs="Arial"/>
          <w:szCs w:val="18"/>
        </w:rPr>
      </w:pPr>
      <w:r>
        <w:rPr>
          <w:rFonts w:cs="Arial"/>
          <w:szCs w:val="18"/>
        </w:rPr>
        <w:t xml:space="preserve"> </w:t>
      </w:r>
    </w:p>
    <w:p w14:paraId="0EFC6C90" w14:textId="5CD17CA7" w:rsidR="00A940AE" w:rsidRDefault="00C5575B" w:rsidP="00A940AE">
      <w:pPr>
        <w:tabs>
          <w:tab w:val="clear" w:pos="7100"/>
        </w:tabs>
        <w:autoSpaceDE w:val="0"/>
        <w:autoSpaceDN w:val="0"/>
        <w:adjustRightInd w:val="0"/>
        <w:spacing w:line="240" w:lineRule="auto"/>
        <w:rPr>
          <w:rFonts w:cs="Arial"/>
          <w:color w:val="000000" w:themeColor="text1"/>
          <w:szCs w:val="18"/>
        </w:rPr>
      </w:pPr>
      <w:r>
        <w:rPr>
          <w:noProof/>
        </w:rPr>
        <w:drawing>
          <wp:inline distT="0" distB="0" distL="0" distR="0" wp14:anchorId="0266D971" wp14:editId="199D169C">
            <wp:extent cx="5180400" cy="2696400"/>
            <wp:effectExtent l="0" t="0" r="1270" b="8890"/>
            <wp:docPr id="1896684837"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84837" name="Immagine 1" descr="Immagine che contiene testo, schermata, numero, Carattere&#10;&#10;Descrizione generata automa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0400" cy="2696400"/>
                    </a:xfrm>
                    <a:prstGeom prst="rect">
                      <a:avLst/>
                    </a:prstGeom>
                    <a:noFill/>
                    <a:ln>
                      <a:noFill/>
                    </a:ln>
                  </pic:spPr>
                </pic:pic>
              </a:graphicData>
            </a:graphic>
          </wp:inline>
        </w:drawing>
      </w:r>
      <w:r w:rsidR="00EC178B">
        <w:rPr>
          <w:rFonts w:cs="Arial"/>
          <w:szCs w:val="18"/>
        </w:rPr>
        <w:t xml:space="preserve"> </w:t>
      </w:r>
    </w:p>
    <w:p w14:paraId="3AEF81D6" w14:textId="361C83C5" w:rsidR="008868AB" w:rsidRPr="00336B0D" w:rsidRDefault="00A940AE" w:rsidP="008868AB">
      <w:pPr>
        <w:pStyle w:val="CETBodytext"/>
        <w:rPr>
          <w:i/>
          <w:iCs/>
        </w:rPr>
      </w:pPr>
      <w:r>
        <w:t xml:space="preserve"> </w:t>
      </w:r>
      <w:r w:rsidR="00D2237F">
        <w:t xml:space="preserve"> </w:t>
      </w:r>
      <w:r w:rsidR="00142DE9" w:rsidRPr="00336B0D">
        <w:rPr>
          <w:i/>
          <w:iCs/>
        </w:rPr>
        <w:t xml:space="preserve">Figure </w:t>
      </w:r>
      <w:r w:rsidR="00D1380E">
        <w:rPr>
          <w:i/>
          <w:iCs/>
        </w:rPr>
        <w:t>4</w:t>
      </w:r>
      <w:r w:rsidR="00142DE9" w:rsidRPr="00336B0D">
        <w:rPr>
          <w:i/>
          <w:iCs/>
        </w:rPr>
        <w:t xml:space="preserve">: </w:t>
      </w:r>
      <w:r w:rsidR="00862284" w:rsidRPr="00336B0D">
        <w:rPr>
          <w:i/>
          <w:iCs/>
        </w:rPr>
        <w:t>Results (classification</w:t>
      </w:r>
      <w:r w:rsidR="00D93E3F">
        <w:rPr>
          <w:i/>
          <w:iCs/>
        </w:rPr>
        <w:t xml:space="preserve"> of </w:t>
      </w:r>
      <w:r w:rsidR="00D93E3F" w:rsidRPr="00336B0D">
        <w:rPr>
          <w:i/>
          <w:iCs/>
        </w:rPr>
        <w:t>Atex zone</w:t>
      </w:r>
      <w:r w:rsidR="00862284" w:rsidRPr="00336B0D">
        <w:rPr>
          <w:i/>
          <w:iCs/>
        </w:rPr>
        <w:t xml:space="preserve"> </w:t>
      </w:r>
      <w:r w:rsidR="00336B0D" w:rsidRPr="00336B0D">
        <w:rPr>
          <w:i/>
          <w:iCs/>
        </w:rPr>
        <w:t>due to release from compressor)</w:t>
      </w:r>
    </w:p>
    <w:p w14:paraId="7D74843A" w14:textId="437FF6CD" w:rsidR="008868AB" w:rsidRPr="008868AB" w:rsidRDefault="008868AB" w:rsidP="008868AB">
      <w:pPr>
        <w:pStyle w:val="CETHeading1"/>
      </w:pPr>
      <w:r>
        <w:t>Conclusions</w:t>
      </w:r>
    </w:p>
    <w:p w14:paraId="60A353CA" w14:textId="7FA9EFCF" w:rsidR="005F79E8" w:rsidRDefault="005F79E8" w:rsidP="00936671">
      <w:pPr>
        <w:pStyle w:val="CETBodytext"/>
        <w:spacing w:line="22" w:lineRule="atLeast"/>
        <w:rPr>
          <w:rFonts w:cs="Arial"/>
          <w:color w:val="333333"/>
          <w:szCs w:val="18"/>
          <w:shd w:val="clear" w:color="auto" w:fill="FFFFFF"/>
        </w:rPr>
      </w:pPr>
      <w:r w:rsidRPr="009331A5">
        <w:rPr>
          <w:rFonts w:cs="Arial"/>
          <w:color w:val="333333"/>
          <w:szCs w:val="18"/>
          <w:shd w:val="clear" w:color="auto" w:fill="FFFFFF"/>
        </w:rPr>
        <w:t xml:space="preserve">Since biomethane </w:t>
      </w:r>
      <w:r w:rsidR="001C2E31">
        <w:rPr>
          <w:rFonts w:cs="Arial"/>
          <w:color w:val="333333"/>
          <w:szCs w:val="18"/>
          <w:shd w:val="clear" w:color="auto" w:fill="FFFFFF"/>
        </w:rPr>
        <w:t xml:space="preserve">is </w:t>
      </w:r>
      <w:r w:rsidR="002A7375">
        <w:rPr>
          <w:rFonts w:cs="Arial"/>
          <w:color w:val="333333"/>
          <w:szCs w:val="18"/>
          <w:shd w:val="clear" w:color="auto" w:fill="FFFFFF"/>
        </w:rPr>
        <w:t>perceived as natural gas substitute</w:t>
      </w:r>
      <w:r w:rsidR="00B457D6">
        <w:rPr>
          <w:rFonts w:cs="Arial"/>
          <w:color w:val="333333"/>
          <w:szCs w:val="18"/>
          <w:shd w:val="clear" w:color="auto" w:fill="FFFFFF"/>
        </w:rPr>
        <w:t xml:space="preserve"> and </w:t>
      </w:r>
      <w:r w:rsidR="003864B0" w:rsidRPr="003864B0">
        <w:rPr>
          <w:rFonts w:cs="Arial"/>
          <w:color w:val="333333"/>
          <w:szCs w:val="18"/>
          <w:shd w:val="clear" w:color="auto" w:fill="FFFFFF"/>
          <w:lang w:val="en-GB"/>
        </w:rPr>
        <w:t>can bring both environmental benefits (reduction in GHG emissions) and economic benefits (higher efficiency of energy contained in biomass)</w:t>
      </w:r>
      <w:r>
        <w:rPr>
          <w:rFonts w:cs="Arial"/>
          <w:color w:val="333333"/>
          <w:szCs w:val="18"/>
          <w:shd w:val="clear" w:color="auto" w:fill="FFFFFF"/>
        </w:rPr>
        <w:t xml:space="preserve">, </w:t>
      </w:r>
      <w:r w:rsidR="007625A5">
        <w:rPr>
          <w:rFonts w:cs="Arial"/>
          <w:color w:val="333333"/>
          <w:szCs w:val="18"/>
          <w:shd w:val="clear" w:color="auto" w:fill="FFFFFF"/>
        </w:rPr>
        <w:t>much</w:t>
      </w:r>
      <w:r>
        <w:rPr>
          <w:rFonts w:cs="Arial"/>
          <w:color w:val="333333"/>
          <w:szCs w:val="18"/>
          <w:shd w:val="clear" w:color="auto" w:fill="FFFFFF"/>
        </w:rPr>
        <w:t xml:space="preserve"> attention has to be addressed to production process safety. Indeed, a potentially dangerous scenario is the biofuel release in indoor place, such as the compression unit.</w:t>
      </w:r>
      <w:r w:rsidR="00D44BF5">
        <w:rPr>
          <w:rFonts w:cs="Arial"/>
          <w:color w:val="333333"/>
          <w:szCs w:val="18"/>
          <w:shd w:val="clear" w:color="auto" w:fill="FFFFFF"/>
        </w:rPr>
        <w:t xml:space="preserve"> </w:t>
      </w:r>
      <w:r w:rsidR="00CD7B3F">
        <w:rPr>
          <w:rFonts w:cs="Arial"/>
          <w:color w:val="333333"/>
          <w:szCs w:val="18"/>
          <w:shd w:val="clear" w:color="auto" w:fill="FFFFFF"/>
        </w:rPr>
        <w:t xml:space="preserve">In order to assess </w:t>
      </w:r>
      <w:r w:rsidR="00EA3760">
        <w:rPr>
          <w:rFonts w:cs="Arial"/>
          <w:color w:val="333333"/>
          <w:szCs w:val="18"/>
          <w:shd w:val="clear" w:color="auto" w:fill="FFFFFF"/>
        </w:rPr>
        <w:t xml:space="preserve">more </w:t>
      </w:r>
      <w:r w:rsidR="006D7ABA">
        <w:rPr>
          <w:rFonts w:cs="Arial"/>
          <w:color w:val="333333"/>
          <w:szCs w:val="18"/>
          <w:shd w:val="clear" w:color="auto" w:fill="FFFFFF"/>
        </w:rPr>
        <w:t xml:space="preserve">in detail </w:t>
      </w:r>
      <w:r w:rsidR="00794E24">
        <w:rPr>
          <w:rFonts w:cs="Arial"/>
          <w:color w:val="333333"/>
          <w:szCs w:val="18"/>
          <w:shd w:val="clear" w:color="auto" w:fill="FFFFFF"/>
        </w:rPr>
        <w:t xml:space="preserve">the obstacles influence on </w:t>
      </w:r>
      <w:r w:rsidR="009F50D3">
        <w:rPr>
          <w:rFonts w:cs="Arial"/>
          <w:color w:val="333333"/>
          <w:szCs w:val="18"/>
          <w:shd w:val="clear" w:color="auto" w:fill="FFFFFF"/>
        </w:rPr>
        <w:t xml:space="preserve">ventilation air movement, </w:t>
      </w:r>
      <w:r w:rsidR="00936671">
        <w:rPr>
          <w:rFonts w:cs="Arial"/>
          <w:color w:val="333333"/>
          <w:szCs w:val="18"/>
          <w:shd w:val="clear" w:color="auto" w:fill="FFFFFF"/>
        </w:rPr>
        <w:t>c</w:t>
      </w:r>
      <w:r w:rsidR="00936671" w:rsidRPr="00936671">
        <w:rPr>
          <w:rFonts w:cs="Arial"/>
          <w:color w:val="333333"/>
          <w:szCs w:val="18"/>
          <w:shd w:val="clear" w:color="auto" w:fill="FFFFFF"/>
        </w:rPr>
        <w:t>omputational fluid dynamics (CFD) is</w:t>
      </w:r>
      <w:r w:rsidR="00936671">
        <w:rPr>
          <w:rFonts w:cs="Arial"/>
          <w:color w:val="333333"/>
          <w:szCs w:val="18"/>
          <w:shd w:val="clear" w:color="auto" w:fill="FFFFFF"/>
        </w:rPr>
        <w:t xml:space="preserve"> </w:t>
      </w:r>
      <w:r w:rsidR="00936671" w:rsidRPr="00936671">
        <w:rPr>
          <w:rFonts w:cs="Arial"/>
          <w:color w:val="333333"/>
          <w:szCs w:val="18"/>
          <w:shd w:val="clear" w:color="auto" w:fill="FFFFFF"/>
        </w:rPr>
        <w:t>recommended for any complex plant</w:t>
      </w:r>
      <w:r w:rsidR="00C95E63">
        <w:rPr>
          <w:rFonts w:cs="Arial"/>
          <w:color w:val="333333"/>
          <w:szCs w:val="18"/>
          <w:shd w:val="clear" w:color="auto" w:fill="FFFFFF"/>
        </w:rPr>
        <w:t>,</w:t>
      </w:r>
      <w:r w:rsidR="00936671" w:rsidRPr="00936671">
        <w:rPr>
          <w:rFonts w:cs="Arial"/>
          <w:color w:val="333333"/>
          <w:szCs w:val="18"/>
          <w:shd w:val="clear" w:color="auto" w:fill="FFFFFF"/>
        </w:rPr>
        <w:t xml:space="preserve"> </w:t>
      </w:r>
      <w:r w:rsidR="00C07C77" w:rsidRPr="00936671">
        <w:rPr>
          <w:rFonts w:cs="Arial"/>
          <w:color w:val="333333"/>
          <w:szCs w:val="18"/>
          <w:shd w:val="clear" w:color="auto" w:fill="FFFFFF"/>
        </w:rPr>
        <w:t>where several</w:t>
      </w:r>
      <w:r w:rsidR="007855F7">
        <w:rPr>
          <w:rFonts w:cs="Arial"/>
          <w:color w:val="333333"/>
          <w:szCs w:val="18"/>
          <w:shd w:val="clear" w:color="auto" w:fill="FFFFFF"/>
        </w:rPr>
        <w:t xml:space="preserve"> </w:t>
      </w:r>
      <w:r w:rsidR="007855F7" w:rsidRPr="00936671">
        <w:rPr>
          <w:rFonts w:cs="Arial"/>
          <w:color w:val="333333"/>
          <w:szCs w:val="18"/>
          <w:shd w:val="clear" w:color="auto" w:fill="FFFFFF"/>
        </w:rPr>
        <w:t>components</w:t>
      </w:r>
      <w:r w:rsidR="00993E07">
        <w:rPr>
          <w:rFonts w:cs="Arial"/>
          <w:color w:val="333333"/>
          <w:szCs w:val="18"/>
          <w:shd w:val="clear" w:color="auto" w:fill="FFFFFF"/>
        </w:rPr>
        <w:t xml:space="preserve"> </w:t>
      </w:r>
      <w:r w:rsidR="00936671" w:rsidRPr="00936671">
        <w:rPr>
          <w:rFonts w:cs="Arial"/>
          <w:color w:val="333333"/>
          <w:szCs w:val="18"/>
          <w:shd w:val="clear" w:color="auto" w:fill="FFFFFF"/>
        </w:rPr>
        <w:t xml:space="preserve">could affect </w:t>
      </w:r>
      <w:r w:rsidR="00993E07">
        <w:rPr>
          <w:rFonts w:cs="Arial"/>
          <w:color w:val="333333"/>
          <w:szCs w:val="18"/>
          <w:shd w:val="clear" w:color="auto" w:fill="FFFFFF"/>
        </w:rPr>
        <w:t xml:space="preserve">the </w:t>
      </w:r>
      <w:r w:rsidR="00936671" w:rsidRPr="00936671">
        <w:rPr>
          <w:rFonts w:cs="Arial"/>
          <w:color w:val="333333"/>
          <w:szCs w:val="18"/>
          <w:shd w:val="clear" w:color="auto" w:fill="FFFFFF"/>
        </w:rPr>
        <w:t>air movement.</w:t>
      </w:r>
      <w:r w:rsidR="00CD7B3F">
        <w:rPr>
          <w:rFonts w:cs="Arial"/>
          <w:color w:val="333333"/>
          <w:szCs w:val="18"/>
          <w:shd w:val="clear" w:color="auto" w:fill="FFFFFF"/>
        </w:rPr>
        <w:t xml:space="preserve"> </w:t>
      </w:r>
      <w:r>
        <w:rPr>
          <w:rFonts w:cs="Arial"/>
          <w:color w:val="333333"/>
          <w:szCs w:val="18"/>
          <w:shd w:val="clear" w:color="auto" w:fill="FFFFFF"/>
        </w:rPr>
        <w:t xml:space="preserve"> </w:t>
      </w:r>
      <w:r w:rsidR="000F436C">
        <w:rPr>
          <w:rFonts w:cs="Arial"/>
          <w:color w:val="333333"/>
          <w:szCs w:val="18"/>
          <w:shd w:val="clear" w:color="auto" w:fill="FFFFFF"/>
        </w:rPr>
        <w:t>In particular, t</w:t>
      </w:r>
      <w:r w:rsidR="0008520D">
        <w:rPr>
          <w:rFonts w:cs="Arial"/>
          <w:color w:val="333333"/>
          <w:szCs w:val="18"/>
          <w:shd w:val="clear" w:color="auto" w:fill="FFFFFF"/>
        </w:rPr>
        <w:t>he Atex zones</w:t>
      </w:r>
      <w:r w:rsidR="000F0827">
        <w:rPr>
          <w:rFonts w:cs="Arial"/>
          <w:color w:val="333333"/>
          <w:szCs w:val="18"/>
          <w:shd w:val="clear" w:color="auto" w:fill="FFFFFF"/>
        </w:rPr>
        <w:t xml:space="preserve"> classification has relevant outcomes on </w:t>
      </w:r>
      <w:r w:rsidR="002E3B18">
        <w:rPr>
          <w:rFonts w:cs="Arial"/>
          <w:color w:val="333333"/>
          <w:szCs w:val="18"/>
          <w:shd w:val="clear" w:color="auto" w:fill="FFFFFF"/>
        </w:rPr>
        <w:t>industrial process</w:t>
      </w:r>
      <w:r w:rsidR="0051303F">
        <w:rPr>
          <w:rFonts w:cs="Arial"/>
          <w:color w:val="333333"/>
          <w:szCs w:val="18"/>
          <w:shd w:val="clear" w:color="auto" w:fill="FFFFFF"/>
        </w:rPr>
        <w:t>es</w:t>
      </w:r>
      <w:r w:rsidR="002E3B18">
        <w:rPr>
          <w:rFonts w:cs="Arial"/>
          <w:color w:val="333333"/>
          <w:szCs w:val="18"/>
          <w:shd w:val="clear" w:color="auto" w:fill="FFFFFF"/>
        </w:rPr>
        <w:t xml:space="preserve"> safety</w:t>
      </w:r>
      <w:r w:rsidR="008D2892">
        <w:rPr>
          <w:rFonts w:cs="Arial"/>
          <w:color w:val="333333"/>
          <w:szCs w:val="18"/>
          <w:shd w:val="clear" w:color="auto" w:fill="FFFFFF"/>
        </w:rPr>
        <w:t xml:space="preserve">, because </w:t>
      </w:r>
      <w:r w:rsidR="00CE78EE">
        <w:rPr>
          <w:rFonts w:cs="Arial"/>
          <w:color w:val="333333"/>
          <w:szCs w:val="18"/>
          <w:shd w:val="clear" w:color="auto" w:fill="FFFFFF"/>
        </w:rPr>
        <w:t xml:space="preserve">it </w:t>
      </w:r>
      <w:r w:rsidR="001A4236">
        <w:rPr>
          <w:rFonts w:cs="Arial"/>
          <w:color w:val="333333"/>
          <w:szCs w:val="18"/>
          <w:shd w:val="clear" w:color="auto" w:fill="FFFFFF"/>
        </w:rPr>
        <w:t xml:space="preserve">is integral part of </w:t>
      </w:r>
      <w:r w:rsidR="00CA4C6A">
        <w:rPr>
          <w:rFonts w:cs="Arial"/>
          <w:color w:val="333333"/>
          <w:szCs w:val="18"/>
          <w:shd w:val="clear" w:color="auto" w:fill="FFFFFF"/>
        </w:rPr>
        <w:t xml:space="preserve">explosion risk assessment and it influences the </w:t>
      </w:r>
      <w:r w:rsidR="00BD41D9">
        <w:rPr>
          <w:rFonts w:cs="Arial"/>
          <w:color w:val="333333"/>
          <w:szCs w:val="18"/>
          <w:shd w:val="clear" w:color="auto" w:fill="FFFFFF"/>
        </w:rPr>
        <w:t xml:space="preserve">choice of </w:t>
      </w:r>
      <w:r w:rsidR="005012DA">
        <w:rPr>
          <w:rFonts w:cs="Arial"/>
          <w:color w:val="333333"/>
          <w:szCs w:val="18"/>
          <w:shd w:val="clear" w:color="auto" w:fill="FFFFFF"/>
        </w:rPr>
        <w:t xml:space="preserve">(electrical or non-electrical) </w:t>
      </w:r>
      <w:r w:rsidR="00BD41D9">
        <w:rPr>
          <w:rFonts w:cs="Arial"/>
          <w:color w:val="333333"/>
          <w:szCs w:val="18"/>
          <w:shd w:val="clear" w:color="auto" w:fill="FFFFFF"/>
        </w:rPr>
        <w:t xml:space="preserve">equipment, which can be used </w:t>
      </w:r>
      <w:r w:rsidR="00280E23">
        <w:rPr>
          <w:rFonts w:cs="Arial"/>
          <w:color w:val="333333"/>
          <w:szCs w:val="18"/>
          <w:shd w:val="clear" w:color="auto" w:fill="FFFFFF"/>
        </w:rPr>
        <w:t>in hazardous areas</w:t>
      </w:r>
      <w:r w:rsidR="00DC655E">
        <w:rPr>
          <w:rFonts w:cs="Arial"/>
          <w:color w:val="333333"/>
          <w:szCs w:val="18"/>
          <w:shd w:val="clear" w:color="auto" w:fill="FFFFFF"/>
        </w:rPr>
        <w:t>, th</w:t>
      </w:r>
      <w:r w:rsidR="00026110">
        <w:rPr>
          <w:rFonts w:cs="Arial"/>
          <w:color w:val="333333"/>
          <w:szCs w:val="18"/>
          <w:shd w:val="clear" w:color="auto" w:fill="FFFFFF"/>
        </w:rPr>
        <w:t>us</w:t>
      </w:r>
      <w:r w:rsidR="00DC655E">
        <w:rPr>
          <w:rFonts w:cs="Arial"/>
          <w:color w:val="333333"/>
          <w:szCs w:val="18"/>
          <w:shd w:val="clear" w:color="auto" w:fill="FFFFFF"/>
        </w:rPr>
        <w:t xml:space="preserve"> decreasing </w:t>
      </w:r>
      <w:r w:rsidR="001438CA">
        <w:rPr>
          <w:rFonts w:cs="Arial"/>
          <w:color w:val="333333"/>
          <w:szCs w:val="18"/>
          <w:shd w:val="clear" w:color="auto" w:fill="FFFFFF"/>
        </w:rPr>
        <w:t>their</w:t>
      </w:r>
      <w:r w:rsidR="001A4E08">
        <w:rPr>
          <w:rFonts w:cs="Arial"/>
          <w:color w:val="333333"/>
          <w:szCs w:val="18"/>
          <w:shd w:val="clear" w:color="auto" w:fill="FFFFFF"/>
        </w:rPr>
        <w:t xml:space="preserve"> </w:t>
      </w:r>
      <w:r w:rsidR="00B373AE">
        <w:rPr>
          <w:rFonts w:cs="Arial"/>
          <w:color w:val="333333"/>
          <w:szCs w:val="18"/>
          <w:shd w:val="clear" w:color="auto" w:fill="FFFFFF"/>
        </w:rPr>
        <w:t xml:space="preserve">probability </w:t>
      </w:r>
      <w:r w:rsidR="0079614C">
        <w:rPr>
          <w:rFonts w:cs="Arial"/>
          <w:color w:val="333333"/>
          <w:szCs w:val="18"/>
          <w:shd w:val="clear" w:color="auto" w:fill="FFFFFF"/>
        </w:rPr>
        <w:t xml:space="preserve">of </w:t>
      </w:r>
      <w:r w:rsidR="00320CAA">
        <w:rPr>
          <w:rFonts w:cs="Arial"/>
          <w:color w:val="333333"/>
          <w:szCs w:val="18"/>
          <w:shd w:val="clear" w:color="auto" w:fill="FFFFFF"/>
        </w:rPr>
        <w:t>becom</w:t>
      </w:r>
      <w:r w:rsidR="001410A6">
        <w:rPr>
          <w:rFonts w:cs="Arial"/>
          <w:color w:val="333333"/>
          <w:szCs w:val="18"/>
          <w:shd w:val="clear" w:color="auto" w:fill="FFFFFF"/>
        </w:rPr>
        <w:t>ing</w:t>
      </w:r>
      <w:r w:rsidR="00320CAA">
        <w:rPr>
          <w:rFonts w:cs="Arial"/>
          <w:color w:val="333333"/>
          <w:szCs w:val="18"/>
          <w:shd w:val="clear" w:color="auto" w:fill="FFFFFF"/>
        </w:rPr>
        <w:t xml:space="preserve"> </w:t>
      </w:r>
      <w:r w:rsidR="00213785">
        <w:rPr>
          <w:rFonts w:cs="Arial"/>
          <w:color w:val="333333"/>
          <w:szCs w:val="18"/>
          <w:shd w:val="clear" w:color="auto" w:fill="FFFFFF"/>
        </w:rPr>
        <w:t xml:space="preserve">potential ignition sources. </w:t>
      </w:r>
      <w:r w:rsidR="00CB5287">
        <w:rPr>
          <w:rFonts w:cs="Arial"/>
          <w:color w:val="333333"/>
          <w:szCs w:val="18"/>
          <w:shd w:val="clear" w:color="auto" w:fill="FFFFFF"/>
        </w:rPr>
        <w:t xml:space="preserve">Therefore, </w:t>
      </w:r>
      <w:r w:rsidR="009F33EA">
        <w:rPr>
          <w:rFonts w:cs="Arial"/>
          <w:color w:val="333333"/>
          <w:szCs w:val="18"/>
          <w:shd w:val="clear" w:color="auto" w:fill="FFFFFF"/>
        </w:rPr>
        <w:t>the Atex zones classification is a fundamental phase for avoiding</w:t>
      </w:r>
      <w:r w:rsidR="007F43DE">
        <w:rPr>
          <w:rFonts w:cs="Arial"/>
          <w:color w:val="333333"/>
          <w:szCs w:val="18"/>
          <w:shd w:val="clear" w:color="auto" w:fill="FFFFFF"/>
        </w:rPr>
        <w:t xml:space="preserve"> explosions in the process industry.</w:t>
      </w:r>
      <w:r w:rsidR="009F33EA">
        <w:rPr>
          <w:rFonts w:cs="Arial"/>
          <w:color w:val="333333"/>
          <w:szCs w:val="18"/>
          <w:shd w:val="clear" w:color="auto" w:fill="FFFFFF"/>
        </w:rPr>
        <w:t xml:space="preserve"> </w:t>
      </w:r>
      <w:r w:rsidR="00CA4C6A">
        <w:rPr>
          <w:rFonts w:cs="Arial"/>
          <w:color w:val="333333"/>
          <w:szCs w:val="18"/>
          <w:shd w:val="clear" w:color="auto" w:fill="FFFFFF"/>
        </w:rPr>
        <w:t xml:space="preserve"> </w:t>
      </w:r>
      <w:r w:rsidR="000F0827">
        <w:rPr>
          <w:rFonts w:cs="Arial"/>
          <w:color w:val="333333"/>
          <w:szCs w:val="18"/>
          <w:shd w:val="clear" w:color="auto" w:fill="FFFFFF"/>
        </w:rPr>
        <w:t xml:space="preserve"> </w:t>
      </w:r>
    </w:p>
    <w:p w14:paraId="6D067DBA" w14:textId="7B8C792A" w:rsidR="0069565D" w:rsidRPr="00655572" w:rsidRDefault="0069565D" w:rsidP="0069565D">
      <w:pPr>
        <w:pStyle w:val="CETBodytext"/>
        <w:jc w:val="left"/>
        <w:rPr>
          <w:rFonts w:cs="Arial"/>
          <w:szCs w:val="18"/>
        </w:rPr>
      </w:pPr>
    </w:p>
    <w:p w14:paraId="2FA17B25" w14:textId="77777777" w:rsidR="0069565D" w:rsidRPr="004C2916" w:rsidRDefault="0069565D" w:rsidP="0069565D">
      <w:pPr>
        <w:pStyle w:val="CETBodytext"/>
        <w:tabs>
          <w:tab w:val="left" w:pos="284"/>
        </w:tabs>
        <w:jc w:val="left"/>
        <w:rPr>
          <w:rFonts w:cs="Arial"/>
          <w:i/>
          <w:szCs w:val="18"/>
        </w:rPr>
      </w:pPr>
    </w:p>
    <w:p w14:paraId="7A191F1C" w14:textId="2237144E" w:rsidR="000745C3" w:rsidRPr="00677786" w:rsidRDefault="0061579C" w:rsidP="00600535">
      <w:pPr>
        <w:pStyle w:val="CETBodytext"/>
        <w:rPr>
          <w:b/>
          <w:bCs/>
          <w:szCs w:val="18"/>
        </w:rPr>
      </w:pPr>
      <w:r w:rsidRPr="00677786">
        <w:rPr>
          <w:b/>
          <w:bCs/>
          <w:szCs w:val="18"/>
        </w:rPr>
        <w:t>References</w:t>
      </w:r>
    </w:p>
    <w:p w14:paraId="3C56DDD8" w14:textId="58068B2A" w:rsidR="00CD436B" w:rsidRPr="00A91123" w:rsidRDefault="00CD436B" w:rsidP="00C47C6B">
      <w:pPr>
        <w:pStyle w:val="CETBodytext"/>
        <w:ind w:left="284" w:hanging="284"/>
      </w:pPr>
      <w:r w:rsidRPr="00A91123">
        <w:t xml:space="preserve">Alberici S., </w:t>
      </w:r>
      <w:r w:rsidR="00C71C55" w:rsidRPr="00A91123">
        <w:t xml:space="preserve">Grimme W., Toop G., </w:t>
      </w:r>
      <w:r w:rsidR="00A91123" w:rsidRPr="00A91123">
        <w:t>2022, Biomethan</w:t>
      </w:r>
      <w:r w:rsidR="00A91123">
        <w:t xml:space="preserve">e </w:t>
      </w:r>
      <w:r w:rsidR="00DC78CC">
        <w:t>Production Potentials in the EU</w:t>
      </w:r>
      <w:r w:rsidR="00A138EE">
        <w:t xml:space="preserve">, Guidehouse, Utrecht, </w:t>
      </w:r>
      <w:r w:rsidR="000C74DF">
        <w:t>The Netherlands.</w:t>
      </w:r>
    </w:p>
    <w:p w14:paraId="1E8377C6" w14:textId="6C098061" w:rsidR="00C47C6B" w:rsidRPr="00C47C6B" w:rsidRDefault="00C47C6B" w:rsidP="00C47C6B">
      <w:pPr>
        <w:pStyle w:val="CETBodytext"/>
        <w:ind w:left="284" w:hanging="284"/>
      </w:pPr>
      <w:r w:rsidRPr="00C47C6B">
        <w:t>Alves </w:t>
      </w:r>
      <w:r w:rsidR="00843F74" w:rsidRPr="0087480B">
        <w:t>J.N.</w:t>
      </w:r>
      <w:r w:rsidRPr="00C47C6B">
        <w:t>, Neto </w:t>
      </w:r>
      <w:r w:rsidR="00843F74" w:rsidRPr="0087480B">
        <w:t>A.</w:t>
      </w:r>
      <w:r w:rsidRPr="00C47C6B">
        <w:t>, Araújo </w:t>
      </w:r>
      <w:r w:rsidR="00843F74" w:rsidRPr="0087480B">
        <w:t>A.</w:t>
      </w:r>
      <w:r w:rsidRPr="00C47C6B">
        <w:t>, Silva </w:t>
      </w:r>
      <w:r w:rsidR="00B64167" w:rsidRPr="0087480B">
        <w:t>H.B.</w:t>
      </w:r>
      <w:r w:rsidRPr="00C47C6B">
        <w:t>, Silva </w:t>
      </w:r>
      <w:r w:rsidR="00B64167" w:rsidRPr="0087480B">
        <w:t>S.K.</w:t>
      </w:r>
      <w:r w:rsidRPr="00C47C6B">
        <w:t>, Nascimento </w:t>
      </w:r>
      <w:r w:rsidR="00B64167" w:rsidRPr="0087480B">
        <w:t>A.</w:t>
      </w:r>
      <w:r w:rsidRPr="00C47C6B">
        <w:t>, Luiz </w:t>
      </w:r>
      <w:r w:rsidR="00B64167" w:rsidRPr="0087480B">
        <w:t>A.M.,</w:t>
      </w:r>
      <w:r w:rsidR="00E055F4">
        <w:t xml:space="preserve"> </w:t>
      </w:r>
      <w:r w:rsidR="0087480B" w:rsidRPr="0087480B">
        <w:t>2019, Overview an</w:t>
      </w:r>
      <w:r w:rsidR="0087480B">
        <w:t xml:space="preserve">d </w:t>
      </w:r>
      <w:r w:rsidR="00BF7A06">
        <w:t>E</w:t>
      </w:r>
      <w:r w:rsidR="0087480B">
        <w:t xml:space="preserve">xperimental </w:t>
      </w:r>
      <w:r w:rsidR="00BF7A06">
        <w:t>V</w:t>
      </w:r>
      <w:r w:rsidR="0087480B">
        <w:t xml:space="preserve">erification </w:t>
      </w:r>
      <w:r w:rsidR="00A0613B">
        <w:t xml:space="preserve">of </w:t>
      </w:r>
      <w:r w:rsidR="00BF7A06">
        <w:t>M</w:t>
      </w:r>
      <w:r w:rsidR="00A0613B">
        <w:t xml:space="preserve">odels to </w:t>
      </w:r>
      <w:r w:rsidR="00BF7A06">
        <w:t>C</w:t>
      </w:r>
      <w:r w:rsidR="00A0613B">
        <w:t xml:space="preserve">lassify </w:t>
      </w:r>
      <w:r w:rsidR="00BF7A06">
        <w:t>H</w:t>
      </w:r>
      <w:r w:rsidR="00A0613B">
        <w:t xml:space="preserve">azardous </w:t>
      </w:r>
      <w:r w:rsidR="00BF7A06">
        <w:t>A</w:t>
      </w:r>
      <w:r w:rsidR="00A0613B">
        <w:t>reas</w:t>
      </w:r>
      <w:r w:rsidR="00CE3B06">
        <w:t>, Process Safety and Environmental</w:t>
      </w:r>
      <w:r w:rsidR="00FA0501">
        <w:t xml:space="preserve"> Protection</w:t>
      </w:r>
      <w:r w:rsidR="006827F4">
        <w:t>, 122</w:t>
      </w:r>
      <w:r w:rsidR="00FA0501">
        <w:t>, 102-117.</w:t>
      </w:r>
      <w:r w:rsidR="00CE3B06">
        <w:t xml:space="preserve"> </w:t>
      </w:r>
    </w:p>
    <w:p w14:paraId="7F0A7D8C" w14:textId="77777777" w:rsidR="006D5F52" w:rsidRDefault="006D5F52" w:rsidP="006D5F52">
      <w:pPr>
        <w:pStyle w:val="CETBodytext"/>
        <w:ind w:left="284" w:hanging="284"/>
        <w:rPr>
          <w:lang w:val="en-GB"/>
        </w:rPr>
      </w:pPr>
      <w:r>
        <w:rPr>
          <w:lang w:val="en-GB"/>
        </w:rPr>
        <w:t>Casal J., 2018, Evaluation of the Effects and Consequences of Major Accidents in Industrial Plants, Elsevier, Eastbourne, UK.</w:t>
      </w:r>
    </w:p>
    <w:p w14:paraId="07CC18AC" w14:textId="4674382E" w:rsidR="00C20A87" w:rsidRDefault="00C20A87" w:rsidP="00C20A87">
      <w:pPr>
        <w:pStyle w:val="CETBodytext"/>
        <w:ind w:left="284" w:hanging="284"/>
        <w:rPr>
          <w:lang w:val="en-GB"/>
        </w:rPr>
      </w:pPr>
      <w:r>
        <w:rPr>
          <w:lang w:val="en-GB"/>
        </w:rPr>
        <w:t>C</w:t>
      </w:r>
      <w:r w:rsidR="00742EDE">
        <w:rPr>
          <w:lang w:val="en-GB"/>
        </w:rPr>
        <w:t>PR</w:t>
      </w:r>
      <w:r>
        <w:rPr>
          <w:lang w:val="en-GB"/>
        </w:rPr>
        <w:t>, 20</w:t>
      </w:r>
      <w:r w:rsidR="008528DB">
        <w:rPr>
          <w:lang w:val="en-GB"/>
        </w:rPr>
        <w:t>05</w:t>
      </w:r>
      <w:r>
        <w:rPr>
          <w:lang w:val="en-GB"/>
        </w:rPr>
        <w:t xml:space="preserve">, </w:t>
      </w:r>
      <w:r w:rsidR="008528DB">
        <w:rPr>
          <w:lang w:val="en-GB"/>
        </w:rPr>
        <w:t xml:space="preserve">Guideline for </w:t>
      </w:r>
      <w:r w:rsidR="003F2BBC">
        <w:rPr>
          <w:lang w:val="en-GB"/>
        </w:rPr>
        <w:t>Qua</w:t>
      </w:r>
      <w:r w:rsidR="00732B2E">
        <w:rPr>
          <w:lang w:val="en-GB"/>
        </w:rPr>
        <w:t>nt</w:t>
      </w:r>
      <w:r w:rsidR="003F2BBC">
        <w:rPr>
          <w:lang w:val="en-GB"/>
        </w:rPr>
        <w:t>itative Risk Assessment</w:t>
      </w:r>
      <w:r>
        <w:rPr>
          <w:lang w:val="en-GB"/>
        </w:rPr>
        <w:t xml:space="preserve">, </w:t>
      </w:r>
      <w:r w:rsidR="005D5B52">
        <w:rPr>
          <w:lang w:val="en-GB"/>
        </w:rPr>
        <w:t xml:space="preserve">Sdu, </w:t>
      </w:r>
      <w:r w:rsidR="00D65A79">
        <w:rPr>
          <w:lang w:val="en-GB"/>
        </w:rPr>
        <w:t>The Hague</w:t>
      </w:r>
      <w:r w:rsidR="00FF54D1">
        <w:rPr>
          <w:lang w:val="en-GB"/>
        </w:rPr>
        <w:t>, The Netherlands</w:t>
      </w:r>
      <w:r>
        <w:rPr>
          <w:lang w:val="en-GB"/>
        </w:rPr>
        <w:t>.</w:t>
      </w:r>
    </w:p>
    <w:p w14:paraId="507F6602" w14:textId="77777777" w:rsidR="006D5F52" w:rsidRDefault="006D5F52" w:rsidP="006D5F52">
      <w:pPr>
        <w:pStyle w:val="CETBodytext"/>
        <w:ind w:left="284" w:hanging="284"/>
        <w:rPr>
          <w:lang w:val="en-GB"/>
        </w:rPr>
      </w:pPr>
      <w:r>
        <w:rPr>
          <w:lang w:val="en-GB"/>
        </w:rPr>
        <w:t>Gas Processors Suppliers Association (Ed), 2004, Engineering Data Book, Gas Processors Suppliers  Association, Tulsa, USA.</w:t>
      </w:r>
    </w:p>
    <w:p w14:paraId="3B99B9DE" w14:textId="2A3CC2A2" w:rsidR="008824C3" w:rsidRPr="004B160D" w:rsidRDefault="00FF25C3" w:rsidP="006D5F52">
      <w:pPr>
        <w:pStyle w:val="CETBodytext"/>
        <w:ind w:left="284" w:hanging="284"/>
      </w:pPr>
      <w:r w:rsidRPr="004B160D">
        <w:t xml:space="preserve">Geng </w:t>
      </w:r>
      <w:r w:rsidR="006E53CF" w:rsidRPr="004B160D">
        <w:t xml:space="preserve">J., </w:t>
      </w:r>
      <w:r w:rsidR="00EF1513" w:rsidRPr="004B160D">
        <w:t xml:space="preserve">Murè S., Demichela M., </w:t>
      </w:r>
      <w:r w:rsidR="00D40052" w:rsidRPr="004B160D">
        <w:t xml:space="preserve">Baldissone G., </w:t>
      </w:r>
      <w:r w:rsidR="008256C1" w:rsidRPr="004B160D">
        <w:t>2020, Atex</w:t>
      </w:r>
      <w:r w:rsidR="00D96460" w:rsidRPr="004B160D">
        <w:t>-</w:t>
      </w:r>
      <w:r w:rsidR="008256C1" w:rsidRPr="004B160D">
        <w:t>HOF Methodo</w:t>
      </w:r>
      <w:r w:rsidR="00D96460" w:rsidRPr="004B160D">
        <w:t>l</w:t>
      </w:r>
      <w:r w:rsidR="008256C1" w:rsidRPr="004B160D">
        <w:t>ogy</w:t>
      </w:r>
      <w:r w:rsidR="00D96460" w:rsidRPr="004B160D">
        <w:t xml:space="preserve">: </w:t>
      </w:r>
      <w:r w:rsidR="00D40052" w:rsidRPr="004B160D">
        <w:t xml:space="preserve"> </w:t>
      </w:r>
      <w:r w:rsidR="00D96460" w:rsidRPr="004B160D">
        <w:t xml:space="preserve">Innovation Driven </w:t>
      </w:r>
      <w:r w:rsidR="004B160D" w:rsidRPr="004B160D">
        <w:t>b</w:t>
      </w:r>
      <w:r w:rsidR="004B160D">
        <w:t xml:space="preserve">y Human and Organizational Factors (HOF) </w:t>
      </w:r>
      <w:r w:rsidR="00D81883">
        <w:t xml:space="preserve">in Explosive Atmosphere Risk Assessment, </w:t>
      </w:r>
      <w:r w:rsidR="00DB280D">
        <w:t xml:space="preserve">Safety, 6, </w:t>
      </w:r>
      <w:r w:rsidR="00C732E1">
        <w:t>1-21.</w:t>
      </w:r>
    </w:p>
    <w:p w14:paraId="42794832" w14:textId="31D5A3EC" w:rsidR="006D5F52" w:rsidRDefault="006D5F52" w:rsidP="006D5F52">
      <w:pPr>
        <w:pStyle w:val="CETBodytext"/>
        <w:ind w:left="284" w:hanging="284"/>
        <w:rPr>
          <w:lang w:val="en-GB"/>
        </w:rPr>
      </w:pPr>
      <w:r>
        <w:rPr>
          <w:lang w:val="en-GB"/>
        </w:rPr>
        <w:t>IEC (Ed), 202</w:t>
      </w:r>
      <w:r w:rsidR="00E85CA4">
        <w:rPr>
          <w:lang w:val="en-GB"/>
        </w:rPr>
        <w:t>3</w:t>
      </w:r>
      <w:r>
        <w:rPr>
          <w:lang w:val="en-GB"/>
        </w:rPr>
        <w:t xml:space="preserve">, IEC EN 60079-10-1: Classification of Areas-Explosive Gas Atmospheres, IEC, Geneva, Switzerland. </w:t>
      </w:r>
    </w:p>
    <w:p w14:paraId="41D38E77" w14:textId="77777777" w:rsidR="006D5F52" w:rsidRDefault="006D5F52" w:rsidP="006D5F52">
      <w:pPr>
        <w:pStyle w:val="CETBodytext"/>
        <w:ind w:left="284" w:hanging="284"/>
        <w:rPr>
          <w:rFonts w:cs="Arial"/>
          <w:bCs/>
          <w:iCs/>
        </w:rPr>
      </w:pPr>
      <w:r>
        <w:rPr>
          <w:lang w:val="en-GB"/>
        </w:rPr>
        <w:t>Lauri R</w:t>
      </w:r>
      <w:r w:rsidRPr="001300A1">
        <w:rPr>
          <w:rFonts w:cs="Arial"/>
          <w:lang w:val="en-GB"/>
        </w:rPr>
        <w:t xml:space="preserve">., </w:t>
      </w:r>
      <w:r>
        <w:rPr>
          <w:rFonts w:cs="Arial"/>
          <w:lang w:val="en-GB"/>
        </w:rPr>
        <w:t>2018, A</w:t>
      </w:r>
      <w:r w:rsidRPr="001300A1">
        <w:rPr>
          <w:rFonts w:cs="Arial"/>
          <w:bCs/>
          <w:iCs/>
        </w:rPr>
        <w:t xml:space="preserve"> </w:t>
      </w:r>
      <w:r>
        <w:rPr>
          <w:rFonts w:cs="Arial"/>
          <w:bCs/>
          <w:iCs/>
        </w:rPr>
        <w:t>M</w:t>
      </w:r>
      <w:r w:rsidRPr="001300A1">
        <w:rPr>
          <w:rFonts w:cs="Arial"/>
          <w:bCs/>
          <w:iCs/>
        </w:rPr>
        <w:t xml:space="preserve">ethodological </w:t>
      </w:r>
      <w:r>
        <w:rPr>
          <w:rFonts w:cs="Arial"/>
          <w:bCs/>
          <w:iCs/>
        </w:rPr>
        <w:t>A</w:t>
      </w:r>
      <w:r w:rsidRPr="001300A1">
        <w:rPr>
          <w:rFonts w:cs="Arial"/>
          <w:bCs/>
          <w:iCs/>
        </w:rPr>
        <w:t xml:space="preserve">pproach for the </w:t>
      </w:r>
      <w:r>
        <w:rPr>
          <w:rFonts w:cs="Arial"/>
          <w:bCs/>
          <w:iCs/>
        </w:rPr>
        <w:t>C</w:t>
      </w:r>
      <w:r w:rsidRPr="001300A1">
        <w:rPr>
          <w:rFonts w:cs="Arial"/>
          <w:bCs/>
          <w:iCs/>
        </w:rPr>
        <w:t xml:space="preserve">haracterization of </w:t>
      </w:r>
      <w:r>
        <w:rPr>
          <w:rFonts w:cs="Arial"/>
          <w:bCs/>
          <w:iCs/>
        </w:rPr>
        <w:t>H</w:t>
      </w:r>
      <w:r w:rsidRPr="001300A1">
        <w:rPr>
          <w:rFonts w:cs="Arial"/>
          <w:bCs/>
          <w:iCs/>
        </w:rPr>
        <w:t xml:space="preserve">azardous </w:t>
      </w:r>
      <w:r>
        <w:rPr>
          <w:rFonts w:cs="Arial"/>
          <w:bCs/>
          <w:iCs/>
        </w:rPr>
        <w:t>Z</w:t>
      </w:r>
      <w:r w:rsidRPr="001300A1">
        <w:rPr>
          <w:rFonts w:cs="Arial"/>
          <w:bCs/>
          <w:iCs/>
        </w:rPr>
        <w:t xml:space="preserve">ones due to </w:t>
      </w:r>
      <w:r>
        <w:rPr>
          <w:rFonts w:cs="Arial"/>
          <w:bCs/>
          <w:iCs/>
        </w:rPr>
        <w:t>P</w:t>
      </w:r>
      <w:r w:rsidRPr="001300A1">
        <w:rPr>
          <w:rFonts w:cs="Arial"/>
          <w:bCs/>
          <w:iCs/>
        </w:rPr>
        <w:t xml:space="preserve">otentially </w:t>
      </w:r>
      <w:r>
        <w:rPr>
          <w:rFonts w:cs="Arial"/>
          <w:bCs/>
          <w:iCs/>
        </w:rPr>
        <w:t>E</w:t>
      </w:r>
      <w:r w:rsidRPr="001300A1">
        <w:rPr>
          <w:rFonts w:cs="Arial"/>
          <w:bCs/>
          <w:iCs/>
        </w:rPr>
        <w:t xml:space="preserve">xplosive </w:t>
      </w:r>
      <w:r>
        <w:rPr>
          <w:rFonts w:cs="Arial"/>
          <w:bCs/>
          <w:iCs/>
        </w:rPr>
        <w:t>A</w:t>
      </w:r>
      <w:r w:rsidRPr="001300A1">
        <w:rPr>
          <w:rFonts w:cs="Arial"/>
          <w:bCs/>
          <w:iCs/>
        </w:rPr>
        <w:t xml:space="preserve">tmospheres: a </w:t>
      </w:r>
      <w:r>
        <w:rPr>
          <w:rFonts w:cs="Arial"/>
          <w:bCs/>
          <w:iCs/>
        </w:rPr>
        <w:t>C</w:t>
      </w:r>
      <w:r w:rsidRPr="001300A1">
        <w:rPr>
          <w:rFonts w:cs="Arial"/>
          <w:bCs/>
          <w:iCs/>
        </w:rPr>
        <w:t xml:space="preserve">ase </w:t>
      </w:r>
      <w:r>
        <w:rPr>
          <w:rFonts w:cs="Arial"/>
          <w:bCs/>
          <w:iCs/>
        </w:rPr>
        <w:t>S</w:t>
      </w:r>
      <w:r w:rsidRPr="001300A1">
        <w:rPr>
          <w:rFonts w:cs="Arial"/>
          <w:bCs/>
          <w:iCs/>
        </w:rPr>
        <w:t>tudy</w:t>
      </w:r>
      <w:r>
        <w:rPr>
          <w:rFonts w:cs="Arial"/>
          <w:bCs/>
          <w:iCs/>
        </w:rPr>
        <w:t xml:space="preserve">, </w:t>
      </w:r>
      <w:r w:rsidRPr="001300A1">
        <w:rPr>
          <w:rFonts w:cs="Arial"/>
          <w:bCs/>
          <w:iCs/>
        </w:rPr>
        <w:t>Chemical Engineering Transactions, 67, 169-174</w:t>
      </w:r>
      <w:r>
        <w:rPr>
          <w:rFonts w:cs="Arial"/>
          <w:bCs/>
          <w:iCs/>
        </w:rPr>
        <w:t>.</w:t>
      </w:r>
    </w:p>
    <w:p w14:paraId="76D8508E" w14:textId="17C10BA8" w:rsidR="00362EB8" w:rsidRDefault="00362EB8" w:rsidP="00335FA9">
      <w:pPr>
        <w:pStyle w:val="CETBodytext"/>
        <w:ind w:left="284" w:hanging="284"/>
        <w:rPr>
          <w:rFonts w:cs="Arial"/>
          <w:bCs/>
          <w:iCs/>
        </w:rPr>
      </w:pPr>
      <w:r>
        <w:rPr>
          <w:lang w:val="en-GB"/>
        </w:rPr>
        <w:t>Lauri R</w:t>
      </w:r>
      <w:r w:rsidRPr="001300A1">
        <w:rPr>
          <w:rFonts w:cs="Arial"/>
          <w:lang w:val="en-GB"/>
        </w:rPr>
        <w:t xml:space="preserve">., </w:t>
      </w:r>
      <w:r>
        <w:rPr>
          <w:rFonts w:cs="Arial"/>
          <w:lang w:val="en-GB"/>
        </w:rPr>
        <w:t>20</w:t>
      </w:r>
      <w:r w:rsidR="00640018">
        <w:rPr>
          <w:rFonts w:cs="Arial"/>
          <w:lang w:val="en-GB"/>
        </w:rPr>
        <w:t>23</w:t>
      </w:r>
      <w:r>
        <w:rPr>
          <w:rFonts w:cs="Arial"/>
          <w:lang w:val="en-GB"/>
        </w:rPr>
        <w:t xml:space="preserve">, </w:t>
      </w:r>
      <w:r w:rsidR="00335FA9">
        <w:rPr>
          <w:rFonts w:cs="Arial"/>
          <w:lang w:val="en-GB"/>
        </w:rPr>
        <w:t>Biomethane Compression Unit</w:t>
      </w:r>
      <w:r w:rsidR="006C7FCF">
        <w:rPr>
          <w:rFonts w:cs="Arial"/>
          <w:lang w:val="en-GB"/>
        </w:rPr>
        <w:t>: a</w:t>
      </w:r>
      <w:r w:rsidRPr="001300A1">
        <w:rPr>
          <w:rFonts w:cs="Arial"/>
          <w:bCs/>
          <w:iCs/>
        </w:rPr>
        <w:t xml:space="preserve"> </w:t>
      </w:r>
      <w:r>
        <w:rPr>
          <w:rFonts w:cs="Arial"/>
          <w:bCs/>
          <w:iCs/>
        </w:rPr>
        <w:t>M</w:t>
      </w:r>
      <w:r w:rsidRPr="001300A1">
        <w:rPr>
          <w:rFonts w:cs="Arial"/>
          <w:bCs/>
          <w:iCs/>
        </w:rPr>
        <w:t xml:space="preserve">ethodological </w:t>
      </w:r>
      <w:r>
        <w:rPr>
          <w:rFonts w:cs="Arial"/>
          <w:bCs/>
          <w:iCs/>
        </w:rPr>
        <w:t>A</w:t>
      </w:r>
      <w:r w:rsidRPr="001300A1">
        <w:rPr>
          <w:rFonts w:cs="Arial"/>
          <w:bCs/>
          <w:iCs/>
        </w:rPr>
        <w:t xml:space="preserve">pproach </w:t>
      </w:r>
      <w:r w:rsidR="006C7FCF">
        <w:rPr>
          <w:rFonts w:cs="Arial"/>
          <w:bCs/>
          <w:iCs/>
        </w:rPr>
        <w:t xml:space="preserve">aimed at decreasing </w:t>
      </w:r>
      <w:r w:rsidRPr="001300A1">
        <w:rPr>
          <w:rFonts w:cs="Arial"/>
          <w:bCs/>
          <w:iCs/>
        </w:rPr>
        <w:t xml:space="preserve">the </w:t>
      </w:r>
      <w:r w:rsidR="00640018">
        <w:rPr>
          <w:rFonts w:cs="Arial"/>
          <w:bCs/>
          <w:iCs/>
        </w:rPr>
        <w:t>Atex</w:t>
      </w:r>
      <w:r w:rsidRPr="001300A1">
        <w:rPr>
          <w:rFonts w:cs="Arial"/>
          <w:bCs/>
          <w:iCs/>
        </w:rPr>
        <w:t xml:space="preserve"> </w:t>
      </w:r>
      <w:r>
        <w:rPr>
          <w:rFonts w:cs="Arial"/>
          <w:bCs/>
          <w:iCs/>
        </w:rPr>
        <w:t>Z</w:t>
      </w:r>
      <w:r w:rsidRPr="001300A1">
        <w:rPr>
          <w:rFonts w:cs="Arial"/>
          <w:bCs/>
          <w:iCs/>
        </w:rPr>
        <w:t>ones</w:t>
      </w:r>
      <w:r w:rsidR="00640018">
        <w:rPr>
          <w:rFonts w:cs="Arial"/>
          <w:bCs/>
          <w:iCs/>
        </w:rPr>
        <w:t xml:space="preserve"> hazardousness</w:t>
      </w:r>
      <w:r>
        <w:rPr>
          <w:rFonts w:cs="Arial"/>
          <w:bCs/>
          <w:iCs/>
        </w:rPr>
        <w:t xml:space="preserve">, </w:t>
      </w:r>
      <w:r w:rsidRPr="001300A1">
        <w:rPr>
          <w:rFonts w:cs="Arial"/>
          <w:bCs/>
          <w:iCs/>
        </w:rPr>
        <w:t xml:space="preserve">Chemical Engineering Transactions, </w:t>
      </w:r>
      <w:r w:rsidR="00BC7FF9">
        <w:rPr>
          <w:rFonts w:cs="Arial"/>
          <w:bCs/>
          <w:iCs/>
        </w:rPr>
        <w:t>104</w:t>
      </w:r>
      <w:r w:rsidRPr="001300A1">
        <w:rPr>
          <w:rFonts w:cs="Arial"/>
          <w:bCs/>
          <w:iCs/>
        </w:rPr>
        <w:t>, 1</w:t>
      </w:r>
      <w:r w:rsidR="00BC7FF9">
        <w:rPr>
          <w:rFonts w:cs="Arial"/>
          <w:bCs/>
          <w:iCs/>
        </w:rPr>
        <w:t>21</w:t>
      </w:r>
      <w:r w:rsidRPr="001300A1">
        <w:rPr>
          <w:rFonts w:cs="Arial"/>
          <w:bCs/>
          <w:iCs/>
        </w:rPr>
        <w:t>-1</w:t>
      </w:r>
      <w:r w:rsidR="00BC7FF9">
        <w:rPr>
          <w:rFonts w:cs="Arial"/>
          <w:bCs/>
          <w:iCs/>
        </w:rPr>
        <w:t>26</w:t>
      </w:r>
      <w:r>
        <w:rPr>
          <w:rFonts w:cs="Arial"/>
          <w:bCs/>
          <w:iCs/>
        </w:rPr>
        <w:t>.</w:t>
      </w:r>
    </w:p>
    <w:p w14:paraId="2966C09A" w14:textId="41DE0CA5" w:rsidR="000745C3" w:rsidRPr="00742EDE" w:rsidRDefault="006D5F52" w:rsidP="00742EDE">
      <w:pPr>
        <w:pStyle w:val="CETBodytext"/>
        <w:ind w:left="284" w:hanging="284"/>
        <w:rPr>
          <w:rFonts w:eastAsiaTheme="minorHAnsi" w:cs="Arial"/>
          <w:szCs w:val="18"/>
        </w:rPr>
      </w:pPr>
      <w:r w:rsidRPr="006960DA">
        <w:rPr>
          <w:rFonts w:eastAsiaTheme="minorHAnsi" w:cs="Arial"/>
          <w:szCs w:val="18"/>
        </w:rPr>
        <w:t xml:space="preserve">Matsumura M., Kato M., Hirata T., 1992, Behavior and </w:t>
      </w:r>
      <w:r>
        <w:rPr>
          <w:rFonts w:eastAsiaTheme="minorHAnsi" w:cs="Arial"/>
          <w:szCs w:val="18"/>
        </w:rPr>
        <w:t>A</w:t>
      </w:r>
      <w:r w:rsidRPr="006960DA">
        <w:rPr>
          <w:rFonts w:eastAsiaTheme="minorHAnsi" w:cs="Arial"/>
          <w:szCs w:val="18"/>
        </w:rPr>
        <w:t xml:space="preserve">nalysis of </w:t>
      </w:r>
      <w:r>
        <w:rPr>
          <w:rFonts w:eastAsiaTheme="minorHAnsi" w:cs="Arial"/>
          <w:szCs w:val="18"/>
        </w:rPr>
        <w:t xml:space="preserve">Reciprocating Compressor Valve, </w:t>
      </w:r>
      <w:r w:rsidRPr="006960DA">
        <w:rPr>
          <w:rFonts w:eastAsiaTheme="minorHAnsi" w:cs="Arial"/>
          <w:szCs w:val="18"/>
        </w:rPr>
        <w:t>Kobel</w:t>
      </w:r>
      <w:r>
        <w:rPr>
          <w:rFonts w:eastAsiaTheme="minorHAnsi" w:cs="Arial"/>
          <w:szCs w:val="18"/>
        </w:rPr>
        <w:t>c</w:t>
      </w:r>
      <w:r w:rsidRPr="006960DA">
        <w:rPr>
          <w:rFonts w:eastAsiaTheme="minorHAnsi" w:cs="Arial"/>
          <w:szCs w:val="18"/>
        </w:rPr>
        <w:t xml:space="preserve">o </w:t>
      </w:r>
      <w:r>
        <w:rPr>
          <w:rFonts w:eastAsiaTheme="minorHAnsi" w:cs="Arial"/>
          <w:szCs w:val="18"/>
        </w:rPr>
        <w:t xml:space="preserve"> </w:t>
      </w:r>
      <w:r w:rsidRPr="006960DA">
        <w:rPr>
          <w:rFonts w:eastAsiaTheme="minorHAnsi" w:cs="Arial"/>
          <w:iCs/>
          <w:szCs w:val="18"/>
        </w:rPr>
        <w:t>Technology Review, 14</w:t>
      </w:r>
      <w:r w:rsidRPr="006960DA">
        <w:rPr>
          <w:rFonts w:eastAsiaTheme="minorHAnsi" w:cs="Arial"/>
          <w:szCs w:val="18"/>
        </w:rPr>
        <w:t>, 20-24.</w:t>
      </w:r>
    </w:p>
    <w:sectPr w:rsidR="000745C3" w:rsidRPr="00742EDE" w:rsidSect="00DC73EE">
      <w:footerReference w:type="default" r:id="rId26"/>
      <w:footerReference w:type="first" r:id="rId27"/>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AFFEC" w14:textId="77777777" w:rsidR="00242905" w:rsidRDefault="00242905" w:rsidP="004F5E36">
      <w:r>
        <w:separator/>
      </w:r>
    </w:p>
  </w:endnote>
  <w:endnote w:type="continuationSeparator" w:id="0">
    <w:p w14:paraId="2E1F379F" w14:textId="77777777" w:rsidR="00242905" w:rsidRDefault="002429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harisSI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797561"/>
      <w:docPartObj>
        <w:docPartGallery w:val="Page Numbers (Bottom of Page)"/>
        <w:docPartUnique/>
      </w:docPartObj>
    </w:sdtPr>
    <w:sdtContent>
      <w:p w14:paraId="504FADB3" w14:textId="44E26D04" w:rsidR="00E45D7C" w:rsidRDefault="00E45D7C">
        <w:pPr>
          <w:pStyle w:val="Pidipagina"/>
          <w:jc w:val="right"/>
        </w:pPr>
        <w:r>
          <w:fldChar w:fldCharType="begin"/>
        </w:r>
        <w:r>
          <w:instrText>PAGE   \* MERGEFORMAT</w:instrText>
        </w:r>
        <w:r>
          <w:fldChar w:fldCharType="separate"/>
        </w:r>
        <w:r>
          <w:rPr>
            <w:lang w:val="it-IT"/>
          </w:rPr>
          <w:t>2</w:t>
        </w:r>
        <w:r>
          <w:fldChar w:fldCharType="end"/>
        </w:r>
      </w:p>
    </w:sdtContent>
  </w:sdt>
  <w:p w14:paraId="6701119C" w14:textId="77777777" w:rsidR="00E45D7C" w:rsidRDefault="00E45D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979867"/>
      <w:docPartObj>
        <w:docPartGallery w:val="Page Numbers (Bottom of Page)"/>
        <w:docPartUnique/>
      </w:docPartObj>
    </w:sdtPr>
    <w:sdtContent>
      <w:p w14:paraId="5C2054A8" w14:textId="1A9F4720" w:rsidR="009D17AD" w:rsidRDefault="009D17AD">
        <w:pPr>
          <w:pStyle w:val="Pidipagina"/>
          <w:jc w:val="right"/>
        </w:pPr>
        <w:r>
          <w:fldChar w:fldCharType="begin"/>
        </w:r>
        <w:r>
          <w:instrText>PAGE   \* MERGEFORMAT</w:instrText>
        </w:r>
        <w:r>
          <w:fldChar w:fldCharType="separate"/>
        </w:r>
        <w:r>
          <w:rPr>
            <w:lang w:val="it-IT"/>
          </w:rPr>
          <w:t>2</w:t>
        </w:r>
        <w:r>
          <w:fldChar w:fldCharType="end"/>
        </w:r>
      </w:p>
    </w:sdtContent>
  </w:sdt>
  <w:p w14:paraId="326B5ECB" w14:textId="77777777" w:rsidR="009D17AD" w:rsidRDefault="009D17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286DD" w14:textId="77777777" w:rsidR="00242905" w:rsidRDefault="00242905" w:rsidP="004F5E36">
      <w:r>
        <w:separator/>
      </w:r>
    </w:p>
  </w:footnote>
  <w:footnote w:type="continuationSeparator" w:id="0">
    <w:p w14:paraId="7B117D75" w14:textId="77777777" w:rsidR="00242905" w:rsidRDefault="002429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1B4173"/>
    <w:multiLevelType w:val="hybridMultilevel"/>
    <w:tmpl w:val="430EC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8B1FE1"/>
    <w:multiLevelType w:val="hybridMultilevel"/>
    <w:tmpl w:val="A9FCC22E"/>
    <w:lvl w:ilvl="0" w:tplc="A9E4FFAA">
      <w:start w:val="1"/>
      <w:numFmt w:val="decimal"/>
      <w:lvlText w:val="%1)"/>
      <w:lvlJc w:val="left"/>
      <w:pPr>
        <w:ind w:left="720" w:hanging="360"/>
      </w:pPr>
      <w:rPr>
        <w:rFonts w:eastAsia="Times New Roman"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8BE21A3"/>
    <w:multiLevelType w:val="hybridMultilevel"/>
    <w:tmpl w:val="63063F7C"/>
    <w:lvl w:ilvl="0" w:tplc="04100001">
      <w:start w:val="1"/>
      <w:numFmt w:val="bullet"/>
      <w:lvlText w:val=""/>
      <w:lvlJc w:val="left"/>
      <w:pPr>
        <w:ind w:left="817" w:hanging="360"/>
      </w:pPr>
      <w:rPr>
        <w:rFonts w:ascii="Symbol" w:hAnsi="Symbol" w:hint="default"/>
      </w:rPr>
    </w:lvl>
    <w:lvl w:ilvl="1" w:tplc="04100003" w:tentative="1">
      <w:start w:val="1"/>
      <w:numFmt w:val="bullet"/>
      <w:lvlText w:val="o"/>
      <w:lvlJc w:val="left"/>
      <w:pPr>
        <w:ind w:left="1537" w:hanging="360"/>
      </w:pPr>
      <w:rPr>
        <w:rFonts w:ascii="Courier New" w:hAnsi="Courier New" w:cs="Courier New" w:hint="default"/>
      </w:rPr>
    </w:lvl>
    <w:lvl w:ilvl="2" w:tplc="04100005" w:tentative="1">
      <w:start w:val="1"/>
      <w:numFmt w:val="bullet"/>
      <w:lvlText w:val=""/>
      <w:lvlJc w:val="left"/>
      <w:pPr>
        <w:ind w:left="2257" w:hanging="360"/>
      </w:pPr>
      <w:rPr>
        <w:rFonts w:ascii="Wingdings" w:hAnsi="Wingdings" w:hint="default"/>
      </w:rPr>
    </w:lvl>
    <w:lvl w:ilvl="3" w:tplc="04100001" w:tentative="1">
      <w:start w:val="1"/>
      <w:numFmt w:val="bullet"/>
      <w:lvlText w:val=""/>
      <w:lvlJc w:val="left"/>
      <w:pPr>
        <w:ind w:left="2977" w:hanging="360"/>
      </w:pPr>
      <w:rPr>
        <w:rFonts w:ascii="Symbol" w:hAnsi="Symbol" w:hint="default"/>
      </w:rPr>
    </w:lvl>
    <w:lvl w:ilvl="4" w:tplc="04100003" w:tentative="1">
      <w:start w:val="1"/>
      <w:numFmt w:val="bullet"/>
      <w:lvlText w:val="o"/>
      <w:lvlJc w:val="left"/>
      <w:pPr>
        <w:ind w:left="3697" w:hanging="360"/>
      </w:pPr>
      <w:rPr>
        <w:rFonts w:ascii="Courier New" w:hAnsi="Courier New" w:cs="Courier New" w:hint="default"/>
      </w:rPr>
    </w:lvl>
    <w:lvl w:ilvl="5" w:tplc="04100005" w:tentative="1">
      <w:start w:val="1"/>
      <w:numFmt w:val="bullet"/>
      <w:lvlText w:val=""/>
      <w:lvlJc w:val="left"/>
      <w:pPr>
        <w:ind w:left="4417" w:hanging="360"/>
      </w:pPr>
      <w:rPr>
        <w:rFonts w:ascii="Wingdings" w:hAnsi="Wingdings" w:hint="default"/>
      </w:rPr>
    </w:lvl>
    <w:lvl w:ilvl="6" w:tplc="04100001" w:tentative="1">
      <w:start w:val="1"/>
      <w:numFmt w:val="bullet"/>
      <w:lvlText w:val=""/>
      <w:lvlJc w:val="left"/>
      <w:pPr>
        <w:ind w:left="5137" w:hanging="360"/>
      </w:pPr>
      <w:rPr>
        <w:rFonts w:ascii="Symbol" w:hAnsi="Symbol" w:hint="default"/>
      </w:rPr>
    </w:lvl>
    <w:lvl w:ilvl="7" w:tplc="04100003" w:tentative="1">
      <w:start w:val="1"/>
      <w:numFmt w:val="bullet"/>
      <w:lvlText w:val="o"/>
      <w:lvlJc w:val="left"/>
      <w:pPr>
        <w:ind w:left="5857" w:hanging="360"/>
      </w:pPr>
      <w:rPr>
        <w:rFonts w:ascii="Courier New" w:hAnsi="Courier New" w:cs="Courier New" w:hint="default"/>
      </w:rPr>
    </w:lvl>
    <w:lvl w:ilvl="8" w:tplc="04100005" w:tentative="1">
      <w:start w:val="1"/>
      <w:numFmt w:val="bullet"/>
      <w:lvlText w:val=""/>
      <w:lvlJc w:val="left"/>
      <w:pPr>
        <w:ind w:left="6577" w:hanging="360"/>
      </w:pPr>
      <w:rPr>
        <w:rFonts w:ascii="Wingdings" w:hAnsi="Wingdings" w:hint="default"/>
      </w:rPr>
    </w:lvl>
  </w:abstractNum>
  <w:abstractNum w:abstractNumId="13"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438217E"/>
    <w:multiLevelType w:val="multilevel"/>
    <w:tmpl w:val="F17228D6"/>
    <w:lvl w:ilvl="0">
      <w:start w:val="1"/>
      <w:numFmt w:val="decimal"/>
      <w:suff w:val="space"/>
      <w:lvlText w:val="Chapter %1"/>
      <w:lvlJc w:val="left"/>
      <w:pPr>
        <w:ind w:left="142"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4A46292"/>
    <w:multiLevelType w:val="hybridMultilevel"/>
    <w:tmpl w:val="AFFCE7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BE4DCD"/>
    <w:multiLevelType w:val="hybridMultilevel"/>
    <w:tmpl w:val="7FB252D4"/>
    <w:lvl w:ilvl="0" w:tplc="04100011">
      <w:start w:val="1"/>
      <w:numFmt w:val="decimal"/>
      <w:lvlText w:val="%1)"/>
      <w:lvlJc w:val="left"/>
      <w:pPr>
        <w:ind w:left="773" w:hanging="360"/>
      </w:pPr>
      <w:rPr>
        <w:rFonts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2" w15:restartNumberingAfterBreak="0">
    <w:nsid w:val="512D784B"/>
    <w:multiLevelType w:val="hybridMultilevel"/>
    <w:tmpl w:val="693A3E1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D15450"/>
    <w:multiLevelType w:val="hybridMultilevel"/>
    <w:tmpl w:val="AEA8F704"/>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6D512F"/>
    <w:multiLevelType w:val="hybridMultilevel"/>
    <w:tmpl w:val="9CDE6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F16210"/>
    <w:multiLevelType w:val="hybridMultilevel"/>
    <w:tmpl w:val="729A0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3629F1"/>
    <w:multiLevelType w:val="hybridMultilevel"/>
    <w:tmpl w:val="E5E647F4"/>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2" w15:restartNumberingAfterBreak="0">
    <w:nsid w:val="731E22B8"/>
    <w:multiLevelType w:val="hybridMultilevel"/>
    <w:tmpl w:val="6CDC9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EF69BC"/>
    <w:multiLevelType w:val="hybridMultilevel"/>
    <w:tmpl w:val="5FB2CD64"/>
    <w:lvl w:ilvl="0" w:tplc="04100011">
      <w:start w:val="1"/>
      <w:numFmt w:val="decimal"/>
      <w:lvlText w:val="%1)"/>
      <w:lvlJc w:val="left"/>
      <w:pPr>
        <w:ind w:left="924" w:hanging="360"/>
      </w:pPr>
    </w:lvl>
    <w:lvl w:ilvl="1" w:tplc="04100019" w:tentative="1">
      <w:start w:val="1"/>
      <w:numFmt w:val="lowerLetter"/>
      <w:lvlText w:val="%2."/>
      <w:lvlJc w:val="left"/>
      <w:pPr>
        <w:ind w:left="1644" w:hanging="360"/>
      </w:pPr>
    </w:lvl>
    <w:lvl w:ilvl="2" w:tplc="0410001B" w:tentative="1">
      <w:start w:val="1"/>
      <w:numFmt w:val="lowerRoman"/>
      <w:lvlText w:val="%3."/>
      <w:lvlJc w:val="right"/>
      <w:pPr>
        <w:ind w:left="2364" w:hanging="180"/>
      </w:pPr>
    </w:lvl>
    <w:lvl w:ilvl="3" w:tplc="0410000F" w:tentative="1">
      <w:start w:val="1"/>
      <w:numFmt w:val="decimal"/>
      <w:lvlText w:val="%4."/>
      <w:lvlJc w:val="left"/>
      <w:pPr>
        <w:ind w:left="3084" w:hanging="360"/>
      </w:pPr>
    </w:lvl>
    <w:lvl w:ilvl="4" w:tplc="04100019" w:tentative="1">
      <w:start w:val="1"/>
      <w:numFmt w:val="lowerLetter"/>
      <w:lvlText w:val="%5."/>
      <w:lvlJc w:val="left"/>
      <w:pPr>
        <w:ind w:left="3804" w:hanging="360"/>
      </w:pPr>
    </w:lvl>
    <w:lvl w:ilvl="5" w:tplc="0410001B" w:tentative="1">
      <w:start w:val="1"/>
      <w:numFmt w:val="lowerRoman"/>
      <w:lvlText w:val="%6."/>
      <w:lvlJc w:val="right"/>
      <w:pPr>
        <w:ind w:left="4524" w:hanging="180"/>
      </w:pPr>
    </w:lvl>
    <w:lvl w:ilvl="6" w:tplc="0410000F" w:tentative="1">
      <w:start w:val="1"/>
      <w:numFmt w:val="decimal"/>
      <w:lvlText w:val="%7."/>
      <w:lvlJc w:val="left"/>
      <w:pPr>
        <w:ind w:left="5244" w:hanging="360"/>
      </w:pPr>
    </w:lvl>
    <w:lvl w:ilvl="7" w:tplc="04100019" w:tentative="1">
      <w:start w:val="1"/>
      <w:numFmt w:val="lowerLetter"/>
      <w:lvlText w:val="%8."/>
      <w:lvlJc w:val="left"/>
      <w:pPr>
        <w:ind w:left="5964" w:hanging="360"/>
      </w:pPr>
    </w:lvl>
    <w:lvl w:ilvl="8" w:tplc="0410001B" w:tentative="1">
      <w:start w:val="1"/>
      <w:numFmt w:val="lowerRoman"/>
      <w:lvlText w:val="%9."/>
      <w:lvlJc w:val="right"/>
      <w:pPr>
        <w:ind w:left="6684" w:hanging="180"/>
      </w:pPr>
    </w:lvl>
  </w:abstractNum>
  <w:num w:numId="1" w16cid:durableId="1316882765">
    <w:abstractNumId w:val="14"/>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5"/>
  </w:num>
  <w:num w:numId="13" w16cid:durableId="695733619">
    <w:abstractNumId w:val="17"/>
  </w:num>
  <w:num w:numId="14" w16cid:durableId="145903400">
    <w:abstractNumId w:val="26"/>
  </w:num>
  <w:num w:numId="15" w16cid:durableId="19162326">
    <w:abstractNumId w:val="30"/>
  </w:num>
  <w:num w:numId="16" w16cid:durableId="1977102699">
    <w:abstractNumId w:val="28"/>
  </w:num>
  <w:num w:numId="17" w16cid:durableId="860774865">
    <w:abstractNumId w:val="16"/>
  </w:num>
  <w:num w:numId="18" w16cid:durableId="313221457">
    <w:abstractNumId w:val="17"/>
    <w:lvlOverride w:ilvl="0">
      <w:startOverride w:val="1"/>
    </w:lvlOverride>
  </w:num>
  <w:num w:numId="19" w16cid:durableId="534971577">
    <w:abstractNumId w:val="23"/>
  </w:num>
  <w:num w:numId="20" w16cid:durableId="1150947773">
    <w:abstractNumId w:val="20"/>
  </w:num>
  <w:num w:numId="21" w16cid:durableId="124660497">
    <w:abstractNumId w:val="19"/>
  </w:num>
  <w:num w:numId="22" w16cid:durableId="2099861471">
    <w:abstractNumId w:val="18"/>
  </w:num>
  <w:num w:numId="23" w16cid:durableId="84351335">
    <w:abstractNumId w:val="13"/>
  </w:num>
  <w:num w:numId="24" w16cid:durableId="99226104">
    <w:abstractNumId w:val="15"/>
  </w:num>
  <w:num w:numId="25" w16cid:durableId="1513640232">
    <w:abstractNumId w:val="32"/>
  </w:num>
  <w:num w:numId="26" w16cid:durableId="970358040">
    <w:abstractNumId w:val="29"/>
  </w:num>
  <w:num w:numId="27" w16cid:durableId="457919896">
    <w:abstractNumId w:val="10"/>
  </w:num>
  <w:num w:numId="28" w16cid:durableId="628051851">
    <w:abstractNumId w:val="24"/>
  </w:num>
  <w:num w:numId="29" w16cid:durableId="1678193691">
    <w:abstractNumId w:val="21"/>
  </w:num>
  <w:num w:numId="30" w16cid:durableId="1485005943">
    <w:abstractNumId w:val="31"/>
  </w:num>
  <w:num w:numId="31" w16cid:durableId="1630477579">
    <w:abstractNumId w:val="27"/>
  </w:num>
  <w:num w:numId="32" w16cid:durableId="505286049">
    <w:abstractNumId w:val="11"/>
  </w:num>
  <w:num w:numId="33" w16cid:durableId="933974431">
    <w:abstractNumId w:val="33"/>
  </w:num>
  <w:num w:numId="34" w16cid:durableId="1076321673">
    <w:abstractNumId w:val="12"/>
  </w:num>
  <w:num w:numId="35" w16cid:durableId="12294623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E54"/>
    <w:rsid w:val="000027C0"/>
    <w:rsid w:val="000052FB"/>
    <w:rsid w:val="000053AE"/>
    <w:rsid w:val="00005A19"/>
    <w:rsid w:val="000117CB"/>
    <w:rsid w:val="0001199E"/>
    <w:rsid w:val="000127CC"/>
    <w:rsid w:val="00016690"/>
    <w:rsid w:val="00020057"/>
    <w:rsid w:val="00020256"/>
    <w:rsid w:val="00025029"/>
    <w:rsid w:val="00026110"/>
    <w:rsid w:val="00031327"/>
    <w:rsid w:val="0003148D"/>
    <w:rsid w:val="00031EEC"/>
    <w:rsid w:val="000404DE"/>
    <w:rsid w:val="000434EB"/>
    <w:rsid w:val="00051566"/>
    <w:rsid w:val="00051E68"/>
    <w:rsid w:val="0005240B"/>
    <w:rsid w:val="00054183"/>
    <w:rsid w:val="000562A9"/>
    <w:rsid w:val="000605E0"/>
    <w:rsid w:val="00062A9A"/>
    <w:rsid w:val="000637B0"/>
    <w:rsid w:val="00064894"/>
    <w:rsid w:val="00065058"/>
    <w:rsid w:val="00067795"/>
    <w:rsid w:val="000745C3"/>
    <w:rsid w:val="00074FC3"/>
    <w:rsid w:val="00081EEA"/>
    <w:rsid w:val="0008520D"/>
    <w:rsid w:val="00086C39"/>
    <w:rsid w:val="00092FFD"/>
    <w:rsid w:val="00094E42"/>
    <w:rsid w:val="00094F34"/>
    <w:rsid w:val="0009500B"/>
    <w:rsid w:val="00095B62"/>
    <w:rsid w:val="000975F3"/>
    <w:rsid w:val="000A03B2"/>
    <w:rsid w:val="000A2488"/>
    <w:rsid w:val="000A5C4F"/>
    <w:rsid w:val="000A5E8C"/>
    <w:rsid w:val="000B2657"/>
    <w:rsid w:val="000C0A2C"/>
    <w:rsid w:val="000C74DF"/>
    <w:rsid w:val="000C7C50"/>
    <w:rsid w:val="000D0268"/>
    <w:rsid w:val="000D1CA6"/>
    <w:rsid w:val="000D26F6"/>
    <w:rsid w:val="000D34BE"/>
    <w:rsid w:val="000D4AD9"/>
    <w:rsid w:val="000D6191"/>
    <w:rsid w:val="000D6A6B"/>
    <w:rsid w:val="000D7348"/>
    <w:rsid w:val="000E0B3C"/>
    <w:rsid w:val="000E102F"/>
    <w:rsid w:val="000E36F1"/>
    <w:rsid w:val="000E3A73"/>
    <w:rsid w:val="000E414A"/>
    <w:rsid w:val="000E75FD"/>
    <w:rsid w:val="000F0827"/>
    <w:rsid w:val="000F093C"/>
    <w:rsid w:val="000F436C"/>
    <w:rsid w:val="000F49CD"/>
    <w:rsid w:val="000F54A5"/>
    <w:rsid w:val="000F582D"/>
    <w:rsid w:val="000F787B"/>
    <w:rsid w:val="001007F9"/>
    <w:rsid w:val="00102DBE"/>
    <w:rsid w:val="001031D9"/>
    <w:rsid w:val="00104B42"/>
    <w:rsid w:val="0011029A"/>
    <w:rsid w:val="0011154F"/>
    <w:rsid w:val="0011219C"/>
    <w:rsid w:val="00113E8A"/>
    <w:rsid w:val="00114547"/>
    <w:rsid w:val="00116CB6"/>
    <w:rsid w:val="0012091F"/>
    <w:rsid w:val="00122B21"/>
    <w:rsid w:val="00126BC2"/>
    <w:rsid w:val="001308B6"/>
    <w:rsid w:val="00130CF7"/>
    <w:rsid w:val="0013121F"/>
    <w:rsid w:val="00131FE6"/>
    <w:rsid w:val="00132006"/>
    <w:rsid w:val="0013263F"/>
    <w:rsid w:val="001331DF"/>
    <w:rsid w:val="00133ADE"/>
    <w:rsid w:val="00134DE4"/>
    <w:rsid w:val="0014034D"/>
    <w:rsid w:val="00140FE3"/>
    <w:rsid w:val="001410A6"/>
    <w:rsid w:val="001417C5"/>
    <w:rsid w:val="00142DE9"/>
    <w:rsid w:val="001438CA"/>
    <w:rsid w:val="00144D16"/>
    <w:rsid w:val="00150E59"/>
    <w:rsid w:val="00152DE3"/>
    <w:rsid w:val="001536E4"/>
    <w:rsid w:val="0015415A"/>
    <w:rsid w:val="001550E8"/>
    <w:rsid w:val="001557DD"/>
    <w:rsid w:val="0015663F"/>
    <w:rsid w:val="00156663"/>
    <w:rsid w:val="001616A7"/>
    <w:rsid w:val="00164CF9"/>
    <w:rsid w:val="0016549C"/>
    <w:rsid w:val="001667A6"/>
    <w:rsid w:val="0016715C"/>
    <w:rsid w:val="00177842"/>
    <w:rsid w:val="00180165"/>
    <w:rsid w:val="0018171E"/>
    <w:rsid w:val="00182E53"/>
    <w:rsid w:val="00184AD6"/>
    <w:rsid w:val="00187AD3"/>
    <w:rsid w:val="00195566"/>
    <w:rsid w:val="001A0846"/>
    <w:rsid w:val="001A1A3E"/>
    <w:rsid w:val="001A4236"/>
    <w:rsid w:val="001A4AF7"/>
    <w:rsid w:val="001A4E08"/>
    <w:rsid w:val="001A5637"/>
    <w:rsid w:val="001B0349"/>
    <w:rsid w:val="001B1E93"/>
    <w:rsid w:val="001B2A3B"/>
    <w:rsid w:val="001B2C66"/>
    <w:rsid w:val="001B3AE8"/>
    <w:rsid w:val="001B65C1"/>
    <w:rsid w:val="001C260F"/>
    <w:rsid w:val="001C2D6E"/>
    <w:rsid w:val="001C2E31"/>
    <w:rsid w:val="001C5C3A"/>
    <w:rsid w:val="001C684B"/>
    <w:rsid w:val="001D0CFB"/>
    <w:rsid w:val="001D21AF"/>
    <w:rsid w:val="001D53FC"/>
    <w:rsid w:val="001E0D64"/>
    <w:rsid w:val="001E1C8D"/>
    <w:rsid w:val="001E1D45"/>
    <w:rsid w:val="001E49B9"/>
    <w:rsid w:val="001E66FD"/>
    <w:rsid w:val="001F19E6"/>
    <w:rsid w:val="001F42A5"/>
    <w:rsid w:val="001F724F"/>
    <w:rsid w:val="001F7959"/>
    <w:rsid w:val="001F7B9D"/>
    <w:rsid w:val="00201C93"/>
    <w:rsid w:val="002048B0"/>
    <w:rsid w:val="002062AD"/>
    <w:rsid w:val="00206DD7"/>
    <w:rsid w:val="00211C20"/>
    <w:rsid w:val="00212433"/>
    <w:rsid w:val="00213279"/>
    <w:rsid w:val="00213785"/>
    <w:rsid w:val="0021668D"/>
    <w:rsid w:val="00221F3A"/>
    <w:rsid w:val="00221FEF"/>
    <w:rsid w:val="002224B4"/>
    <w:rsid w:val="00222981"/>
    <w:rsid w:val="0022799A"/>
    <w:rsid w:val="002329C3"/>
    <w:rsid w:val="00237E56"/>
    <w:rsid w:val="0024156A"/>
    <w:rsid w:val="00242905"/>
    <w:rsid w:val="002447EF"/>
    <w:rsid w:val="00245044"/>
    <w:rsid w:val="0024697F"/>
    <w:rsid w:val="00251550"/>
    <w:rsid w:val="00252E2F"/>
    <w:rsid w:val="0025316A"/>
    <w:rsid w:val="00253526"/>
    <w:rsid w:val="00254327"/>
    <w:rsid w:val="00262F32"/>
    <w:rsid w:val="00263B05"/>
    <w:rsid w:val="002660FA"/>
    <w:rsid w:val="00266800"/>
    <w:rsid w:val="0027221A"/>
    <w:rsid w:val="00275B61"/>
    <w:rsid w:val="00277594"/>
    <w:rsid w:val="0027774D"/>
    <w:rsid w:val="00280155"/>
    <w:rsid w:val="00280E23"/>
    <w:rsid w:val="00280FAF"/>
    <w:rsid w:val="00282656"/>
    <w:rsid w:val="0028486A"/>
    <w:rsid w:val="002862F6"/>
    <w:rsid w:val="00295877"/>
    <w:rsid w:val="00296B83"/>
    <w:rsid w:val="00296E67"/>
    <w:rsid w:val="002971BC"/>
    <w:rsid w:val="002A389A"/>
    <w:rsid w:val="002A6177"/>
    <w:rsid w:val="002A7375"/>
    <w:rsid w:val="002B4015"/>
    <w:rsid w:val="002B4E12"/>
    <w:rsid w:val="002B74CE"/>
    <w:rsid w:val="002B78CE"/>
    <w:rsid w:val="002B79C7"/>
    <w:rsid w:val="002C2FB6"/>
    <w:rsid w:val="002C5AFD"/>
    <w:rsid w:val="002C652B"/>
    <w:rsid w:val="002D641D"/>
    <w:rsid w:val="002E1ABE"/>
    <w:rsid w:val="002E3687"/>
    <w:rsid w:val="002E3B18"/>
    <w:rsid w:val="002E52A8"/>
    <w:rsid w:val="002E5FA7"/>
    <w:rsid w:val="002E7CF3"/>
    <w:rsid w:val="002F198B"/>
    <w:rsid w:val="002F3309"/>
    <w:rsid w:val="003008CE"/>
    <w:rsid w:val="003009B7"/>
    <w:rsid w:val="00300E56"/>
    <w:rsid w:val="0030152C"/>
    <w:rsid w:val="0030469C"/>
    <w:rsid w:val="0031040B"/>
    <w:rsid w:val="0031143E"/>
    <w:rsid w:val="00311D31"/>
    <w:rsid w:val="00314202"/>
    <w:rsid w:val="003147F6"/>
    <w:rsid w:val="00320CAA"/>
    <w:rsid w:val="00321CA6"/>
    <w:rsid w:val="00323763"/>
    <w:rsid w:val="00323C5F"/>
    <w:rsid w:val="003240EB"/>
    <w:rsid w:val="0032457B"/>
    <w:rsid w:val="003278BC"/>
    <w:rsid w:val="0033305F"/>
    <w:rsid w:val="00333F3B"/>
    <w:rsid w:val="00334C09"/>
    <w:rsid w:val="00334D60"/>
    <w:rsid w:val="00334E86"/>
    <w:rsid w:val="00335D59"/>
    <w:rsid w:val="00335FA9"/>
    <w:rsid w:val="00336B0D"/>
    <w:rsid w:val="00336F92"/>
    <w:rsid w:val="003378BC"/>
    <w:rsid w:val="003410FD"/>
    <w:rsid w:val="00341CD7"/>
    <w:rsid w:val="003461D7"/>
    <w:rsid w:val="00350046"/>
    <w:rsid w:val="0035157B"/>
    <w:rsid w:val="00355C0F"/>
    <w:rsid w:val="003571FE"/>
    <w:rsid w:val="0036267A"/>
    <w:rsid w:val="00362EB8"/>
    <w:rsid w:val="00364346"/>
    <w:rsid w:val="003655CD"/>
    <w:rsid w:val="0036590A"/>
    <w:rsid w:val="003675C1"/>
    <w:rsid w:val="00371AF2"/>
    <w:rsid w:val="003723D4"/>
    <w:rsid w:val="00377DF8"/>
    <w:rsid w:val="0038129A"/>
    <w:rsid w:val="00381905"/>
    <w:rsid w:val="00384CC8"/>
    <w:rsid w:val="003864B0"/>
    <w:rsid w:val="003871FD"/>
    <w:rsid w:val="003904BC"/>
    <w:rsid w:val="00392567"/>
    <w:rsid w:val="00394721"/>
    <w:rsid w:val="00397746"/>
    <w:rsid w:val="003A149C"/>
    <w:rsid w:val="003A1E30"/>
    <w:rsid w:val="003A2829"/>
    <w:rsid w:val="003A2D7A"/>
    <w:rsid w:val="003A6233"/>
    <w:rsid w:val="003A7D1C"/>
    <w:rsid w:val="003B12FC"/>
    <w:rsid w:val="003B304B"/>
    <w:rsid w:val="003B3146"/>
    <w:rsid w:val="003B49CD"/>
    <w:rsid w:val="003B76AB"/>
    <w:rsid w:val="003C2B85"/>
    <w:rsid w:val="003D1E02"/>
    <w:rsid w:val="003D304F"/>
    <w:rsid w:val="003D7801"/>
    <w:rsid w:val="003E59EF"/>
    <w:rsid w:val="003F015E"/>
    <w:rsid w:val="003F2BBC"/>
    <w:rsid w:val="003F67DA"/>
    <w:rsid w:val="003F7863"/>
    <w:rsid w:val="00400414"/>
    <w:rsid w:val="00400C02"/>
    <w:rsid w:val="00401293"/>
    <w:rsid w:val="00404422"/>
    <w:rsid w:val="00405C4C"/>
    <w:rsid w:val="0041051E"/>
    <w:rsid w:val="0041118E"/>
    <w:rsid w:val="00411957"/>
    <w:rsid w:val="0041243C"/>
    <w:rsid w:val="0041446B"/>
    <w:rsid w:val="004205EE"/>
    <w:rsid w:val="00425D32"/>
    <w:rsid w:val="00427173"/>
    <w:rsid w:val="00436362"/>
    <w:rsid w:val="0044071E"/>
    <w:rsid w:val="0044329C"/>
    <w:rsid w:val="004450AE"/>
    <w:rsid w:val="0044532D"/>
    <w:rsid w:val="004463A3"/>
    <w:rsid w:val="00450D95"/>
    <w:rsid w:val="00452CB4"/>
    <w:rsid w:val="00453E24"/>
    <w:rsid w:val="00457456"/>
    <w:rsid w:val="0045768C"/>
    <w:rsid w:val="004577FE"/>
    <w:rsid w:val="00457B9C"/>
    <w:rsid w:val="00457E45"/>
    <w:rsid w:val="004605F0"/>
    <w:rsid w:val="0046164A"/>
    <w:rsid w:val="004628D2"/>
    <w:rsid w:val="00462DCD"/>
    <w:rsid w:val="004648AD"/>
    <w:rsid w:val="004703A9"/>
    <w:rsid w:val="00470446"/>
    <w:rsid w:val="004710E4"/>
    <w:rsid w:val="00473992"/>
    <w:rsid w:val="00474408"/>
    <w:rsid w:val="00475111"/>
    <w:rsid w:val="004760DE"/>
    <w:rsid w:val="004763C9"/>
    <w:rsid w:val="004763D7"/>
    <w:rsid w:val="004831DD"/>
    <w:rsid w:val="00485891"/>
    <w:rsid w:val="00496172"/>
    <w:rsid w:val="00497852"/>
    <w:rsid w:val="004979C0"/>
    <w:rsid w:val="004A004E"/>
    <w:rsid w:val="004A03F2"/>
    <w:rsid w:val="004A24CF"/>
    <w:rsid w:val="004A669B"/>
    <w:rsid w:val="004B00B0"/>
    <w:rsid w:val="004B160D"/>
    <w:rsid w:val="004B3095"/>
    <w:rsid w:val="004B4F85"/>
    <w:rsid w:val="004B56AB"/>
    <w:rsid w:val="004B7014"/>
    <w:rsid w:val="004C3D1D"/>
    <w:rsid w:val="004C3D84"/>
    <w:rsid w:val="004C4E11"/>
    <w:rsid w:val="004C7913"/>
    <w:rsid w:val="004D0110"/>
    <w:rsid w:val="004D2D60"/>
    <w:rsid w:val="004D3BC0"/>
    <w:rsid w:val="004D5159"/>
    <w:rsid w:val="004E02C6"/>
    <w:rsid w:val="004E0527"/>
    <w:rsid w:val="004E080F"/>
    <w:rsid w:val="004E3D38"/>
    <w:rsid w:val="004E4DD6"/>
    <w:rsid w:val="004F44B1"/>
    <w:rsid w:val="004F493F"/>
    <w:rsid w:val="004F55C9"/>
    <w:rsid w:val="004F5E36"/>
    <w:rsid w:val="005012DA"/>
    <w:rsid w:val="00501B94"/>
    <w:rsid w:val="00507B47"/>
    <w:rsid w:val="00507BEF"/>
    <w:rsid w:val="00507CC9"/>
    <w:rsid w:val="005105CA"/>
    <w:rsid w:val="005119A5"/>
    <w:rsid w:val="00511BB6"/>
    <w:rsid w:val="005125BB"/>
    <w:rsid w:val="0051303F"/>
    <w:rsid w:val="00513666"/>
    <w:rsid w:val="00521A11"/>
    <w:rsid w:val="00521B7F"/>
    <w:rsid w:val="00523AA5"/>
    <w:rsid w:val="005248DF"/>
    <w:rsid w:val="00525601"/>
    <w:rsid w:val="00525BB0"/>
    <w:rsid w:val="00526B39"/>
    <w:rsid w:val="005278B7"/>
    <w:rsid w:val="00531A91"/>
    <w:rsid w:val="00532016"/>
    <w:rsid w:val="005346C8"/>
    <w:rsid w:val="005424FC"/>
    <w:rsid w:val="005437CE"/>
    <w:rsid w:val="00543E7D"/>
    <w:rsid w:val="005451AF"/>
    <w:rsid w:val="00546D49"/>
    <w:rsid w:val="00547A68"/>
    <w:rsid w:val="005531C9"/>
    <w:rsid w:val="00554879"/>
    <w:rsid w:val="00565EFA"/>
    <w:rsid w:val="00567FE0"/>
    <w:rsid w:val="00570A1F"/>
    <w:rsid w:val="00570C19"/>
    <w:rsid w:val="00570C43"/>
    <w:rsid w:val="00571401"/>
    <w:rsid w:val="00576266"/>
    <w:rsid w:val="0058359A"/>
    <w:rsid w:val="00584D2B"/>
    <w:rsid w:val="00592274"/>
    <w:rsid w:val="00593CB4"/>
    <w:rsid w:val="005A23BF"/>
    <w:rsid w:val="005A2F02"/>
    <w:rsid w:val="005A60FA"/>
    <w:rsid w:val="005A7D2D"/>
    <w:rsid w:val="005B1DDB"/>
    <w:rsid w:val="005B2110"/>
    <w:rsid w:val="005B339A"/>
    <w:rsid w:val="005B350B"/>
    <w:rsid w:val="005B3FEF"/>
    <w:rsid w:val="005B61E6"/>
    <w:rsid w:val="005C2D64"/>
    <w:rsid w:val="005C77E1"/>
    <w:rsid w:val="005D3EE5"/>
    <w:rsid w:val="005D5B52"/>
    <w:rsid w:val="005D668A"/>
    <w:rsid w:val="005D6A2F"/>
    <w:rsid w:val="005D7BB7"/>
    <w:rsid w:val="005E0592"/>
    <w:rsid w:val="005E0A6F"/>
    <w:rsid w:val="005E1A82"/>
    <w:rsid w:val="005E5A64"/>
    <w:rsid w:val="005E794C"/>
    <w:rsid w:val="005F0A28"/>
    <w:rsid w:val="005F0E5E"/>
    <w:rsid w:val="005F28B6"/>
    <w:rsid w:val="005F2A27"/>
    <w:rsid w:val="005F5B96"/>
    <w:rsid w:val="005F79E8"/>
    <w:rsid w:val="00600535"/>
    <w:rsid w:val="0060183F"/>
    <w:rsid w:val="0060317B"/>
    <w:rsid w:val="00610CD6"/>
    <w:rsid w:val="00611450"/>
    <w:rsid w:val="006120B8"/>
    <w:rsid w:val="006130A6"/>
    <w:rsid w:val="0061579C"/>
    <w:rsid w:val="00616617"/>
    <w:rsid w:val="00617E01"/>
    <w:rsid w:val="00620352"/>
    <w:rsid w:val="00620DEE"/>
    <w:rsid w:val="00621809"/>
    <w:rsid w:val="00621F92"/>
    <w:rsid w:val="0062280A"/>
    <w:rsid w:val="006231E1"/>
    <w:rsid w:val="00625639"/>
    <w:rsid w:val="00631751"/>
    <w:rsid w:val="00631B33"/>
    <w:rsid w:val="00634BFE"/>
    <w:rsid w:val="006361DC"/>
    <w:rsid w:val="00636E43"/>
    <w:rsid w:val="00637458"/>
    <w:rsid w:val="00640018"/>
    <w:rsid w:val="0064184D"/>
    <w:rsid w:val="00641DC9"/>
    <w:rsid w:val="006422CC"/>
    <w:rsid w:val="00650881"/>
    <w:rsid w:val="00651D18"/>
    <w:rsid w:val="00652469"/>
    <w:rsid w:val="00652FBC"/>
    <w:rsid w:val="006554F8"/>
    <w:rsid w:val="006573BF"/>
    <w:rsid w:val="00660E3E"/>
    <w:rsid w:val="00662E74"/>
    <w:rsid w:val="0066434F"/>
    <w:rsid w:val="0066457F"/>
    <w:rsid w:val="00665881"/>
    <w:rsid w:val="00675824"/>
    <w:rsid w:val="00676D13"/>
    <w:rsid w:val="00677786"/>
    <w:rsid w:val="00680A52"/>
    <w:rsid w:val="00680B1D"/>
    <w:rsid w:val="00680C23"/>
    <w:rsid w:val="006810E5"/>
    <w:rsid w:val="006827F4"/>
    <w:rsid w:val="00683535"/>
    <w:rsid w:val="00683E23"/>
    <w:rsid w:val="00684DD4"/>
    <w:rsid w:val="0068575A"/>
    <w:rsid w:val="006912C2"/>
    <w:rsid w:val="00692063"/>
    <w:rsid w:val="00693766"/>
    <w:rsid w:val="0069565D"/>
    <w:rsid w:val="00695CAC"/>
    <w:rsid w:val="006969E8"/>
    <w:rsid w:val="006A3281"/>
    <w:rsid w:val="006A6DE5"/>
    <w:rsid w:val="006B09D4"/>
    <w:rsid w:val="006B1F9E"/>
    <w:rsid w:val="006B4888"/>
    <w:rsid w:val="006C1A41"/>
    <w:rsid w:val="006C1DAD"/>
    <w:rsid w:val="006C2BE4"/>
    <w:rsid w:val="006C2E45"/>
    <w:rsid w:val="006C359C"/>
    <w:rsid w:val="006C5579"/>
    <w:rsid w:val="006C723C"/>
    <w:rsid w:val="006C7FCF"/>
    <w:rsid w:val="006D0BAB"/>
    <w:rsid w:val="006D368E"/>
    <w:rsid w:val="006D5F52"/>
    <w:rsid w:val="006D6DB5"/>
    <w:rsid w:val="006D6E8B"/>
    <w:rsid w:val="006D7209"/>
    <w:rsid w:val="006D7ABA"/>
    <w:rsid w:val="006D7C79"/>
    <w:rsid w:val="006E0538"/>
    <w:rsid w:val="006E2805"/>
    <w:rsid w:val="006E53CF"/>
    <w:rsid w:val="006E58A9"/>
    <w:rsid w:val="006E729C"/>
    <w:rsid w:val="006E737D"/>
    <w:rsid w:val="006F7848"/>
    <w:rsid w:val="007056D5"/>
    <w:rsid w:val="00707916"/>
    <w:rsid w:val="00707DD1"/>
    <w:rsid w:val="007120FE"/>
    <w:rsid w:val="0071337B"/>
    <w:rsid w:val="00713973"/>
    <w:rsid w:val="00720A24"/>
    <w:rsid w:val="007245C0"/>
    <w:rsid w:val="00724FAF"/>
    <w:rsid w:val="00726617"/>
    <w:rsid w:val="00727D2C"/>
    <w:rsid w:val="00732386"/>
    <w:rsid w:val="00732B2E"/>
    <w:rsid w:val="0073514D"/>
    <w:rsid w:val="007370F9"/>
    <w:rsid w:val="007374A5"/>
    <w:rsid w:val="00742CF1"/>
    <w:rsid w:val="00742EDE"/>
    <w:rsid w:val="00744741"/>
    <w:rsid w:val="007447F3"/>
    <w:rsid w:val="00747694"/>
    <w:rsid w:val="0075036E"/>
    <w:rsid w:val="0075499F"/>
    <w:rsid w:val="00755F8B"/>
    <w:rsid w:val="007625A5"/>
    <w:rsid w:val="007661C8"/>
    <w:rsid w:val="00766D70"/>
    <w:rsid w:val="0077098D"/>
    <w:rsid w:val="00771EBC"/>
    <w:rsid w:val="00772132"/>
    <w:rsid w:val="007740F8"/>
    <w:rsid w:val="00776B76"/>
    <w:rsid w:val="00781082"/>
    <w:rsid w:val="007855F7"/>
    <w:rsid w:val="00785BF9"/>
    <w:rsid w:val="00786BDE"/>
    <w:rsid w:val="00791E07"/>
    <w:rsid w:val="007931FA"/>
    <w:rsid w:val="00794E24"/>
    <w:rsid w:val="00794F18"/>
    <w:rsid w:val="0079614C"/>
    <w:rsid w:val="007969D9"/>
    <w:rsid w:val="007A072C"/>
    <w:rsid w:val="007A4861"/>
    <w:rsid w:val="007A526B"/>
    <w:rsid w:val="007A5698"/>
    <w:rsid w:val="007A7738"/>
    <w:rsid w:val="007A7BBA"/>
    <w:rsid w:val="007B0C50"/>
    <w:rsid w:val="007B16C8"/>
    <w:rsid w:val="007B297C"/>
    <w:rsid w:val="007B48F9"/>
    <w:rsid w:val="007B4D8B"/>
    <w:rsid w:val="007C0884"/>
    <w:rsid w:val="007C1A43"/>
    <w:rsid w:val="007C3D34"/>
    <w:rsid w:val="007C5B0F"/>
    <w:rsid w:val="007D0951"/>
    <w:rsid w:val="007D4023"/>
    <w:rsid w:val="007D5B33"/>
    <w:rsid w:val="007D5DEE"/>
    <w:rsid w:val="007D610D"/>
    <w:rsid w:val="007D697D"/>
    <w:rsid w:val="007E1AA2"/>
    <w:rsid w:val="007E3856"/>
    <w:rsid w:val="007F43DE"/>
    <w:rsid w:val="007F5DC4"/>
    <w:rsid w:val="0080013E"/>
    <w:rsid w:val="00801759"/>
    <w:rsid w:val="00803570"/>
    <w:rsid w:val="00807E58"/>
    <w:rsid w:val="0081057D"/>
    <w:rsid w:val="00813288"/>
    <w:rsid w:val="0081448D"/>
    <w:rsid w:val="008159E9"/>
    <w:rsid w:val="00815B20"/>
    <w:rsid w:val="008168FC"/>
    <w:rsid w:val="00820B48"/>
    <w:rsid w:val="00821978"/>
    <w:rsid w:val="00822DC6"/>
    <w:rsid w:val="00824456"/>
    <w:rsid w:val="008256C1"/>
    <w:rsid w:val="00830996"/>
    <w:rsid w:val="008309ED"/>
    <w:rsid w:val="00831AC7"/>
    <w:rsid w:val="00831EDA"/>
    <w:rsid w:val="008345F1"/>
    <w:rsid w:val="008427D7"/>
    <w:rsid w:val="00843F74"/>
    <w:rsid w:val="008523D1"/>
    <w:rsid w:val="008527AD"/>
    <w:rsid w:val="008528DB"/>
    <w:rsid w:val="00853072"/>
    <w:rsid w:val="0086054A"/>
    <w:rsid w:val="00862284"/>
    <w:rsid w:val="008659C9"/>
    <w:rsid w:val="00865B07"/>
    <w:rsid w:val="00865C3A"/>
    <w:rsid w:val="008667EA"/>
    <w:rsid w:val="00867F24"/>
    <w:rsid w:val="00873C79"/>
    <w:rsid w:val="0087480B"/>
    <w:rsid w:val="0087637F"/>
    <w:rsid w:val="00876FCE"/>
    <w:rsid w:val="0088017F"/>
    <w:rsid w:val="0088145C"/>
    <w:rsid w:val="008824C3"/>
    <w:rsid w:val="008844D7"/>
    <w:rsid w:val="008868AB"/>
    <w:rsid w:val="00887BD1"/>
    <w:rsid w:val="00890960"/>
    <w:rsid w:val="00892AD5"/>
    <w:rsid w:val="0089482F"/>
    <w:rsid w:val="00894A9C"/>
    <w:rsid w:val="008A1512"/>
    <w:rsid w:val="008A4F94"/>
    <w:rsid w:val="008A6178"/>
    <w:rsid w:val="008B150F"/>
    <w:rsid w:val="008B16FC"/>
    <w:rsid w:val="008B203D"/>
    <w:rsid w:val="008C1F5A"/>
    <w:rsid w:val="008C34FE"/>
    <w:rsid w:val="008C378F"/>
    <w:rsid w:val="008C46E5"/>
    <w:rsid w:val="008C4C32"/>
    <w:rsid w:val="008C5760"/>
    <w:rsid w:val="008C7733"/>
    <w:rsid w:val="008C7EB9"/>
    <w:rsid w:val="008D25F8"/>
    <w:rsid w:val="008D2892"/>
    <w:rsid w:val="008D32B9"/>
    <w:rsid w:val="008D433B"/>
    <w:rsid w:val="008D4A16"/>
    <w:rsid w:val="008D5312"/>
    <w:rsid w:val="008E2A97"/>
    <w:rsid w:val="008E5401"/>
    <w:rsid w:val="008E55E9"/>
    <w:rsid w:val="008E566E"/>
    <w:rsid w:val="008E6F21"/>
    <w:rsid w:val="008F1CCB"/>
    <w:rsid w:val="008F33CE"/>
    <w:rsid w:val="0090107D"/>
    <w:rsid w:val="009013CC"/>
    <w:rsid w:val="0090161A"/>
    <w:rsid w:val="00901EB6"/>
    <w:rsid w:val="009041F8"/>
    <w:rsid w:val="00904C62"/>
    <w:rsid w:val="00904E8C"/>
    <w:rsid w:val="0090690E"/>
    <w:rsid w:val="00906DE3"/>
    <w:rsid w:val="00910A14"/>
    <w:rsid w:val="00914991"/>
    <w:rsid w:val="00916FB8"/>
    <w:rsid w:val="00920AA8"/>
    <w:rsid w:val="00920E5C"/>
    <w:rsid w:val="00922BA8"/>
    <w:rsid w:val="00924DAC"/>
    <w:rsid w:val="0092520A"/>
    <w:rsid w:val="00925624"/>
    <w:rsid w:val="00927058"/>
    <w:rsid w:val="00927AAE"/>
    <w:rsid w:val="009347D7"/>
    <w:rsid w:val="00935374"/>
    <w:rsid w:val="00936671"/>
    <w:rsid w:val="00942750"/>
    <w:rsid w:val="009450CE"/>
    <w:rsid w:val="009459BB"/>
    <w:rsid w:val="00947179"/>
    <w:rsid w:val="0095164B"/>
    <w:rsid w:val="00952F2E"/>
    <w:rsid w:val="00954090"/>
    <w:rsid w:val="009573E7"/>
    <w:rsid w:val="00963E05"/>
    <w:rsid w:val="00964A45"/>
    <w:rsid w:val="00967843"/>
    <w:rsid w:val="00967D54"/>
    <w:rsid w:val="00970CCF"/>
    <w:rsid w:val="00971028"/>
    <w:rsid w:val="00972184"/>
    <w:rsid w:val="00973B1C"/>
    <w:rsid w:val="009758CE"/>
    <w:rsid w:val="00977A98"/>
    <w:rsid w:val="00977CCC"/>
    <w:rsid w:val="00981FB7"/>
    <w:rsid w:val="009829D9"/>
    <w:rsid w:val="00992B96"/>
    <w:rsid w:val="00993958"/>
    <w:rsid w:val="00993B84"/>
    <w:rsid w:val="00993E07"/>
    <w:rsid w:val="00994C6A"/>
    <w:rsid w:val="00996483"/>
    <w:rsid w:val="00996F5A"/>
    <w:rsid w:val="00997AE9"/>
    <w:rsid w:val="009A56C8"/>
    <w:rsid w:val="009A594D"/>
    <w:rsid w:val="009A6B31"/>
    <w:rsid w:val="009B041A"/>
    <w:rsid w:val="009B1102"/>
    <w:rsid w:val="009B1FF5"/>
    <w:rsid w:val="009B2698"/>
    <w:rsid w:val="009B565E"/>
    <w:rsid w:val="009B69DF"/>
    <w:rsid w:val="009C1B73"/>
    <w:rsid w:val="009C37C3"/>
    <w:rsid w:val="009C7C86"/>
    <w:rsid w:val="009D17AD"/>
    <w:rsid w:val="009D2FF7"/>
    <w:rsid w:val="009D7A83"/>
    <w:rsid w:val="009D7E9B"/>
    <w:rsid w:val="009E2741"/>
    <w:rsid w:val="009E4022"/>
    <w:rsid w:val="009E7884"/>
    <w:rsid w:val="009E788A"/>
    <w:rsid w:val="009F0E08"/>
    <w:rsid w:val="009F2BF0"/>
    <w:rsid w:val="009F33EA"/>
    <w:rsid w:val="009F45FA"/>
    <w:rsid w:val="009F50D3"/>
    <w:rsid w:val="009F7C58"/>
    <w:rsid w:val="009F7FA0"/>
    <w:rsid w:val="00A01571"/>
    <w:rsid w:val="00A01F55"/>
    <w:rsid w:val="00A0613B"/>
    <w:rsid w:val="00A079AE"/>
    <w:rsid w:val="00A10A9F"/>
    <w:rsid w:val="00A117FC"/>
    <w:rsid w:val="00A1292C"/>
    <w:rsid w:val="00A1381E"/>
    <w:rsid w:val="00A138EE"/>
    <w:rsid w:val="00A14870"/>
    <w:rsid w:val="00A1706E"/>
    <w:rsid w:val="00A1763D"/>
    <w:rsid w:val="00A17CEC"/>
    <w:rsid w:val="00A20232"/>
    <w:rsid w:val="00A20736"/>
    <w:rsid w:val="00A22163"/>
    <w:rsid w:val="00A26575"/>
    <w:rsid w:val="00A27204"/>
    <w:rsid w:val="00A27EF0"/>
    <w:rsid w:val="00A361DA"/>
    <w:rsid w:val="00A40396"/>
    <w:rsid w:val="00A42361"/>
    <w:rsid w:val="00A46B97"/>
    <w:rsid w:val="00A50B20"/>
    <w:rsid w:val="00A51390"/>
    <w:rsid w:val="00A5382B"/>
    <w:rsid w:val="00A53A97"/>
    <w:rsid w:val="00A5666A"/>
    <w:rsid w:val="00A57021"/>
    <w:rsid w:val="00A577F1"/>
    <w:rsid w:val="00A60D13"/>
    <w:rsid w:val="00A62C21"/>
    <w:rsid w:val="00A62EC6"/>
    <w:rsid w:val="00A65E05"/>
    <w:rsid w:val="00A65E87"/>
    <w:rsid w:val="00A7223D"/>
    <w:rsid w:val="00A72745"/>
    <w:rsid w:val="00A76EFC"/>
    <w:rsid w:val="00A8032B"/>
    <w:rsid w:val="00A81D18"/>
    <w:rsid w:val="00A84DF0"/>
    <w:rsid w:val="00A84FB9"/>
    <w:rsid w:val="00A87D50"/>
    <w:rsid w:val="00A91010"/>
    <w:rsid w:val="00A91123"/>
    <w:rsid w:val="00A939E4"/>
    <w:rsid w:val="00A940AE"/>
    <w:rsid w:val="00A94415"/>
    <w:rsid w:val="00A97F29"/>
    <w:rsid w:val="00AA3301"/>
    <w:rsid w:val="00AA5871"/>
    <w:rsid w:val="00AA702E"/>
    <w:rsid w:val="00AA7D26"/>
    <w:rsid w:val="00AB0964"/>
    <w:rsid w:val="00AB3F7E"/>
    <w:rsid w:val="00AB4F37"/>
    <w:rsid w:val="00AB5011"/>
    <w:rsid w:val="00AC006F"/>
    <w:rsid w:val="00AC2690"/>
    <w:rsid w:val="00AC5462"/>
    <w:rsid w:val="00AC7368"/>
    <w:rsid w:val="00AD16B9"/>
    <w:rsid w:val="00AD5137"/>
    <w:rsid w:val="00AD51AC"/>
    <w:rsid w:val="00AD6FB6"/>
    <w:rsid w:val="00AD7ED8"/>
    <w:rsid w:val="00AE2839"/>
    <w:rsid w:val="00AE377D"/>
    <w:rsid w:val="00AE7E18"/>
    <w:rsid w:val="00AF040C"/>
    <w:rsid w:val="00AF0EBA"/>
    <w:rsid w:val="00AF2463"/>
    <w:rsid w:val="00AF4DED"/>
    <w:rsid w:val="00AF71D5"/>
    <w:rsid w:val="00B013D1"/>
    <w:rsid w:val="00B01A46"/>
    <w:rsid w:val="00B0280A"/>
    <w:rsid w:val="00B02C8A"/>
    <w:rsid w:val="00B101C7"/>
    <w:rsid w:val="00B11871"/>
    <w:rsid w:val="00B13B79"/>
    <w:rsid w:val="00B14F58"/>
    <w:rsid w:val="00B17FBD"/>
    <w:rsid w:val="00B20017"/>
    <w:rsid w:val="00B20C5A"/>
    <w:rsid w:val="00B2187C"/>
    <w:rsid w:val="00B315A6"/>
    <w:rsid w:val="00B31813"/>
    <w:rsid w:val="00B33365"/>
    <w:rsid w:val="00B363FC"/>
    <w:rsid w:val="00B373AE"/>
    <w:rsid w:val="00B4503D"/>
    <w:rsid w:val="00B457D6"/>
    <w:rsid w:val="00B52EF2"/>
    <w:rsid w:val="00B57B36"/>
    <w:rsid w:val="00B57E6F"/>
    <w:rsid w:val="00B64167"/>
    <w:rsid w:val="00B66D78"/>
    <w:rsid w:val="00B755DA"/>
    <w:rsid w:val="00B82DBB"/>
    <w:rsid w:val="00B8686D"/>
    <w:rsid w:val="00B879F2"/>
    <w:rsid w:val="00B918DB"/>
    <w:rsid w:val="00B93F69"/>
    <w:rsid w:val="00B95DF2"/>
    <w:rsid w:val="00B97693"/>
    <w:rsid w:val="00BA06E9"/>
    <w:rsid w:val="00BA59BB"/>
    <w:rsid w:val="00BA5BE6"/>
    <w:rsid w:val="00BA6347"/>
    <w:rsid w:val="00BB04DD"/>
    <w:rsid w:val="00BB1DDC"/>
    <w:rsid w:val="00BB4534"/>
    <w:rsid w:val="00BB7020"/>
    <w:rsid w:val="00BB72D0"/>
    <w:rsid w:val="00BC30C9"/>
    <w:rsid w:val="00BC3613"/>
    <w:rsid w:val="00BC4F54"/>
    <w:rsid w:val="00BC7FF9"/>
    <w:rsid w:val="00BD077D"/>
    <w:rsid w:val="00BD0844"/>
    <w:rsid w:val="00BD1143"/>
    <w:rsid w:val="00BD41D9"/>
    <w:rsid w:val="00BD56F5"/>
    <w:rsid w:val="00BD6A43"/>
    <w:rsid w:val="00BE3E58"/>
    <w:rsid w:val="00BE6116"/>
    <w:rsid w:val="00BE7C9F"/>
    <w:rsid w:val="00BE7D9A"/>
    <w:rsid w:val="00BF13CE"/>
    <w:rsid w:val="00BF37ED"/>
    <w:rsid w:val="00BF54CB"/>
    <w:rsid w:val="00BF7A06"/>
    <w:rsid w:val="00C01616"/>
    <w:rsid w:val="00C0162B"/>
    <w:rsid w:val="00C019DE"/>
    <w:rsid w:val="00C068ED"/>
    <w:rsid w:val="00C07207"/>
    <w:rsid w:val="00C07C77"/>
    <w:rsid w:val="00C118E5"/>
    <w:rsid w:val="00C12B5F"/>
    <w:rsid w:val="00C132E1"/>
    <w:rsid w:val="00C13DC2"/>
    <w:rsid w:val="00C140BB"/>
    <w:rsid w:val="00C15770"/>
    <w:rsid w:val="00C17036"/>
    <w:rsid w:val="00C20A87"/>
    <w:rsid w:val="00C2260A"/>
    <w:rsid w:val="00C22E0C"/>
    <w:rsid w:val="00C239F1"/>
    <w:rsid w:val="00C249ED"/>
    <w:rsid w:val="00C255FF"/>
    <w:rsid w:val="00C345B1"/>
    <w:rsid w:val="00C35E05"/>
    <w:rsid w:val="00C40142"/>
    <w:rsid w:val="00C47C6B"/>
    <w:rsid w:val="00C52C3C"/>
    <w:rsid w:val="00C531DC"/>
    <w:rsid w:val="00C5575B"/>
    <w:rsid w:val="00C56DB6"/>
    <w:rsid w:val="00C57182"/>
    <w:rsid w:val="00C57863"/>
    <w:rsid w:val="00C60245"/>
    <w:rsid w:val="00C61733"/>
    <w:rsid w:val="00C640AF"/>
    <w:rsid w:val="00C655FD"/>
    <w:rsid w:val="00C657B2"/>
    <w:rsid w:val="00C661F8"/>
    <w:rsid w:val="00C71C55"/>
    <w:rsid w:val="00C732E1"/>
    <w:rsid w:val="00C745B6"/>
    <w:rsid w:val="00C75407"/>
    <w:rsid w:val="00C811AC"/>
    <w:rsid w:val="00C8246F"/>
    <w:rsid w:val="00C82F22"/>
    <w:rsid w:val="00C837AD"/>
    <w:rsid w:val="00C841C6"/>
    <w:rsid w:val="00C84659"/>
    <w:rsid w:val="00C85F25"/>
    <w:rsid w:val="00C870A8"/>
    <w:rsid w:val="00C9197E"/>
    <w:rsid w:val="00C94434"/>
    <w:rsid w:val="00C95E63"/>
    <w:rsid w:val="00CA0D75"/>
    <w:rsid w:val="00CA1C95"/>
    <w:rsid w:val="00CA3796"/>
    <w:rsid w:val="00CA4C6A"/>
    <w:rsid w:val="00CA5A9C"/>
    <w:rsid w:val="00CB264C"/>
    <w:rsid w:val="00CB4103"/>
    <w:rsid w:val="00CB5287"/>
    <w:rsid w:val="00CB6492"/>
    <w:rsid w:val="00CC3694"/>
    <w:rsid w:val="00CC4C20"/>
    <w:rsid w:val="00CD1C29"/>
    <w:rsid w:val="00CD2D4C"/>
    <w:rsid w:val="00CD3517"/>
    <w:rsid w:val="00CD436B"/>
    <w:rsid w:val="00CD5FE2"/>
    <w:rsid w:val="00CD7B3F"/>
    <w:rsid w:val="00CE34E1"/>
    <w:rsid w:val="00CE3B06"/>
    <w:rsid w:val="00CE3BC1"/>
    <w:rsid w:val="00CE6B85"/>
    <w:rsid w:val="00CE78EE"/>
    <w:rsid w:val="00CE7C68"/>
    <w:rsid w:val="00CF306F"/>
    <w:rsid w:val="00CF5BC4"/>
    <w:rsid w:val="00CF7689"/>
    <w:rsid w:val="00CF780B"/>
    <w:rsid w:val="00D00DC8"/>
    <w:rsid w:val="00D02B4C"/>
    <w:rsid w:val="00D02C36"/>
    <w:rsid w:val="00D040C4"/>
    <w:rsid w:val="00D04656"/>
    <w:rsid w:val="00D12045"/>
    <w:rsid w:val="00D1380E"/>
    <w:rsid w:val="00D20AD1"/>
    <w:rsid w:val="00D2237F"/>
    <w:rsid w:val="00D24A70"/>
    <w:rsid w:val="00D25343"/>
    <w:rsid w:val="00D2582C"/>
    <w:rsid w:val="00D300FD"/>
    <w:rsid w:val="00D31C45"/>
    <w:rsid w:val="00D33884"/>
    <w:rsid w:val="00D342EB"/>
    <w:rsid w:val="00D353B5"/>
    <w:rsid w:val="00D40052"/>
    <w:rsid w:val="00D4303E"/>
    <w:rsid w:val="00D444A3"/>
    <w:rsid w:val="00D44BF5"/>
    <w:rsid w:val="00D46B7E"/>
    <w:rsid w:val="00D55216"/>
    <w:rsid w:val="00D57C84"/>
    <w:rsid w:val="00D6057D"/>
    <w:rsid w:val="00D61E54"/>
    <w:rsid w:val="00D61E63"/>
    <w:rsid w:val="00D65A79"/>
    <w:rsid w:val="00D71640"/>
    <w:rsid w:val="00D722A8"/>
    <w:rsid w:val="00D734F2"/>
    <w:rsid w:val="00D75976"/>
    <w:rsid w:val="00D812F6"/>
    <w:rsid w:val="00D81883"/>
    <w:rsid w:val="00D82AA6"/>
    <w:rsid w:val="00D836C5"/>
    <w:rsid w:val="00D840CE"/>
    <w:rsid w:val="00D843AD"/>
    <w:rsid w:val="00D84576"/>
    <w:rsid w:val="00D84F99"/>
    <w:rsid w:val="00D85560"/>
    <w:rsid w:val="00D903C4"/>
    <w:rsid w:val="00D91A6A"/>
    <w:rsid w:val="00D920E3"/>
    <w:rsid w:val="00D92D28"/>
    <w:rsid w:val="00D92FD5"/>
    <w:rsid w:val="00D93E3F"/>
    <w:rsid w:val="00D95C04"/>
    <w:rsid w:val="00D96460"/>
    <w:rsid w:val="00D974A6"/>
    <w:rsid w:val="00DA1285"/>
    <w:rsid w:val="00DA1399"/>
    <w:rsid w:val="00DA24C6"/>
    <w:rsid w:val="00DA3AE7"/>
    <w:rsid w:val="00DA4D7B"/>
    <w:rsid w:val="00DA6299"/>
    <w:rsid w:val="00DB1A06"/>
    <w:rsid w:val="00DB280D"/>
    <w:rsid w:val="00DB592E"/>
    <w:rsid w:val="00DC191D"/>
    <w:rsid w:val="00DC26B1"/>
    <w:rsid w:val="00DC2840"/>
    <w:rsid w:val="00DC5026"/>
    <w:rsid w:val="00DC5C74"/>
    <w:rsid w:val="00DC655E"/>
    <w:rsid w:val="00DC69EC"/>
    <w:rsid w:val="00DC73EE"/>
    <w:rsid w:val="00DC78CC"/>
    <w:rsid w:val="00DD271C"/>
    <w:rsid w:val="00DD3D0D"/>
    <w:rsid w:val="00DD4E68"/>
    <w:rsid w:val="00DD5685"/>
    <w:rsid w:val="00DD70CE"/>
    <w:rsid w:val="00DE264A"/>
    <w:rsid w:val="00DF08A6"/>
    <w:rsid w:val="00DF311A"/>
    <w:rsid w:val="00DF5072"/>
    <w:rsid w:val="00E02D18"/>
    <w:rsid w:val="00E041E7"/>
    <w:rsid w:val="00E04E9A"/>
    <w:rsid w:val="00E055F4"/>
    <w:rsid w:val="00E05EFE"/>
    <w:rsid w:val="00E11C0F"/>
    <w:rsid w:val="00E145AA"/>
    <w:rsid w:val="00E21C3B"/>
    <w:rsid w:val="00E23CA1"/>
    <w:rsid w:val="00E33D73"/>
    <w:rsid w:val="00E34AE3"/>
    <w:rsid w:val="00E409A8"/>
    <w:rsid w:val="00E40AC1"/>
    <w:rsid w:val="00E41FEA"/>
    <w:rsid w:val="00E42D4F"/>
    <w:rsid w:val="00E452FB"/>
    <w:rsid w:val="00E45D7C"/>
    <w:rsid w:val="00E47791"/>
    <w:rsid w:val="00E50C12"/>
    <w:rsid w:val="00E53F7A"/>
    <w:rsid w:val="00E55F48"/>
    <w:rsid w:val="00E570AB"/>
    <w:rsid w:val="00E57BA8"/>
    <w:rsid w:val="00E60FD7"/>
    <w:rsid w:val="00E613DA"/>
    <w:rsid w:val="00E6221D"/>
    <w:rsid w:val="00E6225A"/>
    <w:rsid w:val="00E633A8"/>
    <w:rsid w:val="00E64405"/>
    <w:rsid w:val="00E64482"/>
    <w:rsid w:val="00E65577"/>
    <w:rsid w:val="00E65B91"/>
    <w:rsid w:val="00E70ED6"/>
    <w:rsid w:val="00E7209D"/>
    <w:rsid w:val="00E72EAD"/>
    <w:rsid w:val="00E765DF"/>
    <w:rsid w:val="00E76EEA"/>
    <w:rsid w:val="00E77223"/>
    <w:rsid w:val="00E8042C"/>
    <w:rsid w:val="00E82817"/>
    <w:rsid w:val="00E8334D"/>
    <w:rsid w:val="00E83921"/>
    <w:rsid w:val="00E84F58"/>
    <w:rsid w:val="00E8528B"/>
    <w:rsid w:val="00E85B94"/>
    <w:rsid w:val="00E85CA4"/>
    <w:rsid w:val="00E869B8"/>
    <w:rsid w:val="00E93434"/>
    <w:rsid w:val="00E978D0"/>
    <w:rsid w:val="00EA21EC"/>
    <w:rsid w:val="00EA3760"/>
    <w:rsid w:val="00EA4613"/>
    <w:rsid w:val="00EA4B40"/>
    <w:rsid w:val="00EA7F91"/>
    <w:rsid w:val="00EB1523"/>
    <w:rsid w:val="00EB175A"/>
    <w:rsid w:val="00EB220F"/>
    <w:rsid w:val="00EC0E49"/>
    <w:rsid w:val="00EC101F"/>
    <w:rsid w:val="00EC178B"/>
    <w:rsid w:val="00EC1D9F"/>
    <w:rsid w:val="00EC3D0C"/>
    <w:rsid w:val="00EC4DC5"/>
    <w:rsid w:val="00EC688E"/>
    <w:rsid w:val="00EC7B2B"/>
    <w:rsid w:val="00ED5632"/>
    <w:rsid w:val="00ED7355"/>
    <w:rsid w:val="00EE0131"/>
    <w:rsid w:val="00EE17B0"/>
    <w:rsid w:val="00EE17C5"/>
    <w:rsid w:val="00EE4F1C"/>
    <w:rsid w:val="00EE7505"/>
    <w:rsid w:val="00EF06D9"/>
    <w:rsid w:val="00EF120F"/>
    <w:rsid w:val="00EF1513"/>
    <w:rsid w:val="00EF1ADD"/>
    <w:rsid w:val="00EF24AB"/>
    <w:rsid w:val="00EF27DA"/>
    <w:rsid w:val="00EF2A8E"/>
    <w:rsid w:val="00EF637D"/>
    <w:rsid w:val="00EF6BC6"/>
    <w:rsid w:val="00F00261"/>
    <w:rsid w:val="00F017DE"/>
    <w:rsid w:val="00F01A0A"/>
    <w:rsid w:val="00F01E4C"/>
    <w:rsid w:val="00F16F0E"/>
    <w:rsid w:val="00F178B2"/>
    <w:rsid w:val="00F206D1"/>
    <w:rsid w:val="00F2071C"/>
    <w:rsid w:val="00F23BB1"/>
    <w:rsid w:val="00F23C8F"/>
    <w:rsid w:val="00F27EE4"/>
    <w:rsid w:val="00F3049E"/>
    <w:rsid w:val="00F30C64"/>
    <w:rsid w:val="00F32BA2"/>
    <w:rsid w:val="00F32CDB"/>
    <w:rsid w:val="00F330F5"/>
    <w:rsid w:val="00F4179A"/>
    <w:rsid w:val="00F41EE4"/>
    <w:rsid w:val="00F4243F"/>
    <w:rsid w:val="00F43814"/>
    <w:rsid w:val="00F51249"/>
    <w:rsid w:val="00F51DE3"/>
    <w:rsid w:val="00F565FE"/>
    <w:rsid w:val="00F61303"/>
    <w:rsid w:val="00F63A70"/>
    <w:rsid w:val="00F63D8C"/>
    <w:rsid w:val="00F658C8"/>
    <w:rsid w:val="00F74909"/>
    <w:rsid w:val="00F751FB"/>
    <w:rsid w:val="00F7534E"/>
    <w:rsid w:val="00F762EA"/>
    <w:rsid w:val="00F762FD"/>
    <w:rsid w:val="00F86F71"/>
    <w:rsid w:val="00F93EDF"/>
    <w:rsid w:val="00F97922"/>
    <w:rsid w:val="00FA0501"/>
    <w:rsid w:val="00FA0960"/>
    <w:rsid w:val="00FA1802"/>
    <w:rsid w:val="00FA21D0"/>
    <w:rsid w:val="00FA5F5F"/>
    <w:rsid w:val="00FA612C"/>
    <w:rsid w:val="00FA6D17"/>
    <w:rsid w:val="00FB6721"/>
    <w:rsid w:val="00FB730C"/>
    <w:rsid w:val="00FB73E7"/>
    <w:rsid w:val="00FB7B5F"/>
    <w:rsid w:val="00FC2651"/>
    <w:rsid w:val="00FC2695"/>
    <w:rsid w:val="00FC3E03"/>
    <w:rsid w:val="00FC3FC1"/>
    <w:rsid w:val="00FC49A0"/>
    <w:rsid w:val="00FC60E6"/>
    <w:rsid w:val="00FC6D2F"/>
    <w:rsid w:val="00FD496F"/>
    <w:rsid w:val="00FD512B"/>
    <w:rsid w:val="00FD78EA"/>
    <w:rsid w:val="00FE7753"/>
    <w:rsid w:val="00FE79B3"/>
    <w:rsid w:val="00FF25C3"/>
    <w:rsid w:val="00FF3000"/>
    <w:rsid w:val="00FF4998"/>
    <w:rsid w:val="00FF4E60"/>
    <w:rsid w:val="00FF54D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Enfasigrassetto">
    <w:name w:val="Strong"/>
    <w:basedOn w:val="Carpredefinitoparagrafo"/>
    <w:uiPriority w:val="22"/>
    <w:qFormat/>
    <w:rsid w:val="00AC006F"/>
    <w:rPr>
      <w:b/>
      <w:bCs/>
    </w:rPr>
  </w:style>
  <w:style w:type="table" w:customStyle="1" w:styleId="Tabellasemplice-21">
    <w:name w:val="Tabella semplice - 21"/>
    <w:basedOn w:val="Tabellanormale"/>
    <w:uiPriority w:val="42"/>
    <w:rsid w:val="006956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457">
      <w:bodyDiv w:val="1"/>
      <w:marLeft w:val="0"/>
      <w:marRight w:val="0"/>
      <w:marTop w:val="0"/>
      <w:marBottom w:val="0"/>
      <w:divBdr>
        <w:top w:val="none" w:sz="0" w:space="0" w:color="auto"/>
        <w:left w:val="none" w:sz="0" w:space="0" w:color="auto"/>
        <w:bottom w:val="none" w:sz="0" w:space="0" w:color="auto"/>
        <w:right w:val="none" w:sz="0" w:space="0" w:color="auto"/>
      </w:divBdr>
      <w:divsChild>
        <w:div w:id="1377468320">
          <w:marLeft w:val="0"/>
          <w:marRight w:val="0"/>
          <w:marTop w:val="0"/>
          <w:marBottom w:val="0"/>
          <w:divBdr>
            <w:top w:val="none" w:sz="0" w:space="0" w:color="auto"/>
            <w:left w:val="none" w:sz="0" w:space="0" w:color="auto"/>
            <w:bottom w:val="none" w:sz="0" w:space="0" w:color="auto"/>
            <w:right w:val="none" w:sz="0" w:space="0" w:color="auto"/>
          </w:divBdr>
          <w:divsChild>
            <w:div w:id="1961569639">
              <w:marLeft w:val="0"/>
              <w:marRight w:val="0"/>
              <w:marTop w:val="0"/>
              <w:marBottom w:val="0"/>
              <w:divBdr>
                <w:top w:val="none" w:sz="0" w:space="0" w:color="auto"/>
                <w:left w:val="none" w:sz="0" w:space="0" w:color="auto"/>
                <w:bottom w:val="none" w:sz="0" w:space="0" w:color="auto"/>
                <w:right w:val="none" w:sz="0" w:space="0" w:color="auto"/>
              </w:divBdr>
              <w:divsChild>
                <w:div w:id="962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4708159">
      <w:bodyDiv w:val="1"/>
      <w:marLeft w:val="0"/>
      <w:marRight w:val="0"/>
      <w:marTop w:val="0"/>
      <w:marBottom w:val="0"/>
      <w:divBdr>
        <w:top w:val="none" w:sz="0" w:space="0" w:color="auto"/>
        <w:left w:val="none" w:sz="0" w:space="0" w:color="auto"/>
        <w:bottom w:val="none" w:sz="0" w:space="0" w:color="auto"/>
        <w:right w:val="none" w:sz="0" w:space="0" w:color="auto"/>
      </w:divBdr>
      <w:divsChild>
        <w:div w:id="1735617312">
          <w:marLeft w:val="0"/>
          <w:marRight w:val="0"/>
          <w:marTop w:val="0"/>
          <w:marBottom w:val="0"/>
          <w:divBdr>
            <w:top w:val="none" w:sz="0" w:space="0" w:color="auto"/>
            <w:left w:val="none" w:sz="0" w:space="0" w:color="auto"/>
            <w:bottom w:val="none" w:sz="0" w:space="0" w:color="auto"/>
            <w:right w:val="none" w:sz="0" w:space="0" w:color="auto"/>
          </w:divBdr>
          <w:divsChild>
            <w:div w:id="714084207">
              <w:marLeft w:val="0"/>
              <w:marRight w:val="0"/>
              <w:marTop w:val="0"/>
              <w:marBottom w:val="0"/>
              <w:divBdr>
                <w:top w:val="none" w:sz="0" w:space="0" w:color="auto"/>
                <w:left w:val="none" w:sz="0" w:space="0" w:color="auto"/>
                <w:bottom w:val="none" w:sz="0" w:space="0" w:color="auto"/>
                <w:right w:val="none" w:sz="0" w:space="0" w:color="auto"/>
              </w:divBdr>
            </w:div>
            <w:div w:id="416752023">
              <w:marLeft w:val="0"/>
              <w:marRight w:val="0"/>
              <w:marTop w:val="0"/>
              <w:marBottom w:val="0"/>
              <w:divBdr>
                <w:top w:val="none" w:sz="0" w:space="0" w:color="auto"/>
                <w:left w:val="none" w:sz="0" w:space="0" w:color="auto"/>
                <w:bottom w:val="none" w:sz="0" w:space="0" w:color="auto"/>
                <w:right w:val="none" w:sz="0" w:space="0" w:color="auto"/>
              </w:divBdr>
            </w:div>
            <w:div w:id="617102073">
              <w:marLeft w:val="0"/>
              <w:marRight w:val="0"/>
              <w:marTop w:val="0"/>
              <w:marBottom w:val="0"/>
              <w:divBdr>
                <w:top w:val="none" w:sz="0" w:space="0" w:color="auto"/>
                <w:left w:val="none" w:sz="0" w:space="0" w:color="auto"/>
                <w:bottom w:val="none" w:sz="0" w:space="0" w:color="auto"/>
                <w:right w:val="none" w:sz="0" w:space="0" w:color="auto"/>
              </w:divBdr>
            </w:div>
            <w:div w:id="18314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080512893">
      <w:bodyDiv w:val="1"/>
      <w:marLeft w:val="0"/>
      <w:marRight w:val="0"/>
      <w:marTop w:val="0"/>
      <w:marBottom w:val="0"/>
      <w:divBdr>
        <w:top w:val="none" w:sz="0" w:space="0" w:color="auto"/>
        <w:left w:val="none" w:sz="0" w:space="0" w:color="auto"/>
        <w:bottom w:val="none" w:sz="0" w:space="0" w:color="auto"/>
        <w:right w:val="none" w:sz="0" w:space="0" w:color="auto"/>
      </w:divBdr>
      <w:divsChild>
        <w:div w:id="1183711952">
          <w:marLeft w:val="0"/>
          <w:marRight w:val="0"/>
          <w:marTop w:val="0"/>
          <w:marBottom w:val="0"/>
          <w:divBdr>
            <w:top w:val="none" w:sz="0" w:space="0" w:color="auto"/>
            <w:left w:val="none" w:sz="0" w:space="0" w:color="auto"/>
            <w:bottom w:val="none" w:sz="0" w:space="0" w:color="auto"/>
            <w:right w:val="none" w:sz="0" w:space="0" w:color="auto"/>
          </w:divBdr>
          <w:divsChild>
            <w:div w:id="1917664078">
              <w:marLeft w:val="0"/>
              <w:marRight w:val="0"/>
              <w:marTop w:val="0"/>
              <w:marBottom w:val="0"/>
              <w:divBdr>
                <w:top w:val="none" w:sz="0" w:space="0" w:color="auto"/>
                <w:left w:val="none" w:sz="0" w:space="0" w:color="auto"/>
                <w:bottom w:val="none" w:sz="0" w:space="0" w:color="auto"/>
                <w:right w:val="none" w:sz="0" w:space="0" w:color="auto"/>
              </w:divBdr>
              <w:divsChild>
                <w:div w:id="18069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2881</Words>
  <Characters>16425</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Lauri Roberto</cp:lastModifiedBy>
  <cp:revision>150</cp:revision>
  <cp:lastPrinted>2024-10-15T05:52:00Z</cp:lastPrinted>
  <dcterms:created xsi:type="dcterms:W3CDTF">2024-10-10T06:42:00Z</dcterms:created>
  <dcterms:modified xsi:type="dcterms:W3CDTF">2024-10-15T08:58:00Z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