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0" w:type="auto"/>
        <w:jc w:val="center"/>
        <w:tblBorders>
          <w:bottom w:val="single" w:color="auto" w:sz="4" w:space="0"/>
        </w:tblBorders>
        <w:tblLook w:val="01E0" w:firstRow="1" w:lastRow="1" w:firstColumn="1" w:lastColumn="1" w:noHBand="0" w:noVBand="0"/>
      </w:tblPr>
      <w:tblGrid>
        <w:gridCol w:w="6940"/>
        <w:gridCol w:w="1842"/>
      </w:tblGrid>
      <w:tr w:rsidRPr="00B57B36" w:rsidR="000A03B2" w:rsidTr="00DE264A" w14:paraId="2A131A54" w14:textId="77777777">
        <w:trPr>
          <w:trHeight w:val="852"/>
          <w:jc w:val="center"/>
        </w:trPr>
        <w:tc>
          <w:tcPr>
            <w:tcW w:w="6946" w:type="dxa"/>
            <w:vMerge w:val="restart"/>
            <w:tcBorders>
              <w:right w:val="single" w:color="auto" w:sz="4" w:space="0"/>
            </w:tcBorders>
          </w:tcPr>
          <w:p w:rsidRPr="00B57B36" w:rsidR="000A03B2" w:rsidP="00DE264A" w:rsidRDefault="000A03B2" w14:paraId="38C3D2BA" w14:textId="77777777">
            <w:pPr>
              <w:tabs>
                <w:tab w:val="left" w:pos="-108"/>
              </w:tabs>
              <w:ind w:left="-108"/>
              <w:jc w:val="left"/>
              <w:rPr>
                <w:rFonts w:cs="Arial"/>
                <w:b/>
                <w:bCs/>
                <w:i/>
                <w:iCs/>
                <w:color w:val="000066"/>
                <w:sz w:val="12"/>
                <w:szCs w:val="12"/>
                <w:lang w:eastAsia="it-IT"/>
              </w:rPr>
            </w:pPr>
            <w:bookmarkStart w:name="_Hlk145068772"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Pr="00B57B36" w:rsidR="000A03B2" w:rsidP="001D21AF" w:rsidRDefault="00A76EFC" w14:paraId="4B780582" w14:textId="47EF826C">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color="auto" w:sz="4" w:space="0"/>
              <w:bottom w:val="nil"/>
              <w:right w:val="single" w:color="auto" w:sz="4" w:space="0"/>
            </w:tcBorders>
          </w:tcPr>
          <w:p w:rsidRPr="00B57B36" w:rsidR="000A03B2" w:rsidP="00CD5FE2" w:rsidRDefault="000A03B2" w14:paraId="56782132" w14:textId="77777777">
            <w:pPr>
              <w:spacing w:line="140" w:lineRule="atLeast"/>
              <w:jc w:val="right"/>
              <w:rPr>
                <w:rFonts w:cs="Arial"/>
                <w:sz w:val="14"/>
                <w:szCs w:val="14"/>
              </w:rPr>
            </w:pPr>
            <w:r w:rsidRPr="00B57B36">
              <w:rPr>
                <w:rFonts w:cs="Arial"/>
                <w:sz w:val="14"/>
                <w:szCs w:val="14"/>
              </w:rPr>
              <w:t>A publication of</w:t>
            </w:r>
          </w:p>
          <w:p w:rsidRPr="00B57B36" w:rsidR="000A03B2" w:rsidP="00CD5FE2" w:rsidRDefault="000A03B2" w14:paraId="599E5441" w14:textId="77777777">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Pr="00B57B36" w:rsidR="000A03B2" w:rsidTr="00DE264A" w14:paraId="380FA3CD" w14:textId="77777777">
        <w:trPr>
          <w:trHeight w:val="567"/>
          <w:jc w:val="center"/>
        </w:trPr>
        <w:tc>
          <w:tcPr>
            <w:tcW w:w="6946" w:type="dxa"/>
            <w:vMerge/>
            <w:tcBorders>
              <w:right w:val="single" w:color="auto" w:sz="4" w:space="0"/>
            </w:tcBorders>
          </w:tcPr>
          <w:p w:rsidRPr="00B57B36" w:rsidR="000A03B2" w:rsidP="00CD5FE2" w:rsidRDefault="000A03B2" w14:paraId="39E5E4C1" w14:textId="77777777">
            <w:pPr>
              <w:tabs>
                <w:tab w:val="left" w:pos="-108"/>
              </w:tabs>
            </w:pPr>
          </w:p>
        </w:tc>
        <w:tc>
          <w:tcPr>
            <w:tcW w:w="1843" w:type="dxa"/>
            <w:tcBorders>
              <w:left w:val="single" w:color="auto" w:sz="4" w:space="0"/>
              <w:bottom w:val="nil"/>
              <w:right w:val="single" w:color="auto" w:sz="4" w:space="0"/>
            </w:tcBorders>
          </w:tcPr>
          <w:p w:rsidRPr="00B57B36" w:rsidR="000A03B2" w:rsidP="00CD5FE2" w:rsidRDefault="000A03B2" w14:paraId="43858A98" w14:textId="77777777">
            <w:pPr>
              <w:spacing w:line="140" w:lineRule="atLeast"/>
              <w:jc w:val="right"/>
              <w:rPr>
                <w:rFonts w:cs="Arial"/>
                <w:sz w:val="14"/>
                <w:szCs w:val="14"/>
              </w:rPr>
            </w:pPr>
            <w:r w:rsidRPr="00B57B36">
              <w:rPr>
                <w:rFonts w:cs="Arial"/>
                <w:sz w:val="14"/>
                <w:szCs w:val="14"/>
              </w:rPr>
              <w:t>The Italian Association</w:t>
            </w:r>
          </w:p>
          <w:p w:rsidRPr="00B57B36" w:rsidR="000A03B2" w:rsidP="00CD5FE2" w:rsidRDefault="000A03B2" w14:paraId="7522B1D2" w14:textId="77777777">
            <w:pPr>
              <w:spacing w:line="140" w:lineRule="atLeast"/>
              <w:jc w:val="right"/>
              <w:rPr>
                <w:rFonts w:cs="Arial"/>
                <w:sz w:val="14"/>
                <w:szCs w:val="14"/>
              </w:rPr>
            </w:pPr>
            <w:r w:rsidRPr="00B57B36">
              <w:rPr>
                <w:rFonts w:cs="Arial"/>
                <w:sz w:val="14"/>
                <w:szCs w:val="14"/>
              </w:rPr>
              <w:t>of Chemical Engineering</w:t>
            </w:r>
          </w:p>
          <w:p w:rsidRPr="000D0268" w:rsidR="000A03B2" w:rsidP="00CD5FE2" w:rsidRDefault="000D0268" w14:paraId="4F0CC5DE" w14:textId="47FDB2FC">
            <w:pPr>
              <w:spacing w:line="140" w:lineRule="atLeast"/>
              <w:jc w:val="right"/>
              <w:rPr>
                <w:rFonts w:cs="Arial"/>
                <w:sz w:val="13"/>
                <w:szCs w:val="13"/>
              </w:rPr>
            </w:pPr>
            <w:r w:rsidRPr="000D0268">
              <w:rPr>
                <w:rFonts w:cs="Arial"/>
                <w:sz w:val="13"/>
                <w:szCs w:val="13"/>
              </w:rPr>
              <w:t>Online at www.cetjournal.it</w:t>
            </w:r>
          </w:p>
        </w:tc>
      </w:tr>
      <w:tr w:rsidRPr="00B57B36" w:rsidR="000A03B2" w:rsidTr="00DE264A" w14:paraId="2D1B7169" w14:textId="77777777">
        <w:trPr>
          <w:trHeight w:val="68"/>
          <w:jc w:val="center"/>
        </w:trPr>
        <w:tc>
          <w:tcPr>
            <w:tcW w:w="8789" w:type="dxa"/>
            <w:gridSpan w:val="2"/>
          </w:tcPr>
          <w:p w:rsidRPr="00F27EE4" w:rsidR="00F27EE4" w:rsidP="00F27EE4" w:rsidRDefault="00AA7D26" w14:paraId="30F07041" w14:textId="11182ABA">
            <w:pPr>
              <w:ind w:left="-107"/>
              <w:rPr>
                <w:rFonts w:ascii="Tahoma" w:hAnsi="Tahoma" w:cs="Tahoma"/>
                <w:b/>
                <w:bCs/>
                <w:color w:val="000000"/>
                <w:sz w:val="14"/>
                <w:szCs w:val="14"/>
                <w:shd w:val="clear" w:color="auto" w:fill="FFFFFF"/>
                <w:lang w:val="it-IT"/>
              </w:rPr>
            </w:pPr>
            <w:r w:rsidRPr="00F27EE4">
              <w:rPr>
                <w:rFonts w:ascii="Tahoma" w:hAnsi="Tahoma" w:cs="Tahoma"/>
                <w:iCs/>
                <w:color w:val="333333"/>
                <w:sz w:val="14"/>
                <w:szCs w:val="14"/>
                <w:lang w:val="it-IT" w:eastAsia="it-IT"/>
              </w:rPr>
              <w:t>Guest Editors:</w:t>
            </w:r>
            <w:r w:rsidRPr="00F27EE4" w:rsidR="007D610D">
              <w:rPr>
                <w:rFonts w:ascii="Aptos" w:hAnsi="Aptos" w:cs="Aptos" w:eastAsiaTheme="minorHAnsi"/>
                <w:sz w:val="22"/>
                <w:szCs w:val="22"/>
                <w:lang w:val="it-IT"/>
                <w14:ligatures w14:val="standardContextual"/>
              </w:rPr>
              <w:t xml:space="preserve"> </w:t>
            </w:r>
            <w:r w:rsidRPr="00F27EE4" w:rsidR="00F27EE4">
              <w:rPr>
                <w:rFonts w:ascii="Tahoma" w:hAnsi="Tahoma" w:cs="Tahoma"/>
                <w:color w:val="000000"/>
                <w:sz w:val="14"/>
                <w:szCs w:val="14"/>
                <w:shd w:val="clear" w:color="auto" w:fill="FFFFFF"/>
                <w:lang w:val="it-IT"/>
              </w:rPr>
              <w:t>Bruno Fabiano, Va</w:t>
            </w:r>
            <w:r w:rsidR="00F27EE4">
              <w:rPr>
                <w:rFonts w:ascii="Tahoma" w:hAnsi="Tahoma" w:cs="Tahoma"/>
                <w:color w:val="000000"/>
                <w:sz w:val="14"/>
                <w:szCs w:val="14"/>
                <w:shd w:val="clear" w:color="auto" w:fill="FFFFFF"/>
                <w:lang w:val="it-IT"/>
              </w:rPr>
              <w:t>lerio Cozzani</w:t>
            </w:r>
          </w:p>
          <w:p w:rsidRPr="00B57B36" w:rsidR="000A03B2" w:rsidP="00AA7D26" w:rsidRDefault="00AA7D26" w14:paraId="1B0F1814" w14:textId="2DB8A072">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Pr="000562A9" w:rsidR="003B49CD">
              <w:rPr>
                <w:rFonts w:ascii="Tahoma" w:hAnsi="Tahoma" w:cs="Tahoma"/>
                <w:sz w:val="14"/>
                <w:szCs w:val="14"/>
              </w:rPr>
              <w:t>97</w:t>
            </w:r>
            <w:r w:rsidR="003B49CD">
              <w:rPr>
                <w:rFonts w:ascii="Tahoma" w:hAnsi="Tahoma" w:cs="Tahoma"/>
                <w:sz w:val="14"/>
                <w:szCs w:val="14"/>
              </w:rPr>
              <w:t>9</w:t>
            </w:r>
            <w:r w:rsidRPr="000562A9" w:rsidR="003B49CD">
              <w:rPr>
                <w:rFonts w:ascii="Tahoma" w:hAnsi="Tahoma" w:cs="Tahoma"/>
                <w:sz w:val="14"/>
                <w:szCs w:val="14"/>
              </w:rPr>
              <w:t>-</w:t>
            </w:r>
            <w:r w:rsidR="003B49CD">
              <w:rPr>
                <w:rFonts w:ascii="Tahoma" w:hAnsi="Tahoma" w:cs="Tahoma"/>
                <w:sz w:val="14"/>
                <w:szCs w:val="14"/>
              </w:rPr>
              <w:t>12</w:t>
            </w:r>
            <w:r w:rsidRPr="000562A9" w:rsidR="003B49CD">
              <w:rPr>
                <w:rFonts w:ascii="Tahoma" w:hAnsi="Tahoma" w:cs="Tahoma"/>
                <w:sz w:val="14"/>
                <w:szCs w:val="14"/>
              </w:rPr>
              <w:t>-</w:t>
            </w:r>
            <w:r w:rsidR="003B49CD">
              <w:rPr>
                <w:rFonts w:ascii="Tahoma" w:hAnsi="Tahoma" w:cs="Tahoma"/>
                <w:sz w:val="14"/>
                <w:szCs w:val="14"/>
              </w:rPr>
              <w:t>81206-</w:t>
            </w:r>
            <w:r w:rsidR="00F27EE4">
              <w:rPr>
                <w:rFonts w:ascii="Tahoma" w:hAnsi="Tahoma" w:cs="Tahoma"/>
                <w:sz w:val="14"/>
                <w:szCs w:val="14"/>
              </w:rPr>
              <w:t>xx-y</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rsidRPr="00B57B36" w:rsidR="00E978D0" w:rsidP="00E978D0" w:rsidRDefault="00600535" w14:paraId="2E667253" w14:textId="67FD89B5">
      <w:pPr>
        <w:pStyle w:val="CETTitle"/>
      </w:pPr>
      <w:r w:rsidR="63F1ABE2">
        <w:rPr/>
        <w:t xml:space="preserve">Exploring Wearable Devices for Enhanced Ergonomic Solutions: A Pharmaceutical Case Study  </w:t>
      </w:r>
    </w:p>
    <w:p w:rsidRPr="00B57B36" w:rsidR="00B57E6F" w:rsidP="785BB7D9" w:rsidRDefault="00B57E6F" w14:paraId="0488FED2" w14:textId="21E25D7F">
      <w:pPr>
        <w:pStyle w:val="CETAuthors"/>
        <w:rPr>
          <w:vertAlign w:val="baseline"/>
        </w:rPr>
      </w:pPr>
      <w:r w:rsidR="45713AF9">
        <w:rPr/>
        <w:t>Carlos Albarrán Morillo</w:t>
      </w:r>
      <w:r w:rsidRPr="7DC1F745" w:rsidR="67F318EE">
        <w:rPr>
          <w:vertAlign w:val="superscript"/>
        </w:rPr>
        <w:t>a</w:t>
      </w:r>
      <w:r w:rsidRPr="7DC1F745" w:rsidR="38270AAC">
        <w:rPr>
          <w:vertAlign w:val="superscript"/>
        </w:rPr>
        <w:t>,*</w:t>
      </w:r>
      <w:r w:rsidR="67F318EE">
        <w:rPr/>
        <w:t xml:space="preserve">, </w:t>
      </w:r>
      <w:r w:rsidR="36471928">
        <w:rPr/>
        <w:t>Micaela Demichela</w:t>
      </w:r>
      <w:r w:rsidRPr="7DC1F745" w:rsidR="36471928">
        <w:rPr>
          <w:vertAlign w:val="superscript"/>
        </w:rPr>
        <w:t>a</w:t>
      </w:r>
      <w:r w:rsidR="67F318EE">
        <w:rPr/>
        <w:t xml:space="preserve">, </w:t>
      </w:r>
      <w:r w:rsidR="4EEBFF09">
        <w:rPr/>
        <w:t>John F</w:t>
      </w:r>
      <w:r w:rsidR="3A4CEA4E">
        <w:rPr/>
        <w:t>.</w:t>
      </w:r>
      <w:r w:rsidR="4EEBFF09">
        <w:rPr/>
        <w:t xml:space="preserve"> Suárez</w:t>
      </w:r>
      <w:r w:rsidR="21CF92E2">
        <w:rPr/>
        <w:t>-</w:t>
      </w:r>
      <w:r w:rsidR="4EEBFF09">
        <w:rPr/>
        <w:t>Pérez</w:t>
      </w:r>
      <w:r w:rsidRPr="7DC1F745" w:rsidR="4EEBFF09">
        <w:rPr>
          <w:vertAlign w:val="superscript"/>
        </w:rPr>
        <w:t>b</w:t>
      </w:r>
      <w:r w:rsidRPr="7DC1F745" w:rsidR="4EEBFF09">
        <w:rPr>
          <w:vertAlign w:val="baseline"/>
        </w:rPr>
        <w:t>, Nasli Yuceti Miranda Arandia</w:t>
      </w:r>
      <w:r w:rsidRPr="7DC1F745" w:rsidR="4EEBFF09">
        <w:rPr>
          <w:vertAlign w:val="superscript"/>
        </w:rPr>
        <w:t>c</w:t>
      </w:r>
      <w:r w:rsidRPr="7DC1F745" w:rsidR="61BA393D">
        <w:rPr>
          <w:vertAlign w:val="baseline"/>
        </w:rPr>
        <w:t>, Mónica Andrea Camargo Salinas</w:t>
      </w:r>
      <w:r w:rsidRPr="7DC1F745" w:rsidR="61BA393D">
        <w:rPr>
          <w:vertAlign w:val="superscript"/>
        </w:rPr>
        <w:t>c</w:t>
      </w:r>
    </w:p>
    <w:p w:rsidRPr="00B57B36" w:rsidR="00B57E6F" w:rsidP="00B57E6F" w:rsidRDefault="00B57E6F" w14:paraId="6B2D21B3" w14:textId="7FD0407D">
      <w:pPr>
        <w:pStyle w:val="CETAddress"/>
      </w:pPr>
      <w:r w:rsidRPr="785BB7D9" w:rsidR="2A42F13E">
        <w:rPr>
          <w:vertAlign w:val="superscript"/>
        </w:rPr>
        <w:t>a</w:t>
      </w:r>
      <w:r w:rsidR="43E8EF58">
        <w:rPr/>
        <w:t xml:space="preserve">Applied Science and Technology Department, Politecnico di Torino, Turin, Italy    </w:t>
      </w:r>
    </w:p>
    <w:p w:rsidR="67F318EE" w:rsidP="7DC1F745" w:rsidRDefault="67F318EE" w14:paraId="7281A4B5" w14:textId="22D75E49">
      <w:pPr>
        <w:pStyle w:val="CETAddress"/>
      </w:pPr>
      <w:r w:rsidRPr="7DC1F745" w:rsidR="67F318EE">
        <w:rPr>
          <w:vertAlign w:val="superscript"/>
        </w:rPr>
        <w:t>b</w:t>
      </w:r>
      <w:r w:rsidRPr="7DC1F745" w:rsidR="5F4D9B7E">
        <w:rPr>
          <w:noProof/>
          <w:lang w:val="en-GB"/>
        </w:rPr>
        <w:t xml:space="preserve"> Tecnologico de Monterrey, Escuela de Ingenieria y Ciencias, Ave. General Ramon Corona 2514, Zapopan, Jalisco, 45138, Mexico</w:t>
      </w:r>
    </w:p>
    <w:p w:rsidR="1EF79591" w:rsidP="785BB7D9" w:rsidRDefault="1EF79591" w14:paraId="1B315699" w14:textId="175A7404">
      <w:pPr>
        <w:pStyle w:val="CETAddress"/>
      </w:pPr>
      <w:r w:rsidRPr="785BB7D9" w:rsidR="1EF79591">
        <w:rPr>
          <w:vertAlign w:val="superscript"/>
        </w:rPr>
        <w:t>c</w:t>
      </w:r>
      <w:r w:rsidR="095588D0">
        <w:rPr/>
        <w:t>Fundación Universidad de América,</w:t>
      </w:r>
      <w:r w:rsidR="45B6C6EC">
        <w:rPr/>
        <w:t xml:space="preserve"> Bogotá</w:t>
      </w:r>
      <w:r w:rsidR="095588D0">
        <w:rPr/>
        <w:t>, Colombia</w:t>
      </w:r>
    </w:p>
    <w:p w:rsidR="50B52C32" w:rsidP="785BB7D9" w:rsidRDefault="50B52C32" w14:paraId="13302077" w14:textId="7DDE436E">
      <w:pPr>
        <w:pStyle w:val="CETemail"/>
        <w:suppressLineNumbers w:val="0"/>
        <w:bidi w:val="0"/>
        <w:spacing w:before="0" w:beforeAutospacing="off" w:after="240" w:afterAutospacing="off" w:line="276" w:lineRule="auto"/>
        <w:ind w:left="0" w:right="0"/>
        <w:jc w:val="left"/>
      </w:pPr>
      <w:r w:rsidR="50B52C32">
        <w:rPr/>
        <w:t>carlos.albarran@polito.it</w:t>
      </w:r>
    </w:p>
    <w:bookmarkStart w:name="_Hlk495475023" w:id="1"/>
    <w:bookmarkEnd w:id="1"/>
    <w:p w:rsidR="4BAA9F82" w:rsidP="7DC1F745" w:rsidRDefault="4BAA9F82" w14:paraId="2811D8CB" w14:textId="234BF045">
      <w:pPr>
        <w:pStyle w:val="CETBodytext"/>
        <w:rPr>
          <w:lang w:val="en-GB"/>
        </w:rPr>
      </w:pPr>
      <w:r w:rsidRPr="4078E509" w:rsidR="4BAA9F82">
        <w:rPr>
          <w:lang w:val="en-GB"/>
        </w:rPr>
        <w:t>The new paradigm descending from Industry 4.0, known as Industry 5.0, emphasizes the significance of human-centric factors and ergonomics in industrial processes. Creating an ergonomic workplace involves considering not onl</w:t>
      </w:r>
      <w:r w:rsidRPr="4078E509" w:rsidR="4BAA9F82">
        <w:rPr>
          <w:lang w:val="en-GB"/>
        </w:rPr>
        <w:t>y physical aspects but also cognitive</w:t>
      </w:r>
      <w:r w:rsidRPr="4078E509" w:rsidR="1CB1D96C">
        <w:rPr>
          <w:lang w:val="en-GB"/>
        </w:rPr>
        <w:t xml:space="preserve">, </w:t>
      </w:r>
      <w:r w:rsidRPr="4078E509" w:rsidR="1CB1D96C">
        <w:rPr>
          <w:lang w:val="en-GB"/>
        </w:rPr>
        <w:t>environmental</w:t>
      </w:r>
      <w:r w:rsidRPr="4078E509" w:rsidR="4BAA9F82">
        <w:rPr>
          <w:lang w:val="en-GB"/>
        </w:rPr>
        <w:t xml:space="preserve"> </w:t>
      </w:r>
      <w:r w:rsidRPr="4078E509" w:rsidR="4BAA9F82">
        <w:rPr>
          <w:lang w:val="en-GB"/>
        </w:rPr>
        <w:t xml:space="preserve">and organizational factors. This </w:t>
      </w:r>
      <w:r w:rsidRPr="4078E509" w:rsidR="4BAA9F82">
        <w:rPr>
          <w:lang w:val="en-GB"/>
        </w:rPr>
        <w:t>holistic approach</w:t>
      </w:r>
      <w:r w:rsidRPr="4078E509" w:rsidR="4BAA9F82">
        <w:rPr>
          <w:lang w:val="en-GB"/>
        </w:rPr>
        <w:t xml:space="preserve"> is vital for enhancing human productivity, satisfaction, and safety. In the Industry 4.0 landscape, the integration of ergonomics with advanced technologies provides comprehensive data for accurately assessing occupational hazards. This paper proposes an ergonomic assessment method employing a </w:t>
      </w:r>
      <w:r w:rsidRPr="4078E509" w:rsidR="4BAA9F82">
        <w:rPr>
          <w:lang w:val="en-GB"/>
        </w:rPr>
        <w:t xml:space="preserve">set of non-invasive wearable devices to </w:t>
      </w:r>
      <w:r w:rsidRPr="4078E509" w:rsidR="4BAA9F82">
        <w:rPr>
          <w:lang w:val="en-GB"/>
        </w:rPr>
        <w:t>monitor</w:t>
      </w:r>
      <w:r w:rsidRPr="4078E509" w:rsidR="4BAA9F82">
        <w:rPr>
          <w:lang w:val="en-GB"/>
        </w:rPr>
        <w:t xml:space="preserve"> workers' activities and physiological metrics, complemented by subjective self-assessment questionnaires, during their shifts. This approach is implemented in a real-world setting within the pharmaceutical sector, where manual work involves repetitive motion tasks, making workers susceptible to musculoskeletal disorders and high stress levels. </w:t>
      </w:r>
      <w:r w:rsidRPr="4078E509" w:rsidR="57761A4C">
        <w:rPr>
          <w:noProof w:val="0"/>
          <w:lang w:val="en-GB"/>
        </w:rPr>
        <w:t xml:space="preserve">The findings </w:t>
      </w:r>
      <w:r w:rsidRPr="4078E509" w:rsidR="57761A4C">
        <w:rPr>
          <w:noProof w:val="0"/>
          <w:lang w:val="en-GB"/>
        </w:rPr>
        <w:t>demonstrate</w:t>
      </w:r>
      <w:r w:rsidRPr="4078E509" w:rsidR="57761A4C">
        <w:rPr>
          <w:noProof w:val="0"/>
          <w:lang w:val="en-GB"/>
        </w:rPr>
        <w:t xml:space="preserve"> that implementing ergonomic evaluations can help the organization </w:t>
      </w:r>
      <w:r w:rsidRPr="4078E509" w:rsidR="57761A4C">
        <w:rPr>
          <w:noProof w:val="0"/>
          <w:lang w:val="en-GB"/>
        </w:rPr>
        <w:t>identify</w:t>
      </w:r>
      <w:r w:rsidRPr="4078E509" w:rsidR="57761A4C">
        <w:rPr>
          <w:noProof w:val="0"/>
          <w:lang w:val="en-GB"/>
        </w:rPr>
        <w:t xml:space="preserve"> risks, </w:t>
      </w:r>
      <w:r w:rsidRPr="4078E509" w:rsidR="57761A4C">
        <w:rPr>
          <w:noProof w:val="0"/>
          <w:lang w:val="en-GB"/>
        </w:rPr>
        <w:t>ultimately enhancing</w:t>
      </w:r>
      <w:r w:rsidRPr="4078E509" w:rsidR="57761A4C">
        <w:rPr>
          <w:noProof w:val="0"/>
          <w:lang w:val="en-GB"/>
        </w:rPr>
        <w:t xml:space="preserve"> operator well-being, safety, and productivity.</w:t>
      </w:r>
    </w:p>
    <w:p w:rsidRPr="00B57B36" w:rsidR="00600535" w:rsidP="00600535" w:rsidRDefault="00600535" w14:paraId="476B2F2E" w14:textId="52B36035">
      <w:pPr>
        <w:pStyle w:val="CETHeading1"/>
        <w:rPr>
          <w:lang w:val="en-GB"/>
        </w:rPr>
      </w:pPr>
      <w:r w:rsidRPr="785BB7D9" w:rsidR="03FEE39E">
        <w:rPr>
          <w:lang w:val="en-GB"/>
        </w:rPr>
        <w:t>Introduction</w:t>
      </w:r>
    </w:p>
    <w:p w:rsidR="2825DC5A" w:rsidP="7DC1F745" w:rsidRDefault="2825DC5A" w14:paraId="350F18B8" w14:textId="2DB2B676">
      <w:pPr>
        <w:pStyle w:val="CETBodytext"/>
        <w:suppressLineNumbers w:val="0"/>
        <w:spacing w:before="0" w:beforeAutospacing="off" w:after="0" w:afterAutospacing="off" w:line="264" w:lineRule="auto"/>
        <w:ind w:left="0" w:right="0"/>
        <w:jc w:val="both"/>
        <w:rPr>
          <w:lang w:val="en-GB"/>
        </w:rPr>
      </w:pPr>
      <w:r w:rsidRPr="7DC1F745" w:rsidR="2825DC5A">
        <w:rPr>
          <w:lang w:val="en-GB"/>
        </w:rPr>
        <w:t>The well-being of workers is a fundamental pillar of Industry 5.0, which prioritizes human-centric, resilient, and sustainable industrial processes</w:t>
      </w:r>
      <w:r w:rsidRPr="7DC1F745" w:rsidR="2DF2EB4C">
        <w:rPr>
          <w:lang w:val="en-GB"/>
        </w:rPr>
        <w:t xml:space="preserve"> (</w:t>
      </w:r>
      <w:r w:rsidRPr="7DC1F745" w:rsidR="2DF2EB4C">
        <w:rPr>
          <w:lang w:val="en-GB"/>
        </w:rPr>
        <w:t>Khamaisi</w:t>
      </w:r>
      <w:r w:rsidRPr="7DC1F745" w:rsidR="2DF2EB4C">
        <w:rPr>
          <w:lang w:val="en-GB"/>
        </w:rPr>
        <w:t xml:space="preserve"> et al., 2022).</w:t>
      </w:r>
      <w:r w:rsidRPr="7DC1F745" w:rsidR="2825DC5A">
        <w:rPr>
          <w:lang w:val="en-GB"/>
        </w:rPr>
        <w:t xml:space="preserve"> Ergonomics, as a multidisciplinary science, is critical in </w:t>
      </w:r>
      <w:r w:rsidRPr="7DC1F745" w:rsidR="2825DC5A">
        <w:rPr>
          <w:lang w:val="en-GB"/>
        </w:rPr>
        <w:t>optimizing</w:t>
      </w:r>
      <w:r w:rsidRPr="7DC1F745" w:rsidR="2825DC5A">
        <w:rPr>
          <w:lang w:val="en-GB"/>
        </w:rPr>
        <w:t xml:space="preserve"> the interactions between human operators, machinery, and the environment</w:t>
      </w:r>
      <w:r w:rsidRPr="7DC1F745" w:rsidR="28EF28D4">
        <w:rPr>
          <w:lang w:val="en-GB"/>
        </w:rPr>
        <w:t xml:space="preserve"> </w:t>
      </w:r>
      <w:r w:rsidRPr="7DC1F745" w:rsidR="055F47A4">
        <w:rPr>
          <w:lang w:val="en-GB"/>
        </w:rPr>
        <w:t>(</w:t>
      </w:r>
      <w:r w:rsidRPr="7DC1F745" w:rsidR="055F47A4">
        <w:rPr>
          <w:lang w:val="en-GB"/>
        </w:rPr>
        <w:t>Scafà</w:t>
      </w:r>
      <w:r w:rsidRPr="7DC1F745" w:rsidR="055F47A4">
        <w:rPr>
          <w:lang w:val="en-GB"/>
        </w:rPr>
        <w:t xml:space="preserve"> et al., 2019)</w:t>
      </w:r>
      <w:r w:rsidRPr="7DC1F745" w:rsidR="2825DC5A">
        <w:rPr>
          <w:lang w:val="en-GB"/>
        </w:rPr>
        <w:t>. The primary domains of ergonomics include physical, cognitive, environmental, and organizational aspects, each playing a significant role in promoting worker health, safety, and productivity</w:t>
      </w:r>
      <w:r w:rsidRPr="7DC1F745" w:rsidR="623A4BD8">
        <w:rPr>
          <w:lang w:val="en-GB"/>
        </w:rPr>
        <w:t xml:space="preserve"> </w:t>
      </w:r>
      <w:r w:rsidRPr="7DC1F745" w:rsidR="5DB8B742">
        <w:rPr>
          <w:lang w:val="en-GB"/>
        </w:rPr>
        <w:t>(</w:t>
      </w:r>
      <w:r w:rsidRPr="7DC1F745" w:rsidR="5DB8B742">
        <w:rPr>
          <w:lang w:val="en-GB"/>
        </w:rPr>
        <w:t>Scafà</w:t>
      </w:r>
      <w:r w:rsidRPr="7DC1F745" w:rsidR="5DB8B742">
        <w:rPr>
          <w:lang w:val="en-GB"/>
        </w:rPr>
        <w:t xml:space="preserve"> et al., 2019)</w:t>
      </w:r>
      <w:r w:rsidRPr="7DC1F745" w:rsidR="2825DC5A">
        <w:rPr>
          <w:lang w:val="en-GB"/>
        </w:rPr>
        <w:t>.</w:t>
      </w:r>
      <w:r w:rsidRPr="7DC1F745" w:rsidR="205092A5">
        <w:rPr>
          <w:lang w:val="en-GB"/>
        </w:rPr>
        <w:t xml:space="preserve"> </w:t>
      </w:r>
      <w:r w:rsidRPr="7DC1F745" w:rsidR="2825DC5A">
        <w:rPr>
          <w:lang w:val="en-GB"/>
        </w:rPr>
        <w:t>Physical ergonomics focuses on the mechanical and physical interactions between workers and their work environment. It covers topics such as working postures, materials handling, repetitive movements, work-related musculoskeletal disorders (WMSDs), workplace layout, and occupational safety</w:t>
      </w:r>
      <w:r w:rsidRPr="7DC1F745" w:rsidR="26C7FE65">
        <w:rPr>
          <w:lang w:val="en-GB"/>
        </w:rPr>
        <w:t xml:space="preserve"> </w:t>
      </w:r>
      <w:r w:rsidRPr="7DC1F745" w:rsidR="2D4199AA">
        <w:rPr>
          <w:lang w:val="en-GB"/>
        </w:rPr>
        <w:t>(</w:t>
      </w:r>
      <w:r w:rsidRPr="7DC1F745" w:rsidR="2D4199AA">
        <w:rPr>
          <w:lang w:val="en-GB"/>
        </w:rPr>
        <w:t>Scafà</w:t>
      </w:r>
      <w:r w:rsidRPr="7DC1F745" w:rsidR="2D4199AA">
        <w:rPr>
          <w:lang w:val="en-GB"/>
        </w:rPr>
        <w:t xml:space="preserve"> et al., 2019)</w:t>
      </w:r>
      <w:r w:rsidRPr="7DC1F745" w:rsidR="2825DC5A">
        <w:rPr>
          <w:lang w:val="en-GB"/>
        </w:rPr>
        <w:t xml:space="preserve">. Conventional risk assessment tools like </w:t>
      </w:r>
      <w:r w:rsidRPr="7DC1F745" w:rsidR="1D309EB3">
        <w:rPr>
          <w:noProof w:val="0"/>
          <w:lang w:val="en-GB"/>
        </w:rPr>
        <w:t>Rapid Upper Limb Assessment (</w:t>
      </w:r>
      <w:r w:rsidRPr="7DC1F745" w:rsidR="2825DC5A">
        <w:rPr>
          <w:lang w:val="en-GB"/>
        </w:rPr>
        <w:t>RULA</w:t>
      </w:r>
      <w:r w:rsidRPr="7DC1F745" w:rsidR="14FEF898">
        <w:rPr>
          <w:lang w:val="en-GB"/>
        </w:rPr>
        <w:t>)</w:t>
      </w:r>
      <w:r w:rsidRPr="7DC1F745" w:rsidR="2825DC5A">
        <w:rPr>
          <w:lang w:val="en-GB"/>
        </w:rPr>
        <w:t xml:space="preserve">, </w:t>
      </w:r>
      <w:r w:rsidRPr="7DC1F745" w:rsidR="2E2B62D2">
        <w:rPr>
          <w:noProof w:val="0"/>
          <w:lang w:val="en-US"/>
        </w:rPr>
        <w:t>Occupational Repetitive Actions</w:t>
      </w:r>
      <w:r w:rsidRPr="7DC1F745" w:rsidR="2E2B62D2">
        <w:rPr>
          <w:lang w:val="en-GB"/>
        </w:rPr>
        <w:t xml:space="preserve"> (</w:t>
      </w:r>
      <w:r w:rsidRPr="7DC1F745" w:rsidR="2825DC5A">
        <w:rPr>
          <w:lang w:val="en-GB"/>
        </w:rPr>
        <w:t>OCRA</w:t>
      </w:r>
      <w:r w:rsidRPr="7DC1F745" w:rsidR="234CC11D">
        <w:rPr>
          <w:lang w:val="en-GB"/>
        </w:rPr>
        <w:t>)</w:t>
      </w:r>
      <w:r w:rsidRPr="7DC1F745" w:rsidR="2825DC5A">
        <w:rPr>
          <w:lang w:val="en-GB"/>
        </w:rPr>
        <w:t>, and the Revised NIOSH Lifting Equation have been employed for evaluating these risks; however, they often rely on manual observation, which is time-consuming and prone to observer bias.</w:t>
      </w:r>
      <w:r w:rsidRPr="7DC1F745" w:rsidR="41FFD703">
        <w:rPr>
          <w:lang w:val="en-GB"/>
        </w:rPr>
        <w:t xml:space="preserve"> </w:t>
      </w:r>
      <w:r w:rsidRPr="7DC1F745" w:rsidR="2825DC5A">
        <w:rPr>
          <w:lang w:val="en-GB"/>
        </w:rPr>
        <w:t xml:space="preserve">Cognitive ergonomics examines cognitive processes to improve workers' interactions with systems, considering their skills and limitations. Key topics include attention, </w:t>
      </w:r>
      <w:r w:rsidRPr="7DC1F745" w:rsidR="2825DC5A">
        <w:rPr>
          <w:lang w:val="en-GB"/>
        </w:rPr>
        <w:t>perception</w:t>
      </w:r>
      <w:r w:rsidRPr="7DC1F745" w:rsidR="2825DC5A">
        <w:rPr>
          <w:lang w:val="en-GB"/>
        </w:rPr>
        <w:t xml:space="preserve"> errors, mental workload,</w:t>
      </w:r>
      <w:r w:rsidRPr="7DC1F745" w:rsidR="77376D6B">
        <w:rPr>
          <w:lang w:val="en-GB"/>
        </w:rPr>
        <w:t xml:space="preserve"> stress,</w:t>
      </w:r>
      <w:r w:rsidRPr="7DC1F745" w:rsidR="2825DC5A">
        <w:rPr>
          <w:lang w:val="en-GB"/>
        </w:rPr>
        <w:t xml:space="preserve"> information visualization, decision support, human-machine interaction (HMI), situational awareness, and training</w:t>
      </w:r>
      <w:r w:rsidRPr="7DC1F745" w:rsidR="367B7FB1">
        <w:rPr>
          <w:lang w:val="en-GB"/>
        </w:rPr>
        <w:t xml:space="preserve"> </w:t>
      </w:r>
      <w:r w:rsidRPr="7DC1F745" w:rsidR="4CD0015C">
        <w:rPr>
          <w:lang w:val="en-GB"/>
        </w:rPr>
        <w:t>(</w:t>
      </w:r>
      <w:r w:rsidRPr="7DC1F745" w:rsidR="4CD0015C">
        <w:rPr>
          <w:lang w:val="en-GB"/>
        </w:rPr>
        <w:t>Scafà</w:t>
      </w:r>
      <w:r w:rsidRPr="7DC1F745" w:rsidR="4CD0015C">
        <w:rPr>
          <w:lang w:val="en-GB"/>
        </w:rPr>
        <w:t xml:space="preserve"> et al., 2019)</w:t>
      </w:r>
      <w:r w:rsidRPr="7DC1F745" w:rsidR="2825DC5A">
        <w:rPr>
          <w:lang w:val="en-GB"/>
        </w:rPr>
        <w:t xml:space="preserve">. The increasing complexity of information systems has led to higher cognitive demands on operators, making cognitive ergonomics a critical area of focus. Current studies often use self-assessment tools like NASA-TLX, which are primarily </w:t>
      </w:r>
      <w:r w:rsidRPr="7DC1F745" w:rsidR="2825DC5A">
        <w:rPr>
          <w:lang w:val="en-GB"/>
        </w:rPr>
        <w:t>utilized</w:t>
      </w:r>
      <w:r w:rsidRPr="7DC1F745" w:rsidR="2825DC5A">
        <w:rPr>
          <w:lang w:val="en-GB"/>
        </w:rPr>
        <w:t xml:space="preserve"> in specific fields, such as aerospace and healthcare.</w:t>
      </w:r>
      <w:r w:rsidRPr="7DC1F745" w:rsidR="540D7A4C">
        <w:rPr>
          <w:lang w:val="en-GB"/>
        </w:rPr>
        <w:t xml:space="preserve"> </w:t>
      </w:r>
      <w:r w:rsidRPr="7DC1F745" w:rsidR="2825DC5A">
        <w:rPr>
          <w:lang w:val="en-GB"/>
        </w:rPr>
        <w:t xml:space="preserve">Environmental ergonomics addresses the physical factors that shape the workplace microclimate, including temperature, relative humidity, radiant temperature, airspeed, noise, lighting, and air quality. Regulatory </w:t>
      </w:r>
      <w:r w:rsidRPr="7DC1F745" w:rsidR="33D5D06B">
        <w:rPr>
          <w:lang w:val="en-GB"/>
        </w:rPr>
        <w:t>standards</w:t>
      </w:r>
      <w:r w:rsidRPr="7DC1F745" w:rsidR="2825DC5A">
        <w:rPr>
          <w:lang w:val="en-GB"/>
        </w:rPr>
        <w:t xml:space="preserve"> have driven much of the research in this field, emphasizing compliance rather than directly enhancing worker comfort and well-being. Nonetheless, </w:t>
      </w:r>
      <w:r w:rsidRPr="7DC1F745" w:rsidR="2825DC5A">
        <w:rPr>
          <w:lang w:val="en-GB"/>
        </w:rPr>
        <w:t>optimizing</w:t>
      </w:r>
      <w:r w:rsidRPr="7DC1F745" w:rsidR="2825DC5A">
        <w:rPr>
          <w:lang w:val="en-GB"/>
        </w:rPr>
        <w:t xml:space="preserve"> these factors is crucial for fostering a supportive and healthy work environment</w:t>
      </w:r>
      <w:r w:rsidRPr="7DC1F745" w:rsidR="41E3A7C7">
        <w:rPr>
          <w:lang w:val="en-GB"/>
        </w:rPr>
        <w:t xml:space="preserve"> </w:t>
      </w:r>
      <w:r w:rsidRPr="7DC1F745" w:rsidR="1656E0FF">
        <w:rPr>
          <w:lang w:val="en-GB"/>
        </w:rPr>
        <w:t>(</w:t>
      </w:r>
      <w:r w:rsidRPr="7DC1F745" w:rsidR="1656E0FF">
        <w:rPr>
          <w:lang w:val="en-GB"/>
        </w:rPr>
        <w:t>Scafà</w:t>
      </w:r>
      <w:r w:rsidRPr="7DC1F745" w:rsidR="1656E0FF">
        <w:rPr>
          <w:lang w:val="en-GB"/>
        </w:rPr>
        <w:t xml:space="preserve"> et al., 2019)</w:t>
      </w:r>
      <w:r w:rsidRPr="7DC1F745" w:rsidR="2825DC5A">
        <w:rPr>
          <w:lang w:val="en-GB"/>
        </w:rPr>
        <w:t>.</w:t>
      </w:r>
      <w:r w:rsidRPr="7DC1F745" w:rsidR="294B86F9">
        <w:rPr>
          <w:lang w:val="en-GB"/>
        </w:rPr>
        <w:t xml:space="preserve"> </w:t>
      </w:r>
      <w:r w:rsidRPr="7DC1F745" w:rsidR="2825DC5A">
        <w:rPr>
          <w:lang w:val="en-GB"/>
        </w:rPr>
        <w:t xml:space="preserve">Organizational ergonomics aims to </w:t>
      </w:r>
      <w:r w:rsidRPr="7DC1F745" w:rsidR="2825DC5A">
        <w:rPr>
          <w:lang w:val="en-GB"/>
        </w:rPr>
        <w:t>optimize</w:t>
      </w:r>
      <w:r w:rsidRPr="7DC1F745" w:rsidR="2825DC5A">
        <w:rPr>
          <w:lang w:val="en-GB"/>
        </w:rPr>
        <w:t xml:space="preserve"> socio-technical systems by improving organizational structures, policies, and processes. Topics such as resource management, work planning, and scheduling are essential for boosting operational efficiency and worker satisfaction</w:t>
      </w:r>
      <w:r w:rsidRPr="7DC1F745" w:rsidR="034599B7">
        <w:rPr>
          <w:lang w:val="en-GB"/>
        </w:rPr>
        <w:t xml:space="preserve"> </w:t>
      </w:r>
      <w:r w:rsidRPr="7DC1F745" w:rsidR="4EB8BDFE">
        <w:rPr>
          <w:lang w:val="en-GB"/>
        </w:rPr>
        <w:t>(</w:t>
      </w:r>
      <w:r w:rsidRPr="7DC1F745" w:rsidR="4EB8BDFE">
        <w:rPr>
          <w:lang w:val="en-GB"/>
        </w:rPr>
        <w:t>Scafà</w:t>
      </w:r>
      <w:r w:rsidRPr="7DC1F745" w:rsidR="4EB8BDFE">
        <w:rPr>
          <w:lang w:val="en-GB"/>
        </w:rPr>
        <w:t xml:space="preserve"> et al., 2019)</w:t>
      </w:r>
      <w:r w:rsidRPr="7DC1F745" w:rsidR="2825DC5A">
        <w:rPr>
          <w:lang w:val="en-GB"/>
        </w:rPr>
        <w:t>.</w:t>
      </w:r>
      <w:r w:rsidRPr="7DC1F745" w:rsidR="56DA7FD5">
        <w:rPr>
          <w:lang w:val="en-GB"/>
        </w:rPr>
        <w:t xml:space="preserve"> With Industry 5.0, the concept of Operator 4.0 has </w:t>
      </w:r>
      <w:r w:rsidRPr="7DC1F745" w:rsidR="56DA7FD5">
        <w:rPr>
          <w:noProof w:val="0"/>
          <w:lang w:val="en-GB"/>
        </w:rPr>
        <w:t>emerged</w:t>
      </w:r>
      <w:r w:rsidRPr="7DC1F745" w:rsidR="56DA7FD5">
        <w:rPr>
          <w:noProof w:val="0"/>
          <w:lang w:val="en-GB"/>
        </w:rPr>
        <w:t>, emphasizing the human operator's role in smart, human-centric factories (Sun et al., 2020). Addressing ergonomic challenges now involves IoT, wearable sensors, AI, and digital twins, which provide automated, data-driven assessments, reducing the time, costs, and errors of manual evaluations.</w:t>
      </w:r>
    </w:p>
    <w:p w:rsidR="2825DC5A" w:rsidP="7DC1F745" w:rsidRDefault="2825DC5A" w14:paraId="6030DD6E" w14:textId="620A979E">
      <w:pPr>
        <w:pStyle w:val="CETBodytext"/>
        <w:suppressLineNumbers w:val="0"/>
        <w:spacing w:before="0" w:beforeAutospacing="off" w:after="0" w:afterAutospacing="off" w:line="264" w:lineRule="auto"/>
        <w:ind w:left="0" w:right="0"/>
        <w:jc w:val="both"/>
        <w:rPr>
          <w:noProof w:val="0"/>
          <w:lang w:val="en-GB"/>
        </w:rPr>
      </w:pPr>
      <w:r w:rsidRPr="7DC1F745" w:rsidR="2825DC5A">
        <w:rPr>
          <w:lang w:val="en-GB"/>
        </w:rPr>
        <w:t xml:space="preserve">In this study, we propose an ergonomic assessment method </w:t>
      </w:r>
      <w:r w:rsidRPr="7DC1F745" w:rsidR="2825DC5A">
        <w:rPr>
          <w:lang w:val="en-GB"/>
        </w:rPr>
        <w:t>utilizing</w:t>
      </w:r>
      <w:r w:rsidRPr="7DC1F745" w:rsidR="2825DC5A">
        <w:rPr>
          <w:lang w:val="en-GB"/>
        </w:rPr>
        <w:t xml:space="preserve"> </w:t>
      </w:r>
      <w:r w:rsidRPr="7DC1F745" w:rsidR="785A24EF">
        <w:rPr>
          <w:lang w:val="en-GB"/>
        </w:rPr>
        <w:t xml:space="preserve">Industry </w:t>
      </w:r>
      <w:r w:rsidRPr="7DC1F745" w:rsidR="785A24EF">
        <w:rPr>
          <w:lang w:val="en-GB"/>
        </w:rPr>
        <w:t>5.0</w:t>
      </w:r>
      <w:r w:rsidRPr="7DC1F745" w:rsidR="3A7538EE">
        <w:rPr>
          <w:lang w:val="en-GB"/>
        </w:rPr>
        <w:t xml:space="preserve"> </w:t>
      </w:r>
      <w:r w:rsidRPr="7DC1F745" w:rsidR="2825DC5A">
        <w:rPr>
          <w:lang w:val="en-GB"/>
        </w:rPr>
        <w:t>non</w:t>
      </w:r>
      <w:r w:rsidRPr="7DC1F745" w:rsidR="2825DC5A">
        <w:rPr>
          <w:lang w:val="en-GB"/>
        </w:rPr>
        <w:t>-</w:t>
      </w:r>
      <w:r w:rsidRPr="7DC1F745" w:rsidR="71D5A594">
        <w:rPr>
          <w:lang w:val="en-GB"/>
        </w:rPr>
        <w:t>invasive wearable</w:t>
      </w:r>
      <w:r w:rsidRPr="7DC1F745" w:rsidR="2825DC5A">
        <w:rPr>
          <w:lang w:val="en-GB"/>
        </w:rPr>
        <w:t xml:space="preserve"> devices</w:t>
      </w:r>
      <w:r w:rsidRPr="7DC1F745" w:rsidR="19BFFCAF">
        <w:rPr>
          <w:lang w:val="en-GB"/>
        </w:rPr>
        <w:t xml:space="preserve"> complemented by questionnaires</w:t>
      </w:r>
      <w:r w:rsidRPr="7DC1F745" w:rsidR="2825DC5A">
        <w:rPr>
          <w:lang w:val="en-GB"/>
        </w:rPr>
        <w:t xml:space="preserve"> to </w:t>
      </w:r>
      <w:r w:rsidRPr="7DC1F745" w:rsidR="1DECCF97">
        <w:rPr>
          <w:lang w:val="en-GB"/>
        </w:rPr>
        <w:t>analyse</w:t>
      </w:r>
      <w:r w:rsidRPr="7DC1F745" w:rsidR="2825DC5A">
        <w:rPr>
          <w:lang w:val="en-GB"/>
        </w:rPr>
        <w:t xml:space="preserve"> different ergonomic aspects in a pharmaceutical industry setting, where manual work involving repetitive tasks predisposes workers to WMSDs and elevated stress levels. WMSDs are among the most prevalent occupational health issues across all sectors, affecting the back, neck, shoulder, and wrist</w:t>
      </w:r>
      <w:r w:rsidRPr="7DC1F745" w:rsidR="0200FA49">
        <w:rPr>
          <w:lang w:val="en-GB"/>
        </w:rPr>
        <w:t xml:space="preserve"> (</w:t>
      </w:r>
      <w:r w:rsidRPr="7DC1F745" w:rsidR="0200FA49">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n-GB"/>
        </w:rPr>
        <w:t>Punnett and Wegman, 2004</w:t>
      </w:r>
      <w:r w:rsidRPr="7DC1F745" w:rsidR="0200FA49">
        <w:rPr>
          <w:lang w:val="en-GB"/>
        </w:rPr>
        <w:t>)</w:t>
      </w:r>
      <w:r w:rsidRPr="7DC1F745" w:rsidR="2825DC5A">
        <w:rPr>
          <w:lang w:val="en-GB"/>
        </w:rPr>
        <w:t xml:space="preserve"> Key risk factors include poor workstation design, awkward postures, and job hazards such as vibrations and machine-paced work. These conditions not only affect worker health and lead to absenteeism but also impose significant socio-economic costs.</w:t>
      </w:r>
      <w:r w:rsidRPr="7DC1F745" w:rsidR="14280CDC">
        <w:rPr>
          <w:lang w:val="en-GB"/>
        </w:rPr>
        <w:t xml:space="preserve"> </w:t>
      </w:r>
      <w:r w:rsidRPr="7DC1F745" w:rsidR="2825DC5A">
        <w:rPr>
          <w:lang w:val="en-GB"/>
        </w:rPr>
        <w:t>Moreover, chronic work-related stress can result in both mental and physical health issues, including anxiety, depression, cardiovascular problems, and gastrointestinal disorders</w:t>
      </w:r>
      <w:r w:rsidRPr="7DC1F745" w:rsidR="6B26BE11">
        <w:rPr>
          <w:lang w:val="en-GB"/>
        </w:rPr>
        <w:t xml:space="preserve"> </w:t>
      </w:r>
      <w:r w:rsidRPr="7DC1F745" w:rsidR="6EB1330F">
        <w:rPr>
          <w:lang w:val="en-GB"/>
        </w:rPr>
        <w:t>(Kivimäki and Kawachi, 2015)</w:t>
      </w:r>
      <w:r w:rsidRPr="7DC1F745" w:rsidR="2825DC5A">
        <w:rPr>
          <w:lang w:val="en-GB"/>
        </w:rPr>
        <w:t xml:space="preserve">. </w:t>
      </w:r>
      <w:r w:rsidRPr="7DC1F745" w:rsidR="163B35E8">
        <w:rPr>
          <w:noProof w:val="0"/>
          <w:lang w:val="en-GB"/>
        </w:rPr>
        <w:t xml:space="preserve">These consequences adversely affect worker productivity, job satisfaction, and overall well-being, underscoring the importance of thorough ergonomic assessments to </w:t>
      </w:r>
      <w:r w:rsidRPr="7DC1F745" w:rsidR="163B35E8">
        <w:rPr>
          <w:noProof w:val="0"/>
          <w:lang w:val="en-GB"/>
        </w:rPr>
        <w:t>identify</w:t>
      </w:r>
      <w:r w:rsidRPr="7DC1F745" w:rsidR="163B35E8">
        <w:rPr>
          <w:noProof w:val="0"/>
          <w:lang w:val="en-GB"/>
        </w:rPr>
        <w:t xml:space="preserve"> and mitigate </w:t>
      </w:r>
      <w:r w:rsidRPr="7DC1F745" w:rsidR="65060744">
        <w:rPr>
          <w:noProof w:val="0"/>
          <w:lang w:val="en-GB"/>
        </w:rPr>
        <w:t>these risks.</w:t>
      </w:r>
    </w:p>
    <w:p w:rsidR="785BB7D9" w:rsidP="785BB7D9" w:rsidRDefault="785BB7D9" w14:paraId="3C9310CD" w14:textId="2892DEDF">
      <w:pPr>
        <w:pStyle w:val="CETBodytext"/>
        <w:bidi w:val="0"/>
        <w:rPr>
          <w:noProof w:val="0"/>
          <w:lang w:val="en-GB"/>
        </w:rPr>
      </w:pPr>
    </w:p>
    <w:p w:rsidR="36D72B2F" w:rsidP="785BB7D9" w:rsidRDefault="36D72B2F" w14:paraId="4BB8F237" w14:textId="1C81AB21">
      <w:pPr>
        <w:pStyle w:val="CETBodytext"/>
        <w:bidi w:val="0"/>
        <w:rPr>
          <w:noProof w:val="0"/>
          <w:lang w:val="en-GB"/>
        </w:rPr>
      </w:pPr>
      <w:r w:rsidRPr="7DC1F745" w:rsidR="163B35E8">
        <w:rPr>
          <w:noProof w:val="0"/>
          <w:lang w:val="en-GB"/>
        </w:rPr>
        <w:t xml:space="preserve">The following sections outline the </w:t>
      </w:r>
      <w:r w:rsidRPr="7DC1F745" w:rsidR="163B35E8">
        <w:rPr>
          <w:noProof w:val="0"/>
          <w:lang w:val="en-GB"/>
        </w:rPr>
        <w:t>methodology</w:t>
      </w:r>
      <w:r w:rsidRPr="7DC1F745" w:rsidR="163B35E8">
        <w:rPr>
          <w:noProof w:val="0"/>
          <w:lang w:val="en-GB"/>
        </w:rPr>
        <w:t xml:space="preserve"> employed in this research, including the experimental design and the </w:t>
      </w:r>
      <w:r w:rsidRPr="7DC1F745" w:rsidR="7D12A84E">
        <w:rPr>
          <w:noProof w:val="0"/>
          <w:lang w:val="en-GB"/>
        </w:rPr>
        <w:t>setup</w:t>
      </w:r>
      <w:r w:rsidRPr="7DC1F745" w:rsidR="163B35E8">
        <w:rPr>
          <w:noProof w:val="0"/>
          <w:lang w:val="en-GB"/>
        </w:rPr>
        <w:t xml:space="preserve"> used to assess ergonomic factors related to stress and WMSD risks. The results section will cover the identification of critical scenarios, followed by a discussion of the conclusions derived from th</w:t>
      </w:r>
      <w:r w:rsidRPr="7DC1F745" w:rsidR="4D7F9452">
        <w:rPr>
          <w:noProof w:val="0"/>
          <w:lang w:val="en-GB"/>
        </w:rPr>
        <w:t>is innovative</w:t>
      </w:r>
      <w:r w:rsidRPr="7DC1F745" w:rsidR="163B35E8">
        <w:rPr>
          <w:noProof w:val="0"/>
          <w:lang w:val="en-GB"/>
        </w:rPr>
        <w:t xml:space="preserve"> ergonomic assessment.</w:t>
      </w:r>
    </w:p>
    <w:p w:rsidR="5BB6F1EC" w:rsidP="785BB7D9" w:rsidRDefault="5BB6F1EC" w14:paraId="59723A8D" w14:textId="0DB35156">
      <w:pPr>
        <w:pStyle w:val="CETHeading1"/>
        <w:suppressLineNumbers w:val="0"/>
        <w:bidi w:val="0"/>
        <w:spacing w:before="240" w:beforeAutospacing="off" w:after="120" w:afterAutospacing="off" w:line="240" w:lineRule="auto"/>
        <w:ind w:left="0" w:right="0"/>
        <w:jc w:val="left"/>
        <w:rPr/>
      </w:pPr>
      <w:r w:rsidR="5BB6F1EC">
        <w:rPr/>
        <w:t>Methodology</w:t>
      </w:r>
    </w:p>
    <w:p w:rsidR="00453E24" w:rsidP="00453E24" w:rsidRDefault="00453E24" w14:paraId="0636B784" w14:textId="145FE3B3">
      <w:pPr>
        <w:pStyle w:val="CETheadingx"/>
        <w:rPr/>
      </w:pPr>
      <w:r w:rsidR="76C152C6">
        <w:rPr/>
        <w:t>Ex</w:t>
      </w:r>
      <w:r w:rsidR="76C152C6">
        <w:rPr/>
        <w:t xml:space="preserve">perimental </w:t>
      </w:r>
      <w:r w:rsidR="6E494D99">
        <w:rPr/>
        <w:t>setup</w:t>
      </w:r>
    </w:p>
    <w:p w:rsidR="1757947C" w:rsidP="785BB7D9" w:rsidRDefault="1757947C" w14:paraId="50FFA056" w14:textId="6B231063">
      <w:pPr>
        <w:pStyle w:val="CETBodytext"/>
        <w:bidi w:val="0"/>
        <w:rPr>
          <w:noProof w:val="0"/>
          <w:lang w:val="en-US"/>
        </w:rPr>
      </w:pPr>
      <w:r w:rsidRPr="4394932E" w:rsidR="44EC461A">
        <w:rPr>
          <w:noProof w:val="0"/>
          <w:lang w:val="en-US"/>
        </w:rPr>
        <w:t>The research was conducted in the pharmaceutical sector, specifically within the packing and inspection areas of vials and drugs</w:t>
      </w:r>
      <w:r w:rsidRPr="4394932E" w:rsidR="44EC461A">
        <w:rPr>
          <w:noProof w:val="0"/>
          <w:lang w:val="en-US"/>
        </w:rPr>
        <w:t xml:space="preserve">. The work environment involved handling boxes of varying sizes, including units of 1, 10, 100, and large trays across four distinct production lines. The repetitive and monotonous nature of these tasks exposed workers to significant biomechanical risks and </w:t>
      </w:r>
      <w:r w:rsidRPr="4394932E" w:rsidR="44EC461A">
        <w:rPr>
          <w:noProof w:val="0"/>
          <w:lang w:val="en-US"/>
        </w:rPr>
        <w:t>high levels</w:t>
      </w:r>
      <w:r w:rsidRPr="4394932E" w:rsidR="44EC461A">
        <w:rPr>
          <w:noProof w:val="0"/>
          <w:lang w:val="en-US"/>
        </w:rPr>
        <w:t xml:space="preserve"> of stress.</w:t>
      </w:r>
    </w:p>
    <w:p w:rsidR="785BB7D9" w:rsidP="7DC1F745" w:rsidRDefault="785BB7D9" w14:paraId="3D51BFF9" w14:textId="50AD455E">
      <w:pPr>
        <w:pStyle w:val="CETBodytext"/>
        <w:bidi w:val="0"/>
        <w:jc w:val="right"/>
        <w:rPr>
          <w:noProof w:val="0"/>
          <w:lang w:val="en-US"/>
        </w:rPr>
      </w:pPr>
    </w:p>
    <w:p w:rsidR="1757947C" w:rsidP="785BB7D9" w:rsidRDefault="1757947C" w14:paraId="1E5AF590" w14:textId="7163DCC8">
      <w:pPr>
        <w:pStyle w:val="CETBodytext"/>
        <w:bidi w:val="0"/>
      </w:pPr>
      <w:r w:rsidRPr="7DC1F745" w:rsidR="44EC461A">
        <w:rPr>
          <w:noProof w:val="0"/>
          <w:lang w:val="en-US"/>
        </w:rPr>
        <w:t>To comprehensively analyze the ergonomic aspects, various devices and questionnaires were employed:</w:t>
      </w:r>
    </w:p>
    <w:p w:rsidR="7DC1F745" w:rsidP="7DC1F745" w:rsidRDefault="7DC1F745" w14:paraId="486B1373" w14:textId="17208F93">
      <w:pPr>
        <w:pStyle w:val="CETBodytext"/>
        <w:bidi w:val="0"/>
        <w:rPr>
          <w:noProof w:val="0"/>
          <w:lang w:val="en-US"/>
        </w:rPr>
      </w:pPr>
    </w:p>
    <w:p w:rsidR="1757947C" w:rsidP="785BB7D9" w:rsidRDefault="1757947C" w14:paraId="22F88360" w14:textId="43EBEC3C">
      <w:pPr>
        <w:pStyle w:val="CETListbullets"/>
        <w:numPr>
          <w:ilvl w:val="0"/>
          <w:numId w:val="27"/>
        </w:numPr>
        <w:bidi w:val="0"/>
        <w:rPr>
          <w:noProof w:val="0"/>
          <w:lang w:val="en-US"/>
        </w:rPr>
      </w:pPr>
      <w:r w:rsidRPr="7DC1F745" w:rsidR="4B84F0F4">
        <w:rPr>
          <w:noProof w:val="0"/>
          <w:lang w:val="en-US"/>
        </w:rPr>
        <w:t xml:space="preserve">Questionnaires: Self-assessment questionnaires were </w:t>
      </w:r>
      <w:r w:rsidRPr="7DC1F745" w:rsidR="4B84F0F4">
        <w:rPr>
          <w:noProof w:val="0"/>
          <w:lang w:val="en-US"/>
        </w:rPr>
        <w:t>utilized</w:t>
      </w:r>
      <w:r w:rsidRPr="7DC1F745" w:rsidR="4B84F0F4">
        <w:rPr>
          <w:noProof w:val="0"/>
          <w:lang w:val="en-US"/>
        </w:rPr>
        <w:t xml:space="preserve"> to capture subjective </w:t>
      </w:r>
      <w:r w:rsidRPr="7DC1F745" w:rsidR="4B84F0F4">
        <w:rPr>
          <w:noProof w:val="0"/>
          <w:lang w:val="en-US"/>
        </w:rPr>
        <w:t>perceptions</w:t>
      </w:r>
      <w:r w:rsidRPr="7DC1F745" w:rsidR="4B84F0F4">
        <w:rPr>
          <w:noProof w:val="0"/>
          <w:lang w:val="en-US"/>
        </w:rPr>
        <w:t xml:space="preserve"> of workload, stress, and discomfort. Tools like the NASA-TLX were employed to gauge cognitive workload, while standardized stress questionnaires evaluated the psychological impact of the work environment. Additionally, postural discomfort questionnaires allowed participants to rate discomfort in different body parts on a scale from 1 to 5, contributing to assessing the physical and cognitive ergonomics.</w:t>
      </w:r>
      <w:r w:rsidRPr="7DC1F745" w:rsidR="4B84F0F4">
        <w:rPr>
          <w:noProof w:val="0"/>
          <w:lang w:val="en-US"/>
        </w:rPr>
        <w:t xml:space="preserve"> </w:t>
      </w:r>
    </w:p>
    <w:p w:rsidR="1757947C" w:rsidP="785BB7D9" w:rsidRDefault="1757947C" w14:paraId="5E875183" w14:textId="40CB09E0">
      <w:pPr>
        <w:pStyle w:val="CETListbullets"/>
        <w:numPr>
          <w:ilvl w:val="0"/>
          <w:numId w:val="27"/>
        </w:numPr>
        <w:bidi w:val="0"/>
        <w:rPr>
          <w:noProof w:val="0"/>
          <w:lang w:val="en-US"/>
        </w:rPr>
      </w:pPr>
      <w:r w:rsidRPr="7DC1F745" w:rsidR="44EC461A">
        <w:rPr>
          <w:noProof w:val="0"/>
          <w:lang w:val="en-US"/>
        </w:rPr>
        <w:t xml:space="preserve">Wearable </w:t>
      </w:r>
      <w:r w:rsidRPr="7DC1F745" w:rsidR="473ADD3D">
        <w:rPr>
          <w:noProof w:val="0"/>
          <w:lang w:val="en-US"/>
        </w:rPr>
        <w:t>d</w:t>
      </w:r>
      <w:r w:rsidRPr="7DC1F745" w:rsidR="44EC461A">
        <w:rPr>
          <w:noProof w:val="0"/>
          <w:lang w:val="en-US"/>
        </w:rPr>
        <w:t>evices</w:t>
      </w:r>
      <w:r w:rsidRPr="7DC1F745" w:rsidR="44EC461A">
        <w:rPr>
          <w:noProof w:val="0"/>
          <w:lang w:val="en-US"/>
        </w:rPr>
        <w:t>: Non-invasive wearable devices, such as smartwatches, were used to collect real-time physiological data, including heart rate, skin temperature, and electrodermal activity. These devices provided objective metrics for assessing both physical exertion and stress levels, aiding in the evaluation of physical and cognitive ergonomics.</w:t>
      </w:r>
    </w:p>
    <w:p w:rsidR="1757947C" w:rsidP="785BB7D9" w:rsidRDefault="1757947C" w14:paraId="6269914A" w14:textId="0E8FDC34">
      <w:pPr>
        <w:pStyle w:val="CETListbullets"/>
        <w:numPr>
          <w:ilvl w:val="0"/>
          <w:numId w:val="27"/>
        </w:numPr>
        <w:bidi w:val="0"/>
        <w:rPr>
          <w:noProof w:val="0"/>
          <w:lang w:val="en-US"/>
        </w:rPr>
      </w:pPr>
      <w:r w:rsidRPr="7DC1F745" w:rsidR="44EC461A">
        <w:rPr>
          <w:noProof w:val="0"/>
          <w:lang w:val="en-US"/>
        </w:rPr>
        <w:t xml:space="preserve">Motion </w:t>
      </w:r>
      <w:r w:rsidRPr="7DC1F745" w:rsidR="69DB0001">
        <w:rPr>
          <w:noProof w:val="0"/>
          <w:lang w:val="en-US"/>
        </w:rPr>
        <w:t>c</w:t>
      </w:r>
      <w:r w:rsidRPr="7DC1F745" w:rsidR="44EC461A">
        <w:rPr>
          <w:noProof w:val="0"/>
          <w:lang w:val="en-US"/>
        </w:rPr>
        <w:t xml:space="preserve">apture </w:t>
      </w:r>
      <w:r w:rsidRPr="7DC1F745" w:rsidR="24628141">
        <w:rPr>
          <w:noProof w:val="0"/>
          <w:lang w:val="en-US"/>
        </w:rPr>
        <w:t>s</w:t>
      </w:r>
      <w:r w:rsidRPr="7DC1F745" w:rsidR="44EC461A">
        <w:rPr>
          <w:noProof w:val="0"/>
          <w:lang w:val="en-US"/>
        </w:rPr>
        <w:t xml:space="preserve">ystems: Motion capture technology was employed to </w:t>
      </w:r>
      <w:r w:rsidRPr="7DC1F745" w:rsidR="44EC461A">
        <w:rPr>
          <w:noProof w:val="0"/>
          <w:lang w:val="en-US"/>
        </w:rPr>
        <w:t>monitor</w:t>
      </w:r>
      <w:r w:rsidRPr="7DC1F745" w:rsidR="44EC461A">
        <w:rPr>
          <w:noProof w:val="0"/>
          <w:lang w:val="en-US"/>
        </w:rPr>
        <w:t xml:space="preserve"> operators' postures and movements</w:t>
      </w:r>
      <w:r w:rsidRPr="7DC1F745" w:rsidR="44EC461A">
        <w:rPr>
          <w:noProof w:val="0"/>
          <w:lang w:val="en-US"/>
        </w:rPr>
        <w:t xml:space="preserve"> during their tasks. This approach helped </w:t>
      </w:r>
      <w:r w:rsidRPr="7DC1F745" w:rsidR="44EC461A">
        <w:rPr>
          <w:noProof w:val="0"/>
          <w:lang w:val="en-US"/>
        </w:rPr>
        <w:t>identify</w:t>
      </w:r>
      <w:r w:rsidRPr="7DC1F745" w:rsidR="44EC461A">
        <w:rPr>
          <w:noProof w:val="0"/>
          <w:lang w:val="en-US"/>
        </w:rPr>
        <w:t xml:space="preserve"> awkward postures and repetitive </w:t>
      </w:r>
      <w:r w:rsidRPr="7DC1F745" w:rsidR="44EC461A">
        <w:rPr>
          <w:noProof w:val="0"/>
          <w:lang w:val="en-US"/>
        </w:rPr>
        <w:t>movements</w:t>
      </w:r>
      <w:r w:rsidRPr="7DC1F745" w:rsidR="44EC461A">
        <w:rPr>
          <w:noProof w:val="0"/>
          <w:lang w:val="en-US"/>
        </w:rPr>
        <w:t xml:space="preserve"> contributing to biomechanical risks.</w:t>
      </w:r>
    </w:p>
    <w:p w:rsidR="1757947C" w:rsidP="785BB7D9" w:rsidRDefault="1757947C" w14:paraId="29295166" w14:textId="61FFA703">
      <w:pPr>
        <w:pStyle w:val="CETListbullets"/>
        <w:numPr>
          <w:ilvl w:val="0"/>
          <w:numId w:val="27"/>
        </w:numPr>
        <w:bidi w:val="0"/>
        <w:rPr>
          <w:noProof w:val="0"/>
          <w:lang w:val="en-US"/>
        </w:rPr>
      </w:pPr>
      <w:r w:rsidRPr="7DC1F745" w:rsidR="44EC461A">
        <w:rPr>
          <w:noProof w:val="0"/>
          <w:lang w:val="en-US"/>
        </w:rPr>
        <w:t xml:space="preserve">Environmental </w:t>
      </w:r>
      <w:r w:rsidRPr="7DC1F745" w:rsidR="17AC91E6">
        <w:rPr>
          <w:noProof w:val="0"/>
          <w:lang w:val="en-US"/>
        </w:rPr>
        <w:t>s</w:t>
      </w:r>
      <w:r w:rsidRPr="7DC1F745" w:rsidR="44EC461A">
        <w:rPr>
          <w:noProof w:val="0"/>
          <w:lang w:val="en-US"/>
        </w:rPr>
        <w:t>ensors</w:t>
      </w:r>
      <w:r w:rsidRPr="7DC1F745" w:rsidR="44EC461A">
        <w:rPr>
          <w:noProof w:val="0"/>
          <w:lang w:val="en-US"/>
        </w:rPr>
        <w:t xml:space="preserve">: Environmental conditions, including temperature, humidity, noise, and lighting, were </w:t>
      </w:r>
      <w:r w:rsidRPr="7DC1F745" w:rsidR="44EC461A">
        <w:rPr>
          <w:noProof w:val="0"/>
          <w:lang w:val="en-US"/>
        </w:rPr>
        <w:t>monitored</w:t>
      </w:r>
      <w:r w:rsidRPr="7DC1F745" w:rsidR="44EC461A">
        <w:rPr>
          <w:noProof w:val="0"/>
          <w:lang w:val="en-US"/>
        </w:rPr>
        <w:t xml:space="preserve"> with dedicated sensors to assess the workplace microclimate and its influence on worker comfort and performance, addressing environmental ergonomic aspects.</w:t>
      </w:r>
    </w:p>
    <w:p w:rsidR="785BB7D9" w:rsidP="785BB7D9" w:rsidRDefault="785BB7D9" w14:paraId="7C10CE5F" w14:textId="7180FD16">
      <w:pPr>
        <w:pStyle w:val="CETListbullets"/>
        <w:bidi w:val="0"/>
        <w:ind w:left="473"/>
        <w:rPr>
          <w:noProof w:val="0"/>
          <w:lang w:val="en-US"/>
        </w:rPr>
      </w:pPr>
    </w:p>
    <w:p w:rsidR="785BB7D9" w:rsidP="7DC1F745" w:rsidRDefault="785BB7D9" w14:paraId="187B3D54" w14:textId="42097CFC">
      <w:pPr>
        <w:pStyle w:val="CETBodytext"/>
        <w:suppressLineNumbers w:val="0"/>
        <w:spacing w:before="0" w:beforeAutospacing="off" w:after="0" w:afterAutospacing="off" w:line="264" w:lineRule="auto"/>
        <w:ind w:left="0" w:right="0"/>
        <w:jc w:val="both"/>
        <w:rPr>
          <w:noProof w:val="0"/>
          <w:lang w:val="en-US"/>
        </w:rPr>
      </w:pPr>
      <w:r w:rsidRPr="7DC1F745" w:rsidR="44EC461A">
        <w:rPr>
          <w:noProof w:val="0"/>
          <w:lang w:val="en-US"/>
        </w:rPr>
        <w:t>Additional</w:t>
      </w:r>
      <w:r w:rsidRPr="7DC1F745" w:rsidR="44EC461A">
        <w:rPr>
          <w:noProof w:val="0"/>
          <w:lang w:val="en-US"/>
        </w:rPr>
        <w:t xml:space="preserve"> </w:t>
      </w:r>
      <w:r w:rsidRPr="7DC1F745" w:rsidR="164F2409">
        <w:rPr>
          <w:noProof w:val="0"/>
          <w:lang w:val="en-US"/>
        </w:rPr>
        <w:t xml:space="preserve">wearable </w:t>
      </w:r>
      <w:r w:rsidRPr="7DC1F745" w:rsidR="44EC461A">
        <w:rPr>
          <w:noProof w:val="0"/>
          <w:lang w:val="en-US"/>
        </w:rPr>
        <w:t>devices</w:t>
      </w:r>
      <w:r w:rsidRPr="7DC1F745" w:rsidR="1D0E4C51">
        <w:rPr>
          <w:noProof w:val="0"/>
          <w:lang w:val="en-US"/>
        </w:rPr>
        <w:t xml:space="preserve"> and questionnaires</w:t>
      </w:r>
      <w:r w:rsidRPr="7DC1F745" w:rsidR="44EC461A">
        <w:rPr>
          <w:noProof w:val="0"/>
          <w:lang w:val="en-US"/>
        </w:rPr>
        <w:t xml:space="preserve"> were also included in the setup to </w:t>
      </w:r>
      <w:r w:rsidRPr="7DC1F745" w:rsidR="44EC461A">
        <w:rPr>
          <w:noProof w:val="0"/>
          <w:lang w:val="en-US"/>
        </w:rPr>
        <w:t>identify</w:t>
      </w:r>
      <w:r w:rsidRPr="7DC1F745" w:rsidR="44EC461A">
        <w:rPr>
          <w:noProof w:val="0"/>
          <w:lang w:val="en-US"/>
        </w:rPr>
        <w:t xml:space="preserve"> risks</w:t>
      </w:r>
      <w:r w:rsidRPr="7DC1F745" w:rsidR="77A541AC">
        <w:rPr>
          <w:noProof w:val="0"/>
          <w:lang w:val="en-US"/>
        </w:rPr>
        <w:t>,</w:t>
      </w:r>
      <w:r w:rsidRPr="7DC1F745" w:rsidR="44EC461A">
        <w:rPr>
          <w:noProof w:val="0"/>
          <w:lang w:val="en-US"/>
        </w:rPr>
        <w:t xml:space="preserve"> </w:t>
      </w:r>
      <w:r w:rsidRPr="7DC1F745" w:rsidR="31B12C3B">
        <w:rPr>
          <w:noProof w:val="0"/>
          <w:lang w:val="en-US"/>
        </w:rPr>
        <w:t>such as</w:t>
      </w:r>
      <w:r w:rsidRPr="7DC1F745" w:rsidR="44EC461A">
        <w:rPr>
          <w:noProof w:val="0"/>
          <w:lang w:val="en-US"/>
        </w:rPr>
        <w:t xml:space="preserve"> visual and physical fatigue. However, the preliminary results presented in this </w:t>
      </w:r>
      <w:r w:rsidRPr="7DC1F745" w:rsidR="4A49863D">
        <w:rPr>
          <w:noProof w:val="0"/>
          <w:lang w:val="en-US"/>
        </w:rPr>
        <w:t>article</w:t>
      </w:r>
      <w:r w:rsidRPr="7DC1F745" w:rsidR="44EC461A">
        <w:rPr>
          <w:noProof w:val="0"/>
          <w:lang w:val="en-US"/>
        </w:rPr>
        <w:t xml:space="preserve"> primarily focus on stress and biomechanical risks, which were identified as the highest priority for mitigation in this company.</w:t>
      </w:r>
    </w:p>
    <w:p w:rsidR="33CF1CEC" w:rsidP="785BB7D9" w:rsidRDefault="33CF1CEC" w14:paraId="131EF948" w14:textId="1E846AF5">
      <w:pPr>
        <w:pStyle w:val="CETheadingx"/>
        <w:suppressLineNumbers w:val="0"/>
        <w:bidi w:val="0"/>
        <w:spacing w:before="120" w:beforeAutospacing="off" w:after="120" w:afterAutospacing="off" w:line="240" w:lineRule="auto"/>
        <w:ind w:left="0" w:right="0"/>
        <w:jc w:val="left"/>
        <w:rPr/>
      </w:pPr>
      <w:r w:rsidR="33CF1CEC">
        <w:rPr/>
        <w:t>Subjects</w:t>
      </w:r>
    </w:p>
    <w:p w:rsidR="785BB7D9" w:rsidP="7DC1F745" w:rsidRDefault="785BB7D9" w14:paraId="0F348935" w14:textId="00ADBE05">
      <w:pPr>
        <w:pStyle w:val="CETBodytext"/>
        <w:rPr>
          <w:noProof w:val="0"/>
          <w:lang w:val="en-US"/>
        </w:rPr>
      </w:pPr>
      <w:r w:rsidRPr="4394932E" w:rsidR="209D7D62">
        <w:rPr>
          <w:noProof w:val="0"/>
          <w:lang w:val="en-US"/>
        </w:rPr>
        <w:t xml:space="preserve">A total of 43 full-time operators participated in the data collection, comprising 42 females and 1 male, as this activity is predominantly performed by women in this factory. The participants had an average age of 32.27 years (SD = 7.46), with company experience ranging from 2 months to 23 years. </w:t>
      </w:r>
      <w:r w:rsidRPr="4394932E" w:rsidR="6BA44A4E">
        <w:rPr>
          <w:noProof w:val="0"/>
          <w:lang w:val="en-US"/>
        </w:rPr>
        <w:t xml:space="preserve">Individuals with current or past injuries, pain, discomfort, medical disorders, or those using medication were excluded during the </w:t>
      </w:r>
      <w:r w:rsidRPr="4394932E" w:rsidR="6BA44A4E">
        <w:rPr>
          <w:noProof w:val="0"/>
          <w:lang w:val="en-US"/>
        </w:rPr>
        <w:t>initial</w:t>
      </w:r>
      <w:r w:rsidRPr="4394932E" w:rsidR="6BA44A4E">
        <w:rPr>
          <w:noProof w:val="0"/>
          <w:lang w:val="en-US"/>
        </w:rPr>
        <w:t xml:space="preserve"> screening process. Additionally, participants with specific vision impairments, such as wearing glasses with more than one power, undergoing eye surgeries (e.g., LASIK, RK, cataract, intraocular implants), or experiencing eye conditions like amblyopia (lazy eye), strabismus, or nystagmus, were also excluded.</w:t>
      </w:r>
      <w:r w:rsidRPr="4394932E" w:rsidR="5DDEAEA2">
        <w:rPr>
          <w:noProof w:val="0"/>
          <w:lang w:val="en-US"/>
        </w:rPr>
        <w:t xml:space="preserve"> </w:t>
      </w:r>
      <w:r w:rsidRPr="4394932E" w:rsidR="6BA44A4E">
        <w:rPr>
          <w:noProof w:val="0"/>
          <w:lang w:val="en-US"/>
        </w:rPr>
        <w:t xml:space="preserve">Participation was voluntary, with participants recruited directly from the production line without any financial compensation for their involvement. All data collected were pseudonymized to ensure that individual participants could not be </w:t>
      </w:r>
      <w:r w:rsidRPr="4394932E" w:rsidR="6BA44A4E">
        <w:rPr>
          <w:noProof w:val="0"/>
          <w:lang w:val="en-US"/>
        </w:rPr>
        <w:t>identified</w:t>
      </w:r>
      <w:r w:rsidRPr="4394932E" w:rsidR="6BA44A4E">
        <w:rPr>
          <w:noProof w:val="0"/>
          <w:lang w:val="en-US"/>
        </w:rPr>
        <w:t xml:space="preserve">. Prior to data collection, each participant received an informed consent form. Participants were given ample time to review and understand this information before deciding whether to </w:t>
      </w:r>
      <w:r w:rsidRPr="4394932E" w:rsidR="6BA44A4E">
        <w:rPr>
          <w:noProof w:val="0"/>
          <w:lang w:val="en-US"/>
        </w:rPr>
        <w:t>participate</w:t>
      </w:r>
      <w:r w:rsidRPr="4394932E" w:rsidR="6BA44A4E">
        <w:rPr>
          <w:noProof w:val="0"/>
          <w:lang w:val="en-US"/>
        </w:rPr>
        <w:t>, and they were allowed to withdraw from the study at any point without any repercussions. The research protocol adhered to the principles outlined in the Declaration of Helsinki and received approval from the Ethics Committee at Fundación Universidad de América (</w:t>
      </w:r>
      <w:r w:rsidRPr="4394932E" w:rsidR="5122A7C7">
        <w:rPr>
          <w:noProof w:val="0"/>
          <w:lang w:val="en-US"/>
        </w:rPr>
        <w:t>p</w:t>
      </w:r>
      <w:r w:rsidRPr="4394932E" w:rsidR="6BA44A4E">
        <w:rPr>
          <w:noProof w:val="0"/>
          <w:lang w:val="en-US"/>
        </w:rPr>
        <w:t xml:space="preserve">rotocol </w:t>
      </w:r>
      <w:r w:rsidRPr="4394932E" w:rsidR="17E1FDD4">
        <w:rPr>
          <w:noProof w:val="0"/>
          <w:lang w:val="en-US"/>
        </w:rPr>
        <w:t>n</w:t>
      </w:r>
      <w:r w:rsidRPr="4394932E" w:rsidR="6BA44A4E">
        <w:rPr>
          <w:noProof w:val="0"/>
          <w:lang w:val="en-US"/>
        </w:rPr>
        <w:t>umber: 002-2024).</w:t>
      </w:r>
    </w:p>
    <w:p w:rsidR="50D4EFCE" w:rsidP="785BB7D9" w:rsidRDefault="50D4EFCE" w14:paraId="2E53525E" w14:textId="00E90681">
      <w:pPr>
        <w:pStyle w:val="CETheadingx"/>
        <w:bidi w:val="0"/>
        <w:rPr/>
      </w:pPr>
      <w:r w:rsidR="50D4EFCE">
        <w:rPr/>
        <w:t>Procedure</w:t>
      </w:r>
    </w:p>
    <w:p w:rsidR="785BB7D9" w:rsidP="785BB7D9" w:rsidRDefault="785BB7D9" w14:paraId="51182332" w14:textId="40CC2AE5">
      <w:pPr>
        <w:pStyle w:val="CETBodytext"/>
        <w:rPr>
          <w:noProof w:val="0"/>
          <w:lang w:val="en-US"/>
        </w:rPr>
      </w:pPr>
      <w:r w:rsidRPr="4394932E" w:rsidR="5FBCA451">
        <w:rPr>
          <w:noProof w:val="0"/>
          <w:lang w:val="en-US"/>
        </w:rPr>
        <w:t>The research procedure is illustrated in the flowchart provided (Figure 1). After confirming inclusion criteria for participant eligibility, informed consent was obtained, and the setup of wearable sensors and Microsoft Kinect cameras for continuous monitoring was completed. Baseline surveys were conducted to collect subjective information on stress, workload, and well-being. Participants were then fitted with smartwatches</w:t>
      </w:r>
      <w:r w:rsidRPr="4394932E" w:rsidR="564B4E26">
        <w:rPr>
          <w:noProof w:val="0"/>
          <w:lang w:val="en-US"/>
        </w:rPr>
        <w:t xml:space="preserve"> (</w:t>
      </w:r>
      <w:r w:rsidRPr="4394932E" w:rsidR="564B4E26">
        <w:rPr>
          <w:noProof w:val="0"/>
          <w:lang w:val="en-GB"/>
        </w:rPr>
        <w:t>Albarrán</w:t>
      </w:r>
      <w:r w:rsidRPr="4394932E" w:rsidR="69526C1E">
        <w:rPr>
          <w:noProof w:val="0"/>
          <w:lang w:val="en-GB"/>
        </w:rPr>
        <w:t xml:space="preserve"> Morillo</w:t>
      </w:r>
      <w:r w:rsidRPr="4394932E" w:rsidR="564B4E26">
        <w:rPr>
          <w:noProof w:val="0"/>
          <w:lang w:val="en-GB"/>
        </w:rPr>
        <w:t xml:space="preserve"> and </w:t>
      </w:r>
      <w:r w:rsidRPr="4394932E" w:rsidR="564B4E26">
        <w:rPr>
          <w:noProof w:val="0"/>
          <w:lang w:val="en-GB"/>
        </w:rPr>
        <w:t>Demichela</w:t>
      </w:r>
      <w:r w:rsidRPr="4394932E" w:rsidR="564B4E26">
        <w:rPr>
          <w:noProof w:val="0"/>
          <w:lang w:val="en-GB"/>
        </w:rPr>
        <w:t>, 2023</w:t>
      </w:r>
      <w:r w:rsidRPr="4394932E" w:rsidR="564B4E26">
        <w:rPr>
          <w:noProof w:val="0"/>
          <w:lang w:val="en-US"/>
        </w:rPr>
        <w:t>)</w:t>
      </w:r>
      <w:r w:rsidRPr="4394932E" w:rsidR="5FBCA451">
        <w:rPr>
          <w:noProof w:val="0"/>
          <w:lang w:val="en-US"/>
        </w:rPr>
        <w:t xml:space="preserve"> to gather physiological data, including heart rate, electrodermal activity, and skin temperature, while environmental parameters such as humidity, temperature, illuminance, and noise were recorded at the start of each trial. Baseline measurements were collected over a two-minute period to </w:t>
      </w:r>
      <w:r w:rsidRPr="4394932E" w:rsidR="5FBCA451">
        <w:rPr>
          <w:noProof w:val="0"/>
          <w:lang w:val="en-US"/>
        </w:rPr>
        <w:t>establish</w:t>
      </w:r>
      <w:r w:rsidRPr="4394932E" w:rsidR="5FBCA451">
        <w:rPr>
          <w:noProof w:val="0"/>
          <w:lang w:val="en-US"/>
        </w:rPr>
        <w:t xml:space="preserve"> reference values for </w:t>
      </w:r>
      <w:r w:rsidRPr="4394932E" w:rsidR="5FBCA451">
        <w:rPr>
          <w:noProof w:val="0"/>
          <w:lang w:val="en-US"/>
        </w:rPr>
        <w:t>subsequent</w:t>
      </w:r>
      <w:r w:rsidRPr="4394932E" w:rsidR="5FBCA451">
        <w:rPr>
          <w:noProof w:val="0"/>
          <w:lang w:val="en-US"/>
        </w:rPr>
        <w:t xml:space="preserve"> activities. Participants then performed </w:t>
      </w:r>
      <w:r w:rsidRPr="4394932E" w:rsidR="4CC1999A">
        <w:rPr>
          <w:noProof w:val="0"/>
          <w:lang w:val="en-US"/>
        </w:rPr>
        <w:t xml:space="preserve">inspection and packing </w:t>
      </w:r>
      <w:r w:rsidRPr="4394932E" w:rsidR="5FBCA451">
        <w:rPr>
          <w:noProof w:val="0"/>
          <w:lang w:val="en-US"/>
        </w:rPr>
        <w:t>routine tasks</w:t>
      </w:r>
      <w:r w:rsidRPr="4394932E" w:rsidR="5FBCA451">
        <w:rPr>
          <w:noProof w:val="0"/>
          <w:lang w:val="en-US"/>
        </w:rPr>
        <w:t xml:space="preserve"> for 20 minutes while </w:t>
      </w:r>
      <w:r w:rsidRPr="4394932E" w:rsidR="5FBCA451">
        <w:rPr>
          <w:noProof w:val="0"/>
          <w:lang w:val="en-US"/>
        </w:rPr>
        <w:t>monitored</w:t>
      </w:r>
      <w:r w:rsidRPr="4394932E" w:rsidR="5FBCA451">
        <w:rPr>
          <w:noProof w:val="0"/>
          <w:lang w:val="en-US"/>
        </w:rPr>
        <w:t xml:space="preserve"> by t</w:t>
      </w:r>
      <w:r w:rsidRPr="4394932E" w:rsidR="5FBCA451">
        <w:rPr>
          <w:noProof w:val="0"/>
          <w:lang w:val="en-US"/>
        </w:rPr>
        <w:t>he Kinect system</w:t>
      </w:r>
      <w:r w:rsidRPr="4394932E" w:rsidR="13A69599">
        <w:rPr>
          <w:noProof w:val="0"/>
          <w:lang w:val="en-US"/>
        </w:rPr>
        <w:t xml:space="preserve"> </w:t>
      </w:r>
      <w:r w:rsidRPr="4394932E" w:rsidR="13A69599">
        <w:rPr>
          <w:noProof w:val="0"/>
          <w:lang w:val="en-US"/>
        </w:rPr>
        <w:t>to capture workers' movements and postures for semi-automated biomechanical risk assessment using the OCRA Checklist</w:t>
      </w:r>
      <w:r w:rsidRPr="4394932E" w:rsidR="5FBCA451">
        <w:rPr>
          <w:noProof w:val="0"/>
          <w:lang w:val="en-US"/>
        </w:rPr>
        <w:t xml:space="preserve"> and wearing</w:t>
      </w:r>
      <w:r w:rsidRPr="4394932E" w:rsidR="389D73DE">
        <w:rPr>
          <w:noProof w:val="0"/>
          <w:lang w:val="en-US"/>
        </w:rPr>
        <w:t xml:space="preserve"> a</w:t>
      </w:r>
      <w:r w:rsidRPr="4394932E" w:rsidR="5FBCA451">
        <w:rPr>
          <w:noProof w:val="0"/>
          <w:lang w:val="en-US"/>
        </w:rPr>
        <w:t xml:space="preserve"> smartwatch. This setup aimed to accurately capture both ergonomic and physiological data, </w:t>
      </w:r>
      <w:r w:rsidRPr="4394932E" w:rsidR="5FBCA451">
        <w:rPr>
          <w:noProof w:val="0"/>
          <w:lang w:val="en-US"/>
        </w:rPr>
        <w:t>identifying</w:t>
      </w:r>
      <w:r w:rsidRPr="4394932E" w:rsidR="5FBCA451">
        <w:rPr>
          <w:noProof w:val="0"/>
          <w:lang w:val="en-US"/>
        </w:rPr>
        <w:t xml:space="preserve"> stress and biomechanical risks. The session concluded with the cessation of data recording, and the protocol was repeated at the start and end of each 8-hour work shift</w:t>
      </w:r>
      <w:r w:rsidRPr="4394932E" w:rsidR="0DF6C6A8">
        <w:rPr>
          <w:noProof w:val="0"/>
          <w:lang w:val="en-US"/>
        </w:rPr>
        <w:t>.</w:t>
      </w:r>
    </w:p>
    <w:p w:rsidR="785BB7D9" w:rsidP="785BB7D9" w:rsidRDefault="785BB7D9" w14:paraId="627DCF1A" w14:textId="17B08D8D">
      <w:pPr>
        <w:pStyle w:val="CETBodytext"/>
        <w:rPr>
          <w:noProof w:val="0"/>
          <w:lang w:val="en-US"/>
        </w:rPr>
      </w:pPr>
    </w:p>
    <w:p w:rsidR="785BB7D9" w:rsidP="7DC1F745" w:rsidRDefault="785BB7D9" w14:paraId="4218F439" w14:textId="660618B8">
      <w:pPr>
        <w:pStyle w:val="CETBodytext"/>
        <w:jc w:val="left"/>
        <w:rPr>
          <w:noProof w:val="0"/>
          <w:lang w:val="en-US"/>
        </w:rPr>
      </w:pPr>
      <w:r w:rsidR="4BEF05D2">
        <w:drawing>
          <wp:inline wp14:editId="7772C5E0" wp14:anchorId="3CE3F693">
            <wp:extent cx="5338322" cy="2286552"/>
            <wp:effectExtent l="0" t="0" r="0" b="0"/>
            <wp:docPr id="76636570" name="" title=""/>
            <wp:cNvGraphicFramePr>
              <a:graphicFrameLocks noChangeAspect="1"/>
            </wp:cNvGraphicFramePr>
            <a:graphic>
              <a:graphicData uri="http://schemas.openxmlformats.org/drawingml/2006/picture">
                <pic:pic>
                  <pic:nvPicPr>
                    <pic:cNvPr id="0" name=""/>
                    <pic:cNvPicPr/>
                  </pic:nvPicPr>
                  <pic:blipFill>
                    <a:blip r:embed="Ra083621a3c244e4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338322" cy="2286552"/>
                    </a:xfrm>
                    <a:prstGeom prst="rect">
                      <a:avLst/>
                    </a:prstGeom>
                  </pic:spPr>
                </pic:pic>
              </a:graphicData>
            </a:graphic>
          </wp:inline>
        </w:drawing>
      </w:r>
    </w:p>
    <w:p w:rsidR="785BB7D9" w:rsidP="7DC1F745" w:rsidRDefault="785BB7D9" w14:paraId="39D90DFF" w14:textId="7835AAAD">
      <w:pPr>
        <w:pStyle w:val="CETBodytext"/>
        <w:jc w:val="left"/>
        <w:rPr>
          <w:noProof w:val="0"/>
          <w:lang w:val="en-US"/>
        </w:rPr>
      </w:pPr>
      <w:r w:rsidRPr="7DC1F745" w:rsidR="4BEF05D2">
        <w:rPr>
          <w:rStyle w:val="CETCaptionCarattere"/>
          <w:i w:val="1"/>
          <w:iCs w:val="1"/>
        </w:rPr>
        <w:t>Figure 1: Data collection procedure</w:t>
      </w:r>
    </w:p>
    <w:p w:rsidR="6A98A18C" w:rsidP="785BB7D9" w:rsidRDefault="6A98A18C" w14:paraId="4FB6554A" w14:textId="22F80AAA">
      <w:pPr>
        <w:pStyle w:val="CETHeading1"/>
        <w:suppressLineNumbers w:val="0"/>
        <w:bidi w:val="0"/>
        <w:spacing w:before="240" w:beforeAutospacing="off" w:after="120" w:afterAutospacing="off" w:line="240" w:lineRule="auto"/>
        <w:ind w:left="0" w:right="0"/>
        <w:jc w:val="both"/>
        <w:rPr>
          <w:lang w:val="en-GB"/>
        </w:rPr>
      </w:pPr>
      <w:r w:rsidRPr="7DC1F745" w:rsidR="1B3EA391">
        <w:rPr>
          <w:lang w:val="en-GB"/>
        </w:rPr>
        <w:t>Results and discussion</w:t>
      </w:r>
    </w:p>
    <w:p w:rsidR="6C66A05D" w:rsidP="7DC1F745" w:rsidRDefault="6C66A05D" w14:paraId="1A9BA233" w14:textId="366D44B2">
      <w:pPr>
        <w:pStyle w:val="CETBodytext"/>
        <w:bidi w:val="0"/>
        <w:rPr>
          <w:lang w:val="en-GB"/>
        </w:rPr>
      </w:pPr>
      <w:r w:rsidRPr="7DC1F745" w:rsidR="6C66A05D">
        <w:rPr>
          <w:lang w:val="en-GB"/>
        </w:rPr>
        <w:t>In this section, we present the most significant findings, structured into two key areas: the identification of the highest biomechanical risks through a comprehensive physical ergonomic assessment and the detection of elevated stress levels via cognitive ergonomic analysis.</w:t>
      </w:r>
    </w:p>
    <w:p w:rsidR="65EB8A91" w:rsidP="7DC1F745" w:rsidRDefault="65EB8A91" w14:paraId="5F9CD201" w14:textId="430FA355">
      <w:pPr>
        <w:pStyle w:val="CETheadingx"/>
        <w:suppressLineNumbers w:val="0"/>
        <w:bidi w:val="0"/>
        <w:spacing w:before="120" w:beforeAutospacing="off" w:after="120" w:afterAutospacing="off" w:line="240" w:lineRule="auto"/>
        <w:ind w:left="0" w:right="0"/>
        <w:jc w:val="left"/>
        <w:rPr/>
      </w:pPr>
      <w:r w:rsidR="65EB8A91">
        <w:rPr/>
        <w:t>Physical ergonomic assessment</w:t>
      </w:r>
    </w:p>
    <w:p w:rsidR="628037BE" w:rsidP="7DC1F745" w:rsidRDefault="628037BE" w14:paraId="5E4D7FA8" w14:textId="6AE78231">
      <w:pPr>
        <w:pStyle w:val="CETBodytext"/>
        <w:suppressLineNumbers w:val="0"/>
        <w:bidi w:val="0"/>
        <w:rPr>
          <w:noProof w:val="0"/>
          <w:lang w:val="en-US"/>
        </w:rPr>
      </w:pPr>
      <w:r w:rsidRPr="7DC1F745" w:rsidR="628037BE">
        <w:rPr>
          <w:noProof w:val="0"/>
          <w:lang w:val="en-US"/>
        </w:rPr>
        <w:t>The physical ergonomic assessment focused on the mechanical and physical interactions between workers and their work environment, particularly in relation to WMSDs</w:t>
      </w:r>
      <w:r w:rsidRPr="7DC1F745" w:rsidR="0FFA3E90">
        <w:rPr>
          <w:noProof w:val="0"/>
          <w:lang w:val="en-US"/>
        </w:rPr>
        <w:t xml:space="preserve"> </w:t>
      </w:r>
      <w:r w:rsidRPr="7DC1F745" w:rsidR="628037BE">
        <w:rPr>
          <w:noProof w:val="0"/>
          <w:lang w:val="en-US"/>
        </w:rPr>
        <w:t>stemming from the natural characteristics of the tasks performed in the factory. Conventional risk assessment tools, such as OCRA</w:t>
      </w:r>
      <w:r w:rsidRPr="7DC1F745" w:rsidR="735F8776">
        <w:rPr>
          <w:noProof w:val="0"/>
          <w:lang w:val="en-US"/>
        </w:rPr>
        <w:t xml:space="preserve"> checklist</w:t>
      </w:r>
      <w:r w:rsidRPr="7DC1F745" w:rsidR="628037BE">
        <w:rPr>
          <w:noProof w:val="0"/>
          <w:lang w:val="en-US"/>
        </w:rPr>
        <w:t>, were employed alongside postural discomfort questionnaires. These questionnaires allowed participants to rate discomfort in different body parts on a scale from 1 to 5.</w:t>
      </w:r>
      <w:r w:rsidRPr="7DC1F745" w:rsidR="56B85B67">
        <w:rPr>
          <w:noProof w:val="0"/>
          <w:lang w:val="en-US"/>
        </w:rPr>
        <w:t xml:space="preserve"> </w:t>
      </w:r>
      <w:r w:rsidRPr="7DC1F745" w:rsidR="628037BE">
        <w:rPr>
          <w:noProof w:val="0"/>
          <w:lang w:val="en-US"/>
        </w:rPr>
        <w:t>The OCRA</w:t>
      </w:r>
      <w:r w:rsidRPr="7DC1F745" w:rsidR="5E6D43AD">
        <w:rPr>
          <w:noProof w:val="0"/>
          <w:lang w:val="en-US"/>
        </w:rPr>
        <w:t xml:space="preserve"> checklist</w:t>
      </w:r>
      <w:r w:rsidRPr="7DC1F745" w:rsidR="628037BE">
        <w:rPr>
          <w:noProof w:val="0"/>
          <w:lang w:val="en-US"/>
        </w:rPr>
        <w:t xml:space="preserve"> method is a comprehensive </w:t>
      </w:r>
      <w:r w:rsidRPr="7DC1F745" w:rsidR="771D6653">
        <w:rPr>
          <w:noProof w:val="0"/>
          <w:lang w:val="en-US"/>
        </w:rPr>
        <w:t>biomec</w:t>
      </w:r>
      <w:r w:rsidRPr="7DC1F745" w:rsidR="771D6653">
        <w:rPr>
          <w:noProof w:val="0"/>
          <w:lang w:val="en-US"/>
        </w:rPr>
        <w:t>h</w:t>
      </w:r>
      <w:r w:rsidRPr="7DC1F745" w:rsidR="771D6653">
        <w:rPr>
          <w:noProof w:val="0"/>
          <w:lang w:val="en-US"/>
        </w:rPr>
        <w:t>anic</w:t>
      </w:r>
      <w:r w:rsidRPr="7DC1F745" w:rsidR="771D6653">
        <w:rPr>
          <w:noProof w:val="0"/>
          <w:lang w:val="en-US"/>
        </w:rPr>
        <w:t>al</w:t>
      </w:r>
      <w:r w:rsidRPr="7DC1F745" w:rsidR="771D6653">
        <w:rPr>
          <w:noProof w:val="0"/>
          <w:lang w:val="en-US"/>
        </w:rPr>
        <w:t xml:space="preserve"> </w:t>
      </w:r>
      <w:r w:rsidRPr="7DC1F745" w:rsidR="628037BE">
        <w:rPr>
          <w:noProof w:val="0"/>
          <w:lang w:val="en-US"/>
        </w:rPr>
        <w:t>assessment tool used to evaluate worker exposure to repetitive strain, with a particular emphasis on upper limb movements</w:t>
      </w:r>
      <w:r w:rsidRPr="7DC1F745" w:rsidR="52594DDA">
        <w:rPr>
          <w:noProof w:val="0"/>
          <w:lang w:val="en-US"/>
        </w:rPr>
        <w:t xml:space="preserve"> </w:t>
      </w:r>
      <w:r w:rsidRPr="7DC1F745" w:rsidR="569C0FA1">
        <w:rPr>
          <w:noProof w:val="0"/>
          <w:lang w:val="en-US"/>
        </w:rPr>
        <w:t>(</w:t>
      </w:r>
      <w:r w:rsidRPr="7DC1F745" w:rsidR="569C0FA1">
        <w:rPr>
          <w:noProof w:val="0"/>
          <w:lang w:val="en-GB"/>
        </w:rPr>
        <w:t>Colombini and Occhipinti, 2016</w:t>
      </w:r>
      <w:r w:rsidRPr="7DC1F745" w:rsidR="569C0FA1">
        <w:rPr>
          <w:noProof w:val="0"/>
          <w:lang w:val="en-US"/>
        </w:rPr>
        <w:t>)</w:t>
      </w:r>
      <w:r w:rsidRPr="7DC1F745" w:rsidR="628037BE">
        <w:rPr>
          <w:noProof w:val="0"/>
          <w:lang w:val="en-US"/>
        </w:rPr>
        <w:t xml:space="preserve">. </w:t>
      </w:r>
      <w:r w:rsidRPr="7DC1F745" w:rsidR="628037BE">
        <w:rPr>
          <w:noProof w:val="0"/>
          <w:lang w:val="en-US"/>
        </w:rPr>
        <w:t xml:space="preserve">It assesses various critical factors, such as the duration, frequency, and intensity of repetitive actions, as well as postures, to </w:t>
      </w:r>
      <w:r w:rsidRPr="7DC1F745" w:rsidR="628037BE">
        <w:rPr>
          <w:noProof w:val="0"/>
          <w:lang w:val="en-US"/>
        </w:rPr>
        <w:t>determine</w:t>
      </w:r>
      <w:r w:rsidRPr="7DC1F745" w:rsidR="628037BE">
        <w:rPr>
          <w:noProof w:val="0"/>
          <w:lang w:val="en-US"/>
        </w:rPr>
        <w:t xml:space="preserve"> the ergonomic risk associated with specific tasks.</w:t>
      </w:r>
      <w:r w:rsidRPr="7DC1F745" w:rsidR="628037BE">
        <w:rPr>
          <w:noProof w:val="0"/>
          <w:lang w:val="en-US"/>
        </w:rPr>
        <w:t xml:space="preserve"> By combining data from checklists that evaluate postures of body parts like shoulders, elbows, wrists, and hands, as well as factors such as grip intensity, force applied, and frequency, the OCRA</w:t>
      </w:r>
      <w:r w:rsidRPr="7DC1F745" w:rsidR="0FF6327A">
        <w:rPr>
          <w:noProof w:val="0"/>
          <w:lang w:val="en-US"/>
        </w:rPr>
        <w:t xml:space="preserve"> checklist</w:t>
      </w:r>
      <w:r w:rsidRPr="7DC1F745" w:rsidR="628037BE">
        <w:rPr>
          <w:noProof w:val="0"/>
          <w:lang w:val="en-US"/>
        </w:rPr>
        <w:t xml:space="preserve"> method calculates a risk score for both the right and left sides of the body separately. This risk score helps </w:t>
      </w:r>
      <w:r w:rsidRPr="7DC1F745" w:rsidR="628037BE">
        <w:rPr>
          <w:noProof w:val="0"/>
          <w:lang w:val="en-US"/>
        </w:rPr>
        <w:t>determine</w:t>
      </w:r>
      <w:r w:rsidRPr="7DC1F745" w:rsidR="628037BE">
        <w:rPr>
          <w:noProof w:val="0"/>
          <w:lang w:val="en-US"/>
        </w:rPr>
        <w:t xml:space="preserve"> whether the task falls within acceptable levels or poses a significant </w:t>
      </w:r>
      <w:r w:rsidRPr="7DC1F745" w:rsidR="1F886AE7">
        <w:rPr>
          <w:noProof w:val="0"/>
          <w:lang w:val="en-US"/>
        </w:rPr>
        <w:t xml:space="preserve">biomechanical </w:t>
      </w:r>
      <w:r w:rsidRPr="7DC1F745" w:rsidR="628037BE">
        <w:rPr>
          <w:noProof w:val="0"/>
          <w:lang w:val="en-US"/>
        </w:rPr>
        <w:t>risk to workers, thus guiding risk prevention strategies.</w:t>
      </w:r>
    </w:p>
    <w:p w:rsidR="274F3EEB" w:rsidP="7DC1F745" w:rsidRDefault="274F3EEB" w14:paraId="5157F042" w14:textId="59F14401">
      <w:pPr>
        <w:pStyle w:val="CETTabletitle"/>
      </w:pPr>
      <w:r w:rsidR="274F3EEB">
        <w:rPr/>
        <w:t>Table 1: OCRA: Risk assessment scale</w:t>
      </w:r>
    </w:p>
    <w:tbl>
      <w:tblPr>
        <w:tblW w:w="0" w:type="auto"/>
        <w:tblBorders>
          <w:top w:val="single" w:color="008000" w:sz="12"/>
          <w:bottom w:val="single" w:color="008000" w:sz="12"/>
        </w:tblBorders>
        <w:tblLook w:val="00A0" w:firstRow="1" w:lastRow="0" w:firstColumn="1" w:lastColumn="0" w:noHBand="0" w:noVBand="0"/>
      </w:tblPr>
      <w:tblGrid>
        <w:gridCol w:w="829"/>
        <w:gridCol w:w="827"/>
        <w:gridCol w:w="2742"/>
        <w:gridCol w:w="135"/>
        <w:gridCol w:w="141"/>
      </w:tblGrid>
      <w:tr w:rsidR="7DC1F745" w:rsidTr="7DC1F745" w14:paraId="43EB07D3">
        <w:trPr>
          <w:trHeight w:val="300"/>
        </w:trPr>
        <w:tc>
          <w:tcPr>
            <w:tcW w:w="829" w:type="dxa"/>
            <w:tcBorders>
              <w:top w:val="single" w:color="008000" w:sz="12"/>
              <w:bottom w:val="single" w:color="008000" w:sz="6"/>
            </w:tcBorders>
            <w:shd w:val="clear" w:color="auto" w:fill="FFFFFF" w:themeFill="background1"/>
            <w:tcMar/>
          </w:tcPr>
          <w:p w:rsidR="7DC1F745" w:rsidP="7DC1F745" w:rsidRDefault="7DC1F745" w14:paraId="1C80A113" w14:textId="1622E801">
            <w:pPr>
              <w:pStyle w:val="CETBodytext"/>
              <w:suppressLineNumbers w:val="0"/>
              <w:bidi w:val="0"/>
              <w:spacing w:before="0" w:beforeAutospacing="off" w:after="0" w:afterAutospacing="off" w:line="264" w:lineRule="auto"/>
              <w:ind w:left="0" w:right="0"/>
              <w:jc w:val="center"/>
              <w:rPr>
                <w:b w:val="1"/>
                <w:bCs w:val="1"/>
                <w:lang w:val="en-GB"/>
              </w:rPr>
            </w:pPr>
            <w:r w:rsidRPr="7DC1F745" w:rsidR="7DC1F745">
              <w:rPr>
                <w:b w:val="1"/>
                <w:bCs w:val="1"/>
                <w:lang w:val="en-GB"/>
              </w:rPr>
              <w:t>Score</w:t>
            </w:r>
          </w:p>
        </w:tc>
        <w:tc>
          <w:tcPr>
            <w:tcW w:w="827" w:type="dxa"/>
            <w:tcBorders>
              <w:top w:val="single" w:color="008000" w:sz="12"/>
              <w:bottom w:val="single" w:color="008000" w:sz="6"/>
            </w:tcBorders>
            <w:shd w:val="clear" w:color="auto" w:fill="FFFFFF" w:themeFill="background1"/>
            <w:tcMar/>
          </w:tcPr>
          <w:p w:rsidR="7DC1F745" w:rsidP="7DC1F745" w:rsidRDefault="7DC1F745" w14:paraId="6E9C1B31" w14:textId="2D55DAE6">
            <w:pPr>
              <w:pStyle w:val="CETBodytext"/>
              <w:jc w:val="center"/>
              <w:rPr>
                <w:b w:val="1"/>
                <w:bCs w:val="1"/>
                <w:lang w:val="en-GB"/>
              </w:rPr>
            </w:pPr>
            <w:r w:rsidRPr="7DC1F745" w:rsidR="7DC1F745">
              <w:rPr>
                <w:b w:val="1"/>
                <w:bCs w:val="1"/>
                <w:lang w:val="en-GB"/>
              </w:rPr>
              <w:t>Co</w:t>
            </w:r>
            <w:r w:rsidRPr="7DC1F745" w:rsidR="7DC1F745">
              <w:rPr>
                <w:b w:val="1"/>
                <w:bCs w:val="1"/>
                <w:lang w:val="en-GB"/>
              </w:rPr>
              <w:t>lour</w:t>
            </w:r>
          </w:p>
        </w:tc>
        <w:tc>
          <w:tcPr>
            <w:tcW w:w="2742" w:type="dxa"/>
            <w:tcBorders>
              <w:top w:val="single" w:color="008000" w:sz="12"/>
              <w:bottom w:val="single" w:color="008000" w:sz="6"/>
            </w:tcBorders>
            <w:shd w:val="clear" w:color="auto" w:fill="FFFFFF" w:themeFill="background1"/>
            <w:tcMar/>
          </w:tcPr>
          <w:p w:rsidR="7DC1F745" w:rsidP="7DC1F745" w:rsidRDefault="7DC1F745" w14:paraId="45E209C5" w14:textId="0A318E3E">
            <w:pPr>
              <w:pStyle w:val="CETBodytext"/>
              <w:suppressLineNumbers w:val="0"/>
              <w:bidi w:val="0"/>
              <w:spacing w:before="0" w:beforeAutospacing="off" w:after="0" w:afterAutospacing="off" w:line="264" w:lineRule="auto"/>
              <w:ind w:left="0" w:right="0"/>
              <w:jc w:val="center"/>
              <w:rPr>
                <w:b w:val="1"/>
                <w:bCs w:val="1"/>
                <w:lang w:val="en-GB"/>
              </w:rPr>
            </w:pPr>
            <w:r w:rsidRPr="7DC1F745" w:rsidR="7DC1F745">
              <w:rPr>
                <w:b w:val="1"/>
                <w:bCs w:val="1"/>
                <w:lang w:val="en-GB"/>
              </w:rPr>
              <w:t>Risk level</w:t>
            </w:r>
          </w:p>
        </w:tc>
        <w:tc>
          <w:tcPr>
            <w:tcW w:w="135" w:type="dxa"/>
            <w:tcBorders>
              <w:top w:val="single" w:color="008000" w:sz="12"/>
              <w:bottom w:val="single" w:color="008000" w:sz="6"/>
            </w:tcBorders>
            <w:shd w:val="clear" w:color="auto" w:fill="FFFFFF" w:themeFill="background1"/>
            <w:tcMar/>
          </w:tcPr>
          <w:p w:rsidR="7DC1F745" w:rsidP="7DC1F745" w:rsidRDefault="7DC1F745" w14:paraId="32E40C03">
            <w:pPr>
              <w:pStyle w:val="CETBodytext"/>
              <w:ind w:right="-1"/>
              <w:rPr>
                <w:rFonts w:cs="Arial"/>
                <w:lang w:val="en-GB"/>
              </w:rPr>
            </w:pPr>
          </w:p>
        </w:tc>
        <w:tc>
          <w:tcPr>
            <w:tcW w:w="141" w:type="dxa"/>
            <w:tcBorders>
              <w:top w:val="single" w:color="008000" w:sz="12"/>
              <w:bottom w:val="single" w:color="008000" w:sz="6"/>
            </w:tcBorders>
            <w:shd w:val="clear" w:color="auto" w:fill="FFFFFF" w:themeFill="background1"/>
            <w:tcMar/>
          </w:tcPr>
          <w:p w:rsidR="7DC1F745" w:rsidP="7DC1F745" w:rsidRDefault="7DC1F745" w14:paraId="0DE764D7" w14:textId="75C96BCE">
            <w:pPr>
              <w:pStyle w:val="CETBodytext"/>
              <w:rPr>
                <w:rFonts w:cs="Arial"/>
                <w:lang w:val="en-GB"/>
              </w:rPr>
            </w:pPr>
          </w:p>
        </w:tc>
      </w:tr>
      <w:tr w:rsidR="7DC1F745" w:rsidTr="7DC1F745" w14:paraId="4B32A787">
        <w:trPr>
          <w:trHeight w:val="300"/>
        </w:trPr>
        <w:tc>
          <w:tcPr>
            <w:tcW w:w="829" w:type="dxa"/>
            <w:shd w:val="clear" w:color="auto" w:fill="FFFFFF" w:themeFill="background1"/>
            <w:tcMar/>
          </w:tcPr>
          <w:p w:rsidR="7DC1F745" w:rsidP="7DC1F745" w:rsidRDefault="7DC1F745" w14:paraId="7AB93025" w14:textId="0CC69829">
            <w:pPr>
              <w:pStyle w:val="CETBodytext"/>
              <w:suppressLineNumbers w:val="0"/>
              <w:bidi w:val="0"/>
              <w:spacing w:before="0" w:beforeAutospacing="off" w:after="0" w:afterAutospacing="off" w:line="264" w:lineRule="auto"/>
              <w:ind w:left="0" w:right="0"/>
              <w:jc w:val="center"/>
            </w:pPr>
            <w:r w:rsidRPr="7DC1F745" w:rsidR="7DC1F745">
              <w:rPr>
                <w:lang w:val="en-GB"/>
              </w:rPr>
              <w:t xml:space="preserve"> </w:t>
            </w:r>
            <w:r w:rsidRPr="7DC1F745" w:rsidR="7DC1F745">
              <w:rPr>
                <w:lang w:val="en-GB"/>
              </w:rPr>
              <w:t>≤</w:t>
            </w:r>
            <w:r w:rsidRPr="7DC1F745" w:rsidR="7DC1F745">
              <w:rPr>
                <w:lang w:val="en-GB"/>
              </w:rPr>
              <w:t>7.5</w:t>
            </w:r>
          </w:p>
        </w:tc>
        <w:tc>
          <w:tcPr>
            <w:tcW w:w="827" w:type="dxa"/>
            <w:shd w:val="clear" w:color="auto" w:fill="92D050"/>
            <w:tcMar/>
          </w:tcPr>
          <w:p w:rsidR="7DC1F745" w:rsidP="7DC1F745" w:rsidRDefault="7DC1F745" w14:paraId="5C347941" w14:textId="661F3818">
            <w:pPr>
              <w:pStyle w:val="CETBodytext"/>
              <w:jc w:val="center"/>
              <w:rPr>
                <w:lang w:val="en-GB"/>
              </w:rPr>
            </w:pPr>
            <w:r w:rsidRPr="7DC1F745" w:rsidR="7DC1F745">
              <w:rPr>
                <w:lang w:val="en-GB"/>
              </w:rPr>
              <w:t>Green</w:t>
            </w:r>
          </w:p>
        </w:tc>
        <w:tc>
          <w:tcPr>
            <w:tcW w:w="2742" w:type="dxa"/>
            <w:shd w:val="clear" w:color="auto" w:fill="FFFFFF" w:themeFill="background1"/>
            <w:tcMar/>
          </w:tcPr>
          <w:p w:rsidR="7DC1F745" w:rsidP="7DC1F745" w:rsidRDefault="7DC1F745" w14:paraId="28C37888" w14:textId="69FF3518">
            <w:pPr>
              <w:pStyle w:val="CETBodytext"/>
              <w:jc w:val="center"/>
              <w:rPr>
                <w:lang w:val="en-GB"/>
              </w:rPr>
            </w:pPr>
            <w:r w:rsidRPr="7DC1F745" w:rsidR="7DC1F745">
              <w:rPr>
                <w:lang w:val="en-GB"/>
              </w:rPr>
              <w:t>Acceptable</w:t>
            </w:r>
          </w:p>
        </w:tc>
        <w:tc>
          <w:tcPr>
            <w:tcW w:w="135" w:type="dxa"/>
            <w:shd w:val="clear" w:color="auto" w:fill="FFFFFF" w:themeFill="background1"/>
            <w:tcMar/>
          </w:tcPr>
          <w:p w:rsidR="7DC1F745" w:rsidP="7DC1F745" w:rsidRDefault="7DC1F745" w14:paraId="5117FE4C">
            <w:pPr>
              <w:pStyle w:val="CETBodytext"/>
              <w:ind w:right="-1"/>
              <w:rPr>
                <w:rFonts w:cs="Arial"/>
                <w:lang w:val="en-GB"/>
              </w:rPr>
            </w:pPr>
          </w:p>
        </w:tc>
        <w:tc>
          <w:tcPr>
            <w:tcW w:w="141" w:type="dxa"/>
            <w:shd w:val="clear" w:color="auto" w:fill="FFFFFF" w:themeFill="background1"/>
            <w:tcMar/>
          </w:tcPr>
          <w:p w:rsidR="7DC1F745" w:rsidP="7DC1F745" w:rsidRDefault="7DC1F745" w14:paraId="26E1247E" w14:textId="0884CE1B">
            <w:pPr>
              <w:pStyle w:val="CETBodytext"/>
              <w:rPr>
                <w:rFonts w:cs="Arial"/>
                <w:lang w:val="en-GB"/>
              </w:rPr>
            </w:pPr>
          </w:p>
        </w:tc>
      </w:tr>
      <w:tr w:rsidR="7DC1F745" w:rsidTr="7DC1F745" w14:paraId="5E2FBC05">
        <w:trPr>
          <w:trHeight w:val="300"/>
        </w:trPr>
        <w:tc>
          <w:tcPr>
            <w:tcW w:w="829" w:type="dxa"/>
            <w:shd w:val="clear" w:color="auto" w:fill="FFFFFF" w:themeFill="background1"/>
            <w:tcMar/>
          </w:tcPr>
          <w:p w:rsidR="7DC1F745" w:rsidP="7DC1F745" w:rsidRDefault="7DC1F745" w14:paraId="09661F0B" w14:textId="278C87DB">
            <w:pPr>
              <w:pStyle w:val="CETBodytext"/>
              <w:ind w:right="-1"/>
              <w:jc w:val="center"/>
              <w:rPr>
                <w:rFonts w:cs="Arial"/>
                <w:lang w:val="en-GB"/>
              </w:rPr>
            </w:pPr>
            <w:r w:rsidRPr="7DC1F745" w:rsidR="7DC1F745">
              <w:rPr>
                <w:rFonts w:cs="Arial"/>
                <w:lang w:val="en-GB"/>
              </w:rPr>
              <w:t>7.6-11</w:t>
            </w:r>
          </w:p>
        </w:tc>
        <w:tc>
          <w:tcPr>
            <w:tcW w:w="827" w:type="dxa"/>
            <w:shd w:val="clear" w:color="auto" w:fill="FFFF00"/>
            <w:tcMar/>
          </w:tcPr>
          <w:p w:rsidR="7DC1F745" w:rsidP="7DC1F745" w:rsidRDefault="7DC1F745" w14:paraId="61E24D5A" w14:textId="4E4FF071">
            <w:pPr>
              <w:pStyle w:val="CETBodytext"/>
              <w:ind w:right="-1"/>
              <w:jc w:val="center"/>
              <w:rPr>
                <w:rFonts w:cs="Arial"/>
                <w:lang w:val="en-GB"/>
              </w:rPr>
            </w:pPr>
            <w:r w:rsidRPr="7DC1F745" w:rsidR="7DC1F745">
              <w:rPr>
                <w:rFonts w:cs="Arial"/>
                <w:lang w:val="en-GB"/>
              </w:rPr>
              <w:t>Yellow</w:t>
            </w:r>
          </w:p>
        </w:tc>
        <w:tc>
          <w:tcPr>
            <w:tcW w:w="2742" w:type="dxa"/>
            <w:shd w:val="clear" w:color="auto" w:fill="FFFFFF" w:themeFill="background1"/>
            <w:tcMar/>
          </w:tcPr>
          <w:p w:rsidR="7DC1F745" w:rsidP="7DC1F745" w:rsidRDefault="7DC1F745" w14:paraId="5202DB8D" w14:textId="3B012BF1">
            <w:pPr>
              <w:pStyle w:val="CETBodytext"/>
              <w:ind w:right="-1"/>
              <w:jc w:val="center"/>
              <w:rPr>
                <w:rFonts w:cs="Arial"/>
                <w:lang w:val="en-GB"/>
              </w:rPr>
            </w:pPr>
            <w:r w:rsidRPr="7DC1F745" w:rsidR="7DC1F745">
              <w:rPr>
                <w:rFonts w:cs="Arial"/>
                <w:lang w:val="en-US"/>
              </w:rPr>
              <w:t>Very light</w:t>
            </w:r>
            <w:r w:rsidRPr="7DC1F745" w:rsidR="7DC1F745">
              <w:rPr>
                <w:rFonts w:cs="Arial"/>
                <w:lang w:val="en-US"/>
              </w:rPr>
              <w:t xml:space="preserve"> or uncertain</w:t>
            </w:r>
          </w:p>
        </w:tc>
        <w:tc>
          <w:tcPr>
            <w:tcW w:w="135" w:type="dxa"/>
            <w:shd w:val="clear" w:color="auto" w:fill="FFFFFF" w:themeFill="background1"/>
            <w:tcMar/>
          </w:tcPr>
          <w:p w:rsidR="7DC1F745" w:rsidP="7DC1F745" w:rsidRDefault="7DC1F745" w14:paraId="15415F52">
            <w:pPr>
              <w:pStyle w:val="CETBodytext"/>
              <w:ind w:right="-1"/>
              <w:rPr>
                <w:rFonts w:cs="Arial"/>
                <w:lang w:val="en-GB"/>
              </w:rPr>
            </w:pPr>
          </w:p>
        </w:tc>
        <w:tc>
          <w:tcPr>
            <w:tcW w:w="141" w:type="dxa"/>
            <w:shd w:val="clear" w:color="auto" w:fill="FFFFFF" w:themeFill="background1"/>
            <w:tcMar/>
          </w:tcPr>
          <w:p w:rsidR="7DC1F745" w:rsidP="7DC1F745" w:rsidRDefault="7DC1F745" w14:paraId="36F58005" w14:textId="2579BDE0">
            <w:pPr>
              <w:pStyle w:val="CETBodytext"/>
              <w:rPr>
                <w:rFonts w:cs="Arial"/>
                <w:lang w:val="en-GB"/>
              </w:rPr>
            </w:pPr>
          </w:p>
        </w:tc>
      </w:tr>
      <w:tr w:rsidR="7DC1F745" w:rsidTr="7DC1F745" w14:paraId="5AFFE49A">
        <w:trPr>
          <w:trHeight w:val="300"/>
        </w:trPr>
        <w:tc>
          <w:tcPr>
            <w:tcW w:w="829" w:type="dxa"/>
            <w:shd w:val="clear" w:color="auto" w:fill="FFFFFF" w:themeFill="background1"/>
            <w:tcMar/>
          </w:tcPr>
          <w:p w:rsidR="7DC1F745" w:rsidP="7DC1F745" w:rsidRDefault="7DC1F745" w14:paraId="66E7CB72" w14:textId="50573EA6">
            <w:pPr>
              <w:pStyle w:val="CETBodytext"/>
              <w:jc w:val="center"/>
              <w:rPr>
                <w:rFonts w:cs="Arial"/>
                <w:lang w:val="en-GB"/>
              </w:rPr>
            </w:pPr>
            <w:r w:rsidRPr="7DC1F745" w:rsidR="7DC1F745">
              <w:rPr>
                <w:rFonts w:cs="Arial"/>
                <w:lang w:val="en-GB"/>
              </w:rPr>
              <w:t>11.1-14</w:t>
            </w:r>
          </w:p>
        </w:tc>
        <w:tc>
          <w:tcPr>
            <w:tcW w:w="827" w:type="dxa"/>
            <w:shd w:val="clear" w:color="auto" w:fill="D99594" w:themeFill="accent2" w:themeFillTint="99"/>
            <w:tcMar/>
          </w:tcPr>
          <w:p w:rsidR="7DC1F745" w:rsidP="7DC1F745" w:rsidRDefault="7DC1F745" w14:paraId="6CE359BB" w14:textId="3822E1A3">
            <w:pPr>
              <w:pStyle w:val="CETBodytext"/>
              <w:jc w:val="center"/>
              <w:rPr>
                <w:rFonts w:cs="Arial"/>
                <w:lang w:val="en-GB"/>
              </w:rPr>
            </w:pPr>
            <w:r w:rsidRPr="7DC1F745" w:rsidR="7DC1F745">
              <w:rPr>
                <w:rFonts w:cs="Arial"/>
                <w:lang w:val="en-GB"/>
              </w:rPr>
              <w:t>Light Red</w:t>
            </w:r>
          </w:p>
        </w:tc>
        <w:tc>
          <w:tcPr>
            <w:tcW w:w="2742" w:type="dxa"/>
            <w:shd w:val="clear" w:color="auto" w:fill="FFFFFF" w:themeFill="background1"/>
            <w:tcMar/>
          </w:tcPr>
          <w:p w:rsidR="7DC1F745" w:rsidP="7DC1F745" w:rsidRDefault="7DC1F745" w14:paraId="73359207" w14:textId="03F62591">
            <w:pPr>
              <w:pStyle w:val="CETBodytext"/>
              <w:jc w:val="center"/>
              <w:rPr>
                <w:rFonts w:cs="Arial"/>
                <w:lang w:val="en-GB"/>
              </w:rPr>
            </w:pPr>
            <w:r w:rsidRPr="7DC1F745" w:rsidR="7DC1F745">
              <w:rPr>
                <w:rFonts w:cs="Arial"/>
                <w:lang w:val="en-GB"/>
              </w:rPr>
              <w:t>Unacceptable. Low-level risk</w:t>
            </w:r>
          </w:p>
        </w:tc>
        <w:tc>
          <w:tcPr>
            <w:tcW w:w="135" w:type="dxa"/>
            <w:shd w:val="clear" w:color="auto" w:fill="FFFFFF" w:themeFill="background1"/>
            <w:tcMar/>
          </w:tcPr>
          <w:p w:rsidR="7DC1F745" w:rsidP="7DC1F745" w:rsidRDefault="7DC1F745" w14:paraId="05FE49FF" w14:textId="0A4AAD9F">
            <w:pPr>
              <w:pStyle w:val="CETBodytext"/>
              <w:rPr>
                <w:rFonts w:cs="Arial"/>
                <w:lang w:val="en-GB"/>
              </w:rPr>
            </w:pPr>
          </w:p>
        </w:tc>
        <w:tc>
          <w:tcPr>
            <w:tcW w:w="141" w:type="dxa"/>
            <w:shd w:val="clear" w:color="auto" w:fill="FFFFFF" w:themeFill="background1"/>
            <w:tcMar/>
          </w:tcPr>
          <w:p w:rsidR="7DC1F745" w:rsidP="7DC1F745" w:rsidRDefault="7DC1F745" w14:paraId="77B1E82B" w14:textId="43B78AAF">
            <w:pPr>
              <w:pStyle w:val="CETBodytext"/>
              <w:rPr>
                <w:rFonts w:cs="Arial"/>
                <w:lang w:val="en-GB"/>
              </w:rPr>
            </w:pPr>
          </w:p>
        </w:tc>
      </w:tr>
      <w:tr w:rsidR="7DC1F745" w:rsidTr="7DC1F745" w14:paraId="19D7A1D7">
        <w:trPr>
          <w:trHeight w:val="300"/>
        </w:trPr>
        <w:tc>
          <w:tcPr>
            <w:tcW w:w="829" w:type="dxa"/>
            <w:shd w:val="clear" w:color="auto" w:fill="FFFFFF" w:themeFill="background1"/>
            <w:tcMar/>
          </w:tcPr>
          <w:p w:rsidR="7DC1F745" w:rsidP="7DC1F745" w:rsidRDefault="7DC1F745" w14:paraId="5294682A" w14:textId="2D069BED">
            <w:pPr>
              <w:pStyle w:val="CETBodytext"/>
              <w:jc w:val="center"/>
              <w:rPr>
                <w:rFonts w:cs="Arial"/>
                <w:lang w:val="en-GB"/>
              </w:rPr>
            </w:pPr>
            <w:r w:rsidRPr="7DC1F745" w:rsidR="7DC1F745">
              <w:rPr>
                <w:rFonts w:cs="Arial"/>
                <w:lang w:val="en-GB"/>
              </w:rPr>
              <w:t>14.1-22.5</w:t>
            </w:r>
          </w:p>
        </w:tc>
        <w:tc>
          <w:tcPr>
            <w:tcW w:w="827" w:type="dxa"/>
            <w:shd w:val="clear" w:color="auto" w:fill="FF0000"/>
            <w:tcMar/>
          </w:tcPr>
          <w:p w:rsidR="7DC1F745" w:rsidP="7DC1F745" w:rsidRDefault="7DC1F745" w14:paraId="3D5C8637" w14:textId="392491F3">
            <w:pPr>
              <w:pStyle w:val="CETBodytext"/>
              <w:jc w:val="center"/>
              <w:rPr>
                <w:rFonts w:cs="Arial"/>
                <w:lang w:val="en-GB"/>
              </w:rPr>
            </w:pPr>
            <w:r w:rsidRPr="7DC1F745" w:rsidR="7DC1F745">
              <w:rPr>
                <w:rFonts w:cs="Arial"/>
                <w:lang w:val="en-GB"/>
              </w:rPr>
              <w:t>Dark Red</w:t>
            </w:r>
          </w:p>
        </w:tc>
        <w:tc>
          <w:tcPr>
            <w:tcW w:w="2742" w:type="dxa"/>
            <w:shd w:val="clear" w:color="auto" w:fill="FFFFFF" w:themeFill="background1"/>
            <w:tcMar/>
          </w:tcPr>
          <w:p w:rsidR="7DC1F745" w:rsidP="7DC1F745" w:rsidRDefault="7DC1F745" w14:paraId="654D13F4" w14:textId="78023834">
            <w:pPr>
              <w:pStyle w:val="CETBodytext"/>
              <w:jc w:val="center"/>
              <w:rPr>
                <w:rFonts w:cs="Arial"/>
                <w:lang w:val="en-GB"/>
              </w:rPr>
            </w:pPr>
            <w:r w:rsidRPr="7DC1F745" w:rsidR="7DC1F745">
              <w:rPr>
                <w:rFonts w:cs="Arial"/>
                <w:lang w:val="en-GB"/>
              </w:rPr>
              <w:t>Unacceptable. Medium-level risk</w:t>
            </w:r>
          </w:p>
        </w:tc>
        <w:tc>
          <w:tcPr>
            <w:tcW w:w="135" w:type="dxa"/>
            <w:shd w:val="clear" w:color="auto" w:fill="FFFFFF" w:themeFill="background1"/>
            <w:tcMar/>
          </w:tcPr>
          <w:p w:rsidR="7DC1F745" w:rsidP="7DC1F745" w:rsidRDefault="7DC1F745" w14:paraId="7649A36D" w14:textId="66A1E946">
            <w:pPr>
              <w:pStyle w:val="CETBodytext"/>
              <w:rPr>
                <w:rFonts w:cs="Arial"/>
                <w:lang w:val="en-GB"/>
              </w:rPr>
            </w:pPr>
          </w:p>
        </w:tc>
        <w:tc>
          <w:tcPr>
            <w:tcW w:w="141" w:type="dxa"/>
            <w:shd w:val="clear" w:color="auto" w:fill="FFFFFF" w:themeFill="background1"/>
            <w:tcMar/>
          </w:tcPr>
          <w:p w:rsidR="7DC1F745" w:rsidP="7DC1F745" w:rsidRDefault="7DC1F745" w14:paraId="55AC28DB" w14:textId="49E72064">
            <w:pPr>
              <w:pStyle w:val="CETBodytext"/>
              <w:rPr>
                <w:rFonts w:cs="Arial"/>
                <w:lang w:val="en-GB"/>
              </w:rPr>
            </w:pPr>
          </w:p>
        </w:tc>
      </w:tr>
      <w:tr w:rsidR="7DC1F745" w:rsidTr="7DC1F745" w14:paraId="40E52760">
        <w:trPr>
          <w:trHeight w:val="300"/>
        </w:trPr>
        <w:tc>
          <w:tcPr>
            <w:tcW w:w="829" w:type="dxa"/>
            <w:shd w:val="clear" w:color="auto" w:fill="FFFFFF" w:themeFill="background1"/>
            <w:tcMar/>
          </w:tcPr>
          <w:p w:rsidR="7DC1F745" w:rsidP="7DC1F745" w:rsidRDefault="7DC1F745" w14:paraId="23C45978" w14:textId="118788BF">
            <w:pPr>
              <w:pStyle w:val="CETBodytext"/>
              <w:jc w:val="center"/>
              <w:rPr>
                <w:rFonts w:cs="Arial"/>
                <w:lang w:val="en-GB"/>
              </w:rPr>
            </w:pPr>
            <w:r w:rsidRPr="7DC1F745" w:rsidR="7DC1F745">
              <w:rPr>
                <w:rFonts w:cs="Arial"/>
                <w:lang w:val="en-GB"/>
              </w:rPr>
              <w:t>≥22.5</w:t>
            </w:r>
          </w:p>
        </w:tc>
        <w:tc>
          <w:tcPr>
            <w:tcW w:w="827" w:type="dxa"/>
            <w:shd w:val="clear" w:color="auto" w:fill="7030A0"/>
            <w:tcMar/>
          </w:tcPr>
          <w:p w:rsidR="7DC1F745" w:rsidP="7DC1F745" w:rsidRDefault="7DC1F745" w14:paraId="3FFBBD79" w14:textId="41B6D191">
            <w:pPr>
              <w:pStyle w:val="CETBodytext"/>
              <w:jc w:val="center"/>
              <w:rPr>
                <w:rFonts w:cs="Arial"/>
                <w:lang w:val="en-GB"/>
              </w:rPr>
            </w:pPr>
            <w:r w:rsidRPr="7DC1F745" w:rsidR="7DC1F745">
              <w:rPr>
                <w:rFonts w:cs="Arial"/>
                <w:lang w:val="en-GB"/>
              </w:rPr>
              <w:t>Purple</w:t>
            </w:r>
          </w:p>
        </w:tc>
        <w:tc>
          <w:tcPr>
            <w:tcW w:w="2742" w:type="dxa"/>
            <w:shd w:val="clear" w:color="auto" w:fill="FFFFFF" w:themeFill="background1"/>
            <w:tcMar/>
          </w:tcPr>
          <w:p w:rsidR="7DC1F745" w:rsidP="7DC1F745" w:rsidRDefault="7DC1F745" w14:paraId="28D13B9D" w14:textId="1B613170">
            <w:pPr>
              <w:pStyle w:val="CETBodytext"/>
              <w:jc w:val="center"/>
              <w:rPr>
                <w:rFonts w:cs="Arial"/>
                <w:lang w:val="en-GB"/>
              </w:rPr>
            </w:pPr>
            <w:r w:rsidRPr="7DC1F745" w:rsidR="7DC1F745">
              <w:rPr>
                <w:rFonts w:cs="Arial"/>
                <w:lang w:val="en-GB"/>
              </w:rPr>
              <w:t>Unacceptable. High-level risk</w:t>
            </w:r>
          </w:p>
        </w:tc>
        <w:tc>
          <w:tcPr>
            <w:tcW w:w="135" w:type="dxa"/>
            <w:shd w:val="clear" w:color="auto" w:fill="FFFFFF" w:themeFill="background1"/>
            <w:tcMar/>
          </w:tcPr>
          <w:p w:rsidR="7DC1F745" w:rsidP="7DC1F745" w:rsidRDefault="7DC1F745" w14:paraId="043AFB72" w14:textId="040D2491">
            <w:pPr>
              <w:pStyle w:val="CETBodytext"/>
              <w:rPr>
                <w:rFonts w:cs="Arial"/>
                <w:lang w:val="en-GB"/>
              </w:rPr>
            </w:pPr>
          </w:p>
        </w:tc>
        <w:tc>
          <w:tcPr>
            <w:tcW w:w="141" w:type="dxa"/>
            <w:shd w:val="clear" w:color="auto" w:fill="FFFFFF" w:themeFill="background1"/>
            <w:tcMar/>
          </w:tcPr>
          <w:p w:rsidR="7DC1F745" w:rsidP="7DC1F745" w:rsidRDefault="7DC1F745" w14:paraId="61A5B7C2" w14:textId="1089D7AB">
            <w:pPr>
              <w:pStyle w:val="CETBodytext"/>
              <w:rPr>
                <w:rFonts w:cs="Arial"/>
                <w:lang w:val="en-GB"/>
              </w:rPr>
            </w:pPr>
          </w:p>
        </w:tc>
      </w:tr>
    </w:tbl>
    <w:p w:rsidR="7DC1F745" w:rsidP="7DC1F745" w:rsidRDefault="7DC1F745" w14:paraId="61C1EE29" w14:textId="3973FB7A">
      <w:pPr>
        <w:pStyle w:val="CETBodytext"/>
        <w:bidi w:val="0"/>
        <w:rPr>
          <w:rFonts w:ascii="Times New Roman" w:hAnsi="Times New Roman" w:eastAsia="Times New Roman" w:cs="Times New Roman"/>
          <w:b w:val="0"/>
          <w:bCs w:val="0"/>
          <w:i w:val="0"/>
          <w:iCs w:val="0"/>
          <w:caps w:val="0"/>
          <w:smallCaps w:val="0"/>
          <w:noProof w:val="0"/>
          <w:color w:val="000000" w:themeColor="text1" w:themeTint="FF" w:themeShade="FF"/>
          <w:lang w:val="en-US"/>
        </w:rPr>
      </w:pPr>
    </w:p>
    <w:p w:rsidR="628037BE" w:rsidP="7DC1F745" w:rsidRDefault="628037BE" w14:paraId="1A0F72E7" w14:textId="1392AF52">
      <w:pPr>
        <w:pStyle w:val="CETBodytext"/>
        <w:bidi w:val="0"/>
        <w:rPr>
          <w:noProof w:val="0"/>
          <w:lang w:val="en-US"/>
        </w:rPr>
      </w:pPr>
      <w:r w:rsidRPr="4394932E" w:rsidR="628037BE">
        <w:rPr>
          <w:noProof w:val="0"/>
          <w:lang w:val="en-US"/>
        </w:rPr>
        <w:t xml:space="preserve">In our study, the use of </w:t>
      </w:r>
      <w:r w:rsidRPr="4394932E" w:rsidR="628037BE">
        <w:rPr>
          <w:noProof w:val="0"/>
          <w:lang w:val="en-US"/>
        </w:rPr>
        <w:t>Microsoft Kinect</w:t>
      </w:r>
      <w:r w:rsidRPr="4394932E" w:rsidR="4E226DAD">
        <w:rPr>
          <w:noProof w:val="0"/>
          <w:lang w:val="en-US"/>
        </w:rPr>
        <w:t xml:space="preserve"> sensor</w:t>
      </w:r>
      <w:r w:rsidRPr="4394932E" w:rsidR="628037BE">
        <w:rPr>
          <w:noProof w:val="0"/>
          <w:lang w:val="en-US"/>
        </w:rPr>
        <w:t xml:space="preserve"> </w:t>
      </w:r>
      <w:r w:rsidRPr="4394932E" w:rsidR="628BC805">
        <w:rPr>
          <w:noProof w:val="0"/>
          <w:lang w:val="en-US"/>
        </w:rPr>
        <w:t>jointly with</w:t>
      </w:r>
      <w:r w:rsidRPr="4394932E" w:rsidR="628037BE">
        <w:rPr>
          <w:noProof w:val="0"/>
          <w:lang w:val="en-US"/>
        </w:rPr>
        <w:t xml:space="preserve"> computer vision</w:t>
      </w:r>
      <w:r w:rsidRPr="4394932E" w:rsidR="4864F70E">
        <w:rPr>
          <w:noProof w:val="0"/>
          <w:lang w:val="en-US"/>
        </w:rPr>
        <w:t xml:space="preserve"> (CV)</w:t>
      </w:r>
      <w:r w:rsidRPr="4394932E" w:rsidR="628037BE">
        <w:rPr>
          <w:noProof w:val="0"/>
          <w:lang w:val="en-US"/>
        </w:rPr>
        <w:t xml:space="preserve"> </w:t>
      </w:r>
      <w:r w:rsidRPr="4394932E" w:rsidR="510B2A06">
        <w:rPr>
          <w:noProof w:val="0"/>
          <w:lang w:val="en-US"/>
        </w:rPr>
        <w:t>algorithms</w:t>
      </w:r>
      <w:r w:rsidRPr="4394932E" w:rsidR="628037BE">
        <w:rPr>
          <w:noProof w:val="0"/>
          <w:lang w:val="en-US"/>
        </w:rPr>
        <w:t xml:space="preserve"> </w:t>
      </w:r>
      <w:r w:rsidRPr="4394932E" w:rsidR="574360AF">
        <w:rPr>
          <w:noProof w:val="0"/>
          <w:lang w:val="en-US"/>
        </w:rPr>
        <w:t>(a branch of AI that enables machines to interpret and understand visual data)</w:t>
      </w:r>
      <w:r w:rsidRPr="4394932E" w:rsidR="11D0F5A8">
        <w:rPr>
          <w:noProof w:val="0"/>
          <w:lang w:val="en-US"/>
        </w:rPr>
        <w:t xml:space="preserve"> </w:t>
      </w:r>
      <w:r w:rsidRPr="4394932E" w:rsidR="628037BE">
        <w:rPr>
          <w:noProof w:val="0"/>
          <w:lang w:val="en-US"/>
        </w:rPr>
        <w:t>enabled real-time monitoring of workers' postures and movements</w:t>
      </w:r>
      <w:r w:rsidRPr="4394932E" w:rsidR="66AB9113">
        <w:rPr>
          <w:noProof w:val="0"/>
          <w:lang w:val="en-US"/>
        </w:rPr>
        <w:t xml:space="preserve"> </w:t>
      </w:r>
      <w:r w:rsidRPr="4394932E" w:rsidR="738065C0">
        <w:rPr>
          <w:noProof w:val="0"/>
          <w:lang w:val="en-US"/>
        </w:rPr>
        <w:t>(</w:t>
      </w:r>
      <w:r w:rsidRPr="4394932E" w:rsidR="738065C0">
        <w:rPr>
          <w:noProof w:val="0"/>
          <w:lang w:val="en-GB"/>
        </w:rPr>
        <w:t>Camargo Salinas et al., 2024</w:t>
      </w:r>
      <w:r w:rsidRPr="4394932E" w:rsidR="738065C0">
        <w:rPr>
          <w:noProof w:val="0"/>
          <w:lang w:val="en-US"/>
        </w:rPr>
        <w:t>)</w:t>
      </w:r>
      <w:r w:rsidRPr="4394932E" w:rsidR="628037BE">
        <w:rPr>
          <w:noProof w:val="0"/>
          <w:lang w:val="en-US"/>
        </w:rPr>
        <w:t>.</w:t>
      </w:r>
      <w:r w:rsidRPr="4394932E" w:rsidR="6861D36F">
        <w:rPr>
          <w:noProof w:val="0"/>
          <w:lang w:val="en-US"/>
        </w:rPr>
        <w:t xml:space="preserve"> </w:t>
      </w:r>
      <w:r w:rsidRPr="4394932E" w:rsidR="38DD4B34">
        <w:rPr>
          <w:noProof w:val="0"/>
          <w:lang w:val="en-US"/>
        </w:rPr>
        <w:t xml:space="preserve">The Kinect sensor captures precise video data that, when analyzed with </w:t>
      </w:r>
      <w:r w:rsidRPr="4394932E" w:rsidR="38DD4B34">
        <w:rPr>
          <w:noProof w:val="0"/>
          <w:lang w:val="en-US"/>
        </w:rPr>
        <w:t>CV</w:t>
      </w:r>
      <w:r w:rsidRPr="4394932E" w:rsidR="38DD4B34">
        <w:rPr>
          <w:noProof w:val="0"/>
          <w:lang w:val="en-US"/>
        </w:rPr>
        <w:t xml:space="preserve">, </w:t>
      </w:r>
      <w:r w:rsidRPr="4394932E" w:rsidR="38DD4B34">
        <w:rPr>
          <w:noProof w:val="0"/>
          <w:lang w:val="en-US"/>
        </w:rPr>
        <w:t>identifies</w:t>
      </w:r>
      <w:r w:rsidRPr="4394932E" w:rsidR="38DD4B34">
        <w:rPr>
          <w:noProof w:val="0"/>
          <w:lang w:val="en-US"/>
        </w:rPr>
        <w:t xml:space="preserve"> repetitive actions, </w:t>
      </w:r>
      <w:r w:rsidRPr="4394932E" w:rsidR="38DD4B34">
        <w:rPr>
          <w:noProof w:val="0"/>
          <w:lang w:val="en-US"/>
        </w:rPr>
        <w:t>facilitating</w:t>
      </w:r>
      <w:r w:rsidRPr="4394932E" w:rsidR="38DD4B34">
        <w:rPr>
          <w:noProof w:val="0"/>
          <w:lang w:val="en-US"/>
        </w:rPr>
        <w:t xml:space="preserve"> a semi-automated process and the evaluation of</w:t>
      </w:r>
      <w:r w:rsidRPr="4394932E" w:rsidR="628037BE">
        <w:rPr>
          <w:noProof w:val="0"/>
          <w:lang w:val="en-US"/>
        </w:rPr>
        <w:t xml:space="preserve"> </w:t>
      </w:r>
      <w:r w:rsidRPr="4394932E" w:rsidR="5EACC24A">
        <w:rPr>
          <w:noProof w:val="0"/>
          <w:lang w:val="en-US"/>
        </w:rPr>
        <w:t xml:space="preserve">biomechanical </w:t>
      </w:r>
      <w:r w:rsidRPr="4394932E" w:rsidR="628037BE">
        <w:rPr>
          <w:noProof w:val="0"/>
          <w:lang w:val="en-US"/>
        </w:rPr>
        <w:t>risk assessments using the OCRA</w:t>
      </w:r>
      <w:r w:rsidRPr="4394932E" w:rsidR="5DA0063C">
        <w:rPr>
          <w:noProof w:val="0"/>
          <w:lang w:val="en-US"/>
        </w:rPr>
        <w:t xml:space="preserve"> checklist</w:t>
      </w:r>
      <w:r w:rsidRPr="4394932E" w:rsidR="628037BE">
        <w:rPr>
          <w:noProof w:val="0"/>
          <w:lang w:val="en-US"/>
        </w:rPr>
        <w:t xml:space="preserve"> method. By applying this technology, risk scores were obtained for different body parts, allowing for the assessment of overall exposure to strain. Based on these scores, the results revealed varying levels of risk, ranging from acceptable (green) to unacceptable levels (red and purple), as </w:t>
      </w:r>
      <w:r w:rsidRPr="4394932E" w:rsidR="628037BE">
        <w:rPr>
          <w:noProof w:val="0"/>
          <w:lang w:val="en-US"/>
        </w:rPr>
        <w:t>indicated</w:t>
      </w:r>
      <w:r w:rsidRPr="4394932E" w:rsidR="628037BE">
        <w:rPr>
          <w:noProof w:val="0"/>
          <w:lang w:val="en-US"/>
        </w:rPr>
        <w:t xml:space="preserve"> by the risk scale provided in </w:t>
      </w:r>
      <w:r w:rsidRPr="4394932E" w:rsidR="16AECB1B">
        <w:rPr>
          <w:noProof w:val="0"/>
          <w:lang w:val="en-US"/>
        </w:rPr>
        <w:t>Table 1</w:t>
      </w:r>
      <w:r w:rsidRPr="4394932E" w:rsidR="628037BE">
        <w:rPr>
          <w:noProof w:val="0"/>
          <w:lang w:val="en-US"/>
        </w:rPr>
        <w:t>.</w:t>
      </w:r>
    </w:p>
    <w:p w:rsidR="7DC1F745" w:rsidP="7DC1F745" w:rsidRDefault="7DC1F745" w14:paraId="02604795" w14:textId="31E30C54">
      <w:pPr>
        <w:pStyle w:val="CETBodytext"/>
        <w:bidi w:val="0"/>
        <w:rPr>
          <w:noProof w:val="0"/>
          <w:lang w:val="en-US"/>
        </w:rPr>
      </w:pPr>
    </w:p>
    <w:p w:rsidR="56AAFDC2" w:rsidP="7DC1F745" w:rsidRDefault="56AAFDC2" w14:paraId="2960DB3B" w14:textId="28645B31">
      <w:pPr>
        <w:pStyle w:val="CETBodytext"/>
        <w:bidi w:val="0"/>
        <w:rPr>
          <w:noProof w:val="0"/>
          <w:lang w:val="en-US"/>
        </w:rPr>
      </w:pPr>
      <w:r w:rsidR="56AAFDC2">
        <w:drawing>
          <wp:inline wp14:editId="72D9B8E5" wp14:anchorId="4E9B8F06">
            <wp:extent cx="3163003" cy="2434325"/>
            <wp:effectExtent l="0" t="0" r="0" b="0"/>
            <wp:docPr id="1634131181" name="" title=""/>
            <wp:cNvGraphicFramePr>
              <a:graphicFrameLocks noChangeAspect="1"/>
            </wp:cNvGraphicFramePr>
            <a:graphic>
              <a:graphicData uri="http://schemas.openxmlformats.org/drawingml/2006/picture">
                <pic:pic>
                  <pic:nvPicPr>
                    <pic:cNvPr id="0" name=""/>
                    <pic:cNvPicPr/>
                  </pic:nvPicPr>
                  <pic:blipFill>
                    <a:blip r:embed="R260515a490f343e8">
                      <a:extLst>
                        <a:ext xmlns:a="http://schemas.openxmlformats.org/drawingml/2006/main" uri="{28A0092B-C50C-407E-A947-70E740481C1C}">
                          <a14:useLocalDpi val="0"/>
                        </a:ext>
                      </a:extLst>
                    </a:blip>
                    <a:stretch>
                      <a:fillRect/>
                    </a:stretch>
                  </pic:blipFill>
                  <pic:spPr>
                    <a:xfrm>
                      <a:off x="0" y="0"/>
                      <a:ext cx="3163003" cy="2434325"/>
                    </a:xfrm>
                    <a:prstGeom prst="rect">
                      <a:avLst/>
                    </a:prstGeom>
                  </pic:spPr>
                </pic:pic>
              </a:graphicData>
            </a:graphic>
          </wp:inline>
        </w:drawing>
      </w:r>
      <w:r>
        <w:br/>
      </w:r>
      <w:r w:rsidRPr="7DC1F745" w:rsidR="56AAFDC2">
        <w:rPr>
          <w:rStyle w:val="CETCaptionCarattere"/>
          <w:i w:val="1"/>
          <w:iCs w:val="1"/>
        </w:rPr>
        <w:t>Figure 2: Distribution of the "Unacceptable" Risk Index during the day.</w:t>
      </w:r>
    </w:p>
    <w:p w:rsidR="7DC1F745" w:rsidP="7DC1F745" w:rsidRDefault="7DC1F745" w14:paraId="2D171D38" w14:textId="230B85F4">
      <w:pPr>
        <w:pStyle w:val="CETBodytext"/>
        <w:bidi w:val="0"/>
        <w:rPr>
          <w:rStyle w:val="CETCaptionCarattere"/>
          <w:i w:val="1"/>
          <w:iCs w:val="1"/>
        </w:rPr>
      </w:pPr>
    </w:p>
    <w:p w:rsidR="3CE224B5" w:rsidP="7DC1F745" w:rsidRDefault="3CE224B5" w14:paraId="6831AA37" w14:textId="198B27B1">
      <w:pPr>
        <w:pStyle w:val="CETBodytext"/>
        <w:bidi w:val="0"/>
        <w:rPr>
          <w:noProof w:val="0"/>
          <w:lang w:val="en-US"/>
        </w:rPr>
      </w:pPr>
      <w:r w:rsidRPr="7DC1F745" w:rsidR="3CE224B5">
        <w:rPr>
          <w:noProof w:val="0"/>
          <w:lang w:val="en-US"/>
        </w:rPr>
        <w:t>Results show that t</w:t>
      </w:r>
      <w:r w:rsidRPr="7DC1F745" w:rsidR="50270867">
        <w:rPr>
          <w:noProof w:val="0"/>
          <w:lang w:val="en-US"/>
        </w:rPr>
        <w:t>he</w:t>
      </w:r>
      <w:r w:rsidRPr="7DC1F745" w:rsidR="50270867">
        <w:rPr>
          <w:noProof w:val="0"/>
          <w:lang w:val="en-US"/>
        </w:rPr>
        <w:t xml:space="preserve"> risk index distribution for the left</w:t>
      </w:r>
      <w:r w:rsidRPr="7DC1F745" w:rsidR="49859434">
        <w:rPr>
          <w:noProof w:val="0"/>
          <w:lang w:val="en-US"/>
        </w:rPr>
        <w:t xml:space="preserve"> side presents a mix of high-level risk (36.2%), medium-level risk (58.3%), and low-level risk (0.5%), with a small proportion being </w:t>
      </w:r>
      <w:r w:rsidRPr="7DC1F745" w:rsidR="49859434">
        <w:rPr>
          <w:noProof w:val="0"/>
          <w:lang w:val="en-US"/>
        </w:rPr>
        <w:t>very light</w:t>
      </w:r>
      <w:r w:rsidRPr="7DC1F745" w:rsidR="49859434">
        <w:rPr>
          <w:noProof w:val="0"/>
          <w:lang w:val="en-US"/>
        </w:rPr>
        <w:t xml:space="preserve"> or uncertain (4.9%). The right side </w:t>
      </w:r>
      <w:r w:rsidRPr="7DC1F745" w:rsidR="49859434">
        <w:rPr>
          <w:noProof w:val="0"/>
          <w:lang w:val="en-US"/>
        </w:rPr>
        <w:t>predominantly displays</w:t>
      </w:r>
      <w:r w:rsidRPr="7DC1F745" w:rsidR="49859434">
        <w:rPr>
          <w:noProof w:val="0"/>
          <w:lang w:val="en-US"/>
        </w:rPr>
        <w:t xml:space="preserve"> medium-level risks (90.8%), with a notable presence of high-level risk (9.2%).</w:t>
      </w:r>
    </w:p>
    <w:p w:rsidR="7DC1F745" w:rsidP="7DC1F745" w:rsidRDefault="7DC1F745" w14:paraId="0DC71840" w14:textId="38204487">
      <w:pPr>
        <w:pStyle w:val="CETBodytext"/>
        <w:bidi w:val="0"/>
        <w:rPr>
          <w:noProof w:val="0"/>
          <w:lang w:val="en-US"/>
        </w:rPr>
      </w:pPr>
    </w:p>
    <w:p w:rsidR="25353189" w:rsidP="7DC1F745" w:rsidRDefault="25353189" w14:paraId="25A02266" w14:textId="77BD8437">
      <w:pPr>
        <w:pStyle w:val="CETBodytext"/>
      </w:pPr>
      <w:r w:rsidR="25353189">
        <w:drawing>
          <wp:inline wp14:editId="454268AE" wp14:anchorId="645EBCFA">
            <wp:extent cx="3148908" cy="2423478"/>
            <wp:effectExtent l="0" t="0" r="0" b="0"/>
            <wp:docPr id="131410420" name="" title=""/>
            <wp:cNvGraphicFramePr>
              <a:graphicFrameLocks noChangeAspect="1"/>
            </wp:cNvGraphicFramePr>
            <a:graphic>
              <a:graphicData uri="http://schemas.openxmlformats.org/drawingml/2006/picture">
                <pic:pic>
                  <pic:nvPicPr>
                    <pic:cNvPr id="0" name=""/>
                    <pic:cNvPicPr/>
                  </pic:nvPicPr>
                  <pic:blipFill>
                    <a:blip r:embed="R65409b7e772f454f">
                      <a:extLst>
                        <a:ext xmlns:a="http://schemas.openxmlformats.org/drawingml/2006/main" uri="{28A0092B-C50C-407E-A947-70E740481C1C}">
                          <a14:useLocalDpi val="0"/>
                        </a:ext>
                      </a:extLst>
                    </a:blip>
                    <a:stretch>
                      <a:fillRect/>
                    </a:stretch>
                  </pic:blipFill>
                  <pic:spPr>
                    <a:xfrm>
                      <a:off x="0" y="0"/>
                      <a:ext cx="3148908" cy="2423478"/>
                    </a:xfrm>
                    <a:prstGeom prst="rect">
                      <a:avLst/>
                    </a:prstGeom>
                  </pic:spPr>
                </pic:pic>
              </a:graphicData>
            </a:graphic>
          </wp:inline>
        </w:drawing>
      </w:r>
      <w:r>
        <w:br/>
      </w:r>
      <w:r w:rsidRPr="7DC1F745" w:rsidR="25353189">
        <w:rPr>
          <w:rStyle w:val="CETCaptionCarattere"/>
          <w:i w:val="1"/>
          <w:iCs w:val="1"/>
        </w:rPr>
        <w:t>Figure 3: Distribution of the "Unacceptable" Risk Index by experience</w:t>
      </w:r>
    </w:p>
    <w:p w:rsidR="7DC1F745" w:rsidP="7DC1F745" w:rsidRDefault="7DC1F745" w14:paraId="22FAB58C" w14:textId="64E7C65B">
      <w:pPr>
        <w:pStyle w:val="CETBodytext"/>
        <w:bidi w:val="0"/>
        <w:rPr>
          <w:noProof w:val="0"/>
          <w:lang w:val="en-US"/>
        </w:rPr>
      </w:pPr>
    </w:p>
    <w:p w:rsidR="2E16B99E" w:rsidP="7DC1F745" w:rsidRDefault="2E16B99E" w14:paraId="6E64CEAC" w14:textId="1F8691A6">
      <w:pPr>
        <w:pStyle w:val="CETBodytext"/>
        <w:bidi w:val="0"/>
        <w:rPr>
          <w:noProof w:val="0"/>
          <w:lang w:val="en-US"/>
        </w:rPr>
      </w:pPr>
      <w:r w:rsidRPr="7DC1F745" w:rsidR="2E16B99E">
        <w:rPr>
          <w:noProof w:val="0"/>
          <w:lang w:val="en-US"/>
        </w:rPr>
        <w:t xml:space="preserve">The main findings from the OCRA </w:t>
      </w:r>
      <w:r w:rsidRPr="7DC1F745" w:rsidR="7C1E2FAE">
        <w:rPr>
          <w:noProof w:val="0"/>
          <w:lang w:val="en-US"/>
        </w:rPr>
        <w:t xml:space="preserve">checklist </w:t>
      </w:r>
      <w:r w:rsidRPr="7DC1F745" w:rsidR="2E16B99E">
        <w:rPr>
          <w:noProof w:val="0"/>
          <w:lang w:val="en-US"/>
        </w:rPr>
        <w:t xml:space="preserve">risk assessment are represented in Figures 2 and 3. The "unacceptable" risk index for both right and left sides shows that the most significant biomechanical risks are prevalent near the end of Shifts 1 and 2, specifically between 12-1 PM and 7-8 PM, respectively. Workers with less than 2.5 years of experience showed higher levels of biomechanical risk, suggesting that these groups need immediate corrective interventions. </w:t>
      </w:r>
    </w:p>
    <w:p w:rsidR="5DEEDCCF" w:rsidP="7DC1F745" w:rsidRDefault="5DEEDCCF" w14:paraId="5EE028E7" w14:textId="5C23E313">
      <w:pPr>
        <w:pStyle w:val="CETBodytext"/>
      </w:pPr>
      <w:r w:rsidRPr="7DC1F745" w:rsidR="5DEEDCCF">
        <w:rPr>
          <w:noProof w:val="0"/>
          <w:lang w:val="en-US"/>
        </w:rPr>
        <w:t>Furthermore, results from the discomfort questionnaires (Table 2) reveal that discomfort perceived in the upper limbs, mid-back, and lower back is prevalent among participants. The reported upper limb discomfort aligns with the findings from the OCRA</w:t>
      </w:r>
      <w:r w:rsidRPr="7DC1F745" w:rsidR="21E9B9CE">
        <w:rPr>
          <w:noProof w:val="0"/>
          <w:lang w:val="en-US"/>
        </w:rPr>
        <w:t xml:space="preserve"> checklist</w:t>
      </w:r>
      <w:r w:rsidRPr="7DC1F745" w:rsidR="5DEEDCCF">
        <w:rPr>
          <w:noProof w:val="0"/>
          <w:lang w:val="en-US"/>
        </w:rPr>
        <w:t xml:space="preserve"> </w:t>
      </w:r>
      <w:r w:rsidRPr="7DC1F745" w:rsidR="5DEEDCCF">
        <w:rPr>
          <w:noProof w:val="0"/>
          <w:lang w:val="en-US"/>
        </w:rPr>
        <w:t>methodology</w:t>
      </w:r>
      <w:r w:rsidRPr="7DC1F745" w:rsidR="5DEEDCCF">
        <w:rPr>
          <w:noProof w:val="0"/>
          <w:lang w:val="en-US"/>
        </w:rPr>
        <w:t xml:space="preserve"> discussed earlier. These insights highlight the need for targeted ergonomic interventions to alleviate physical strain and reduce risks, particularly for less experienced workers and during critical periods by the end of shifts 1 and 2.</w:t>
      </w:r>
    </w:p>
    <w:p w:rsidR="19350A96" w:rsidP="7DC1F745" w:rsidRDefault="19350A96" w14:paraId="30444763" w14:textId="6638A127">
      <w:pPr>
        <w:pStyle w:val="CETTabletitle"/>
      </w:pPr>
      <w:r w:rsidR="19350A96">
        <w:rPr/>
        <w:t>Table 2: Discomfort levels across body parts rated from 1 to 5</w:t>
      </w:r>
    </w:p>
    <w:tbl>
      <w:tblPr>
        <w:tblW w:w="0" w:type="auto"/>
        <w:jc w:val="left"/>
        <w:tblBorders>
          <w:top w:val="single" w:color="008000" w:sz="12"/>
          <w:bottom w:val="single" w:color="008000" w:sz="12"/>
        </w:tblBorders>
        <w:tblLook w:val="00A0" w:firstRow="1" w:lastRow="0" w:firstColumn="1" w:lastColumn="0" w:noHBand="0" w:noVBand="0"/>
      </w:tblPr>
      <w:tblGrid>
        <w:gridCol w:w="878"/>
        <w:gridCol w:w="1401"/>
        <w:gridCol w:w="940"/>
        <w:gridCol w:w="1007"/>
        <w:gridCol w:w="1139"/>
        <w:gridCol w:w="603"/>
        <w:gridCol w:w="741"/>
        <w:gridCol w:w="613"/>
        <w:gridCol w:w="576"/>
        <w:gridCol w:w="576"/>
      </w:tblGrid>
      <w:tr w:rsidR="7DC1F745" w:rsidTr="7DC1F745" w14:paraId="30462D4D">
        <w:trPr>
          <w:trHeight w:val="300"/>
        </w:trPr>
        <w:tc>
          <w:tcPr>
            <w:tcW w:w="878" w:type="dxa"/>
            <w:tcBorders>
              <w:top w:val="single" w:color="008000" w:sz="12"/>
              <w:bottom w:val="single" w:color="008000" w:sz="6"/>
            </w:tcBorders>
            <w:shd w:val="clear" w:color="auto" w:fill="FFFFFF" w:themeFill="background1"/>
            <w:tcMar/>
          </w:tcPr>
          <w:p w:rsidR="7DC1F745" w:rsidP="7DC1F745" w:rsidRDefault="7DC1F745" w14:paraId="0574A7A2" w14:textId="5CEF09A8">
            <w:pPr>
              <w:pStyle w:val="CETBodytext"/>
              <w:suppressLineNumbers w:val="0"/>
              <w:bidi w:val="0"/>
              <w:spacing w:before="0" w:beforeAutospacing="off" w:after="0" w:afterAutospacing="off" w:line="264" w:lineRule="auto"/>
              <w:ind w:left="0" w:right="0"/>
              <w:jc w:val="both"/>
              <w:rPr>
                <w:lang w:val="en-GB"/>
              </w:rPr>
            </w:pPr>
          </w:p>
        </w:tc>
        <w:tc>
          <w:tcPr>
            <w:tcW w:w="1401" w:type="dxa"/>
            <w:tcBorders>
              <w:top w:val="single" w:color="008000" w:sz="12"/>
              <w:bottom w:val="single" w:color="008000" w:sz="6"/>
            </w:tcBorders>
            <w:shd w:val="clear" w:color="auto" w:fill="FFFFFF" w:themeFill="background1"/>
            <w:tcMar/>
          </w:tcPr>
          <w:p w:rsidR="291917B9" w:rsidP="7DC1F745" w:rsidRDefault="291917B9" w14:paraId="74A2D835" w14:textId="2F298173">
            <w:pPr>
              <w:pStyle w:val="CETBodytext"/>
              <w:jc w:val="center"/>
              <w:rPr>
                <w:b w:val="1"/>
                <w:bCs w:val="1"/>
                <w:lang w:val="en-GB"/>
              </w:rPr>
            </w:pPr>
            <w:r w:rsidRPr="7DC1F745" w:rsidR="291917B9">
              <w:rPr>
                <w:b w:val="1"/>
                <w:bCs w:val="1"/>
                <w:lang w:val="en-GB"/>
              </w:rPr>
              <w:t>Head and neck</w:t>
            </w:r>
          </w:p>
        </w:tc>
        <w:tc>
          <w:tcPr>
            <w:tcW w:w="940" w:type="dxa"/>
            <w:tcBorders>
              <w:top w:val="single" w:color="008000" w:sz="12"/>
              <w:bottom w:val="single" w:color="008000" w:sz="6"/>
            </w:tcBorders>
            <w:shd w:val="clear" w:color="auto" w:fill="FFFFFF" w:themeFill="background1"/>
            <w:tcMar/>
          </w:tcPr>
          <w:p w:rsidR="291917B9" w:rsidP="7DC1F745" w:rsidRDefault="291917B9" w14:paraId="6F25A004" w14:textId="3F612AB3">
            <w:pPr>
              <w:pStyle w:val="CETBodytext"/>
              <w:jc w:val="center"/>
              <w:rPr>
                <w:b w:val="1"/>
                <w:bCs w:val="1"/>
                <w:lang w:val="en-GB"/>
              </w:rPr>
            </w:pPr>
            <w:r w:rsidRPr="7DC1F745" w:rsidR="291917B9">
              <w:rPr>
                <w:b w:val="1"/>
                <w:bCs w:val="1"/>
                <w:lang w:val="en-GB"/>
              </w:rPr>
              <w:t xml:space="preserve"> Mid-back</w:t>
            </w:r>
          </w:p>
        </w:tc>
        <w:tc>
          <w:tcPr>
            <w:tcW w:w="1007" w:type="dxa"/>
            <w:tcBorders>
              <w:top w:val="single" w:color="008000" w:sz="12"/>
              <w:bottom w:val="single" w:color="008000" w:sz="6"/>
            </w:tcBorders>
            <w:shd w:val="clear" w:color="auto" w:fill="FFFFFF" w:themeFill="background1"/>
            <w:tcMar/>
          </w:tcPr>
          <w:p w:rsidR="291917B9" w:rsidP="7DC1F745" w:rsidRDefault="291917B9" w14:paraId="493462B8" w14:textId="5B77A09D">
            <w:pPr>
              <w:pStyle w:val="CETBodytext"/>
              <w:ind w:right="-1"/>
              <w:jc w:val="center"/>
              <w:rPr>
                <w:rFonts w:cs="Arial"/>
                <w:b w:val="1"/>
                <w:bCs w:val="1"/>
                <w:lang w:val="en-GB"/>
              </w:rPr>
            </w:pPr>
            <w:r w:rsidRPr="7DC1F745" w:rsidR="291917B9">
              <w:rPr>
                <w:rFonts w:cs="Arial"/>
                <w:b w:val="1"/>
                <w:bCs w:val="1"/>
                <w:lang w:val="en-GB"/>
              </w:rPr>
              <w:t>Shoulders</w:t>
            </w:r>
          </w:p>
        </w:tc>
        <w:tc>
          <w:tcPr>
            <w:tcW w:w="1139" w:type="dxa"/>
            <w:tcBorders>
              <w:top w:val="single" w:color="008000" w:sz="12"/>
              <w:bottom w:val="single" w:color="008000" w:sz="6"/>
            </w:tcBorders>
            <w:shd w:val="clear" w:color="auto" w:fill="FFFFFF" w:themeFill="background1"/>
            <w:tcMar/>
          </w:tcPr>
          <w:p w:rsidR="291917B9" w:rsidP="7DC1F745" w:rsidRDefault="291917B9" w14:paraId="03A8C204" w14:textId="69FC9EAA">
            <w:pPr>
              <w:pStyle w:val="CETBodytext"/>
              <w:ind w:right="-1"/>
              <w:jc w:val="center"/>
              <w:rPr>
                <w:rFonts w:cs="Arial"/>
                <w:b w:val="1"/>
                <w:bCs w:val="1"/>
                <w:lang w:val="en-GB"/>
              </w:rPr>
            </w:pPr>
            <w:r w:rsidRPr="7DC1F745" w:rsidR="291917B9">
              <w:rPr>
                <w:rFonts w:cs="Arial"/>
                <w:b w:val="1"/>
                <w:bCs w:val="1"/>
                <w:lang w:val="en-GB"/>
              </w:rPr>
              <w:t>Lower-back</w:t>
            </w:r>
          </w:p>
        </w:tc>
        <w:tc>
          <w:tcPr>
            <w:tcW w:w="603" w:type="dxa"/>
            <w:tcBorders>
              <w:top w:val="single" w:color="008000" w:sz="12"/>
              <w:bottom w:val="single" w:color="008000" w:sz="6"/>
            </w:tcBorders>
            <w:shd w:val="clear" w:color="auto" w:fill="FFFFFF" w:themeFill="background1"/>
            <w:tcMar/>
          </w:tcPr>
          <w:p w:rsidR="291917B9" w:rsidP="7DC1F745" w:rsidRDefault="291917B9" w14:paraId="37D6C15A" w14:textId="5A584BCC">
            <w:pPr>
              <w:pStyle w:val="CETBodytext"/>
              <w:jc w:val="center"/>
              <w:rPr>
                <w:rFonts w:cs="Arial"/>
                <w:b w:val="1"/>
                <w:bCs w:val="1"/>
                <w:lang w:val="en-GB"/>
              </w:rPr>
            </w:pPr>
            <w:r w:rsidRPr="7DC1F745" w:rsidR="291917B9">
              <w:rPr>
                <w:rFonts w:cs="Arial"/>
                <w:b w:val="1"/>
                <w:bCs w:val="1"/>
                <w:lang w:val="en-GB"/>
              </w:rPr>
              <w:t>Arms</w:t>
            </w:r>
          </w:p>
        </w:tc>
        <w:tc>
          <w:tcPr>
            <w:tcW w:w="741" w:type="dxa"/>
            <w:tcBorders>
              <w:top w:val="single" w:color="008000" w:sz="12"/>
              <w:bottom w:val="single" w:color="008000" w:sz="6"/>
            </w:tcBorders>
            <w:shd w:val="clear" w:color="auto" w:fill="FFFFFF" w:themeFill="background1"/>
            <w:tcMar/>
          </w:tcPr>
          <w:p w:rsidR="291917B9" w:rsidP="7DC1F745" w:rsidRDefault="291917B9" w14:paraId="78B792D6" w14:textId="6474BD30">
            <w:pPr>
              <w:pStyle w:val="CETBodytext"/>
              <w:jc w:val="center"/>
              <w:rPr>
                <w:rFonts w:cs="Arial"/>
                <w:b w:val="1"/>
                <w:bCs w:val="1"/>
                <w:lang w:val="en-GB"/>
              </w:rPr>
            </w:pPr>
            <w:r w:rsidRPr="7DC1F745" w:rsidR="291917B9">
              <w:rPr>
                <w:rFonts w:cs="Arial"/>
                <w:b w:val="1"/>
                <w:bCs w:val="1"/>
                <w:lang w:val="en-GB"/>
              </w:rPr>
              <w:t>Gluteus</w:t>
            </w:r>
          </w:p>
        </w:tc>
        <w:tc>
          <w:tcPr>
            <w:tcW w:w="613" w:type="dxa"/>
            <w:tcBorders>
              <w:top w:val="single" w:color="008000" w:sz="12"/>
              <w:bottom w:val="single" w:color="008000" w:sz="6"/>
            </w:tcBorders>
            <w:shd w:val="clear" w:color="auto" w:fill="FFFFFF" w:themeFill="background1"/>
            <w:tcMar/>
          </w:tcPr>
          <w:p w:rsidR="708DCCD4" w:rsidP="7DC1F745" w:rsidRDefault="708DCCD4" w14:paraId="42C2C83D" w14:textId="01A2DB83">
            <w:pPr>
              <w:pStyle w:val="CETBodytext"/>
              <w:jc w:val="center"/>
              <w:rPr>
                <w:rFonts w:cs="Arial"/>
                <w:b w:val="1"/>
                <w:bCs w:val="1"/>
                <w:lang w:val="en-GB"/>
              </w:rPr>
            </w:pPr>
            <w:r w:rsidRPr="7DC1F745" w:rsidR="708DCCD4">
              <w:rPr>
                <w:rFonts w:cs="Arial"/>
                <w:b w:val="1"/>
                <w:bCs w:val="1"/>
                <w:lang w:val="en-GB"/>
              </w:rPr>
              <w:t>Thigh</w:t>
            </w:r>
          </w:p>
        </w:tc>
        <w:tc>
          <w:tcPr>
            <w:tcW w:w="576" w:type="dxa"/>
            <w:tcBorders>
              <w:top w:val="single" w:color="008000" w:sz="12"/>
              <w:bottom w:val="single" w:color="008000" w:sz="6"/>
            </w:tcBorders>
            <w:shd w:val="clear" w:color="auto" w:fill="FFFFFF" w:themeFill="background1"/>
            <w:tcMar/>
          </w:tcPr>
          <w:p w:rsidR="20C99546" w:rsidP="7DC1F745" w:rsidRDefault="20C99546" w14:paraId="42B91BDD" w14:textId="3E782127">
            <w:pPr>
              <w:pStyle w:val="CETBodytext"/>
              <w:jc w:val="center"/>
              <w:rPr>
                <w:rFonts w:cs="Arial"/>
                <w:b w:val="1"/>
                <w:bCs w:val="1"/>
                <w:lang w:val="en-GB"/>
              </w:rPr>
            </w:pPr>
            <w:r w:rsidRPr="7DC1F745" w:rsidR="20C99546">
              <w:rPr>
                <w:rFonts w:cs="Arial"/>
                <w:b w:val="1"/>
                <w:bCs w:val="1"/>
                <w:lang w:val="en-GB"/>
              </w:rPr>
              <w:t>Knee</w:t>
            </w:r>
          </w:p>
        </w:tc>
        <w:tc>
          <w:tcPr>
            <w:tcW w:w="576" w:type="dxa"/>
            <w:tcBorders>
              <w:top w:val="single" w:color="008000" w:sz="12"/>
              <w:bottom w:val="single" w:color="008000" w:sz="6"/>
            </w:tcBorders>
            <w:shd w:val="clear" w:color="auto" w:fill="FFFFFF" w:themeFill="background1"/>
            <w:tcMar/>
          </w:tcPr>
          <w:p w:rsidR="20C99546" w:rsidP="7DC1F745" w:rsidRDefault="20C99546" w14:paraId="5677B787" w14:textId="00EDC974">
            <w:pPr>
              <w:pStyle w:val="CETBodytext"/>
              <w:jc w:val="center"/>
              <w:rPr>
                <w:rFonts w:cs="Arial"/>
                <w:b w:val="1"/>
                <w:bCs w:val="1"/>
                <w:lang w:val="en-GB"/>
              </w:rPr>
            </w:pPr>
            <w:r w:rsidRPr="7DC1F745" w:rsidR="20C99546">
              <w:rPr>
                <w:rFonts w:cs="Arial"/>
                <w:b w:val="1"/>
                <w:bCs w:val="1"/>
                <w:lang w:val="en-GB"/>
              </w:rPr>
              <w:t>Feet</w:t>
            </w:r>
          </w:p>
        </w:tc>
      </w:tr>
      <w:tr w:rsidR="7DC1F745" w:rsidTr="7DC1F745" w14:paraId="3FB54DB6">
        <w:trPr>
          <w:trHeight w:val="300"/>
        </w:trPr>
        <w:tc>
          <w:tcPr>
            <w:tcW w:w="878" w:type="dxa"/>
            <w:shd w:val="clear" w:color="auto" w:fill="FFFFFF" w:themeFill="background1"/>
            <w:tcMar/>
          </w:tcPr>
          <w:p w:rsidR="49F0F835" w:rsidP="7DC1F745" w:rsidRDefault="49F0F835" w14:paraId="30D0C51A" w14:textId="4A9029E4">
            <w:pPr>
              <w:pStyle w:val="CETBodytext"/>
              <w:suppressLineNumbers w:val="0"/>
              <w:bidi w:val="0"/>
              <w:spacing w:before="0" w:beforeAutospacing="off" w:after="0" w:afterAutospacing="off" w:line="264" w:lineRule="auto"/>
              <w:ind w:left="0" w:right="0"/>
              <w:jc w:val="center"/>
              <w:rPr>
                <w:b w:val="1"/>
                <w:bCs w:val="1"/>
                <w:lang w:val="en-GB"/>
              </w:rPr>
            </w:pPr>
            <w:r w:rsidRPr="7DC1F745" w:rsidR="49F0F835">
              <w:rPr>
                <w:b w:val="1"/>
                <w:bCs w:val="1"/>
                <w:lang w:val="en-GB"/>
              </w:rPr>
              <w:t>Mean</w:t>
            </w:r>
          </w:p>
        </w:tc>
        <w:tc>
          <w:tcPr>
            <w:tcW w:w="1401" w:type="dxa"/>
            <w:shd w:val="clear" w:color="auto" w:fill="FFFFFF" w:themeFill="background1"/>
            <w:tcMar/>
          </w:tcPr>
          <w:p w:rsidR="309FE0A8" w:rsidP="7DC1F745" w:rsidRDefault="309FE0A8" w14:paraId="5E644221" w14:textId="7C5E068A">
            <w:pPr>
              <w:pStyle w:val="CETBodytext"/>
              <w:jc w:val="center"/>
              <w:rPr>
                <w:lang w:val="en-GB"/>
              </w:rPr>
            </w:pPr>
            <w:r w:rsidRPr="7DC1F745" w:rsidR="309FE0A8">
              <w:rPr>
                <w:lang w:val="en-GB"/>
              </w:rPr>
              <w:t>2.24</w:t>
            </w:r>
          </w:p>
        </w:tc>
        <w:tc>
          <w:tcPr>
            <w:tcW w:w="940" w:type="dxa"/>
            <w:shd w:val="clear" w:color="auto" w:fill="FFFFFF" w:themeFill="background1"/>
            <w:tcMar/>
          </w:tcPr>
          <w:p w:rsidR="309FE0A8" w:rsidP="7DC1F745" w:rsidRDefault="309FE0A8" w14:paraId="601973B5" w14:textId="46E3B1F4">
            <w:pPr>
              <w:pStyle w:val="CETBodytext"/>
              <w:jc w:val="center"/>
              <w:rPr>
                <w:lang w:val="en-GB"/>
              </w:rPr>
            </w:pPr>
            <w:r w:rsidRPr="7DC1F745" w:rsidR="309FE0A8">
              <w:rPr>
                <w:lang w:val="en-GB"/>
              </w:rPr>
              <w:t>2.18</w:t>
            </w:r>
          </w:p>
        </w:tc>
        <w:tc>
          <w:tcPr>
            <w:tcW w:w="1007" w:type="dxa"/>
            <w:shd w:val="clear" w:color="auto" w:fill="FFFFFF" w:themeFill="background1"/>
            <w:tcMar/>
          </w:tcPr>
          <w:p w:rsidR="309FE0A8" w:rsidP="7DC1F745" w:rsidRDefault="309FE0A8" w14:paraId="13023D99" w14:textId="784FC1B3">
            <w:pPr>
              <w:pStyle w:val="CETBodytext"/>
              <w:ind w:right="-1"/>
              <w:jc w:val="center"/>
              <w:rPr>
                <w:rFonts w:cs="Arial"/>
                <w:lang w:val="en-GB"/>
              </w:rPr>
            </w:pPr>
            <w:r w:rsidRPr="7DC1F745" w:rsidR="309FE0A8">
              <w:rPr>
                <w:rFonts w:cs="Arial"/>
                <w:lang w:val="en-GB"/>
              </w:rPr>
              <w:t>2.16</w:t>
            </w:r>
          </w:p>
        </w:tc>
        <w:tc>
          <w:tcPr>
            <w:tcW w:w="1139" w:type="dxa"/>
            <w:shd w:val="clear" w:color="auto" w:fill="FFFFFF" w:themeFill="background1"/>
            <w:tcMar/>
          </w:tcPr>
          <w:p w:rsidR="309FE0A8" w:rsidP="7DC1F745" w:rsidRDefault="309FE0A8" w14:paraId="4B80B004" w14:textId="3D27E33B">
            <w:pPr>
              <w:pStyle w:val="CETBodytext"/>
              <w:ind w:right="-1"/>
              <w:jc w:val="center"/>
              <w:rPr>
                <w:rFonts w:cs="Arial"/>
                <w:lang w:val="en-GB"/>
              </w:rPr>
            </w:pPr>
            <w:r w:rsidRPr="7DC1F745" w:rsidR="309FE0A8">
              <w:rPr>
                <w:rFonts w:cs="Arial"/>
                <w:lang w:val="en-GB"/>
              </w:rPr>
              <w:t>2.07</w:t>
            </w:r>
          </w:p>
        </w:tc>
        <w:tc>
          <w:tcPr>
            <w:tcW w:w="603" w:type="dxa"/>
            <w:shd w:val="clear" w:color="auto" w:fill="FFFFFF" w:themeFill="background1"/>
            <w:tcMar/>
          </w:tcPr>
          <w:p w:rsidR="309FE0A8" w:rsidP="7DC1F745" w:rsidRDefault="309FE0A8" w14:paraId="47E5A7C8" w14:textId="3EA697D9">
            <w:pPr>
              <w:pStyle w:val="CETBodytext"/>
              <w:jc w:val="center"/>
              <w:rPr>
                <w:rFonts w:cs="Arial"/>
                <w:lang w:val="en-GB"/>
              </w:rPr>
            </w:pPr>
            <w:r w:rsidRPr="7DC1F745" w:rsidR="309FE0A8">
              <w:rPr>
                <w:rFonts w:cs="Arial"/>
                <w:lang w:val="en-GB"/>
              </w:rPr>
              <w:t>2.04</w:t>
            </w:r>
          </w:p>
        </w:tc>
        <w:tc>
          <w:tcPr>
            <w:tcW w:w="741" w:type="dxa"/>
            <w:shd w:val="clear" w:color="auto" w:fill="FFFFFF" w:themeFill="background1"/>
            <w:tcMar/>
          </w:tcPr>
          <w:p w:rsidR="309FE0A8" w:rsidP="7DC1F745" w:rsidRDefault="309FE0A8" w14:paraId="257C9C2A" w14:textId="1F86C60F">
            <w:pPr>
              <w:pStyle w:val="CETBodytext"/>
              <w:jc w:val="center"/>
              <w:rPr>
                <w:rFonts w:cs="Arial"/>
                <w:lang w:val="en-GB"/>
              </w:rPr>
            </w:pPr>
            <w:r w:rsidRPr="7DC1F745" w:rsidR="309FE0A8">
              <w:rPr>
                <w:rFonts w:cs="Arial"/>
                <w:lang w:val="en-GB"/>
              </w:rPr>
              <w:t>1.87</w:t>
            </w:r>
          </w:p>
        </w:tc>
        <w:tc>
          <w:tcPr>
            <w:tcW w:w="613" w:type="dxa"/>
            <w:shd w:val="clear" w:color="auto" w:fill="FFFFFF" w:themeFill="background1"/>
            <w:tcMar/>
          </w:tcPr>
          <w:p w:rsidR="309FE0A8" w:rsidP="7DC1F745" w:rsidRDefault="309FE0A8" w14:paraId="318646C7" w14:textId="62F95927">
            <w:pPr>
              <w:pStyle w:val="CETBodytext"/>
              <w:jc w:val="center"/>
              <w:rPr>
                <w:rFonts w:cs="Arial"/>
                <w:lang w:val="en-GB"/>
              </w:rPr>
            </w:pPr>
            <w:r w:rsidRPr="7DC1F745" w:rsidR="309FE0A8">
              <w:rPr>
                <w:rFonts w:cs="Arial"/>
                <w:lang w:val="en-GB"/>
              </w:rPr>
              <w:t>1.82</w:t>
            </w:r>
          </w:p>
        </w:tc>
        <w:tc>
          <w:tcPr>
            <w:tcW w:w="576" w:type="dxa"/>
            <w:shd w:val="clear" w:color="auto" w:fill="FFFFFF" w:themeFill="background1"/>
            <w:tcMar/>
          </w:tcPr>
          <w:p w:rsidR="30FFD4C1" w:rsidP="7DC1F745" w:rsidRDefault="30FFD4C1" w14:paraId="372BD3DE" w14:textId="5794946E">
            <w:pPr>
              <w:pStyle w:val="CETBodytext"/>
              <w:jc w:val="center"/>
              <w:rPr>
                <w:rFonts w:cs="Arial"/>
                <w:lang w:val="en-GB"/>
              </w:rPr>
            </w:pPr>
            <w:r w:rsidRPr="7DC1F745" w:rsidR="30FFD4C1">
              <w:rPr>
                <w:rFonts w:cs="Arial"/>
                <w:lang w:val="en-GB"/>
              </w:rPr>
              <w:t>1.74</w:t>
            </w:r>
          </w:p>
        </w:tc>
        <w:tc>
          <w:tcPr>
            <w:tcW w:w="576" w:type="dxa"/>
            <w:shd w:val="clear" w:color="auto" w:fill="FFFFFF" w:themeFill="background1"/>
            <w:tcMar/>
          </w:tcPr>
          <w:p w:rsidR="30FFD4C1" w:rsidP="7DC1F745" w:rsidRDefault="30FFD4C1" w14:paraId="75744EDB" w14:textId="022259AD">
            <w:pPr>
              <w:pStyle w:val="CETBodytext"/>
              <w:jc w:val="center"/>
              <w:rPr>
                <w:rFonts w:cs="Arial"/>
                <w:lang w:val="en-GB"/>
              </w:rPr>
            </w:pPr>
            <w:r w:rsidRPr="7DC1F745" w:rsidR="30FFD4C1">
              <w:rPr>
                <w:rFonts w:cs="Arial"/>
                <w:lang w:val="en-GB"/>
              </w:rPr>
              <w:t>1.70</w:t>
            </w:r>
          </w:p>
        </w:tc>
      </w:tr>
      <w:tr w:rsidR="7DC1F745" w:rsidTr="7DC1F745" w14:paraId="5E3C66E9">
        <w:trPr>
          <w:trHeight w:val="300"/>
        </w:trPr>
        <w:tc>
          <w:tcPr>
            <w:tcW w:w="878" w:type="dxa"/>
            <w:shd w:val="clear" w:color="auto" w:fill="FFFFFF" w:themeFill="background1"/>
            <w:tcMar/>
          </w:tcPr>
          <w:p w:rsidR="49F0F835" w:rsidP="7DC1F745" w:rsidRDefault="49F0F835" w14:paraId="538EEA85" w14:textId="1741F6E4">
            <w:pPr>
              <w:pStyle w:val="CETBodytext"/>
              <w:ind w:right="-1"/>
              <w:jc w:val="center"/>
              <w:rPr>
                <w:rFonts w:cs="Arial"/>
                <w:b w:val="1"/>
                <w:bCs w:val="1"/>
                <w:lang w:val="en-GB"/>
              </w:rPr>
            </w:pPr>
            <w:r w:rsidRPr="7DC1F745" w:rsidR="49F0F835">
              <w:rPr>
                <w:rFonts w:cs="Arial"/>
                <w:b w:val="1"/>
                <w:bCs w:val="1"/>
                <w:lang w:val="en-GB"/>
              </w:rPr>
              <w:t>Std</w:t>
            </w:r>
          </w:p>
        </w:tc>
        <w:tc>
          <w:tcPr>
            <w:tcW w:w="1401" w:type="dxa"/>
            <w:shd w:val="clear" w:color="auto" w:fill="FFFFFF" w:themeFill="background1"/>
            <w:tcMar/>
          </w:tcPr>
          <w:p w:rsidR="61CCBAD5" w:rsidP="7DC1F745" w:rsidRDefault="61CCBAD5" w14:paraId="6E84D386" w14:textId="6A336CD5">
            <w:pPr>
              <w:pStyle w:val="CETBodytext"/>
              <w:ind w:right="-1"/>
              <w:jc w:val="center"/>
              <w:rPr>
                <w:rFonts w:cs="Arial"/>
                <w:lang w:val="en-GB"/>
              </w:rPr>
            </w:pPr>
            <w:r w:rsidRPr="7DC1F745" w:rsidR="61CCBAD5">
              <w:rPr>
                <w:rFonts w:cs="Arial"/>
                <w:lang w:val="en-GB"/>
              </w:rPr>
              <w:t>1.10</w:t>
            </w:r>
          </w:p>
        </w:tc>
        <w:tc>
          <w:tcPr>
            <w:tcW w:w="940" w:type="dxa"/>
            <w:shd w:val="clear" w:color="auto" w:fill="FFFFFF" w:themeFill="background1"/>
            <w:tcMar/>
          </w:tcPr>
          <w:p w:rsidR="61CCBAD5" w:rsidP="7DC1F745" w:rsidRDefault="61CCBAD5" w14:paraId="544A9E65" w14:textId="201AB026">
            <w:pPr>
              <w:pStyle w:val="CETBodytext"/>
              <w:ind w:right="-1"/>
              <w:jc w:val="center"/>
              <w:rPr>
                <w:rFonts w:cs="Arial"/>
                <w:lang w:val="en-GB"/>
              </w:rPr>
            </w:pPr>
            <w:r w:rsidRPr="7DC1F745" w:rsidR="61CCBAD5">
              <w:rPr>
                <w:rFonts w:cs="Arial"/>
                <w:lang w:val="en-GB"/>
              </w:rPr>
              <w:t>1.09</w:t>
            </w:r>
          </w:p>
        </w:tc>
        <w:tc>
          <w:tcPr>
            <w:tcW w:w="1007" w:type="dxa"/>
            <w:shd w:val="clear" w:color="auto" w:fill="FFFFFF" w:themeFill="background1"/>
            <w:tcMar/>
          </w:tcPr>
          <w:p w:rsidR="61CCBAD5" w:rsidP="7DC1F745" w:rsidRDefault="61CCBAD5" w14:paraId="006BFB56" w14:textId="6F413B78">
            <w:pPr>
              <w:pStyle w:val="CETBodytext"/>
              <w:ind w:right="-1"/>
              <w:jc w:val="center"/>
              <w:rPr>
                <w:rFonts w:cs="Arial"/>
                <w:lang w:val="en-GB"/>
              </w:rPr>
            </w:pPr>
            <w:r w:rsidRPr="7DC1F745" w:rsidR="61CCBAD5">
              <w:rPr>
                <w:rFonts w:cs="Arial"/>
                <w:lang w:val="en-GB"/>
              </w:rPr>
              <w:t>1.02</w:t>
            </w:r>
          </w:p>
        </w:tc>
        <w:tc>
          <w:tcPr>
            <w:tcW w:w="1139" w:type="dxa"/>
            <w:shd w:val="clear" w:color="auto" w:fill="FFFFFF" w:themeFill="background1"/>
            <w:tcMar/>
          </w:tcPr>
          <w:p w:rsidR="61CCBAD5" w:rsidP="7DC1F745" w:rsidRDefault="61CCBAD5" w14:paraId="0FC774D9" w14:textId="3C9781A6">
            <w:pPr>
              <w:pStyle w:val="CETBodytext"/>
              <w:ind w:right="-1"/>
              <w:jc w:val="center"/>
              <w:rPr>
                <w:rFonts w:cs="Arial"/>
                <w:lang w:val="en-GB"/>
              </w:rPr>
            </w:pPr>
            <w:r w:rsidRPr="7DC1F745" w:rsidR="61CCBAD5">
              <w:rPr>
                <w:rFonts w:cs="Arial"/>
                <w:lang w:val="en-GB"/>
              </w:rPr>
              <w:t>1.12</w:t>
            </w:r>
          </w:p>
        </w:tc>
        <w:tc>
          <w:tcPr>
            <w:tcW w:w="603" w:type="dxa"/>
            <w:shd w:val="clear" w:color="auto" w:fill="FFFFFF" w:themeFill="background1"/>
            <w:tcMar/>
          </w:tcPr>
          <w:p w:rsidR="61CCBAD5" w:rsidP="7DC1F745" w:rsidRDefault="61CCBAD5" w14:paraId="383302EA" w14:textId="13C069CD">
            <w:pPr>
              <w:pStyle w:val="CETBodytext"/>
              <w:jc w:val="center"/>
              <w:rPr>
                <w:rFonts w:cs="Arial"/>
                <w:lang w:val="en-GB"/>
              </w:rPr>
            </w:pPr>
            <w:r w:rsidRPr="7DC1F745" w:rsidR="61CCBAD5">
              <w:rPr>
                <w:rFonts w:cs="Arial"/>
                <w:lang w:val="en-GB"/>
              </w:rPr>
              <w:t>1.04</w:t>
            </w:r>
          </w:p>
        </w:tc>
        <w:tc>
          <w:tcPr>
            <w:tcW w:w="741" w:type="dxa"/>
            <w:shd w:val="clear" w:color="auto" w:fill="FFFFFF" w:themeFill="background1"/>
            <w:tcMar/>
          </w:tcPr>
          <w:p w:rsidR="61CCBAD5" w:rsidP="7DC1F745" w:rsidRDefault="61CCBAD5" w14:paraId="739C8DA0" w14:textId="7D46D3D3">
            <w:pPr>
              <w:pStyle w:val="CETBodytext"/>
              <w:jc w:val="center"/>
              <w:rPr>
                <w:rFonts w:cs="Arial"/>
                <w:lang w:val="en-GB"/>
              </w:rPr>
            </w:pPr>
            <w:r w:rsidRPr="7DC1F745" w:rsidR="61CCBAD5">
              <w:rPr>
                <w:rFonts w:cs="Arial"/>
                <w:lang w:val="en-GB"/>
              </w:rPr>
              <w:t>1.09</w:t>
            </w:r>
          </w:p>
        </w:tc>
        <w:tc>
          <w:tcPr>
            <w:tcW w:w="613" w:type="dxa"/>
            <w:shd w:val="clear" w:color="auto" w:fill="FFFFFF" w:themeFill="background1"/>
            <w:tcMar/>
          </w:tcPr>
          <w:p w:rsidR="61CCBAD5" w:rsidP="7DC1F745" w:rsidRDefault="61CCBAD5" w14:paraId="5F6923DA" w14:textId="2ECC7543">
            <w:pPr>
              <w:pStyle w:val="CETBodytext"/>
              <w:jc w:val="center"/>
              <w:rPr>
                <w:rFonts w:cs="Arial"/>
                <w:lang w:val="en-GB"/>
              </w:rPr>
            </w:pPr>
            <w:r w:rsidRPr="7DC1F745" w:rsidR="61CCBAD5">
              <w:rPr>
                <w:rFonts w:cs="Arial"/>
                <w:lang w:val="en-GB"/>
              </w:rPr>
              <w:t>1.06</w:t>
            </w:r>
          </w:p>
        </w:tc>
        <w:tc>
          <w:tcPr>
            <w:tcW w:w="576" w:type="dxa"/>
            <w:shd w:val="clear" w:color="auto" w:fill="FFFFFF" w:themeFill="background1"/>
            <w:tcMar/>
          </w:tcPr>
          <w:p w:rsidR="61CCBAD5" w:rsidP="7DC1F745" w:rsidRDefault="61CCBAD5" w14:paraId="6A75A67E" w14:textId="5FDDB31B">
            <w:pPr>
              <w:pStyle w:val="CETBodytext"/>
              <w:jc w:val="center"/>
              <w:rPr>
                <w:rFonts w:cs="Arial"/>
                <w:lang w:val="en-GB"/>
              </w:rPr>
            </w:pPr>
            <w:r w:rsidRPr="7DC1F745" w:rsidR="61CCBAD5">
              <w:rPr>
                <w:rFonts w:cs="Arial"/>
                <w:lang w:val="en-GB"/>
              </w:rPr>
              <w:t>0.98</w:t>
            </w:r>
          </w:p>
        </w:tc>
        <w:tc>
          <w:tcPr>
            <w:tcW w:w="576" w:type="dxa"/>
            <w:shd w:val="clear" w:color="auto" w:fill="FFFFFF" w:themeFill="background1"/>
            <w:tcMar/>
          </w:tcPr>
          <w:p w:rsidR="61CCBAD5" w:rsidP="7DC1F745" w:rsidRDefault="61CCBAD5" w14:paraId="1D7FC381" w14:textId="0FE0D46D">
            <w:pPr>
              <w:pStyle w:val="CETBodytext"/>
              <w:jc w:val="center"/>
              <w:rPr>
                <w:rFonts w:cs="Arial"/>
                <w:lang w:val="en-GB"/>
              </w:rPr>
            </w:pPr>
            <w:r w:rsidRPr="7DC1F745" w:rsidR="61CCBAD5">
              <w:rPr>
                <w:rFonts w:cs="Arial"/>
                <w:lang w:val="en-GB"/>
              </w:rPr>
              <w:t>0.95</w:t>
            </w:r>
          </w:p>
        </w:tc>
      </w:tr>
    </w:tbl>
    <w:p w:rsidR="7DC1F745" w:rsidP="7DC1F745" w:rsidRDefault="7DC1F745" w14:paraId="1EB339C7" w14:textId="67AB6308">
      <w:pPr>
        <w:pStyle w:val="CETBodytext"/>
        <w:bidi w:val="0"/>
        <w:rPr>
          <w:noProof w:val="0"/>
          <w:lang w:val="en-US"/>
        </w:rPr>
      </w:pPr>
    </w:p>
    <w:p w:rsidR="7DB78634" w:rsidP="7DC1F745" w:rsidRDefault="7DB78634" w14:paraId="258AAED8" w14:textId="2F7A177C">
      <w:pPr>
        <w:pStyle w:val="CETheadingx"/>
        <w:suppressLineNumbers w:val="0"/>
        <w:bidi w:val="0"/>
        <w:spacing w:before="120" w:beforeAutospacing="off" w:after="120" w:afterAutospacing="off" w:line="240" w:lineRule="auto"/>
        <w:ind w:left="0" w:right="0"/>
        <w:jc w:val="left"/>
        <w:rPr/>
      </w:pPr>
      <w:r w:rsidR="7DB78634">
        <w:rPr/>
        <w:t xml:space="preserve">Cognitive ergonomic </w:t>
      </w:r>
      <w:r w:rsidR="644C3A61">
        <w:rPr/>
        <w:t>assessment</w:t>
      </w:r>
    </w:p>
    <w:p w:rsidR="07CC058C" w:rsidP="7DC1F745" w:rsidRDefault="07CC058C" w14:paraId="1E309C0A" w14:textId="39A39E3C">
      <w:pPr>
        <w:pStyle w:val="CETBodytext"/>
        <w:suppressLineNumbers w:val="0"/>
        <w:bidi w:val="0"/>
        <w:rPr>
          <w:lang w:val="en-GB"/>
        </w:rPr>
      </w:pPr>
      <w:r w:rsidRPr="7DC1F745" w:rsidR="07CC058C">
        <w:rPr>
          <w:lang w:val="en-GB"/>
        </w:rPr>
        <w:t>In this case, our primary focus was on analysing stress, identified as a significant risk within the company. Among the findings, we highlight electrodermal activity (EDA) as a key indicator of stress, as elevated EDA levels correspond to increased stress</w:t>
      </w:r>
      <w:r w:rsidRPr="7DC1F745" w:rsidR="216DDA91">
        <w:rPr>
          <w:lang w:val="en-GB"/>
        </w:rPr>
        <w:t xml:space="preserve"> </w:t>
      </w:r>
      <w:r w:rsidRPr="7DC1F745" w:rsidR="4A561C7F">
        <w:rPr>
          <w:lang w:val="en-GB"/>
        </w:rPr>
        <w:t>(Posada-Quintero and Chon, 2020)</w:t>
      </w:r>
      <w:r w:rsidRPr="7DC1F745" w:rsidR="07CC058C">
        <w:rPr>
          <w:lang w:val="en-GB"/>
        </w:rPr>
        <w:t xml:space="preserve">. Figure 4 illustrates the trend of EDA across </w:t>
      </w:r>
      <w:r w:rsidRPr="7DC1F745" w:rsidR="07CC058C">
        <w:rPr>
          <w:lang w:val="en-GB"/>
        </w:rPr>
        <w:t>d</w:t>
      </w:r>
      <w:r w:rsidRPr="7DC1F745" w:rsidR="07CC058C">
        <w:rPr>
          <w:lang w:val="en-GB"/>
        </w:rPr>
        <w:t>ifferent experience</w:t>
      </w:r>
      <w:r w:rsidRPr="7DC1F745" w:rsidR="07CC058C">
        <w:rPr>
          <w:lang w:val="en-GB"/>
        </w:rPr>
        <w:t xml:space="preserve"> </w:t>
      </w:r>
      <w:r w:rsidRPr="7DC1F745" w:rsidR="07CC058C">
        <w:rPr>
          <w:lang w:val="en-GB"/>
        </w:rPr>
        <w:t>levels</w:t>
      </w:r>
      <w:r w:rsidRPr="7DC1F745" w:rsidR="3C3C2CD4">
        <w:rPr>
          <w:lang w:val="en-GB"/>
        </w:rPr>
        <w:t>, where Exp Level 1 (less than 8 months of experience), Exp Level 2 (8 months to 2 years of experience), Exp Level 3 (2 to 6 years of experience), and Exp Level 4 (more than 6 years of experience)</w:t>
      </w:r>
      <w:r w:rsidRPr="7DC1F745" w:rsidR="07CC058C">
        <w:rPr>
          <w:lang w:val="en-GB"/>
        </w:rPr>
        <w:t xml:space="preserve">, </w:t>
      </w:r>
      <w:r w:rsidRPr="7DC1F745" w:rsidR="07CC058C">
        <w:rPr>
          <w:lang w:val="en-GB"/>
        </w:rPr>
        <w:t>d</w:t>
      </w:r>
      <w:r w:rsidRPr="7DC1F745" w:rsidR="07CC058C">
        <w:rPr>
          <w:lang w:val="en-GB"/>
        </w:rPr>
        <w:t>emonstrating</w:t>
      </w:r>
      <w:r w:rsidRPr="7DC1F745" w:rsidR="07CC058C">
        <w:rPr>
          <w:lang w:val="en-GB"/>
        </w:rPr>
        <w:t xml:space="preserve"> </w:t>
      </w:r>
      <w:r w:rsidRPr="7DC1F745" w:rsidR="07CC058C">
        <w:rPr>
          <w:lang w:val="en-GB"/>
        </w:rPr>
        <w:t>how experience influences stress responses.</w:t>
      </w:r>
      <w:r w:rsidRPr="7DC1F745" w:rsidR="0EDB354E">
        <w:rPr>
          <w:lang w:val="en-GB"/>
        </w:rPr>
        <w:t xml:space="preserve"> </w:t>
      </w:r>
      <w:r w:rsidRPr="7DC1F745" w:rsidR="5915C654">
        <w:rPr>
          <w:noProof w:val="0"/>
          <w:lang w:val="en-GB"/>
        </w:rPr>
        <w:t xml:space="preserve">The data reveal that EDA decreases as experience increases, </w:t>
      </w:r>
      <w:r w:rsidRPr="7DC1F745" w:rsidR="5915C654">
        <w:rPr>
          <w:noProof w:val="0"/>
          <w:lang w:val="en-GB"/>
        </w:rPr>
        <w:t>i</w:t>
      </w:r>
      <w:r w:rsidRPr="7DC1F745" w:rsidR="5915C654">
        <w:rPr>
          <w:noProof w:val="0"/>
          <w:lang w:val="en-GB"/>
        </w:rPr>
        <w:t>ndicating</w:t>
      </w:r>
      <w:r w:rsidRPr="7DC1F745" w:rsidR="5915C654">
        <w:rPr>
          <w:noProof w:val="0"/>
          <w:lang w:val="en-GB"/>
        </w:rPr>
        <w:t xml:space="preserve"> </w:t>
      </w:r>
      <w:r w:rsidRPr="7DC1F745" w:rsidR="5915C654">
        <w:rPr>
          <w:noProof w:val="0"/>
          <w:lang w:val="en-GB"/>
        </w:rPr>
        <w:t xml:space="preserve">reduced stress levels among more experienced workers. This suggests that experienced workers are more comfortable with their tasks and environment, which helps them manage stress effectively. In contrast, higher EDA levels in less experienced operators point to a greater risk of high stress. Therefore, targeted interventions, such as </w:t>
      </w:r>
      <w:r w:rsidRPr="7DC1F745" w:rsidR="5915C654">
        <w:rPr>
          <w:noProof w:val="0"/>
          <w:lang w:val="en-GB"/>
        </w:rPr>
        <w:t>a</w:t>
      </w:r>
      <w:r w:rsidRPr="7DC1F745" w:rsidR="5915C654">
        <w:rPr>
          <w:noProof w:val="0"/>
          <w:lang w:val="en-GB"/>
        </w:rPr>
        <w:t>dditional</w:t>
      </w:r>
      <w:r w:rsidRPr="7DC1F745" w:rsidR="5915C654">
        <w:rPr>
          <w:noProof w:val="0"/>
          <w:lang w:val="en-GB"/>
        </w:rPr>
        <w:t xml:space="preserve"> </w:t>
      </w:r>
      <w:r w:rsidRPr="7DC1F745" w:rsidR="5915C654">
        <w:rPr>
          <w:noProof w:val="0"/>
          <w:lang w:val="en-GB"/>
        </w:rPr>
        <w:t>training and support, are recommended for less experienced workers to reduce stress and improve their familiarity with their roles.</w:t>
      </w:r>
    </w:p>
    <w:p w:rsidR="41D67765" w:rsidP="7DC1F745" w:rsidRDefault="41D67765" w14:paraId="0A179376" w14:textId="1A342E59">
      <w:pPr>
        <w:pStyle w:val="CETBodytext"/>
        <w:suppressLineNumbers w:val="0"/>
        <w:bidi w:val="0"/>
      </w:pPr>
      <w:r w:rsidRPr="7DC1F745" w:rsidR="41D67765">
        <w:rPr>
          <w:lang w:val="en-GB"/>
        </w:rPr>
        <w:t xml:space="preserve"> </w:t>
      </w:r>
      <w:r w:rsidR="6A881300">
        <w:drawing>
          <wp:inline wp14:editId="6E0ED7DC" wp14:anchorId="2D6D2021">
            <wp:extent cx="4125212" cy="2407548"/>
            <wp:effectExtent l="0" t="0" r="0" b="0"/>
            <wp:docPr id="162190532" name="" title=""/>
            <wp:cNvGraphicFramePr>
              <a:graphicFrameLocks noChangeAspect="1"/>
            </wp:cNvGraphicFramePr>
            <a:graphic>
              <a:graphicData uri="http://schemas.openxmlformats.org/drawingml/2006/picture">
                <pic:pic>
                  <pic:nvPicPr>
                    <pic:cNvPr id="0" name=""/>
                    <pic:cNvPicPr/>
                  </pic:nvPicPr>
                  <pic:blipFill>
                    <a:blip r:embed="Ra551f7798d914b96">
                      <a:extLst>
                        <a:ext xmlns:a="http://schemas.openxmlformats.org/drawingml/2006/main" uri="{28A0092B-C50C-407E-A947-70E740481C1C}">
                          <a14:useLocalDpi val="0"/>
                        </a:ext>
                      </a:extLst>
                    </a:blip>
                    <a:stretch>
                      <a:fillRect/>
                    </a:stretch>
                  </pic:blipFill>
                  <pic:spPr>
                    <a:xfrm>
                      <a:off x="0" y="0"/>
                      <a:ext cx="4125212" cy="2407548"/>
                    </a:xfrm>
                    <a:prstGeom prst="rect">
                      <a:avLst/>
                    </a:prstGeom>
                  </pic:spPr>
                </pic:pic>
              </a:graphicData>
            </a:graphic>
          </wp:inline>
        </w:drawing>
      </w:r>
      <w:r>
        <w:br/>
      </w:r>
      <w:r w:rsidRPr="7DC1F745" w:rsidR="24AC1EC1">
        <w:rPr>
          <w:rStyle w:val="CETCaptionCarattere"/>
          <w:i w:val="1"/>
          <w:iCs w:val="1"/>
        </w:rPr>
        <w:t xml:space="preserve">Figure 4: Variation in EDA mean across </w:t>
      </w:r>
      <w:r w:rsidRPr="7DC1F745" w:rsidR="24AC1EC1">
        <w:rPr>
          <w:rStyle w:val="CETCaptionCarattere"/>
          <w:i w:val="1"/>
          <w:iCs w:val="1"/>
        </w:rPr>
        <w:t>different experience</w:t>
      </w:r>
      <w:r w:rsidRPr="7DC1F745" w:rsidR="24AC1EC1">
        <w:rPr>
          <w:rStyle w:val="CETCaptionCarattere"/>
          <w:i w:val="1"/>
          <w:iCs w:val="1"/>
        </w:rPr>
        <w:t xml:space="preserve"> </w:t>
      </w:r>
      <w:r w:rsidRPr="7DC1F745" w:rsidR="2F6CB681">
        <w:rPr>
          <w:rStyle w:val="CETCaptionCarattere"/>
          <w:i w:val="1"/>
          <w:iCs w:val="1"/>
        </w:rPr>
        <w:t>leve</w:t>
      </w:r>
      <w:r w:rsidRPr="7DC1F745" w:rsidR="24AC1EC1">
        <w:rPr>
          <w:rStyle w:val="CETCaptionCarattere"/>
          <w:i w:val="1"/>
          <w:iCs w:val="1"/>
        </w:rPr>
        <w:t>ls</w:t>
      </w:r>
    </w:p>
    <w:p w:rsidRPr="00B57B36" w:rsidR="00600535" w:rsidP="00600535" w:rsidRDefault="00600535" w14:paraId="68D26B83" w14:textId="77777777">
      <w:pPr>
        <w:pStyle w:val="CETHeading1"/>
        <w:rPr>
          <w:lang w:val="en-GB"/>
        </w:rPr>
      </w:pPr>
      <w:r w:rsidRPr="7DC1F745" w:rsidR="11111C6E">
        <w:rPr>
          <w:lang w:val="en-GB"/>
        </w:rPr>
        <w:t>Conclusions</w:t>
      </w:r>
    </w:p>
    <w:p w:rsidR="337312DD" w:rsidP="7DC1F745" w:rsidRDefault="337312DD" w14:paraId="4D3663FE" w14:textId="725F95F3">
      <w:pPr>
        <w:pStyle w:val="CETBodytext"/>
        <w:suppressLineNumbers w:val="0"/>
        <w:bidi w:val="0"/>
        <w:spacing w:before="0" w:beforeAutospacing="off" w:after="0" w:afterAutospacing="off" w:line="264" w:lineRule="auto"/>
        <w:ind w:left="0" w:right="0"/>
        <w:jc w:val="both"/>
        <w:rPr>
          <w:lang w:val="en-GB"/>
        </w:rPr>
      </w:pPr>
      <w:r w:rsidRPr="7DC1F745" w:rsidR="337312DD">
        <w:rPr>
          <w:lang w:val="en-GB"/>
        </w:rPr>
        <w:t xml:space="preserve">The preliminary findings reveal the </w:t>
      </w:r>
      <w:r w:rsidRPr="7DC1F745" w:rsidR="337312DD">
        <w:rPr>
          <w:lang w:val="en-GB"/>
        </w:rPr>
        <w:t>potential</w:t>
      </w:r>
      <w:r w:rsidRPr="7DC1F745" w:rsidR="222615BD">
        <w:rPr>
          <w:lang w:val="en-GB"/>
        </w:rPr>
        <w:t xml:space="preserve"> o</w:t>
      </w:r>
      <w:r w:rsidRPr="7DC1F745" w:rsidR="222615BD">
        <w:rPr>
          <w:lang w:val="en-GB"/>
        </w:rPr>
        <w:t>f</w:t>
      </w:r>
      <w:r w:rsidRPr="7DC1F745" w:rsidR="337312DD">
        <w:rPr>
          <w:lang w:val="en-GB"/>
        </w:rPr>
        <w:t xml:space="preserve"> a more comprehensive ergonomic evaluation by incorporating cognitive factors, alongside wearable </w:t>
      </w:r>
      <w:r w:rsidRPr="7DC1F745" w:rsidR="337312DD">
        <w:rPr>
          <w:lang w:val="en-GB"/>
        </w:rPr>
        <w:t>technologies</w:t>
      </w:r>
      <w:r w:rsidRPr="7DC1F745" w:rsidR="337312DD">
        <w:rPr>
          <w:lang w:val="en-GB"/>
        </w:rPr>
        <w:t xml:space="preserve"> and AI techniques. These technologies </w:t>
      </w:r>
      <w:r w:rsidRPr="7DC1F745" w:rsidR="337312DD">
        <w:rPr>
          <w:lang w:val="en-GB"/>
        </w:rPr>
        <w:t>facilitate</w:t>
      </w:r>
      <w:r w:rsidRPr="7DC1F745" w:rsidR="337312DD">
        <w:rPr>
          <w:lang w:val="en-GB"/>
        </w:rPr>
        <w:t xml:space="preserve"> real-time data collection and objective assessments, minimizing the biases and inaccuracies that can occur with subjective questionnaires or manual observations. </w:t>
      </w:r>
      <w:r w:rsidRPr="7DC1F745" w:rsidR="50CB7632">
        <w:rPr>
          <w:noProof w:val="0"/>
          <w:lang w:val="en-GB"/>
        </w:rPr>
        <w:t xml:space="preserve">These assessments accurately </w:t>
      </w:r>
      <w:r w:rsidRPr="7DC1F745" w:rsidR="50CB7632">
        <w:rPr>
          <w:noProof w:val="0"/>
          <w:lang w:val="en-GB"/>
        </w:rPr>
        <w:t>identify</w:t>
      </w:r>
      <w:r w:rsidRPr="7DC1F745" w:rsidR="50CB7632">
        <w:rPr>
          <w:noProof w:val="0"/>
          <w:lang w:val="en-GB"/>
        </w:rPr>
        <w:t xml:space="preserve"> risks and highlight critical scenarios, including those associated with work shifts or differences in experience levels. Notably, workers with less experience were identified as a particularly vulnerable group due to their elevated biomechanical risks and higher stress levels.</w:t>
      </w:r>
      <w:r w:rsidRPr="7DC1F745" w:rsidR="337312DD">
        <w:rPr>
          <w:lang w:val="en-GB"/>
        </w:rPr>
        <w:t xml:space="preserve"> </w:t>
      </w:r>
    </w:p>
    <w:p w:rsidR="381966F2" w:rsidP="7DC1F745" w:rsidRDefault="381966F2" w14:paraId="1C482023" w14:textId="748BDFE8">
      <w:pPr>
        <w:pStyle w:val="CETBodytext"/>
        <w:suppressLineNumbers w:val="0"/>
        <w:bidi w:val="0"/>
        <w:spacing w:before="0" w:beforeAutospacing="off" w:after="0" w:afterAutospacing="off" w:line="264" w:lineRule="auto"/>
        <w:ind w:left="0" w:right="0"/>
        <w:jc w:val="both"/>
        <w:rPr>
          <w:noProof w:val="0"/>
          <w:lang w:val="en-GB"/>
        </w:rPr>
        <w:sectPr w:rsidRPr="00280FAF" w:rsidR="00280FAF" w:rsidSect="00DC73EE">
          <w:type w:val="continuous"/>
          <w:pgSz w:w="11906" w:h="16838" w:orient="portrait" w:code="9"/>
          <w:pgMar w:top="1701" w:right="1418" w:bottom="1701" w:left="1701" w:header="1701" w:footer="0" w:gutter="0"/>
          <w:cols w:space="708"/>
          <w:formProt w:val="0"/>
          <w:titlePg/>
          <w:docGrid w:linePitch="360"/>
        </w:sectPr>
      </w:pPr>
      <w:r w:rsidRPr="7DC1F745" w:rsidR="381966F2">
        <w:rPr>
          <w:noProof w:val="0"/>
          <w:lang w:val="en-GB"/>
        </w:rPr>
        <w:t>Additionally, this</w:t>
      </w:r>
      <w:r w:rsidRPr="7DC1F745" w:rsidR="1DFBABC2">
        <w:rPr>
          <w:noProof w:val="0"/>
          <w:lang w:val="en-GB"/>
        </w:rPr>
        <w:t xml:space="preserve"> project assessed environmental, organizational, and ergonomic factors, </w:t>
      </w:r>
      <w:r w:rsidRPr="7DC1F745" w:rsidR="1DFBABC2">
        <w:rPr>
          <w:noProof w:val="0"/>
          <w:lang w:val="en-GB"/>
        </w:rPr>
        <w:t>identifying</w:t>
      </w:r>
      <w:r w:rsidRPr="7DC1F745" w:rsidR="1DFBABC2">
        <w:rPr>
          <w:noProof w:val="0"/>
          <w:lang w:val="en-GB"/>
        </w:rPr>
        <w:t xml:space="preserve"> risks like elevated visual and physical fatigue, as well as </w:t>
      </w:r>
      <w:r w:rsidRPr="7DC1F745" w:rsidR="2E12980E">
        <w:rPr>
          <w:noProof w:val="0"/>
          <w:lang w:val="en-GB"/>
        </w:rPr>
        <w:t>suboptimal</w:t>
      </w:r>
      <w:r w:rsidRPr="7DC1F745" w:rsidR="2E12980E">
        <w:rPr>
          <w:noProof w:val="0"/>
          <w:lang w:val="en-GB"/>
        </w:rPr>
        <w:t xml:space="preserve"> lighting conditions</w:t>
      </w:r>
      <w:r w:rsidRPr="7DC1F745" w:rsidR="1DFBABC2">
        <w:rPr>
          <w:noProof w:val="0"/>
          <w:lang w:val="en-GB"/>
        </w:rPr>
        <w:t xml:space="preserve">. These findings </w:t>
      </w:r>
      <w:r w:rsidRPr="7DC1F745" w:rsidR="1DFBABC2">
        <w:rPr>
          <w:noProof w:val="0"/>
          <w:lang w:val="en-GB"/>
        </w:rPr>
        <w:t>represent</w:t>
      </w:r>
      <w:r w:rsidRPr="7DC1F745" w:rsidR="1DFBABC2">
        <w:rPr>
          <w:noProof w:val="0"/>
          <w:lang w:val="en-GB"/>
        </w:rPr>
        <w:t xml:space="preserve"> a major advancement in the fields of ergonomics and process safety.</w:t>
      </w:r>
    </w:p>
    <w:p w:rsidRPr="00280FAF" w:rsidR="00280FAF" w:rsidP="7DC1F745" w:rsidRDefault="00280FAF" w14:paraId="4F5AD4D1" w14:textId="21B85361">
      <w:pPr>
        <w:pStyle w:val="CETAcknowledgementstitle"/>
      </w:pPr>
      <w:r w:rsidR="4FD59A25">
        <w:rPr/>
        <w:t>Acknowledgments</w:t>
      </w:r>
    </w:p>
    <w:p w:rsidRPr="00280FAF" w:rsidR="00280FAF" w:rsidP="7DC1F745" w:rsidRDefault="00280FAF" w14:paraId="0A9982F7" w14:textId="7BC24B8B">
      <w:pPr>
        <w:pStyle w:val="CETBodytext"/>
        <w:rPr>
          <w:lang w:val="en-GB"/>
        </w:rPr>
      </w:pPr>
      <w:r w:rsidRPr="7DC1F745" w:rsidR="4FD59A25">
        <w:rPr>
          <w:lang w:val="en-GB"/>
        </w:rPr>
        <w:t xml:space="preserve">This work is funded by CISC project, which is part of the grant H2020-MSCA-ITN-2020 grant agreement no.955901.    </w:t>
      </w:r>
    </w:p>
    <w:p w:rsidRPr="00280FAF" w:rsidR="00280FAF" w:rsidP="7DC1F745" w:rsidRDefault="00280FAF" w14:paraId="4497D080" w14:textId="13890900">
      <w:pPr>
        <w:pStyle w:val="CETReference"/>
      </w:pPr>
      <w:r w:rsidR="4FD59A25">
        <w:rPr/>
        <w:t>References</w:t>
      </w:r>
    </w:p>
    <w:p w:rsidRPr="00280FAF" w:rsidR="00280FAF" w:rsidP="7DC1F745" w:rsidRDefault="00280FAF" w14:paraId="7984E435" w14:textId="3BD1FBD0">
      <w:pPr>
        <w:pStyle w:val="CETReferencetext"/>
        <w:spacing w:after="0" w:line="264" w:lineRule="auto"/>
        <w:ind w:left="284" w:hanging="284"/>
        <w:jc w:val="both"/>
        <w:rPr>
          <w:noProof w:val="0"/>
          <w:lang w:val="en-GB"/>
        </w:rPr>
      </w:pPr>
      <w:r w:rsidRPr="7DC1F745" w:rsidR="4FD59A25">
        <w:rPr>
          <w:noProof w:val="0"/>
          <w:lang w:val="en-GB"/>
        </w:rPr>
        <w:t>Albarrán Morillo, C., Demichela, M., 2023, Exploring the Impact of Repetitive Exercise on Physical Fatigue: A Study of Industrial Task Simulation in a Controlled Fitness Setting, Chemical Engineering Transactions, 99, 163-168.</w:t>
      </w:r>
    </w:p>
    <w:p w:rsidRPr="00280FAF" w:rsidR="00280FAF" w:rsidP="7DC1F745" w:rsidRDefault="00280FAF" w14:paraId="57A7D473" w14:textId="6F763738">
      <w:pPr>
        <w:pStyle w:val="CETReferencetext"/>
        <w:spacing w:after="0" w:line="264" w:lineRule="auto"/>
        <w:ind w:left="284" w:hanging="284"/>
        <w:jc w:val="both"/>
      </w:pPr>
      <w:r w:rsidRPr="7DC1F745" w:rsidR="4FD59A25">
        <w:rPr>
          <w:noProof w:val="0"/>
          <w:lang w:val="en-GB"/>
        </w:rPr>
        <w:t>Camargo Salinas, M. A., Miranda Arandia, N. Y., Suárez Pérez, J. F., 2024, State of the Art in Evaluation of Automated Risk Detection Methods in Industrial Work Environments, Occupational Safety and Health Management, 6(2), 25-37.</w:t>
      </w:r>
    </w:p>
    <w:p w:rsidRPr="00280FAF" w:rsidR="00280FAF" w:rsidP="7DC1F745" w:rsidRDefault="00280FAF" w14:paraId="33535468" w14:textId="0C03202A">
      <w:pPr>
        <w:pStyle w:val="CETReferencetext"/>
        <w:spacing w:after="0" w:line="264" w:lineRule="auto"/>
        <w:ind w:left="284" w:hanging="284"/>
        <w:jc w:val="both"/>
      </w:pPr>
      <w:r w:rsidRPr="7DC1F745" w:rsidR="4FD59A25">
        <w:rPr>
          <w:noProof w:val="0"/>
          <w:lang w:val="en-GB"/>
        </w:rPr>
        <w:t>Colombini, D., Occhipinti, E., 2016, Risk Analysis and Management of Repetitive Actions: A Guide for Applying the OCRA System (Occupational Repetitive Actions) (3rd ed.), CRC Press.</w:t>
      </w:r>
    </w:p>
    <w:p w:rsidRPr="00280FAF" w:rsidR="00280FAF" w:rsidP="7DC1F745" w:rsidRDefault="00280FAF" w14:paraId="6A33524D" w14:textId="21243EA3">
      <w:pPr>
        <w:pStyle w:val="CETReferencetext"/>
        <w:spacing w:after="0" w:line="264" w:lineRule="auto"/>
        <w:ind w:left="284" w:hanging="284"/>
        <w:jc w:val="both"/>
      </w:pPr>
      <w:r w:rsidRPr="7DC1F745" w:rsidR="4FD59A25">
        <w:rPr>
          <w:noProof w:val="0"/>
          <w:lang w:val="en-GB"/>
        </w:rPr>
        <w:t>Khamaisi, R. K., Brunzini, A., Grandi, F., Peruzzini, M., Pellicciari, M., 2022, UX Assessment Strategy to Identify Potential Stressful Conditions for Workers, Robotics and Computer-Integrated Manufacturing, 78, 102403.</w:t>
      </w:r>
    </w:p>
    <w:p w:rsidRPr="00280FAF" w:rsidR="00280FAF" w:rsidP="7DC1F745" w:rsidRDefault="00280FAF" w14:paraId="2A713B1A" w14:textId="0437CF3F">
      <w:pPr>
        <w:pStyle w:val="CETReferencetext"/>
        <w:spacing w:after="0" w:line="264" w:lineRule="auto"/>
        <w:ind w:left="284" w:hanging="284"/>
        <w:jc w:val="both"/>
      </w:pPr>
      <w:r w:rsidRPr="7DC1F745" w:rsidR="4FD59A25">
        <w:rPr>
          <w:noProof w:val="0"/>
          <w:lang w:val="en-GB"/>
        </w:rPr>
        <w:t>Kivimäki, M., Kawachi, I., 2015, Work Stress as a Risk Factor for Cardiovascular Disease, Current Cardiology Reports, 17(9), 630.</w:t>
      </w:r>
    </w:p>
    <w:p w:rsidRPr="00280FAF" w:rsidR="00280FAF" w:rsidP="7DC1F745" w:rsidRDefault="00280FAF" w14:paraId="1464899A" w14:textId="164A2CF2">
      <w:pPr>
        <w:pStyle w:val="CETReferencetext"/>
        <w:spacing w:after="0" w:line="264" w:lineRule="auto"/>
        <w:ind w:left="284" w:hanging="284"/>
        <w:jc w:val="both"/>
      </w:pPr>
      <w:r w:rsidRPr="7DC1F745" w:rsidR="4FD59A25">
        <w:rPr>
          <w:noProof w:val="0"/>
          <w:lang w:val="en-GB"/>
        </w:rPr>
        <w:t>Posada-Quintero, H. F., Chon, K. H., 2020, Innovations in Electrodermal Activity Data Collection and Signal Processing: A Systematic Review, Sensors, 20(2), 479.</w:t>
      </w:r>
    </w:p>
    <w:p w:rsidRPr="00280FAF" w:rsidR="00280FAF" w:rsidP="7DC1F745" w:rsidRDefault="00280FAF" w14:paraId="5EACEF53" w14:textId="73B9DAEA">
      <w:pPr>
        <w:pStyle w:val="CETReferencetext"/>
        <w:spacing w:after="0" w:line="264" w:lineRule="auto"/>
        <w:ind w:left="284" w:hanging="284"/>
        <w:jc w:val="both"/>
      </w:pPr>
      <w:r w:rsidRPr="7DC1F745" w:rsidR="4FD59A25">
        <w:rPr>
          <w:noProof w:val="0"/>
          <w:lang w:val="en-GB"/>
        </w:rPr>
        <w:t>Punnett, L., Wegman, D. H., 2004, Work-Related Musculoskeletal Disorders: The Epidemiologic Evidence and the Debate, Journal of Electromyography and Kinesiology, 14(1), 13-23.</w:t>
      </w:r>
    </w:p>
    <w:p w:rsidRPr="00280FAF" w:rsidR="00280FAF" w:rsidP="7DC1F745" w:rsidRDefault="00280FAF" w14:paraId="580A8E56" w14:textId="1B9FD5B5">
      <w:pPr>
        <w:pStyle w:val="CETReferencetext"/>
        <w:spacing w:after="0" w:line="264" w:lineRule="auto"/>
        <w:ind w:left="284" w:hanging="284"/>
        <w:jc w:val="both"/>
      </w:pPr>
      <w:r w:rsidRPr="7DC1F745" w:rsidR="4FD59A25">
        <w:rPr>
          <w:noProof w:val="0"/>
          <w:lang w:val="en-GB"/>
        </w:rPr>
        <w:t>Scafà, M., Papetti, A., Brunzini, A., Germani, M., 2019, How to Improve Worker’s Well-Being and Company Performance: A Method to Identify Effective Corrective Actions, Procedia CIRP, 81, 162-167.</w:t>
      </w:r>
    </w:p>
    <w:p w:rsidRPr="00280FAF" w:rsidR="00280FAF" w:rsidP="7DC1F745" w:rsidRDefault="00280FAF" w14:paraId="7DFFBF41" w14:textId="0882FD18">
      <w:pPr>
        <w:pStyle w:val="CETReferencetext"/>
        <w:spacing w:after="0" w:line="264" w:lineRule="auto"/>
        <w:ind w:left="284" w:hanging="284"/>
        <w:jc w:val="both"/>
        <w:rPr>
          <w:noProof w:val="0"/>
          <w:lang w:val="en-GB"/>
        </w:rPr>
        <w:sectPr w:rsidRPr="00280FAF" w:rsidR="00280FAF" w:rsidSect="00DC73EE">
          <w:type w:val="continuous"/>
          <w:pgSz w:w="11906" w:h="16838" w:orient="portrait" w:code="9"/>
          <w:pgMar w:top="1701" w:right="1418" w:bottom="1701" w:left="1701" w:header="1701" w:footer="0" w:gutter="0"/>
          <w:cols w:space="708"/>
          <w:formProt w:val="0"/>
          <w:titlePg/>
          <w:docGrid w:linePitch="360"/>
        </w:sectPr>
      </w:pPr>
      <w:r w:rsidRPr="7DC1F745" w:rsidR="4FD59A25">
        <w:rPr>
          <w:noProof w:val="0"/>
          <w:lang w:val="en-GB"/>
        </w:rPr>
        <w:t xml:space="preserve">Sun, S., Zheng, X., Gong, B., García Paredes, J., </w:t>
      </w:r>
      <w:r w:rsidRPr="7DC1F745" w:rsidR="4FD59A25">
        <w:rPr>
          <w:noProof w:val="0"/>
          <w:lang w:val="en-GB"/>
        </w:rPr>
        <w:t>Ordieres-Meré</w:t>
      </w:r>
      <w:r w:rsidRPr="7DC1F745" w:rsidR="4FD59A25">
        <w:rPr>
          <w:noProof w:val="0"/>
          <w:lang w:val="en-GB"/>
        </w:rPr>
        <w:t>, J., 2020, Healthy Operator 4.0: A Human Cyber–Physical System Architecture for Smart Workplaces, Sensors, 20(7), 2011.</w:t>
      </w:r>
    </w:p>
    <w:p w:rsidR="7DC1F745" w:rsidP="7DC1F745" w:rsidRDefault="7DC1F745" w14:paraId="097806B2" w14:textId="75EB281B">
      <w:pPr>
        <w:pStyle w:val="CETBodytext"/>
        <w:rPr>
          <w:rFonts w:eastAsia="SimSun"/>
        </w:rPr>
        <w:sectPr w:rsidRPr="00E377D0" w:rsidR="00280FAF" w:rsidSect="00DC73EE">
          <w:type w:val="continuous"/>
          <w:pgSz w:w="11906" w:h="16838" w:orient="portrait" w:code="9"/>
          <w:pgMar w:top="1701" w:right="1418" w:bottom="1701" w:left="1701" w:header="1701" w:footer="0" w:gutter="0"/>
          <w:cols w:space="708" w:num="2"/>
          <w:formProt w:val="0"/>
          <w:titlePg/>
          <w:docGrid w:linePitch="360"/>
        </w:sectPr>
      </w:pPr>
    </w:p>
    <w:p w:rsidR="7DC1F745" w:rsidP="7DC1F745" w:rsidRDefault="7DC1F745" w14:paraId="5802B35E" w14:textId="46944E14">
      <w:pPr>
        <w:pStyle w:val="CETBodytext"/>
        <w:rPr>
          <w:noProof w:val="0"/>
          <w:lang w:val="en-GB"/>
        </w:rPr>
      </w:pPr>
    </w:p>
    <w:sectPr w:rsidR="004628D2" w:rsidSect="00DC73EE">
      <w:type w:val="continuous"/>
      <w:pgSz w:w="11906" w:h="16838" w:orient="portrait" w:code="9"/>
      <w:pgMar w:top="1701" w:right="1418" w:bottom="1701" w:left="1701" w:header="1701" w:footer="0" w:gutter="0"/>
      <w:cols w:space="708"/>
      <w:formProt w:val="0"/>
      <w:titlePg/>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5CB129F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E56B2F" w16cex:dateUtc="2024-11-06T14:54:28.836Z"/>
</w16cex:commentsExtensible>
</file>

<file path=word/commentsIds.xml><?xml version="1.0" encoding="utf-8"?>
<w16cid:commentsIds xmlns:mc="http://schemas.openxmlformats.org/markup-compatibility/2006" xmlns:w16cid="http://schemas.microsoft.com/office/word/2016/wordml/cid" mc:Ignorable="w16cid">
  <w16cid:commentId w16cid:paraId="5CB129F7" w16cid:durableId="33E56B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0BCC" w:rsidP="004F5E36" w:rsidRDefault="005A0BCC" w14:paraId="23237466" w14:textId="77777777">
      <w:r>
        <w:separator/>
      </w:r>
    </w:p>
  </w:endnote>
  <w:endnote w:type="continuationSeparator" w:id="0">
    <w:p w:rsidR="005A0BCC" w:rsidP="004F5E36" w:rsidRDefault="005A0BCC" w14:paraId="6C3C06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0BCC" w:rsidP="004F5E36" w:rsidRDefault="005A0BCC" w14:paraId="46EFBCE3" w14:textId="77777777">
      <w:r>
        <w:separator/>
      </w:r>
    </w:p>
  </w:footnote>
  <w:footnote w:type="continuationSeparator" w:id="0">
    <w:p w:rsidR="005A0BCC" w:rsidP="004F5E36" w:rsidRDefault="005A0BCC" w14:paraId="6710A1D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5">
    <w:nsid w:val="6e3cfc4"/>
    <w:multiLevelType xmlns:w="http://schemas.openxmlformats.org/wordprocessingml/2006/main" w:val="hybridMultilevel"/>
    <w:lvl xmlns:w="http://schemas.openxmlformats.org/wordprocessingml/2006/main" w:ilvl="0">
      <w:start w:val="1"/>
      <w:numFmt w:val="bullet"/>
      <w:lvlText w:val=""/>
      <w:lvlJc w:val="left"/>
      <w:pPr>
        <w:ind w:left="473" w:hanging="360"/>
      </w:pPr>
      <w:rPr>
        <w:rFonts w:hint="default" w:ascii="Symbol" w:hAnsi="Symbol"/>
      </w:rPr>
    </w:lvl>
    <w:lvl xmlns:w="http://schemas.openxmlformats.org/wordprocessingml/2006/main" w:ilvl="1">
      <w:start w:val="1"/>
      <w:numFmt w:val="bullet"/>
      <w:lvlText w:val="o"/>
      <w:lvlJc w:val="left"/>
      <w:pPr>
        <w:ind w:left="1193" w:hanging="360"/>
      </w:pPr>
      <w:rPr>
        <w:rFonts w:hint="default" w:ascii="Courier New" w:hAnsi="Courier New"/>
      </w:rPr>
    </w:lvl>
    <w:lvl xmlns:w="http://schemas.openxmlformats.org/wordprocessingml/2006/main" w:ilvl="2">
      <w:start w:val="1"/>
      <w:numFmt w:val="bullet"/>
      <w:lvlText w:val=""/>
      <w:lvlJc w:val="left"/>
      <w:pPr>
        <w:ind w:left="1913" w:hanging="360"/>
      </w:pPr>
      <w:rPr>
        <w:rFonts w:hint="default" w:ascii="Wingdings" w:hAnsi="Wingdings"/>
      </w:rPr>
    </w:lvl>
    <w:lvl xmlns:w="http://schemas.openxmlformats.org/wordprocessingml/2006/main" w:ilvl="3">
      <w:start w:val="1"/>
      <w:numFmt w:val="bullet"/>
      <w:lvlText w:val=""/>
      <w:lvlJc w:val="left"/>
      <w:pPr>
        <w:ind w:left="2633" w:hanging="360"/>
      </w:pPr>
      <w:rPr>
        <w:rFonts w:hint="default" w:ascii="Symbol" w:hAnsi="Symbol"/>
      </w:rPr>
    </w:lvl>
    <w:lvl xmlns:w="http://schemas.openxmlformats.org/wordprocessingml/2006/main" w:ilvl="4">
      <w:start w:val="1"/>
      <w:numFmt w:val="bullet"/>
      <w:lvlText w:val="o"/>
      <w:lvlJc w:val="left"/>
      <w:pPr>
        <w:ind w:left="3353" w:hanging="360"/>
      </w:pPr>
      <w:rPr>
        <w:rFonts w:hint="default" w:ascii="Courier New" w:hAnsi="Courier New"/>
      </w:rPr>
    </w:lvl>
    <w:lvl xmlns:w="http://schemas.openxmlformats.org/wordprocessingml/2006/main" w:ilvl="5">
      <w:start w:val="1"/>
      <w:numFmt w:val="bullet"/>
      <w:lvlText w:val=""/>
      <w:lvlJc w:val="left"/>
      <w:pPr>
        <w:ind w:left="4073" w:hanging="360"/>
      </w:pPr>
      <w:rPr>
        <w:rFonts w:hint="default" w:ascii="Wingdings" w:hAnsi="Wingdings"/>
      </w:rPr>
    </w:lvl>
    <w:lvl xmlns:w="http://schemas.openxmlformats.org/wordprocessingml/2006/main" w:ilvl="6">
      <w:start w:val="1"/>
      <w:numFmt w:val="bullet"/>
      <w:lvlText w:val=""/>
      <w:lvlJc w:val="left"/>
      <w:pPr>
        <w:ind w:left="4793" w:hanging="360"/>
      </w:pPr>
      <w:rPr>
        <w:rFonts w:hint="default" w:ascii="Symbol" w:hAnsi="Symbol"/>
      </w:rPr>
    </w:lvl>
    <w:lvl xmlns:w="http://schemas.openxmlformats.org/wordprocessingml/2006/main" w:ilvl="7">
      <w:start w:val="1"/>
      <w:numFmt w:val="bullet"/>
      <w:lvlText w:val="o"/>
      <w:lvlJc w:val="left"/>
      <w:pPr>
        <w:ind w:left="5513" w:hanging="360"/>
      </w:pPr>
      <w:rPr>
        <w:rFonts w:hint="default" w:ascii="Courier New" w:hAnsi="Courier New"/>
      </w:rPr>
    </w:lvl>
    <w:lvl xmlns:w="http://schemas.openxmlformats.org/wordprocessingml/2006/main" w:ilvl="8">
      <w:start w:val="1"/>
      <w:numFmt w:val="bullet"/>
      <w:lvlText w:val=""/>
      <w:lvlJc w:val="left"/>
      <w:pPr>
        <w:ind w:left="6233" w:hanging="360"/>
      </w:pPr>
      <w:rPr>
        <w:rFonts w:hint="default" w:ascii="Wingdings" w:hAnsi="Wingdings"/>
      </w:rPr>
    </w:lvl>
  </w:abstractNum>
  <w:abstractNum xmlns:w="http://schemas.openxmlformats.org/wordprocessingml/2006/main" w:abstractNumId="24">
    <w:nsid w:val="46e5ed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63cbcea"/>
    <w:multiLevelType xmlns:w="http://schemas.openxmlformats.org/wordprocessingml/2006/main" w:val="hybridMultilevel"/>
    <w:lvl xmlns:w="http://schemas.openxmlformats.org/wordprocessingml/2006/main" w:ilvl="0">
      <w:start w:val="1"/>
      <w:numFmt w:val="bullet"/>
      <w:lvlText w:val=""/>
      <w:lvlJc w:val="left"/>
      <w:pPr>
        <w:ind w:left="473" w:hanging="360"/>
      </w:pPr>
      <w:rPr>
        <w:rFonts w:hint="default" w:ascii="Symbol" w:hAnsi="Symbol"/>
      </w:rPr>
    </w:lvl>
    <w:lvl xmlns:w="http://schemas.openxmlformats.org/wordprocessingml/2006/main" w:ilvl="1">
      <w:start w:val="1"/>
      <w:numFmt w:val="bullet"/>
      <w:lvlText w:val="o"/>
      <w:lvlJc w:val="left"/>
      <w:pPr>
        <w:ind w:left="1193" w:hanging="360"/>
      </w:pPr>
      <w:rPr>
        <w:rFonts w:hint="default" w:ascii="Courier New" w:hAnsi="Courier New"/>
      </w:rPr>
    </w:lvl>
    <w:lvl xmlns:w="http://schemas.openxmlformats.org/wordprocessingml/2006/main" w:ilvl="2">
      <w:start w:val="1"/>
      <w:numFmt w:val="bullet"/>
      <w:lvlText w:val=""/>
      <w:lvlJc w:val="left"/>
      <w:pPr>
        <w:ind w:left="1913" w:hanging="360"/>
      </w:pPr>
      <w:rPr>
        <w:rFonts w:hint="default" w:ascii="Wingdings" w:hAnsi="Wingdings"/>
      </w:rPr>
    </w:lvl>
    <w:lvl xmlns:w="http://schemas.openxmlformats.org/wordprocessingml/2006/main" w:ilvl="3">
      <w:start w:val="1"/>
      <w:numFmt w:val="bullet"/>
      <w:lvlText w:val=""/>
      <w:lvlJc w:val="left"/>
      <w:pPr>
        <w:ind w:left="2633" w:hanging="360"/>
      </w:pPr>
      <w:rPr>
        <w:rFonts w:hint="default" w:ascii="Symbol" w:hAnsi="Symbol"/>
      </w:rPr>
    </w:lvl>
    <w:lvl xmlns:w="http://schemas.openxmlformats.org/wordprocessingml/2006/main" w:ilvl="4">
      <w:start w:val="1"/>
      <w:numFmt w:val="bullet"/>
      <w:lvlText w:val="o"/>
      <w:lvlJc w:val="left"/>
      <w:pPr>
        <w:ind w:left="3353" w:hanging="360"/>
      </w:pPr>
      <w:rPr>
        <w:rFonts w:hint="default" w:ascii="Courier New" w:hAnsi="Courier New"/>
      </w:rPr>
    </w:lvl>
    <w:lvl xmlns:w="http://schemas.openxmlformats.org/wordprocessingml/2006/main" w:ilvl="5">
      <w:start w:val="1"/>
      <w:numFmt w:val="bullet"/>
      <w:lvlText w:val=""/>
      <w:lvlJc w:val="left"/>
      <w:pPr>
        <w:ind w:left="4073" w:hanging="360"/>
      </w:pPr>
      <w:rPr>
        <w:rFonts w:hint="default" w:ascii="Wingdings" w:hAnsi="Wingdings"/>
      </w:rPr>
    </w:lvl>
    <w:lvl xmlns:w="http://schemas.openxmlformats.org/wordprocessingml/2006/main" w:ilvl="6">
      <w:start w:val="1"/>
      <w:numFmt w:val="bullet"/>
      <w:lvlText w:val=""/>
      <w:lvlJc w:val="left"/>
      <w:pPr>
        <w:ind w:left="4793" w:hanging="360"/>
      </w:pPr>
      <w:rPr>
        <w:rFonts w:hint="default" w:ascii="Symbol" w:hAnsi="Symbol"/>
      </w:rPr>
    </w:lvl>
    <w:lvl xmlns:w="http://schemas.openxmlformats.org/wordprocessingml/2006/main" w:ilvl="7">
      <w:start w:val="1"/>
      <w:numFmt w:val="bullet"/>
      <w:lvlText w:val="o"/>
      <w:lvlJc w:val="left"/>
      <w:pPr>
        <w:ind w:left="5513" w:hanging="360"/>
      </w:pPr>
      <w:rPr>
        <w:rFonts w:hint="default" w:ascii="Courier New" w:hAnsi="Courier New"/>
      </w:rPr>
    </w:lvl>
    <w:lvl xmlns:w="http://schemas.openxmlformats.org/wordprocessingml/2006/main" w:ilvl="8">
      <w:start w:val="1"/>
      <w:numFmt w:val="bullet"/>
      <w:lvlText w:val=""/>
      <w:lvlJc w:val="left"/>
      <w:pPr>
        <w:ind w:left="6233" w:hanging="360"/>
      </w:pPr>
      <w:rPr>
        <w:rFonts w:hint="default" w:ascii="Wingdings" w:hAnsi="Wingdings"/>
      </w:rPr>
    </w:lvl>
  </w:abstractNum>
  <w:abstractNum xmlns:w="http://schemas.openxmlformats.org/wordprocessingml/2006/main" w:abstractNumId="22">
    <w:nsid w:val="6483be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hint="default" w:ascii="Symbol" w:hAnsi="Symbol"/>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hint="default" w:ascii="Courier New" w:hAnsi="Courier New" w:cs="Courier New"/>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num w:numId="27">
    <w:abstractNumId w:val="25"/>
  </w:num>
  <w:num w:numId="26">
    <w:abstractNumId w:val="24"/>
  </w:num>
  <w:num w:numId="25">
    <w:abstractNumId w:val="23"/>
  </w:num>
  <w:num w:numId="24">
    <w:abstractNumId w:val="22"/>
  </w: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62A9"/>
    <w:rsid w:val="00062A9A"/>
    <w:rsid w:val="00062E51"/>
    <w:rsid w:val="00065058"/>
    <w:rsid w:val="00086C39"/>
    <w:rsid w:val="000A03B2"/>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7A6"/>
    <w:rsid w:val="0018171E"/>
    <w:rsid w:val="00184AD6"/>
    <w:rsid w:val="001A4AF7"/>
    <w:rsid w:val="001B0349"/>
    <w:rsid w:val="001B1E93"/>
    <w:rsid w:val="001B65C1"/>
    <w:rsid w:val="001C260F"/>
    <w:rsid w:val="001C5C3A"/>
    <w:rsid w:val="001C684B"/>
    <w:rsid w:val="001D0CFB"/>
    <w:rsid w:val="001D21AF"/>
    <w:rsid w:val="001D53FC"/>
    <w:rsid w:val="001DDEA7"/>
    <w:rsid w:val="001F42A5"/>
    <w:rsid w:val="001F7B9D"/>
    <w:rsid w:val="00201C93"/>
    <w:rsid w:val="002224B4"/>
    <w:rsid w:val="002447EF"/>
    <w:rsid w:val="00251550"/>
    <w:rsid w:val="00263B05"/>
    <w:rsid w:val="0027221A"/>
    <w:rsid w:val="00275B61"/>
    <w:rsid w:val="00280FAF"/>
    <w:rsid w:val="00282656"/>
    <w:rsid w:val="00296B83"/>
    <w:rsid w:val="002B4015"/>
    <w:rsid w:val="002B78CE"/>
    <w:rsid w:val="002C2FB6"/>
    <w:rsid w:val="002E5FA7"/>
    <w:rsid w:val="002F3309"/>
    <w:rsid w:val="003008CE"/>
    <w:rsid w:val="003009B7"/>
    <w:rsid w:val="00300E56"/>
    <w:rsid w:val="0030152C"/>
    <w:rsid w:val="0030469C"/>
    <w:rsid w:val="0031FC15"/>
    <w:rsid w:val="0032156A"/>
    <w:rsid w:val="00321CA6"/>
    <w:rsid w:val="00323763"/>
    <w:rsid w:val="00323C5F"/>
    <w:rsid w:val="00334C09"/>
    <w:rsid w:val="003723D4"/>
    <w:rsid w:val="00381905"/>
    <w:rsid w:val="00384CC8"/>
    <w:rsid w:val="003871FD"/>
    <w:rsid w:val="003A1E30"/>
    <w:rsid w:val="003A2829"/>
    <w:rsid w:val="003A7D1C"/>
    <w:rsid w:val="003B304B"/>
    <w:rsid w:val="003B3146"/>
    <w:rsid w:val="003B49CD"/>
    <w:rsid w:val="003D1E02"/>
    <w:rsid w:val="003F015E"/>
    <w:rsid w:val="00400414"/>
    <w:rsid w:val="0041446B"/>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C3D1D"/>
    <w:rsid w:val="004C3D84"/>
    <w:rsid w:val="004C7913"/>
    <w:rsid w:val="004E4DD6"/>
    <w:rsid w:val="004F5E36"/>
    <w:rsid w:val="00507B47"/>
    <w:rsid w:val="00507BEF"/>
    <w:rsid w:val="00507CC9"/>
    <w:rsid w:val="005119A5"/>
    <w:rsid w:val="005278B7"/>
    <w:rsid w:val="00532016"/>
    <w:rsid w:val="005346C8"/>
    <w:rsid w:val="005424FC"/>
    <w:rsid w:val="00543E7D"/>
    <w:rsid w:val="00547A68"/>
    <w:rsid w:val="005531C9"/>
    <w:rsid w:val="00554879"/>
    <w:rsid w:val="00570C43"/>
    <w:rsid w:val="00592274"/>
    <w:rsid w:val="005A0BCC"/>
    <w:rsid w:val="005B2110"/>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5639"/>
    <w:rsid w:val="00631B33"/>
    <w:rsid w:val="0064184D"/>
    <w:rsid w:val="006422CC"/>
    <w:rsid w:val="00651D18"/>
    <w:rsid w:val="00660E3E"/>
    <w:rsid w:val="00662E74"/>
    <w:rsid w:val="00680C23"/>
    <w:rsid w:val="00683E23"/>
    <w:rsid w:val="00693766"/>
    <w:rsid w:val="006A3281"/>
    <w:rsid w:val="006A6DE5"/>
    <w:rsid w:val="006B4888"/>
    <w:rsid w:val="006C2E45"/>
    <w:rsid w:val="006C359C"/>
    <w:rsid w:val="006C5579"/>
    <w:rsid w:val="006D6E8B"/>
    <w:rsid w:val="006D7209"/>
    <w:rsid w:val="006E737D"/>
    <w:rsid w:val="00707DD1"/>
    <w:rsid w:val="00713973"/>
    <w:rsid w:val="00720A24"/>
    <w:rsid w:val="00732386"/>
    <w:rsid w:val="0073514D"/>
    <w:rsid w:val="00742CF1"/>
    <w:rsid w:val="007447F3"/>
    <w:rsid w:val="0075499F"/>
    <w:rsid w:val="007661C8"/>
    <w:rsid w:val="0077098D"/>
    <w:rsid w:val="00785BF9"/>
    <w:rsid w:val="007931FA"/>
    <w:rsid w:val="007A4861"/>
    <w:rsid w:val="007A7BBA"/>
    <w:rsid w:val="007B0C50"/>
    <w:rsid w:val="007B48F9"/>
    <w:rsid w:val="007C1A43"/>
    <w:rsid w:val="007D0951"/>
    <w:rsid w:val="007D610D"/>
    <w:rsid w:val="0080013E"/>
    <w:rsid w:val="00801759"/>
    <w:rsid w:val="00813288"/>
    <w:rsid w:val="008168FC"/>
    <w:rsid w:val="00830996"/>
    <w:rsid w:val="008345F1"/>
    <w:rsid w:val="00865B07"/>
    <w:rsid w:val="008667EA"/>
    <w:rsid w:val="0087637F"/>
    <w:rsid w:val="00892AD5"/>
    <w:rsid w:val="008A1512"/>
    <w:rsid w:val="008D32B9"/>
    <w:rsid w:val="008D433B"/>
    <w:rsid w:val="008D4A16"/>
    <w:rsid w:val="008E5401"/>
    <w:rsid w:val="008E566E"/>
    <w:rsid w:val="008FC1D7"/>
    <w:rsid w:val="0090161A"/>
    <w:rsid w:val="00901EB6"/>
    <w:rsid w:val="009041F8"/>
    <w:rsid w:val="00904C6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C37C3"/>
    <w:rsid w:val="009C7C86"/>
    <w:rsid w:val="009D2FF7"/>
    <w:rsid w:val="009E7884"/>
    <w:rsid w:val="009E788A"/>
    <w:rsid w:val="009F0E08"/>
    <w:rsid w:val="00A079AE"/>
    <w:rsid w:val="00A1763D"/>
    <w:rsid w:val="00A17CEC"/>
    <w:rsid w:val="00A27EF0"/>
    <w:rsid w:val="00A42361"/>
    <w:rsid w:val="00A50B20"/>
    <w:rsid w:val="00A51390"/>
    <w:rsid w:val="00A60D13"/>
    <w:rsid w:val="00A7223D"/>
    <w:rsid w:val="00A72745"/>
    <w:rsid w:val="00A76EFC"/>
    <w:rsid w:val="00A87D50"/>
    <w:rsid w:val="00A91010"/>
    <w:rsid w:val="00A97F29"/>
    <w:rsid w:val="00AA702E"/>
    <w:rsid w:val="00AA7D26"/>
    <w:rsid w:val="00AB0964"/>
    <w:rsid w:val="00AB3F7E"/>
    <w:rsid w:val="00AB5011"/>
    <w:rsid w:val="00AC7368"/>
    <w:rsid w:val="00AD16B9"/>
    <w:rsid w:val="00AE377D"/>
    <w:rsid w:val="00AF0EBA"/>
    <w:rsid w:val="00AF2463"/>
    <w:rsid w:val="00B02C8A"/>
    <w:rsid w:val="00B17FBD"/>
    <w:rsid w:val="00B315A6"/>
    <w:rsid w:val="00B31813"/>
    <w:rsid w:val="00B33365"/>
    <w:rsid w:val="00B57B36"/>
    <w:rsid w:val="00B57E6F"/>
    <w:rsid w:val="00B8686D"/>
    <w:rsid w:val="00B93F69"/>
    <w:rsid w:val="00BB1DDC"/>
    <w:rsid w:val="00BC30C9"/>
    <w:rsid w:val="00BD077D"/>
    <w:rsid w:val="00BE3E58"/>
    <w:rsid w:val="00BF13CE"/>
    <w:rsid w:val="00C01616"/>
    <w:rsid w:val="00C0162B"/>
    <w:rsid w:val="00C068ED"/>
    <w:rsid w:val="00C22E0C"/>
    <w:rsid w:val="00C345B1"/>
    <w:rsid w:val="00C40142"/>
    <w:rsid w:val="00C52C3C"/>
    <w:rsid w:val="00C57182"/>
    <w:rsid w:val="00C57863"/>
    <w:rsid w:val="00C640AF"/>
    <w:rsid w:val="00C64B63"/>
    <w:rsid w:val="00C655FD"/>
    <w:rsid w:val="00C75407"/>
    <w:rsid w:val="00C841C6"/>
    <w:rsid w:val="00C870A8"/>
    <w:rsid w:val="00C94434"/>
    <w:rsid w:val="00CA0D75"/>
    <w:rsid w:val="00CA1C95"/>
    <w:rsid w:val="00CA5A9C"/>
    <w:rsid w:val="00CC4C20"/>
    <w:rsid w:val="00CD3517"/>
    <w:rsid w:val="00CD5FE2"/>
    <w:rsid w:val="00CE7C68"/>
    <w:rsid w:val="00D02B4C"/>
    <w:rsid w:val="00D040C4"/>
    <w:rsid w:val="00D20AD1"/>
    <w:rsid w:val="00D2582C"/>
    <w:rsid w:val="00D46B7E"/>
    <w:rsid w:val="00D57C84"/>
    <w:rsid w:val="00D6057D"/>
    <w:rsid w:val="00D71640"/>
    <w:rsid w:val="00D836C5"/>
    <w:rsid w:val="00D84576"/>
    <w:rsid w:val="00DA1399"/>
    <w:rsid w:val="00DA24C6"/>
    <w:rsid w:val="00DA4D7B"/>
    <w:rsid w:val="00DC2840"/>
    <w:rsid w:val="00DC73EE"/>
    <w:rsid w:val="00DD271C"/>
    <w:rsid w:val="00DE264A"/>
    <w:rsid w:val="00DF5072"/>
    <w:rsid w:val="00E02D18"/>
    <w:rsid w:val="00E041E7"/>
    <w:rsid w:val="00E23CA1"/>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F06D9"/>
    <w:rsid w:val="00F27EE4"/>
    <w:rsid w:val="00F3049E"/>
    <w:rsid w:val="00F30C64"/>
    <w:rsid w:val="00F32BA2"/>
    <w:rsid w:val="00F32CDB"/>
    <w:rsid w:val="00F41EE4"/>
    <w:rsid w:val="00F565FE"/>
    <w:rsid w:val="00F63A70"/>
    <w:rsid w:val="00F63D8C"/>
    <w:rsid w:val="00F7534E"/>
    <w:rsid w:val="00F93EDF"/>
    <w:rsid w:val="00FA1802"/>
    <w:rsid w:val="00FA21D0"/>
    <w:rsid w:val="00FA5F5F"/>
    <w:rsid w:val="00FB730C"/>
    <w:rsid w:val="00FC2695"/>
    <w:rsid w:val="00FC3E03"/>
    <w:rsid w:val="00FC3FC1"/>
    <w:rsid w:val="014E57D9"/>
    <w:rsid w:val="017E8A87"/>
    <w:rsid w:val="018C069F"/>
    <w:rsid w:val="01D368F1"/>
    <w:rsid w:val="0200FA49"/>
    <w:rsid w:val="0245CFFF"/>
    <w:rsid w:val="024B79BF"/>
    <w:rsid w:val="028AA441"/>
    <w:rsid w:val="02DF398F"/>
    <w:rsid w:val="02FE02F5"/>
    <w:rsid w:val="034599B7"/>
    <w:rsid w:val="03A89834"/>
    <w:rsid w:val="03FEE39E"/>
    <w:rsid w:val="0407AC74"/>
    <w:rsid w:val="0437DA98"/>
    <w:rsid w:val="0489BE72"/>
    <w:rsid w:val="04B6A37E"/>
    <w:rsid w:val="04C68631"/>
    <w:rsid w:val="04DF4275"/>
    <w:rsid w:val="04EDC6A7"/>
    <w:rsid w:val="04F327BC"/>
    <w:rsid w:val="055F47A4"/>
    <w:rsid w:val="05F31876"/>
    <w:rsid w:val="0603E0C3"/>
    <w:rsid w:val="06A1EDB1"/>
    <w:rsid w:val="06CF3780"/>
    <w:rsid w:val="06F1C38A"/>
    <w:rsid w:val="0704D2E5"/>
    <w:rsid w:val="0747EFAA"/>
    <w:rsid w:val="07CC058C"/>
    <w:rsid w:val="07E38064"/>
    <w:rsid w:val="08837D27"/>
    <w:rsid w:val="08FDF01D"/>
    <w:rsid w:val="095588D0"/>
    <w:rsid w:val="09A4F0A1"/>
    <w:rsid w:val="0A43389E"/>
    <w:rsid w:val="0A539D13"/>
    <w:rsid w:val="0A5A79A5"/>
    <w:rsid w:val="0A799A85"/>
    <w:rsid w:val="0A87620D"/>
    <w:rsid w:val="0A8F7465"/>
    <w:rsid w:val="0AD231F7"/>
    <w:rsid w:val="0AFFD2CB"/>
    <w:rsid w:val="0B04F034"/>
    <w:rsid w:val="0B27F59C"/>
    <w:rsid w:val="0B6FD1EF"/>
    <w:rsid w:val="0BA978A6"/>
    <w:rsid w:val="0C1633D8"/>
    <w:rsid w:val="0C530D55"/>
    <w:rsid w:val="0C684F1A"/>
    <w:rsid w:val="0CB14D14"/>
    <w:rsid w:val="0D4A8421"/>
    <w:rsid w:val="0D61D892"/>
    <w:rsid w:val="0DA0E3F3"/>
    <w:rsid w:val="0DF6C6A8"/>
    <w:rsid w:val="0E12A7B7"/>
    <w:rsid w:val="0E319C62"/>
    <w:rsid w:val="0E74E71E"/>
    <w:rsid w:val="0E885B13"/>
    <w:rsid w:val="0E9E895D"/>
    <w:rsid w:val="0EDB354E"/>
    <w:rsid w:val="0FE04667"/>
    <w:rsid w:val="0FF10C0C"/>
    <w:rsid w:val="0FF6327A"/>
    <w:rsid w:val="0FFA3E90"/>
    <w:rsid w:val="10767420"/>
    <w:rsid w:val="10B119FB"/>
    <w:rsid w:val="11111C6E"/>
    <w:rsid w:val="11AC6572"/>
    <w:rsid w:val="11D0F5A8"/>
    <w:rsid w:val="11F0F348"/>
    <w:rsid w:val="1217F793"/>
    <w:rsid w:val="121F09EE"/>
    <w:rsid w:val="123028CC"/>
    <w:rsid w:val="12405306"/>
    <w:rsid w:val="1295AD85"/>
    <w:rsid w:val="12982653"/>
    <w:rsid w:val="12FCB46A"/>
    <w:rsid w:val="138524ED"/>
    <w:rsid w:val="138B5DD0"/>
    <w:rsid w:val="13A69599"/>
    <w:rsid w:val="14280CDC"/>
    <w:rsid w:val="145AFA67"/>
    <w:rsid w:val="147AAF3F"/>
    <w:rsid w:val="14FEF898"/>
    <w:rsid w:val="15924522"/>
    <w:rsid w:val="15962DAD"/>
    <w:rsid w:val="15D68D51"/>
    <w:rsid w:val="163B35E8"/>
    <w:rsid w:val="164F2409"/>
    <w:rsid w:val="1656E0FF"/>
    <w:rsid w:val="16AECB1B"/>
    <w:rsid w:val="16E7D8D2"/>
    <w:rsid w:val="170A0EEE"/>
    <w:rsid w:val="17269C1F"/>
    <w:rsid w:val="172B097A"/>
    <w:rsid w:val="1732DE5D"/>
    <w:rsid w:val="1757947C"/>
    <w:rsid w:val="17926D4D"/>
    <w:rsid w:val="17A0DC4A"/>
    <w:rsid w:val="17AC91E6"/>
    <w:rsid w:val="17E1FDD4"/>
    <w:rsid w:val="18B6548A"/>
    <w:rsid w:val="18CAAA0D"/>
    <w:rsid w:val="19350A96"/>
    <w:rsid w:val="19AFCF20"/>
    <w:rsid w:val="19BFFCAF"/>
    <w:rsid w:val="19C2E34A"/>
    <w:rsid w:val="1A3888E8"/>
    <w:rsid w:val="1A94C237"/>
    <w:rsid w:val="1B3EA391"/>
    <w:rsid w:val="1B5A9076"/>
    <w:rsid w:val="1C8A3C06"/>
    <w:rsid w:val="1CAFFD0E"/>
    <w:rsid w:val="1CB1D96C"/>
    <w:rsid w:val="1CBA9FE6"/>
    <w:rsid w:val="1CC6115F"/>
    <w:rsid w:val="1CE27206"/>
    <w:rsid w:val="1D0E4C51"/>
    <w:rsid w:val="1D309EB3"/>
    <w:rsid w:val="1D604FDB"/>
    <w:rsid w:val="1D72B446"/>
    <w:rsid w:val="1DD8F52A"/>
    <w:rsid w:val="1DE4B6BE"/>
    <w:rsid w:val="1DECCF97"/>
    <w:rsid w:val="1DFBABC2"/>
    <w:rsid w:val="1E01E9AD"/>
    <w:rsid w:val="1E039B92"/>
    <w:rsid w:val="1E0D8581"/>
    <w:rsid w:val="1EA03410"/>
    <w:rsid w:val="1EBAD41C"/>
    <w:rsid w:val="1EF79591"/>
    <w:rsid w:val="1EFB89F5"/>
    <w:rsid w:val="1F85C56F"/>
    <w:rsid w:val="1F886AE7"/>
    <w:rsid w:val="205092A5"/>
    <w:rsid w:val="207CF9D4"/>
    <w:rsid w:val="209D7D62"/>
    <w:rsid w:val="20A32861"/>
    <w:rsid w:val="20AD9B64"/>
    <w:rsid w:val="20C99546"/>
    <w:rsid w:val="2136EEFB"/>
    <w:rsid w:val="214245D2"/>
    <w:rsid w:val="216DDA91"/>
    <w:rsid w:val="21C01B64"/>
    <w:rsid w:val="21CF92E2"/>
    <w:rsid w:val="21E9B9CE"/>
    <w:rsid w:val="222615BD"/>
    <w:rsid w:val="22812AB1"/>
    <w:rsid w:val="233A1A96"/>
    <w:rsid w:val="234CC11D"/>
    <w:rsid w:val="24628141"/>
    <w:rsid w:val="248477A2"/>
    <w:rsid w:val="2499D411"/>
    <w:rsid w:val="24AC1EC1"/>
    <w:rsid w:val="25353189"/>
    <w:rsid w:val="25480FB3"/>
    <w:rsid w:val="25E5D2A6"/>
    <w:rsid w:val="2610AD0C"/>
    <w:rsid w:val="26668A90"/>
    <w:rsid w:val="26B88B9E"/>
    <w:rsid w:val="26BF2A0F"/>
    <w:rsid w:val="26C7FE65"/>
    <w:rsid w:val="26D07C12"/>
    <w:rsid w:val="26E167C4"/>
    <w:rsid w:val="26E67EA7"/>
    <w:rsid w:val="274F3EEB"/>
    <w:rsid w:val="27655F0B"/>
    <w:rsid w:val="276837BD"/>
    <w:rsid w:val="279AABC0"/>
    <w:rsid w:val="27AA1260"/>
    <w:rsid w:val="28053E7C"/>
    <w:rsid w:val="2825DC5A"/>
    <w:rsid w:val="286508DB"/>
    <w:rsid w:val="28B062DD"/>
    <w:rsid w:val="28C2F03B"/>
    <w:rsid w:val="28D8DFA9"/>
    <w:rsid w:val="28EF28D4"/>
    <w:rsid w:val="291917B9"/>
    <w:rsid w:val="294B86F9"/>
    <w:rsid w:val="29F378FB"/>
    <w:rsid w:val="2A06C38E"/>
    <w:rsid w:val="2A1D63C5"/>
    <w:rsid w:val="2A1E2C02"/>
    <w:rsid w:val="2A42F13E"/>
    <w:rsid w:val="2AC1B840"/>
    <w:rsid w:val="2B2A92DA"/>
    <w:rsid w:val="2B7F2B15"/>
    <w:rsid w:val="2BA6695B"/>
    <w:rsid w:val="2BC6185E"/>
    <w:rsid w:val="2C386BE7"/>
    <w:rsid w:val="2C5A67D5"/>
    <w:rsid w:val="2C82437C"/>
    <w:rsid w:val="2C8D5A89"/>
    <w:rsid w:val="2CC8158A"/>
    <w:rsid w:val="2D0387C7"/>
    <w:rsid w:val="2D05DE1B"/>
    <w:rsid w:val="2D22884D"/>
    <w:rsid w:val="2D4199AA"/>
    <w:rsid w:val="2DF2EB4C"/>
    <w:rsid w:val="2E05ED42"/>
    <w:rsid w:val="2E12980E"/>
    <w:rsid w:val="2E16B99E"/>
    <w:rsid w:val="2E1A14F8"/>
    <w:rsid w:val="2E2B62D2"/>
    <w:rsid w:val="2E93D782"/>
    <w:rsid w:val="2ED5A538"/>
    <w:rsid w:val="2F118D73"/>
    <w:rsid w:val="2F230C04"/>
    <w:rsid w:val="2F43D9C6"/>
    <w:rsid w:val="2F6CB681"/>
    <w:rsid w:val="2FADEFC8"/>
    <w:rsid w:val="2FCCC9A2"/>
    <w:rsid w:val="2FCFDDF1"/>
    <w:rsid w:val="301BAE6B"/>
    <w:rsid w:val="301EFF49"/>
    <w:rsid w:val="3074512F"/>
    <w:rsid w:val="309FE0A8"/>
    <w:rsid w:val="30AB4F53"/>
    <w:rsid w:val="30FFD4C1"/>
    <w:rsid w:val="31176C10"/>
    <w:rsid w:val="3125776A"/>
    <w:rsid w:val="318731B3"/>
    <w:rsid w:val="318AC334"/>
    <w:rsid w:val="31B12C3B"/>
    <w:rsid w:val="31C920FF"/>
    <w:rsid w:val="32BAF354"/>
    <w:rsid w:val="32C77E49"/>
    <w:rsid w:val="32D284C4"/>
    <w:rsid w:val="3331DF5D"/>
    <w:rsid w:val="3366CC93"/>
    <w:rsid w:val="337312DD"/>
    <w:rsid w:val="33C82C2C"/>
    <w:rsid w:val="33CF1CEC"/>
    <w:rsid w:val="33D5D06B"/>
    <w:rsid w:val="33D7B0DD"/>
    <w:rsid w:val="33F3EB7C"/>
    <w:rsid w:val="3408A310"/>
    <w:rsid w:val="3423F9DA"/>
    <w:rsid w:val="347C6B4F"/>
    <w:rsid w:val="34BAE068"/>
    <w:rsid w:val="34F52E66"/>
    <w:rsid w:val="35389A9B"/>
    <w:rsid w:val="3575FE9E"/>
    <w:rsid w:val="35F645D5"/>
    <w:rsid w:val="36471928"/>
    <w:rsid w:val="366463D8"/>
    <w:rsid w:val="367B7FB1"/>
    <w:rsid w:val="36D72B2F"/>
    <w:rsid w:val="36D88A5B"/>
    <w:rsid w:val="3709BAA6"/>
    <w:rsid w:val="381966F2"/>
    <w:rsid w:val="38270AAC"/>
    <w:rsid w:val="38277D7E"/>
    <w:rsid w:val="389D73DE"/>
    <w:rsid w:val="38B64CC4"/>
    <w:rsid w:val="38D1C24B"/>
    <w:rsid w:val="38DD4B34"/>
    <w:rsid w:val="39248249"/>
    <w:rsid w:val="3944D693"/>
    <w:rsid w:val="3992908E"/>
    <w:rsid w:val="3A4CEA4E"/>
    <w:rsid w:val="3A7538EE"/>
    <w:rsid w:val="3A90A0AA"/>
    <w:rsid w:val="3B0DE187"/>
    <w:rsid w:val="3BAA75C2"/>
    <w:rsid w:val="3BBAA951"/>
    <w:rsid w:val="3C3C2CD4"/>
    <w:rsid w:val="3C843D32"/>
    <w:rsid w:val="3C9A0E81"/>
    <w:rsid w:val="3CE224B5"/>
    <w:rsid w:val="3D364F27"/>
    <w:rsid w:val="3D51FB96"/>
    <w:rsid w:val="3D5ED45B"/>
    <w:rsid w:val="3D93FFAD"/>
    <w:rsid w:val="3DA7A739"/>
    <w:rsid w:val="3DE5A806"/>
    <w:rsid w:val="3E10F413"/>
    <w:rsid w:val="3E49EC1A"/>
    <w:rsid w:val="3E876B9D"/>
    <w:rsid w:val="4078E509"/>
    <w:rsid w:val="40B39DB5"/>
    <w:rsid w:val="40DF66B7"/>
    <w:rsid w:val="40E71BD9"/>
    <w:rsid w:val="4159581B"/>
    <w:rsid w:val="41D67765"/>
    <w:rsid w:val="41E3A7C7"/>
    <w:rsid w:val="41FFD703"/>
    <w:rsid w:val="420F2E14"/>
    <w:rsid w:val="422C6BBC"/>
    <w:rsid w:val="424D845F"/>
    <w:rsid w:val="42B2B8B7"/>
    <w:rsid w:val="42EAD9A2"/>
    <w:rsid w:val="431CA676"/>
    <w:rsid w:val="4394932E"/>
    <w:rsid w:val="43E8EF58"/>
    <w:rsid w:val="4437E60E"/>
    <w:rsid w:val="44EC461A"/>
    <w:rsid w:val="45112AED"/>
    <w:rsid w:val="4548195E"/>
    <w:rsid w:val="45713AF9"/>
    <w:rsid w:val="45B6C6EC"/>
    <w:rsid w:val="45B73A15"/>
    <w:rsid w:val="45C8F047"/>
    <w:rsid w:val="45F66BEB"/>
    <w:rsid w:val="466966F4"/>
    <w:rsid w:val="46697C52"/>
    <w:rsid w:val="46A97E7E"/>
    <w:rsid w:val="46D01122"/>
    <w:rsid w:val="47073866"/>
    <w:rsid w:val="470DD65E"/>
    <w:rsid w:val="473ADD3D"/>
    <w:rsid w:val="473BAD92"/>
    <w:rsid w:val="47F39E49"/>
    <w:rsid w:val="48305E97"/>
    <w:rsid w:val="486222AC"/>
    <w:rsid w:val="4864F70E"/>
    <w:rsid w:val="48794937"/>
    <w:rsid w:val="48806798"/>
    <w:rsid w:val="48C0653B"/>
    <w:rsid w:val="48C0748A"/>
    <w:rsid w:val="494F7C08"/>
    <w:rsid w:val="49859434"/>
    <w:rsid w:val="49881E37"/>
    <w:rsid w:val="49F0F835"/>
    <w:rsid w:val="49FB094D"/>
    <w:rsid w:val="4A49863D"/>
    <w:rsid w:val="4A561C7F"/>
    <w:rsid w:val="4A624F32"/>
    <w:rsid w:val="4A77E827"/>
    <w:rsid w:val="4A795EA1"/>
    <w:rsid w:val="4AA6BF49"/>
    <w:rsid w:val="4AC32468"/>
    <w:rsid w:val="4B84F0F4"/>
    <w:rsid w:val="4B86783A"/>
    <w:rsid w:val="4BA2F308"/>
    <w:rsid w:val="4BAA9F82"/>
    <w:rsid w:val="4BEF05D2"/>
    <w:rsid w:val="4BFA7818"/>
    <w:rsid w:val="4CC1999A"/>
    <w:rsid w:val="4CD0015C"/>
    <w:rsid w:val="4D050B3C"/>
    <w:rsid w:val="4D7F9452"/>
    <w:rsid w:val="4DA47395"/>
    <w:rsid w:val="4E226DAD"/>
    <w:rsid w:val="4E334673"/>
    <w:rsid w:val="4E4CF6D6"/>
    <w:rsid w:val="4E58935A"/>
    <w:rsid w:val="4EB8BDFE"/>
    <w:rsid w:val="4ECDD034"/>
    <w:rsid w:val="4ED90672"/>
    <w:rsid w:val="4EEBFF09"/>
    <w:rsid w:val="4F812FC2"/>
    <w:rsid w:val="4FD59A25"/>
    <w:rsid w:val="50270867"/>
    <w:rsid w:val="50433268"/>
    <w:rsid w:val="504D2EF8"/>
    <w:rsid w:val="507D09C5"/>
    <w:rsid w:val="50B52C32"/>
    <w:rsid w:val="50CB7632"/>
    <w:rsid w:val="50D4EFCE"/>
    <w:rsid w:val="50D8811D"/>
    <w:rsid w:val="50F6D855"/>
    <w:rsid w:val="5102A04D"/>
    <w:rsid w:val="510B2A06"/>
    <w:rsid w:val="5122A7C7"/>
    <w:rsid w:val="51268C55"/>
    <w:rsid w:val="5181B82C"/>
    <w:rsid w:val="51AE82E2"/>
    <w:rsid w:val="51B17A10"/>
    <w:rsid w:val="520C5735"/>
    <w:rsid w:val="52594DDA"/>
    <w:rsid w:val="52A9F959"/>
    <w:rsid w:val="52E418D0"/>
    <w:rsid w:val="537D60B3"/>
    <w:rsid w:val="538A4CDE"/>
    <w:rsid w:val="53F32861"/>
    <w:rsid w:val="540D7A4C"/>
    <w:rsid w:val="5416A150"/>
    <w:rsid w:val="5422574A"/>
    <w:rsid w:val="545CB77D"/>
    <w:rsid w:val="54640DDD"/>
    <w:rsid w:val="5479D821"/>
    <w:rsid w:val="54DDF3DB"/>
    <w:rsid w:val="5502FF1B"/>
    <w:rsid w:val="560552A0"/>
    <w:rsid w:val="564B4E26"/>
    <w:rsid w:val="569C0FA1"/>
    <w:rsid w:val="56A94334"/>
    <w:rsid w:val="56AAFDC2"/>
    <w:rsid w:val="56B85B67"/>
    <w:rsid w:val="56DA7FD5"/>
    <w:rsid w:val="57169405"/>
    <w:rsid w:val="574360AF"/>
    <w:rsid w:val="57761A4C"/>
    <w:rsid w:val="57B13FEF"/>
    <w:rsid w:val="57C112FD"/>
    <w:rsid w:val="57DB2297"/>
    <w:rsid w:val="57EA8554"/>
    <w:rsid w:val="5822E006"/>
    <w:rsid w:val="58340957"/>
    <w:rsid w:val="5859149C"/>
    <w:rsid w:val="58B45A71"/>
    <w:rsid w:val="59004560"/>
    <w:rsid w:val="5915C654"/>
    <w:rsid w:val="5981ED56"/>
    <w:rsid w:val="599EFF77"/>
    <w:rsid w:val="59AB1661"/>
    <w:rsid w:val="59E3D73E"/>
    <w:rsid w:val="5A021616"/>
    <w:rsid w:val="5A38CEE9"/>
    <w:rsid w:val="5A9F1109"/>
    <w:rsid w:val="5B45B64C"/>
    <w:rsid w:val="5B6A03E0"/>
    <w:rsid w:val="5BB6F1EC"/>
    <w:rsid w:val="5BBE973C"/>
    <w:rsid w:val="5BBFA4DF"/>
    <w:rsid w:val="5C3D3A8D"/>
    <w:rsid w:val="5C486F9B"/>
    <w:rsid w:val="5CFEEAA0"/>
    <w:rsid w:val="5D40F452"/>
    <w:rsid w:val="5DA0063C"/>
    <w:rsid w:val="5DB8B742"/>
    <w:rsid w:val="5DD827FE"/>
    <w:rsid w:val="5DDEAEA2"/>
    <w:rsid w:val="5DEEDCCF"/>
    <w:rsid w:val="5E6D43AD"/>
    <w:rsid w:val="5E853582"/>
    <w:rsid w:val="5EACC24A"/>
    <w:rsid w:val="5EDD7EE4"/>
    <w:rsid w:val="5F4D9B7E"/>
    <w:rsid w:val="5F98C262"/>
    <w:rsid w:val="5F998EB6"/>
    <w:rsid w:val="5FBCA451"/>
    <w:rsid w:val="60257D0A"/>
    <w:rsid w:val="60672F1A"/>
    <w:rsid w:val="60782BDA"/>
    <w:rsid w:val="609BEE75"/>
    <w:rsid w:val="60ABBEC4"/>
    <w:rsid w:val="60D43D3A"/>
    <w:rsid w:val="60D7CFF9"/>
    <w:rsid w:val="6114D1A2"/>
    <w:rsid w:val="615495A8"/>
    <w:rsid w:val="61BA393D"/>
    <w:rsid w:val="61CCBAD5"/>
    <w:rsid w:val="6221F734"/>
    <w:rsid w:val="622A3E80"/>
    <w:rsid w:val="623A4BD8"/>
    <w:rsid w:val="6277FDFF"/>
    <w:rsid w:val="6278BCD3"/>
    <w:rsid w:val="628037BE"/>
    <w:rsid w:val="628BC805"/>
    <w:rsid w:val="6322813C"/>
    <w:rsid w:val="63382CEC"/>
    <w:rsid w:val="639CB836"/>
    <w:rsid w:val="63D5C4DB"/>
    <w:rsid w:val="63DA128A"/>
    <w:rsid w:val="63F1ABE2"/>
    <w:rsid w:val="643D3DD0"/>
    <w:rsid w:val="644C3A61"/>
    <w:rsid w:val="64E6253C"/>
    <w:rsid w:val="65060744"/>
    <w:rsid w:val="6536C5DD"/>
    <w:rsid w:val="65760572"/>
    <w:rsid w:val="65EB8A91"/>
    <w:rsid w:val="6628B622"/>
    <w:rsid w:val="6646DA23"/>
    <w:rsid w:val="66AB9113"/>
    <w:rsid w:val="66C2281F"/>
    <w:rsid w:val="67F318EE"/>
    <w:rsid w:val="68049DEB"/>
    <w:rsid w:val="6861D36F"/>
    <w:rsid w:val="6866AC65"/>
    <w:rsid w:val="68ACE3A3"/>
    <w:rsid w:val="68C862E5"/>
    <w:rsid w:val="6921ACAC"/>
    <w:rsid w:val="69526C1E"/>
    <w:rsid w:val="69D1477F"/>
    <w:rsid w:val="69DB0001"/>
    <w:rsid w:val="69E0EAE1"/>
    <w:rsid w:val="6A17F85E"/>
    <w:rsid w:val="6A881300"/>
    <w:rsid w:val="6A98A18C"/>
    <w:rsid w:val="6AA211B3"/>
    <w:rsid w:val="6B253B04"/>
    <w:rsid w:val="6B26BE11"/>
    <w:rsid w:val="6B3AE12F"/>
    <w:rsid w:val="6B9FCD10"/>
    <w:rsid w:val="6BA00B15"/>
    <w:rsid w:val="6BA44A4E"/>
    <w:rsid w:val="6BEE05D5"/>
    <w:rsid w:val="6C2A8E49"/>
    <w:rsid w:val="6C33F471"/>
    <w:rsid w:val="6C66A05D"/>
    <w:rsid w:val="6C7F4DDA"/>
    <w:rsid w:val="6CF189B5"/>
    <w:rsid w:val="6D03808E"/>
    <w:rsid w:val="6D216EFA"/>
    <w:rsid w:val="6D2FA62A"/>
    <w:rsid w:val="6DA283CA"/>
    <w:rsid w:val="6DBE417C"/>
    <w:rsid w:val="6DFDD093"/>
    <w:rsid w:val="6E494D99"/>
    <w:rsid w:val="6E7E963F"/>
    <w:rsid w:val="6EB1330F"/>
    <w:rsid w:val="6F59092A"/>
    <w:rsid w:val="6F5DC11F"/>
    <w:rsid w:val="7028066A"/>
    <w:rsid w:val="708DCCD4"/>
    <w:rsid w:val="70AE43ED"/>
    <w:rsid w:val="711B5844"/>
    <w:rsid w:val="71604B86"/>
    <w:rsid w:val="7178DF26"/>
    <w:rsid w:val="7187EF6E"/>
    <w:rsid w:val="71C8C5C1"/>
    <w:rsid w:val="71D5A594"/>
    <w:rsid w:val="721CAD7F"/>
    <w:rsid w:val="723ED4DF"/>
    <w:rsid w:val="729995D6"/>
    <w:rsid w:val="735F8776"/>
    <w:rsid w:val="738065C0"/>
    <w:rsid w:val="73D75F77"/>
    <w:rsid w:val="73E1FF4D"/>
    <w:rsid w:val="742106FC"/>
    <w:rsid w:val="742E1F07"/>
    <w:rsid w:val="7437EF17"/>
    <w:rsid w:val="74982CFE"/>
    <w:rsid w:val="74AEE841"/>
    <w:rsid w:val="7598761D"/>
    <w:rsid w:val="75A465D2"/>
    <w:rsid w:val="75D607E2"/>
    <w:rsid w:val="76BF81DA"/>
    <w:rsid w:val="76C152C6"/>
    <w:rsid w:val="76DF0434"/>
    <w:rsid w:val="771D6653"/>
    <w:rsid w:val="77228F6D"/>
    <w:rsid w:val="77376D6B"/>
    <w:rsid w:val="7754E270"/>
    <w:rsid w:val="7771579D"/>
    <w:rsid w:val="7796C67D"/>
    <w:rsid w:val="77A541AC"/>
    <w:rsid w:val="77F6CCFC"/>
    <w:rsid w:val="785A24EF"/>
    <w:rsid w:val="785BB7D9"/>
    <w:rsid w:val="78ECF7C7"/>
    <w:rsid w:val="7A14F151"/>
    <w:rsid w:val="7A150655"/>
    <w:rsid w:val="7A5C247B"/>
    <w:rsid w:val="7A71715F"/>
    <w:rsid w:val="7B1AE790"/>
    <w:rsid w:val="7B1F1004"/>
    <w:rsid w:val="7B618F32"/>
    <w:rsid w:val="7BC477AC"/>
    <w:rsid w:val="7BEB8CDB"/>
    <w:rsid w:val="7BFA9F97"/>
    <w:rsid w:val="7C1E2FAE"/>
    <w:rsid w:val="7C27FD79"/>
    <w:rsid w:val="7C71C887"/>
    <w:rsid w:val="7CCFDE4D"/>
    <w:rsid w:val="7CF96AAB"/>
    <w:rsid w:val="7D12A84E"/>
    <w:rsid w:val="7D87ABA3"/>
    <w:rsid w:val="7D9651CF"/>
    <w:rsid w:val="7DB78634"/>
    <w:rsid w:val="7DC1F745"/>
    <w:rsid w:val="7E26D29B"/>
    <w:rsid w:val="7E389F86"/>
    <w:rsid w:val="7E6D222C"/>
    <w:rsid w:val="7E89EA79"/>
    <w:rsid w:val="7E8D3583"/>
    <w:rsid w:val="7F11C10F"/>
    <w:rsid w:val="7F3120FF"/>
    <w:rsid w:val="7F3D9338"/>
    <w:rsid w:val="7F7FDD35"/>
    <w:rsid w:val="7FDF49FF"/>
    <w:rsid w:val="7FE617F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e" w:default="1">
    <w:name w:val="Normal"/>
    <w:aliases w:val="CET Top_page"/>
    <w:rsid w:val="00620DEE"/>
    <w:pPr>
      <w:tabs>
        <w:tab w:val="right" w:pos="7100"/>
      </w:tabs>
      <w:spacing w:after="0" w:line="264" w:lineRule="auto"/>
      <w:jc w:val="both"/>
    </w:pPr>
    <w:rPr>
      <w:rFonts w:ascii="Arial" w:hAnsi="Arial" w:eastAsia="Times New Roman"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hAnsiTheme="majorHAnsi" w:eastAsiaTheme="majorEastAsia"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hAnsiTheme="majorHAnsi" w:eastAsiaTheme="majorEastAsia"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hAnsiTheme="majorHAnsi" w:eastAsiaTheme="majorEastAsia"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hAnsiTheme="majorHAnsi" w:eastAsiaTheme="majorEastAsia" w:cstheme="majorBidi"/>
      <w:i/>
      <w:iCs/>
      <w:color w:val="404040" w:themeColor="text1" w:themeTint="B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CETAuthors" w:customStyle="1">
    <w:name w:val="CET Authors"/>
    <w:basedOn w:val="CETBodytext"/>
    <w:link w:val="CETAuthorsCarattere"/>
    <w:qFormat/>
    <w:rsid w:val="000E414A"/>
    <w:pPr>
      <w:keepNext/>
      <w:suppressAutoHyphens/>
      <w:spacing w:after="120"/>
    </w:pPr>
    <w:rPr>
      <w:noProof/>
      <w:sz w:val="24"/>
      <w:lang w:val="en-GB"/>
    </w:rPr>
  </w:style>
  <w:style w:type="paragraph" w:styleId="CETTitle" w:customStyle="1">
    <w:name w:val="CET Title"/>
    <w:next w:val="CETAuthors"/>
    <w:link w:val="CETTitleCarattere"/>
    <w:rsid w:val="00FB730C"/>
    <w:pPr>
      <w:suppressAutoHyphens/>
      <w:spacing w:before="480" w:after="120" w:line="264" w:lineRule="auto"/>
      <w:jc w:val="center"/>
      <w:outlineLvl w:val="0"/>
    </w:pPr>
    <w:rPr>
      <w:rFonts w:ascii="Arial" w:hAnsi="Arial" w:eastAsia="Times New Roman" w:cs="Times New Roman"/>
      <w:sz w:val="32"/>
      <w:szCs w:val="20"/>
      <w:lang w:val="en-GB"/>
    </w:rPr>
  </w:style>
  <w:style w:type="character" w:styleId="CETAuthorsCarattere" w:customStyle="1">
    <w:name w:val="CET Authors Carattere"/>
    <w:link w:val="CETAuthors"/>
    <w:rsid w:val="009E788A"/>
    <w:rPr>
      <w:rFonts w:ascii="Arial" w:hAnsi="Arial" w:eastAsia="Times New Roman" w:cs="Times New Roman"/>
      <w:noProof/>
      <w:sz w:val="24"/>
      <w:szCs w:val="20"/>
      <w:lang w:val="en-GB"/>
    </w:rPr>
  </w:style>
  <w:style w:type="character" w:styleId="CETTitleCarattere" w:customStyle="1">
    <w:name w:val="CET Title Carattere"/>
    <w:link w:val="CETTitle"/>
    <w:rsid w:val="00FB730C"/>
    <w:rPr>
      <w:rFonts w:ascii="Arial" w:hAnsi="Arial" w:eastAsia="Times New Roman" w:cs="Times New Roman"/>
      <w:sz w:val="32"/>
      <w:szCs w:val="20"/>
      <w:lang w:val="en-GB"/>
    </w:rPr>
  </w:style>
  <w:style w:type="paragraph" w:styleId="CETHeading1" w:customStyle="1">
    <w:name w:val="CET Heading1"/>
    <w:next w:val="CETBodytext"/>
    <w:qFormat/>
    <w:rsid w:val="009E788A"/>
    <w:pPr>
      <w:keepNext/>
      <w:numPr>
        <w:ilvl w:val="1"/>
        <w:numId w:val="1"/>
      </w:numPr>
      <w:tabs>
        <w:tab w:val="num" w:pos="360"/>
      </w:tabs>
      <w:suppressAutoHyphens/>
      <w:spacing w:before="240" w:after="120" w:line="240" w:lineRule="auto"/>
    </w:pPr>
    <w:rPr>
      <w:rFonts w:ascii="Arial" w:hAnsi="Arial" w:eastAsia="Times New Roman" w:cs="Times New Roman"/>
      <w:b/>
      <w:sz w:val="20"/>
      <w:szCs w:val="20"/>
      <w:lang w:val="en-US"/>
    </w:rPr>
  </w:style>
  <w:style w:type="paragraph" w:styleId="CETBodytext" w:customStyle="1">
    <w:name w:val="CET Body text"/>
    <w:link w:val="CETBodytextCarattere"/>
    <w:qFormat/>
    <w:rsid w:val="000E414A"/>
    <w:pPr>
      <w:tabs>
        <w:tab w:val="right" w:pos="7100"/>
      </w:tabs>
      <w:spacing w:after="0" w:line="264" w:lineRule="auto"/>
      <w:jc w:val="both"/>
    </w:pPr>
    <w:rPr>
      <w:rFonts w:ascii="Arial" w:hAnsi="Arial" w:eastAsia="Times New Roman" w:cs="Times New Roman"/>
      <w:sz w:val="18"/>
      <w:szCs w:val="20"/>
      <w:lang w:val="en-US"/>
    </w:rPr>
  </w:style>
  <w:style w:type="paragraph" w:styleId="CETheadingx" w:customStyle="1">
    <w:name w:val="CET headingx"/>
    <w:next w:val="CETBodytext"/>
    <w:link w:val="CETheadingxCarattere"/>
    <w:autoRedefine/>
    <w:qFormat/>
    <w:rsid w:val="00FA5F5F"/>
    <w:pPr>
      <w:keepNext/>
      <w:numPr>
        <w:ilvl w:val="2"/>
        <w:numId w:val="1"/>
      </w:numPr>
      <w:suppressAutoHyphens/>
      <w:spacing w:before="120" w:after="120" w:line="240" w:lineRule="auto"/>
    </w:pPr>
    <w:rPr>
      <w:rFonts w:ascii="Arial" w:hAnsi="Arial" w:eastAsia="Times New Roman" w:cs="Times New Roman"/>
      <w:b/>
      <w:sz w:val="18"/>
      <w:szCs w:val="20"/>
      <w:lang w:val="en-US"/>
    </w:rPr>
  </w:style>
  <w:style w:type="paragraph" w:styleId="CETAddress" w:customStyle="1">
    <w:name w:val="CET Address"/>
    <w:link w:val="CETAddressCarattere"/>
    <w:qFormat/>
    <w:rsid w:val="009E788A"/>
    <w:pPr>
      <w:keepNext/>
      <w:suppressAutoHyphens/>
      <w:spacing w:after="0"/>
      <w:contextualSpacing/>
    </w:pPr>
    <w:rPr>
      <w:rFonts w:ascii="Arial" w:hAnsi="Arial" w:eastAsia="Times New Roman"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hAnsi="Times New Roman" w:eastAsia="Times New Roman" w:cs="Times New Roman"/>
      <w:sz w:val="20"/>
      <w:szCs w:val="20"/>
      <w:lang w:eastAsia="it-IT"/>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character" w:styleId="CETBodytextCarattere" w:customStyle="1">
    <w:name w:val="CET Body text Carattere"/>
    <w:link w:val="CETBodytext"/>
    <w:rsid w:val="000E414A"/>
    <w:rPr>
      <w:rFonts w:ascii="Arial" w:hAnsi="Arial" w:eastAsia="Times New Roman" w:cs="Times New Roman"/>
      <w:sz w:val="18"/>
      <w:szCs w:val="20"/>
      <w:lang w:val="en-US"/>
    </w:rPr>
  </w:style>
  <w:style w:type="paragraph" w:styleId="CETReference" w:customStyle="1">
    <w:name w:val="CET Reference"/>
    <w:qFormat/>
    <w:rsid w:val="00FC2695"/>
    <w:pPr>
      <w:spacing w:before="200" w:after="120" w:line="240" w:lineRule="auto"/>
    </w:pPr>
    <w:rPr>
      <w:rFonts w:ascii="Arial" w:hAnsi="Arial" w:eastAsia="Times New Roman" w:cs="Times New Roman"/>
      <w:b/>
      <w:sz w:val="18"/>
      <w:szCs w:val="20"/>
      <w:lang w:val="en-GB"/>
    </w:rPr>
  </w:style>
  <w:style w:type="paragraph" w:styleId="CETCaption" w:customStyle="1">
    <w:name w:val="CET Caption"/>
    <w:link w:val="CETCaptionCarattere"/>
    <w:qFormat/>
    <w:rsid w:val="00F7534E"/>
    <w:pPr>
      <w:spacing w:before="240" w:after="240" w:line="264" w:lineRule="auto"/>
      <w:jc w:val="both"/>
    </w:pPr>
    <w:rPr>
      <w:rFonts w:ascii="Arial" w:hAnsi="Arial" w:eastAsia="Times New Roman" w:cs="Times New Roman"/>
      <w:i/>
      <w:sz w:val="18"/>
      <w:szCs w:val="20"/>
      <w:lang w:val="en-GB"/>
    </w:rPr>
  </w:style>
  <w:style w:type="character" w:styleId="CETheadingxCarattere" w:customStyle="1">
    <w:name w:val="CET headingx Carattere"/>
    <w:link w:val="CETheadingx"/>
    <w:rsid w:val="00FA5F5F"/>
    <w:rPr>
      <w:rFonts w:ascii="Arial" w:hAnsi="Arial" w:eastAsia="Times New Roman" w:cs="Times New Roman"/>
      <w:b/>
      <w:sz w:val="18"/>
      <w:szCs w:val="20"/>
      <w:lang w:val="en-US"/>
    </w:rPr>
  </w:style>
  <w:style w:type="character" w:styleId="CETCaptionCarattere" w:customStyle="1">
    <w:name w:val="CET Caption Carattere"/>
    <w:link w:val="CETCaption"/>
    <w:rsid w:val="00F7534E"/>
    <w:rPr>
      <w:rFonts w:ascii="Arial" w:hAnsi="Arial" w:eastAsia="Times New Roman" w:cs="Times New Roman"/>
      <w:i/>
      <w:sz w:val="18"/>
      <w:szCs w:val="20"/>
      <w:lang w:val="en-GB"/>
    </w:rPr>
  </w:style>
  <w:style w:type="paragraph" w:styleId="CETBodytextItalic" w:customStyle="1">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styleId="Corpodeltesto2Carattere" w:customStyle="1">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styleId="Corpodeltesto3Carattere" w:customStyle="1">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styleId="CorpotestoCarattere" w:customStyle="1">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styleId="DataCarattere" w:customStyle="1">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styleId="FirmaCarattere" w:customStyle="1">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styleId="FirmadipostaelettronicaCarattere" w:customStyle="1">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styleId="FormuladiaperturaCarattere" w:customStyle="1">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styleId="FormuladichiusuraCarattere" w:customStyle="1">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Space="180" w:wrap="auto" w:hAnchor="page" w:xAlign="center" w:yAlign="bottom" w:hRule="exact"/>
      <w:spacing w:line="240" w:lineRule="auto"/>
      <w:ind w:left="2880"/>
    </w:pPr>
    <w:rPr>
      <w:rFonts w:asciiTheme="majorHAnsi" w:hAnsiTheme="majorHAnsi" w:eastAsiaTheme="majorEastAsia"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styleId="IndirizzoHTMLCarattere" w:customStyle="1">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hAnsiTheme="majorHAnsi" w:eastAsiaTheme="majorEastAsia" w:cstheme="majorBidi"/>
    </w:rPr>
  </w:style>
  <w:style w:type="paragraph" w:styleId="Intestazionemessaggio">
    <w:name w:val="Message Header"/>
    <w:basedOn w:val="Normale"/>
    <w:link w:val="IntestazionemessaggioCarattere"/>
    <w:uiPriority w:val="99"/>
    <w:semiHidden/>
    <w:unhideWhenUsed/>
    <w:rsid w:val="0003148D"/>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heme="majorHAnsi" w:hAnsiTheme="majorHAnsi" w:eastAsiaTheme="majorEastAsia" w:cstheme="majorBidi"/>
      <w:sz w:val="24"/>
      <w:szCs w:val="24"/>
    </w:rPr>
  </w:style>
  <w:style w:type="character" w:styleId="IntestazionemessaggioCarattere" w:customStyle="1">
    <w:name w:val="Intestazione messaggio Carattere"/>
    <w:basedOn w:val="Carpredefinitoparagrafo"/>
    <w:link w:val="Intestazionemessaggio"/>
    <w:uiPriority w:val="99"/>
    <w:semiHidden/>
    <w:rsid w:val="0003148D"/>
    <w:rPr>
      <w:rFonts w:asciiTheme="majorHAnsi" w:hAnsiTheme="majorHAnsi" w:eastAsiaTheme="majorEastAsia"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styleId="IntestazionenotaCarattere" w:customStyle="1">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styleId="MappadocumentoCarattere" w:customStyle="1">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styleId="PreformattatoHTMLCarattere" w:customStyle="1">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styleId="PrimorientrocorpodeltestoCarattere" w:customStyle="1">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styleId="RientrocorpodeltestoCarattere" w:customStyle="1">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styleId="Primorientrocorpodeltesto2Carattere" w:customStyle="1">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styleId="Rientrocorpodeltesto2Carattere" w:customStyle="1">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styleId="TestocommentoCarattere" w:customStyle="1">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styleId="SoggettocommentoCarattere" w:customStyle="1">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color="4F81BD" w:themeColor="accent1" w:sz="2" w:space="10"/>
        <w:left w:val="single" w:color="4F81BD" w:themeColor="accent1" w:sz="2" w:space="10"/>
        <w:bottom w:val="single" w:color="4F81BD" w:themeColor="accent1" w:sz="2" w:space="10"/>
        <w:right w:val="single" w:color="4F81BD" w:themeColor="accent1" w:sz="2" w:space="10"/>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TestomacroCarattere" w:customStyle="1">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styleId="TestonormaleCarattere" w:customStyle="1">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styleId="TestonotaapidipaginaCarattere" w:customStyle="1">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styleId="TestonotadichiusuraCarattere" w:customStyle="1">
    <w:name w:val="Testo nota di chiusura Carattere"/>
    <w:basedOn w:val="Carpredefinitoparagrafo"/>
    <w:link w:val="Testonotadichiusura"/>
    <w:uiPriority w:val="99"/>
    <w:semiHidden/>
    <w:rsid w:val="0003148D"/>
    <w:rPr>
      <w:sz w:val="20"/>
      <w:szCs w:val="20"/>
    </w:rPr>
  </w:style>
  <w:style w:type="character" w:styleId="Titolo1Carattere" w:customStyle="1">
    <w:name w:val="Titolo 1 Carattere"/>
    <w:basedOn w:val="Carpredefinitoparagrafo"/>
    <w:link w:val="Titolo1"/>
    <w:uiPriority w:val="9"/>
    <w:rsid w:val="004F5E36"/>
    <w:rPr>
      <w:rFonts w:ascii="Arial" w:hAnsi="Arial" w:eastAsia="Times New Roman" w:cs="Times New Roman"/>
      <w:b/>
      <w:sz w:val="20"/>
      <w:szCs w:val="20"/>
      <w:lang w:val="en-GB"/>
    </w:rPr>
  </w:style>
  <w:style w:type="character" w:styleId="Titolo2Carattere" w:customStyle="1">
    <w:name w:val="Titolo 2 Carattere"/>
    <w:basedOn w:val="Carpredefinitoparagrafo"/>
    <w:link w:val="Titolo2"/>
    <w:uiPriority w:val="9"/>
    <w:semiHidden/>
    <w:rsid w:val="0003148D"/>
    <w:rPr>
      <w:rFonts w:asciiTheme="majorHAnsi" w:hAnsiTheme="majorHAnsi" w:eastAsiaTheme="majorEastAsia" w:cstheme="majorBidi"/>
      <w:b/>
      <w:bCs/>
      <w:color w:val="4F81BD" w:themeColor="accent1"/>
      <w:sz w:val="26"/>
      <w:szCs w:val="26"/>
    </w:rPr>
  </w:style>
  <w:style w:type="character" w:styleId="Titolo3Carattere" w:customStyle="1">
    <w:name w:val="Titolo 3 Carattere"/>
    <w:basedOn w:val="Carpredefinitoparagrafo"/>
    <w:link w:val="Titolo3"/>
    <w:uiPriority w:val="9"/>
    <w:semiHidden/>
    <w:rsid w:val="0003148D"/>
    <w:rPr>
      <w:rFonts w:asciiTheme="majorHAnsi" w:hAnsiTheme="majorHAnsi" w:eastAsiaTheme="majorEastAsia" w:cstheme="majorBidi"/>
      <w:b/>
      <w:bCs/>
      <w:color w:val="4F81BD" w:themeColor="accent1"/>
    </w:rPr>
  </w:style>
  <w:style w:type="character" w:styleId="Titolo4Carattere" w:customStyle="1">
    <w:name w:val="Titolo 4 Carattere"/>
    <w:basedOn w:val="Carpredefinitoparagrafo"/>
    <w:link w:val="Titolo4"/>
    <w:uiPriority w:val="9"/>
    <w:semiHidden/>
    <w:rsid w:val="0003148D"/>
    <w:rPr>
      <w:rFonts w:asciiTheme="majorHAnsi" w:hAnsiTheme="majorHAnsi" w:eastAsiaTheme="majorEastAsia" w:cstheme="majorBidi"/>
      <w:b/>
      <w:bCs/>
      <w:i/>
      <w:iCs/>
      <w:color w:val="4F81BD" w:themeColor="accent1"/>
    </w:rPr>
  </w:style>
  <w:style w:type="character" w:styleId="Titolo5Carattere" w:customStyle="1">
    <w:name w:val="Titolo 5 Carattere"/>
    <w:basedOn w:val="Carpredefinitoparagrafo"/>
    <w:link w:val="Titolo5"/>
    <w:uiPriority w:val="9"/>
    <w:semiHidden/>
    <w:rsid w:val="0003148D"/>
    <w:rPr>
      <w:rFonts w:asciiTheme="majorHAnsi" w:hAnsiTheme="majorHAnsi" w:eastAsiaTheme="majorEastAsia" w:cstheme="majorBidi"/>
      <w:color w:val="243F60" w:themeColor="accent1" w:themeShade="7F"/>
    </w:rPr>
  </w:style>
  <w:style w:type="character" w:styleId="Titolo6Carattere" w:customStyle="1">
    <w:name w:val="Titolo 6 Carattere"/>
    <w:basedOn w:val="Carpredefinitoparagrafo"/>
    <w:link w:val="Titolo6"/>
    <w:uiPriority w:val="9"/>
    <w:semiHidden/>
    <w:rsid w:val="0003148D"/>
    <w:rPr>
      <w:rFonts w:asciiTheme="majorHAnsi" w:hAnsiTheme="majorHAnsi" w:eastAsiaTheme="majorEastAsia" w:cstheme="majorBidi"/>
      <w:i/>
      <w:iCs/>
      <w:color w:val="243F60" w:themeColor="accent1" w:themeShade="7F"/>
    </w:rPr>
  </w:style>
  <w:style w:type="character" w:styleId="Titolo7Carattere" w:customStyle="1">
    <w:name w:val="Titolo 7 Carattere"/>
    <w:basedOn w:val="Carpredefinitoparagrafo"/>
    <w:link w:val="Titolo7"/>
    <w:uiPriority w:val="9"/>
    <w:semiHidden/>
    <w:rsid w:val="0003148D"/>
    <w:rPr>
      <w:rFonts w:asciiTheme="majorHAnsi" w:hAnsiTheme="majorHAnsi" w:eastAsiaTheme="majorEastAsia" w:cstheme="majorBidi"/>
      <w:i/>
      <w:iCs/>
      <w:color w:val="404040" w:themeColor="text1" w:themeTint="BF"/>
    </w:rPr>
  </w:style>
  <w:style w:type="character" w:styleId="Titolo8Carattere" w:customStyle="1">
    <w:name w:val="Titolo 8 Carattere"/>
    <w:basedOn w:val="Carpredefinitoparagrafo"/>
    <w:link w:val="Titolo8"/>
    <w:uiPriority w:val="9"/>
    <w:semiHidden/>
    <w:rsid w:val="0003148D"/>
    <w:rPr>
      <w:rFonts w:asciiTheme="majorHAnsi" w:hAnsiTheme="majorHAnsi" w:eastAsiaTheme="majorEastAsia" w:cstheme="majorBidi"/>
      <w:color w:val="404040" w:themeColor="text1" w:themeTint="BF"/>
      <w:sz w:val="20"/>
      <w:szCs w:val="20"/>
    </w:rPr>
  </w:style>
  <w:style w:type="character" w:styleId="Titolo9Carattere" w:customStyle="1">
    <w:name w:val="Titolo 9 Carattere"/>
    <w:basedOn w:val="Carpredefinitoparagrafo"/>
    <w:link w:val="Titolo9"/>
    <w:uiPriority w:val="9"/>
    <w:semiHidden/>
    <w:rsid w:val="0003148D"/>
    <w:rPr>
      <w:rFonts w:asciiTheme="majorHAnsi" w:hAnsiTheme="majorHAnsi" w:eastAsiaTheme="majorEastAsia"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hAnsiTheme="majorHAnsi" w:eastAsiaTheme="majorEastAsia"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hAnsiTheme="majorHAnsi" w:eastAsiaTheme="majorEastAsia"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styleId="CETemail" w:customStyle="1">
    <w:name w:val="CET email"/>
    <w:next w:val="CETBodytext"/>
    <w:rsid w:val="009E788A"/>
    <w:pPr>
      <w:spacing w:after="240"/>
    </w:pPr>
    <w:rPr>
      <w:rFonts w:ascii="Arial" w:hAnsi="Arial" w:eastAsia="Times New Roman" w:cs="Times New Roman"/>
      <w:noProof/>
      <w:sz w:val="16"/>
      <w:szCs w:val="20"/>
      <w:lang w:val="en-GB"/>
    </w:rPr>
  </w:style>
  <w:style w:type="character" w:styleId="CETAddressCarattere" w:customStyle="1">
    <w:name w:val="CET Address Carattere"/>
    <w:basedOn w:val="Carpredefinitoparagrafo"/>
    <w:link w:val="CETAddress"/>
    <w:rsid w:val="009E788A"/>
    <w:rPr>
      <w:rFonts w:ascii="Arial" w:hAnsi="Arial" w:eastAsia="Times New Roman" w:cs="Times New Roman"/>
      <w:noProof/>
      <w:sz w:val="16"/>
      <w:szCs w:val="20"/>
      <w:lang w:val="en-GB"/>
    </w:rPr>
  </w:style>
  <w:style w:type="paragraph" w:styleId="CETBodytextBold" w:customStyle="1">
    <w:name w:val="CET Body text (Bold)"/>
    <w:basedOn w:val="CETBodytext"/>
    <w:rsid w:val="00901EB6"/>
    <w:rPr>
      <w:b/>
    </w:rPr>
  </w:style>
  <w:style w:type="paragraph" w:styleId="CETnumberingbullets" w:customStyle="1">
    <w:name w:val="CET numbering (bullets)"/>
    <w:rsid w:val="008D433B"/>
    <w:pPr>
      <w:numPr>
        <w:numId w:val="13"/>
      </w:numPr>
      <w:spacing w:after="0" w:line="264" w:lineRule="auto"/>
    </w:pPr>
    <w:rPr>
      <w:rFonts w:ascii="Arial" w:hAnsi="Arial" w:eastAsia="Times New Roman" w:cs="Times New Roman"/>
      <w:sz w:val="18"/>
      <w:szCs w:val="20"/>
      <w:lang w:val="en-GB"/>
    </w:rPr>
  </w:style>
  <w:style w:type="paragraph" w:styleId="CETnumbering1" w:customStyle="1">
    <w:name w:val="CET numbering (1"/>
    <w:aliases w:val="2..)"/>
    <w:rsid w:val="00B57B36"/>
    <w:pPr>
      <w:numPr>
        <w:numId w:val="14"/>
      </w:numPr>
      <w:spacing w:after="0" w:line="264" w:lineRule="auto"/>
      <w:ind w:left="340" w:hanging="227"/>
    </w:pPr>
    <w:rPr>
      <w:rFonts w:ascii="Arial" w:hAnsi="Arial" w:eastAsia="Times New Roman" w:cs="Times New Roman"/>
      <w:sz w:val="18"/>
      <w:szCs w:val="20"/>
      <w:lang w:val="en-US"/>
    </w:rPr>
  </w:style>
  <w:style w:type="paragraph" w:styleId="CETnumberinga" w:customStyle="1">
    <w:name w:val="CET numbering (a"/>
    <w:aliases w:val="b,..)"/>
    <w:rsid w:val="00B57B36"/>
    <w:pPr>
      <w:numPr>
        <w:numId w:val="15"/>
      </w:numPr>
      <w:spacing w:after="0" w:line="264" w:lineRule="auto"/>
    </w:pPr>
    <w:rPr>
      <w:rFonts w:ascii="Arial" w:hAnsi="Arial" w:eastAsia="Times New Roman"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5278B7"/>
    <w:rPr>
      <w:rFonts w:ascii="Arial" w:hAnsi="Arial" w:eastAsia="Times New Roman"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5278B7"/>
    <w:rPr>
      <w:rFonts w:ascii="Arial" w:hAnsi="Arial" w:eastAsia="Times New Roman"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styleId="eudoraheader" w:customStyle="1">
    <w:name w:val="eudoraheader"/>
    <w:basedOn w:val="Carpredefinitoparagrafo"/>
    <w:rsid w:val="00904C62"/>
  </w:style>
  <w:style w:type="paragraph" w:styleId="CETListbullets" w:customStyle="1">
    <w:name w:val="CET List bullets"/>
    <w:qFormat/>
    <w:rsid w:val="004577FE"/>
    <w:pPr>
      <w:spacing w:after="0" w:line="264" w:lineRule="auto"/>
      <w:ind w:left="340" w:hanging="227"/>
      <w:jc w:val="both"/>
    </w:pPr>
    <w:rPr>
      <w:rFonts w:ascii="Arial" w:hAnsi="Arial" w:eastAsia="Times New Roman" w:cs="Times New Roman"/>
      <w:sz w:val="18"/>
      <w:szCs w:val="20"/>
      <w:lang w:val="en-GB"/>
    </w:rPr>
  </w:style>
  <w:style w:type="paragraph" w:styleId="CETReferencetext" w:customStyle="1">
    <w:name w:val="CET Reference text"/>
    <w:qFormat/>
    <w:rsid w:val="00600535"/>
    <w:pPr>
      <w:spacing w:after="0" w:line="264" w:lineRule="auto"/>
      <w:ind w:left="284" w:hanging="284"/>
      <w:jc w:val="both"/>
    </w:pPr>
    <w:rPr>
      <w:rFonts w:ascii="Arial" w:hAnsi="Arial" w:eastAsia="Times New Roman" w:cs="Times New Roman"/>
      <w:sz w:val="18"/>
      <w:szCs w:val="20"/>
      <w:lang w:val="en-GB"/>
    </w:rPr>
  </w:style>
  <w:style w:type="paragraph" w:styleId="CETTabletitle" w:customStyle="1">
    <w:name w:val="CET Table title"/>
    <w:qFormat/>
    <w:rsid w:val="00600535"/>
    <w:pPr>
      <w:keepNext/>
      <w:spacing w:before="240" w:after="80" w:line="240" w:lineRule="exact"/>
    </w:pPr>
    <w:rPr>
      <w:rFonts w:ascii="Arial" w:hAnsi="Arial" w:eastAsia="Times New Roman" w:cs="Times New Roman"/>
      <w:i/>
      <w:sz w:val="18"/>
      <w:szCs w:val="20"/>
      <w:lang w:val="en-GB"/>
    </w:rPr>
  </w:style>
  <w:style w:type="paragraph" w:styleId="CETAcknowledgementstitle" w:customStyle="1">
    <w:name w:val="CET Acknowledgements title"/>
    <w:next w:val="CETBodytext"/>
    <w:qFormat/>
    <w:rsid w:val="00600535"/>
    <w:pPr>
      <w:spacing w:before="200" w:after="120"/>
    </w:pPr>
    <w:rPr>
      <w:rFonts w:ascii="Arial" w:hAnsi="Arial" w:eastAsia="Times New Roman" w:cs="Times New Roman"/>
      <w:b/>
      <w:sz w:val="18"/>
      <w:szCs w:val="20"/>
      <w:lang w:val="en-GB"/>
    </w:rPr>
  </w:style>
  <w:style w:type="paragraph" w:styleId="CETEquation" w:customStyle="1">
    <w:name w:val="CET Equation"/>
    <w:basedOn w:val="CETBodytext"/>
    <w:next w:val="CETBodytext"/>
    <w:qFormat/>
    <w:rsid w:val="00600535"/>
    <w:pPr>
      <w:spacing w:before="120" w:after="120"/>
      <w:jc w:val="left"/>
    </w:pPr>
    <w:rPr>
      <w:lang w:val="en-GB"/>
    </w:rPr>
  </w:style>
  <w:style w:type="paragraph" w:styleId="CETHeadingxx" w:customStyle="1">
    <w:name w:val="CET Headingxx"/>
    <w:basedOn w:val="CETheadingx"/>
    <w:link w:val="CETHeadingxxChar"/>
    <w:qFormat/>
    <w:rsid w:val="000F787B"/>
    <w:pPr>
      <w:numPr>
        <w:ilvl w:val="0"/>
        <w:numId w:val="0"/>
      </w:numPr>
    </w:pPr>
  </w:style>
  <w:style w:type="character" w:styleId="CETHeadingxxChar" w:customStyle="1">
    <w:name w:val="CET Headingxx Char"/>
    <w:basedOn w:val="CETheadingxCarattere"/>
    <w:link w:val="CETHeadingxx"/>
    <w:rsid w:val="000F787B"/>
    <w:rPr>
      <w:rFonts w:ascii="Arial" w:hAnsi="Arial" w:eastAsia="Times New Roman"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gmail-apple-converted-space" w:customStyle="1">
    <w:name w:val="gmail-apple-converted-space"/>
    <w:basedOn w:val="Carpredefinitoparagrafo"/>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8016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763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image" Target="media/image2.jpeg" Id="rId9" /><Relationship Type="http://schemas.microsoft.com/office/2011/relationships/people" Target="people.xml" Id="Rfaf434d43360471c" /><Relationship Type="http://schemas.microsoft.com/office/2011/relationships/commentsExtended" Target="commentsExtended.xml" Id="R2d6d0b6f1ae149a5" /><Relationship Type="http://schemas.microsoft.com/office/2016/09/relationships/commentsIds" Target="commentsIds.xml" Id="R00d2c517ca5d435e" /><Relationship Type="http://schemas.microsoft.com/office/2018/08/relationships/commentsExtensible" Target="commentsExtensible.xml" Id="R7d029754087041f6" /><Relationship Type="http://schemas.openxmlformats.org/officeDocument/2006/relationships/image" Target="/media/image2.png" Id="Ra083621a3c244e4e" /><Relationship Type="http://schemas.openxmlformats.org/officeDocument/2006/relationships/image" Target="/media/image3.png" Id="R260515a490f343e8" /><Relationship Type="http://schemas.openxmlformats.org/officeDocument/2006/relationships/image" Target="/media/image4.png" Id="R65409b7e772f454f" /><Relationship Type="http://schemas.openxmlformats.org/officeDocument/2006/relationships/image" Target="/media/image5.png" Id="Ra551f7798d914b96"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Dipartimento CMIC - Politecnico di Milano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raffaella</dc:creator>
  <lastModifiedBy>Carlos  Albarran Morillo</lastModifiedBy>
  <revision>20</revision>
  <lastPrinted>2015-05-12T18:31:00.0000000Z</lastPrinted>
  <dcterms:created xsi:type="dcterms:W3CDTF">2024-02-20T10:29:00.0000000Z</dcterms:created>
  <dcterms:modified xsi:type="dcterms:W3CDTF">2024-11-20T08:28:33.9401361Z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