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6D7D12" w14:paraId="2A131A54" w14:textId="77777777" w:rsidTr="00DE264A">
        <w:trPr>
          <w:trHeight w:val="852"/>
          <w:jc w:val="center"/>
        </w:trPr>
        <w:tc>
          <w:tcPr>
            <w:tcW w:w="6946" w:type="dxa"/>
            <w:vMerge w:val="restart"/>
            <w:tcBorders>
              <w:right w:val="single" w:sz="4" w:space="0" w:color="auto"/>
            </w:tcBorders>
          </w:tcPr>
          <w:p w14:paraId="38C3D2BA" w14:textId="13AA784B" w:rsidR="000A03B2" w:rsidRPr="006D7D12" w:rsidRDefault="00861983" w:rsidP="00DE264A">
            <w:pPr>
              <w:tabs>
                <w:tab w:val="left" w:pos="-108"/>
              </w:tabs>
              <w:ind w:left="-108"/>
              <w:jc w:val="left"/>
              <w:rPr>
                <w:rFonts w:cs="Arial"/>
                <w:b/>
                <w:bCs/>
                <w:i/>
                <w:iCs/>
                <w:color w:val="000066"/>
                <w:sz w:val="12"/>
                <w:szCs w:val="12"/>
                <w:lang w:val="en-US" w:eastAsia="it-IT"/>
              </w:rPr>
            </w:pPr>
            <w:bookmarkStart w:id="0" w:name="_Hlk145068772"/>
            <w:r w:rsidRPr="006D7D12">
              <w:rPr>
                <w:rFonts w:ascii="AdvP6960" w:hAnsi="AdvP6960" w:cs="AdvP6960"/>
                <w:color w:val="241F20"/>
                <w:szCs w:val="18"/>
                <w:lang w:val="en-US" w:eastAsia="it-IT"/>
              </w:rPr>
              <w:t xml:space="preserve">Ku </w:t>
            </w:r>
            <w:r w:rsidR="000A03B2" w:rsidRPr="006D7D12">
              <w:rPr>
                <w:rFonts w:ascii="AdvP6960" w:hAnsi="AdvP6960" w:cs="AdvP6960"/>
                <w:noProof/>
                <w:color w:val="241F20"/>
                <w:szCs w:val="18"/>
                <w:lang w:val="en-US" w:eastAsia="it-IT"/>
              </w:rPr>
              <w:drawing>
                <wp:inline distT="0" distB="0" distL="0" distR="0" wp14:anchorId="02B7C3D3" wp14:editId="3000BE1D">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6D7D12">
              <w:rPr>
                <w:rFonts w:ascii="AdvP6960" w:hAnsi="AdvP6960" w:cs="AdvP6960"/>
                <w:color w:val="241F20"/>
                <w:szCs w:val="18"/>
                <w:lang w:val="en-US" w:eastAsia="it-IT"/>
              </w:rPr>
              <w:t xml:space="preserve"> </w:t>
            </w:r>
            <w:r w:rsidR="000A03B2" w:rsidRPr="006D7D12">
              <w:rPr>
                <w:rFonts w:cs="Arial"/>
                <w:b/>
                <w:bCs/>
                <w:i/>
                <w:iCs/>
                <w:color w:val="000066"/>
                <w:sz w:val="24"/>
                <w:szCs w:val="24"/>
                <w:lang w:val="en-US" w:eastAsia="it-IT"/>
              </w:rPr>
              <w:t>CHEMICAL ENGINEERING</w:t>
            </w:r>
            <w:r w:rsidR="000A03B2" w:rsidRPr="006D7D12">
              <w:rPr>
                <w:rFonts w:cs="Arial"/>
                <w:b/>
                <w:bCs/>
                <w:i/>
                <w:iCs/>
                <w:color w:val="0033FF"/>
                <w:sz w:val="24"/>
                <w:szCs w:val="24"/>
                <w:lang w:val="en-US" w:eastAsia="it-IT"/>
              </w:rPr>
              <w:t xml:space="preserve"> </w:t>
            </w:r>
            <w:r w:rsidR="000A03B2" w:rsidRPr="006D7D12">
              <w:rPr>
                <w:rFonts w:cs="Arial"/>
                <w:b/>
                <w:bCs/>
                <w:i/>
                <w:iCs/>
                <w:color w:val="666666"/>
                <w:sz w:val="24"/>
                <w:szCs w:val="24"/>
                <w:lang w:val="en-US" w:eastAsia="it-IT"/>
              </w:rPr>
              <w:t>TRANSACTIONS</w:t>
            </w:r>
            <w:r w:rsidR="000A03B2" w:rsidRPr="006D7D12">
              <w:rPr>
                <w:color w:val="333333"/>
                <w:sz w:val="24"/>
                <w:szCs w:val="24"/>
                <w:lang w:val="en-US" w:eastAsia="it-IT"/>
              </w:rPr>
              <w:t xml:space="preserve"> </w:t>
            </w:r>
            <w:r w:rsidR="000A03B2" w:rsidRPr="006D7D12">
              <w:rPr>
                <w:rFonts w:cs="Arial"/>
                <w:b/>
                <w:bCs/>
                <w:i/>
                <w:iCs/>
                <w:color w:val="000066"/>
                <w:sz w:val="27"/>
                <w:szCs w:val="27"/>
                <w:lang w:val="en-US" w:eastAsia="it-IT"/>
              </w:rPr>
              <w:br/>
            </w:r>
          </w:p>
          <w:p w14:paraId="4B780582" w14:textId="47EF826C" w:rsidR="000A03B2" w:rsidRPr="006D7D12" w:rsidRDefault="00A76EFC" w:rsidP="001D21AF">
            <w:pPr>
              <w:tabs>
                <w:tab w:val="left" w:pos="-108"/>
              </w:tabs>
              <w:ind w:left="-108"/>
              <w:rPr>
                <w:rFonts w:cs="Arial"/>
                <w:b/>
                <w:bCs/>
                <w:i/>
                <w:iCs/>
                <w:color w:val="000066"/>
                <w:sz w:val="22"/>
                <w:szCs w:val="22"/>
                <w:lang w:val="en-US" w:eastAsia="it-IT"/>
              </w:rPr>
            </w:pPr>
            <w:r w:rsidRPr="006D7D12">
              <w:rPr>
                <w:rFonts w:cs="Arial"/>
                <w:b/>
                <w:bCs/>
                <w:i/>
                <w:iCs/>
                <w:color w:val="000066"/>
                <w:sz w:val="22"/>
                <w:szCs w:val="22"/>
                <w:lang w:val="en-US" w:eastAsia="it-IT"/>
              </w:rPr>
              <w:t>VOL.</w:t>
            </w:r>
            <w:r w:rsidR="00785BF9" w:rsidRPr="006D7D12">
              <w:rPr>
                <w:rFonts w:cs="Arial"/>
                <w:b/>
                <w:bCs/>
                <w:i/>
                <w:iCs/>
                <w:color w:val="000066"/>
                <w:sz w:val="22"/>
                <w:szCs w:val="22"/>
                <w:lang w:val="en-US" w:eastAsia="it-IT"/>
              </w:rPr>
              <w:t xml:space="preserve"> </w:t>
            </w:r>
            <w:r w:rsidR="00994C6A" w:rsidRPr="006D7D12">
              <w:rPr>
                <w:rFonts w:cs="Arial"/>
                <w:b/>
                <w:bCs/>
                <w:i/>
                <w:iCs/>
                <w:color w:val="000066"/>
                <w:sz w:val="22"/>
                <w:szCs w:val="22"/>
                <w:lang w:val="en-US" w:eastAsia="it-IT"/>
              </w:rPr>
              <w:t>xxx</w:t>
            </w:r>
            <w:r w:rsidR="007B48F9" w:rsidRPr="006D7D12">
              <w:rPr>
                <w:rFonts w:cs="Arial"/>
                <w:b/>
                <w:bCs/>
                <w:i/>
                <w:iCs/>
                <w:color w:val="000066"/>
                <w:sz w:val="22"/>
                <w:szCs w:val="22"/>
                <w:lang w:val="en-US" w:eastAsia="it-IT"/>
              </w:rPr>
              <w:t>,</w:t>
            </w:r>
            <w:r w:rsidR="00FA5F5F" w:rsidRPr="006D7D12">
              <w:rPr>
                <w:rFonts w:cs="Arial"/>
                <w:b/>
                <w:bCs/>
                <w:i/>
                <w:iCs/>
                <w:color w:val="000066"/>
                <w:sz w:val="22"/>
                <w:szCs w:val="22"/>
                <w:lang w:val="en-US" w:eastAsia="it-IT"/>
              </w:rPr>
              <w:t xml:space="preserve"> </w:t>
            </w:r>
            <w:r w:rsidR="0030152C" w:rsidRPr="006D7D12">
              <w:rPr>
                <w:rFonts w:cs="Arial"/>
                <w:b/>
                <w:bCs/>
                <w:i/>
                <w:iCs/>
                <w:color w:val="000066"/>
                <w:sz w:val="22"/>
                <w:szCs w:val="22"/>
                <w:lang w:val="en-US" w:eastAsia="it-IT"/>
              </w:rPr>
              <w:t>202</w:t>
            </w:r>
            <w:r w:rsidR="00994C6A" w:rsidRPr="006D7D12">
              <w:rPr>
                <w:rFonts w:cs="Arial"/>
                <w:b/>
                <w:bCs/>
                <w:i/>
                <w:iCs/>
                <w:color w:val="000066"/>
                <w:sz w:val="22"/>
                <w:szCs w:val="22"/>
                <w:lang w:val="en-US" w:eastAsia="it-IT"/>
              </w:rPr>
              <w:t>5</w:t>
            </w:r>
          </w:p>
        </w:tc>
        <w:tc>
          <w:tcPr>
            <w:tcW w:w="1843" w:type="dxa"/>
            <w:tcBorders>
              <w:left w:val="single" w:sz="4" w:space="0" w:color="auto"/>
              <w:bottom w:val="nil"/>
              <w:right w:val="single" w:sz="4" w:space="0" w:color="auto"/>
            </w:tcBorders>
          </w:tcPr>
          <w:p w14:paraId="56782132" w14:textId="77777777" w:rsidR="000A03B2" w:rsidRPr="006D7D12" w:rsidRDefault="000A03B2" w:rsidP="00CD5FE2">
            <w:pPr>
              <w:spacing w:line="140" w:lineRule="atLeast"/>
              <w:jc w:val="right"/>
              <w:rPr>
                <w:rFonts w:cs="Arial"/>
                <w:sz w:val="14"/>
                <w:szCs w:val="14"/>
                <w:lang w:val="en-US"/>
              </w:rPr>
            </w:pPr>
            <w:r w:rsidRPr="006D7D12">
              <w:rPr>
                <w:rFonts w:cs="Arial"/>
                <w:sz w:val="14"/>
                <w:szCs w:val="14"/>
                <w:lang w:val="en-US"/>
              </w:rPr>
              <w:t>A publication of</w:t>
            </w:r>
          </w:p>
          <w:p w14:paraId="599E5441" w14:textId="77777777" w:rsidR="000A03B2" w:rsidRPr="006D7D12" w:rsidRDefault="000A03B2" w:rsidP="00CD5FE2">
            <w:pPr>
              <w:jc w:val="right"/>
              <w:rPr>
                <w:lang w:val="en-US"/>
              </w:rPr>
            </w:pPr>
            <w:r w:rsidRPr="006D7D12">
              <w:rPr>
                <w:noProof/>
                <w:lang w:val="en-US" w:eastAsia="it-IT"/>
              </w:rPr>
              <w:drawing>
                <wp:inline distT="0" distB="0" distL="0" distR="0" wp14:anchorId="59C75AF4" wp14:editId="40419BBF">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6D7D12" w14:paraId="380FA3CD" w14:textId="77777777" w:rsidTr="00DE264A">
        <w:trPr>
          <w:trHeight w:val="567"/>
          <w:jc w:val="center"/>
        </w:trPr>
        <w:tc>
          <w:tcPr>
            <w:tcW w:w="6946" w:type="dxa"/>
            <w:vMerge/>
            <w:tcBorders>
              <w:right w:val="single" w:sz="4" w:space="0" w:color="auto"/>
            </w:tcBorders>
          </w:tcPr>
          <w:p w14:paraId="39E5E4C1" w14:textId="77777777" w:rsidR="000A03B2" w:rsidRPr="006D7D12"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6D7D12" w:rsidRDefault="000A03B2" w:rsidP="00CD5FE2">
            <w:pPr>
              <w:spacing w:line="140" w:lineRule="atLeast"/>
              <w:jc w:val="right"/>
              <w:rPr>
                <w:rFonts w:cs="Arial"/>
                <w:sz w:val="14"/>
                <w:szCs w:val="14"/>
                <w:lang w:val="en-US"/>
              </w:rPr>
            </w:pPr>
            <w:r w:rsidRPr="006D7D12">
              <w:rPr>
                <w:rFonts w:cs="Arial"/>
                <w:sz w:val="14"/>
                <w:szCs w:val="14"/>
                <w:lang w:val="en-US"/>
              </w:rPr>
              <w:t>The Italian Association</w:t>
            </w:r>
          </w:p>
          <w:p w14:paraId="7522B1D2" w14:textId="77777777" w:rsidR="000A03B2" w:rsidRPr="006D7D12" w:rsidRDefault="000A03B2" w:rsidP="00CD5FE2">
            <w:pPr>
              <w:spacing w:line="140" w:lineRule="atLeast"/>
              <w:jc w:val="right"/>
              <w:rPr>
                <w:rFonts w:cs="Arial"/>
                <w:sz w:val="14"/>
                <w:szCs w:val="14"/>
                <w:lang w:val="en-US"/>
              </w:rPr>
            </w:pPr>
            <w:r w:rsidRPr="006D7D12">
              <w:rPr>
                <w:rFonts w:cs="Arial"/>
                <w:sz w:val="14"/>
                <w:szCs w:val="14"/>
                <w:lang w:val="en-US"/>
              </w:rPr>
              <w:t>of Chemical Engineering</w:t>
            </w:r>
          </w:p>
          <w:p w14:paraId="4F0CC5DE" w14:textId="47FDB2FC" w:rsidR="000A03B2" w:rsidRPr="006D7D12" w:rsidRDefault="000D0268" w:rsidP="00CD5FE2">
            <w:pPr>
              <w:spacing w:line="140" w:lineRule="atLeast"/>
              <w:jc w:val="right"/>
              <w:rPr>
                <w:rFonts w:cs="Arial"/>
                <w:sz w:val="13"/>
                <w:szCs w:val="13"/>
                <w:lang w:val="en-US"/>
              </w:rPr>
            </w:pPr>
            <w:r w:rsidRPr="006D7D12">
              <w:rPr>
                <w:rFonts w:cs="Arial"/>
                <w:sz w:val="13"/>
                <w:szCs w:val="13"/>
                <w:lang w:val="en-US"/>
              </w:rPr>
              <w:t>Online at www.cetjournal.it</w:t>
            </w:r>
          </w:p>
        </w:tc>
      </w:tr>
      <w:tr w:rsidR="000A03B2" w:rsidRPr="006D7D12" w14:paraId="2D1B7169" w14:textId="77777777" w:rsidTr="00DE264A">
        <w:trPr>
          <w:trHeight w:val="68"/>
          <w:jc w:val="center"/>
        </w:trPr>
        <w:tc>
          <w:tcPr>
            <w:tcW w:w="8789" w:type="dxa"/>
            <w:gridSpan w:val="2"/>
          </w:tcPr>
          <w:p w14:paraId="30F07041" w14:textId="11182ABA" w:rsidR="00F27EE4" w:rsidRPr="006D7D12" w:rsidRDefault="00AA7D26" w:rsidP="00F27EE4">
            <w:pPr>
              <w:ind w:left="-107"/>
              <w:rPr>
                <w:rFonts w:ascii="Tahoma" w:hAnsi="Tahoma" w:cs="Tahoma"/>
                <w:b/>
                <w:bCs/>
                <w:color w:val="000000"/>
                <w:sz w:val="14"/>
                <w:szCs w:val="14"/>
                <w:shd w:val="clear" w:color="auto" w:fill="FFFFFF"/>
                <w:lang w:val="en-US"/>
              </w:rPr>
            </w:pPr>
            <w:r w:rsidRPr="006D7D12">
              <w:rPr>
                <w:rFonts w:ascii="Tahoma" w:hAnsi="Tahoma" w:cs="Tahoma"/>
                <w:iCs/>
                <w:color w:val="333333"/>
                <w:sz w:val="14"/>
                <w:szCs w:val="14"/>
                <w:lang w:val="en-US" w:eastAsia="it-IT"/>
              </w:rPr>
              <w:t>Guest Editors:</w:t>
            </w:r>
            <w:r w:rsidR="007D610D" w:rsidRPr="006D7D12">
              <w:rPr>
                <w:rFonts w:ascii="Aptos" w:eastAsiaTheme="minorHAnsi" w:hAnsi="Aptos" w:cs="Aptos"/>
                <w:sz w:val="22"/>
                <w:szCs w:val="22"/>
                <w:lang w:val="en-US"/>
                <w14:ligatures w14:val="standardContextual"/>
              </w:rPr>
              <w:t xml:space="preserve"> </w:t>
            </w:r>
            <w:r w:rsidR="00F27EE4" w:rsidRPr="006D7D12">
              <w:rPr>
                <w:rFonts w:ascii="Tahoma" w:hAnsi="Tahoma" w:cs="Tahoma"/>
                <w:color w:val="000000"/>
                <w:sz w:val="14"/>
                <w:szCs w:val="14"/>
                <w:shd w:val="clear" w:color="auto" w:fill="FFFFFF"/>
                <w:lang w:val="en-US"/>
              </w:rPr>
              <w:t xml:space="preserve">Bruno Fabiano, Valerio </w:t>
            </w:r>
            <w:proofErr w:type="spellStart"/>
            <w:r w:rsidR="00F27EE4" w:rsidRPr="006D7D12">
              <w:rPr>
                <w:rFonts w:ascii="Tahoma" w:hAnsi="Tahoma" w:cs="Tahoma"/>
                <w:color w:val="000000"/>
                <w:sz w:val="14"/>
                <w:szCs w:val="14"/>
                <w:shd w:val="clear" w:color="auto" w:fill="FFFFFF"/>
                <w:lang w:val="en-US"/>
              </w:rPr>
              <w:t>Cozzani</w:t>
            </w:r>
            <w:proofErr w:type="spellEnd"/>
          </w:p>
          <w:p w14:paraId="1B0F1814" w14:textId="2DB8A072" w:rsidR="000A03B2" w:rsidRPr="006D7D12" w:rsidRDefault="00AA7D26" w:rsidP="00AA7D26">
            <w:pPr>
              <w:tabs>
                <w:tab w:val="left" w:pos="-108"/>
              </w:tabs>
              <w:spacing w:line="140" w:lineRule="atLeast"/>
              <w:ind w:left="-107"/>
              <w:jc w:val="left"/>
              <w:rPr>
                <w:lang w:val="en-US"/>
              </w:rPr>
            </w:pPr>
            <w:r w:rsidRPr="006D7D12">
              <w:rPr>
                <w:rFonts w:ascii="Tahoma" w:hAnsi="Tahoma" w:cs="Tahoma"/>
                <w:iCs/>
                <w:color w:val="333333"/>
                <w:sz w:val="14"/>
                <w:szCs w:val="14"/>
                <w:lang w:val="en-US" w:eastAsia="it-IT"/>
              </w:rPr>
              <w:t>Copyright © 202</w:t>
            </w:r>
            <w:r w:rsidR="00994C6A" w:rsidRPr="006D7D12">
              <w:rPr>
                <w:rFonts w:ascii="Tahoma" w:hAnsi="Tahoma" w:cs="Tahoma"/>
                <w:iCs/>
                <w:color w:val="333333"/>
                <w:sz w:val="14"/>
                <w:szCs w:val="14"/>
                <w:lang w:val="en-US" w:eastAsia="it-IT"/>
              </w:rPr>
              <w:t>5</w:t>
            </w:r>
            <w:r w:rsidRPr="006D7D12">
              <w:rPr>
                <w:rFonts w:ascii="Tahoma" w:hAnsi="Tahoma" w:cs="Tahoma"/>
                <w:iCs/>
                <w:color w:val="333333"/>
                <w:sz w:val="14"/>
                <w:szCs w:val="14"/>
                <w:lang w:val="en-US" w:eastAsia="it-IT"/>
              </w:rPr>
              <w:t xml:space="preserve">, AIDIC </w:t>
            </w:r>
            <w:proofErr w:type="spellStart"/>
            <w:r w:rsidRPr="006D7D12">
              <w:rPr>
                <w:rFonts w:ascii="Tahoma" w:hAnsi="Tahoma" w:cs="Tahoma"/>
                <w:iCs/>
                <w:color w:val="333333"/>
                <w:sz w:val="14"/>
                <w:szCs w:val="14"/>
                <w:lang w:val="en-US" w:eastAsia="it-IT"/>
              </w:rPr>
              <w:t>Servizi</w:t>
            </w:r>
            <w:proofErr w:type="spellEnd"/>
            <w:r w:rsidRPr="006D7D12">
              <w:rPr>
                <w:rFonts w:ascii="Tahoma" w:hAnsi="Tahoma" w:cs="Tahoma"/>
                <w:iCs/>
                <w:color w:val="333333"/>
                <w:sz w:val="14"/>
                <w:szCs w:val="14"/>
                <w:lang w:val="en-US" w:eastAsia="it-IT"/>
              </w:rPr>
              <w:t xml:space="preserve"> </w:t>
            </w:r>
            <w:proofErr w:type="spellStart"/>
            <w:r w:rsidRPr="006D7D12">
              <w:rPr>
                <w:rFonts w:ascii="Tahoma" w:hAnsi="Tahoma" w:cs="Tahoma"/>
                <w:iCs/>
                <w:color w:val="333333"/>
                <w:sz w:val="14"/>
                <w:szCs w:val="14"/>
                <w:lang w:val="en-US" w:eastAsia="it-IT"/>
              </w:rPr>
              <w:t>S.r.l</w:t>
            </w:r>
            <w:proofErr w:type="spellEnd"/>
            <w:r w:rsidRPr="006D7D12">
              <w:rPr>
                <w:rFonts w:ascii="Tahoma" w:hAnsi="Tahoma" w:cs="Tahoma"/>
                <w:iCs/>
                <w:color w:val="333333"/>
                <w:sz w:val="14"/>
                <w:szCs w:val="14"/>
                <w:lang w:val="en-US" w:eastAsia="it-IT"/>
              </w:rPr>
              <w:t>.</w:t>
            </w:r>
            <w:r w:rsidRPr="006D7D12">
              <w:rPr>
                <w:rFonts w:ascii="Tahoma" w:hAnsi="Tahoma" w:cs="Tahoma"/>
                <w:iCs/>
                <w:color w:val="333333"/>
                <w:sz w:val="14"/>
                <w:szCs w:val="14"/>
                <w:lang w:val="en-US" w:eastAsia="it-IT"/>
              </w:rPr>
              <w:br/>
            </w:r>
            <w:r w:rsidRPr="006D7D12">
              <w:rPr>
                <w:rFonts w:ascii="Tahoma" w:hAnsi="Tahoma" w:cs="Tahoma"/>
                <w:b/>
                <w:iCs/>
                <w:color w:val="000000"/>
                <w:sz w:val="14"/>
                <w:szCs w:val="14"/>
                <w:lang w:val="en-US" w:eastAsia="it-IT"/>
              </w:rPr>
              <w:t>ISBN</w:t>
            </w:r>
            <w:r w:rsidRPr="006D7D12">
              <w:rPr>
                <w:rFonts w:ascii="Tahoma" w:hAnsi="Tahoma" w:cs="Tahoma"/>
                <w:iCs/>
                <w:color w:val="000000"/>
                <w:sz w:val="14"/>
                <w:szCs w:val="14"/>
                <w:lang w:val="en-US" w:eastAsia="it-IT"/>
              </w:rPr>
              <w:t xml:space="preserve"> </w:t>
            </w:r>
            <w:r w:rsidR="003B49CD" w:rsidRPr="006D7D12">
              <w:rPr>
                <w:rFonts w:ascii="Tahoma" w:hAnsi="Tahoma" w:cs="Tahoma"/>
                <w:sz w:val="14"/>
                <w:szCs w:val="14"/>
                <w:lang w:val="en-US"/>
              </w:rPr>
              <w:t>979-12-81206-</w:t>
            </w:r>
            <w:r w:rsidR="00F27EE4" w:rsidRPr="006D7D12">
              <w:rPr>
                <w:rFonts w:ascii="Tahoma" w:hAnsi="Tahoma" w:cs="Tahoma"/>
                <w:sz w:val="14"/>
                <w:szCs w:val="14"/>
                <w:lang w:val="en-US"/>
              </w:rPr>
              <w:t>xx-y</w:t>
            </w:r>
            <w:r w:rsidRPr="006D7D12">
              <w:rPr>
                <w:rFonts w:ascii="Tahoma" w:hAnsi="Tahoma" w:cs="Tahoma"/>
                <w:iCs/>
                <w:color w:val="333333"/>
                <w:sz w:val="14"/>
                <w:szCs w:val="14"/>
                <w:lang w:val="en-US" w:eastAsia="it-IT"/>
              </w:rPr>
              <w:t xml:space="preserve">; </w:t>
            </w:r>
            <w:r w:rsidRPr="006D7D12">
              <w:rPr>
                <w:rFonts w:ascii="Tahoma" w:hAnsi="Tahoma" w:cs="Tahoma"/>
                <w:b/>
                <w:iCs/>
                <w:color w:val="333333"/>
                <w:sz w:val="14"/>
                <w:szCs w:val="14"/>
                <w:lang w:val="en-US" w:eastAsia="it-IT"/>
              </w:rPr>
              <w:t>ISSN</w:t>
            </w:r>
            <w:r w:rsidRPr="006D7D12">
              <w:rPr>
                <w:rFonts w:ascii="Tahoma" w:hAnsi="Tahoma" w:cs="Tahoma"/>
                <w:iCs/>
                <w:color w:val="333333"/>
                <w:sz w:val="14"/>
                <w:szCs w:val="14"/>
                <w:lang w:val="en-US" w:eastAsia="it-IT"/>
              </w:rPr>
              <w:t xml:space="preserve"> 2283-9216</w:t>
            </w:r>
          </w:p>
        </w:tc>
      </w:tr>
    </w:tbl>
    <w:bookmarkEnd w:id="0"/>
    <w:p w14:paraId="2E667253" w14:textId="5FEF253A" w:rsidR="00E978D0" w:rsidRPr="006D7D12" w:rsidRDefault="00E1610C" w:rsidP="00E978D0">
      <w:pPr>
        <w:pStyle w:val="CETTitle"/>
        <w:rPr>
          <w:lang w:val="en-US"/>
        </w:rPr>
      </w:pPr>
      <w:r w:rsidRPr="006D7D12">
        <w:rPr>
          <w:lang w:val="en-US"/>
        </w:rPr>
        <w:t>High-pressure cylinder failure under fire conditions – investigation of the consequences</w:t>
      </w:r>
    </w:p>
    <w:p w14:paraId="0488FED2" w14:textId="2D4833F5" w:rsidR="00B57E6F" w:rsidRPr="006D7D12" w:rsidRDefault="00DF066F" w:rsidP="00B57E6F">
      <w:pPr>
        <w:pStyle w:val="CETAuthors"/>
        <w:rPr>
          <w:lang w:val="en-US"/>
        </w:rPr>
      </w:pPr>
      <w:r w:rsidRPr="006D7D12">
        <w:rPr>
          <w:lang w:val="en-US"/>
        </w:rPr>
        <w:t>Vojtech Jankuj</w:t>
      </w:r>
      <w:r w:rsidR="00B57E6F" w:rsidRPr="006D7D12">
        <w:rPr>
          <w:vertAlign w:val="superscript"/>
          <w:lang w:val="en-US"/>
        </w:rPr>
        <w:t>a</w:t>
      </w:r>
      <w:r w:rsidR="00E42C51" w:rsidRPr="006D7D12">
        <w:rPr>
          <w:lang w:val="en-US"/>
        </w:rPr>
        <w:t>*</w:t>
      </w:r>
      <w:r w:rsidR="00B57E6F" w:rsidRPr="006D7D12">
        <w:rPr>
          <w:lang w:val="en-US"/>
        </w:rPr>
        <w:t>,</w:t>
      </w:r>
      <w:r w:rsidRPr="006D7D12">
        <w:rPr>
          <w:lang w:val="en-US"/>
        </w:rPr>
        <w:t xml:space="preserve"> Petr Lepik</w:t>
      </w:r>
      <w:r w:rsidR="008C29A6" w:rsidRPr="006D7D12">
        <w:rPr>
          <w:vertAlign w:val="superscript"/>
          <w:lang w:val="en-US"/>
        </w:rPr>
        <w:t>a</w:t>
      </w:r>
      <w:r w:rsidR="005A27E3" w:rsidRPr="006D7D12">
        <w:rPr>
          <w:lang w:val="en-US"/>
        </w:rPr>
        <w:t>, Miroslav Mynarz</w:t>
      </w:r>
      <w:r w:rsidR="005A27E3" w:rsidRPr="006D7D12">
        <w:rPr>
          <w:vertAlign w:val="superscript"/>
          <w:lang w:val="en-US"/>
        </w:rPr>
        <w:t>a</w:t>
      </w:r>
      <w:r w:rsidR="008C29A6" w:rsidRPr="006D7D12">
        <w:rPr>
          <w:lang w:val="en-US"/>
        </w:rPr>
        <w:t>, Stefan H. Spitzer</w:t>
      </w:r>
      <w:r w:rsidR="008C29A6" w:rsidRPr="006D7D12">
        <w:rPr>
          <w:vertAlign w:val="superscript"/>
          <w:lang w:val="en-US"/>
        </w:rPr>
        <w:t>b</w:t>
      </w:r>
      <w:r w:rsidR="008C29A6" w:rsidRPr="006D7D12">
        <w:rPr>
          <w:lang w:val="en-US"/>
        </w:rPr>
        <w:t xml:space="preserve">, </w:t>
      </w:r>
      <w:r w:rsidR="004A43FA" w:rsidRPr="006D7D12">
        <w:rPr>
          <w:lang w:val="en-US"/>
        </w:rPr>
        <w:t>Ales Bernatik</w:t>
      </w:r>
      <w:r w:rsidR="004A43FA" w:rsidRPr="006D7D12">
        <w:rPr>
          <w:vertAlign w:val="superscript"/>
          <w:lang w:val="en-US"/>
        </w:rPr>
        <w:t>a</w:t>
      </w:r>
    </w:p>
    <w:p w14:paraId="6B2D21B3" w14:textId="1DEBE12F" w:rsidR="00B57E6F" w:rsidRPr="006D7D12" w:rsidRDefault="00B57E6F" w:rsidP="00B57E6F">
      <w:pPr>
        <w:pStyle w:val="CETAddress"/>
        <w:rPr>
          <w:lang w:val="en-US"/>
        </w:rPr>
      </w:pPr>
      <w:r w:rsidRPr="006D7D12">
        <w:rPr>
          <w:vertAlign w:val="superscript"/>
          <w:lang w:val="en-US"/>
        </w:rPr>
        <w:t>a</w:t>
      </w:r>
      <w:r w:rsidR="00725F09" w:rsidRPr="006D7D12">
        <w:rPr>
          <w:lang w:val="en-US"/>
        </w:rPr>
        <w:t>VSB-Technical University of Ostrava, Faculty of Safety Engineering, 17. Listopadu 2127/15, Ostrava, 708 00, Czech Republic</w:t>
      </w:r>
      <w:r w:rsidRPr="006D7D12">
        <w:rPr>
          <w:lang w:val="en-US"/>
        </w:rPr>
        <w:t xml:space="preserve"> </w:t>
      </w:r>
    </w:p>
    <w:p w14:paraId="3D72B0B0" w14:textId="47A56DAD" w:rsidR="00B57E6F" w:rsidRPr="006D7D12" w:rsidRDefault="00B57E6F" w:rsidP="00B57E6F">
      <w:pPr>
        <w:pStyle w:val="CETAddress"/>
        <w:rPr>
          <w:lang w:val="en-US"/>
        </w:rPr>
      </w:pPr>
      <w:r w:rsidRPr="006D7D12">
        <w:rPr>
          <w:vertAlign w:val="superscript"/>
          <w:lang w:val="en-US"/>
        </w:rPr>
        <w:t>b</w:t>
      </w:r>
      <w:r w:rsidR="00A92E8B" w:rsidRPr="006D7D12">
        <w:rPr>
          <w:lang w:val="en-US"/>
        </w:rPr>
        <w:t>Eifi-Tech, Universitätspark 1, Schwäbisch-Gmünd 73525, Baden-Württemberg, Germany</w:t>
      </w:r>
    </w:p>
    <w:p w14:paraId="73F1267A" w14:textId="5E122D6C" w:rsidR="00B57E6F" w:rsidRPr="006D7D12" w:rsidRDefault="00B57E6F" w:rsidP="00B57E6F">
      <w:pPr>
        <w:pStyle w:val="CETemail"/>
        <w:rPr>
          <w:lang w:val="en-US"/>
        </w:rPr>
      </w:pPr>
      <w:r w:rsidRPr="006D7D12">
        <w:rPr>
          <w:lang w:val="en-US"/>
        </w:rPr>
        <w:t xml:space="preserve"> </w:t>
      </w:r>
      <w:r w:rsidR="00A92E8B" w:rsidRPr="006D7D12">
        <w:rPr>
          <w:lang w:val="en-US"/>
        </w:rPr>
        <w:t>vojtech.jankuj</w:t>
      </w:r>
      <w:r w:rsidRPr="006D7D12">
        <w:rPr>
          <w:lang w:val="en-US"/>
        </w:rPr>
        <w:t>@</w:t>
      </w:r>
      <w:r w:rsidR="00A92E8B" w:rsidRPr="006D7D12">
        <w:rPr>
          <w:lang w:val="en-US"/>
        </w:rPr>
        <w:t>vsb.cz</w:t>
      </w:r>
    </w:p>
    <w:p w14:paraId="38F76186" w14:textId="06DC183A" w:rsidR="006A6DE5" w:rsidRPr="006D7D12" w:rsidRDefault="00566907" w:rsidP="00566907">
      <w:pPr>
        <w:pStyle w:val="CETBodytext"/>
      </w:pPr>
      <w:r w:rsidRPr="006D7D12">
        <w:t xml:space="preserve">This study investigates the </w:t>
      </w:r>
      <w:r w:rsidR="00256579" w:rsidRPr="006D7D12">
        <w:t>behavior</w:t>
      </w:r>
      <w:r w:rsidRPr="006D7D12">
        <w:t xml:space="preserve"> of high-pressure hydrogen and nitrogen cylinders under fire conditions to assess the risks associated with their storage and use in industrial and domestic applications. Cylinders pressurized to 300 </w:t>
      </w:r>
      <w:proofErr w:type="gramStart"/>
      <w:r w:rsidRPr="006D7D12">
        <w:t>bar</w:t>
      </w:r>
      <w:proofErr w:type="gramEnd"/>
      <w:r w:rsidRPr="006D7D12">
        <w:t xml:space="preserve"> were exposed to flames generated by diesel fuel, with critical parameters such as destruction pressure, temperature distribution, and fragmentation patterns recorded. The experiments revealed distinct differences in the destruction mechanisms of flammable and non-flammable gases. Hydrogen cylinders failed at pressures significantly lower than their rated destruction pressure due to thermal stress, generating fewer but substantial fragments and a fireball. In contrast, nitrogen cylinders exhibited extensive fragmentation and</w:t>
      </w:r>
      <w:r w:rsidR="006D7D12" w:rsidRPr="006D7D12">
        <w:t xml:space="preserve"> dispersion with following</w:t>
      </w:r>
      <w:r w:rsidRPr="006D7D12">
        <w:t xml:space="preserve"> ignit</w:t>
      </w:r>
      <w:r w:rsidR="006D7D12" w:rsidRPr="006D7D12">
        <w:t>ion of</w:t>
      </w:r>
      <w:r w:rsidRPr="006D7D12">
        <w:t xml:space="preserve"> diesel </w:t>
      </w:r>
      <w:r w:rsidR="00256579" w:rsidRPr="006D7D12">
        <w:t>vapors</w:t>
      </w:r>
      <w:r w:rsidRPr="006D7D12">
        <w:t>, forming a large fireball despite being non-flammable. These findings provide valuable insights into the risks posed by high-pressure gas cylinders under fire exposure and highlight the need for enhanced safety protocols and emergency response measures to mitigate potential hazards.</w:t>
      </w:r>
      <w:r w:rsidR="006A6DE5" w:rsidRPr="006D7D12">
        <w:t xml:space="preserve"> </w:t>
      </w:r>
    </w:p>
    <w:p w14:paraId="476B2F2E" w14:textId="52B36035" w:rsidR="00600535" w:rsidRPr="006D7D12" w:rsidRDefault="00600535" w:rsidP="00600535">
      <w:pPr>
        <w:pStyle w:val="CETHeading1"/>
      </w:pPr>
      <w:r w:rsidRPr="006D7D12">
        <w:t>Introduction</w:t>
      </w:r>
    </w:p>
    <w:p w14:paraId="7F9D0AE9" w14:textId="0E7100C1" w:rsidR="00571D05" w:rsidRPr="006D7D12" w:rsidRDefault="00D166CB" w:rsidP="00600535">
      <w:pPr>
        <w:pStyle w:val="CETBodytext"/>
      </w:pPr>
      <w:r w:rsidRPr="006D7D12">
        <w:t xml:space="preserve">High-pressure gas cylinders play a pivotal role in industrial and domestic </w:t>
      </w:r>
      <w:r w:rsidR="00804CF8" w:rsidRPr="006D7D12">
        <w:t xml:space="preserve">applications, offering </w:t>
      </w:r>
      <w:r w:rsidR="00363B06" w:rsidRPr="006D7D12">
        <w:t>applications</w:t>
      </w:r>
      <w:r w:rsidR="00400404" w:rsidRPr="006D7D12">
        <w:t>, and offering</w:t>
      </w:r>
      <w:r w:rsidR="00363B06" w:rsidRPr="006D7D12">
        <w:t xml:space="preserve"> an </w:t>
      </w:r>
      <w:r w:rsidR="005075FB" w:rsidRPr="006D7D12">
        <w:t xml:space="preserve">efficient means to store and transport gases such as hydrogen, acetylene, propane-butane, and nitrogen. </w:t>
      </w:r>
      <w:r w:rsidR="00B520D8" w:rsidRPr="006D7D12">
        <w:t>These gases serve critical functions across various sectors. For instance, acetylene and hydrogen are indispensable in metal fabrication due to their high flame temperatures, enabling processes like welding, cutting, and brazing</w:t>
      </w:r>
      <w:r w:rsidR="00EB08CA" w:rsidRPr="006D7D12">
        <w:t xml:space="preserve"> </w:t>
      </w:r>
      <w:sdt>
        <w:sdtPr>
          <w:rPr>
            <w:color w:val="000000"/>
          </w:rPr>
          <w:tag w:val="MENDELEY_CITATION_v3_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"/>
          <w:id w:val="919219045"/>
          <w:placeholder>
            <w:docPart w:val="DefaultPlaceholder_-1854013440"/>
          </w:placeholder>
        </w:sdtPr>
        <w:sdtEndPr/>
        <w:sdtContent>
          <w:r w:rsidR="008E6D0E" w:rsidRPr="006D7D12">
            <w:rPr>
              <w:color w:val="000000"/>
            </w:rPr>
            <w:t>(Jankuj et al., 2022; Pasman et al., 2023)</w:t>
          </w:r>
        </w:sdtContent>
      </w:sdt>
      <w:r w:rsidR="00EB08CA" w:rsidRPr="006D7D12">
        <w:rPr>
          <w:color w:val="000000"/>
        </w:rPr>
        <w:t>.</w:t>
      </w:r>
      <w:r w:rsidR="00B520D8" w:rsidRPr="006D7D12">
        <w:t xml:space="preserve"> Propane and butane are widely used in kilns, drying systems, and industrial heating, while natural gas, compressed natural gas (CNG), and liquefied petroleum gas (LPG) provide cleaner alternatives for power generation and transportation. These applications highlight the versatility and growing importance of flammable gases in advancing sustainable energy and industrial operations </w:t>
      </w:r>
      <w:sdt>
        <w:sdtPr>
          <w:rPr>
            <w:color w:val="000000"/>
          </w:rPr>
          <w:tag w:val="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"/>
          <w:id w:val="196980510"/>
          <w:placeholder>
            <w:docPart w:val="DefaultPlaceholder_-1854013440"/>
          </w:placeholder>
        </w:sdtPr>
        <w:sdtEndPr/>
        <w:sdtContent>
          <w:r w:rsidR="008E6D0E" w:rsidRPr="006D7D12">
            <w:rPr>
              <w:color w:val="000000"/>
            </w:rPr>
            <w:t>(Tschirschwitz et al., 2019, 2017)</w:t>
          </w:r>
        </w:sdtContent>
      </w:sdt>
      <w:r w:rsidR="001D6ED5" w:rsidRPr="006D7D12">
        <w:t>.</w:t>
      </w:r>
    </w:p>
    <w:p w14:paraId="3BD8C1B7" w14:textId="548358D6" w:rsidR="009C7D95" w:rsidRPr="006D7D12" w:rsidRDefault="009C7D95" w:rsidP="00600535">
      <w:pPr>
        <w:pStyle w:val="CETBodytext"/>
      </w:pPr>
      <w:r w:rsidRPr="006D7D12">
        <w:t>Despite their widespread use, the handling of high-pressure cylinders entails significant safety challenges, particularly under fire exposure. Elevated temperatures can compromise the structural integrity of cylinders, even when they are engineer</w:t>
      </w:r>
      <w:r w:rsidR="00710CBB" w:rsidRPr="006D7D12">
        <w:t>ed to withstand substantial thermal and mechanical stresses</w:t>
      </w:r>
      <w:r w:rsidR="005A121A" w:rsidRPr="006D7D12">
        <w:rPr>
          <w:color w:val="000000"/>
        </w:rPr>
        <w:t>.</w:t>
      </w:r>
      <w:r w:rsidR="005A121A" w:rsidRPr="006D7D12">
        <w:t xml:space="preserve"> </w:t>
      </w:r>
      <w:r w:rsidR="00057281" w:rsidRPr="006D7D12">
        <w:t>Prolonged exposure to fire can lead to material degradation, ruptures, and uncontrolled gas release</w:t>
      </w:r>
      <w:r w:rsidR="005A121A" w:rsidRPr="006D7D12">
        <w:rPr>
          <w:color w:val="000000"/>
        </w:rPr>
        <w:t xml:space="preserve"> </w:t>
      </w:r>
      <w:sdt>
        <w:sdtPr>
          <w:rPr>
            <w:color w:val="000000"/>
          </w:rPr>
          <w:tag w:val="MENDELEY_CITATION_v3_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"/>
          <w:id w:val="-1021080196"/>
          <w:placeholder>
            <w:docPart w:val="BDC2124E8C264F7694F292696A436D82"/>
          </w:placeholder>
        </w:sdtPr>
        <w:sdtEndPr/>
        <w:sdtContent>
          <w:r w:rsidR="008E6D0E" w:rsidRPr="006D7D12">
            <w:rPr>
              <w:color w:val="000000"/>
            </w:rPr>
            <w:t>(Wang et al., 2023)</w:t>
          </w:r>
        </w:sdtContent>
      </w:sdt>
      <w:r w:rsidR="005A121A" w:rsidRPr="006D7D12">
        <w:rPr>
          <w:color w:val="000000"/>
        </w:rPr>
        <w:t xml:space="preserve">. </w:t>
      </w:r>
      <w:r w:rsidR="00057281" w:rsidRPr="006D7D12">
        <w:t>For flammable gases, this often results in catastrophic incidents, including fireballs, explosions, and fragmentation, which pose severe risks to personnel, infrastructure, and emergency responders.</w:t>
      </w:r>
      <w:r w:rsidR="008A2B58" w:rsidRPr="006D7D12">
        <w:t xml:space="preserve"> For non-flammable gases </w:t>
      </w:r>
      <w:r w:rsidR="00007666" w:rsidRPr="006D7D12">
        <w:t xml:space="preserve">physical destruction and following </w:t>
      </w:r>
      <w:r w:rsidR="004606C0" w:rsidRPr="006D7D12">
        <w:t xml:space="preserve">fragmentation </w:t>
      </w:r>
      <w:r w:rsidR="00102885" w:rsidRPr="006D7D12">
        <w:t xml:space="preserve">release occurred. </w:t>
      </w:r>
      <w:r w:rsidR="00057281" w:rsidRPr="006D7D12">
        <w:t>Such scenarios necessitate robust safety measures, including early fire detection, timely cooling, and safe handling protocols, to mitigate these hazards effectively</w:t>
      </w:r>
      <w:r w:rsidR="005A121A" w:rsidRPr="006D7D12">
        <w:rPr>
          <w:color w:val="000000"/>
        </w:rPr>
        <w:t xml:space="preserve"> </w:t>
      </w:r>
      <w:sdt>
        <w:sdtPr>
          <w:rPr>
            <w:color w:val="000000"/>
          </w:rPr>
          <w:tag w:val="MENDELEY_CITATION_v3_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"/>
          <w:id w:val="-1678415205"/>
          <w:placeholder>
            <w:docPart w:val="200AB1B61F11486B84920ACF844DB392"/>
          </w:placeholder>
        </w:sdtPr>
        <w:sdtEndPr>
          <w:rPr>
            <w:highlight w:val="yellow"/>
          </w:rPr>
        </w:sdtEndPr>
        <w:sdtContent>
          <w:r w:rsidR="008E6D0E" w:rsidRPr="006D7D12">
            <w:rPr>
              <w:color w:val="000000"/>
            </w:rPr>
            <w:t>(Hora et al., 2016)</w:t>
          </w:r>
        </w:sdtContent>
      </w:sdt>
      <w:r w:rsidR="005A121A" w:rsidRPr="006D7D12">
        <w:rPr>
          <w:color w:val="000000"/>
        </w:rPr>
        <w:t>.</w:t>
      </w:r>
    </w:p>
    <w:p w14:paraId="203B4FD2" w14:textId="2B5A8768" w:rsidR="00E7026D" w:rsidRPr="006D7D12" w:rsidRDefault="0054207C" w:rsidP="00600535">
      <w:pPr>
        <w:pStyle w:val="CETBodytext"/>
      </w:pPr>
      <w:r w:rsidRPr="006D7D12">
        <w:t>The transition to green energy has spurred the development of advanced technologies and systems aimed at minimizing environmental impacts. Among these, hydrogen stands out due to its clean-burning properties and versatility in applications ranging from transportation to industrial processes</w:t>
      </w:r>
      <w:r w:rsidR="00960950" w:rsidRPr="006D7D12">
        <w:t xml:space="preserve"> </w:t>
      </w:r>
      <w:sdt>
        <w:sdtPr>
          <w:rPr>
            <w:color w:val="000000"/>
          </w:rPr>
          <w:tag w:val="MENDELEY_CITATION_v3_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"/>
          <w:id w:val="-754355988"/>
          <w:placeholder>
            <w:docPart w:val="DefaultPlaceholder_-1854013440"/>
          </w:placeholder>
        </w:sdtPr>
        <w:sdtEndPr/>
        <w:sdtContent>
          <w:r w:rsidR="008E6D0E" w:rsidRPr="006D7D12">
            <w:rPr>
              <w:color w:val="000000"/>
            </w:rPr>
            <w:t>(Abbasi and Abbasi, 2011)</w:t>
          </w:r>
        </w:sdtContent>
      </w:sdt>
      <w:r w:rsidRPr="006D7D12">
        <w:t>. However, ensuring the safe storage and handling of hydrogen, particularly in high-pressure cylinders, remains a critical challenge</w:t>
      </w:r>
      <w:r w:rsidR="00660495" w:rsidRPr="006D7D12">
        <w:t xml:space="preserve"> </w:t>
      </w:r>
      <w:sdt>
        <w:sdtPr>
          <w:rPr>
            <w:color w:val="000000"/>
          </w:rPr>
          <w:tag w:val="MENDELEY_CITATION_v3_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"/>
          <w:id w:val="-720591323"/>
          <w:placeholder>
            <w:docPart w:val="DefaultPlaceholder_-1854013440"/>
          </w:placeholder>
        </w:sdtPr>
        <w:sdtEndPr/>
        <w:sdtContent>
          <w:r w:rsidR="008E6D0E" w:rsidRPr="006D7D12">
            <w:rPr>
              <w:color w:val="000000"/>
            </w:rPr>
            <w:t>(Usman, 2022)</w:t>
          </w:r>
        </w:sdtContent>
      </w:sdt>
      <w:r w:rsidRPr="006D7D12">
        <w:t xml:space="preserve">. These cylinders, widely used for storing technical gases in industrial and </w:t>
      </w:r>
      <w:r w:rsidRPr="006D7D12">
        <w:lastRenderedPageBreak/>
        <w:t>domestic applications, are prone to significant risks under fire exposure, including catastrophic failures that pose threats to safety and infrastructure</w:t>
      </w:r>
      <w:r w:rsidR="002F7EDB" w:rsidRPr="006D7D12">
        <w:t xml:space="preserve"> </w:t>
      </w:r>
      <w:sdt>
        <w:sdtPr>
          <w:rPr>
            <w:color w:val="000000"/>
          </w:rPr>
          <w:tag w:val="MENDELEY_CITATION_v3_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"/>
          <w:id w:val="652883254"/>
          <w:placeholder>
            <w:docPart w:val="DefaultPlaceholder_-1854013440"/>
          </w:placeholder>
        </w:sdtPr>
        <w:sdtEndPr/>
        <w:sdtContent>
          <w:r w:rsidR="008E6D0E" w:rsidRPr="006D7D12">
            <w:rPr>
              <w:color w:val="000000"/>
            </w:rPr>
            <w:t>(Barthelemy et al., 2017)</w:t>
          </w:r>
        </w:sdtContent>
      </w:sdt>
      <w:r w:rsidRPr="006D7D12">
        <w:t>.</w:t>
      </w:r>
    </w:p>
    <w:p w14:paraId="018D4552" w14:textId="77BE4472" w:rsidR="001B77A4" w:rsidRPr="006D7D12" w:rsidRDefault="00684295" w:rsidP="00600535">
      <w:pPr>
        <w:pStyle w:val="CETBodytext"/>
      </w:pPr>
      <w:r w:rsidRPr="006D7D12">
        <w:t>Hydrogen’s high reactivity and energy density demand specialized storage and safety measures, especially as its role expands as a key energy carrier in cleaner energy systems. The increasing deployment of hydrogen technologies highlights the urgent need to address these safety concerns and develop robust solutions to mitigate risks associated with high-pressure storage, particularly in fire scenarios. Understanding these challenges is crucial for advancing hydrogen's integration into sustainable energy systems while ensuring safety and reliability</w:t>
      </w:r>
      <w:r w:rsidR="0066482E" w:rsidRPr="006D7D12">
        <w:t xml:space="preserve"> </w:t>
      </w:r>
      <w:sdt>
        <w:sdtPr>
          <w:rPr>
            <w:color w:val="000000"/>
          </w:rPr>
          <w:tag w:val="MENDELEY_CITATION_v3_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"/>
          <w:id w:val="939957262"/>
          <w:placeholder>
            <w:docPart w:val="DefaultPlaceholder_-1854013440"/>
          </w:placeholder>
        </w:sdtPr>
        <w:sdtEndPr/>
        <w:sdtContent>
          <w:r w:rsidR="008E6D0E" w:rsidRPr="006D7D12">
            <w:rPr>
              <w:color w:val="000000"/>
            </w:rPr>
            <w:t>(</w:t>
          </w:r>
          <w:proofErr w:type="spellStart"/>
          <w:r w:rsidR="008E6D0E" w:rsidRPr="006D7D12">
            <w:rPr>
              <w:color w:val="000000"/>
            </w:rPr>
            <w:t>Abohamzeh</w:t>
          </w:r>
          <w:proofErr w:type="spellEnd"/>
          <w:r w:rsidR="008E6D0E" w:rsidRPr="006D7D12">
            <w:rPr>
              <w:color w:val="000000"/>
            </w:rPr>
            <w:t xml:space="preserve"> et al., 2021; </w:t>
          </w:r>
          <w:proofErr w:type="spellStart"/>
          <w:r w:rsidR="008E6D0E" w:rsidRPr="006D7D12">
            <w:rPr>
              <w:color w:val="000000"/>
            </w:rPr>
            <w:t>Saffers</w:t>
          </w:r>
          <w:proofErr w:type="spellEnd"/>
          <w:r w:rsidR="008E6D0E" w:rsidRPr="006D7D12">
            <w:rPr>
              <w:color w:val="000000"/>
            </w:rPr>
            <w:t xml:space="preserve"> and </w:t>
          </w:r>
          <w:proofErr w:type="spellStart"/>
          <w:r w:rsidR="008E6D0E" w:rsidRPr="006D7D12">
            <w:rPr>
              <w:color w:val="000000"/>
            </w:rPr>
            <w:t>Molkov</w:t>
          </w:r>
          <w:proofErr w:type="spellEnd"/>
          <w:r w:rsidR="008E6D0E" w:rsidRPr="006D7D12">
            <w:rPr>
              <w:color w:val="000000"/>
            </w:rPr>
            <w:t xml:space="preserve">, 2014; </w:t>
          </w:r>
          <w:proofErr w:type="spellStart"/>
          <w:r w:rsidR="008E6D0E" w:rsidRPr="006D7D12">
            <w:rPr>
              <w:color w:val="000000"/>
            </w:rPr>
            <w:t>Ustolin</w:t>
          </w:r>
          <w:proofErr w:type="spellEnd"/>
          <w:r w:rsidR="008E6D0E" w:rsidRPr="006D7D12">
            <w:rPr>
              <w:color w:val="000000"/>
            </w:rPr>
            <w:t xml:space="preserve"> et al., 2020)</w:t>
          </w:r>
        </w:sdtContent>
      </w:sdt>
      <w:r w:rsidRPr="006D7D12">
        <w:t>.</w:t>
      </w:r>
    </w:p>
    <w:p w14:paraId="54A2ACD4" w14:textId="416B8C54" w:rsidR="00F6087A" w:rsidRPr="006D7D12" w:rsidRDefault="00B44311" w:rsidP="00600535">
      <w:pPr>
        <w:pStyle w:val="CETBodytext"/>
      </w:pPr>
      <w:r w:rsidRPr="006D7D12">
        <w:t xml:space="preserve">In fire scenarios, pressure cylinders represent a critical hazard, significantly amplifying risks to nearby environments and individuals. Predicting the behavior of these cylinders under elevated temperatures is both complex and uncertain. Cylinder ruptures can result in catastrophic consequences, including powerful blast waves, intense fireballs, and the ejection of high-velocity fragments from the cylinder or surrounding materials. These events often stem from the uncontrolled release of hazardous substances, such as toxic or flammable gases and vapors, leading to extensive property damage, severe health risks, and environmental harm. To mitigate these risks, it is essential to understand the mechanisms driving these incidents, the types of explosions that may occur, and the potential for domino effects that escalate the scale of destruction. </w:t>
      </w:r>
    </w:p>
    <w:p w14:paraId="3F2DE5F3" w14:textId="532785E2" w:rsidR="003F76A9" w:rsidRPr="006D7D12" w:rsidRDefault="00F6087A" w:rsidP="00600535">
      <w:pPr>
        <w:pStyle w:val="CETBodytext"/>
      </w:pPr>
      <w:proofErr w:type="gramStart"/>
      <w:r w:rsidRPr="006D7D12">
        <w:t>For the purpose of</w:t>
      </w:r>
      <w:proofErr w:type="gramEnd"/>
      <w:r w:rsidRPr="006D7D12">
        <w:t xml:space="preserve"> comparing the consequences, nitrogen was selected and stored in pressure cylinders exposed to the same conditions as the hydrogen-filled cylinders. This approach enables a precise evaluation of the differences in </w:t>
      </w:r>
      <w:r w:rsidR="0006353C" w:rsidRPr="006D7D12">
        <w:t>behavior</w:t>
      </w:r>
      <w:r w:rsidRPr="006D7D12">
        <w:t xml:space="preserve"> between flammable and non-flammable gases under fire conditions, contributing to a better understanding of the risks associated with high-pressure gas storage and the optimization of safety measures.</w:t>
      </w:r>
      <w:r w:rsidR="00C65996" w:rsidRPr="006D7D12">
        <w:t xml:space="preserve"> </w:t>
      </w:r>
      <w:r w:rsidR="00E06989" w:rsidRPr="006D7D12">
        <w:t xml:space="preserve">This paper </w:t>
      </w:r>
      <w:r w:rsidR="009257E5" w:rsidRPr="006D7D12">
        <w:t xml:space="preserve">consolidates the findings from experimental investigations, emphasizing the </w:t>
      </w:r>
      <w:r w:rsidR="0006353C" w:rsidRPr="006D7D12">
        <w:t>behavior</w:t>
      </w:r>
      <w:r w:rsidR="009257E5" w:rsidRPr="006D7D12">
        <w:t xml:space="preserve"> of pressure cylinders in fire scenarios and the associated risks. By presenting critical data and identifying key failure mechanisms, this research contri</w:t>
      </w:r>
      <w:r w:rsidR="00CE785D" w:rsidRPr="006D7D12">
        <w:t xml:space="preserve">butes to improving safety protocols, developing effective risk mitigation strategies, and </w:t>
      </w:r>
      <w:r w:rsidR="002B257C" w:rsidRPr="006D7D12">
        <w:t xml:space="preserve">advancing the field of safety engineering. Furthermore, it outlines future directions for experimental and analytical research to support </w:t>
      </w:r>
      <w:r w:rsidR="007A443F" w:rsidRPr="006D7D12">
        <w:t xml:space="preserve">safer integration of high-pressure gas cylinders in industrial and domestic contexts. </w:t>
      </w:r>
    </w:p>
    <w:p w14:paraId="5741900F" w14:textId="1F671D8E" w:rsidR="00453E24" w:rsidRPr="006D7D12" w:rsidRDefault="00A62A15" w:rsidP="00453E24">
      <w:pPr>
        <w:pStyle w:val="CETHeading1"/>
      </w:pPr>
      <w:r w:rsidRPr="006D7D12">
        <w:t>Experimental setup</w:t>
      </w:r>
    </w:p>
    <w:p w14:paraId="51C4E368" w14:textId="5EE4DF22" w:rsidR="002B1808" w:rsidRPr="006D7D12" w:rsidRDefault="002B1808" w:rsidP="002B1808">
      <w:pPr>
        <w:pStyle w:val="CETBodytext"/>
      </w:pPr>
      <w:r w:rsidRPr="006D7D12">
        <w:t xml:space="preserve">A large-scale experiment was conducted to evaluate the </w:t>
      </w:r>
      <w:r w:rsidR="00AB2162" w:rsidRPr="006D7D12">
        <w:t>behavior</w:t>
      </w:r>
      <w:r w:rsidRPr="006D7D12">
        <w:t xml:space="preserve"> of hydrogen- and nitrogen-filled pressure cylinders under fire conditions. Both types of cylinders, pressurized up to 300 bars, were exposed to flames generated by a flammable liquid. </w:t>
      </w:r>
      <w:r w:rsidR="00CB27BD" w:rsidRPr="006D7D12">
        <w:t xml:space="preserve">In this case, the fire was generated using 80 liters of diesel fuel distributed across four stainless steel trays. </w:t>
      </w:r>
      <w:r w:rsidR="00974A62" w:rsidRPr="006D7D12">
        <w:t>To enhance the flammability of the diesel fuel, approximately 0.5 liters of gasoline was poured onto its surface. The ignition of the gasoline was carried out remotely using pyrotechnic igniters, ensuring controlled and safe initiation of the fire.</w:t>
      </w:r>
      <w:r w:rsidR="004170EE" w:rsidRPr="006D7D12">
        <w:t xml:space="preserve"> </w:t>
      </w:r>
      <w:r w:rsidRPr="006D7D12">
        <w:t>The experimental setup was designed to replicate real-world fire scenarios, ensuring the relevance of the findings to industrial and emergency response situations.</w:t>
      </w:r>
    </w:p>
    <w:p w14:paraId="6661C095" w14:textId="62BDAE41" w:rsidR="005B30DF" w:rsidRPr="006D7D12" w:rsidRDefault="00CD4973" w:rsidP="002B1808">
      <w:pPr>
        <w:pStyle w:val="CETBodytext"/>
      </w:pPr>
      <w:r w:rsidRPr="006D7D12">
        <w:rPr>
          <w:noProof/>
        </w:rPr>
        <mc:AlternateContent>
          <mc:Choice Requires="wps">
            <w:drawing>
              <wp:anchor distT="0" distB="0" distL="114300" distR="114300" simplePos="0" relativeHeight="251698176" behindDoc="0" locked="0" layoutInCell="1" allowOverlap="1" wp14:anchorId="5F3D2B42" wp14:editId="01122B50">
                <wp:simplePos x="0" y="0"/>
                <wp:positionH relativeFrom="column">
                  <wp:posOffset>975995</wp:posOffset>
                </wp:positionH>
                <wp:positionV relativeFrom="paragraph">
                  <wp:posOffset>139065</wp:posOffset>
                </wp:positionV>
                <wp:extent cx="647065" cy="221615"/>
                <wp:effectExtent l="0" t="0" r="0" b="6985"/>
                <wp:wrapNone/>
                <wp:docPr id="967899138" name="Textové pole 21"/>
                <wp:cNvGraphicFramePr/>
                <a:graphic xmlns:a="http://schemas.openxmlformats.org/drawingml/2006/main">
                  <a:graphicData uri="http://schemas.microsoft.com/office/word/2010/wordprocessingShape">
                    <wps:wsp>
                      <wps:cNvSpPr txBox="1"/>
                      <wps:spPr>
                        <a:xfrm>
                          <a:off x="0" y="0"/>
                          <a:ext cx="647065" cy="221615"/>
                        </a:xfrm>
                        <a:prstGeom prst="rect">
                          <a:avLst/>
                        </a:prstGeom>
                        <a:noFill/>
                        <a:ln w="6350">
                          <a:noFill/>
                        </a:ln>
                      </wps:spPr>
                      <wps:txbx>
                        <w:txbxContent>
                          <w:p w14:paraId="5AE8C591" w14:textId="2BDA4C01" w:rsidR="007C71C2" w:rsidRPr="007C71C2" w:rsidRDefault="007C71C2">
                            <w:pPr>
                              <w:rPr>
                                <w:lang w:val="cs-CZ"/>
                              </w:rPr>
                            </w:pPr>
                            <w:proofErr w:type="spellStart"/>
                            <w:r>
                              <w:rPr>
                                <w:lang w:val="cs-CZ"/>
                              </w:rPr>
                              <w:t>Pos</w:t>
                            </w:r>
                            <w:proofErr w:type="spellEnd"/>
                            <w:r>
                              <w:rPr>
                                <w:lang w:val="cs-CZ"/>
                              </w:rPr>
                              <w:t>. 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3D2B42" id="_x0000_t202" coordsize="21600,21600" o:spt="202" path="m,l,21600r21600,l21600,xe">
                <v:stroke joinstyle="miter"/>
                <v:path gradientshapeok="t" o:connecttype="rect"/>
              </v:shapetype>
              <v:shape id="Textové pole 21" o:spid="_x0000_s1026" type="#_x0000_t202" style="position:absolute;left:0;text-align:left;margin-left:76.85pt;margin-top:10.95pt;width:50.95pt;height:17.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" filled="f" stroked="f" strokeweight=".5pt">
                <v:textbox>
                  <w:txbxContent>
                    <w:p w14:paraId="5AE8C591" w14:textId="2BDA4C01" w:rsidR="007C71C2" w:rsidRPr="007C71C2" w:rsidRDefault="007C71C2">
                      <w:pPr>
                        <w:rPr>
                          <w:lang w:val="cs-CZ"/>
                        </w:rPr>
                      </w:pPr>
                      <w:proofErr w:type="spellStart"/>
                      <w:r>
                        <w:rPr>
                          <w:lang w:val="cs-CZ"/>
                        </w:rPr>
                        <w:t>Pos</w:t>
                      </w:r>
                      <w:proofErr w:type="spellEnd"/>
                      <w:r>
                        <w:rPr>
                          <w:lang w:val="cs-CZ"/>
                        </w:rPr>
                        <w:t>. n. 1</w:t>
                      </w:r>
                    </w:p>
                  </w:txbxContent>
                </v:textbox>
              </v:shape>
            </w:pict>
          </mc:Fallback>
        </mc:AlternateConten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5658"/>
      </w:tblGrid>
      <w:tr w:rsidR="00B73075" w:rsidRPr="006D7D12" w14:paraId="606A4CC9" w14:textId="77777777" w:rsidTr="00662BCC">
        <w:tc>
          <w:tcPr>
            <w:tcW w:w="3119" w:type="dxa"/>
          </w:tcPr>
          <w:p w14:paraId="49F8862D" w14:textId="6874E968" w:rsidR="00B73075" w:rsidRPr="006D7D12" w:rsidRDefault="00D157F2" w:rsidP="005B30DF">
            <w:pPr>
              <w:pStyle w:val="CETBodytext"/>
              <w:ind w:hanging="104"/>
              <w:jc w:val="right"/>
            </w:pPr>
            <w:r w:rsidRPr="006D7D12">
              <w:rPr>
                <w:noProof/>
              </w:rPr>
              <mc:AlternateContent>
                <mc:Choice Requires="wps">
                  <w:drawing>
                    <wp:anchor distT="0" distB="0" distL="114300" distR="114300" simplePos="0" relativeHeight="251654144" behindDoc="0" locked="0" layoutInCell="1" allowOverlap="1" wp14:anchorId="63AC6773" wp14:editId="4BFC0350">
                      <wp:simplePos x="0" y="0"/>
                      <wp:positionH relativeFrom="column">
                        <wp:posOffset>228600</wp:posOffset>
                      </wp:positionH>
                      <wp:positionV relativeFrom="paragraph">
                        <wp:posOffset>718103</wp:posOffset>
                      </wp:positionV>
                      <wp:extent cx="203200" cy="252730"/>
                      <wp:effectExtent l="0" t="0" r="0" b="0"/>
                      <wp:wrapNone/>
                      <wp:docPr id="49643656" name="Textové pole 18"/>
                      <wp:cNvGraphicFramePr/>
                      <a:graphic xmlns:a="http://schemas.openxmlformats.org/drawingml/2006/main">
                        <a:graphicData uri="http://schemas.microsoft.com/office/word/2010/wordprocessingShape">
                          <wps:wsp>
                            <wps:cNvSpPr txBox="1"/>
                            <wps:spPr>
                              <a:xfrm>
                                <a:off x="0" y="0"/>
                                <a:ext cx="203200" cy="252730"/>
                              </a:xfrm>
                              <a:prstGeom prst="rect">
                                <a:avLst/>
                              </a:prstGeom>
                              <a:noFill/>
                              <a:ln w="6350">
                                <a:noFill/>
                              </a:ln>
                            </wps:spPr>
                            <wps:txbx>
                              <w:txbxContent>
                                <w:p w14:paraId="535813E0" w14:textId="38F6960D" w:rsidR="00771210" w:rsidRPr="00771210" w:rsidRDefault="00771210">
                                  <w:pPr>
                                    <w:rPr>
                                      <w:lang w:val="cs-CZ"/>
                                    </w:rPr>
                                  </w:pPr>
                                  <w:r>
                                    <w:rPr>
                                      <w:lang w:val="cs-C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AC6773" id="Textové pole 18" o:spid="_x0000_s1027" type="#_x0000_t202" style="position:absolute;left:0;text-align:left;margin-left:18pt;margin-top:56.55pt;width:16pt;height:19.9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" filled="f" stroked="f" strokeweight=".5pt">
                      <v:textbox>
                        <w:txbxContent>
                          <w:p w14:paraId="535813E0" w14:textId="38F6960D" w:rsidR="00771210" w:rsidRPr="00771210" w:rsidRDefault="00771210">
                            <w:pPr>
                              <w:rPr>
                                <w:lang w:val="cs-CZ"/>
                              </w:rPr>
                            </w:pPr>
                            <w:r>
                              <w:rPr>
                                <w:lang w:val="cs-CZ"/>
                              </w:rPr>
                              <w:t>A</w:t>
                            </w:r>
                          </w:p>
                        </w:txbxContent>
                      </v:textbox>
                    </v:shape>
                  </w:pict>
                </mc:Fallback>
              </mc:AlternateContent>
            </w:r>
            <w:r w:rsidR="00166CB4" w:rsidRPr="006D7D12">
              <w:rPr>
                <w:noProof/>
              </w:rPr>
              <mc:AlternateContent>
                <mc:Choice Requires="wps">
                  <w:drawing>
                    <wp:anchor distT="0" distB="0" distL="114300" distR="114300" simplePos="0" relativeHeight="251807744" behindDoc="0" locked="0" layoutInCell="1" allowOverlap="1" wp14:anchorId="5E39E088" wp14:editId="55AC63BB">
                      <wp:simplePos x="0" y="0"/>
                      <wp:positionH relativeFrom="column">
                        <wp:posOffset>254635</wp:posOffset>
                      </wp:positionH>
                      <wp:positionV relativeFrom="paragraph">
                        <wp:posOffset>1798402</wp:posOffset>
                      </wp:positionV>
                      <wp:extent cx="203200" cy="252730"/>
                      <wp:effectExtent l="0" t="0" r="0" b="0"/>
                      <wp:wrapNone/>
                      <wp:docPr id="976975100" name="Textové pole 18"/>
                      <wp:cNvGraphicFramePr/>
                      <a:graphic xmlns:a="http://schemas.openxmlformats.org/drawingml/2006/main">
                        <a:graphicData uri="http://schemas.microsoft.com/office/word/2010/wordprocessingShape">
                          <wps:wsp>
                            <wps:cNvSpPr txBox="1"/>
                            <wps:spPr>
                              <a:xfrm>
                                <a:off x="0" y="0"/>
                                <a:ext cx="203200" cy="252730"/>
                              </a:xfrm>
                              <a:prstGeom prst="rect">
                                <a:avLst/>
                              </a:prstGeom>
                              <a:noFill/>
                              <a:ln w="6350">
                                <a:noFill/>
                              </a:ln>
                            </wps:spPr>
                            <wps:txbx>
                              <w:txbxContent>
                                <w:p w14:paraId="002BB48C" w14:textId="407E0E61" w:rsidR="00BB6B64" w:rsidRPr="00771210" w:rsidRDefault="00BB6B64">
                                  <w:pPr>
                                    <w:rPr>
                                      <w:lang w:val="cs-CZ"/>
                                    </w:rPr>
                                  </w:pPr>
                                  <w:r>
                                    <w:rPr>
                                      <w:lang w:val="cs-CZ"/>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39E088" id="_x0000_s1028" type="#_x0000_t202" style="position:absolute;left:0;text-align:left;margin-left:20.05pt;margin-top:141.6pt;width:16pt;height:19.9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" filled="f" stroked="f" strokeweight=".5pt">
                      <v:textbox>
                        <w:txbxContent>
                          <w:p w14:paraId="002BB48C" w14:textId="407E0E61" w:rsidR="00BB6B64" w:rsidRPr="00771210" w:rsidRDefault="00BB6B64">
                            <w:pPr>
                              <w:rPr>
                                <w:lang w:val="cs-CZ"/>
                              </w:rPr>
                            </w:pPr>
                            <w:r>
                              <w:rPr>
                                <w:lang w:val="cs-CZ"/>
                              </w:rPr>
                              <w:t>C</w:t>
                            </w:r>
                          </w:p>
                        </w:txbxContent>
                      </v:textbox>
                    </v:shape>
                  </w:pict>
                </mc:Fallback>
              </mc:AlternateContent>
            </w:r>
            <w:r w:rsidR="00166CB4" w:rsidRPr="006D7D12">
              <w:rPr>
                <w:noProof/>
              </w:rPr>
              <mc:AlternateContent>
                <mc:Choice Requires="wps">
                  <w:drawing>
                    <wp:anchor distT="0" distB="0" distL="114300" distR="114300" simplePos="0" relativeHeight="251767808" behindDoc="0" locked="0" layoutInCell="1" allowOverlap="1" wp14:anchorId="16BD1E5C" wp14:editId="15D00B9B">
                      <wp:simplePos x="0" y="0"/>
                      <wp:positionH relativeFrom="column">
                        <wp:posOffset>316947</wp:posOffset>
                      </wp:positionH>
                      <wp:positionV relativeFrom="paragraph">
                        <wp:posOffset>1980565</wp:posOffset>
                      </wp:positionV>
                      <wp:extent cx="257810" cy="0"/>
                      <wp:effectExtent l="0" t="76200" r="27940" b="95250"/>
                      <wp:wrapNone/>
                      <wp:docPr id="517785191" name="Přímá spojnice se šipkou 17"/>
                      <wp:cNvGraphicFramePr/>
                      <a:graphic xmlns:a="http://schemas.openxmlformats.org/drawingml/2006/main">
                        <a:graphicData uri="http://schemas.microsoft.com/office/word/2010/wordprocessingShape">
                          <wps:wsp>
                            <wps:cNvCnPr/>
                            <wps:spPr>
                              <a:xfrm>
                                <a:off x="0" y="0"/>
                                <a:ext cx="257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0FBABAD" id="_x0000_t32" coordsize="21600,21600" o:spt="32" o:oned="t" path="m,l21600,21600e" filled="f">
                      <v:path arrowok="t" fillok="f" o:connecttype="none"/>
                      <o:lock v:ext="edit" shapetype="t"/>
                    </v:shapetype>
                    <v:shape id="Přímá spojnice se šipkou 17" o:spid="_x0000_s1026" type="#_x0000_t32" style="position:absolute;margin-left:24.95pt;margin-top:155.95pt;width:20.3pt;height:0;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JjtgEAAL4DAAAOAAAAZHJzL2Uyb0RvYy54bWysU9uO0zAQfUfiHyy/0ySVgF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" strokecolor="black [3040]">
                      <v:stroke endarrow="block"/>
                    </v:shape>
                  </w:pict>
                </mc:Fallback>
              </mc:AlternateContent>
            </w:r>
            <w:r w:rsidR="00166CB4" w:rsidRPr="006D7D12">
              <w:rPr>
                <w:noProof/>
              </w:rPr>
              <mc:AlternateContent>
                <mc:Choice Requires="wps">
                  <w:drawing>
                    <wp:anchor distT="0" distB="0" distL="114300" distR="114300" simplePos="0" relativeHeight="251724800" behindDoc="0" locked="0" layoutInCell="1" allowOverlap="1" wp14:anchorId="4378CEA8" wp14:editId="2D922F06">
                      <wp:simplePos x="0" y="0"/>
                      <wp:positionH relativeFrom="column">
                        <wp:posOffset>296627</wp:posOffset>
                      </wp:positionH>
                      <wp:positionV relativeFrom="paragraph">
                        <wp:posOffset>1480820</wp:posOffset>
                      </wp:positionV>
                      <wp:extent cx="257810" cy="0"/>
                      <wp:effectExtent l="0" t="76200" r="27940" b="95250"/>
                      <wp:wrapNone/>
                      <wp:docPr id="1977870853" name="Přímá spojnice se šipkou 17"/>
                      <wp:cNvGraphicFramePr/>
                      <a:graphic xmlns:a="http://schemas.openxmlformats.org/drawingml/2006/main">
                        <a:graphicData uri="http://schemas.microsoft.com/office/word/2010/wordprocessingShape">
                          <wps:wsp>
                            <wps:cNvCnPr/>
                            <wps:spPr>
                              <a:xfrm>
                                <a:off x="0" y="0"/>
                                <a:ext cx="257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F0BDEC" id="Přímá spojnice se šipkou 17" o:spid="_x0000_s1026" type="#_x0000_t32" style="position:absolute;margin-left:23.35pt;margin-top:116.6pt;width:20.3pt;height:0;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JjtgEAAL4DAAAOAAAAZHJzL2Uyb0RvYy54bWysU9uO0zAQfUfiHyy/0ySVgF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" strokecolor="black [3040]">
                      <v:stroke endarrow="block"/>
                    </v:shape>
                  </w:pict>
                </mc:Fallback>
              </mc:AlternateContent>
            </w:r>
            <w:r w:rsidR="00166CB4" w:rsidRPr="006D7D12">
              <w:rPr>
                <w:noProof/>
              </w:rPr>
              <mc:AlternateContent>
                <mc:Choice Requires="wps">
                  <w:drawing>
                    <wp:anchor distT="0" distB="0" distL="114300" distR="114300" simplePos="0" relativeHeight="251793408" behindDoc="0" locked="0" layoutInCell="1" allowOverlap="1" wp14:anchorId="71135FE9" wp14:editId="682B3A3B">
                      <wp:simplePos x="0" y="0"/>
                      <wp:positionH relativeFrom="column">
                        <wp:posOffset>240030</wp:posOffset>
                      </wp:positionH>
                      <wp:positionV relativeFrom="paragraph">
                        <wp:posOffset>1294765</wp:posOffset>
                      </wp:positionV>
                      <wp:extent cx="203200" cy="252730"/>
                      <wp:effectExtent l="0" t="0" r="0" b="0"/>
                      <wp:wrapNone/>
                      <wp:docPr id="1664537926" name="Textové pole 18"/>
                      <wp:cNvGraphicFramePr/>
                      <a:graphic xmlns:a="http://schemas.openxmlformats.org/drawingml/2006/main">
                        <a:graphicData uri="http://schemas.microsoft.com/office/word/2010/wordprocessingShape">
                          <wps:wsp>
                            <wps:cNvSpPr txBox="1"/>
                            <wps:spPr>
                              <a:xfrm>
                                <a:off x="0" y="0"/>
                                <a:ext cx="203200" cy="252730"/>
                              </a:xfrm>
                              <a:prstGeom prst="rect">
                                <a:avLst/>
                              </a:prstGeom>
                              <a:noFill/>
                              <a:ln w="6350">
                                <a:noFill/>
                              </a:ln>
                            </wps:spPr>
                            <wps:txbx>
                              <w:txbxContent>
                                <w:p w14:paraId="6C793E2A" w14:textId="24977554" w:rsidR="00BB6B64" w:rsidRPr="00771210" w:rsidRDefault="00BB6B64">
                                  <w:pPr>
                                    <w:rPr>
                                      <w:lang w:val="cs-CZ"/>
                                    </w:rPr>
                                  </w:pPr>
                                  <w:r>
                                    <w:rPr>
                                      <w:lang w:val="cs-C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135FE9" id="_x0000_s1029" type="#_x0000_t202" style="position:absolute;left:0;text-align:left;margin-left:18.9pt;margin-top:101.95pt;width:16pt;height:19.9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" filled="f" stroked="f" strokeweight=".5pt">
                      <v:textbox>
                        <w:txbxContent>
                          <w:p w14:paraId="6C793E2A" w14:textId="24977554" w:rsidR="00BB6B64" w:rsidRPr="00771210" w:rsidRDefault="00BB6B64">
                            <w:pPr>
                              <w:rPr>
                                <w:lang w:val="cs-CZ"/>
                              </w:rPr>
                            </w:pPr>
                            <w:r>
                              <w:rPr>
                                <w:lang w:val="cs-CZ"/>
                              </w:rPr>
                              <w:t>B</w:t>
                            </w:r>
                          </w:p>
                        </w:txbxContent>
                      </v:textbox>
                    </v:shape>
                  </w:pict>
                </mc:Fallback>
              </mc:AlternateContent>
            </w:r>
            <w:r w:rsidR="00166CB4" w:rsidRPr="006D7D12">
              <w:rPr>
                <w:noProof/>
              </w:rPr>
              <mc:AlternateContent>
                <mc:Choice Requires="wps">
                  <w:drawing>
                    <wp:anchor distT="0" distB="0" distL="114300" distR="114300" simplePos="0" relativeHeight="251625472" behindDoc="0" locked="0" layoutInCell="1" allowOverlap="1" wp14:anchorId="7F128AC0" wp14:editId="092E7433">
                      <wp:simplePos x="0" y="0"/>
                      <wp:positionH relativeFrom="column">
                        <wp:posOffset>286385</wp:posOffset>
                      </wp:positionH>
                      <wp:positionV relativeFrom="paragraph">
                        <wp:posOffset>902970</wp:posOffset>
                      </wp:positionV>
                      <wp:extent cx="257810" cy="0"/>
                      <wp:effectExtent l="0" t="76200" r="27940" b="95250"/>
                      <wp:wrapNone/>
                      <wp:docPr id="357739939" name="Přímá spojnice se šipkou 17"/>
                      <wp:cNvGraphicFramePr/>
                      <a:graphic xmlns:a="http://schemas.openxmlformats.org/drawingml/2006/main">
                        <a:graphicData uri="http://schemas.microsoft.com/office/word/2010/wordprocessingShape">
                          <wps:wsp>
                            <wps:cNvCnPr/>
                            <wps:spPr>
                              <a:xfrm>
                                <a:off x="0" y="0"/>
                                <a:ext cx="2578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9DB923" id="Přímá spojnice se šipkou 17" o:spid="_x0000_s1026" type="#_x0000_t32" style="position:absolute;margin-left:22.55pt;margin-top:71.1pt;width:20.3pt;height:0;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" strokecolor="black [3040]">
                      <v:stroke endarrow="block"/>
                    </v:shape>
                  </w:pict>
                </mc:Fallback>
              </mc:AlternateContent>
            </w:r>
            <w:r w:rsidR="00166CB4" w:rsidRPr="006D7D12">
              <w:rPr>
                <w:noProof/>
              </w:rPr>
              <mc:AlternateContent>
                <mc:Choice Requires="wps">
                  <w:drawing>
                    <wp:anchor distT="0" distB="0" distL="114300" distR="114300" simplePos="0" relativeHeight="251682816" behindDoc="0" locked="0" layoutInCell="1" allowOverlap="1" wp14:anchorId="1BB6A74F" wp14:editId="3983D8A7">
                      <wp:simplePos x="0" y="0"/>
                      <wp:positionH relativeFrom="column">
                        <wp:posOffset>973455</wp:posOffset>
                      </wp:positionH>
                      <wp:positionV relativeFrom="paragraph">
                        <wp:posOffset>27940</wp:posOffset>
                      </wp:positionV>
                      <wp:extent cx="0" cy="257810"/>
                      <wp:effectExtent l="76200" t="0" r="57150" b="66040"/>
                      <wp:wrapNone/>
                      <wp:docPr id="2061292404" name="Přímá spojnice se šipkou 20"/>
                      <wp:cNvGraphicFramePr/>
                      <a:graphic xmlns:a="http://schemas.openxmlformats.org/drawingml/2006/main">
                        <a:graphicData uri="http://schemas.microsoft.com/office/word/2010/wordprocessingShape">
                          <wps:wsp>
                            <wps:cNvCnPr/>
                            <wps:spPr>
                              <a:xfrm>
                                <a:off x="0" y="0"/>
                                <a:ext cx="0"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649AA" id="Přímá spojnice se šipkou 20" o:spid="_x0000_s1026" type="#_x0000_t32" style="position:absolute;margin-left:76.65pt;margin-top:2.2pt;width:0;height:20.3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" strokecolor="black [3040]">
                      <v:stroke endarrow="block"/>
                    </v:shape>
                  </w:pict>
                </mc:Fallback>
              </mc:AlternateContent>
            </w:r>
            <w:r w:rsidR="00B73075" w:rsidRPr="006D7D12">
              <w:rPr>
                <w:noProof/>
              </w:rPr>
              <w:drawing>
                <wp:inline distT="0" distB="0" distL="0" distR="0" wp14:anchorId="3945945F" wp14:editId="4568A1A0">
                  <wp:extent cx="2704617" cy="1800000"/>
                  <wp:effectExtent l="0" t="4762" r="0" b="0"/>
                  <wp:docPr id="140538523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rot="16200000">
                            <a:off x="0" y="0"/>
                            <a:ext cx="2704617" cy="1800000"/>
                          </a:xfrm>
                          <a:prstGeom prst="rect">
                            <a:avLst/>
                          </a:prstGeom>
                          <a:noFill/>
                          <a:ln>
                            <a:noFill/>
                          </a:ln>
                        </pic:spPr>
                      </pic:pic>
                    </a:graphicData>
                  </a:graphic>
                </wp:inline>
              </w:drawing>
            </w:r>
          </w:p>
        </w:tc>
        <w:tc>
          <w:tcPr>
            <w:tcW w:w="5658" w:type="dxa"/>
          </w:tcPr>
          <w:p w14:paraId="5E403627" w14:textId="0C3796ED" w:rsidR="00B73075" w:rsidRPr="006D7D12" w:rsidRDefault="00BB6B64" w:rsidP="002B1808">
            <w:pPr>
              <w:pStyle w:val="CETBodytext"/>
            </w:pPr>
            <w:r w:rsidRPr="006D7D12">
              <w:rPr>
                <w:noProof/>
              </w:rPr>
              <w:drawing>
                <wp:inline distT="0" distB="0" distL="0" distR="0" wp14:anchorId="4BA5CBE7" wp14:editId="58DD6A80">
                  <wp:extent cx="2696316" cy="1800000"/>
                  <wp:effectExtent l="0" t="8890" r="0" b="0"/>
                  <wp:docPr id="1492969010"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rot="16200000">
                            <a:off x="0" y="0"/>
                            <a:ext cx="2696316" cy="1800000"/>
                          </a:xfrm>
                          <a:prstGeom prst="rect">
                            <a:avLst/>
                          </a:prstGeom>
                          <a:noFill/>
                          <a:ln>
                            <a:noFill/>
                          </a:ln>
                        </pic:spPr>
                      </pic:pic>
                    </a:graphicData>
                  </a:graphic>
                </wp:inline>
              </w:drawing>
            </w:r>
          </w:p>
        </w:tc>
      </w:tr>
    </w:tbl>
    <w:p w14:paraId="1E6DDB75" w14:textId="337230BA" w:rsidR="00F46498" w:rsidRDefault="00416AAF" w:rsidP="00416AAF">
      <w:pPr>
        <w:pStyle w:val="CETBodytextItalic"/>
        <w:rPr>
          <w:lang w:val="en-US"/>
        </w:rPr>
      </w:pPr>
      <w:r w:rsidRPr="006D7D12">
        <w:rPr>
          <w:lang w:val="en-US"/>
        </w:rPr>
        <w:t xml:space="preserve">Figure </w:t>
      </w:r>
      <w:r w:rsidRPr="006D7D12">
        <w:rPr>
          <w:lang w:val="en-US"/>
        </w:rPr>
        <w:fldChar w:fldCharType="begin"/>
      </w:r>
      <w:r w:rsidRPr="006D7D12">
        <w:rPr>
          <w:lang w:val="en-US"/>
        </w:rPr>
        <w:instrText xml:space="preserve"> SEQ Figure \* ARABIC </w:instrText>
      </w:r>
      <w:r w:rsidRPr="006D7D12">
        <w:rPr>
          <w:lang w:val="en-US"/>
        </w:rPr>
        <w:fldChar w:fldCharType="separate"/>
      </w:r>
      <w:r w:rsidR="006C4972" w:rsidRPr="006D7D12">
        <w:rPr>
          <w:noProof/>
          <w:lang w:val="en-US"/>
        </w:rPr>
        <w:t>1</w:t>
      </w:r>
      <w:r w:rsidRPr="006D7D12">
        <w:rPr>
          <w:lang w:val="en-US"/>
        </w:rPr>
        <w:fldChar w:fldCharType="end"/>
      </w:r>
      <w:r w:rsidRPr="006D7D12">
        <w:rPr>
          <w:lang w:val="en-US"/>
        </w:rPr>
        <w:t xml:space="preserve"> Pressure cylinder experimental setup</w:t>
      </w:r>
    </w:p>
    <w:p w14:paraId="3B0F92A8" w14:textId="77777777" w:rsidR="00CD4973" w:rsidRDefault="00CD4973" w:rsidP="00CD4973">
      <w:pPr>
        <w:pStyle w:val="CETBodytext"/>
      </w:pPr>
      <w:r w:rsidRPr="006D7D12">
        <w:t xml:space="preserve">During the experiments, critical parameters such as the destruction pressure and the shell temperature of the cylinders were continuously monitored and recorded. High-speed cameras and advanced sensors were </w:t>
      </w:r>
      <w:r w:rsidRPr="006D7D12">
        <w:lastRenderedPageBreak/>
        <w:t>employed to document the sequence of events leading to cylinder failure. Fragmentation patterns were carefully documented and analyzed to assess the potential hazards associated with cylinder rupture.</w:t>
      </w:r>
    </w:p>
    <w:p w14:paraId="5F7A172A" w14:textId="77777777" w:rsidR="00CD4973" w:rsidRPr="006D7D12" w:rsidRDefault="00CD4973" w:rsidP="00CD4973">
      <w:pPr>
        <w:pStyle w:val="CETBodytext"/>
      </w:pPr>
      <w:r w:rsidRPr="006D7D12">
        <w:t>The internal pressure during thermal heating was measured using a BD Sensors 17.600 G transducer with a specified range and an accuracy of 0.5%. The transducer was connected to the valve outlet via an adapter and insulated pipelines. To ensure accurate and safe measurements, the pressure pipelines and valve were fully insulated before each test.</w:t>
      </w:r>
    </w:p>
    <w:p w14:paraId="69D781D1" w14:textId="77777777" w:rsidR="00CD4973" w:rsidRDefault="00CD4973" w:rsidP="00CD4973">
      <w:pPr>
        <w:pStyle w:val="CETBodytext"/>
      </w:pPr>
      <w:r w:rsidRPr="006D7D12">
        <w:t xml:space="preserve">Thermocouples (Type K) were installed circumferentially around the pressure cylinder at 90° intervals at three height levels: 1200 mm (A), 700 mm (B), and 250 mm (C) from the cylinder base. At each height, thermocouples were positioned at four points: 1, 2, 3, and 4, with position 1 aligned with the valve outlet. To ensure accurate temperature readings of the cylinder shell and minimize interference from external heat sources, the thermocouples were insulated with heat-resistant fabric. The placement of the thermocouples can be seen in Figure 1, which also illustrates the arrangement of the trays filled later with diesel fuel used to create the fire conditions including remote control pyrotechnical ignition. </w:t>
      </w:r>
    </w:p>
    <w:p w14:paraId="6B230F51" w14:textId="0B9C2DC8" w:rsidR="00CD4973" w:rsidRPr="00CD4973" w:rsidRDefault="00CD4973" w:rsidP="00CD4973">
      <w:pPr>
        <w:pStyle w:val="CETBodytext"/>
      </w:pPr>
      <w:r w:rsidRPr="00CD4973">
        <w:t>This comprehensive setup allowed for precise data collection and analysis, providing valuable insights into the thermal and mechanical behavior of pressure cylinders in fire scenarios. The findings contribute to a deeper understanding of safety measures needed for high-pressure gas storage under extreme conditions.</w:t>
      </w:r>
    </w:p>
    <w:p w14:paraId="677EBFF0" w14:textId="0453127D" w:rsidR="00600535" w:rsidRPr="006D7D12" w:rsidRDefault="00F75697" w:rsidP="00600535">
      <w:pPr>
        <w:pStyle w:val="CETHeading1"/>
        <w:tabs>
          <w:tab w:val="clear" w:pos="360"/>
          <w:tab w:val="right" w:pos="7100"/>
        </w:tabs>
        <w:jc w:val="both"/>
      </w:pPr>
      <w:r w:rsidRPr="006D7D12">
        <w:t>Results and discussion</w:t>
      </w:r>
    </w:p>
    <w:p w14:paraId="7F9EB1FF" w14:textId="5617B83D" w:rsidR="006C4972" w:rsidRPr="006D7D12" w:rsidRDefault="004C7297" w:rsidP="00A10FB6">
      <w:pPr>
        <w:pStyle w:val="CETBodytext"/>
      </w:pPr>
      <w:r w:rsidRPr="006D7D12">
        <w:t>The</w:t>
      </w:r>
      <w:r w:rsidR="00C05A6D">
        <w:t xml:space="preserve"> t</w:t>
      </w:r>
      <w:r w:rsidRPr="006D7D12">
        <w:t>able</w:t>
      </w:r>
      <w:r w:rsidR="00DA059F">
        <w:t xml:space="preserve"> </w:t>
      </w:r>
      <w:proofErr w:type="spellStart"/>
      <w:r w:rsidR="00DA059F">
        <w:t>balow</w:t>
      </w:r>
      <w:proofErr w:type="spellEnd"/>
      <w:r w:rsidRPr="006D7D12">
        <w:t xml:space="preserve"> summarizes the results of </w:t>
      </w:r>
      <w:r w:rsidR="00063325" w:rsidRPr="006D7D12">
        <w:t>experimental</w:t>
      </w:r>
      <w:r w:rsidRPr="006D7D12">
        <w:t xml:space="preserve"> measurements. A total of four pressure cylinders filled with compressed gas at 300 </w:t>
      </w:r>
      <w:r w:rsidR="00256579" w:rsidRPr="006D7D12">
        <w:t>bars</w:t>
      </w:r>
      <w:r w:rsidRPr="006D7D12">
        <w:t xml:space="preserve"> were exposed to fire conditions. Specifically, this included two cylinders of hydrogen and two of nitrogen. For the cylinder "Nitrogen 1," a leak occurred through the pressure measurement piping system after two minutes. As a result, the cylinder was neutralized by successive </w:t>
      </w:r>
      <w:r w:rsidR="00015F2C" w:rsidRPr="006D7D12">
        <w:t>releasing the pressure via shooting</w:t>
      </w:r>
      <w:r w:rsidRPr="006D7D12">
        <w:t xml:space="preserve"> to ensure safety.</w:t>
      </w:r>
      <w:r w:rsidR="00830C9B" w:rsidRPr="006D7D12">
        <w:t xml:space="preserve"> </w:t>
      </w:r>
      <w:r w:rsidR="000854AA" w:rsidRPr="006D7D12">
        <w:t xml:space="preserve">The results of this intervention can be seen in </w:t>
      </w:r>
      <w:r w:rsidR="00503024" w:rsidRPr="006D7D12">
        <w:t>Figure</w:t>
      </w:r>
      <w:r w:rsidR="000854AA" w:rsidRPr="006D7D12">
        <w:t xml:space="preserve"> </w:t>
      </w:r>
      <w:r w:rsidR="008F2D54" w:rsidRPr="006D7D12">
        <w:t>2</w:t>
      </w:r>
      <w:r w:rsidR="000854AA" w:rsidRPr="006D7D12">
        <w:t>.</w:t>
      </w:r>
      <w:r w:rsidR="008A6FC3" w:rsidRPr="006D7D12">
        <w:t xml:space="preserve"> </w:t>
      </w:r>
    </w:p>
    <w:p w14:paraId="66FAF595" w14:textId="77777777" w:rsidR="006C4972" w:rsidRPr="006D7D12" w:rsidRDefault="006C4972" w:rsidP="006C4972">
      <w:pPr>
        <w:pStyle w:val="CETBodytext"/>
        <w:keepNext/>
      </w:pPr>
      <w:r w:rsidRPr="006D7D12">
        <w:rPr>
          <w:noProof/>
        </w:rPr>
        <w:drawing>
          <wp:inline distT="0" distB="0" distL="0" distR="0" wp14:anchorId="0AC71127" wp14:editId="0DF38D3F">
            <wp:extent cx="1887420" cy="1260000"/>
            <wp:effectExtent l="0" t="0" r="0" b="0"/>
            <wp:docPr id="1717275942"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1887420" cy="1260000"/>
                    </a:xfrm>
                    <a:prstGeom prst="rect">
                      <a:avLst/>
                    </a:prstGeom>
                    <a:noFill/>
                    <a:ln>
                      <a:noFill/>
                    </a:ln>
                  </pic:spPr>
                </pic:pic>
              </a:graphicData>
            </a:graphic>
          </wp:inline>
        </w:drawing>
      </w:r>
    </w:p>
    <w:p w14:paraId="453228CC" w14:textId="0ADC8B9D" w:rsidR="006C4972" w:rsidRPr="006D7D12" w:rsidRDefault="006C4972" w:rsidP="006C4972">
      <w:pPr>
        <w:pStyle w:val="CETBodytextItalic"/>
        <w:rPr>
          <w:lang w:val="en-US"/>
        </w:rPr>
      </w:pPr>
      <w:r w:rsidRPr="006D7D12">
        <w:rPr>
          <w:lang w:val="en-US"/>
        </w:rPr>
        <w:t xml:space="preserve">Figure </w:t>
      </w:r>
      <w:r w:rsidRPr="006D7D12">
        <w:rPr>
          <w:lang w:val="en-US"/>
        </w:rPr>
        <w:fldChar w:fldCharType="begin"/>
      </w:r>
      <w:r w:rsidRPr="006D7D12">
        <w:rPr>
          <w:lang w:val="en-US"/>
        </w:rPr>
        <w:instrText xml:space="preserve"> SEQ Figure \* ARABIC </w:instrText>
      </w:r>
      <w:r w:rsidRPr="006D7D12">
        <w:rPr>
          <w:lang w:val="en-US"/>
        </w:rPr>
        <w:fldChar w:fldCharType="separate"/>
      </w:r>
      <w:r w:rsidRPr="006D7D12">
        <w:rPr>
          <w:noProof/>
          <w:lang w:val="en-US"/>
        </w:rPr>
        <w:t>2</w:t>
      </w:r>
      <w:r w:rsidRPr="006D7D12">
        <w:rPr>
          <w:lang w:val="en-US"/>
        </w:rPr>
        <w:fldChar w:fldCharType="end"/>
      </w:r>
      <w:r w:rsidRPr="006D7D12">
        <w:rPr>
          <w:lang w:val="en-US"/>
        </w:rPr>
        <w:t xml:space="preserve"> "Nitrogen 1" cylinder after </w:t>
      </w:r>
      <w:r w:rsidR="003C0F3A">
        <w:rPr>
          <w:lang w:val="en-US"/>
        </w:rPr>
        <w:t>neutralization</w:t>
      </w:r>
    </w:p>
    <w:p w14:paraId="1B6DD527" w14:textId="77777777" w:rsidR="003C0F3A" w:rsidRDefault="003C0F3A" w:rsidP="00A10FB6">
      <w:pPr>
        <w:pStyle w:val="CETBodytext"/>
      </w:pPr>
    </w:p>
    <w:p w14:paraId="37BAD675" w14:textId="6E67B3E9" w:rsidR="00DD1057" w:rsidRPr="006D7D12" w:rsidRDefault="00A10FB6" w:rsidP="00A10FB6">
      <w:pPr>
        <w:pStyle w:val="CETBodytext"/>
      </w:pPr>
      <w:r w:rsidRPr="006D7D12">
        <w:t xml:space="preserve">For the "Nitrogen 2" cylinder, failure occurred after 6 minutes at a pressure of 732 bar. The physical destruction generated 7 fragments that dispersed into the surrounding area. The "Hydrogen 1" cylinder failed after 8 minutes; however, pressure data recording was unfortunately lost during the test. For the "Hydrogen 2" cylinder, destruction occurred after 6 minutes at a pressure of 512 bar. The hydrogen cylinders generated one main fragment along with </w:t>
      </w:r>
      <w:r w:rsidR="003D2281" w:rsidRPr="006D7D12">
        <w:t>a few</w:t>
      </w:r>
      <w:r w:rsidRPr="006D7D12">
        <w:t xml:space="preserve"> smaller pieces, specifically 2 and 4 fragments, respectively.</w:t>
      </w:r>
    </w:p>
    <w:p w14:paraId="0B215760" w14:textId="1E711E2A" w:rsidR="00DD1057" w:rsidRPr="006D7D12" w:rsidRDefault="00DD1057" w:rsidP="00DD1057">
      <w:pPr>
        <w:pStyle w:val="CETTabletitle"/>
        <w:rPr>
          <w:lang w:val="en-US"/>
        </w:rPr>
      </w:pPr>
      <w:r w:rsidRPr="006D7D12">
        <w:rPr>
          <w:lang w:val="en-US"/>
        </w:rPr>
        <w:t xml:space="preserve">Table 1: </w:t>
      </w:r>
      <w:r w:rsidR="00C243C0" w:rsidRPr="006D7D12">
        <w:rPr>
          <w:lang w:val="en-US"/>
        </w:rPr>
        <w:t>Experimental tests results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276"/>
        <w:gridCol w:w="1276"/>
        <w:gridCol w:w="1276"/>
        <w:gridCol w:w="1275"/>
      </w:tblGrid>
      <w:tr w:rsidR="00CB41FE" w:rsidRPr="006D7D12" w14:paraId="1FCE2928" w14:textId="77777777" w:rsidTr="002D4629">
        <w:tc>
          <w:tcPr>
            <w:tcW w:w="1276" w:type="dxa"/>
            <w:tcBorders>
              <w:top w:val="single" w:sz="12" w:space="0" w:color="008000"/>
              <w:bottom w:val="single" w:sz="6" w:space="0" w:color="008000"/>
            </w:tcBorders>
            <w:shd w:val="clear" w:color="auto" w:fill="FFFFFF"/>
          </w:tcPr>
          <w:p w14:paraId="56800E2A" w14:textId="77777777" w:rsidR="00C6657B" w:rsidRPr="006D7D12" w:rsidRDefault="00CB41FE" w:rsidP="00DC290E">
            <w:pPr>
              <w:pStyle w:val="CETBodytext"/>
            </w:pPr>
            <w:r w:rsidRPr="006D7D12">
              <w:t xml:space="preserve">Pressure </w:t>
            </w:r>
          </w:p>
          <w:p w14:paraId="1921ABE2" w14:textId="6C1E03AE" w:rsidR="00CB41FE" w:rsidRPr="006D7D12" w:rsidRDefault="00CB41FE" w:rsidP="00DC290E">
            <w:pPr>
              <w:pStyle w:val="CETBodytext"/>
            </w:pPr>
            <w:r w:rsidRPr="006D7D12">
              <w:t xml:space="preserve">cylinder </w:t>
            </w:r>
          </w:p>
        </w:tc>
        <w:tc>
          <w:tcPr>
            <w:tcW w:w="1276" w:type="dxa"/>
            <w:tcBorders>
              <w:top w:val="single" w:sz="12" w:space="0" w:color="008000"/>
              <w:bottom w:val="single" w:sz="6" w:space="0" w:color="008000"/>
            </w:tcBorders>
            <w:shd w:val="clear" w:color="auto" w:fill="FFFFFF"/>
          </w:tcPr>
          <w:p w14:paraId="312FEB10" w14:textId="77777777" w:rsidR="00C6657B" w:rsidRPr="006D7D12" w:rsidRDefault="00CB41FE" w:rsidP="00DC290E">
            <w:pPr>
              <w:pStyle w:val="CETBodytext"/>
            </w:pPr>
            <w:r w:rsidRPr="006D7D12">
              <w:t xml:space="preserve">Destruction </w:t>
            </w:r>
          </w:p>
          <w:p w14:paraId="3BCBC4CF" w14:textId="09AC4717" w:rsidR="00CB41FE" w:rsidRPr="006D7D12" w:rsidRDefault="00CB41FE" w:rsidP="00DC290E">
            <w:pPr>
              <w:pStyle w:val="CETBodytext"/>
            </w:pPr>
            <w:r w:rsidRPr="006D7D12">
              <w:t>time</w:t>
            </w:r>
          </w:p>
        </w:tc>
        <w:tc>
          <w:tcPr>
            <w:tcW w:w="1276" w:type="dxa"/>
            <w:tcBorders>
              <w:top w:val="single" w:sz="12" w:space="0" w:color="008000"/>
              <w:bottom w:val="single" w:sz="6" w:space="0" w:color="008000"/>
            </w:tcBorders>
            <w:shd w:val="clear" w:color="auto" w:fill="FFFFFF"/>
          </w:tcPr>
          <w:p w14:paraId="06030B89" w14:textId="77777777" w:rsidR="00C6657B" w:rsidRPr="006D7D12" w:rsidRDefault="00CB41FE" w:rsidP="00DC290E">
            <w:pPr>
              <w:pStyle w:val="CETBodytext"/>
            </w:pPr>
            <w:r w:rsidRPr="006D7D12">
              <w:t xml:space="preserve">Destruction </w:t>
            </w:r>
          </w:p>
          <w:p w14:paraId="134A0C86" w14:textId="111CD82F" w:rsidR="00CB41FE" w:rsidRPr="006D7D12" w:rsidRDefault="00C6657B" w:rsidP="00DC290E">
            <w:pPr>
              <w:pStyle w:val="CETBodytext"/>
            </w:pPr>
            <w:r w:rsidRPr="006D7D12">
              <w:t>p</w:t>
            </w:r>
            <w:r w:rsidR="00CB41FE" w:rsidRPr="006D7D12">
              <w:t xml:space="preserve">ressure </w:t>
            </w:r>
          </w:p>
        </w:tc>
        <w:tc>
          <w:tcPr>
            <w:tcW w:w="1275" w:type="dxa"/>
            <w:tcBorders>
              <w:top w:val="single" w:sz="12" w:space="0" w:color="008000"/>
              <w:bottom w:val="single" w:sz="6" w:space="0" w:color="008000"/>
            </w:tcBorders>
            <w:shd w:val="clear" w:color="auto" w:fill="FFFFFF"/>
          </w:tcPr>
          <w:p w14:paraId="21F9A6CD" w14:textId="77777777" w:rsidR="00C6657B" w:rsidRPr="006D7D12" w:rsidRDefault="00CB41FE" w:rsidP="00DC290E">
            <w:pPr>
              <w:pStyle w:val="CETBodytext"/>
              <w:ind w:right="-1"/>
              <w:rPr>
                <w:rFonts w:cs="Arial"/>
                <w:szCs w:val="18"/>
              </w:rPr>
            </w:pPr>
            <w:r w:rsidRPr="006D7D12">
              <w:rPr>
                <w:rFonts w:cs="Arial"/>
                <w:szCs w:val="18"/>
              </w:rPr>
              <w:t>Number</w:t>
            </w:r>
          </w:p>
          <w:p w14:paraId="1ACF238F" w14:textId="6AF29FC7" w:rsidR="00CB41FE" w:rsidRPr="006D7D12" w:rsidRDefault="00C6657B" w:rsidP="00DC290E">
            <w:pPr>
              <w:pStyle w:val="CETBodytext"/>
              <w:ind w:right="-1"/>
              <w:rPr>
                <w:rFonts w:cs="Arial"/>
                <w:szCs w:val="18"/>
              </w:rPr>
            </w:pPr>
            <w:r w:rsidRPr="006D7D12">
              <w:rPr>
                <w:rFonts w:cs="Arial"/>
                <w:szCs w:val="18"/>
              </w:rPr>
              <w:t xml:space="preserve"> </w:t>
            </w:r>
            <w:r w:rsidR="00CB41FE" w:rsidRPr="006D7D12">
              <w:rPr>
                <w:rFonts w:cs="Arial"/>
                <w:szCs w:val="18"/>
              </w:rPr>
              <w:t>of fragments</w:t>
            </w:r>
          </w:p>
        </w:tc>
      </w:tr>
      <w:tr w:rsidR="00CB41FE" w:rsidRPr="006D7D12" w14:paraId="145FE6FB" w14:textId="77777777" w:rsidTr="002D4629">
        <w:tc>
          <w:tcPr>
            <w:tcW w:w="1276" w:type="dxa"/>
            <w:tcBorders>
              <w:top w:val="single" w:sz="12" w:space="0" w:color="008000"/>
              <w:bottom w:val="single" w:sz="6" w:space="0" w:color="008000"/>
            </w:tcBorders>
            <w:shd w:val="clear" w:color="auto" w:fill="FFFFFF"/>
          </w:tcPr>
          <w:p w14:paraId="430DAEC2" w14:textId="77777777" w:rsidR="00CB41FE" w:rsidRPr="006D7D12" w:rsidRDefault="00CB41FE" w:rsidP="00DC290E">
            <w:pPr>
              <w:pStyle w:val="CETBodytext"/>
            </w:pPr>
            <w:r w:rsidRPr="006D7D12">
              <w:t>Nitrogen 1</w:t>
            </w:r>
          </w:p>
        </w:tc>
        <w:tc>
          <w:tcPr>
            <w:tcW w:w="1276" w:type="dxa"/>
            <w:tcBorders>
              <w:top w:val="single" w:sz="12" w:space="0" w:color="008000"/>
              <w:bottom w:val="single" w:sz="6" w:space="0" w:color="008000"/>
            </w:tcBorders>
            <w:shd w:val="clear" w:color="auto" w:fill="FFFFFF"/>
          </w:tcPr>
          <w:p w14:paraId="7EF63066" w14:textId="512C3593" w:rsidR="00CB41FE" w:rsidRPr="006D7D12" w:rsidRDefault="00CB41FE" w:rsidP="00DC290E">
            <w:pPr>
              <w:pStyle w:val="CETBodytext"/>
            </w:pPr>
            <w:r w:rsidRPr="006D7D12">
              <w:t>-</w:t>
            </w:r>
          </w:p>
        </w:tc>
        <w:tc>
          <w:tcPr>
            <w:tcW w:w="1276" w:type="dxa"/>
            <w:tcBorders>
              <w:top w:val="single" w:sz="12" w:space="0" w:color="008000"/>
              <w:bottom w:val="single" w:sz="6" w:space="0" w:color="008000"/>
            </w:tcBorders>
            <w:shd w:val="clear" w:color="auto" w:fill="FFFFFF"/>
          </w:tcPr>
          <w:p w14:paraId="45ABB6C9" w14:textId="77777777" w:rsidR="00CB41FE" w:rsidRPr="006D7D12" w:rsidRDefault="00CB41FE" w:rsidP="00DC290E">
            <w:pPr>
              <w:pStyle w:val="CETBodytext"/>
            </w:pPr>
            <w:r w:rsidRPr="006D7D12">
              <w:t>-</w:t>
            </w:r>
          </w:p>
        </w:tc>
        <w:tc>
          <w:tcPr>
            <w:tcW w:w="1275" w:type="dxa"/>
            <w:tcBorders>
              <w:top w:val="single" w:sz="12" w:space="0" w:color="008000"/>
              <w:bottom w:val="single" w:sz="6" w:space="0" w:color="008000"/>
            </w:tcBorders>
            <w:shd w:val="clear" w:color="auto" w:fill="FFFFFF"/>
          </w:tcPr>
          <w:p w14:paraId="67900F10" w14:textId="77777777" w:rsidR="00CB41FE" w:rsidRPr="006D7D12" w:rsidRDefault="00CB41FE" w:rsidP="00DC290E">
            <w:pPr>
              <w:pStyle w:val="CETBodytext"/>
              <w:ind w:right="-1"/>
              <w:rPr>
                <w:rFonts w:cs="Arial"/>
                <w:szCs w:val="18"/>
              </w:rPr>
            </w:pPr>
            <w:r w:rsidRPr="006D7D12">
              <w:rPr>
                <w:rFonts w:cs="Arial"/>
                <w:szCs w:val="18"/>
              </w:rPr>
              <w:t>-</w:t>
            </w:r>
          </w:p>
        </w:tc>
      </w:tr>
      <w:tr w:rsidR="007658F4" w:rsidRPr="006D7D12" w14:paraId="7C87DF31" w14:textId="77777777" w:rsidTr="002D4629">
        <w:trPr>
          <w:trHeight w:val="108"/>
        </w:trPr>
        <w:tc>
          <w:tcPr>
            <w:tcW w:w="1276" w:type="dxa"/>
            <w:tcBorders>
              <w:top w:val="single" w:sz="12" w:space="0" w:color="008000"/>
              <w:bottom w:val="single" w:sz="6" w:space="0" w:color="008000"/>
            </w:tcBorders>
            <w:shd w:val="clear" w:color="auto" w:fill="FFFFFF"/>
          </w:tcPr>
          <w:p w14:paraId="7DF4078B" w14:textId="77777777" w:rsidR="007658F4" w:rsidRPr="006D7D12" w:rsidRDefault="007658F4" w:rsidP="00F770EB">
            <w:pPr>
              <w:pStyle w:val="CETBodytext"/>
            </w:pPr>
            <w:r w:rsidRPr="006D7D12">
              <w:t>Nitrogen 2</w:t>
            </w:r>
          </w:p>
        </w:tc>
        <w:tc>
          <w:tcPr>
            <w:tcW w:w="1276" w:type="dxa"/>
            <w:tcBorders>
              <w:top w:val="single" w:sz="12" w:space="0" w:color="008000"/>
              <w:bottom w:val="single" w:sz="6" w:space="0" w:color="008000"/>
            </w:tcBorders>
            <w:shd w:val="clear" w:color="auto" w:fill="FFFFFF"/>
          </w:tcPr>
          <w:p w14:paraId="15D25510" w14:textId="77777777" w:rsidR="007658F4" w:rsidRPr="006D7D12" w:rsidRDefault="007658F4" w:rsidP="00F770EB">
            <w:pPr>
              <w:pStyle w:val="CETBodytext"/>
            </w:pPr>
            <w:r w:rsidRPr="006D7D12">
              <w:t>6 min</w:t>
            </w:r>
          </w:p>
        </w:tc>
        <w:tc>
          <w:tcPr>
            <w:tcW w:w="1276" w:type="dxa"/>
            <w:tcBorders>
              <w:top w:val="single" w:sz="12" w:space="0" w:color="008000"/>
              <w:bottom w:val="single" w:sz="6" w:space="0" w:color="008000"/>
            </w:tcBorders>
            <w:shd w:val="clear" w:color="auto" w:fill="FFFFFF"/>
          </w:tcPr>
          <w:p w14:paraId="4115FA23" w14:textId="77777777" w:rsidR="007658F4" w:rsidRPr="006D7D12" w:rsidRDefault="007658F4" w:rsidP="00F770EB">
            <w:pPr>
              <w:pStyle w:val="CETBodytext"/>
            </w:pPr>
            <w:r w:rsidRPr="006D7D12">
              <w:t xml:space="preserve">732 </w:t>
            </w:r>
            <w:proofErr w:type="gramStart"/>
            <w:r w:rsidRPr="006D7D12">
              <w:t>bar</w:t>
            </w:r>
            <w:proofErr w:type="gramEnd"/>
          </w:p>
        </w:tc>
        <w:tc>
          <w:tcPr>
            <w:tcW w:w="1275" w:type="dxa"/>
            <w:tcBorders>
              <w:top w:val="single" w:sz="12" w:space="0" w:color="008000"/>
              <w:bottom w:val="single" w:sz="6" w:space="0" w:color="008000"/>
            </w:tcBorders>
            <w:shd w:val="clear" w:color="auto" w:fill="FFFFFF"/>
          </w:tcPr>
          <w:p w14:paraId="0329FAD1" w14:textId="77777777" w:rsidR="007658F4" w:rsidRPr="006D7D12" w:rsidRDefault="007658F4" w:rsidP="00F770EB">
            <w:pPr>
              <w:pStyle w:val="CETBodytext"/>
              <w:ind w:right="-1"/>
              <w:rPr>
                <w:rFonts w:cs="Arial"/>
                <w:szCs w:val="18"/>
              </w:rPr>
            </w:pPr>
            <w:r w:rsidRPr="006D7D12">
              <w:rPr>
                <w:rFonts w:cs="Arial"/>
                <w:szCs w:val="18"/>
              </w:rPr>
              <w:t xml:space="preserve">7 </w:t>
            </w:r>
          </w:p>
        </w:tc>
      </w:tr>
      <w:tr w:rsidR="007658F4" w:rsidRPr="006D7D12" w14:paraId="0D2D2E30" w14:textId="77777777" w:rsidTr="002D4629">
        <w:tc>
          <w:tcPr>
            <w:tcW w:w="1276" w:type="dxa"/>
            <w:tcBorders>
              <w:top w:val="single" w:sz="12" w:space="0" w:color="008000"/>
              <w:bottom w:val="single" w:sz="6" w:space="0" w:color="008000"/>
            </w:tcBorders>
            <w:shd w:val="clear" w:color="auto" w:fill="FFFFFF"/>
          </w:tcPr>
          <w:p w14:paraId="51A7F226" w14:textId="2A8EEF05" w:rsidR="007658F4" w:rsidRPr="006D7D12" w:rsidRDefault="007658F4" w:rsidP="007658F4">
            <w:pPr>
              <w:pStyle w:val="CETBodytext"/>
            </w:pPr>
            <w:r w:rsidRPr="006D7D12">
              <w:t>Hydrogen 1</w:t>
            </w:r>
          </w:p>
        </w:tc>
        <w:tc>
          <w:tcPr>
            <w:tcW w:w="1276" w:type="dxa"/>
            <w:tcBorders>
              <w:top w:val="single" w:sz="12" w:space="0" w:color="008000"/>
              <w:bottom w:val="single" w:sz="6" w:space="0" w:color="008000"/>
            </w:tcBorders>
            <w:shd w:val="clear" w:color="auto" w:fill="FFFFFF"/>
          </w:tcPr>
          <w:p w14:paraId="33016F20" w14:textId="4874610B" w:rsidR="007658F4" w:rsidRPr="006D7D12" w:rsidRDefault="007658F4" w:rsidP="007658F4">
            <w:pPr>
              <w:pStyle w:val="CETBodytext"/>
            </w:pPr>
            <w:r w:rsidRPr="006D7D12">
              <w:t>8 min</w:t>
            </w:r>
          </w:p>
        </w:tc>
        <w:tc>
          <w:tcPr>
            <w:tcW w:w="1276" w:type="dxa"/>
            <w:tcBorders>
              <w:top w:val="single" w:sz="12" w:space="0" w:color="008000"/>
              <w:bottom w:val="single" w:sz="6" w:space="0" w:color="008000"/>
            </w:tcBorders>
            <w:shd w:val="clear" w:color="auto" w:fill="FFFFFF"/>
          </w:tcPr>
          <w:p w14:paraId="5910F7DD" w14:textId="33BBAEC0" w:rsidR="007658F4" w:rsidRPr="006D7D12" w:rsidRDefault="007658F4" w:rsidP="007658F4">
            <w:pPr>
              <w:pStyle w:val="CETBodytext"/>
            </w:pPr>
            <w:r w:rsidRPr="006D7D12">
              <w:t>-</w:t>
            </w:r>
          </w:p>
        </w:tc>
        <w:tc>
          <w:tcPr>
            <w:tcW w:w="1275" w:type="dxa"/>
            <w:tcBorders>
              <w:top w:val="single" w:sz="12" w:space="0" w:color="008000"/>
              <w:bottom w:val="single" w:sz="6" w:space="0" w:color="008000"/>
            </w:tcBorders>
            <w:shd w:val="clear" w:color="auto" w:fill="FFFFFF"/>
          </w:tcPr>
          <w:p w14:paraId="7B01BFEF" w14:textId="0C53406C" w:rsidR="007658F4" w:rsidRPr="006D7D12" w:rsidRDefault="004F7A28" w:rsidP="007658F4">
            <w:pPr>
              <w:pStyle w:val="CETBodytext"/>
              <w:ind w:right="-1"/>
              <w:rPr>
                <w:rFonts w:cs="Arial"/>
                <w:szCs w:val="18"/>
              </w:rPr>
            </w:pPr>
            <w:r w:rsidRPr="006D7D12">
              <w:rPr>
                <w:rFonts w:cs="Arial"/>
                <w:szCs w:val="18"/>
              </w:rPr>
              <w:t>5</w:t>
            </w:r>
          </w:p>
        </w:tc>
      </w:tr>
      <w:tr w:rsidR="00670366" w:rsidRPr="006D7D12" w14:paraId="6CBE01C1" w14:textId="77777777" w:rsidTr="002D4629">
        <w:tc>
          <w:tcPr>
            <w:tcW w:w="1276" w:type="dxa"/>
            <w:tcBorders>
              <w:top w:val="single" w:sz="12" w:space="0" w:color="008000"/>
              <w:bottom w:val="single" w:sz="6" w:space="0" w:color="008000"/>
            </w:tcBorders>
            <w:shd w:val="clear" w:color="auto" w:fill="FFFFFF"/>
          </w:tcPr>
          <w:p w14:paraId="7B82B00E" w14:textId="249A0B74" w:rsidR="00670366" w:rsidRPr="006D7D12" w:rsidRDefault="00670366" w:rsidP="00670366">
            <w:pPr>
              <w:pStyle w:val="CETBodytext"/>
            </w:pPr>
            <w:r w:rsidRPr="006D7D12">
              <w:t>Hydrogen 2</w:t>
            </w:r>
          </w:p>
        </w:tc>
        <w:tc>
          <w:tcPr>
            <w:tcW w:w="1276" w:type="dxa"/>
            <w:tcBorders>
              <w:top w:val="single" w:sz="12" w:space="0" w:color="008000"/>
              <w:bottom w:val="single" w:sz="6" w:space="0" w:color="008000"/>
            </w:tcBorders>
            <w:shd w:val="clear" w:color="auto" w:fill="FFFFFF"/>
          </w:tcPr>
          <w:p w14:paraId="5FA8F308" w14:textId="44B635A9" w:rsidR="00670366" w:rsidRPr="006D7D12" w:rsidRDefault="00670366" w:rsidP="00670366">
            <w:pPr>
              <w:pStyle w:val="CETBodytext"/>
            </w:pPr>
            <w:r w:rsidRPr="006D7D12">
              <w:t>6 min</w:t>
            </w:r>
          </w:p>
        </w:tc>
        <w:tc>
          <w:tcPr>
            <w:tcW w:w="1276" w:type="dxa"/>
            <w:tcBorders>
              <w:top w:val="single" w:sz="12" w:space="0" w:color="008000"/>
              <w:bottom w:val="single" w:sz="6" w:space="0" w:color="008000"/>
            </w:tcBorders>
            <w:shd w:val="clear" w:color="auto" w:fill="FFFFFF"/>
          </w:tcPr>
          <w:p w14:paraId="6F80741D" w14:textId="1D356A0A" w:rsidR="00670366" w:rsidRPr="006D7D12" w:rsidRDefault="00670366" w:rsidP="00670366">
            <w:pPr>
              <w:pStyle w:val="CETBodytext"/>
            </w:pPr>
            <w:r w:rsidRPr="006D7D12">
              <w:t xml:space="preserve">512 </w:t>
            </w:r>
            <w:proofErr w:type="gramStart"/>
            <w:r w:rsidRPr="006D7D12">
              <w:t>bar</w:t>
            </w:r>
            <w:proofErr w:type="gramEnd"/>
          </w:p>
        </w:tc>
        <w:tc>
          <w:tcPr>
            <w:tcW w:w="1275" w:type="dxa"/>
            <w:tcBorders>
              <w:top w:val="single" w:sz="12" w:space="0" w:color="008000"/>
              <w:bottom w:val="single" w:sz="6" w:space="0" w:color="008000"/>
            </w:tcBorders>
            <w:shd w:val="clear" w:color="auto" w:fill="FFFFFF"/>
          </w:tcPr>
          <w:p w14:paraId="2DF36031" w14:textId="5BD916AE" w:rsidR="00670366" w:rsidRPr="006D7D12" w:rsidRDefault="004F7A28" w:rsidP="00670366">
            <w:pPr>
              <w:pStyle w:val="CETBodytext"/>
              <w:ind w:right="-1"/>
              <w:rPr>
                <w:rFonts w:cs="Arial"/>
                <w:szCs w:val="18"/>
              </w:rPr>
            </w:pPr>
            <w:r w:rsidRPr="006D7D12">
              <w:rPr>
                <w:rFonts w:cs="Arial"/>
                <w:szCs w:val="18"/>
              </w:rPr>
              <w:t>3</w:t>
            </w:r>
          </w:p>
        </w:tc>
      </w:tr>
    </w:tbl>
    <w:p w14:paraId="52686CC3" w14:textId="77777777" w:rsidR="00DD1057" w:rsidRPr="006D7D12" w:rsidRDefault="00DD1057" w:rsidP="00295BCD">
      <w:pPr>
        <w:pStyle w:val="CETBodytext"/>
      </w:pPr>
    </w:p>
    <w:p w14:paraId="6EC83FBB" w14:textId="5AC59B0D" w:rsidR="00EC0AED" w:rsidRPr="006D7D12" w:rsidRDefault="00061027" w:rsidP="00EC0AED">
      <w:pPr>
        <w:pStyle w:val="CETBodytext"/>
      </w:pPr>
      <w:r w:rsidRPr="006D7D12">
        <w:t>The highest temperatures</w:t>
      </w:r>
      <w:r w:rsidR="001316E3">
        <w:t xml:space="preserve"> </w:t>
      </w:r>
      <w:r w:rsidRPr="006D7D12">
        <w:t>were recorded in the lower section of the cylinder, with a peak of 575°</w:t>
      </w:r>
      <w:proofErr w:type="spellStart"/>
      <w:r w:rsidRPr="006D7D12">
        <w:t>C at</w:t>
      </w:r>
      <w:proofErr w:type="spellEnd"/>
      <w:r w:rsidRPr="006D7D12">
        <w:t xml:space="preserve"> position C, followed by 370°</w:t>
      </w:r>
      <w:proofErr w:type="spellStart"/>
      <w:r w:rsidRPr="006D7D12">
        <w:t>C at</w:t>
      </w:r>
      <w:proofErr w:type="spellEnd"/>
      <w:r w:rsidRPr="006D7D12">
        <w:t xml:space="preserve"> position B, and 320°</w:t>
      </w:r>
      <w:proofErr w:type="spellStart"/>
      <w:r w:rsidRPr="006D7D12">
        <w:t>C at</w:t>
      </w:r>
      <w:proofErr w:type="spellEnd"/>
      <w:r w:rsidRPr="006D7D12">
        <w:t xml:space="preserve"> position A. In </w:t>
      </w:r>
      <w:r w:rsidR="00721E27" w:rsidRPr="006D7D12">
        <w:t>both</w:t>
      </w:r>
      <w:r w:rsidRPr="006D7D12">
        <w:t xml:space="preserve"> cases of tested hydrogen cylinder failure, structural integrity was compromised in the lower section, resulting in its destruction. This confirms that the lower part of the cylinder experienced the highest thermal stress, leading to its failure. In these instances, the cylinders ruptured at a pressure of 512 bar, approximately 200 bar lower than the tested destruction pressure of 740 bar under normal conditions.</w:t>
      </w:r>
      <w:r w:rsidR="00B80A66" w:rsidRPr="006D7D12">
        <w:t xml:space="preserve"> In the case of "Nitrogen 2," the cylinder experienced </w:t>
      </w:r>
      <w:proofErr w:type="gramStart"/>
      <w:r w:rsidR="00B80A66" w:rsidRPr="006D7D12">
        <w:t>total destruction</w:t>
      </w:r>
      <w:proofErr w:type="gramEnd"/>
      <w:r w:rsidR="00B80A66" w:rsidRPr="006D7D12">
        <w:t>, breaking into multiple pieces. Subsequent analysis of the recordings revealed approximately 7 fragments of the cylinder that were propelled into the surrounding area.</w:t>
      </w:r>
      <w:r w:rsidR="00EC0AED" w:rsidRPr="006D7D12">
        <w:t xml:space="preserve"> The experiments revealed a definitive correlation between thermal exposure and the pressure increase that ultimately leads to cylinder failure. Notably, the degradation was most </w:t>
      </w:r>
      <w:r w:rsidR="00EC0AED" w:rsidRPr="006D7D12">
        <w:lastRenderedPageBreak/>
        <w:t xml:space="preserve">pronounced in the lower sections of the cylinders, which were subjected to the highest levels of thermal stress. The pressure </w:t>
      </w:r>
      <w:proofErr w:type="gramStart"/>
      <w:r w:rsidR="00EC0AED" w:rsidRPr="006D7D12">
        <w:t>at the moment</w:t>
      </w:r>
      <w:proofErr w:type="gramEnd"/>
      <w:r w:rsidR="00EC0AED" w:rsidRPr="006D7D12">
        <w:t xml:space="preserve"> of failure was considerably lower than the destruction pressure observed under normal conditions, highlighting the critical role of heat in compromising the structural integrity of the cylinder.</w:t>
      </w:r>
    </w:p>
    <w:p w14:paraId="1341CFD0" w14:textId="6DD1D3FC" w:rsidR="00EC0AED" w:rsidRPr="006D7D12" w:rsidRDefault="00EC0AED" w:rsidP="00EC0AED">
      <w:pPr>
        <w:pStyle w:val="CETBodytext"/>
      </w:pPr>
      <w:r w:rsidRPr="006D7D12">
        <w:t xml:space="preserve">Fragmentation patterns varied significantly depending on the type of gas. For instance, nitrogen cylinders produced extensive fragmentation upon failure, with numerous high-velocity fragments posing a severe safety risk. In comparison, hydrogen cylinders generally fragmented into fewer large pieces along with smaller fragments, which still </w:t>
      </w:r>
      <w:r w:rsidR="00123D61" w:rsidRPr="006D7D12">
        <w:t>present</w:t>
      </w:r>
      <w:r w:rsidRPr="006D7D12">
        <w:t xml:space="preserve"> hazards due to fireball generation and fragment dispersion.</w:t>
      </w:r>
    </w:p>
    <w:p w14:paraId="58DA33C6" w14:textId="4F013961" w:rsidR="00722B63" w:rsidRPr="006D7D12" w:rsidRDefault="002D4629" w:rsidP="00722B63">
      <w:pPr>
        <w:pStyle w:val="CETheadingx"/>
      </w:pPr>
      <w:r w:rsidRPr="006D7D12">
        <w:t>Hydrogen’s destructions</w:t>
      </w:r>
    </w:p>
    <w:p w14:paraId="6114DD69" w14:textId="6186C036" w:rsidR="008E54AB" w:rsidRPr="006D7D12" w:rsidRDefault="005207B8" w:rsidP="008E54AB">
      <w:pPr>
        <w:pStyle w:val="CETBodytext"/>
      </w:pPr>
      <w:r w:rsidRPr="006D7D12">
        <w:t xml:space="preserve">Figure </w:t>
      </w:r>
      <w:r w:rsidR="00830C9B" w:rsidRPr="006D7D12">
        <w:t>3</w:t>
      </w:r>
      <w:r w:rsidR="00157FDE">
        <w:t xml:space="preserve"> below</w:t>
      </w:r>
      <w:r w:rsidR="00116E26" w:rsidRPr="006D7D12">
        <w:t xml:space="preserve"> </w:t>
      </w:r>
      <w:r w:rsidR="00123D61" w:rsidRPr="006D7D12">
        <w:t>depicts</w:t>
      </w:r>
      <w:r w:rsidR="00116E26" w:rsidRPr="006D7D12">
        <w:t xml:space="preserve"> the destruction process of the hydrogen cylinder, specifically "Hydrogen 2." In the detailed ground view, the propagation of the pressure wave is visible, reaching </w:t>
      </w:r>
      <w:proofErr w:type="gramStart"/>
      <w:r w:rsidR="00116E26" w:rsidRPr="006D7D12">
        <w:t>a distance of approximately</w:t>
      </w:r>
      <w:proofErr w:type="gramEnd"/>
      <w:r w:rsidR="00116E26" w:rsidRPr="006D7D12">
        <w:t xml:space="preserve"> 66 meters in about 0.16 seconds.</w:t>
      </w:r>
      <w:r w:rsidR="00F84F28" w:rsidRPr="006D7D12">
        <w:t xml:space="preserve"> The thermal camera footage reveals two fragments propagating from the point of destruction, which are difficult to discern with a standard camera. In a later phase, the main fragment of the pressure cylinder is also visible, having been propelled to </w:t>
      </w:r>
      <w:proofErr w:type="gramStart"/>
      <w:r w:rsidR="00F84F28" w:rsidRPr="006D7D12">
        <w:t xml:space="preserve">a distance of </w:t>
      </w:r>
      <w:r w:rsidR="00C501AA" w:rsidRPr="006D7D12">
        <w:t>6</w:t>
      </w:r>
      <w:proofErr w:type="gramEnd"/>
      <w:r w:rsidR="00F84F28" w:rsidRPr="006D7D12">
        <w:t xml:space="preserve"> meters.</w:t>
      </w:r>
      <w:r w:rsidR="00EA1AC5" w:rsidRPr="006D7D12">
        <w:t xml:space="preserve"> </w:t>
      </w:r>
      <w:r w:rsidR="008E54AB" w:rsidRPr="006D7D12">
        <w:t xml:space="preserve">In the second case involving the hydrogen cylinder, the main fragment was located 7 meters from the point of destruction. Smaller fragments, </w:t>
      </w:r>
      <w:r w:rsidR="003D2281" w:rsidRPr="006D7D12">
        <w:t>totaling</w:t>
      </w:r>
      <w:r w:rsidR="008E54AB" w:rsidRPr="006D7D12">
        <w:t xml:space="preserve"> four, dispersed into the surrounding area, reaching </w:t>
      </w:r>
      <w:proofErr w:type="gramStart"/>
      <w:r w:rsidR="008E54AB" w:rsidRPr="006D7D12">
        <w:t>a distance of 100</w:t>
      </w:r>
      <w:proofErr w:type="gramEnd"/>
      <w:r w:rsidR="008E54AB" w:rsidRPr="006D7D12">
        <w:t xml:space="preserve"> meters in approximately 0.63 seconds. The recording also captured their trajectories and the changes in movement upon impact with the ground. Unfortunately, it was not possible to locate the fragments in the open area, but it is likely that they travelled a final distance of more than 200 meters.</w:t>
      </w:r>
    </w:p>
    <w:p w14:paraId="5861142D" w14:textId="77777777" w:rsidR="00FD0AF4" w:rsidRPr="006D7D12" w:rsidRDefault="00FD0AF4" w:rsidP="00295BCD">
      <w:pPr>
        <w:pStyle w:val="CET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279"/>
      </w:tblGrid>
      <w:tr w:rsidR="00455D93" w:rsidRPr="006D7D12" w14:paraId="45EF984D" w14:textId="77777777" w:rsidTr="00EA1AC5">
        <w:tc>
          <w:tcPr>
            <w:tcW w:w="4508" w:type="dxa"/>
          </w:tcPr>
          <w:p w14:paraId="768DD4DC" w14:textId="4124791F" w:rsidR="00455D93" w:rsidRPr="006D7D12" w:rsidRDefault="004C4D0A" w:rsidP="00EA1AC5">
            <w:pPr>
              <w:pStyle w:val="CETBodytext"/>
              <w:ind w:left="-247"/>
            </w:pPr>
            <w:r w:rsidRPr="006D7D12">
              <w:rPr>
                <w:noProof/>
              </w:rPr>
              <w:drawing>
                <wp:inline distT="0" distB="0" distL="0" distR="0" wp14:anchorId="2F47638B" wp14:editId="5FD44F98">
                  <wp:extent cx="2624182" cy="1980000"/>
                  <wp:effectExtent l="0" t="0" r="5080" b="1270"/>
                  <wp:docPr id="210585123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hq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2624182"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79" w:type="dxa"/>
          </w:tcPr>
          <w:p w14:paraId="3A2C0604" w14:textId="467B9273" w:rsidR="00455D93" w:rsidRPr="006D7D12" w:rsidRDefault="00F00652" w:rsidP="00EA1AC5">
            <w:pPr>
              <w:pStyle w:val="CETBodytext"/>
              <w:jc w:val="left"/>
            </w:pPr>
            <w:r w:rsidRPr="006D7D12">
              <w:rPr>
                <w:noProof/>
              </w:rPr>
              <mc:AlternateContent>
                <mc:Choice Requires="wps">
                  <w:drawing>
                    <wp:anchor distT="0" distB="0" distL="114300" distR="114300" simplePos="0" relativeHeight="251507712" behindDoc="0" locked="0" layoutInCell="1" allowOverlap="1" wp14:anchorId="045DDA9C" wp14:editId="52402198">
                      <wp:simplePos x="0" y="0"/>
                      <wp:positionH relativeFrom="column">
                        <wp:posOffset>805815</wp:posOffset>
                      </wp:positionH>
                      <wp:positionV relativeFrom="paragraph">
                        <wp:posOffset>711771</wp:posOffset>
                      </wp:positionV>
                      <wp:extent cx="142875" cy="276225"/>
                      <wp:effectExtent l="0" t="0" r="47625" b="47625"/>
                      <wp:wrapNone/>
                      <wp:docPr id="322102081" name="Přímá spojnice se šipkou 1"/>
                      <wp:cNvGraphicFramePr/>
                      <a:graphic xmlns:a="http://schemas.openxmlformats.org/drawingml/2006/main">
                        <a:graphicData uri="http://schemas.microsoft.com/office/word/2010/wordprocessingShape">
                          <wps:wsp>
                            <wps:cNvCnPr/>
                            <wps:spPr>
                              <a:xfrm>
                                <a:off x="0" y="0"/>
                                <a:ext cx="14287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E27315" id="Přímá spojnice se šipkou 1" o:spid="_x0000_s1026" type="#_x0000_t32" style="position:absolute;margin-left:63.45pt;margin-top:56.05pt;width:11.25pt;height:21.75pt;z-index:251507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" strokecolor="black [3040]">
                      <v:stroke endarrow="block"/>
                    </v:shape>
                  </w:pict>
                </mc:Fallback>
              </mc:AlternateContent>
            </w:r>
            <w:r w:rsidRPr="006D7D12">
              <w:rPr>
                <w:noProof/>
              </w:rPr>
              <mc:AlternateContent>
                <mc:Choice Requires="wps">
                  <w:drawing>
                    <wp:anchor distT="0" distB="0" distL="114300" distR="114300" simplePos="0" relativeHeight="251509760" behindDoc="0" locked="0" layoutInCell="1" allowOverlap="1" wp14:anchorId="45A8E0AC" wp14:editId="41354602">
                      <wp:simplePos x="0" y="0"/>
                      <wp:positionH relativeFrom="column">
                        <wp:posOffset>824166</wp:posOffset>
                      </wp:positionH>
                      <wp:positionV relativeFrom="paragraph">
                        <wp:posOffset>1095211</wp:posOffset>
                      </wp:positionV>
                      <wp:extent cx="95250" cy="323850"/>
                      <wp:effectExtent l="0" t="38100" r="57150" b="19050"/>
                      <wp:wrapNone/>
                      <wp:docPr id="1210900865" name="Přímá spojnice se šipkou 2"/>
                      <wp:cNvGraphicFramePr/>
                      <a:graphic xmlns:a="http://schemas.openxmlformats.org/drawingml/2006/main">
                        <a:graphicData uri="http://schemas.microsoft.com/office/word/2010/wordprocessingShape">
                          <wps:wsp>
                            <wps:cNvCnPr/>
                            <wps:spPr>
                              <a:xfrm flipV="1">
                                <a:off x="0" y="0"/>
                                <a:ext cx="9525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264B57" id="Přímá spojnice se šipkou 2" o:spid="_x0000_s1026" type="#_x0000_t32" style="position:absolute;margin-left:64.9pt;margin-top:86.25pt;width:7.5pt;height:25.5pt;flip:y;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" strokecolor="black [3040]">
                      <v:stroke endarrow="block"/>
                    </v:shape>
                  </w:pict>
                </mc:Fallback>
              </mc:AlternateContent>
            </w:r>
            <w:r w:rsidR="000259B0" w:rsidRPr="006D7D12">
              <w:rPr>
                <w:noProof/>
              </w:rPr>
              <w:drawing>
                <wp:inline distT="0" distB="0" distL="0" distR="0" wp14:anchorId="1E394A87" wp14:editId="7DEF122F">
                  <wp:extent cx="2484447" cy="1980000"/>
                  <wp:effectExtent l="0" t="0" r="0" b="1270"/>
                  <wp:docPr id="303245556"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hqprint">
                            <a:extLst>
                              <a:ext uri="{28A0092B-C50C-407E-A947-70E740481C1C}">
                                <a14:useLocalDpi xmlns:a14="http://schemas.microsoft.com/office/drawing/2010/main"/>
                              </a:ext>
                            </a:extLst>
                          </a:blip>
                          <a:srcRect/>
                          <a:stretch/>
                        </pic:blipFill>
                        <pic:spPr bwMode="auto">
                          <a:xfrm>
                            <a:off x="0" y="0"/>
                            <a:ext cx="2484447" cy="198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D2E2B1" w14:textId="56BD997D" w:rsidR="00FD0AF4" w:rsidRPr="006D7D12" w:rsidRDefault="00F84F28" w:rsidP="00F84F28">
      <w:pPr>
        <w:pStyle w:val="CETCaption"/>
        <w:rPr>
          <w:rStyle w:val="CETCaptionCarattere"/>
          <w:i/>
          <w:lang w:val="en-US"/>
        </w:rPr>
      </w:pPr>
      <w:r w:rsidRPr="006D7D12">
        <w:rPr>
          <w:rStyle w:val="CETCaptionCarattere"/>
          <w:i/>
          <w:lang w:val="en-US"/>
        </w:rPr>
        <w:t xml:space="preserve">Figure </w:t>
      </w:r>
      <w:r w:rsidRPr="006D7D12">
        <w:rPr>
          <w:rStyle w:val="CETCaptionCarattere"/>
          <w:i/>
          <w:lang w:val="en-US"/>
        </w:rPr>
        <w:fldChar w:fldCharType="begin"/>
      </w:r>
      <w:r w:rsidRPr="006D7D12">
        <w:rPr>
          <w:rStyle w:val="CETCaptionCarattere"/>
          <w:i/>
          <w:lang w:val="en-US"/>
        </w:rPr>
        <w:instrText xml:space="preserve"> SEQ Figure \* ARABIC </w:instrText>
      </w:r>
      <w:r w:rsidRPr="006D7D12">
        <w:rPr>
          <w:rStyle w:val="CETCaptionCarattere"/>
          <w:i/>
          <w:lang w:val="en-US"/>
        </w:rPr>
        <w:fldChar w:fldCharType="separate"/>
      </w:r>
      <w:r w:rsidR="006C4972" w:rsidRPr="006D7D12">
        <w:rPr>
          <w:rStyle w:val="CETCaptionCarattere"/>
          <w:i/>
          <w:noProof/>
          <w:lang w:val="en-US"/>
        </w:rPr>
        <w:t>3</w:t>
      </w:r>
      <w:r w:rsidRPr="006D7D12">
        <w:rPr>
          <w:rStyle w:val="CETCaptionCarattere"/>
          <w:i/>
          <w:lang w:val="en-US"/>
        </w:rPr>
        <w:fldChar w:fldCharType="end"/>
      </w:r>
      <w:r w:rsidRPr="006D7D12">
        <w:rPr>
          <w:rStyle w:val="CETCaptionCarattere"/>
          <w:i/>
          <w:lang w:val="en-US"/>
        </w:rPr>
        <w:t xml:space="preserve"> Destruction of </w:t>
      </w:r>
      <w:r w:rsidR="001C11C3" w:rsidRPr="006D7D12">
        <w:rPr>
          <w:rStyle w:val="CETCaptionCarattere"/>
          <w:i/>
          <w:lang w:val="en-US"/>
        </w:rPr>
        <w:t>“H</w:t>
      </w:r>
      <w:r w:rsidRPr="006D7D12">
        <w:rPr>
          <w:rStyle w:val="CETCaptionCarattere"/>
          <w:i/>
          <w:lang w:val="en-US"/>
        </w:rPr>
        <w:t>ydrogen</w:t>
      </w:r>
      <w:r w:rsidR="001C11C3" w:rsidRPr="006D7D12">
        <w:rPr>
          <w:rStyle w:val="CETCaptionCarattere"/>
          <w:i/>
          <w:lang w:val="en-US"/>
        </w:rPr>
        <w:t xml:space="preserve"> 2”</w:t>
      </w:r>
      <w:r w:rsidRPr="006D7D12">
        <w:rPr>
          <w:rStyle w:val="CETCaptionCarattere"/>
          <w:i/>
          <w:lang w:val="en-US"/>
        </w:rPr>
        <w:t xml:space="preserve"> pressure cylinder</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4751"/>
      </w:tblGrid>
      <w:tr w:rsidR="00A25112" w:rsidRPr="006D7D12" w14:paraId="2B37234A" w14:textId="77777777" w:rsidTr="006C4972">
        <w:trPr>
          <w:trHeight w:val="2416"/>
        </w:trPr>
        <w:tc>
          <w:tcPr>
            <w:tcW w:w="3934" w:type="dxa"/>
          </w:tcPr>
          <w:p w14:paraId="4D6A0B71" w14:textId="26FB7032" w:rsidR="00B6431E" w:rsidRPr="006D7D12" w:rsidRDefault="00A25112" w:rsidP="00B6431E">
            <w:pPr>
              <w:ind w:left="-105"/>
              <w:rPr>
                <w:noProof/>
                <w:lang w:val="en-US"/>
              </w:rPr>
            </w:pPr>
            <w:r w:rsidRPr="006D7D12">
              <w:rPr>
                <w:noProof/>
                <w:lang w:val="en-US"/>
              </w:rPr>
              <w:drawing>
                <wp:inline distT="0" distB="0" distL="0" distR="0" wp14:anchorId="3B09225F" wp14:editId="546FEAE7">
                  <wp:extent cx="2266321" cy="1512000"/>
                  <wp:effectExtent l="0" t="0" r="635" b="0"/>
                  <wp:docPr id="243515001"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2266321" cy="1512000"/>
                          </a:xfrm>
                          <a:prstGeom prst="rect">
                            <a:avLst/>
                          </a:prstGeom>
                          <a:noFill/>
                          <a:ln>
                            <a:noFill/>
                          </a:ln>
                        </pic:spPr>
                      </pic:pic>
                    </a:graphicData>
                  </a:graphic>
                </wp:inline>
              </w:drawing>
            </w:r>
          </w:p>
        </w:tc>
        <w:tc>
          <w:tcPr>
            <w:tcW w:w="4751" w:type="dxa"/>
          </w:tcPr>
          <w:p w14:paraId="7845DCDE" w14:textId="5F84F47B" w:rsidR="00775973" w:rsidRPr="006D7D12" w:rsidRDefault="00A7069F" w:rsidP="00E750AC">
            <w:pPr>
              <w:pStyle w:val="CETBodytext"/>
              <w:keepNext/>
            </w:pPr>
            <w:r w:rsidRPr="006D7D12">
              <w:rPr>
                <w:noProof/>
              </w:rPr>
              <mc:AlternateContent>
                <mc:Choice Requires="wps">
                  <w:drawing>
                    <wp:anchor distT="0" distB="0" distL="114300" distR="114300" simplePos="0" relativeHeight="251520000" behindDoc="0" locked="0" layoutInCell="1" allowOverlap="1" wp14:anchorId="6706F948" wp14:editId="59C643EB">
                      <wp:simplePos x="0" y="0"/>
                      <wp:positionH relativeFrom="column">
                        <wp:posOffset>1000479</wp:posOffset>
                      </wp:positionH>
                      <wp:positionV relativeFrom="paragraph">
                        <wp:posOffset>207645</wp:posOffset>
                      </wp:positionV>
                      <wp:extent cx="619125" cy="609600"/>
                      <wp:effectExtent l="0" t="0" r="28575" b="19050"/>
                      <wp:wrapNone/>
                      <wp:docPr id="627585306" name="Ovál 8"/>
                      <wp:cNvGraphicFramePr/>
                      <a:graphic xmlns:a="http://schemas.openxmlformats.org/drawingml/2006/main">
                        <a:graphicData uri="http://schemas.microsoft.com/office/word/2010/wordprocessingShape">
                          <wps:wsp>
                            <wps:cNvSpPr/>
                            <wps:spPr>
                              <a:xfrm>
                                <a:off x="0" y="0"/>
                                <a:ext cx="619125" cy="609600"/>
                              </a:xfrm>
                              <a:prstGeom prst="ellipse">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0164A" id="Ovál 8" o:spid="_x0000_s1026" style="position:absolute;margin-left:78.8pt;margin-top:16.35pt;width:48.75pt;height:48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" filled="f" strokecolor="#c00000" strokeweight="2pt"/>
                  </w:pict>
                </mc:Fallback>
              </mc:AlternateContent>
            </w:r>
            <w:r w:rsidR="00775973" w:rsidRPr="006D7D12">
              <w:rPr>
                <w:noProof/>
              </w:rPr>
              <w:drawing>
                <wp:inline distT="0" distB="0" distL="0" distR="0" wp14:anchorId="396DAC80" wp14:editId="075B448B">
                  <wp:extent cx="2686257" cy="1512000"/>
                  <wp:effectExtent l="0" t="0" r="0" b="0"/>
                  <wp:docPr id="1776447520" name="Obrázek 10" descr="Obsah obrázku oheň, tráva, venku, exploz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49006" name="Obrázek 10" descr="Obsah obrázku oheň, tráva, venku, exploze&#10;&#10;Popis byl vytvořen automaticky"/>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686257" cy="1512000"/>
                          </a:xfrm>
                          <a:prstGeom prst="rect">
                            <a:avLst/>
                          </a:prstGeom>
                          <a:noFill/>
                          <a:ln>
                            <a:noFill/>
                          </a:ln>
                        </pic:spPr>
                      </pic:pic>
                    </a:graphicData>
                  </a:graphic>
                </wp:inline>
              </w:drawing>
            </w:r>
          </w:p>
        </w:tc>
      </w:tr>
    </w:tbl>
    <w:p w14:paraId="6D0F0430" w14:textId="073D39DC" w:rsidR="00F84F28" w:rsidRPr="006D7D12" w:rsidRDefault="00E750AC" w:rsidP="00E750AC">
      <w:pPr>
        <w:pStyle w:val="CETCaption"/>
        <w:rPr>
          <w:rStyle w:val="CETCaptionCarattere"/>
          <w:i/>
          <w:lang w:val="en-US"/>
        </w:rPr>
      </w:pPr>
      <w:r w:rsidRPr="006D7D12">
        <w:rPr>
          <w:rStyle w:val="CETCaptionCarattere"/>
          <w:i/>
          <w:lang w:val="en-US"/>
        </w:rPr>
        <w:t xml:space="preserve">Figure </w:t>
      </w:r>
      <w:r w:rsidRPr="006D7D12">
        <w:rPr>
          <w:rStyle w:val="CETCaptionCarattere"/>
          <w:i/>
          <w:lang w:val="en-US"/>
        </w:rPr>
        <w:fldChar w:fldCharType="begin"/>
      </w:r>
      <w:r w:rsidRPr="006D7D12">
        <w:rPr>
          <w:rStyle w:val="CETCaptionCarattere"/>
          <w:i/>
          <w:lang w:val="en-US"/>
        </w:rPr>
        <w:instrText xml:space="preserve"> SEQ Figure \* ARABIC </w:instrText>
      </w:r>
      <w:r w:rsidRPr="006D7D12">
        <w:rPr>
          <w:rStyle w:val="CETCaptionCarattere"/>
          <w:i/>
          <w:lang w:val="en-US"/>
        </w:rPr>
        <w:fldChar w:fldCharType="separate"/>
      </w:r>
      <w:r w:rsidR="006C4972" w:rsidRPr="006D7D12">
        <w:rPr>
          <w:rStyle w:val="CETCaptionCarattere"/>
          <w:i/>
          <w:noProof/>
          <w:lang w:val="en-US"/>
        </w:rPr>
        <w:t>4</w:t>
      </w:r>
      <w:r w:rsidRPr="006D7D12">
        <w:rPr>
          <w:rStyle w:val="CETCaptionCarattere"/>
          <w:i/>
          <w:lang w:val="en-US"/>
        </w:rPr>
        <w:fldChar w:fldCharType="end"/>
      </w:r>
      <w:r w:rsidRPr="006D7D12">
        <w:rPr>
          <w:rStyle w:val="CETCaptionCarattere"/>
          <w:i/>
          <w:lang w:val="en-US"/>
        </w:rPr>
        <w:t xml:space="preserve"> Detail of the</w:t>
      </w:r>
      <w:r w:rsidR="001C11C3" w:rsidRPr="006D7D12">
        <w:rPr>
          <w:rStyle w:val="CETCaptionCarattere"/>
          <w:i/>
          <w:lang w:val="en-US"/>
        </w:rPr>
        <w:t xml:space="preserve"> “H</w:t>
      </w:r>
      <w:r w:rsidRPr="006D7D12">
        <w:rPr>
          <w:rStyle w:val="CETCaptionCarattere"/>
          <w:i/>
          <w:lang w:val="en-US"/>
        </w:rPr>
        <w:t>ydrogen</w:t>
      </w:r>
      <w:r w:rsidR="001C11C3" w:rsidRPr="006D7D12">
        <w:rPr>
          <w:rStyle w:val="CETCaptionCarattere"/>
          <w:i/>
          <w:lang w:val="en-US"/>
        </w:rPr>
        <w:t xml:space="preserve"> 1”</w:t>
      </w:r>
      <w:r w:rsidRPr="006D7D12">
        <w:rPr>
          <w:rStyle w:val="CETCaptionCarattere"/>
          <w:i/>
          <w:lang w:val="en-US"/>
        </w:rPr>
        <w:t xml:space="preserve"> </w:t>
      </w:r>
      <w:r w:rsidR="00B6431E" w:rsidRPr="006D7D12">
        <w:rPr>
          <w:rStyle w:val="CETCaptionCarattere"/>
          <w:i/>
          <w:lang w:val="en-US"/>
        </w:rPr>
        <w:t xml:space="preserve">fragment and </w:t>
      </w:r>
      <w:r w:rsidR="001C11C3" w:rsidRPr="006D7D12">
        <w:rPr>
          <w:rStyle w:val="CETCaptionCarattere"/>
          <w:i/>
          <w:lang w:val="en-US"/>
        </w:rPr>
        <w:t>e</w:t>
      </w:r>
      <w:r w:rsidRPr="006D7D12">
        <w:rPr>
          <w:rStyle w:val="CETCaptionCarattere"/>
          <w:i/>
          <w:lang w:val="en-US"/>
        </w:rPr>
        <w:t>xplosion</w:t>
      </w:r>
    </w:p>
    <w:p w14:paraId="6B63D35E" w14:textId="1CAC0F29" w:rsidR="006C4972" w:rsidRPr="006D7D12" w:rsidRDefault="006C4972" w:rsidP="006C4972">
      <w:pPr>
        <w:pStyle w:val="CETBodytext"/>
        <w:rPr>
          <w:rStyle w:val="CETCaptionCarattere"/>
          <w:i w:val="0"/>
          <w:lang w:val="en-US"/>
        </w:rPr>
      </w:pPr>
      <w:r w:rsidRPr="006D7D12">
        <w:rPr>
          <w:rStyle w:val="CETCaptionCarattere"/>
          <w:i w:val="0"/>
          <w:lang w:val="en-US"/>
        </w:rPr>
        <w:t xml:space="preserve">In the detailed footage of destruction events of the “Hydrogen 1” (see Figure </w:t>
      </w:r>
      <w:r w:rsidR="00830C9B" w:rsidRPr="006D7D12">
        <w:rPr>
          <w:rStyle w:val="CETCaptionCarattere"/>
          <w:i w:val="0"/>
          <w:lang w:val="en-US"/>
        </w:rPr>
        <w:t>4</w:t>
      </w:r>
      <w:r w:rsidRPr="006D7D12">
        <w:rPr>
          <w:rStyle w:val="CETCaptionCarattere"/>
          <w:i w:val="0"/>
          <w:lang w:val="en-US"/>
        </w:rPr>
        <w:t xml:space="preserve">), the main fragment of the pressure cylinder (circled) is clearly visible. </w:t>
      </w:r>
      <w:r w:rsidRPr="006D7D12">
        <w:t xml:space="preserve">The detailed image of the fragment highlights the sharpness of the shrapnel and the nature of its rupture, where a piece of the cylinder's lower section tore away, creating sharp edges. In this case, approximately 3 smaller fragments were generated, flying outward from the explosion site. </w:t>
      </w:r>
      <w:r w:rsidRPr="006D7D12">
        <w:rPr>
          <w:rStyle w:val="CETCaptionCarattere"/>
          <w:i w:val="0"/>
          <w:lang w:val="en-US"/>
        </w:rPr>
        <w:t xml:space="preserve">Additionally, droplets of spread flammable liquid can be observed, which contributed to the development of a fireball that reached unusually large dimensions. This can also be described as an explosion of a so-called hybrid mixture under real-world conditions, as it involves the presence of both flammable gas and flammable liquid vapors. </w:t>
      </w:r>
    </w:p>
    <w:p w14:paraId="04963A06" w14:textId="260B2DC3" w:rsidR="00600535" w:rsidRPr="006D7D12" w:rsidRDefault="0090544F" w:rsidP="00FA5F5F">
      <w:pPr>
        <w:pStyle w:val="CETheadingx"/>
      </w:pPr>
      <w:bookmarkStart w:id="1" w:name="_Hlk185065812"/>
      <w:r w:rsidRPr="006D7D12">
        <w:lastRenderedPageBreak/>
        <w:t>Nitrogen’s destruction</w:t>
      </w:r>
    </w:p>
    <w:p w14:paraId="72547763" w14:textId="5C47E614" w:rsidR="00E750AC" w:rsidRPr="006D7D12" w:rsidRDefault="00E750AC" w:rsidP="00E750AC">
      <w:pPr>
        <w:pStyle w:val="CETBodytext"/>
      </w:pPr>
      <w:r w:rsidRPr="006D7D12">
        <w:t xml:space="preserve">A nitrogen cylinder pressurized to 300 </w:t>
      </w:r>
      <w:proofErr w:type="gramStart"/>
      <w:r w:rsidRPr="006D7D12">
        <w:t>bar</w:t>
      </w:r>
      <w:proofErr w:type="gramEnd"/>
      <w:r w:rsidRPr="006D7D12">
        <w:t xml:space="preserve"> was exposed to the same conditions as the hydrogen cylinders, with notable differences observed in its destruction and effects. The nitrogen cylinder ruptured at a recorded pressure of 732 </w:t>
      </w:r>
      <w:proofErr w:type="gramStart"/>
      <w:r w:rsidRPr="006D7D12">
        <w:t>bar</w:t>
      </w:r>
      <w:proofErr w:type="gramEnd"/>
      <w:r w:rsidRPr="006D7D12">
        <w:t xml:space="preserve"> after 6 minutes of direct fire exposure. Although nitrogen is a non-flammable gas, the physical explosion created significant turbulence</w:t>
      </w:r>
      <w:r w:rsidR="00A36AB4" w:rsidRPr="006D7D12">
        <w:t>, see right photo</w:t>
      </w:r>
      <w:r w:rsidR="00BA4D52" w:rsidRPr="006D7D12">
        <w:t xml:space="preserve"> of </w:t>
      </w:r>
      <w:r w:rsidR="00D76021" w:rsidRPr="006D7D12">
        <w:t>Figure</w:t>
      </w:r>
      <w:r w:rsidR="00BA4D52" w:rsidRPr="006D7D12">
        <w:t xml:space="preserve"> </w:t>
      </w:r>
      <w:r w:rsidR="001C77EE" w:rsidRPr="006D7D12">
        <w:t>4</w:t>
      </w:r>
      <w:r w:rsidR="00BA4D52" w:rsidRPr="006D7D12">
        <w:t xml:space="preserve">. This </w:t>
      </w:r>
      <w:r w:rsidRPr="006D7D12">
        <w:t xml:space="preserve">led </w:t>
      </w:r>
      <w:r w:rsidR="00BA4D52" w:rsidRPr="006D7D12">
        <w:t>to the dispersion of</w:t>
      </w:r>
      <w:r w:rsidRPr="006D7D12">
        <w:t xml:space="preserve"> diesel vapors</w:t>
      </w:r>
      <w:r w:rsidR="00B91907" w:rsidRPr="006D7D12">
        <w:t xml:space="preserve"> and liquid</w:t>
      </w:r>
      <w:r w:rsidRPr="006D7D12">
        <w:t xml:space="preserve"> and the formation of a large fireball</w:t>
      </w:r>
      <w:r w:rsidR="00B91907" w:rsidRPr="006D7D12">
        <w:t xml:space="preserve"> as s</w:t>
      </w:r>
      <w:r w:rsidR="0066482E" w:rsidRPr="006D7D12">
        <w:t xml:space="preserve">ame as hydrogen destructions. </w:t>
      </w:r>
    </w:p>
    <w:p w14:paraId="4F4576A1" w14:textId="03B27C2D" w:rsidR="0090544F" w:rsidRPr="006D7D12" w:rsidRDefault="00E750AC" w:rsidP="00E750AC">
      <w:pPr>
        <w:pStyle w:val="CETBodytext"/>
      </w:pPr>
      <w:r w:rsidRPr="006D7D12">
        <w:t>This test demonstrated more extensive fragmentation</w:t>
      </w:r>
      <w:r w:rsidR="007B68DE" w:rsidRPr="006D7D12">
        <w:t xml:space="preserve"> (see </w:t>
      </w:r>
      <w:r w:rsidR="00A809D1" w:rsidRPr="006D7D12">
        <w:t xml:space="preserve">Figure </w:t>
      </w:r>
      <w:r w:rsidR="00830C9B" w:rsidRPr="006D7D12">
        <w:t>5</w:t>
      </w:r>
      <w:r w:rsidR="00A809D1" w:rsidRPr="006D7D12">
        <w:t>)</w:t>
      </w:r>
      <w:r w:rsidRPr="006D7D12">
        <w:t xml:space="preserve"> compared to the hydrogen cylinders. The furthest fragment was located 256 meters from the explosion site, though not all fragments could be recovered. </w:t>
      </w:r>
      <w:proofErr w:type="gramStart"/>
      <w:r w:rsidRPr="006D7D12">
        <w:t>Recordings</w:t>
      </w:r>
      <w:proofErr w:type="gramEnd"/>
      <w:r w:rsidRPr="006D7D12">
        <w:t xml:space="preserve"> captured the entire sequence: the physical rupture of the cylinder, rapid gas release, and the subsequent ignition of flammable vapors, culminating in the fireball. </w:t>
      </w:r>
      <w:r w:rsidR="00FD52CA" w:rsidRPr="006D7D12">
        <w:t>Figure</w:t>
      </w:r>
      <w:r w:rsidR="005207B8" w:rsidRPr="006D7D12">
        <w:t xml:space="preserve"> </w:t>
      </w:r>
      <w:r w:rsidR="001C77EE" w:rsidRPr="006D7D12">
        <w:t>4</w:t>
      </w:r>
      <w:r w:rsidRPr="006D7D12">
        <w:t xml:space="preserve"> </w:t>
      </w:r>
      <w:r w:rsidR="00123D61" w:rsidRPr="006D7D12">
        <w:t>showcases</w:t>
      </w:r>
      <w:r w:rsidRPr="006D7D12">
        <w:t xml:space="preserve"> the severity of fragmentation and </w:t>
      </w:r>
      <w:r w:rsidR="00DB2840" w:rsidRPr="006D7D12">
        <w:t>highlights</w:t>
      </w:r>
      <w:r w:rsidRPr="006D7D12">
        <w:t xml:space="preserve"> how the ignition of vapor contributed to the fireball’s size and intensity.</w:t>
      </w:r>
    </w:p>
    <w:p w14:paraId="742008C1" w14:textId="77777777" w:rsidR="00187E52" w:rsidRPr="006D7D12" w:rsidRDefault="00187E52" w:rsidP="00E750AC">
      <w:pPr>
        <w:pStyle w:val="CETBodytext"/>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3"/>
        <w:gridCol w:w="3013"/>
        <w:gridCol w:w="2901"/>
      </w:tblGrid>
      <w:tr w:rsidR="00D3017C" w:rsidRPr="006D7D12" w14:paraId="5A6847B6" w14:textId="251794E3" w:rsidTr="00FC6536">
        <w:tc>
          <w:tcPr>
            <w:tcW w:w="3604" w:type="dxa"/>
          </w:tcPr>
          <w:p w14:paraId="542143AE" w14:textId="45040528" w:rsidR="00FC6536" w:rsidRPr="006D7D12" w:rsidRDefault="00FC6536" w:rsidP="00DC290E">
            <w:pPr>
              <w:ind w:left="-105"/>
              <w:rPr>
                <w:lang w:val="en-US"/>
              </w:rPr>
            </w:pPr>
            <w:r w:rsidRPr="006D7D12">
              <w:rPr>
                <w:noProof/>
                <w:lang w:val="en-US"/>
              </w:rPr>
              <w:drawing>
                <wp:inline distT="0" distB="0" distL="0" distR="0" wp14:anchorId="668BA110" wp14:editId="789655BD">
                  <wp:extent cx="1875964" cy="3024000"/>
                  <wp:effectExtent l="0" t="0" r="0" b="5080"/>
                  <wp:docPr id="184647227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hqprint">
                            <a:extLst>
                              <a:ext uri="{28A0092B-C50C-407E-A947-70E740481C1C}">
                                <a14:useLocalDpi xmlns:a14="http://schemas.microsoft.com/office/drawing/2010/main"/>
                              </a:ext>
                            </a:extLst>
                          </a:blip>
                          <a:srcRect/>
                          <a:stretch/>
                        </pic:blipFill>
                        <pic:spPr bwMode="auto">
                          <a:xfrm>
                            <a:off x="0" y="0"/>
                            <a:ext cx="1875964" cy="30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33" w:type="dxa"/>
            <w:vAlign w:val="center"/>
          </w:tcPr>
          <w:p w14:paraId="1B2E4DB8" w14:textId="7EFC0AC7" w:rsidR="00FC6536" w:rsidRPr="006D7D12" w:rsidRDefault="00D3017C" w:rsidP="005207B8">
            <w:pPr>
              <w:keepNext/>
              <w:jc w:val="center"/>
              <w:rPr>
                <w:lang w:val="en-US"/>
              </w:rPr>
            </w:pPr>
            <w:r w:rsidRPr="006D7D12">
              <w:rPr>
                <w:noProof/>
                <w:lang w:val="en-US"/>
              </w:rPr>
              <mc:AlternateContent>
                <mc:Choice Requires="wps">
                  <w:drawing>
                    <wp:anchor distT="0" distB="0" distL="114300" distR="114300" simplePos="0" relativeHeight="251584512" behindDoc="0" locked="0" layoutInCell="1" allowOverlap="1" wp14:anchorId="1A8860BF" wp14:editId="733B7DD4">
                      <wp:simplePos x="0" y="0"/>
                      <wp:positionH relativeFrom="column">
                        <wp:posOffset>1341120</wp:posOffset>
                      </wp:positionH>
                      <wp:positionV relativeFrom="paragraph">
                        <wp:posOffset>2494280</wp:posOffset>
                      </wp:positionV>
                      <wp:extent cx="63500" cy="247650"/>
                      <wp:effectExtent l="19050" t="38100" r="50800" b="19050"/>
                      <wp:wrapNone/>
                      <wp:docPr id="34380373" name="Přímá spojnice se šipkou 9"/>
                      <wp:cNvGraphicFramePr/>
                      <a:graphic xmlns:a="http://schemas.openxmlformats.org/drawingml/2006/main">
                        <a:graphicData uri="http://schemas.microsoft.com/office/word/2010/wordprocessingShape">
                          <wps:wsp>
                            <wps:cNvCnPr/>
                            <wps:spPr>
                              <a:xfrm flipV="1">
                                <a:off x="0" y="0"/>
                                <a:ext cx="635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45EBA6" id="Přímá spojnice se šipkou 9" o:spid="_x0000_s1026" type="#_x0000_t32" style="position:absolute;margin-left:105.6pt;margin-top:196.4pt;width:5pt;height:19.5pt;flip:y;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" strokecolor="black [3040]">
                      <v:stroke endarrow="block"/>
                    </v:shape>
                  </w:pict>
                </mc:Fallback>
              </mc:AlternateContent>
            </w:r>
            <w:r w:rsidRPr="006D7D12">
              <w:rPr>
                <w:noProof/>
                <w:lang w:val="en-US"/>
              </w:rPr>
              <mc:AlternateContent>
                <mc:Choice Requires="wps">
                  <w:drawing>
                    <wp:anchor distT="0" distB="0" distL="114300" distR="114300" simplePos="0" relativeHeight="251599872" behindDoc="0" locked="0" layoutInCell="1" allowOverlap="1" wp14:anchorId="34A85D7D" wp14:editId="784C65C9">
                      <wp:simplePos x="0" y="0"/>
                      <wp:positionH relativeFrom="column">
                        <wp:posOffset>1463675</wp:posOffset>
                      </wp:positionH>
                      <wp:positionV relativeFrom="paragraph">
                        <wp:posOffset>2307590</wp:posOffset>
                      </wp:positionV>
                      <wp:extent cx="196850" cy="45085"/>
                      <wp:effectExtent l="38100" t="38100" r="12700" b="69215"/>
                      <wp:wrapNone/>
                      <wp:docPr id="1031528769" name="Přímá spojnice se šipkou 9"/>
                      <wp:cNvGraphicFramePr/>
                      <a:graphic xmlns:a="http://schemas.openxmlformats.org/drawingml/2006/main">
                        <a:graphicData uri="http://schemas.microsoft.com/office/word/2010/wordprocessingShape">
                          <wps:wsp>
                            <wps:cNvCnPr/>
                            <wps:spPr>
                              <a:xfrm flipH="1">
                                <a:off x="0" y="0"/>
                                <a:ext cx="196850" cy="450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060CDA" id="Přímá spojnice se šipkou 9" o:spid="_x0000_s1026" type="#_x0000_t32" style="position:absolute;margin-left:115.25pt;margin-top:181.7pt;width:15.5pt;height:3.55pt;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" strokecolor="black [3040]">
                      <v:stroke endarrow="block"/>
                    </v:shape>
                  </w:pict>
                </mc:Fallback>
              </mc:AlternateContent>
            </w:r>
            <w:r w:rsidRPr="006D7D12">
              <w:rPr>
                <w:noProof/>
                <w:lang w:val="en-US"/>
              </w:rPr>
              <mc:AlternateContent>
                <mc:Choice Requires="wps">
                  <w:drawing>
                    <wp:anchor distT="0" distB="0" distL="114300" distR="114300" simplePos="0" relativeHeight="251569152" behindDoc="0" locked="0" layoutInCell="1" allowOverlap="1" wp14:anchorId="6E898866" wp14:editId="615C8B75">
                      <wp:simplePos x="0" y="0"/>
                      <wp:positionH relativeFrom="column">
                        <wp:posOffset>1498600</wp:posOffset>
                      </wp:positionH>
                      <wp:positionV relativeFrom="paragraph">
                        <wp:posOffset>1997710</wp:posOffset>
                      </wp:positionV>
                      <wp:extent cx="50800" cy="241300"/>
                      <wp:effectExtent l="57150" t="0" r="44450" b="63500"/>
                      <wp:wrapNone/>
                      <wp:docPr id="1708291549" name="Přímá spojnice se šipkou 9"/>
                      <wp:cNvGraphicFramePr/>
                      <a:graphic xmlns:a="http://schemas.openxmlformats.org/drawingml/2006/main">
                        <a:graphicData uri="http://schemas.microsoft.com/office/word/2010/wordprocessingShape">
                          <wps:wsp>
                            <wps:cNvCnPr/>
                            <wps:spPr>
                              <a:xfrm flipH="1">
                                <a:off x="0" y="0"/>
                                <a:ext cx="50800" cy="241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F48A4B" id="Přímá spojnice se šipkou 9" o:spid="_x0000_s1026" type="#_x0000_t32" style="position:absolute;margin-left:118pt;margin-top:157.3pt;width:4pt;height:19pt;flip:x;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" strokecolor="black [3040]">
                      <v:stroke endarrow="block"/>
                    </v:shape>
                  </w:pict>
                </mc:Fallback>
              </mc:AlternateContent>
            </w:r>
            <w:r w:rsidRPr="006D7D12">
              <w:rPr>
                <w:noProof/>
                <w:lang w:val="en-US"/>
              </w:rPr>
              <mc:AlternateContent>
                <mc:Choice Requires="wps">
                  <w:drawing>
                    <wp:anchor distT="0" distB="0" distL="114300" distR="114300" simplePos="0" relativeHeight="251553792" behindDoc="0" locked="0" layoutInCell="1" allowOverlap="1" wp14:anchorId="4366A770" wp14:editId="776699E4">
                      <wp:simplePos x="0" y="0"/>
                      <wp:positionH relativeFrom="column">
                        <wp:posOffset>1134745</wp:posOffset>
                      </wp:positionH>
                      <wp:positionV relativeFrom="paragraph">
                        <wp:posOffset>1992630</wp:posOffset>
                      </wp:positionV>
                      <wp:extent cx="209550" cy="120650"/>
                      <wp:effectExtent l="38100" t="0" r="19050" b="50800"/>
                      <wp:wrapNone/>
                      <wp:docPr id="463265877" name="Přímá spojnice se šipkou 9"/>
                      <wp:cNvGraphicFramePr/>
                      <a:graphic xmlns:a="http://schemas.openxmlformats.org/drawingml/2006/main">
                        <a:graphicData uri="http://schemas.microsoft.com/office/word/2010/wordprocessingShape">
                          <wps:wsp>
                            <wps:cNvCnPr/>
                            <wps:spPr>
                              <a:xfrm flipH="1">
                                <a:off x="0" y="0"/>
                                <a:ext cx="209550" cy="12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BBE84" id="Přímá spojnice se šipkou 9" o:spid="_x0000_s1026" type="#_x0000_t32" style="position:absolute;margin-left:89.35pt;margin-top:156.9pt;width:16.5pt;height:9.5pt;flip:x;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" strokecolor="black [3040]">
                      <v:stroke endarrow="block"/>
                    </v:shape>
                  </w:pict>
                </mc:Fallback>
              </mc:AlternateContent>
            </w:r>
            <w:r w:rsidRPr="006D7D12">
              <w:rPr>
                <w:noProof/>
                <w:lang w:val="en-US"/>
              </w:rPr>
              <mc:AlternateContent>
                <mc:Choice Requires="wps">
                  <w:drawing>
                    <wp:anchor distT="0" distB="0" distL="114300" distR="114300" simplePos="0" relativeHeight="251538432" behindDoc="0" locked="0" layoutInCell="1" allowOverlap="1" wp14:anchorId="79717510" wp14:editId="2724FD12">
                      <wp:simplePos x="0" y="0"/>
                      <wp:positionH relativeFrom="column">
                        <wp:posOffset>878840</wp:posOffset>
                      </wp:positionH>
                      <wp:positionV relativeFrom="paragraph">
                        <wp:posOffset>1644650</wp:posOffset>
                      </wp:positionV>
                      <wp:extent cx="209550" cy="120650"/>
                      <wp:effectExtent l="38100" t="0" r="19050" b="50800"/>
                      <wp:wrapNone/>
                      <wp:docPr id="1560275378" name="Přímá spojnice se šipkou 9"/>
                      <wp:cNvGraphicFramePr/>
                      <a:graphic xmlns:a="http://schemas.openxmlformats.org/drawingml/2006/main">
                        <a:graphicData uri="http://schemas.microsoft.com/office/word/2010/wordprocessingShape">
                          <wps:wsp>
                            <wps:cNvCnPr/>
                            <wps:spPr>
                              <a:xfrm flipH="1">
                                <a:off x="0" y="0"/>
                                <a:ext cx="209550" cy="12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9A0965" id="Přímá spojnice se šipkou 9" o:spid="_x0000_s1026" type="#_x0000_t32" style="position:absolute;margin-left:69.2pt;margin-top:129.5pt;width:16.5pt;height:9.5pt;flip:x;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" strokecolor="black [3040]">
                      <v:stroke endarrow="block"/>
                    </v:shape>
                  </w:pict>
                </mc:Fallback>
              </mc:AlternateContent>
            </w:r>
            <w:r w:rsidR="00FC6536" w:rsidRPr="006D7D12">
              <w:rPr>
                <w:noProof/>
                <w:lang w:val="en-US"/>
              </w:rPr>
              <w:drawing>
                <wp:inline distT="0" distB="0" distL="0" distR="0" wp14:anchorId="348DA35E" wp14:editId="240CCD23">
                  <wp:extent cx="1896385" cy="3024000"/>
                  <wp:effectExtent l="0" t="0" r="8890" b="5080"/>
                  <wp:docPr id="35065375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hqprint">
                            <a:extLst>
                              <a:ext uri="{28A0092B-C50C-407E-A947-70E740481C1C}">
                                <a14:useLocalDpi xmlns:a14="http://schemas.microsoft.com/office/drawing/2010/main"/>
                              </a:ext>
                            </a:extLst>
                          </a:blip>
                          <a:srcRect/>
                          <a:stretch/>
                        </pic:blipFill>
                        <pic:spPr bwMode="auto">
                          <a:xfrm>
                            <a:off x="0" y="0"/>
                            <a:ext cx="1896385" cy="302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0" w:type="dxa"/>
          </w:tcPr>
          <w:p w14:paraId="14B780D0" w14:textId="52D8D647" w:rsidR="00FC6536" w:rsidRPr="006D7D12" w:rsidRDefault="00732B44" w:rsidP="005207B8">
            <w:pPr>
              <w:keepNext/>
              <w:jc w:val="center"/>
              <w:rPr>
                <w:noProof/>
                <w:lang w:val="en-US"/>
              </w:rPr>
            </w:pPr>
            <w:r w:rsidRPr="006D7D12">
              <w:rPr>
                <w:noProof/>
                <w:lang w:val="en-US"/>
              </w:rPr>
              <w:drawing>
                <wp:inline distT="0" distB="0" distL="0" distR="0" wp14:anchorId="2011DE6C" wp14:editId="0E67D0AF">
                  <wp:extent cx="1827989" cy="3024000"/>
                  <wp:effectExtent l="0" t="0" r="1270" b="5080"/>
                  <wp:docPr id="1414223655"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hqprint">
                            <a:extLst>
                              <a:ext uri="{28A0092B-C50C-407E-A947-70E740481C1C}">
                                <a14:useLocalDpi xmlns:a14="http://schemas.microsoft.com/office/drawing/2010/main"/>
                              </a:ext>
                            </a:extLst>
                          </a:blip>
                          <a:srcRect b="-8"/>
                          <a:stretch/>
                        </pic:blipFill>
                        <pic:spPr bwMode="auto">
                          <a:xfrm>
                            <a:off x="0" y="0"/>
                            <a:ext cx="1827989" cy="3024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34E57D6" w14:textId="3CBCF548" w:rsidR="00035443" w:rsidRPr="006D7D12" w:rsidRDefault="005207B8" w:rsidP="005207B8">
      <w:pPr>
        <w:pStyle w:val="CETCaption"/>
        <w:rPr>
          <w:lang w:val="en-US"/>
        </w:rPr>
      </w:pPr>
      <w:r w:rsidRPr="006D7D12">
        <w:rPr>
          <w:lang w:val="en-US"/>
        </w:rPr>
        <w:t xml:space="preserve">Figure </w:t>
      </w:r>
      <w:r w:rsidRPr="006D7D12">
        <w:rPr>
          <w:lang w:val="en-US"/>
        </w:rPr>
        <w:fldChar w:fldCharType="begin"/>
      </w:r>
      <w:r w:rsidRPr="006D7D12">
        <w:rPr>
          <w:lang w:val="en-US"/>
        </w:rPr>
        <w:instrText xml:space="preserve"> SEQ Figure \* ARABIC </w:instrText>
      </w:r>
      <w:r w:rsidRPr="006D7D12">
        <w:rPr>
          <w:lang w:val="en-US"/>
        </w:rPr>
        <w:fldChar w:fldCharType="separate"/>
      </w:r>
      <w:r w:rsidR="006C4972" w:rsidRPr="006D7D12">
        <w:rPr>
          <w:noProof/>
          <w:lang w:val="en-US"/>
        </w:rPr>
        <w:t>5</w:t>
      </w:r>
      <w:r w:rsidRPr="006D7D12">
        <w:rPr>
          <w:lang w:val="en-US"/>
        </w:rPr>
        <w:fldChar w:fldCharType="end"/>
      </w:r>
      <w:r w:rsidRPr="006D7D12">
        <w:rPr>
          <w:lang w:val="en-US"/>
        </w:rPr>
        <w:t xml:space="preserve"> Nitrogen cylinder destruction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4539"/>
      </w:tblGrid>
      <w:tr w:rsidR="006C4972" w:rsidRPr="006D7D12" w14:paraId="092B4A5E" w14:textId="77777777" w:rsidTr="006C4972">
        <w:tc>
          <w:tcPr>
            <w:tcW w:w="3964" w:type="dxa"/>
          </w:tcPr>
          <w:p w14:paraId="4B3548B6" w14:textId="14AD5485" w:rsidR="00FF7F48" w:rsidRPr="006D7D12" w:rsidRDefault="00FF7F48" w:rsidP="00FF7F48">
            <w:pPr>
              <w:pStyle w:val="CETBodytext"/>
              <w:ind w:hanging="112"/>
            </w:pPr>
            <w:r w:rsidRPr="006D7D12">
              <w:rPr>
                <w:noProof/>
              </w:rPr>
              <w:drawing>
                <wp:inline distT="0" distB="0" distL="0" distR="0" wp14:anchorId="58F16FB5" wp14:editId="0B25A865">
                  <wp:extent cx="2252241" cy="1800000"/>
                  <wp:effectExtent l="0" t="0" r="0" b="0"/>
                  <wp:docPr id="139131445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252241" cy="1800000"/>
                          </a:xfrm>
                          <a:prstGeom prst="rect">
                            <a:avLst/>
                          </a:prstGeom>
                          <a:noFill/>
                          <a:ln>
                            <a:noFill/>
                          </a:ln>
                        </pic:spPr>
                      </pic:pic>
                    </a:graphicData>
                  </a:graphic>
                </wp:inline>
              </w:drawing>
            </w:r>
          </w:p>
        </w:tc>
        <w:tc>
          <w:tcPr>
            <w:tcW w:w="4539" w:type="dxa"/>
          </w:tcPr>
          <w:p w14:paraId="56334D5A" w14:textId="61EF109A" w:rsidR="00FF7F48" w:rsidRPr="006D7D12" w:rsidRDefault="00FF7F48" w:rsidP="000D6BA6">
            <w:pPr>
              <w:pStyle w:val="CETBodytext"/>
            </w:pPr>
            <w:r w:rsidRPr="006D7D12">
              <w:rPr>
                <w:noProof/>
              </w:rPr>
              <w:drawing>
                <wp:inline distT="0" distB="0" distL="0" distR="0" wp14:anchorId="2B5CC2BB" wp14:editId="3BCFC9A0">
                  <wp:extent cx="2399910" cy="1800000"/>
                  <wp:effectExtent l="0" t="0" r="635" b="0"/>
                  <wp:docPr id="399054037"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2399910" cy="1800000"/>
                          </a:xfrm>
                          <a:prstGeom prst="rect">
                            <a:avLst/>
                          </a:prstGeom>
                          <a:noFill/>
                          <a:ln>
                            <a:noFill/>
                          </a:ln>
                        </pic:spPr>
                      </pic:pic>
                    </a:graphicData>
                  </a:graphic>
                </wp:inline>
              </w:drawing>
            </w:r>
          </w:p>
        </w:tc>
      </w:tr>
    </w:tbl>
    <w:p w14:paraId="2507339C" w14:textId="36A9DDED" w:rsidR="00770F13" w:rsidRPr="006D7D12" w:rsidRDefault="00FF7F48" w:rsidP="00EA64B2">
      <w:pPr>
        <w:pStyle w:val="CETCaption"/>
        <w:rPr>
          <w:lang w:val="en-US"/>
        </w:rPr>
      </w:pPr>
      <w:r w:rsidRPr="006D7D12">
        <w:rPr>
          <w:lang w:val="en-US"/>
        </w:rPr>
        <w:t>F</w:t>
      </w:r>
      <w:r w:rsidR="00E235A8" w:rsidRPr="006D7D12">
        <w:rPr>
          <w:lang w:val="en-US"/>
        </w:rPr>
        <w:t xml:space="preserve">igure </w:t>
      </w:r>
      <w:r w:rsidR="00E235A8" w:rsidRPr="006D7D12">
        <w:rPr>
          <w:lang w:val="en-US"/>
        </w:rPr>
        <w:fldChar w:fldCharType="begin"/>
      </w:r>
      <w:r w:rsidR="00E235A8" w:rsidRPr="006D7D12">
        <w:rPr>
          <w:lang w:val="en-US"/>
        </w:rPr>
        <w:instrText xml:space="preserve"> SEQ Figure \* ARABIC </w:instrText>
      </w:r>
      <w:r w:rsidR="00E235A8" w:rsidRPr="006D7D12">
        <w:rPr>
          <w:lang w:val="en-US"/>
        </w:rPr>
        <w:fldChar w:fldCharType="separate"/>
      </w:r>
      <w:r w:rsidR="006C4972" w:rsidRPr="006D7D12">
        <w:rPr>
          <w:noProof/>
          <w:lang w:val="en-US"/>
        </w:rPr>
        <w:t>6</w:t>
      </w:r>
      <w:r w:rsidR="00E235A8" w:rsidRPr="006D7D12">
        <w:rPr>
          <w:lang w:val="en-US"/>
        </w:rPr>
        <w:fldChar w:fldCharType="end"/>
      </w:r>
      <w:r w:rsidR="00E235A8" w:rsidRPr="006D7D12">
        <w:rPr>
          <w:lang w:val="en-US"/>
        </w:rPr>
        <w:t xml:space="preserve"> Nitrogen </w:t>
      </w:r>
      <w:r w:rsidR="000F70AB" w:rsidRPr="006D7D12">
        <w:rPr>
          <w:lang w:val="en-US"/>
        </w:rPr>
        <w:t xml:space="preserve">and hydrogen </w:t>
      </w:r>
      <w:r w:rsidR="00E235A8" w:rsidRPr="006D7D12">
        <w:rPr>
          <w:lang w:val="en-US"/>
        </w:rPr>
        <w:t>cylinder destruction post-scene</w:t>
      </w:r>
    </w:p>
    <w:p w14:paraId="0BA1765E" w14:textId="37DACADC" w:rsidR="006C4972" w:rsidRDefault="006C4972" w:rsidP="006C4972">
      <w:pPr>
        <w:pStyle w:val="CETBodytext"/>
      </w:pPr>
      <w:r w:rsidRPr="006D7D12">
        <w:t xml:space="preserve">The </w:t>
      </w:r>
      <w:r w:rsidR="007C256E" w:rsidRPr="006D7D12">
        <w:t>above</w:t>
      </w:r>
      <w:r w:rsidRPr="006D7D12">
        <w:t xml:space="preserve"> Figure </w:t>
      </w:r>
      <w:r w:rsidR="000E4BE9" w:rsidRPr="006D7D12">
        <w:t xml:space="preserve">6 </w:t>
      </w:r>
      <w:r w:rsidRPr="006D7D12">
        <w:t>demonstrates the force of the nitrogen cylinder explosion. In comparison to hydrogen, the nitrogen explosion resulted in the complete destruction of the original setup and configuration. Conversely, in the case of hydrogen, a residual burning fire was observed.</w:t>
      </w:r>
    </w:p>
    <w:p w14:paraId="14371F3A" w14:textId="7A9D8E76" w:rsidR="00855D6B" w:rsidRPr="006D7D12" w:rsidRDefault="00792493" w:rsidP="006C4972">
      <w:pPr>
        <w:pStyle w:val="CETBodytext"/>
      </w:pPr>
      <w:r>
        <w:t xml:space="preserve">These findings could have significant implications for process safety in industrial plants storing or utilizing high-pressure gas cylinders. </w:t>
      </w:r>
      <w:r w:rsidR="00F60F8A">
        <w:t xml:space="preserve">One of the main </w:t>
      </w:r>
      <w:r w:rsidR="0070005D">
        <w:t xml:space="preserve">aspects </w:t>
      </w:r>
      <w:r w:rsidR="00076B68">
        <w:t>is that peop</w:t>
      </w:r>
      <w:r w:rsidR="0070005D">
        <w:t>l</w:t>
      </w:r>
      <w:r w:rsidR="00076B68">
        <w:t xml:space="preserve">e often do not realize the severity of the consequences when handling high-pressure gas cylinders in general. </w:t>
      </w:r>
      <w:r w:rsidR="002C007F">
        <w:t xml:space="preserve">Under fire conditions, these cylinders </w:t>
      </w:r>
      <w:r w:rsidR="002C007F">
        <w:lastRenderedPageBreak/>
        <w:t>beh</w:t>
      </w:r>
      <w:r w:rsidR="008C040A">
        <w:t xml:space="preserve">ave unpredictably, making It crucial to exercise heightened caution, which also applies to emergency responders dealing with fire incidents. Extensive </w:t>
      </w:r>
      <w:r w:rsidR="000C2E40">
        <w:t xml:space="preserve">fragmentation underscores the necessity of proper handling and, most importantly, an adequate level of fire suppression. Strategies to minimize the risk should include effective emergency response protocols, with training programs </w:t>
      </w:r>
      <w:r w:rsidR="00B94DDB">
        <w:t>emphasizing</w:t>
      </w:r>
      <w:r w:rsidR="000C2E40">
        <w:t xml:space="preserve"> </w:t>
      </w:r>
      <w:r w:rsidR="00B94DDB">
        <w:t xml:space="preserve">rapid cooling techniques, controlled venting, and safe evacuation procedures to protect human life. Implementing these measures can significantly enhance prevention and protection strategies, reducing the likelihood and severity of catastrophic incidents in industrial settings. </w:t>
      </w:r>
    </w:p>
    <w:bookmarkEnd w:id="1"/>
    <w:p w14:paraId="68D26B83" w14:textId="77777777" w:rsidR="00600535" w:rsidRPr="006D7D12" w:rsidRDefault="00600535" w:rsidP="00600535">
      <w:pPr>
        <w:pStyle w:val="CETHeading1"/>
      </w:pPr>
      <w:r w:rsidRPr="006D7D12">
        <w:t>Conclusions</w:t>
      </w:r>
    </w:p>
    <w:p w14:paraId="144F3944" w14:textId="6A0E1B9A" w:rsidR="00AB2162" w:rsidRPr="006D7D12" w:rsidRDefault="00AB2162" w:rsidP="00AB2162">
      <w:pPr>
        <w:pStyle w:val="CETBodytext"/>
      </w:pPr>
      <w:r w:rsidRPr="006D7D12">
        <w:t xml:space="preserve">The </w:t>
      </w:r>
      <w:r w:rsidR="00400404" w:rsidRPr="006D7D12">
        <w:t>experiments conducted</w:t>
      </w:r>
      <w:r w:rsidRPr="006D7D12">
        <w:t xml:space="preserve"> provide critical insights into the behavior of high-pressure gas cylinders under fire conditions, emphasizing the importance of understanding both flammable and non-flammable gas risks. Hydrogen cylinders, while environmentally advantageous, exhibited a pronounced susceptibility to thermal stress, failing at pressures considerably below their rated destruction pressure. This highlights the need for specialized materials and safety measures for hydrogen storage.</w:t>
      </w:r>
    </w:p>
    <w:p w14:paraId="545F8DDF" w14:textId="6587E548" w:rsidR="00566907" w:rsidRPr="006D7D12" w:rsidRDefault="00AB2162" w:rsidP="00AB2162">
      <w:pPr>
        <w:pStyle w:val="CETBodytext"/>
      </w:pPr>
      <w:r w:rsidRPr="006D7D12">
        <w:t xml:space="preserve">Nitrogen cylinders, though non-flammable, demonstrated the capacity to cause significant physical destruction, with fragments dispersing over long distances and generating fireballs through </w:t>
      </w:r>
      <w:r w:rsidR="002A6B06" w:rsidRPr="006D7D12">
        <w:t xml:space="preserve">dispersing and following </w:t>
      </w:r>
      <w:r w:rsidR="00FD52CA" w:rsidRPr="006D7D12">
        <w:t>vapor ignition</w:t>
      </w:r>
      <w:r w:rsidRPr="006D7D12">
        <w:t>. These results underline the necessity of rigorous risk assessments and robust safety systems for all types of high-pressure gas storage. To improve safety and mitigate risks, future research should focus on developing advanced materials for cylinder design, implementing improved monitoring systems, and enhancing emergency response protocols. By addressing these challenges, the safe integration of high-pressure gas cylinders in various applications can be ensured, aligning with broader environmental and safety objectives.</w:t>
      </w:r>
    </w:p>
    <w:p w14:paraId="459D05E6" w14:textId="36396EE1" w:rsidR="00600535" w:rsidRPr="006D7D12" w:rsidRDefault="00600535" w:rsidP="00600535">
      <w:pPr>
        <w:pStyle w:val="CETAcknowledgementstitle"/>
        <w:rPr>
          <w:lang w:val="en-US"/>
        </w:rPr>
      </w:pPr>
      <w:r w:rsidRPr="006D7D12">
        <w:rPr>
          <w:lang w:val="en-US"/>
        </w:rPr>
        <w:t>Acknowledgments</w:t>
      </w:r>
    </w:p>
    <w:p w14:paraId="5370C4DE" w14:textId="77777777" w:rsidR="00FA1A53" w:rsidRPr="006D7D12" w:rsidRDefault="00FA1A53" w:rsidP="00FA1A53">
      <w:pPr>
        <w:pStyle w:val="CETBodytext"/>
      </w:pPr>
      <w:r w:rsidRPr="006D7D12">
        <w:t>This paper was financially supported by the grant project of the Ministry of the Interior of the Czech Republic [ID No. VK01030175], entitled “Safety Concept of Hydrogen Technologies for Smart Cities and Regions”.</w:t>
      </w:r>
    </w:p>
    <w:p w14:paraId="4F1327F8" w14:textId="77777777" w:rsidR="00600535" w:rsidRPr="006D7D12" w:rsidRDefault="00600535" w:rsidP="00600535">
      <w:pPr>
        <w:pStyle w:val="CETReference"/>
        <w:rPr>
          <w:lang w:val="en-US"/>
        </w:rPr>
      </w:pPr>
      <w:r w:rsidRPr="006D7D12">
        <w:rPr>
          <w:lang w:val="en-US"/>
        </w:rPr>
        <w:t>References</w:t>
      </w:r>
    </w:p>
    <w:p w14:paraId="2686A06E" w14:textId="45AE3D8C" w:rsidR="00310D88" w:rsidRPr="006D7D12" w:rsidRDefault="00310D88" w:rsidP="00744D79">
      <w:pPr>
        <w:autoSpaceDE w:val="0"/>
        <w:autoSpaceDN w:val="0"/>
        <w:ind w:left="426" w:hanging="480"/>
        <w:rPr>
          <w:color w:val="000000"/>
          <w:sz w:val="24"/>
          <w:szCs w:val="24"/>
          <w:lang w:val="en-US"/>
        </w:rPr>
      </w:pPr>
      <w:r w:rsidRPr="006D7D12">
        <w:rPr>
          <w:color w:val="000000"/>
          <w:lang w:val="en-US"/>
        </w:rPr>
        <w:t>Abbasi, T., Abbasi, S.A., 2011. “Renewable” hydrogen: Prospects and challenges. Renewable and Sustainable Energy Reviews 15, 3034–3040. https://doi.org/10.1016/j.rser.2011.02.026.</w:t>
      </w:r>
    </w:p>
    <w:p w14:paraId="15C556DC" w14:textId="487BFCCD" w:rsidR="00310D88" w:rsidRPr="006D7D12" w:rsidRDefault="00310D88" w:rsidP="00744D79">
      <w:pPr>
        <w:autoSpaceDE w:val="0"/>
        <w:autoSpaceDN w:val="0"/>
        <w:ind w:left="426" w:hanging="480"/>
        <w:rPr>
          <w:color w:val="000000"/>
          <w:lang w:val="en-US"/>
        </w:rPr>
      </w:pPr>
      <w:proofErr w:type="spellStart"/>
      <w:r w:rsidRPr="006D7D12">
        <w:rPr>
          <w:color w:val="000000"/>
          <w:lang w:val="en-US"/>
        </w:rPr>
        <w:t>Abohamzeh</w:t>
      </w:r>
      <w:proofErr w:type="spellEnd"/>
      <w:r w:rsidRPr="006D7D12">
        <w:rPr>
          <w:color w:val="000000"/>
          <w:lang w:val="en-US"/>
        </w:rPr>
        <w:t xml:space="preserve">, E., Salehi, F., </w:t>
      </w:r>
      <w:proofErr w:type="spellStart"/>
      <w:r w:rsidRPr="006D7D12">
        <w:rPr>
          <w:color w:val="000000"/>
          <w:lang w:val="en-US"/>
        </w:rPr>
        <w:t>Sheikholeslami</w:t>
      </w:r>
      <w:proofErr w:type="spellEnd"/>
      <w:r w:rsidRPr="006D7D12">
        <w:rPr>
          <w:color w:val="000000"/>
          <w:lang w:val="en-US"/>
        </w:rPr>
        <w:t>, M., Abbassi, R., Khan, F., 2021. Review of hydrogen safety during storage, transmission, and applications processes. J Loss Prev Process Ind 72, 104569. https://doi.org/10.1016/J.JLP.2021.104569.</w:t>
      </w:r>
    </w:p>
    <w:p w14:paraId="4EA1E08E" w14:textId="77777777" w:rsidR="00310D88" w:rsidRPr="006D7D12" w:rsidRDefault="00310D88" w:rsidP="00744D79">
      <w:pPr>
        <w:autoSpaceDE w:val="0"/>
        <w:autoSpaceDN w:val="0"/>
        <w:ind w:left="426" w:hanging="480"/>
        <w:rPr>
          <w:color w:val="000000"/>
          <w:lang w:val="en-US"/>
        </w:rPr>
      </w:pPr>
      <w:r w:rsidRPr="006D7D12">
        <w:rPr>
          <w:color w:val="000000"/>
          <w:lang w:val="en-US"/>
        </w:rPr>
        <w:t>Barthelemy, H., Weber, M., Barbier, F., 2017. Hydrogen storage: Recent improvements and industrial perspectives. Int J Hydrogen Energy 42, 7254–7262. https://doi.org/10.1016/J.IJHYDENE.2016.03.178</w:t>
      </w:r>
    </w:p>
    <w:p w14:paraId="33308EFD" w14:textId="579E0F40" w:rsidR="00310D88" w:rsidRPr="006D7D12" w:rsidRDefault="00310D88" w:rsidP="00744D79">
      <w:pPr>
        <w:autoSpaceDE w:val="0"/>
        <w:autoSpaceDN w:val="0"/>
        <w:ind w:left="426" w:hanging="480"/>
        <w:rPr>
          <w:color w:val="000000"/>
          <w:lang w:val="en-US"/>
        </w:rPr>
      </w:pPr>
      <w:r w:rsidRPr="006D7D12">
        <w:rPr>
          <w:color w:val="000000"/>
          <w:lang w:val="en-US"/>
        </w:rPr>
        <w:t xml:space="preserve">Hora, J., Karl, J., Suchý, O., 2016. Pressure cylinders under fire condition. </w:t>
      </w:r>
      <w:proofErr w:type="spellStart"/>
      <w:r w:rsidRPr="006D7D12">
        <w:rPr>
          <w:color w:val="000000"/>
          <w:lang w:val="en-US"/>
        </w:rPr>
        <w:t>Perspect</w:t>
      </w:r>
      <w:proofErr w:type="spellEnd"/>
      <w:r w:rsidRPr="006D7D12">
        <w:rPr>
          <w:color w:val="000000"/>
          <w:lang w:val="en-US"/>
        </w:rPr>
        <w:t xml:space="preserve"> Sci (Neth) 7, 208–221. https://doi.org/10.1016/J.PISC.2015.11.035.</w:t>
      </w:r>
    </w:p>
    <w:p w14:paraId="68EA4CDC" w14:textId="65BBEEBA" w:rsidR="00310D88" w:rsidRPr="006D7D12" w:rsidRDefault="00310D88" w:rsidP="00744D79">
      <w:pPr>
        <w:autoSpaceDE w:val="0"/>
        <w:autoSpaceDN w:val="0"/>
        <w:ind w:left="426" w:hanging="480"/>
        <w:rPr>
          <w:color w:val="000000"/>
          <w:lang w:val="en-US"/>
        </w:rPr>
      </w:pPr>
      <w:r w:rsidRPr="006D7D12">
        <w:rPr>
          <w:color w:val="000000"/>
          <w:lang w:val="en-US"/>
        </w:rPr>
        <w:t xml:space="preserve">Jankuj, V., Mynarz, M., Krietsch, A., Spitzer, S.H., Lepik, P., 2022. Experimental investigation of the consequences of acetylene pressure cylinder failure under fire conditions. J </w:t>
      </w:r>
      <w:proofErr w:type="gramStart"/>
      <w:r w:rsidRPr="006D7D12">
        <w:rPr>
          <w:color w:val="000000"/>
          <w:lang w:val="en-US"/>
        </w:rPr>
        <w:t>Loss Prev</w:t>
      </w:r>
      <w:proofErr w:type="gramEnd"/>
      <w:r w:rsidRPr="006D7D12">
        <w:rPr>
          <w:color w:val="000000"/>
          <w:lang w:val="en-US"/>
        </w:rPr>
        <w:t xml:space="preserve"> Process Ind 80. https://doi.org/10.1016/j.jlp.2022.104874.</w:t>
      </w:r>
    </w:p>
    <w:p w14:paraId="7F9382AA" w14:textId="75C245A9" w:rsidR="00310D88" w:rsidRPr="006D7D12" w:rsidRDefault="00310D88" w:rsidP="00744D79">
      <w:pPr>
        <w:autoSpaceDE w:val="0"/>
        <w:autoSpaceDN w:val="0"/>
        <w:ind w:left="426" w:hanging="480"/>
        <w:rPr>
          <w:color w:val="000000"/>
          <w:lang w:val="en-US"/>
        </w:rPr>
      </w:pPr>
      <w:r w:rsidRPr="006D7D12">
        <w:rPr>
          <w:color w:val="000000"/>
          <w:lang w:val="en-US"/>
        </w:rPr>
        <w:t xml:space="preserve">Pasman, H., </w:t>
      </w:r>
      <w:proofErr w:type="spellStart"/>
      <w:r w:rsidRPr="006D7D12">
        <w:rPr>
          <w:color w:val="000000"/>
          <w:lang w:val="en-US"/>
        </w:rPr>
        <w:t>Sripaul</w:t>
      </w:r>
      <w:proofErr w:type="spellEnd"/>
      <w:r w:rsidRPr="006D7D12">
        <w:rPr>
          <w:color w:val="000000"/>
          <w:lang w:val="en-US"/>
        </w:rPr>
        <w:t xml:space="preserve">, E., Khan, F., Fabiano, B., 2023. Energy transition technology comes with new </w:t>
      </w:r>
      <w:proofErr w:type="gramStart"/>
      <w:r w:rsidRPr="006D7D12">
        <w:rPr>
          <w:color w:val="000000"/>
          <w:lang w:val="en-US"/>
        </w:rPr>
        <w:t>process</w:t>
      </w:r>
      <w:proofErr w:type="gramEnd"/>
      <w:r w:rsidRPr="006D7D12">
        <w:rPr>
          <w:color w:val="000000"/>
          <w:lang w:val="en-US"/>
        </w:rPr>
        <w:t xml:space="preserve"> safety challenges and risks. Process Safety and Environmental Protection 177, 765–794. https://doi.org/10.1016/j.psep.2023.07.036.</w:t>
      </w:r>
    </w:p>
    <w:p w14:paraId="59089F6E" w14:textId="045424EC" w:rsidR="00310D88" w:rsidRPr="006D7D12" w:rsidRDefault="00310D88" w:rsidP="00744D79">
      <w:pPr>
        <w:autoSpaceDE w:val="0"/>
        <w:autoSpaceDN w:val="0"/>
        <w:ind w:left="426" w:hanging="480"/>
        <w:rPr>
          <w:color w:val="000000"/>
          <w:lang w:val="en-US"/>
        </w:rPr>
      </w:pPr>
      <w:proofErr w:type="spellStart"/>
      <w:r w:rsidRPr="006D7D12">
        <w:rPr>
          <w:color w:val="000000"/>
          <w:lang w:val="en-US"/>
        </w:rPr>
        <w:t>Saffers</w:t>
      </w:r>
      <w:proofErr w:type="spellEnd"/>
      <w:r w:rsidRPr="006D7D12">
        <w:rPr>
          <w:color w:val="000000"/>
          <w:lang w:val="en-US"/>
        </w:rPr>
        <w:t xml:space="preserve">, J.B., </w:t>
      </w:r>
      <w:proofErr w:type="spellStart"/>
      <w:r w:rsidRPr="006D7D12">
        <w:rPr>
          <w:color w:val="000000"/>
          <w:lang w:val="en-US"/>
        </w:rPr>
        <w:t>Molkov</w:t>
      </w:r>
      <w:proofErr w:type="spellEnd"/>
      <w:r w:rsidRPr="006D7D12">
        <w:rPr>
          <w:color w:val="000000"/>
          <w:lang w:val="en-US"/>
        </w:rPr>
        <w:t>, V. V., 2014. Hydrogen safety engineering framework and elementary design safety tools. Int J Hydrogen Energy 39, 6268–6285. https://doi.org/10.1016/J.IJHYDENE.2013.06.060.</w:t>
      </w:r>
    </w:p>
    <w:p w14:paraId="3AD9198D" w14:textId="38F75A68" w:rsidR="00310D88" w:rsidRPr="006D7D12" w:rsidRDefault="00310D88" w:rsidP="00744D79">
      <w:pPr>
        <w:autoSpaceDE w:val="0"/>
        <w:autoSpaceDN w:val="0"/>
        <w:ind w:left="426" w:hanging="480"/>
        <w:rPr>
          <w:color w:val="000000"/>
          <w:lang w:val="en-US"/>
        </w:rPr>
      </w:pPr>
      <w:r w:rsidRPr="006D7D12">
        <w:rPr>
          <w:color w:val="000000"/>
          <w:lang w:val="en-US"/>
        </w:rPr>
        <w:t xml:space="preserve">Tschirschwitz, R., </w:t>
      </w:r>
      <w:proofErr w:type="spellStart"/>
      <w:r w:rsidRPr="006D7D12">
        <w:rPr>
          <w:color w:val="000000"/>
          <w:lang w:val="en-US"/>
        </w:rPr>
        <w:t>Krentel</w:t>
      </w:r>
      <w:proofErr w:type="spellEnd"/>
      <w:r w:rsidRPr="006D7D12">
        <w:rPr>
          <w:color w:val="000000"/>
          <w:lang w:val="en-US"/>
        </w:rPr>
        <w:t>, D., Kluge, M., Askar, E., Habib, K., Kohlhoff, H., Krüger, S., Neumann, P.P., Rudolph, M., Schoppa, A., Storm, S.U., Szczepaniak, M., 2019. Hazards from failure of CNG automotive cylinders in fire. J Hazard Mater 367, 1–7. https://doi.org/10.1016/J.JHAZMAT.2018.12.026.</w:t>
      </w:r>
    </w:p>
    <w:p w14:paraId="35B600DA" w14:textId="2B191CBF" w:rsidR="00310D88" w:rsidRPr="006D7D12" w:rsidRDefault="00310D88" w:rsidP="00744D79">
      <w:pPr>
        <w:autoSpaceDE w:val="0"/>
        <w:autoSpaceDN w:val="0"/>
        <w:ind w:left="426" w:hanging="480"/>
        <w:rPr>
          <w:color w:val="000000"/>
          <w:lang w:val="en-US"/>
        </w:rPr>
      </w:pPr>
      <w:r w:rsidRPr="006D7D12">
        <w:rPr>
          <w:color w:val="000000"/>
          <w:lang w:val="en-US"/>
        </w:rPr>
        <w:t xml:space="preserve">Tschirschwitz, R., </w:t>
      </w:r>
      <w:proofErr w:type="spellStart"/>
      <w:r w:rsidRPr="006D7D12">
        <w:rPr>
          <w:color w:val="000000"/>
          <w:lang w:val="en-US"/>
        </w:rPr>
        <w:t>Krentel</w:t>
      </w:r>
      <w:proofErr w:type="spellEnd"/>
      <w:r w:rsidRPr="006D7D12">
        <w:rPr>
          <w:color w:val="000000"/>
          <w:lang w:val="en-US"/>
        </w:rPr>
        <w:t>, D., Kluge, M., Askar, E., Habib, K., Kohlhoff, H., Neumann, P.P., Storm, S.U., Rudolph, M., Schoppa, A., Szczepaniak, M., 2017. Mobile gas cylinders in fire: Consequences in case of failure. Fire Saf J 91, 989–996. https://doi.org/10.1016/J.FIRESAF.2017.05.006.</w:t>
      </w:r>
    </w:p>
    <w:p w14:paraId="224B81BD" w14:textId="7D7088E6" w:rsidR="00310D88" w:rsidRPr="006D7D12" w:rsidRDefault="00310D88" w:rsidP="00744D79">
      <w:pPr>
        <w:autoSpaceDE w:val="0"/>
        <w:autoSpaceDN w:val="0"/>
        <w:ind w:left="426" w:hanging="480"/>
        <w:rPr>
          <w:color w:val="000000"/>
          <w:lang w:val="en-US"/>
        </w:rPr>
      </w:pPr>
      <w:r w:rsidRPr="006D7D12">
        <w:rPr>
          <w:color w:val="000000"/>
          <w:lang w:val="en-US"/>
        </w:rPr>
        <w:t xml:space="preserve">Usman, M.R., 2022. Hydrogen storage methods: Review and </w:t>
      </w:r>
      <w:proofErr w:type="gramStart"/>
      <w:r w:rsidRPr="006D7D12">
        <w:rPr>
          <w:color w:val="000000"/>
          <w:lang w:val="en-US"/>
        </w:rPr>
        <w:t>current status</w:t>
      </w:r>
      <w:proofErr w:type="gramEnd"/>
      <w:r w:rsidRPr="006D7D12">
        <w:rPr>
          <w:color w:val="000000"/>
          <w:lang w:val="en-US"/>
        </w:rPr>
        <w:t>. Renewable and Sustainable Energy Reviews 167, 112743. https://doi.org/10.1016/J.RSER.2022.112743.</w:t>
      </w:r>
    </w:p>
    <w:p w14:paraId="45BD01A2" w14:textId="6140E4A0" w:rsidR="00310D88" w:rsidRPr="006D7D12" w:rsidRDefault="00310D88" w:rsidP="00744D79">
      <w:pPr>
        <w:autoSpaceDE w:val="0"/>
        <w:autoSpaceDN w:val="0"/>
        <w:ind w:left="426" w:hanging="480"/>
        <w:rPr>
          <w:color w:val="000000"/>
          <w:lang w:val="en-US"/>
        </w:rPr>
      </w:pPr>
      <w:proofErr w:type="spellStart"/>
      <w:r w:rsidRPr="006D7D12">
        <w:rPr>
          <w:color w:val="000000"/>
          <w:lang w:val="en-US"/>
        </w:rPr>
        <w:t>Ustolin</w:t>
      </w:r>
      <w:proofErr w:type="spellEnd"/>
      <w:r w:rsidRPr="006D7D12">
        <w:rPr>
          <w:color w:val="000000"/>
          <w:lang w:val="en-US"/>
        </w:rPr>
        <w:t>, F., Paltrinieri, N., Berto, F., 2020. Loss of integrity of hydrogen technologies: A critical review. Int J Hydrogen Energy 45, 23809–23840. https://doi.org/10.1016/J.IJHYDENE.2020.06.021.</w:t>
      </w:r>
    </w:p>
    <w:p w14:paraId="19C4FC68" w14:textId="5CA9D5F6" w:rsidR="004628D2" w:rsidRPr="00D157F2" w:rsidRDefault="00310D88" w:rsidP="00D157F2">
      <w:pPr>
        <w:autoSpaceDE w:val="0"/>
        <w:autoSpaceDN w:val="0"/>
        <w:ind w:left="426" w:hanging="480"/>
        <w:rPr>
          <w:color w:val="000000"/>
          <w:lang w:val="en-US"/>
        </w:rPr>
      </w:pPr>
      <w:r w:rsidRPr="006D7D12">
        <w:rPr>
          <w:color w:val="000000"/>
          <w:lang w:val="en-US"/>
        </w:rPr>
        <w:t xml:space="preserve">Wang, X., Li, B., Han, B., Jin, X., Zhang, D., Bi, M., 2023. Explosion of </w:t>
      </w:r>
      <w:proofErr w:type="gramStart"/>
      <w:r w:rsidRPr="006D7D12">
        <w:rPr>
          <w:color w:val="000000"/>
          <w:lang w:val="en-US"/>
        </w:rPr>
        <w:t>high pressure</w:t>
      </w:r>
      <w:proofErr w:type="gramEnd"/>
      <w:r w:rsidRPr="006D7D12">
        <w:rPr>
          <w:color w:val="000000"/>
          <w:lang w:val="en-US"/>
        </w:rPr>
        <w:t xml:space="preserve"> hydrogen tank in fire: Mechanism, criterion, and consequence assessment. J Energy Storage 72, 108455. https://doi.org/10.1016/J.EST.2023.108455.</w:t>
      </w:r>
    </w:p>
    <w:sectPr w:rsidR="004628D2" w:rsidRPr="00D157F2" w:rsidSect="00DC73E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24CEC" w14:textId="77777777" w:rsidR="00BC7130" w:rsidRDefault="00BC7130" w:rsidP="004F5E36">
      <w:r>
        <w:separator/>
      </w:r>
    </w:p>
  </w:endnote>
  <w:endnote w:type="continuationSeparator" w:id="0">
    <w:p w14:paraId="7FDC8224" w14:textId="77777777" w:rsidR="00BC7130" w:rsidRDefault="00BC713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E4A36" w14:textId="77777777" w:rsidR="00BC7130" w:rsidRDefault="00BC7130" w:rsidP="004F5E36">
      <w:r>
        <w:separator/>
      </w:r>
    </w:p>
  </w:footnote>
  <w:footnote w:type="continuationSeparator" w:id="0">
    <w:p w14:paraId="4340A4DF" w14:textId="77777777" w:rsidR="00BC7130" w:rsidRDefault="00BC713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12266B64"/>
    <w:multiLevelType w:val="hybridMultilevel"/>
    <w:tmpl w:val="059214A0"/>
    <w:lvl w:ilvl="0" w:tplc="04100003">
      <w:start w:val="1"/>
      <w:numFmt w:val="bullet"/>
      <w:lvlText w:val="o"/>
      <w:lvlJc w:val="left"/>
      <w:pPr>
        <w:tabs>
          <w:tab w:val="num" w:pos="1080"/>
        </w:tabs>
        <w:ind w:left="1080" w:hanging="360"/>
      </w:pPr>
      <w:rPr>
        <w:rFonts w:ascii="Courier New" w:hAnsi="Courier New" w:cs="Courier New" w:hint="default"/>
      </w:rPr>
    </w:lvl>
    <w:lvl w:ilvl="1" w:tplc="04100003">
      <w:start w:val="1"/>
      <w:numFmt w:val="bullet"/>
      <w:lvlText w:val="o"/>
      <w:lvlJc w:val="left"/>
      <w:pPr>
        <w:tabs>
          <w:tab w:val="num" w:pos="1800"/>
        </w:tabs>
        <w:ind w:left="1800" w:hanging="360"/>
      </w:pPr>
      <w:rPr>
        <w:rFonts w:ascii="Courier New" w:hAnsi="Courier New" w:cs="Courier New" w:hint="default"/>
      </w:rPr>
    </w:lvl>
    <w:lvl w:ilvl="2" w:tplc="04100005">
      <w:start w:val="1"/>
      <w:numFmt w:val="bullet"/>
      <w:lvlText w:val=""/>
      <w:lvlJc w:val="left"/>
      <w:pPr>
        <w:tabs>
          <w:tab w:val="num" w:pos="2520"/>
        </w:tabs>
        <w:ind w:left="2520" w:hanging="360"/>
      </w:pPr>
      <w:rPr>
        <w:rFonts w:ascii="Wingdings" w:hAnsi="Wingdings"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cs="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cs="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Jednoduchtabulk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1"/>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8"/>
  </w:num>
  <w:num w:numId="13" w16cid:durableId="695733619">
    <w:abstractNumId w:val="13"/>
  </w:num>
  <w:num w:numId="14" w16cid:durableId="145903400">
    <w:abstractNumId w:val="19"/>
  </w:num>
  <w:num w:numId="15" w16cid:durableId="19162326">
    <w:abstractNumId w:val="21"/>
  </w:num>
  <w:num w:numId="16" w16cid:durableId="1977102699">
    <w:abstractNumId w:val="20"/>
  </w:num>
  <w:num w:numId="17" w16cid:durableId="860774865">
    <w:abstractNumId w:val="12"/>
  </w:num>
  <w:num w:numId="18" w16cid:durableId="313221457">
    <w:abstractNumId w:val="13"/>
    <w:lvlOverride w:ilvl="0">
      <w:startOverride w:val="1"/>
    </w:lvlOverride>
  </w:num>
  <w:num w:numId="19" w16cid:durableId="534971577">
    <w:abstractNumId w:val="17"/>
  </w:num>
  <w:num w:numId="20" w16cid:durableId="1150947773">
    <w:abstractNumId w:val="16"/>
  </w:num>
  <w:num w:numId="21" w16cid:durableId="124660497">
    <w:abstractNumId w:val="15"/>
  </w:num>
  <w:num w:numId="22" w16cid:durableId="2099861471">
    <w:abstractNumId w:val="14"/>
  </w:num>
  <w:num w:numId="23" w16cid:durableId="84351335">
    <w:abstractNumId w:val="10"/>
  </w:num>
  <w:num w:numId="24" w16cid:durableId="171816079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0683A"/>
    <w:rsid w:val="00007666"/>
    <w:rsid w:val="000077B3"/>
    <w:rsid w:val="000117CB"/>
    <w:rsid w:val="000158E9"/>
    <w:rsid w:val="00015F2C"/>
    <w:rsid w:val="000259B0"/>
    <w:rsid w:val="0003148D"/>
    <w:rsid w:val="00031874"/>
    <w:rsid w:val="00031EEC"/>
    <w:rsid w:val="00035443"/>
    <w:rsid w:val="00042AE9"/>
    <w:rsid w:val="00051566"/>
    <w:rsid w:val="000562A9"/>
    <w:rsid w:val="00057281"/>
    <w:rsid w:val="000605AC"/>
    <w:rsid w:val="00061027"/>
    <w:rsid w:val="00062A9A"/>
    <w:rsid w:val="00062E51"/>
    <w:rsid w:val="00063325"/>
    <w:rsid w:val="00063398"/>
    <w:rsid w:val="0006353C"/>
    <w:rsid w:val="00065058"/>
    <w:rsid w:val="00076B68"/>
    <w:rsid w:val="000854AA"/>
    <w:rsid w:val="00086C39"/>
    <w:rsid w:val="000A03B2"/>
    <w:rsid w:val="000C2E40"/>
    <w:rsid w:val="000D0268"/>
    <w:rsid w:val="000D34BE"/>
    <w:rsid w:val="000D6BA6"/>
    <w:rsid w:val="000E0B3C"/>
    <w:rsid w:val="000E102F"/>
    <w:rsid w:val="000E36F1"/>
    <w:rsid w:val="000E3A73"/>
    <w:rsid w:val="000E414A"/>
    <w:rsid w:val="000E4BE9"/>
    <w:rsid w:val="000E75FD"/>
    <w:rsid w:val="000F093C"/>
    <w:rsid w:val="000F2CA7"/>
    <w:rsid w:val="000F70AB"/>
    <w:rsid w:val="000F762E"/>
    <w:rsid w:val="000F787B"/>
    <w:rsid w:val="00102885"/>
    <w:rsid w:val="00116E26"/>
    <w:rsid w:val="0012091F"/>
    <w:rsid w:val="00123483"/>
    <w:rsid w:val="00123D61"/>
    <w:rsid w:val="00126BC2"/>
    <w:rsid w:val="001308B6"/>
    <w:rsid w:val="0013121F"/>
    <w:rsid w:val="001316E3"/>
    <w:rsid w:val="00131FE6"/>
    <w:rsid w:val="0013263F"/>
    <w:rsid w:val="001331DF"/>
    <w:rsid w:val="00134DE4"/>
    <w:rsid w:val="001372F4"/>
    <w:rsid w:val="0014034D"/>
    <w:rsid w:val="00140FE3"/>
    <w:rsid w:val="00144D16"/>
    <w:rsid w:val="00150E59"/>
    <w:rsid w:val="00152DE3"/>
    <w:rsid w:val="00157FDE"/>
    <w:rsid w:val="00164CF9"/>
    <w:rsid w:val="001667A6"/>
    <w:rsid w:val="00166CB4"/>
    <w:rsid w:val="00167849"/>
    <w:rsid w:val="00172752"/>
    <w:rsid w:val="00177D4E"/>
    <w:rsid w:val="0018171E"/>
    <w:rsid w:val="00184AD6"/>
    <w:rsid w:val="00187E52"/>
    <w:rsid w:val="001A4AF7"/>
    <w:rsid w:val="001B0349"/>
    <w:rsid w:val="001B1E93"/>
    <w:rsid w:val="001B65C1"/>
    <w:rsid w:val="001B77A4"/>
    <w:rsid w:val="001C11C3"/>
    <w:rsid w:val="001C260F"/>
    <w:rsid w:val="001C5C3A"/>
    <w:rsid w:val="001C684B"/>
    <w:rsid w:val="001C77EE"/>
    <w:rsid w:val="001D0CFB"/>
    <w:rsid w:val="001D21AF"/>
    <w:rsid w:val="001D53FC"/>
    <w:rsid w:val="001D682E"/>
    <w:rsid w:val="001D6ED5"/>
    <w:rsid w:val="001E3659"/>
    <w:rsid w:val="001F42A5"/>
    <w:rsid w:val="001F7B9D"/>
    <w:rsid w:val="00201C93"/>
    <w:rsid w:val="002224B4"/>
    <w:rsid w:val="00224AA0"/>
    <w:rsid w:val="002447EF"/>
    <w:rsid w:val="00251550"/>
    <w:rsid w:val="00256579"/>
    <w:rsid w:val="00263B05"/>
    <w:rsid w:val="00270866"/>
    <w:rsid w:val="0027221A"/>
    <w:rsid w:val="00272B1C"/>
    <w:rsid w:val="00275B61"/>
    <w:rsid w:val="00280FAF"/>
    <w:rsid w:val="00282656"/>
    <w:rsid w:val="00287651"/>
    <w:rsid w:val="00294506"/>
    <w:rsid w:val="00295BCD"/>
    <w:rsid w:val="00296B83"/>
    <w:rsid w:val="002A05AB"/>
    <w:rsid w:val="002A1242"/>
    <w:rsid w:val="002A6B06"/>
    <w:rsid w:val="002B1808"/>
    <w:rsid w:val="002B257C"/>
    <w:rsid w:val="002B4015"/>
    <w:rsid w:val="002B770E"/>
    <w:rsid w:val="002B78CE"/>
    <w:rsid w:val="002C007F"/>
    <w:rsid w:val="002C2FB6"/>
    <w:rsid w:val="002D4629"/>
    <w:rsid w:val="002E5FA7"/>
    <w:rsid w:val="002F3309"/>
    <w:rsid w:val="002F7EDB"/>
    <w:rsid w:val="003008CE"/>
    <w:rsid w:val="003009B7"/>
    <w:rsid w:val="00300E56"/>
    <w:rsid w:val="0030152C"/>
    <w:rsid w:val="0030469C"/>
    <w:rsid w:val="00310D88"/>
    <w:rsid w:val="0032156A"/>
    <w:rsid w:val="00321BEB"/>
    <w:rsid w:val="00321CA6"/>
    <w:rsid w:val="00323763"/>
    <w:rsid w:val="00323C5F"/>
    <w:rsid w:val="00334C09"/>
    <w:rsid w:val="003570C6"/>
    <w:rsid w:val="00363B06"/>
    <w:rsid w:val="003653CC"/>
    <w:rsid w:val="003723D4"/>
    <w:rsid w:val="00381905"/>
    <w:rsid w:val="00384CC8"/>
    <w:rsid w:val="003871FD"/>
    <w:rsid w:val="00393A6F"/>
    <w:rsid w:val="00397FD0"/>
    <w:rsid w:val="003A1E30"/>
    <w:rsid w:val="003A2829"/>
    <w:rsid w:val="003A7D1C"/>
    <w:rsid w:val="003B304B"/>
    <w:rsid w:val="003B3146"/>
    <w:rsid w:val="003B49CD"/>
    <w:rsid w:val="003B4F69"/>
    <w:rsid w:val="003C0F3A"/>
    <w:rsid w:val="003D1962"/>
    <w:rsid w:val="003D1E02"/>
    <w:rsid w:val="003D2281"/>
    <w:rsid w:val="003D33EB"/>
    <w:rsid w:val="003E5D70"/>
    <w:rsid w:val="003F015E"/>
    <w:rsid w:val="003F76A9"/>
    <w:rsid w:val="00400404"/>
    <w:rsid w:val="00400414"/>
    <w:rsid w:val="00413F6E"/>
    <w:rsid w:val="0041446B"/>
    <w:rsid w:val="00416AAF"/>
    <w:rsid w:val="004170EE"/>
    <w:rsid w:val="0042334D"/>
    <w:rsid w:val="0042790C"/>
    <w:rsid w:val="00436F8C"/>
    <w:rsid w:val="0044071E"/>
    <w:rsid w:val="0044329C"/>
    <w:rsid w:val="00453E24"/>
    <w:rsid w:val="00455D93"/>
    <w:rsid w:val="00457456"/>
    <w:rsid w:val="004577FE"/>
    <w:rsid w:val="00457A88"/>
    <w:rsid w:val="00457B9C"/>
    <w:rsid w:val="004606C0"/>
    <w:rsid w:val="0046164A"/>
    <w:rsid w:val="004628D2"/>
    <w:rsid w:val="00462DCD"/>
    <w:rsid w:val="004648AD"/>
    <w:rsid w:val="004703A9"/>
    <w:rsid w:val="004760DE"/>
    <w:rsid w:val="004763D7"/>
    <w:rsid w:val="00477A18"/>
    <w:rsid w:val="0048325B"/>
    <w:rsid w:val="004A004E"/>
    <w:rsid w:val="004A24CF"/>
    <w:rsid w:val="004A43FA"/>
    <w:rsid w:val="004C3D1D"/>
    <w:rsid w:val="004C3D84"/>
    <w:rsid w:val="004C4D0A"/>
    <w:rsid w:val="004C7297"/>
    <w:rsid w:val="004C7913"/>
    <w:rsid w:val="004E4DD6"/>
    <w:rsid w:val="004F1E40"/>
    <w:rsid w:val="004F5E36"/>
    <w:rsid w:val="004F7A28"/>
    <w:rsid w:val="00503024"/>
    <w:rsid w:val="005075FB"/>
    <w:rsid w:val="00507B47"/>
    <w:rsid w:val="00507BEF"/>
    <w:rsid w:val="00507CC9"/>
    <w:rsid w:val="005119A5"/>
    <w:rsid w:val="00513305"/>
    <w:rsid w:val="005205B0"/>
    <w:rsid w:val="005207B8"/>
    <w:rsid w:val="005235ED"/>
    <w:rsid w:val="005278B7"/>
    <w:rsid w:val="00532016"/>
    <w:rsid w:val="005346C8"/>
    <w:rsid w:val="00541EE8"/>
    <w:rsid w:val="0054207C"/>
    <w:rsid w:val="005424FC"/>
    <w:rsid w:val="00543E7D"/>
    <w:rsid w:val="00547A68"/>
    <w:rsid w:val="005531C9"/>
    <w:rsid w:val="00554879"/>
    <w:rsid w:val="00566907"/>
    <w:rsid w:val="00570C43"/>
    <w:rsid w:val="00571D05"/>
    <w:rsid w:val="0057580D"/>
    <w:rsid w:val="00592274"/>
    <w:rsid w:val="005A0BCC"/>
    <w:rsid w:val="005A121A"/>
    <w:rsid w:val="005A27E3"/>
    <w:rsid w:val="005B2110"/>
    <w:rsid w:val="005B30DF"/>
    <w:rsid w:val="005B350B"/>
    <w:rsid w:val="005B61E6"/>
    <w:rsid w:val="005C77E1"/>
    <w:rsid w:val="005D4537"/>
    <w:rsid w:val="005D668A"/>
    <w:rsid w:val="005D6A2F"/>
    <w:rsid w:val="005E0592"/>
    <w:rsid w:val="005E1A82"/>
    <w:rsid w:val="005E794C"/>
    <w:rsid w:val="005F0A28"/>
    <w:rsid w:val="005F0E5E"/>
    <w:rsid w:val="005F432A"/>
    <w:rsid w:val="00600535"/>
    <w:rsid w:val="006038A8"/>
    <w:rsid w:val="00610CD6"/>
    <w:rsid w:val="00620DEE"/>
    <w:rsid w:val="00621F92"/>
    <w:rsid w:val="0062280A"/>
    <w:rsid w:val="006231E1"/>
    <w:rsid w:val="00624EFD"/>
    <w:rsid w:val="00625639"/>
    <w:rsid w:val="00631B33"/>
    <w:rsid w:val="0064184D"/>
    <w:rsid w:val="006422CC"/>
    <w:rsid w:val="00651D18"/>
    <w:rsid w:val="00660495"/>
    <w:rsid w:val="00660E3E"/>
    <w:rsid w:val="00662BCC"/>
    <w:rsid w:val="00662E74"/>
    <w:rsid w:val="0066482E"/>
    <w:rsid w:val="006657A9"/>
    <w:rsid w:val="00670366"/>
    <w:rsid w:val="00680C23"/>
    <w:rsid w:val="0068111C"/>
    <w:rsid w:val="00683E23"/>
    <w:rsid w:val="00684295"/>
    <w:rsid w:val="00693766"/>
    <w:rsid w:val="006943EF"/>
    <w:rsid w:val="006A3281"/>
    <w:rsid w:val="006A6DE5"/>
    <w:rsid w:val="006A73D6"/>
    <w:rsid w:val="006B4888"/>
    <w:rsid w:val="006C2E45"/>
    <w:rsid w:val="006C359C"/>
    <w:rsid w:val="006C4972"/>
    <w:rsid w:val="006C5579"/>
    <w:rsid w:val="006C7436"/>
    <w:rsid w:val="006D6E8B"/>
    <w:rsid w:val="006D7209"/>
    <w:rsid w:val="006D7D12"/>
    <w:rsid w:val="006E737D"/>
    <w:rsid w:val="0070005D"/>
    <w:rsid w:val="00707DD1"/>
    <w:rsid w:val="00710CBB"/>
    <w:rsid w:val="00713973"/>
    <w:rsid w:val="00716A2D"/>
    <w:rsid w:val="00720A24"/>
    <w:rsid w:val="00721E27"/>
    <w:rsid w:val="00722B63"/>
    <w:rsid w:val="00725F09"/>
    <w:rsid w:val="00732386"/>
    <w:rsid w:val="00732B44"/>
    <w:rsid w:val="007341E7"/>
    <w:rsid w:val="0073514D"/>
    <w:rsid w:val="00742CF1"/>
    <w:rsid w:val="007447F3"/>
    <w:rsid w:val="00744D79"/>
    <w:rsid w:val="0075499F"/>
    <w:rsid w:val="00764679"/>
    <w:rsid w:val="007658F4"/>
    <w:rsid w:val="007661C8"/>
    <w:rsid w:val="007664C5"/>
    <w:rsid w:val="0077098D"/>
    <w:rsid w:val="00770F13"/>
    <w:rsid w:val="00771210"/>
    <w:rsid w:val="00775973"/>
    <w:rsid w:val="00785BF9"/>
    <w:rsid w:val="00792493"/>
    <w:rsid w:val="007931FA"/>
    <w:rsid w:val="007A443F"/>
    <w:rsid w:val="007A4861"/>
    <w:rsid w:val="007A7BBA"/>
    <w:rsid w:val="007B02CA"/>
    <w:rsid w:val="007B0C50"/>
    <w:rsid w:val="007B48F9"/>
    <w:rsid w:val="007B55E3"/>
    <w:rsid w:val="007B68DE"/>
    <w:rsid w:val="007C1A43"/>
    <w:rsid w:val="007C256E"/>
    <w:rsid w:val="007C71C2"/>
    <w:rsid w:val="007D0951"/>
    <w:rsid w:val="007D25CD"/>
    <w:rsid w:val="007D610D"/>
    <w:rsid w:val="0080013E"/>
    <w:rsid w:val="00801759"/>
    <w:rsid w:val="00804CF8"/>
    <w:rsid w:val="00813288"/>
    <w:rsid w:val="008168FC"/>
    <w:rsid w:val="00823109"/>
    <w:rsid w:val="00830996"/>
    <w:rsid w:val="00830C9B"/>
    <w:rsid w:val="00831078"/>
    <w:rsid w:val="008345F1"/>
    <w:rsid w:val="00845154"/>
    <w:rsid w:val="00855D6B"/>
    <w:rsid w:val="0086088F"/>
    <w:rsid w:val="00861983"/>
    <w:rsid w:val="00862C1F"/>
    <w:rsid w:val="00865B07"/>
    <w:rsid w:val="008667EA"/>
    <w:rsid w:val="00873A46"/>
    <w:rsid w:val="0087637F"/>
    <w:rsid w:val="00886518"/>
    <w:rsid w:val="0088698E"/>
    <w:rsid w:val="00892AD5"/>
    <w:rsid w:val="008A1512"/>
    <w:rsid w:val="008A2B58"/>
    <w:rsid w:val="008A4987"/>
    <w:rsid w:val="008A6FC3"/>
    <w:rsid w:val="008C040A"/>
    <w:rsid w:val="008C29A6"/>
    <w:rsid w:val="008C7473"/>
    <w:rsid w:val="008D32B9"/>
    <w:rsid w:val="008D3722"/>
    <w:rsid w:val="008D433B"/>
    <w:rsid w:val="008D4A16"/>
    <w:rsid w:val="008E5401"/>
    <w:rsid w:val="008E54AB"/>
    <w:rsid w:val="008E566E"/>
    <w:rsid w:val="008E6D0E"/>
    <w:rsid w:val="008F2D54"/>
    <w:rsid w:val="0090161A"/>
    <w:rsid w:val="00901EB6"/>
    <w:rsid w:val="009041F8"/>
    <w:rsid w:val="00904925"/>
    <w:rsid w:val="00904C62"/>
    <w:rsid w:val="0090544F"/>
    <w:rsid w:val="00921BC0"/>
    <w:rsid w:val="00922BA8"/>
    <w:rsid w:val="00924DAC"/>
    <w:rsid w:val="009257E5"/>
    <w:rsid w:val="00927058"/>
    <w:rsid w:val="00934656"/>
    <w:rsid w:val="00936C06"/>
    <w:rsid w:val="009426CD"/>
    <w:rsid w:val="00942750"/>
    <w:rsid w:val="00943D86"/>
    <w:rsid w:val="009450CE"/>
    <w:rsid w:val="009459BB"/>
    <w:rsid w:val="00947179"/>
    <w:rsid w:val="009509AF"/>
    <w:rsid w:val="0095164B"/>
    <w:rsid w:val="00954090"/>
    <w:rsid w:val="009573E7"/>
    <w:rsid w:val="00960950"/>
    <w:rsid w:val="00963E05"/>
    <w:rsid w:val="00964A45"/>
    <w:rsid w:val="00967843"/>
    <w:rsid w:val="00967D54"/>
    <w:rsid w:val="00970483"/>
    <w:rsid w:val="00971028"/>
    <w:rsid w:val="00974A62"/>
    <w:rsid w:val="009816DE"/>
    <w:rsid w:val="00993B84"/>
    <w:rsid w:val="00994C6A"/>
    <w:rsid w:val="00996483"/>
    <w:rsid w:val="00996F5A"/>
    <w:rsid w:val="00997FD8"/>
    <w:rsid w:val="009B041A"/>
    <w:rsid w:val="009C37C3"/>
    <w:rsid w:val="009C38B2"/>
    <w:rsid w:val="009C6A03"/>
    <w:rsid w:val="009C7C86"/>
    <w:rsid w:val="009C7D95"/>
    <w:rsid w:val="009D2FF7"/>
    <w:rsid w:val="009E009C"/>
    <w:rsid w:val="009E7884"/>
    <w:rsid w:val="009E788A"/>
    <w:rsid w:val="009F0E08"/>
    <w:rsid w:val="00A03772"/>
    <w:rsid w:val="00A037B6"/>
    <w:rsid w:val="00A079AE"/>
    <w:rsid w:val="00A10FB6"/>
    <w:rsid w:val="00A143D3"/>
    <w:rsid w:val="00A1763D"/>
    <w:rsid w:val="00A17AA2"/>
    <w:rsid w:val="00A17CEC"/>
    <w:rsid w:val="00A206A8"/>
    <w:rsid w:val="00A21ECD"/>
    <w:rsid w:val="00A25112"/>
    <w:rsid w:val="00A27EF0"/>
    <w:rsid w:val="00A36AB4"/>
    <w:rsid w:val="00A37AD0"/>
    <w:rsid w:val="00A42361"/>
    <w:rsid w:val="00A42D6B"/>
    <w:rsid w:val="00A43F16"/>
    <w:rsid w:val="00A50B20"/>
    <w:rsid w:val="00A51390"/>
    <w:rsid w:val="00A52D4D"/>
    <w:rsid w:val="00A60D13"/>
    <w:rsid w:val="00A613F3"/>
    <w:rsid w:val="00A62A15"/>
    <w:rsid w:val="00A7069F"/>
    <w:rsid w:val="00A7223D"/>
    <w:rsid w:val="00A72745"/>
    <w:rsid w:val="00A76EFC"/>
    <w:rsid w:val="00A809D1"/>
    <w:rsid w:val="00A87D50"/>
    <w:rsid w:val="00A91010"/>
    <w:rsid w:val="00A92E8B"/>
    <w:rsid w:val="00A95B54"/>
    <w:rsid w:val="00A97F29"/>
    <w:rsid w:val="00AA24AA"/>
    <w:rsid w:val="00AA5C90"/>
    <w:rsid w:val="00AA702E"/>
    <w:rsid w:val="00AA7D26"/>
    <w:rsid w:val="00AB0964"/>
    <w:rsid w:val="00AB2162"/>
    <w:rsid w:val="00AB3F7E"/>
    <w:rsid w:val="00AB5011"/>
    <w:rsid w:val="00AC7368"/>
    <w:rsid w:val="00AD16B9"/>
    <w:rsid w:val="00AD4DC8"/>
    <w:rsid w:val="00AE377D"/>
    <w:rsid w:val="00AF0EBA"/>
    <w:rsid w:val="00AF2463"/>
    <w:rsid w:val="00B01769"/>
    <w:rsid w:val="00B02C8A"/>
    <w:rsid w:val="00B03880"/>
    <w:rsid w:val="00B17FBD"/>
    <w:rsid w:val="00B206F4"/>
    <w:rsid w:val="00B22A16"/>
    <w:rsid w:val="00B261F3"/>
    <w:rsid w:val="00B30279"/>
    <w:rsid w:val="00B315A6"/>
    <w:rsid w:val="00B31813"/>
    <w:rsid w:val="00B33365"/>
    <w:rsid w:val="00B348DE"/>
    <w:rsid w:val="00B35CA8"/>
    <w:rsid w:val="00B44311"/>
    <w:rsid w:val="00B4694A"/>
    <w:rsid w:val="00B520D8"/>
    <w:rsid w:val="00B57B36"/>
    <w:rsid w:val="00B57E6F"/>
    <w:rsid w:val="00B6431E"/>
    <w:rsid w:val="00B65CF8"/>
    <w:rsid w:val="00B73075"/>
    <w:rsid w:val="00B74D47"/>
    <w:rsid w:val="00B80A66"/>
    <w:rsid w:val="00B8686D"/>
    <w:rsid w:val="00B91907"/>
    <w:rsid w:val="00B93344"/>
    <w:rsid w:val="00B93F69"/>
    <w:rsid w:val="00B93FE7"/>
    <w:rsid w:val="00B94DDB"/>
    <w:rsid w:val="00BA4D52"/>
    <w:rsid w:val="00BB1DDC"/>
    <w:rsid w:val="00BB2149"/>
    <w:rsid w:val="00BB6B64"/>
    <w:rsid w:val="00BC30C9"/>
    <w:rsid w:val="00BC7130"/>
    <w:rsid w:val="00BD077D"/>
    <w:rsid w:val="00BE3E58"/>
    <w:rsid w:val="00BF13CE"/>
    <w:rsid w:val="00C01616"/>
    <w:rsid w:val="00C0162B"/>
    <w:rsid w:val="00C05A6D"/>
    <w:rsid w:val="00C068ED"/>
    <w:rsid w:val="00C22E0C"/>
    <w:rsid w:val="00C243C0"/>
    <w:rsid w:val="00C345B1"/>
    <w:rsid w:val="00C40142"/>
    <w:rsid w:val="00C42663"/>
    <w:rsid w:val="00C501AA"/>
    <w:rsid w:val="00C52C3C"/>
    <w:rsid w:val="00C57182"/>
    <w:rsid w:val="00C57863"/>
    <w:rsid w:val="00C640AF"/>
    <w:rsid w:val="00C64B63"/>
    <w:rsid w:val="00C655FD"/>
    <w:rsid w:val="00C65996"/>
    <w:rsid w:val="00C6657B"/>
    <w:rsid w:val="00C75407"/>
    <w:rsid w:val="00C841C6"/>
    <w:rsid w:val="00C870A8"/>
    <w:rsid w:val="00C94434"/>
    <w:rsid w:val="00CA0D75"/>
    <w:rsid w:val="00CA1C95"/>
    <w:rsid w:val="00CA1CAC"/>
    <w:rsid w:val="00CA5A9C"/>
    <w:rsid w:val="00CB27BD"/>
    <w:rsid w:val="00CB41FE"/>
    <w:rsid w:val="00CB519B"/>
    <w:rsid w:val="00CB6A59"/>
    <w:rsid w:val="00CC4C20"/>
    <w:rsid w:val="00CD3517"/>
    <w:rsid w:val="00CD4973"/>
    <w:rsid w:val="00CD5FE2"/>
    <w:rsid w:val="00CE5BFF"/>
    <w:rsid w:val="00CE785D"/>
    <w:rsid w:val="00CE7C68"/>
    <w:rsid w:val="00D02B4C"/>
    <w:rsid w:val="00D040C4"/>
    <w:rsid w:val="00D130CA"/>
    <w:rsid w:val="00D157F2"/>
    <w:rsid w:val="00D166CB"/>
    <w:rsid w:val="00D20AD1"/>
    <w:rsid w:val="00D2582C"/>
    <w:rsid w:val="00D3017C"/>
    <w:rsid w:val="00D46B7E"/>
    <w:rsid w:val="00D569D2"/>
    <w:rsid w:val="00D57C84"/>
    <w:rsid w:val="00D6057D"/>
    <w:rsid w:val="00D71640"/>
    <w:rsid w:val="00D72641"/>
    <w:rsid w:val="00D74E64"/>
    <w:rsid w:val="00D76021"/>
    <w:rsid w:val="00D836C5"/>
    <w:rsid w:val="00D84576"/>
    <w:rsid w:val="00DA059F"/>
    <w:rsid w:val="00DA1399"/>
    <w:rsid w:val="00DA24C6"/>
    <w:rsid w:val="00DA4D7B"/>
    <w:rsid w:val="00DB2840"/>
    <w:rsid w:val="00DC2840"/>
    <w:rsid w:val="00DC73EE"/>
    <w:rsid w:val="00DD1057"/>
    <w:rsid w:val="00DD271C"/>
    <w:rsid w:val="00DE264A"/>
    <w:rsid w:val="00DF066F"/>
    <w:rsid w:val="00DF32FF"/>
    <w:rsid w:val="00DF5072"/>
    <w:rsid w:val="00E02D18"/>
    <w:rsid w:val="00E041E7"/>
    <w:rsid w:val="00E06989"/>
    <w:rsid w:val="00E1610C"/>
    <w:rsid w:val="00E235A8"/>
    <w:rsid w:val="00E23CA1"/>
    <w:rsid w:val="00E409A8"/>
    <w:rsid w:val="00E42C51"/>
    <w:rsid w:val="00E43AD6"/>
    <w:rsid w:val="00E50C12"/>
    <w:rsid w:val="00E65B91"/>
    <w:rsid w:val="00E7026D"/>
    <w:rsid w:val="00E7209D"/>
    <w:rsid w:val="00E72EAD"/>
    <w:rsid w:val="00E750AC"/>
    <w:rsid w:val="00E77223"/>
    <w:rsid w:val="00E8528B"/>
    <w:rsid w:val="00E85B94"/>
    <w:rsid w:val="00E978D0"/>
    <w:rsid w:val="00EA1AC5"/>
    <w:rsid w:val="00EA28F0"/>
    <w:rsid w:val="00EA4613"/>
    <w:rsid w:val="00EA64B2"/>
    <w:rsid w:val="00EA7F91"/>
    <w:rsid w:val="00EB062D"/>
    <w:rsid w:val="00EB08CA"/>
    <w:rsid w:val="00EB0A87"/>
    <w:rsid w:val="00EB1523"/>
    <w:rsid w:val="00EB47C7"/>
    <w:rsid w:val="00EB6A83"/>
    <w:rsid w:val="00EC0AED"/>
    <w:rsid w:val="00EC0E49"/>
    <w:rsid w:val="00EC101F"/>
    <w:rsid w:val="00EC1D9F"/>
    <w:rsid w:val="00EE0131"/>
    <w:rsid w:val="00EE17B0"/>
    <w:rsid w:val="00EF06D9"/>
    <w:rsid w:val="00F00652"/>
    <w:rsid w:val="00F27EE4"/>
    <w:rsid w:val="00F3049E"/>
    <w:rsid w:val="00F30C64"/>
    <w:rsid w:val="00F32BA2"/>
    <w:rsid w:val="00F32C63"/>
    <w:rsid w:val="00F32CDB"/>
    <w:rsid w:val="00F336AE"/>
    <w:rsid w:val="00F35988"/>
    <w:rsid w:val="00F35BE9"/>
    <w:rsid w:val="00F41EE4"/>
    <w:rsid w:val="00F46498"/>
    <w:rsid w:val="00F52842"/>
    <w:rsid w:val="00F565FE"/>
    <w:rsid w:val="00F6087A"/>
    <w:rsid w:val="00F60F8A"/>
    <w:rsid w:val="00F63A70"/>
    <w:rsid w:val="00F63D8C"/>
    <w:rsid w:val="00F7534E"/>
    <w:rsid w:val="00F75697"/>
    <w:rsid w:val="00F84F28"/>
    <w:rsid w:val="00F93EDF"/>
    <w:rsid w:val="00FA1802"/>
    <w:rsid w:val="00FA1A53"/>
    <w:rsid w:val="00FA21D0"/>
    <w:rsid w:val="00FA5F5F"/>
    <w:rsid w:val="00FB730C"/>
    <w:rsid w:val="00FC2695"/>
    <w:rsid w:val="00FC3E03"/>
    <w:rsid w:val="00FC3FC1"/>
    <w:rsid w:val="00FC6536"/>
    <w:rsid w:val="00FD0AF4"/>
    <w:rsid w:val="00FD52CA"/>
    <w:rsid w:val="00FD67DB"/>
    <w:rsid w:val="00FE2AEF"/>
    <w:rsid w:val="00FE718E"/>
    <w:rsid w:val="00FE7CE6"/>
    <w:rsid w:val="00FF7F48"/>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Nadpis1">
    <w:name w:val="heading 1"/>
    <w:basedOn w:val="CETHeading1"/>
    <w:next w:val="Normln"/>
    <w:link w:val="Nadpis1Char"/>
    <w:uiPriority w:val="9"/>
    <w:rsid w:val="004F5E36"/>
    <w:pPr>
      <w:tabs>
        <w:tab w:val="clear" w:pos="360"/>
        <w:tab w:val="right" w:pos="7100"/>
      </w:tabs>
      <w:jc w:val="both"/>
      <w:outlineLvl w:val="0"/>
    </w:pPr>
    <w:rPr>
      <w:lang w:val="en-GB"/>
    </w:rPr>
  </w:style>
  <w:style w:type="paragraph" w:styleId="Nadpis2">
    <w:name w:val="heading 2"/>
    <w:basedOn w:val="Normln"/>
    <w:next w:val="Normln"/>
    <w:link w:val="Nadpis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
    <w:next w:val="Normln"/>
    <w:link w:val="Nadpis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Jednoduchtabulka1">
    <w:name w:val="Table Simple 1"/>
    <w:basedOn w:val="Normlntabulka"/>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Odkaznakoment">
    <w:name w:val="annotation reference"/>
    <w:basedOn w:val="Standardnpsmoodstavce"/>
    <w:uiPriority w:val="99"/>
    <w:semiHidden/>
    <w:unhideWhenUsed/>
    <w:rsid w:val="004577FE"/>
    <w:rPr>
      <w:sz w:val="16"/>
      <w:szCs w:val="16"/>
    </w:rPr>
  </w:style>
  <w:style w:type="paragraph" w:styleId="Textbubliny">
    <w:name w:val="Balloon Text"/>
    <w:basedOn w:val="Normln"/>
    <w:link w:val="TextbublinyChar"/>
    <w:uiPriority w:val="99"/>
    <w:semiHidden/>
    <w:unhideWhenUsed/>
    <w:rsid w:val="000D34BE"/>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D34BE"/>
    <w:rPr>
      <w:rFonts w:ascii="Tahoma" w:hAnsi="Tahoma" w:cs="Tahoma"/>
      <w:sz w:val="16"/>
      <w:szCs w:val="16"/>
    </w:rPr>
  </w:style>
  <w:style w:type="paragraph" w:styleId="Bibliografie">
    <w:name w:val="Bibliography"/>
    <w:basedOn w:val="CETReferencetext"/>
    <w:uiPriority w:val="37"/>
    <w:unhideWhenUsed/>
    <w:rsid w:val="00631B33"/>
    <w:pPr>
      <w:spacing w:line="240" w:lineRule="auto"/>
      <w:ind w:left="720" w:hanging="720"/>
    </w:pPr>
  </w:style>
  <w:style w:type="paragraph" w:styleId="Zkladntext2">
    <w:name w:val="Body Text 2"/>
    <w:basedOn w:val="Normln"/>
    <w:link w:val="Zkladntext2Char"/>
    <w:uiPriority w:val="99"/>
    <w:semiHidden/>
    <w:unhideWhenUsed/>
    <w:rsid w:val="0003148D"/>
    <w:pPr>
      <w:spacing w:after="120" w:line="480" w:lineRule="auto"/>
    </w:pPr>
  </w:style>
  <w:style w:type="character" w:customStyle="1" w:styleId="Zkladntext2Char">
    <w:name w:val="Základní text 2 Char"/>
    <w:basedOn w:val="Standardnpsmoodstavce"/>
    <w:link w:val="Zkladntext2"/>
    <w:uiPriority w:val="99"/>
    <w:semiHidden/>
    <w:rsid w:val="0003148D"/>
  </w:style>
  <w:style w:type="paragraph" w:styleId="Zkladntext3">
    <w:name w:val="Body Text 3"/>
    <w:basedOn w:val="Normln"/>
    <w:link w:val="Zkladntext3Char"/>
    <w:uiPriority w:val="99"/>
    <w:semiHidden/>
    <w:unhideWhenUsed/>
    <w:rsid w:val="0003148D"/>
    <w:pPr>
      <w:spacing w:after="120"/>
    </w:pPr>
    <w:rPr>
      <w:sz w:val="16"/>
      <w:szCs w:val="16"/>
    </w:rPr>
  </w:style>
  <w:style w:type="character" w:customStyle="1" w:styleId="Zkladntext3Char">
    <w:name w:val="Základní text 3 Char"/>
    <w:basedOn w:val="Standardnpsmoodstavce"/>
    <w:link w:val="Zkladntext3"/>
    <w:uiPriority w:val="99"/>
    <w:semiHidden/>
    <w:rsid w:val="0003148D"/>
    <w:rPr>
      <w:sz w:val="16"/>
      <w:szCs w:val="16"/>
    </w:rPr>
  </w:style>
  <w:style w:type="paragraph" w:styleId="Zkladntext">
    <w:name w:val="Body Text"/>
    <w:basedOn w:val="Normln"/>
    <w:link w:val="ZkladntextChar"/>
    <w:uiPriority w:val="99"/>
    <w:semiHidden/>
    <w:unhideWhenUsed/>
    <w:rsid w:val="0003148D"/>
    <w:pPr>
      <w:spacing w:after="120"/>
    </w:pPr>
  </w:style>
  <w:style w:type="character" w:customStyle="1" w:styleId="ZkladntextChar">
    <w:name w:val="Základní text Char"/>
    <w:basedOn w:val="Standardnpsmoodstavce"/>
    <w:link w:val="Zkladntext"/>
    <w:uiPriority w:val="99"/>
    <w:semiHidden/>
    <w:rsid w:val="0003148D"/>
  </w:style>
  <w:style w:type="paragraph" w:styleId="Datum">
    <w:name w:val="Date"/>
    <w:basedOn w:val="Normln"/>
    <w:next w:val="Normln"/>
    <w:link w:val="DatumChar"/>
    <w:uiPriority w:val="99"/>
    <w:semiHidden/>
    <w:unhideWhenUsed/>
    <w:rsid w:val="0003148D"/>
  </w:style>
  <w:style w:type="character" w:customStyle="1" w:styleId="DatumChar">
    <w:name w:val="Datum Char"/>
    <w:basedOn w:val="Standardnpsmoodstavce"/>
    <w:link w:val="Datum"/>
    <w:uiPriority w:val="99"/>
    <w:semiHidden/>
    <w:rsid w:val="0003148D"/>
  </w:style>
  <w:style w:type="paragraph" w:styleId="Titulek">
    <w:name w:val="caption"/>
    <w:basedOn w:val="Normln"/>
    <w:next w:val="Normln"/>
    <w:uiPriority w:val="35"/>
    <w:unhideWhenUsed/>
    <w:qFormat/>
    <w:rsid w:val="0003148D"/>
    <w:pPr>
      <w:spacing w:line="240" w:lineRule="auto"/>
    </w:pPr>
    <w:rPr>
      <w:b/>
      <w:bCs/>
      <w:color w:val="4F81BD" w:themeColor="accent1"/>
      <w:szCs w:val="18"/>
    </w:rPr>
  </w:style>
  <w:style w:type="paragraph" w:styleId="Seznam">
    <w:name w:val="List"/>
    <w:basedOn w:val="Normln"/>
    <w:uiPriority w:val="99"/>
    <w:semiHidden/>
    <w:unhideWhenUsed/>
    <w:rsid w:val="0003148D"/>
    <w:pPr>
      <w:ind w:left="283" w:hanging="283"/>
      <w:contextualSpacing/>
    </w:pPr>
  </w:style>
  <w:style w:type="paragraph" w:styleId="Seznam2">
    <w:name w:val="List 2"/>
    <w:basedOn w:val="Normln"/>
    <w:uiPriority w:val="99"/>
    <w:semiHidden/>
    <w:unhideWhenUsed/>
    <w:rsid w:val="0003148D"/>
    <w:pPr>
      <w:ind w:left="566" w:hanging="283"/>
      <w:contextualSpacing/>
    </w:pPr>
  </w:style>
  <w:style w:type="paragraph" w:styleId="Seznam3">
    <w:name w:val="List 3"/>
    <w:basedOn w:val="Normln"/>
    <w:uiPriority w:val="99"/>
    <w:semiHidden/>
    <w:unhideWhenUsed/>
    <w:rsid w:val="0003148D"/>
    <w:pPr>
      <w:ind w:left="849" w:hanging="283"/>
      <w:contextualSpacing/>
    </w:pPr>
  </w:style>
  <w:style w:type="paragraph" w:styleId="Seznam4">
    <w:name w:val="List 4"/>
    <w:basedOn w:val="Normln"/>
    <w:uiPriority w:val="99"/>
    <w:semiHidden/>
    <w:unhideWhenUsed/>
    <w:rsid w:val="0003148D"/>
    <w:pPr>
      <w:ind w:left="1132" w:hanging="283"/>
      <w:contextualSpacing/>
    </w:pPr>
  </w:style>
  <w:style w:type="paragraph" w:styleId="Seznam5">
    <w:name w:val="List 5"/>
    <w:basedOn w:val="Normln"/>
    <w:uiPriority w:val="99"/>
    <w:semiHidden/>
    <w:unhideWhenUsed/>
    <w:rsid w:val="0003148D"/>
    <w:pPr>
      <w:ind w:left="1415" w:hanging="283"/>
      <w:contextualSpacing/>
    </w:pPr>
  </w:style>
  <w:style w:type="paragraph" w:styleId="Pokraovnseznamu">
    <w:name w:val="List Continue"/>
    <w:basedOn w:val="Normln"/>
    <w:uiPriority w:val="99"/>
    <w:semiHidden/>
    <w:unhideWhenUsed/>
    <w:rsid w:val="0003148D"/>
    <w:pPr>
      <w:spacing w:after="120"/>
      <w:ind w:left="283"/>
      <w:contextualSpacing/>
    </w:pPr>
  </w:style>
  <w:style w:type="paragraph" w:styleId="Pokraovnseznamu2">
    <w:name w:val="List Continue 2"/>
    <w:basedOn w:val="Normln"/>
    <w:uiPriority w:val="99"/>
    <w:semiHidden/>
    <w:unhideWhenUsed/>
    <w:rsid w:val="0003148D"/>
    <w:pPr>
      <w:spacing w:after="120"/>
      <w:ind w:left="566"/>
      <w:contextualSpacing/>
    </w:pPr>
  </w:style>
  <w:style w:type="paragraph" w:styleId="Pokraovnseznamu3">
    <w:name w:val="List Continue 3"/>
    <w:basedOn w:val="Normln"/>
    <w:uiPriority w:val="99"/>
    <w:semiHidden/>
    <w:unhideWhenUsed/>
    <w:rsid w:val="0003148D"/>
    <w:pPr>
      <w:spacing w:after="120"/>
      <w:ind w:left="849"/>
      <w:contextualSpacing/>
    </w:pPr>
  </w:style>
  <w:style w:type="paragraph" w:styleId="Pokraovnseznamu4">
    <w:name w:val="List Continue 4"/>
    <w:basedOn w:val="Normln"/>
    <w:uiPriority w:val="99"/>
    <w:semiHidden/>
    <w:unhideWhenUsed/>
    <w:rsid w:val="0003148D"/>
    <w:pPr>
      <w:spacing w:after="120"/>
      <w:ind w:left="1132"/>
      <w:contextualSpacing/>
    </w:pPr>
  </w:style>
  <w:style w:type="paragraph" w:styleId="Pokraovnseznamu5">
    <w:name w:val="List Continue 5"/>
    <w:basedOn w:val="Normln"/>
    <w:uiPriority w:val="99"/>
    <w:semiHidden/>
    <w:unhideWhenUsed/>
    <w:rsid w:val="0003148D"/>
    <w:pPr>
      <w:spacing w:after="120"/>
      <w:ind w:left="1415"/>
      <w:contextualSpacing/>
    </w:pPr>
  </w:style>
  <w:style w:type="paragraph" w:styleId="Podpis">
    <w:name w:val="Signature"/>
    <w:basedOn w:val="Normln"/>
    <w:link w:val="PodpisChar"/>
    <w:uiPriority w:val="99"/>
    <w:semiHidden/>
    <w:unhideWhenUsed/>
    <w:rsid w:val="0003148D"/>
    <w:pPr>
      <w:spacing w:line="240" w:lineRule="auto"/>
      <w:ind w:left="4252"/>
    </w:pPr>
  </w:style>
  <w:style w:type="character" w:customStyle="1" w:styleId="PodpisChar">
    <w:name w:val="Podpis Char"/>
    <w:basedOn w:val="Standardnpsmoodstavce"/>
    <w:link w:val="Podpis"/>
    <w:uiPriority w:val="99"/>
    <w:semiHidden/>
    <w:rsid w:val="0003148D"/>
  </w:style>
  <w:style w:type="paragraph" w:styleId="Podpise-mailu">
    <w:name w:val="E-mail Signature"/>
    <w:basedOn w:val="Normln"/>
    <w:link w:val="Podpise-mailuChar"/>
    <w:uiPriority w:val="99"/>
    <w:semiHidden/>
    <w:unhideWhenUsed/>
    <w:rsid w:val="0003148D"/>
    <w:pPr>
      <w:spacing w:line="240" w:lineRule="auto"/>
    </w:pPr>
  </w:style>
  <w:style w:type="character" w:customStyle="1" w:styleId="Podpise-mailuChar">
    <w:name w:val="Podpis e-mailu Char"/>
    <w:basedOn w:val="Standardnpsmoodstavce"/>
    <w:link w:val="Podpise-mailu"/>
    <w:uiPriority w:val="99"/>
    <w:semiHidden/>
    <w:rsid w:val="0003148D"/>
  </w:style>
  <w:style w:type="paragraph" w:styleId="Osloven">
    <w:name w:val="Salutation"/>
    <w:basedOn w:val="Normln"/>
    <w:next w:val="Normln"/>
    <w:link w:val="OslovenChar"/>
    <w:uiPriority w:val="99"/>
    <w:semiHidden/>
    <w:unhideWhenUsed/>
    <w:rsid w:val="0003148D"/>
  </w:style>
  <w:style w:type="character" w:customStyle="1" w:styleId="OslovenChar">
    <w:name w:val="Oslovení Char"/>
    <w:basedOn w:val="Standardnpsmoodstavce"/>
    <w:link w:val="Osloven"/>
    <w:uiPriority w:val="99"/>
    <w:semiHidden/>
    <w:rsid w:val="0003148D"/>
  </w:style>
  <w:style w:type="paragraph" w:styleId="Zvr">
    <w:name w:val="Closing"/>
    <w:basedOn w:val="Normln"/>
    <w:link w:val="ZvrChar"/>
    <w:uiPriority w:val="99"/>
    <w:semiHidden/>
    <w:unhideWhenUsed/>
    <w:rsid w:val="0003148D"/>
    <w:pPr>
      <w:spacing w:line="240" w:lineRule="auto"/>
      <w:ind w:left="4252"/>
    </w:pPr>
  </w:style>
  <w:style w:type="character" w:customStyle="1" w:styleId="ZvrChar">
    <w:name w:val="Závěr Char"/>
    <w:basedOn w:val="Standardnpsmoodstavce"/>
    <w:link w:val="Zvr"/>
    <w:uiPriority w:val="99"/>
    <w:semiHidden/>
    <w:rsid w:val="0003148D"/>
  </w:style>
  <w:style w:type="paragraph" w:styleId="Rejstk1">
    <w:name w:val="index 1"/>
    <w:basedOn w:val="Normln"/>
    <w:next w:val="Normln"/>
    <w:autoRedefine/>
    <w:uiPriority w:val="99"/>
    <w:semiHidden/>
    <w:unhideWhenUsed/>
    <w:rsid w:val="0003148D"/>
    <w:pPr>
      <w:spacing w:line="240" w:lineRule="auto"/>
      <w:ind w:left="220" w:hanging="220"/>
    </w:pPr>
  </w:style>
  <w:style w:type="paragraph" w:styleId="Rejstk2">
    <w:name w:val="index 2"/>
    <w:basedOn w:val="Normln"/>
    <w:next w:val="Normln"/>
    <w:autoRedefine/>
    <w:uiPriority w:val="99"/>
    <w:semiHidden/>
    <w:unhideWhenUsed/>
    <w:rsid w:val="0003148D"/>
    <w:pPr>
      <w:spacing w:line="240" w:lineRule="auto"/>
      <w:ind w:left="440" w:hanging="220"/>
    </w:pPr>
  </w:style>
  <w:style w:type="paragraph" w:styleId="Rejstk3">
    <w:name w:val="index 3"/>
    <w:basedOn w:val="Normln"/>
    <w:next w:val="Normln"/>
    <w:autoRedefine/>
    <w:uiPriority w:val="99"/>
    <w:semiHidden/>
    <w:unhideWhenUsed/>
    <w:rsid w:val="0003148D"/>
    <w:pPr>
      <w:spacing w:line="240" w:lineRule="auto"/>
      <w:ind w:left="660" w:hanging="220"/>
    </w:pPr>
  </w:style>
  <w:style w:type="paragraph" w:styleId="Rejstk4">
    <w:name w:val="index 4"/>
    <w:basedOn w:val="Normln"/>
    <w:next w:val="Normln"/>
    <w:autoRedefine/>
    <w:uiPriority w:val="99"/>
    <w:semiHidden/>
    <w:unhideWhenUsed/>
    <w:rsid w:val="0003148D"/>
    <w:pPr>
      <w:spacing w:line="240" w:lineRule="auto"/>
      <w:ind w:left="880" w:hanging="220"/>
    </w:pPr>
  </w:style>
  <w:style w:type="paragraph" w:styleId="Rejstk5">
    <w:name w:val="index 5"/>
    <w:basedOn w:val="Normln"/>
    <w:next w:val="Normln"/>
    <w:autoRedefine/>
    <w:uiPriority w:val="99"/>
    <w:semiHidden/>
    <w:unhideWhenUsed/>
    <w:rsid w:val="0003148D"/>
    <w:pPr>
      <w:spacing w:line="240" w:lineRule="auto"/>
      <w:ind w:left="1100" w:hanging="220"/>
    </w:pPr>
  </w:style>
  <w:style w:type="paragraph" w:styleId="Rejstk6">
    <w:name w:val="index 6"/>
    <w:basedOn w:val="Normln"/>
    <w:next w:val="Normln"/>
    <w:autoRedefine/>
    <w:uiPriority w:val="99"/>
    <w:semiHidden/>
    <w:unhideWhenUsed/>
    <w:rsid w:val="0003148D"/>
    <w:pPr>
      <w:spacing w:line="240" w:lineRule="auto"/>
      <w:ind w:left="1320" w:hanging="220"/>
    </w:pPr>
  </w:style>
  <w:style w:type="paragraph" w:styleId="Rejstk7">
    <w:name w:val="index 7"/>
    <w:basedOn w:val="Normln"/>
    <w:next w:val="Normln"/>
    <w:autoRedefine/>
    <w:uiPriority w:val="99"/>
    <w:semiHidden/>
    <w:unhideWhenUsed/>
    <w:rsid w:val="0003148D"/>
    <w:pPr>
      <w:spacing w:line="240" w:lineRule="auto"/>
      <w:ind w:left="1540" w:hanging="220"/>
    </w:pPr>
  </w:style>
  <w:style w:type="paragraph" w:styleId="Rejstk8">
    <w:name w:val="index 8"/>
    <w:basedOn w:val="Normln"/>
    <w:next w:val="Normln"/>
    <w:autoRedefine/>
    <w:uiPriority w:val="99"/>
    <w:semiHidden/>
    <w:unhideWhenUsed/>
    <w:rsid w:val="0003148D"/>
    <w:pPr>
      <w:spacing w:line="240" w:lineRule="auto"/>
      <w:ind w:left="1760" w:hanging="220"/>
    </w:pPr>
  </w:style>
  <w:style w:type="paragraph" w:styleId="Rejstk9">
    <w:name w:val="index 9"/>
    <w:basedOn w:val="Normln"/>
    <w:next w:val="Normln"/>
    <w:autoRedefine/>
    <w:uiPriority w:val="99"/>
    <w:semiHidden/>
    <w:unhideWhenUsed/>
    <w:rsid w:val="0003148D"/>
    <w:pPr>
      <w:spacing w:line="240" w:lineRule="auto"/>
      <w:ind w:left="1980" w:hanging="220"/>
    </w:pPr>
  </w:style>
  <w:style w:type="paragraph" w:styleId="Seznamobrzk">
    <w:name w:val="table of figures"/>
    <w:basedOn w:val="Normln"/>
    <w:next w:val="Normln"/>
    <w:uiPriority w:val="99"/>
    <w:semiHidden/>
    <w:unhideWhenUsed/>
    <w:rsid w:val="0003148D"/>
  </w:style>
  <w:style w:type="paragraph" w:styleId="Seznamcitac">
    <w:name w:val="table of authorities"/>
    <w:basedOn w:val="Normln"/>
    <w:next w:val="Normln"/>
    <w:uiPriority w:val="99"/>
    <w:semiHidden/>
    <w:unhideWhenUsed/>
    <w:rsid w:val="0003148D"/>
    <w:pPr>
      <w:ind w:left="220" w:hanging="220"/>
    </w:pPr>
  </w:style>
  <w:style w:type="paragraph" w:styleId="Adresanaoblku">
    <w:name w:val="envelope address"/>
    <w:basedOn w:val="Normln"/>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AdresaHTML">
    <w:name w:val="HTML Address"/>
    <w:basedOn w:val="Normln"/>
    <w:link w:val="AdresaHTMLChar"/>
    <w:uiPriority w:val="99"/>
    <w:semiHidden/>
    <w:unhideWhenUsed/>
    <w:rsid w:val="0003148D"/>
    <w:pPr>
      <w:spacing w:line="240" w:lineRule="auto"/>
    </w:pPr>
    <w:rPr>
      <w:i/>
      <w:iCs/>
    </w:rPr>
  </w:style>
  <w:style w:type="character" w:customStyle="1" w:styleId="AdresaHTMLChar">
    <w:name w:val="Adresa HTML Char"/>
    <w:basedOn w:val="Standardnpsmoodstavce"/>
    <w:link w:val="AdresaHTML"/>
    <w:uiPriority w:val="99"/>
    <w:semiHidden/>
    <w:rsid w:val="0003148D"/>
    <w:rPr>
      <w:i/>
      <w:iCs/>
    </w:rPr>
  </w:style>
  <w:style w:type="paragraph" w:styleId="Zptenadresanaoblku">
    <w:name w:val="envelope return"/>
    <w:basedOn w:val="Normln"/>
    <w:uiPriority w:val="99"/>
    <w:semiHidden/>
    <w:unhideWhenUsed/>
    <w:rsid w:val="0003148D"/>
    <w:pPr>
      <w:spacing w:line="240" w:lineRule="auto"/>
    </w:pPr>
    <w:rPr>
      <w:rFonts w:asciiTheme="majorHAnsi" w:eastAsiaTheme="majorEastAsia" w:hAnsiTheme="majorHAnsi" w:cstheme="majorBidi"/>
    </w:rPr>
  </w:style>
  <w:style w:type="paragraph" w:styleId="Zhlavzprvy">
    <w:name w:val="Message Header"/>
    <w:basedOn w:val="Normln"/>
    <w:link w:val="Zhlavzprvy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sid w:val="0003148D"/>
    <w:rPr>
      <w:rFonts w:asciiTheme="majorHAnsi" w:eastAsiaTheme="majorEastAsia" w:hAnsiTheme="majorHAnsi" w:cstheme="majorBidi"/>
      <w:sz w:val="24"/>
      <w:szCs w:val="24"/>
      <w:shd w:val="pct20" w:color="auto" w:fill="auto"/>
    </w:rPr>
  </w:style>
  <w:style w:type="paragraph" w:styleId="Nadpispoznmky">
    <w:name w:val="Note Heading"/>
    <w:basedOn w:val="Normln"/>
    <w:next w:val="Normln"/>
    <w:link w:val="NadpispoznmkyChar"/>
    <w:uiPriority w:val="99"/>
    <w:semiHidden/>
    <w:unhideWhenUsed/>
    <w:rsid w:val="0003148D"/>
    <w:pPr>
      <w:spacing w:line="240" w:lineRule="auto"/>
    </w:pPr>
  </w:style>
  <w:style w:type="character" w:customStyle="1" w:styleId="NadpispoznmkyChar">
    <w:name w:val="Nadpis poznámky Char"/>
    <w:basedOn w:val="Standardnpsmoodstavce"/>
    <w:link w:val="Nadpispoznmky"/>
    <w:uiPriority w:val="99"/>
    <w:semiHidden/>
    <w:rsid w:val="0003148D"/>
  </w:style>
  <w:style w:type="paragraph" w:styleId="Rozloendokumentu">
    <w:name w:val="Document Map"/>
    <w:basedOn w:val="Normln"/>
    <w:link w:val="RozloendokumentuChar"/>
    <w:uiPriority w:val="99"/>
    <w:semiHidden/>
    <w:unhideWhenUsed/>
    <w:rsid w:val="0003148D"/>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3148D"/>
    <w:rPr>
      <w:rFonts w:ascii="Tahoma" w:hAnsi="Tahoma" w:cs="Tahoma"/>
      <w:sz w:val="16"/>
      <w:szCs w:val="16"/>
    </w:rPr>
  </w:style>
  <w:style w:type="paragraph" w:styleId="Normlnweb">
    <w:name w:val="Normal (Web)"/>
    <w:basedOn w:val="Normln"/>
    <w:uiPriority w:val="99"/>
    <w:semiHidden/>
    <w:unhideWhenUsed/>
    <w:rsid w:val="0003148D"/>
    <w:rPr>
      <w:sz w:val="24"/>
      <w:szCs w:val="24"/>
    </w:rPr>
  </w:style>
  <w:style w:type="paragraph" w:styleId="slovanseznam">
    <w:name w:val="List Number"/>
    <w:basedOn w:val="Normln"/>
    <w:uiPriority w:val="99"/>
    <w:semiHidden/>
    <w:unhideWhenUsed/>
    <w:rsid w:val="0003148D"/>
    <w:pPr>
      <w:numPr>
        <w:numId w:val="2"/>
      </w:numPr>
      <w:contextualSpacing/>
    </w:pPr>
  </w:style>
  <w:style w:type="paragraph" w:styleId="slovanseznam2">
    <w:name w:val="List Number 2"/>
    <w:basedOn w:val="Normln"/>
    <w:uiPriority w:val="99"/>
    <w:semiHidden/>
    <w:unhideWhenUsed/>
    <w:rsid w:val="0003148D"/>
    <w:pPr>
      <w:numPr>
        <w:numId w:val="3"/>
      </w:numPr>
      <w:contextualSpacing/>
    </w:pPr>
  </w:style>
  <w:style w:type="paragraph" w:styleId="slovanseznam3">
    <w:name w:val="List Number 3"/>
    <w:basedOn w:val="Normln"/>
    <w:uiPriority w:val="99"/>
    <w:semiHidden/>
    <w:unhideWhenUsed/>
    <w:rsid w:val="0003148D"/>
    <w:pPr>
      <w:numPr>
        <w:numId w:val="4"/>
      </w:numPr>
      <w:contextualSpacing/>
    </w:pPr>
  </w:style>
  <w:style w:type="paragraph" w:styleId="slovanseznam4">
    <w:name w:val="List Number 4"/>
    <w:basedOn w:val="Normln"/>
    <w:uiPriority w:val="99"/>
    <w:semiHidden/>
    <w:unhideWhenUsed/>
    <w:rsid w:val="0003148D"/>
    <w:pPr>
      <w:numPr>
        <w:numId w:val="5"/>
      </w:numPr>
      <w:contextualSpacing/>
    </w:pPr>
  </w:style>
  <w:style w:type="paragraph" w:styleId="slovanseznam5">
    <w:name w:val="List Number 5"/>
    <w:basedOn w:val="Normln"/>
    <w:uiPriority w:val="99"/>
    <w:semiHidden/>
    <w:unhideWhenUsed/>
    <w:rsid w:val="0003148D"/>
    <w:pPr>
      <w:numPr>
        <w:numId w:val="6"/>
      </w:numPr>
      <w:contextualSpacing/>
    </w:pPr>
  </w:style>
  <w:style w:type="paragraph" w:styleId="FormtovanvHTML">
    <w:name w:val="HTML Preformatted"/>
    <w:basedOn w:val="Normln"/>
    <w:link w:val="FormtovanvHTMLChar"/>
    <w:uiPriority w:val="99"/>
    <w:semiHidden/>
    <w:unhideWhenUsed/>
    <w:rsid w:val="0003148D"/>
    <w:pPr>
      <w:spacing w:line="240" w:lineRule="auto"/>
    </w:pPr>
    <w:rPr>
      <w:rFonts w:ascii="Consolas" w:hAnsi="Consolas" w:cs="Consolas"/>
    </w:rPr>
  </w:style>
  <w:style w:type="character" w:customStyle="1" w:styleId="FormtovanvHTMLChar">
    <w:name w:val="Formátovaný v HTML Char"/>
    <w:basedOn w:val="Standardnpsmoodstavce"/>
    <w:link w:val="FormtovanvHTML"/>
    <w:uiPriority w:val="99"/>
    <w:semiHidden/>
    <w:rsid w:val="0003148D"/>
    <w:rPr>
      <w:rFonts w:ascii="Consolas" w:hAnsi="Consolas" w:cs="Consolas"/>
      <w:sz w:val="20"/>
      <w:szCs w:val="20"/>
    </w:rPr>
  </w:style>
  <w:style w:type="paragraph" w:styleId="Zkladntext-prvnodsazen">
    <w:name w:val="Body Text First Indent"/>
    <w:basedOn w:val="Zkladntext"/>
    <w:link w:val="Zkladntext-prvnodsazenChar"/>
    <w:uiPriority w:val="99"/>
    <w:semiHidden/>
    <w:unhideWhenUsed/>
    <w:rsid w:val="0003148D"/>
    <w:pPr>
      <w:spacing w:after="200"/>
      <w:ind w:firstLine="360"/>
    </w:pPr>
  </w:style>
  <w:style w:type="character" w:customStyle="1" w:styleId="Zkladntext-prvnodsazenChar">
    <w:name w:val="Základní text - první odsazený Char"/>
    <w:basedOn w:val="ZkladntextChar"/>
    <w:link w:val="Zkladntext-prvnodsazen"/>
    <w:uiPriority w:val="99"/>
    <w:semiHidden/>
    <w:rsid w:val="0003148D"/>
  </w:style>
  <w:style w:type="paragraph" w:styleId="Zkladntextodsazen">
    <w:name w:val="Body Text Indent"/>
    <w:basedOn w:val="Normln"/>
    <w:link w:val="ZkladntextodsazenChar"/>
    <w:uiPriority w:val="99"/>
    <w:semiHidden/>
    <w:unhideWhenUsed/>
    <w:rsid w:val="0003148D"/>
    <w:pPr>
      <w:spacing w:after="120"/>
      <w:ind w:left="283"/>
    </w:pPr>
  </w:style>
  <w:style w:type="character" w:customStyle="1" w:styleId="ZkladntextodsazenChar">
    <w:name w:val="Základní text odsazený Char"/>
    <w:basedOn w:val="Standardnpsmoodstavce"/>
    <w:link w:val="Zkladntextodsazen"/>
    <w:uiPriority w:val="99"/>
    <w:semiHidden/>
    <w:rsid w:val="0003148D"/>
  </w:style>
  <w:style w:type="paragraph" w:styleId="Zkladntext-prvnodsazen2">
    <w:name w:val="Body Text First Indent 2"/>
    <w:basedOn w:val="Zkladntextodsazen"/>
    <w:link w:val="Zkladntext-prvnodsazen2Char"/>
    <w:uiPriority w:val="99"/>
    <w:semiHidden/>
    <w:unhideWhenUsed/>
    <w:rsid w:val="0003148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rsid w:val="0003148D"/>
  </w:style>
  <w:style w:type="paragraph" w:styleId="Seznamsodrkami">
    <w:name w:val="List Bullet"/>
    <w:basedOn w:val="Normln"/>
    <w:uiPriority w:val="99"/>
    <w:semiHidden/>
    <w:unhideWhenUsed/>
    <w:rsid w:val="0003148D"/>
    <w:pPr>
      <w:numPr>
        <w:numId w:val="7"/>
      </w:numPr>
      <w:contextualSpacing/>
    </w:pPr>
  </w:style>
  <w:style w:type="paragraph" w:styleId="Seznamsodrkami2">
    <w:name w:val="List Bullet 2"/>
    <w:basedOn w:val="Normln"/>
    <w:uiPriority w:val="99"/>
    <w:semiHidden/>
    <w:unhideWhenUsed/>
    <w:rsid w:val="0003148D"/>
    <w:pPr>
      <w:numPr>
        <w:numId w:val="8"/>
      </w:numPr>
      <w:contextualSpacing/>
    </w:pPr>
  </w:style>
  <w:style w:type="paragraph" w:styleId="Seznamsodrkami3">
    <w:name w:val="List Bullet 3"/>
    <w:basedOn w:val="Normln"/>
    <w:uiPriority w:val="99"/>
    <w:semiHidden/>
    <w:unhideWhenUsed/>
    <w:rsid w:val="0003148D"/>
    <w:pPr>
      <w:numPr>
        <w:numId w:val="9"/>
      </w:numPr>
      <w:contextualSpacing/>
    </w:pPr>
  </w:style>
  <w:style w:type="paragraph" w:styleId="Seznamsodrkami4">
    <w:name w:val="List Bullet 4"/>
    <w:basedOn w:val="Normln"/>
    <w:uiPriority w:val="99"/>
    <w:semiHidden/>
    <w:unhideWhenUsed/>
    <w:rsid w:val="0003148D"/>
    <w:pPr>
      <w:numPr>
        <w:numId w:val="10"/>
      </w:numPr>
      <w:contextualSpacing/>
    </w:pPr>
  </w:style>
  <w:style w:type="paragraph" w:styleId="Seznamsodrkami5">
    <w:name w:val="List Bullet 5"/>
    <w:basedOn w:val="Normln"/>
    <w:uiPriority w:val="99"/>
    <w:semiHidden/>
    <w:unhideWhenUsed/>
    <w:rsid w:val="0003148D"/>
    <w:pPr>
      <w:numPr>
        <w:numId w:val="11"/>
      </w:numPr>
      <w:contextualSpacing/>
    </w:pPr>
  </w:style>
  <w:style w:type="paragraph" w:styleId="Zkladntextodsazen2">
    <w:name w:val="Body Text Indent 2"/>
    <w:basedOn w:val="Normln"/>
    <w:link w:val="Zkladntextodsazen2Char"/>
    <w:uiPriority w:val="99"/>
    <w:semiHidden/>
    <w:unhideWhenUsed/>
    <w:rsid w:val="0003148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rsid w:val="0003148D"/>
  </w:style>
  <w:style w:type="paragraph" w:styleId="Zkladntextodsazen3">
    <w:name w:val="Body Text Indent 3"/>
    <w:basedOn w:val="Normln"/>
    <w:link w:val="Zkladntextodsazen3Char"/>
    <w:uiPriority w:val="99"/>
    <w:semiHidden/>
    <w:unhideWhenUsed/>
    <w:rsid w:val="0003148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sid w:val="0003148D"/>
    <w:rPr>
      <w:sz w:val="16"/>
      <w:szCs w:val="16"/>
    </w:rPr>
  </w:style>
  <w:style w:type="paragraph" w:styleId="Normlnodsazen">
    <w:name w:val="Normal Indent"/>
    <w:basedOn w:val="Normln"/>
    <w:uiPriority w:val="99"/>
    <w:semiHidden/>
    <w:unhideWhenUsed/>
    <w:rsid w:val="0003148D"/>
    <w:pPr>
      <w:ind w:left="720"/>
    </w:pPr>
  </w:style>
  <w:style w:type="paragraph" w:styleId="Textkomente">
    <w:name w:val="annotation text"/>
    <w:basedOn w:val="Normln"/>
    <w:link w:val="TextkomenteChar"/>
    <w:uiPriority w:val="99"/>
    <w:unhideWhenUsed/>
    <w:rsid w:val="0003148D"/>
    <w:pPr>
      <w:spacing w:line="240" w:lineRule="auto"/>
    </w:pPr>
  </w:style>
  <w:style w:type="character" w:customStyle="1" w:styleId="TextkomenteChar">
    <w:name w:val="Text komentáře Char"/>
    <w:basedOn w:val="Standardnpsmoodstavce"/>
    <w:link w:val="Textkomente"/>
    <w:uiPriority w:val="99"/>
    <w:rsid w:val="0003148D"/>
    <w:rPr>
      <w:sz w:val="20"/>
      <w:szCs w:val="20"/>
    </w:rPr>
  </w:style>
  <w:style w:type="paragraph" w:styleId="Pedmtkomente">
    <w:name w:val="annotation subject"/>
    <w:basedOn w:val="Textkomente"/>
    <w:next w:val="Textkomente"/>
    <w:link w:val="PedmtkomenteChar"/>
    <w:uiPriority w:val="99"/>
    <w:semiHidden/>
    <w:unhideWhenUsed/>
    <w:rsid w:val="0003148D"/>
    <w:rPr>
      <w:b/>
      <w:bCs/>
    </w:rPr>
  </w:style>
  <w:style w:type="character" w:customStyle="1" w:styleId="PedmtkomenteChar">
    <w:name w:val="Předmět komentáře Char"/>
    <w:basedOn w:val="TextkomenteChar"/>
    <w:link w:val="Pedmtkomente"/>
    <w:uiPriority w:val="99"/>
    <w:semiHidden/>
    <w:rsid w:val="0003148D"/>
    <w:rPr>
      <w:b/>
      <w:bCs/>
      <w:sz w:val="20"/>
      <w:szCs w:val="20"/>
    </w:rPr>
  </w:style>
  <w:style w:type="paragraph" w:styleId="Obsah1">
    <w:name w:val="toc 1"/>
    <w:basedOn w:val="Normln"/>
    <w:next w:val="Normln"/>
    <w:autoRedefine/>
    <w:uiPriority w:val="39"/>
    <w:semiHidden/>
    <w:unhideWhenUsed/>
    <w:rsid w:val="0003148D"/>
    <w:pPr>
      <w:spacing w:after="100"/>
    </w:pPr>
  </w:style>
  <w:style w:type="paragraph" w:styleId="Obsah2">
    <w:name w:val="toc 2"/>
    <w:basedOn w:val="Normln"/>
    <w:next w:val="Normln"/>
    <w:autoRedefine/>
    <w:uiPriority w:val="39"/>
    <w:semiHidden/>
    <w:unhideWhenUsed/>
    <w:rsid w:val="0003148D"/>
    <w:pPr>
      <w:spacing w:after="100"/>
      <w:ind w:left="220"/>
    </w:pPr>
  </w:style>
  <w:style w:type="paragraph" w:styleId="Obsah3">
    <w:name w:val="toc 3"/>
    <w:basedOn w:val="Normln"/>
    <w:next w:val="Normln"/>
    <w:autoRedefine/>
    <w:uiPriority w:val="39"/>
    <w:semiHidden/>
    <w:unhideWhenUsed/>
    <w:rsid w:val="0003148D"/>
    <w:pPr>
      <w:spacing w:after="100"/>
      <w:ind w:left="440"/>
    </w:pPr>
  </w:style>
  <w:style w:type="paragraph" w:styleId="Obsah4">
    <w:name w:val="toc 4"/>
    <w:basedOn w:val="Normln"/>
    <w:next w:val="Normln"/>
    <w:autoRedefine/>
    <w:uiPriority w:val="39"/>
    <w:semiHidden/>
    <w:unhideWhenUsed/>
    <w:rsid w:val="0003148D"/>
    <w:pPr>
      <w:spacing w:after="100"/>
      <w:ind w:left="660"/>
    </w:pPr>
  </w:style>
  <w:style w:type="paragraph" w:styleId="Obsah5">
    <w:name w:val="toc 5"/>
    <w:basedOn w:val="Normln"/>
    <w:next w:val="Normln"/>
    <w:autoRedefine/>
    <w:uiPriority w:val="39"/>
    <w:semiHidden/>
    <w:unhideWhenUsed/>
    <w:rsid w:val="0003148D"/>
    <w:pPr>
      <w:spacing w:after="100"/>
      <w:ind w:left="880"/>
    </w:pPr>
  </w:style>
  <w:style w:type="paragraph" w:styleId="Obsah6">
    <w:name w:val="toc 6"/>
    <w:basedOn w:val="Normln"/>
    <w:next w:val="Normln"/>
    <w:autoRedefine/>
    <w:uiPriority w:val="39"/>
    <w:semiHidden/>
    <w:unhideWhenUsed/>
    <w:rsid w:val="0003148D"/>
    <w:pPr>
      <w:spacing w:after="100"/>
      <w:ind w:left="1100"/>
    </w:pPr>
  </w:style>
  <w:style w:type="paragraph" w:styleId="Obsah7">
    <w:name w:val="toc 7"/>
    <w:basedOn w:val="Normln"/>
    <w:next w:val="Normln"/>
    <w:autoRedefine/>
    <w:uiPriority w:val="39"/>
    <w:semiHidden/>
    <w:unhideWhenUsed/>
    <w:rsid w:val="0003148D"/>
    <w:pPr>
      <w:spacing w:after="100"/>
      <w:ind w:left="1320"/>
    </w:pPr>
  </w:style>
  <w:style w:type="paragraph" w:styleId="Obsah8">
    <w:name w:val="toc 8"/>
    <w:basedOn w:val="Normln"/>
    <w:next w:val="Normln"/>
    <w:autoRedefine/>
    <w:uiPriority w:val="39"/>
    <w:semiHidden/>
    <w:unhideWhenUsed/>
    <w:rsid w:val="0003148D"/>
    <w:pPr>
      <w:spacing w:after="100"/>
      <w:ind w:left="1540"/>
    </w:pPr>
  </w:style>
  <w:style w:type="paragraph" w:styleId="Obsah9">
    <w:name w:val="toc 9"/>
    <w:basedOn w:val="Normln"/>
    <w:next w:val="Normln"/>
    <w:autoRedefine/>
    <w:uiPriority w:val="39"/>
    <w:semiHidden/>
    <w:unhideWhenUsed/>
    <w:rsid w:val="0003148D"/>
    <w:pPr>
      <w:spacing w:after="100"/>
      <w:ind w:left="1760"/>
    </w:pPr>
  </w:style>
  <w:style w:type="paragraph" w:styleId="Textvbloku">
    <w:name w:val="Block Text"/>
    <w:basedOn w:val="Normln"/>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makra">
    <w:name w:val="macro"/>
    <w:link w:val="Textmakra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sid w:val="0003148D"/>
    <w:rPr>
      <w:rFonts w:ascii="Consolas" w:hAnsi="Consolas" w:cs="Consolas"/>
      <w:sz w:val="20"/>
      <w:szCs w:val="20"/>
    </w:rPr>
  </w:style>
  <w:style w:type="paragraph" w:styleId="Prosttext">
    <w:name w:val="Plain Text"/>
    <w:basedOn w:val="Normln"/>
    <w:link w:val="ProsttextChar"/>
    <w:uiPriority w:val="99"/>
    <w:semiHidden/>
    <w:unhideWhenUsed/>
    <w:rsid w:val="0003148D"/>
    <w:pPr>
      <w:spacing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sid w:val="0003148D"/>
    <w:rPr>
      <w:rFonts w:ascii="Consolas" w:hAnsi="Consolas" w:cs="Consolas"/>
      <w:sz w:val="21"/>
      <w:szCs w:val="21"/>
    </w:rPr>
  </w:style>
  <w:style w:type="paragraph" w:styleId="Textpoznpodarou">
    <w:name w:val="footnote text"/>
    <w:basedOn w:val="Normln"/>
    <w:link w:val="TextpoznpodarouChar"/>
    <w:uiPriority w:val="99"/>
    <w:semiHidden/>
    <w:unhideWhenUsed/>
    <w:rsid w:val="0003148D"/>
    <w:pPr>
      <w:spacing w:line="240" w:lineRule="auto"/>
    </w:pPr>
  </w:style>
  <w:style w:type="character" w:customStyle="1" w:styleId="TextpoznpodarouChar">
    <w:name w:val="Text pozn. pod čarou Char"/>
    <w:basedOn w:val="Standardnpsmoodstavce"/>
    <w:link w:val="Textpoznpodarou"/>
    <w:uiPriority w:val="99"/>
    <w:semiHidden/>
    <w:rsid w:val="0003148D"/>
    <w:rPr>
      <w:sz w:val="20"/>
      <w:szCs w:val="20"/>
    </w:rPr>
  </w:style>
  <w:style w:type="paragraph" w:styleId="Textvysvtlivek">
    <w:name w:val="endnote text"/>
    <w:basedOn w:val="Normln"/>
    <w:link w:val="TextvysvtlivekChar"/>
    <w:uiPriority w:val="99"/>
    <w:semiHidden/>
    <w:unhideWhenUsed/>
    <w:rsid w:val="0003148D"/>
    <w:pPr>
      <w:spacing w:line="240" w:lineRule="auto"/>
    </w:pPr>
  </w:style>
  <w:style w:type="character" w:customStyle="1" w:styleId="TextvysvtlivekChar">
    <w:name w:val="Text vysvětlivek Char"/>
    <w:basedOn w:val="Standardnpsmoodstavce"/>
    <w:link w:val="Textvysvtlivek"/>
    <w:uiPriority w:val="99"/>
    <w:semiHidden/>
    <w:rsid w:val="0003148D"/>
    <w:rPr>
      <w:sz w:val="20"/>
      <w:szCs w:val="20"/>
    </w:rPr>
  </w:style>
  <w:style w:type="character" w:customStyle="1" w:styleId="Nadpis1Char">
    <w:name w:val="Nadpis 1 Char"/>
    <w:basedOn w:val="Standardnpsmoodstavce"/>
    <w:link w:val="Nadpis1"/>
    <w:uiPriority w:val="9"/>
    <w:rsid w:val="004F5E36"/>
    <w:rPr>
      <w:rFonts w:ascii="Arial" w:eastAsia="Times New Roman" w:hAnsi="Arial" w:cs="Times New Roman"/>
      <w:b/>
      <w:sz w:val="20"/>
      <w:szCs w:val="20"/>
      <w:lang w:val="en-GB"/>
    </w:rPr>
  </w:style>
  <w:style w:type="character" w:customStyle="1" w:styleId="Nadpis2Char">
    <w:name w:val="Nadpis 2 Char"/>
    <w:basedOn w:val="Standardnpsmoodstavce"/>
    <w:link w:val="Nadpis2"/>
    <w:uiPriority w:val="9"/>
    <w:semiHidden/>
    <w:rsid w:val="0003148D"/>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semiHidden/>
    <w:rsid w:val="0003148D"/>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semiHidden/>
    <w:rsid w:val="0003148D"/>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03148D"/>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03148D"/>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03148D"/>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03148D"/>
    <w:rPr>
      <w:rFonts w:asciiTheme="majorHAnsi" w:eastAsiaTheme="majorEastAsia" w:hAnsiTheme="majorHAnsi" w:cstheme="majorBidi"/>
      <w:i/>
      <w:iCs/>
      <w:color w:val="404040" w:themeColor="text1" w:themeTint="BF"/>
      <w:sz w:val="20"/>
      <w:szCs w:val="20"/>
    </w:rPr>
  </w:style>
  <w:style w:type="paragraph" w:styleId="Hlavikarejstku">
    <w:name w:val="index heading"/>
    <w:basedOn w:val="Normln"/>
    <w:next w:val="Rejstk1"/>
    <w:uiPriority w:val="99"/>
    <w:semiHidden/>
    <w:unhideWhenUsed/>
    <w:rsid w:val="0003148D"/>
    <w:rPr>
      <w:rFonts w:asciiTheme="majorHAnsi" w:eastAsiaTheme="majorEastAsia" w:hAnsiTheme="majorHAnsi" w:cstheme="majorBidi"/>
      <w:b/>
      <w:bCs/>
    </w:rPr>
  </w:style>
  <w:style w:type="paragraph" w:styleId="Hlavikaobsahu">
    <w:name w:val="toa heading"/>
    <w:basedOn w:val="Normln"/>
    <w:next w:val="Normln"/>
    <w:uiPriority w:val="99"/>
    <w:semiHidden/>
    <w:unhideWhenUsed/>
    <w:rsid w:val="0003148D"/>
    <w:pPr>
      <w:spacing w:before="120"/>
    </w:pPr>
    <w:rPr>
      <w:rFonts w:asciiTheme="majorHAnsi" w:eastAsiaTheme="majorEastAsia" w:hAnsiTheme="majorHAnsi" w:cstheme="majorBidi"/>
      <w:b/>
      <w:bCs/>
      <w:sz w:val="24"/>
      <w:szCs w:val="24"/>
    </w:rPr>
  </w:style>
  <w:style w:type="paragraph" w:styleId="Nadpisobsahu">
    <w:name w:val="TOC Heading"/>
    <w:basedOn w:val="Nadpis1"/>
    <w:next w:val="Normln"/>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Standardnpsmoodstavc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Zhlav">
    <w:name w:val="header"/>
    <w:basedOn w:val="Normln"/>
    <w:link w:val="ZhlavChar"/>
    <w:uiPriority w:val="99"/>
    <w:unhideWhenUsed/>
    <w:rsid w:val="005278B7"/>
    <w:pPr>
      <w:tabs>
        <w:tab w:val="clear" w:pos="7100"/>
        <w:tab w:val="center" w:pos="4819"/>
        <w:tab w:val="right" w:pos="9638"/>
      </w:tabs>
      <w:spacing w:line="240" w:lineRule="auto"/>
    </w:pPr>
  </w:style>
  <w:style w:type="character" w:customStyle="1" w:styleId="ZhlavChar">
    <w:name w:val="Záhlaví Char"/>
    <w:basedOn w:val="Standardnpsmoodstavce"/>
    <w:link w:val="Zhlav"/>
    <w:uiPriority w:val="99"/>
    <w:rsid w:val="005278B7"/>
    <w:rPr>
      <w:rFonts w:ascii="Arial" w:eastAsia="Times New Roman" w:hAnsi="Arial" w:cs="Times New Roman"/>
      <w:sz w:val="18"/>
      <w:szCs w:val="20"/>
      <w:lang w:val="en-GB"/>
    </w:rPr>
  </w:style>
  <w:style w:type="paragraph" w:styleId="Zpat">
    <w:name w:val="footer"/>
    <w:basedOn w:val="Normln"/>
    <w:link w:val="ZpatChar"/>
    <w:uiPriority w:val="99"/>
    <w:unhideWhenUsed/>
    <w:rsid w:val="005278B7"/>
    <w:pPr>
      <w:tabs>
        <w:tab w:val="clear" w:pos="7100"/>
        <w:tab w:val="center" w:pos="4819"/>
        <w:tab w:val="right" w:pos="9638"/>
      </w:tabs>
      <w:spacing w:line="240" w:lineRule="auto"/>
    </w:pPr>
  </w:style>
  <w:style w:type="character" w:customStyle="1" w:styleId="ZpatChar">
    <w:name w:val="Zápatí Char"/>
    <w:basedOn w:val="Standardnpsmoodstavce"/>
    <w:link w:val="Zpat"/>
    <w:uiPriority w:val="99"/>
    <w:rsid w:val="005278B7"/>
    <w:rPr>
      <w:rFonts w:ascii="Arial" w:eastAsia="Times New Roman" w:hAnsi="Arial" w:cs="Times New Roman"/>
      <w:sz w:val="18"/>
      <w:szCs w:val="20"/>
      <w:lang w:val="en-GB"/>
    </w:rPr>
  </w:style>
  <w:style w:type="table" w:styleId="Mkatabulky">
    <w:name w:val="Table Grid"/>
    <w:basedOn w:val="Normlntabulka"/>
    <w:uiPriority w:val="3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uiPriority w:val="99"/>
    <w:unhideWhenUsed/>
    <w:rsid w:val="00904C62"/>
    <w:rPr>
      <w:color w:val="0000FF" w:themeColor="hyperlink"/>
      <w:u w:val="single"/>
    </w:rPr>
  </w:style>
  <w:style w:type="character" w:customStyle="1" w:styleId="eudoraheader">
    <w:name w:val="eudoraheader"/>
    <w:basedOn w:val="Standardnpsmoodstavce"/>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Odstavecseseznamem">
    <w:name w:val="List Paragraph"/>
    <w:basedOn w:val="Normln"/>
    <w:uiPriority w:val="34"/>
    <w:rsid w:val="00280FAF"/>
    <w:pPr>
      <w:ind w:left="720"/>
      <w:contextualSpacing/>
    </w:pPr>
  </w:style>
  <w:style w:type="character" w:customStyle="1" w:styleId="gmail-apple-converted-space">
    <w:name w:val="gmail-apple-converted-space"/>
    <w:basedOn w:val="Standardnpsmoodstavce"/>
    <w:rsid w:val="00005A19"/>
  </w:style>
  <w:style w:type="character" w:styleId="Zstupntext">
    <w:name w:val="Placeholder Text"/>
    <w:basedOn w:val="Standardnpsmoodstavce"/>
    <w:uiPriority w:val="99"/>
    <w:semiHidden/>
    <w:rsid w:val="001D6ED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80162">
      <w:bodyDiv w:val="1"/>
      <w:marLeft w:val="0"/>
      <w:marRight w:val="0"/>
      <w:marTop w:val="0"/>
      <w:marBottom w:val="0"/>
      <w:divBdr>
        <w:top w:val="none" w:sz="0" w:space="0" w:color="auto"/>
        <w:left w:val="none" w:sz="0" w:space="0" w:color="auto"/>
        <w:bottom w:val="none" w:sz="0" w:space="0" w:color="auto"/>
        <w:right w:val="none" w:sz="0" w:space="0" w:color="auto"/>
      </w:divBdr>
    </w:div>
    <w:div w:id="204366676">
      <w:bodyDiv w:val="1"/>
      <w:marLeft w:val="0"/>
      <w:marRight w:val="0"/>
      <w:marTop w:val="0"/>
      <w:marBottom w:val="0"/>
      <w:divBdr>
        <w:top w:val="none" w:sz="0" w:space="0" w:color="auto"/>
        <w:left w:val="none" w:sz="0" w:space="0" w:color="auto"/>
        <w:bottom w:val="none" w:sz="0" w:space="0" w:color="auto"/>
        <w:right w:val="none" w:sz="0" w:space="0" w:color="auto"/>
      </w:divBdr>
    </w:div>
    <w:div w:id="206837380">
      <w:bodyDiv w:val="1"/>
      <w:marLeft w:val="0"/>
      <w:marRight w:val="0"/>
      <w:marTop w:val="0"/>
      <w:marBottom w:val="0"/>
      <w:divBdr>
        <w:top w:val="none" w:sz="0" w:space="0" w:color="auto"/>
        <w:left w:val="none" w:sz="0" w:space="0" w:color="auto"/>
        <w:bottom w:val="none" w:sz="0" w:space="0" w:color="auto"/>
        <w:right w:val="none" w:sz="0" w:space="0" w:color="auto"/>
      </w:divBdr>
    </w:div>
    <w:div w:id="397553940">
      <w:bodyDiv w:val="1"/>
      <w:marLeft w:val="0"/>
      <w:marRight w:val="0"/>
      <w:marTop w:val="0"/>
      <w:marBottom w:val="0"/>
      <w:divBdr>
        <w:top w:val="none" w:sz="0" w:space="0" w:color="auto"/>
        <w:left w:val="none" w:sz="0" w:space="0" w:color="auto"/>
        <w:bottom w:val="none" w:sz="0" w:space="0" w:color="auto"/>
        <w:right w:val="none" w:sz="0" w:space="0" w:color="auto"/>
      </w:divBdr>
    </w:div>
    <w:div w:id="451479320">
      <w:bodyDiv w:val="1"/>
      <w:marLeft w:val="0"/>
      <w:marRight w:val="0"/>
      <w:marTop w:val="0"/>
      <w:marBottom w:val="0"/>
      <w:divBdr>
        <w:top w:val="none" w:sz="0" w:space="0" w:color="auto"/>
        <w:left w:val="none" w:sz="0" w:space="0" w:color="auto"/>
        <w:bottom w:val="none" w:sz="0" w:space="0" w:color="auto"/>
        <w:right w:val="none" w:sz="0" w:space="0" w:color="auto"/>
      </w:divBdr>
      <w:divsChild>
        <w:div w:id="1832402132">
          <w:marLeft w:val="0"/>
          <w:marRight w:val="0"/>
          <w:marTop w:val="0"/>
          <w:marBottom w:val="0"/>
          <w:divBdr>
            <w:top w:val="none" w:sz="0" w:space="0" w:color="auto"/>
            <w:left w:val="none" w:sz="0" w:space="0" w:color="auto"/>
            <w:bottom w:val="none" w:sz="0" w:space="0" w:color="auto"/>
            <w:right w:val="none" w:sz="0" w:space="0" w:color="auto"/>
          </w:divBdr>
          <w:divsChild>
            <w:div w:id="1321732730">
              <w:marLeft w:val="0"/>
              <w:marRight w:val="0"/>
              <w:marTop w:val="0"/>
              <w:marBottom w:val="0"/>
              <w:divBdr>
                <w:top w:val="none" w:sz="0" w:space="0" w:color="auto"/>
                <w:left w:val="none" w:sz="0" w:space="0" w:color="auto"/>
                <w:bottom w:val="none" w:sz="0" w:space="0" w:color="auto"/>
                <w:right w:val="none" w:sz="0" w:space="0" w:color="auto"/>
              </w:divBdr>
              <w:divsChild>
                <w:div w:id="1391224638">
                  <w:marLeft w:val="0"/>
                  <w:marRight w:val="0"/>
                  <w:marTop w:val="0"/>
                  <w:marBottom w:val="0"/>
                  <w:divBdr>
                    <w:top w:val="none" w:sz="0" w:space="0" w:color="auto"/>
                    <w:left w:val="none" w:sz="0" w:space="0" w:color="auto"/>
                    <w:bottom w:val="none" w:sz="0" w:space="0" w:color="auto"/>
                    <w:right w:val="none" w:sz="0" w:space="0" w:color="auto"/>
                  </w:divBdr>
                  <w:divsChild>
                    <w:div w:id="684983919">
                      <w:marLeft w:val="0"/>
                      <w:marRight w:val="0"/>
                      <w:marTop w:val="0"/>
                      <w:marBottom w:val="0"/>
                      <w:divBdr>
                        <w:top w:val="none" w:sz="0" w:space="0" w:color="auto"/>
                        <w:left w:val="none" w:sz="0" w:space="0" w:color="auto"/>
                        <w:bottom w:val="none" w:sz="0" w:space="0" w:color="auto"/>
                        <w:right w:val="none" w:sz="0" w:space="0" w:color="auto"/>
                      </w:divBdr>
                      <w:divsChild>
                        <w:div w:id="799300035">
                          <w:marLeft w:val="0"/>
                          <w:marRight w:val="0"/>
                          <w:marTop w:val="0"/>
                          <w:marBottom w:val="0"/>
                          <w:divBdr>
                            <w:top w:val="none" w:sz="0" w:space="0" w:color="auto"/>
                            <w:left w:val="none" w:sz="0" w:space="0" w:color="auto"/>
                            <w:bottom w:val="none" w:sz="0" w:space="0" w:color="auto"/>
                            <w:right w:val="none" w:sz="0" w:space="0" w:color="auto"/>
                          </w:divBdr>
                          <w:divsChild>
                            <w:div w:id="1673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787852">
      <w:bodyDiv w:val="1"/>
      <w:marLeft w:val="0"/>
      <w:marRight w:val="0"/>
      <w:marTop w:val="0"/>
      <w:marBottom w:val="0"/>
      <w:divBdr>
        <w:top w:val="none" w:sz="0" w:space="0" w:color="auto"/>
        <w:left w:val="none" w:sz="0" w:space="0" w:color="auto"/>
        <w:bottom w:val="none" w:sz="0" w:space="0" w:color="auto"/>
        <w:right w:val="none" w:sz="0" w:space="0" w:color="auto"/>
      </w:divBdr>
      <w:divsChild>
        <w:div w:id="137723777">
          <w:marLeft w:val="0"/>
          <w:marRight w:val="0"/>
          <w:marTop w:val="0"/>
          <w:marBottom w:val="0"/>
          <w:divBdr>
            <w:top w:val="none" w:sz="0" w:space="0" w:color="auto"/>
            <w:left w:val="none" w:sz="0" w:space="0" w:color="auto"/>
            <w:bottom w:val="none" w:sz="0" w:space="0" w:color="auto"/>
            <w:right w:val="none" w:sz="0" w:space="0" w:color="auto"/>
          </w:divBdr>
          <w:divsChild>
            <w:div w:id="1430158532">
              <w:marLeft w:val="0"/>
              <w:marRight w:val="0"/>
              <w:marTop w:val="0"/>
              <w:marBottom w:val="0"/>
              <w:divBdr>
                <w:top w:val="none" w:sz="0" w:space="0" w:color="auto"/>
                <w:left w:val="none" w:sz="0" w:space="0" w:color="auto"/>
                <w:bottom w:val="none" w:sz="0" w:space="0" w:color="auto"/>
                <w:right w:val="none" w:sz="0" w:space="0" w:color="auto"/>
              </w:divBdr>
              <w:divsChild>
                <w:div w:id="889269233">
                  <w:marLeft w:val="0"/>
                  <w:marRight w:val="0"/>
                  <w:marTop w:val="0"/>
                  <w:marBottom w:val="0"/>
                  <w:divBdr>
                    <w:top w:val="none" w:sz="0" w:space="0" w:color="auto"/>
                    <w:left w:val="none" w:sz="0" w:space="0" w:color="auto"/>
                    <w:bottom w:val="none" w:sz="0" w:space="0" w:color="auto"/>
                    <w:right w:val="none" w:sz="0" w:space="0" w:color="auto"/>
                  </w:divBdr>
                  <w:divsChild>
                    <w:div w:id="38676784">
                      <w:marLeft w:val="0"/>
                      <w:marRight w:val="0"/>
                      <w:marTop w:val="0"/>
                      <w:marBottom w:val="0"/>
                      <w:divBdr>
                        <w:top w:val="none" w:sz="0" w:space="0" w:color="auto"/>
                        <w:left w:val="none" w:sz="0" w:space="0" w:color="auto"/>
                        <w:bottom w:val="none" w:sz="0" w:space="0" w:color="auto"/>
                        <w:right w:val="none" w:sz="0" w:space="0" w:color="auto"/>
                      </w:divBdr>
                      <w:divsChild>
                        <w:div w:id="315493530">
                          <w:marLeft w:val="0"/>
                          <w:marRight w:val="0"/>
                          <w:marTop w:val="0"/>
                          <w:marBottom w:val="0"/>
                          <w:divBdr>
                            <w:top w:val="none" w:sz="0" w:space="0" w:color="auto"/>
                            <w:left w:val="none" w:sz="0" w:space="0" w:color="auto"/>
                            <w:bottom w:val="none" w:sz="0" w:space="0" w:color="auto"/>
                            <w:right w:val="none" w:sz="0" w:space="0" w:color="auto"/>
                          </w:divBdr>
                          <w:divsChild>
                            <w:div w:id="51565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907256">
      <w:bodyDiv w:val="1"/>
      <w:marLeft w:val="0"/>
      <w:marRight w:val="0"/>
      <w:marTop w:val="0"/>
      <w:marBottom w:val="0"/>
      <w:divBdr>
        <w:top w:val="none" w:sz="0" w:space="0" w:color="auto"/>
        <w:left w:val="none" w:sz="0" w:space="0" w:color="auto"/>
        <w:bottom w:val="none" w:sz="0" w:space="0" w:color="auto"/>
        <w:right w:val="none" w:sz="0" w:space="0" w:color="auto"/>
      </w:divBdr>
      <w:divsChild>
        <w:div w:id="1137529174">
          <w:marLeft w:val="0"/>
          <w:marRight w:val="0"/>
          <w:marTop w:val="0"/>
          <w:marBottom w:val="0"/>
          <w:divBdr>
            <w:top w:val="none" w:sz="0" w:space="0" w:color="auto"/>
            <w:left w:val="none" w:sz="0" w:space="0" w:color="auto"/>
            <w:bottom w:val="none" w:sz="0" w:space="0" w:color="auto"/>
            <w:right w:val="none" w:sz="0" w:space="0" w:color="auto"/>
          </w:divBdr>
          <w:divsChild>
            <w:div w:id="211623366">
              <w:marLeft w:val="0"/>
              <w:marRight w:val="0"/>
              <w:marTop w:val="0"/>
              <w:marBottom w:val="0"/>
              <w:divBdr>
                <w:top w:val="none" w:sz="0" w:space="0" w:color="auto"/>
                <w:left w:val="none" w:sz="0" w:space="0" w:color="auto"/>
                <w:bottom w:val="none" w:sz="0" w:space="0" w:color="auto"/>
                <w:right w:val="none" w:sz="0" w:space="0" w:color="auto"/>
              </w:divBdr>
              <w:divsChild>
                <w:div w:id="108354787">
                  <w:marLeft w:val="0"/>
                  <w:marRight w:val="0"/>
                  <w:marTop w:val="0"/>
                  <w:marBottom w:val="0"/>
                  <w:divBdr>
                    <w:top w:val="none" w:sz="0" w:space="0" w:color="auto"/>
                    <w:left w:val="none" w:sz="0" w:space="0" w:color="auto"/>
                    <w:bottom w:val="none" w:sz="0" w:space="0" w:color="auto"/>
                    <w:right w:val="none" w:sz="0" w:space="0" w:color="auto"/>
                  </w:divBdr>
                  <w:divsChild>
                    <w:div w:id="12636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8444">
          <w:marLeft w:val="0"/>
          <w:marRight w:val="0"/>
          <w:marTop w:val="0"/>
          <w:marBottom w:val="0"/>
          <w:divBdr>
            <w:top w:val="none" w:sz="0" w:space="0" w:color="auto"/>
            <w:left w:val="none" w:sz="0" w:space="0" w:color="auto"/>
            <w:bottom w:val="none" w:sz="0" w:space="0" w:color="auto"/>
            <w:right w:val="none" w:sz="0" w:space="0" w:color="auto"/>
          </w:divBdr>
          <w:divsChild>
            <w:div w:id="789125208">
              <w:marLeft w:val="0"/>
              <w:marRight w:val="0"/>
              <w:marTop w:val="0"/>
              <w:marBottom w:val="0"/>
              <w:divBdr>
                <w:top w:val="none" w:sz="0" w:space="0" w:color="auto"/>
                <w:left w:val="none" w:sz="0" w:space="0" w:color="auto"/>
                <w:bottom w:val="none" w:sz="0" w:space="0" w:color="auto"/>
                <w:right w:val="none" w:sz="0" w:space="0" w:color="auto"/>
              </w:divBdr>
              <w:divsChild>
                <w:div w:id="594293114">
                  <w:marLeft w:val="0"/>
                  <w:marRight w:val="0"/>
                  <w:marTop w:val="0"/>
                  <w:marBottom w:val="0"/>
                  <w:divBdr>
                    <w:top w:val="none" w:sz="0" w:space="0" w:color="auto"/>
                    <w:left w:val="none" w:sz="0" w:space="0" w:color="auto"/>
                    <w:bottom w:val="none" w:sz="0" w:space="0" w:color="auto"/>
                    <w:right w:val="none" w:sz="0" w:space="0" w:color="auto"/>
                  </w:divBdr>
                  <w:divsChild>
                    <w:div w:id="165205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98311">
      <w:bodyDiv w:val="1"/>
      <w:marLeft w:val="0"/>
      <w:marRight w:val="0"/>
      <w:marTop w:val="0"/>
      <w:marBottom w:val="0"/>
      <w:divBdr>
        <w:top w:val="none" w:sz="0" w:space="0" w:color="auto"/>
        <w:left w:val="none" w:sz="0" w:space="0" w:color="auto"/>
        <w:bottom w:val="none" w:sz="0" w:space="0" w:color="auto"/>
        <w:right w:val="none" w:sz="0" w:space="0" w:color="auto"/>
      </w:divBdr>
    </w:div>
    <w:div w:id="606888658">
      <w:bodyDiv w:val="1"/>
      <w:marLeft w:val="0"/>
      <w:marRight w:val="0"/>
      <w:marTop w:val="0"/>
      <w:marBottom w:val="0"/>
      <w:divBdr>
        <w:top w:val="none" w:sz="0" w:space="0" w:color="auto"/>
        <w:left w:val="none" w:sz="0" w:space="0" w:color="auto"/>
        <w:bottom w:val="none" w:sz="0" w:space="0" w:color="auto"/>
        <w:right w:val="none" w:sz="0" w:space="0" w:color="auto"/>
      </w:divBdr>
    </w:div>
    <w:div w:id="646938422">
      <w:bodyDiv w:val="1"/>
      <w:marLeft w:val="0"/>
      <w:marRight w:val="0"/>
      <w:marTop w:val="0"/>
      <w:marBottom w:val="0"/>
      <w:divBdr>
        <w:top w:val="none" w:sz="0" w:space="0" w:color="auto"/>
        <w:left w:val="none" w:sz="0" w:space="0" w:color="auto"/>
        <w:bottom w:val="none" w:sz="0" w:space="0" w:color="auto"/>
        <w:right w:val="none" w:sz="0" w:space="0" w:color="auto"/>
      </w:divBdr>
      <w:divsChild>
        <w:div w:id="572198244">
          <w:marLeft w:val="0"/>
          <w:marRight w:val="0"/>
          <w:marTop w:val="0"/>
          <w:marBottom w:val="0"/>
          <w:divBdr>
            <w:top w:val="none" w:sz="0" w:space="0" w:color="auto"/>
            <w:left w:val="none" w:sz="0" w:space="0" w:color="auto"/>
            <w:bottom w:val="none" w:sz="0" w:space="0" w:color="auto"/>
            <w:right w:val="none" w:sz="0" w:space="0" w:color="auto"/>
          </w:divBdr>
          <w:divsChild>
            <w:div w:id="1452632599">
              <w:marLeft w:val="0"/>
              <w:marRight w:val="0"/>
              <w:marTop w:val="0"/>
              <w:marBottom w:val="0"/>
              <w:divBdr>
                <w:top w:val="none" w:sz="0" w:space="0" w:color="auto"/>
                <w:left w:val="none" w:sz="0" w:space="0" w:color="auto"/>
                <w:bottom w:val="none" w:sz="0" w:space="0" w:color="auto"/>
                <w:right w:val="none" w:sz="0" w:space="0" w:color="auto"/>
              </w:divBdr>
              <w:divsChild>
                <w:div w:id="955066997">
                  <w:marLeft w:val="0"/>
                  <w:marRight w:val="0"/>
                  <w:marTop w:val="0"/>
                  <w:marBottom w:val="0"/>
                  <w:divBdr>
                    <w:top w:val="none" w:sz="0" w:space="0" w:color="auto"/>
                    <w:left w:val="none" w:sz="0" w:space="0" w:color="auto"/>
                    <w:bottom w:val="none" w:sz="0" w:space="0" w:color="auto"/>
                    <w:right w:val="none" w:sz="0" w:space="0" w:color="auto"/>
                  </w:divBdr>
                  <w:divsChild>
                    <w:div w:id="7107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227912">
          <w:marLeft w:val="0"/>
          <w:marRight w:val="0"/>
          <w:marTop w:val="0"/>
          <w:marBottom w:val="0"/>
          <w:divBdr>
            <w:top w:val="none" w:sz="0" w:space="0" w:color="auto"/>
            <w:left w:val="none" w:sz="0" w:space="0" w:color="auto"/>
            <w:bottom w:val="none" w:sz="0" w:space="0" w:color="auto"/>
            <w:right w:val="none" w:sz="0" w:space="0" w:color="auto"/>
          </w:divBdr>
          <w:divsChild>
            <w:div w:id="418065551">
              <w:marLeft w:val="0"/>
              <w:marRight w:val="0"/>
              <w:marTop w:val="0"/>
              <w:marBottom w:val="0"/>
              <w:divBdr>
                <w:top w:val="none" w:sz="0" w:space="0" w:color="auto"/>
                <w:left w:val="none" w:sz="0" w:space="0" w:color="auto"/>
                <w:bottom w:val="none" w:sz="0" w:space="0" w:color="auto"/>
                <w:right w:val="none" w:sz="0" w:space="0" w:color="auto"/>
              </w:divBdr>
              <w:divsChild>
                <w:div w:id="925576526">
                  <w:marLeft w:val="0"/>
                  <w:marRight w:val="0"/>
                  <w:marTop w:val="0"/>
                  <w:marBottom w:val="0"/>
                  <w:divBdr>
                    <w:top w:val="none" w:sz="0" w:space="0" w:color="auto"/>
                    <w:left w:val="none" w:sz="0" w:space="0" w:color="auto"/>
                    <w:bottom w:val="none" w:sz="0" w:space="0" w:color="auto"/>
                    <w:right w:val="none" w:sz="0" w:space="0" w:color="auto"/>
                  </w:divBdr>
                  <w:divsChild>
                    <w:div w:id="9202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96652">
      <w:bodyDiv w:val="1"/>
      <w:marLeft w:val="0"/>
      <w:marRight w:val="0"/>
      <w:marTop w:val="0"/>
      <w:marBottom w:val="0"/>
      <w:divBdr>
        <w:top w:val="none" w:sz="0" w:space="0" w:color="auto"/>
        <w:left w:val="none" w:sz="0" w:space="0" w:color="auto"/>
        <w:bottom w:val="none" w:sz="0" w:space="0" w:color="auto"/>
        <w:right w:val="none" w:sz="0" w:space="0" w:color="auto"/>
      </w:divBdr>
      <w:divsChild>
        <w:div w:id="1193881458">
          <w:marLeft w:val="0"/>
          <w:marRight w:val="0"/>
          <w:marTop w:val="0"/>
          <w:marBottom w:val="0"/>
          <w:divBdr>
            <w:top w:val="none" w:sz="0" w:space="0" w:color="auto"/>
            <w:left w:val="none" w:sz="0" w:space="0" w:color="auto"/>
            <w:bottom w:val="none" w:sz="0" w:space="0" w:color="auto"/>
            <w:right w:val="none" w:sz="0" w:space="0" w:color="auto"/>
          </w:divBdr>
          <w:divsChild>
            <w:div w:id="1391926142">
              <w:marLeft w:val="0"/>
              <w:marRight w:val="0"/>
              <w:marTop w:val="0"/>
              <w:marBottom w:val="0"/>
              <w:divBdr>
                <w:top w:val="none" w:sz="0" w:space="0" w:color="auto"/>
                <w:left w:val="none" w:sz="0" w:space="0" w:color="auto"/>
                <w:bottom w:val="none" w:sz="0" w:space="0" w:color="auto"/>
                <w:right w:val="none" w:sz="0" w:space="0" w:color="auto"/>
              </w:divBdr>
              <w:divsChild>
                <w:div w:id="1604918466">
                  <w:marLeft w:val="0"/>
                  <w:marRight w:val="0"/>
                  <w:marTop w:val="0"/>
                  <w:marBottom w:val="0"/>
                  <w:divBdr>
                    <w:top w:val="none" w:sz="0" w:space="0" w:color="auto"/>
                    <w:left w:val="none" w:sz="0" w:space="0" w:color="auto"/>
                    <w:bottom w:val="none" w:sz="0" w:space="0" w:color="auto"/>
                    <w:right w:val="none" w:sz="0" w:space="0" w:color="auto"/>
                  </w:divBdr>
                  <w:divsChild>
                    <w:div w:id="1105808365">
                      <w:marLeft w:val="0"/>
                      <w:marRight w:val="0"/>
                      <w:marTop w:val="0"/>
                      <w:marBottom w:val="0"/>
                      <w:divBdr>
                        <w:top w:val="none" w:sz="0" w:space="0" w:color="auto"/>
                        <w:left w:val="none" w:sz="0" w:space="0" w:color="auto"/>
                        <w:bottom w:val="none" w:sz="0" w:space="0" w:color="auto"/>
                        <w:right w:val="none" w:sz="0" w:space="0" w:color="auto"/>
                      </w:divBdr>
                      <w:divsChild>
                        <w:div w:id="1490748144">
                          <w:marLeft w:val="0"/>
                          <w:marRight w:val="0"/>
                          <w:marTop w:val="0"/>
                          <w:marBottom w:val="0"/>
                          <w:divBdr>
                            <w:top w:val="none" w:sz="0" w:space="0" w:color="auto"/>
                            <w:left w:val="none" w:sz="0" w:space="0" w:color="auto"/>
                            <w:bottom w:val="none" w:sz="0" w:space="0" w:color="auto"/>
                            <w:right w:val="none" w:sz="0" w:space="0" w:color="auto"/>
                          </w:divBdr>
                          <w:divsChild>
                            <w:div w:id="9692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867639">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58927">
      <w:bodyDiv w:val="1"/>
      <w:marLeft w:val="0"/>
      <w:marRight w:val="0"/>
      <w:marTop w:val="0"/>
      <w:marBottom w:val="0"/>
      <w:divBdr>
        <w:top w:val="none" w:sz="0" w:space="0" w:color="auto"/>
        <w:left w:val="none" w:sz="0" w:space="0" w:color="auto"/>
        <w:bottom w:val="none" w:sz="0" w:space="0" w:color="auto"/>
        <w:right w:val="none" w:sz="0" w:space="0" w:color="auto"/>
      </w:divBdr>
    </w:div>
    <w:div w:id="997270772">
      <w:bodyDiv w:val="1"/>
      <w:marLeft w:val="0"/>
      <w:marRight w:val="0"/>
      <w:marTop w:val="0"/>
      <w:marBottom w:val="0"/>
      <w:divBdr>
        <w:top w:val="none" w:sz="0" w:space="0" w:color="auto"/>
        <w:left w:val="none" w:sz="0" w:space="0" w:color="auto"/>
        <w:bottom w:val="none" w:sz="0" w:space="0" w:color="auto"/>
        <w:right w:val="none" w:sz="0" w:space="0" w:color="auto"/>
      </w:divBdr>
      <w:divsChild>
        <w:div w:id="1641182972">
          <w:marLeft w:val="0"/>
          <w:marRight w:val="0"/>
          <w:marTop w:val="0"/>
          <w:marBottom w:val="0"/>
          <w:divBdr>
            <w:top w:val="none" w:sz="0" w:space="0" w:color="auto"/>
            <w:left w:val="none" w:sz="0" w:space="0" w:color="auto"/>
            <w:bottom w:val="none" w:sz="0" w:space="0" w:color="auto"/>
            <w:right w:val="none" w:sz="0" w:space="0" w:color="auto"/>
          </w:divBdr>
          <w:divsChild>
            <w:div w:id="252710695">
              <w:marLeft w:val="0"/>
              <w:marRight w:val="0"/>
              <w:marTop w:val="0"/>
              <w:marBottom w:val="0"/>
              <w:divBdr>
                <w:top w:val="none" w:sz="0" w:space="0" w:color="auto"/>
                <w:left w:val="none" w:sz="0" w:space="0" w:color="auto"/>
                <w:bottom w:val="none" w:sz="0" w:space="0" w:color="auto"/>
                <w:right w:val="none" w:sz="0" w:space="0" w:color="auto"/>
              </w:divBdr>
              <w:divsChild>
                <w:div w:id="1771702626">
                  <w:marLeft w:val="0"/>
                  <w:marRight w:val="0"/>
                  <w:marTop w:val="0"/>
                  <w:marBottom w:val="0"/>
                  <w:divBdr>
                    <w:top w:val="none" w:sz="0" w:space="0" w:color="auto"/>
                    <w:left w:val="none" w:sz="0" w:space="0" w:color="auto"/>
                    <w:bottom w:val="none" w:sz="0" w:space="0" w:color="auto"/>
                    <w:right w:val="none" w:sz="0" w:space="0" w:color="auto"/>
                  </w:divBdr>
                  <w:divsChild>
                    <w:div w:id="1492990029">
                      <w:marLeft w:val="0"/>
                      <w:marRight w:val="0"/>
                      <w:marTop w:val="0"/>
                      <w:marBottom w:val="0"/>
                      <w:divBdr>
                        <w:top w:val="none" w:sz="0" w:space="0" w:color="auto"/>
                        <w:left w:val="none" w:sz="0" w:space="0" w:color="auto"/>
                        <w:bottom w:val="none" w:sz="0" w:space="0" w:color="auto"/>
                        <w:right w:val="none" w:sz="0" w:space="0" w:color="auto"/>
                      </w:divBdr>
                      <w:divsChild>
                        <w:div w:id="1399090206">
                          <w:marLeft w:val="0"/>
                          <w:marRight w:val="0"/>
                          <w:marTop w:val="0"/>
                          <w:marBottom w:val="0"/>
                          <w:divBdr>
                            <w:top w:val="none" w:sz="0" w:space="0" w:color="auto"/>
                            <w:left w:val="none" w:sz="0" w:space="0" w:color="auto"/>
                            <w:bottom w:val="none" w:sz="0" w:space="0" w:color="auto"/>
                            <w:right w:val="none" w:sz="0" w:space="0" w:color="auto"/>
                          </w:divBdr>
                          <w:divsChild>
                            <w:div w:id="76376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640309">
      <w:bodyDiv w:val="1"/>
      <w:marLeft w:val="0"/>
      <w:marRight w:val="0"/>
      <w:marTop w:val="0"/>
      <w:marBottom w:val="0"/>
      <w:divBdr>
        <w:top w:val="none" w:sz="0" w:space="0" w:color="auto"/>
        <w:left w:val="none" w:sz="0" w:space="0" w:color="auto"/>
        <w:bottom w:val="none" w:sz="0" w:space="0" w:color="auto"/>
        <w:right w:val="none" w:sz="0" w:space="0" w:color="auto"/>
      </w:divBdr>
      <w:divsChild>
        <w:div w:id="1485854717">
          <w:marLeft w:val="0"/>
          <w:marRight w:val="0"/>
          <w:marTop w:val="0"/>
          <w:marBottom w:val="0"/>
          <w:divBdr>
            <w:top w:val="none" w:sz="0" w:space="0" w:color="auto"/>
            <w:left w:val="none" w:sz="0" w:space="0" w:color="auto"/>
            <w:bottom w:val="none" w:sz="0" w:space="0" w:color="auto"/>
            <w:right w:val="none" w:sz="0" w:space="0" w:color="auto"/>
          </w:divBdr>
          <w:divsChild>
            <w:div w:id="1958027418">
              <w:marLeft w:val="0"/>
              <w:marRight w:val="0"/>
              <w:marTop w:val="0"/>
              <w:marBottom w:val="0"/>
              <w:divBdr>
                <w:top w:val="none" w:sz="0" w:space="0" w:color="auto"/>
                <w:left w:val="none" w:sz="0" w:space="0" w:color="auto"/>
                <w:bottom w:val="none" w:sz="0" w:space="0" w:color="auto"/>
                <w:right w:val="none" w:sz="0" w:space="0" w:color="auto"/>
              </w:divBdr>
              <w:divsChild>
                <w:div w:id="1005087905">
                  <w:marLeft w:val="0"/>
                  <w:marRight w:val="0"/>
                  <w:marTop w:val="0"/>
                  <w:marBottom w:val="0"/>
                  <w:divBdr>
                    <w:top w:val="none" w:sz="0" w:space="0" w:color="auto"/>
                    <w:left w:val="none" w:sz="0" w:space="0" w:color="auto"/>
                    <w:bottom w:val="none" w:sz="0" w:space="0" w:color="auto"/>
                    <w:right w:val="none" w:sz="0" w:space="0" w:color="auto"/>
                  </w:divBdr>
                  <w:divsChild>
                    <w:div w:id="76349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95618">
          <w:marLeft w:val="0"/>
          <w:marRight w:val="0"/>
          <w:marTop w:val="0"/>
          <w:marBottom w:val="0"/>
          <w:divBdr>
            <w:top w:val="none" w:sz="0" w:space="0" w:color="auto"/>
            <w:left w:val="none" w:sz="0" w:space="0" w:color="auto"/>
            <w:bottom w:val="none" w:sz="0" w:space="0" w:color="auto"/>
            <w:right w:val="none" w:sz="0" w:space="0" w:color="auto"/>
          </w:divBdr>
          <w:divsChild>
            <w:div w:id="1469788111">
              <w:marLeft w:val="0"/>
              <w:marRight w:val="0"/>
              <w:marTop w:val="0"/>
              <w:marBottom w:val="0"/>
              <w:divBdr>
                <w:top w:val="none" w:sz="0" w:space="0" w:color="auto"/>
                <w:left w:val="none" w:sz="0" w:space="0" w:color="auto"/>
                <w:bottom w:val="none" w:sz="0" w:space="0" w:color="auto"/>
                <w:right w:val="none" w:sz="0" w:space="0" w:color="auto"/>
              </w:divBdr>
              <w:divsChild>
                <w:div w:id="304049605">
                  <w:marLeft w:val="0"/>
                  <w:marRight w:val="0"/>
                  <w:marTop w:val="0"/>
                  <w:marBottom w:val="0"/>
                  <w:divBdr>
                    <w:top w:val="none" w:sz="0" w:space="0" w:color="auto"/>
                    <w:left w:val="none" w:sz="0" w:space="0" w:color="auto"/>
                    <w:bottom w:val="none" w:sz="0" w:space="0" w:color="auto"/>
                    <w:right w:val="none" w:sz="0" w:space="0" w:color="auto"/>
                  </w:divBdr>
                  <w:divsChild>
                    <w:div w:id="3513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348984">
      <w:bodyDiv w:val="1"/>
      <w:marLeft w:val="0"/>
      <w:marRight w:val="0"/>
      <w:marTop w:val="0"/>
      <w:marBottom w:val="0"/>
      <w:divBdr>
        <w:top w:val="none" w:sz="0" w:space="0" w:color="auto"/>
        <w:left w:val="none" w:sz="0" w:space="0" w:color="auto"/>
        <w:bottom w:val="none" w:sz="0" w:space="0" w:color="auto"/>
        <w:right w:val="none" w:sz="0" w:space="0" w:color="auto"/>
      </w:divBdr>
      <w:divsChild>
        <w:div w:id="82605933">
          <w:marLeft w:val="480"/>
          <w:marRight w:val="0"/>
          <w:marTop w:val="0"/>
          <w:marBottom w:val="0"/>
          <w:divBdr>
            <w:top w:val="none" w:sz="0" w:space="0" w:color="auto"/>
            <w:left w:val="none" w:sz="0" w:space="0" w:color="auto"/>
            <w:bottom w:val="none" w:sz="0" w:space="0" w:color="auto"/>
            <w:right w:val="none" w:sz="0" w:space="0" w:color="auto"/>
          </w:divBdr>
        </w:div>
        <w:div w:id="1103645146">
          <w:marLeft w:val="480"/>
          <w:marRight w:val="0"/>
          <w:marTop w:val="0"/>
          <w:marBottom w:val="0"/>
          <w:divBdr>
            <w:top w:val="none" w:sz="0" w:space="0" w:color="auto"/>
            <w:left w:val="none" w:sz="0" w:space="0" w:color="auto"/>
            <w:bottom w:val="none" w:sz="0" w:space="0" w:color="auto"/>
            <w:right w:val="none" w:sz="0" w:space="0" w:color="auto"/>
          </w:divBdr>
        </w:div>
        <w:div w:id="1832484862">
          <w:marLeft w:val="480"/>
          <w:marRight w:val="0"/>
          <w:marTop w:val="0"/>
          <w:marBottom w:val="0"/>
          <w:divBdr>
            <w:top w:val="none" w:sz="0" w:space="0" w:color="auto"/>
            <w:left w:val="none" w:sz="0" w:space="0" w:color="auto"/>
            <w:bottom w:val="none" w:sz="0" w:space="0" w:color="auto"/>
            <w:right w:val="none" w:sz="0" w:space="0" w:color="auto"/>
          </w:divBdr>
        </w:div>
        <w:div w:id="1246764513">
          <w:marLeft w:val="480"/>
          <w:marRight w:val="0"/>
          <w:marTop w:val="0"/>
          <w:marBottom w:val="0"/>
          <w:divBdr>
            <w:top w:val="none" w:sz="0" w:space="0" w:color="auto"/>
            <w:left w:val="none" w:sz="0" w:space="0" w:color="auto"/>
            <w:bottom w:val="none" w:sz="0" w:space="0" w:color="auto"/>
            <w:right w:val="none" w:sz="0" w:space="0" w:color="auto"/>
          </w:divBdr>
        </w:div>
        <w:div w:id="1033383359">
          <w:marLeft w:val="480"/>
          <w:marRight w:val="0"/>
          <w:marTop w:val="0"/>
          <w:marBottom w:val="0"/>
          <w:divBdr>
            <w:top w:val="none" w:sz="0" w:space="0" w:color="auto"/>
            <w:left w:val="none" w:sz="0" w:space="0" w:color="auto"/>
            <w:bottom w:val="none" w:sz="0" w:space="0" w:color="auto"/>
            <w:right w:val="none" w:sz="0" w:space="0" w:color="auto"/>
          </w:divBdr>
        </w:div>
        <w:div w:id="1386563679">
          <w:marLeft w:val="480"/>
          <w:marRight w:val="0"/>
          <w:marTop w:val="0"/>
          <w:marBottom w:val="0"/>
          <w:divBdr>
            <w:top w:val="none" w:sz="0" w:space="0" w:color="auto"/>
            <w:left w:val="none" w:sz="0" w:space="0" w:color="auto"/>
            <w:bottom w:val="none" w:sz="0" w:space="0" w:color="auto"/>
            <w:right w:val="none" w:sz="0" w:space="0" w:color="auto"/>
          </w:divBdr>
        </w:div>
        <w:div w:id="649211052">
          <w:marLeft w:val="480"/>
          <w:marRight w:val="0"/>
          <w:marTop w:val="0"/>
          <w:marBottom w:val="0"/>
          <w:divBdr>
            <w:top w:val="none" w:sz="0" w:space="0" w:color="auto"/>
            <w:left w:val="none" w:sz="0" w:space="0" w:color="auto"/>
            <w:bottom w:val="none" w:sz="0" w:space="0" w:color="auto"/>
            <w:right w:val="none" w:sz="0" w:space="0" w:color="auto"/>
          </w:divBdr>
        </w:div>
        <w:div w:id="1302347426">
          <w:marLeft w:val="480"/>
          <w:marRight w:val="0"/>
          <w:marTop w:val="0"/>
          <w:marBottom w:val="0"/>
          <w:divBdr>
            <w:top w:val="none" w:sz="0" w:space="0" w:color="auto"/>
            <w:left w:val="none" w:sz="0" w:space="0" w:color="auto"/>
            <w:bottom w:val="none" w:sz="0" w:space="0" w:color="auto"/>
            <w:right w:val="none" w:sz="0" w:space="0" w:color="auto"/>
          </w:divBdr>
        </w:div>
        <w:div w:id="631406332">
          <w:marLeft w:val="480"/>
          <w:marRight w:val="0"/>
          <w:marTop w:val="0"/>
          <w:marBottom w:val="0"/>
          <w:divBdr>
            <w:top w:val="none" w:sz="0" w:space="0" w:color="auto"/>
            <w:left w:val="none" w:sz="0" w:space="0" w:color="auto"/>
            <w:bottom w:val="none" w:sz="0" w:space="0" w:color="auto"/>
            <w:right w:val="none" w:sz="0" w:space="0" w:color="auto"/>
          </w:divBdr>
        </w:div>
        <w:div w:id="830409617">
          <w:marLeft w:val="480"/>
          <w:marRight w:val="0"/>
          <w:marTop w:val="0"/>
          <w:marBottom w:val="0"/>
          <w:divBdr>
            <w:top w:val="none" w:sz="0" w:space="0" w:color="auto"/>
            <w:left w:val="none" w:sz="0" w:space="0" w:color="auto"/>
            <w:bottom w:val="none" w:sz="0" w:space="0" w:color="auto"/>
            <w:right w:val="none" w:sz="0" w:space="0" w:color="auto"/>
          </w:divBdr>
        </w:div>
        <w:div w:id="1945456187">
          <w:marLeft w:val="480"/>
          <w:marRight w:val="0"/>
          <w:marTop w:val="0"/>
          <w:marBottom w:val="0"/>
          <w:divBdr>
            <w:top w:val="none" w:sz="0" w:space="0" w:color="auto"/>
            <w:left w:val="none" w:sz="0" w:space="0" w:color="auto"/>
            <w:bottom w:val="none" w:sz="0" w:space="0" w:color="auto"/>
            <w:right w:val="none" w:sz="0" w:space="0" w:color="auto"/>
          </w:divBdr>
        </w:div>
        <w:div w:id="234244405">
          <w:marLeft w:val="480"/>
          <w:marRight w:val="0"/>
          <w:marTop w:val="0"/>
          <w:marBottom w:val="0"/>
          <w:divBdr>
            <w:top w:val="none" w:sz="0" w:space="0" w:color="auto"/>
            <w:left w:val="none" w:sz="0" w:space="0" w:color="auto"/>
            <w:bottom w:val="none" w:sz="0" w:space="0" w:color="auto"/>
            <w:right w:val="none" w:sz="0" w:space="0" w:color="auto"/>
          </w:divBdr>
        </w:div>
      </w:divsChild>
    </w:div>
    <w:div w:id="1248344458">
      <w:bodyDiv w:val="1"/>
      <w:marLeft w:val="0"/>
      <w:marRight w:val="0"/>
      <w:marTop w:val="0"/>
      <w:marBottom w:val="0"/>
      <w:divBdr>
        <w:top w:val="none" w:sz="0" w:space="0" w:color="auto"/>
        <w:left w:val="none" w:sz="0" w:space="0" w:color="auto"/>
        <w:bottom w:val="none" w:sz="0" w:space="0" w:color="auto"/>
        <w:right w:val="none" w:sz="0" w:space="0" w:color="auto"/>
      </w:divBdr>
    </w:div>
    <w:div w:id="1368064460">
      <w:bodyDiv w:val="1"/>
      <w:marLeft w:val="0"/>
      <w:marRight w:val="0"/>
      <w:marTop w:val="0"/>
      <w:marBottom w:val="0"/>
      <w:divBdr>
        <w:top w:val="none" w:sz="0" w:space="0" w:color="auto"/>
        <w:left w:val="none" w:sz="0" w:space="0" w:color="auto"/>
        <w:bottom w:val="none" w:sz="0" w:space="0" w:color="auto"/>
        <w:right w:val="none" w:sz="0" w:space="0" w:color="auto"/>
      </w:divBdr>
    </w:div>
    <w:div w:id="1385832628">
      <w:bodyDiv w:val="1"/>
      <w:marLeft w:val="0"/>
      <w:marRight w:val="0"/>
      <w:marTop w:val="0"/>
      <w:marBottom w:val="0"/>
      <w:divBdr>
        <w:top w:val="none" w:sz="0" w:space="0" w:color="auto"/>
        <w:left w:val="none" w:sz="0" w:space="0" w:color="auto"/>
        <w:bottom w:val="none" w:sz="0" w:space="0" w:color="auto"/>
        <w:right w:val="none" w:sz="0" w:space="0" w:color="auto"/>
      </w:divBdr>
      <w:divsChild>
        <w:div w:id="885222764">
          <w:marLeft w:val="0"/>
          <w:marRight w:val="0"/>
          <w:marTop w:val="0"/>
          <w:marBottom w:val="0"/>
          <w:divBdr>
            <w:top w:val="none" w:sz="0" w:space="0" w:color="auto"/>
            <w:left w:val="none" w:sz="0" w:space="0" w:color="auto"/>
            <w:bottom w:val="none" w:sz="0" w:space="0" w:color="auto"/>
            <w:right w:val="none" w:sz="0" w:space="0" w:color="auto"/>
          </w:divBdr>
          <w:divsChild>
            <w:div w:id="625431005">
              <w:marLeft w:val="0"/>
              <w:marRight w:val="0"/>
              <w:marTop w:val="0"/>
              <w:marBottom w:val="0"/>
              <w:divBdr>
                <w:top w:val="none" w:sz="0" w:space="0" w:color="auto"/>
                <w:left w:val="none" w:sz="0" w:space="0" w:color="auto"/>
                <w:bottom w:val="none" w:sz="0" w:space="0" w:color="auto"/>
                <w:right w:val="none" w:sz="0" w:space="0" w:color="auto"/>
              </w:divBdr>
              <w:divsChild>
                <w:div w:id="1834367198">
                  <w:marLeft w:val="0"/>
                  <w:marRight w:val="0"/>
                  <w:marTop w:val="0"/>
                  <w:marBottom w:val="0"/>
                  <w:divBdr>
                    <w:top w:val="none" w:sz="0" w:space="0" w:color="auto"/>
                    <w:left w:val="none" w:sz="0" w:space="0" w:color="auto"/>
                    <w:bottom w:val="none" w:sz="0" w:space="0" w:color="auto"/>
                    <w:right w:val="none" w:sz="0" w:space="0" w:color="auto"/>
                  </w:divBdr>
                  <w:divsChild>
                    <w:div w:id="10034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12656">
          <w:marLeft w:val="0"/>
          <w:marRight w:val="0"/>
          <w:marTop w:val="0"/>
          <w:marBottom w:val="0"/>
          <w:divBdr>
            <w:top w:val="none" w:sz="0" w:space="0" w:color="auto"/>
            <w:left w:val="none" w:sz="0" w:space="0" w:color="auto"/>
            <w:bottom w:val="none" w:sz="0" w:space="0" w:color="auto"/>
            <w:right w:val="none" w:sz="0" w:space="0" w:color="auto"/>
          </w:divBdr>
          <w:divsChild>
            <w:div w:id="618612275">
              <w:marLeft w:val="0"/>
              <w:marRight w:val="0"/>
              <w:marTop w:val="0"/>
              <w:marBottom w:val="0"/>
              <w:divBdr>
                <w:top w:val="none" w:sz="0" w:space="0" w:color="auto"/>
                <w:left w:val="none" w:sz="0" w:space="0" w:color="auto"/>
                <w:bottom w:val="none" w:sz="0" w:space="0" w:color="auto"/>
                <w:right w:val="none" w:sz="0" w:space="0" w:color="auto"/>
              </w:divBdr>
              <w:divsChild>
                <w:div w:id="437407917">
                  <w:marLeft w:val="0"/>
                  <w:marRight w:val="0"/>
                  <w:marTop w:val="0"/>
                  <w:marBottom w:val="0"/>
                  <w:divBdr>
                    <w:top w:val="none" w:sz="0" w:space="0" w:color="auto"/>
                    <w:left w:val="none" w:sz="0" w:space="0" w:color="auto"/>
                    <w:bottom w:val="none" w:sz="0" w:space="0" w:color="auto"/>
                    <w:right w:val="none" w:sz="0" w:space="0" w:color="auto"/>
                  </w:divBdr>
                  <w:divsChild>
                    <w:div w:id="189327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41953198">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20317727">
      <w:bodyDiv w:val="1"/>
      <w:marLeft w:val="0"/>
      <w:marRight w:val="0"/>
      <w:marTop w:val="0"/>
      <w:marBottom w:val="0"/>
      <w:divBdr>
        <w:top w:val="none" w:sz="0" w:space="0" w:color="auto"/>
        <w:left w:val="none" w:sz="0" w:space="0" w:color="auto"/>
        <w:bottom w:val="none" w:sz="0" w:space="0" w:color="auto"/>
        <w:right w:val="none" w:sz="0" w:space="0" w:color="auto"/>
      </w:divBdr>
      <w:divsChild>
        <w:div w:id="1921672235">
          <w:marLeft w:val="0"/>
          <w:marRight w:val="0"/>
          <w:marTop w:val="0"/>
          <w:marBottom w:val="0"/>
          <w:divBdr>
            <w:top w:val="none" w:sz="0" w:space="0" w:color="auto"/>
            <w:left w:val="none" w:sz="0" w:space="0" w:color="auto"/>
            <w:bottom w:val="none" w:sz="0" w:space="0" w:color="auto"/>
            <w:right w:val="none" w:sz="0" w:space="0" w:color="auto"/>
          </w:divBdr>
          <w:divsChild>
            <w:div w:id="770782835">
              <w:marLeft w:val="0"/>
              <w:marRight w:val="0"/>
              <w:marTop w:val="0"/>
              <w:marBottom w:val="0"/>
              <w:divBdr>
                <w:top w:val="none" w:sz="0" w:space="0" w:color="auto"/>
                <w:left w:val="none" w:sz="0" w:space="0" w:color="auto"/>
                <w:bottom w:val="none" w:sz="0" w:space="0" w:color="auto"/>
                <w:right w:val="none" w:sz="0" w:space="0" w:color="auto"/>
              </w:divBdr>
              <w:divsChild>
                <w:div w:id="954557198">
                  <w:marLeft w:val="0"/>
                  <w:marRight w:val="0"/>
                  <w:marTop w:val="0"/>
                  <w:marBottom w:val="0"/>
                  <w:divBdr>
                    <w:top w:val="none" w:sz="0" w:space="0" w:color="auto"/>
                    <w:left w:val="none" w:sz="0" w:space="0" w:color="auto"/>
                    <w:bottom w:val="none" w:sz="0" w:space="0" w:color="auto"/>
                    <w:right w:val="none" w:sz="0" w:space="0" w:color="auto"/>
                  </w:divBdr>
                  <w:divsChild>
                    <w:div w:id="1282803791">
                      <w:marLeft w:val="0"/>
                      <w:marRight w:val="0"/>
                      <w:marTop w:val="0"/>
                      <w:marBottom w:val="0"/>
                      <w:divBdr>
                        <w:top w:val="none" w:sz="0" w:space="0" w:color="auto"/>
                        <w:left w:val="none" w:sz="0" w:space="0" w:color="auto"/>
                        <w:bottom w:val="none" w:sz="0" w:space="0" w:color="auto"/>
                        <w:right w:val="none" w:sz="0" w:space="0" w:color="auto"/>
                      </w:divBdr>
                      <w:divsChild>
                        <w:div w:id="1033657406">
                          <w:marLeft w:val="0"/>
                          <w:marRight w:val="0"/>
                          <w:marTop w:val="0"/>
                          <w:marBottom w:val="0"/>
                          <w:divBdr>
                            <w:top w:val="none" w:sz="0" w:space="0" w:color="auto"/>
                            <w:left w:val="none" w:sz="0" w:space="0" w:color="auto"/>
                            <w:bottom w:val="none" w:sz="0" w:space="0" w:color="auto"/>
                            <w:right w:val="none" w:sz="0" w:space="0" w:color="auto"/>
                          </w:divBdr>
                          <w:divsChild>
                            <w:div w:id="21105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582676">
      <w:bodyDiv w:val="1"/>
      <w:marLeft w:val="0"/>
      <w:marRight w:val="0"/>
      <w:marTop w:val="0"/>
      <w:marBottom w:val="0"/>
      <w:divBdr>
        <w:top w:val="none" w:sz="0" w:space="0" w:color="auto"/>
        <w:left w:val="none" w:sz="0" w:space="0" w:color="auto"/>
        <w:bottom w:val="none" w:sz="0" w:space="0" w:color="auto"/>
        <w:right w:val="none" w:sz="0" w:space="0" w:color="auto"/>
      </w:divBdr>
      <w:divsChild>
        <w:div w:id="812143106">
          <w:marLeft w:val="480"/>
          <w:marRight w:val="0"/>
          <w:marTop w:val="0"/>
          <w:marBottom w:val="0"/>
          <w:divBdr>
            <w:top w:val="none" w:sz="0" w:space="0" w:color="auto"/>
            <w:left w:val="none" w:sz="0" w:space="0" w:color="auto"/>
            <w:bottom w:val="none" w:sz="0" w:space="0" w:color="auto"/>
            <w:right w:val="none" w:sz="0" w:space="0" w:color="auto"/>
          </w:divBdr>
        </w:div>
        <w:div w:id="61561615">
          <w:marLeft w:val="480"/>
          <w:marRight w:val="0"/>
          <w:marTop w:val="0"/>
          <w:marBottom w:val="0"/>
          <w:divBdr>
            <w:top w:val="none" w:sz="0" w:space="0" w:color="auto"/>
            <w:left w:val="none" w:sz="0" w:space="0" w:color="auto"/>
            <w:bottom w:val="none" w:sz="0" w:space="0" w:color="auto"/>
            <w:right w:val="none" w:sz="0" w:space="0" w:color="auto"/>
          </w:divBdr>
        </w:div>
        <w:div w:id="2132241295">
          <w:marLeft w:val="480"/>
          <w:marRight w:val="0"/>
          <w:marTop w:val="0"/>
          <w:marBottom w:val="0"/>
          <w:divBdr>
            <w:top w:val="none" w:sz="0" w:space="0" w:color="auto"/>
            <w:left w:val="none" w:sz="0" w:space="0" w:color="auto"/>
            <w:bottom w:val="none" w:sz="0" w:space="0" w:color="auto"/>
            <w:right w:val="none" w:sz="0" w:space="0" w:color="auto"/>
          </w:divBdr>
        </w:div>
        <w:div w:id="1720667087">
          <w:marLeft w:val="480"/>
          <w:marRight w:val="0"/>
          <w:marTop w:val="0"/>
          <w:marBottom w:val="0"/>
          <w:divBdr>
            <w:top w:val="none" w:sz="0" w:space="0" w:color="auto"/>
            <w:left w:val="none" w:sz="0" w:space="0" w:color="auto"/>
            <w:bottom w:val="none" w:sz="0" w:space="0" w:color="auto"/>
            <w:right w:val="none" w:sz="0" w:space="0" w:color="auto"/>
          </w:divBdr>
        </w:div>
        <w:div w:id="414743476">
          <w:marLeft w:val="480"/>
          <w:marRight w:val="0"/>
          <w:marTop w:val="0"/>
          <w:marBottom w:val="0"/>
          <w:divBdr>
            <w:top w:val="none" w:sz="0" w:space="0" w:color="auto"/>
            <w:left w:val="none" w:sz="0" w:space="0" w:color="auto"/>
            <w:bottom w:val="none" w:sz="0" w:space="0" w:color="auto"/>
            <w:right w:val="none" w:sz="0" w:space="0" w:color="auto"/>
          </w:divBdr>
        </w:div>
        <w:div w:id="1132402891">
          <w:marLeft w:val="480"/>
          <w:marRight w:val="0"/>
          <w:marTop w:val="0"/>
          <w:marBottom w:val="0"/>
          <w:divBdr>
            <w:top w:val="none" w:sz="0" w:space="0" w:color="auto"/>
            <w:left w:val="none" w:sz="0" w:space="0" w:color="auto"/>
            <w:bottom w:val="none" w:sz="0" w:space="0" w:color="auto"/>
            <w:right w:val="none" w:sz="0" w:space="0" w:color="auto"/>
          </w:divBdr>
        </w:div>
        <w:div w:id="1370371293">
          <w:marLeft w:val="480"/>
          <w:marRight w:val="0"/>
          <w:marTop w:val="0"/>
          <w:marBottom w:val="0"/>
          <w:divBdr>
            <w:top w:val="none" w:sz="0" w:space="0" w:color="auto"/>
            <w:left w:val="none" w:sz="0" w:space="0" w:color="auto"/>
            <w:bottom w:val="none" w:sz="0" w:space="0" w:color="auto"/>
            <w:right w:val="none" w:sz="0" w:space="0" w:color="auto"/>
          </w:divBdr>
        </w:div>
        <w:div w:id="1954246991">
          <w:marLeft w:val="480"/>
          <w:marRight w:val="0"/>
          <w:marTop w:val="0"/>
          <w:marBottom w:val="0"/>
          <w:divBdr>
            <w:top w:val="none" w:sz="0" w:space="0" w:color="auto"/>
            <w:left w:val="none" w:sz="0" w:space="0" w:color="auto"/>
            <w:bottom w:val="none" w:sz="0" w:space="0" w:color="auto"/>
            <w:right w:val="none" w:sz="0" w:space="0" w:color="auto"/>
          </w:divBdr>
        </w:div>
        <w:div w:id="1615213496">
          <w:marLeft w:val="480"/>
          <w:marRight w:val="0"/>
          <w:marTop w:val="0"/>
          <w:marBottom w:val="0"/>
          <w:divBdr>
            <w:top w:val="none" w:sz="0" w:space="0" w:color="auto"/>
            <w:left w:val="none" w:sz="0" w:space="0" w:color="auto"/>
            <w:bottom w:val="none" w:sz="0" w:space="0" w:color="auto"/>
            <w:right w:val="none" w:sz="0" w:space="0" w:color="auto"/>
          </w:divBdr>
        </w:div>
        <w:div w:id="359861171">
          <w:marLeft w:val="480"/>
          <w:marRight w:val="0"/>
          <w:marTop w:val="0"/>
          <w:marBottom w:val="0"/>
          <w:divBdr>
            <w:top w:val="none" w:sz="0" w:space="0" w:color="auto"/>
            <w:left w:val="none" w:sz="0" w:space="0" w:color="auto"/>
            <w:bottom w:val="none" w:sz="0" w:space="0" w:color="auto"/>
            <w:right w:val="none" w:sz="0" w:space="0" w:color="auto"/>
          </w:divBdr>
        </w:div>
        <w:div w:id="2126000869">
          <w:marLeft w:val="480"/>
          <w:marRight w:val="0"/>
          <w:marTop w:val="0"/>
          <w:marBottom w:val="0"/>
          <w:divBdr>
            <w:top w:val="none" w:sz="0" w:space="0" w:color="auto"/>
            <w:left w:val="none" w:sz="0" w:space="0" w:color="auto"/>
            <w:bottom w:val="none" w:sz="0" w:space="0" w:color="auto"/>
            <w:right w:val="none" w:sz="0" w:space="0" w:color="auto"/>
          </w:divBdr>
        </w:div>
        <w:div w:id="179007639">
          <w:marLeft w:val="48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91600">
      <w:bodyDiv w:val="1"/>
      <w:marLeft w:val="0"/>
      <w:marRight w:val="0"/>
      <w:marTop w:val="0"/>
      <w:marBottom w:val="0"/>
      <w:divBdr>
        <w:top w:val="none" w:sz="0" w:space="0" w:color="auto"/>
        <w:left w:val="none" w:sz="0" w:space="0" w:color="auto"/>
        <w:bottom w:val="none" w:sz="0" w:space="0" w:color="auto"/>
        <w:right w:val="none" w:sz="0" w:space="0" w:color="auto"/>
      </w:divBdr>
    </w:div>
    <w:div w:id="1775861592">
      <w:bodyDiv w:val="1"/>
      <w:marLeft w:val="0"/>
      <w:marRight w:val="0"/>
      <w:marTop w:val="0"/>
      <w:marBottom w:val="0"/>
      <w:divBdr>
        <w:top w:val="none" w:sz="0" w:space="0" w:color="auto"/>
        <w:left w:val="none" w:sz="0" w:space="0" w:color="auto"/>
        <w:bottom w:val="none" w:sz="0" w:space="0" w:color="auto"/>
        <w:right w:val="none" w:sz="0" w:space="0" w:color="auto"/>
      </w:divBdr>
    </w:div>
    <w:div w:id="1912735741">
      <w:bodyDiv w:val="1"/>
      <w:marLeft w:val="0"/>
      <w:marRight w:val="0"/>
      <w:marTop w:val="0"/>
      <w:marBottom w:val="0"/>
      <w:divBdr>
        <w:top w:val="none" w:sz="0" w:space="0" w:color="auto"/>
        <w:left w:val="none" w:sz="0" w:space="0" w:color="auto"/>
        <w:bottom w:val="none" w:sz="0" w:space="0" w:color="auto"/>
        <w:right w:val="none" w:sz="0" w:space="0" w:color="auto"/>
      </w:divBdr>
    </w:div>
    <w:div w:id="1948610873">
      <w:bodyDiv w:val="1"/>
      <w:marLeft w:val="0"/>
      <w:marRight w:val="0"/>
      <w:marTop w:val="0"/>
      <w:marBottom w:val="0"/>
      <w:divBdr>
        <w:top w:val="none" w:sz="0" w:space="0" w:color="auto"/>
        <w:left w:val="none" w:sz="0" w:space="0" w:color="auto"/>
        <w:bottom w:val="none" w:sz="0" w:space="0" w:color="auto"/>
        <w:right w:val="none" w:sz="0" w:space="0" w:color="auto"/>
      </w:divBdr>
      <w:divsChild>
        <w:div w:id="418526121">
          <w:marLeft w:val="0"/>
          <w:marRight w:val="0"/>
          <w:marTop w:val="0"/>
          <w:marBottom w:val="0"/>
          <w:divBdr>
            <w:top w:val="none" w:sz="0" w:space="0" w:color="auto"/>
            <w:left w:val="none" w:sz="0" w:space="0" w:color="auto"/>
            <w:bottom w:val="none" w:sz="0" w:space="0" w:color="auto"/>
            <w:right w:val="none" w:sz="0" w:space="0" w:color="auto"/>
          </w:divBdr>
          <w:divsChild>
            <w:div w:id="1585147919">
              <w:marLeft w:val="0"/>
              <w:marRight w:val="0"/>
              <w:marTop w:val="0"/>
              <w:marBottom w:val="0"/>
              <w:divBdr>
                <w:top w:val="none" w:sz="0" w:space="0" w:color="auto"/>
                <w:left w:val="none" w:sz="0" w:space="0" w:color="auto"/>
                <w:bottom w:val="none" w:sz="0" w:space="0" w:color="auto"/>
                <w:right w:val="none" w:sz="0" w:space="0" w:color="auto"/>
              </w:divBdr>
              <w:divsChild>
                <w:div w:id="658003326">
                  <w:marLeft w:val="0"/>
                  <w:marRight w:val="0"/>
                  <w:marTop w:val="0"/>
                  <w:marBottom w:val="0"/>
                  <w:divBdr>
                    <w:top w:val="none" w:sz="0" w:space="0" w:color="auto"/>
                    <w:left w:val="none" w:sz="0" w:space="0" w:color="auto"/>
                    <w:bottom w:val="none" w:sz="0" w:space="0" w:color="auto"/>
                    <w:right w:val="none" w:sz="0" w:space="0" w:color="auto"/>
                  </w:divBdr>
                  <w:divsChild>
                    <w:div w:id="1918594223">
                      <w:marLeft w:val="0"/>
                      <w:marRight w:val="0"/>
                      <w:marTop w:val="0"/>
                      <w:marBottom w:val="0"/>
                      <w:divBdr>
                        <w:top w:val="none" w:sz="0" w:space="0" w:color="auto"/>
                        <w:left w:val="none" w:sz="0" w:space="0" w:color="auto"/>
                        <w:bottom w:val="none" w:sz="0" w:space="0" w:color="auto"/>
                        <w:right w:val="none" w:sz="0" w:space="0" w:color="auto"/>
                      </w:divBdr>
                      <w:divsChild>
                        <w:div w:id="617294684">
                          <w:marLeft w:val="0"/>
                          <w:marRight w:val="0"/>
                          <w:marTop w:val="0"/>
                          <w:marBottom w:val="0"/>
                          <w:divBdr>
                            <w:top w:val="none" w:sz="0" w:space="0" w:color="auto"/>
                            <w:left w:val="none" w:sz="0" w:space="0" w:color="auto"/>
                            <w:bottom w:val="none" w:sz="0" w:space="0" w:color="auto"/>
                            <w:right w:val="none" w:sz="0" w:space="0" w:color="auto"/>
                          </w:divBdr>
                          <w:divsChild>
                            <w:div w:id="17768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7632899">
      <w:bodyDiv w:val="1"/>
      <w:marLeft w:val="0"/>
      <w:marRight w:val="0"/>
      <w:marTop w:val="0"/>
      <w:marBottom w:val="0"/>
      <w:divBdr>
        <w:top w:val="none" w:sz="0" w:space="0" w:color="auto"/>
        <w:left w:val="none" w:sz="0" w:space="0" w:color="auto"/>
        <w:bottom w:val="none" w:sz="0" w:space="0" w:color="auto"/>
        <w:right w:val="none" w:sz="0" w:space="0" w:color="auto"/>
      </w:divBdr>
    </w:div>
    <w:div w:id="2050642198">
      <w:bodyDiv w:val="1"/>
      <w:marLeft w:val="0"/>
      <w:marRight w:val="0"/>
      <w:marTop w:val="0"/>
      <w:marBottom w:val="0"/>
      <w:divBdr>
        <w:top w:val="none" w:sz="0" w:space="0" w:color="auto"/>
        <w:left w:val="none" w:sz="0" w:space="0" w:color="auto"/>
        <w:bottom w:val="none" w:sz="0" w:space="0" w:color="auto"/>
        <w:right w:val="none" w:sz="0" w:space="0" w:color="auto"/>
      </w:divBdr>
    </w:div>
    <w:div w:id="2081177145">
      <w:bodyDiv w:val="1"/>
      <w:marLeft w:val="0"/>
      <w:marRight w:val="0"/>
      <w:marTop w:val="0"/>
      <w:marBottom w:val="0"/>
      <w:divBdr>
        <w:top w:val="none" w:sz="0" w:space="0" w:color="auto"/>
        <w:left w:val="none" w:sz="0" w:space="0" w:color="auto"/>
        <w:bottom w:val="none" w:sz="0" w:space="0" w:color="auto"/>
        <w:right w:val="none" w:sz="0" w:space="0" w:color="auto"/>
      </w:divBdr>
      <w:divsChild>
        <w:div w:id="2064714662">
          <w:marLeft w:val="0"/>
          <w:marRight w:val="0"/>
          <w:marTop w:val="0"/>
          <w:marBottom w:val="0"/>
          <w:divBdr>
            <w:top w:val="none" w:sz="0" w:space="0" w:color="auto"/>
            <w:left w:val="none" w:sz="0" w:space="0" w:color="auto"/>
            <w:bottom w:val="none" w:sz="0" w:space="0" w:color="auto"/>
            <w:right w:val="none" w:sz="0" w:space="0" w:color="auto"/>
          </w:divBdr>
          <w:divsChild>
            <w:div w:id="724063308">
              <w:marLeft w:val="0"/>
              <w:marRight w:val="0"/>
              <w:marTop w:val="0"/>
              <w:marBottom w:val="0"/>
              <w:divBdr>
                <w:top w:val="none" w:sz="0" w:space="0" w:color="auto"/>
                <w:left w:val="none" w:sz="0" w:space="0" w:color="auto"/>
                <w:bottom w:val="none" w:sz="0" w:space="0" w:color="auto"/>
                <w:right w:val="none" w:sz="0" w:space="0" w:color="auto"/>
              </w:divBdr>
              <w:divsChild>
                <w:div w:id="1340621199">
                  <w:marLeft w:val="0"/>
                  <w:marRight w:val="0"/>
                  <w:marTop w:val="0"/>
                  <w:marBottom w:val="0"/>
                  <w:divBdr>
                    <w:top w:val="none" w:sz="0" w:space="0" w:color="auto"/>
                    <w:left w:val="none" w:sz="0" w:space="0" w:color="auto"/>
                    <w:bottom w:val="none" w:sz="0" w:space="0" w:color="auto"/>
                    <w:right w:val="none" w:sz="0" w:space="0" w:color="auto"/>
                  </w:divBdr>
                  <w:divsChild>
                    <w:div w:id="1011835699">
                      <w:marLeft w:val="0"/>
                      <w:marRight w:val="0"/>
                      <w:marTop w:val="0"/>
                      <w:marBottom w:val="0"/>
                      <w:divBdr>
                        <w:top w:val="none" w:sz="0" w:space="0" w:color="auto"/>
                        <w:left w:val="none" w:sz="0" w:space="0" w:color="auto"/>
                        <w:bottom w:val="none" w:sz="0" w:space="0" w:color="auto"/>
                        <w:right w:val="none" w:sz="0" w:space="0" w:color="auto"/>
                      </w:divBdr>
                      <w:divsChild>
                        <w:div w:id="1779715469">
                          <w:marLeft w:val="0"/>
                          <w:marRight w:val="0"/>
                          <w:marTop w:val="0"/>
                          <w:marBottom w:val="0"/>
                          <w:divBdr>
                            <w:top w:val="none" w:sz="0" w:space="0" w:color="auto"/>
                            <w:left w:val="none" w:sz="0" w:space="0" w:color="auto"/>
                            <w:bottom w:val="none" w:sz="0" w:space="0" w:color="auto"/>
                            <w:right w:val="none" w:sz="0" w:space="0" w:color="auto"/>
                          </w:divBdr>
                          <w:divsChild>
                            <w:div w:id="18447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0323472">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becné"/>
          <w:gallery w:val="placeholder"/>
        </w:category>
        <w:types>
          <w:type w:val="bbPlcHdr"/>
        </w:types>
        <w:behaviors>
          <w:behavior w:val="content"/>
        </w:behaviors>
        <w:guid w:val="{2AF6F1DE-6085-45BE-A018-F12CAB3C367B}"/>
      </w:docPartPr>
      <w:docPartBody>
        <w:p w:rsidR="003D353A" w:rsidRDefault="00A542D8">
          <w:r w:rsidRPr="0017147B">
            <w:rPr>
              <w:rStyle w:val="Zstupntext"/>
            </w:rPr>
            <w:t>Klikněte nebo klepněte sem a zadejte text.</w:t>
          </w:r>
        </w:p>
      </w:docPartBody>
    </w:docPart>
    <w:docPart>
      <w:docPartPr>
        <w:name w:val="BDC2124E8C264F7694F292696A436D82"/>
        <w:category>
          <w:name w:val="Obecné"/>
          <w:gallery w:val="placeholder"/>
        </w:category>
        <w:types>
          <w:type w:val="bbPlcHdr"/>
        </w:types>
        <w:behaviors>
          <w:behavior w:val="content"/>
        </w:behaviors>
        <w:guid w:val="{71E7BEFC-4BAE-43CB-BF9E-004ABDB29D56}"/>
      </w:docPartPr>
      <w:docPartBody>
        <w:p w:rsidR="003D353A" w:rsidRDefault="00A542D8" w:rsidP="00A542D8">
          <w:pPr>
            <w:pStyle w:val="BDC2124E8C264F7694F292696A436D82"/>
          </w:pPr>
          <w:r w:rsidRPr="0017147B">
            <w:rPr>
              <w:rStyle w:val="Zstupntext"/>
            </w:rPr>
            <w:t>Klikněte nebo klepněte sem a zadejte text.</w:t>
          </w:r>
        </w:p>
      </w:docPartBody>
    </w:docPart>
    <w:docPart>
      <w:docPartPr>
        <w:name w:val="200AB1B61F11486B84920ACF844DB392"/>
        <w:category>
          <w:name w:val="Obecné"/>
          <w:gallery w:val="placeholder"/>
        </w:category>
        <w:types>
          <w:type w:val="bbPlcHdr"/>
        </w:types>
        <w:behaviors>
          <w:behavior w:val="content"/>
        </w:behaviors>
        <w:guid w:val="{FBD4D4E8-0B3A-474D-98E2-1EEB59BABAC3}"/>
      </w:docPartPr>
      <w:docPartBody>
        <w:p w:rsidR="003D353A" w:rsidRDefault="00A542D8" w:rsidP="00A542D8">
          <w:pPr>
            <w:pStyle w:val="200AB1B61F11486B84920ACF844DB392"/>
          </w:pPr>
          <w:r w:rsidRPr="0017147B">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2D8"/>
    <w:rsid w:val="00090630"/>
    <w:rsid w:val="001536E5"/>
    <w:rsid w:val="00270866"/>
    <w:rsid w:val="003D33EB"/>
    <w:rsid w:val="003D353A"/>
    <w:rsid w:val="005D4537"/>
    <w:rsid w:val="006271E4"/>
    <w:rsid w:val="0068111C"/>
    <w:rsid w:val="007B1066"/>
    <w:rsid w:val="00873A46"/>
    <w:rsid w:val="00921BC0"/>
    <w:rsid w:val="00A542D8"/>
    <w:rsid w:val="00B2038B"/>
    <w:rsid w:val="00EA28F0"/>
    <w:rsid w:val="00EB6A8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542D8"/>
    <w:rPr>
      <w:color w:val="666666"/>
    </w:rPr>
  </w:style>
  <w:style w:type="paragraph" w:customStyle="1" w:styleId="BDC2124E8C264F7694F292696A436D82">
    <w:name w:val="BDC2124E8C264F7694F292696A436D82"/>
    <w:rsid w:val="00A542D8"/>
  </w:style>
  <w:style w:type="paragraph" w:customStyle="1" w:styleId="200AB1B61F11486B84920ACF844DB392">
    <w:name w:val="200AB1B61F11486B84920ACF844DB392"/>
    <w:rsid w:val="00A542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A93FF74-CBF3-4633-B41C-0EC51197D07E}">
  <we:reference id="f78a3046-9e99-4300-aa2b-5814002b01a2" version="1.55.1.0" store="EXCatalog" storeType="EXCatalog"/>
  <we:alternateReferences>
    <we:reference id="WA104382081" version="1.55.1.0" store="cs-CZ" storeType="OMEX"/>
  </we:alternateReferences>
  <we:properties>
    <we:property name="MENDELEY_CITATIONS" value="[{&quot;citationID&quot;:&quot;MENDELEY_CITATION_4813a1be-ef92-47bb-90de-dfeecd71c0bb&quot;,&quot;properties&quot;:{&quot;noteIndex&quot;:0},&quot;isEdited&quot;:false,&quot;manualOverride&quot;:{&quot;isManuallyOverridden&quot;:false,&quot;citeprocText&quot;:&quot;(Jankuj et al., 2022; Pasman et al., 2023)&quot;,&quot;manualOverrideText&quot;:&quot;&quot;},&quot;citationTag&quot;:&quot;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&quot;,&quot;citationItems&quot;:[{&quot;id&quot;:&quot;6c12a2f8-8cde-3085-8c50-6dbcf313a743&quot;,&quot;itemData&quot;:{&quot;type&quot;:&quot;article-journal&quot;,&quot;id&quot;:&quot;6c12a2f8-8cde-3085-8c50-6dbcf313a743&quot;,&quot;title&quot;:&quot;Experimental investigation of the consequences of acetylene pressure cylinder failure under fire conditions&quot;,&quot;author&quot;:[{&quot;family&quot;:&quot;Jankuj&quot;,&quot;given&quot;:&quot;V.&quot;,&quot;parse-names&quot;:false,&quot;dropping-particle&quot;:&quot;&quot;,&quot;non-dropping-particle&quot;:&quot;&quot;},{&quot;family&quot;:&quot;Mynarz&quot;,&quot;given&quot;:&quot;M.&quot;,&quot;parse-names&quot;:false,&quot;dropping-particle&quot;:&quot;&quot;,&quot;non-dropping-particle&quot;:&quot;&quot;},{&quot;family&quot;:&quot;Krietsch&quot;,&quot;given&quot;:&quot;A.&quot;,&quot;parse-names&quot;:false,&quot;dropping-particle&quot;:&quot;&quot;,&quot;non-dropping-particle&quot;:&quot;&quot;},{&quot;family&quot;:&quot;Spitzer&quot;,&quot;given&quot;:&quot;S.H.&quot;,&quot;parse-names&quot;:false,&quot;dropping-particle&quot;:&quot;&quot;,&quot;non-dropping-particle&quot;:&quot;&quot;},{&quot;family&quot;:&quot;Lepik&quot;,&quot;given&quot;:&quot;P.&quot;,&quot;parse-names&quot;:false,&quot;dropping-particle&quot;:&quot;&quot;,&quot;non-dropping-particle&quot;:&quot;&quot;}],&quot;container-title&quot;:&quot;Journal of Loss Prevention in the Process Industries&quot;,&quot;container-title-short&quot;:&quot;J Loss Prev Process Ind&quot;,&quot;DOI&quot;:&quot;10.1016/j.jlp.2022.104874&quot;,&quot;ISSN&quot;:&quot;09504230&quot;,&quot;issued&quot;:{&quot;date-parts&quot;:[[2022]]},&quot;abstract&quot;:&quot;Acetylene pressure cylinders are widely used in the industrial sector for welding, flame cutting, or heating. Sometimes during work, not only with acetylene cylinders, fires occur and in this case the risk of destruction increases and the behavior of such an exposed cylinder is unpredictable. The purpose of this study is to identify those critical conditions when acetylene cylinders burst and explode in fires. In the present study, acetylene cylinders were exposed to fire conditions. For this purpose, a woodpile as a source of fire was chosen, tested, and evaluated. In addition to the fire condition, this option guaranteed reproducibility and similar conditions for all tests. The individual cylinders were equipped with thermocouples measuring the shell temperature, and half of them were prepared in order to measure the temperatures inside the cylinder. An important factor was the measurement of the amount of pressure that was achieved during the destruction of the cylinder. For this purpose, a pressure transducer was attached to the outlet of the cylinder valve. Exposed to direct fire, they can explode in 10 min, which was confirmed. The critical pressure of 40 bar has been reached in 6 min, followed by destruction after 7 min in fire. Cylinders with internal thermocouples were destroyed when lower pressure was achieved. This confirms the fact that any change of the pressure cylinder affects the original properties. After the tests, the fragments of the selected cylinders were subjected to material tests. The results obtained in these tests are the main source of information for understanding the behavior of acetylene cylinders in fire and the possibility of increasing the safety of intervening rescue services in an emergency.&quot;,&quot;volume&quot;:&quot;80&quot;},&quot;isTemporary&quot;:false},{&quot;id&quot;:&quot;641d4e2b-222d-3767-8345-5b0948066fde&quot;,&quot;itemData&quot;:{&quot;type&quot;:&quot;article-journal&quot;,&quot;id&quot;:&quot;641d4e2b-222d-3767-8345-5b0948066fde&quot;,&quot;title&quot;:&quot;Energy transition technology comes with new process safety challenges and risks&quot;,&quot;author&quot;:[{&quot;family&quot;:&quot;Pasman&quot;,&quot;given&quot;:&quot;Hans&quot;,&quot;parse-names&quot;:false,&quot;dropping-particle&quot;:&quot;&quot;,&quot;non-dropping-particle&quot;:&quot;&quot;},{&quot;family&quot;:&quot;Sripaul&quot;,&quot;given&quot;:&quot;Edison&quot;,&quot;parse-names&quot;:false,&quot;dropping-particle&quot;:&quot;&quot;,&quot;non-dropping-particle&quot;:&quot;&quot;},{&quot;family&quot;:&quot;Khan&quot;,&quot;given&quot;:&quot;Faisal&quot;,&quot;parse-names&quot;:false,&quot;dropping-particle&quot;:&quot;&quot;,&quot;non-dropping-particle&quot;:&quot;&quot;},{&quot;family&quot;:&quot;Fabiano&quot;,&quot;given&quot;:&quot;Bruno&quot;,&quot;parse-names&quot;:false,&quot;dropping-particle&quot;:&quot;&quot;,&quot;non-dropping-particle&quot;:&quot;&quot;}],&quot;container-title&quot;:&quot;Process Safety and Environmental Protection&quot;,&quot;accessed&quot;:{&quot;date-parts&quot;:[[2024,1,24]]},&quot;DOI&quot;:&quot;10.1016/j.psep.2023.07.036&quot;,&quot;URL&quot;:&quot;https://doi.org/10.1016/j.psep.2023.07.036&quot;,&quot;issued&quot;:{&quot;date-parts&quot;:[[2023]]},&quot;page&quot;:&quot;765-794&quot;,&quot;abstract&quot;:&quot;This paper intends to give an impression of new technologies and processes that are in development for application to achieve decarbonization, and about which less or no experience on associated hazards exists in the process industry. More or less an exception is hydrogen technology because its hazards are relatively known and there is industry experience in handling it safely, but problems will arise when it is produced, stored, and distributed on a large scale. So, when its use spreads to communities and it becomes as common as natural gas now, measures to control the risks will be needed. And even with hydrogen, surprise findings have been shown lately, e.g., its BLEVE behavior when in a liquified form stored in a vessel heated externally. Substitutes for hydrogen are not without hazard concern either. The paper will further consider the hazards of energy storage in batteries and the problems to get those hazards under control. Relatively much attention will be paid to the electrification of the process industry. Many new processes are being researched, which given green energy, will be beneficial to reduce greenhouse gases and enhance sustainability, but of which hazards are rather unknown. Therefore, as last chapter the developments with respect to the concept of hazard identification and scenario definition will be considered in quite detail. Improvements in that respect are also being possible due to the digitization of the industry and the availability of data and considering the entire life cycle, all facilitated by the data model standard ISO 15926 with the scope of integration of life-cycle data for process plants including oil and gas production facilities. Conclusion is that the new technologies and processes entail new process and personal hazards, and that much effort is going into renewal but safety analyses are scarce. Right in a period of process renewal, attention should be focused on possibilities to implement inherently safer design.&quot;,&quot;volume&quot;:&quot;177&quot;,&quot;container-title-short&quot;:&quot;&quot;},&quot;isTemporary&quot;:false}]},{&quot;citationID&quot;:&quot;MENDELEY_CITATION_d6dd2241-8395-4b65-ac35-4c705aef3830&quot;,&quot;properties&quot;:{&quot;noteIndex&quot;:0},&quot;isEdited&quot;:false,&quot;manualOverride&quot;:{&quot;isManuallyOverridden&quot;:false,&quot;citeprocText&quot;:&quot;(Tschirschwitz et al., 2019, 2017)&quot;,&quot;manualOverrideText&quot;:&quot;&quot;},&quot;citationTag&quot;:&quot;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&quot;,&quot;citationItems&quot;:[{&quot;id&quot;:&quot;7280b2e2-c5bd-394d-a980-5af230149681&quot;,&quot;itemData&quot;:{&quot;type&quot;:&quot;article-journal&quot;,&quot;id&quot;:&quot;7280b2e2-c5bd-394d-a980-5af230149681&quot;,&quot;title&quot;:&quot;Mobile gas cylinders in fire: Consequences in case of failure&quot;,&quot;author&quot;:[{&quot;family&quot;:&quot;Tschirschwitz&quot;,&quot;given&quot;:&quot;Rico&quot;,&quot;parse-names&quot;:false,&quot;dropping-particle&quot;:&quot;&quot;,&quot;non-dropping-particle&quot;:&quot;&quot;},{&quot;family&quot;:&quot;Krentel&quot;,&quot;given&quot;:&quot;Daniel&quot;,&quot;parse-names&quot;:false,&quot;dropping-particle&quot;:&quot;&quot;,&quot;non-dropping-particle&quot;:&quot;&quot;},{&quot;family&quot;:&quot;Kluge&quot;,&quot;given&quot;:&quot;Martin&quot;,&quot;parse-names&quot;:false,&quot;dropping-particle&quot;:&quot;&quot;,&quot;non-dropping-particle&quot;:&quot;&quot;},{&quot;family&quot;:&quot;Askar&quot;,&quot;given&quot;:&quot;Enis&quot;,&quot;parse-names&quot;:false,&quot;dropping-particle&quot;:&quot;&quot;,&quot;non-dropping-particle&quot;:&quot;&quot;},{&quot;family&quot;:&quot;Habib&quot;,&quot;given&quot;:&quot;Karim&quot;,&quot;parse-names&quot;:false,&quot;dropping-particle&quot;:&quot;&quot;,&quot;non-dropping-particle&quot;:&quot;&quot;},{&quot;family&quot;:&quot;Kohlhoff&quot;,&quot;given&quot;:&quot;Harald&quot;,&quot;parse-names&quot;:false,&quot;dropping-particle&quot;:&quot;&quot;,&quot;non-dropping-particle&quot;:&quot;&quot;},{&quot;family&quot;:&quot;Neumann&quot;,&quot;given&quot;:&quot;Patrick P.&quot;,&quot;parse-names&quot;:false,&quot;dropping-particle&quot;:&quot;&quot;,&quot;non-dropping-particle&quot;:&quot;&quot;},{&quot;family&quot;:&quot;Storm&quot;,&quot;given&quot;:&quot;Sven Uwe&quot;,&quot;parse-names&quot;:false,&quot;dropping-particle&quot;:&quot;&quot;,&quot;non-dropping-particle&quot;:&quot;&quot;},{&quot;family&quot;:&quot;Rudolph&quot;,&quot;given&quot;:&quot;Michael&quot;,&quot;parse-names&quot;:false,&quot;dropping-particle&quot;:&quot;&quot;,&quot;non-dropping-particle&quot;:&quot;&quot;},{&quot;family&quot;:&quot;Schoppa&quot;,&quot;given&quot;:&quot;André&quot;,&quot;parse-names&quot;:false,&quot;dropping-particle&quot;:&quot;&quot;,&quot;non-dropping-particle&quot;:&quot;&quot;},{&quot;family&quot;:&quot;Szczepaniak&quot;,&quot;given&quot;:&quot;Mariusz&quot;,&quot;parse-names&quot;:false,&quot;dropping-particle&quot;:&quot;&quot;,&quot;non-dropping-particle&quot;:&quot;&quot;}],&quot;container-title&quot;:&quot;Fire Safety Journal&quot;,&quot;container-title-short&quot;:&quot;Fire Saf J&quot;,&quot;accessed&quot;:{&quot;date-parts&quot;:[[2024,9,10]]},&quot;DOI&quot;:&quot;10.1016/J.FIRESAF.2017.05.006&quot;,&quot;ISSN&quot;:&quot;0379-7112&quot;,&quot;issued&quot;:{&quot;date-parts&quot;:[[2017,7,1]]},&quot;page&quot;:&quot;989-996&quot;,&quot;abstract&quot;:&quot;Commercial, off-the shelf propane cylinders are subjected to high safety regulations. Furthermore, those cylinders are equipped with safety devices like pressure relief valves (PRV). Despite these regulations and safety measures, a failure of the container is possible if exposed to an intense fire. The result of this is severe hazard for users, rescue forces and infrastructure. Within the framework of a destructive test series, 15 identical propane cylinders, without pressure relief devices, were exposed to an intensive fire in horizontal position until failure. Each cylinder was filled with a mass of m =11 kg of liquid propane. Three different fire sources were used (wood, petrol, propane). The experiments revealed the failure of all cylinders in a time period t&lt;155 s. The failure lead to a fragmentation into several major parts with throwing distances of up to l =262 m. In all trials, the temperature of the cylinder wall (top, side, bottom), of the liquid phase inside and of the surrounding fire (top, side, bottom) was recorded. In addition, the inner cylinder pressure and the induced overpressure of the blast wave after the failure were recorded. Overpressures of up to p=0.27 bar were recorded close to the cylinder (l =5 m). All tests were documented by video from several positions (general view, close-up, high-speed 5000 fps). This test series creates the basis for further experimental studies in the field of alternative fuels for vehicles. The aim of this test series is to assess and analyse the consequences of the failure of gas vessels (for LPG, CNG, CGH2) in the aftermath of severe incidents.&quot;,&quot;publisher&quot;:&quot;Elsevier&quot;,&quot;volume&quot;:&quot;91&quot;},&quot;isTemporary&quot;:false},{&quot;id&quot;:&quot;13fb5e56-eb4b-33dd-955e-b8f8623011dc&quot;,&quot;itemData&quot;:{&quot;type&quot;:&quot;article-journal&quot;,&quot;id&quot;:&quot;13fb5e56-eb4b-33dd-955e-b8f8623011dc&quot;,&quot;title&quot;:&quot;Hazards from failure of CNG automotive cylinders in fire&quot;,&quot;author&quot;:[{&quot;family&quot;:&quot;Tschirschwitz&quot;,&quot;given&quot;:&quot;Rico&quot;,&quot;parse-names&quot;:false,&quot;dropping-particle&quot;:&quot;&quot;,&quot;non-dropping-particle&quot;:&quot;&quot;},{&quot;family&quot;:&quot;Krentel&quot;,&quot;given&quot;:&quot;Daniel&quot;,&quot;parse-names&quot;:false,&quot;dropping-particle&quot;:&quot;&quot;,&quot;non-dropping-particle&quot;:&quot;&quot;},{&quot;family&quot;:&quot;Kluge&quot;,&quot;given&quot;:&quot;Martin&quot;,&quot;parse-names&quot;:false,&quot;dropping-particle&quot;:&quot;&quot;,&quot;non-dropping-particle&quot;:&quot;&quot;},{&quot;family&quot;:&quot;Askar&quot;,&quot;given&quot;:&quot;Enis&quot;,&quot;parse-names&quot;:false,&quot;dropping-particle&quot;:&quot;&quot;,&quot;non-dropping-particle&quot;:&quot;&quot;},{&quot;family&quot;:&quot;Habib&quot;,&quot;given&quot;:&quot;Karim&quot;,&quot;parse-names&quot;:false,&quot;dropping-particle&quot;:&quot;&quot;,&quot;non-dropping-particle&quot;:&quot;&quot;},{&quot;family&quot;:&quot;Kohlhoff&quot;,&quot;given&quot;:&quot;Harald&quot;,&quot;parse-names&quot;:false,&quot;dropping-particle&quot;:&quot;&quot;,&quot;non-dropping-particle&quot;:&quot;&quot;},{&quot;family&quot;:&quot;Krüger&quot;,&quot;given&quot;:&quot;Simone&quot;,&quot;parse-names&quot;:false,&quot;dropping-particle&quot;:&quot;&quot;,&quot;non-dropping-particle&quot;:&quot;&quot;},{&quot;family&quot;:&quot;Neumann&quot;,&quot;given&quot;:&quot;Patrick P.&quot;,&quot;parse-names&quot;:false,&quot;dropping-particle&quot;:&quot;&quot;,&quot;non-dropping-particle&quot;:&quot;&quot;},{&quot;family&quot;:&quot;Rudolph&quot;,&quot;given&quot;:&quot;Michael&quot;,&quot;parse-names&quot;:false,&quot;dropping-particle&quot;:&quot;&quot;,&quot;non-dropping-particle&quot;:&quot;&quot;},{&quot;family&quot;:&quot;Schoppa&quot;,&quot;given&quot;:&quot;André&quot;,&quot;parse-names&quot;:false,&quot;dropping-particle&quot;:&quot;&quot;,&quot;non-dropping-particle&quot;:&quot;&quot;},{&quot;family&quot;:&quot;Storm&quot;,&quot;given&quot;:&quot;Sven Uwe&quot;,&quot;parse-names&quot;:false,&quot;dropping-particle&quot;:&quot;&quot;,&quot;non-dropping-particle&quot;:&quot;&quot;},{&quot;family&quot;:&quot;Szczepaniak&quot;,&quot;given&quot;:&quot;Mariusz&quot;,&quot;parse-names&quot;:false,&quot;dropping-particle&quot;:&quot;&quot;,&quot;non-dropping-particle&quot;:&quot;&quot;}],&quot;container-title&quot;:&quot;Journal of Hazardous Materials&quot;,&quot;container-title-short&quot;:&quot;J Hazard Mater&quot;,&quot;accessed&quot;:{&quot;date-parts&quot;:[[2024,9,10]]},&quot;DOI&quot;:&quot;10.1016/J.JHAZMAT.2018.12.026&quot;,&quot;ISSN&quot;:&quot;0304-3894&quot;,&quot;PMID&quot;:&quot;30583112&quot;,&quot;issued&quot;:{&quot;date-parts&quot;:[[2019,4,5]]},&quot;page&quot;:&quot;1-7&quot;,&quot;abstract&quot;:&quot;Compressed natural gas (CNG) is a widely used automotive fuel in a variety of countries. In case of a vehicle fire where the safety device also malfunctions, a failure of the CNG automotive cylinder could occur. Such a cylinder failure is associated with severe hazards for the surrounding environment. Firstly, a comprehensive analysis is given below, summarizing various accidents involving CNG automotive cylinders and their consequences. In an extensive experimental program, 21 CNG automotive cylinders with no safety device were tested. Of the 21, burst tests were carried out on 5 Type III and 5 Type IV cylinders. Furthermore, fire tests with 8 Type III and 3 Type IV cylinders were conducted. Apart from cylinder pressure, inner temperature and cylinder mantle temperature, the periphery consequences, such as nearfield blast pressure and fragmentation are documented. The maximum measured overpressure due to a Type III cylinder failure was p = 0.41 bar. Each traceable fragment was georeferenced. All-in-all, fragment throw distances of d &gt; 300 m could be observed. As one key result, it can be stated that the tested Type IV CNG cylinders showed less critical failure behavior then the Type III cylinders under fire impingement.&quot;,&quot;publisher&quot;:&quot;Elsevier&quot;,&quot;volume&quot;:&quot;367&quot;},&quot;isTemporary&quot;:false}]},{&quot;citationID&quot;:&quot;MENDELEY_CITATION_47d78ca4-a1d0-4e3f-8455-f8048582ba45&quot;,&quot;properties&quot;:{&quot;noteIndex&quot;:0},&quot;isEdited&quot;:false,&quot;manualOverride&quot;:{&quot;isManuallyOverridden&quot;:false,&quot;citeprocText&quot;:&quot;(Wang et al., 2023)&quot;,&quot;manualOverrideText&quot;:&quot;&quot;},&quot;citationTag&quot;:&quot;MENDELEY_CITATION_v3_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&quot;,&quot;citationItems&quot;:[{&quot;id&quot;:&quot;d2d3b844-7c28-3fc8-9d54-9682a179f987&quot;,&quot;itemData&quot;:{&quot;type&quot;:&quot;article-journal&quot;,&quot;id&quot;:&quot;d2d3b844-7c28-3fc8-9d54-9682a179f987&quot;,&quot;title&quot;:&quot;Explosion of high pressure hydrogen tank in fire: Mechanism, criterion, and consequence assessment&quot;,&quot;author&quot;:[{&quot;family&quot;:&quot;Wang&quot;,&quot;given&quot;:&quot;Xueying&quot;,&quot;parse-names&quot;:false,&quot;dropping-particle&quot;:&quot;&quot;,&quot;non-dropping-particle&quot;:&quot;&quot;},{&quot;family&quot;:&quot;Li&quot;,&quot;given&quot;:&quot;Bei&quot;,&quot;parse-names&quot;:false,&quot;dropping-particle&quot;:&quot;&quot;,&quot;non-dropping-particle&quot;:&quot;&quot;},{&quot;family&quot;:&quot;Han&quot;,&quot;given&quot;:&quot;Bing&quot;,&quot;parse-names&quot;:false,&quot;dropping-particle&quot;:&quot;&quot;,&quot;non-dropping-particle&quot;:&quot;&quot;},{&quot;family&quot;:&quot;Jin&quot;,&quot;given&quot;:&quot;Xin&quot;,&quot;parse-names&quot;:false,&quot;dropping-particle&quot;:&quot;&quot;,&quot;non-dropping-particle&quot;:&quot;&quot;},{&quot;family&quot;:&quot;Zhang&quot;,&quot;given&quot;:&quot;Dawei&quot;,&quot;parse-names&quot;:false,&quot;dropping-particle&quot;:&quot;&quot;,&quot;non-dropping-particle&quot;:&quot;&quot;},{&quot;family&quot;:&quot;Bi&quot;,&quot;given&quot;:&quot;Mingshu&quot;,&quot;parse-names&quot;:false,&quot;dropping-particle&quot;:&quot;&quot;,&quot;non-dropping-particle&quot;:&quot;&quot;}],&quot;container-title&quot;:&quot;Journal of Energy Storage&quot;,&quot;container-title-short&quot;:&quot;J Energy Storage&quot;,&quot;accessed&quot;:{&quot;date-parts&quot;:[[2024,6,27]]},&quot;DOI&quot;:&quot;10.1016/J.EST.2023.108455&quot;,&quot;ISSN&quot;:&quot;2352-152X&quot;,&quot;issued&quot;:{&quot;date-parts&quot;:[[2023,11,25]]},&quot;page&quot;:&quot;108455&quot;,&quot;abstract&quot;:&quot;This study published experimental data on the catastrophic rupture consequences of high-pressure hydrogen storage tanks in fire environments. It made up for the lack of actual explosion data for verification of the traditional theoretical prediction models and numerical simulations. To reveal the mechanism of high-pressure tank explosion and corresponding characteristics of hydrogen explosion, the fireball parameters, fragment characteristics, and blast wave attenuation patterns resulting from tank rupture were analyzed. The results indicated that the hazard of hydrogen storage tank explosion was coupled with the combined contribution of physical and chemical explosion energies. The failure pressure of a 6.8 L – 30 MPa tank under fire conditions decreased by 60.3 % compared to that at room temperature. Following tank explosion, the duration of hydrogen-air deflagration was only about 2 s, and the maximum diameter of the fireball was nearly 4.48 m. A portion of the mechanical energy generated by tank explosion was converted into the kinetic energy of projectile fragments, with the farthest discovered fragment distance reaching 46.0 m. Additionally, the measured peak overpressure decreased from 875.33 kPa to 7.52 kPa at distances ranging from 2 m to 15 m from the explosion source. To evaluate blast wave overpressure in high-pressure hydrogen tanks for engineering applications, a standardized and generalized procedure was innovatively proposed, and its effectiveness was validated by experimental data. Furthermore, the hazardous distances defined by the peak overpressure were utilized to delineate risk zones. The distances of 61.6 m and 17.3 m from the explosion source were identified as zones without injury to human and without damage to structures, respectively. The proposed methodology and the results of the experiments were of practical importance for ensuring the safety of high-pressure hydrogen storage systems in various applications.&quot;,&quot;publisher&quot;:&quot;Elsevier&quot;,&quot;volume&quot;:&quot;72&quot;},&quot;isTemporary&quot;:false,&quot;suppress-author&quot;:false,&quot;composite&quot;:false,&quot;author-only&quot;:false}]},{&quot;citationID&quot;:&quot;MENDELEY_CITATION_9137c182-a83e-4ac3-a874-02eab6f41065&quot;,&quot;properties&quot;:{&quot;noteIndex&quot;:0},&quot;isEdited&quot;:false,&quot;manualOverride&quot;:{&quot;isManuallyOverridden&quot;:false,&quot;citeprocText&quot;:&quot;(Hora et al., 2016)&quot;,&quot;manualOverrideText&quot;:&quot;&quot;},&quot;citationTag&quot;:&quot;MENDELEY_CITATION_v3_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&quot;,&quot;citationItems&quot;:[{&quot;id&quot;:&quot;2de770ca-f4fa-3ab4-b6d1-cd31c5442e82&quot;,&quot;itemData&quot;:{&quot;type&quot;:&quot;article-journal&quot;,&quot;id&quot;:&quot;2de770ca-f4fa-3ab4-b6d1-cd31c5442e82&quot;,&quot;title&quot;:&quot;Pressure cylinders under fire condition&quot;,&quot;author&quot;:[{&quot;family&quot;:&quot;Hora&quot;,&quot;given&quot;:&quot;Jan&quot;,&quot;parse-names&quot;:false,&quot;dropping-particle&quot;:&quot;&quot;,&quot;non-dropping-particle&quot;:&quot;&quot;},{&quot;family&quot;:&quot;Karl&quot;,&quot;given&quot;:&quot;Jan&quot;,&quot;parse-names&quot;:false,&quot;dropping-particle&quot;:&quot;&quot;,&quot;non-dropping-particle&quot;:&quot;&quot;},{&quot;family&quot;:&quot;Suchý&quot;,&quot;given&quot;:&quot;Ondřej&quot;,&quot;parse-names&quot;:false,&quot;dropping-particle&quot;:&quot;&quot;,&quot;non-dropping-particle&quot;:&quot;&quot;}],&quot;container-title&quot;:&quot;Perspectives in Science&quot;,&quot;container-title-short&quot;:&quot;Perspect Sci (Neth)&quot;,&quot;accessed&quot;:{&quot;date-parts&quot;:[[2024,12,14]]},&quot;DOI&quot;:&quot;10.1016/J.PISC.2015.11.035&quot;,&quot;ISSN&quot;:&quot;2213-0209&quot;,&quot;issued&quot;:{&quot;date-parts&quot;:[[2016,3,1]]},&quot;page&quot;:&quot;208-221&quot;,&quot;abstract&quot;:&quot;The presence of pressure cylinders under fire conditions significantly increases the risk rate for the intervening persons. It is considerably problematic to predict the pressure cylin- ders behaviour during heat exposition, its destruction progress and possible following explosion of the produced air—gas mixture because pressure cylinders and its environment generate a highly complicated dynamic system during an uncontrolled destruction. The large scale tests carried out by the Pilsen Fire and Rescue Department and the Rapid Response Unit of the Czech Republic Police in October 2012 and in May 2014 in the Military area Brdy and in the area of the former Lachema factory in Kaznˇ ejov had several objectives, namely, to record, qualify and quantify some of the aspects of an uncontrolled heat destruction procedure of an exposed pressure cylinder in an enclosed space and to qualify and describe the process of a controlled destruction of a pressure cylinder by shooting through it including basic tactical concepts. The article describes the experiments that were carried out.&quot;,&quot;publisher&quot;:&quot;Urban &amp; Fischer&quot;,&quot;volume&quot;:&quot;7&quot;},&quot;isTemporary&quot;:false}]},{&quot;citationID&quot;:&quot;MENDELEY_CITATION_0c16a2b3-29a5-4da4-9ea4-dc7660bb8a33&quot;,&quot;properties&quot;:{&quot;noteIndex&quot;:0},&quot;isEdited&quot;:false,&quot;manualOverride&quot;:{&quot;isManuallyOverridden&quot;:false,&quot;citeprocText&quot;:&quot;(Abbasi and Abbasi, 2011)&quot;,&quot;manualOverrideText&quot;:&quot;&quot;},&quot;citationTag&quot;:&quot;MENDELEY_CITATION_v3_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&quot;,&quot;citationItems&quot;:[{&quot;id&quot;:&quot;cf2a347f-9cbb-3886-8600-ba4fc97f2dba&quot;,&quot;itemData&quot;:{&quot;type&quot;:&quot;article-journal&quot;,&quot;id&quot;:&quot;cf2a347f-9cbb-3886-8600-ba4fc97f2dba&quot;,&quot;title&quot;:&quot;'Renewable' hydrogen: Prospects and challenges&quot;,&quot;author&quot;:[{&quot;family&quot;:&quot;Abbasi&quot;,&quot;given&quot;:&quot;Tasneem&quot;,&quot;parse-names&quot;:false,&quot;dropping-particle&quot;:&quot;&quot;,&quot;non-dropping-particle&quot;:&quot;&quot;},{&quot;family&quot;:&quot;Abbasi&quot;,&quot;given&quot;:&quot;S A&quot;,&quot;parse-names&quot;:false,&quot;dropping-particle&quot;:&quot;&quot;,&quot;non-dropping-particle&quot;:&quot;&quot;}],&quot;container-title&quot;:&quot;Renewable and Sustainable Energy Reviews&quot;,&quot;accessed&quot;:{&quot;date-parts&quot;:[[2023,8,23]]},&quot;DOI&quot;:&quot;10.1016/j.rser.2011.02.026&quot;,&quot;issued&quot;:{&quot;date-parts&quot;:[[2011]]},&quot;page&quot;:&quot;3034-3040&quot;,&quot;abstract&quot;:&quot;The increasingly manifest impacts of global warming have made it a global priority to phase out the use of petrol and diesel as transportation fuels in favour of hydrogen. But the production of hydrogen by most existing technologies entails substantial use of fossil fuels and CO 2 emissions; indeed as much as 2.5-5 tonnes of carbon is released as CO 2 per tonne of hydrogen currently produced by conventional means. Hence the production of hydrogen can be 'carbon-free' only if it is generated by employing genuinely carbon-free renewable energy sources. The present review deals with the options, prospects, and challenges associated with this very high-priority area of global concern.&quot;,&quot;volume&quot;:&quot;15&quot;,&quot;container-title-short&quot;:&quot;&quot;},&quot;isTemporary&quot;:false,&quot;suppress-author&quot;:false,&quot;composite&quot;:false,&quot;author-only&quot;:false}]},{&quot;citationID&quot;:&quot;MENDELEY_CITATION_4dafed2f-45fc-41c2-bf09-6dd615a713b4&quot;,&quot;properties&quot;:{&quot;noteIndex&quot;:0},&quot;isEdited&quot;:false,&quot;manualOverride&quot;:{&quot;isManuallyOverridden&quot;:false,&quot;citeprocText&quot;:&quot;(Usman, 2022)&quot;,&quot;manualOverrideText&quot;:&quot;&quot;},&quot;citationTag&quot;:&quot;MENDELEY_CITATION_v3_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&quot;,&quot;citationItems&quot;:[{&quot;id&quot;:&quot;57133725-f15d-3bcc-ad81-a446e9b94647&quot;,&quot;itemData&quot;:{&quot;type&quot;:&quot;article-journal&quot;,&quot;id&quot;:&quot;57133725-f15d-3bcc-ad81-a446e9b94647&quot;,&quot;title&quot;:&quot;Hydrogen storage methods: Review and current status&quot;,&quot;author&quot;:[{&quot;family&quot;:&quot;Usman&quot;,&quot;given&quot;:&quot;Muhammad R.&quot;,&quot;parse-names&quot;:false,&quot;dropping-particle&quot;:&quot;&quot;,&quot;non-dropping-particle&quot;:&quot;&quot;}],&quot;container-title&quot;:&quot;Renewable and Sustainable Energy Reviews&quot;,&quot;accessed&quot;:{&quot;date-parts&quot;:[[2024,6,27]]},&quot;DOI&quot;:&quot;10.1016/J.RSER.2022.112743&quot;,&quot;ISSN&quot;:&quot;1364-0321&quot;,&quot;issued&quot;:{&quot;date-parts&quot;:[[2022,10,1]]},&quot;page&quot;:&quot;112743&quot;,&quot;abstract&quot;:&quot;Fossil fuels comprising coal, crude oil, and natural gas are non-renewable and greatly harmful to the environment. Hydrogen, on the other hand, is both sustainable and environmentally friendly. However, due to its light weight and gaseous nature, it presents challenging problems of its storage, and the practical hydrogen storage is perhaps the biggest hurdle in the success of the hydrogen economy on a large scale. Hydrogen can be stored in a variety of physical and chemical methods. Each storage technique has its own advantages and disadvantages. It is the subject of this study to review the hydrogen storage strategies and to survey the recent developments in the field.&quot;,&quot;publisher&quot;:&quot;Pergamon&quot;,&quot;volume&quot;:&quot;167&quot;,&quot;container-title-short&quot;:&quot;&quot;},&quot;isTemporary&quot;:false}]},{&quot;citationID&quot;:&quot;MENDELEY_CITATION_d1dd2f6a-ea1e-4537-ae1c-0aef6e0844ce&quot;,&quot;properties&quot;:{&quot;noteIndex&quot;:0},&quot;isEdited&quot;:false,&quot;manualOverride&quot;:{&quot;isManuallyOverridden&quot;:false,&quot;citeprocText&quot;:&quot;(Barthelemy et al., 2017)&quot;,&quot;manualOverrideText&quot;:&quot;&quot;},&quot;citationTag&quot;:&quot;MENDELEY_CITATION_v3_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&quot;,&quot;citationItems&quot;:[{&quot;id&quot;:&quot;596f4f14-b085-3601-a989-e4d98838cad1&quot;,&quot;itemData&quot;:{&quot;type&quot;:&quot;article-journal&quot;,&quot;id&quot;:&quot;596f4f14-b085-3601-a989-e4d98838cad1&quot;,&quot;title&quot;:&quot;Hydrogen storage: Recent improvements and industrial perspectives&quot;,&quot;author&quot;:[{&quot;family&quot;:&quot;Barthelemy&quot;,&quot;given&quot;:&quot;H.&quot;,&quot;parse-names&quot;:false,&quot;dropping-particle&quot;:&quot;&quot;,&quot;non-dropping-particle&quot;:&quot;&quot;},{&quot;family&quot;:&quot;Weber&quot;,&quot;given&quot;:&quot;M.&quot;,&quot;parse-names&quot;:false,&quot;dropping-particle&quot;:&quot;&quot;,&quot;non-dropping-particle&quot;:&quot;&quot;},{&quot;family&quot;:&quot;Barbier&quot;,&quot;given&quot;:&quot;F.&quot;,&quot;parse-names&quot;:false,&quot;dropping-particle&quot;:&quot;&quot;,&quot;non-dropping-particle&quot;:&quot;&quot;}],&quot;container-title&quot;:&quot;International Journal of Hydrogen Energy&quot;,&quot;container-title-short&quot;:&quot;Int J Hydrogen Energy&quot;,&quot;accessed&quot;:{&quot;date-parts&quot;:[[2023,10,18]]},&quot;DOI&quot;:&quot;10.1016/J.IJHYDENE.2016.03.178&quot;,&quot;ISSN&quot;:&quot;0360-3199&quot;,&quot;issued&quot;:{&quot;date-parts&quot;:[[2017,3,16]]},&quot;page&quot;:&quot;7254-7262&quot;,&quot;abstract&quot;:&quot;Efficient storage of hydrogen is crucial for the success of hydrogen energy markets (early markets as well as transportation market). Hydrogen can be stored either as a compressed gas, a refrigerated liquefied gas, a cryo-compressed gas or in hydrides. This paper gives an overview of hydrogen storage technologies and details the specific issues and constraints related to the materials behaviour in hydrogen and conditions representative of hydrogen energy uses. It is indeed essential for the development of applications requiring long-term performance to have good understanding of long-term behaviour of the materials of the storage device and its components under operational loads.&quot;,&quot;publisher&quot;:&quot;Pergamon&quot;,&quot;issue&quot;:&quot;11&quot;,&quot;volume&quot;:&quot;42&quot;},&quot;isTemporary&quot;:false,&quot;suppress-author&quot;:false,&quot;composite&quot;:false,&quot;author-only&quot;:false}]},{&quot;citationID&quot;:&quot;MENDELEY_CITATION_aa1b9214-beca-4607-ae27-815f9bbe3d8f&quot;,&quot;properties&quot;:{&quot;noteIndex&quot;:0},&quot;isEdited&quot;:false,&quot;manualOverride&quot;:{&quot;isManuallyOverridden&quot;:false,&quot;citeprocText&quot;:&quot;(Abohamzeh et al., 2021; Saffers and Molkov, 2014; Ustolin et al., 2020)&quot;,&quot;manualOverrideText&quot;:&quot;&quot;},&quot;citationTag&quot;:&quot;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&quot;,&quot;citationItems&quot;:[{&quot;id&quot;:&quot;1da2b006-aaef-3e7a-99de-b46d71126077&quot;,&quot;itemData&quot;:{&quot;type&quot;:&quot;article-journal&quot;,&quot;id&quot;:&quot;1da2b006-aaef-3e7a-99de-b46d71126077&quot;,&quot;title&quot;:&quot;Hydrogen safety engineering framework and elementary design safety tools&quot;,&quot;author&quot;:[{&quot;family&quot;:&quot;Saffers&quot;,&quot;given&quot;:&quot;J. B.&quot;,&quot;parse-names&quot;:false,&quot;dropping-particle&quot;:&quot;&quot;,&quot;non-dropping-particle&quot;:&quot;&quot;},{&quot;family&quot;:&quot;Molkov&quot;,&quot;given&quot;:&quot;V.&quot;,&quot;parse-names&quot;:false,&quot;dropping-particle&quot;:&quot;V.&quot;,&quot;non-dropping-particle&quot;:&quot;&quot;}],&quot;container-title&quot;:&quot;International Journal of Hydrogen Energy&quot;,&quot;container-title-short&quot;:&quot;Int J Hydrogen Energy&quot;,&quot;accessed&quot;:{&quot;date-parts&quot;:[[2023,2,2]]},&quot;DOI&quot;:&quot;10.1016/J.IJHYDENE.2013.06.060&quot;,&quot;ISSN&quot;:&quot;03603199&quot;,&quot;issued&quot;:{&quot;date-parts&quot;:[[2014,4,4]]},&quot;page&quot;:&quot;6268-6285&quot;,&quot;abstract&quot;:&quot;The viability and public acceptance of Hydrogen and Fuel Cell (H2FC) systems and infrastructure depends on their robust safety engineering design and on education and training of the workforce, regulators and other stakeholders in the state-of-the-art in the field. This can be provided only through building up and maturity of the Hydrogen Safety Engineering (H2SE) profession. H2SE is defined as an application of scientific and engineering principles to the protection of life, property and environment from adverse effects of incidents/accidents involving hydrogen. This paper describes a design framework and overviews a structure and contents of elementary design safety tool for carrying out H2SE. The approach is similar to British Standard BS7974 for application of fire safety engineering to the design of buildings and has been expanded to reflect on specific hydrogen safety related phenomena, including but not limited to high pressure under-expanded leaks and dispersion, spontaneous ignition of sudden hydrogen releases to air, deflagrations and detonations, etc. The H2SE process includes three main steps. Firstly, a qualitative design review is undertaken by a team that can include owner, hydrogen safety engineer, architect, representatives of authorities having jurisdiction, e.g. fire services, and other stakeholders. The team defines accident scenarios, suggests trial safety designs, and formulates acceptance criteria. Secondly, a quantitative safety analysis of selected scenarios and trial designs is carried out by qualified hydrogen safety engineer(s) using the state-of-the-art knowledge in hydrogen safety science and engineering, and validated models and tools. Finally, the performance of trial safety designs of H2FC system and/or infrastructure is assessed against acceptance criteria predefined by the team. This performance-based methodology offers the flexibility to assess trial safety designs using separately or simultaneously three approaches: deterministic, comparative or probabilistic. © 2013, Hydrogen Energy Publications, LLC. Published by Elsevier Ltd. All rights reserved.&quot;,&quot;publisher&quot;:&quot;Elsevier Ltd&quot;,&quot;issue&quot;:&quot;11&quot;,&quot;volume&quot;:&quot;39&quot;},&quot;isTemporary&quot;:false},{&quot;id&quot;:&quot;65af48ae-cd10-3bd0-b878-72de102c790c&quot;,&quot;itemData&quot;:{&quot;type&quot;:&quot;article-journal&quot;,&quot;id&quot;:&quot;65af48ae-cd10-3bd0-b878-72de102c790c&quot;,&quot;title&quot;:&quot;Review of hydrogen safety during storage, transmission, and applications processes&quot;,&quot;author&quot;:[{&quot;family&quot;:&quot;Abohamzeh&quot;,&quot;given&quot;:&quot;Elham&quot;,&quot;parse-names&quot;:false,&quot;dropping-particle&quot;:&quot;&quot;,&quot;non-dropping-particle&quot;:&quot;&quot;},{&quot;family&quot;:&quot;Salehi&quot;,&quot;given&quot;:&quot;Fatemeh&quot;,&quot;parse-names&quot;:false,&quot;dropping-particle&quot;:&quot;&quot;,&quot;non-dropping-particle&quot;:&quot;&quot;},{&quot;family&quot;:&quot;Sheikholeslami&quot;,&quot;given&quot;:&quot;Mohsen&quot;,&quot;parse-names&quot;:false,&quot;dropping-particle&quot;:&quot;&quot;,&quot;non-dropping-particle&quot;:&quot;&quot;},{&quot;family&quot;:&quot;Abbassi&quot;,&quot;given&quot;:&quot;Rouzbeh&quot;,&quot;parse-names&quot;:false,&quot;dropping-particle&quot;:&quot;&quot;,&quot;non-dropping-particle&quot;:&quot;&quot;},{&quot;family&quot;:&quot;Khan&quot;,&quot;given&quot;:&quot;Faisal&quot;,&quot;parse-names&quot;:false,&quot;dropping-particle&quot;:&quot;&quot;,&quot;non-dropping-particle&quot;:&quot;&quot;}],&quot;container-title&quot;:&quot;Journal of Loss Prevention in the Process Industries&quot;,&quot;container-title-short&quot;:&quot;J Loss Prev Process Ind&quot;,&quot;accessed&quot;:{&quot;date-parts&quot;:[[2023,2,2]]},&quot;DOI&quot;:&quot;10.1016/J.JLP.2021.104569&quot;,&quot;ISSN&quot;:&quot;0950-4230&quot;,&quot;issued&quot;:{&quot;date-parts&quot;:[[2021,9,1]]},&quot;page&quot;:&quot;104569&quot;,&quot;abstract&quot;:&quot;Hydrogen is considered an excellent clean fuel with potential applications in several fields. There are serious safety concerns associated with the hydrogen process. These concerns need to be thoroughly understood and addressed to ensure its safe operation. To better understand the safety challenges of hydrogen use, application, and process, it is essential to undertake a detailed risk analysis. This can be achieved by performing detailed consequence modellings and assessing risk using the computational fluid dynamics (CFD) approach. This study comprehensively reviews and analyses safety challenges related to hydrogen, focusing on hydrogen storage, transmission, and application processes. Range of release and dispersion scenarios are investigated to analyse associated hazards. Approaches to quantitative risk assessment are also briefly discussed.&quot;,&quot;publisher&quot;:&quot;Elsevier&quot;,&quot;volume&quot;:&quot;72&quot;},&quot;isTemporary&quot;:false},{&quot;id&quot;:&quot;fc730646-74d5-3d59-9b25-0277d8e7c612&quot;,&quot;itemData&quot;:{&quot;type&quot;:&quot;article-journal&quot;,&quot;id&quot;:&quot;fc730646-74d5-3d59-9b25-0277d8e7c612&quot;,&quot;title&quot;:&quot;Loss of integrity of hydrogen technologies: A critical review&quot;,&quot;author&quot;:[{&quot;family&quot;:&quot;Ustolin&quot;,&quot;given&quot;:&quot;Federico&quot;,&quot;parse-names&quot;:false,&quot;dropping-particle&quot;:&quot;&quot;,&quot;non-dropping-particle&quot;:&quot;&quot;},{&quot;family&quot;:&quot;Paltrinieri&quot;,&quot;given&quot;:&quot;Nicola&quot;,&quot;parse-names&quot;:false,&quot;dropping-particle&quot;:&quot;&quot;,&quot;non-dropping-particle&quot;:&quot;&quot;},{&quot;family&quot;:&quot;Berto&quot;,&quot;given&quot;:&quot;Filippo&quot;,&quot;parse-names&quot;:false,&quot;dropping-particle&quot;:&quot;&quot;,&quot;non-dropping-particle&quot;:&quot;&quot;}],&quot;container-title&quot;:&quot;International Journal of Hydrogen Energy&quot;,&quot;container-title-short&quot;:&quot;Int J Hydrogen Energy&quot;,&quot;accessed&quot;:{&quot;date-parts&quot;:[[2023,1,26]]},&quot;DOI&quot;:&quot;10.1016/J.IJHYDENE.2020.06.021&quot;,&quot;ISSN&quot;:&quot;0360-3199&quot;,&quot;issued&quot;:{&quot;date-parts&quot;:[[2020,9,3]]},&quot;page&quot;:&quot;23809-23840&quot;,&quot;abstract&quot;:&quot;Hydrogen is one of the main candidates in replacing fossil fuels in the forthcoming years. However, hydrogen technologies must deal with safety aspects due to the specific substance properties. This study aims to provide an overview on the loss of integrity (LOI) of hydrogen equipment, which may lead to serious consequences, such as fires and explosions. Substantial information regarding the hydrogen lifecycle, its properties, and safety related aspects has gathered. Furthermore, focus has placed on the phenomena responsible for the LOI (e.g. hydrogen embrittlement) and material selection for hydrogen services. Moreover, a systematic review on the hydrogen LOI topic has conducted to identify and connect the most relevant and active research group within the topic. In conclusion, a significant dearth of knowledge in material behaviour of hydrogen technologies has highlighted. It is thought that is possible to bridge this gap by strengthening the collaborations between scientists from different research fields.&quot;,&quot;publisher&quot;:&quot;Pergamon&quot;,&quot;issue&quot;:&quot;43&quot;,&quot;volume&quot;:&quot;45&quot;},&quot;isTemporary&quot;:false}]}]"/>
    <we:property name="MENDELEY_CITATIONS_LOCALE_CODE" value="&quot;en-US&quot;"/>
    <we:property name="MENDELEY_CITATIONS_STYLE" value="{&quot;id&quot;:&quot;https://www.zotero.org/styles/elsevier-harvard&quot;,&quot;title&quot;:&quot;Elsevier - Harvard (with title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983C9-6D0A-480C-BF79-A63BD3D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6</Pages>
  <Words>3099</Words>
  <Characters>18285</Characters>
  <Application>Microsoft Office Word</Application>
  <DocSecurity>0</DocSecurity>
  <Lines>152</Lines>
  <Paragraphs>42</Paragraphs>
  <ScaleCrop>false</ScaleCrop>
  <HeadingPairs>
    <vt:vector size="6" baseType="variant">
      <vt:variant>
        <vt:lpstr>Název</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Jankuj Vojtech</cp:lastModifiedBy>
  <cp:revision>28</cp:revision>
  <cp:lastPrinted>2015-05-12T18:31:00Z</cp:lastPrinted>
  <dcterms:created xsi:type="dcterms:W3CDTF">2025-03-11T09:13:00Z</dcterms:created>
  <dcterms:modified xsi:type="dcterms:W3CDTF">2025-03-11T10:04:00Z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