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F00DD"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F03866" w:rsidRDefault="000D0268" w:rsidP="00CD5FE2">
            <w:pPr>
              <w:spacing w:line="140" w:lineRule="atLeast"/>
              <w:jc w:val="right"/>
              <w:rPr>
                <w:rFonts w:cs="Arial"/>
                <w:sz w:val="13"/>
                <w:szCs w:val="13"/>
                <w:lang w:val="da-DK"/>
              </w:rPr>
            </w:pPr>
            <w:r w:rsidRPr="00F03866">
              <w:rPr>
                <w:rFonts w:cs="Arial"/>
                <w:sz w:val="13"/>
                <w:szCs w:val="13"/>
                <w:lang w:val="da-DK"/>
              </w:rPr>
              <w:t>Online at www.cetjournal.it</w:t>
            </w:r>
          </w:p>
        </w:tc>
      </w:tr>
      <w:tr w:rsidR="000A03B2" w:rsidRPr="002F00DD" w14:paraId="2D1B7169" w14:textId="77777777" w:rsidTr="00DE264A">
        <w:trPr>
          <w:trHeight w:val="68"/>
          <w:jc w:val="center"/>
        </w:trPr>
        <w:tc>
          <w:tcPr>
            <w:tcW w:w="8789"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F03866" w:rsidRDefault="00AA7D26" w:rsidP="00AA7D26">
            <w:pPr>
              <w:tabs>
                <w:tab w:val="left" w:pos="-108"/>
              </w:tabs>
              <w:spacing w:line="140" w:lineRule="atLeast"/>
              <w:ind w:left="-107"/>
              <w:jc w:val="left"/>
              <w:rPr>
                <w:lang w:val="it-IT"/>
              </w:rPr>
            </w:pPr>
            <w:r w:rsidRPr="00F03866">
              <w:rPr>
                <w:rFonts w:ascii="Tahoma" w:hAnsi="Tahoma" w:cs="Tahoma"/>
                <w:iCs/>
                <w:color w:val="333333"/>
                <w:sz w:val="14"/>
                <w:szCs w:val="14"/>
                <w:lang w:val="it-IT" w:eastAsia="it-IT"/>
              </w:rPr>
              <w:t>Copyright © 202</w:t>
            </w:r>
            <w:r w:rsidR="00994C6A" w:rsidRPr="00F03866">
              <w:rPr>
                <w:rFonts w:ascii="Tahoma" w:hAnsi="Tahoma" w:cs="Tahoma"/>
                <w:iCs/>
                <w:color w:val="333333"/>
                <w:sz w:val="14"/>
                <w:szCs w:val="14"/>
                <w:lang w:val="it-IT" w:eastAsia="it-IT"/>
              </w:rPr>
              <w:t>5</w:t>
            </w:r>
            <w:r w:rsidRPr="00F03866">
              <w:rPr>
                <w:rFonts w:ascii="Tahoma" w:hAnsi="Tahoma" w:cs="Tahoma"/>
                <w:iCs/>
                <w:color w:val="333333"/>
                <w:sz w:val="14"/>
                <w:szCs w:val="14"/>
                <w:lang w:val="it-IT" w:eastAsia="it-IT"/>
              </w:rPr>
              <w:t>, AIDIC Servizi S.r.l.</w:t>
            </w:r>
            <w:r w:rsidRPr="00F03866">
              <w:rPr>
                <w:rFonts w:ascii="Tahoma" w:hAnsi="Tahoma" w:cs="Tahoma"/>
                <w:iCs/>
                <w:color w:val="333333"/>
                <w:sz w:val="14"/>
                <w:szCs w:val="14"/>
                <w:lang w:val="it-IT" w:eastAsia="it-IT"/>
              </w:rPr>
              <w:br/>
            </w:r>
            <w:r w:rsidRPr="00F03866">
              <w:rPr>
                <w:rFonts w:ascii="Tahoma" w:hAnsi="Tahoma" w:cs="Tahoma"/>
                <w:b/>
                <w:iCs/>
                <w:color w:val="000000"/>
                <w:sz w:val="14"/>
                <w:szCs w:val="14"/>
                <w:lang w:val="it-IT" w:eastAsia="it-IT"/>
              </w:rPr>
              <w:t>ISBN</w:t>
            </w:r>
            <w:r w:rsidRPr="00F03866">
              <w:rPr>
                <w:rFonts w:ascii="Tahoma" w:hAnsi="Tahoma" w:cs="Tahoma"/>
                <w:iCs/>
                <w:color w:val="000000"/>
                <w:sz w:val="14"/>
                <w:szCs w:val="14"/>
                <w:lang w:val="it-IT" w:eastAsia="it-IT"/>
              </w:rPr>
              <w:t xml:space="preserve"> </w:t>
            </w:r>
            <w:r w:rsidR="003B49CD" w:rsidRPr="00F03866">
              <w:rPr>
                <w:rFonts w:ascii="Tahoma" w:hAnsi="Tahoma" w:cs="Tahoma"/>
                <w:sz w:val="14"/>
                <w:szCs w:val="14"/>
                <w:lang w:val="it-IT"/>
              </w:rPr>
              <w:t>979-12-81206-</w:t>
            </w:r>
            <w:r w:rsidR="00F27EE4" w:rsidRPr="00F03866">
              <w:rPr>
                <w:rFonts w:ascii="Tahoma" w:hAnsi="Tahoma" w:cs="Tahoma"/>
                <w:sz w:val="14"/>
                <w:szCs w:val="14"/>
                <w:lang w:val="it-IT"/>
              </w:rPr>
              <w:t>xx-y</w:t>
            </w:r>
            <w:r w:rsidRPr="00F03866">
              <w:rPr>
                <w:rFonts w:ascii="Tahoma" w:hAnsi="Tahoma" w:cs="Tahoma"/>
                <w:iCs/>
                <w:color w:val="333333"/>
                <w:sz w:val="14"/>
                <w:szCs w:val="14"/>
                <w:lang w:val="it-IT" w:eastAsia="it-IT"/>
              </w:rPr>
              <w:t xml:space="preserve">; </w:t>
            </w:r>
            <w:r w:rsidRPr="00F03866">
              <w:rPr>
                <w:rFonts w:ascii="Tahoma" w:hAnsi="Tahoma" w:cs="Tahoma"/>
                <w:b/>
                <w:iCs/>
                <w:color w:val="333333"/>
                <w:sz w:val="14"/>
                <w:szCs w:val="14"/>
                <w:lang w:val="it-IT" w:eastAsia="it-IT"/>
              </w:rPr>
              <w:t>ISSN</w:t>
            </w:r>
            <w:r w:rsidRPr="00F03866">
              <w:rPr>
                <w:rFonts w:ascii="Tahoma" w:hAnsi="Tahoma" w:cs="Tahoma"/>
                <w:iCs/>
                <w:color w:val="333333"/>
                <w:sz w:val="14"/>
                <w:szCs w:val="14"/>
                <w:lang w:val="it-IT" w:eastAsia="it-IT"/>
              </w:rPr>
              <w:t xml:space="preserve"> 2283-9216</w:t>
            </w:r>
          </w:p>
        </w:tc>
      </w:tr>
    </w:tbl>
    <w:bookmarkEnd w:id="0"/>
    <w:p w14:paraId="2E667253" w14:textId="55FDF1EA" w:rsidR="00E978D0" w:rsidRPr="00B57B36" w:rsidRDefault="00F03866" w:rsidP="00E978D0">
      <w:pPr>
        <w:pStyle w:val="CETTitle"/>
      </w:pPr>
      <w:r>
        <w:t xml:space="preserve">Assessment of </w:t>
      </w:r>
      <w:r w:rsidR="00B9794D">
        <w:t>In</w:t>
      </w:r>
      <w:r>
        <w:t xml:space="preserve">tegrated </w:t>
      </w:r>
      <w:r w:rsidR="00B9794D">
        <w:t>S</w:t>
      </w:r>
      <w:r>
        <w:t>afety</w:t>
      </w:r>
      <w:r w:rsidR="00B9794D">
        <w:t>-S</w:t>
      </w:r>
      <w:r>
        <w:t xml:space="preserve">ecurity </w:t>
      </w:r>
      <w:r w:rsidR="00B9794D">
        <w:t>B</w:t>
      </w:r>
      <w:r>
        <w:t xml:space="preserve">arriers </w:t>
      </w:r>
      <w:r w:rsidR="00B9794D">
        <w:t>P</w:t>
      </w:r>
      <w:r>
        <w:t xml:space="preserve">erformance to </w:t>
      </w:r>
      <w:r w:rsidR="00B9794D">
        <w:t>S</w:t>
      </w:r>
      <w:r>
        <w:t xml:space="preserve">upport the </w:t>
      </w:r>
      <w:r w:rsidR="00B9794D">
        <w:t>M</w:t>
      </w:r>
      <w:r>
        <w:t xml:space="preserve">anagement of </w:t>
      </w:r>
      <w:r w:rsidR="00B9794D">
        <w:t>I</w:t>
      </w:r>
      <w:r>
        <w:t xml:space="preserve">ndustrial </w:t>
      </w:r>
      <w:r w:rsidR="00B9794D">
        <w:t>I</w:t>
      </w:r>
      <w:r>
        <w:t>nstallations</w:t>
      </w:r>
    </w:p>
    <w:p w14:paraId="0488FED2" w14:textId="22956C6E" w:rsidR="00B57E6F" w:rsidRPr="00CB6940" w:rsidRDefault="00F03866" w:rsidP="00B57E6F">
      <w:pPr>
        <w:pStyle w:val="CETAuthors"/>
        <w:rPr>
          <w:lang w:val="it-IT"/>
        </w:rPr>
      </w:pPr>
      <w:r w:rsidRPr="00CB6940">
        <w:rPr>
          <w:lang w:val="it-IT"/>
        </w:rPr>
        <w:t>Valeria Casson Moreno</w:t>
      </w:r>
      <w:r w:rsidR="00B57E6F" w:rsidRPr="00CB6940">
        <w:rPr>
          <w:vertAlign w:val="superscript"/>
          <w:lang w:val="it-IT"/>
        </w:rPr>
        <w:t>a</w:t>
      </w:r>
      <w:r w:rsidR="00B57E6F" w:rsidRPr="00CB6940">
        <w:rPr>
          <w:lang w:val="it-IT"/>
        </w:rPr>
        <w:t xml:space="preserve">, </w:t>
      </w:r>
      <w:r w:rsidR="00B87C14" w:rsidRPr="00CB6940">
        <w:rPr>
          <w:lang w:val="it-IT"/>
        </w:rPr>
        <w:t>Giulia Marroni</w:t>
      </w:r>
      <w:r w:rsidR="00B87C14" w:rsidRPr="00CB6940">
        <w:rPr>
          <w:vertAlign w:val="superscript"/>
          <w:lang w:val="it-IT"/>
        </w:rPr>
        <w:t>a</w:t>
      </w:r>
      <w:r w:rsidR="00B87C14" w:rsidRPr="00CB6940">
        <w:rPr>
          <w:lang w:val="it-IT"/>
        </w:rPr>
        <w:t>, Michela Guarguaglini</w:t>
      </w:r>
      <w:r w:rsidR="00B87C14" w:rsidRPr="00CB6940">
        <w:rPr>
          <w:vertAlign w:val="superscript"/>
          <w:lang w:val="it-IT"/>
        </w:rPr>
        <w:t>a</w:t>
      </w:r>
      <w:r w:rsidR="00B87C14" w:rsidRPr="00CB6940">
        <w:rPr>
          <w:lang w:val="it-IT"/>
        </w:rPr>
        <w:t xml:space="preserve">, </w:t>
      </w:r>
      <w:r w:rsidR="00BD03B6" w:rsidRPr="00CB6940">
        <w:rPr>
          <w:lang w:val="it-IT"/>
        </w:rPr>
        <w:t>Sanneke Kuipers</w:t>
      </w:r>
      <w:r w:rsidR="00BD03B6" w:rsidRPr="00CB6940">
        <w:rPr>
          <w:vertAlign w:val="superscript"/>
          <w:lang w:val="it-IT"/>
        </w:rPr>
        <w:t>b</w:t>
      </w:r>
      <w:r w:rsidR="00BD03B6" w:rsidRPr="00CB6940">
        <w:rPr>
          <w:lang w:val="it-IT"/>
        </w:rPr>
        <w:t xml:space="preserve">, </w:t>
      </w:r>
      <w:r w:rsidR="00B87C14" w:rsidRPr="00CB6940">
        <w:rPr>
          <w:lang w:val="it-IT"/>
        </w:rPr>
        <w:t>Gabriele Landucci</w:t>
      </w:r>
      <w:r w:rsidRPr="00CB6940">
        <w:rPr>
          <w:vertAlign w:val="superscript"/>
          <w:lang w:val="it-IT"/>
        </w:rPr>
        <w:t>a</w:t>
      </w:r>
      <w:r w:rsidR="00B57E6F" w:rsidRPr="00CB6940">
        <w:rPr>
          <w:vertAlign w:val="superscript"/>
          <w:lang w:val="it-IT"/>
        </w:rPr>
        <w:t>,</w:t>
      </w:r>
      <w:r w:rsidR="00B87C14" w:rsidRPr="00CB6940">
        <w:rPr>
          <w:lang w:val="it-IT"/>
        </w:rPr>
        <w:t>*</w:t>
      </w:r>
    </w:p>
    <w:p w14:paraId="6B2D21B3" w14:textId="766D6C74" w:rsidR="00B57E6F" w:rsidRPr="00B57B36" w:rsidRDefault="00B57E6F" w:rsidP="00B57E6F">
      <w:pPr>
        <w:pStyle w:val="CETAddress"/>
      </w:pPr>
      <w:r w:rsidRPr="00B57B36">
        <w:rPr>
          <w:vertAlign w:val="superscript"/>
        </w:rPr>
        <w:t>a</w:t>
      </w:r>
      <w:r w:rsidR="00BD03B6" w:rsidRPr="00BD03B6">
        <w:t>Department of Civil and Industrial Engineering – University of Pisa, Largo Lucio Lazzarino n.2, 56126 Pisa (Italy</w:t>
      </w:r>
      <w:r w:rsidR="00BD03B6">
        <w:t>)</w:t>
      </w:r>
    </w:p>
    <w:p w14:paraId="3D72B0B0" w14:textId="11364A13" w:rsidR="00B57E6F" w:rsidRPr="00B57B36" w:rsidRDefault="00B57E6F" w:rsidP="00B57E6F">
      <w:pPr>
        <w:pStyle w:val="CETAddress"/>
      </w:pPr>
      <w:r w:rsidRPr="00B57B36">
        <w:rPr>
          <w:vertAlign w:val="superscript"/>
        </w:rPr>
        <w:t>b</w:t>
      </w:r>
      <w:r w:rsidR="0017266C" w:rsidRPr="0017266C">
        <w:t>Institute of Security and Global Affairs, Leiden University, Turfmarkt n.99, 2511 DP Den Haag, the Netherlands</w:t>
      </w:r>
    </w:p>
    <w:p w14:paraId="73F1267A" w14:textId="3ACC8446" w:rsidR="00B57E6F" w:rsidRPr="00CB6940" w:rsidRDefault="0017266C" w:rsidP="00B57E6F">
      <w:pPr>
        <w:pStyle w:val="CETemail"/>
        <w:rPr>
          <w:lang w:val="en-US"/>
        </w:rPr>
      </w:pPr>
      <w:r w:rsidRPr="00CB6940">
        <w:rPr>
          <w:lang w:val="en-US"/>
        </w:rPr>
        <w:t>gabriele.landucci@unipi.it</w:t>
      </w:r>
    </w:p>
    <w:p w14:paraId="6F032BDB" w14:textId="096E9750" w:rsidR="00CB6940" w:rsidRPr="00B57B36" w:rsidRDefault="00CB6940" w:rsidP="00600535">
      <w:pPr>
        <w:pStyle w:val="CETBodytext"/>
        <w:rPr>
          <w:lang w:val="en-GB"/>
        </w:rPr>
      </w:pPr>
      <w:bookmarkStart w:id="1" w:name="_Hlk495475023"/>
      <w:r w:rsidRPr="00CB6940">
        <w:rPr>
          <w:lang w:val="en-GB"/>
        </w:rPr>
        <w:t xml:space="preserve">The assessment of accident scenarios linked to intentional attacks on chemical and process facilities has gained significant attention due to escalating conflicts in critical contexts. </w:t>
      </w:r>
      <w:r w:rsidR="00F527D9">
        <w:rPr>
          <w:lang w:val="en-GB"/>
        </w:rPr>
        <w:t>T</w:t>
      </w:r>
      <w:r w:rsidR="00352945">
        <w:rPr>
          <w:lang w:val="en-GB"/>
        </w:rPr>
        <w:t xml:space="preserve">his work </w:t>
      </w:r>
      <w:r w:rsidR="00F527D9">
        <w:rPr>
          <w:lang w:val="en-GB"/>
        </w:rPr>
        <w:t>presents</w:t>
      </w:r>
      <w:r w:rsidR="00352945">
        <w:rPr>
          <w:lang w:val="en-GB"/>
        </w:rPr>
        <w:t xml:space="preserve"> a methodology for the quantitative integration of </w:t>
      </w:r>
      <w:r w:rsidRPr="00CB6940">
        <w:rPr>
          <w:lang w:val="en-GB"/>
        </w:rPr>
        <w:t xml:space="preserve">safety and security aspects within the </w:t>
      </w:r>
      <w:r w:rsidR="00220CDF">
        <w:rPr>
          <w:lang w:val="en-GB"/>
        </w:rPr>
        <w:t>E</w:t>
      </w:r>
      <w:r w:rsidR="0002022E">
        <w:rPr>
          <w:lang w:val="en-GB"/>
        </w:rPr>
        <w:t xml:space="preserve">vent </w:t>
      </w:r>
      <w:r w:rsidR="00220CDF">
        <w:rPr>
          <w:lang w:val="en-GB"/>
        </w:rPr>
        <w:t>T</w:t>
      </w:r>
      <w:r w:rsidR="0002022E">
        <w:rPr>
          <w:lang w:val="en-GB"/>
        </w:rPr>
        <w:t>ree</w:t>
      </w:r>
      <w:r w:rsidRPr="00CB6940">
        <w:rPr>
          <w:lang w:val="en-GB"/>
        </w:rPr>
        <w:t xml:space="preserve"> </w:t>
      </w:r>
      <w:r w:rsidR="00220CDF">
        <w:rPr>
          <w:lang w:val="en-GB"/>
        </w:rPr>
        <w:t>A</w:t>
      </w:r>
      <w:r w:rsidRPr="00CB6940">
        <w:rPr>
          <w:lang w:val="en-GB"/>
        </w:rPr>
        <w:t>nalysis</w:t>
      </w:r>
      <w:r w:rsidR="00220CDF">
        <w:rPr>
          <w:lang w:val="en-GB"/>
        </w:rPr>
        <w:t xml:space="preserve"> (ETA)</w:t>
      </w:r>
      <w:r w:rsidRPr="00CB6940">
        <w:rPr>
          <w:lang w:val="en-GB"/>
        </w:rPr>
        <w:t xml:space="preserve">, a widely used tool in Quantitative Risk Assessment (QRA). </w:t>
      </w:r>
      <w:r w:rsidR="00D02775">
        <w:rPr>
          <w:lang w:val="en-GB"/>
        </w:rPr>
        <w:t>Firstly, the conceptual framework</w:t>
      </w:r>
      <w:r w:rsidR="00DE729F">
        <w:rPr>
          <w:lang w:val="en-GB"/>
        </w:rPr>
        <w:t xml:space="preserve"> is established: </w:t>
      </w:r>
      <w:r w:rsidR="0079674A">
        <w:rPr>
          <w:lang w:val="en-GB"/>
        </w:rPr>
        <w:t>safety and security barriers are identified, and classified based on the functions and working principles. Then,</w:t>
      </w:r>
      <w:r w:rsidR="00AE56D1">
        <w:rPr>
          <w:lang w:val="en-GB"/>
        </w:rPr>
        <w:t xml:space="preserve"> the performance of the barriers is studied in terms of availability and efficiency. This support the incorporation of the barriers </w:t>
      </w:r>
      <w:r w:rsidRPr="00CB6940">
        <w:rPr>
          <w:lang w:val="en-GB"/>
        </w:rPr>
        <w:t xml:space="preserve">into </w:t>
      </w:r>
      <w:r w:rsidR="0047074B">
        <w:rPr>
          <w:lang w:val="en-GB"/>
        </w:rPr>
        <w:t xml:space="preserve">the </w:t>
      </w:r>
      <w:r w:rsidR="00E82892">
        <w:rPr>
          <w:lang w:val="en-GB"/>
        </w:rPr>
        <w:t>ETA</w:t>
      </w:r>
      <w:r w:rsidRPr="00CB6940">
        <w:rPr>
          <w:lang w:val="en-GB"/>
        </w:rPr>
        <w:t xml:space="preserve"> using tailored decisional gates</w:t>
      </w:r>
      <w:r w:rsidR="0047074B">
        <w:rPr>
          <w:lang w:val="en-GB"/>
        </w:rPr>
        <w:t xml:space="preserve"> and quantifying the probability of escalation due to external attacks</w:t>
      </w:r>
      <w:r w:rsidRPr="00CB6940">
        <w:rPr>
          <w:lang w:val="en-GB"/>
        </w:rPr>
        <w:t xml:space="preserve">. The application </w:t>
      </w:r>
      <w:r w:rsidR="00FE6C91">
        <w:rPr>
          <w:lang w:val="en-GB"/>
        </w:rPr>
        <w:t xml:space="preserve">of the methodology </w:t>
      </w:r>
      <w:r w:rsidRPr="00CB6940">
        <w:rPr>
          <w:lang w:val="en-GB"/>
        </w:rPr>
        <w:t xml:space="preserve">to a </w:t>
      </w:r>
      <w:r w:rsidR="00FE6C91">
        <w:rPr>
          <w:lang w:val="en-GB"/>
        </w:rPr>
        <w:t xml:space="preserve">demonstration </w:t>
      </w:r>
      <w:r w:rsidRPr="00CB6940">
        <w:rPr>
          <w:lang w:val="en-GB"/>
        </w:rPr>
        <w:t xml:space="preserve">case study </w:t>
      </w:r>
      <w:r w:rsidR="00FE6C91">
        <w:rPr>
          <w:lang w:val="en-GB"/>
        </w:rPr>
        <w:t xml:space="preserve">next shows </w:t>
      </w:r>
      <w:r w:rsidRPr="00CB6940">
        <w:rPr>
          <w:lang w:val="en-GB"/>
        </w:rPr>
        <w:t xml:space="preserve">its potential: safety barriers effectively mitigate the escalation probability of intentional attacks, reducing plant vulnerability and providing a clearer understanding of facility criticalities. The proposed methodology can seamlessly integrate into existing QRA studies, offering a unified framework to enhance </w:t>
      </w:r>
      <w:r w:rsidR="00772432">
        <w:rPr>
          <w:lang w:val="en-GB"/>
        </w:rPr>
        <w:t xml:space="preserve">risk-based </w:t>
      </w:r>
      <w:r w:rsidRPr="00CB6940">
        <w:rPr>
          <w:lang w:val="en-GB"/>
        </w:rPr>
        <w:t>decision-making and resource allocation.</w:t>
      </w:r>
    </w:p>
    <w:bookmarkEnd w:id="1"/>
    <w:p w14:paraId="476B2F2E" w14:textId="52B36035" w:rsidR="00600535" w:rsidRPr="00B57B36" w:rsidRDefault="00600535" w:rsidP="00600535">
      <w:pPr>
        <w:pStyle w:val="CETHeading1"/>
        <w:rPr>
          <w:lang w:val="en-GB"/>
        </w:rPr>
      </w:pPr>
      <w:r w:rsidRPr="00B57B36">
        <w:rPr>
          <w:lang w:val="en-GB"/>
        </w:rPr>
        <w:t>Introduction</w:t>
      </w:r>
    </w:p>
    <w:p w14:paraId="7AE3D143" w14:textId="5E34CC37" w:rsidR="005865F2" w:rsidRPr="002D3EDC" w:rsidRDefault="005865F2" w:rsidP="005865F2">
      <w:pPr>
        <w:pStyle w:val="CETBodytext"/>
        <w:rPr>
          <w:lang w:val="en-GB"/>
        </w:rPr>
      </w:pPr>
      <w:r w:rsidRPr="005865F2">
        <w:rPr>
          <w:lang w:val="en-GB"/>
        </w:rPr>
        <w:t xml:space="preserve">In recent years, the </w:t>
      </w:r>
      <w:r w:rsidR="00225FED">
        <w:rPr>
          <w:lang w:val="en-GB"/>
        </w:rPr>
        <w:t>protection</w:t>
      </w:r>
      <w:r w:rsidRPr="005865F2">
        <w:rPr>
          <w:lang w:val="en-GB"/>
        </w:rPr>
        <w:t xml:space="preserve"> of chemical and process plants </w:t>
      </w:r>
      <w:r w:rsidR="00225FED">
        <w:rPr>
          <w:lang w:val="en-GB"/>
        </w:rPr>
        <w:t xml:space="preserve">from intentional attacks </w:t>
      </w:r>
      <w:r w:rsidRPr="005865F2">
        <w:rPr>
          <w:lang w:val="en-GB"/>
        </w:rPr>
        <w:t>has garnered significant attention from researchers</w:t>
      </w:r>
      <w:r w:rsidR="00C4481B">
        <w:rPr>
          <w:lang w:val="en-GB"/>
        </w:rPr>
        <w:t xml:space="preserve">, </w:t>
      </w:r>
      <w:r w:rsidRPr="005865F2">
        <w:rPr>
          <w:lang w:val="en-GB"/>
        </w:rPr>
        <w:t>institutions</w:t>
      </w:r>
      <w:r w:rsidR="00C4481B">
        <w:rPr>
          <w:lang w:val="en-GB"/>
        </w:rPr>
        <w:t>, and the industry</w:t>
      </w:r>
      <w:r w:rsidR="008221B2">
        <w:rPr>
          <w:lang w:val="en-GB"/>
        </w:rPr>
        <w:t xml:space="preserve">. Namely, </w:t>
      </w:r>
      <w:r w:rsidRPr="005865F2">
        <w:rPr>
          <w:lang w:val="en-GB"/>
        </w:rPr>
        <w:t xml:space="preserve">plants storing and processing hazardous chemicals </w:t>
      </w:r>
      <w:r w:rsidR="0051500D">
        <w:rPr>
          <w:lang w:val="en-GB"/>
        </w:rPr>
        <w:t>are shown to be attractive t</w:t>
      </w:r>
      <w:r w:rsidRPr="005865F2">
        <w:rPr>
          <w:lang w:val="en-GB"/>
        </w:rPr>
        <w:t>argets of intentional attacks</w:t>
      </w:r>
      <w:r w:rsidR="0051500D">
        <w:rPr>
          <w:lang w:val="en-GB"/>
        </w:rPr>
        <w:t xml:space="preserve"> </w:t>
      </w:r>
      <w:r w:rsidRPr="004603D7">
        <w:rPr>
          <w:lang w:val="en-GB"/>
        </w:rPr>
        <w:t>(</w:t>
      </w:r>
      <w:proofErr w:type="spellStart"/>
      <w:r w:rsidRPr="004603D7">
        <w:rPr>
          <w:lang w:val="en-GB"/>
        </w:rPr>
        <w:t>Iaiani</w:t>
      </w:r>
      <w:proofErr w:type="spellEnd"/>
      <w:r w:rsidRPr="004603D7">
        <w:rPr>
          <w:lang w:val="en-GB"/>
        </w:rPr>
        <w:t xml:space="preserve"> et al., 202</w:t>
      </w:r>
      <w:r w:rsidR="00E1677A" w:rsidRPr="004603D7">
        <w:rPr>
          <w:lang w:val="en-GB"/>
        </w:rPr>
        <w:t>2</w:t>
      </w:r>
      <w:r w:rsidRPr="004603D7">
        <w:rPr>
          <w:lang w:val="en-GB"/>
        </w:rPr>
        <w:t>).</w:t>
      </w:r>
      <w:r w:rsidRPr="005865F2">
        <w:rPr>
          <w:lang w:val="en-GB"/>
        </w:rPr>
        <w:t xml:space="preserve"> </w:t>
      </w:r>
      <w:r w:rsidR="000C2006">
        <w:rPr>
          <w:lang w:val="en-GB"/>
        </w:rPr>
        <w:t>T</w:t>
      </w:r>
      <w:r w:rsidRPr="005865F2">
        <w:rPr>
          <w:lang w:val="en-GB"/>
        </w:rPr>
        <w:t xml:space="preserve">he intentionality of actions is </w:t>
      </w:r>
      <w:r w:rsidR="00BD6A3F">
        <w:rPr>
          <w:lang w:val="en-GB"/>
        </w:rPr>
        <w:t>essential</w:t>
      </w:r>
      <w:r w:rsidRPr="005865F2">
        <w:rPr>
          <w:lang w:val="en-GB"/>
        </w:rPr>
        <w:t xml:space="preserve"> to security science,</w:t>
      </w:r>
      <w:r w:rsidR="000C2006">
        <w:rPr>
          <w:lang w:val="en-GB"/>
        </w:rPr>
        <w:t xml:space="preserve"> but the discipline</w:t>
      </w:r>
      <w:r w:rsidR="004A7746">
        <w:rPr>
          <w:lang w:val="en-GB"/>
        </w:rPr>
        <w:t xml:space="preserve"> is also linked to </w:t>
      </w:r>
      <w:r w:rsidRPr="005865F2">
        <w:rPr>
          <w:lang w:val="en-GB"/>
        </w:rPr>
        <w:t xml:space="preserve">conventional </w:t>
      </w:r>
      <w:r w:rsidR="004A7746">
        <w:rPr>
          <w:lang w:val="en-GB"/>
        </w:rPr>
        <w:t>process safety</w:t>
      </w:r>
      <w:r w:rsidRPr="005865F2">
        <w:rPr>
          <w:lang w:val="en-GB"/>
        </w:rPr>
        <w:t>, as safety barriers can</w:t>
      </w:r>
      <w:r w:rsidR="00761E06">
        <w:rPr>
          <w:lang w:val="en-GB"/>
        </w:rPr>
        <w:t xml:space="preserve"> </w:t>
      </w:r>
      <w:r w:rsidRPr="005865F2">
        <w:rPr>
          <w:lang w:val="en-GB"/>
        </w:rPr>
        <w:t xml:space="preserve">play a crucial role in </w:t>
      </w:r>
      <w:r w:rsidR="00693836">
        <w:rPr>
          <w:lang w:val="en-GB"/>
        </w:rPr>
        <w:t xml:space="preserve">preventing and/or </w:t>
      </w:r>
      <w:r w:rsidRPr="005865F2">
        <w:rPr>
          <w:lang w:val="en-GB"/>
        </w:rPr>
        <w:t xml:space="preserve">mitigating security risks. </w:t>
      </w:r>
      <w:r w:rsidR="00832684">
        <w:rPr>
          <w:lang w:val="en-GB"/>
        </w:rPr>
        <w:t>Additional</w:t>
      </w:r>
      <w:r w:rsidR="00FC35F9">
        <w:rPr>
          <w:lang w:val="en-GB"/>
        </w:rPr>
        <w:t>l</w:t>
      </w:r>
      <w:r w:rsidR="00832684">
        <w:rPr>
          <w:lang w:val="en-GB"/>
        </w:rPr>
        <w:t>y</w:t>
      </w:r>
      <w:r w:rsidR="00761E06">
        <w:rPr>
          <w:lang w:val="en-GB"/>
        </w:rPr>
        <w:t>, a</w:t>
      </w:r>
      <w:r w:rsidRPr="005865F2">
        <w:rPr>
          <w:lang w:val="en-GB"/>
        </w:rPr>
        <w:t xml:space="preserve">ccidental scenarios resulting from both unintentional and intentional events can escalate, creating cascading effects that amplify consequences and </w:t>
      </w:r>
      <w:r w:rsidR="00FC35F9">
        <w:rPr>
          <w:lang w:val="en-GB"/>
        </w:rPr>
        <w:t xml:space="preserve">could severely </w:t>
      </w:r>
      <w:r w:rsidRPr="005865F2">
        <w:rPr>
          <w:lang w:val="en-GB"/>
        </w:rPr>
        <w:t xml:space="preserve">impact people, assets, and the environment. </w:t>
      </w:r>
      <w:r w:rsidR="00761E06">
        <w:rPr>
          <w:lang w:val="en-GB"/>
        </w:rPr>
        <w:t xml:space="preserve">For this reason, </w:t>
      </w:r>
      <w:r w:rsidR="00FC35F9">
        <w:rPr>
          <w:lang w:val="en-GB"/>
        </w:rPr>
        <w:t xml:space="preserve">the integration of </w:t>
      </w:r>
      <w:r w:rsidRPr="005865F2">
        <w:rPr>
          <w:lang w:val="en-GB"/>
        </w:rPr>
        <w:t xml:space="preserve">safety and security is essential to </w:t>
      </w:r>
      <w:r w:rsidR="00FC35F9">
        <w:rPr>
          <w:lang w:val="en-GB"/>
        </w:rPr>
        <w:t xml:space="preserve">understand, </w:t>
      </w:r>
      <w:r w:rsidRPr="005865F2">
        <w:rPr>
          <w:lang w:val="en-GB"/>
        </w:rPr>
        <w:t xml:space="preserve">model and manage </w:t>
      </w:r>
      <w:r w:rsidRPr="002D3EDC">
        <w:rPr>
          <w:lang w:val="en-GB"/>
        </w:rPr>
        <w:t>cascading effects in process facilities</w:t>
      </w:r>
      <w:r w:rsidR="00EB15A2" w:rsidRPr="002D3EDC">
        <w:rPr>
          <w:lang w:val="en-GB"/>
        </w:rPr>
        <w:t>.</w:t>
      </w:r>
    </w:p>
    <w:p w14:paraId="7D1481D8" w14:textId="31C2369E" w:rsidR="00680AE5" w:rsidRDefault="005865F2" w:rsidP="005865F2">
      <w:pPr>
        <w:pStyle w:val="CETBodytext"/>
        <w:rPr>
          <w:lang w:val="en-GB"/>
        </w:rPr>
      </w:pPr>
      <w:r w:rsidRPr="002D3EDC">
        <w:rPr>
          <w:lang w:val="en-GB"/>
        </w:rPr>
        <w:t xml:space="preserve">Several studies have </w:t>
      </w:r>
      <w:r w:rsidR="00EB15A2" w:rsidRPr="002D3EDC">
        <w:rPr>
          <w:lang w:val="en-GB"/>
        </w:rPr>
        <w:t>approached</w:t>
      </w:r>
      <w:r w:rsidRPr="002D3EDC">
        <w:rPr>
          <w:lang w:val="en-GB"/>
        </w:rPr>
        <w:t xml:space="preserve"> the </w:t>
      </w:r>
      <w:r w:rsidR="0086728C" w:rsidRPr="002D3EDC">
        <w:rPr>
          <w:lang w:val="en-GB"/>
        </w:rPr>
        <w:t>I</w:t>
      </w:r>
      <w:r w:rsidRPr="002D3EDC">
        <w:rPr>
          <w:lang w:val="en-GB"/>
        </w:rPr>
        <w:t xml:space="preserve">ntegration of </w:t>
      </w:r>
      <w:r w:rsidR="0086728C" w:rsidRPr="002D3EDC">
        <w:rPr>
          <w:lang w:val="en-GB"/>
        </w:rPr>
        <w:t>S</w:t>
      </w:r>
      <w:r w:rsidRPr="002D3EDC">
        <w:rPr>
          <w:lang w:val="en-GB"/>
        </w:rPr>
        <w:t xml:space="preserve">afety and </w:t>
      </w:r>
      <w:r w:rsidR="0086728C" w:rsidRPr="002D3EDC">
        <w:rPr>
          <w:lang w:val="en-GB"/>
        </w:rPr>
        <w:t>S</w:t>
      </w:r>
      <w:r w:rsidRPr="002D3EDC">
        <w:rPr>
          <w:lang w:val="en-GB"/>
        </w:rPr>
        <w:t>ecurity</w:t>
      </w:r>
      <w:r w:rsidR="0086728C" w:rsidRPr="002D3EDC">
        <w:rPr>
          <w:lang w:val="en-GB"/>
        </w:rPr>
        <w:t xml:space="preserve"> (ISS)</w:t>
      </w:r>
      <w:r w:rsidRPr="002D3EDC">
        <w:rPr>
          <w:lang w:val="en-GB"/>
        </w:rPr>
        <w:t>.</w:t>
      </w:r>
      <w:r w:rsidR="0007771C" w:rsidRPr="002D3EDC">
        <w:rPr>
          <w:lang w:val="en-GB"/>
        </w:rPr>
        <w:t xml:space="preserve"> Yuan et al. (2022) emphasized the importance of combining safety and security barriers for a comprehensive management</w:t>
      </w:r>
      <w:r w:rsidR="00575188">
        <w:rPr>
          <w:lang w:val="en-GB"/>
        </w:rPr>
        <w:t xml:space="preserve"> of process</w:t>
      </w:r>
      <w:r w:rsidR="00E90CCF">
        <w:rPr>
          <w:lang w:val="en-GB"/>
        </w:rPr>
        <w:t xml:space="preserve"> and chemical</w:t>
      </w:r>
      <w:r w:rsidR="00575188">
        <w:rPr>
          <w:lang w:val="en-GB"/>
        </w:rPr>
        <w:t xml:space="preserve"> </w:t>
      </w:r>
      <w:r w:rsidR="00E90CCF">
        <w:rPr>
          <w:lang w:val="en-GB"/>
        </w:rPr>
        <w:t>facilities</w:t>
      </w:r>
      <w:r w:rsidR="0007771C" w:rsidRPr="002D3EDC">
        <w:rPr>
          <w:lang w:val="en-GB"/>
        </w:rPr>
        <w:t>.</w:t>
      </w:r>
      <w:r w:rsidRPr="002D3EDC">
        <w:rPr>
          <w:lang w:val="en-GB"/>
        </w:rPr>
        <w:t xml:space="preserve"> </w:t>
      </w:r>
      <w:proofErr w:type="spellStart"/>
      <w:r w:rsidRPr="002D3EDC">
        <w:rPr>
          <w:lang w:val="en-GB"/>
        </w:rPr>
        <w:t>Iaiani</w:t>
      </w:r>
      <w:proofErr w:type="spellEnd"/>
      <w:r w:rsidRPr="002D3EDC">
        <w:rPr>
          <w:lang w:val="en-GB"/>
        </w:rPr>
        <w:t xml:space="preserve"> et al. (202</w:t>
      </w:r>
      <w:r w:rsidR="00D15434" w:rsidRPr="002D3EDC">
        <w:rPr>
          <w:lang w:val="en-GB"/>
        </w:rPr>
        <w:t>2</w:t>
      </w:r>
      <w:r w:rsidRPr="002D3EDC">
        <w:rPr>
          <w:lang w:val="en-GB"/>
        </w:rPr>
        <w:t>)</w:t>
      </w:r>
      <w:r w:rsidRPr="005865F2">
        <w:rPr>
          <w:lang w:val="en-GB"/>
        </w:rPr>
        <w:t xml:space="preserve"> applied a Bow-Tie approach to identify reference release scenarios for intentional attacks</w:t>
      </w:r>
      <w:r w:rsidRPr="004B546B">
        <w:rPr>
          <w:lang w:val="en-GB"/>
        </w:rPr>
        <w:t>. Chen et al. (2019) developed a</w:t>
      </w:r>
      <w:r w:rsidR="00A231BE" w:rsidRPr="004B546B">
        <w:rPr>
          <w:lang w:val="en-GB"/>
        </w:rPr>
        <w:t xml:space="preserve">n approach for the integration of safety and security through </w:t>
      </w:r>
      <w:r w:rsidRPr="004B546B">
        <w:rPr>
          <w:lang w:val="en-GB"/>
        </w:rPr>
        <w:t>dynamic graph</w:t>
      </w:r>
      <w:r w:rsidR="00A231BE" w:rsidRPr="004B546B">
        <w:rPr>
          <w:lang w:val="en-GB"/>
        </w:rPr>
        <w:t>s</w:t>
      </w:r>
      <w:r w:rsidRPr="004B546B">
        <w:rPr>
          <w:lang w:val="en-GB"/>
        </w:rPr>
        <w:t>.</w:t>
      </w:r>
      <w:r w:rsidR="001073A8" w:rsidRPr="004B546B">
        <w:rPr>
          <w:lang w:val="en-GB"/>
        </w:rPr>
        <w:t xml:space="preserve"> The mentioned work </w:t>
      </w:r>
      <w:r w:rsidR="00EA5C40">
        <w:rPr>
          <w:lang w:val="en-GB"/>
        </w:rPr>
        <w:t>tackle</w:t>
      </w:r>
      <w:r w:rsidR="001073A8">
        <w:rPr>
          <w:lang w:val="en-GB"/>
        </w:rPr>
        <w:t xml:space="preserve"> concepts that are often adopted in conventional Quantitative Risk Assessment (QRA). However, </w:t>
      </w:r>
      <w:r w:rsidR="002231BE">
        <w:rPr>
          <w:lang w:val="en-GB"/>
        </w:rPr>
        <w:t>current literature</w:t>
      </w:r>
      <w:r w:rsidR="00DC421F">
        <w:rPr>
          <w:lang w:val="en-GB"/>
        </w:rPr>
        <w:t xml:space="preserve"> </w:t>
      </w:r>
      <w:r w:rsidR="001073A8">
        <w:rPr>
          <w:lang w:val="en-GB"/>
        </w:rPr>
        <w:t xml:space="preserve">has </w:t>
      </w:r>
      <w:r w:rsidR="002231BE">
        <w:rPr>
          <w:lang w:val="en-GB"/>
        </w:rPr>
        <w:t xml:space="preserve">not </w:t>
      </w:r>
      <w:r w:rsidR="001073A8">
        <w:rPr>
          <w:lang w:val="en-GB"/>
        </w:rPr>
        <w:t xml:space="preserve">yet </w:t>
      </w:r>
      <w:r w:rsidR="00DC421F">
        <w:rPr>
          <w:lang w:val="en-GB"/>
        </w:rPr>
        <w:t xml:space="preserve">focused on developing a quantitative methodology to evaluate the performance of barriers that could be readily integrated </w:t>
      </w:r>
      <w:r w:rsidR="001073A8">
        <w:rPr>
          <w:lang w:val="en-GB"/>
        </w:rPr>
        <w:t>in</w:t>
      </w:r>
      <w:r w:rsidR="00611773">
        <w:rPr>
          <w:lang w:val="en-GB"/>
        </w:rPr>
        <w:t xml:space="preserve"> QRA</w:t>
      </w:r>
      <w:r w:rsidR="009F696C">
        <w:rPr>
          <w:lang w:val="en-GB"/>
        </w:rPr>
        <w:t xml:space="preserve">. </w:t>
      </w:r>
    </w:p>
    <w:p w14:paraId="66BA5EC8" w14:textId="60DCE335" w:rsidR="00E32528" w:rsidRDefault="00680AE5" w:rsidP="005865F2">
      <w:pPr>
        <w:pStyle w:val="CETBodytext"/>
        <w:rPr>
          <w:lang w:val="en-GB"/>
        </w:rPr>
      </w:pPr>
      <w:r>
        <w:rPr>
          <w:lang w:val="en-GB"/>
        </w:rPr>
        <w:t>Therefore</w:t>
      </w:r>
      <w:r w:rsidR="001073A8">
        <w:rPr>
          <w:lang w:val="en-GB"/>
        </w:rPr>
        <w:t xml:space="preserve">, this </w:t>
      </w:r>
      <w:r>
        <w:rPr>
          <w:lang w:val="en-GB"/>
        </w:rPr>
        <w:t>work</w:t>
      </w:r>
      <w:r w:rsidR="001073A8">
        <w:rPr>
          <w:lang w:val="en-GB"/>
        </w:rPr>
        <w:t xml:space="preserve"> proposes a</w:t>
      </w:r>
      <w:r w:rsidR="00087060">
        <w:rPr>
          <w:lang w:val="en-GB"/>
        </w:rPr>
        <w:t xml:space="preserve"> methodology </w:t>
      </w:r>
      <w:r w:rsidR="00C37823">
        <w:rPr>
          <w:lang w:val="en-GB"/>
        </w:rPr>
        <w:t xml:space="preserve">that quantitatively integrates safety-security barriers and cascading effects in the </w:t>
      </w:r>
      <w:r w:rsidR="00B240C5">
        <w:rPr>
          <w:lang w:val="en-GB"/>
        </w:rPr>
        <w:t xml:space="preserve">conventional </w:t>
      </w:r>
      <w:r w:rsidR="00B550AE">
        <w:rPr>
          <w:lang w:val="en-GB"/>
        </w:rPr>
        <w:t>E</w:t>
      </w:r>
      <w:r w:rsidR="00C37823">
        <w:rPr>
          <w:lang w:val="en-GB"/>
        </w:rPr>
        <w:t xml:space="preserve">vent </w:t>
      </w:r>
      <w:r w:rsidR="00B550AE">
        <w:rPr>
          <w:lang w:val="en-GB"/>
        </w:rPr>
        <w:t>Tr</w:t>
      </w:r>
      <w:r w:rsidR="00C37823">
        <w:rPr>
          <w:lang w:val="en-GB"/>
        </w:rPr>
        <w:t xml:space="preserve">ee </w:t>
      </w:r>
      <w:r w:rsidR="00B550AE">
        <w:rPr>
          <w:lang w:val="en-GB"/>
        </w:rPr>
        <w:t>A</w:t>
      </w:r>
      <w:r w:rsidR="00C37823">
        <w:rPr>
          <w:lang w:val="en-GB"/>
        </w:rPr>
        <w:t>nalysis</w:t>
      </w:r>
      <w:r w:rsidR="00B550AE">
        <w:rPr>
          <w:lang w:val="en-GB"/>
        </w:rPr>
        <w:t xml:space="preserve"> (ETA)</w:t>
      </w:r>
      <w:r w:rsidR="00966705">
        <w:rPr>
          <w:lang w:val="en-GB"/>
        </w:rPr>
        <w:t xml:space="preserve">, with the aim of </w:t>
      </w:r>
      <w:r w:rsidR="00B240C5">
        <w:rPr>
          <w:lang w:val="en-GB"/>
        </w:rPr>
        <w:t>comprehensively describing the evolution of complex accidental chains caused by ISS events</w:t>
      </w:r>
      <w:r w:rsidR="00C37823">
        <w:rPr>
          <w:lang w:val="en-GB"/>
        </w:rPr>
        <w:t xml:space="preserve">. </w:t>
      </w:r>
      <w:r w:rsidR="00B240C5">
        <w:rPr>
          <w:lang w:val="en-GB"/>
        </w:rPr>
        <w:t xml:space="preserve">The performance of barriers is studied and </w:t>
      </w:r>
      <w:r w:rsidR="007E4BF1">
        <w:rPr>
          <w:lang w:val="en-GB"/>
        </w:rPr>
        <w:t xml:space="preserve">specific decision gates </w:t>
      </w:r>
      <w:r>
        <w:rPr>
          <w:lang w:val="en-GB"/>
        </w:rPr>
        <w:t>are</w:t>
      </w:r>
      <w:r w:rsidR="007E4BF1">
        <w:rPr>
          <w:lang w:val="en-GB"/>
        </w:rPr>
        <w:t xml:space="preserve"> tailed to security barriers. </w:t>
      </w:r>
      <w:r w:rsidR="005865F2" w:rsidRPr="005865F2">
        <w:rPr>
          <w:lang w:val="en-GB"/>
        </w:rPr>
        <w:t>The methodology is</w:t>
      </w:r>
      <w:r w:rsidR="008910E2">
        <w:rPr>
          <w:lang w:val="en-GB"/>
        </w:rPr>
        <w:t xml:space="preserve"> applied to a case study</w:t>
      </w:r>
      <w:r w:rsidR="005865F2" w:rsidRPr="005865F2">
        <w:rPr>
          <w:lang w:val="en-GB"/>
        </w:rPr>
        <w:t xml:space="preserve"> </w:t>
      </w:r>
      <w:r w:rsidR="00087060">
        <w:rPr>
          <w:lang w:val="en-GB"/>
        </w:rPr>
        <w:t>discussing</w:t>
      </w:r>
      <w:r w:rsidR="00E32528">
        <w:rPr>
          <w:lang w:val="en-GB"/>
        </w:rPr>
        <w:t xml:space="preserve"> the </w:t>
      </w:r>
      <w:r w:rsidR="005865F2" w:rsidRPr="005865F2">
        <w:rPr>
          <w:lang w:val="en-GB"/>
        </w:rPr>
        <w:t>potential benefits</w:t>
      </w:r>
      <w:r w:rsidR="00E32528">
        <w:rPr>
          <w:lang w:val="en-GB"/>
        </w:rPr>
        <w:t xml:space="preserve"> and drawbacks of the application</w:t>
      </w:r>
      <w:r w:rsidR="005865F2" w:rsidRPr="005865F2">
        <w:rPr>
          <w:lang w:val="en-GB"/>
        </w:rPr>
        <w:t xml:space="preserve"> for risk-informed decision-making</w:t>
      </w:r>
      <w:r w:rsidR="00761E06">
        <w:rPr>
          <w:lang w:val="en-GB"/>
        </w:rPr>
        <w:t>.</w:t>
      </w:r>
    </w:p>
    <w:p w14:paraId="5741900F" w14:textId="06310212" w:rsidR="00453E24" w:rsidRDefault="00CB09F5" w:rsidP="00453E24">
      <w:pPr>
        <w:pStyle w:val="CETHeading1"/>
      </w:pPr>
      <w:r>
        <w:lastRenderedPageBreak/>
        <w:t>Methodology</w:t>
      </w:r>
    </w:p>
    <w:p w14:paraId="09406386" w14:textId="2299E4EF" w:rsidR="00453E24" w:rsidRDefault="00F86DD3" w:rsidP="00C93AA9">
      <w:pPr>
        <w:pStyle w:val="CETBodytext"/>
      </w:pPr>
      <w:r>
        <w:t xml:space="preserve">The methodology developed in this work </w:t>
      </w:r>
      <w:r w:rsidR="00CE0B8C">
        <w:t>consists of three main steps:</w:t>
      </w:r>
    </w:p>
    <w:p w14:paraId="14CB8463" w14:textId="4E4D87B5" w:rsidR="00CE0B8C" w:rsidRDefault="00CE0B8C" w:rsidP="008C70CA">
      <w:pPr>
        <w:pStyle w:val="CETListbullets"/>
      </w:pPr>
      <w:r>
        <w:t xml:space="preserve">1) </w:t>
      </w:r>
      <w:r w:rsidR="00D7426F">
        <w:t>C</w:t>
      </w:r>
      <w:r>
        <w:t>onceptual framework development</w:t>
      </w:r>
    </w:p>
    <w:p w14:paraId="0CAE94F7" w14:textId="570999D2" w:rsidR="00CE0B8C" w:rsidRDefault="00CE0B8C" w:rsidP="008C70CA">
      <w:pPr>
        <w:pStyle w:val="CETListbullets"/>
      </w:pPr>
      <w:r>
        <w:t xml:space="preserve">2) </w:t>
      </w:r>
      <w:r w:rsidR="00D7426F">
        <w:t>P</w:t>
      </w:r>
      <w:r>
        <w:t>erformance</w:t>
      </w:r>
      <w:r w:rsidR="00CB7DC4">
        <w:t xml:space="preserve"> assessment</w:t>
      </w:r>
      <w:r>
        <w:t xml:space="preserve"> of </w:t>
      </w:r>
      <w:r w:rsidR="00A1065C">
        <w:t>I</w:t>
      </w:r>
      <w:r>
        <w:t xml:space="preserve">ntegrated </w:t>
      </w:r>
      <w:r w:rsidR="00A1065C">
        <w:t>S</w:t>
      </w:r>
      <w:r>
        <w:t>afety-</w:t>
      </w:r>
      <w:r w:rsidR="00A1065C">
        <w:t>S</w:t>
      </w:r>
      <w:r>
        <w:t>ecurity barriers</w:t>
      </w:r>
    </w:p>
    <w:p w14:paraId="0B9DC127" w14:textId="1849B315" w:rsidR="00CE0B8C" w:rsidRPr="00C93AA9" w:rsidRDefault="00CE0B8C" w:rsidP="008C70CA">
      <w:pPr>
        <w:pStyle w:val="CETListbullets"/>
      </w:pPr>
      <w:r>
        <w:t xml:space="preserve">3) </w:t>
      </w:r>
      <w:r w:rsidR="00D7426F">
        <w:t>D</w:t>
      </w:r>
      <w:r>
        <w:t xml:space="preserve">evelopment of the </w:t>
      </w:r>
      <w:r w:rsidR="00D34C52">
        <w:t>demonstration</w:t>
      </w:r>
      <w:r w:rsidR="00D7426F">
        <w:t>al</w:t>
      </w:r>
      <w:r>
        <w:t xml:space="preserve"> case study</w:t>
      </w:r>
    </w:p>
    <w:p w14:paraId="377BA856" w14:textId="14585EA5" w:rsidR="001633F9" w:rsidRDefault="00CE0B8C" w:rsidP="001633F9">
      <w:pPr>
        <w:pStyle w:val="CETBodytext"/>
      </w:pPr>
      <w:r>
        <w:t>Step 1</w:t>
      </w:r>
      <w:r w:rsidR="00B61442">
        <w:t xml:space="preserve"> is dedicated to </w:t>
      </w:r>
      <w:r w:rsidR="009F085F">
        <w:t xml:space="preserve">the development of </w:t>
      </w:r>
      <w:r w:rsidR="00B61442">
        <w:t>the conceptual framework</w:t>
      </w:r>
      <w:r w:rsidR="00CD3CB3">
        <w:t xml:space="preserve">, which </w:t>
      </w:r>
      <w:r>
        <w:t xml:space="preserve">is </w:t>
      </w:r>
      <w:r w:rsidRPr="004F60BE">
        <w:t>presented</w:t>
      </w:r>
      <w:r w:rsidR="00CD3CB3" w:rsidRPr="004F60BE">
        <w:t xml:space="preserve"> in Section 2.1</w:t>
      </w:r>
      <w:r w:rsidRPr="004F60BE">
        <w:t>.</w:t>
      </w:r>
      <w:r w:rsidR="00104620">
        <w:t xml:space="preserve"> </w:t>
      </w:r>
      <w:r>
        <w:t>R</w:t>
      </w:r>
      <w:r w:rsidR="00104620">
        <w:t>elevant literature has been examined</w:t>
      </w:r>
      <w:r w:rsidR="00E04D1C">
        <w:t xml:space="preserve"> in order to assess the main definitions related to both </w:t>
      </w:r>
      <w:r w:rsidR="00CD3CB3">
        <w:t xml:space="preserve">safety and security barriers. This guides </w:t>
      </w:r>
      <w:r w:rsidR="00C51BB5">
        <w:t>Step 2</w:t>
      </w:r>
      <w:r w:rsidR="00CD3CB3">
        <w:t xml:space="preserve"> (see </w:t>
      </w:r>
      <w:r w:rsidR="00CD3CB3" w:rsidRPr="009F085F">
        <w:t>Section 2.2</w:t>
      </w:r>
      <w:r w:rsidR="00CD3CB3">
        <w:t>)</w:t>
      </w:r>
      <w:r w:rsidR="00C51BB5">
        <w:t>,</w:t>
      </w:r>
      <w:r w:rsidR="00CD3CB3">
        <w:t xml:space="preserve"> where typical safety and security barriers are</w:t>
      </w:r>
      <w:r w:rsidR="00E50BF4">
        <w:t xml:space="preserve"> identified</w:t>
      </w:r>
      <w:r w:rsidR="00CD3CB3">
        <w:t>,</w:t>
      </w:r>
      <w:r w:rsidR="009006F7">
        <w:t xml:space="preserve"> and</w:t>
      </w:r>
      <w:r w:rsidR="00CD3CB3">
        <w:t xml:space="preserve"> </w:t>
      </w:r>
      <w:r w:rsidR="00E50BF4">
        <w:t xml:space="preserve">their performance </w:t>
      </w:r>
      <w:r w:rsidR="003A7867">
        <w:t>is</w:t>
      </w:r>
      <w:r w:rsidR="00E50BF4">
        <w:t xml:space="preserve"> quantitatively assessed. Finally, the potentialities of the method have been demonstrated in </w:t>
      </w:r>
      <w:r w:rsidR="00C51BB5">
        <w:t>Step 3</w:t>
      </w:r>
      <w:r w:rsidR="00E50BF4">
        <w:t xml:space="preserve"> (see </w:t>
      </w:r>
      <w:r w:rsidR="00E50BF4" w:rsidRPr="009F085F">
        <w:t>Section 3</w:t>
      </w:r>
      <w:r w:rsidR="00E50BF4">
        <w:t>) through the application to a case study.</w:t>
      </w:r>
    </w:p>
    <w:p w14:paraId="0636B784" w14:textId="6342BFC7" w:rsidR="00453E24" w:rsidRDefault="00CB09F5" w:rsidP="00453E24">
      <w:pPr>
        <w:pStyle w:val="CETheadingx"/>
      </w:pPr>
      <w:r>
        <w:t xml:space="preserve">Conceptual </w:t>
      </w:r>
      <w:r w:rsidR="00A33865">
        <w:t>f</w:t>
      </w:r>
      <w:r>
        <w:t>ramework</w:t>
      </w:r>
      <w:r w:rsidR="00A33865">
        <w:t xml:space="preserve"> development</w:t>
      </w:r>
    </w:p>
    <w:p w14:paraId="7C2B0064" w14:textId="3F2C4D6D" w:rsidR="00453E24" w:rsidRPr="00B506DD" w:rsidRDefault="009C1D9C" w:rsidP="00453E24">
      <w:pPr>
        <w:pStyle w:val="CETBodytext"/>
      </w:pPr>
      <w:r>
        <w:t>The concept of “barrier</w:t>
      </w:r>
      <w:r w:rsidR="00453E24">
        <w:t>”</w:t>
      </w:r>
      <w:r>
        <w:t xml:space="preserve"> is applied in numerous engineering fields, </w:t>
      </w:r>
      <w:r w:rsidR="00A949D8">
        <w:t xml:space="preserve">hence many definitions are available, each one emphasizing different </w:t>
      </w:r>
      <w:r w:rsidR="00561AF9">
        <w:t>concepts</w:t>
      </w:r>
      <w:r w:rsidR="00453E24">
        <w:t>.</w:t>
      </w:r>
      <w:r w:rsidR="001A48CF">
        <w:t xml:space="preserve"> For this reason, before moving to the quantitative evaluation of barriers, it is necessary to establish a conceptual fra</w:t>
      </w:r>
      <w:r w:rsidR="0066164B">
        <w:t xml:space="preserve">mework, stating our interpretation of barriers, their functions and working principles. </w:t>
      </w:r>
      <w:r w:rsidR="00FA5818">
        <w:t xml:space="preserve">In this </w:t>
      </w:r>
      <w:r w:rsidR="00FA5818" w:rsidRPr="00B506DD">
        <w:t xml:space="preserve">work, </w:t>
      </w:r>
      <w:r w:rsidR="001B1159" w:rsidRPr="00B506DD">
        <w:t>the</w:t>
      </w:r>
      <w:r w:rsidR="00D6578D" w:rsidRPr="00B506DD">
        <w:t xml:space="preserve"> conceptual framework adopted is </w:t>
      </w:r>
      <w:r w:rsidR="002249A8" w:rsidRPr="00B506DD">
        <w:t xml:space="preserve">based on the </w:t>
      </w:r>
      <w:r w:rsidR="0038526D" w:rsidRPr="00B506DD">
        <w:t>ARAMIS</w:t>
      </w:r>
      <w:r w:rsidR="00DB3500" w:rsidRPr="00B506DD">
        <w:t xml:space="preserve"> approach</w:t>
      </w:r>
      <w:r w:rsidR="00831802" w:rsidRPr="00B506DD">
        <w:t xml:space="preserve"> (De </w:t>
      </w:r>
      <w:proofErr w:type="spellStart"/>
      <w:r w:rsidR="00831802" w:rsidRPr="00B506DD">
        <w:t>Dianous</w:t>
      </w:r>
      <w:proofErr w:type="spellEnd"/>
      <w:r w:rsidR="00831802" w:rsidRPr="00B506DD">
        <w:t xml:space="preserve"> and </w:t>
      </w:r>
      <w:proofErr w:type="spellStart"/>
      <w:r w:rsidR="00831802" w:rsidRPr="00B506DD">
        <w:t>Fiévez</w:t>
      </w:r>
      <w:proofErr w:type="spellEnd"/>
      <w:r w:rsidR="00831802" w:rsidRPr="00B506DD">
        <w:t>, 2006)</w:t>
      </w:r>
      <w:r w:rsidR="0038526D" w:rsidRPr="00B506DD">
        <w:t xml:space="preserve"> that is extended </w:t>
      </w:r>
      <w:r w:rsidR="00B14872" w:rsidRPr="00B506DD">
        <w:t xml:space="preserve">to both safety and security events </w:t>
      </w:r>
      <w:r w:rsidR="00FB25DE" w:rsidRPr="00B506DD">
        <w:t>to define the function</w:t>
      </w:r>
      <w:r w:rsidR="00C632E5" w:rsidRPr="00B506DD">
        <w:t xml:space="preserve"> of the barriers</w:t>
      </w:r>
      <w:r w:rsidR="00F963D8" w:rsidRPr="00B506DD">
        <w:t xml:space="preserve">, </w:t>
      </w:r>
      <w:r w:rsidR="00C632E5" w:rsidRPr="00B506DD">
        <w:t>intended as the action to be done by the barrier to interrupt the chain of undesired events. For safety barriers</w:t>
      </w:r>
      <w:r w:rsidR="007E7AFF" w:rsidRPr="00B506DD">
        <w:t>, t</w:t>
      </w:r>
      <w:r w:rsidR="00E124DB" w:rsidRPr="00B506DD">
        <w:t>he function could be either to prevent the</w:t>
      </w:r>
      <w:r w:rsidR="00C771FC" w:rsidRPr="00B506DD">
        <w:t xml:space="preserve"> accidental event, or to mitigate its consequences. Security barriers, often referred to as Physical Protection Systems (PPS) are</w:t>
      </w:r>
      <w:r w:rsidR="00C63299" w:rsidRPr="00B506DD">
        <w:t xml:space="preserve"> either </w:t>
      </w:r>
      <w:r w:rsidR="003F0B19" w:rsidRPr="00B506DD">
        <w:t xml:space="preserve">aimed </w:t>
      </w:r>
      <w:r w:rsidR="00A33865" w:rsidRPr="00B506DD">
        <w:t>at</w:t>
      </w:r>
      <w:r w:rsidR="003F0B19" w:rsidRPr="00B506DD">
        <w:t xml:space="preserve"> </w:t>
      </w:r>
      <w:r w:rsidR="00C63299" w:rsidRPr="00B506DD">
        <w:t>detect</w:t>
      </w:r>
      <w:r w:rsidR="00A33865" w:rsidRPr="00B506DD">
        <w:t>ing</w:t>
      </w:r>
      <w:r w:rsidR="00C63299" w:rsidRPr="00B506DD">
        <w:t xml:space="preserve"> the intrusion, delay</w:t>
      </w:r>
      <w:r w:rsidR="00A33865" w:rsidRPr="00B506DD">
        <w:t>ing</w:t>
      </w:r>
      <w:r w:rsidR="00C63299" w:rsidRPr="00B506DD">
        <w:t xml:space="preserve"> the adversary, or respond</w:t>
      </w:r>
      <w:r w:rsidR="00A33865" w:rsidRPr="00B506DD">
        <w:t>ing</w:t>
      </w:r>
      <w:r w:rsidR="00C63299" w:rsidRPr="00B506DD">
        <w:t>, e.g., neutraliz</w:t>
      </w:r>
      <w:r w:rsidR="00A33865" w:rsidRPr="00B506DD">
        <w:t>ing</w:t>
      </w:r>
      <w:r w:rsidR="00C63299" w:rsidRPr="00B506DD">
        <w:t xml:space="preserve"> it. </w:t>
      </w:r>
      <w:r w:rsidR="00F61775" w:rsidRPr="00B506DD">
        <w:t xml:space="preserve">Another important characteristic of the barriers is </w:t>
      </w:r>
      <w:r w:rsidR="00F963D8" w:rsidRPr="00B506DD">
        <w:t>the way t</w:t>
      </w:r>
      <w:r w:rsidR="00F61775" w:rsidRPr="00B506DD">
        <w:t xml:space="preserve">he function is carried out, e.g., the working principle. This classification </w:t>
      </w:r>
      <w:r w:rsidR="007C6C3C" w:rsidRPr="00B506DD">
        <w:t xml:space="preserve">can be applied to both </w:t>
      </w:r>
      <w:r w:rsidR="00F61775" w:rsidRPr="00B506DD">
        <w:t>safety and security barriers</w:t>
      </w:r>
      <w:r w:rsidR="00F2682A" w:rsidRPr="00B506DD">
        <w:t>; namely, active barriers require external activation, and are typicall</w:t>
      </w:r>
      <w:r w:rsidR="00B1138E" w:rsidRPr="00B506DD">
        <w:t>y connected to engineered systems, e.g., water deluge systems</w:t>
      </w:r>
      <w:r w:rsidR="006E0B4F" w:rsidRPr="00B506DD">
        <w:t xml:space="preserve"> or Closed Circuit Television (CCTV)</w:t>
      </w:r>
      <w:r w:rsidR="00B1138E" w:rsidRPr="00B506DD">
        <w:t>. Passive barriers instead</w:t>
      </w:r>
      <w:r w:rsidR="007C6C3C" w:rsidRPr="00B506DD">
        <w:t xml:space="preserve"> do not require external activation, e.g., fire walls or doors. Finally, procedural </w:t>
      </w:r>
      <w:r w:rsidR="0068009E" w:rsidRPr="00B506DD">
        <w:t xml:space="preserve">barriers refer to specific operating procedures, such as emergency </w:t>
      </w:r>
      <w:r w:rsidR="00875BC6" w:rsidRPr="00B506DD">
        <w:t>response or evacuation.</w:t>
      </w:r>
    </w:p>
    <w:p w14:paraId="547D4A96" w14:textId="6940D123" w:rsidR="000852CA" w:rsidRDefault="00C632E5" w:rsidP="00453E24">
      <w:pPr>
        <w:pStyle w:val="CETBodytext"/>
      </w:pPr>
      <w:r w:rsidRPr="00B506DD">
        <w:t>Table 1 sum</w:t>
      </w:r>
      <w:r w:rsidR="00646972" w:rsidRPr="00B506DD">
        <w:t xml:space="preserve">s up the main concepts related to the established framework. </w:t>
      </w:r>
      <w:r w:rsidR="002825F7" w:rsidRPr="00B506DD">
        <w:t xml:space="preserve">The </w:t>
      </w:r>
      <w:r w:rsidR="001254C5" w:rsidRPr="00B506DD">
        <w:t>Reader is directed to (</w:t>
      </w:r>
      <w:proofErr w:type="spellStart"/>
      <w:r w:rsidR="001254C5" w:rsidRPr="00B506DD">
        <w:t>Securdomino</w:t>
      </w:r>
      <w:proofErr w:type="spellEnd"/>
      <w:r w:rsidR="001254C5" w:rsidRPr="00B506DD">
        <w:t>, 2024) for the extensive</w:t>
      </w:r>
      <w:r w:rsidR="002825F7" w:rsidRPr="00B506DD">
        <w:t xml:space="preserve"> </w:t>
      </w:r>
      <w:r w:rsidR="001254C5" w:rsidRPr="00B506DD">
        <w:t>discussion on the conceptual framework.</w:t>
      </w:r>
    </w:p>
    <w:p w14:paraId="251E569D" w14:textId="2100E92F" w:rsidR="0018558B" w:rsidRDefault="001A0699" w:rsidP="00606D45">
      <w:pPr>
        <w:pStyle w:val="CETTabletitle"/>
      </w:pPr>
      <w:r w:rsidRPr="007A6CAC">
        <w:t>Table 1: Classification</w:t>
      </w:r>
      <w:r>
        <w:t xml:space="preserve"> of </w:t>
      </w:r>
      <w:r w:rsidR="00DA6451">
        <w:t xml:space="preserve">ISS </w:t>
      </w:r>
      <w:r>
        <w:t>barriers based on working principle and function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2126"/>
        <w:gridCol w:w="1985"/>
      </w:tblGrid>
      <w:tr w:rsidR="00114605" w:rsidRPr="00B57B36" w14:paraId="175065C7" w14:textId="77777777" w:rsidTr="00BE089E">
        <w:tc>
          <w:tcPr>
            <w:tcW w:w="1418" w:type="dxa"/>
            <w:tcBorders>
              <w:top w:val="single" w:sz="12" w:space="0" w:color="008000"/>
              <w:bottom w:val="single" w:sz="6" w:space="0" w:color="008000"/>
            </w:tcBorders>
            <w:shd w:val="clear" w:color="auto" w:fill="FFFFFF"/>
          </w:tcPr>
          <w:p w14:paraId="10C262A7" w14:textId="6033F8F9" w:rsidR="00114605" w:rsidRPr="00B57B36" w:rsidRDefault="00114605" w:rsidP="003D20C9">
            <w:pPr>
              <w:pStyle w:val="CETBodytext"/>
              <w:rPr>
                <w:lang w:val="en-GB"/>
              </w:rPr>
            </w:pPr>
          </w:p>
        </w:tc>
        <w:tc>
          <w:tcPr>
            <w:tcW w:w="2126" w:type="dxa"/>
            <w:tcBorders>
              <w:top w:val="single" w:sz="12" w:space="0" w:color="008000"/>
              <w:bottom w:val="single" w:sz="6" w:space="0" w:color="008000"/>
            </w:tcBorders>
            <w:shd w:val="clear" w:color="auto" w:fill="FFFFFF"/>
          </w:tcPr>
          <w:p w14:paraId="0C4F5113" w14:textId="5115E93D" w:rsidR="00114605" w:rsidRPr="00B57B36" w:rsidRDefault="00114605" w:rsidP="003D20C9">
            <w:pPr>
              <w:pStyle w:val="CETBodytext"/>
              <w:rPr>
                <w:lang w:val="en-GB"/>
              </w:rPr>
            </w:pPr>
            <w:r>
              <w:rPr>
                <w:lang w:val="en-GB"/>
              </w:rPr>
              <w:t>Security barriers (PPS)</w:t>
            </w:r>
          </w:p>
        </w:tc>
        <w:tc>
          <w:tcPr>
            <w:tcW w:w="1985" w:type="dxa"/>
            <w:tcBorders>
              <w:top w:val="single" w:sz="12" w:space="0" w:color="008000"/>
              <w:bottom w:val="single" w:sz="6" w:space="0" w:color="008000"/>
            </w:tcBorders>
            <w:shd w:val="clear" w:color="auto" w:fill="FFFFFF"/>
          </w:tcPr>
          <w:p w14:paraId="59E6066A" w14:textId="44C89FD8" w:rsidR="00114605" w:rsidRPr="00B57B36" w:rsidRDefault="00114605" w:rsidP="003D20C9">
            <w:pPr>
              <w:pStyle w:val="CETBodytext"/>
              <w:rPr>
                <w:lang w:val="en-GB"/>
              </w:rPr>
            </w:pPr>
            <w:r>
              <w:rPr>
                <w:lang w:val="en-GB"/>
              </w:rPr>
              <w:t>Safety barriers</w:t>
            </w:r>
          </w:p>
        </w:tc>
      </w:tr>
      <w:tr w:rsidR="00114605" w:rsidRPr="00B57B36" w14:paraId="55865DF0" w14:textId="77777777" w:rsidTr="00BE089E">
        <w:tc>
          <w:tcPr>
            <w:tcW w:w="1418" w:type="dxa"/>
            <w:shd w:val="clear" w:color="auto" w:fill="FFFFFF"/>
          </w:tcPr>
          <w:p w14:paraId="09B053F1" w14:textId="4EDA1654" w:rsidR="00114605" w:rsidRPr="00B57B36" w:rsidRDefault="00114605" w:rsidP="003D20C9">
            <w:pPr>
              <w:pStyle w:val="CETBodytext"/>
              <w:ind w:right="-1"/>
              <w:rPr>
                <w:rFonts w:cs="Arial"/>
                <w:szCs w:val="18"/>
                <w:lang w:val="en-GB"/>
              </w:rPr>
            </w:pPr>
            <w:r>
              <w:rPr>
                <w:rFonts w:cs="Arial"/>
                <w:szCs w:val="18"/>
                <w:lang w:val="en-GB"/>
              </w:rPr>
              <w:t>Function</w:t>
            </w:r>
          </w:p>
        </w:tc>
        <w:tc>
          <w:tcPr>
            <w:tcW w:w="2126" w:type="dxa"/>
            <w:shd w:val="clear" w:color="auto" w:fill="FFFFFF"/>
          </w:tcPr>
          <w:p w14:paraId="4C910CDB" w14:textId="27601FE6" w:rsidR="00114605" w:rsidRPr="00B57B36" w:rsidRDefault="00114605" w:rsidP="003D20C9">
            <w:pPr>
              <w:pStyle w:val="CETBodytext"/>
              <w:ind w:right="-1"/>
              <w:rPr>
                <w:rFonts w:cs="Arial"/>
                <w:szCs w:val="18"/>
                <w:lang w:val="en-GB"/>
              </w:rPr>
            </w:pPr>
            <w:r>
              <w:rPr>
                <w:rFonts w:cs="Arial"/>
                <w:szCs w:val="18"/>
                <w:lang w:val="en-GB"/>
              </w:rPr>
              <w:t>Detect, delay, respond</w:t>
            </w:r>
          </w:p>
        </w:tc>
        <w:tc>
          <w:tcPr>
            <w:tcW w:w="1985" w:type="dxa"/>
            <w:shd w:val="clear" w:color="auto" w:fill="FFFFFF"/>
          </w:tcPr>
          <w:p w14:paraId="73A71242" w14:textId="2987C3BF" w:rsidR="00114605" w:rsidRPr="00B57B36" w:rsidRDefault="00114605" w:rsidP="003D20C9">
            <w:pPr>
              <w:pStyle w:val="CETBodytext"/>
              <w:ind w:right="-1"/>
              <w:rPr>
                <w:rFonts w:cs="Arial"/>
                <w:szCs w:val="18"/>
                <w:lang w:val="en-GB"/>
              </w:rPr>
            </w:pPr>
            <w:r>
              <w:rPr>
                <w:rFonts w:cs="Arial"/>
                <w:szCs w:val="18"/>
                <w:lang w:val="en-GB"/>
              </w:rPr>
              <w:t>Preventive, mitigative</w:t>
            </w:r>
          </w:p>
        </w:tc>
      </w:tr>
      <w:tr w:rsidR="0026142B" w:rsidRPr="00B57B36" w14:paraId="0CA73DDC" w14:textId="77777777" w:rsidTr="00BE089E">
        <w:tc>
          <w:tcPr>
            <w:tcW w:w="1418" w:type="dxa"/>
            <w:shd w:val="clear" w:color="auto" w:fill="FFFFFF"/>
          </w:tcPr>
          <w:p w14:paraId="268D8235" w14:textId="39CE6708" w:rsidR="0026142B" w:rsidRDefault="0026142B" w:rsidP="0026142B">
            <w:pPr>
              <w:pStyle w:val="CETBodytext"/>
              <w:ind w:right="-1"/>
              <w:rPr>
                <w:rFonts w:cs="Arial"/>
                <w:szCs w:val="18"/>
                <w:lang w:val="en-GB"/>
              </w:rPr>
            </w:pPr>
            <w:r>
              <w:rPr>
                <w:lang w:val="en-GB"/>
              </w:rPr>
              <w:t>Working principle</w:t>
            </w:r>
          </w:p>
        </w:tc>
        <w:tc>
          <w:tcPr>
            <w:tcW w:w="4111" w:type="dxa"/>
            <w:gridSpan w:val="2"/>
            <w:shd w:val="clear" w:color="auto" w:fill="FFFFFF"/>
          </w:tcPr>
          <w:p w14:paraId="3E603A3E" w14:textId="1B994730" w:rsidR="0026142B" w:rsidRDefault="0026142B" w:rsidP="0026142B">
            <w:pPr>
              <w:pStyle w:val="CETBodytext"/>
              <w:ind w:right="-1"/>
              <w:jc w:val="center"/>
              <w:rPr>
                <w:rFonts w:cs="Arial"/>
                <w:szCs w:val="18"/>
                <w:lang w:val="en-GB"/>
              </w:rPr>
            </w:pPr>
            <w:r>
              <w:rPr>
                <w:lang w:val="en-GB"/>
              </w:rPr>
              <w:t>Active, passive, procedural</w:t>
            </w:r>
          </w:p>
        </w:tc>
      </w:tr>
    </w:tbl>
    <w:p w14:paraId="18BAFA6F" w14:textId="2B8424DA" w:rsidR="00453E24" w:rsidRPr="00B57B36" w:rsidRDefault="000F2512" w:rsidP="00453E24">
      <w:pPr>
        <w:pStyle w:val="CETheadingx"/>
      </w:pPr>
      <w:r>
        <w:t>Performance Assessment</w:t>
      </w:r>
      <w:r w:rsidR="00DA6451">
        <w:t xml:space="preserve"> of ISS barriers</w:t>
      </w:r>
    </w:p>
    <w:p w14:paraId="01BBB980" w14:textId="40962DBF" w:rsidR="001018A9" w:rsidRPr="007A6CAC" w:rsidRDefault="00DE789E" w:rsidP="00670D71">
      <w:pPr>
        <w:pStyle w:val="CETBodytext"/>
        <w:rPr>
          <w:lang w:val="en-GB"/>
        </w:rPr>
      </w:pPr>
      <w:r>
        <w:rPr>
          <w:lang w:val="en-GB"/>
        </w:rPr>
        <w:t xml:space="preserve">The </w:t>
      </w:r>
      <w:r w:rsidR="00C063B2">
        <w:rPr>
          <w:lang w:val="en-GB"/>
        </w:rPr>
        <w:t xml:space="preserve">classification of barriers carried out in Section 2.1 </w:t>
      </w:r>
      <w:r w:rsidR="00C30A55">
        <w:rPr>
          <w:lang w:val="en-GB"/>
        </w:rPr>
        <w:t xml:space="preserve">supports the assessment of the parameters that are needed to </w:t>
      </w:r>
      <w:r w:rsidR="003F014E">
        <w:rPr>
          <w:lang w:val="en-GB"/>
        </w:rPr>
        <w:t xml:space="preserve">quantitatively </w:t>
      </w:r>
      <w:r w:rsidR="00E277A5">
        <w:rPr>
          <w:lang w:val="en-GB"/>
        </w:rPr>
        <w:t>describe the</w:t>
      </w:r>
      <w:r w:rsidR="00DA6451">
        <w:rPr>
          <w:lang w:val="en-GB"/>
        </w:rPr>
        <w:t>ir</w:t>
      </w:r>
      <w:r w:rsidR="00E277A5">
        <w:rPr>
          <w:lang w:val="en-GB"/>
        </w:rPr>
        <w:t xml:space="preserve"> performanc</w:t>
      </w:r>
      <w:r w:rsidR="00DA6451">
        <w:rPr>
          <w:lang w:val="en-GB"/>
        </w:rPr>
        <w:t>e</w:t>
      </w:r>
      <w:r w:rsidR="00E277A5">
        <w:rPr>
          <w:lang w:val="en-GB"/>
        </w:rPr>
        <w:t>.</w:t>
      </w:r>
      <w:r w:rsidR="001018A9">
        <w:rPr>
          <w:lang w:val="en-GB"/>
        </w:rPr>
        <w:t xml:space="preserve"> In particular, the probabilistic parameters adopted in this work are:</w:t>
      </w:r>
      <w:r w:rsidR="00670D71">
        <w:rPr>
          <w:lang w:val="en-GB"/>
        </w:rPr>
        <w:t xml:space="preserve"> </w:t>
      </w:r>
      <w:proofErr w:type="spellStart"/>
      <w:r w:rsidR="00670D71">
        <w:rPr>
          <w:lang w:val="en-GB"/>
        </w:rPr>
        <w:t>i</w:t>
      </w:r>
      <w:proofErr w:type="spellEnd"/>
      <w:r w:rsidR="00670D71">
        <w:rPr>
          <w:lang w:val="en-GB"/>
        </w:rPr>
        <w:t>) the availability the barriers</w:t>
      </w:r>
      <w:r w:rsidR="008A2318">
        <w:rPr>
          <w:lang w:val="en-GB"/>
        </w:rPr>
        <w:t>,</w:t>
      </w:r>
      <w:r w:rsidR="00670D71">
        <w:rPr>
          <w:lang w:val="en-GB"/>
        </w:rPr>
        <w:t xml:space="preserve"> </w:t>
      </w:r>
      <w:r w:rsidR="008A2318">
        <w:rPr>
          <w:lang w:val="en-GB"/>
        </w:rPr>
        <w:t>expressed in terms of the probability of failure on demand (</w:t>
      </w:r>
      <w:r w:rsidR="00670D71" w:rsidRPr="00DA78DE">
        <w:rPr>
          <w:i/>
          <w:iCs/>
          <w:lang w:val="en-GB"/>
        </w:rPr>
        <w:t>PFD</w:t>
      </w:r>
      <w:r w:rsidR="008A2318" w:rsidRPr="008A2318">
        <w:rPr>
          <w:lang w:val="en-GB"/>
        </w:rPr>
        <w:t>)</w:t>
      </w:r>
      <w:r w:rsidR="00670D71">
        <w:rPr>
          <w:lang w:val="en-GB"/>
        </w:rPr>
        <w:t xml:space="preserve">; ii) the </w:t>
      </w:r>
      <w:r w:rsidR="00670D71" w:rsidRPr="00670D71">
        <w:rPr>
          <w:rFonts w:cs="Arial"/>
          <w:lang w:val="en-GB"/>
        </w:rPr>
        <w:t>effectiveness</w:t>
      </w:r>
      <w:r w:rsidR="008A2318">
        <w:rPr>
          <w:rFonts w:cs="Arial"/>
          <w:lang w:val="en-GB"/>
        </w:rPr>
        <w:t xml:space="preserve"> (</w:t>
      </w:r>
      <w:r w:rsidR="00670D71" w:rsidRPr="00DA78DE">
        <w:rPr>
          <w:rFonts w:cs="Arial"/>
          <w:i/>
          <w:iCs/>
          <w:lang w:val="en-GB"/>
        </w:rPr>
        <w:t>η</w:t>
      </w:r>
      <w:r w:rsidR="008A2318">
        <w:rPr>
          <w:rFonts w:cs="Arial"/>
          <w:lang w:val="en-GB"/>
        </w:rPr>
        <w:t>)</w:t>
      </w:r>
      <w:r w:rsidR="00670D71" w:rsidRPr="00670D71">
        <w:rPr>
          <w:rFonts w:cs="Arial"/>
          <w:lang w:val="en-GB"/>
        </w:rPr>
        <w:t xml:space="preserve"> expressing</w:t>
      </w:r>
      <w:r w:rsidR="00476321">
        <w:rPr>
          <w:rFonts w:cs="Arial"/>
          <w:lang w:val="en-GB"/>
        </w:rPr>
        <w:t xml:space="preserve"> the probability of the barrier of preventing the escalation of the scenario once successfully activated.</w:t>
      </w:r>
      <w:r w:rsidR="00BA3D0E">
        <w:rPr>
          <w:rFonts w:cs="Arial"/>
          <w:lang w:val="en-GB"/>
        </w:rPr>
        <w:t xml:space="preserve"> An additional performance parameter is the attenuation factor </w:t>
      </w:r>
      <w:r w:rsidR="00BA3D0E" w:rsidRPr="00881E2E">
        <w:rPr>
          <w:rFonts w:cs="Arial"/>
          <w:i/>
          <w:iCs/>
          <w:lang w:val="en-GB"/>
        </w:rPr>
        <w:t>φ</w:t>
      </w:r>
      <w:r w:rsidR="00881E2E">
        <w:rPr>
          <w:rFonts w:cs="Arial"/>
          <w:lang w:val="en-GB"/>
        </w:rPr>
        <w:t>, which is used to evaluate the decrease of physical effects by action of mitigative barriers; despite not being a probabilistic parameter, it is essential in order to assess</w:t>
      </w:r>
      <w:r w:rsidR="005D04AC">
        <w:rPr>
          <w:rFonts w:cs="Arial"/>
          <w:lang w:val="en-GB"/>
        </w:rPr>
        <w:t xml:space="preserve"> potential cascading effects.</w:t>
      </w:r>
      <w:r w:rsidR="00476321">
        <w:rPr>
          <w:rFonts w:cs="Arial"/>
          <w:lang w:val="en-GB"/>
        </w:rPr>
        <w:t xml:space="preserve"> Different techniques can be used to evaluate the numerical</w:t>
      </w:r>
      <w:r w:rsidR="00DA78DE">
        <w:rPr>
          <w:rFonts w:cs="Arial"/>
          <w:lang w:val="en-GB"/>
        </w:rPr>
        <w:t xml:space="preserve"> values</w:t>
      </w:r>
      <w:r w:rsidR="005D04AC">
        <w:rPr>
          <w:rFonts w:cs="Arial"/>
          <w:lang w:val="en-GB"/>
        </w:rPr>
        <w:t xml:space="preserve"> of PFD, </w:t>
      </w:r>
      <w:r w:rsidR="005D04AC" w:rsidRPr="00DA78DE">
        <w:rPr>
          <w:rFonts w:cs="Arial"/>
          <w:i/>
          <w:iCs/>
          <w:lang w:val="en-GB"/>
        </w:rPr>
        <w:t>η</w:t>
      </w:r>
      <w:r w:rsidR="0032499B">
        <w:rPr>
          <w:rFonts w:cs="Arial"/>
          <w:lang w:val="en-GB"/>
        </w:rPr>
        <w:t xml:space="preserve">, </w:t>
      </w:r>
      <w:r w:rsidR="005D04AC">
        <w:rPr>
          <w:rFonts w:cs="Arial"/>
          <w:lang w:val="en-GB"/>
        </w:rPr>
        <w:t xml:space="preserve">and </w:t>
      </w:r>
      <w:r w:rsidR="005D04AC" w:rsidRPr="00881E2E">
        <w:rPr>
          <w:rFonts w:cs="Arial"/>
          <w:i/>
          <w:iCs/>
          <w:lang w:val="en-GB"/>
        </w:rPr>
        <w:t>φ</w:t>
      </w:r>
      <w:r w:rsidR="005D04AC">
        <w:rPr>
          <w:rFonts w:cs="Arial"/>
          <w:lang w:val="en-GB"/>
        </w:rPr>
        <w:t xml:space="preserve">, </w:t>
      </w:r>
      <w:r w:rsidR="0032499B">
        <w:rPr>
          <w:rFonts w:cs="Arial"/>
          <w:lang w:val="en-GB"/>
        </w:rPr>
        <w:t>such as fault trees, human error</w:t>
      </w:r>
      <w:r w:rsidR="0002781D">
        <w:rPr>
          <w:rFonts w:cs="Arial"/>
          <w:lang w:val="en-GB"/>
        </w:rPr>
        <w:t>, or suppliers data. For the sake of exemplification</w:t>
      </w:r>
      <w:r w:rsidR="005857E3">
        <w:rPr>
          <w:rFonts w:cs="Arial"/>
          <w:lang w:val="en-GB"/>
        </w:rPr>
        <w:t>, the assessment of the performance of a fence door is hereby explained. A fence door is a passive PPS, that has the function to delay the adversary</w:t>
      </w:r>
      <w:r w:rsidR="00CC121D">
        <w:rPr>
          <w:rFonts w:cs="Arial"/>
          <w:lang w:val="en-GB"/>
        </w:rPr>
        <w:t xml:space="preserve">; so, its performance is described only by PFD and </w:t>
      </w:r>
      <w:r w:rsidR="00CC121D" w:rsidRPr="00DA78DE">
        <w:rPr>
          <w:rFonts w:cs="Arial"/>
          <w:i/>
          <w:iCs/>
          <w:lang w:val="en-GB"/>
        </w:rPr>
        <w:t>η</w:t>
      </w:r>
      <w:r w:rsidR="00CC121D">
        <w:rPr>
          <w:rFonts w:cs="Arial"/>
          <w:lang w:val="en-GB"/>
        </w:rPr>
        <w:t xml:space="preserve">. Since the door is a fixed installation, </w:t>
      </w:r>
      <w:r w:rsidR="004B08AD">
        <w:rPr>
          <w:rFonts w:cs="Arial"/>
          <w:lang w:val="en-GB"/>
        </w:rPr>
        <w:t>i</w:t>
      </w:r>
      <w:r w:rsidR="00AD5DA8">
        <w:rPr>
          <w:rFonts w:cs="Arial"/>
          <w:lang w:val="en-GB"/>
        </w:rPr>
        <w:t>t</w:t>
      </w:r>
      <w:r w:rsidR="004B08AD">
        <w:rPr>
          <w:rFonts w:cs="Arial"/>
          <w:lang w:val="en-GB"/>
        </w:rPr>
        <w:t xml:space="preserve">s availability is constant, leading to a </w:t>
      </w:r>
      <w:proofErr w:type="spellStart"/>
      <w:r w:rsidR="004B08AD" w:rsidRPr="00F26057">
        <w:rPr>
          <w:rFonts w:cs="Arial"/>
          <w:i/>
          <w:iCs/>
          <w:lang w:val="en-GB"/>
        </w:rPr>
        <w:t>PFD</w:t>
      </w:r>
      <w:r w:rsidR="004B08AD" w:rsidRPr="00F26057">
        <w:rPr>
          <w:rFonts w:cs="Arial"/>
          <w:i/>
          <w:iCs/>
          <w:vertAlign w:val="subscript"/>
          <w:lang w:val="en-GB"/>
        </w:rPr>
        <w:t>door</w:t>
      </w:r>
      <w:proofErr w:type="spellEnd"/>
      <w:r w:rsidR="004B08AD">
        <w:rPr>
          <w:rFonts w:cs="Arial"/>
          <w:lang w:val="en-GB"/>
        </w:rPr>
        <w:t xml:space="preserve"> = 0.00. For what concerns the effectiveness, in</w:t>
      </w:r>
      <w:r w:rsidR="000B17DB">
        <w:rPr>
          <w:rFonts w:cs="Arial"/>
          <w:lang w:val="en-GB"/>
        </w:rPr>
        <w:t xml:space="preserve"> this application we consider </w:t>
      </w:r>
      <w:r w:rsidR="000B17DB" w:rsidRPr="007A6CAC">
        <w:rPr>
          <w:rFonts w:cs="Arial"/>
          <w:lang w:val="en-GB"/>
        </w:rPr>
        <w:t xml:space="preserve">that the door might be not </w:t>
      </w:r>
      <w:r w:rsidR="00AD5DA8" w:rsidRPr="007A6CAC">
        <w:rPr>
          <w:rFonts w:cs="Arial"/>
          <w:lang w:val="en-GB"/>
        </w:rPr>
        <w:t xml:space="preserve">well </w:t>
      </w:r>
      <w:r w:rsidR="000B17DB" w:rsidRPr="007A6CAC">
        <w:rPr>
          <w:rFonts w:cs="Arial"/>
          <w:lang w:val="en-GB"/>
        </w:rPr>
        <w:t>locked by an operator</w:t>
      </w:r>
      <w:r w:rsidR="0031528D" w:rsidRPr="007A6CAC">
        <w:rPr>
          <w:rFonts w:cs="Arial"/>
          <w:lang w:val="en-GB"/>
        </w:rPr>
        <w:t>; to evaluate the probability of not locking the door, the SPAR-H methodology from (Gertman et al., 2005) can be adopted</w:t>
      </w:r>
      <w:r w:rsidR="00F26057" w:rsidRPr="007A6CAC">
        <w:rPr>
          <w:rFonts w:cs="Arial"/>
          <w:lang w:val="en-GB"/>
        </w:rPr>
        <w:t>.</w:t>
      </w:r>
      <w:r w:rsidR="006343A7" w:rsidRPr="007A6CAC">
        <w:rPr>
          <w:rFonts w:cs="Arial"/>
          <w:lang w:val="en-GB"/>
        </w:rPr>
        <w:t xml:space="preserve"> According to the definition from the SPARH-H methodology, not locking the door can be seen as</w:t>
      </w:r>
      <w:r w:rsidR="00FB2FD0" w:rsidRPr="007A6CAC">
        <w:rPr>
          <w:rFonts w:cs="Arial"/>
          <w:lang w:val="en-GB"/>
        </w:rPr>
        <w:t xml:space="preserve"> a task requiring only an action. </w:t>
      </w:r>
      <w:r w:rsidR="00B84AD2" w:rsidRPr="007A6CAC">
        <w:rPr>
          <w:rFonts w:cs="Arial"/>
          <w:lang w:val="en-GB"/>
        </w:rPr>
        <w:t xml:space="preserve">Since this is </w:t>
      </w:r>
      <w:r w:rsidR="00EF382A" w:rsidRPr="007A6CAC">
        <w:rPr>
          <w:rFonts w:cs="Arial"/>
          <w:lang w:val="en-GB"/>
        </w:rPr>
        <w:t>a</w:t>
      </w:r>
      <w:r w:rsidR="00B84AD2" w:rsidRPr="007A6CAC">
        <w:rPr>
          <w:rFonts w:cs="Arial"/>
          <w:lang w:val="en-GB"/>
        </w:rPr>
        <w:t xml:space="preserve"> relatively simple action, it is assumed that the procedures do not </w:t>
      </w:r>
      <w:r w:rsidR="00EF382A" w:rsidRPr="007A6CAC">
        <w:rPr>
          <w:rFonts w:cs="Arial"/>
          <w:lang w:val="en-GB"/>
        </w:rPr>
        <w:t xml:space="preserve">clearly emphasize </w:t>
      </w:r>
      <w:r w:rsidR="005236DE" w:rsidRPr="007A6CAC">
        <w:rPr>
          <w:rFonts w:cs="Arial"/>
          <w:lang w:val="en-GB"/>
        </w:rPr>
        <w:t>it</w:t>
      </w:r>
      <w:r w:rsidR="00CB595A" w:rsidRPr="007A6CAC">
        <w:rPr>
          <w:rFonts w:cs="Arial"/>
          <w:lang w:val="en-GB"/>
        </w:rPr>
        <w:t xml:space="preserve">, and that trainings are not specifically focused on this specific action. This </w:t>
      </w:r>
      <w:r w:rsidR="00E86A6C" w:rsidRPr="007A6CAC">
        <w:rPr>
          <w:rFonts w:cs="Arial"/>
          <w:lang w:val="en-GB"/>
        </w:rPr>
        <w:t>results in</w:t>
      </w:r>
      <w:r w:rsidR="00CB595A" w:rsidRPr="007A6CAC">
        <w:rPr>
          <w:rFonts w:cs="Arial"/>
          <w:lang w:val="en-GB"/>
        </w:rPr>
        <w:t xml:space="preserve"> a </w:t>
      </w:r>
      <w:r w:rsidR="0064075F" w:rsidRPr="007A6CAC">
        <w:rPr>
          <w:rFonts w:cs="Arial"/>
          <w:lang w:val="en-GB"/>
        </w:rPr>
        <w:t xml:space="preserve">value of 1.50 actions failed per 100 total </w:t>
      </w:r>
      <w:r w:rsidR="00B22D74" w:rsidRPr="007A6CAC">
        <w:rPr>
          <w:rFonts w:cs="Arial"/>
          <w:lang w:val="en-GB"/>
        </w:rPr>
        <w:t>actions</w:t>
      </w:r>
      <w:r w:rsidR="0064075F" w:rsidRPr="007A6CAC">
        <w:rPr>
          <w:rFonts w:cs="Arial"/>
          <w:lang w:val="en-GB"/>
        </w:rPr>
        <w:t xml:space="preserve">, thus leading to </w:t>
      </w:r>
      <w:proofErr w:type="spellStart"/>
      <w:r w:rsidR="0064075F" w:rsidRPr="007A6CAC">
        <w:rPr>
          <w:rFonts w:cs="Arial"/>
          <w:i/>
          <w:iCs/>
          <w:lang w:val="en-GB"/>
        </w:rPr>
        <w:t>η</w:t>
      </w:r>
      <w:r w:rsidR="00B22D74" w:rsidRPr="007A6CAC">
        <w:rPr>
          <w:rFonts w:cs="Arial"/>
          <w:i/>
          <w:iCs/>
          <w:vertAlign w:val="subscript"/>
          <w:lang w:val="en-GB"/>
        </w:rPr>
        <w:t>door</w:t>
      </w:r>
      <w:proofErr w:type="spellEnd"/>
      <w:r w:rsidR="0064075F" w:rsidRPr="007A6CAC">
        <w:rPr>
          <w:rFonts w:cs="Arial"/>
          <w:i/>
          <w:iCs/>
          <w:lang w:val="en-GB"/>
        </w:rPr>
        <w:t xml:space="preserve"> = </w:t>
      </w:r>
      <w:r w:rsidR="0064075F" w:rsidRPr="007A6CAC">
        <w:rPr>
          <w:rFonts w:cs="Arial"/>
          <w:lang w:val="en-GB"/>
        </w:rPr>
        <w:t>1.00</w:t>
      </w:r>
      <w:r w:rsidR="0019067F" w:rsidRPr="007A6CAC">
        <w:rPr>
          <w:rFonts w:cs="Arial"/>
          <w:lang w:val="en-GB"/>
        </w:rPr>
        <w:t>0</w:t>
      </w:r>
      <w:r w:rsidR="0064075F" w:rsidRPr="007A6CAC">
        <w:rPr>
          <w:rFonts w:cs="Arial"/>
          <w:lang w:val="en-GB"/>
        </w:rPr>
        <w:t xml:space="preserve"> </w:t>
      </w:r>
      <w:r w:rsidR="00B22D74" w:rsidRPr="007A6CAC">
        <w:rPr>
          <w:rFonts w:cs="Arial"/>
          <w:lang w:val="en-GB"/>
        </w:rPr>
        <w:t>–</w:t>
      </w:r>
      <w:r w:rsidR="0064075F" w:rsidRPr="007A6CAC">
        <w:rPr>
          <w:rFonts w:cs="Arial"/>
          <w:lang w:val="en-GB"/>
        </w:rPr>
        <w:t xml:space="preserve"> </w:t>
      </w:r>
      <w:r w:rsidR="0019067F" w:rsidRPr="007A6CAC">
        <w:rPr>
          <w:rFonts w:cs="Arial"/>
          <w:lang w:val="en-GB"/>
        </w:rPr>
        <w:t>0.0</w:t>
      </w:r>
      <w:r w:rsidR="00B22D74" w:rsidRPr="007A6CAC">
        <w:rPr>
          <w:rFonts w:cs="Arial"/>
          <w:lang w:val="en-GB"/>
        </w:rPr>
        <w:t xml:space="preserve">15 </w:t>
      </w:r>
      <w:r w:rsidR="0064075F" w:rsidRPr="007A6CAC">
        <w:rPr>
          <w:rFonts w:cs="Arial"/>
          <w:lang w:val="en-GB"/>
        </w:rPr>
        <w:t>=</w:t>
      </w:r>
      <w:r w:rsidR="00B22D74" w:rsidRPr="007A6CAC">
        <w:rPr>
          <w:rFonts w:cs="Arial"/>
          <w:lang w:val="en-GB"/>
        </w:rPr>
        <w:t xml:space="preserve"> </w:t>
      </w:r>
      <w:r w:rsidR="0019067F" w:rsidRPr="007A6CAC">
        <w:rPr>
          <w:rFonts w:cs="Arial"/>
          <w:lang w:val="en-GB"/>
        </w:rPr>
        <w:t>0.</w:t>
      </w:r>
      <w:r w:rsidR="00B22D74" w:rsidRPr="007A6CAC">
        <w:rPr>
          <w:rFonts w:cs="Arial"/>
          <w:lang w:val="en-GB"/>
        </w:rPr>
        <w:t>98</w:t>
      </w:r>
      <w:r w:rsidR="001B4B53" w:rsidRPr="007A6CAC">
        <w:rPr>
          <w:rFonts w:cs="Arial"/>
          <w:lang w:val="en-GB"/>
        </w:rPr>
        <w:t>5</w:t>
      </w:r>
      <w:r w:rsidR="00B22D74" w:rsidRPr="007A6CAC">
        <w:rPr>
          <w:rFonts w:cs="Arial"/>
          <w:i/>
          <w:iCs/>
          <w:lang w:val="en-GB"/>
        </w:rPr>
        <w:t>.</w:t>
      </w:r>
    </w:p>
    <w:p w14:paraId="582642C6" w14:textId="106B7585" w:rsidR="00453E24" w:rsidRDefault="007A01AC" w:rsidP="00453E24">
      <w:pPr>
        <w:pStyle w:val="CETBodytext"/>
        <w:rPr>
          <w:lang w:val="en-GB"/>
        </w:rPr>
      </w:pPr>
      <w:r w:rsidRPr="007A6CAC">
        <w:rPr>
          <w:lang w:val="en-GB"/>
        </w:rPr>
        <w:t>T</w:t>
      </w:r>
      <w:r w:rsidR="003F014E" w:rsidRPr="007A6CAC">
        <w:rPr>
          <w:lang w:val="en-GB"/>
        </w:rPr>
        <w:t xml:space="preserve">he parameters defined above </w:t>
      </w:r>
      <w:r w:rsidR="000B1A2D" w:rsidRPr="007A6CAC">
        <w:rPr>
          <w:lang w:val="en-GB"/>
        </w:rPr>
        <w:t xml:space="preserve">can be </w:t>
      </w:r>
      <w:r w:rsidR="003F014E" w:rsidRPr="007A6CAC">
        <w:rPr>
          <w:lang w:val="en-GB"/>
        </w:rPr>
        <w:t xml:space="preserve">thus </w:t>
      </w:r>
      <w:r w:rsidR="000B1A2D" w:rsidRPr="007A6CAC">
        <w:rPr>
          <w:lang w:val="en-GB"/>
        </w:rPr>
        <w:t>implemented in the</w:t>
      </w:r>
      <w:r w:rsidR="00BA5BDE" w:rsidRPr="007A6CAC">
        <w:rPr>
          <w:lang w:val="en-GB"/>
        </w:rPr>
        <w:t xml:space="preserve"> ETA </w:t>
      </w:r>
      <w:r w:rsidR="000B1A2D" w:rsidRPr="007A6CAC">
        <w:rPr>
          <w:lang w:val="en-GB"/>
        </w:rPr>
        <w:t xml:space="preserve">by means of specific logical gates. These gates have been </w:t>
      </w:r>
      <w:r w:rsidR="00ED45F3" w:rsidRPr="007A6CAC">
        <w:rPr>
          <w:lang w:val="en-GB"/>
        </w:rPr>
        <w:t>adapted from the</w:t>
      </w:r>
      <w:r w:rsidR="00AC7C5E" w:rsidRPr="007A6CAC">
        <w:rPr>
          <w:lang w:val="en-GB"/>
        </w:rPr>
        <w:t xml:space="preserve"> work </w:t>
      </w:r>
      <w:r w:rsidR="00ED45F3" w:rsidRPr="007A6CAC">
        <w:rPr>
          <w:lang w:val="en-GB"/>
        </w:rPr>
        <w:t>of</w:t>
      </w:r>
      <w:r w:rsidR="00AC7C5E" w:rsidRPr="007A6CAC">
        <w:rPr>
          <w:lang w:val="en-GB"/>
        </w:rPr>
        <w:t xml:space="preserve"> (Casson Moreno et al., 2022)</w:t>
      </w:r>
      <w:r w:rsidR="00A2260A" w:rsidRPr="007A6CAC">
        <w:rPr>
          <w:lang w:val="en-GB"/>
        </w:rPr>
        <w:t xml:space="preserve"> and are </w:t>
      </w:r>
      <w:r w:rsidR="003779E3" w:rsidRPr="007A6CAC">
        <w:rPr>
          <w:lang w:val="en-GB"/>
        </w:rPr>
        <w:t>summarized</w:t>
      </w:r>
      <w:r w:rsidR="00B51EC8" w:rsidRPr="007A6CAC">
        <w:rPr>
          <w:lang w:val="en-GB"/>
        </w:rPr>
        <w:t xml:space="preserve"> in Table 2.</w:t>
      </w:r>
      <w:r w:rsidR="00835B52" w:rsidRPr="007A6CAC">
        <w:rPr>
          <w:lang w:val="en-GB"/>
        </w:rPr>
        <w:t xml:space="preserve"> </w:t>
      </w:r>
      <w:r w:rsidR="00865DB8" w:rsidRPr="007A6CAC">
        <w:rPr>
          <w:lang w:val="en-GB"/>
        </w:rPr>
        <w:t>Namely, the probabilistic parameters are combined a</w:t>
      </w:r>
      <w:r w:rsidR="00835B52" w:rsidRPr="007A6CAC">
        <w:rPr>
          <w:lang w:val="en-GB"/>
        </w:rPr>
        <w:t xml:space="preserve">ccording to </w:t>
      </w:r>
      <w:r w:rsidR="00865DB8" w:rsidRPr="007A6CAC">
        <w:rPr>
          <w:lang w:val="en-GB"/>
        </w:rPr>
        <w:t>the type of distribution (single</w:t>
      </w:r>
      <w:r w:rsidR="00562331" w:rsidRPr="007A6CAC">
        <w:rPr>
          <w:lang w:val="en-GB"/>
        </w:rPr>
        <w:t xml:space="preserve"> for gate A</w:t>
      </w:r>
      <w:r w:rsidR="00865DB8" w:rsidRPr="007A6CAC">
        <w:rPr>
          <w:lang w:val="en-GB"/>
        </w:rPr>
        <w:t>, composite</w:t>
      </w:r>
      <w:r w:rsidR="00562331" w:rsidRPr="007A6CAC">
        <w:rPr>
          <w:lang w:val="en-GB"/>
        </w:rPr>
        <w:t xml:space="preserve"> for gate B</w:t>
      </w:r>
      <w:r w:rsidR="00865DB8" w:rsidRPr="007A6CAC">
        <w:rPr>
          <w:lang w:val="en-GB"/>
        </w:rPr>
        <w:t>,</w:t>
      </w:r>
      <w:r w:rsidR="00562331" w:rsidRPr="007A6CAC">
        <w:rPr>
          <w:lang w:val="en-GB"/>
        </w:rPr>
        <w:t xml:space="preserve"> and </w:t>
      </w:r>
      <w:r w:rsidR="00865DB8" w:rsidRPr="007A6CAC">
        <w:rPr>
          <w:lang w:val="en-GB"/>
        </w:rPr>
        <w:t>discrete</w:t>
      </w:r>
      <w:r w:rsidR="00562331" w:rsidRPr="007A6CAC">
        <w:rPr>
          <w:lang w:val="en-GB"/>
        </w:rPr>
        <w:t xml:space="preserve"> for gate C</w:t>
      </w:r>
      <w:r w:rsidR="00865DB8" w:rsidRPr="007A6CAC">
        <w:rPr>
          <w:lang w:val="en-GB"/>
        </w:rPr>
        <w:t>).</w:t>
      </w:r>
      <w:r w:rsidR="0012314A" w:rsidRPr="007A6CAC">
        <w:rPr>
          <w:lang w:val="en-GB"/>
        </w:rPr>
        <w:t xml:space="preserve"> Gate D instead represents the physical integrity of the targeted</w:t>
      </w:r>
      <w:r w:rsidR="0012314A">
        <w:rPr>
          <w:lang w:val="en-GB"/>
        </w:rPr>
        <w:t xml:space="preserve"> </w:t>
      </w:r>
      <w:r w:rsidR="0012314A">
        <w:rPr>
          <w:lang w:val="en-GB"/>
        </w:rPr>
        <w:lastRenderedPageBreak/>
        <w:t xml:space="preserve">equipment: </w:t>
      </w:r>
      <w:r w:rsidR="00D53E46">
        <w:rPr>
          <w:lang w:val="en-GB"/>
        </w:rPr>
        <w:t>n</w:t>
      </w:r>
      <w:r w:rsidR="005E6EC4">
        <w:rPr>
          <w:lang w:val="en-GB"/>
        </w:rPr>
        <w:t>a</w:t>
      </w:r>
      <w:r w:rsidR="00D53E46">
        <w:rPr>
          <w:lang w:val="en-GB"/>
        </w:rPr>
        <w:t xml:space="preserve">mely, </w:t>
      </w:r>
      <w:r w:rsidR="00DC7E76">
        <w:rPr>
          <w:lang w:val="en-GB"/>
        </w:rPr>
        <w:t xml:space="preserve">the failure probability of the equipment </w:t>
      </w:r>
      <w:r w:rsidR="00DC7E76" w:rsidRPr="0038536A">
        <w:rPr>
          <w:i/>
          <w:iCs/>
          <w:lang w:val="en-GB"/>
        </w:rPr>
        <w:t>P</w:t>
      </w:r>
      <w:r w:rsidR="00DC7E76" w:rsidRPr="0038536A">
        <w:rPr>
          <w:i/>
          <w:iCs/>
          <w:vertAlign w:val="subscript"/>
          <w:lang w:val="en-GB"/>
        </w:rPr>
        <w:t>d</w:t>
      </w:r>
      <w:r w:rsidR="00DC7E76">
        <w:rPr>
          <w:lang w:val="en-GB"/>
        </w:rPr>
        <w:t xml:space="preserve"> is evaluated </w:t>
      </w:r>
      <w:r w:rsidR="0038536A">
        <w:rPr>
          <w:lang w:val="en-GB"/>
        </w:rPr>
        <w:t xml:space="preserve">based on the received </w:t>
      </w:r>
      <w:r w:rsidR="00D53E46">
        <w:rPr>
          <w:lang w:val="en-GB"/>
        </w:rPr>
        <w:t>dose of physical effect</w:t>
      </w:r>
      <w:r w:rsidR="0038536A">
        <w:rPr>
          <w:lang w:val="en-GB"/>
        </w:rPr>
        <w:t>s</w:t>
      </w:r>
      <w:r w:rsidR="00A2260A">
        <w:rPr>
          <w:lang w:val="en-GB"/>
        </w:rPr>
        <w:t xml:space="preserve">, </w:t>
      </w:r>
      <w:r w:rsidR="00D53E46">
        <w:rPr>
          <w:lang w:val="en-GB"/>
        </w:rPr>
        <w:t xml:space="preserve">e.g., overpressure or heat radiation, </w:t>
      </w:r>
      <w:r w:rsidR="0038536A">
        <w:rPr>
          <w:lang w:val="en-GB"/>
        </w:rPr>
        <w:t>through the use of fragility models found in the literature.</w:t>
      </w:r>
    </w:p>
    <w:p w14:paraId="483DA216" w14:textId="74862A0C" w:rsidR="009701DF" w:rsidRDefault="009701DF" w:rsidP="00453E24">
      <w:pPr>
        <w:pStyle w:val="CETBodytext"/>
        <w:rPr>
          <w:lang w:val="en-GB"/>
        </w:rPr>
      </w:pPr>
      <w:r w:rsidRPr="00BB306C">
        <w:rPr>
          <w:lang w:val="en-GB"/>
        </w:rPr>
        <w:t>Table 3 sums up the</w:t>
      </w:r>
      <w:r w:rsidR="00C74646" w:rsidRPr="00BB306C">
        <w:rPr>
          <w:lang w:val="en-GB"/>
        </w:rPr>
        <w:t xml:space="preserve"> information on the</w:t>
      </w:r>
      <w:r w:rsidRPr="00BB306C">
        <w:rPr>
          <w:lang w:val="en-GB"/>
        </w:rPr>
        <w:t xml:space="preserve"> </w:t>
      </w:r>
      <w:r w:rsidR="00C74646" w:rsidRPr="00BB306C">
        <w:rPr>
          <w:lang w:val="en-GB"/>
        </w:rPr>
        <w:t>barriers that are going to be used in the demonstrational case study in Section 3.</w:t>
      </w:r>
    </w:p>
    <w:p w14:paraId="244A10CE" w14:textId="7A0F27C4" w:rsidR="00A67399" w:rsidRPr="0088270B" w:rsidRDefault="0088270B" w:rsidP="0088270B">
      <w:pPr>
        <w:pStyle w:val="CETTabletitle"/>
      </w:pPr>
      <w:r w:rsidRPr="00BB306C">
        <w:t xml:space="preserve">Table 2: </w:t>
      </w:r>
      <w:r w:rsidR="00E50FF4" w:rsidRPr="00BB306C">
        <w:t>G</w:t>
      </w:r>
      <w:r w:rsidRPr="00BB306C">
        <w:t xml:space="preserve">ate types and representation (adapted from (Casson Moreno et </w:t>
      </w:r>
      <w:r w:rsidR="00705598" w:rsidRPr="00BB306C">
        <w:t xml:space="preserve"> </w:t>
      </w:r>
      <w:r w:rsidRPr="00BB306C">
        <w:t>al., 2022))</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80"/>
        <w:gridCol w:w="5607"/>
      </w:tblGrid>
      <w:tr w:rsidR="004B38BE" w:rsidRPr="00B57B36" w14:paraId="283B441D" w14:textId="77777777" w:rsidTr="00183F48">
        <w:tc>
          <w:tcPr>
            <w:tcW w:w="3180" w:type="dxa"/>
            <w:tcBorders>
              <w:top w:val="single" w:sz="12" w:space="0" w:color="008000"/>
              <w:bottom w:val="single" w:sz="6" w:space="0" w:color="008000"/>
            </w:tcBorders>
            <w:shd w:val="clear" w:color="auto" w:fill="FFFFFF"/>
          </w:tcPr>
          <w:p w14:paraId="4F4E7532" w14:textId="5E98EF34" w:rsidR="004B38BE" w:rsidRPr="00B57B36" w:rsidRDefault="00E50FF4" w:rsidP="003D20C9">
            <w:pPr>
              <w:pStyle w:val="CETBodytext"/>
              <w:rPr>
                <w:lang w:val="en-GB"/>
              </w:rPr>
            </w:pPr>
            <w:r>
              <w:rPr>
                <w:lang w:val="en-GB"/>
              </w:rPr>
              <w:t>Gate type &amp; representation</w:t>
            </w:r>
          </w:p>
        </w:tc>
        <w:tc>
          <w:tcPr>
            <w:tcW w:w="5607" w:type="dxa"/>
            <w:tcBorders>
              <w:top w:val="single" w:sz="12" w:space="0" w:color="008000"/>
              <w:bottom w:val="single" w:sz="6" w:space="0" w:color="008000"/>
            </w:tcBorders>
            <w:shd w:val="clear" w:color="auto" w:fill="FFFFFF"/>
          </w:tcPr>
          <w:p w14:paraId="71D234AA" w14:textId="5A07357B" w:rsidR="004B38BE" w:rsidRPr="00B57B36" w:rsidRDefault="00E50FF4" w:rsidP="003D20C9">
            <w:pPr>
              <w:pStyle w:val="CETBodytext"/>
              <w:rPr>
                <w:lang w:val="en-GB"/>
              </w:rPr>
            </w:pPr>
            <w:r>
              <w:rPr>
                <w:lang w:val="en-GB"/>
              </w:rPr>
              <w:t>Description</w:t>
            </w:r>
          </w:p>
        </w:tc>
      </w:tr>
      <w:tr w:rsidR="004B38BE" w:rsidRPr="00B57B36" w14:paraId="27D7426D" w14:textId="77777777" w:rsidTr="00964B60">
        <w:trPr>
          <w:trHeight w:val="283"/>
        </w:trPr>
        <w:tc>
          <w:tcPr>
            <w:tcW w:w="3180" w:type="dxa"/>
            <w:shd w:val="clear" w:color="auto" w:fill="FFFFFF"/>
          </w:tcPr>
          <w:p w14:paraId="3D3060A3" w14:textId="3C1841E0" w:rsidR="004B38BE" w:rsidRPr="00B57B36" w:rsidRDefault="004B38BE" w:rsidP="003D20C9">
            <w:pPr>
              <w:pStyle w:val="CETBodytext"/>
              <w:ind w:right="-1"/>
              <w:rPr>
                <w:rFonts w:cs="Arial"/>
                <w:szCs w:val="18"/>
                <w:lang w:val="en-GB"/>
              </w:rPr>
            </w:pPr>
            <w:r w:rsidRPr="001C0ED0">
              <w:rPr>
                <w:noProof/>
              </w:rPr>
              <w:drawing>
                <wp:inline distT="0" distB="0" distL="0" distR="0" wp14:anchorId="09A41242" wp14:editId="72236BFB">
                  <wp:extent cx="2012315" cy="433705"/>
                  <wp:effectExtent l="0" t="0" r="6985" b="0"/>
                  <wp:docPr id="21146256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315" cy="433705"/>
                          </a:xfrm>
                          <a:prstGeom prst="rect">
                            <a:avLst/>
                          </a:prstGeom>
                          <a:noFill/>
                          <a:ln>
                            <a:noFill/>
                          </a:ln>
                        </pic:spPr>
                      </pic:pic>
                    </a:graphicData>
                  </a:graphic>
                </wp:inline>
              </w:drawing>
            </w:r>
          </w:p>
        </w:tc>
        <w:tc>
          <w:tcPr>
            <w:tcW w:w="5607" w:type="dxa"/>
            <w:shd w:val="clear" w:color="auto" w:fill="FFFFFF"/>
          </w:tcPr>
          <w:p w14:paraId="609AA5CB" w14:textId="607D8454" w:rsidR="004B38BE" w:rsidRPr="00B57B36" w:rsidRDefault="00183F48" w:rsidP="003D20C9">
            <w:pPr>
              <w:pStyle w:val="CETBodytext"/>
              <w:ind w:right="-1"/>
              <w:rPr>
                <w:rFonts w:cs="Arial"/>
                <w:szCs w:val="18"/>
                <w:lang w:val="en-GB"/>
              </w:rPr>
            </w:pPr>
            <w:r w:rsidRPr="00C9697C">
              <w:t>Simple composite probabilit</w:t>
            </w:r>
            <w:r>
              <w:t>y</w:t>
            </w:r>
            <w:r w:rsidRPr="00C9697C">
              <w:t>: availability</w:t>
            </w:r>
            <w:r>
              <w:t xml:space="preserve"> </w:t>
            </w:r>
            <w:r w:rsidRPr="00C9697C">
              <w:t>is multiplied by a single probability value expressing the probability of barrier success in the prevention of the escalation</w:t>
            </w:r>
            <w:r w:rsidR="00964B60">
              <w:t>.</w:t>
            </w:r>
          </w:p>
        </w:tc>
      </w:tr>
      <w:tr w:rsidR="004B38BE" w:rsidRPr="00B57B36" w14:paraId="3D09DFDA" w14:textId="77777777" w:rsidTr="00183F48">
        <w:tc>
          <w:tcPr>
            <w:tcW w:w="3180" w:type="dxa"/>
            <w:shd w:val="clear" w:color="auto" w:fill="FFFFFF"/>
          </w:tcPr>
          <w:p w14:paraId="69EBF0FA" w14:textId="74F34A78" w:rsidR="004B38BE" w:rsidRDefault="004B38BE" w:rsidP="003D20C9">
            <w:pPr>
              <w:pStyle w:val="CETBodytext"/>
              <w:ind w:right="-1"/>
              <w:rPr>
                <w:rFonts w:cs="Arial"/>
                <w:szCs w:val="18"/>
                <w:lang w:val="en-GB"/>
              </w:rPr>
            </w:pPr>
            <w:r w:rsidRPr="00FC0CBA">
              <w:rPr>
                <w:noProof/>
              </w:rPr>
              <w:drawing>
                <wp:anchor distT="0" distB="0" distL="114300" distR="114300" simplePos="0" relativeHeight="251658240" behindDoc="1" locked="0" layoutInCell="1" allowOverlap="1" wp14:anchorId="347CC598" wp14:editId="6EA45510">
                  <wp:simplePos x="0" y="0"/>
                  <wp:positionH relativeFrom="column">
                    <wp:posOffset>0</wp:posOffset>
                  </wp:positionH>
                  <wp:positionV relativeFrom="paragraph">
                    <wp:posOffset>87128</wp:posOffset>
                  </wp:positionV>
                  <wp:extent cx="1971675" cy="429895"/>
                  <wp:effectExtent l="0" t="0" r="9525" b="0"/>
                  <wp:wrapTight wrapText="bothSides">
                    <wp:wrapPolygon edited="0">
                      <wp:start x="5635" y="0"/>
                      <wp:lineTo x="0" y="2871"/>
                      <wp:lineTo x="0" y="16272"/>
                      <wp:lineTo x="7930" y="20100"/>
                      <wp:lineTo x="16278" y="20100"/>
                      <wp:lineTo x="17739" y="17229"/>
                      <wp:lineTo x="21496" y="5743"/>
                      <wp:lineTo x="21496" y="0"/>
                      <wp:lineTo x="5635" y="0"/>
                    </wp:wrapPolygon>
                  </wp:wrapTight>
                  <wp:docPr id="1197216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429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07" w:type="dxa"/>
            <w:shd w:val="clear" w:color="auto" w:fill="FFFFFF"/>
          </w:tcPr>
          <w:p w14:paraId="5FD65864" w14:textId="14D5FF40" w:rsidR="004B38BE" w:rsidRDefault="00EF0274" w:rsidP="003D20C9">
            <w:pPr>
              <w:pStyle w:val="CETBodytext"/>
              <w:ind w:right="-1"/>
              <w:rPr>
                <w:rFonts w:cs="Arial"/>
                <w:szCs w:val="18"/>
                <w:lang w:val="en-GB"/>
              </w:rPr>
            </w:pPr>
            <w:r w:rsidRPr="00EF0274">
              <w:rPr>
                <w:rFonts w:cs="Arial"/>
                <w:szCs w:val="18"/>
                <w:lang w:val="en-GB"/>
              </w:rPr>
              <w:t>Composite probability distribution: availability is multiplied by a probability distribution expressing the probability of barrier success in the prevention of escalation, thus obtaining a composite probability of barrier failure on demand.</w:t>
            </w:r>
          </w:p>
        </w:tc>
      </w:tr>
      <w:tr w:rsidR="004B38BE" w:rsidRPr="00B57B36" w14:paraId="666F77E2" w14:textId="77777777" w:rsidTr="00183F48">
        <w:tc>
          <w:tcPr>
            <w:tcW w:w="3180" w:type="dxa"/>
            <w:shd w:val="clear" w:color="auto" w:fill="FFFFFF"/>
          </w:tcPr>
          <w:p w14:paraId="3EDD7AC6" w14:textId="0FEC88A5" w:rsidR="004B38BE" w:rsidRDefault="004B38BE" w:rsidP="003D20C9">
            <w:pPr>
              <w:pStyle w:val="CETBodytext"/>
              <w:ind w:right="-1"/>
              <w:rPr>
                <w:rFonts w:cs="Arial"/>
                <w:szCs w:val="18"/>
                <w:lang w:val="en-GB"/>
              </w:rPr>
            </w:pPr>
            <w:r w:rsidRPr="002E0186">
              <w:rPr>
                <w:noProof/>
              </w:rPr>
              <w:drawing>
                <wp:inline distT="0" distB="0" distL="0" distR="0" wp14:anchorId="0042E1A0" wp14:editId="5D98EB01">
                  <wp:extent cx="1409111" cy="641445"/>
                  <wp:effectExtent l="0" t="0" r="0" b="0"/>
                  <wp:docPr id="20014902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397" cy="644761"/>
                          </a:xfrm>
                          <a:prstGeom prst="rect">
                            <a:avLst/>
                          </a:prstGeom>
                          <a:noFill/>
                          <a:ln>
                            <a:noFill/>
                          </a:ln>
                        </pic:spPr>
                      </pic:pic>
                    </a:graphicData>
                  </a:graphic>
                </wp:inline>
              </w:drawing>
            </w:r>
          </w:p>
        </w:tc>
        <w:tc>
          <w:tcPr>
            <w:tcW w:w="5607" w:type="dxa"/>
            <w:shd w:val="clear" w:color="auto" w:fill="FFFFFF"/>
          </w:tcPr>
          <w:p w14:paraId="2C3ACA4B" w14:textId="6AD7B6E0" w:rsidR="004B38BE" w:rsidRDefault="00964B60" w:rsidP="003D20C9">
            <w:pPr>
              <w:pStyle w:val="CETBodytext"/>
              <w:ind w:right="-1"/>
              <w:rPr>
                <w:rFonts w:cs="Arial"/>
                <w:szCs w:val="18"/>
                <w:lang w:val="en-GB"/>
              </w:rPr>
            </w:pPr>
            <w:r w:rsidRPr="00964B60">
              <w:rPr>
                <w:rFonts w:cs="Arial"/>
                <w:szCs w:val="18"/>
                <w:lang w:val="en-GB"/>
              </w:rPr>
              <w:t>Discrete probability distribution: depending on barrier effectiveness, three or more events may originate from the gate describing the barrier performance.</w:t>
            </w:r>
          </w:p>
        </w:tc>
      </w:tr>
      <w:tr w:rsidR="004B38BE" w:rsidRPr="00B57B36" w14:paraId="091675BA" w14:textId="77777777" w:rsidTr="00183F48">
        <w:tc>
          <w:tcPr>
            <w:tcW w:w="3180" w:type="dxa"/>
            <w:shd w:val="clear" w:color="auto" w:fill="FFFFFF"/>
          </w:tcPr>
          <w:p w14:paraId="37C04309" w14:textId="17F23862" w:rsidR="004B38BE" w:rsidRDefault="004F55B2" w:rsidP="003D20C9">
            <w:pPr>
              <w:pStyle w:val="CETBodytext"/>
              <w:ind w:right="-1"/>
              <w:rPr>
                <w:rFonts w:cs="Arial"/>
                <w:szCs w:val="18"/>
                <w:lang w:val="en-GB"/>
              </w:rPr>
            </w:pPr>
            <w:r w:rsidRPr="00EC67AD">
              <w:rPr>
                <w:noProof/>
              </w:rPr>
              <w:drawing>
                <wp:inline distT="0" distB="0" distL="0" distR="0" wp14:anchorId="4269BAED" wp14:editId="1E93CA78">
                  <wp:extent cx="1245870" cy="441325"/>
                  <wp:effectExtent l="0" t="0" r="0" b="0"/>
                  <wp:docPr id="15868802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870" cy="441325"/>
                          </a:xfrm>
                          <a:prstGeom prst="rect">
                            <a:avLst/>
                          </a:prstGeom>
                          <a:noFill/>
                          <a:ln>
                            <a:noFill/>
                          </a:ln>
                        </pic:spPr>
                      </pic:pic>
                    </a:graphicData>
                  </a:graphic>
                </wp:inline>
              </w:drawing>
            </w:r>
          </w:p>
        </w:tc>
        <w:tc>
          <w:tcPr>
            <w:tcW w:w="5607" w:type="dxa"/>
            <w:shd w:val="clear" w:color="auto" w:fill="FFFFFF"/>
          </w:tcPr>
          <w:p w14:paraId="3C4047FC" w14:textId="07D0CCE0" w:rsidR="004B38BE" w:rsidRDefault="004F55B2" w:rsidP="003D20C9">
            <w:pPr>
              <w:pStyle w:val="CETBodytext"/>
              <w:ind w:right="-1"/>
              <w:rPr>
                <w:rFonts w:cs="Arial"/>
                <w:szCs w:val="18"/>
                <w:lang w:val="en-GB"/>
              </w:rPr>
            </w:pPr>
            <w:r w:rsidRPr="004F55B2">
              <w:rPr>
                <w:rFonts w:cs="Arial"/>
                <w:szCs w:val="18"/>
                <w:lang w:val="en-GB"/>
              </w:rPr>
              <w:t>Vessel fragility gate: based on the status of the target equipment, the damage probability (</w:t>
            </w:r>
            <w:r w:rsidRPr="00D53E46">
              <w:rPr>
                <w:rFonts w:cs="Arial"/>
                <w:i/>
                <w:iCs/>
                <w:szCs w:val="18"/>
                <w:lang w:val="en-GB"/>
              </w:rPr>
              <w:t>P</w:t>
            </w:r>
            <w:r w:rsidRPr="00D53E46">
              <w:rPr>
                <w:rFonts w:cs="Arial"/>
                <w:i/>
                <w:iCs/>
                <w:szCs w:val="18"/>
                <w:vertAlign w:val="subscript"/>
                <w:lang w:val="en-GB"/>
              </w:rPr>
              <w:t>d</w:t>
            </w:r>
            <w:r w:rsidRPr="004F55B2">
              <w:rPr>
                <w:rFonts w:cs="Arial"/>
                <w:szCs w:val="18"/>
                <w:lang w:val="en-GB"/>
              </w:rPr>
              <w:t>) is computed through equipment vulnerability models.</w:t>
            </w:r>
          </w:p>
        </w:tc>
      </w:tr>
    </w:tbl>
    <w:p w14:paraId="201FB5DF" w14:textId="467FA1B5" w:rsidR="009E467F" w:rsidRPr="00BB306C" w:rsidRDefault="009E467F" w:rsidP="00693292">
      <w:pPr>
        <w:pStyle w:val="CETTabletitle"/>
      </w:pPr>
      <w:r w:rsidRPr="00BB306C">
        <w:t xml:space="preserve">Table </w:t>
      </w:r>
      <w:r w:rsidR="00851284" w:rsidRPr="00BB306C">
        <w:t>3</w:t>
      </w:r>
      <w:r w:rsidRPr="00BB306C">
        <w:t>: Performance of barriers used in this work</w:t>
      </w:r>
      <w:r w:rsidR="001906F7" w:rsidRPr="00BB306C">
        <w:t>.</w:t>
      </w:r>
      <w:r w:rsidR="00E46285" w:rsidRPr="00BB306C">
        <w:t xml:space="preserve"> AIT: adversary intrusion time; ERT = emergency </w:t>
      </w:r>
      <w:r w:rsidR="00857391" w:rsidRPr="00BB306C">
        <w:t>response time</w:t>
      </w:r>
      <w:r w:rsidR="003A2BE6">
        <w:t>. For gate types, see Table 2</w:t>
      </w:r>
    </w:p>
    <w:tbl>
      <w:tblPr>
        <w:tblW w:w="878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54"/>
        <w:gridCol w:w="970"/>
        <w:gridCol w:w="790"/>
        <w:gridCol w:w="486"/>
        <w:gridCol w:w="830"/>
        <w:gridCol w:w="1351"/>
        <w:gridCol w:w="2406"/>
      </w:tblGrid>
      <w:tr w:rsidR="00E50FF4" w:rsidRPr="00BB306C" w14:paraId="0194E903" w14:textId="012733AB" w:rsidTr="000C24CA">
        <w:tc>
          <w:tcPr>
            <w:tcW w:w="1954" w:type="dxa"/>
            <w:tcBorders>
              <w:top w:val="single" w:sz="12" w:space="0" w:color="008000"/>
              <w:bottom w:val="single" w:sz="6" w:space="0" w:color="008000"/>
            </w:tcBorders>
            <w:shd w:val="clear" w:color="auto" w:fill="FFFFFF"/>
          </w:tcPr>
          <w:p w14:paraId="4637C2A2" w14:textId="08382C24" w:rsidR="00E50FF4" w:rsidRPr="00BB306C" w:rsidRDefault="00693292" w:rsidP="003D20C9">
            <w:pPr>
              <w:pStyle w:val="CETBodytext"/>
              <w:rPr>
                <w:lang w:val="en-GB"/>
              </w:rPr>
            </w:pPr>
            <w:r w:rsidRPr="00BB306C">
              <w:rPr>
                <w:lang w:val="en-GB"/>
              </w:rPr>
              <w:t>Barrier name</w:t>
            </w:r>
          </w:p>
        </w:tc>
        <w:tc>
          <w:tcPr>
            <w:tcW w:w="970" w:type="dxa"/>
            <w:tcBorders>
              <w:top w:val="single" w:sz="12" w:space="0" w:color="008000"/>
              <w:bottom w:val="single" w:sz="6" w:space="0" w:color="008000"/>
            </w:tcBorders>
            <w:shd w:val="clear" w:color="auto" w:fill="FFFFFF"/>
          </w:tcPr>
          <w:p w14:paraId="6432A16F" w14:textId="557D852B" w:rsidR="00E50FF4" w:rsidRPr="00BB306C" w:rsidRDefault="006820A4" w:rsidP="003D20C9">
            <w:pPr>
              <w:pStyle w:val="CETBodytext"/>
              <w:rPr>
                <w:lang w:val="en-GB"/>
              </w:rPr>
            </w:pPr>
            <w:r w:rsidRPr="00BB306C">
              <w:rPr>
                <w:lang w:val="en-GB"/>
              </w:rPr>
              <w:t>Function</w:t>
            </w:r>
          </w:p>
        </w:tc>
        <w:tc>
          <w:tcPr>
            <w:tcW w:w="790" w:type="dxa"/>
            <w:tcBorders>
              <w:top w:val="single" w:sz="12" w:space="0" w:color="008000"/>
              <w:bottom w:val="single" w:sz="6" w:space="0" w:color="008000"/>
            </w:tcBorders>
            <w:shd w:val="clear" w:color="auto" w:fill="FFFFFF"/>
          </w:tcPr>
          <w:p w14:paraId="3BF58517" w14:textId="77777777" w:rsidR="00E50FF4" w:rsidRPr="00BB306C" w:rsidRDefault="006820A4" w:rsidP="003D20C9">
            <w:pPr>
              <w:pStyle w:val="CETBodytext"/>
              <w:rPr>
                <w:lang w:val="en-GB"/>
              </w:rPr>
            </w:pPr>
            <w:r w:rsidRPr="00BB306C">
              <w:rPr>
                <w:lang w:val="en-GB"/>
              </w:rPr>
              <w:t>Working</w:t>
            </w:r>
          </w:p>
          <w:p w14:paraId="0567FE56" w14:textId="222FF505" w:rsidR="006820A4" w:rsidRPr="00BB306C" w:rsidRDefault="006820A4" w:rsidP="003D20C9">
            <w:pPr>
              <w:pStyle w:val="CETBodytext"/>
              <w:rPr>
                <w:lang w:val="en-GB"/>
              </w:rPr>
            </w:pPr>
            <w:r w:rsidRPr="00BB306C">
              <w:rPr>
                <w:lang w:val="en-GB"/>
              </w:rPr>
              <w:t>Principle</w:t>
            </w:r>
          </w:p>
        </w:tc>
        <w:tc>
          <w:tcPr>
            <w:tcW w:w="486" w:type="dxa"/>
            <w:tcBorders>
              <w:top w:val="single" w:sz="12" w:space="0" w:color="008000"/>
              <w:bottom w:val="single" w:sz="6" w:space="0" w:color="008000"/>
            </w:tcBorders>
            <w:shd w:val="clear" w:color="auto" w:fill="FFFFFF"/>
          </w:tcPr>
          <w:p w14:paraId="17950324" w14:textId="77777777" w:rsidR="00E50FF4" w:rsidRPr="00BB306C" w:rsidRDefault="00693292" w:rsidP="003D20C9">
            <w:pPr>
              <w:pStyle w:val="CETBodytext"/>
              <w:rPr>
                <w:lang w:val="en-GB"/>
              </w:rPr>
            </w:pPr>
            <w:r w:rsidRPr="00BB306C">
              <w:rPr>
                <w:lang w:val="en-GB"/>
              </w:rPr>
              <w:t>Gate</w:t>
            </w:r>
          </w:p>
          <w:p w14:paraId="519642C7" w14:textId="715860AC" w:rsidR="00693292" w:rsidRPr="00BB306C" w:rsidRDefault="00693292" w:rsidP="003D20C9">
            <w:pPr>
              <w:pStyle w:val="CETBodytext"/>
              <w:rPr>
                <w:lang w:val="en-GB"/>
              </w:rPr>
            </w:pPr>
            <w:r w:rsidRPr="00BB306C">
              <w:rPr>
                <w:lang w:val="en-GB"/>
              </w:rPr>
              <w:t>type</w:t>
            </w:r>
          </w:p>
        </w:tc>
        <w:tc>
          <w:tcPr>
            <w:tcW w:w="830" w:type="dxa"/>
            <w:tcBorders>
              <w:top w:val="single" w:sz="12" w:space="0" w:color="008000"/>
              <w:bottom w:val="single" w:sz="6" w:space="0" w:color="008000"/>
            </w:tcBorders>
            <w:shd w:val="clear" w:color="auto" w:fill="FFFFFF"/>
          </w:tcPr>
          <w:p w14:paraId="0C8CBD10" w14:textId="2864F28C" w:rsidR="00E50FF4" w:rsidRPr="00BB306C" w:rsidRDefault="00693292" w:rsidP="003D20C9">
            <w:pPr>
              <w:pStyle w:val="CETBodytext"/>
              <w:rPr>
                <w:lang w:val="en-GB"/>
              </w:rPr>
            </w:pPr>
            <w:r w:rsidRPr="00BB306C">
              <w:rPr>
                <w:lang w:val="en-GB"/>
              </w:rPr>
              <w:t>PFD</w:t>
            </w:r>
          </w:p>
        </w:tc>
        <w:tc>
          <w:tcPr>
            <w:tcW w:w="1351" w:type="dxa"/>
            <w:tcBorders>
              <w:top w:val="single" w:sz="12" w:space="0" w:color="008000"/>
              <w:bottom w:val="single" w:sz="6" w:space="0" w:color="008000"/>
            </w:tcBorders>
            <w:shd w:val="clear" w:color="auto" w:fill="FFFFFF"/>
          </w:tcPr>
          <w:p w14:paraId="57F5D401" w14:textId="5CDCF298" w:rsidR="00E50FF4" w:rsidRPr="00BB306C" w:rsidRDefault="00693292" w:rsidP="003D20C9">
            <w:pPr>
              <w:pStyle w:val="CETBodytext"/>
              <w:rPr>
                <w:lang w:val="en-GB"/>
              </w:rPr>
            </w:pPr>
            <w:r w:rsidRPr="00BB306C">
              <w:rPr>
                <w:rFonts w:ascii="Calibri" w:hAnsi="Calibri" w:cs="Calibri"/>
                <w:lang w:val="en-GB"/>
              </w:rPr>
              <w:t>η</w:t>
            </w:r>
          </w:p>
        </w:tc>
        <w:tc>
          <w:tcPr>
            <w:tcW w:w="2406" w:type="dxa"/>
            <w:tcBorders>
              <w:top w:val="single" w:sz="12" w:space="0" w:color="008000"/>
              <w:bottom w:val="single" w:sz="6" w:space="0" w:color="008000"/>
            </w:tcBorders>
            <w:shd w:val="clear" w:color="auto" w:fill="FFFFFF"/>
          </w:tcPr>
          <w:p w14:paraId="0CD2FCA4" w14:textId="1BA3FB96" w:rsidR="00E50FF4" w:rsidRPr="00BB306C" w:rsidRDefault="00693292" w:rsidP="003D20C9">
            <w:pPr>
              <w:pStyle w:val="CETBodytext"/>
              <w:rPr>
                <w:lang w:val="en-GB"/>
              </w:rPr>
            </w:pPr>
            <w:r w:rsidRPr="00BB306C">
              <w:rPr>
                <w:lang w:val="en-GB"/>
              </w:rPr>
              <w:t>Source</w:t>
            </w:r>
          </w:p>
        </w:tc>
      </w:tr>
      <w:tr w:rsidR="00E50FF4" w:rsidRPr="00BB306C" w14:paraId="4B6E8F58" w14:textId="736A9568" w:rsidTr="000C24CA">
        <w:tc>
          <w:tcPr>
            <w:tcW w:w="1954" w:type="dxa"/>
            <w:shd w:val="clear" w:color="auto" w:fill="FFFFFF"/>
          </w:tcPr>
          <w:p w14:paraId="436C4DA5" w14:textId="6C4F777D" w:rsidR="00E50FF4" w:rsidRPr="00BB306C" w:rsidRDefault="006820A4" w:rsidP="003D20C9">
            <w:pPr>
              <w:pStyle w:val="CETBodytext"/>
              <w:ind w:right="-1"/>
              <w:rPr>
                <w:rFonts w:cs="Arial"/>
                <w:szCs w:val="18"/>
                <w:lang w:val="en-GB"/>
              </w:rPr>
            </w:pPr>
            <w:r w:rsidRPr="00BB306C">
              <w:rPr>
                <w:rFonts w:cs="Arial"/>
                <w:szCs w:val="18"/>
                <w:lang w:val="en-GB"/>
              </w:rPr>
              <w:t>Entry Control</w:t>
            </w:r>
          </w:p>
        </w:tc>
        <w:tc>
          <w:tcPr>
            <w:tcW w:w="970" w:type="dxa"/>
            <w:shd w:val="clear" w:color="auto" w:fill="FFFFFF"/>
          </w:tcPr>
          <w:p w14:paraId="2CEB9147" w14:textId="2992D9CE" w:rsidR="00E50FF4" w:rsidRPr="00BB306C" w:rsidRDefault="00AD7DC9" w:rsidP="003D20C9">
            <w:pPr>
              <w:pStyle w:val="CETBodytext"/>
              <w:ind w:right="-1"/>
              <w:rPr>
                <w:rFonts w:cs="Arial"/>
                <w:szCs w:val="18"/>
                <w:lang w:val="en-GB"/>
              </w:rPr>
            </w:pPr>
            <w:r w:rsidRPr="00BB306C">
              <w:rPr>
                <w:rFonts w:cs="Arial"/>
                <w:szCs w:val="18"/>
                <w:lang w:val="en-GB"/>
              </w:rPr>
              <w:t>Procedural</w:t>
            </w:r>
          </w:p>
        </w:tc>
        <w:tc>
          <w:tcPr>
            <w:tcW w:w="790" w:type="dxa"/>
            <w:shd w:val="clear" w:color="auto" w:fill="FFFFFF"/>
          </w:tcPr>
          <w:p w14:paraId="64311E91" w14:textId="6E214A7E" w:rsidR="00E50FF4" w:rsidRPr="00BB306C" w:rsidRDefault="00AD7DC9" w:rsidP="003D20C9">
            <w:pPr>
              <w:pStyle w:val="CETBodytext"/>
              <w:ind w:right="-1"/>
              <w:rPr>
                <w:rFonts w:cs="Arial"/>
                <w:szCs w:val="18"/>
                <w:lang w:val="en-GB"/>
              </w:rPr>
            </w:pPr>
            <w:r w:rsidRPr="00BB306C">
              <w:rPr>
                <w:rFonts w:cs="Arial"/>
                <w:szCs w:val="18"/>
                <w:lang w:val="en-GB"/>
              </w:rPr>
              <w:t>Detect</w:t>
            </w:r>
          </w:p>
        </w:tc>
        <w:tc>
          <w:tcPr>
            <w:tcW w:w="486" w:type="dxa"/>
            <w:shd w:val="clear" w:color="auto" w:fill="FFFFFF"/>
          </w:tcPr>
          <w:p w14:paraId="67810D84" w14:textId="647DF285" w:rsidR="00E50FF4" w:rsidRPr="00BB306C" w:rsidRDefault="00AD7DC9" w:rsidP="003D20C9">
            <w:pPr>
              <w:pStyle w:val="CETBodytext"/>
              <w:ind w:right="-1"/>
              <w:rPr>
                <w:rFonts w:cs="Arial"/>
                <w:szCs w:val="18"/>
                <w:lang w:val="en-GB"/>
              </w:rPr>
            </w:pPr>
            <w:r w:rsidRPr="00BB306C">
              <w:rPr>
                <w:rFonts w:cs="Arial"/>
                <w:szCs w:val="18"/>
                <w:lang w:val="en-GB"/>
              </w:rPr>
              <w:t>A</w:t>
            </w:r>
          </w:p>
        </w:tc>
        <w:tc>
          <w:tcPr>
            <w:tcW w:w="830" w:type="dxa"/>
            <w:shd w:val="clear" w:color="auto" w:fill="FFFFFF"/>
          </w:tcPr>
          <w:p w14:paraId="5CF073AB" w14:textId="235D031C" w:rsidR="00E50FF4" w:rsidRPr="00BB306C" w:rsidRDefault="006268F6" w:rsidP="003D20C9">
            <w:pPr>
              <w:pStyle w:val="CETBodytext"/>
              <w:ind w:right="-1"/>
              <w:rPr>
                <w:rFonts w:cs="Arial"/>
                <w:szCs w:val="18"/>
                <w:lang w:val="en-GB"/>
              </w:rPr>
            </w:pPr>
            <w:r w:rsidRPr="00BB306C">
              <w:rPr>
                <w:rFonts w:cs="Arial"/>
                <w:szCs w:val="18"/>
                <w:lang w:val="en-GB"/>
              </w:rPr>
              <w:t>4.00E-0</w:t>
            </w:r>
            <w:r w:rsidR="00677703" w:rsidRPr="00BB306C">
              <w:rPr>
                <w:rFonts w:cs="Arial"/>
                <w:szCs w:val="18"/>
                <w:lang w:val="en-GB"/>
              </w:rPr>
              <w:t>1</w:t>
            </w:r>
          </w:p>
        </w:tc>
        <w:tc>
          <w:tcPr>
            <w:tcW w:w="1351" w:type="dxa"/>
            <w:shd w:val="clear" w:color="auto" w:fill="FFFFFF"/>
          </w:tcPr>
          <w:p w14:paraId="5AF29FE8" w14:textId="147971EB" w:rsidR="00E50FF4" w:rsidRPr="00BB306C" w:rsidRDefault="00610806" w:rsidP="003D20C9">
            <w:pPr>
              <w:pStyle w:val="CETBodytext"/>
              <w:ind w:right="-1"/>
              <w:rPr>
                <w:rFonts w:cs="Arial"/>
                <w:szCs w:val="18"/>
                <w:lang w:val="en-GB"/>
              </w:rPr>
            </w:pPr>
            <w:r w:rsidRPr="00BB306C">
              <w:rPr>
                <w:rFonts w:cs="Arial"/>
                <w:szCs w:val="18"/>
                <w:lang w:val="en-GB"/>
              </w:rPr>
              <w:t>8.00E-01</w:t>
            </w:r>
          </w:p>
        </w:tc>
        <w:tc>
          <w:tcPr>
            <w:tcW w:w="2406" w:type="dxa"/>
            <w:shd w:val="clear" w:color="auto" w:fill="FFFFFF"/>
          </w:tcPr>
          <w:p w14:paraId="28ED5B21" w14:textId="2353994C" w:rsidR="00E50FF4" w:rsidRPr="00BB306C" w:rsidRDefault="00693292" w:rsidP="003D20C9">
            <w:pPr>
              <w:pStyle w:val="CETBodytext"/>
              <w:ind w:right="-1"/>
              <w:rPr>
                <w:rFonts w:cs="Arial"/>
                <w:szCs w:val="18"/>
                <w:lang w:val="en-GB"/>
              </w:rPr>
            </w:pPr>
            <w:r w:rsidRPr="00BB306C">
              <w:t>(Casson Moreno et al., 2022)</w:t>
            </w:r>
          </w:p>
        </w:tc>
      </w:tr>
      <w:tr w:rsidR="006820A4" w:rsidRPr="00BB306C" w14:paraId="15CD266B" w14:textId="77777777" w:rsidTr="000C24CA">
        <w:tc>
          <w:tcPr>
            <w:tcW w:w="1954" w:type="dxa"/>
            <w:shd w:val="clear" w:color="auto" w:fill="FFFFFF"/>
          </w:tcPr>
          <w:p w14:paraId="2744BF5C" w14:textId="0937D255" w:rsidR="006820A4" w:rsidRPr="00BB306C" w:rsidRDefault="006820A4" w:rsidP="003D20C9">
            <w:pPr>
              <w:pStyle w:val="CETBodytext"/>
              <w:ind w:right="-1"/>
              <w:rPr>
                <w:rFonts w:cs="Arial"/>
                <w:szCs w:val="18"/>
                <w:lang w:val="en-GB"/>
              </w:rPr>
            </w:pPr>
            <w:r w:rsidRPr="00BB306C">
              <w:rPr>
                <w:rFonts w:cs="Arial"/>
                <w:szCs w:val="18"/>
                <w:lang w:val="en-GB"/>
              </w:rPr>
              <w:t>Fence door</w:t>
            </w:r>
          </w:p>
        </w:tc>
        <w:tc>
          <w:tcPr>
            <w:tcW w:w="970" w:type="dxa"/>
            <w:shd w:val="clear" w:color="auto" w:fill="FFFFFF"/>
          </w:tcPr>
          <w:p w14:paraId="136DF2A2" w14:textId="5498ECF6" w:rsidR="006820A4" w:rsidRPr="00BB306C" w:rsidRDefault="006268F6" w:rsidP="003D20C9">
            <w:pPr>
              <w:pStyle w:val="CETBodytext"/>
              <w:ind w:right="-1"/>
              <w:rPr>
                <w:rFonts w:cs="Arial"/>
                <w:szCs w:val="18"/>
                <w:lang w:val="en-GB"/>
              </w:rPr>
            </w:pPr>
            <w:r w:rsidRPr="00BB306C">
              <w:rPr>
                <w:rFonts w:cs="Arial"/>
                <w:szCs w:val="18"/>
                <w:lang w:val="en-GB"/>
              </w:rPr>
              <w:t>Passive</w:t>
            </w:r>
          </w:p>
        </w:tc>
        <w:tc>
          <w:tcPr>
            <w:tcW w:w="790" w:type="dxa"/>
            <w:shd w:val="clear" w:color="auto" w:fill="FFFFFF"/>
          </w:tcPr>
          <w:p w14:paraId="7C01EBE4" w14:textId="190EB7CD" w:rsidR="006820A4" w:rsidRPr="00BB306C" w:rsidRDefault="00AD7DC9" w:rsidP="003D20C9">
            <w:pPr>
              <w:pStyle w:val="CETBodytext"/>
              <w:ind w:right="-1"/>
              <w:rPr>
                <w:rFonts w:cs="Arial"/>
                <w:szCs w:val="18"/>
                <w:lang w:val="en-GB"/>
              </w:rPr>
            </w:pPr>
            <w:r w:rsidRPr="00BB306C">
              <w:rPr>
                <w:rFonts w:cs="Arial"/>
                <w:szCs w:val="18"/>
                <w:lang w:val="en-GB"/>
              </w:rPr>
              <w:t>Delay</w:t>
            </w:r>
          </w:p>
        </w:tc>
        <w:tc>
          <w:tcPr>
            <w:tcW w:w="486" w:type="dxa"/>
            <w:shd w:val="clear" w:color="auto" w:fill="FFFFFF"/>
          </w:tcPr>
          <w:p w14:paraId="70C38F1F" w14:textId="4ECDBC0C" w:rsidR="006820A4" w:rsidRPr="00BB306C" w:rsidRDefault="00AD7DC9" w:rsidP="003D20C9">
            <w:pPr>
              <w:pStyle w:val="CETBodytext"/>
              <w:ind w:right="-1"/>
              <w:rPr>
                <w:rFonts w:cs="Arial"/>
                <w:szCs w:val="18"/>
                <w:lang w:val="en-GB"/>
              </w:rPr>
            </w:pPr>
            <w:r w:rsidRPr="00BB306C">
              <w:rPr>
                <w:rFonts w:cs="Arial"/>
                <w:szCs w:val="18"/>
                <w:lang w:val="en-GB"/>
              </w:rPr>
              <w:t>A</w:t>
            </w:r>
          </w:p>
        </w:tc>
        <w:tc>
          <w:tcPr>
            <w:tcW w:w="830" w:type="dxa"/>
            <w:shd w:val="clear" w:color="auto" w:fill="FFFFFF"/>
          </w:tcPr>
          <w:p w14:paraId="19569DDD" w14:textId="1013C176" w:rsidR="006820A4" w:rsidRPr="00BB306C" w:rsidRDefault="00677703" w:rsidP="003D20C9">
            <w:pPr>
              <w:pStyle w:val="CETBodytext"/>
              <w:ind w:right="-1"/>
              <w:rPr>
                <w:rFonts w:cs="Arial"/>
                <w:szCs w:val="18"/>
                <w:lang w:val="en-GB"/>
              </w:rPr>
            </w:pPr>
            <w:r w:rsidRPr="00BB306C">
              <w:rPr>
                <w:rFonts w:cs="Arial"/>
                <w:szCs w:val="18"/>
                <w:lang w:val="en-GB"/>
              </w:rPr>
              <w:t>0.00</w:t>
            </w:r>
          </w:p>
        </w:tc>
        <w:tc>
          <w:tcPr>
            <w:tcW w:w="1351" w:type="dxa"/>
            <w:shd w:val="clear" w:color="auto" w:fill="FFFFFF"/>
          </w:tcPr>
          <w:p w14:paraId="2AF2D5AB" w14:textId="73D4CD0F" w:rsidR="006820A4" w:rsidRPr="00BB306C" w:rsidRDefault="00610806" w:rsidP="003D20C9">
            <w:pPr>
              <w:pStyle w:val="CETBodytext"/>
              <w:ind w:right="-1"/>
              <w:rPr>
                <w:rFonts w:cs="Arial"/>
                <w:szCs w:val="18"/>
                <w:lang w:val="en-GB"/>
              </w:rPr>
            </w:pPr>
            <w:r w:rsidRPr="00BB306C">
              <w:rPr>
                <w:rFonts w:cs="Arial"/>
                <w:szCs w:val="18"/>
                <w:lang w:val="en-GB"/>
              </w:rPr>
              <w:t>9.85E-01</w:t>
            </w:r>
          </w:p>
        </w:tc>
        <w:tc>
          <w:tcPr>
            <w:tcW w:w="2406" w:type="dxa"/>
            <w:shd w:val="clear" w:color="auto" w:fill="FFFFFF"/>
          </w:tcPr>
          <w:p w14:paraId="40FBC54E" w14:textId="4B8E9CD6" w:rsidR="006820A4" w:rsidRPr="00BB306C" w:rsidRDefault="00693292" w:rsidP="003D20C9">
            <w:pPr>
              <w:pStyle w:val="CETBodytext"/>
              <w:ind w:right="-1"/>
              <w:rPr>
                <w:rFonts w:cs="Arial"/>
                <w:szCs w:val="18"/>
                <w:lang w:val="en-GB"/>
              </w:rPr>
            </w:pPr>
            <w:r w:rsidRPr="00BB306C">
              <w:t>This work</w:t>
            </w:r>
          </w:p>
        </w:tc>
      </w:tr>
      <w:tr w:rsidR="006820A4" w:rsidRPr="00BB306C" w14:paraId="2E0F1C74" w14:textId="77777777" w:rsidTr="000C24CA">
        <w:tc>
          <w:tcPr>
            <w:tcW w:w="1954" w:type="dxa"/>
            <w:shd w:val="clear" w:color="auto" w:fill="FFFFFF"/>
          </w:tcPr>
          <w:p w14:paraId="5965A1C5" w14:textId="77777777" w:rsidR="007B6EEC" w:rsidRPr="00BB306C" w:rsidRDefault="006820A4" w:rsidP="003D20C9">
            <w:pPr>
              <w:pStyle w:val="CETBodytext"/>
              <w:ind w:right="-1"/>
              <w:rPr>
                <w:rFonts w:cs="Arial"/>
                <w:szCs w:val="18"/>
                <w:lang w:val="en-GB"/>
              </w:rPr>
            </w:pPr>
            <w:r w:rsidRPr="00BB306C">
              <w:rPr>
                <w:rFonts w:cs="Arial"/>
                <w:szCs w:val="18"/>
                <w:lang w:val="en-GB"/>
              </w:rPr>
              <w:t xml:space="preserve">Detection by </w:t>
            </w:r>
          </w:p>
          <w:p w14:paraId="7A478B9E" w14:textId="2ED91775" w:rsidR="006820A4" w:rsidRPr="00BB306C" w:rsidRDefault="006820A4" w:rsidP="003D20C9">
            <w:pPr>
              <w:pStyle w:val="CETBodytext"/>
              <w:ind w:right="-1"/>
              <w:rPr>
                <w:rFonts w:cs="Arial"/>
                <w:szCs w:val="18"/>
                <w:lang w:val="en-GB"/>
              </w:rPr>
            </w:pPr>
            <w:r w:rsidRPr="00BB306C">
              <w:rPr>
                <w:rFonts w:cs="Arial"/>
                <w:szCs w:val="18"/>
                <w:lang w:val="en-GB"/>
              </w:rPr>
              <w:t>site personnel- daytime</w:t>
            </w:r>
          </w:p>
        </w:tc>
        <w:tc>
          <w:tcPr>
            <w:tcW w:w="970" w:type="dxa"/>
            <w:shd w:val="clear" w:color="auto" w:fill="FFFFFF"/>
          </w:tcPr>
          <w:p w14:paraId="25C427CF" w14:textId="23680B67" w:rsidR="006820A4" w:rsidRPr="00BB306C" w:rsidRDefault="00AD7DC9" w:rsidP="003D20C9">
            <w:pPr>
              <w:pStyle w:val="CETBodytext"/>
              <w:ind w:right="-1"/>
              <w:rPr>
                <w:rFonts w:cs="Arial"/>
                <w:szCs w:val="18"/>
                <w:lang w:val="en-GB"/>
              </w:rPr>
            </w:pPr>
            <w:r w:rsidRPr="00BB306C">
              <w:rPr>
                <w:rFonts w:cs="Arial"/>
                <w:szCs w:val="18"/>
                <w:lang w:val="en-GB"/>
              </w:rPr>
              <w:t>Procedural</w:t>
            </w:r>
          </w:p>
        </w:tc>
        <w:tc>
          <w:tcPr>
            <w:tcW w:w="790" w:type="dxa"/>
            <w:shd w:val="clear" w:color="auto" w:fill="FFFFFF"/>
          </w:tcPr>
          <w:p w14:paraId="7137E9F7" w14:textId="70D221F9" w:rsidR="006820A4" w:rsidRPr="00BB306C" w:rsidRDefault="00AD7DC9" w:rsidP="003D20C9">
            <w:pPr>
              <w:pStyle w:val="CETBodytext"/>
              <w:ind w:right="-1"/>
              <w:rPr>
                <w:rFonts w:cs="Arial"/>
                <w:szCs w:val="18"/>
                <w:lang w:val="en-GB"/>
              </w:rPr>
            </w:pPr>
            <w:r w:rsidRPr="00BB306C">
              <w:rPr>
                <w:rFonts w:cs="Arial"/>
                <w:szCs w:val="18"/>
                <w:lang w:val="en-GB"/>
              </w:rPr>
              <w:t>Detect</w:t>
            </w:r>
          </w:p>
        </w:tc>
        <w:tc>
          <w:tcPr>
            <w:tcW w:w="486" w:type="dxa"/>
            <w:shd w:val="clear" w:color="auto" w:fill="FFFFFF"/>
          </w:tcPr>
          <w:p w14:paraId="0917AAA9" w14:textId="45B3E922" w:rsidR="006820A4" w:rsidRPr="00BB306C" w:rsidRDefault="00AD7DC9" w:rsidP="003D20C9">
            <w:pPr>
              <w:pStyle w:val="CETBodytext"/>
              <w:ind w:right="-1"/>
              <w:rPr>
                <w:rFonts w:cs="Arial"/>
                <w:szCs w:val="18"/>
                <w:lang w:val="en-GB"/>
              </w:rPr>
            </w:pPr>
            <w:r w:rsidRPr="00BB306C">
              <w:rPr>
                <w:rFonts w:cs="Arial"/>
                <w:szCs w:val="18"/>
                <w:lang w:val="en-GB"/>
              </w:rPr>
              <w:t>A</w:t>
            </w:r>
          </w:p>
        </w:tc>
        <w:tc>
          <w:tcPr>
            <w:tcW w:w="830" w:type="dxa"/>
            <w:shd w:val="clear" w:color="auto" w:fill="FFFFFF"/>
          </w:tcPr>
          <w:p w14:paraId="6BFAC7AB" w14:textId="1EF62EDE" w:rsidR="006820A4" w:rsidRPr="00BB306C" w:rsidRDefault="00677703" w:rsidP="003D20C9">
            <w:pPr>
              <w:pStyle w:val="CETBodytext"/>
              <w:ind w:right="-1"/>
              <w:rPr>
                <w:rFonts w:cs="Arial"/>
                <w:szCs w:val="18"/>
                <w:lang w:val="en-GB"/>
              </w:rPr>
            </w:pPr>
            <w:r w:rsidRPr="00BB306C">
              <w:rPr>
                <w:rFonts w:cs="Arial"/>
                <w:szCs w:val="18"/>
                <w:lang w:val="en-GB"/>
              </w:rPr>
              <w:t>2</w:t>
            </w:r>
            <w:r w:rsidR="00F02890">
              <w:rPr>
                <w:rFonts w:cs="Arial"/>
                <w:szCs w:val="18"/>
                <w:lang w:val="en-GB"/>
              </w:rPr>
              <w:t>.</w:t>
            </w:r>
            <w:r w:rsidRPr="00BB306C">
              <w:rPr>
                <w:rFonts w:cs="Arial"/>
                <w:szCs w:val="18"/>
                <w:lang w:val="en-GB"/>
              </w:rPr>
              <w:t>00E-01</w:t>
            </w:r>
          </w:p>
        </w:tc>
        <w:tc>
          <w:tcPr>
            <w:tcW w:w="1351" w:type="dxa"/>
            <w:shd w:val="clear" w:color="auto" w:fill="FFFFFF"/>
          </w:tcPr>
          <w:p w14:paraId="0ECAE6C2" w14:textId="45CBACF6" w:rsidR="006820A4" w:rsidRPr="00BB306C" w:rsidRDefault="00610806" w:rsidP="003D20C9">
            <w:pPr>
              <w:pStyle w:val="CETBodytext"/>
              <w:ind w:right="-1"/>
              <w:rPr>
                <w:rFonts w:cs="Arial"/>
                <w:szCs w:val="18"/>
                <w:lang w:val="en-GB"/>
              </w:rPr>
            </w:pPr>
            <w:r w:rsidRPr="00BB306C">
              <w:rPr>
                <w:rFonts w:cs="Arial"/>
                <w:szCs w:val="18"/>
                <w:lang w:val="en-GB"/>
              </w:rPr>
              <w:t>2.48E-01</w:t>
            </w:r>
          </w:p>
        </w:tc>
        <w:tc>
          <w:tcPr>
            <w:tcW w:w="2406" w:type="dxa"/>
            <w:shd w:val="clear" w:color="auto" w:fill="FFFFFF"/>
          </w:tcPr>
          <w:p w14:paraId="190348DE" w14:textId="3923AD16" w:rsidR="006820A4" w:rsidRPr="00BB306C" w:rsidRDefault="00693292" w:rsidP="003D20C9">
            <w:pPr>
              <w:pStyle w:val="CETBodytext"/>
              <w:ind w:right="-1"/>
              <w:rPr>
                <w:rFonts w:cs="Arial"/>
                <w:szCs w:val="18"/>
                <w:lang w:val="en-GB"/>
              </w:rPr>
            </w:pPr>
            <w:r w:rsidRPr="00BB306C">
              <w:t>(Casson Moreno et al., 2022)</w:t>
            </w:r>
          </w:p>
        </w:tc>
      </w:tr>
      <w:tr w:rsidR="006820A4" w:rsidRPr="00BB306C" w14:paraId="44D53359" w14:textId="77777777" w:rsidTr="000C24CA">
        <w:tc>
          <w:tcPr>
            <w:tcW w:w="1954" w:type="dxa"/>
            <w:shd w:val="clear" w:color="auto" w:fill="FFFFFF"/>
          </w:tcPr>
          <w:p w14:paraId="0A00FC76" w14:textId="4F88835E" w:rsidR="006820A4" w:rsidRPr="00BB306C" w:rsidRDefault="006820A4" w:rsidP="003D20C9">
            <w:pPr>
              <w:pStyle w:val="CETBodytext"/>
              <w:ind w:right="-1"/>
              <w:rPr>
                <w:rFonts w:cs="Arial"/>
                <w:szCs w:val="18"/>
                <w:lang w:val="en-GB"/>
              </w:rPr>
            </w:pPr>
            <w:r w:rsidRPr="00BB306C">
              <w:rPr>
                <w:rFonts w:cs="Arial"/>
                <w:szCs w:val="18"/>
                <w:lang w:val="en-GB"/>
              </w:rPr>
              <w:t>Emergency team</w:t>
            </w:r>
          </w:p>
        </w:tc>
        <w:tc>
          <w:tcPr>
            <w:tcW w:w="970" w:type="dxa"/>
            <w:shd w:val="clear" w:color="auto" w:fill="FFFFFF"/>
          </w:tcPr>
          <w:p w14:paraId="62E1E101" w14:textId="545F6596" w:rsidR="006820A4" w:rsidRPr="00BB306C" w:rsidRDefault="006268F6" w:rsidP="003D20C9">
            <w:pPr>
              <w:pStyle w:val="CETBodytext"/>
              <w:ind w:right="-1"/>
              <w:rPr>
                <w:rFonts w:cs="Arial"/>
                <w:szCs w:val="18"/>
                <w:lang w:val="en-GB"/>
              </w:rPr>
            </w:pPr>
            <w:r w:rsidRPr="00BB306C">
              <w:rPr>
                <w:rFonts w:cs="Arial"/>
                <w:szCs w:val="18"/>
                <w:lang w:val="en-GB"/>
              </w:rPr>
              <w:t>Procedural</w:t>
            </w:r>
          </w:p>
        </w:tc>
        <w:tc>
          <w:tcPr>
            <w:tcW w:w="790" w:type="dxa"/>
            <w:shd w:val="clear" w:color="auto" w:fill="FFFFFF"/>
          </w:tcPr>
          <w:p w14:paraId="0E81CEAA" w14:textId="275EFCD3" w:rsidR="006820A4" w:rsidRPr="00BB306C" w:rsidRDefault="00AD7DC9" w:rsidP="003D20C9">
            <w:pPr>
              <w:pStyle w:val="CETBodytext"/>
              <w:ind w:right="-1"/>
              <w:rPr>
                <w:rFonts w:cs="Arial"/>
                <w:szCs w:val="18"/>
                <w:lang w:val="en-GB"/>
              </w:rPr>
            </w:pPr>
            <w:r w:rsidRPr="00BB306C">
              <w:rPr>
                <w:rFonts w:cs="Arial"/>
                <w:szCs w:val="18"/>
                <w:lang w:val="en-GB"/>
              </w:rPr>
              <w:t>Respond</w:t>
            </w:r>
          </w:p>
        </w:tc>
        <w:tc>
          <w:tcPr>
            <w:tcW w:w="486" w:type="dxa"/>
            <w:shd w:val="clear" w:color="auto" w:fill="FFFFFF"/>
          </w:tcPr>
          <w:p w14:paraId="24E2076E" w14:textId="22038FDA" w:rsidR="006820A4" w:rsidRPr="00BB306C" w:rsidRDefault="00AD7DC9" w:rsidP="003D20C9">
            <w:pPr>
              <w:pStyle w:val="CETBodytext"/>
              <w:ind w:right="-1"/>
              <w:rPr>
                <w:rFonts w:cs="Arial"/>
                <w:szCs w:val="18"/>
                <w:lang w:val="en-GB"/>
              </w:rPr>
            </w:pPr>
            <w:r w:rsidRPr="00BB306C">
              <w:rPr>
                <w:rFonts w:cs="Arial"/>
                <w:szCs w:val="18"/>
                <w:lang w:val="en-GB"/>
              </w:rPr>
              <w:t>C</w:t>
            </w:r>
          </w:p>
        </w:tc>
        <w:tc>
          <w:tcPr>
            <w:tcW w:w="830" w:type="dxa"/>
            <w:shd w:val="clear" w:color="auto" w:fill="FFFFFF"/>
          </w:tcPr>
          <w:p w14:paraId="0E43DF3B" w14:textId="756D416C" w:rsidR="006820A4" w:rsidRPr="00BB306C" w:rsidRDefault="00677703" w:rsidP="003D20C9">
            <w:pPr>
              <w:pStyle w:val="CETBodytext"/>
              <w:ind w:right="-1"/>
              <w:rPr>
                <w:rFonts w:cs="Arial"/>
                <w:szCs w:val="18"/>
                <w:lang w:val="en-GB"/>
              </w:rPr>
            </w:pPr>
            <w:r w:rsidRPr="00BB306C">
              <w:rPr>
                <w:rFonts w:cs="Arial"/>
                <w:szCs w:val="18"/>
                <w:lang w:val="en-GB"/>
              </w:rPr>
              <w:t>7.52E-01</w:t>
            </w:r>
          </w:p>
        </w:tc>
        <w:tc>
          <w:tcPr>
            <w:tcW w:w="1351" w:type="dxa"/>
            <w:shd w:val="clear" w:color="auto" w:fill="FFFFFF"/>
          </w:tcPr>
          <w:p w14:paraId="2DB96C9E" w14:textId="06F86715" w:rsidR="000C24CA" w:rsidRPr="00BB306C" w:rsidRDefault="000C24CA" w:rsidP="000C24CA">
            <w:pPr>
              <w:pStyle w:val="CETBodytext"/>
              <w:ind w:right="-1"/>
              <w:rPr>
                <w:rFonts w:cs="Arial"/>
                <w:szCs w:val="18"/>
                <w:lang w:val="en-GB"/>
              </w:rPr>
            </w:pPr>
            <w:r w:rsidRPr="00BB306C">
              <w:rPr>
                <w:rFonts w:cs="Arial"/>
                <w:szCs w:val="18"/>
                <w:lang w:val="en-GB"/>
              </w:rPr>
              <w:t>1.00 if AIT&gt;ERT</w:t>
            </w:r>
          </w:p>
          <w:p w14:paraId="5CD78CDC" w14:textId="6570AA4D" w:rsidR="006820A4" w:rsidRPr="00BB306C" w:rsidRDefault="000C24CA" w:rsidP="000C24CA">
            <w:pPr>
              <w:pStyle w:val="CETBodytext"/>
              <w:ind w:right="-1"/>
              <w:rPr>
                <w:rFonts w:cs="Arial"/>
                <w:szCs w:val="18"/>
                <w:lang w:val="en-GB"/>
              </w:rPr>
            </w:pPr>
            <w:r w:rsidRPr="00BB306C">
              <w:rPr>
                <w:rFonts w:cs="Arial"/>
                <w:szCs w:val="18"/>
                <w:lang w:val="en-GB"/>
              </w:rPr>
              <w:t>0.00if AIT≤ERT</w:t>
            </w:r>
          </w:p>
        </w:tc>
        <w:tc>
          <w:tcPr>
            <w:tcW w:w="2406" w:type="dxa"/>
            <w:shd w:val="clear" w:color="auto" w:fill="FFFFFF"/>
          </w:tcPr>
          <w:p w14:paraId="5443B720" w14:textId="7ABB675E" w:rsidR="006820A4" w:rsidRPr="00BB306C" w:rsidRDefault="00693292" w:rsidP="003D20C9">
            <w:pPr>
              <w:pStyle w:val="CETBodytext"/>
              <w:ind w:right="-1"/>
              <w:rPr>
                <w:rFonts w:cs="Arial"/>
                <w:szCs w:val="18"/>
                <w:lang w:val="en-GB"/>
              </w:rPr>
            </w:pPr>
            <w:r w:rsidRPr="00BB306C">
              <w:t>(Casson Moreno et al., 2022)</w:t>
            </w:r>
          </w:p>
        </w:tc>
      </w:tr>
      <w:tr w:rsidR="006820A4" w:rsidRPr="001906F7" w14:paraId="3949CC51" w14:textId="77777777" w:rsidTr="000C24CA">
        <w:tc>
          <w:tcPr>
            <w:tcW w:w="1954" w:type="dxa"/>
            <w:shd w:val="clear" w:color="auto" w:fill="FFFFFF"/>
          </w:tcPr>
          <w:p w14:paraId="421FA650" w14:textId="778C5DB1" w:rsidR="006820A4" w:rsidRPr="00BB306C" w:rsidRDefault="006820A4" w:rsidP="003D20C9">
            <w:pPr>
              <w:pStyle w:val="CETBodytext"/>
              <w:ind w:right="-1"/>
              <w:rPr>
                <w:rFonts w:cs="Arial"/>
                <w:szCs w:val="18"/>
                <w:lang w:val="en-GB"/>
              </w:rPr>
            </w:pPr>
            <w:r w:rsidRPr="00BB306C">
              <w:rPr>
                <w:rFonts w:cs="Arial"/>
                <w:szCs w:val="18"/>
                <w:lang w:val="en-GB"/>
              </w:rPr>
              <w:t>Water Deluge System (WDS)</w:t>
            </w:r>
          </w:p>
        </w:tc>
        <w:tc>
          <w:tcPr>
            <w:tcW w:w="970" w:type="dxa"/>
            <w:shd w:val="clear" w:color="auto" w:fill="FFFFFF"/>
          </w:tcPr>
          <w:p w14:paraId="533C21C1" w14:textId="4CA63042" w:rsidR="006820A4" w:rsidRPr="00BB306C" w:rsidRDefault="006268F6" w:rsidP="003D20C9">
            <w:pPr>
              <w:pStyle w:val="CETBodytext"/>
              <w:ind w:right="-1"/>
              <w:rPr>
                <w:rFonts w:cs="Arial"/>
                <w:szCs w:val="18"/>
                <w:lang w:val="en-GB"/>
              </w:rPr>
            </w:pPr>
            <w:r w:rsidRPr="00BB306C">
              <w:rPr>
                <w:rFonts w:cs="Arial"/>
                <w:szCs w:val="18"/>
                <w:lang w:val="en-GB"/>
              </w:rPr>
              <w:t>Active</w:t>
            </w:r>
          </w:p>
        </w:tc>
        <w:tc>
          <w:tcPr>
            <w:tcW w:w="790" w:type="dxa"/>
            <w:shd w:val="clear" w:color="auto" w:fill="FFFFFF"/>
          </w:tcPr>
          <w:p w14:paraId="44E7C906" w14:textId="06B167E8" w:rsidR="006820A4" w:rsidRPr="00BB306C" w:rsidRDefault="00AD7DC9" w:rsidP="003D20C9">
            <w:pPr>
              <w:pStyle w:val="CETBodytext"/>
              <w:ind w:right="-1"/>
              <w:rPr>
                <w:rFonts w:cs="Arial"/>
                <w:szCs w:val="18"/>
                <w:lang w:val="en-GB"/>
              </w:rPr>
            </w:pPr>
            <w:r w:rsidRPr="00BB306C">
              <w:rPr>
                <w:rFonts w:cs="Arial"/>
                <w:szCs w:val="18"/>
                <w:lang w:val="en-GB"/>
              </w:rPr>
              <w:t>Mitigate</w:t>
            </w:r>
          </w:p>
        </w:tc>
        <w:tc>
          <w:tcPr>
            <w:tcW w:w="486" w:type="dxa"/>
            <w:shd w:val="clear" w:color="auto" w:fill="FFFFFF"/>
          </w:tcPr>
          <w:p w14:paraId="0B17B1D7" w14:textId="7DB25125" w:rsidR="006820A4" w:rsidRPr="00BB306C" w:rsidRDefault="00AD7DC9" w:rsidP="003D20C9">
            <w:pPr>
              <w:pStyle w:val="CETBodytext"/>
              <w:ind w:right="-1"/>
              <w:rPr>
                <w:rFonts w:cs="Arial"/>
                <w:szCs w:val="18"/>
                <w:lang w:val="en-GB"/>
              </w:rPr>
            </w:pPr>
            <w:r w:rsidRPr="00BB306C">
              <w:rPr>
                <w:rFonts w:cs="Arial"/>
                <w:szCs w:val="18"/>
                <w:lang w:val="en-GB"/>
              </w:rPr>
              <w:t>B</w:t>
            </w:r>
          </w:p>
        </w:tc>
        <w:tc>
          <w:tcPr>
            <w:tcW w:w="830" w:type="dxa"/>
            <w:shd w:val="clear" w:color="auto" w:fill="FFFFFF"/>
          </w:tcPr>
          <w:p w14:paraId="270E4399" w14:textId="07C629EC" w:rsidR="006820A4" w:rsidRPr="00BB306C" w:rsidRDefault="00677703" w:rsidP="003D20C9">
            <w:pPr>
              <w:pStyle w:val="CETBodytext"/>
              <w:ind w:right="-1"/>
              <w:rPr>
                <w:rFonts w:cs="Arial"/>
                <w:szCs w:val="18"/>
                <w:lang w:val="en-GB"/>
              </w:rPr>
            </w:pPr>
            <w:r w:rsidRPr="00BB306C">
              <w:rPr>
                <w:rFonts w:cs="Arial"/>
                <w:szCs w:val="18"/>
                <w:lang w:val="en-GB"/>
              </w:rPr>
              <w:t>4.</w:t>
            </w:r>
            <w:r w:rsidR="00B3576E" w:rsidRPr="00BB306C">
              <w:rPr>
                <w:rFonts w:cs="Arial"/>
                <w:szCs w:val="18"/>
                <w:lang w:val="en-GB"/>
              </w:rPr>
              <w:t>3</w:t>
            </w:r>
            <w:r w:rsidRPr="00BB306C">
              <w:rPr>
                <w:rFonts w:cs="Arial"/>
                <w:szCs w:val="18"/>
                <w:lang w:val="en-GB"/>
              </w:rPr>
              <w:t>3E-02</w:t>
            </w:r>
          </w:p>
        </w:tc>
        <w:tc>
          <w:tcPr>
            <w:tcW w:w="1351" w:type="dxa"/>
            <w:shd w:val="clear" w:color="auto" w:fill="FFFFFF"/>
          </w:tcPr>
          <w:p w14:paraId="69440ACA" w14:textId="1BDFB775" w:rsidR="006820A4" w:rsidRPr="00BB306C" w:rsidRDefault="00677703" w:rsidP="003D20C9">
            <w:pPr>
              <w:pStyle w:val="CETBodytext"/>
              <w:ind w:right="-1"/>
              <w:rPr>
                <w:rFonts w:cs="Arial"/>
                <w:szCs w:val="18"/>
                <w:lang w:val="en-GB"/>
              </w:rPr>
            </w:pPr>
            <w:r w:rsidRPr="00BB306C">
              <w:rPr>
                <w:rFonts w:cs="Arial"/>
                <w:szCs w:val="18"/>
                <w:lang w:val="en-GB"/>
              </w:rPr>
              <w:t>1.00</w:t>
            </w:r>
          </w:p>
        </w:tc>
        <w:tc>
          <w:tcPr>
            <w:tcW w:w="2406" w:type="dxa"/>
            <w:shd w:val="clear" w:color="auto" w:fill="FFFFFF"/>
          </w:tcPr>
          <w:p w14:paraId="725EC8C9" w14:textId="1CCCEDE5" w:rsidR="006820A4" w:rsidRPr="00BB306C" w:rsidRDefault="00B3576E" w:rsidP="003D20C9">
            <w:pPr>
              <w:pStyle w:val="CETBodytext"/>
              <w:ind w:right="-1"/>
              <w:rPr>
                <w:rFonts w:cs="Arial"/>
                <w:szCs w:val="18"/>
                <w:lang w:val="da-DK"/>
              </w:rPr>
            </w:pPr>
            <w:r w:rsidRPr="00BB306C">
              <w:rPr>
                <w:rFonts w:cs="Arial"/>
                <w:szCs w:val="18"/>
                <w:lang w:val="da-DK"/>
              </w:rPr>
              <w:t>(</w:t>
            </w:r>
            <w:proofErr w:type="spellStart"/>
            <w:r w:rsidRPr="00BB306C">
              <w:rPr>
                <w:rFonts w:cs="Arial"/>
                <w:szCs w:val="18"/>
                <w:lang w:val="da-DK"/>
              </w:rPr>
              <w:t>Securdomino</w:t>
            </w:r>
            <w:proofErr w:type="spellEnd"/>
            <w:r w:rsidRPr="00BB306C">
              <w:rPr>
                <w:rFonts w:cs="Arial"/>
                <w:szCs w:val="18"/>
                <w:lang w:val="da-DK"/>
              </w:rPr>
              <w:t>, 2024)</w:t>
            </w:r>
          </w:p>
        </w:tc>
      </w:tr>
    </w:tbl>
    <w:p w14:paraId="677EBFF0" w14:textId="12587101" w:rsidR="00600535" w:rsidRDefault="000F2512" w:rsidP="00600535">
      <w:pPr>
        <w:pStyle w:val="CETHeading1"/>
        <w:tabs>
          <w:tab w:val="clear" w:pos="360"/>
          <w:tab w:val="right" w:pos="7100"/>
        </w:tabs>
        <w:jc w:val="both"/>
        <w:rPr>
          <w:lang w:val="en-GB"/>
        </w:rPr>
      </w:pPr>
      <w:r>
        <w:rPr>
          <w:lang w:val="en-GB"/>
        </w:rPr>
        <w:t>Case study</w:t>
      </w:r>
    </w:p>
    <w:p w14:paraId="06B10BCE" w14:textId="0E103D61" w:rsidR="00047175" w:rsidRDefault="006D60A5" w:rsidP="00FC0367">
      <w:pPr>
        <w:pStyle w:val="CETBodytext"/>
        <w:spacing w:after="240"/>
        <w:rPr>
          <w:lang w:val="en-GB"/>
        </w:rPr>
      </w:pPr>
      <w:r w:rsidRPr="007326AE">
        <w:rPr>
          <w:lang w:val="en-GB"/>
        </w:rPr>
        <w:t xml:space="preserve">The methodology presented in Section 2 </w:t>
      </w:r>
      <w:r w:rsidR="00D744E6" w:rsidRPr="007326AE">
        <w:rPr>
          <w:lang w:val="en-GB"/>
        </w:rPr>
        <w:t>is</w:t>
      </w:r>
      <w:r w:rsidRPr="007326AE">
        <w:rPr>
          <w:lang w:val="en-GB"/>
        </w:rPr>
        <w:t xml:space="preserve"> applied to a case study</w:t>
      </w:r>
      <w:r w:rsidR="001D461E" w:rsidRPr="007326AE">
        <w:rPr>
          <w:lang w:val="en-GB"/>
        </w:rPr>
        <w:t>. In particular, a Liquefied P</w:t>
      </w:r>
      <w:r w:rsidR="0091070F" w:rsidRPr="007326AE">
        <w:rPr>
          <w:lang w:val="en-GB"/>
        </w:rPr>
        <w:t xml:space="preserve">etroleum Gas (LPG) depot </w:t>
      </w:r>
      <w:r w:rsidR="006F7AC8">
        <w:rPr>
          <w:lang w:val="en-GB"/>
        </w:rPr>
        <w:t>is</w:t>
      </w:r>
      <w:r w:rsidR="0091070F" w:rsidRPr="007326AE">
        <w:rPr>
          <w:lang w:val="en-GB"/>
        </w:rPr>
        <w:t xml:space="preserve"> studie</w:t>
      </w:r>
      <w:r w:rsidR="00324778" w:rsidRPr="007326AE">
        <w:rPr>
          <w:lang w:val="en-GB"/>
        </w:rPr>
        <w:t xml:space="preserve">d; the layout is shown in Figure </w:t>
      </w:r>
      <w:r w:rsidR="00B511D4" w:rsidRPr="007326AE">
        <w:rPr>
          <w:lang w:val="en-GB"/>
        </w:rPr>
        <w:t>1</w:t>
      </w:r>
      <w:r w:rsidR="00323F8C" w:rsidRPr="007326AE">
        <w:rPr>
          <w:lang w:val="en-GB"/>
        </w:rPr>
        <w:t>.</w:t>
      </w:r>
    </w:p>
    <w:p w14:paraId="511E8BEB" w14:textId="77777777" w:rsidR="00047175" w:rsidRDefault="00047175" w:rsidP="00047175">
      <w:pPr>
        <w:pStyle w:val="CETBodytext"/>
        <w:jc w:val="left"/>
        <w:rPr>
          <w:lang w:val="en-GB"/>
        </w:rPr>
      </w:pPr>
      <w:r w:rsidRPr="002031E9">
        <w:rPr>
          <w:noProof/>
        </w:rPr>
        <w:drawing>
          <wp:inline distT="0" distB="0" distL="0" distR="0" wp14:anchorId="0EFEEC90" wp14:editId="22B54BDA">
            <wp:extent cx="2840400" cy="2152800"/>
            <wp:effectExtent l="0" t="0" r="0" b="0"/>
            <wp:docPr id="1267323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0400" cy="2152800"/>
                    </a:xfrm>
                    <a:prstGeom prst="rect">
                      <a:avLst/>
                    </a:prstGeom>
                    <a:noFill/>
                    <a:ln>
                      <a:noFill/>
                    </a:ln>
                  </pic:spPr>
                </pic:pic>
              </a:graphicData>
            </a:graphic>
          </wp:inline>
        </w:drawing>
      </w:r>
    </w:p>
    <w:p w14:paraId="1BEA850C" w14:textId="77777777" w:rsidR="00047175" w:rsidRDefault="00047175" w:rsidP="00047175">
      <w:pPr>
        <w:pStyle w:val="CETCaption"/>
      </w:pPr>
      <w:r w:rsidRPr="007326AE">
        <w:t>Figure 1: Layout of the case study</w:t>
      </w:r>
    </w:p>
    <w:p w14:paraId="4FFB279D" w14:textId="507B22E3" w:rsidR="00047175" w:rsidRPr="000F2512" w:rsidRDefault="0087732B" w:rsidP="00F14BBA">
      <w:pPr>
        <w:pStyle w:val="CETBodytext"/>
      </w:pPr>
      <w:r>
        <w:rPr>
          <w:lang w:val="en-GB"/>
        </w:rPr>
        <w:lastRenderedPageBreak/>
        <w:t xml:space="preserve">The facility stores LPG </w:t>
      </w:r>
      <w:r w:rsidR="00BC3C3F">
        <w:rPr>
          <w:lang w:val="en-GB"/>
        </w:rPr>
        <w:t xml:space="preserve">in </w:t>
      </w:r>
      <w:r w:rsidR="00E61D07">
        <w:rPr>
          <w:lang w:val="en-GB"/>
        </w:rPr>
        <w:t>four</w:t>
      </w:r>
      <w:r w:rsidR="00BC3C3F">
        <w:rPr>
          <w:lang w:val="en-GB"/>
        </w:rPr>
        <w:t xml:space="preserve"> horizontal cylindrical </w:t>
      </w:r>
      <w:r w:rsidR="004B5E46">
        <w:rPr>
          <w:lang w:val="en-GB"/>
        </w:rPr>
        <w:t>vessels</w:t>
      </w:r>
      <w:r w:rsidR="00BC3C3F">
        <w:rPr>
          <w:lang w:val="en-GB"/>
        </w:rPr>
        <w:t xml:space="preserve">, each of one storing a maximum of </w:t>
      </w:r>
      <w:r w:rsidR="008124C8" w:rsidRPr="008124C8">
        <w:rPr>
          <w:lang w:val="en-GB"/>
        </w:rPr>
        <w:t>100</w:t>
      </w:r>
      <w:r w:rsidR="00BC3C3F">
        <w:rPr>
          <w:lang w:val="en-GB"/>
        </w:rPr>
        <w:t xml:space="preserve"> m</w:t>
      </w:r>
      <w:r w:rsidR="00BC3C3F" w:rsidRPr="004B5E46">
        <w:rPr>
          <w:vertAlign w:val="superscript"/>
          <w:lang w:val="en-GB"/>
        </w:rPr>
        <w:t>3</w:t>
      </w:r>
      <w:r w:rsidR="00BC3C3F">
        <w:rPr>
          <w:lang w:val="en-GB"/>
        </w:rPr>
        <w:t xml:space="preserve"> of LPG</w:t>
      </w:r>
      <w:r w:rsidR="00E61D07">
        <w:rPr>
          <w:lang w:val="en-GB"/>
        </w:rPr>
        <w:t>.</w:t>
      </w:r>
      <w:r w:rsidR="00FD6368">
        <w:rPr>
          <w:lang w:val="en-GB"/>
        </w:rPr>
        <w:t xml:space="preserve"> </w:t>
      </w:r>
      <w:r w:rsidR="00E61D07">
        <w:rPr>
          <w:lang w:val="en-GB"/>
        </w:rPr>
        <w:t>T</w:t>
      </w:r>
      <w:r w:rsidR="00FD6368">
        <w:rPr>
          <w:lang w:val="en-GB"/>
        </w:rPr>
        <w:t xml:space="preserve">he LPG </w:t>
      </w:r>
      <w:r w:rsidR="00F02890">
        <w:rPr>
          <w:lang w:val="en-GB"/>
        </w:rPr>
        <w:t>vessels</w:t>
      </w:r>
      <w:r w:rsidR="00FD6368">
        <w:rPr>
          <w:lang w:val="en-GB"/>
        </w:rPr>
        <w:t xml:space="preserve"> are isolated through a fence, </w:t>
      </w:r>
      <w:r w:rsidR="00F02890">
        <w:rPr>
          <w:lang w:val="en-GB"/>
        </w:rPr>
        <w:t xml:space="preserve">that can be accessed through </w:t>
      </w:r>
      <w:r w:rsidR="00FD6368">
        <w:rPr>
          <w:lang w:val="en-GB"/>
        </w:rPr>
        <w:t xml:space="preserve">an entry road located on the opposite side of the </w:t>
      </w:r>
      <w:r w:rsidR="004B5E46">
        <w:rPr>
          <w:lang w:val="en-GB"/>
        </w:rPr>
        <w:t xml:space="preserve">loading docks; moreover, </w:t>
      </w:r>
      <w:r w:rsidR="001304CD">
        <w:rPr>
          <w:lang w:val="en-GB"/>
        </w:rPr>
        <w:t xml:space="preserve">a </w:t>
      </w:r>
      <w:r w:rsidR="00F02890">
        <w:rPr>
          <w:lang w:val="en-GB"/>
        </w:rPr>
        <w:t>W</w:t>
      </w:r>
      <w:r w:rsidR="001304CD">
        <w:rPr>
          <w:lang w:val="en-GB"/>
        </w:rPr>
        <w:t xml:space="preserve">ater </w:t>
      </w:r>
      <w:r w:rsidR="00F02890">
        <w:rPr>
          <w:lang w:val="en-GB"/>
        </w:rPr>
        <w:t>D</w:t>
      </w:r>
      <w:r w:rsidR="001304CD">
        <w:rPr>
          <w:lang w:val="en-GB"/>
        </w:rPr>
        <w:t xml:space="preserve">eluge </w:t>
      </w:r>
      <w:r w:rsidR="00F02890">
        <w:rPr>
          <w:lang w:val="en-GB"/>
        </w:rPr>
        <w:t>S</w:t>
      </w:r>
      <w:r w:rsidR="001304CD">
        <w:rPr>
          <w:lang w:val="en-GB"/>
        </w:rPr>
        <w:t>ystem</w:t>
      </w:r>
      <w:r w:rsidR="00F02890">
        <w:rPr>
          <w:lang w:val="en-GB"/>
        </w:rPr>
        <w:t xml:space="preserve"> (WDS)</w:t>
      </w:r>
      <w:r w:rsidR="001304CD">
        <w:rPr>
          <w:lang w:val="en-GB"/>
        </w:rPr>
        <w:t xml:space="preserve"> is available to cool off the vessels in case of fire</w:t>
      </w:r>
      <w:r w:rsidR="00BC3C3F">
        <w:rPr>
          <w:lang w:val="en-GB"/>
        </w:rPr>
        <w:t xml:space="preserve">. </w:t>
      </w:r>
      <w:r w:rsidR="00345E20">
        <w:rPr>
          <w:lang w:val="en-GB"/>
        </w:rPr>
        <w:t xml:space="preserve">Road tankers access the facility to load the LPG through the loading docks, while filling of the LPG </w:t>
      </w:r>
      <w:r w:rsidR="004B5E46">
        <w:rPr>
          <w:lang w:val="en-GB"/>
        </w:rPr>
        <w:t>vessels</w:t>
      </w:r>
      <w:r w:rsidR="00345E20">
        <w:rPr>
          <w:lang w:val="en-GB"/>
        </w:rPr>
        <w:t xml:space="preserve"> happens </w:t>
      </w:r>
      <w:r w:rsidR="00EE576F">
        <w:rPr>
          <w:lang w:val="en-GB"/>
        </w:rPr>
        <w:t xml:space="preserve">once per day. During the day, the entry gate is open, and visitors are identified at the entry control, which is conducted by </w:t>
      </w:r>
      <w:r w:rsidR="00A76432">
        <w:rPr>
          <w:lang w:val="en-GB"/>
        </w:rPr>
        <w:t>dedicated personnel, which is also in charge of the intervention inside the plant in case of intrusion.</w:t>
      </w:r>
      <w:r w:rsidR="00F14BBA">
        <w:rPr>
          <w:lang w:val="en-GB"/>
        </w:rPr>
        <w:t xml:space="preserve"> </w:t>
      </w:r>
      <w:r w:rsidR="00F14BBA">
        <w:t xml:space="preserve">For the exemplification of the methodology, the following attack scenario is studied: an intruder enters the facility during the day, walks 20 </w:t>
      </w:r>
      <w:r w:rsidR="003B4446">
        <w:t>m</w:t>
      </w:r>
      <w:r w:rsidR="00F14BBA">
        <w:t xml:space="preserve">, successfully passes the entry controls, walks 170 </w:t>
      </w:r>
      <w:r w:rsidR="003B4446">
        <w:t>m</w:t>
      </w:r>
      <w:r w:rsidR="00F14BBA">
        <w:t xml:space="preserve"> to the LPG fence, find the door open, and uses an incendiary weapon on one of the tanks for 90 </w:t>
      </w:r>
      <w:r w:rsidR="003B4446">
        <w:t>s</w:t>
      </w:r>
      <w:r w:rsidR="00F14BBA">
        <w:t>.</w:t>
      </w:r>
    </w:p>
    <w:p w14:paraId="68D26B83" w14:textId="2B882B00" w:rsidR="00600535" w:rsidRPr="00B57B36" w:rsidRDefault="000F2512" w:rsidP="00600535">
      <w:pPr>
        <w:pStyle w:val="CETHeading1"/>
        <w:rPr>
          <w:lang w:val="en-GB"/>
        </w:rPr>
      </w:pPr>
      <w:r>
        <w:rPr>
          <w:lang w:val="en-GB"/>
        </w:rPr>
        <w:t>Results and discussion</w:t>
      </w:r>
    </w:p>
    <w:p w14:paraId="55C6B8FE" w14:textId="6C9861E9" w:rsidR="00C92F2A" w:rsidRDefault="0012116F" w:rsidP="00600535">
      <w:pPr>
        <w:pStyle w:val="CETBodytext"/>
        <w:rPr>
          <w:lang w:val="en-GB"/>
        </w:rPr>
      </w:pPr>
      <w:r>
        <w:rPr>
          <w:lang w:val="en-GB"/>
        </w:rPr>
        <w:t xml:space="preserve">The </w:t>
      </w:r>
      <w:r w:rsidR="00FC0367">
        <w:rPr>
          <w:lang w:val="en-GB"/>
        </w:rPr>
        <w:t>E</w:t>
      </w:r>
      <w:r>
        <w:rPr>
          <w:lang w:val="en-GB"/>
        </w:rPr>
        <w:t xml:space="preserve">vent </w:t>
      </w:r>
      <w:r w:rsidR="00FC0367">
        <w:rPr>
          <w:lang w:val="en-GB"/>
        </w:rPr>
        <w:t>T</w:t>
      </w:r>
      <w:r>
        <w:rPr>
          <w:lang w:val="en-GB"/>
        </w:rPr>
        <w:t xml:space="preserve">ree </w:t>
      </w:r>
      <w:r w:rsidR="005A719B">
        <w:rPr>
          <w:lang w:val="en-GB"/>
        </w:rPr>
        <w:t xml:space="preserve">(ET) </w:t>
      </w:r>
      <w:r>
        <w:rPr>
          <w:lang w:val="en-GB"/>
        </w:rPr>
        <w:t xml:space="preserve">obtained for the attack scenario presented </w:t>
      </w:r>
      <w:r w:rsidRPr="00FC0367">
        <w:rPr>
          <w:lang w:val="en-GB"/>
        </w:rPr>
        <w:t xml:space="preserve">in Section 3 is shown in Figure </w:t>
      </w:r>
      <w:r w:rsidR="00B511D4" w:rsidRPr="00FC0367">
        <w:rPr>
          <w:lang w:val="en-GB"/>
        </w:rPr>
        <w:t>2</w:t>
      </w:r>
      <w:r w:rsidR="001D0CFB" w:rsidRPr="00FC0367">
        <w:rPr>
          <w:lang w:val="en-GB"/>
        </w:rPr>
        <w:t>.</w:t>
      </w:r>
    </w:p>
    <w:p w14:paraId="53EDFBB4" w14:textId="77777777" w:rsidR="00C92F2A" w:rsidRDefault="00C92F2A" w:rsidP="00600535">
      <w:pPr>
        <w:pStyle w:val="CETBodytext"/>
        <w:rPr>
          <w:lang w:val="en-GB"/>
        </w:rPr>
      </w:pPr>
    </w:p>
    <w:p w14:paraId="599F9676" w14:textId="77777777" w:rsidR="00C92F2A" w:rsidRDefault="00C92F2A" w:rsidP="00C92F2A">
      <w:pPr>
        <w:pStyle w:val="CETBodytext"/>
        <w:rPr>
          <w:lang w:val="en-GB"/>
        </w:rPr>
      </w:pPr>
      <w:r w:rsidRPr="007E5A45">
        <w:rPr>
          <w:noProof/>
        </w:rPr>
        <w:drawing>
          <wp:inline distT="0" distB="0" distL="0" distR="0" wp14:anchorId="184BF5FD" wp14:editId="6927B4C5">
            <wp:extent cx="5579745" cy="3612515"/>
            <wp:effectExtent l="0" t="0" r="1905" b="6985"/>
            <wp:docPr id="20878286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3612515"/>
                    </a:xfrm>
                    <a:prstGeom prst="rect">
                      <a:avLst/>
                    </a:prstGeom>
                    <a:noFill/>
                    <a:ln>
                      <a:noFill/>
                    </a:ln>
                  </pic:spPr>
                </pic:pic>
              </a:graphicData>
            </a:graphic>
          </wp:inline>
        </w:drawing>
      </w:r>
    </w:p>
    <w:p w14:paraId="63D41111" w14:textId="27FFC79D" w:rsidR="00C92F2A" w:rsidRDefault="00C92F2A" w:rsidP="00C92F2A">
      <w:pPr>
        <w:pStyle w:val="CETCaption"/>
      </w:pPr>
      <w:r w:rsidRPr="00764C88">
        <w:t xml:space="preserve">Figure </w:t>
      </w:r>
      <w:r w:rsidR="00B511D4" w:rsidRPr="00764C88">
        <w:t>2</w:t>
      </w:r>
      <w:r w:rsidRPr="00764C88">
        <w:t>: E</w:t>
      </w:r>
      <w:r w:rsidR="005A719B" w:rsidRPr="00764C88">
        <w:t>vent tree</w:t>
      </w:r>
      <w:r w:rsidRPr="00764C88">
        <w:t xml:space="preserve"> for the attack scenario presented in Section 3</w:t>
      </w:r>
      <w:r w:rsidR="00324F98">
        <w:t>. For gate types a</w:t>
      </w:r>
      <w:r w:rsidR="003844ED">
        <w:t>nd barriers data refer to Table 2 and Table 3, respectively</w:t>
      </w:r>
    </w:p>
    <w:p w14:paraId="52DAFDE0" w14:textId="2662E66A" w:rsidR="001D0CFB" w:rsidRPr="00D76BA9" w:rsidRDefault="00FE7429" w:rsidP="00600535">
      <w:pPr>
        <w:pStyle w:val="CETBodytext"/>
        <w:rPr>
          <w:lang w:val="en-GB"/>
        </w:rPr>
      </w:pPr>
      <w:r>
        <w:rPr>
          <w:lang w:val="en-GB"/>
        </w:rPr>
        <w:t>The first PPS encountered by the adversary is the entry control (</w:t>
      </w:r>
      <w:r w:rsidRPr="00FE7429">
        <w:rPr>
          <w:i/>
          <w:iCs/>
          <w:lang w:val="en-GB"/>
        </w:rPr>
        <w:t>PPS1</w:t>
      </w:r>
      <w:r>
        <w:rPr>
          <w:lang w:val="en-GB"/>
        </w:rPr>
        <w:t xml:space="preserve">), located at the access point of the plant. </w:t>
      </w:r>
      <w:r w:rsidR="00DB5496">
        <w:rPr>
          <w:lang w:val="en-GB"/>
        </w:rPr>
        <w:t xml:space="preserve">The attack scenario </w:t>
      </w:r>
      <w:r w:rsidR="00EA4DE0">
        <w:rPr>
          <w:lang w:val="en-GB"/>
        </w:rPr>
        <w:t>moves</w:t>
      </w:r>
      <w:r w:rsidR="00DB5496">
        <w:rPr>
          <w:lang w:val="en-GB"/>
        </w:rPr>
        <w:t xml:space="preserve"> forward only if the adversary successfully </w:t>
      </w:r>
      <w:r w:rsidR="004A00E0">
        <w:rPr>
          <w:lang w:val="en-GB"/>
        </w:rPr>
        <w:t>eludes the guards</w:t>
      </w:r>
      <w:r w:rsidR="00EA4DE0">
        <w:rPr>
          <w:lang w:val="en-GB"/>
        </w:rPr>
        <w:t>; otherwise, no escalation is considered</w:t>
      </w:r>
      <w:r w:rsidR="0087752B">
        <w:rPr>
          <w:lang w:val="en-GB"/>
        </w:rPr>
        <w:t xml:space="preserve"> (lower branch from </w:t>
      </w:r>
      <w:r w:rsidR="0087752B" w:rsidRPr="0087752B">
        <w:rPr>
          <w:i/>
          <w:iCs/>
          <w:lang w:val="en-GB"/>
        </w:rPr>
        <w:t>PPS1</w:t>
      </w:r>
      <w:r w:rsidR="0087752B">
        <w:rPr>
          <w:lang w:val="en-GB"/>
        </w:rPr>
        <w:t xml:space="preserve"> in the ET)</w:t>
      </w:r>
      <w:r w:rsidR="004A00E0">
        <w:rPr>
          <w:lang w:val="en-GB"/>
        </w:rPr>
        <w:t>. The next PPS is the fenced door of the LPG storage</w:t>
      </w:r>
      <w:r w:rsidR="008C1518">
        <w:rPr>
          <w:lang w:val="en-GB"/>
        </w:rPr>
        <w:t xml:space="preserve">; the attack scenario </w:t>
      </w:r>
      <w:r w:rsidR="0087752B">
        <w:rPr>
          <w:lang w:val="en-GB"/>
        </w:rPr>
        <w:t>is</w:t>
      </w:r>
      <w:r w:rsidR="008C1518">
        <w:rPr>
          <w:lang w:val="en-GB"/>
        </w:rPr>
        <w:t xml:space="preserve"> interrupted if the adversary find</w:t>
      </w:r>
      <w:r w:rsidR="00800151">
        <w:rPr>
          <w:lang w:val="en-GB"/>
        </w:rPr>
        <w:t>s</w:t>
      </w:r>
      <w:r w:rsidR="008C1518">
        <w:rPr>
          <w:lang w:val="en-GB"/>
        </w:rPr>
        <w:t xml:space="preserve"> a locked door.</w:t>
      </w:r>
      <w:r w:rsidR="00F24B94">
        <w:rPr>
          <w:lang w:val="en-GB"/>
        </w:rPr>
        <w:t xml:space="preserve"> While inside </w:t>
      </w:r>
      <w:r w:rsidR="00F24B94" w:rsidRPr="0087752B">
        <w:rPr>
          <w:lang w:val="en-GB"/>
        </w:rPr>
        <w:t>the facility, the adversary can be detected by the employees working on the site</w:t>
      </w:r>
      <w:r w:rsidR="002B2CB4" w:rsidRPr="0087752B">
        <w:rPr>
          <w:lang w:val="en-GB"/>
        </w:rPr>
        <w:t xml:space="preserve"> (</w:t>
      </w:r>
      <w:r w:rsidR="002B2CB4" w:rsidRPr="0087752B">
        <w:rPr>
          <w:i/>
          <w:iCs/>
          <w:lang w:val="en-GB"/>
        </w:rPr>
        <w:t>PPS3</w:t>
      </w:r>
      <w:r w:rsidR="002B2CB4" w:rsidRPr="0087752B">
        <w:rPr>
          <w:lang w:val="en-GB"/>
        </w:rPr>
        <w:t>)</w:t>
      </w:r>
      <w:r w:rsidR="00F24B94" w:rsidRPr="0087752B">
        <w:rPr>
          <w:lang w:val="en-GB"/>
        </w:rPr>
        <w:t xml:space="preserve">. </w:t>
      </w:r>
      <w:r w:rsidR="004931AC" w:rsidRPr="0087752B">
        <w:rPr>
          <w:lang w:val="en-GB"/>
        </w:rPr>
        <w:t xml:space="preserve">The performance of PPS1, PPS2, and PPS3 can be evaluated using the values in Table </w:t>
      </w:r>
      <w:r w:rsidR="0087752B" w:rsidRPr="0087752B">
        <w:rPr>
          <w:lang w:val="en-GB"/>
        </w:rPr>
        <w:t>3</w:t>
      </w:r>
      <w:r w:rsidR="004931AC" w:rsidRPr="0087752B">
        <w:rPr>
          <w:lang w:val="en-GB"/>
        </w:rPr>
        <w:t xml:space="preserve"> combined with the appropriate gate in Table </w:t>
      </w:r>
      <w:r w:rsidR="0087752B" w:rsidRPr="0087752B">
        <w:rPr>
          <w:lang w:val="en-GB"/>
        </w:rPr>
        <w:t>2</w:t>
      </w:r>
      <w:r w:rsidR="004931AC" w:rsidRPr="0087752B">
        <w:rPr>
          <w:lang w:val="en-GB"/>
        </w:rPr>
        <w:t xml:space="preserve">. </w:t>
      </w:r>
      <w:r w:rsidR="0078067B" w:rsidRPr="0087752B">
        <w:rPr>
          <w:lang w:val="en-GB"/>
        </w:rPr>
        <w:t>T</w:t>
      </w:r>
      <w:r w:rsidR="00F24B94" w:rsidRPr="0087752B">
        <w:rPr>
          <w:lang w:val="en-GB"/>
        </w:rPr>
        <w:t xml:space="preserve">he </w:t>
      </w:r>
      <w:r w:rsidR="0078067B" w:rsidRPr="0087752B">
        <w:rPr>
          <w:lang w:val="en-GB"/>
        </w:rPr>
        <w:t>e</w:t>
      </w:r>
      <w:r w:rsidR="00F24B94" w:rsidRPr="0087752B">
        <w:rPr>
          <w:lang w:val="en-GB"/>
        </w:rPr>
        <w:t>merge</w:t>
      </w:r>
      <w:r w:rsidR="0078067B" w:rsidRPr="0087752B">
        <w:rPr>
          <w:lang w:val="en-GB"/>
        </w:rPr>
        <w:t xml:space="preserve">ncy team </w:t>
      </w:r>
      <w:r w:rsidR="00051A8F" w:rsidRPr="0087752B">
        <w:rPr>
          <w:lang w:val="en-GB"/>
        </w:rPr>
        <w:t>(</w:t>
      </w:r>
      <w:r w:rsidR="00013541" w:rsidRPr="0087752B">
        <w:rPr>
          <w:i/>
          <w:iCs/>
          <w:lang w:val="en-GB"/>
        </w:rPr>
        <w:t>PPS4</w:t>
      </w:r>
      <w:r w:rsidR="00013541" w:rsidRPr="0087752B">
        <w:rPr>
          <w:lang w:val="en-GB"/>
        </w:rPr>
        <w:t xml:space="preserve">) </w:t>
      </w:r>
      <w:r w:rsidR="0078067B" w:rsidRPr="0087752B">
        <w:rPr>
          <w:lang w:val="en-GB"/>
        </w:rPr>
        <w:t xml:space="preserve">can intervene and block the attack only </w:t>
      </w:r>
      <w:r w:rsidR="00051A8F" w:rsidRPr="0087752B">
        <w:rPr>
          <w:lang w:val="en-GB"/>
        </w:rPr>
        <w:t>if</w:t>
      </w:r>
      <w:r w:rsidR="00F81957" w:rsidRPr="0087752B">
        <w:rPr>
          <w:lang w:val="en-GB"/>
        </w:rPr>
        <w:t xml:space="preserve"> the detection</w:t>
      </w:r>
      <w:r w:rsidR="007F0544" w:rsidRPr="0087752B">
        <w:rPr>
          <w:lang w:val="en-GB"/>
        </w:rPr>
        <w:t xml:space="preserve"> is</w:t>
      </w:r>
      <w:r w:rsidR="00F81957" w:rsidRPr="0087752B">
        <w:rPr>
          <w:lang w:val="en-GB"/>
        </w:rPr>
        <w:t xml:space="preserve"> successful. To determine the</w:t>
      </w:r>
      <w:r w:rsidR="00F81957">
        <w:rPr>
          <w:lang w:val="en-GB"/>
        </w:rPr>
        <w:t xml:space="preserve"> efficacy of the emergency team</w:t>
      </w:r>
      <w:r w:rsidR="00DD5FFB">
        <w:rPr>
          <w:lang w:val="en-GB"/>
        </w:rPr>
        <w:t xml:space="preserve">, the </w:t>
      </w:r>
      <w:r w:rsidR="00926998">
        <w:rPr>
          <w:lang w:val="en-GB"/>
        </w:rPr>
        <w:t>Adversary Intrusion Time (AIT)</w:t>
      </w:r>
      <w:r w:rsidR="00DD5FFB">
        <w:rPr>
          <w:lang w:val="en-GB"/>
        </w:rPr>
        <w:t xml:space="preserve"> should be evaluated</w:t>
      </w:r>
      <w:r w:rsidR="008D0031">
        <w:rPr>
          <w:lang w:val="en-GB"/>
        </w:rPr>
        <w:t xml:space="preserve">: </w:t>
      </w:r>
      <w:r w:rsidR="00B54E4E">
        <w:rPr>
          <w:lang w:val="en-GB"/>
        </w:rPr>
        <w:t xml:space="preserve">a total distance of 190 m </w:t>
      </w:r>
      <w:r w:rsidR="00214A91">
        <w:rPr>
          <w:lang w:val="en-GB"/>
        </w:rPr>
        <w:t xml:space="preserve">travelled at a </w:t>
      </w:r>
      <w:r w:rsidR="00602AFB">
        <w:rPr>
          <w:lang w:val="en-GB"/>
        </w:rPr>
        <w:t>fast</w:t>
      </w:r>
      <w:r w:rsidR="00214A91">
        <w:rPr>
          <w:lang w:val="en-GB"/>
        </w:rPr>
        <w:t xml:space="preserve"> walking speed (3 m/s) yields </w:t>
      </w:r>
      <w:r w:rsidR="008D0031">
        <w:rPr>
          <w:lang w:val="en-GB"/>
        </w:rPr>
        <w:t>60 seconds to reach the target, while</w:t>
      </w:r>
      <w:r w:rsidR="005573B4">
        <w:rPr>
          <w:lang w:val="en-GB"/>
        </w:rPr>
        <w:t xml:space="preserve"> 90 s are necessary to use the weapon, re</w:t>
      </w:r>
      <w:r w:rsidR="00E17A3C">
        <w:rPr>
          <w:lang w:val="en-GB"/>
        </w:rPr>
        <w:t xml:space="preserve">sulting in 150 s to complete the scenario. According to the sources cited in </w:t>
      </w:r>
      <w:r w:rsidR="00E17A3C" w:rsidRPr="00926998">
        <w:rPr>
          <w:lang w:val="en-GB"/>
        </w:rPr>
        <w:t xml:space="preserve">Section </w:t>
      </w:r>
      <w:r w:rsidR="00875BC6" w:rsidRPr="00926998">
        <w:rPr>
          <w:lang w:val="en-GB"/>
        </w:rPr>
        <w:t>2.2</w:t>
      </w:r>
      <w:r w:rsidR="00B263DC" w:rsidRPr="00926998">
        <w:rPr>
          <w:lang w:val="en-GB"/>
        </w:rPr>
        <w:t xml:space="preserve">, a well-trained team </w:t>
      </w:r>
      <w:r w:rsidR="006779A9" w:rsidRPr="00926998">
        <w:rPr>
          <w:lang w:val="en-GB"/>
        </w:rPr>
        <w:t>acts</w:t>
      </w:r>
      <w:r w:rsidR="00B263DC" w:rsidRPr="00926998">
        <w:rPr>
          <w:lang w:val="en-GB"/>
        </w:rPr>
        <w:t xml:space="preserve"> in </w:t>
      </w:r>
      <w:r w:rsidR="00D76BA9" w:rsidRPr="00926998">
        <w:rPr>
          <w:lang w:val="en-GB"/>
        </w:rPr>
        <w:t>ERT</w:t>
      </w:r>
      <w:r w:rsidR="00D76BA9" w:rsidRPr="00926998">
        <w:rPr>
          <w:vertAlign w:val="subscript"/>
          <w:lang w:val="en-GB"/>
        </w:rPr>
        <w:t>H</w:t>
      </w:r>
      <w:r w:rsidR="00D76BA9" w:rsidRPr="00926998">
        <w:rPr>
          <w:lang w:val="en-GB"/>
        </w:rPr>
        <w:t xml:space="preserve"> =</w:t>
      </w:r>
      <w:r w:rsidR="00926998">
        <w:rPr>
          <w:lang w:val="en-GB"/>
        </w:rPr>
        <w:t xml:space="preserve"> </w:t>
      </w:r>
      <w:r w:rsidR="00B263DC" w:rsidRPr="00926998">
        <w:rPr>
          <w:lang w:val="en-GB"/>
        </w:rPr>
        <w:t xml:space="preserve">240 s, while a low-trained team in </w:t>
      </w:r>
      <w:r w:rsidR="00D76BA9" w:rsidRPr="00926998">
        <w:rPr>
          <w:lang w:val="en-GB"/>
        </w:rPr>
        <w:t>ERT</w:t>
      </w:r>
      <w:r w:rsidR="00D76BA9" w:rsidRPr="00926998">
        <w:rPr>
          <w:vertAlign w:val="subscript"/>
          <w:lang w:val="en-GB"/>
        </w:rPr>
        <w:t>L</w:t>
      </w:r>
      <w:r w:rsidR="00D76BA9" w:rsidRPr="00926998">
        <w:rPr>
          <w:lang w:val="en-GB"/>
        </w:rPr>
        <w:t xml:space="preserve"> </w:t>
      </w:r>
      <w:r w:rsidR="0087752B" w:rsidRPr="00926998">
        <w:rPr>
          <w:lang w:val="en-GB"/>
        </w:rPr>
        <w:t xml:space="preserve">= </w:t>
      </w:r>
      <w:r w:rsidR="00D6754C" w:rsidRPr="00926998">
        <w:rPr>
          <w:lang w:val="en-GB"/>
        </w:rPr>
        <w:t>360 s. Applying the formulas in Table</w:t>
      </w:r>
      <w:r w:rsidR="00926998" w:rsidRPr="00926998">
        <w:rPr>
          <w:lang w:val="en-GB"/>
        </w:rPr>
        <w:t xml:space="preserve"> 2 and</w:t>
      </w:r>
      <w:r w:rsidR="00875BC6" w:rsidRPr="00926998">
        <w:rPr>
          <w:lang w:val="en-GB"/>
        </w:rPr>
        <w:t xml:space="preserve"> 3</w:t>
      </w:r>
      <w:r w:rsidR="000452A9">
        <w:rPr>
          <w:lang w:val="en-GB"/>
        </w:rPr>
        <w:t>,</w:t>
      </w:r>
      <w:r w:rsidR="00D6754C">
        <w:rPr>
          <w:lang w:val="en-GB"/>
        </w:rPr>
        <w:t xml:space="preserve"> no team is able to stop the attack</w:t>
      </w:r>
      <w:r w:rsidR="00110212">
        <w:rPr>
          <w:lang w:val="en-GB"/>
        </w:rPr>
        <w:t>er</w:t>
      </w:r>
      <w:r w:rsidR="00D6754C">
        <w:rPr>
          <w:lang w:val="en-GB"/>
        </w:rPr>
        <w:t>,</w:t>
      </w:r>
      <w:r w:rsidR="00D76BA9">
        <w:rPr>
          <w:lang w:val="en-GB"/>
        </w:rPr>
        <w:t xml:space="preserve"> because the AIT is higher than both ERT</w:t>
      </w:r>
      <w:r w:rsidR="00D76BA9" w:rsidRPr="00D76BA9">
        <w:rPr>
          <w:vertAlign w:val="subscript"/>
          <w:lang w:val="en-GB"/>
        </w:rPr>
        <w:t>H</w:t>
      </w:r>
      <w:r w:rsidR="00D76BA9">
        <w:rPr>
          <w:lang w:val="en-GB"/>
        </w:rPr>
        <w:t xml:space="preserve"> and ERT</w:t>
      </w:r>
      <w:r w:rsidR="00D76BA9" w:rsidRPr="00D76BA9">
        <w:rPr>
          <w:vertAlign w:val="subscript"/>
          <w:lang w:val="en-GB"/>
        </w:rPr>
        <w:t>L</w:t>
      </w:r>
      <w:r w:rsidR="00D76BA9">
        <w:rPr>
          <w:lang w:val="en-GB"/>
        </w:rPr>
        <w:t>.</w:t>
      </w:r>
      <w:r w:rsidR="00B91B08">
        <w:rPr>
          <w:lang w:val="en-GB"/>
        </w:rPr>
        <w:t xml:space="preserve"> This implies that, if the intruder find</w:t>
      </w:r>
      <w:r w:rsidR="000452A9">
        <w:rPr>
          <w:lang w:val="en-GB"/>
        </w:rPr>
        <w:t>s</w:t>
      </w:r>
      <w:r w:rsidR="00B91B08">
        <w:rPr>
          <w:lang w:val="en-GB"/>
        </w:rPr>
        <w:t xml:space="preserve"> the door open, it is always able to successfully reach the target. </w:t>
      </w:r>
      <w:r w:rsidR="00333F94">
        <w:rPr>
          <w:lang w:val="en-GB"/>
        </w:rPr>
        <w:t xml:space="preserve">The </w:t>
      </w:r>
      <w:r w:rsidR="00333F94" w:rsidRPr="00557D6C">
        <w:rPr>
          <w:lang w:val="en-GB"/>
        </w:rPr>
        <w:t xml:space="preserve">fragility of the equipment should be evaluated through gates </w:t>
      </w:r>
      <w:r w:rsidR="00333F94" w:rsidRPr="00557D6C">
        <w:rPr>
          <w:i/>
          <w:iCs/>
          <w:lang w:val="en-GB"/>
        </w:rPr>
        <w:t>FG1</w:t>
      </w:r>
      <w:r w:rsidR="00333F94" w:rsidRPr="00557D6C">
        <w:rPr>
          <w:lang w:val="en-GB"/>
        </w:rPr>
        <w:t xml:space="preserve">, </w:t>
      </w:r>
      <w:r w:rsidR="00333F94" w:rsidRPr="00557D6C">
        <w:rPr>
          <w:i/>
          <w:iCs/>
          <w:lang w:val="en-GB"/>
        </w:rPr>
        <w:t>FG2</w:t>
      </w:r>
      <w:r w:rsidR="00333F94" w:rsidRPr="00557D6C">
        <w:rPr>
          <w:lang w:val="en-GB"/>
        </w:rPr>
        <w:t xml:space="preserve">, </w:t>
      </w:r>
      <w:r w:rsidR="00333F94" w:rsidRPr="00557D6C">
        <w:rPr>
          <w:i/>
          <w:iCs/>
          <w:lang w:val="en-GB"/>
        </w:rPr>
        <w:t>FG3</w:t>
      </w:r>
      <w:r w:rsidR="00333F94" w:rsidRPr="00557D6C">
        <w:rPr>
          <w:lang w:val="en-GB"/>
        </w:rPr>
        <w:t xml:space="preserve">, and </w:t>
      </w:r>
      <w:r w:rsidR="00333F94" w:rsidRPr="00557D6C">
        <w:rPr>
          <w:i/>
          <w:iCs/>
          <w:lang w:val="en-GB"/>
        </w:rPr>
        <w:t>FG4</w:t>
      </w:r>
      <w:r w:rsidR="00333F94" w:rsidRPr="00557D6C">
        <w:rPr>
          <w:lang w:val="en-GB"/>
        </w:rPr>
        <w:t>. By applying the model</w:t>
      </w:r>
      <w:r w:rsidR="007E6D67">
        <w:rPr>
          <w:lang w:val="en-GB"/>
        </w:rPr>
        <w:t xml:space="preserve"> presented</w:t>
      </w:r>
      <w:r w:rsidR="00333F94" w:rsidRPr="00557D6C">
        <w:rPr>
          <w:lang w:val="en-GB"/>
        </w:rPr>
        <w:t xml:space="preserve"> in (Marroni et al, 2024)</w:t>
      </w:r>
      <w:r w:rsidR="007E6D67">
        <w:rPr>
          <w:lang w:val="en-GB"/>
        </w:rPr>
        <w:t xml:space="preserve"> for incendiary attacks</w:t>
      </w:r>
      <w:r w:rsidR="00333F94" w:rsidRPr="00557D6C">
        <w:rPr>
          <w:lang w:val="en-GB"/>
        </w:rPr>
        <w:t xml:space="preserve">, the probability of failure </w:t>
      </w:r>
      <w:r w:rsidR="00D53E46" w:rsidRPr="00557D6C">
        <w:rPr>
          <w:i/>
          <w:iCs/>
          <w:lang w:val="en-GB"/>
        </w:rPr>
        <w:t>P</w:t>
      </w:r>
      <w:r w:rsidR="00D53E46" w:rsidRPr="00557D6C">
        <w:rPr>
          <w:i/>
          <w:iCs/>
          <w:vertAlign w:val="subscript"/>
          <w:lang w:val="en-GB"/>
        </w:rPr>
        <w:t>d</w:t>
      </w:r>
      <w:r w:rsidR="00D53E46" w:rsidRPr="00557D6C">
        <w:rPr>
          <w:lang w:val="en-GB"/>
        </w:rPr>
        <w:t xml:space="preserve"> </w:t>
      </w:r>
      <w:r w:rsidR="004C46C5" w:rsidRPr="00557D6C">
        <w:rPr>
          <w:lang w:val="en-GB"/>
        </w:rPr>
        <w:t xml:space="preserve">is </w:t>
      </w:r>
      <w:r w:rsidR="00D53E46" w:rsidRPr="00557D6C">
        <w:rPr>
          <w:lang w:val="en-GB"/>
        </w:rPr>
        <w:t xml:space="preserve">around </w:t>
      </w:r>
      <w:r w:rsidR="004C46C5" w:rsidRPr="00557D6C">
        <w:rPr>
          <w:lang w:val="en-GB"/>
        </w:rPr>
        <w:t>40%. If the pressure vessel resists, then the attack scenario is not considered successful</w:t>
      </w:r>
      <w:r w:rsidR="00557D6C">
        <w:rPr>
          <w:lang w:val="en-GB"/>
        </w:rPr>
        <w:t xml:space="preserve">; this is represented by the lower branches </w:t>
      </w:r>
      <w:r w:rsidR="00557D6C">
        <w:rPr>
          <w:lang w:val="en-GB"/>
        </w:rPr>
        <w:lastRenderedPageBreak/>
        <w:t xml:space="preserve">stemming from </w:t>
      </w:r>
      <w:r w:rsidR="00557D6C" w:rsidRPr="00557D6C">
        <w:rPr>
          <w:i/>
          <w:iCs/>
          <w:lang w:val="en-GB"/>
        </w:rPr>
        <w:t>FG1</w:t>
      </w:r>
      <w:r w:rsidR="00B14878">
        <w:rPr>
          <w:i/>
          <w:iCs/>
          <w:lang w:val="en-GB"/>
        </w:rPr>
        <w:t>-4</w:t>
      </w:r>
      <w:r w:rsidR="00557D6C">
        <w:rPr>
          <w:lang w:val="en-GB"/>
        </w:rPr>
        <w:t xml:space="preserve"> in the ET in Figure 2</w:t>
      </w:r>
      <w:r w:rsidR="004C46C5" w:rsidRPr="00557D6C">
        <w:rPr>
          <w:lang w:val="en-GB"/>
        </w:rPr>
        <w:t xml:space="preserve">. Otherwise, </w:t>
      </w:r>
      <w:r w:rsidR="00B66FC0" w:rsidRPr="00557D6C">
        <w:rPr>
          <w:lang w:val="en-GB"/>
        </w:rPr>
        <w:t>the scenario is successful</w:t>
      </w:r>
      <w:r w:rsidR="004B77E9" w:rsidRPr="00557D6C">
        <w:rPr>
          <w:lang w:val="en-GB"/>
        </w:rPr>
        <w:t xml:space="preserve">, and its </w:t>
      </w:r>
      <w:r w:rsidR="000C3A69" w:rsidRPr="00557D6C">
        <w:rPr>
          <w:lang w:val="en-GB"/>
        </w:rPr>
        <w:t>escalation degree</w:t>
      </w:r>
      <w:r w:rsidR="004B77E9" w:rsidRPr="00557D6C">
        <w:rPr>
          <w:lang w:val="en-GB"/>
        </w:rPr>
        <w:t xml:space="preserve"> is determine</w:t>
      </w:r>
      <w:r w:rsidR="000C3A69" w:rsidRPr="00557D6C">
        <w:rPr>
          <w:lang w:val="en-GB"/>
        </w:rPr>
        <w:t>d</w:t>
      </w:r>
      <w:r w:rsidR="004B77E9" w:rsidRPr="00557D6C">
        <w:rPr>
          <w:lang w:val="en-GB"/>
        </w:rPr>
        <w:t xml:space="preserve"> by the </w:t>
      </w:r>
      <w:r w:rsidR="004B77E9" w:rsidRPr="00B14878">
        <w:rPr>
          <w:lang w:val="en-GB"/>
        </w:rPr>
        <w:t>performance of the WDS (</w:t>
      </w:r>
      <w:r w:rsidR="004B77E9" w:rsidRPr="00B14878">
        <w:rPr>
          <w:i/>
          <w:iCs/>
          <w:lang w:val="en-GB"/>
        </w:rPr>
        <w:t>SB1</w:t>
      </w:r>
      <w:r w:rsidR="004B77E9" w:rsidRPr="00B14878">
        <w:rPr>
          <w:lang w:val="en-GB"/>
        </w:rPr>
        <w:t xml:space="preserve">, </w:t>
      </w:r>
      <w:r w:rsidR="004B77E9" w:rsidRPr="00B14878">
        <w:rPr>
          <w:i/>
          <w:iCs/>
          <w:lang w:val="en-GB"/>
        </w:rPr>
        <w:t>SB2</w:t>
      </w:r>
      <w:r w:rsidR="004B77E9" w:rsidRPr="00B14878">
        <w:rPr>
          <w:lang w:val="en-GB"/>
        </w:rPr>
        <w:t xml:space="preserve">, </w:t>
      </w:r>
      <w:r w:rsidR="004B77E9" w:rsidRPr="00B14878">
        <w:rPr>
          <w:i/>
          <w:iCs/>
          <w:lang w:val="en-GB"/>
        </w:rPr>
        <w:t>SB3</w:t>
      </w:r>
      <w:r w:rsidR="004B77E9" w:rsidRPr="00B14878">
        <w:rPr>
          <w:lang w:val="en-GB"/>
        </w:rPr>
        <w:t xml:space="preserve">, and </w:t>
      </w:r>
      <w:r w:rsidR="004B77E9" w:rsidRPr="00B14878">
        <w:rPr>
          <w:i/>
          <w:iCs/>
          <w:lang w:val="en-GB"/>
        </w:rPr>
        <w:t>SB4</w:t>
      </w:r>
      <w:r w:rsidR="004B77E9" w:rsidRPr="00B14878">
        <w:rPr>
          <w:lang w:val="en-GB"/>
        </w:rPr>
        <w:t>)</w:t>
      </w:r>
      <w:r w:rsidR="000C3A69" w:rsidRPr="00B14878">
        <w:rPr>
          <w:lang w:val="en-GB"/>
        </w:rPr>
        <w:t>, which can be</w:t>
      </w:r>
      <w:r w:rsidR="00620BF3" w:rsidRPr="00B14878">
        <w:rPr>
          <w:lang w:val="en-GB"/>
        </w:rPr>
        <w:t xml:space="preserve"> also</w:t>
      </w:r>
      <w:r w:rsidR="000C3A69" w:rsidRPr="00B14878">
        <w:rPr>
          <w:lang w:val="en-GB"/>
        </w:rPr>
        <w:t xml:space="preserve"> quantified using  the values shown in Section </w:t>
      </w:r>
      <w:r w:rsidR="00B945DC" w:rsidRPr="00B14878">
        <w:rPr>
          <w:lang w:val="en-GB"/>
        </w:rPr>
        <w:t>2.2.</w:t>
      </w:r>
      <w:r w:rsidR="000C3A69" w:rsidRPr="00B14878">
        <w:rPr>
          <w:lang w:val="en-GB"/>
        </w:rPr>
        <w:t xml:space="preserve"> Namely, </w:t>
      </w:r>
      <w:r w:rsidR="003F251B" w:rsidRPr="00B14878">
        <w:rPr>
          <w:lang w:val="en-GB"/>
        </w:rPr>
        <w:t>a full escalation happens in case of failure of the WDS</w:t>
      </w:r>
      <w:r w:rsidR="00B14878">
        <w:rPr>
          <w:lang w:val="en-GB"/>
        </w:rPr>
        <w:t xml:space="preserve"> (upper branch from </w:t>
      </w:r>
      <w:r w:rsidR="00B14878" w:rsidRPr="00B14878">
        <w:rPr>
          <w:i/>
          <w:iCs/>
          <w:lang w:val="en-GB"/>
        </w:rPr>
        <w:t>SB1</w:t>
      </w:r>
      <w:r w:rsidR="00B14878">
        <w:rPr>
          <w:i/>
          <w:iCs/>
          <w:lang w:val="en-GB"/>
        </w:rPr>
        <w:t xml:space="preserve">-4 </w:t>
      </w:r>
      <w:r w:rsidR="00B14878" w:rsidRPr="00B14878">
        <w:rPr>
          <w:lang w:val="en-GB"/>
        </w:rPr>
        <w:t>in Figure 2</w:t>
      </w:r>
      <w:r w:rsidR="00B14878">
        <w:rPr>
          <w:i/>
          <w:iCs/>
          <w:lang w:val="en-GB"/>
        </w:rPr>
        <w:t>)</w:t>
      </w:r>
      <w:r w:rsidR="003F251B" w:rsidRPr="00B14878">
        <w:rPr>
          <w:lang w:val="en-GB"/>
        </w:rPr>
        <w:t xml:space="preserve">, with potential cascading effects involving </w:t>
      </w:r>
      <w:r w:rsidR="005D5BD9" w:rsidRPr="00B14878">
        <w:rPr>
          <w:lang w:val="en-GB"/>
        </w:rPr>
        <w:t xml:space="preserve">the other vessels found inside the fence. On the other hand, a mitigated escalation takes place is case of </w:t>
      </w:r>
      <w:r w:rsidR="00D83B01" w:rsidRPr="00B14878">
        <w:rPr>
          <w:lang w:val="en-GB"/>
        </w:rPr>
        <w:t>correct functioning of the WDS</w:t>
      </w:r>
      <w:r w:rsidR="00B14878">
        <w:rPr>
          <w:lang w:val="en-GB"/>
        </w:rPr>
        <w:t xml:space="preserve">, represented  by the lower branches of </w:t>
      </w:r>
      <w:r w:rsidR="006A04E5" w:rsidRPr="006A04E5">
        <w:rPr>
          <w:i/>
          <w:iCs/>
          <w:lang w:val="en-GB"/>
        </w:rPr>
        <w:t>SB1-4</w:t>
      </w:r>
      <w:r w:rsidR="006A04E5">
        <w:rPr>
          <w:lang w:val="en-GB"/>
        </w:rPr>
        <w:t xml:space="preserve"> in Figure 2</w:t>
      </w:r>
      <w:r w:rsidR="00D83B01" w:rsidRPr="00B14878">
        <w:rPr>
          <w:lang w:val="en-GB"/>
        </w:rPr>
        <w:t>.</w:t>
      </w:r>
    </w:p>
    <w:p w14:paraId="71290A3E" w14:textId="67A32B2D" w:rsidR="00355C22" w:rsidRDefault="003C76E1" w:rsidP="000252E7">
      <w:pPr>
        <w:pStyle w:val="CETBodytext"/>
      </w:pPr>
      <w:r w:rsidRPr="00CE51EA">
        <w:t xml:space="preserve">The result of the probabilistic assessment is shown in Figure </w:t>
      </w:r>
      <w:r w:rsidR="00B511D4" w:rsidRPr="00CE51EA">
        <w:t>3</w:t>
      </w:r>
      <w:r w:rsidRPr="00CE51EA">
        <w:t xml:space="preserve">. </w:t>
      </w:r>
      <w:r w:rsidR="00405BA1" w:rsidRPr="00CE51EA">
        <w:t>The synergistic performance of barriers</w:t>
      </w:r>
      <w:r w:rsidR="00A5487A" w:rsidRPr="00CE51EA">
        <w:t xml:space="preserve"> </w:t>
      </w:r>
      <w:r w:rsidR="00673E1E">
        <w:t>is</w:t>
      </w:r>
      <w:r w:rsidR="00A5487A" w:rsidRPr="00CE51EA">
        <w:t xml:space="preserve"> labele</w:t>
      </w:r>
      <w:r w:rsidR="00E10BE2" w:rsidRPr="00CE51EA">
        <w:t>d</w:t>
      </w:r>
      <w:r w:rsidR="00A5487A" w:rsidRPr="00CE51EA">
        <w:t xml:space="preserve"> as </w:t>
      </w:r>
      <w:r w:rsidR="00405BA1" w:rsidRPr="00CE51EA">
        <w:t xml:space="preserve">ISS in Figure </w:t>
      </w:r>
      <w:r w:rsidR="00B511D4" w:rsidRPr="00CE51EA">
        <w:t>3.</w:t>
      </w:r>
      <w:r w:rsidR="00A5487A" w:rsidRPr="00CE51EA">
        <w:t xml:space="preserve"> Additionally, the same scenario </w:t>
      </w:r>
      <w:r w:rsidR="00121B26">
        <w:t xml:space="preserve">is analyzed </w:t>
      </w:r>
      <w:r w:rsidR="00BD1BBF">
        <w:t xml:space="preserve">under two specific conditions: </w:t>
      </w:r>
      <w:r w:rsidR="00122E46">
        <w:t xml:space="preserve">excluding the performance of </w:t>
      </w:r>
      <w:r w:rsidR="00A5487A" w:rsidRPr="00CE51EA">
        <w:t xml:space="preserve">security barriers (NO PSS in Figure </w:t>
      </w:r>
      <w:r w:rsidR="00B511D4" w:rsidRPr="00CE51EA">
        <w:t>3</w:t>
      </w:r>
      <w:r w:rsidR="00A5487A" w:rsidRPr="00CE51EA">
        <w:t xml:space="preserve">) and </w:t>
      </w:r>
      <w:r w:rsidR="00122E46">
        <w:t xml:space="preserve">neglecting </w:t>
      </w:r>
      <w:r w:rsidR="00A5487A" w:rsidRPr="00CE51EA">
        <w:t xml:space="preserve">the contribution of safety barriers (NO SB in Figure </w:t>
      </w:r>
      <w:r w:rsidR="00B511D4" w:rsidRPr="00CE51EA">
        <w:t>3</w:t>
      </w:r>
      <w:r w:rsidR="00A5487A" w:rsidRPr="00CE51EA">
        <w:t>)</w:t>
      </w:r>
      <w:r w:rsidR="00122E46">
        <w:t xml:space="preserve">. </w:t>
      </w:r>
      <w:r w:rsidR="00F042FC" w:rsidRPr="00F042FC">
        <w:t xml:space="preserve">These </w:t>
      </w:r>
      <w:r w:rsidR="00F042FC">
        <w:t>cases</w:t>
      </w:r>
      <w:r w:rsidR="00F042FC" w:rsidRPr="00F042FC">
        <w:t xml:space="preserve"> aim</w:t>
      </w:r>
      <w:r w:rsidR="00A5487A" w:rsidRPr="00CE51EA">
        <w:t xml:space="preserve"> t</w:t>
      </w:r>
      <w:r w:rsidR="000252E7" w:rsidRPr="00CE51EA">
        <w:t xml:space="preserve">o better </w:t>
      </w:r>
      <w:r w:rsidR="00F042FC" w:rsidRPr="00F042FC">
        <w:t xml:space="preserve">isolate and </w:t>
      </w:r>
      <w:r w:rsidR="00A5487A" w:rsidRPr="00CE51EA">
        <w:t xml:space="preserve">highlight the </w:t>
      </w:r>
      <w:r w:rsidR="00F042FC" w:rsidRPr="00F042FC">
        <w:t>individual contributions</w:t>
      </w:r>
      <w:r w:rsidR="00A5487A" w:rsidRPr="00CE51EA">
        <w:t xml:space="preserve"> of each </w:t>
      </w:r>
      <w:r w:rsidR="00F042FC" w:rsidRPr="00F042FC">
        <w:t>type of barrier</w:t>
      </w:r>
      <w:r w:rsidR="00F042FC">
        <w:t>.</w:t>
      </w:r>
      <w:r w:rsidR="008D247A">
        <w:t xml:space="preserve"> The same event tree in Figure 2 can be used to evaluate these cases</w:t>
      </w:r>
      <w:r w:rsidR="009E1F57" w:rsidRPr="00CE51EA">
        <w:t>,</w:t>
      </w:r>
      <w:r w:rsidR="008D247A">
        <w:t xml:space="preserve"> by setting </w:t>
      </w:r>
      <w:r w:rsidR="009E1F57" w:rsidRPr="00F37B8D">
        <w:rPr>
          <w:i/>
          <w:iCs/>
        </w:rPr>
        <w:t>PFD</w:t>
      </w:r>
      <w:r w:rsidR="005124B5" w:rsidRPr="00CE51EA">
        <w:t xml:space="preserve"> value</w:t>
      </w:r>
      <w:r w:rsidR="001850BD">
        <w:t>s</w:t>
      </w:r>
      <w:r w:rsidR="005124B5" w:rsidRPr="00CE51EA">
        <w:t xml:space="preserve"> to unitary</w:t>
      </w:r>
      <w:r w:rsidR="00CB5378">
        <w:t>,</w:t>
      </w:r>
      <w:r w:rsidR="005124B5" w:rsidRPr="00CE51EA">
        <w:t xml:space="preserve"> and </w:t>
      </w:r>
      <w:r w:rsidR="009E1F57" w:rsidRPr="00F37B8D">
        <w:rPr>
          <w:rFonts w:ascii="Calibri" w:hAnsi="Calibri" w:cs="Calibri"/>
          <w:i/>
          <w:iCs/>
        </w:rPr>
        <w:t>η</w:t>
      </w:r>
      <w:r w:rsidR="009E1F57" w:rsidRPr="00CE51EA">
        <w:t xml:space="preserve"> values</w:t>
      </w:r>
      <w:r w:rsidR="008D247A">
        <w:t xml:space="preserve"> </w:t>
      </w:r>
      <w:r w:rsidR="005124B5" w:rsidRPr="00CE51EA">
        <w:t xml:space="preserve">to null </w:t>
      </w:r>
      <w:r w:rsidR="008D247A">
        <w:t xml:space="preserve">for the </w:t>
      </w:r>
      <w:r w:rsidR="00673E1E">
        <w:t xml:space="preserve">omitted </w:t>
      </w:r>
      <w:r w:rsidR="008D247A">
        <w:t>barrier</w:t>
      </w:r>
      <w:r w:rsidR="00673E1E">
        <w:t>s</w:t>
      </w:r>
      <w:r w:rsidR="005124B5" w:rsidRPr="00CE51EA">
        <w:t>.</w:t>
      </w:r>
    </w:p>
    <w:p w14:paraId="72E25DEE" w14:textId="664F1BE4" w:rsidR="00FD6200" w:rsidRDefault="00D84CB6" w:rsidP="005926C6">
      <w:pPr>
        <w:pStyle w:val="CETCaption"/>
      </w:pPr>
      <w:r w:rsidRPr="00D84CB6">
        <w:rPr>
          <w:noProof/>
        </w:rPr>
        <w:drawing>
          <wp:inline distT="0" distB="0" distL="0" distR="0" wp14:anchorId="290683BE" wp14:editId="670571BB">
            <wp:extent cx="3942850" cy="2684207"/>
            <wp:effectExtent l="0" t="0" r="635" b="1905"/>
            <wp:docPr id="1737686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6234" cy="2700126"/>
                    </a:xfrm>
                    <a:prstGeom prst="rect">
                      <a:avLst/>
                    </a:prstGeom>
                    <a:noFill/>
                    <a:ln>
                      <a:noFill/>
                    </a:ln>
                  </pic:spPr>
                </pic:pic>
              </a:graphicData>
            </a:graphic>
          </wp:inline>
        </w:drawing>
      </w:r>
    </w:p>
    <w:p w14:paraId="4EBE4DE9" w14:textId="62DCF606" w:rsidR="00D84CB6" w:rsidRPr="005F14A1" w:rsidRDefault="00D84CB6" w:rsidP="00D84CB6">
      <w:pPr>
        <w:pStyle w:val="CETCaption"/>
      </w:pPr>
      <w:r w:rsidRPr="005F14A1">
        <w:t xml:space="preserve">Figure </w:t>
      </w:r>
      <w:r w:rsidR="00564231" w:rsidRPr="005F14A1">
        <w:t>3</w:t>
      </w:r>
      <w:r w:rsidRPr="005F14A1">
        <w:t>: Results of the probabilistic assessment</w:t>
      </w:r>
      <w:r w:rsidR="00A8659D" w:rsidRPr="005F14A1">
        <w:t>; PPS= security barriers; SB = Safety barriers, ISS= Integration of safety and security barriers</w:t>
      </w:r>
    </w:p>
    <w:p w14:paraId="633A956E" w14:textId="26B655BD" w:rsidR="00E11413" w:rsidRPr="001C4422" w:rsidRDefault="00F07B77" w:rsidP="00F07B77">
      <w:pPr>
        <w:pStyle w:val="CETBodytext"/>
        <w:rPr>
          <w:lang w:val="en-GB"/>
        </w:rPr>
      </w:pPr>
      <w:r w:rsidRPr="005F14A1">
        <w:t>N</w:t>
      </w:r>
      <w:r w:rsidR="00946C1B" w:rsidRPr="005F14A1">
        <w:t xml:space="preserve">eglecting the performance of </w:t>
      </w:r>
      <w:r w:rsidR="002873C4" w:rsidRPr="005F14A1">
        <w:t>the WDS (</w:t>
      </w:r>
      <w:r w:rsidR="002873C4" w:rsidRPr="005F14A1">
        <w:rPr>
          <w:i/>
          <w:iCs/>
        </w:rPr>
        <w:t>SB1</w:t>
      </w:r>
      <w:r w:rsidR="00AF5924" w:rsidRPr="005F14A1">
        <w:rPr>
          <w:i/>
          <w:iCs/>
        </w:rPr>
        <w:t>-4</w:t>
      </w:r>
      <w:r w:rsidR="002873C4" w:rsidRPr="005F14A1">
        <w:t xml:space="preserve">) </w:t>
      </w:r>
      <w:r w:rsidR="00946C1B" w:rsidRPr="005F14A1">
        <w:t>does not reduce the probability of the “</w:t>
      </w:r>
      <w:r w:rsidR="00B3357D" w:rsidRPr="005F14A1">
        <w:t>N</w:t>
      </w:r>
      <w:r w:rsidR="00946C1B" w:rsidRPr="005F14A1">
        <w:t xml:space="preserve">o escalation” scenario; still, it allows to better characterize the intensity of the evolution of the scenario, as it is a </w:t>
      </w:r>
      <w:r w:rsidR="002873C4" w:rsidRPr="005F14A1">
        <w:t xml:space="preserve">mitigative barrier, </w:t>
      </w:r>
      <w:r w:rsidR="002873C4" w:rsidRPr="001C4422">
        <w:t xml:space="preserve">reducing the probability </w:t>
      </w:r>
      <w:r w:rsidR="00B3357D" w:rsidRPr="001C4422">
        <w:t>of the “Escalation” scenario</w:t>
      </w:r>
      <w:r w:rsidR="00064C76" w:rsidRPr="001C4422">
        <w:t xml:space="preserve"> by 95%</w:t>
      </w:r>
      <w:r w:rsidR="000A3B2C" w:rsidRPr="001C4422">
        <w:t xml:space="preserve">. This severely </w:t>
      </w:r>
      <w:r w:rsidR="00382F7B" w:rsidRPr="001C4422">
        <w:t>downsizes the likelihood of cascading scenarios</w:t>
      </w:r>
      <w:r w:rsidR="00E96282" w:rsidRPr="001C4422">
        <w:t xml:space="preserve">, allowing for an </w:t>
      </w:r>
      <w:r w:rsidR="00E57BA1" w:rsidRPr="001C4422">
        <w:t>improvement in</w:t>
      </w:r>
      <w:r w:rsidR="00E96282" w:rsidRPr="001C4422">
        <w:t xml:space="preserve"> the prioritization of different scenarios</w:t>
      </w:r>
      <w:r w:rsidR="00F50F7F" w:rsidRPr="001C4422">
        <w:t xml:space="preserve">. Another important consideration is to be made regarding the </w:t>
      </w:r>
      <w:r w:rsidR="000F5DFA" w:rsidRPr="001C4422">
        <w:t xml:space="preserve">performance of security barriers. </w:t>
      </w:r>
      <w:r w:rsidR="007D57E8">
        <w:t xml:space="preserve">For the </w:t>
      </w:r>
      <w:r w:rsidR="00D965C0">
        <w:t>analyzed attack scenario</w:t>
      </w:r>
      <w:r w:rsidR="000F5DFA" w:rsidRPr="001C4422">
        <w:t>, the emergency team always fails in neutralizing the adversary, because the facility is relatively small and the intervention times are not optimize</w:t>
      </w:r>
      <w:r w:rsidR="00E86DE3" w:rsidRPr="001C4422">
        <w:t>d.</w:t>
      </w:r>
      <w:r w:rsidR="000F5DFA" w:rsidRPr="001C4422">
        <w:t xml:space="preserve"> </w:t>
      </w:r>
      <w:r w:rsidR="00E86DE3" w:rsidRPr="001C4422">
        <w:t>A</w:t>
      </w:r>
      <w:r w:rsidR="000F5DFA" w:rsidRPr="001C4422">
        <w:t xml:space="preserve">dditionally, the overall performance </w:t>
      </w:r>
      <w:r w:rsidR="00186533" w:rsidRPr="001C4422">
        <w:t>of the detection (both employees and entry controls) is not very high compared to the performance of the safety barrier (see Table 3)</w:t>
      </w:r>
      <w:r w:rsidR="00E86DE3" w:rsidRPr="001C4422">
        <w:t xml:space="preserve">; this is a reasonable result because in this case, detection is only </w:t>
      </w:r>
      <w:r w:rsidR="003F3079" w:rsidRPr="001C4422">
        <w:t xml:space="preserve">enforced with procedural PPS, which are thus based on human action. </w:t>
      </w:r>
      <w:r w:rsidR="000F5DFA" w:rsidRPr="001C4422">
        <w:t xml:space="preserve">Still, </w:t>
      </w:r>
      <w:r w:rsidR="003F3079" w:rsidRPr="001C4422">
        <w:t>when security barriers are neglected</w:t>
      </w:r>
      <w:r w:rsidR="00810E3D" w:rsidRPr="001C4422">
        <w:t xml:space="preserve">, </w:t>
      </w:r>
      <w:r w:rsidR="00810E3D" w:rsidRPr="001C4422">
        <w:rPr>
          <w:lang w:val="en-GB"/>
        </w:rPr>
        <w:t>the probability of escalation rises sharply to 1.73</w:t>
      </w:r>
      <w:r w:rsidR="00C863C3" w:rsidRPr="001C4422">
        <w:rPr>
          <w:rFonts w:cs="Arial"/>
          <w:lang w:val="en-GB"/>
        </w:rPr>
        <w:t>×</w:t>
      </w:r>
      <w:r w:rsidR="00C863C3" w:rsidRPr="001C4422">
        <w:rPr>
          <w:lang w:val="en-GB"/>
        </w:rPr>
        <w:t>10</w:t>
      </w:r>
      <w:r w:rsidR="00C863C3" w:rsidRPr="001C4422">
        <w:rPr>
          <w:vertAlign w:val="superscript"/>
          <w:lang w:val="en-GB"/>
        </w:rPr>
        <w:t>-2</w:t>
      </w:r>
      <w:r w:rsidR="00810E3D" w:rsidRPr="001C4422">
        <w:rPr>
          <w:lang w:val="en-GB"/>
        </w:rPr>
        <w:t xml:space="preserve">, which is approximately 128 times higher than in the ISS case. This shows how an effective layering of PPS </w:t>
      </w:r>
      <w:r w:rsidR="0004469A" w:rsidRPr="001C4422">
        <w:rPr>
          <w:lang w:val="en-GB"/>
        </w:rPr>
        <w:t>can still be effective, even though the installation of active detection systems</w:t>
      </w:r>
      <w:r w:rsidR="006E0B4F" w:rsidRPr="001C4422">
        <w:rPr>
          <w:lang w:val="en-GB"/>
        </w:rPr>
        <w:t>, e.g.,</w:t>
      </w:r>
      <w:r w:rsidR="0004469A" w:rsidRPr="001C4422">
        <w:rPr>
          <w:lang w:val="en-GB"/>
        </w:rPr>
        <w:t xml:space="preserve"> </w:t>
      </w:r>
      <w:r w:rsidR="006E0B4F" w:rsidRPr="001C4422">
        <w:rPr>
          <w:lang w:val="en-GB"/>
        </w:rPr>
        <w:t xml:space="preserve">a CCTV system, </w:t>
      </w:r>
      <w:r w:rsidR="0004469A" w:rsidRPr="001C4422">
        <w:rPr>
          <w:lang w:val="en-GB"/>
        </w:rPr>
        <w:t>should be taken into consideration.</w:t>
      </w:r>
    </w:p>
    <w:p w14:paraId="4241C299" w14:textId="27CEC84B" w:rsidR="002E1EA2" w:rsidRDefault="00F07B77" w:rsidP="00F07B77">
      <w:pPr>
        <w:pStyle w:val="CETBodytext"/>
        <w:rPr>
          <w:lang w:val="en-GB"/>
        </w:rPr>
      </w:pPr>
      <w:r w:rsidRPr="001C4422">
        <w:rPr>
          <w:lang w:val="en-GB"/>
        </w:rPr>
        <w:t xml:space="preserve">The developed methodology </w:t>
      </w:r>
      <w:r w:rsidR="002E1EA2" w:rsidRPr="001C4422">
        <w:rPr>
          <w:lang w:val="en-GB"/>
        </w:rPr>
        <w:t>could support the determination of the likelihood of intentional attacks, which could then be implemented in quantitative risk studies, as well as in more complex risk assessment techniques</w:t>
      </w:r>
      <w:r w:rsidR="00925D25" w:rsidRPr="001C4422">
        <w:rPr>
          <w:lang w:val="en-GB"/>
        </w:rPr>
        <w:t xml:space="preserve">, including three-dimensional and </w:t>
      </w:r>
      <w:r w:rsidR="00104095" w:rsidRPr="001C4422">
        <w:rPr>
          <w:lang w:val="en-GB"/>
        </w:rPr>
        <w:t>real-time</w:t>
      </w:r>
      <w:r w:rsidR="00925D25" w:rsidRPr="001C4422">
        <w:rPr>
          <w:lang w:val="en-GB"/>
        </w:rPr>
        <w:t xml:space="preserve"> risk assessment (Marroni et al., 2023)</w:t>
      </w:r>
      <w:r w:rsidR="00520B59" w:rsidRPr="001C4422">
        <w:rPr>
          <w:lang w:val="en-GB"/>
        </w:rPr>
        <w:t xml:space="preserve">. </w:t>
      </w:r>
      <w:r w:rsidR="00F230EE" w:rsidRPr="001C4422">
        <w:rPr>
          <w:lang w:val="en-GB"/>
        </w:rPr>
        <w:t xml:space="preserve">Another area of application could be the evaluation of the potential economic losses associated to ISS scenarios, leading also to economic risk assessment. </w:t>
      </w:r>
      <w:r w:rsidR="00520B59" w:rsidRPr="001C4422">
        <w:rPr>
          <w:lang w:val="en-GB"/>
        </w:rPr>
        <w:t>A benefit of the present approach is</w:t>
      </w:r>
      <w:r w:rsidR="00F230EE" w:rsidRPr="001C4422">
        <w:rPr>
          <w:lang w:val="en-GB"/>
        </w:rPr>
        <w:t xml:space="preserve"> </w:t>
      </w:r>
      <w:r w:rsidR="00520B59" w:rsidRPr="001C4422">
        <w:rPr>
          <w:lang w:val="en-GB"/>
        </w:rPr>
        <w:t>its flexibility</w:t>
      </w:r>
      <w:r w:rsidR="00D26E7A" w:rsidRPr="001C4422">
        <w:rPr>
          <w:lang w:val="en-GB"/>
        </w:rPr>
        <w:t xml:space="preserve">; namely, </w:t>
      </w:r>
      <w:r w:rsidR="00A513D6" w:rsidRPr="001C4422">
        <w:rPr>
          <w:lang w:val="en-GB"/>
        </w:rPr>
        <w:t>the established conceptual framework</w:t>
      </w:r>
      <w:r w:rsidR="005F02E6" w:rsidRPr="001C4422">
        <w:rPr>
          <w:lang w:val="en-GB"/>
        </w:rPr>
        <w:t xml:space="preserve"> allows the characterization of several barriers. Moreover, </w:t>
      </w:r>
      <w:r w:rsidR="001A0644" w:rsidRPr="001C4422">
        <w:rPr>
          <w:lang w:val="en-GB"/>
        </w:rPr>
        <w:t>the performance of the already characterized barriers can still be refined, for example by using data directly</w:t>
      </w:r>
      <w:r w:rsidR="001A0644">
        <w:rPr>
          <w:lang w:val="en-GB"/>
        </w:rPr>
        <w:t xml:space="preserve"> supplied by the facility under analysis. </w:t>
      </w:r>
    </w:p>
    <w:p w14:paraId="4E343077" w14:textId="00700209" w:rsidR="00D722AD" w:rsidRPr="00471315" w:rsidRDefault="005B3888" w:rsidP="00F07B77">
      <w:pPr>
        <w:pStyle w:val="CETBodytext"/>
        <w:rPr>
          <w:lang w:val="en-GB"/>
        </w:rPr>
      </w:pPr>
      <w:r w:rsidRPr="00471315">
        <w:rPr>
          <w:lang w:val="en-GB"/>
        </w:rPr>
        <w:t xml:space="preserve">Nonetheless, further improvements can be made to the </w:t>
      </w:r>
      <w:r w:rsidR="00F539C5" w:rsidRPr="00471315">
        <w:rPr>
          <w:lang w:val="en-GB"/>
        </w:rPr>
        <w:t xml:space="preserve">methodology. </w:t>
      </w:r>
      <w:r w:rsidR="0060338A" w:rsidRPr="00471315">
        <w:rPr>
          <w:lang w:val="en-GB"/>
        </w:rPr>
        <w:t xml:space="preserve">The first improvement can be made </w:t>
      </w:r>
      <w:r w:rsidR="00104095" w:rsidRPr="00471315">
        <w:rPr>
          <w:lang w:val="en-GB"/>
        </w:rPr>
        <w:t xml:space="preserve">by including the dynamic evolution of the attack </w:t>
      </w:r>
      <w:r w:rsidR="009626AE" w:rsidRPr="00471315">
        <w:rPr>
          <w:lang w:val="en-GB"/>
        </w:rPr>
        <w:t xml:space="preserve">path according to the performance of the barriers; referring to </w:t>
      </w:r>
      <w:r w:rsidR="009626AE" w:rsidRPr="00471315">
        <w:rPr>
          <w:lang w:val="en-GB"/>
        </w:rPr>
        <w:lastRenderedPageBreak/>
        <w:t xml:space="preserve">Figure </w:t>
      </w:r>
      <w:r w:rsidR="00471315">
        <w:rPr>
          <w:lang w:val="en-GB"/>
        </w:rPr>
        <w:t>2</w:t>
      </w:r>
      <w:r w:rsidR="009626AE" w:rsidRPr="00471315">
        <w:rPr>
          <w:lang w:val="en-GB"/>
        </w:rPr>
        <w:t xml:space="preserve">, another tree branch could be added regarding to the action of the intruder if they find the door correctly locked. They could, for example, decide to </w:t>
      </w:r>
      <w:r w:rsidR="00CC52C4" w:rsidRPr="00471315">
        <w:rPr>
          <w:lang w:val="en-GB"/>
        </w:rPr>
        <w:t>target another point</w:t>
      </w:r>
      <w:r w:rsidR="00CC52C4">
        <w:rPr>
          <w:lang w:val="en-GB"/>
        </w:rPr>
        <w:t xml:space="preserve"> of the facility, e.g., the loading docks. This would </w:t>
      </w:r>
      <w:r w:rsidR="00CC52C4" w:rsidRPr="00471315">
        <w:rPr>
          <w:lang w:val="en-GB"/>
        </w:rPr>
        <w:t>refine even more the acc</w:t>
      </w:r>
      <w:r w:rsidR="007614B6" w:rsidRPr="00471315">
        <w:rPr>
          <w:lang w:val="en-GB"/>
        </w:rPr>
        <w:t xml:space="preserve">idental scenarios that can be captured by the methodology. Another </w:t>
      </w:r>
      <w:r w:rsidR="00BC1DCF" w:rsidRPr="00471315">
        <w:rPr>
          <w:lang w:val="en-GB"/>
        </w:rPr>
        <w:t xml:space="preserve">development </w:t>
      </w:r>
      <w:r w:rsidR="00DD6A35" w:rsidRPr="00471315">
        <w:rPr>
          <w:lang w:val="en-GB"/>
        </w:rPr>
        <w:t>may be</w:t>
      </w:r>
      <w:r w:rsidR="00BC1DCF" w:rsidRPr="00471315">
        <w:rPr>
          <w:lang w:val="en-GB"/>
        </w:rPr>
        <w:t xml:space="preserve"> related to a more detailed analysis of the interactions and potential interferences </w:t>
      </w:r>
      <w:r w:rsidR="00CE5CC2" w:rsidRPr="00471315">
        <w:rPr>
          <w:lang w:val="en-GB"/>
        </w:rPr>
        <w:t>between safety and security barriers, and how they impact the overall credibility of escalation of scenarios.</w:t>
      </w:r>
      <w:r w:rsidR="00152589" w:rsidRPr="00471315">
        <w:rPr>
          <w:lang w:val="en-GB"/>
        </w:rPr>
        <w:t xml:space="preserve"> Finally, the methodology </w:t>
      </w:r>
      <w:r w:rsidR="00E3084F" w:rsidRPr="00471315">
        <w:rPr>
          <w:lang w:val="en-GB"/>
        </w:rPr>
        <w:t>could</w:t>
      </w:r>
      <w:r w:rsidR="00152589" w:rsidRPr="00471315">
        <w:rPr>
          <w:lang w:val="en-GB"/>
        </w:rPr>
        <w:t xml:space="preserve"> be seam</w:t>
      </w:r>
      <w:r w:rsidR="00F21E53" w:rsidRPr="00471315">
        <w:rPr>
          <w:lang w:val="en-GB"/>
        </w:rPr>
        <w:t xml:space="preserve">lessly integrated in the Bow-Tie approach </w:t>
      </w:r>
      <w:r w:rsidR="00E21DE3" w:rsidRPr="00471315">
        <w:t xml:space="preserve">(De </w:t>
      </w:r>
      <w:proofErr w:type="spellStart"/>
      <w:r w:rsidR="00E21DE3" w:rsidRPr="00471315">
        <w:t>Dianous</w:t>
      </w:r>
      <w:proofErr w:type="spellEnd"/>
      <w:r w:rsidR="00E21DE3" w:rsidRPr="00471315">
        <w:t xml:space="preserve"> and </w:t>
      </w:r>
      <w:proofErr w:type="spellStart"/>
      <w:r w:rsidR="00E21DE3" w:rsidRPr="00471315">
        <w:t>Fiévez</w:t>
      </w:r>
      <w:proofErr w:type="spellEnd"/>
      <w:r w:rsidR="00E21DE3" w:rsidRPr="00471315">
        <w:t>, 2006)</w:t>
      </w:r>
      <w:r w:rsidR="00711914" w:rsidRPr="00471315">
        <w:t xml:space="preserve">; this approach can be applied to both safety and security events and puts the accidental or intentional event in the middle of the representation. The left side of the tree is a Fault Tree (FT), while the right side is the ET. </w:t>
      </w:r>
      <w:r w:rsidR="00F166E3" w:rsidRPr="00471315">
        <w:t xml:space="preserve">For ISS events, the left side of the tree should include the motivation from a potential attacker, socio-economic factors, as well as </w:t>
      </w:r>
      <w:r w:rsidR="00972F39" w:rsidRPr="00471315">
        <w:t>security culture and management within the site under analysis</w:t>
      </w:r>
      <w:r w:rsidR="008B218D">
        <w:t>, which could be modeled using the approach shown in this work</w:t>
      </w:r>
      <w:r w:rsidR="00972F39" w:rsidRPr="00471315">
        <w:t xml:space="preserve">. </w:t>
      </w:r>
    </w:p>
    <w:p w14:paraId="684F330B" w14:textId="2BE1357D" w:rsidR="00696A9C" w:rsidRDefault="00D722AD" w:rsidP="00F07B77">
      <w:pPr>
        <w:pStyle w:val="CETBodytext"/>
      </w:pPr>
      <w:r w:rsidRPr="00471315">
        <w:rPr>
          <w:lang w:val="en-GB"/>
        </w:rPr>
        <w:t>Still, in its current form, the methodology can assist in understanding complex accidental chains and prioritizing critical scenarios.</w:t>
      </w:r>
    </w:p>
    <w:p w14:paraId="75C512ED" w14:textId="294910A6" w:rsidR="000F2512" w:rsidRDefault="000F2512" w:rsidP="000F2512">
      <w:pPr>
        <w:pStyle w:val="CETHeading1"/>
      </w:pPr>
      <w:r>
        <w:t>Conclusions</w:t>
      </w:r>
    </w:p>
    <w:p w14:paraId="5DB53B32" w14:textId="53D64B3F" w:rsidR="00FB3D38" w:rsidRPr="00FB3D38" w:rsidRDefault="00FB3D38" w:rsidP="00FB3D38">
      <w:pPr>
        <w:pStyle w:val="CETBodytext"/>
      </w:pPr>
      <w:r>
        <w:t xml:space="preserve">The rising tensions in the </w:t>
      </w:r>
      <w:r w:rsidR="00D404D7">
        <w:t>current geopolitical space</w:t>
      </w:r>
      <w:r w:rsidR="005A4D18">
        <w:t xml:space="preserve"> has </w:t>
      </w:r>
      <w:r w:rsidR="00AC7C73">
        <w:t>led to</w:t>
      </w:r>
      <w:r w:rsidR="005A4D18">
        <w:t xml:space="preserve"> an increase</w:t>
      </w:r>
      <w:r w:rsidR="00AC7C73">
        <w:t xml:space="preserve"> in</w:t>
      </w:r>
      <w:r w:rsidR="005A4D18">
        <w:t xml:space="preserve"> attention </w:t>
      </w:r>
      <w:r w:rsidR="00AC7C73">
        <w:t>t</w:t>
      </w:r>
      <w:r w:rsidR="005A4D18">
        <w:t xml:space="preserve">o security aspects </w:t>
      </w:r>
      <w:r w:rsidR="00AC7C73">
        <w:t xml:space="preserve">not only for civil structures, but </w:t>
      </w:r>
      <w:r w:rsidR="005A4D18">
        <w:t xml:space="preserve">also for critical infrastructures. </w:t>
      </w:r>
      <w:r w:rsidR="00FB3583">
        <w:t>This work deals with</w:t>
      </w:r>
      <w:r w:rsidR="004A25B4">
        <w:t xml:space="preserve"> the integration of safety and security aspect in conventional tools for </w:t>
      </w:r>
      <w:r w:rsidR="000C1E78">
        <w:t>QRA</w:t>
      </w:r>
      <w:r w:rsidR="004A25B4">
        <w:t>. More specifically, typical safety and security barriers were identified, quantified and integrated in the Event Tree Analysis using specific decisional gates. The application to a demonstrational case study show</w:t>
      </w:r>
      <w:r w:rsidR="000C1E78">
        <w:t>s</w:t>
      </w:r>
      <w:r w:rsidR="004A25B4">
        <w:t xml:space="preserve"> that considering the synergistic performance of safety and security is beneficial for multiple reasons. The first one is that </w:t>
      </w:r>
      <w:r w:rsidR="006A72EB">
        <w:t xml:space="preserve">the overall probability </w:t>
      </w:r>
      <w:r w:rsidR="00BA67EE">
        <w:t>of attack success is</w:t>
      </w:r>
      <w:r w:rsidR="006A356B">
        <w:t xml:space="preserve"> significantly reduced. Moreover, the severity of the escalating scenarios can be better characterized. This methodology can be seamlessly integrated in conventional safety analyses and c</w:t>
      </w:r>
      <w:r w:rsidR="002B6D2B">
        <w:t xml:space="preserve">ould be used both by practitioners and plant managers. </w:t>
      </w:r>
      <w:r w:rsidR="00542EEC">
        <w:t>The ability of capture the synergistic performance o</w:t>
      </w:r>
      <w:r w:rsidR="006B671B">
        <w:t>f</w:t>
      </w:r>
      <w:r w:rsidR="00542EEC">
        <w:t xml:space="preserve"> barriers additionally boosts </w:t>
      </w:r>
      <w:r w:rsidR="0071423F">
        <w:t xml:space="preserve">risk-based decision making </w:t>
      </w:r>
      <w:r w:rsidR="006B671B">
        <w:t xml:space="preserve">on </w:t>
      </w:r>
      <w:r w:rsidR="002B6D2B">
        <w:t>the allocation of resources</w:t>
      </w:r>
      <w:r w:rsidR="006B671B">
        <w:t xml:space="preserve">, as well as cost-benefit economic </w:t>
      </w:r>
      <w:r w:rsidR="006E62DF">
        <w:t>evaluations</w:t>
      </w:r>
      <w:r w:rsidR="002B6D2B">
        <w:t>.</w:t>
      </w:r>
    </w:p>
    <w:p w14:paraId="459D05E6" w14:textId="77777777" w:rsidR="00600535" w:rsidRPr="00B57B36" w:rsidRDefault="00600535" w:rsidP="00600535">
      <w:pPr>
        <w:pStyle w:val="CETAcknowledgementstitle"/>
      </w:pPr>
      <w:r w:rsidRPr="00B57B36">
        <w:t>Acknowledgments</w:t>
      </w:r>
    </w:p>
    <w:p w14:paraId="33F8138F" w14:textId="77DEA0F8" w:rsidR="00600535" w:rsidRPr="005B05D8" w:rsidRDefault="005B05D8" w:rsidP="005B05D8">
      <w:pPr>
        <w:pStyle w:val="CETBodytext"/>
      </w:pPr>
      <w:r w:rsidRPr="005B05D8">
        <w:t>This study was in part developed within the project LIFE20 ENV/IT/000436 –LIFE SECURDOMINO “Seveso sites: assessment of integrated safety-security hazards and risks and related domino effects” with the contribution of LIFE program of the European Union.</w:t>
      </w:r>
    </w:p>
    <w:p w14:paraId="4F1327F8" w14:textId="77777777" w:rsidR="00600535" w:rsidRDefault="00600535" w:rsidP="00600535">
      <w:pPr>
        <w:pStyle w:val="CETReference"/>
      </w:pPr>
      <w:r w:rsidRPr="00B57B36">
        <w:t>References</w:t>
      </w:r>
    </w:p>
    <w:p w14:paraId="21DC1043" w14:textId="539FA914" w:rsidR="00375A2B" w:rsidRDefault="00375A2B" w:rsidP="00375A2B">
      <w:pPr>
        <w:pStyle w:val="CETReferencetext"/>
      </w:pPr>
      <w:r w:rsidRPr="00BB306C">
        <w:rPr>
          <w:lang w:val="en-US"/>
        </w:rPr>
        <w:t>Casson Moreno, V., Marroni, G., Landucci, G.</w:t>
      </w:r>
      <w:r w:rsidR="00000A79" w:rsidRPr="00BB306C">
        <w:rPr>
          <w:lang w:val="en-US"/>
        </w:rPr>
        <w:t>,</w:t>
      </w:r>
      <w:r w:rsidRPr="00BB306C">
        <w:rPr>
          <w:lang w:val="en-US"/>
        </w:rPr>
        <w:t xml:space="preserve"> 2022</w:t>
      </w:r>
      <w:r w:rsidR="00000A79" w:rsidRPr="00BB306C">
        <w:rPr>
          <w:lang w:val="en-US"/>
        </w:rPr>
        <w:t>,</w:t>
      </w:r>
      <w:r w:rsidRPr="00BB306C">
        <w:rPr>
          <w:lang w:val="en-US"/>
        </w:rPr>
        <w:t xml:space="preserve"> </w:t>
      </w:r>
      <w:r w:rsidRPr="00BB306C">
        <w:t>Probabilistic assessment aimed at the evaluation of escalating scenarios in process facilities combining safety and security barriers. Reliability Engineering and System Safety 228, 108762.</w:t>
      </w:r>
    </w:p>
    <w:p w14:paraId="15F9A770" w14:textId="74F51B52" w:rsidR="0026142B" w:rsidRDefault="0026142B" w:rsidP="00375A2B">
      <w:pPr>
        <w:pStyle w:val="CETReferencetext"/>
      </w:pPr>
      <w:r w:rsidRPr="0026142B">
        <w:rPr>
          <w:lang w:val="en-US"/>
        </w:rPr>
        <w:t xml:space="preserve">De </w:t>
      </w:r>
      <w:proofErr w:type="spellStart"/>
      <w:r w:rsidRPr="0026142B">
        <w:rPr>
          <w:lang w:val="en-US"/>
        </w:rPr>
        <w:t>Dianous</w:t>
      </w:r>
      <w:proofErr w:type="spellEnd"/>
      <w:r w:rsidRPr="0026142B">
        <w:rPr>
          <w:lang w:val="en-US"/>
        </w:rPr>
        <w:t xml:space="preserve"> V., </w:t>
      </w:r>
      <w:proofErr w:type="spellStart"/>
      <w:r w:rsidRPr="0026142B">
        <w:rPr>
          <w:lang w:val="en-US"/>
        </w:rPr>
        <w:t>Fiévez</w:t>
      </w:r>
      <w:proofErr w:type="spellEnd"/>
      <w:r w:rsidRPr="0026142B">
        <w:rPr>
          <w:lang w:val="en-US"/>
        </w:rPr>
        <w:t xml:space="preserve"> C., </w:t>
      </w:r>
      <w:r w:rsidRPr="0026142B">
        <w:t>2006</w:t>
      </w:r>
      <w:r>
        <w:t>,</w:t>
      </w:r>
      <w:r w:rsidRPr="0026142B">
        <w:t xml:space="preserve"> ARAMIS project: A more explicit demonstration of risk control through the use of bow-tie diagrams and the evaluation of safety barrier performance. Journal of Hazardous Materials 130(3), 220-233.</w:t>
      </w:r>
    </w:p>
    <w:p w14:paraId="7A63CE9C" w14:textId="4D2CFC6E" w:rsidR="00074E2B" w:rsidRDefault="00074E2B" w:rsidP="00375A2B">
      <w:pPr>
        <w:pStyle w:val="CETReferencetext"/>
      </w:pPr>
      <w:r w:rsidRPr="00074E2B">
        <w:t xml:space="preserve">Chen C., Reniers G., </w:t>
      </w:r>
      <w:proofErr w:type="spellStart"/>
      <w:r w:rsidRPr="00074E2B">
        <w:t>Khakzad</w:t>
      </w:r>
      <w:proofErr w:type="spellEnd"/>
      <w:r w:rsidRPr="00074E2B">
        <w:t xml:space="preserve"> N.</w:t>
      </w:r>
      <w:r w:rsidR="00000A79">
        <w:t>,</w:t>
      </w:r>
      <w:r w:rsidRPr="00074E2B">
        <w:t xml:space="preserve"> 2019</w:t>
      </w:r>
      <w:r w:rsidR="00000A79">
        <w:t>,</w:t>
      </w:r>
      <w:r w:rsidRPr="00074E2B">
        <w:t xml:space="preserve"> Integrating safety and security resources to protect chemical industrial parks from man-made domino effects: A dynamic graph approach. Reliability Engineering and System Safety (191), 106470.</w:t>
      </w:r>
    </w:p>
    <w:p w14:paraId="0DA439C1" w14:textId="588D7B63" w:rsidR="008C4F1A" w:rsidRDefault="008C4F1A" w:rsidP="008C4F1A">
      <w:pPr>
        <w:pStyle w:val="CETReferencetext"/>
      </w:pPr>
      <w:r>
        <w:t>Gertman, D., Blackman, H., Marble, J., Byers, J., Smith, C.</w:t>
      </w:r>
      <w:r w:rsidR="00000A79">
        <w:t>,</w:t>
      </w:r>
      <w:r>
        <w:t xml:space="preserve"> 2005</w:t>
      </w:r>
      <w:r w:rsidR="00000A79">
        <w:t>,</w:t>
      </w:r>
      <w:r>
        <w:t xml:space="preserve"> The SPAR-H Human Reliability Analysis Method. US Nuclear Regulatory Commission, Washington DC.</w:t>
      </w:r>
    </w:p>
    <w:p w14:paraId="266E2E6A" w14:textId="2C281CEF" w:rsidR="00243061" w:rsidRPr="008B218D" w:rsidRDefault="00243061" w:rsidP="00D54C4D">
      <w:pPr>
        <w:pStyle w:val="CETReferencetext"/>
        <w:rPr>
          <w:lang w:val="en-US"/>
        </w:rPr>
      </w:pPr>
      <w:proofErr w:type="spellStart"/>
      <w:r w:rsidRPr="00D54C4D">
        <w:rPr>
          <w:lang w:val="en-US"/>
        </w:rPr>
        <w:t>Iaiani</w:t>
      </w:r>
      <w:proofErr w:type="spellEnd"/>
      <w:r w:rsidRPr="00D54C4D">
        <w:rPr>
          <w:lang w:val="en-US"/>
        </w:rPr>
        <w:t xml:space="preserve"> M., </w:t>
      </w:r>
      <w:proofErr w:type="spellStart"/>
      <w:r w:rsidR="00D54C4D" w:rsidRPr="00D54C4D">
        <w:rPr>
          <w:lang w:val="en-US"/>
        </w:rPr>
        <w:t>Tugnoli</w:t>
      </w:r>
      <w:proofErr w:type="spellEnd"/>
      <w:r w:rsidR="00D54C4D" w:rsidRPr="00D54C4D">
        <w:rPr>
          <w:lang w:val="en-US"/>
        </w:rPr>
        <w:t xml:space="preserve"> A., Cozzani V., 2022, A Bow-Tie Approach for the Identification of Scenarios</w:t>
      </w:r>
      <w:r w:rsidR="00D54C4D">
        <w:rPr>
          <w:lang w:val="en-US"/>
        </w:rPr>
        <w:t xml:space="preserve"> </w:t>
      </w:r>
      <w:r w:rsidR="00D54C4D" w:rsidRPr="00D54C4D">
        <w:rPr>
          <w:lang w:val="en-US"/>
        </w:rPr>
        <w:t xml:space="preserve">Induced by </w:t>
      </w:r>
      <w:r w:rsidR="00D54C4D" w:rsidRPr="008B218D">
        <w:rPr>
          <w:lang w:val="en-US"/>
        </w:rPr>
        <w:t>Physical Intentional Attacks to Chemical and Process Plants, Chemical Engineering Transactions</w:t>
      </w:r>
      <w:r w:rsidR="0057074D" w:rsidRPr="008B218D">
        <w:rPr>
          <w:lang w:val="en-US"/>
        </w:rPr>
        <w:t xml:space="preserve">, 90, </w:t>
      </w:r>
      <w:r w:rsidR="00E1677A" w:rsidRPr="008B218D">
        <w:rPr>
          <w:lang w:val="en-US"/>
        </w:rPr>
        <w:t>403-408</w:t>
      </w:r>
    </w:p>
    <w:p w14:paraId="26297B0A" w14:textId="2B2EF66C" w:rsidR="000E3731" w:rsidRPr="008B218D" w:rsidRDefault="007A0863" w:rsidP="008C4F1A">
      <w:pPr>
        <w:pStyle w:val="CETReferencetext"/>
        <w:rPr>
          <w:lang w:val="en-US"/>
        </w:rPr>
      </w:pPr>
      <w:r w:rsidRPr="008B218D">
        <w:rPr>
          <w:lang w:val="en-US"/>
        </w:rPr>
        <w:t xml:space="preserve">Marroni G., </w:t>
      </w:r>
      <w:r w:rsidR="00771B24" w:rsidRPr="008B218D">
        <w:rPr>
          <w:lang w:val="en-US"/>
        </w:rPr>
        <w:t xml:space="preserve">Casini L., Kuipers S., Dentone D., </w:t>
      </w:r>
      <w:proofErr w:type="spellStart"/>
      <w:r w:rsidR="00771B24" w:rsidRPr="008B218D">
        <w:rPr>
          <w:lang w:val="en-US"/>
        </w:rPr>
        <w:t>Mossa</w:t>
      </w:r>
      <w:proofErr w:type="spellEnd"/>
      <w:r w:rsidR="00771B24" w:rsidRPr="008B218D">
        <w:rPr>
          <w:lang w:val="en-US"/>
        </w:rPr>
        <w:t xml:space="preserve"> Verre M., Overdijk W., Casson Moreno V., Landucci G., 2023, Real-Time Assessment of Integrated Safety-Security Scenarios Triggering Cascading Events in the Process Industries, Chemical Engineering Transactions, 99, 349-</w:t>
      </w:r>
      <w:r w:rsidR="007A7A4F" w:rsidRPr="008B218D">
        <w:rPr>
          <w:lang w:val="en-US"/>
        </w:rPr>
        <w:t>354.</w:t>
      </w:r>
    </w:p>
    <w:p w14:paraId="3E7426EE" w14:textId="6F1F6113" w:rsidR="000F2512" w:rsidRPr="008B218D" w:rsidRDefault="0031761E" w:rsidP="0031761E">
      <w:pPr>
        <w:pStyle w:val="CETReferencetext"/>
      </w:pPr>
      <w:r w:rsidRPr="008B218D">
        <w:t>Marroni G., Casini L., Bartolucci A., Kuipers S., Casson Moreno V., Landucci G., 2024, Development of fragility models for process equipment affected by physical security attacks, Reliability Engineering &amp; System Safety, 243, 109880</w:t>
      </w:r>
    </w:p>
    <w:p w14:paraId="3F99B427" w14:textId="0FAFAF0C" w:rsidR="008A4161" w:rsidRPr="008B218D" w:rsidRDefault="008A4161" w:rsidP="008A4161">
      <w:pPr>
        <w:pStyle w:val="CETReferencetext"/>
      </w:pPr>
      <w:proofErr w:type="spellStart"/>
      <w:r w:rsidRPr="008B218D">
        <w:t>Securdomino</w:t>
      </w:r>
      <w:proofErr w:type="spellEnd"/>
      <w:r w:rsidRPr="008B218D">
        <w:t>, 2024, Open repository of models and barriers data &lt;https://securdomino.eu/open-webrepository/&gt;, accessed 28.11.2024.</w:t>
      </w:r>
    </w:p>
    <w:p w14:paraId="77739833" w14:textId="0C301A68" w:rsidR="00BB4B6B" w:rsidRPr="00BB4B6B" w:rsidRDefault="00A73215" w:rsidP="00BB4B6B">
      <w:pPr>
        <w:pStyle w:val="CETReferencetext"/>
        <w:rPr>
          <w:lang w:val="en-US"/>
        </w:rPr>
      </w:pPr>
      <w:r w:rsidRPr="008B218D">
        <w:t>Yuan S.</w:t>
      </w:r>
      <w:r w:rsidR="00BB4B6B" w:rsidRPr="008B218D">
        <w:rPr>
          <w:lang w:val="en-US"/>
        </w:rPr>
        <w:t>, Reniers G., Yang M., 2022, The Necessity of Integrating Safety and Security Barriers in the Chemical and Process Industries and its Potential Framework, Chemical Engineering Transactions, 91, 13-18</w:t>
      </w:r>
      <w:r w:rsidR="00BB4B6B" w:rsidRPr="00BB4B6B">
        <w:rPr>
          <w:lang w:val="en-US"/>
        </w:rPr>
        <w:t>.</w:t>
      </w:r>
    </w:p>
    <w:sectPr w:rsidR="00BB4B6B" w:rsidRPr="00BB4B6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B03DD" w14:textId="77777777" w:rsidR="002822D4" w:rsidRDefault="002822D4" w:rsidP="004F5E36">
      <w:r>
        <w:separator/>
      </w:r>
    </w:p>
  </w:endnote>
  <w:endnote w:type="continuationSeparator" w:id="0">
    <w:p w14:paraId="319E2C2D" w14:textId="77777777" w:rsidR="002822D4" w:rsidRDefault="002822D4" w:rsidP="004F5E36">
      <w:r>
        <w:continuationSeparator/>
      </w:r>
    </w:p>
  </w:endnote>
  <w:endnote w:type="continuationNotice" w:id="1">
    <w:p w14:paraId="1A1C9AD8" w14:textId="77777777" w:rsidR="0001234E" w:rsidRDefault="000123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29F3" w14:textId="77777777" w:rsidR="002822D4" w:rsidRDefault="002822D4" w:rsidP="004F5E36">
      <w:r>
        <w:separator/>
      </w:r>
    </w:p>
  </w:footnote>
  <w:footnote w:type="continuationSeparator" w:id="0">
    <w:p w14:paraId="66BB4753" w14:textId="77777777" w:rsidR="002822D4" w:rsidRDefault="002822D4" w:rsidP="004F5E36">
      <w:r>
        <w:continuationSeparator/>
      </w:r>
    </w:p>
  </w:footnote>
  <w:footnote w:type="continuationNotice" w:id="1">
    <w:p w14:paraId="13923F2A" w14:textId="77777777" w:rsidR="0001234E" w:rsidRDefault="0001234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C2E1F"/>
    <w:multiLevelType w:val="hybridMultilevel"/>
    <w:tmpl w:val="1874693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667978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79"/>
    <w:rsid w:val="000027C0"/>
    <w:rsid w:val="000052FB"/>
    <w:rsid w:val="00005A19"/>
    <w:rsid w:val="000117CB"/>
    <w:rsid w:val="0001234E"/>
    <w:rsid w:val="00013541"/>
    <w:rsid w:val="0002022E"/>
    <w:rsid w:val="000252E7"/>
    <w:rsid w:val="0002781D"/>
    <w:rsid w:val="0003148D"/>
    <w:rsid w:val="00031EEC"/>
    <w:rsid w:val="0004469A"/>
    <w:rsid w:val="000452A9"/>
    <w:rsid w:val="00047175"/>
    <w:rsid w:val="00051566"/>
    <w:rsid w:val="00051A8F"/>
    <w:rsid w:val="000562A9"/>
    <w:rsid w:val="00062A9A"/>
    <w:rsid w:val="00062E51"/>
    <w:rsid w:val="00064C76"/>
    <w:rsid w:val="00065058"/>
    <w:rsid w:val="00074E2B"/>
    <w:rsid w:val="0007771C"/>
    <w:rsid w:val="000825B6"/>
    <w:rsid w:val="00084460"/>
    <w:rsid w:val="000852CA"/>
    <w:rsid w:val="00086C39"/>
    <w:rsid w:val="00087060"/>
    <w:rsid w:val="00090E78"/>
    <w:rsid w:val="000A03B2"/>
    <w:rsid w:val="000A3B2C"/>
    <w:rsid w:val="000B17DB"/>
    <w:rsid w:val="000B1A2D"/>
    <w:rsid w:val="000C1E78"/>
    <w:rsid w:val="000C2006"/>
    <w:rsid w:val="000C24CA"/>
    <w:rsid w:val="000C3A69"/>
    <w:rsid w:val="000D0268"/>
    <w:rsid w:val="000D34BE"/>
    <w:rsid w:val="000E0B3C"/>
    <w:rsid w:val="000E102F"/>
    <w:rsid w:val="000E36F1"/>
    <w:rsid w:val="000E3731"/>
    <w:rsid w:val="000E3A73"/>
    <w:rsid w:val="000E40FA"/>
    <w:rsid w:val="000E414A"/>
    <w:rsid w:val="000E75FD"/>
    <w:rsid w:val="000F093C"/>
    <w:rsid w:val="000F2512"/>
    <w:rsid w:val="000F5DFA"/>
    <w:rsid w:val="000F787B"/>
    <w:rsid w:val="000F7A16"/>
    <w:rsid w:val="001018A9"/>
    <w:rsid w:val="00104095"/>
    <w:rsid w:val="00104620"/>
    <w:rsid w:val="001073A8"/>
    <w:rsid w:val="001075DC"/>
    <w:rsid w:val="00110212"/>
    <w:rsid w:val="00114605"/>
    <w:rsid w:val="0012091F"/>
    <w:rsid w:val="0012116F"/>
    <w:rsid w:val="00121B26"/>
    <w:rsid w:val="00122E46"/>
    <w:rsid w:val="0012314A"/>
    <w:rsid w:val="00124262"/>
    <w:rsid w:val="001254C5"/>
    <w:rsid w:val="00126BC2"/>
    <w:rsid w:val="001304CD"/>
    <w:rsid w:val="001308B6"/>
    <w:rsid w:val="0013121F"/>
    <w:rsid w:val="00131FE6"/>
    <w:rsid w:val="0013263F"/>
    <w:rsid w:val="001331DF"/>
    <w:rsid w:val="00134DE4"/>
    <w:rsid w:val="00135932"/>
    <w:rsid w:val="0014034D"/>
    <w:rsid w:val="00140FE3"/>
    <w:rsid w:val="00144B8A"/>
    <w:rsid w:val="00144D16"/>
    <w:rsid w:val="00150E59"/>
    <w:rsid w:val="00152589"/>
    <w:rsid w:val="00152DE3"/>
    <w:rsid w:val="00155500"/>
    <w:rsid w:val="001633F9"/>
    <w:rsid w:val="00164CF9"/>
    <w:rsid w:val="001667A6"/>
    <w:rsid w:val="0017266C"/>
    <w:rsid w:val="0018171E"/>
    <w:rsid w:val="00183F48"/>
    <w:rsid w:val="00184AD6"/>
    <w:rsid w:val="001850BD"/>
    <w:rsid w:val="0018558B"/>
    <w:rsid w:val="00186533"/>
    <w:rsid w:val="0019067F"/>
    <w:rsid w:val="001906F7"/>
    <w:rsid w:val="00196D6A"/>
    <w:rsid w:val="001A0644"/>
    <w:rsid w:val="001A0699"/>
    <w:rsid w:val="001A40D9"/>
    <w:rsid w:val="001A48CF"/>
    <w:rsid w:val="001A4AF7"/>
    <w:rsid w:val="001B0349"/>
    <w:rsid w:val="001B1159"/>
    <w:rsid w:val="001B19BD"/>
    <w:rsid w:val="001B1E93"/>
    <w:rsid w:val="001B4B53"/>
    <w:rsid w:val="001B65C1"/>
    <w:rsid w:val="001C260F"/>
    <w:rsid w:val="001C4422"/>
    <w:rsid w:val="001C5C3A"/>
    <w:rsid w:val="001C684B"/>
    <w:rsid w:val="001D0CFB"/>
    <w:rsid w:val="001D21AF"/>
    <w:rsid w:val="001D461E"/>
    <w:rsid w:val="001D53FC"/>
    <w:rsid w:val="001E4A5D"/>
    <w:rsid w:val="001F42A5"/>
    <w:rsid w:val="001F7B9D"/>
    <w:rsid w:val="00201C93"/>
    <w:rsid w:val="002031E9"/>
    <w:rsid w:val="00214A91"/>
    <w:rsid w:val="00220CDF"/>
    <w:rsid w:val="002224B4"/>
    <w:rsid w:val="002231BE"/>
    <w:rsid w:val="002249A8"/>
    <w:rsid w:val="00225FED"/>
    <w:rsid w:val="00227FDF"/>
    <w:rsid w:val="002317C1"/>
    <w:rsid w:val="00235F6A"/>
    <w:rsid w:val="00241C09"/>
    <w:rsid w:val="00241C22"/>
    <w:rsid w:val="00243061"/>
    <w:rsid w:val="0024332C"/>
    <w:rsid w:val="002447EF"/>
    <w:rsid w:val="00251550"/>
    <w:rsid w:val="00257948"/>
    <w:rsid w:val="0026142B"/>
    <w:rsid w:val="00263B05"/>
    <w:rsid w:val="0027221A"/>
    <w:rsid w:val="00275B61"/>
    <w:rsid w:val="00280FAF"/>
    <w:rsid w:val="002822D4"/>
    <w:rsid w:val="002825F7"/>
    <w:rsid w:val="00282656"/>
    <w:rsid w:val="002873C4"/>
    <w:rsid w:val="00291F0F"/>
    <w:rsid w:val="00296B83"/>
    <w:rsid w:val="002B2CB4"/>
    <w:rsid w:val="002B4015"/>
    <w:rsid w:val="002B6D2B"/>
    <w:rsid w:val="002B78CE"/>
    <w:rsid w:val="002C2FB6"/>
    <w:rsid w:val="002D1657"/>
    <w:rsid w:val="002D3EDC"/>
    <w:rsid w:val="002D4D14"/>
    <w:rsid w:val="002E1EA2"/>
    <w:rsid w:val="002E5FA7"/>
    <w:rsid w:val="002E5FC9"/>
    <w:rsid w:val="002F00DD"/>
    <w:rsid w:val="002F3309"/>
    <w:rsid w:val="003008CE"/>
    <w:rsid w:val="003009B7"/>
    <w:rsid w:val="00300E56"/>
    <w:rsid w:val="0030152C"/>
    <w:rsid w:val="0030469C"/>
    <w:rsid w:val="0031528D"/>
    <w:rsid w:val="0031761E"/>
    <w:rsid w:val="0032156A"/>
    <w:rsid w:val="00321CA6"/>
    <w:rsid w:val="00323763"/>
    <w:rsid w:val="00323C5F"/>
    <w:rsid w:val="00323F8C"/>
    <w:rsid w:val="00324778"/>
    <w:rsid w:val="0032499B"/>
    <w:rsid w:val="00324F98"/>
    <w:rsid w:val="00333F94"/>
    <w:rsid w:val="00334C09"/>
    <w:rsid w:val="00345E20"/>
    <w:rsid w:val="0034628E"/>
    <w:rsid w:val="00352945"/>
    <w:rsid w:val="00355C22"/>
    <w:rsid w:val="003723D4"/>
    <w:rsid w:val="0037312D"/>
    <w:rsid w:val="00375A2B"/>
    <w:rsid w:val="003779E3"/>
    <w:rsid w:val="00381905"/>
    <w:rsid w:val="00382F7B"/>
    <w:rsid w:val="003844ED"/>
    <w:rsid w:val="00384CC8"/>
    <w:rsid w:val="0038526D"/>
    <w:rsid w:val="0038536A"/>
    <w:rsid w:val="003871FD"/>
    <w:rsid w:val="003A1E30"/>
    <w:rsid w:val="003A2829"/>
    <w:rsid w:val="003A2BE6"/>
    <w:rsid w:val="003A7867"/>
    <w:rsid w:val="003A7D1C"/>
    <w:rsid w:val="003B304B"/>
    <w:rsid w:val="003B3146"/>
    <w:rsid w:val="003B4446"/>
    <w:rsid w:val="003B49CD"/>
    <w:rsid w:val="003C76E1"/>
    <w:rsid w:val="003D1E02"/>
    <w:rsid w:val="003E3472"/>
    <w:rsid w:val="003F014E"/>
    <w:rsid w:val="003F015E"/>
    <w:rsid w:val="003F0B19"/>
    <w:rsid w:val="003F251B"/>
    <w:rsid w:val="003F3079"/>
    <w:rsid w:val="00400414"/>
    <w:rsid w:val="00405BA1"/>
    <w:rsid w:val="00407BF7"/>
    <w:rsid w:val="00412FC2"/>
    <w:rsid w:val="0041446B"/>
    <w:rsid w:val="004147C5"/>
    <w:rsid w:val="00430CC3"/>
    <w:rsid w:val="0044071E"/>
    <w:rsid w:val="0044329C"/>
    <w:rsid w:val="00446983"/>
    <w:rsid w:val="00453E24"/>
    <w:rsid w:val="00457456"/>
    <w:rsid w:val="004577FE"/>
    <w:rsid w:val="00457B9C"/>
    <w:rsid w:val="004603D7"/>
    <w:rsid w:val="0046164A"/>
    <w:rsid w:val="004628D2"/>
    <w:rsid w:val="00462DCD"/>
    <w:rsid w:val="004648AD"/>
    <w:rsid w:val="004701F7"/>
    <w:rsid w:val="004703A9"/>
    <w:rsid w:val="0047074B"/>
    <w:rsid w:val="00471315"/>
    <w:rsid w:val="004724CA"/>
    <w:rsid w:val="004760DE"/>
    <w:rsid w:val="00476321"/>
    <w:rsid w:val="004763D7"/>
    <w:rsid w:val="004926B3"/>
    <w:rsid w:val="004931AC"/>
    <w:rsid w:val="004A004E"/>
    <w:rsid w:val="004A00E0"/>
    <w:rsid w:val="004A24CF"/>
    <w:rsid w:val="004A25B4"/>
    <w:rsid w:val="004A4770"/>
    <w:rsid w:val="004A7746"/>
    <w:rsid w:val="004B08AD"/>
    <w:rsid w:val="004B38BE"/>
    <w:rsid w:val="004B4D77"/>
    <w:rsid w:val="004B546B"/>
    <w:rsid w:val="004B5E46"/>
    <w:rsid w:val="004B77E9"/>
    <w:rsid w:val="004C3D1D"/>
    <w:rsid w:val="004C3D84"/>
    <w:rsid w:val="004C46C5"/>
    <w:rsid w:val="004C7913"/>
    <w:rsid w:val="004D54A7"/>
    <w:rsid w:val="004D73F8"/>
    <w:rsid w:val="004E4DD6"/>
    <w:rsid w:val="004F55B2"/>
    <w:rsid w:val="004F5E36"/>
    <w:rsid w:val="004F60BE"/>
    <w:rsid w:val="00507B47"/>
    <w:rsid w:val="00507BEF"/>
    <w:rsid w:val="00507CC9"/>
    <w:rsid w:val="005119A5"/>
    <w:rsid w:val="005124B5"/>
    <w:rsid w:val="0051500D"/>
    <w:rsid w:val="00520B59"/>
    <w:rsid w:val="005236DE"/>
    <w:rsid w:val="005278B7"/>
    <w:rsid w:val="00532016"/>
    <w:rsid w:val="005346C8"/>
    <w:rsid w:val="005424FC"/>
    <w:rsid w:val="00542EEC"/>
    <w:rsid w:val="00543E7D"/>
    <w:rsid w:val="00547A68"/>
    <w:rsid w:val="005531C9"/>
    <w:rsid w:val="00554879"/>
    <w:rsid w:val="005573B4"/>
    <w:rsid w:val="00557D6C"/>
    <w:rsid w:val="00560A41"/>
    <w:rsid w:val="00561AF9"/>
    <w:rsid w:val="00562331"/>
    <w:rsid w:val="00564231"/>
    <w:rsid w:val="0057074D"/>
    <w:rsid w:val="00570C43"/>
    <w:rsid w:val="00574A2B"/>
    <w:rsid w:val="00575188"/>
    <w:rsid w:val="005857E3"/>
    <w:rsid w:val="005865F2"/>
    <w:rsid w:val="00590132"/>
    <w:rsid w:val="00592274"/>
    <w:rsid w:val="005926C6"/>
    <w:rsid w:val="005A0BCC"/>
    <w:rsid w:val="005A4D18"/>
    <w:rsid w:val="005A719B"/>
    <w:rsid w:val="005B05D8"/>
    <w:rsid w:val="005B2110"/>
    <w:rsid w:val="005B350B"/>
    <w:rsid w:val="005B3888"/>
    <w:rsid w:val="005B61E6"/>
    <w:rsid w:val="005C77E1"/>
    <w:rsid w:val="005D04AC"/>
    <w:rsid w:val="005D5BD9"/>
    <w:rsid w:val="005D668A"/>
    <w:rsid w:val="005D6A2F"/>
    <w:rsid w:val="005E0592"/>
    <w:rsid w:val="005E0F34"/>
    <w:rsid w:val="005E1A82"/>
    <w:rsid w:val="005E6EC4"/>
    <w:rsid w:val="005E794C"/>
    <w:rsid w:val="005F02E6"/>
    <w:rsid w:val="005F0A28"/>
    <w:rsid w:val="005F0E5E"/>
    <w:rsid w:val="005F14A1"/>
    <w:rsid w:val="00600535"/>
    <w:rsid w:val="00602AFB"/>
    <w:rsid w:val="0060338A"/>
    <w:rsid w:val="00606D45"/>
    <w:rsid w:val="00610806"/>
    <w:rsid w:val="00610CD6"/>
    <w:rsid w:val="00611690"/>
    <w:rsid w:val="00611773"/>
    <w:rsid w:val="00615FA7"/>
    <w:rsid w:val="00620BF3"/>
    <w:rsid w:val="00620DEE"/>
    <w:rsid w:val="00621F92"/>
    <w:rsid w:val="0062280A"/>
    <w:rsid w:val="006231E1"/>
    <w:rsid w:val="00625639"/>
    <w:rsid w:val="006268F6"/>
    <w:rsid w:val="00631B33"/>
    <w:rsid w:val="006343A7"/>
    <w:rsid w:val="0064075F"/>
    <w:rsid w:val="0064184D"/>
    <w:rsid w:val="006422CC"/>
    <w:rsid w:val="00646972"/>
    <w:rsid w:val="00651D18"/>
    <w:rsid w:val="00660E3E"/>
    <w:rsid w:val="0066164B"/>
    <w:rsid w:val="00662E74"/>
    <w:rsid w:val="00663C4E"/>
    <w:rsid w:val="00670D71"/>
    <w:rsid w:val="00673E1E"/>
    <w:rsid w:val="00677703"/>
    <w:rsid w:val="006779A9"/>
    <w:rsid w:val="0068009E"/>
    <w:rsid w:val="00680AE5"/>
    <w:rsid w:val="00680C23"/>
    <w:rsid w:val="006820A4"/>
    <w:rsid w:val="00683E23"/>
    <w:rsid w:val="00693292"/>
    <w:rsid w:val="00693766"/>
    <w:rsid w:val="00693836"/>
    <w:rsid w:val="00696A9C"/>
    <w:rsid w:val="006A04E5"/>
    <w:rsid w:val="006A3281"/>
    <w:rsid w:val="006A356B"/>
    <w:rsid w:val="006A6DE5"/>
    <w:rsid w:val="006A72EB"/>
    <w:rsid w:val="006B4888"/>
    <w:rsid w:val="006B671B"/>
    <w:rsid w:val="006C2E45"/>
    <w:rsid w:val="006C359C"/>
    <w:rsid w:val="006C5579"/>
    <w:rsid w:val="006D60A5"/>
    <w:rsid w:val="006D6E8B"/>
    <w:rsid w:val="006D7209"/>
    <w:rsid w:val="006E0B4F"/>
    <w:rsid w:val="006E62DF"/>
    <w:rsid w:val="006E737D"/>
    <w:rsid w:val="006F02A4"/>
    <w:rsid w:val="006F2C9F"/>
    <w:rsid w:val="006F7AC8"/>
    <w:rsid w:val="00701D6A"/>
    <w:rsid w:val="007026EB"/>
    <w:rsid w:val="00705598"/>
    <w:rsid w:val="00707D1A"/>
    <w:rsid w:val="00707DD1"/>
    <w:rsid w:val="00711914"/>
    <w:rsid w:val="00713973"/>
    <w:rsid w:val="0071423F"/>
    <w:rsid w:val="00716451"/>
    <w:rsid w:val="00717017"/>
    <w:rsid w:val="00720A24"/>
    <w:rsid w:val="00732386"/>
    <w:rsid w:val="007326AE"/>
    <w:rsid w:val="0073514D"/>
    <w:rsid w:val="00742CF1"/>
    <w:rsid w:val="007447F3"/>
    <w:rsid w:val="0075499F"/>
    <w:rsid w:val="007614B6"/>
    <w:rsid w:val="00761E06"/>
    <w:rsid w:val="00764C88"/>
    <w:rsid w:val="007661C8"/>
    <w:rsid w:val="00770630"/>
    <w:rsid w:val="0077098D"/>
    <w:rsid w:val="00771B24"/>
    <w:rsid w:val="00772432"/>
    <w:rsid w:val="0078067B"/>
    <w:rsid w:val="00781945"/>
    <w:rsid w:val="00785BF9"/>
    <w:rsid w:val="007931FA"/>
    <w:rsid w:val="0079674A"/>
    <w:rsid w:val="007A01AC"/>
    <w:rsid w:val="007A0863"/>
    <w:rsid w:val="007A1BBA"/>
    <w:rsid w:val="007A4861"/>
    <w:rsid w:val="007A6CAC"/>
    <w:rsid w:val="007A7A4F"/>
    <w:rsid w:val="007A7BBA"/>
    <w:rsid w:val="007B0C50"/>
    <w:rsid w:val="007B1316"/>
    <w:rsid w:val="007B3A3F"/>
    <w:rsid w:val="007B48F9"/>
    <w:rsid w:val="007B6EEC"/>
    <w:rsid w:val="007C1A43"/>
    <w:rsid w:val="007C2548"/>
    <w:rsid w:val="007C6C3C"/>
    <w:rsid w:val="007D0951"/>
    <w:rsid w:val="007D57E8"/>
    <w:rsid w:val="007D610D"/>
    <w:rsid w:val="007E4BF1"/>
    <w:rsid w:val="007E5A45"/>
    <w:rsid w:val="007E6D67"/>
    <w:rsid w:val="007E7AFF"/>
    <w:rsid w:val="007F0544"/>
    <w:rsid w:val="0080013E"/>
    <w:rsid w:val="00800151"/>
    <w:rsid w:val="00801759"/>
    <w:rsid w:val="00810E3D"/>
    <w:rsid w:val="008124C8"/>
    <w:rsid w:val="00813288"/>
    <w:rsid w:val="008168FC"/>
    <w:rsid w:val="00820FBC"/>
    <w:rsid w:val="008221B2"/>
    <w:rsid w:val="00830996"/>
    <w:rsid w:val="00831802"/>
    <w:rsid w:val="00832684"/>
    <w:rsid w:val="008345F1"/>
    <w:rsid w:val="00835B52"/>
    <w:rsid w:val="00843FA9"/>
    <w:rsid w:val="00844502"/>
    <w:rsid w:val="00851284"/>
    <w:rsid w:val="00851818"/>
    <w:rsid w:val="00857391"/>
    <w:rsid w:val="00865B07"/>
    <w:rsid w:val="00865DB8"/>
    <w:rsid w:val="008667EA"/>
    <w:rsid w:val="0086728C"/>
    <w:rsid w:val="00870F9A"/>
    <w:rsid w:val="00875BC6"/>
    <w:rsid w:val="0087637F"/>
    <w:rsid w:val="0087732B"/>
    <w:rsid w:val="00877407"/>
    <w:rsid w:val="0087752B"/>
    <w:rsid w:val="00881E2E"/>
    <w:rsid w:val="0088270B"/>
    <w:rsid w:val="008910E2"/>
    <w:rsid w:val="00892AD5"/>
    <w:rsid w:val="008A1512"/>
    <w:rsid w:val="008A2318"/>
    <w:rsid w:val="008A4161"/>
    <w:rsid w:val="008B218D"/>
    <w:rsid w:val="008B640D"/>
    <w:rsid w:val="008C1518"/>
    <w:rsid w:val="008C4F1A"/>
    <w:rsid w:val="008C70CA"/>
    <w:rsid w:val="008D0031"/>
    <w:rsid w:val="008D247A"/>
    <w:rsid w:val="008D32B9"/>
    <w:rsid w:val="008D433B"/>
    <w:rsid w:val="008D4A16"/>
    <w:rsid w:val="008E5401"/>
    <w:rsid w:val="008E566E"/>
    <w:rsid w:val="009006F7"/>
    <w:rsid w:val="0090161A"/>
    <w:rsid w:val="00901EB6"/>
    <w:rsid w:val="009041F8"/>
    <w:rsid w:val="00904C62"/>
    <w:rsid w:val="0091070F"/>
    <w:rsid w:val="00922BA8"/>
    <w:rsid w:val="00924DAC"/>
    <w:rsid w:val="00925D25"/>
    <w:rsid w:val="00926998"/>
    <w:rsid w:val="00927058"/>
    <w:rsid w:val="0094011C"/>
    <w:rsid w:val="00942750"/>
    <w:rsid w:val="009450CE"/>
    <w:rsid w:val="009459BB"/>
    <w:rsid w:val="00946C1B"/>
    <w:rsid w:val="00947179"/>
    <w:rsid w:val="0095164B"/>
    <w:rsid w:val="00954090"/>
    <w:rsid w:val="009573E7"/>
    <w:rsid w:val="009626AE"/>
    <w:rsid w:val="00963E05"/>
    <w:rsid w:val="00964A45"/>
    <w:rsid w:val="00964B60"/>
    <w:rsid w:val="00966705"/>
    <w:rsid w:val="00967843"/>
    <w:rsid w:val="00967D54"/>
    <w:rsid w:val="009701DF"/>
    <w:rsid w:val="00971028"/>
    <w:rsid w:val="00972F39"/>
    <w:rsid w:val="009877C5"/>
    <w:rsid w:val="00993B84"/>
    <w:rsid w:val="00994C6A"/>
    <w:rsid w:val="00996483"/>
    <w:rsid w:val="00996F5A"/>
    <w:rsid w:val="009A00BF"/>
    <w:rsid w:val="009B041A"/>
    <w:rsid w:val="009C1D9C"/>
    <w:rsid w:val="009C37C3"/>
    <w:rsid w:val="009C7C86"/>
    <w:rsid w:val="009D2FF7"/>
    <w:rsid w:val="009E1F57"/>
    <w:rsid w:val="009E467F"/>
    <w:rsid w:val="009E7884"/>
    <w:rsid w:val="009E788A"/>
    <w:rsid w:val="009F085F"/>
    <w:rsid w:val="009F0E08"/>
    <w:rsid w:val="009F696C"/>
    <w:rsid w:val="00A002CE"/>
    <w:rsid w:val="00A00841"/>
    <w:rsid w:val="00A051E5"/>
    <w:rsid w:val="00A079AE"/>
    <w:rsid w:val="00A1065C"/>
    <w:rsid w:val="00A1763D"/>
    <w:rsid w:val="00A17CEC"/>
    <w:rsid w:val="00A2260A"/>
    <w:rsid w:val="00A231BE"/>
    <w:rsid w:val="00A27EF0"/>
    <w:rsid w:val="00A33865"/>
    <w:rsid w:val="00A35782"/>
    <w:rsid w:val="00A42361"/>
    <w:rsid w:val="00A46540"/>
    <w:rsid w:val="00A50B20"/>
    <w:rsid w:val="00A51390"/>
    <w:rsid w:val="00A513D6"/>
    <w:rsid w:val="00A5487A"/>
    <w:rsid w:val="00A60D13"/>
    <w:rsid w:val="00A67399"/>
    <w:rsid w:val="00A71012"/>
    <w:rsid w:val="00A7223D"/>
    <w:rsid w:val="00A72745"/>
    <w:rsid w:val="00A73215"/>
    <w:rsid w:val="00A76432"/>
    <w:rsid w:val="00A76EFC"/>
    <w:rsid w:val="00A8659D"/>
    <w:rsid w:val="00A87D50"/>
    <w:rsid w:val="00A91010"/>
    <w:rsid w:val="00A949D8"/>
    <w:rsid w:val="00A9660D"/>
    <w:rsid w:val="00A97F29"/>
    <w:rsid w:val="00AA702E"/>
    <w:rsid w:val="00AA7D26"/>
    <w:rsid w:val="00AB0964"/>
    <w:rsid w:val="00AB3F7E"/>
    <w:rsid w:val="00AB5011"/>
    <w:rsid w:val="00AB6BD2"/>
    <w:rsid w:val="00AC7368"/>
    <w:rsid w:val="00AC7C5E"/>
    <w:rsid w:val="00AC7C73"/>
    <w:rsid w:val="00AD16B9"/>
    <w:rsid w:val="00AD5DA8"/>
    <w:rsid w:val="00AD7DC9"/>
    <w:rsid w:val="00AE377D"/>
    <w:rsid w:val="00AE56D1"/>
    <w:rsid w:val="00AF0EBA"/>
    <w:rsid w:val="00AF2463"/>
    <w:rsid w:val="00AF5924"/>
    <w:rsid w:val="00B02C8A"/>
    <w:rsid w:val="00B1138E"/>
    <w:rsid w:val="00B14872"/>
    <w:rsid w:val="00B14878"/>
    <w:rsid w:val="00B17FBD"/>
    <w:rsid w:val="00B21186"/>
    <w:rsid w:val="00B22D74"/>
    <w:rsid w:val="00B240C5"/>
    <w:rsid w:val="00B263DC"/>
    <w:rsid w:val="00B315A6"/>
    <w:rsid w:val="00B317DF"/>
    <w:rsid w:val="00B31813"/>
    <w:rsid w:val="00B328EC"/>
    <w:rsid w:val="00B33365"/>
    <w:rsid w:val="00B3357D"/>
    <w:rsid w:val="00B336B6"/>
    <w:rsid w:val="00B3576E"/>
    <w:rsid w:val="00B3784A"/>
    <w:rsid w:val="00B506DD"/>
    <w:rsid w:val="00B511D4"/>
    <w:rsid w:val="00B51EC8"/>
    <w:rsid w:val="00B54E4E"/>
    <w:rsid w:val="00B550AE"/>
    <w:rsid w:val="00B57B36"/>
    <w:rsid w:val="00B57E6F"/>
    <w:rsid w:val="00B61442"/>
    <w:rsid w:val="00B61ABB"/>
    <w:rsid w:val="00B61C1A"/>
    <w:rsid w:val="00B66FC0"/>
    <w:rsid w:val="00B84AD2"/>
    <w:rsid w:val="00B8686D"/>
    <w:rsid w:val="00B87C14"/>
    <w:rsid w:val="00B91B08"/>
    <w:rsid w:val="00B93F69"/>
    <w:rsid w:val="00B945DC"/>
    <w:rsid w:val="00B9794D"/>
    <w:rsid w:val="00BA3D0E"/>
    <w:rsid w:val="00BA5BDE"/>
    <w:rsid w:val="00BA67EE"/>
    <w:rsid w:val="00BB1A37"/>
    <w:rsid w:val="00BB1DDC"/>
    <w:rsid w:val="00BB27AF"/>
    <w:rsid w:val="00BB306C"/>
    <w:rsid w:val="00BB4B6B"/>
    <w:rsid w:val="00BB6EF4"/>
    <w:rsid w:val="00BC1DCF"/>
    <w:rsid w:val="00BC2EDD"/>
    <w:rsid w:val="00BC30C9"/>
    <w:rsid w:val="00BC3C3F"/>
    <w:rsid w:val="00BD03B6"/>
    <w:rsid w:val="00BD060C"/>
    <w:rsid w:val="00BD077D"/>
    <w:rsid w:val="00BD1BBF"/>
    <w:rsid w:val="00BD5BCE"/>
    <w:rsid w:val="00BD6A3F"/>
    <w:rsid w:val="00BE089E"/>
    <w:rsid w:val="00BE3E58"/>
    <w:rsid w:val="00BF13CE"/>
    <w:rsid w:val="00BF3F78"/>
    <w:rsid w:val="00C00E8C"/>
    <w:rsid w:val="00C01616"/>
    <w:rsid w:val="00C0162B"/>
    <w:rsid w:val="00C063B2"/>
    <w:rsid w:val="00C068ED"/>
    <w:rsid w:val="00C22E0C"/>
    <w:rsid w:val="00C30A55"/>
    <w:rsid w:val="00C345B1"/>
    <w:rsid w:val="00C36F25"/>
    <w:rsid w:val="00C37823"/>
    <w:rsid w:val="00C40142"/>
    <w:rsid w:val="00C4481B"/>
    <w:rsid w:val="00C51BB5"/>
    <w:rsid w:val="00C52C3C"/>
    <w:rsid w:val="00C57182"/>
    <w:rsid w:val="00C57863"/>
    <w:rsid w:val="00C63299"/>
    <w:rsid w:val="00C632E5"/>
    <w:rsid w:val="00C640AF"/>
    <w:rsid w:val="00C64B63"/>
    <w:rsid w:val="00C655FD"/>
    <w:rsid w:val="00C74646"/>
    <w:rsid w:val="00C75407"/>
    <w:rsid w:val="00C771FC"/>
    <w:rsid w:val="00C81EC6"/>
    <w:rsid w:val="00C841C6"/>
    <w:rsid w:val="00C863C3"/>
    <w:rsid w:val="00C870A8"/>
    <w:rsid w:val="00C92F2A"/>
    <w:rsid w:val="00C93AA9"/>
    <w:rsid w:val="00C94434"/>
    <w:rsid w:val="00CA0D75"/>
    <w:rsid w:val="00CA1C95"/>
    <w:rsid w:val="00CA5A9C"/>
    <w:rsid w:val="00CB09F5"/>
    <w:rsid w:val="00CB5378"/>
    <w:rsid w:val="00CB595A"/>
    <w:rsid w:val="00CB6940"/>
    <w:rsid w:val="00CB7DC4"/>
    <w:rsid w:val="00CC121D"/>
    <w:rsid w:val="00CC4C20"/>
    <w:rsid w:val="00CC52C4"/>
    <w:rsid w:val="00CD3517"/>
    <w:rsid w:val="00CD3CB3"/>
    <w:rsid w:val="00CD5FE2"/>
    <w:rsid w:val="00CE0B8C"/>
    <w:rsid w:val="00CE51EA"/>
    <w:rsid w:val="00CE5CC2"/>
    <w:rsid w:val="00CE5F91"/>
    <w:rsid w:val="00CE7C68"/>
    <w:rsid w:val="00D0139F"/>
    <w:rsid w:val="00D02775"/>
    <w:rsid w:val="00D02B4C"/>
    <w:rsid w:val="00D040C4"/>
    <w:rsid w:val="00D15434"/>
    <w:rsid w:val="00D20AD1"/>
    <w:rsid w:val="00D2582C"/>
    <w:rsid w:val="00D26E7A"/>
    <w:rsid w:val="00D34C52"/>
    <w:rsid w:val="00D404D7"/>
    <w:rsid w:val="00D46B7E"/>
    <w:rsid w:val="00D53E46"/>
    <w:rsid w:val="00D54C4D"/>
    <w:rsid w:val="00D57C84"/>
    <w:rsid w:val="00D6057D"/>
    <w:rsid w:val="00D6578D"/>
    <w:rsid w:val="00D6754C"/>
    <w:rsid w:val="00D71640"/>
    <w:rsid w:val="00D722AD"/>
    <w:rsid w:val="00D7426F"/>
    <w:rsid w:val="00D744E6"/>
    <w:rsid w:val="00D74D5D"/>
    <w:rsid w:val="00D7684E"/>
    <w:rsid w:val="00D76BA9"/>
    <w:rsid w:val="00D836C5"/>
    <w:rsid w:val="00D83B01"/>
    <w:rsid w:val="00D84576"/>
    <w:rsid w:val="00D84CB6"/>
    <w:rsid w:val="00D922F0"/>
    <w:rsid w:val="00D965C0"/>
    <w:rsid w:val="00DA1399"/>
    <w:rsid w:val="00DA24C6"/>
    <w:rsid w:val="00DA4D7B"/>
    <w:rsid w:val="00DA6451"/>
    <w:rsid w:val="00DA78DE"/>
    <w:rsid w:val="00DB3500"/>
    <w:rsid w:val="00DB5496"/>
    <w:rsid w:val="00DC2840"/>
    <w:rsid w:val="00DC421F"/>
    <w:rsid w:val="00DC73EE"/>
    <w:rsid w:val="00DC7E76"/>
    <w:rsid w:val="00DD271C"/>
    <w:rsid w:val="00DD356E"/>
    <w:rsid w:val="00DD5FFB"/>
    <w:rsid w:val="00DD6A35"/>
    <w:rsid w:val="00DE264A"/>
    <w:rsid w:val="00DE729F"/>
    <w:rsid w:val="00DE789E"/>
    <w:rsid w:val="00DF5072"/>
    <w:rsid w:val="00E001A1"/>
    <w:rsid w:val="00E02D18"/>
    <w:rsid w:val="00E041E7"/>
    <w:rsid w:val="00E04D1C"/>
    <w:rsid w:val="00E10BE2"/>
    <w:rsid w:val="00E11413"/>
    <w:rsid w:val="00E124DB"/>
    <w:rsid w:val="00E1677A"/>
    <w:rsid w:val="00E17A3C"/>
    <w:rsid w:val="00E216B6"/>
    <w:rsid w:val="00E21DE3"/>
    <w:rsid w:val="00E23CA1"/>
    <w:rsid w:val="00E277A5"/>
    <w:rsid w:val="00E3084F"/>
    <w:rsid w:val="00E32528"/>
    <w:rsid w:val="00E409A8"/>
    <w:rsid w:val="00E46285"/>
    <w:rsid w:val="00E50BF4"/>
    <w:rsid w:val="00E50C12"/>
    <w:rsid w:val="00E50FF4"/>
    <w:rsid w:val="00E57BA1"/>
    <w:rsid w:val="00E61D07"/>
    <w:rsid w:val="00E65B91"/>
    <w:rsid w:val="00E7209D"/>
    <w:rsid w:val="00E72EAD"/>
    <w:rsid w:val="00E76AC8"/>
    <w:rsid w:val="00E77223"/>
    <w:rsid w:val="00E82892"/>
    <w:rsid w:val="00E8528B"/>
    <w:rsid w:val="00E85B94"/>
    <w:rsid w:val="00E86A6C"/>
    <w:rsid w:val="00E86DE3"/>
    <w:rsid w:val="00E90CCF"/>
    <w:rsid w:val="00E96282"/>
    <w:rsid w:val="00E978D0"/>
    <w:rsid w:val="00E97F2D"/>
    <w:rsid w:val="00EA4613"/>
    <w:rsid w:val="00EA4DE0"/>
    <w:rsid w:val="00EA5C40"/>
    <w:rsid w:val="00EA7F91"/>
    <w:rsid w:val="00EB1523"/>
    <w:rsid w:val="00EB15A2"/>
    <w:rsid w:val="00EB3A81"/>
    <w:rsid w:val="00EC0E49"/>
    <w:rsid w:val="00EC101F"/>
    <w:rsid w:val="00EC1033"/>
    <w:rsid w:val="00EC1D9F"/>
    <w:rsid w:val="00EC569E"/>
    <w:rsid w:val="00ED45F3"/>
    <w:rsid w:val="00EE0131"/>
    <w:rsid w:val="00EE17B0"/>
    <w:rsid w:val="00EE576F"/>
    <w:rsid w:val="00EF0274"/>
    <w:rsid w:val="00EF06D9"/>
    <w:rsid w:val="00EF382A"/>
    <w:rsid w:val="00EF5D9B"/>
    <w:rsid w:val="00F02890"/>
    <w:rsid w:val="00F03866"/>
    <w:rsid w:val="00F042FC"/>
    <w:rsid w:val="00F07B77"/>
    <w:rsid w:val="00F14BBA"/>
    <w:rsid w:val="00F166E3"/>
    <w:rsid w:val="00F21E53"/>
    <w:rsid w:val="00F230EE"/>
    <w:rsid w:val="00F24B94"/>
    <w:rsid w:val="00F26057"/>
    <w:rsid w:val="00F2682A"/>
    <w:rsid w:val="00F27EE4"/>
    <w:rsid w:val="00F3049E"/>
    <w:rsid w:val="00F30C64"/>
    <w:rsid w:val="00F32BA2"/>
    <w:rsid w:val="00F32CDB"/>
    <w:rsid w:val="00F37B8D"/>
    <w:rsid w:val="00F41EE4"/>
    <w:rsid w:val="00F437C3"/>
    <w:rsid w:val="00F50F7F"/>
    <w:rsid w:val="00F527D9"/>
    <w:rsid w:val="00F539C5"/>
    <w:rsid w:val="00F54082"/>
    <w:rsid w:val="00F565FE"/>
    <w:rsid w:val="00F61775"/>
    <w:rsid w:val="00F63A70"/>
    <w:rsid w:val="00F63D8C"/>
    <w:rsid w:val="00F7534E"/>
    <w:rsid w:val="00F81957"/>
    <w:rsid w:val="00F86DD3"/>
    <w:rsid w:val="00F93EDF"/>
    <w:rsid w:val="00F963D8"/>
    <w:rsid w:val="00FA1802"/>
    <w:rsid w:val="00FA21D0"/>
    <w:rsid w:val="00FA5818"/>
    <w:rsid w:val="00FA5F5F"/>
    <w:rsid w:val="00FB25DE"/>
    <w:rsid w:val="00FB2FD0"/>
    <w:rsid w:val="00FB3583"/>
    <w:rsid w:val="00FB3D38"/>
    <w:rsid w:val="00FB730C"/>
    <w:rsid w:val="00FC0367"/>
    <w:rsid w:val="00FC2695"/>
    <w:rsid w:val="00FC35F9"/>
    <w:rsid w:val="00FC3E03"/>
    <w:rsid w:val="00FC3FC1"/>
    <w:rsid w:val="00FD6200"/>
    <w:rsid w:val="00FD6368"/>
    <w:rsid w:val="00FE52C9"/>
    <w:rsid w:val="00FE6C91"/>
    <w:rsid w:val="00FE731B"/>
    <w:rsid w:val="00FE742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E50FF4"/>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7C2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3353</Words>
  <Characters>19118</Characters>
  <Application>Microsoft Office Word</Application>
  <DocSecurity>0</DocSecurity>
  <Lines>159</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Gabriele Landucci</cp:lastModifiedBy>
  <cp:revision>17</cp:revision>
  <cp:lastPrinted>2015-05-12T18:31:00Z</cp:lastPrinted>
  <dcterms:created xsi:type="dcterms:W3CDTF">2024-11-20T11:24:00Z</dcterms:created>
  <dcterms:modified xsi:type="dcterms:W3CDTF">2024-11-20T11:45:00Z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