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E554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E5548" w:rsidRDefault="000A03B2" w:rsidP="00DE264A">
            <w:pPr>
              <w:tabs>
                <w:tab w:val="left" w:pos="-108"/>
              </w:tabs>
              <w:ind w:left="-108"/>
              <w:jc w:val="left"/>
              <w:rPr>
                <w:rFonts w:cs="Arial"/>
                <w:b/>
                <w:i/>
                <w:color w:val="000000" w:themeColor="text1"/>
                <w:sz w:val="12"/>
                <w:szCs w:val="12"/>
                <w:lang w:eastAsia="it-IT"/>
              </w:rPr>
            </w:pPr>
            <w:bookmarkStart w:id="0" w:name="_Hlk145068772"/>
            <w:r w:rsidRPr="00CE5548">
              <w:rPr>
                <w:rFonts w:ascii="AdvP6960" w:hAnsi="AdvP6960" w:cs="AdvP6960"/>
                <w:noProof/>
                <w:color w:val="000000" w:themeColor="text1"/>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E5548">
              <w:rPr>
                <w:rFonts w:ascii="AdvP6960" w:hAnsi="AdvP6960" w:cs="AdvP6960"/>
                <w:color w:val="000000" w:themeColor="text1"/>
                <w:szCs w:val="18"/>
                <w:lang w:eastAsia="it-IT"/>
              </w:rPr>
              <w:t xml:space="preserve"> </w:t>
            </w:r>
            <w:r w:rsidRPr="008E10B7">
              <w:rPr>
                <w:rFonts w:cs="Arial"/>
                <w:b/>
                <w:i/>
                <w:color w:val="000066"/>
                <w:sz w:val="24"/>
                <w:szCs w:val="24"/>
                <w:lang w:eastAsia="it-IT"/>
              </w:rPr>
              <w:t>CHEMICAL ENGINEERING</w:t>
            </w:r>
            <w:r w:rsidRPr="00CE5548">
              <w:rPr>
                <w:rFonts w:cs="Arial"/>
                <w:b/>
                <w:i/>
                <w:color w:val="000000" w:themeColor="text1"/>
                <w:sz w:val="24"/>
                <w:szCs w:val="24"/>
                <w:lang w:eastAsia="it-IT"/>
              </w:rPr>
              <w:t xml:space="preserve"> </w:t>
            </w:r>
            <w:r w:rsidRPr="00E0645E">
              <w:rPr>
                <w:rFonts w:cs="Arial"/>
                <w:b/>
                <w:i/>
                <w:color w:val="666666"/>
                <w:sz w:val="24"/>
                <w:szCs w:val="24"/>
                <w:lang w:eastAsia="it-IT"/>
              </w:rPr>
              <w:t>TRANSACTIONS</w:t>
            </w:r>
            <w:r w:rsidRPr="00E0645E">
              <w:rPr>
                <w:color w:val="666666"/>
                <w:sz w:val="24"/>
                <w:szCs w:val="24"/>
                <w:lang w:eastAsia="it-IT"/>
              </w:rPr>
              <w:t xml:space="preserve"> </w:t>
            </w:r>
            <w:r w:rsidRPr="00CE5548">
              <w:rPr>
                <w:rFonts w:cs="Arial"/>
                <w:b/>
                <w:i/>
                <w:color w:val="000000" w:themeColor="text1"/>
                <w:sz w:val="27"/>
                <w:szCs w:val="27"/>
                <w:lang w:eastAsia="it-IT"/>
              </w:rPr>
              <w:br/>
            </w:r>
          </w:p>
          <w:p w14:paraId="4B780582" w14:textId="47EF826C" w:rsidR="000A03B2" w:rsidRPr="00CE5548" w:rsidRDefault="00A76EFC" w:rsidP="001D21AF">
            <w:pPr>
              <w:tabs>
                <w:tab w:val="left" w:pos="-108"/>
              </w:tabs>
              <w:ind w:left="-108"/>
              <w:rPr>
                <w:rFonts w:cs="Arial"/>
                <w:b/>
                <w:i/>
                <w:color w:val="000000" w:themeColor="text1"/>
                <w:sz w:val="22"/>
                <w:szCs w:val="22"/>
                <w:lang w:eastAsia="it-IT"/>
              </w:rPr>
            </w:pPr>
            <w:r w:rsidRPr="00E0645E">
              <w:rPr>
                <w:rFonts w:cs="Arial"/>
                <w:b/>
                <w:i/>
                <w:color w:val="000066"/>
                <w:sz w:val="22"/>
                <w:szCs w:val="22"/>
                <w:lang w:eastAsia="it-IT"/>
              </w:rPr>
              <w:t>VOL.</w:t>
            </w:r>
            <w:r w:rsidR="00785BF9" w:rsidRPr="00E0645E">
              <w:rPr>
                <w:rFonts w:cs="Arial"/>
                <w:b/>
                <w:i/>
                <w:color w:val="000066"/>
                <w:sz w:val="22"/>
                <w:szCs w:val="22"/>
                <w:lang w:eastAsia="it-IT"/>
              </w:rPr>
              <w:t xml:space="preserve"> </w:t>
            </w:r>
            <w:r w:rsidR="00994C6A" w:rsidRPr="00E0645E">
              <w:rPr>
                <w:rFonts w:cs="Arial"/>
                <w:b/>
                <w:i/>
                <w:color w:val="000066"/>
                <w:sz w:val="22"/>
                <w:szCs w:val="22"/>
                <w:lang w:eastAsia="it-IT"/>
              </w:rPr>
              <w:t>xxx</w:t>
            </w:r>
            <w:r w:rsidR="007B48F9" w:rsidRPr="00E0645E">
              <w:rPr>
                <w:rFonts w:cs="Arial"/>
                <w:b/>
                <w:i/>
                <w:color w:val="000066"/>
                <w:sz w:val="22"/>
                <w:szCs w:val="22"/>
                <w:lang w:eastAsia="it-IT"/>
              </w:rPr>
              <w:t>,</w:t>
            </w:r>
            <w:r w:rsidR="00FA5F5F" w:rsidRPr="00E0645E">
              <w:rPr>
                <w:rFonts w:cs="Arial"/>
                <w:b/>
                <w:i/>
                <w:color w:val="000066"/>
                <w:sz w:val="22"/>
                <w:szCs w:val="22"/>
                <w:lang w:eastAsia="it-IT"/>
              </w:rPr>
              <w:t xml:space="preserve"> </w:t>
            </w:r>
            <w:r w:rsidR="0030152C" w:rsidRPr="00E0645E">
              <w:rPr>
                <w:rFonts w:cs="Arial"/>
                <w:b/>
                <w:i/>
                <w:color w:val="000066"/>
                <w:sz w:val="22"/>
                <w:szCs w:val="22"/>
                <w:lang w:eastAsia="it-IT"/>
              </w:rPr>
              <w:t>202</w:t>
            </w:r>
            <w:r w:rsidR="00994C6A" w:rsidRPr="00E0645E">
              <w:rPr>
                <w:rFonts w:cs="Arial"/>
                <w:b/>
                <w:i/>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CE5548" w:rsidRDefault="000A03B2" w:rsidP="00CD5FE2">
            <w:pPr>
              <w:spacing w:line="140" w:lineRule="atLeast"/>
              <w:jc w:val="right"/>
              <w:rPr>
                <w:rFonts w:cs="Arial"/>
                <w:color w:val="000000" w:themeColor="text1"/>
                <w:sz w:val="14"/>
                <w:szCs w:val="14"/>
              </w:rPr>
            </w:pPr>
            <w:r w:rsidRPr="00CE5548">
              <w:rPr>
                <w:rFonts w:cs="Arial"/>
                <w:color w:val="000000" w:themeColor="text1"/>
                <w:sz w:val="14"/>
                <w:szCs w:val="14"/>
              </w:rPr>
              <w:t>A publication of</w:t>
            </w:r>
          </w:p>
          <w:p w14:paraId="599E5441" w14:textId="77777777" w:rsidR="000A03B2" w:rsidRPr="00CE5548" w:rsidRDefault="000A03B2" w:rsidP="00CD5FE2">
            <w:pPr>
              <w:jc w:val="right"/>
              <w:rPr>
                <w:color w:val="000000" w:themeColor="text1"/>
              </w:rPr>
            </w:pPr>
            <w:r w:rsidRPr="00CE5548">
              <w:rPr>
                <w:noProof/>
                <w:color w:val="000000" w:themeColor="text1"/>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E5548" w14:paraId="380FA3CD" w14:textId="77777777" w:rsidTr="00DE264A">
        <w:trPr>
          <w:trHeight w:val="567"/>
          <w:jc w:val="center"/>
        </w:trPr>
        <w:tc>
          <w:tcPr>
            <w:tcW w:w="6946" w:type="dxa"/>
            <w:vMerge/>
            <w:tcBorders>
              <w:right w:val="single" w:sz="4" w:space="0" w:color="auto"/>
            </w:tcBorders>
          </w:tcPr>
          <w:p w14:paraId="39E5E4C1" w14:textId="77777777" w:rsidR="000A03B2" w:rsidRPr="00CE5548" w:rsidRDefault="000A03B2" w:rsidP="00CD5FE2">
            <w:pPr>
              <w:tabs>
                <w:tab w:val="left" w:pos="-108"/>
              </w:tabs>
              <w:rPr>
                <w:color w:val="000000" w:themeColor="text1"/>
              </w:rPr>
            </w:pPr>
          </w:p>
        </w:tc>
        <w:tc>
          <w:tcPr>
            <w:tcW w:w="1843" w:type="dxa"/>
            <w:tcBorders>
              <w:left w:val="single" w:sz="4" w:space="0" w:color="auto"/>
              <w:bottom w:val="nil"/>
              <w:right w:val="single" w:sz="4" w:space="0" w:color="auto"/>
            </w:tcBorders>
          </w:tcPr>
          <w:p w14:paraId="43858A98" w14:textId="77777777" w:rsidR="000A03B2" w:rsidRPr="00CE5548" w:rsidRDefault="000A03B2" w:rsidP="00CD5FE2">
            <w:pPr>
              <w:spacing w:line="140" w:lineRule="atLeast"/>
              <w:jc w:val="right"/>
              <w:rPr>
                <w:rFonts w:cs="Arial"/>
                <w:color w:val="000000" w:themeColor="text1"/>
                <w:sz w:val="14"/>
                <w:szCs w:val="14"/>
              </w:rPr>
            </w:pPr>
            <w:r w:rsidRPr="00CE5548">
              <w:rPr>
                <w:rFonts w:cs="Arial"/>
                <w:color w:val="000000" w:themeColor="text1"/>
                <w:sz w:val="14"/>
                <w:szCs w:val="14"/>
              </w:rPr>
              <w:t>The Italian Association</w:t>
            </w:r>
          </w:p>
          <w:p w14:paraId="7522B1D2" w14:textId="77777777" w:rsidR="000A03B2" w:rsidRPr="00CE5548" w:rsidRDefault="000A03B2" w:rsidP="00CD5FE2">
            <w:pPr>
              <w:spacing w:line="140" w:lineRule="atLeast"/>
              <w:jc w:val="right"/>
              <w:rPr>
                <w:rFonts w:cs="Arial"/>
                <w:color w:val="000000" w:themeColor="text1"/>
                <w:sz w:val="14"/>
                <w:szCs w:val="14"/>
              </w:rPr>
            </w:pPr>
            <w:r w:rsidRPr="00CE5548">
              <w:rPr>
                <w:rFonts w:cs="Arial"/>
                <w:color w:val="000000" w:themeColor="text1"/>
                <w:sz w:val="14"/>
                <w:szCs w:val="14"/>
              </w:rPr>
              <w:t>of Chemical Engineering</w:t>
            </w:r>
          </w:p>
          <w:p w14:paraId="4F0CC5DE" w14:textId="47FDB2FC" w:rsidR="000A03B2" w:rsidRPr="00CE5548" w:rsidRDefault="000D0268" w:rsidP="00CD5FE2">
            <w:pPr>
              <w:spacing w:line="140" w:lineRule="atLeast"/>
              <w:jc w:val="right"/>
              <w:rPr>
                <w:rFonts w:cs="Arial"/>
                <w:color w:val="000000" w:themeColor="text1"/>
                <w:sz w:val="13"/>
                <w:szCs w:val="13"/>
              </w:rPr>
            </w:pPr>
            <w:r w:rsidRPr="00CE5548">
              <w:rPr>
                <w:rFonts w:cs="Arial"/>
                <w:color w:val="000000" w:themeColor="text1"/>
                <w:sz w:val="13"/>
                <w:szCs w:val="13"/>
              </w:rPr>
              <w:t>Online at www.cetjournal.it</w:t>
            </w:r>
          </w:p>
        </w:tc>
      </w:tr>
      <w:tr w:rsidR="000A03B2" w:rsidRPr="00CE5548" w14:paraId="2D1B7169" w14:textId="77777777" w:rsidTr="00DE264A">
        <w:trPr>
          <w:trHeight w:val="68"/>
          <w:jc w:val="center"/>
        </w:trPr>
        <w:tc>
          <w:tcPr>
            <w:tcW w:w="8789" w:type="dxa"/>
            <w:gridSpan w:val="2"/>
          </w:tcPr>
          <w:p w14:paraId="30F07041" w14:textId="11182ABA" w:rsidR="00F27EE4" w:rsidRPr="00A734A6" w:rsidRDefault="00AA7D26" w:rsidP="00F27EE4">
            <w:pPr>
              <w:ind w:left="-107"/>
              <w:rPr>
                <w:rFonts w:ascii="Tahoma" w:hAnsi="Tahoma" w:cs="Tahoma"/>
                <w:b/>
                <w:color w:val="000000" w:themeColor="text1"/>
                <w:sz w:val="14"/>
                <w:szCs w:val="14"/>
                <w:shd w:val="clear" w:color="auto" w:fill="FFFFFF"/>
                <w:lang w:val="it-IT"/>
              </w:rPr>
            </w:pPr>
            <w:r w:rsidRPr="00A734A6">
              <w:rPr>
                <w:rFonts w:ascii="Tahoma" w:hAnsi="Tahoma" w:cs="Tahoma"/>
                <w:color w:val="000000" w:themeColor="text1"/>
                <w:sz w:val="14"/>
                <w:szCs w:val="14"/>
                <w:lang w:val="it-IT" w:eastAsia="it-IT"/>
              </w:rPr>
              <w:t>Guest Editors:</w:t>
            </w:r>
            <w:r w:rsidR="007D610D" w:rsidRPr="00A734A6">
              <w:rPr>
                <w:rFonts w:ascii="Aptos" w:eastAsiaTheme="minorHAnsi" w:hAnsi="Aptos" w:cs="Aptos"/>
                <w:color w:val="000000" w:themeColor="text1"/>
                <w:sz w:val="22"/>
                <w:szCs w:val="22"/>
                <w:lang w:val="it-IT"/>
                <w14:ligatures w14:val="standardContextual"/>
              </w:rPr>
              <w:t xml:space="preserve"> </w:t>
            </w:r>
            <w:r w:rsidR="00F27EE4" w:rsidRPr="00A734A6">
              <w:rPr>
                <w:rFonts w:ascii="Tahoma" w:hAnsi="Tahoma" w:cs="Tahoma"/>
                <w:color w:val="000000" w:themeColor="text1"/>
                <w:sz w:val="14"/>
                <w:szCs w:val="14"/>
                <w:shd w:val="clear" w:color="auto" w:fill="FFFFFF"/>
                <w:lang w:val="it-IT"/>
              </w:rPr>
              <w:t>Bruno Fabiano, Valerio Cozzani</w:t>
            </w:r>
          </w:p>
          <w:p w14:paraId="1B0F1814" w14:textId="2DB8A072" w:rsidR="000A03B2" w:rsidRPr="00CE5548" w:rsidRDefault="00AA7D26" w:rsidP="00AA7D26">
            <w:pPr>
              <w:tabs>
                <w:tab w:val="left" w:pos="-108"/>
              </w:tabs>
              <w:spacing w:line="140" w:lineRule="atLeast"/>
              <w:ind w:left="-107"/>
              <w:jc w:val="left"/>
              <w:rPr>
                <w:color w:val="000000" w:themeColor="text1"/>
              </w:rPr>
            </w:pPr>
            <w:r w:rsidRPr="00CE5548">
              <w:rPr>
                <w:rFonts w:ascii="Tahoma" w:hAnsi="Tahoma" w:cs="Tahoma"/>
                <w:color w:val="000000" w:themeColor="text1"/>
                <w:sz w:val="14"/>
                <w:szCs w:val="14"/>
                <w:lang w:eastAsia="it-IT"/>
              </w:rPr>
              <w:t>Copyright © 202</w:t>
            </w:r>
            <w:r w:rsidR="00994C6A" w:rsidRPr="00CE5548">
              <w:rPr>
                <w:rFonts w:ascii="Tahoma" w:hAnsi="Tahoma" w:cs="Tahoma"/>
                <w:color w:val="000000" w:themeColor="text1"/>
                <w:sz w:val="14"/>
                <w:szCs w:val="14"/>
                <w:lang w:eastAsia="it-IT"/>
              </w:rPr>
              <w:t>5</w:t>
            </w:r>
            <w:r w:rsidRPr="00CE5548">
              <w:rPr>
                <w:rFonts w:ascii="Tahoma" w:hAnsi="Tahoma" w:cs="Tahoma"/>
                <w:color w:val="000000" w:themeColor="text1"/>
                <w:sz w:val="14"/>
                <w:szCs w:val="14"/>
                <w:lang w:eastAsia="it-IT"/>
              </w:rPr>
              <w:t xml:space="preserve">, AIDIC Servizi </w:t>
            </w:r>
            <w:proofErr w:type="spellStart"/>
            <w:r w:rsidRPr="00CE5548">
              <w:rPr>
                <w:rFonts w:ascii="Tahoma" w:hAnsi="Tahoma" w:cs="Tahoma"/>
                <w:color w:val="000000" w:themeColor="text1"/>
                <w:sz w:val="14"/>
                <w:szCs w:val="14"/>
                <w:lang w:eastAsia="it-IT"/>
              </w:rPr>
              <w:t>S.r.l</w:t>
            </w:r>
            <w:proofErr w:type="spellEnd"/>
            <w:r w:rsidRPr="00CE5548">
              <w:rPr>
                <w:rFonts w:ascii="Tahoma" w:hAnsi="Tahoma" w:cs="Tahoma"/>
                <w:color w:val="000000" w:themeColor="text1"/>
                <w:sz w:val="14"/>
                <w:szCs w:val="14"/>
                <w:lang w:eastAsia="it-IT"/>
              </w:rPr>
              <w:t>.</w:t>
            </w:r>
            <w:r w:rsidRPr="00CE5548">
              <w:rPr>
                <w:rFonts w:ascii="Tahoma" w:hAnsi="Tahoma" w:cs="Tahoma"/>
                <w:color w:val="000000" w:themeColor="text1"/>
                <w:sz w:val="14"/>
                <w:szCs w:val="14"/>
                <w:lang w:eastAsia="it-IT"/>
              </w:rPr>
              <w:br/>
            </w:r>
            <w:r w:rsidRPr="00CE5548">
              <w:rPr>
                <w:rFonts w:ascii="Tahoma" w:hAnsi="Tahoma" w:cs="Tahoma"/>
                <w:b/>
                <w:color w:val="000000" w:themeColor="text1"/>
                <w:sz w:val="14"/>
                <w:szCs w:val="14"/>
                <w:lang w:eastAsia="it-IT"/>
              </w:rPr>
              <w:t>ISBN</w:t>
            </w:r>
            <w:r w:rsidRPr="00CE5548">
              <w:rPr>
                <w:rFonts w:ascii="Tahoma" w:hAnsi="Tahoma" w:cs="Tahoma"/>
                <w:color w:val="000000" w:themeColor="text1"/>
                <w:sz w:val="14"/>
                <w:szCs w:val="14"/>
                <w:lang w:eastAsia="it-IT"/>
              </w:rPr>
              <w:t xml:space="preserve"> </w:t>
            </w:r>
            <w:r w:rsidR="003B49CD" w:rsidRPr="00CE5548">
              <w:rPr>
                <w:rFonts w:ascii="Tahoma" w:hAnsi="Tahoma" w:cs="Tahoma"/>
                <w:color w:val="000000" w:themeColor="text1"/>
                <w:sz w:val="14"/>
                <w:szCs w:val="14"/>
              </w:rPr>
              <w:t>979-12-81206-</w:t>
            </w:r>
            <w:r w:rsidR="00F27EE4" w:rsidRPr="00CE5548">
              <w:rPr>
                <w:rFonts w:ascii="Tahoma" w:hAnsi="Tahoma" w:cs="Tahoma"/>
                <w:color w:val="000000" w:themeColor="text1"/>
                <w:sz w:val="14"/>
                <w:szCs w:val="14"/>
              </w:rPr>
              <w:t>xx-y</w:t>
            </w:r>
            <w:r w:rsidRPr="00CE5548">
              <w:rPr>
                <w:rFonts w:ascii="Tahoma" w:hAnsi="Tahoma" w:cs="Tahoma"/>
                <w:color w:val="000000" w:themeColor="text1"/>
                <w:sz w:val="14"/>
                <w:szCs w:val="14"/>
                <w:lang w:eastAsia="it-IT"/>
              </w:rPr>
              <w:t xml:space="preserve">; </w:t>
            </w:r>
            <w:r w:rsidRPr="00CE5548">
              <w:rPr>
                <w:rFonts w:ascii="Tahoma" w:hAnsi="Tahoma" w:cs="Tahoma"/>
                <w:b/>
                <w:color w:val="000000" w:themeColor="text1"/>
                <w:sz w:val="14"/>
                <w:szCs w:val="14"/>
                <w:lang w:eastAsia="it-IT"/>
              </w:rPr>
              <w:t>ISSN</w:t>
            </w:r>
            <w:r w:rsidRPr="00CE5548">
              <w:rPr>
                <w:rFonts w:ascii="Tahoma" w:hAnsi="Tahoma" w:cs="Tahoma"/>
                <w:color w:val="000000" w:themeColor="text1"/>
                <w:sz w:val="14"/>
                <w:szCs w:val="14"/>
                <w:lang w:eastAsia="it-IT"/>
              </w:rPr>
              <w:t xml:space="preserve"> 2283-9216</w:t>
            </w:r>
          </w:p>
        </w:tc>
      </w:tr>
    </w:tbl>
    <w:bookmarkEnd w:id="0"/>
    <w:p w14:paraId="2E667253" w14:textId="35DAABAD" w:rsidR="00E978D0" w:rsidRPr="00CE5548" w:rsidRDefault="008B3608" w:rsidP="004F4D52">
      <w:pPr>
        <w:pStyle w:val="CETTitle"/>
        <w:rPr>
          <w:color w:val="000000" w:themeColor="text1"/>
          <w:spacing w:val="-4"/>
        </w:rPr>
      </w:pPr>
      <w:r w:rsidRPr="00CE5548">
        <w:rPr>
          <w:color w:val="000000" w:themeColor="text1"/>
          <w:spacing w:val="-4"/>
        </w:rPr>
        <w:t xml:space="preserve">The </w:t>
      </w:r>
      <w:r w:rsidR="00175139">
        <w:rPr>
          <w:color w:val="000000" w:themeColor="text1"/>
          <w:spacing w:val="-4"/>
        </w:rPr>
        <w:t>R</w:t>
      </w:r>
      <w:r w:rsidRPr="00CE5548">
        <w:rPr>
          <w:color w:val="000000" w:themeColor="text1"/>
          <w:spacing w:val="-4"/>
        </w:rPr>
        <w:t xml:space="preserve">ole of </w:t>
      </w:r>
      <w:r w:rsidR="00175139">
        <w:rPr>
          <w:color w:val="000000" w:themeColor="text1"/>
          <w:spacing w:val="-4"/>
        </w:rPr>
        <w:t>I</w:t>
      </w:r>
      <w:r w:rsidRPr="00CE5548">
        <w:rPr>
          <w:color w:val="000000" w:themeColor="text1"/>
          <w:spacing w:val="-4"/>
        </w:rPr>
        <w:t xml:space="preserve">nherent </w:t>
      </w:r>
      <w:r w:rsidR="00175139">
        <w:rPr>
          <w:color w:val="000000" w:themeColor="text1"/>
          <w:spacing w:val="-4"/>
        </w:rPr>
        <w:t>S</w:t>
      </w:r>
      <w:r w:rsidRPr="00CE5548">
        <w:rPr>
          <w:color w:val="000000" w:themeColor="text1"/>
          <w:spacing w:val="-4"/>
        </w:rPr>
        <w:t xml:space="preserve">afety in </w:t>
      </w:r>
      <w:r w:rsidR="00175139">
        <w:rPr>
          <w:color w:val="000000" w:themeColor="text1"/>
          <w:spacing w:val="-4"/>
        </w:rPr>
        <w:t>t</w:t>
      </w:r>
      <w:r w:rsidRPr="00CE5548">
        <w:rPr>
          <w:color w:val="000000" w:themeColor="text1"/>
          <w:spacing w:val="-4"/>
        </w:rPr>
        <w:t xml:space="preserve">he </w:t>
      </w:r>
      <w:r w:rsidR="00C62721">
        <w:rPr>
          <w:color w:val="000000" w:themeColor="text1"/>
          <w:spacing w:val="-4"/>
        </w:rPr>
        <w:t>S</w:t>
      </w:r>
      <w:r w:rsidRPr="00CE5548">
        <w:rPr>
          <w:color w:val="000000" w:themeColor="text1"/>
          <w:spacing w:val="-4"/>
        </w:rPr>
        <w:t xml:space="preserve">election of </w:t>
      </w:r>
      <w:r w:rsidR="00EB2861">
        <w:rPr>
          <w:color w:val="000000" w:themeColor="text1"/>
          <w:spacing w:val="-4"/>
        </w:rPr>
        <w:t xml:space="preserve">                 </w:t>
      </w:r>
      <w:r w:rsidR="00175139">
        <w:rPr>
          <w:color w:val="000000" w:themeColor="text1"/>
          <w:spacing w:val="-4"/>
        </w:rPr>
        <w:t>S</w:t>
      </w:r>
      <w:r w:rsidRPr="00CE5548">
        <w:rPr>
          <w:color w:val="000000" w:themeColor="text1"/>
          <w:spacing w:val="-4"/>
        </w:rPr>
        <w:t>ustainable CO</w:t>
      </w:r>
      <w:r w:rsidRPr="00CE5548">
        <w:rPr>
          <w:color w:val="000000" w:themeColor="text1"/>
          <w:spacing w:val="-4"/>
          <w:vertAlign w:val="subscript"/>
        </w:rPr>
        <w:t>2</w:t>
      </w:r>
      <w:r w:rsidRPr="00CE5548">
        <w:rPr>
          <w:color w:val="000000" w:themeColor="text1"/>
          <w:spacing w:val="-4"/>
        </w:rPr>
        <w:t xml:space="preserve"> </w:t>
      </w:r>
      <w:r w:rsidR="00175139">
        <w:rPr>
          <w:color w:val="000000" w:themeColor="text1"/>
          <w:spacing w:val="-4"/>
        </w:rPr>
        <w:t>C</w:t>
      </w:r>
      <w:r w:rsidRPr="00CE5548">
        <w:rPr>
          <w:color w:val="000000" w:themeColor="text1"/>
          <w:spacing w:val="-4"/>
        </w:rPr>
        <w:t xml:space="preserve">apture </w:t>
      </w:r>
      <w:r w:rsidR="00175139">
        <w:rPr>
          <w:color w:val="000000" w:themeColor="text1"/>
          <w:spacing w:val="-4"/>
        </w:rPr>
        <w:t>O</w:t>
      </w:r>
      <w:r w:rsidRPr="00CE5548">
        <w:rPr>
          <w:color w:val="000000" w:themeColor="text1"/>
          <w:spacing w:val="-4"/>
        </w:rPr>
        <w:t>ptions</w:t>
      </w:r>
    </w:p>
    <w:p w14:paraId="2395885A" w14:textId="555FE5B7" w:rsidR="00005F5B" w:rsidRPr="00A734A6" w:rsidRDefault="00005F5B" w:rsidP="00005F5B">
      <w:pPr>
        <w:pStyle w:val="CETAuthors"/>
        <w:rPr>
          <w:color w:val="000000" w:themeColor="text1"/>
          <w:lang w:val="it-IT"/>
        </w:rPr>
      </w:pPr>
      <w:r w:rsidRPr="00A734A6">
        <w:rPr>
          <w:color w:val="000000" w:themeColor="text1"/>
          <w:lang w:val="it-IT"/>
        </w:rPr>
        <w:t>Francesco</w:t>
      </w:r>
      <w:r w:rsidR="00BC1216" w:rsidRPr="00A734A6">
        <w:rPr>
          <w:color w:val="000000" w:themeColor="text1"/>
          <w:lang w:val="it-IT"/>
        </w:rPr>
        <w:t xml:space="preserve"> Zanobetti</w:t>
      </w:r>
      <w:r w:rsidRPr="00A734A6">
        <w:rPr>
          <w:color w:val="000000" w:themeColor="text1"/>
          <w:lang w:val="it-IT"/>
        </w:rPr>
        <w:t xml:space="preserve">, </w:t>
      </w:r>
      <w:r w:rsidR="00C83B5C" w:rsidRPr="00A734A6">
        <w:rPr>
          <w:color w:val="000000" w:themeColor="text1"/>
          <w:lang w:val="it-IT"/>
        </w:rPr>
        <w:t xml:space="preserve">Gianmaria Pio, </w:t>
      </w:r>
      <w:r w:rsidRPr="00A734A6">
        <w:rPr>
          <w:color w:val="000000" w:themeColor="text1"/>
          <w:lang w:val="it-IT"/>
        </w:rPr>
        <w:t>Alessandro Dal Pozzo, Valerio Cozzani</w:t>
      </w:r>
      <w:r w:rsidR="00AC306D">
        <w:rPr>
          <w:color w:val="000000" w:themeColor="text1"/>
          <w:lang w:val="it-IT"/>
        </w:rPr>
        <w:t>*</w:t>
      </w:r>
    </w:p>
    <w:p w14:paraId="1CD48699" w14:textId="77777777" w:rsidR="00A4382E" w:rsidRPr="00EB2861" w:rsidRDefault="00A4382E" w:rsidP="00A4382E">
      <w:pPr>
        <w:pStyle w:val="CETemail"/>
        <w:spacing w:after="0"/>
        <w:jc w:val="both"/>
        <w:rPr>
          <w:color w:val="000000" w:themeColor="text1"/>
        </w:rPr>
      </w:pPr>
      <w:r w:rsidRPr="00EB2861">
        <w:rPr>
          <w:color w:val="000000" w:themeColor="text1"/>
        </w:rPr>
        <w:t>LISES – Laboratory of Industrial Safety and Environmental Sustainability, Department of Civil, Chemical, Environmental and Materials Engineering, University of Bologna, Via Terracini 28, 40131, Bologna, Italy</w:t>
      </w:r>
    </w:p>
    <w:p w14:paraId="6582A366" w14:textId="0DAC0F52" w:rsidR="00BA08D5" w:rsidRPr="00EB2861" w:rsidRDefault="00AC306D" w:rsidP="00322F9C">
      <w:pPr>
        <w:pStyle w:val="CETemail"/>
        <w:jc w:val="both"/>
        <w:rPr>
          <w:color w:val="000000" w:themeColor="text1"/>
        </w:rPr>
      </w:pPr>
      <w:r w:rsidRPr="00EB2861">
        <w:rPr>
          <w:color w:val="000000" w:themeColor="text1"/>
        </w:rPr>
        <w:t>valerio</w:t>
      </w:r>
      <w:r w:rsidR="00C83B5C" w:rsidRPr="00EB2861">
        <w:rPr>
          <w:color w:val="000000" w:themeColor="text1"/>
        </w:rPr>
        <w:t>.</w:t>
      </w:r>
      <w:r w:rsidRPr="00EB2861">
        <w:rPr>
          <w:color w:val="000000" w:themeColor="text1"/>
        </w:rPr>
        <w:t>cozzani</w:t>
      </w:r>
      <w:r w:rsidR="00005F5B" w:rsidRPr="00EB2861">
        <w:rPr>
          <w:color w:val="000000" w:themeColor="text1"/>
        </w:rPr>
        <w:t>@unibo.it</w:t>
      </w:r>
    </w:p>
    <w:p w14:paraId="4EF0DBDC" w14:textId="1037A302" w:rsidR="00E94756" w:rsidRPr="00E94756" w:rsidRDefault="00E94756" w:rsidP="00322F9C">
      <w:pPr>
        <w:pStyle w:val="CETBodytext"/>
        <w:rPr>
          <w:lang w:eastAsia="en-GB"/>
        </w:rPr>
      </w:pPr>
      <w:proofErr w:type="spellStart"/>
      <w:r w:rsidRPr="00E94756">
        <w:rPr>
          <w:lang w:eastAsia="en-GB"/>
        </w:rPr>
        <w:t>Decarbonising</w:t>
      </w:r>
      <w:proofErr w:type="spellEnd"/>
      <w:r w:rsidRPr="00E94756">
        <w:rPr>
          <w:lang w:eastAsia="en-GB"/>
        </w:rPr>
        <w:t xml:space="preserve"> hard-to-abate sectors </w:t>
      </w:r>
      <w:r w:rsidR="00322F9C">
        <w:rPr>
          <w:lang w:eastAsia="en-GB"/>
        </w:rPr>
        <w:t>such as</w:t>
      </w:r>
      <w:r w:rsidRPr="00E94756">
        <w:rPr>
          <w:lang w:eastAsia="en-GB"/>
        </w:rPr>
        <w:t xml:space="preserve"> energy-intensive industries and maritime transport is essential to mitigating climate change. While carbon capture technologies are critical to this effort, social sustainability, particularly process safety, is often overlooked in </w:t>
      </w:r>
      <w:r w:rsidR="00767039">
        <w:rPr>
          <w:lang w:eastAsia="en-GB"/>
        </w:rPr>
        <w:t>the evaluation of their suitability at an early</w:t>
      </w:r>
      <w:r w:rsidR="001A49D8">
        <w:rPr>
          <w:lang w:eastAsia="en-GB"/>
        </w:rPr>
        <w:t xml:space="preserve"> design </w:t>
      </w:r>
      <w:r w:rsidR="00767039">
        <w:rPr>
          <w:lang w:eastAsia="en-GB"/>
        </w:rPr>
        <w:t>stage</w:t>
      </w:r>
      <w:r w:rsidRPr="00E94756">
        <w:rPr>
          <w:lang w:eastAsia="en-GB"/>
        </w:rPr>
        <w:t xml:space="preserve">. </w:t>
      </w:r>
      <w:r w:rsidR="004E0D81">
        <w:t>This study integrates inherent safety into a four-pillar sustainability framework, encompassing technological, economic, environmental, and social criteria, to enable a more comprehensive assessment</w:t>
      </w:r>
      <w:r w:rsidRPr="00E94756">
        <w:rPr>
          <w:lang w:eastAsia="en-GB"/>
        </w:rPr>
        <w:t>.</w:t>
      </w:r>
      <w:r w:rsidR="00322F9C">
        <w:rPr>
          <w:lang w:eastAsia="en-GB"/>
        </w:rPr>
        <w:t xml:space="preserve"> </w:t>
      </w:r>
      <w:r w:rsidRPr="00E94756">
        <w:rPr>
          <w:lang w:eastAsia="en-GB"/>
        </w:rPr>
        <w:t>Case studies focused on a</w:t>
      </w:r>
      <w:r w:rsidR="009E44F7">
        <w:rPr>
          <w:lang w:eastAsia="en-GB"/>
        </w:rPr>
        <w:t>n industrial</w:t>
      </w:r>
      <w:r w:rsidRPr="00E94756">
        <w:rPr>
          <w:lang w:eastAsia="en-GB"/>
        </w:rPr>
        <w:t xml:space="preserve"> cement plant and a cruise ship explored three carbon capture technologies: solvent-based absorption, </w:t>
      </w:r>
      <w:r w:rsidR="00D229BB">
        <w:rPr>
          <w:lang w:eastAsia="en-GB"/>
        </w:rPr>
        <w:t>adsorption, and calcium looping</w:t>
      </w:r>
      <w:r w:rsidRPr="00E94756">
        <w:rPr>
          <w:lang w:eastAsia="en-GB"/>
        </w:rPr>
        <w:t xml:space="preserve"> for the industrial case, and solvent-based absorption, adsorption, and cryogenic separation for </w:t>
      </w:r>
      <w:r w:rsidR="00163BEE">
        <w:rPr>
          <w:lang w:eastAsia="en-GB"/>
        </w:rPr>
        <w:t>the maritime case study</w:t>
      </w:r>
      <w:r w:rsidRPr="00E94756">
        <w:rPr>
          <w:lang w:eastAsia="en-GB"/>
        </w:rPr>
        <w:t xml:space="preserve">. </w:t>
      </w:r>
      <w:r w:rsidR="005D321A">
        <w:t xml:space="preserve">The inherent safety assessment revealed significant performance differences, with amine scrubbing demonstrating a hazard level at least 15 times higher than alternative </w:t>
      </w:r>
      <w:proofErr w:type="spellStart"/>
      <w:r w:rsidR="003D0CE9">
        <w:t>catpure</w:t>
      </w:r>
      <w:proofErr w:type="spellEnd"/>
      <w:r w:rsidR="003D0CE9">
        <w:t xml:space="preserve"> technologies</w:t>
      </w:r>
      <w:r w:rsidR="005D321A">
        <w:t>.</w:t>
      </w:r>
      <w:r w:rsidRPr="00E94756">
        <w:rPr>
          <w:lang w:eastAsia="en-GB"/>
        </w:rPr>
        <w:t xml:space="preserve"> </w:t>
      </w:r>
      <w:r w:rsidR="00051B55">
        <w:t>Trade-offs between safety and environmental performance were evident in both case studies, highlighting the necessity of incorporating inherent safety into decision-making to ensure sustainable carbon capture strategies.</w:t>
      </w:r>
    </w:p>
    <w:p w14:paraId="28F1460E" w14:textId="4B9B3EC5" w:rsidR="00E02D42" w:rsidRPr="00CE5548" w:rsidRDefault="00600535" w:rsidP="00E02D42">
      <w:pPr>
        <w:pStyle w:val="CETHeading1"/>
        <w:rPr>
          <w:color w:val="000000" w:themeColor="text1"/>
          <w:lang w:val="en-GB"/>
        </w:rPr>
      </w:pPr>
      <w:r w:rsidRPr="00CE5548">
        <w:rPr>
          <w:color w:val="000000" w:themeColor="text1"/>
          <w:lang w:val="en-GB"/>
        </w:rPr>
        <w:t>Introduction</w:t>
      </w:r>
    </w:p>
    <w:p w14:paraId="266F537F" w14:textId="72D9D1AF" w:rsidR="009476E3" w:rsidRPr="00CE5548" w:rsidRDefault="003D0CE9" w:rsidP="002A5068">
      <w:pPr>
        <w:pStyle w:val="CETBodytext"/>
        <w:rPr>
          <w:color w:val="000000" w:themeColor="text1"/>
          <w:lang w:val="en-GB" w:eastAsia="en-GB"/>
        </w:rPr>
      </w:pPr>
      <w:r>
        <w:rPr>
          <w:color w:val="000000" w:themeColor="text1"/>
          <w:lang w:val="en-GB" w:eastAsia="en-GB"/>
        </w:rPr>
        <w:t>In order t</w:t>
      </w:r>
      <w:r w:rsidR="00881AED" w:rsidRPr="00CE5548">
        <w:rPr>
          <w:color w:val="000000" w:themeColor="text1"/>
          <w:lang w:val="en-GB" w:eastAsia="en-GB"/>
        </w:rPr>
        <w:t>o mitigate the</w:t>
      </w:r>
      <w:r w:rsidR="00A734A6">
        <w:rPr>
          <w:color w:val="000000" w:themeColor="text1"/>
          <w:lang w:val="en-GB" w:eastAsia="en-GB"/>
        </w:rPr>
        <w:t xml:space="preserve"> </w:t>
      </w:r>
      <w:r w:rsidR="00881AED" w:rsidRPr="00CE5548">
        <w:rPr>
          <w:color w:val="000000" w:themeColor="text1"/>
          <w:lang w:val="en-GB" w:eastAsia="en-GB"/>
        </w:rPr>
        <w:t>impact</w:t>
      </w:r>
      <w:r w:rsidR="00A734A6">
        <w:rPr>
          <w:color w:val="000000" w:themeColor="text1"/>
          <w:lang w:val="en-GB" w:eastAsia="en-GB"/>
        </w:rPr>
        <w:t xml:space="preserve"> of a</w:t>
      </w:r>
      <w:r w:rsidR="00A734A6" w:rsidRPr="00CE5548">
        <w:rPr>
          <w:color w:val="000000" w:themeColor="text1"/>
          <w:lang w:val="en-GB" w:eastAsia="en-GB"/>
        </w:rPr>
        <w:t>nthropogenic greenhouse gas (GHG) emissions</w:t>
      </w:r>
      <w:r w:rsidR="00881AED" w:rsidRPr="00CE5548">
        <w:rPr>
          <w:color w:val="000000" w:themeColor="text1"/>
          <w:lang w:val="en-GB" w:eastAsia="en-GB"/>
        </w:rPr>
        <w:t>, rapid and widespread decarbonisation of the global economy is essential. Carbon capture technologies are critical to achieving this goal, particularly in hard-to-decarbonise sectors such as energy-intensive industries and maritime transport, where alternative solutions remain at low technological readiness levels</w:t>
      </w:r>
      <w:r w:rsidR="007D0EEB">
        <w:rPr>
          <w:color w:val="000000" w:themeColor="text1"/>
          <w:lang w:val="en-GB" w:eastAsia="en-GB"/>
        </w:rPr>
        <w:t xml:space="preserve"> </w:t>
      </w:r>
      <w:r w:rsidR="007D0EEB">
        <w:rPr>
          <w:color w:val="000000" w:themeColor="text1"/>
          <w:lang w:val="en-GB" w:eastAsia="en-GB"/>
        </w:rPr>
        <w:fldChar w:fldCharType="begin" w:fldLock="1"/>
      </w:r>
      <w:r w:rsidR="0024332C">
        <w:rPr>
          <w:color w:val="000000" w:themeColor="text1"/>
          <w:lang w:val="en-GB" w:eastAsia="en-GB"/>
        </w:rPr>
        <w:instrText>ADDIN CSL_CITATION {"citationItems":[{"id":"ITEM-1","itemData":{"author":[{"dropping-particle":"","family":"DNV","given":"","non-dropping-particle":"","parse-names":false,"suffix":""}],"id":"ITEM-1","issued":{"date-parts":[["2024"]]},"number-of-pages":"1-22","title":"The potential of onboard carbon capture in shipping","type":"report"},"uris":["http://www.mendeley.com/documents/?uuid=158175d7-756a-4c06-a497-27cd2c23a3be"]},{"id":"ITEM-2","itemData":{"DOI":"10.1787/09689323-en","abstract":"Industry is the basis for prospering societies and central to economic development. As the source of almost one-quarter of CO 2 emissions, it must also be a central part of the clean energy transition. Emissions from industry can be among the hardest to abate in the energy system, in particular due to process emissions that result from chemical or physical reactions and the need for high-temperature heat. A portfolio of technologies and approaches will be needed to address the decarbonisation challenge while supporting sustainable and competitive industries. Carbon capture, utilisation and storage (CCUS) is expected to play a critical role in this sustainable transformation. For some industrial and fuel transformation processes, CCUS is one of the most cost-effective solutions available for large-scale emissions reductions. In the IEA Clean Technology Scenario (CTS), which sets out a pathway consistent with the Paris Agreement climate ambition, CCUS contributes almost one-fifth of the emissions reductions needed across the industry sector. More than 28 gigatonnes of carbon dioxide (GtCO 2 ) is captured from industrial processes in the period to 2060, the majority of it from the cement, steel and chemical subsectors. A strengthened and tailored policy response will be needed to support the transformation of industry consistent with climate goals while preserving competitiveness. The development of CO 2 transport and storage networks for industrial CCUS hubs can reduce unit costs through economies of scale and facilitate investment in CO 2 capture facilities. Establishing markets for premium lower-carbon materials – such as cement, steel and chemicals – through public and private procurement can also accelerate the adoption of CCUS and other lower-carbon industrial processes.","author":[{"dropping-particle":"","family":"IEA","given":"","non-dropping-particle":"","parse-names":false,"suffix":""}],"id":"ITEM-2","issued":{"date-parts":[["2019"]]},"title":"Transforming Industry through CCUS","type":"report"},"uris":["http://www.mendeley.com/documents/?uuid=e02cef01-66c8-44b4-a4e7-c5cbd2306a4b"]}],"mendeley":{"formattedCitation":"(DNV, 2024; IEA, 2019)","plainTextFormattedCitation":"(DNV, 2024; IEA, 2019)","previouslyFormattedCitation":"(DNV, 2024; IEA, 2019)"},"properties":{"noteIndex":0},"schema":"https://github.com/citation-style-language/schema/raw/master/csl-citation.json"}</w:instrText>
      </w:r>
      <w:r w:rsidR="007D0EEB">
        <w:rPr>
          <w:color w:val="000000" w:themeColor="text1"/>
          <w:lang w:val="en-GB" w:eastAsia="en-GB"/>
        </w:rPr>
        <w:fldChar w:fldCharType="separate"/>
      </w:r>
      <w:r w:rsidR="007D0EEB" w:rsidRPr="007D0EEB">
        <w:rPr>
          <w:noProof/>
          <w:color w:val="000000" w:themeColor="text1"/>
          <w:lang w:val="en-GB" w:eastAsia="en-GB"/>
        </w:rPr>
        <w:t>(DNV, 2024; IEA, 2019)</w:t>
      </w:r>
      <w:r w:rsidR="007D0EEB">
        <w:rPr>
          <w:color w:val="000000" w:themeColor="text1"/>
          <w:lang w:val="en-GB" w:eastAsia="en-GB"/>
        </w:rPr>
        <w:fldChar w:fldCharType="end"/>
      </w:r>
      <w:r w:rsidR="00881AED" w:rsidRPr="00CE5548">
        <w:rPr>
          <w:color w:val="000000" w:themeColor="text1"/>
          <w:lang w:val="en-GB" w:eastAsia="en-GB"/>
        </w:rPr>
        <w:t>.</w:t>
      </w:r>
      <w:r w:rsidR="00371561">
        <w:rPr>
          <w:color w:val="000000" w:themeColor="text1"/>
          <w:lang w:val="en-GB" w:eastAsia="en-GB"/>
        </w:rPr>
        <w:t xml:space="preserve"> </w:t>
      </w:r>
      <w:r w:rsidR="00881AED" w:rsidRPr="00CE5548">
        <w:rPr>
          <w:color w:val="000000" w:themeColor="text1"/>
          <w:lang w:val="en-GB" w:eastAsia="en-GB"/>
        </w:rPr>
        <w:t xml:space="preserve">A </w:t>
      </w:r>
      <w:r w:rsidR="00391DB4" w:rsidRPr="00CE5548">
        <w:rPr>
          <w:color w:val="000000" w:themeColor="text1"/>
          <w:lang w:val="en-GB" w:eastAsia="en-GB"/>
        </w:rPr>
        <w:t xml:space="preserve">wide variety </w:t>
      </w:r>
      <w:r w:rsidR="00881AED" w:rsidRPr="00CE5548">
        <w:rPr>
          <w:color w:val="000000" w:themeColor="text1"/>
          <w:lang w:val="en-GB" w:eastAsia="en-GB"/>
        </w:rPr>
        <w:t xml:space="preserve">of </w:t>
      </w:r>
      <w:r w:rsidR="00E6375E" w:rsidRPr="00CE5548">
        <w:rPr>
          <w:color w:val="000000" w:themeColor="text1"/>
          <w:lang w:val="en-GB" w:eastAsia="en-GB"/>
        </w:rPr>
        <w:t>carbon</w:t>
      </w:r>
      <w:r w:rsidR="00881AED" w:rsidRPr="00CE5548">
        <w:rPr>
          <w:color w:val="000000" w:themeColor="text1"/>
          <w:lang w:val="en-GB" w:eastAsia="en-GB"/>
        </w:rPr>
        <w:t xml:space="preserve"> capture technologies is being developed, each presenting specific</w:t>
      </w:r>
      <w:r w:rsidR="00700BBA" w:rsidRPr="00CE5548">
        <w:rPr>
          <w:color w:val="000000" w:themeColor="text1"/>
          <w:lang w:val="en-GB" w:eastAsia="en-GB"/>
        </w:rPr>
        <w:t xml:space="preserve"> features such as</w:t>
      </w:r>
      <w:r w:rsidR="00881AED" w:rsidRPr="00CE5548">
        <w:rPr>
          <w:color w:val="000000" w:themeColor="text1"/>
          <w:lang w:val="en-GB" w:eastAsia="en-GB"/>
        </w:rPr>
        <w:t xml:space="preserve"> </w:t>
      </w:r>
      <w:r w:rsidR="00E6375E" w:rsidRPr="00CE5548">
        <w:rPr>
          <w:color w:val="000000" w:themeColor="text1"/>
          <w:lang w:val="en-GB" w:eastAsia="en-GB"/>
        </w:rPr>
        <w:t>CO</w:t>
      </w:r>
      <w:r w:rsidR="00E6375E" w:rsidRPr="00CE5548">
        <w:rPr>
          <w:color w:val="000000" w:themeColor="text1"/>
          <w:vertAlign w:val="subscript"/>
          <w:lang w:val="en-GB" w:eastAsia="en-GB"/>
        </w:rPr>
        <w:t>2</w:t>
      </w:r>
      <w:r w:rsidR="00E6375E" w:rsidRPr="00CE5548">
        <w:rPr>
          <w:color w:val="000000" w:themeColor="text1"/>
          <w:lang w:val="en-GB" w:eastAsia="en-GB"/>
        </w:rPr>
        <w:t xml:space="preserve"> separation mechanism</w:t>
      </w:r>
      <w:r w:rsidR="00700BBA" w:rsidRPr="00CE5548">
        <w:rPr>
          <w:color w:val="000000" w:themeColor="text1"/>
          <w:lang w:val="en-GB" w:eastAsia="en-GB"/>
        </w:rPr>
        <w:t>, energy requirements</w:t>
      </w:r>
      <w:r w:rsidR="00F71834">
        <w:rPr>
          <w:color w:val="000000" w:themeColor="text1"/>
          <w:lang w:val="en-GB" w:eastAsia="en-GB"/>
        </w:rPr>
        <w:t>,</w:t>
      </w:r>
      <w:r w:rsidR="00700BBA" w:rsidRPr="00CE5548">
        <w:rPr>
          <w:color w:val="000000" w:themeColor="text1"/>
          <w:lang w:val="en-GB" w:eastAsia="en-GB"/>
        </w:rPr>
        <w:t xml:space="preserve"> and product purity</w:t>
      </w:r>
      <w:r w:rsidR="0024332C">
        <w:rPr>
          <w:color w:val="000000" w:themeColor="text1"/>
          <w:lang w:val="en-GB" w:eastAsia="en-GB"/>
        </w:rPr>
        <w:t xml:space="preserve"> </w:t>
      </w:r>
      <w:r w:rsidR="0024332C">
        <w:rPr>
          <w:color w:val="000000" w:themeColor="text1"/>
          <w:lang w:val="en-GB" w:eastAsia="en-GB"/>
        </w:rPr>
        <w:fldChar w:fldCharType="begin" w:fldLock="1"/>
      </w:r>
      <w:r w:rsidR="008849F4">
        <w:rPr>
          <w:color w:val="000000" w:themeColor="text1"/>
          <w:lang w:val="en-GB" w:eastAsia="en-GB"/>
        </w:rPr>
        <w:instrText>ADDIN CSL_CITATION {"citationItems":[{"id":"ITEM-1","itemData":{"DOI":"10.1016/j.cogsc.2024.100895","ISSN":"24522236","abstract":"This short paper suggests a review of the latest developments and current challenges associated with carbon dioxide capture, utilization and storage. Recent research has been conducted to reduce energy consumption, costs, and improve efficiency. In carbon dioxide capture, catalysts have been added to solvents while new membranes and sorbent materials have been investigated. In mineral carbon dioxide storage, studies have been carried out to improve reaction rates. Regarding the utilization path, attention has been focused on the development of sustainable chemicals (mainly based on electrochemical conversion), biochemical routes and power generation. Considering the respective challenges, future efforts should be focused toward the optimization of these systems at all levels, in addition to a public acceptance and new policies and regulations for their spread.","author":[{"dropping-particle":"","family":"Leonzio","given":"Grazia","non-dropping-particle":"","parse-names":false,"suffix":""},{"dropping-particle":"","family":"Shah","given":"Nilay","non-dropping-particle":"","parse-names":false,"suffix":""}],"container-title":"Current Opinion in Green and Sustainable Chemistry","id":"ITEM-1","issued":{"date-parts":[["2024"]]},"page":"100895","publisher":"The Authors","title":"Recent advancements and challenges in carbon capture, utilization and storage","type":"article-journal","volume":"46"},"uris":["http://www.mendeley.com/documents/?uuid=31d6435f-cfb2-4892-9f13-69726f1d81b4"]}],"mendeley":{"formattedCitation":"(Leonzio and Shah, 2024)","plainTextFormattedCitation":"(Leonzio and Shah, 2024)","previouslyFormattedCitation":"(Leonzio and Shah, 2024)"},"properties":{"noteIndex":0},"schema":"https://github.com/citation-style-language/schema/raw/master/csl-citation.json"}</w:instrText>
      </w:r>
      <w:r w:rsidR="0024332C">
        <w:rPr>
          <w:color w:val="000000" w:themeColor="text1"/>
          <w:lang w:val="en-GB" w:eastAsia="en-GB"/>
        </w:rPr>
        <w:fldChar w:fldCharType="separate"/>
      </w:r>
      <w:r w:rsidR="0024332C" w:rsidRPr="0024332C">
        <w:rPr>
          <w:noProof/>
          <w:color w:val="000000" w:themeColor="text1"/>
          <w:lang w:val="en-GB" w:eastAsia="en-GB"/>
        </w:rPr>
        <w:t>(Leonzio and Shah, 2024)</w:t>
      </w:r>
      <w:r w:rsidR="0024332C">
        <w:rPr>
          <w:color w:val="000000" w:themeColor="text1"/>
          <w:lang w:val="en-GB" w:eastAsia="en-GB"/>
        </w:rPr>
        <w:fldChar w:fldCharType="end"/>
      </w:r>
      <w:r w:rsidR="00881AED" w:rsidRPr="00CE5548">
        <w:rPr>
          <w:color w:val="000000" w:themeColor="text1"/>
          <w:lang w:val="en-GB" w:eastAsia="en-GB"/>
        </w:rPr>
        <w:t xml:space="preserve">. </w:t>
      </w:r>
      <w:r w:rsidR="00936252" w:rsidRPr="00CE5548">
        <w:rPr>
          <w:color w:val="000000" w:themeColor="text1"/>
          <w:lang w:val="en-GB" w:eastAsia="en-GB"/>
        </w:rPr>
        <w:t>T</w:t>
      </w:r>
      <w:r w:rsidR="0075799D" w:rsidRPr="00CE5548">
        <w:rPr>
          <w:color w:val="000000" w:themeColor="text1"/>
          <w:lang w:val="en-GB" w:eastAsia="en-GB"/>
        </w:rPr>
        <w:t>he</w:t>
      </w:r>
      <w:r w:rsidR="00881AED" w:rsidRPr="00CE5548">
        <w:rPr>
          <w:color w:val="000000" w:themeColor="text1"/>
          <w:lang w:val="en-GB" w:eastAsia="en-GB"/>
        </w:rPr>
        <w:t xml:space="preserve"> selection </w:t>
      </w:r>
      <w:r w:rsidR="00936252" w:rsidRPr="00CE5548">
        <w:rPr>
          <w:color w:val="000000" w:themeColor="text1"/>
          <w:lang w:val="en-GB" w:eastAsia="en-GB"/>
        </w:rPr>
        <w:t xml:space="preserve">of the most </w:t>
      </w:r>
      <w:r w:rsidR="00936252" w:rsidRPr="00B1721E">
        <w:rPr>
          <w:color w:val="000000" w:themeColor="text1"/>
          <w:lang w:val="en-GB" w:eastAsia="en-GB"/>
        </w:rPr>
        <w:t xml:space="preserve">convenient </w:t>
      </w:r>
      <w:r w:rsidR="004A0241" w:rsidRPr="00B1721E">
        <w:rPr>
          <w:color w:val="000000" w:themeColor="text1"/>
          <w:lang w:val="en-GB" w:eastAsia="en-GB"/>
        </w:rPr>
        <w:t>technology</w:t>
      </w:r>
      <w:r w:rsidR="00076870" w:rsidRPr="00B1721E">
        <w:rPr>
          <w:color w:val="000000" w:themeColor="text1"/>
          <w:lang w:val="en-GB" w:eastAsia="en-GB"/>
        </w:rPr>
        <w:t xml:space="preserve"> should </w:t>
      </w:r>
      <w:r w:rsidR="00881AED" w:rsidRPr="00B1721E">
        <w:rPr>
          <w:color w:val="000000" w:themeColor="text1"/>
          <w:lang w:val="en-GB" w:eastAsia="en-GB"/>
        </w:rPr>
        <w:t xml:space="preserve">balance </w:t>
      </w:r>
      <w:r w:rsidR="008E13FF" w:rsidRPr="00B1721E">
        <w:rPr>
          <w:color w:val="000000" w:themeColor="text1"/>
          <w:lang w:val="en-GB" w:eastAsia="en-GB"/>
        </w:rPr>
        <w:t xml:space="preserve">various </w:t>
      </w:r>
      <w:r w:rsidR="0041740F" w:rsidRPr="00B1721E">
        <w:rPr>
          <w:color w:val="000000" w:themeColor="text1"/>
          <w:lang w:val="en-GB" w:eastAsia="en-GB"/>
        </w:rPr>
        <w:t>technical</w:t>
      </w:r>
      <w:r w:rsidR="00881AED" w:rsidRPr="00B1721E">
        <w:rPr>
          <w:color w:val="000000" w:themeColor="text1"/>
          <w:lang w:val="en-GB" w:eastAsia="en-GB"/>
        </w:rPr>
        <w:t xml:space="preserve">, economic, </w:t>
      </w:r>
      <w:r w:rsidR="0041740F" w:rsidRPr="00B1721E">
        <w:rPr>
          <w:color w:val="000000" w:themeColor="text1"/>
          <w:lang w:val="en-GB" w:eastAsia="en-GB"/>
        </w:rPr>
        <w:t>environmental, and societal criteria</w:t>
      </w:r>
      <w:r w:rsidR="0041740F" w:rsidRPr="00CE5548">
        <w:rPr>
          <w:color w:val="000000" w:themeColor="text1"/>
          <w:lang w:val="en-GB" w:eastAsia="en-GB"/>
        </w:rPr>
        <w:t xml:space="preserve"> </w:t>
      </w:r>
      <w:r w:rsidR="008849F4">
        <w:rPr>
          <w:color w:val="000000" w:themeColor="text1"/>
          <w:lang w:val="en-GB" w:eastAsia="en-GB"/>
        </w:rPr>
        <w:fldChar w:fldCharType="begin" w:fldLock="1"/>
      </w:r>
      <w:r w:rsidR="001952B2">
        <w:rPr>
          <w:color w:val="000000" w:themeColor="text1"/>
          <w:lang w:val="en-GB" w:eastAsia="en-GB"/>
        </w:rPr>
        <w:instrText>ADDIN CSL_CITATION {"citationItems":[{"id":"ITEM-1","itemData":{"DOI":"10.1016/j.cej.2024.155428","ISSN":"13858947","abstract":"Tannery sludge (TS) is a harmful, hazardous byproduct of the leather processing industry. This industrial solid waste generally undergoes uncontrolled landfilling and pollutes the surrounding environment, including water, air, and soil. Thus, to protect the environment and promote sustainable development goals (SDGs), an innovative TS valorization process design is urgently necessary. Nonetheless, the previous literature mainly focused on the physicochemical characteristics of TS and entirely ignored developing innovative processes for energy recovery. Further, there is a lack of study on developing life cycle techno-economic, environmental, social, and governance (T-E-ESG) frameworks for the TS-to-energy recovery scheme selection in an uncertain environment. To address these gaps, this study, for the first time, develops a simulation-based data-driven life cycle T-E-ESG framework for assessing TS-to-energy recovery schemes. A comprehensive fuzzy Delphi and fuzzy hybrid weighting method (fuzzy-based best-worst method and level-based weight assessment) integrated with the fuzzy Bonferroni CoCoSo model are proposed for evaluating TS-to-energy recovery schemes based on the T-E-ESG framework. The extended literature review identified thirty T-E-ESG factors, further verified using the fuzzy Delphi technique. The findings of the hybrid weighting method confirmed that the two most important factors are ‘Revenue per day with subsidy (E11)’ and ‘Energy efficiency (T12)’. The fuzzy Bonferroni analysis indicated ‘TS to power generation with carbon capture’ as the optimal solution for TS valorization as it received the highest relative significance score value of 2.2655, which ensured its’ suitability for real-time practical implication. The study findings may be used as a benchmark for the policymakers to establish optimal TS-to-energy recovery plant in developing countries.","author":[{"dropping-particle":"","family":"Moktadir","given":"Md. Abdul","non-dropping-particle":"","parse-names":false,"suffix":""},{"dropping-particle":"","family":"Ren","given":"Jingzheng","non-dropping-particle":"","parse-names":false,"suffix":""},{"dropping-particle":"","family":"Ayub","given":"Yousaf","non-dropping-particle":"","parse-names":false,"suffix":""},{"dropping-particle":"","family":"Shi","given":"Tao","non-dropping-particle":"","parse-names":false,"suffix":""}],"container-title":"Chemical Engineering Journal","id":"ITEM-1","issued":{"date-parts":[["2024"]]},"page":"155428","publisher":"Elsevier B.V.","title":"Monetizing and selection of sustainable tannery sludge-to-energy technology using a simulation-based novel integrated MCDM model along with life cycle Techno-Economic-ESG analysis","type":"article-journal","volume":"499"},"uris":["http://www.mendeley.com/documents/?uuid=6b97ad88-6079-499d-8b84-4869eef5a4b6"]},{"id":"ITEM-2","itemData":{"DOI":"10.1016/j.jclepro.2023.137330","ISSN":"09596526","abstract":"A methodology based on the multi-objective optimisation of economic and environmental aspects is presented to support the preliminary design of CO2 transport pipelines employed as part of Carbon Capture and Storage (CCS) systems. Pareto optimal design solutions are determined for a realistic point-to-point CO2 pipeline using Level Diagrams and choosing the Nominal Pipe Size (NPS) as a decision variable. A quantitative procedure entailing the definition of economic and environmental key performance indicators is defined to allow the identification of an optimum pipeline design. The outcome is compared against the minimisation of single-objective indicators based on the CO2 avoided and carbon pricing concepts. The results of a case-study concerning a 70 km long pipeline transporting 10 Mt yr−1 of supercritical CO2 show that the multi-objective method yields an optimum NPS equal to 30, higher than the NPS 28 deriving from the alternative indexing methods. The proposed multicriteria approach effectively considers case-specific environmental sustainability constraints, which result in determining 46% of the overall performance measure of the identified optimum solution. The results show that conventional single-objective methods underestimate the contribution of environmental factors up to 2.6% of the overall performance index value. A Monte Carlo probabilistic analysis is performed to verify the robustness of the results with respect to the possible uncertainties.","author":[{"dropping-particle":"","family":"Zanobetti","given":"Francesco","non-dropping-particle":"","parse-names":false,"suffix":""},{"dropping-particle":"","family":"Martynov","given":"Sergey","non-dropping-particle":"","parse-names":false,"suffix":""},{"dropping-particle":"","family":"Cozzani","given":"Valerio","non-dropping-particle":"","parse-names":false,"suffix":""},{"dropping-particle":"","family":"Mahgerefteh","given":"Haroun","non-dropping-particle":"","parse-names":false,"suffix":""}],"container-title":"Journal of Cleaner Production","id":"ITEM-2","issued":{"date-parts":[["2023"]]},"page":"137330","publisher":"Elsevier Ltd","title":"Multi-objective economic and environmental assessment for the preliminary design of CO2 transport pipelines","type":"article-journal","volume":"411"},"uris":["http://www.mendeley.com/documents/?uuid=27b854b8-8254-4b10-8fb0-25b1cc9d9c67"]}],"mendeley":{"formattedCitation":"(Moktadir et al., 2024; Zanobetti et al., 2023a)","plainTextFormattedCitation":"(Moktadir et al., 2024; Zanobetti et al., 2023a)","previouslyFormattedCitation":"(Moktadir et al., 2024; Zanobetti et al., 2023a)"},"properties":{"noteIndex":0},"schema":"https://github.com/citation-style-language/schema/raw/master/csl-citation.json"}</w:instrText>
      </w:r>
      <w:r w:rsidR="008849F4">
        <w:rPr>
          <w:color w:val="000000" w:themeColor="text1"/>
          <w:lang w:val="en-GB" w:eastAsia="en-GB"/>
        </w:rPr>
        <w:fldChar w:fldCharType="separate"/>
      </w:r>
      <w:r w:rsidR="001C305A" w:rsidRPr="001C305A">
        <w:rPr>
          <w:noProof/>
          <w:color w:val="000000" w:themeColor="text1"/>
          <w:lang w:val="en-GB" w:eastAsia="en-GB"/>
        </w:rPr>
        <w:t>(Moktadir et al., 2024; Zanobetti et al., 2023a)</w:t>
      </w:r>
      <w:r w:rsidR="008849F4">
        <w:rPr>
          <w:color w:val="000000" w:themeColor="text1"/>
          <w:lang w:val="en-GB" w:eastAsia="en-GB"/>
        </w:rPr>
        <w:fldChar w:fldCharType="end"/>
      </w:r>
      <w:r w:rsidR="00881AED" w:rsidRPr="00CE5548">
        <w:rPr>
          <w:color w:val="000000" w:themeColor="text1"/>
          <w:lang w:val="en-GB" w:eastAsia="en-GB"/>
        </w:rPr>
        <w:t xml:space="preserve"> while </w:t>
      </w:r>
      <w:r w:rsidR="00497228" w:rsidRPr="00CE5548">
        <w:rPr>
          <w:color w:val="000000" w:themeColor="text1"/>
          <w:lang w:val="en-GB" w:eastAsia="en-GB"/>
        </w:rPr>
        <w:t xml:space="preserve">accounting for </w:t>
      </w:r>
      <w:r w:rsidR="00881AED" w:rsidRPr="00CE5548">
        <w:rPr>
          <w:color w:val="000000" w:themeColor="text1"/>
          <w:lang w:val="en-GB" w:eastAsia="en-GB"/>
        </w:rPr>
        <w:t>the</w:t>
      </w:r>
      <w:r w:rsidR="005449B7" w:rsidRPr="00CE5548">
        <w:rPr>
          <w:color w:val="000000" w:themeColor="text1"/>
          <w:lang w:val="en-GB" w:eastAsia="en-GB"/>
        </w:rPr>
        <w:t xml:space="preserve"> </w:t>
      </w:r>
      <w:r w:rsidR="006A0224" w:rsidRPr="00CE5548">
        <w:rPr>
          <w:color w:val="000000" w:themeColor="text1"/>
          <w:lang w:val="en-GB" w:eastAsia="en-GB"/>
        </w:rPr>
        <w:t xml:space="preserve">specific </w:t>
      </w:r>
      <w:r w:rsidR="00881AED" w:rsidRPr="00CE5548">
        <w:rPr>
          <w:color w:val="000000" w:themeColor="text1"/>
          <w:lang w:val="en-GB" w:eastAsia="en-GB"/>
        </w:rPr>
        <w:t xml:space="preserve">boundary conditions of </w:t>
      </w:r>
      <w:r w:rsidR="006A0224" w:rsidRPr="00CE5548">
        <w:rPr>
          <w:color w:val="000000" w:themeColor="text1"/>
          <w:lang w:val="en-GB" w:eastAsia="en-GB"/>
        </w:rPr>
        <w:t>the</w:t>
      </w:r>
      <w:r w:rsidR="00881AED" w:rsidRPr="00CE5548">
        <w:rPr>
          <w:color w:val="000000" w:themeColor="text1"/>
          <w:lang w:val="en-GB" w:eastAsia="en-GB"/>
        </w:rPr>
        <w:t xml:space="preserve"> </w:t>
      </w:r>
      <w:r w:rsidR="00D51BFC" w:rsidRPr="00CE5548">
        <w:rPr>
          <w:color w:val="000000" w:themeColor="text1"/>
          <w:lang w:val="en-GB" w:eastAsia="en-GB"/>
        </w:rPr>
        <w:t>hard-to-decarbonise context</w:t>
      </w:r>
      <w:r w:rsidR="006A0224" w:rsidRPr="00CE5548">
        <w:rPr>
          <w:color w:val="000000" w:themeColor="text1"/>
          <w:lang w:val="en-GB" w:eastAsia="en-GB"/>
        </w:rPr>
        <w:t xml:space="preserve"> considered</w:t>
      </w:r>
      <w:r w:rsidR="00881AED" w:rsidRPr="00CE5548">
        <w:rPr>
          <w:color w:val="000000" w:themeColor="text1"/>
          <w:lang w:val="en-GB" w:eastAsia="en-GB"/>
        </w:rPr>
        <w:t>.</w:t>
      </w:r>
      <w:r w:rsidR="008C5ACB">
        <w:rPr>
          <w:color w:val="000000" w:themeColor="text1"/>
          <w:lang w:val="en-GB" w:eastAsia="en-GB"/>
        </w:rPr>
        <w:t xml:space="preserve"> </w:t>
      </w:r>
      <w:r w:rsidR="008C5ACB" w:rsidRPr="00CE5548">
        <w:rPr>
          <w:color w:val="000000" w:themeColor="text1"/>
          <w:lang w:val="en-GB" w:eastAsia="en-GB"/>
        </w:rPr>
        <w:t xml:space="preserve">For </w:t>
      </w:r>
      <w:r w:rsidR="00B230FD">
        <w:rPr>
          <w:color w:val="000000" w:themeColor="text1"/>
          <w:lang w:val="en-GB" w:eastAsia="en-GB"/>
        </w:rPr>
        <w:t>instance</w:t>
      </w:r>
      <w:r w:rsidR="008C5ACB" w:rsidRPr="00CE5548">
        <w:rPr>
          <w:color w:val="000000" w:themeColor="text1"/>
          <w:lang w:val="en-GB" w:eastAsia="en-GB"/>
        </w:rPr>
        <w:t xml:space="preserve">, industrial emitters </w:t>
      </w:r>
      <w:r w:rsidR="00B230FD">
        <w:rPr>
          <w:color w:val="000000" w:themeColor="text1"/>
          <w:lang w:val="en-GB" w:eastAsia="en-GB"/>
        </w:rPr>
        <w:t>often exhibit</w:t>
      </w:r>
      <w:r w:rsidR="00250B3B">
        <w:rPr>
          <w:color w:val="000000" w:themeColor="text1"/>
          <w:lang w:val="en-GB" w:eastAsia="en-GB"/>
        </w:rPr>
        <w:t xml:space="preserve"> significant heterogeneity in flue gas composition and emission scale</w:t>
      </w:r>
      <w:r w:rsidR="008C5ACB" w:rsidRPr="00CE5548">
        <w:rPr>
          <w:color w:val="000000" w:themeColor="text1"/>
          <w:lang w:val="en-GB" w:eastAsia="en-GB"/>
        </w:rPr>
        <w:t xml:space="preserve">, </w:t>
      </w:r>
      <w:r w:rsidR="00250B3B">
        <w:rPr>
          <w:color w:val="000000" w:themeColor="text1"/>
          <w:lang w:val="en-GB" w:eastAsia="en-GB"/>
        </w:rPr>
        <w:t>which complicates the assessment of</w:t>
      </w:r>
      <w:r w:rsidR="008C5ACB" w:rsidRPr="00CE5548">
        <w:rPr>
          <w:color w:val="000000" w:themeColor="text1"/>
          <w:lang w:val="en-GB" w:eastAsia="en-GB"/>
        </w:rPr>
        <w:t xml:space="preserve"> CO</w:t>
      </w:r>
      <w:r w:rsidR="008C5ACB" w:rsidRPr="00CE5548">
        <w:rPr>
          <w:color w:val="000000" w:themeColor="text1"/>
          <w:vertAlign w:val="subscript"/>
          <w:lang w:val="en-GB" w:eastAsia="en-GB"/>
        </w:rPr>
        <w:t>2</w:t>
      </w:r>
      <w:r w:rsidR="008C5ACB" w:rsidRPr="00CE5548">
        <w:rPr>
          <w:color w:val="000000" w:themeColor="text1"/>
          <w:lang w:val="en-GB" w:eastAsia="en-GB"/>
        </w:rPr>
        <w:t xml:space="preserve"> abatement performance and</w:t>
      </w:r>
      <w:r w:rsidR="00C1199E">
        <w:rPr>
          <w:color w:val="000000" w:themeColor="text1"/>
          <w:lang w:val="en-GB" w:eastAsia="en-GB"/>
        </w:rPr>
        <w:t xml:space="preserve"> </w:t>
      </w:r>
      <w:r w:rsidR="008C5ACB" w:rsidRPr="00CE5548">
        <w:rPr>
          <w:color w:val="000000" w:themeColor="text1"/>
          <w:lang w:val="en-GB" w:eastAsia="en-GB"/>
        </w:rPr>
        <w:t xml:space="preserve">applicability of carbon capture strategies </w:t>
      </w:r>
      <w:r w:rsidR="008C5ACB" w:rsidRPr="00CE5548">
        <w:rPr>
          <w:color w:val="000000" w:themeColor="text1"/>
          <w:lang w:val="en-GB" w:eastAsia="en-GB"/>
        </w:rPr>
        <w:fldChar w:fldCharType="begin" w:fldLock="1"/>
      </w:r>
      <w:r w:rsidR="0095565B">
        <w:rPr>
          <w:color w:val="000000" w:themeColor="text1"/>
          <w:lang w:val="en-GB" w:eastAsia="en-GB"/>
        </w:rPr>
        <w:instrText>ADDIN CSL_CITATION {"citationItems":[{"id":"ITEM-1","itemData":{"DOI":"10.1787/09689323-en","abstract":"Industry is the basis for prospering societies and central to economic development. As the source of almost one-quarter of CO 2 emissions, it must also be a central part of the clean energy transition. Emissions from industry can be among the hardest to abate in the energy system, in particular due to process emissions that result from chemical or physical reactions and the need for high-temperature heat. A portfolio of technologies and approaches will be needed to address the decarbonisation challenge while supporting sustainable and competitive industries. Carbon capture, utilisation and storage (CCUS) is expected to play a critical role in this sustainable transformation. For some industrial and fuel transformation processes, CCUS is one of the most cost-effective solutions available for large-scale emissions reductions. In the IEA Clean Technology Scenario (CTS), which sets out a pathway consistent with the Paris Agreement climate ambition, CCUS contributes almost one-fifth of the emissions reductions needed across the industry sector. More than 28 gigatonnes of carbon dioxide (GtCO 2 ) is captured from industrial processes in the period to 2060, the majority of it from the cement, steel and chemical subsectors. A strengthened and tailored policy response will be needed to support the transformation of industry consistent with climate goals while preserving competitiveness. The development of CO 2 transport and storage networks for industrial CCUS hubs can reduce unit costs through economies of scale and facilitate investment in CO 2 capture facilities. Establishing markets for premium lower-carbon materials – such as cement, steel and chemicals – through public and private procurement can also accelerate the adoption of CCUS and other lower-carbon industrial processes.","author":[{"dropping-particle":"","family":"IEA","given":"","non-dropping-particle":"","parse-names":false,"suffix":""}],"id":"ITEM-1","issued":{"date-parts":[["2019"]]},"title":"Transforming Industry through CCUS","type":"report"},"uris":["http://www.mendeley.com/documents/?uuid=e02cef01-66c8-44b4-a4e7-c5cbd2306a4b"]},{"id":"ITEM-2","itemData":{"author":[{"dropping-particle":"","family":"IEA","given":"","non-dropping-particle":"","parse-names":false,"suffix":""}],"id":"ITEM-2","issued":{"date-parts":[["2021"]]},"publisher":"IEA","publisher-place":"Paris","title":"Is carbon capture too expensive?","type":"book"},"uris":["http://www.mendeley.com/documents/?uuid=e748e7f2-3977-4ae3-8a0a-ac02f86d28c5"]}],"mendeley":{"formattedCitation":"(IEA, 2021, 2019)","plainTextFormattedCitation":"(IEA, 2021, 2019)","previouslyFormattedCitation":"(IEA, 2021, 2019)"},"properties":{"noteIndex":0},"schema":"https://github.com/citation-style-language/schema/raw/master/csl-citation.json"}</w:instrText>
      </w:r>
      <w:r w:rsidR="008C5ACB" w:rsidRPr="00CE5548">
        <w:rPr>
          <w:color w:val="000000" w:themeColor="text1"/>
          <w:lang w:val="en-GB" w:eastAsia="en-GB"/>
        </w:rPr>
        <w:fldChar w:fldCharType="separate"/>
      </w:r>
      <w:r w:rsidR="00302545" w:rsidRPr="00302545">
        <w:rPr>
          <w:noProof/>
          <w:color w:val="000000" w:themeColor="text1"/>
          <w:lang w:val="en-GB" w:eastAsia="en-GB"/>
        </w:rPr>
        <w:t>(IEA, 2021, 2019)</w:t>
      </w:r>
      <w:r w:rsidR="008C5ACB" w:rsidRPr="00CE5548">
        <w:rPr>
          <w:color w:val="000000" w:themeColor="text1"/>
          <w:lang w:val="en-GB" w:eastAsia="en-GB"/>
        </w:rPr>
        <w:fldChar w:fldCharType="end"/>
      </w:r>
      <w:r w:rsidR="00302545">
        <w:rPr>
          <w:color w:val="000000" w:themeColor="text1"/>
          <w:lang w:val="en-GB" w:eastAsia="en-GB"/>
        </w:rPr>
        <w:t>. I</w:t>
      </w:r>
      <w:r w:rsidR="00DC7E91" w:rsidRPr="00CE5548">
        <w:rPr>
          <w:color w:val="000000" w:themeColor="text1"/>
          <w:lang w:val="en-GB" w:eastAsia="en-GB"/>
        </w:rPr>
        <w:t>n the maritime sector</w:t>
      </w:r>
      <w:r w:rsidR="00BE3633">
        <w:rPr>
          <w:color w:val="000000" w:themeColor="text1"/>
          <w:lang w:val="en-GB" w:eastAsia="en-GB"/>
        </w:rPr>
        <w:t xml:space="preserve">, </w:t>
      </w:r>
      <w:r w:rsidR="00BE3633" w:rsidRPr="00BE3633">
        <w:rPr>
          <w:color w:val="000000" w:themeColor="text1"/>
          <w:lang w:val="en-GB" w:eastAsia="en-GB"/>
        </w:rPr>
        <w:t>implementing carbon capture strategies poses significant challenges due to limited onboard space and increased energy demands, often necessitating substantial ship modifications</w:t>
      </w:r>
      <w:r w:rsidR="00BA2F08" w:rsidRPr="00CE5548">
        <w:rPr>
          <w:color w:val="000000" w:themeColor="text1"/>
          <w:lang w:val="en-GB" w:eastAsia="en-GB"/>
        </w:rPr>
        <w:t xml:space="preserve"> </w:t>
      </w:r>
      <w:r w:rsidR="00BA2F08" w:rsidRPr="00CE5548">
        <w:rPr>
          <w:color w:val="000000" w:themeColor="text1"/>
          <w:lang w:val="en-GB" w:eastAsia="en-GB"/>
        </w:rPr>
        <w:fldChar w:fldCharType="begin" w:fldLock="1"/>
      </w:r>
      <w:r w:rsidR="0002621F" w:rsidRPr="00CE5548">
        <w:rPr>
          <w:color w:val="000000" w:themeColor="text1"/>
          <w:lang w:val="en-GB" w:eastAsia="en-GB"/>
        </w:rPr>
        <w:instrText>ADDIN CSL_CITATION {"citationItems":[{"id":"ITEM-1","itemData":{"DOI":"10.1016/j.adapen.2021.100008","ISSN":"26667924","abstract":"The high environmental impacts of transport mean that there is an increasing interest in utilising low-carbon alternative energy carriers and powertrains within the sector. While electricity has been mooted as the energy carrier of choice for passenger vehicles, as the mass and range of the vehicle increases, electrification becomes more difficult. This paper reviews the shipping, aviation and haulage sectors, and a range of low-carbon energy carriers (electricity, biofuels, hydrogen, and electrofuels) that can be used to decarbonise them. Energy carriers were assessed based on their energy density, specific energy, cost, lifecycle greenhouse gas emissions, and land-use. In terms of haulage, current battery electric vehicles may be technically feasible, however the specific energy of current battery technology reduces the payload capacity and range when compared to diesel. To alleviate these issues, biomethane represents a mature technology with potential co-benefits, while hydrogen is close to competitiveness but requires significant infrastructure. Energy density issues preclude the use of batteries in shipping which requires energy dense liquids or compressed gaseous fuels that allow for retrofits/current hull designs, with methanol being particularly appropriate here. Future shipping may be achieved with ammonia or hydrogen, but hull design will need to be changed significantly. Regulations and aircraft design mean that commercial aviation is dependant on drop-in jet fuels for the foreseeable future, with power-to-liquid fuels being deemed the most suitable option due to the scales required. Fuel costs and a lack of refuelling infrastructure were identified as key barriers facing the uptake of alternatives, with policy and financial incentives required to encourage the uptake of low-carbon fuels.","author":[{"dropping-particle":"","family":"Gray","given":"Nathan","non-dropping-particle":"","parse-names":false,"suffix":""},{"dropping-particle":"","family":"McDonagh","given":"Shane","non-dropping-particle":"","parse-names":false,"suffix":""},{"dropping-particle":"","family":"O'Shea","given":"Richard","non-dropping-particle":"","parse-names":false,"suffix":""},{"dropping-particle":"","family":"Smyth","given":"Beatrice","non-dropping-particle":"","parse-names":false,"suffix":""},{"dropping-particle":"","family":"Murphy","given":"Jerry D.","non-dropping-particle":"","parse-names":false,"suffix":""}],"container-title":"Advances in Applied Energy","id":"ITEM-1","issue":"January","issued":{"date-parts":[["2021"]]},"page":"100008","publisher":"Elsevier Ltd","title":"Decarbonising ships, planes and trucks: An analysis of suitable low-carbon fuels for the maritime, aviation and haulage sectors","type":"article-journal","volume":"1"},"uris":["http://www.mendeley.com/documents/?uuid=711a67af-129b-4037-a8e6-bc5924f69fa7"]},{"id":"ITEM-2","itemData":{"DOI":"10.1016/j.jclepro.2024.142032","ISSN":"09596526","abstract":"International shipping is crucial for freight transport, but it relies primarily on fossil fuels, contributing 3% of global greenhouse gas emissions. This calls for urgent action to decarbonize the shipping industry. While renewable-based e-fuels are a strong candidate for decarbonization of this sector in the long run, deploying these to the required scale will take significant time, considering technical modifications onboard the vessels, as well as the changes in fuel production and infrastructure for distribution. Carbon capture from ships is another route to emission reduction that can be implemented faster due to the relatively high maturity of the technology. Tankers, dry bulk carriers, and container vessels contribute a majority of global shipping emissions and are therefore prime candidates for carbon capture and storage. Solvent-based post-combustion capture is chosen for this study as it is mature and suitable for marine applications, though technical, economic, environmental, and practical challenges remain. This paper assesses the technical feasibility of the capture system for ships; both retrofit and newbuild vessels. While achieving zero-emissions presents a significant challenge, it is feasible to attain 70%–90% CO2 reduction through carbon capture in the near term. This reduction is crucial for transforming the industry into a more sustainable and environmentally friendly state. The limitation of space onboard is identified as a key factor in determining the viability, and the 70%–100% increase in energy consumption between existing ships and newbuild will be a substantial operational challenge. However, the high fuel consumption of the capture system could be economically acceptable if the price of alternative fuels remains high.","author":[{"dropping-particle":"","family":"Tavakoli","given":"Sadi","non-dropping-particle":"","parse-names":false,"suffix":""},{"dropping-particle":"","family":"Gamlem","given":"Gunnar Malm","non-dropping-particle":"","parse-names":false,"suffix":""},{"dropping-particle":"","family":"Kim","given":"Donghoi","non-dropping-particle":"","parse-names":false,"suffix":""},{"dropping-particle":"","family":"Roussanaly","given":"Simon","non-dropping-particle":"","parse-names":false,"suffix":""},{"dropping-particle":"","family":"Anantharaman","given":"Rahul","non-dropping-particle":"","parse-names":false,"suffix":""},{"dropping-particle":"","family":"Yum","given":"Kevin Kusup","non-dropping-particle":"","parse-names":false,"suffix":""},{"dropping-particle":"","family":"Valland","given":"Anders","non-dropping-particle":"","parse-names":false,"suffix":""}],"container-title":"Journal of Cleaner Production","id":"ITEM-2","issue":"March","issued":{"date-parts":[["2024"]]},"page":"142032","publisher":"Elsevier Ltd","title":"Exploring the technical feasibility of carbon capture onboard ships","type":"article-journal","volume":"452"},"uris":["http://www.mendeley.com/documents/?uuid=56909e3d-238b-43a0-8cb6-9893fcd3bdfe"]}],"mendeley":{"formattedCitation":"(Gray et al., 2021; Tavakoli et al., 2024)","plainTextFormattedCitation":"(Gray et al., 2021; Tavakoli et al., 2024)","previouslyFormattedCitation":"(Gray et al., 2021; Tavakoli et al., 2024)"},"properties":{"noteIndex":0},"schema":"https://github.com/citation-style-language/schema/raw/master/csl-citation.json"}</w:instrText>
      </w:r>
      <w:r w:rsidR="00BA2F08" w:rsidRPr="00CE5548">
        <w:rPr>
          <w:color w:val="000000" w:themeColor="text1"/>
          <w:lang w:val="en-GB" w:eastAsia="en-GB"/>
        </w:rPr>
        <w:fldChar w:fldCharType="separate"/>
      </w:r>
      <w:r w:rsidR="0064089F" w:rsidRPr="00CE5548">
        <w:rPr>
          <w:noProof/>
          <w:color w:val="000000" w:themeColor="text1"/>
          <w:lang w:val="en-GB" w:eastAsia="en-GB"/>
        </w:rPr>
        <w:t>(Gray et al., 2021; Tavakoli et al., 2024)</w:t>
      </w:r>
      <w:r w:rsidR="00BA2F08" w:rsidRPr="00CE5548">
        <w:rPr>
          <w:color w:val="000000" w:themeColor="text1"/>
          <w:lang w:val="en-GB" w:eastAsia="en-GB"/>
        </w:rPr>
        <w:fldChar w:fldCharType="end"/>
      </w:r>
      <w:r w:rsidR="00BA2F08" w:rsidRPr="00CE5548">
        <w:rPr>
          <w:color w:val="000000" w:themeColor="text1"/>
          <w:lang w:val="en-GB" w:eastAsia="en-GB"/>
        </w:rPr>
        <w:t xml:space="preserve">. </w:t>
      </w:r>
      <w:r w:rsidR="004C6430" w:rsidRPr="00CE5548">
        <w:rPr>
          <w:color w:val="000000" w:themeColor="text1"/>
          <w:lang w:val="en-GB"/>
        </w:rPr>
        <w:t xml:space="preserve">While techno-economic and environmental </w:t>
      </w:r>
      <w:r w:rsidR="002D460F">
        <w:rPr>
          <w:color w:val="000000" w:themeColor="text1"/>
          <w:lang w:val="en-GB"/>
        </w:rPr>
        <w:t>aspects</w:t>
      </w:r>
      <w:r w:rsidR="004C6430" w:rsidRPr="00CE5548">
        <w:rPr>
          <w:color w:val="000000" w:themeColor="text1"/>
          <w:lang w:val="en-GB"/>
        </w:rPr>
        <w:t xml:space="preserve"> of carbon capture strategies in energy-intensive industrial and maritime applications have been extensively </w:t>
      </w:r>
      <w:r w:rsidR="002D460F">
        <w:rPr>
          <w:color w:val="000000" w:themeColor="text1"/>
          <w:lang w:val="en-GB"/>
        </w:rPr>
        <w:t>investigated</w:t>
      </w:r>
      <w:r w:rsidR="005E15AB">
        <w:rPr>
          <w:color w:val="000000" w:themeColor="text1"/>
          <w:lang w:val="en-GB" w:eastAsia="en-GB"/>
        </w:rPr>
        <w:t xml:space="preserve"> </w:t>
      </w:r>
      <w:r w:rsidR="005E15AB">
        <w:rPr>
          <w:color w:val="000000" w:themeColor="text1"/>
          <w:lang w:val="en-GB" w:eastAsia="en-GB"/>
        </w:rPr>
        <w:fldChar w:fldCharType="begin" w:fldLock="1"/>
      </w:r>
      <w:r w:rsidR="001952B2">
        <w:rPr>
          <w:color w:val="000000" w:themeColor="text1"/>
          <w:lang w:val="en-GB" w:eastAsia="en-GB"/>
        </w:rPr>
        <w:instrText>ADDIN CSL_CITATION {"citationItems":[{"id":"ITEM-1","itemData":{"DOI":"10.1016/j.cej.2024.149982","ISSN":"13858947","abstract":"Decarbonising the naval shipping sector is of paramount importance to decrease global CO2 emissions. This work presents a techno-economic analysis of onboard solvent-based carbon capture for an ultra-large container ship, powered by two dual-fuel engines fed with either heavy fuel oil or liquefied natural gas. Different case studies are proposed depending on the fuel used by the ship and on the chosen design to supply the necessary heat and electricity to the carbon capture unit. Aside a conventional strategy based on heat provided via fuel combustion in a boiler, a novel configuration based on electric heat pump is investigated. The economic analysis is based on a real inter-continental journey. The results highlight that onboard carbon capture determines an increase in fuel consumption with respect to the unabated ship, that varies depending on the exhaust gas CO2 content (hence, on the ship fuel) and on the selected process design. The integration of the electric heat pump leads to a significant decrease in this additional fuel consumption and better results in terms of CO2 avoidance and costs. The carbon abatement cost is found in the range of 64–149 €/t of CO2 avoided.","author":[{"dropping-particle":"","family":"Visonà","given":"Marco","non-dropping-particle":"","parse-names":false,"suffix":""},{"dropping-particle":"","family":"Bezzo","given":"Fabrizio","non-dropping-particle":"","parse-names":false,"suffix":""},{"dropping-particle":"","family":"d'Amore","given":"Federico","non-dropping-particle":"","parse-names":false,"suffix":""}],"container-title":"Chemical Engineering Journal","id":"ITEM-1","issue":"February","issued":{"date-parts":[["2024"]]},"page":"149982","publisher":"Elsevier B.V.","title":"Techno-economic analysis of onboard CO2 capture for ultra-large container ships","type":"article-journal","volume":"485"},"uris":["http://www.mendeley.com/documents/?uuid=d430a6a8-26dc-4c0f-9851-57505331b2b5"]},{"id":"ITEM-2","itemData":{"DOI":"10.1016/j.pecs.2011.05.001","ISSN":"03601285","abstract":"This article presents a consistent techno-economic assessment and comparison of CO2 capture technologies for key industrial sectors (iron and steel, cement, petroleum refineries and petrochemicals). The assessment is based on an extensive literature review, covering studies from both industries and academia. Key parameters, e.g., capacity factor (91-97%), energy prices (natural gas: 8 €2007/GJ, coal: 2.5 €2007/GJ, grid electricity: 55 €/MWh), interest rate (10%), economic plant lifetime (20 years), CO2 compression pressure (110 bar), and grid electricity CO2 intensity (400 g/kWh), were standardized to enable a fair comparison of technologies. The analysis focuses on the changes in energy, CO2 emissions and material flows, due to the deployment of CO2 capture technologies. CO2 capture technologies are categorized into short-mid term (ST/MT) and long term (LT) technologies. The findings of this study identified a large number of technologies under development, but it is too soon to identify which technologies would become dominant in the future. Moreover, a good integration of industrial plants and power plants is essential for cost-effective CO 2 capture because CO2 capture may increase the industrial onsite electricity production significantly. For the iron and steel sector, 40-65 €/tCO2 avoided may be achieved in the ST/MT, depending on the ironmaking process and the CO2 capture technique. Advanced LT CO2 capture technologies for the blast furnace based process may not offer significant advantages over conventional ones (30-55 €/tCO 2 avoided). Rather than the performance of CO2 capture technique itself, low-cost CO2 emissions reduction comes from good integration of CO2 capture to the ironmaking process. Advanced smelting reduction with integrated CO2 capture may enable lower steel production cost and lower CO2 emissions than the blast furnace based process, i.e., negative CO2 mitigation cost. For the cement sector, post-combustion capture appears to be the only commercial technology in the ST/MT and the costs are above 65 €/tCO2 avoided. In the LT, a number of technologies may enable 25-55 €/tCO2 avoided. The findings also indicate that, in some cases, partial CO2 capture may have comparative advantages. For the refining and petrochemical sectors, oxyfuel capture was found to be more economical than others at 50-60 €/tCO 2 avoided in ST/MT and about 30 €/tCO2 avoided in the LT. However, oxyfuel retrofit of furnaces and heaters may be more complicated…","author":[{"dropping-particle":"","family":"Kuramochi","given":"Takeshi","non-dropping-particle":"","parse-names":false,"suffix":""},{"dropping-particle":"","family":"Ramírez","given":"Andrea","non-dropping-particle":"","parse-names":false,"suffix":""},{"dropping-particle":"","family":"Turkenburg","given":"Wim","non-dropping-particle":"","parse-names":false,"suffix":""},{"dropping-particle":"","family":"Faaij","given":"André","non-dropping-particle":"","parse-names":false,"suffix":""}],"container-title":"Progress in Energy and Combustion Science","id":"ITEM-2","issue":"1","issued":{"date-parts":[["2012"]]},"page":"87-112","publisher":"Elsevier Ltd","title":"Comparative assessment of CO2 capture technologies for carbon-intensive industrial processes","type":"article-journal","volume":"38"},"uris":["http://www.mendeley.com/documents/?uuid=62224225-72fd-4207-9f89-6ab162479be2"]},{"id":"ITEM-3","itemData":{"DOI":"10.1016/j.energy.2015.05.093","ISSN":"03605442","abstract":"We develop an economic process design for separation of CO2 from the off-gas in ISMPs (iron and steel making plants). Based on the characteristics of the off-gas from which CO2 must be separated, we design two process configurations: PSA (pressure-swing adsorption) and MEA (monoethanolamine)-based chemical absorption. We also develop a simulation model of each process, and perform an economic evaluation of the configurations. Our technical performance analyses show that the CO2 recovery and purity are &gt;90% in the both processes and that highly-concentrated combustible gas (CO and H2) can be obtained as a byproduct. Our economic performance analyses show that the designed processes lead to cost-effective and competitive options ($62/t CO2 separated), compared to the CO2 separation processes used in power plants. Using the combustible gas as a fuel for the boiler of power cycle greatly reduces the cost of CO2 separation in ISMPs.","author":[{"dropping-particle":"","family":"Kim","given":"Hansol","non-dropping-particle":"","parse-names":false,"suffix":""},{"dropping-particle":"","family":"Lee","given":"Jaewook","non-dropping-particle":"","parse-names":false,"suffix":""},{"dropping-particle":"","family":"Lee","given":"Soobin","non-dropping-particle":"","parse-names":false,"suffix":""},{"dropping-particle":"","family":"Lee","given":"In Beum","non-dropping-particle":"","parse-names":false,"suffix":""},{"dropping-particle":"","family":"Park","given":"Joo hyoung","non-dropping-particle":"","parse-names":false,"suffix":""},{"dropping-particle":"","family":"Han","given":"Jeehoon","non-dropping-particle":"","parse-names":false,"suffix":""}],"container-title":"Energy","id":"ITEM-3","issued":{"date-parts":[["2015"]]},"page":"756-764","publisher":"Elsevier Ltd","title":"Economic process design for separation of CO2 from the off-gas in ironmaking and steelmaking plants","type":"article-journal","volume":"88"},"uris":["http://www.mendeley.com/documents/?uuid=2ebd3b75-5b3f-4b3b-806a-55d68b1e4ad5"]}],"mendeley":{"formattedCitation":"(Kim et al., 2015; Kuramochi et al., 2012; Visonà et al., 2024)","plainTextFormattedCitation":"(Kim et al., 2015; Kuramochi et al., 2012; Visonà et al., 2024)","previouslyFormattedCitation":"(Kim et al., 2015; Kuramochi et al., 2012; Visonà et al., 2024)"},"properties":{"noteIndex":0},"schema":"https://github.com/citation-style-language/schema/raw/master/csl-citation.json"}</w:instrText>
      </w:r>
      <w:r w:rsidR="005E15AB">
        <w:rPr>
          <w:color w:val="000000" w:themeColor="text1"/>
          <w:lang w:val="en-GB" w:eastAsia="en-GB"/>
        </w:rPr>
        <w:fldChar w:fldCharType="separate"/>
      </w:r>
      <w:r w:rsidR="001952B2" w:rsidRPr="001952B2">
        <w:rPr>
          <w:noProof/>
          <w:color w:val="000000" w:themeColor="text1"/>
          <w:lang w:val="en-GB" w:eastAsia="en-GB"/>
        </w:rPr>
        <w:t>(Kim et al., 2015; Kuramochi et al., 2012; Visonà et al., 2024)</w:t>
      </w:r>
      <w:r w:rsidR="005E15AB">
        <w:rPr>
          <w:color w:val="000000" w:themeColor="text1"/>
          <w:lang w:val="en-GB" w:eastAsia="en-GB"/>
        </w:rPr>
        <w:fldChar w:fldCharType="end"/>
      </w:r>
      <w:r w:rsidR="00593C59" w:rsidRPr="00CE5548">
        <w:rPr>
          <w:color w:val="000000" w:themeColor="text1"/>
          <w:lang w:val="en-GB" w:eastAsia="en-GB"/>
        </w:rPr>
        <w:t xml:space="preserve">, </w:t>
      </w:r>
      <w:r w:rsidR="00170AED" w:rsidRPr="00CE5548">
        <w:rPr>
          <w:color w:val="000000" w:themeColor="text1"/>
          <w:lang w:val="en-GB"/>
        </w:rPr>
        <w:t>their implications for social sustainability have received limited attention</w:t>
      </w:r>
      <w:r w:rsidR="000769F1" w:rsidRPr="00CE5548">
        <w:rPr>
          <w:color w:val="000000" w:themeColor="text1"/>
          <w:lang w:val="en-GB" w:eastAsia="en-GB"/>
        </w:rPr>
        <w:t xml:space="preserve">. </w:t>
      </w:r>
      <w:r w:rsidR="00170AED" w:rsidRPr="00CE5548">
        <w:rPr>
          <w:color w:val="000000" w:themeColor="text1"/>
          <w:lang w:val="en-GB"/>
        </w:rPr>
        <w:t>In this context, process safety is often neglected, despite its critical role in ensuring sustainable and socially acceptable solutions</w:t>
      </w:r>
      <w:r w:rsidR="00643C03">
        <w:rPr>
          <w:color w:val="000000" w:themeColor="text1"/>
          <w:lang w:val="en-GB"/>
        </w:rPr>
        <w:t xml:space="preserve"> </w:t>
      </w:r>
      <w:r w:rsidR="00643C03">
        <w:rPr>
          <w:color w:val="000000" w:themeColor="text1"/>
          <w:lang w:val="en-GB"/>
        </w:rPr>
        <w:fldChar w:fldCharType="begin" w:fldLock="1"/>
      </w:r>
      <w:r w:rsidR="006E6A96">
        <w:rPr>
          <w:color w:val="000000" w:themeColor="text1"/>
          <w:lang w:val="en-GB"/>
        </w:rPr>
        <w:instrText>ADDIN CSL_CITATION {"citationItems":[{"id":"ITEM-1","itemData":{"DOI":"10.1016/j.jlp.2019.104040","ISSN":"09504230","abstract":"This paper reviews principal concepts, tools, and metrics for risk management and Inherently Safer Design (ISD) during the conceptual stage of process design. Even though there has been a profusion of papers regarding ISD, the targeted audience has typically been safety engineers, not process engineers. Thus, the goal of this paper is to enable process engineers to use all the available design degrees of freedom to mitigate risk early enough in the design process. Mainly, this paper analyzes ISD and inherent safety assessment tools (ISATs) from the perspective of inclusion in conceptual process design. The paper also highlights the need to consider safety as a major component of process sustainability. In this paper, 73 ISATs were selected, and these tools were categorized into three groups: hazard-based inherent safety assessment tools (H-ISATs) for 22 tools, risk-based inherent safety assessment tools (R-ISATs) for 33 tools, and cost-optimal inherent safety assessment tools (CO-ISATs) for 18 tools. This paper also introduces an integrated framework for coordinating the conventional process design workflow with safety analysis at various levels of detail.","author":[{"dropping-particle":"","family":"Park","given":"Sunhwa","non-dropping-particle":"","parse-names":false,"suffix":""},{"dropping-particle":"","family":"Xu","given":"Sheng","non-dropping-particle":"","parse-names":false,"suffix":""},{"dropping-particle":"","family":"Rogers","given":"William","non-dropping-particle":"","parse-names":false,"suffix":""},{"dropping-particle":"","family":"Pasman","given":"Hans","non-dropping-particle":"","parse-names":false,"suffix":""},{"dropping-particle":"","family":"El-Halwagi","given":"Mahmoud M.","non-dropping-particle":"","parse-names":false,"suffix":""}],"container-title":"Journal of Loss Prevention in the Process Industries","id":"ITEM-1","issued":{"date-parts":[["2020"]]},"page":"104040","publisher":"Elsevier Ltd","title":"Incorporating inherent safety during the conceptual process design stage: A literature review","type":"article-journal","volume":"63"},"uris":["http://www.mendeley.com/documents/?uuid=a0390e34-17da-4cba-95f3-2e191e1cb1d9"]},{"id":"ITEM-2","itemData":{"DOI":"https://doi.org/10.1016/bs.mcps.2023.05.006","ISBN":"2468-6514","abstract":"Inherent safety will have a crucial role in future process and plant design. The selection of inherently safer processes and the design of inherently safer plants are required to support the further development of the chemical industry and the progress of our society. A number of studies evidence that the inherent safety approaches may be used to orient the conceptual process design, to include inherently safer solutions in basic and detailed design, as well as to apply inherently safer procedures during the operational life of industrial facilities. However, even if the inherent safety concept was introduced more than three decades ago, several challenges hindering the widespread application of inherently safer design are still present. In order to unlock the potential of Inherently Safer Design (ISD) in industrial practice, quantitative metrics need to be introduced and validated, able to support decision-making in the design and operation of complex systems. Even if several methods, as the consequence-based approaches, are suitable candidates to support such decision, three prerequisites need to be fulfilled to accelerate the penetration of ISD methods in current industrial practice: the development of guidelines for ISD application by professional bodies and/or international organizations, the inclusion of ISD practices and tools in current international safety standards and the integration of ISD in broader design review practices addressing safety and sustainability.","author":[{"dropping-particle":"","family":"Zanobetti","given":"Francesco","non-dropping-particle":"","parse-names":false,"suffix":""},{"dropping-particle":"","family":"Tugnoli","given":"Alessandro","non-dropping-particle":"","parse-names":false,"suffix":""},{"dropping-particle":"","family":"Cozzani","given":"Valerio","non-dropping-particle":"","parse-names":false,"suffix":""}],"chapter-number":"8","container-title":"Inherently Safer Design","editor":[{"dropping-particle":"","family":"Khan","given":"Faisal I","non-dropping-particle":"","parse-names":false,"suffix":""},{"dropping-particle":"","family":"Amyotte","given":"Paul R","non-dropping-particle":"","parse-names":false,"suffix":""},{"dropping-particle":"","family":"Alauddin","given":"Mohammad","non-dropping-particle":"","parse-names":false,"suffix":""}],"id":"ITEM-2","issued":{"date-parts":[["2023"]]},"page":"213-244","publisher":"Elsevier","title":"Challenges to ISD application","type":"chapter","volume":"7"},"uris":["http://www.mendeley.com/documents/?uuid=07e3af00-aa32-4987-85e4-235529420e47"]}],"mendeley":{"formattedCitation":"(Park et al., 2020; Zanobetti et al., 2023d)","plainTextFormattedCitation":"(Park et al., 2020; Zanobetti et al., 2023d)","previouslyFormattedCitation":"(Park et al., 2020; Zanobetti et al., 2023d)"},"properties":{"noteIndex":0},"schema":"https://github.com/citation-style-language/schema/raw/master/csl-citation.json"}</w:instrText>
      </w:r>
      <w:r w:rsidR="00643C03">
        <w:rPr>
          <w:color w:val="000000" w:themeColor="text1"/>
          <w:lang w:val="en-GB"/>
        </w:rPr>
        <w:fldChar w:fldCharType="separate"/>
      </w:r>
      <w:r w:rsidR="002D460F" w:rsidRPr="002D460F">
        <w:rPr>
          <w:noProof/>
          <w:color w:val="000000" w:themeColor="text1"/>
          <w:lang w:val="en-GB"/>
        </w:rPr>
        <w:t>(Park et al., 2020; Zanobetti et al., 2023d)</w:t>
      </w:r>
      <w:r w:rsidR="00643C03">
        <w:rPr>
          <w:color w:val="000000" w:themeColor="text1"/>
          <w:lang w:val="en-GB"/>
        </w:rPr>
        <w:fldChar w:fldCharType="end"/>
      </w:r>
      <w:r w:rsidR="00881AED" w:rsidRPr="00EB2861">
        <w:rPr>
          <w:color w:val="000000" w:themeColor="text1"/>
          <w:lang w:val="en-GB" w:eastAsia="en-GB"/>
        </w:rPr>
        <w:t>.</w:t>
      </w:r>
      <w:r w:rsidR="00371561" w:rsidRPr="00EB2861">
        <w:rPr>
          <w:color w:val="000000" w:themeColor="text1"/>
          <w:lang w:val="en-GB" w:eastAsia="en-GB"/>
        </w:rPr>
        <w:t xml:space="preserve"> </w:t>
      </w:r>
      <w:r w:rsidR="001A041F" w:rsidRPr="00CE5548">
        <w:rPr>
          <w:color w:val="000000" w:themeColor="text1"/>
          <w:lang w:val="en-GB"/>
        </w:rPr>
        <w:t>This study investigates the role of process safety in sustainability-oriented decision-making for CO</w:t>
      </w:r>
      <w:r w:rsidR="001A041F" w:rsidRPr="00CE5548">
        <w:rPr>
          <w:color w:val="000000" w:themeColor="text1"/>
          <w:vertAlign w:val="subscript"/>
          <w:lang w:val="en-GB"/>
        </w:rPr>
        <w:t>2</w:t>
      </w:r>
      <w:r w:rsidR="001A041F" w:rsidRPr="00CE5548">
        <w:rPr>
          <w:color w:val="000000" w:themeColor="text1"/>
          <w:lang w:val="en-GB"/>
        </w:rPr>
        <w:t xml:space="preserve"> capture strategies</w:t>
      </w:r>
      <w:r w:rsidR="00B1721E">
        <w:rPr>
          <w:color w:val="000000" w:themeColor="text1"/>
          <w:lang w:val="en-GB"/>
        </w:rPr>
        <w:t>,</w:t>
      </w:r>
      <w:r w:rsidR="001A041F" w:rsidRPr="00CE5548">
        <w:rPr>
          <w:color w:val="000000" w:themeColor="text1"/>
          <w:lang w:val="en-GB"/>
        </w:rPr>
        <w:t xml:space="preserve"> targeting hard-to-decarbonise applications. Inherent safety was adopted as an objective and comparative approach, enabling the quantitative screening of technologies at </w:t>
      </w:r>
      <w:r w:rsidR="00F71834">
        <w:rPr>
          <w:color w:val="000000" w:themeColor="text1"/>
          <w:lang w:val="en-GB"/>
        </w:rPr>
        <w:t xml:space="preserve">the </w:t>
      </w:r>
      <w:r w:rsidR="001A041F" w:rsidRPr="00CE5548">
        <w:rPr>
          <w:color w:val="000000" w:themeColor="text1"/>
          <w:lang w:val="en-GB"/>
        </w:rPr>
        <w:t>early stages of their lifecycle</w:t>
      </w:r>
      <w:r w:rsidR="00C645B4">
        <w:rPr>
          <w:color w:val="000000" w:themeColor="text1"/>
          <w:lang w:val="en-GB"/>
        </w:rPr>
        <w:t xml:space="preserve"> </w:t>
      </w:r>
      <w:r w:rsidR="00C645B4">
        <w:rPr>
          <w:color w:val="000000" w:themeColor="text1"/>
          <w:lang w:val="en-GB"/>
        </w:rPr>
        <w:fldChar w:fldCharType="begin" w:fldLock="1"/>
      </w:r>
      <w:r w:rsidR="001952B2">
        <w:rPr>
          <w:color w:val="000000" w:themeColor="text1"/>
          <w:lang w:val="en-GB"/>
        </w:rPr>
        <w:instrText>ADDIN CSL_CITATION {"citationItems":[{"id":"ITEM-1","itemData":{"DOI":"10.1016/j.psep.2023.05.018","ISSN":"09575820","abstract":"The urgent need to reduce the emission of harmful pollutants in maritime transport promoted the development of several alternative propulsion systems based on clean fuels or carbon-neutral energy vectors. However, the alternative solutions under development pose new concerns from the safety perspective. Thus, an innovative methodology to rank the inherent safety performance of alternative systems at early design stages was developed. A case study representative of long-distance maritime transportation was analysed. The inherent safety performances of Liquefied Natural Gas (LNG), Liquid Hydrogen (LH2), and Liquid Ammonia (LNH3) were compared to that of Marine Gas Oil (MGO), assumed as a benchmark representing state-of-the-art technologies. Uncertainty and robustness of the safety ranking obtained were tested via a Monte Carlo analysis. The results show that technologies based on LNG have similar safety performances with respect to the benchmark option. Conversely, LH2 safety performance is currently limited by the lack of mature technologies for its safe storage whilst the safety of LNH3-based applications is affected by the toxicity of ammonia.","author":[{"dropping-particle":"","family":"Zanobetti","given":"Francesco","non-dropping-particle":"","parse-names":false,"suffix":""},{"dropping-particle":"","family":"Pio","given":"Gianmaria","non-dropping-particle":"","parse-names":false,"suffix":""},{"dropping-particle":"","family":"Jafarzadeh","given":"Sepideh","non-dropping-particle":"","parse-names":false,"suffix":""},{"dropping-particle":"","family":"Ortiz","given":"Miguel Muñoz","non-dropping-particle":"","parse-names":false,"suffix":""},{"dropping-particle":"","family":"Cozzani","given":"Valerio","non-dropping-particle":"","parse-names":false,"suffix":""}],"container-title":"Process Safety and Environmental Protection","id":"ITEM-1","issue":"October 2022","issued":{"date-parts":[["2023"]]},"page":"1044-1055","title":"Inherent safety of clean fuels for maritime transport","type":"article-journal","volume":"174"},"uris":["http://www.mendeley.com/documents/?uuid=af0a4839-0dcc-419b-9bca-069d39ef8b7f"]},{"id":"ITEM-2","itemData":{"DOI":"https://doi.org/10.1016/bs.mcps.2023.05.006","ISBN":"2468-6514","abstract":"Inherent safety will have a crucial role in future process and plant design. The selection of inherently safer processes and the design of inherently safer plants are required to support the further development of the chemical industry and the progress of our society. A number of studies evidence that the inherent safety approaches may be used to orient the conceptual process design, to include inherently safer solutions in basic and detailed design, as well as to apply inherently safer procedures during the operational life of industrial facilities. However, even if the inherent safety concept was introduced more than three decades ago, several challenges hindering the widespread application of inherently safer design are still present. In order to unlock the potential of Inherently Safer Design (ISD) in industrial practice, quantitative metrics need to be introduced and validated, able to support decision-making in the design and operation of complex systems. Even if several methods, as the consequence-based approaches, are suitable candidates to support such decision, three prerequisites need to be fulfilled to accelerate the penetration of ISD methods in current industrial practice: the development of guidelines for ISD application by professional bodies and/or international organizations, the inclusion of ISD practices and tools in current international safety standards and the integration of ISD in broader design review practices addressing safety and sustainability.","author":[{"dropping-particle":"","family":"Zanobetti","given":"Francesco","non-dropping-particle":"","parse-names":false,"suffix":""},{"dropping-particle":"","family":"Tugnoli","given":"Alessandro","non-dropping-particle":"","parse-names":false,"suffix":""},{"dropping-particle":"","family":"Cozzani","given":"Valerio","non-dropping-particle":"","parse-names":false,"suffix":""}],"chapter-number":"8","container-title":"Inherently Safer Design","editor":[{"dropping-particle":"","family":"Khan","given":"Faisal I","non-dropping-particle":"","parse-names":false,"suffix":""},{"dropping-particle":"","family":"Amyotte","given":"Paul R","non-dropping-particle":"","parse-names":false,"suffix":""},{"dropping-particle":"","family":"Alauddin","given":"Mohammad","non-dropping-particle":"","parse-names":false,"suffix":""}],"id":"ITEM-2","issued":{"date-parts":[["2023"]]},"page":"213-244","publisher":"Elsevier","title":"Challenges to ISD application","type":"chapter","volume":"7"},"uris":["http://www.mendeley.com/documents/?uuid=07e3af00-aa32-4987-85e4-235529420e47"]}],"mendeley":{"formattedCitation":"(Zanobetti et al., 2023b, 2023d)","plainTextFormattedCitation":"(Zanobetti et al., 2023b, 2023d)","previouslyFormattedCitation":"(Zanobetti et al., 2023b, 2023d)"},"properties":{"noteIndex":0},"schema":"https://github.com/citation-style-language/schema/raw/master/csl-citation.json"}</w:instrText>
      </w:r>
      <w:r w:rsidR="00C645B4">
        <w:rPr>
          <w:color w:val="000000" w:themeColor="text1"/>
          <w:lang w:val="en-GB"/>
        </w:rPr>
        <w:fldChar w:fldCharType="separate"/>
      </w:r>
      <w:r w:rsidR="001C305A" w:rsidRPr="001C305A">
        <w:rPr>
          <w:noProof/>
          <w:color w:val="000000" w:themeColor="text1"/>
          <w:lang w:val="en-GB"/>
        </w:rPr>
        <w:t>(Zanobetti et al., 2023b, 2023d)</w:t>
      </w:r>
      <w:r w:rsidR="00C645B4">
        <w:rPr>
          <w:color w:val="000000" w:themeColor="text1"/>
          <w:lang w:val="en-GB"/>
        </w:rPr>
        <w:fldChar w:fldCharType="end"/>
      </w:r>
      <w:r w:rsidR="008F4EE1" w:rsidRPr="00EB2861">
        <w:rPr>
          <w:color w:val="000000" w:themeColor="text1"/>
          <w:lang w:val="en-GB"/>
        </w:rPr>
        <w:t xml:space="preserve">. </w:t>
      </w:r>
      <w:r w:rsidR="00D66890" w:rsidRPr="00CE5548">
        <w:rPr>
          <w:color w:val="000000" w:themeColor="text1"/>
          <w:lang w:val="en-GB"/>
        </w:rPr>
        <w:t xml:space="preserve">A methodology based on the quantification of Key Performance Indicators (KPIs) was developed to evaluate the inherent safety levels of the considered carbon capture technologies. This inherent safety metric was subsequently employed as a proxy for the social sustainability of carbon capture technologies within a four-pillar sustainability assessment framework, encompassing </w:t>
      </w:r>
      <w:r w:rsidR="00D66890" w:rsidRPr="00CE5548">
        <w:rPr>
          <w:color w:val="000000" w:themeColor="text1"/>
          <w:lang w:val="en-GB"/>
        </w:rPr>
        <w:lastRenderedPageBreak/>
        <w:t>technological, economic, environmental, and social dimensions</w:t>
      </w:r>
      <w:r w:rsidR="007F4E67">
        <w:rPr>
          <w:color w:val="000000" w:themeColor="text1"/>
          <w:lang w:val="en-GB"/>
        </w:rPr>
        <w:t xml:space="preserve"> </w:t>
      </w:r>
      <w:r w:rsidR="007F4E67">
        <w:rPr>
          <w:color w:val="000000" w:themeColor="text1"/>
          <w:lang w:val="en-GB"/>
        </w:rPr>
        <w:fldChar w:fldCharType="begin" w:fldLock="1"/>
      </w:r>
      <w:r w:rsidR="00402607">
        <w:rPr>
          <w:color w:val="000000" w:themeColor="text1"/>
          <w:lang w:val="en-GB"/>
        </w:rPr>
        <w:instrText>ADDIN CSL_CITATION {"citationItems":[{"id":"ITEM-1","itemData":{"ISBN":"9780323898232","author":[{"dropping-particle":"","family":"Dincer","given":"Ibrahim","non-dropping-particle":"","parse-names":false,"suffix":""},{"dropping-particle":"","family":"Cozzani","given":"Valerio","non-dropping-particle":"","parse-names":false,"suffix":""},{"dropping-particle":"","family":"Crivellari","given":"Anna","non-dropping-particle":"","parse-names":false,"suffix":""}],"id":"ITEM-1","issued":{"date-parts":[["2021"]]},"publisher":"Elsevier","title":"Hybrid Energy Systems for Offshore Applications","type":"book"},"uris":["http://www.mendeley.com/documents/?uuid=5f628b14-f187-4586-bda1-dc2b1cb0416a"]}],"mendeley":{"formattedCitation":"(Dincer et al., 2021)","plainTextFormattedCitation":"(Dincer et al., 2021)","previouslyFormattedCitation":"(Dincer et al., 2021)"},"properties":{"noteIndex":0},"schema":"https://github.com/citation-style-language/schema/raw/master/csl-citation.json"}</w:instrText>
      </w:r>
      <w:r w:rsidR="007F4E67">
        <w:rPr>
          <w:color w:val="000000" w:themeColor="text1"/>
          <w:lang w:val="en-GB"/>
        </w:rPr>
        <w:fldChar w:fldCharType="separate"/>
      </w:r>
      <w:r w:rsidR="007F4E67" w:rsidRPr="007F4E67">
        <w:rPr>
          <w:noProof/>
          <w:color w:val="000000" w:themeColor="text1"/>
          <w:lang w:val="en-GB"/>
        </w:rPr>
        <w:t>(Dincer et al., 2021)</w:t>
      </w:r>
      <w:r w:rsidR="007F4E67">
        <w:rPr>
          <w:color w:val="000000" w:themeColor="text1"/>
          <w:lang w:val="en-GB"/>
        </w:rPr>
        <w:fldChar w:fldCharType="end"/>
      </w:r>
      <w:r w:rsidR="00D66890" w:rsidRPr="00CE5548">
        <w:rPr>
          <w:color w:val="000000" w:themeColor="text1"/>
          <w:lang w:val="en-GB"/>
        </w:rPr>
        <w:t xml:space="preserve">. </w:t>
      </w:r>
      <w:r w:rsidR="002A5068" w:rsidRPr="00CE5548">
        <w:rPr>
          <w:color w:val="000000" w:themeColor="text1"/>
          <w:lang w:val="en-GB"/>
        </w:rPr>
        <w:t>Case studies involving different hard-to-decarbonise</w:t>
      </w:r>
      <w:r w:rsidR="00FA3E2B" w:rsidRPr="00CE5548">
        <w:rPr>
          <w:color w:val="000000" w:themeColor="text1"/>
          <w:lang w:val="en-GB"/>
        </w:rPr>
        <w:t xml:space="preserve"> settings were conducted to enable a comparative discussion</w:t>
      </w:r>
      <w:r w:rsidR="002A5068" w:rsidRPr="00CE5548">
        <w:rPr>
          <w:color w:val="000000" w:themeColor="text1"/>
          <w:lang w:val="en-GB"/>
        </w:rPr>
        <w:t xml:space="preserve">. Specifically, </w:t>
      </w:r>
      <w:r w:rsidR="00A729CF" w:rsidRPr="00CE5548">
        <w:rPr>
          <w:color w:val="000000" w:themeColor="text1"/>
          <w:lang w:val="en-GB"/>
        </w:rPr>
        <w:t>in the context of energy-intensive industries</w:t>
      </w:r>
      <w:r w:rsidR="002A5068" w:rsidRPr="00CE5548">
        <w:rPr>
          <w:color w:val="000000" w:themeColor="text1"/>
          <w:lang w:val="en-GB"/>
        </w:rPr>
        <w:t xml:space="preserve">, a </w:t>
      </w:r>
      <w:r w:rsidR="00F03077" w:rsidRPr="00CE5548">
        <w:rPr>
          <w:color w:val="000000" w:themeColor="text1"/>
          <w:lang w:val="en-GB"/>
        </w:rPr>
        <w:t>cement</w:t>
      </w:r>
      <w:r w:rsidR="002A5068" w:rsidRPr="00CE5548">
        <w:rPr>
          <w:color w:val="000000" w:themeColor="text1"/>
          <w:lang w:val="en-GB"/>
        </w:rPr>
        <w:t xml:space="preserve"> manufacturing plant was examined, while for maritime transport, the focus was on onboard CO</w:t>
      </w:r>
      <w:r w:rsidR="002A5068" w:rsidRPr="00CE5548">
        <w:rPr>
          <w:color w:val="000000" w:themeColor="text1"/>
          <w:vertAlign w:val="subscript"/>
          <w:lang w:val="en-GB"/>
        </w:rPr>
        <w:t>2</w:t>
      </w:r>
      <w:r w:rsidR="002A5068" w:rsidRPr="00CE5548">
        <w:rPr>
          <w:color w:val="000000" w:themeColor="text1"/>
          <w:lang w:val="en-GB"/>
        </w:rPr>
        <w:t xml:space="preserve"> capture systems designed for large-scale cruise ships.</w:t>
      </w:r>
    </w:p>
    <w:p w14:paraId="2DE203A1" w14:textId="6831FDCB" w:rsidR="009476E3" w:rsidRPr="00CE5548" w:rsidRDefault="009476E3" w:rsidP="009476E3">
      <w:pPr>
        <w:pStyle w:val="CETHeading1"/>
        <w:rPr>
          <w:color w:val="000000" w:themeColor="text1"/>
          <w:lang w:val="en-GB"/>
        </w:rPr>
      </w:pPr>
      <w:r w:rsidRPr="00CE5548">
        <w:rPr>
          <w:color w:val="000000" w:themeColor="text1"/>
          <w:lang w:val="en-GB"/>
        </w:rPr>
        <w:t>Case studies</w:t>
      </w:r>
    </w:p>
    <w:p w14:paraId="5D6F7C72" w14:textId="2A463A9B" w:rsidR="00A8229D" w:rsidRPr="00CE5548" w:rsidRDefault="0079732E" w:rsidP="00072ECE">
      <w:pPr>
        <w:pStyle w:val="CETBodytext"/>
        <w:rPr>
          <w:lang w:val="en-GB"/>
        </w:rPr>
      </w:pPr>
      <w:r w:rsidRPr="0079732E">
        <w:rPr>
          <w:color w:val="000000" w:themeColor="text1"/>
          <w:lang w:val="en-GB"/>
        </w:rPr>
        <w:t>Post-combustion carbon capture technologies were considered in this study for their proven effectiveness in achieving CO</w:t>
      </w:r>
      <w:r w:rsidRPr="0079732E">
        <w:rPr>
          <w:color w:val="000000" w:themeColor="text1"/>
          <w:vertAlign w:val="subscript"/>
          <w:lang w:val="en-GB"/>
        </w:rPr>
        <w:t>2</w:t>
      </w:r>
      <w:r w:rsidRPr="0079732E">
        <w:rPr>
          <w:color w:val="000000" w:themeColor="text1"/>
          <w:lang w:val="en-GB"/>
        </w:rPr>
        <w:t xml:space="preserve"> separation with minimal modifications to core processes, making them a practical solution for </w:t>
      </w:r>
      <w:r w:rsidR="00574B64">
        <w:rPr>
          <w:color w:val="000000" w:themeColor="text1"/>
          <w:lang w:val="en-GB"/>
        </w:rPr>
        <w:t>addressing</w:t>
      </w:r>
      <w:r w:rsidRPr="0079732E">
        <w:rPr>
          <w:color w:val="000000" w:themeColor="text1"/>
          <w:lang w:val="en-GB"/>
        </w:rPr>
        <w:t xml:space="preserve"> existing emission sources </w:t>
      </w:r>
      <w:r w:rsidR="00402607">
        <w:rPr>
          <w:color w:val="000000" w:themeColor="text1"/>
          <w:lang w:val="en-GB"/>
        </w:rPr>
        <w:fldChar w:fldCharType="begin" w:fldLock="1"/>
      </w:r>
      <w:r w:rsidR="002D460F">
        <w:rPr>
          <w:color w:val="000000" w:themeColor="text1"/>
          <w:lang w:val="en-GB"/>
        </w:rPr>
        <w:instrText>ADDIN CSL_CITATION {"citationItems":[{"id":"ITEM-1","itemData":{"author":[{"dropping-particle":"","family":"DNV","given":"","non-dropping-particle":"","parse-names":false,"suffix":""}],"id":"ITEM-1","issued":{"date-parts":[["2024"]]},"number-of-pages":"1-22","title":"The potential of onboard carbon capture in shipping","type":"report"},"uris":["http://www.mendeley.com/documents/?uuid=158175d7-756a-4c06-a497-27cd2c23a3be"]},{"id":"ITEM-2","itemData":{"DOI":"10.1787/09689323-en","abstract":"Industry is the basis for prospering societies and central to economic development. As the source of almost one-quarter of CO 2 emissions, it must also be a central part of the clean energy transition. Emissions from industry can be among the hardest to abate in the energy system, in particular due to process emissions that result from chemical or physical reactions and the need for high-temperature heat. A portfolio of technologies and approaches will be needed to address the decarbonisation challenge while supporting sustainable and competitive industries. Carbon capture, utilisation and storage (CCUS) is expected to play a critical role in this sustainable transformation. For some industrial and fuel transformation processes, CCUS is one of the most cost-effective solutions available for large-scale emissions reductions. In the IEA Clean Technology Scenario (CTS), which sets out a pathway consistent with the Paris Agreement climate ambition, CCUS contributes almost one-fifth of the emissions reductions needed across the industry sector. More than 28 gigatonnes of carbon dioxide (GtCO 2 ) is captured from industrial processes in the period to 2060, the majority of it from the cement, steel and chemical subsectors. A strengthened and tailored policy response will be needed to support the transformation of industry consistent with climate goals while preserving competitiveness. The development of CO 2 transport and storage networks for industrial CCUS hubs can reduce unit costs through economies of scale and facilitate investment in CO 2 capture facilities. Establishing markets for premium lower-carbon materials – such as cement, steel and chemicals – through public and private procurement can also accelerate the adoption of CCUS and other lower-carbon industrial processes.","author":[{"dropping-particle":"","family":"IEA","given":"","non-dropping-particle":"","parse-names":false,"suffix":""}],"id":"ITEM-2","issued":{"date-parts":[["2019"]]},"title":"Transforming Industry through CCUS","type":"report"},"uris":["http://www.mendeley.com/documents/?uuid=e02cef01-66c8-44b4-a4e7-c5cbd2306a4b"]},{"id":"ITEM-3","itemData":{"DOI":"10.1016/j.rser.2020.110490","ISSN":"18790690","abstract":"CCS, Carbon Capture and Storage, is considered a promising technology to abate CO2 emissions from point sources. The present review deals with the principle of post-combustion capture techniques, including thermal or pressure swing principles, adsorption or absorption, and electrical swing or membrane separation processes. Opportunities and challenges are assessed. In the first section of absorption processes, several commercial technologies are compared and complemented by the aqueous or chilled ammonia (NH3) process, and a dual or strong alkali absorption. The second section deals with adsorption where fixed beds, circulating fluidized beds and counter-current bed configurations will be discussed, with particular focus on the different adsorbents ranging from zeolites or activated carbon, to more complex amine-functionalized adsorbents, nanotubes or metal organic frameworks (MOFs), and alkali-promoted oxides. Thirdly, membrane processes will be analysed. The review will finally summarize challenges and opportunities. Several research groups confirmed that absorption is the most mature post-combustion capture process: among the assessment of post-combustion CCS, 57% apply absorption, 14% rely on adsorption, 8% use membranes, and 21% apply mineralization or bio-fixation. This conclusion was in-line with expectations since absorption gas separation has been largely applied in various petrochemical industries. All other systems need further development prior to large scale application.","author":[{"dropping-particle":"","family":"Chao","given":"Cong","non-dropping-particle":"","parse-names":false,"suffix":""},{"dropping-particle":"","family":"Deng","given":"Yimin","non-dropping-particle":"","parse-names":false,"suffix":""},{"dropping-particle":"","family":"Dewil","given":"Raf","non-dropping-particle":"","parse-names":false,"suffix":""},{"dropping-particle":"","family":"Baeyens","given":"Jan","non-dropping-particle":"","parse-names":false,"suffix":""},{"dropping-particle":"","family":"Fan","given":"Xianfeng","non-dropping-particle":"","parse-names":false,"suffix":""}],"container-title":"Renewable and Sustainable Energy Reviews","id":"ITEM-3","issue":"March 2020","issued":{"date-parts":[["2021"]]},"page":"110490","publisher":"Elsevier Ltd","title":"Post-combustion carbon capture","type":"article-journal","volume":"138"},"uris":["http://www.mendeley.com/documents/?uuid=b9e7dcae-d890-4a7f-8534-71f8eda1b053"]}],"mendeley":{"formattedCitation":"(Chao et al., 2021; DNV, 2024; IEA, 2019)","plainTextFormattedCitation":"(Chao et al., 2021; DNV, 2024; IEA, 2019)","previouslyFormattedCitation":"(Chao et al., 2021; DNV, 2024; IEA, 2019)"},"properties":{"noteIndex":0},"schema":"https://github.com/citation-style-language/schema/raw/master/csl-citation.json"}</w:instrText>
      </w:r>
      <w:r w:rsidR="00402607">
        <w:rPr>
          <w:color w:val="000000" w:themeColor="text1"/>
          <w:lang w:val="en-GB"/>
        </w:rPr>
        <w:fldChar w:fldCharType="separate"/>
      </w:r>
      <w:r w:rsidR="00FB6EC6" w:rsidRPr="00FB6EC6">
        <w:rPr>
          <w:noProof/>
          <w:color w:val="000000" w:themeColor="text1"/>
          <w:lang w:val="en-GB"/>
        </w:rPr>
        <w:t>(Chao et al., 2021; DNV, 2024; IEA, 2019)</w:t>
      </w:r>
      <w:r w:rsidR="00402607">
        <w:rPr>
          <w:color w:val="000000" w:themeColor="text1"/>
          <w:lang w:val="en-GB"/>
        </w:rPr>
        <w:fldChar w:fldCharType="end"/>
      </w:r>
      <w:r w:rsidR="00A57BE6" w:rsidRPr="00CE5548">
        <w:rPr>
          <w:color w:val="000000" w:themeColor="text1"/>
          <w:lang w:val="en-GB"/>
        </w:rPr>
        <w:t>.</w:t>
      </w:r>
      <w:r w:rsidR="00161C26" w:rsidRPr="00CE5548">
        <w:rPr>
          <w:color w:val="000000" w:themeColor="text1"/>
          <w:lang w:val="en-GB"/>
        </w:rPr>
        <w:t xml:space="preserve"> </w:t>
      </w:r>
      <w:r w:rsidR="00BD476A" w:rsidRPr="00CE5548">
        <w:rPr>
          <w:color w:val="000000" w:themeColor="text1"/>
          <w:lang w:val="en-GB"/>
        </w:rPr>
        <w:fldChar w:fldCharType="begin"/>
      </w:r>
      <w:r w:rsidR="00BD476A" w:rsidRPr="00CE5548">
        <w:rPr>
          <w:color w:val="000000" w:themeColor="text1"/>
          <w:lang w:val="en-GB"/>
        </w:rPr>
        <w:instrText xml:space="preserve"> REF _Ref184218785 \h </w:instrText>
      </w:r>
      <w:r w:rsidR="00BD476A" w:rsidRPr="00CE5548">
        <w:rPr>
          <w:color w:val="000000" w:themeColor="text1"/>
          <w:lang w:val="en-GB"/>
        </w:rPr>
      </w:r>
      <w:r w:rsidR="00BD476A" w:rsidRPr="00CE5548">
        <w:rPr>
          <w:color w:val="000000" w:themeColor="text1"/>
          <w:lang w:val="en-GB"/>
        </w:rPr>
        <w:fldChar w:fldCharType="separate"/>
      </w:r>
      <w:r w:rsidR="00BD476A" w:rsidRPr="00CE5548">
        <w:rPr>
          <w:lang w:val="en-GB"/>
        </w:rPr>
        <w:t xml:space="preserve">Figure </w:t>
      </w:r>
      <w:r w:rsidR="00BD476A" w:rsidRPr="00CE5548">
        <w:rPr>
          <w:noProof/>
          <w:lang w:val="en-GB"/>
        </w:rPr>
        <w:t>1</w:t>
      </w:r>
      <w:r w:rsidR="00BD476A" w:rsidRPr="00CE5548">
        <w:rPr>
          <w:color w:val="000000" w:themeColor="text1"/>
          <w:lang w:val="en-GB"/>
        </w:rPr>
        <w:fldChar w:fldCharType="end"/>
      </w:r>
      <w:r w:rsidR="009631BA" w:rsidRPr="00CE5548">
        <w:rPr>
          <w:color w:val="000000" w:themeColor="text1"/>
          <w:lang w:val="en-GB"/>
        </w:rPr>
        <w:t xml:space="preserve"> </w:t>
      </w:r>
      <w:r w:rsidR="00F61D14" w:rsidRPr="00CE5548">
        <w:rPr>
          <w:lang w:val="en-GB"/>
        </w:rPr>
        <w:t>illustrates the emission sources and alternative carbon capture strategies examined in case studies.</w:t>
      </w:r>
      <w:r w:rsidR="00A53B63" w:rsidRPr="00CE5548">
        <w:rPr>
          <w:lang w:val="en-GB"/>
        </w:rPr>
        <w:t xml:space="preserve"> </w:t>
      </w:r>
      <w:r w:rsidR="008A2A38" w:rsidRPr="00CE5548">
        <w:rPr>
          <w:color w:val="000000" w:themeColor="text1"/>
          <w:lang w:val="en-GB"/>
        </w:rPr>
        <w:t>The characteristics of the emission sources and the selected carbon capture technologies are detailed below for both hard-to-abate industrial and maritime applications.</w:t>
      </w:r>
      <w:r w:rsidR="008B0CD5" w:rsidRPr="00CE5548">
        <w:rPr>
          <w:color w:val="000000" w:themeColor="text1"/>
          <w:lang w:val="en-GB"/>
        </w:rPr>
        <w:t xml:space="preserve"> </w:t>
      </w:r>
      <w:r w:rsidR="00A416FA" w:rsidRPr="00CE5548">
        <w:rPr>
          <w:lang w:val="en-GB"/>
        </w:rPr>
        <w:t>A 90% carbon capture efficiency was assumed for all technologies</w:t>
      </w:r>
      <w:r w:rsidR="003923E3" w:rsidRPr="00CE5548">
        <w:rPr>
          <w:lang w:val="en-GB"/>
        </w:rPr>
        <w:t xml:space="preserve"> in the analysis.</w:t>
      </w:r>
    </w:p>
    <w:p w14:paraId="3049640D" w14:textId="77777777" w:rsidR="000A414D" w:rsidRPr="00CE5548" w:rsidRDefault="000A414D" w:rsidP="00F71834">
      <w:pPr>
        <w:pStyle w:val="CETBodytext"/>
        <w:keepNext/>
        <w:jc w:val="center"/>
        <w:rPr>
          <w:lang w:val="en-GB"/>
        </w:rPr>
      </w:pPr>
      <w:r w:rsidRPr="00CE5548">
        <w:rPr>
          <w:noProof/>
          <w:lang w:val="en-GB"/>
        </w:rPr>
        <w:drawing>
          <wp:inline distT="0" distB="0" distL="0" distR="0" wp14:anchorId="42CE86D6" wp14:editId="78EA1BB7">
            <wp:extent cx="4749800" cy="2239643"/>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3004" r="4677" b="5835"/>
                    <a:stretch/>
                  </pic:blipFill>
                  <pic:spPr bwMode="auto">
                    <a:xfrm>
                      <a:off x="0" y="0"/>
                      <a:ext cx="4766801" cy="2247659"/>
                    </a:xfrm>
                    <a:prstGeom prst="rect">
                      <a:avLst/>
                    </a:prstGeom>
                    <a:noFill/>
                    <a:ln>
                      <a:noFill/>
                    </a:ln>
                    <a:extLst>
                      <a:ext uri="{53640926-AAD7-44D8-BBD7-CCE9431645EC}">
                        <a14:shadowObscured xmlns:a14="http://schemas.microsoft.com/office/drawing/2010/main"/>
                      </a:ext>
                    </a:extLst>
                  </pic:spPr>
                </pic:pic>
              </a:graphicData>
            </a:graphic>
          </wp:inline>
        </w:drawing>
      </w:r>
    </w:p>
    <w:p w14:paraId="493C521B" w14:textId="0FD46E8B" w:rsidR="00A83B6C" w:rsidRPr="00CE5548" w:rsidRDefault="000A414D" w:rsidP="003923E3">
      <w:pPr>
        <w:pStyle w:val="CETCaption"/>
        <w:rPr>
          <w:color w:val="000000" w:themeColor="text1"/>
        </w:rPr>
      </w:pPr>
      <w:bookmarkStart w:id="1" w:name="_Ref184218785"/>
      <w:r w:rsidRPr="00CE5548">
        <w:t xml:space="preserve">Figure </w:t>
      </w:r>
      <w:r w:rsidRPr="00CE5548">
        <w:fldChar w:fldCharType="begin"/>
      </w:r>
      <w:r w:rsidRPr="00CE5548">
        <w:instrText xml:space="preserve"> SEQ Figure \* ARABIC </w:instrText>
      </w:r>
      <w:r w:rsidRPr="00CE5548">
        <w:fldChar w:fldCharType="separate"/>
      </w:r>
      <w:r w:rsidR="00103D87">
        <w:rPr>
          <w:noProof/>
        </w:rPr>
        <w:t>1</w:t>
      </w:r>
      <w:r w:rsidRPr="00CE5548">
        <w:fldChar w:fldCharType="end"/>
      </w:r>
      <w:bookmarkEnd w:id="1"/>
      <w:r w:rsidR="002F3C48" w:rsidRPr="00CE5548">
        <w:t>:</w:t>
      </w:r>
      <w:r w:rsidR="00B1494D" w:rsidRPr="00CE5548">
        <w:t xml:space="preserve"> </w:t>
      </w:r>
      <w:r w:rsidR="007E3E4E" w:rsidRPr="00CE5548">
        <w:t xml:space="preserve">Schematic representation of emission sources and carbon capture technologies evaluated </w:t>
      </w:r>
      <w:r w:rsidR="00BD476A" w:rsidRPr="00CE5548">
        <w:t>f</w:t>
      </w:r>
      <w:r w:rsidR="007E3E4E" w:rsidRPr="00CE5548">
        <w:t>or the hard-to-abate industrial and maritime sectors</w:t>
      </w:r>
      <w:r w:rsidR="00BD476A" w:rsidRPr="00CE5548">
        <w:t>.</w:t>
      </w:r>
    </w:p>
    <w:p w14:paraId="0636B784" w14:textId="2538D02A" w:rsidR="00453E24" w:rsidRPr="00CE5548" w:rsidRDefault="008A0396" w:rsidP="00453E24">
      <w:pPr>
        <w:pStyle w:val="CETheadingx"/>
        <w:rPr>
          <w:color w:val="000000" w:themeColor="text1"/>
          <w:lang w:val="en-GB"/>
        </w:rPr>
      </w:pPr>
      <w:r w:rsidRPr="00CE5548">
        <w:rPr>
          <w:color w:val="000000" w:themeColor="text1"/>
          <w:lang w:val="en-GB"/>
        </w:rPr>
        <w:t>CO</w:t>
      </w:r>
      <w:r w:rsidRPr="00CE5548">
        <w:rPr>
          <w:color w:val="000000" w:themeColor="text1"/>
          <w:vertAlign w:val="subscript"/>
          <w:lang w:val="en-GB"/>
        </w:rPr>
        <w:t>2</w:t>
      </w:r>
      <w:r w:rsidRPr="00CE5548">
        <w:rPr>
          <w:color w:val="000000" w:themeColor="text1"/>
          <w:lang w:val="en-GB"/>
        </w:rPr>
        <w:t xml:space="preserve"> capture </w:t>
      </w:r>
      <w:r w:rsidR="003375F6" w:rsidRPr="00CE5548">
        <w:rPr>
          <w:color w:val="000000" w:themeColor="text1"/>
          <w:lang w:val="en-GB"/>
        </w:rPr>
        <w:t>technologies</w:t>
      </w:r>
      <w:r w:rsidRPr="00CE5548">
        <w:rPr>
          <w:color w:val="000000" w:themeColor="text1"/>
          <w:lang w:val="en-GB"/>
        </w:rPr>
        <w:t xml:space="preserve"> for h</w:t>
      </w:r>
      <w:r w:rsidR="008A3BCA" w:rsidRPr="00CE5548">
        <w:rPr>
          <w:color w:val="000000" w:themeColor="text1"/>
          <w:lang w:val="en-GB"/>
        </w:rPr>
        <w:t>ard-to-abate industries</w:t>
      </w:r>
    </w:p>
    <w:p w14:paraId="680870F3" w14:textId="2FEF5FFD" w:rsidR="00625A13" w:rsidRPr="00CE5548" w:rsidRDefault="00CD63B4" w:rsidP="00453E24">
      <w:pPr>
        <w:pStyle w:val="CETBodytext"/>
        <w:rPr>
          <w:color w:val="000000" w:themeColor="text1"/>
          <w:lang w:val="en-GB"/>
        </w:rPr>
      </w:pPr>
      <w:r w:rsidRPr="00CE5548">
        <w:rPr>
          <w:color w:val="000000" w:themeColor="text1"/>
          <w:lang w:val="en-GB"/>
        </w:rPr>
        <w:t>A cem</w:t>
      </w:r>
      <w:r w:rsidR="009D2CC2" w:rsidRPr="00CE5548">
        <w:rPr>
          <w:color w:val="000000" w:themeColor="text1"/>
          <w:lang w:val="en-GB"/>
        </w:rPr>
        <w:t xml:space="preserve">ent manufacturing plant designed according to the European Best Available Technique (BAT) </w:t>
      </w:r>
      <w:r w:rsidR="00981386">
        <w:rPr>
          <w:color w:val="000000" w:themeColor="text1"/>
          <w:lang w:val="en-GB"/>
        </w:rPr>
        <w:t>recommendations</w:t>
      </w:r>
      <w:r w:rsidR="009D2CC2" w:rsidRPr="00CE5548">
        <w:rPr>
          <w:color w:val="000000" w:themeColor="text1"/>
          <w:lang w:val="en-GB"/>
        </w:rPr>
        <w:t xml:space="preserve"> </w:t>
      </w:r>
      <w:r w:rsidR="00DE798A" w:rsidRPr="00CE5548">
        <w:rPr>
          <w:color w:val="000000" w:themeColor="text1"/>
          <w:lang w:val="en-GB"/>
        </w:rPr>
        <w:t xml:space="preserve"> </w:t>
      </w:r>
      <w:r w:rsidR="005860EA" w:rsidRPr="00CE5548">
        <w:fldChar w:fldCharType="begin" w:fldLock="1"/>
      </w:r>
      <w:r w:rsidR="005860EA" w:rsidRPr="00CE5548">
        <w:instrText>ADDIN CSL_CITATION {"citationItems":[{"id":"ITEM-1","itemData":{"DOI":"10.3390/en12030559","ISSN":"19961073","abstract":"A technical evaluation of CO 2 capture technologies when retrofitted to a cement plant is performed. The investigated technologies are the oxyfuel process, the chilled ammonia process, membrane-assisted CO 2 liquefaction, and the calcium looping process with tail-end and integrated configurations. For comparison, absorption with monoethanolamine (MEA) is used as reference technology. The focus of the evaluation is on emission abatement, energy performance, and retrofitability. All the investigated technologies perform better than the reference both in terms of emission abatement and energy consumption. The equivalent CO 2 avoided are 73–90%, while it is 64% for MEA, considering the average EU-28 electricity mix. The specific primary energy consumption for CO 2 avoided is 1.63–4.07 MJ/kg CO 2 , compared to 7.08 MJ/kg CO 2 for MEA. The calcium looping technologies have the highest emission abatement potential, while the oxyfuel process has the best energy performance. When it comes to retrofitability, the post-combustion technologies show significant advantages compared to the oxyfuel and to the integrated calcium looping technologies. Furthermore, the performance of the individual technologies shows strong dependencies on site-specific and plant-specific factors. Therefore, rather than identifying one single best technology, it is emphasized that CO 2 capture in the cement industry should be performed with a portfolio of capture technologies, where the preferred choice for each specific plant depends on local factors.","author":[{"dropping-particle":"","family":"Voldsund","given":"Mari","non-dropping-particle":"","parse-names":false,"suffix":""},{"dropping-particle":"","family":"Gardarsdottir","given":"Stefania Osk","non-dropping-particle":"","parse-names":false,"suffix":""},{"dropping-particle":"","family":"Lena","given":"Edoardo","non-dropping-particle":"De","parse-names":false,"suffix":""},{"dropping-particle":"","family":"Pérez-Calvo","given":"José Francisco","non-dropping-particle":"","parse-names":false,"suffix":""},{"dropping-particle":"","family":"Jamali","given":"Armin","non-dropping-particle":"","parse-names":false,"suffix":""},{"dropping-particle":"","family":"Berstad","given":"David","non-dropping-particle":"","parse-names":false,"suffix":""},{"dropping-particle":"","family":"Fu","given":"Chao","non-dropping-particle":"","parse-names":false,"suffix":""},{"dropping-particle":"","family":"Romano","given":"Matteo","non-dropping-particle":"","parse-names":false,"suffix":""},{"dropping-particle":"","family":"Roussanaly","given":"Simon","non-dropping-particle":"","parse-names":false,"suffix":""},{"dropping-particle":"","family":"Anantharaman","given":"Rahul","non-dropping-particle":"","parse-names":false,"suffix":""},{"dropping-particle":"","family":"Hoppe","given":"Helmut","non-dropping-particle":"","parse-names":false,"suffix":""},{"dropping-particle":"","family":"Sutter","given":"Daniel","non-dropping-particle":"","parse-names":false,"suffix":""},{"dropping-particle":"","family":"Mazzotti","given":"Marco","non-dropping-particle":"","parse-names":false,"suffix":""},{"dropping-particle":"","family":"Gazzani","given":"Matteo","non-dropping-particle":"","parse-names":false,"suffix":""},{"dropping-particle":"","family":"Cinti","given":"Giovanni","non-dropping-particle":"","parse-names":false,"suffix":""},{"dropping-particle":"","family":"Jordal","given":"Kristin","non-dropping-particle":"","parse-names":false,"suffix":""}],"container-title":"Energies","id":"ITEM-1","issue":"3","issued":{"date-parts":[["2019"]]},"title":"Comparison of technologies for CO2 capture from cement production—Part 1: Technical evaluation","type":"article-journal","volume":"12"},"uris":["http://www.mendeley.com/documents/?uuid=901fe7d0-c478-46ac-b502-5ba5632ff3c7"]}],"mendeley":{"formattedCitation":"(Voldsund et al., 2019)","plainTextFormattedCitation":"(Voldsund et al., 2019)","previouslyFormattedCitation":"(Voldsund et al., 2019)"},"properties":{"noteIndex":0},"schema":"https://github.com/citation-style-language/schema/raw/master/csl-citation.json"}</w:instrText>
      </w:r>
      <w:r w:rsidR="005860EA" w:rsidRPr="00CE5548">
        <w:fldChar w:fldCharType="separate"/>
      </w:r>
      <w:r w:rsidR="005860EA" w:rsidRPr="00CE5548">
        <w:rPr>
          <w:noProof/>
        </w:rPr>
        <w:t>(Voldsund et al., 2019)</w:t>
      </w:r>
      <w:r w:rsidR="005860EA" w:rsidRPr="00CE5548">
        <w:fldChar w:fldCharType="end"/>
      </w:r>
      <w:r w:rsidR="00464871">
        <w:rPr>
          <w:color w:val="000000" w:themeColor="text1"/>
          <w:lang w:val="en-GB"/>
        </w:rPr>
        <w:t xml:space="preserve"> </w:t>
      </w:r>
      <w:r w:rsidR="00DE798A" w:rsidRPr="00CE5548">
        <w:rPr>
          <w:color w:val="000000" w:themeColor="text1"/>
          <w:lang w:val="en-GB"/>
        </w:rPr>
        <w:t xml:space="preserve">was considered as a representative hard-to-abate industrial emission source for the </w:t>
      </w:r>
      <w:r w:rsidR="00D16929" w:rsidRPr="00CE5548">
        <w:rPr>
          <w:color w:val="000000" w:themeColor="text1"/>
          <w:lang w:val="en-GB"/>
        </w:rPr>
        <w:t>analysis</w:t>
      </w:r>
      <w:r w:rsidR="00DE798A" w:rsidRPr="00CE5548">
        <w:rPr>
          <w:color w:val="000000" w:themeColor="text1"/>
          <w:lang w:val="en-GB"/>
        </w:rPr>
        <w:t>.</w:t>
      </w:r>
      <w:r w:rsidR="00D16929" w:rsidRPr="00CE5548">
        <w:rPr>
          <w:color w:val="000000" w:themeColor="text1"/>
          <w:lang w:val="en-GB"/>
        </w:rPr>
        <w:t xml:space="preserve"> </w:t>
      </w:r>
      <w:r w:rsidR="002F3C48" w:rsidRPr="00CE5548">
        <w:rPr>
          <w:color w:val="000000" w:themeColor="text1"/>
          <w:lang w:val="en-GB"/>
        </w:rPr>
        <w:fldChar w:fldCharType="begin"/>
      </w:r>
      <w:r w:rsidR="002F3C48" w:rsidRPr="00CE5548">
        <w:rPr>
          <w:color w:val="000000" w:themeColor="text1"/>
          <w:lang w:val="en-GB"/>
        </w:rPr>
        <w:instrText xml:space="preserve"> REF _Ref184220509 \h </w:instrText>
      </w:r>
      <w:r w:rsidR="002F3C48" w:rsidRPr="00CE5548">
        <w:rPr>
          <w:color w:val="000000" w:themeColor="text1"/>
          <w:lang w:val="en-GB"/>
        </w:rPr>
      </w:r>
      <w:r w:rsidR="002F3C48" w:rsidRPr="00CE5548">
        <w:rPr>
          <w:color w:val="000000" w:themeColor="text1"/>
          <w:lang w:val="en-GB"/>
        </w:rPr>
        <w:fldChar w:fldCharType="separate"/>
      </w:r>
      <w:r w:rsidR="002F3C48" w:rsidRPr="00CE5548">
        <w:rPr>
          <w:lang w:val="en-GB"/>
        </w:rPr>
        <w:t xml:space="preserve">Table </w:t>
      </w:r>
      <w:r w:rsidR="002F3C48" w:rsidRPr="00CE5548">
        <w:rPr>
          <w:noProof/>
          <w:lang w:val="en-GB"/>
        </w:rPr>
        <w:t>1</w:t>
      </w:r>
      <w:r w:rsidR="002F3C48" w:rsidRPr="00CE5548">
        <w:rPr>
          <w:color w:val="000000" w:themeColor="text1"/>
          <w:lang w:val="en-GB"/>
        </w:rPr>
        <w:fldChar w:fldCharType="end"/>
      </w:r>
      <w:r w:rsidR="002F3C48" w:rsidRPr="00CE5548">
        <w:rPr>
          <w:color w:val="000000" w:themeColor="text1"/>
          <w:lang w:val="en-GB"/>
        </w:rPr>
        <w:t xml:space="preserve"> </w:t>
      </w:r>
      <w:r w:rsidR="00F05686" w:rsidRPr="00CE5548">
        <w:rPr>
          <w:color w:val="000000" w:themeColor="text1"/>
          <w:lang w:val="en-GB"/>
        </w:rPr>
        <w:t xml:space="preserve">summarises the </w:t>
      </w:r>
      <w:r w:rsidR="00BE3357" w:rsidRPr="00CE5548">
        <w:rPr>
          <w:color w:val="000000" w:themeColor="text1"/>
          <w:lang w:val="en-GB"/>
        </w:rPr>
        <w:t>key characte</w:t>
      </w:r>
      <w:r w:rsidR="00625A13" w:rsidRPr="00CE5548">
        <w:rPr>
          <w:color w:val="000000" w:themeColor="text1"/>
          <w:lang w:val="en-GB"/>
        </w:rPr>
        <w:t>ristics of the exhaust flue gas from the evaluated cement plant.</w:t>
      </w:r>
    </w:p>
    <w:p w14:paraId="0C764D90" w14:textId="65354DDB" w:rsidR="006C65CE" w:rsidRPr="00CE5548" w:rsidRDefault="006C65CE" w:rsidP="00662B52">
      <w:pPr>
        <w:pStyle w:val="CETCaption"/>
      </w:pPr>
      <w:bookmarkStart w:id="2" w:name="_Ref184220509"/>
      <w:r w:rsidRPr="00CE5548">
        <w:t xml:space="preserve">Table </w:t>
      </w:r>
      <w:r w:rsidRPr="00CE5548">
        <w:fldChar w:fldCharType="begin"/>
      </w:r>
      <w:r w:rsidRPr="00CE5548">
        <w:instrText xml:space="preserve"> SEQ Table \* ARABIC </w:instrText>
      </w:r>
      <w:r w:rsidRPr="00CE5548">
        <w:fldChar w:fldCharType="separate"/>
      </w:r>
      <w:r w:rsidR="00CD0F49" w:rsidRPr="00CE5548">
        <w:rPr>
          <w:noProof/>
        </w:rPr>
        <w:t>1</w:t>
      </w:r>
      <w:r w:rsidRPr="00CE5548">
        <w:fldChar w:fldCharType="end"/>
      </w:r>
      <w:bookmarkEnd w:id="2"/>
      <w:r w:rsidR="002F3C48" w:rsidRPr="00CE5548">
        <w:t xml:space="preserve">: Flue gas characteristics for the </w:t>
      </w:r>
      <w:r w:rsidR="00BE3357" w:rsidRPr="00CE5548">
        <w:t>evaluated</w:t>
      </w:r>
      <w:r w:rsidR="002F3C48" w:rsidRPr="00CE5548">
        <w:t xml:space="preserve"> cement manufacturing plant </w:t>
      </w:r>
      <w:r w:rsidR="002F3C48" w:rsidRPr="00CE5548">
        <w:fldChar w:fldCharType="begin" w:fldLock="1"/>
      </w:r>
      <w:r w:rsidR="00F63DAB" w:rsidRPr="00CE5548">
        <w:instrText>ADDIN CSL_CITATION {"citationItems":[{"id":"ITEM-1","itemData":{"DOI":"10.3390/en12030559","ISSN":"19961073","abstract":"A technical evaluation of CO 2 capture technologies when retrofitted to a cement plant is performed. The investigated technologies are the oxyfuel process, the chilled ammonia process, membrane-assisted CO 2 liquefaction, and the calcium looping process with tail-end and integrated configurations. For comparison, absorption with monoethanolamine (MEA) is used as reference technology. The focus of the evaluation is on emission abatement, energy performance, and retrofitability. All the investigated technologies perform better than the reference both in terms of emission abatement and energy consumption. The equivalent CO 2 avoided are 73–90%, while it is 64% for MEA, considering the average EU-28 electricity mix. The specific primary energy consumption for CO 2 avoided is 1.63–4.07 MJ/kg CO 2 , compared to 7.08 MJ/kg CO 2 for MEA. The calcium looping technologies have the highest emission abatement potential, while the oxyfuel process has the best energy performance. When it comes to retrofitability, the post-combustion technologies show significant advantages compared to the oxyfuel and to the integrated calcium looping technologies. Furthermore, the performance of the individual technologies shows strong dependencies on site-specific and plant-specific factors. Therefore, rather than identifying one single best technology, it is emphasized that CO 2 capture in the cement industry should be performed with a portfolio of capture technologies, where the preferred choice for each specific plant depends on local factors.","author":[{"dropping-particle":"","family":"Voldsund","given":"Mari","non-dropping-particle":"","parse-names":false,"suffix":""},{"dropping-particle":"","family":"Gardarsdottir","given":"Stefania Osk","non-dropping-particle":"","parse-names":false,"suffix":""},{"dropping-particle":"","family":"Lena","given":"Edoardo","non-dropping-particle":"De","parse-names":false,"suffix":""},{"dropping-particle":"","family":"Pérez-Calvo","given":"José Francisco","non-dropping-particle":"","parse-names":false,"suffix":""},{"dropping-particle":"","family":"Jamali","given":"Armin","non-dropping-particle":"","parse-names":false,"suffix":""},{"dropping-particle":"","family":"Berstad","given":"David","non-dropping-particle":"","parse-names":false,"suffix":""},{"dropping-particle":"","family":"Fu","given":"Chao","non-dropping-particle":"","parse-names":false,"suffix":""},{"dropping-particle":"","family":"Romano","given":"Matteo","non-dropping-particle":"","parse-names":false,"suffix":""},{"dropping-particle":"","family":"Roussanaly","given":"Simon","non-dropping-particle":"","parse-names":false,"suffix":""},{"dropping-particle":"","family":"Anantharaman","given":"Rahul","non-dropping-particle":"","parse-names":false,"suffix":""},{"dropping-particle":"","family":"Hoppe","given":"Helmut","non-dropping-particle":"","parse-names":false,"suffix":""},{"dropping-particle":"","family":"Sutter","given":"Daniel","non-dropping-particle":"","parse-names":false,"suffix":""},{"dropping-particle":"","family":"Mazzotti","given":"Marco","non-dropping-particle":"","parse-names":false,"suffix":""},{"dropping-particle":"","family":"Gazzani","given":"Matteo","non-dropping-particle":"","parse-names":false,"suffix":""},{"dropping-particle":"","family":"Cinti","given":"Giovanni","non-dropping-particle":"","parse-names":false,"suffix":""},{"dropping-particle":"","family":"Jordal","given":"Kristin","non-dropping-particle":"","parse-names":false,"suffix":""}],"container-title":"Energies","id":"ITEM-1","issue":"3","issued":{"date-parts":[["2019"]]},"title":"Comparison of technologies for CO2 capture from cement production—Part 1: Technical evaluation","type":"article-journal","volume":"12"},"uris":["http://www.mendeley.com/documents/?uuid=901fe7d0-c478-46ac-b502-5ba5632ff3c7"]}],"mendeley":{"formattedCitation":"(Voldsund et al., 2019)","plainTextFormattedCitation":"(Voldsund et al., 2019)","previouslyFormattedCitation":"(Voldsund et al., 2019)"},"properties":{"noteIndex":0},"schema":"https://github.com/citation-style-language/schema/raw/master/csl-citation.json"}</w:instrText>
      </w:r>
      <w:r w:rsidR="002F3C48" w:rsidRPr="00CE5548">
        <w:fldChar w:fldCharType="separate"/>
      </w:r>
      <w:r w:rsidR="002F3C48" w:rsidRPr="00CE5548">
        <w:rPr>
          <w:noProof/>
        </w:rPr>
        <w:t>(Voldsund et al., 2019)</w:t>
      </w:r>
      <w:r w:rsidR="002F3C48" w:rsidRPr="00CE5548">
        <w:fldChar w:fldCharType="end"/>
      </w:r>
      <w:r w:rsidR="002F3C48" w:rsidRPr="00CE5548">
        <w:t>.</w:t>
      </w:r>
      <w:r w:rsidR="00662B52" w:rsidRPr="00CE5548">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31"/>
        <w:gridCol w:w="2928"/>
        <w:gridCol w:w="2928"/>
      </w:tblGrid>
      <w:tr w:rsidR="00F64736" w:rsidRPr="00CE5548" w14:paraId="530B79C8" w14:textId="6ABAB60A" w:rsidTr="006C65CE">
        <w:tc>
          <w:tcPr>
            <w:tcW w:w="1668" w:type="pct"/>
            <w:tcBorders>
              <w:top w:val="single" w:sz="12" w:space="0" w:color="008000"/>
              <w:bottom w:val="single" w:sz="6" w:space="0" w:color="008000"/>
            </w:tcBorders>
            <w:shd w:val="clear" w:color="auto" w:fill="FFFFFF"/>
          </w:tcPr>
          <w:p w14:paraId="59E6E9C8" w14:textId="118AB4EF" w:rsidR="00F64736" w:rsidRPr="00CE5548" w:rsidRDefault="00F64736" w:rsidP="00E354A9">
            <w:pPr>
              <w:pStyle w:val="CETBodytext"/>
              <w:rPr>
                <w:lang w:val="en-GB"/>
              </w:rPr>
            </w:pPr>
            <w:r w:rsidRPr="00CE5548">
              <w:rPr>
                <w:lang w:val="en-GB"/>
              </w:rPr>
              <w:t>Parameter</w:t>
            </w:r>
          </w:p>
        </w:tc>
        <w:tc>
          <w:tcPr>
            <w:tcW w:w="1666" w:type="pct"/>
            <w:tcBorders>
              <w:top w:val="single" w:sz="12" w:space="0" w:color="008000"/>
              <w:bottom w:val="single" w:sz="6" w:space="0" w:color="008000"/>
            </w:tcBorders>
            <w:shd w:val="clear" w:color="auto" w:fill="FFFFFF"/>
          </w:tcPr>
          <w:p w14:paraId="4DEE1917" w14:textId="7D935B55" w:rsidR="00F64736" w:rsidRPr="00CE5548" w:rsidRDefault="00F64736" w:rsidP="00E354A9">
            <w:pPr>
              <w:pStyle w:val="CETBodytext"/>
              <w:rPr>
                <w:lang w:val="en-GB"/>
              </w:rPr>
            </w:pPr>
            <w:r w:rsidRPr="00CE5548">
              <w:rPr>
                <w:lang w:val="en-GB"/>
              </w:rPr>
              <w:t>Unit</w:t>
            </w:r>
          </w:p>
        </w:tc>
        <w:tc>
          <w:tcPr>
            <w:tcW w:w="1666" w:type="pct"/>
            <w:tcBorders>
              <w:top w:val="single" w:sz="12" w:space="0" w:color="008000"/>
              <w:bottom w:val="single" w:sz="6" w:space="0" w:color="008000"/>
            </w:tcBorders>
            <w:shd w:val="clear" w:color="auto" w:fill="FFFFFF"/>
          </w:tcPr>
          <w:p w14:paraId="17E68C9B" w14:textId="7251DE6C" w:rsidR="00F64736" w:rsidRPr="00CE5548" w:rsidRDefault="00F64736" w:rsidP="00E354A9">
            <w:pPr>
              <w:pStyle w:val="CETBodytext"/>
              <w:rPr>
                <w:lang w:val="en-GB"/>
              </w:rPr>
            </w:pPr>
            <w:r w:rsidRPr="00CE5548">
              <w:rPr>
                <w:lang w:val="en-GB"/>
              </w:rPr>
              <w:t>Value</w:t>
            </w:r>
          </w:p>
        </w:tc>
      </w:tr>
      <w:tr w:rsidR="00F64736" w:rsidRPr="00CE5548" w14:paraId="65902DC3" w14:textId="21CF7226" w:rsidTr="006C65CE">
        <w:tc>
          <w:tcPr>
            <w:tcW w:w="1668" w:type="pct"/>
            <w:shd w:val="clear" w:color="auto" w:fill="FFFFFF"/>
          </w:tcPr>
          <w:p w14:paraId="41ACDFA0" w14:textId="37725EE4" w:rsidR="00F64736" w:rsidRPr="00CE5548" w:rsidRDefault="00B00D40" w:rsidP="00E354A9">
            <w:pPr>
              <w:pStyle w:val="CETBodytext"/>
              <w:rPr>
                <w:lang w:val="en-GB"/>
              </w:rPr>
            </w:pPr>
            <w:r w:rsidRPr="00CE5548">
              <w:rPr>
                <w:lang w:val="en-GB"/>
              </w:rPr>
              <w:t>Flow rate</w:t>
            </w:r>
          </w:p>
        </w:tc>
        <w:tc>
          <w:tcPr>
            <w:tcW w:w="1666" w:type="pct"/>
            <w:shd w:val="clear" w:color="auto" w:fill="FFFFFF"/>
          </w:tcPr>
          <w:p w14:paraId="748D445C" w14:textId="33F6F5A7" w:rsidR="00F64736" w:rsidRPr="00CE5548" w:rsidRDefault="00CD1187" w:rsidP="00E354A9">
            <w:pPr>
              <w:pStyle w:val="CETBodytext"/>
              <w:rPr>
                <w:lang w:val="en-GB"/>
              </w:rPr>
            </w:pPr>
            <w:r w:rsidRPr="00CE5548">
              <w:rPr>
                <w:lang w:val="en-GB"/>
              </w:rPr>
              <w:t>kg/s</w:t>
            </w:r>
          </w:p>
        </w:tc>
        <w:tc>
          <w:tcPr>
            <w:tcW w:w="1666" w:type="pct"/>
            <w:shd w:val="clear" w:color="auto" w:fill="FFFFFF"/>
          </w:tcPr>
          <w:p w14:paraId="2E5ADC8B" w14:textId="6C69270E" w:rsidR="00F64736" w:rsidRPr="00CE5548" w:rsidRDefault="00CD1187" w:rsidP="00E354A9">
            <w:pPr>
              <w:pStyle w:val="CETBodytext"/>
              <w:rPr>
                <w:lang w:val="en-GB"/>
              </w:rPr>
            </w:pPr>
            <w:r w:rsidRPr="00CE5548">
              <w:rPr>
                <w:lang w:val="en-GB"/>
              </w:rPr>
              <w:t>107.</w:t>
            </w:r>
            <w:r w:rsidRPr="00765FFA">
              <w:rPr>
                <w:lang w:val="en-GB"/>
              </w:rPr>
              <w:t>8</w:t>
            </w:r>
          </w:p>
        </w:tc>
      </w:tr>
      <w:tr w:rsidR="00F64736" w:rsidRPr="00CE5548" w14:paraId="0ECFED10" w14:textId="2FFEFC0C" w:rsidTr="006C65CE">
        <w:tc>
          <w:tcPr>
            <w:tcW w:w="1668" w:type="pct"/>
            <w:shd w:val="clear" w:color="auto" w:fill="FFFFFF"/>
          </w:tcPr>
          <w:p w14:paraId="495F73BA" w14:textId="007629B8" w:rsidR="00F64736" w:rsidRPr="00CE5548" w:rsidRDefault="00B00D40" w:rsidP="00E354A9">
            <w:pPr>
              <w:pStyle w:val="CETBodytext"/>
              <w:ind w:right="-1"/>
              <w:rPr>
                <w:rFonts w:cs="Arial"/>
                <w:szCs w:val="18"/>
                <w:lang w:val="en-GB"/>
              </w:rPr>
            </w:pPr>
            <w:r w:rsidRPr="00CE5548">
              <w:rPr>
                <w:rFonts w:cs="Arial"/>
                <w:szCs w:val="18"/>
                <w:lang w:val="en-GB"/>
              </w:rPr>
              <w:t>Temperature</w:t>
            </w:r>
          </w:p>
        </w:tc>
        <w:tc>
          <w:tcPr>
            <w:tcW w:w="1666" w:type="pct"/>
            <w:shd w:val="clear" w:color="auto" w:fill="FFFFFF"/>
          </w:tcPr>
          <w:p w14:paraId="0739DF2E" w14:textId="557FC435" w:rsidR="00F64736" w:rsidRPr="00CE5548" w:rsidRDefault="003B1F9E" w:rsidP="00E354A9">
            <w:pPr>
              <w:pStyle w:val="CETBodytext"/>
              <w:ind w:right="-1"/>
              <w:rPr>
                <w:rFonts w:cs="Arial"/>
                <w:szCs w:val="18"/>
                <w:lang w:val="en-GB"/>
              </w:rPr>
            </w:pPr>
            <w:r w:rsidRPr="00CE5548">
              <w:rPr>
                <w:rFonts w:cs="Arial"/>
                <w:szCs w:val="18"/>
                <w:lang w:val="en-GB"/>
              </w:rPr>
              <w:t>°C</w:t>
            </w:r>
          </w:p>
        </w:tc>
        <w:tc>
          <w:tcPr>
            <w:tcW w:w="1666" w:type="pct"/>
            <w:shd w:val="clear" w:color="auto" w:fill="FFFFFF"/>
          </w:tcPr>
          <w:p w14:paraId="64182888" w14:textId="5CE10EB0" w:rsidR="00F64736" w:rsidRPr="00CE5548" w:rsidRDefault="003B1F9E" w:rsidP="00E354A9">
            <w:pPr>
              <w:pStyle w:val="CETBodytext"/>
              <w:ind w:right="-1"/>
              <w:rPr>
                <w:rFonts w:cs="Arial"/>
                <w:szCs w:val="18"/>
                <w:lang w:val="en-GB"/>
              </w:rPr>
            </w:pPr>
            <w:r w:rsidRPr="00CE5548">
              <w:rPr>
                <w:rFonts w:cs="Arial"/>
                <w:szCs w:val="18"/>
                <w:lang w:val="en-GB"/>
              </w:rPr>
              <w:t>110</w:t>
            </w:r>
          </w:p>
        </w:tc>
      </w:tr>
      <w:tr w:rsidR="00F64736" w:rsidRPr="00CE5548" w14:paraId="4D7AB3C3" w14:textId="4C72A470" w:rsidTr="006C65CE">
        <w:tc>
          <w:tcPr>
            <w:tcW w:w="1668" w:type="pct"/>
            <w:shd w:val="clear" w:color="auto" w:fill="FFFFFF"/>
          </w:tcPr>
          <w:p w14:paraId="3DD87EB4" w14:textId="384458FB" w:rsidR="00F64736" w:rsidRPr="00CE5548" w:rsidRDefault="00702E1A" w:rsidP="00E354A9">
            <w:pPr>
              <w:pStyle w:val="CETBodytext"/>
              <w:ind w:right="-1"/>
              <w:rPr>
                <w:rFonts w:cs="Arial"/>
                <w:szCs w:val="18"/>
                <w:lang w:val="en-GB"/>
              </w:rPr>
            </w:pPr>
            <w:r w:rsidRPr="00CE5548">
              <w:rPr>
                <w:rFonts w:cs="Arial"/>
                <w:szCs w:val="18"/>
                <w:lang w:val="en-GB"/>
              </w:rPr>
              <w:t>Pressure</w:t>
            </w:r>
          </w:p>
        </w:tc>
        <w:tc>
          <w:tcPr>
            <w:tcW w:w="1666" w:type="pct"/>
            <w:shd w:val="clear" w:color="auto" w:fill="FFFFFF"/>
          </w:tcPr>
          <w:p w14:paraId="4FCED158" w14:textId="6943D368" w:rsidR="00F64736" w:rsidRPr="00CE5548" w:rsidRDefault="00882E87" w:rsidP="00E354A9">
            <w:pPr>
              <w:pStyle w:val="CETBodytext"/>
              <w:ind w:right="-1"/>
              <w:rPr>
                <w:rFonts w:cs="Arial"/>
                <w:szCs w:val="18"/>
                <w:lang w:val="en-GB"/>
              </w:rPr>
            </w:pPr>
            <w:r w:rsidRPr="00CE5548">
              <w:rPr>
                <w:rFonts w:cs="Arial"/>
                <w:szCs w:val="18"/>
                <w:lang w:val="en-GB"/>
              </w:rPr>
              <w:t>b</w:t>
            </w:r>
            <w:r w:rsidR="003B1F9E" w:rsidRPr="00CE5548">
              <w:rPr>
                <w:rFonts w:cs="Arial"/>
                <w:szCs w:val="18"/>
                <w:lang w:val="en-GB"/>
              </w:rPr>
              <w:t>ar</w:t>
            </w:r>
          </w:p>
        </w:tc>
        <w:tc>
          <w:tcPr>
            <w:tcW w:w="1666" w:type="pct"/>
            <w:shd w:val="clear" w:color="auto" w:fill="FFFFFF"/>
          </w:tcPr>
          <w:p w14:paraId="651B48BB" w14:textId="0DBCDDFD" w:rsidR="00F64736" w:rsidRPr="00CE5548" w:rsidRDefault="003B1F9E" w:rsidP="00E354A9">
            <w:pPr>
              <w:pStyle w:val="CETBodytext"/>
              <w:ind w:right="-1"/>
              <w:rPr>
                <w:rFonts w:cs="Arial"/>
                <w:szCs w:val="18"/>
                <w:lang w:val="en-GB"/>
              </w:rPr>
            </w:pPr>
            <w:r w:rsidRPr="00CE5548">
              <w:rPr>
                <w:rFonts w:cs="Arial"/>
                <w:szCs w:val="18"/>
                <w:lang w:val="en-GB"/>
              </w:rPr>
              <w:t>1.01</w:t>
            </w:r>
          </w:p>
        </w:tc>
      </w:tr>
      <w:tr w:rsidR="00F64736" w:rsidRPr="00CE5548" w14:paraId="710FFEFA" w14:textId="7903E582" w:rsidTr="006C65CE">
        <w:tc>
          <w:tcPr>
            <w:tcW w:w="1668" w:type="pct"/>
            <w:shd w:val="clear" w:color="auto" w:fill="FFFFFF"/>
          </w:tcPr>
          <w:p w14:paraId="250A246D" w14:textId="301C12C5" w:rsidR="00F64736" w:rsidRPr="00CE5548" w:rsidRDefault="00702E1A" w:rsidP="00E354A9">
            <w:pPr>
              <w:pStyle w:val="CETBodytext"/>
              <w:ind w:right="-1"/>
              <w:rPr>
                <w:rFonts w:cs="Arial"/>
                <w:szCs w:val="18"/>
                <w:lang w:val="en-GB"/>
              </w:rPr>
            </w:pPr>
            <w:r w:rsidRPr="00CE5548">
              <w:rPr>
                <w:rFonts w:cs="Arial"/>
                <w:szCs w:val="18"/>
                <w:lang w:val="en-GB"/>
              </w:rPr>
              <w:t>CO</w:t>
            </w:r>
            <w:r w:rsidRPr="00CE5548">
              <w:rPr>
                <w:rFonts w:cs="Arial"/>
                <w:szCs w:val="18"/>
                <w:vertAlign w:val="subscript"/>
                <w:lang w:val="en-GB"/>
              </w:rPr>
              <w:t>2</w:t>
            </w:r>
            <w:r w:rsidRPr="00CE5548">
              <w:rPr>
                <w:rFonts w:cs="Arial"/>
                <w:szCs w:val="18"/>
                <w:lang w:val="en-GB"/>
              </w:rPr>
              <w:t xml:space="preserve"> concentration</w:t>
            </w:r>
          </w:p>
        </w:tc>
        <w:tc>
          <w:tcPr>
            <w:tcW w:w="1666" w:type="pct"/>
            <w:shd w:val="clear" w:color="auto" w:fill="FFFFFF"/>
          </w:tcPr>
          <w:p w14:paraId="6710040A" w14:textId="6E19B7C5" w:rsidR="00F64736" w:rsidRPr="00CE5548" w:rsidRDefault="003B1F9E" w:rsidP="00E354A9">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25889295" w14:textId="483686ED" w:rsidR="00F64736" w:rsidRPr="00CE5548" w:rsidRDefault="006C65CE" w:rsidP="00E354A9">
            <w:pPr>
              <w:pStyle w:val="CETBodytext"/>
              <w:ind w:right="-1"/>
              <w:rPr>
                <w:rFonts w:cs="Arial"/>
                <w:szCs w:val="18"/>
                <w:lang w:val="en-GB"/>
              </w:rPr>
            </w:pPr>
            <w:r w:rsidRPr="00CE5548">
              <w:rPr>
                <w:rFonts w:cs="Arial"/>
                <w:szCs w:val="18"/>
                <w:lang w:val="en-GB"/>
              </w:rPr>
              <w:t>18</w:t>
            </w:r>
          </w:p>
        </w:tc>
      </w:tr>
      <w:tr w:rsidR="00702E1A" w:rsidRPr="00CE5548" w14:paraId="4A13F0C8" w14:textId="77777777" w:rsidTr="006C65CE">
        <w:tc>
          <w:tcPr>
            <w:tcW w:w="1668" w:type="pct"/>
            <w:shd w:val="clear" w:color="auto" w:fill="FFFFFF"/>
          </w:tcPr>
          <w:p w14:paraId="4245AA35" w14:textId="70FBFF1F" w:rsidR="00702E1A" w:rsidRPr="00CE5548" w:rsidRDefault="00DC3EBA" w:rsidP="00E354A9">
            <w:pPr>
              <w:pStyle w:val="CETBodytext"/>
              <w:ind w:right="-1"/>
              <w:rPr>
                <w:rFonts w:cs="Arial"/>
                <w:szCs w:val="18"/>
                <w:lang w:val="en-GB"/>
              </w:rPr>
            </w:pPr>
            <w:r w:rsidRPr="00CE5548">
              <w:rPr>
                <w:rFonts w:cs="Arial"/>
                <w:szCs w:val="18"/>
                <w:lang w:val="en-GB"/>
              </w:rPr>
              <w:t>N</w:t>
            </w:r>
            <w:r w:rsidRPr="00CE5548">
              <w:rPr>
                <w:rFonts w:cs="Arial"/>
                <w:szCs w:val="18"/>
                <w:vertAlign w:val="subscript"/>
                <w:lang w:val="en-GB"/>
              </w:rPr>
              <w:t>2</w:t>
            </w:r>
            <w:r w:rsidRPr="00CE5548">
              <w:rPr>
                <w:rFonts w:cs="Arial"/>
                <w:szCs w:val="18"/>
                <w:lang w:val="en-GB"/>
              </w:rPr>
              <w:t xml:space="preserve"> concentration</w:t>
            </w:r>
          </w:p>
        </w:tc>
        <w:tc>
          <w:tcPr>
            <w:tcW w:w="1666" w:type="pct"/>
            <w:shd w:val="clear" w:color="auto" w:fill="FFFFFF"/>
          </w:tcPr>
          <w:p w14:paraId="059F8FCB" w14:textId="3B054DBC" w:rsidR="00702E1A" w:rsidRPr="00CE5548" w:rsidRDefault="006C65CE" w:rsidP="00E354A9">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555C1EBC" w14:textId="19561074" w:rsidR="00702E1A" w:rsidRPr="00CE5548" w:rsidRDefault="006C65CE" w:rsidP="00E354A9">
            <w:pPr>
              <w:pStyle w:val="CETBodytext"/>
              <w:ind w:right="-1"/>
              <w:rPr>
                <w:rFonts w:cs="Arial"/>
                <w:szCs w:val="18"/>
                <w:lang w:val="en-GB"/>
              </w:rPr>
            </w:pPr>
            <w:r w:rsidRPr="00CE5548">
              <w:rPr>
                <w:rFonts w:cs="Arial"/>
                <w:szCs w:val="18"/>
                <w:lang w:val="en-GB"/>
              </w:rPr>
              <w:t>63</w:t>
            </w:r>
          </w:p>
        </w:tc>
      </w:tr>
      <w:tr w:rsidR="00DC3EBA" w:rsidRPr="00CE5548" w14:paraId="1E7ADA24" w14:textId="77777777" w:rsidTr="006C65CE">
        <w:tc>
          <w:tcPr>
            <w:tcW w:w="1668" w:type="pct"/>
            <w:shd w:val="clear" w:color="auto" w:fill="FFFFFF"/>
          </w:tcPr>
          <w:p w14:paraId="6E7B7709" w14:textId="0D10E8F6" w:rsidR="00DC3EBA" w:rsidRPr="00CE5548" w:rsidRDefault="00DC3EBA" w:rsidP="00E354A9">
            <w:pPr>
              <w:pStyle w:val="CETBodytext"/>
              <w:ind w:right="-1"/>
              <w:rPr>
                <w:rFonts w:cs="Arial"/>
                <w:szCs w:val="18"/>
                <w:lang w:val="en-GB"/>
              </w:rPr>
            </w:pPr>
            <w:r w:rsidRPr="00CE5548">
              <w:rPr>
                <w:rFonts w:cs="Arial"/>
                <w:szCs w:val="18"/>
                <w:lang w:val="en-GB"/>
              </w:rPr>
              <w:t>O</w:t>
            </w:r>
            <w:r w:rsidRPr="00CE5548">
              <w:rPr>
                <w:rFonts w:cs="Arial"/>
                <w:szCs w:val="18"/>
                <w:vertAlign w:val="subscript"/>
                <w:lang w:val="en-GB"/>
              </w:rPr>
              <w:t>2</w:t>
            </w:r>
            <w:r w:rsidRPr="00CE5548">
              <w:rPr>
                <w:rFonts w:cs="Arial"/>
                <w:szCs w:val="18"/>
                <w:lang w:val="en-GB"/>
              </w:rPr>
              <w:t xml:space="preserve"> concentration</w:t>
            </w:r>
          </w:p>
        </w:tc>
        <w:tc>
          <w:tcPr>
            <w:tcW w:w="1666" w:type="pct"/>
            <w:shd w:val="clear" w:color="auto" w:fill="FFFFFF"/>
          </w:tcPr>
          <w:p w14:paraId="11928CC2" w14:textId="5583FB8A" w:rsidR="00DC3EBA" w:rsidRPr="00CE5548" w:rsidRDefault="006C65CE" w:rsidP="00E354A9">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3E2EA4F3" w14:textId="4DB78BDC" w:rsidR="00DC3EBA" w:rsidRPr="00CE5548" w:rsidRDefault="006C65CE" w:rsidP="00E354A9">
            <w:pPr>
              <w:pStyle w:val="CETBodytext"/>
              <w:ind w:right="-1"/>
              <w:rPr>
                <w:rFonts w:cs="Arial"/>
                <w:szCs w:val="18"/>
                <w:lang w:val="en-GB"/>
              </w:rPr>
            </w:pPr>
            <w:r w:rsidRPr="00CE5548">
              <w:rPr>
                <w:rFonts w:cs="Arial"/>
                <w:szCs w:val="18"/>
                <w:lang w:val="en-GB"/>
              </w:rPr>
              <w:t>10</w:t>
            </w:r>
          </w:p>
        </w:tc>
      </w:tr>
      <w:tr w:rsidR="00702E1A" w:rsidRPr="00CE5548" w14:paraId="745E11E0" w14:textId="77777777" w:rsidTr="006C65CE">
        <w:tc>
          <w:tcPr>
            <w:tcW w:w="1668" w:type="pct"/>
            <w:shd w:val="clear" w:color="auto" w:fill="FFFFFF"/>
          </w:tcPr>
          <w:p w14:paraId="17713506" w14:textId="06CE0019" w:rsidR="00702E1A" w:rsidRPr="00CE5548" w:rsidRDefault="00DC3EBA" w:rsidP="00E354A9">
            <w:pPr>
              <w:pStyle w:val="CETBodytext"/>
              <w:ind w:right="-1"/>
              <w:rPr>
                <w:rFonts w:cs="Arial"/>
                <w:szCs w:val="18"/>
                <w:lang w:val="en-GB"/>
              </w:rPr>
            </w:pPr>
            <w:r w:rsidRPr="00CE5548">
              <w:rPr>
                <w:rFonts w:cs="Arial"/>
                <w:szCs w:val="18"/>
                <w:lang w:val="en-GB"/>
              </w:rPr>
              <w:t>H</w:t>
            </w:r>
            <w:r w:rsidRPr="00CE5548">
              <w:rPr>
                <w:rFonts w:cs="Arial"/>
                <w:szCs w:val="18"/>
                <w:vertAlign w:val="subscript"/>
                <w:lang w:val="en-GB"/>
              </w:rPr>
              <w:t>2</w:t>
            </w:r>
            <w:r w:rsidRPr="00CE5548">
              <w:rPr>
                <w:rFonts w:cs="Arial"/>
                <w:szCs w:val="18"/>
                <w:lang w:val="en-GB"/>
              </w:rPr>
              <w:t>O concentration</w:t>
            </w:r>
          </w:p>
        </w:tc>
        <w:tc>
          <w:tcPr>
            <w:tcW w:w="1666" w:type="pct"/>
            <w:shd w:val="clear" w:color="auto" w:fill="FFFFFF"/>
          </w:tcPr>
          <w:p w14:paraId="6D0BE37F" w14:textId="4355B998" w:rsidR="00702E1A" w:rsidRPr="00CE5548" w:rsidRDefault="006C65CE" w:rsidP="00E354A9">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7C236170" w14:textId="157D4D51" w:rsidR="00702E1A" w:rsidRPr="00CE5548" w:rsidRDefault="006C65CE" w:rsidP="00E354A9">
            <w:pPr>
              <w:pStyle w:val="CETBodytext"/>
              <w:ind w:right="-1"/>
              <w:rPr>
                <w:rFonts w:cs="Arial"/>
                <w:szCs w:val="18"/>
                <w:lang w:val="en-GB"/>
              </w:rPr>
            </w:pPr>
            <w:r w:rsidRPr="00CE5548">
              <w:rPr>
                <w:rFonts w:cs="Arial"/>
                <w:szCs w:val="18"/>
                <w:lang w:val="en-GB"/>
              </w:rPr>
              <w:t>9</w:t>
            </w:r>
          </w:p>
        </w:tc>
      </w:tr>
    </w:tbl>
    <w:p w14:paraId="29D0F915" w14:textId="77777777" w:rsidR="0037604D" w:rsidRPr="00CE5548" w:rsidRDefault="0037604D" w:rsidP="00453E24">
      <w:pPr>
        <w:pStyle w:val="CETBodytext"/>
        <w:rPr>
          <w:color w:val="000000" w:themeColor="text1"/>
          <w:lang w:val="en-GB"/>
        </w:rPr>
      </w:pPr>
    </w:p>
    <w:p w14:paraId="5464EF7E" w14:textId="3019CC09" w:rsidR="000A7EFF" w:rsidRPr="00CE5548" w:rsidRDefault="008611C0" w:rsidP="00453E24">
      <w:pPr>
        <w:pStyle w:val="CETBodytext"/>
        <w:rPr>
          <w:color w:val="000000" w:themeColor="text1"/>
          <w:lang w:val="en-GB"/>
        </w:rPr>
      </w:pPr>
      <w:r w:rsidRPr="00CE5548">
        <w:rPr>
          <w:color w:val="000000" w:themeColor="text1"/>
          <w:lang w:val="en-GB"/>
        </w:rPr>
        <w:t xml:space="preserve">Three </w:t>
      </w:r>
      <w:r w:rsidR="00797CCB" w:rsidRPr="00CE5548">
        <w:rPr>
          <w:color w:val="000000" w:themeColor="text1"/>
          <w:lang w:val="en-GB"/>
        </w:rPr>
        <w:t xml:space="preserve">different </w:t>
      </w:r>
      <w:r w:rsidR="000A7EFF" w:rsidRPr="00CE5548">
        <w:rPr>
          <w:color w:val="000000" w:themeColor="text1"/>
          <w:lang w:val="en-GB"/>
        </w:rPr>
        <w:t xml:space="preserve">carbon capture </w:t>
      </w:r>
      <w:r w:rsidR="00797CCB" w:rsidRPr="00CE5548">
        <w:rPr>
          <w:color w:val="000000" w:themeColor="text1"/>
          <w:lang w:val="en-GB"/>
        </w:rPr>
        <w:t>strategies</w:t>
      </w:r>
      <w:r w:rsidRPr="00CE5548">
        <w:rPr>
          <w:color w:val="000000" w:themeColor="text1"/>
          <w:lang w:val="en-GB"/>
        </w:rPr>
        <w:t xml:space="preserve"> were</w:t>
      </w:r>
      <w:r w:rsidR="000A7EFF" w:rsidRPr="00CE5548">
        <w:rPr>
          <w:color w:val="000000" w:themeColor="text1"/>
          <w:lang w:val="en-GB"/>
        </w:rPr>
        <w:t xml:space="preserve"> selected</w:t>
      </w:r>
      <w:r w:rsidR="00381E50" w:rsidRPr="00CE5548">
        <w:rPr>
          <w:color w:val="000000" w:themeColor="text1"/>
          <w:lang w:val="en-GB"/>
        </w:rPr>
        <w:t>,</w:t>
      </w:r>
      <w:r w:rsidR="000A7EFF" w:rsidRPr="00CE5548">
        <w:rPr>
          <w:color w:val="000000" w:themeColor="text1"/>
          <w:lang w:val="en-GB"/>
        </w:rPr>
        <w:t xml:space="preserve"> based on their technology readiness level (TRL) </w:t>
      </w:r>
      <w:r w:rsidR="00F63DAB" w:rsidRPr="00CE5548">
        <w:rPr>
          <w:color w:val="000000" w:themeColor="text1"/>
          <w:lang w:val="en-GB"/>
        </w:rPr>
        <w:fldChar w:fldCharType="begin" w:fldLock="1"/>
      </w:r>
      <w:r w:rsidR="007306CB" w:rsidRPr="00CE5548">
        <w:rPr>
          <w:color w:val="000000" w:themeColor="text1"/>
          <w:lang w:val="en-GB"/>
        </w:rPr>
        <w:instrText>ADDIN CSL_CITATION {"citationItems":[{"id":"ITEM-1","itemData":{"author":[{"dropping-particle":"","family":"Kearns","given":"D.","non-dropping-particle":"","parse-names":false,"suffix":""},{"dropping-particle":"","family":"Liu","given":"H.","non-dropping-particle":"","parse-names":false,"suffix":""},{"dropping-particle":"","family":"Consoli","given":"C.","non-dropping-particle":"","parse-names":false,"suffix":""}],"id":"ITEM-1","issued":{"date-parts":[["2021"]]},"title":"Technology readiness and costs of CCS. Technical report, Global CCS Institute.","type":"report"},"uris":["http://www.mendeley.com/documents/?uuid=bc6d2617-fde8-487c-bbb9-921b8990eceb"]}],"mendeley":{"formattedCitation":"(Kearns et al., 2021)","plainTextFormattedCitation":"(Kearns et al., 2021)","previouslyFormattedCitation":"(Kearns et al., 2021)"},"properties":{"noteIndex":0},"schema":"https://github.com/citation-style-language/schema/raw/master/csl-citation.json"}</w:instrText>
      </w:r>
      <w:r w:rsidR="00F63DAB" w:rsidRPr="00CE5548">
        <w:rPr>
          <w:color w:val="000000" w:themeColor="text1"/>
          <w:lang w:val="en-GB"/>
        </w:rPr>
        <w:fldChar w:fldCharType="separate"/>
      </w:r>
      <w:r w:rsidR="00F63DAB" w:rsidRPr="00CE5548">
        <w:rPr>
          <w:noProof/>
          <w:color w:val="000000" w:themeColor="text1"/>
          <w:lang w:val="en-GB"/>
        </w:rPr>
        <w:t>(Kearns et al., 2021)</w:t>
      </w:r>
      <w:r w:rsidR="00F63DAB" w:rsidRPr="00CE5548">
        <w:rPr>
          <w:color w:val="000000" w:themeColor="text1"/>
          <w:lang w:val="en-GB"/>
        </w:rPr>
        <w:fldChar w:fldCharType="end"/>
      </w:r>
      <w:r w:rsidR="00381E50" w:rsidRPr="00CE5548">
        <w:rPr>
          <w:color w:val="000000" w:themeColor="text1"/>
          <w:lang w:val="en-GB"/>
        </w:rPr>
        <w:t xml:space="preserve">, </w:t>
      </w:r>
      <w:r w:rsidR="000A7EFF" w:rsidRPr="00CE5548">
        <w:rPr>
          <w:color w:val="000000" w:themeColor="text1"/>
          <w:lang w:val="en-GB"/>
        </w:rPr>
        <w:t xml:space="preserve">to retrofit </w:t>
      </w:r>
      <w:r w:rsidR="00403704" w:rsidRPr="00CE5548">
        <w:rPr>
          <w:color w:val="000000" w:themeColor="text1"/>
          <w:lang w:val="en-GB"/>
        </w:rPr>
        <w:t>the industrial emission source</w:t>
      </w:r>
      <w:r w:rsidR="000A7EFF" w:rsidRPr="00CE5548">
        <w:rPr>
          <w:color w:val="000000" w:themeColor="text1"/>
          <w:lang w:val="en-GB"/>
        </w:rPr>
        <w:t>: solvent-based absorption, calcium looping, and adsorption.</w:t>
      </w:r>
      <w:r w:rsidR="00381E50" w:rsidRPr="00CE5548">
        <w:rPr>
          <w:color w:val="000000" w:themeColor="text1"/>
          <w:lang w:val="en-GB"/>
        </w:rPr>
        <w:t xml:space="preserve"> </w:t>
      </w:r>
      <w:r w:rsidR="00F63DAB" w:rsidRPr="00CE5548">
        <w:rPr>
          <w:color w:val="000000" w:themeColor="text1"/>
          <w:lang w:val="en-GB"/>
        </w:rPr>
        <w:t xml:space="preserve">For solvent-based absorption, </w:t>
      </w:r>
      <w:r w:rsidR="00F616FE" w:rsidRPr="00CE5548">
        <w:rPr>
          <w:color w:val="000000" w:themeColor="text1"/>
          <w:lang w:val="en-GB"/>
        </w:rPr>
        <w:t>the</w:t>
      </w:r>
      <w:r w:rsidR="00873862" w:rsidRPr="00CE5548">
        <w:rPr>
          <w:color w:val="000000" w:themeColor="text1"/>
          <w:lang w:val="en-GB"/>
        </w:rPr>
        <w:t xml:space="preserve"> </w:t>
      </w:r>
      <w:r w:rsidR="00F63DAB" w:rsidRPr="00CE5548">
        <w:rPr>
          <w:color w:val="000000" w:themeColor="text1"/>
          <w:lang w:val="en-GB"/>
        </w:rPr>
        <w:t xml:space="preserve">amine scrubbing </w:t>
      </w:r>
      <w:r w:rsidR="00D93B84" w:rsidRPr="00CE5548">
        <w:rPr>
          <w:color w:val="000000" w:themeColor="text1"/>
          <w:lang w:val="en-GB"/>
        </w:rPr>
        <w:t>concept</w:t>
      </w:r>
      <w:r w:rsidR="00F616FE" w:rsidRPr="00CE5548">
        <w:rPr>
          <w:color w:val="000000" w:themeColor="text1"/>
          <w:lang w:val="en-GB"/>
        </w:rPr>
        <w:t xml:space="preserve"> proposed by </w:t>
      </w:r>
      <w:r w:rsidR="00F616FE" w:rsidRPr="00CE5548">
        <w:rPr>
          <w:color w:val="000000" w:themeColor="text1"/>
          <w:lang w:val="en-GB"/>
        </w:rPr>
        <w:fldChar w:fldCharType="begin" w:fldLock="1"/>
      </w:r>
      <w:r w:rsidR="00F22476" w:rsidRPr="00CE5548">
        <w:rPr>
          <w:color w:val="000000" w:themeColor="text1"/>
          <w:lang w:val="en-GB"/>
        </w:rPr>
        <w:instrText>ADDIN CSL_CITATION {"citationItems":[{"id":"ITEM-1","itemData":{"ISBN":"978-3-030-04578-4","abstract":"This book focuses on modelling issues and their implications for the correct design of reactive absorption{\\textendash}desorption systems. In addition, it addresses the case of carbon dioxide (CO2) post-combustion capture in detail. The book proposes a new perspective on these systems, and provides technological solutions with comparisons to previous treatments of the subject. The model that is proposed is subsequently validated using experimental data. In addition, the book features graphs to guide readers with immediate visualizations of the benefits of the methodology proposed. It shows a systematic procedure for the steady-state model-based design of a CO2 post-combustion capture plant that employs reactive absorption-stripping, using monoethanolamine as the solvent. It also discusses the minimization of energy consumption, both through the modification of the plant flowsheet and the set-up of the operating parameters. The book offers a unique source of information for researchers and practitioners alike, as it also includes an economic analysis of the complete plant. Further, it will be of interest to all academics and students whose work involves reactive absorption-stripping design and the modelling of reactive absorption-stripping systems.","author":[{"dropping-particle":"","family":"Madeddu","given":"Claudio","non-dropping-particle":"","parse-names":false,"suffix":""},{"dropping-particle":"","family":"Errico","given":"Massimiliano","non-dropping-particle":"","parse-names":false,"suffix":""},{"dropping-particle":"","family":"Baratti","given":"Roberto","non-dropping-particle":"","parse-names":false,"suffix":""}],"container-title":"Editorial Springer","id":"ITEM-1","issued":{"date-parts":[["2019"]]},"number-of-pages":"13-14","title":"CO2 Capture by Reactive Absorption-Stripping","type":"book"},"uris":["http://www.mendeley.com/documents/?uuid=b42be1bb-e0cf-4c1d-9892-e2d1e430b2fe"]}],"mendeley":{"formattedCitation":"(Madeddu et al., 2019)","manualFormatting":"Madeddu et al. (2019)","plainTextFormattedCitation":"(Madeddu et al., 2019)","previouslyFormattedCitation":"(Madeddu et al., 2019)"},"properties":{"noteIndex":0},"schema":"https://github.com/citation-style-language/schema/raw/master/csl-citation.json"}</w:instrText>
      </w:r>
      <w:r w:rsidR="00F616FE" w:rsidRPr="00CE5548">
        <w:rPr>
          <w:color w:val="000000" w:themeColor="text1"/>
          <w:lang w:val="en-GB"/>
        </w:rPr>
        <w:fldChar w:fldCharType="separate"/>
      </w:r>
      <w:r w:rsidR="00F616FE" w:rsidRPr="00CE5548">
        <w:rPr>
          <w:noProof/>
          <w:color w:val="000000" w:themeColor="text1"/>
          <w:lang w:val="en-GB"/>
        </w:rPr>
        <w:t>Madeddu et al. (2019)</w:t>
      </w:r>
      <w:r w:rsidR="00F616FE" w:rsidRPr="00CE5548">
        <w:rPr>
          <w:color w:val="000000" w:themeColor="text1"/>
          <w:lang w:val="en-GB"/>
        </w:rPr>
        <w:fldChar w:fldCharType="end"/>
      </w:r>
      <w:r w:rsidR="007319FF" w:rsidRPr="00CE5548">
        <w:rPr>
          <w:color w:val="000000" w:themeColor="text1"/>
          <w:lang w:val="en-GB"/>
        </w:rPr>
        <w:t xml:space="preserve">, </w:t>
      </w:r>
      <w:r w:rsidR="00E02216" w:rsidRPr="00CE5548">
        <w:rPr>
          <w:color w:val="000000" w:themeColor="text1"/>
          <w:lang w:val="en-GB"/>
        </w:rPr>
        <w:t>which employs</w:t>
      </w:r>
      <w:r w:rsidR="00C356FF" w:rsidRPr="00CE5548">
        <w:rPr>
          <w:color w:val="000000" w:themeColor="text1"/>
          <w:lang w:val="en-GB"/>
        </w:rPr>
        <w:t xml:space="preserve"> </w:t>
      </w:r>
      <w:proofErr w:type="spellStart"/>
      <w:r w:rsidR="00D93B84" w:rsidRPr="00CE5548">
        <w:rPr>
          <w:color w:val="000000" w:themeColor="text1"/>
          <w:lang w:val="en-GB"/>
        </w:rPr>
        <w:t>monoethanolamine</w:t>
      </w:r>
      <w:proofErr w:type="spellEnd"/>
      <w:r w:rsidR="00D93B84" w:rsidRPr="00CE5548">
        <w:rPr>
          <w:color w:val="000000" w:themeColor="text1"/>
          <w:lang w:val="en-GB"/>
        </w:rPr>
        <w:t xml:space="preserve"> (MEA) </w:t>
      </w:r>
      <w:r w:rsidR="005A4BDB" w:rsidRPr="00CE5548">
        <w:rPr>
          <w:color w:val="000000" w:themeColor="text1"/>
          <w:lang w:val="en-GB"/>
        </w:rPr>
        <w:t>within a</w:t>
      </w:r>
      <w:r w:rsidR="003F66A6" w:rsidRPr="00CE5548">
        <w:rPr>
          <w:color w:val="000000" w:themeColor="text1"/>
          <w:lang w:val="en-GB"/>
        </w:rPr>
        <w:t xml:space="preserve"> </w:t>
      </w:r>
      <w:r w:rsidR="00C356FF" w:rsidRPr="00CE5548">
        <w:rPr>
          <w:color w:val="000000" w:themeColor="text1"/>
          <w:lang w:val="en-GB"/>
        </w:rPr>
        <w:t>reactive CO</w:t>
      </w:r>
      <w:r w:rsidR="00C356FF" w:rsidRPr="00CE5548">
        <w:rPr>
          <w:color w:val="000000" w:themeColor="text1"/>
          <w:vertAlign w:val="subscript"/>
          <w:lang w:val="en-GB"/>
        </w:rPr>
        <w:t>2</w:t>
      </w:r>
      <w:r w:rsidR="00C356FF" w:rsidRPr="00CE5548">
        <w:rPr>
          <w:color w:val="000000" w:themeColor="text1"/>
          <w:lang w:val="en-GB"/>
        </w:rPr>
        <w:t xml:space="preserve"> absorption-amine solvent</w:t>
      </w:r>
      <w:r w:rsidR="00B550CB" w:rsidRPr="00CE5548">
        <w:rPr>
          <w:color w:val="000000" w:themeColor="text1"/>
          <w:lang w:val="en-GB"/>
        </w:rPr>
        <w:t xml:space="preserve"> r</w:t>
      </w:r>
      <w:r w:rsidR="005A4BDB" w:rsidRPr="00CE5548">
        <w:rPr>
          <w:color w:val="000000" w:themeColor="text1"/>
          <w:lang w:val="en-GB"/>
        </w:rPr>
        <w:t>egeneration process</w:t>
      </w:r>
      <w:r w:rsidR="00D93B84" w:rsidRPr="00CE5548">
        <w:rPr>
          <w:color w:val="000000" w:themeColor="text1"/>
          <w:lang w:val="en-GB"/>
        </w:rPr>
        <w:t>, was adopted</w:t>
      </w:r>
      <w:r w:rsidR="00381E50" w:rsidRPr="00CE5548">
        <w:rPr>
          <w:color w:val="000000" w:themeColor="text1"/>
          <w:lang w:val="en-GB"/>
        </w:rPr>
        <w:t>.</w:t>
      </w:r>
      <w:r w:rsidR="00D93B84" w:rsidRPr="00CE5548">
        <w:rPr>
          <w:color w:val="000000" w:themeColor="text1"/>
          <w:lang w:val="en-GB"/>
        </w:rPr>
        <w:t xml:space="preserve"> </w:t>
      </w:r>
      <w:r w:rsidR="006A06E4" w:rsidRPr="00CE5548">
        <w:rPr>
          <w:color w:val="000000" w:themeColor="text1"/>
          <w:lang w:val="en-GB"/>
        </w:rPr>
        <w:t xml:space="preserve">The calcium looping </w:t>
      </w:r>
      <w:r w:rsidR="008F4FAE" w:rsidRPr="00CE5548">
        <w:rPr>
          <w:color w:val="000000" w:themeColor="text1"/>
          <w:lang w:val="en-GB"/>
        </w:rPr>
        <w:t>strategy</w:t>
      </w:r>
      <w:r w:rsidR="006A06E4" w:rsidRPr="00CE5548">
        <w:rPr>
          <w:color w:val="000000" w:themeColor="text1"/>
          <w:lang w:val="en-GB"/>
        </w:rPr>
        <w:t xml:space="preserve">, </w:t>
      </w:r>
      <w:r w:rsidR="0014120E" w:rsidRPr="00CE5548">
        <w:rPr>
          <w:color w:val="000000" w:themeColor="text1"/>
          <w:lang w:val="en-GB"/>
        </w:rPr>
        <w:t>in which CO</w:t>
      </w:r>
      <w:r w:rsidR="0014120E" w:rsidRPr="00CE5548">
        <w:rPr>
          <w:color w:val="000000" w:themeColor="text1"/>
          <w:vertAlign w:val="subscript"/>
          <w:lang w:val="en-GB"/>
        </w:rPr>
        <w:t>2</w:t>
      </w:r>
      <w:r w:rsidR="0014120E" w:rsidRPr="00CE5548">
        <w:rPr>
          <w:color w:val="000000" w:themeColor="text1"/>
          <w:lang w:val="en-GB"/>
        </w:rPr>
        <w:t xml:space="preserve"> is captured via cyclic carbonation and calcination reactions using a solid calcium-based sorbent</w:t>
      </w:r>
      <w:r w:rsidR="004F686F" w:rsidRPr="00CE5548">
        <w:rPr>
          <w:color w:val="000000" w:themeColor="text1"/>
          <w:lang w:val="en-GB"/>
        </w:rPr>
        <w:t xml:space="preserve">, was </w:t>
      </w:r>
      <w:r w:rsidR="00B2489B" w:rsidRPr="00CE5548">
        <w:rPr>
          <w:color w:val="000000" w:themeColor="text1"/>
          <w:lang w:val="en-GB"/>
        </w:rPr>
        <w:t xml:space="preserve">modelled </w:t>
      </w:r>
      <w:r w:rsidR="00082D5F" w:rsidRPr="00CE5548">
        <w:rPr>
          <w:color w:val="000000" w:themeColor="text1"/>
          <w:lang w:val="en-GB"/>
        </w:rPr>
        <w:t>using</w:t>
      </w:r>
      <w:r w:rsidR="00B2489B" w:rsidRPr="00CE5548">
        <w:rPr>
          <w:color w:val="000000" w:themeColor="text1"/>
          <w:lang w:val="en-GB"/>
        </w:rPr>
        <w:t xml:space="preserve"> the process simulation approach </w:t>
      </w:r>
      <w:r w:rsidR="00F22476" w:rsidRPr="00CE5548">
        <w:rPr>
          <w:color w:val="000000" w:themeColor="text1"/>
          <w:lang w:val="en-GB"/>
        </w:rPr>
        <w:t>developed</w:t>
      </w:r>
      <w:r w:rsidR="00B2489B" w:rsidRPr="00CE5548">
        <w:rPr>
          <w:color w:val="000000" w:themeColor="text1"/>
          <w:lang w:val="en-GB"/>
        </w:rPr>
        <w:t xml:space="preserve"> </w:t>
      </w:r>
      <w:r w:rsidR="00B2489B" w:rsidRPr="00CE5548">
        <w:rPr>
          <w:color w:val="000000" w:themeColor="text1"/>
          <w:lang w:val="en-GB"/>
        </w:rPr>
        <w:lastRenderedPageBreak/>
        <w:t xml:space="preserve">by </w:t>
      </w:r>
      <w:r w:rsidR="00F22476" w:rsidRPr="00CE5548">
        <w:rPr>
          <w:color w:val="000000" w:themeColor="text1"/>
          <w:lang w:val="en-GB"/>
        </w:rPr>
        <w:fldChar w:fldCharType="begin" w:fldLock="1"/>
      </w:r>
      <w:r w:rsidR="007D0EEB">
        <w:rPr>
          <w:color w:val="000000" w:themeColor="text1"/>
          <w:lang w:val="en-GB"/>
        </w:rPr>
        <w:instrText>ADDIN CSL_CITATION {"citationItems":[{"id":"ITEM-1","itemData":{"DOI":"10.3390/en12020331","ISSN":"19961073","abstract":"This study examined the effect of Carbon Capture and Storage units on the environmental, energy and economic performance of the Brazilian electric grid. Four scenarios were established considering the coupling of Calcium Looping (CaL) processes to capture CO 2 emitted from thermoelectric using coal and natural gas: S1: the current condition of the Brazilian grid; S2 and S3: Brazilian grid with CaL applied individually to coal (TEC) and gas (TGN) operated thermoelectric; and S4: CaL is simultaneously coupled to both sources. Global warming potential (GWP) expressed the environmental dimension, Primary Energy Demand (PED) was the energy indicator and Levelised Cost of Energy described the economic range. Attributional Life Cycle Assessment for generation of 1.0 MWh was applied in the analysis. None of the scenarios accumulated the best indexes in all dimensions. Regarding GWP, S4 totals the positive effects of using CaL to reduce CO 2 from TEC and TGN, but the CH 4 emissions increased due to its energy requirements. As for PED, S1 and S2 are similar and presented higher performances than S3 and S4. The price of natural gas compromises the use of CaL in TGN. A combined verification of the three analysis dimensions, proved that S2 was the best option of the series due to the homogeneity of its indices. The installation of CaL in TECs and TGNs was effective to capture and store CO 2 emissions, but the costs of this system should be reduced and its energy efficiency still needs to be improved.","author":[{"dropping-particle":"","family":"Moore","given":"Claudia Cristina Sanchez","non-dropping-particle":"","parse-names":false,"suffix":""},{"dropping-particle":"","family":"Kulay","given":"Luiz","non-dropping-particle":"","parse-names":false,"suffix":""}],"container-title":"Energies","id":"ITEM-1","issue":"2","issued":{"date-parts":[["2019"]]},"title":"Effect of the implementation of carbon capture systems on the environmental, energy and economic performance of the Brazilian electricity matrix","type":"article-journal","volume":"12"},"uris":["http://www.mendeley.com/documents/?uuid=415b3396-e914-44be-abec-9bae62e53b06"]}],"mendeley":{"formattedCitation":"(Moore and Kulay, 2019)","manualFormatting":"Moore &amp; Kulay (2019)","plainTextFormattedCitation":"(Moore and Kulay, 2019)","previouslyFormattedCitation":"(Moore and Kulay, 2019)"},"properties":{"noteIndex":0},"schema":"https://github.com/citation-style-language/schema/raw/master/csl-citation.json"}</w:instrText>
      </w:r>
      <w:r w:rsidR="00F22476" w:rsidRPr="00CE5548">
        <w:rPr>
          <w:color w:val="000000" w:themeColor="text1"/>
          <w:lang w:val="en-GB"/>
        </w:rPr>
        <w:fldChar w:fldCharType="separate"/>
      </w:r>
      <w:r w:rsidR="00F22476" w:rsidRPr="00CE5548">
        <w:rPr>
          <w:noProof/>
          <w:color w:val="000000" w:themeColor="text1"/>
          <w:lang w:val="en-GB"/>
        </w:rPr>
        <w:t xml:space="preserve">Moore &amp; Kulay </w:t>
      </w:r>
      <w:r w:rsidR="00726714" w:rsidRPr="00CE5548">
        <w:rPr>
          <w:noProof/>
          <w:color w:val="000000" w:themeColor="text1"/>
          <w:lang w:val="en-GB"/>
        </w:rPr>
        <w:t>(</w:t>
      </w:r>
      <w:r w:rsidR="00F22476" w:rsidRPr="00CE5548">
        <w:rPr>
          <w:noProof/>
          <w:color w:val="000000" w:themeColor="text1"/>
          <w:lang w:val="en-GB"/>
        </w:rPr>
        <w:t>2019)</w:t>
      </w:r>
      <w:r w:rsidR="00F22476" w:rsidRPr="00CE5548">
        <w:rPr>
          <w:color w:val="000000" w:themeColor="text1"/>
          <w:lang w:val="en-GB"/>
        </w:rPr>
        <w:fldChar w:fldCharType="end"/>
      </w:r>
      <w:r w:rsidR="00F22476" w:rsidRPr="00CE5548">
        <w:rPr>
          <w:color w:val="000000" w:themeColor="text1"/>
          <w:lang w:val="en-GB"/>
        </w:rPr>
        <w:t xml:space="preserve">. </w:t>
      </w:r>
      <w:r w:rsidR="00427A26" w:rsidRPr="00CE5548">
        <w:rPr>
          <w:color w:val="000000" w:themeColor="text1"/>
          <w:lang w:val="en-GB"/>
        </w:rPr>
        <w:t>A</w:t>
      </w:r>
      <w:r w:rsidR="00832D9A" w:rsidRPr="00CE5548">
        <w:rPr>
          <w:color w:val="000000" w:themeColor="text1"/>
          <w:lang w:val="en-GB"/>
        </w:rPr>
        <w:t xml:space="preserve"> </w:t>
      </w:r>
      <w:r w:rsidR="00427A26" w:rsidRPr="00CE5548">
        <w:rPr>
          <w:color w:val="000000" w:themeColor="text1"/>
          <w:lang w:val="en-GB"/>
        </w:rPr>
        <w:t>pressure swing adsorption (PSA)</w:t>
      </w:r>
      <w:r w:rsidR="008F5C95" w:rsidRPr="00CE5548">
        <w:rPr>
          <w:color w:val="000000" w:themeColor="text1"/>
          <w:lang w:val="en-GB"/>
        </w:rPr>
        <w:t xml:space="preserve"> </w:t>
      </w:r>
      <w:r w:rsidR="00832D9A" w:rsidRPr="00CE5548">
        <w:rPr>
          <w:color w:val="000000" w:themeColor="text1"/>
          <w:lang w:val="en-GB"/>
        </w:rPr>
        <w:t>process</w:t>
      </w:r>
      <w:r w:rsidR="00726714" w:rsidRPr="00CE5548">
        <w:rPr>
          <w:color w:val="000000" w:themeColor="text1"/>
          <w:lang w:val="en-GB"/>
        </w:rPr>
        <w:t xml:space="preserve"> uti</w:t>
      </w:r>
      <w:r w:rsidR="00C00105" w:rsidRPr="00CE5548">
        <w:rPr>
          <w:color w:val="000000" w:themeColor="text1"/>
          <w:lang w:val="en-GB"/>
        </w:rPr>
        <w:t>lising</w:t>
      </w:r>
      <w:r w:rsidR="00427A26" w:rsidRPr="00CE5548">
        <w:rPr>
          <w:color w:val="000000" w:themeColor="text1"/>
          <w:lang w:val="en-GB"/>
        </w:rPr>
        <w:t xml:space="preserve"> commercial </w:t>
      </w:r>
      <w:r w:rsidR="003E1DF2" w:rsidRPr="00CE5548">
        <w:rPr>
          <w:color w:val="000000" w:themeColor="text1"/>
          <w:lang w:val="en-GB"/>
        </w:rPr>
        <w:t xml:space="preserve">Zeolite 13X </w:t>
      </w:r>
      <w:r w:rsidR="00832D9A" w:rsidRPr="00CE5548">
        <w:rPr>
          <w:color w:val="000000" w:themeColor="text1"/>
          <w:lang w:val="en-GB"/>
        </w:rPr>
        <w:t>as the adsorbent</w:t>
      </w:r>
      <w:r w:rsidR="003E1DF2" w:rsidRPr="00CE5548">
        <w:rPr>
          <w:color w:val="000000" w:themeColor="text1"/>
          <w:lang w:val="en-GB"/>
        </w:rPr>
        <w:t xml:space="preserve"> was </w:t>
      </w:r>
      <w:r w:rsidR="00832D9A" w:rsidRPr="00CE5548">
        <w:rPr>
          <w:color w:val="000000" w:themeColor="text1"/>
          <w:lang w:val="en-GB"/>
        </w:rPr>
        <w:t xml:space="preserve">considered </w:t>
      </w:r>
      <w:r w:rsidR="00233A9C" w:rsidRPr="00CE5548">
        <w:rPr>
          <w:color w:val="000000" w:themeColor="text1"/>
          <w:lang w:val="en-GB"/>
        </w:rPr>
        <w:t>for modelling the CO</w:t>
      </w:r>
      <w:r w:rsidR="00233A9C" w:rsidRPr="00CE5548">
        <w:rPr>
          <w:color w:val="000000" w:themeColor="text1"/>
          <w:vertAlign w:val="subscript"/>
          <w:lang w:val="en-GB"/>
        </w:rPr>
        <w:t>2</w:t>
      </w:r>
      <w:r w:rsidR="00233A9C" w:rsidRPr="00CE5548">
        <w:rPr>
          <w:color w:val="000000" w:themeColor="text1"/>
          <w:lang w:val="en-GB"/>
        </w:rPr>
        <w:t xml:space="preserve"> adsorption strategy</w:t>
      </w:r>
      <w:r w:rsidR="00C00105" w:rsidRPr="00CE5548">
        <w:rPr>
          <w:color w:val="000000" w:themeColor="text1"/>
          <w:lang w:val="en-GB"/>
        </w:rPr>
        <w:t xml:space="preserve">, as described by </w:t>
      </w:r>
      <w:r w:rsidR="00C00105" w:rsidRPr="00CE5548">
        <w:rPr>
          <w:color w:val="000000" w:themeColor="text1"/>
          <w:lang w:val="en-GB"/>
        </w:rPr>
        <w:fldChar w:fldCharType="begin" w:fldLock="1"/>
      </w:r>
      <w:r w:rsidR="00C76FC8" w:rsidRPr="00CE5548">
        <w:rPr>
          <w:color w:val="000000" w:themeColor="text1"/>
          <w:lang w:val="en-GB"/>
        </w:rPr>
        <w:instrText>ADDIN CSL_CITATION {"citationItems":[{"id":"ITEM-1","itemData":{"DOI":"10.1021/ie070831e","ISSN":"08885885","abstract":"Pressure swing adsorption (PSA) processes have been used extensively for gas separation, especially in the separation of hydrogen from CO2, and in air purification. The objective of this paper is to examine the economic feasibility of pressure swing adsorption (PSA) for recovering CO2 from postcombustion power plant flue gas. The analysis considers both high-pressure feed and vacuum desorption using commercial adsorbent 13X, which has a working capacity of 2.2 mol/kg and CO2/N2 selectivity of 54. The results show that using vacuum desorption reduces the capture cost from US$57 to US$51 per ton of CO2 avoided and is comparable in cost to CO2 capture using conventional MEA absorption of US$49 per ton of CO2 avoided. In this paper, a sensitivity analysis is also presented showing the effect on the capture cost with changes in process cycle; feed pressure and evacuation pressure; improvements the adsorbent characteristics; and selectivity and working capacity. The results show that a hypothetical adsorbent with a working capacity of 4.3 mol/kg and a CO2/N2 selectivity of 150 can reduce the capture cost to US$30 per ton of CO2 avoided.","author":[{"dropping-particle":"","family":"Ho","given":"Minh T.","non-dropping-particle":"","parse-names":false,"suffix":""},{"dropping-particle":"","family":"Allinson","given":"Guy W.","non-dropping-particle":"","parse-names":false,"suffix":""},{"dropping-particle":"","family":"Wiley","given":"Dianne E.","non-dropping-particle":"","parse-names":false,"suffix":""}],"container-title":"Industrial and Engineering Chemistry Research","id":"ITEM-1","issue":"14","issued":{"date-parts":[["2008"]]},"page":"4883-4890","title":"Reducing the cost of CO2 capture from flue gases using pressure swing adsorption","type":"article-journal","volume":"47"},"uris":["http://www.mendeley.com/documents/?uuid=b85ceaad-9da1-4d5d-8391-b6510c4809d2"]}],"mendeley":{"formattedCitation":"(Ho et al., 2008)","manualFormatting":"Ho et al. (2008)","plainTextFormattedCitation":"(Ho et al., 2008)","previouslyFormattedCitation":"(Ho et al., 2008)"},"properties":{"noteIndex":0},"schema":"https://github.com/citation-style-language/schema/raw/master/csl-citation.json"}</w:instrText>
      </w:r>
      <w:r w:rsidR="00C00105" w:rsidRPr="00CE5548">
        <w:rPr>
          <w:color w:val="000000" w:themeColor="text1"/>
          <w:lang w:val="en-GB"/>
        </w:rPr>
        <w:fldChar w:fldCharType="separate"/>
      </w:r>
      <w:r w:rsidR="00C00105" w:rsidRPr="00CE5548">
        <w:rPr>
          <w:noProof/>
          <w:color w:val="000000" w:themeColor="text1"/>
          <w:lang w:val="en-GB"/>
        </w:rPr>
        <w:t xml:space="preserve">Ho et al. </w:t>
      </w:r>
      <w:r w:rsidR="002B1F4D" w:rsidRPr="00CE5548">
        <w:rPr>
          <w:noProof/>
          <w:color w:val="000000" w:themeColor="text1"/>
          <w:lang w:val="en-GB"/>
        </w:rPr>
        <w:t>(</w:t>
      </w:r>
      <w:r w:rsidR="00C00105" w:rsidRPr="00CE5548">
        <w:rPr>
          <w:noProof/>
          <w:color w:val="000000" w:themeColor="text1"/>
          <w:lang w:val="en-GB"/>
        </w:rPr>
        <w:t>2008)</w:t>
      </w:r>
      <w:r w:rsidR="00C00105" w:rsidRPr="00CE5548">
        <w:rPr>
          <w:color w:val="000000" w:themeColor="text1"/>
          <w:lang w:val="en-GB"/>
        </w:rPr>
        <w:fldChar w:fldCharType="end"/>
      </w:r>
      <w:r w:rsidR="003923E3" w:rsidRPr="00CE5548">
        <w:rPr>
          <w:color w:val="000000" w:themeColor="text1"/>
          <w:lang w:val="en-GB"/>
        </w:rPr>
        <w:t xml:space="preserve">. </w:t>
      </w:r>
    </w:p>
    <w:p w14:paraId="18BAFA6F" w14:textId="7B422CB1" w:rsidR="00453E24" w:rsidRPr="00CE5548" w:rsidRDefault="008A0396" w:rsidP="00453E24">
      <w:pPr>
        <w:pStyle w:val="CETheadingx"/>
        <w:rPr>
          <w:color w:val="000000" w:themeColor="text1"/>
          <w:lang w:val="en-GB"/>
        </w:rPr>
      </w:pPr>
      <w:r w:rsidRPr="00CE5548">
        <w:rPr>
          <w:color w:val="000000" w:themeColor="text1"/>
          <w:lang w:val="en-GB"/>
        </w:rPr>
        <w:t>CO</w:t>
      </w:r>
      <w:r w:rsidRPr="00CE5548">
        <w:rPr>
          <w:color w:val="000000" w:themeColor="text1"/>
          <w:vertAlign w:val="subscript"/>
          <w:lang w:val="en-GB"/>
        </w:rPr>
        <w:t>2</w:t>
      </w:r>
      <w:r w:rsidRPr="00CE5548">
        <w:rPr>
          <w:color w:val="000000" w:themeColor="text1"/>
          <w:lang w:val="en-GB"/>
        </w:rPr>
        <w:t xml:space="preserve"> capture </w:t>
      </w:r>
      <w:r w:rsidR="003375F6" w:rsidRPr="00CE5548">
        <w:rPr>
          <w:color w:val="000000" w:themeColor="text1"/>
          <w:lang w:val="en-GB"/>
        </w:rPr>
        <w:t>technologies</w:t>
      </w:r>
      <w:r w:rsidRPr="00CE5548">
        <w:rPr>
          <w:color w:val="000000" w:themeColor="text1"/>
          <w:lang w:val="en-GB"/>
        </w:rPr>
        <w:t xml:space="preserve"> for m</w:t>
      </w:r>
      <w:r w:rsidR="008A3BCA" w:rsidRPr="00CE5548">
        <w:rPr>
          <w:color w:val="000000" w:themeColor="text1"/>
          <w:lang w:val="en-GB"/>
        </w:rPr>
        <w:t>aritime transport</w:t>
      </w:r>
    </w:p>
    <w:p w14:paraId="3F6E0865" w14:textId="54DD755C" w:rsidR="00CD0F49" w:rsidRPr="00CE5548" w:rsidRDefault="00927F2A" w:rsidP="00780B57">
      <w:pPr>
        <w:pStyle w:val="CETBodytext"/>
        <w:rPr>
          <w:color w:val="000000" w:themeColor="text1"/>
          <w:lang w:val="en-GB"/>
        </w:rPr>
      </w:pPr>
      <w:r w:rsidRPr="00CE5548">
        <w:rPr>
          <w:color w:val="000000" w:themeColor="text1"/>
          <w:lang w:val="en-GB"/>
        </w:rPr>
        <w:t>The analysis of CO</w:t>
      </w:r>
      <w:r w:rsidRPr="00CE5548">
        <w:rPr>
          <w:color w:val="000000" w:themeColor="text1"/>
          <w:vertAlign w:val="subscript"/>
          <w:lang w:val="en-GB"/>
        </w:rPr>
        <w:t>2</w:t>
      </w:r>
      <w:r w:rsidRPr="00CE5548">
        <w:rPr>
          <w:color w:val="000000" w:themeColor="text1"/>
          <w:lang w:val="en-GB"/>
        </w:rPr>
        <w:t xml:space="preserve"> capture technologies within the maritime transport sector </w:t>
      </w:r>
      <w:r w:rsidR="007B5CE3" w:rsidRPr="00CE5548">
        <w:rPr>
          <w:color w:val="000000" w:themeColor="text1"/>
          <w:lang w:val="en-GB"/>
        </w:rPr>
        <w:t>considered</w:t>
      </w:r>
      <w:r w:rsidR="00AD0FC6" w:rsidRPr="00CE5548">
        <w:rPr>
          <w:color w:val="000000" w:themeColor="text1"/>
          <w:lang w:val="en-GB"/>
        </w:rPr>
        <w:t xml:space="preserve"> a Hyperion-class cruise ship</w:t>
      </w:r>
      <w:r w:rsidR="00C76FC8" w:rsidRPr="00CE5548">
        <w:rPr>
          <w:color w:val="000000" w:themeColor="text1"/>
          <w:lang w:val="en-GB"/>
        </w:rPr>
        <w:t xml:space="preserve"> </w:t>
      </w:r>
      <w:r w:rsidR="00AD0FC6" w:rsidRPr="00CE5548">
        <w:rPr>
          <w:color w:val="000000" w:themeColor="text1"/>
          <w:lang w:val="en-GB"/>
        </w:rPr>
        <w:t>as</w:t>
      </w:r>
      <w:r w:rsidR="007B5CE3" w:rsidRPr="00CE5548">
        <w:rPr>
          <w:color w:val="000000" w:themeColor="text1"/>
          <w:lang w:val="en-GB"/>
        </w:rPr>
        <w:t xml:space="preserve"> the reference emission source.</w:t>
      </w:r>
      <w:r w:rsidR="00C0730A" w:rsidRPr="00CE5548">
        <w:rPr>
          <w:color w:val="000000" w:themeColor="text1"/>
          <w:lang w:val="en-GB"/>
        </w:rPr>
        <w:t xml:space="preserve"> </w:t>
      </w:r>
      <w:r w:rsidR="00ED1248" w:rsidRPr="00CE5548">
        <w:rPr>
          <w:color w:val="000000" w:themeColor="text1"/>
          <w:lang w:val="en-GB"/>
        </w:rPr>
        <w:t>This is characterised by a 36 MW nominal power capacity installed onboard</w:t>
      </w:r>
      <w:r w:rsidR="00BD3A5F" w:rsidRPr="00CE5548">
        <w:rPr>
          <w:color w:val="000000" w:themeColor="text1"/>
          <w:lang w:val="en-GB"/>
        </w:rPr>
        <w:t xml:space="preserve"> and </w:t>
      </w:r>
      <w:r w:rsidR="00AB20EA" w:rsidRPr="00CE5548">
        <w:rPr>
          <w:color w:val="000000" w:themeColor="text1"/>
          <w:lang w:val="en-GB"/>
        </w:rPr>
        <w:t xml:space="preserve">operates </w:t>
      </w:r>
      <w:r w:rsidR="00A42EBA" w:rsidRPr="00CE5548">
        <w:rPr>
          <w:color w:val="000000" w:themeColor="text1"/>
          <w:lang w:val="en-GB"/>
        </w:rPr>
        <w:t>6264 hours per year</w:t>
      </w:r>
      <w:r w:rsidR="006B08F1" w:rsidRPr="00CE5548">
        <w:rPr>
          <w:color w:val="000000" w:themeColor="text1"/>
          <w:lang w:val="en-GB"/>
        </w:rPr>
        <w:t xml:space="preserve"> with a</w:t>
      </w:r>
      <w:r w:rsidR="00BB30BF" w:rsidRPr="00CE5548">
        <w:rPr>
          <w:color w:val="000000" w:themeColor="text1"/>
          <w:lang w:val="en-GB"/>
        </w:rPr>
        <w:t>n autonomy</w:t>
      </w:r>
      <w:r w:rsidR="00082427" w:rsidRPr="00CE5548">
        <w:rPr>
          <w:color w:val="000000" w:themeColor="text1"/>
          <w:lang w:val="en-GB"/>
        </w:rPr>
        <w:t xml:space="preserve"> per trip equal to 10 days</w:t>
      </w:r>
      <w:r w:rsidR="006E6A96">
        <w:rPr>
          <w:color w:val="000000" w:themeColor="text1"/>
          <w:lang w:val="en-GB"/>
        </w:rPr>
        <w:t xml:space="preserve"> </w:t>
      </w:r>
      <w:r w:rsidR="006E6A96">
        <w:rPr>
          <w:color w:val="000000" w:themeColor="text1"/>
          <w:lang w:val="en-GB"/>
        </w:rPr>
        <w:fldChar w:fldCharType="begin" w:fldLock="1"/>
      </w:r>
      <w:r w:rsidR="00446D64">
        <w:rPr>
          <w:color w:val="000000" w:themeColor="text1"/>
          <w:lang w:val="en-GB"/>
        </w:rPr>
        <w:instrText>ADDIN CSL_CITATION {"citationItems":[{"id":"ITEM-1","itemData":{"DOI":"10.1016/j.jclepro.2020.121069","ISSN":"09596526","abstract":"Liquefied natural gas (LNG) is becoming a viable, “green” alternative to marine fuel oil for ship propulsion. The present study investigates the expected impact on sustainability of innovative ship fuel systems based on the use of LNG. For the sake of comparison, conventional technologies for ship fuel systems, based on marine fuel oil, were considered in the analysis. A specific methodology was adopted to support the sustainability assessment, based on the evaluation of key performance indicators addressing three fundamental domains: environmental impact, economic feasibility and inherent safety of the fuel system. The results obtained allow determining a sustainability fingerprint of the alternative fuel systems considered and a performance ranking. The LNG-based fuel system technologies show a better sustainability performance than the conventional marine fuel technologies. The relevant environmental benefits associated with LNG fuel systems point out the critical role of environmental impact reduction in driving the design of innovative fuel systems for marine applications.","author":[{"dropping-particle":"","family":"Iannaccone","given":"Tommaso","non-dropping-particle":"","parse-names":false,"suffix":""},{"dropping-particle":"","family":"Landucci","given":"Gabriele","non-dropping-particle":"","parse-names":false,"suffix":""},{"dropping-particle":"","family":"Tugnoli","given":"Alessandro","non-dropping-particle":"","parse-names":false,"suffix":""},{"dropping-particle":"","family":"Salzano","given":"Ernesto","non-dropping-particle":"","parse-names":false,"suffix":""},{"dropping-particle":"","family":"Cozzani","given":"Valerio","non-dropping-particle":"","parse-names":false,"suffix":""}],"container-title":"Journal of Cleaner Production","id":"ITEM-1","issued":{"date-parts":[["2020"]]},"page":"121069","publisher":"Elsevier Ltd","title":"Sustainability of cruise ship fuel systems: Comparison among LNG and diesel technologies","type":"article-journal","volume":"260"},"uris":["http://www.mendeley.com/documents/?uuid=fd7874d6-dc60-43a1-ab37-bc10771b1dc5"]}],"mendeley":{"formattedCitation":"(Iannaccone et al., 2020)","plainTextFormattedCitation":"(Iannaccone et al., 2020)","previouslyFormattedCitation":"(Iannaccone et al., 2020)"},"properties":{"noteIndex":0},"schema":"https://github.com/citation-style-language/schema/raw/master/csl-citation.json"}</w:instrText>
      </w:r>
      <w:r w:rsidR="006E6A96">
        <w:rPr>
          <w:color w:val="000000" w:themeColor="text1"/>
          <w:lang w:val="en-GB"/>
        </w:rPr>
        <w:fldChar w:fldCharType="separate"/>
      </w:r>
      <w:r w:rsidR="006E6A96" w:rsidRPr="006E6A96">
        <w:rPr>
          <w:noProof/>
          <w:color w:val="000000" w:themeColor="text1"/>
          <w:lang w:val="en-GB"/>
        </w:rPr>
        <w:t>(Iannaccone et al., 2020)</w:t>
      </w:r>
      <w:r w:rsidR="006E6A96">
        <w:rPr>
          <w:color w:val="000000" w:themeColor="text1"/>
          <w:lang w:val="en-GB"/>
        </w:rPr>
        <w:fldChar w:fldCharType="end"/>
      </w:r>
      <w:r w:rsidR="003F70CB" w:rsidRPr="00CE5548">
        <w:rPr>
          <w:color w:val="000000" w:themeColor="text1"/>
          <w:lang w:val="en-GB"/>
        </w:rPr>
        <w:t xml:space="preserve">. More </w:t>
      </w:r>
      <w:r w:rsidR="00A42EBA" w:rsidRPr="00CE5548">
        <w:rPr>
          <w:color w:val="000000" w:themeColor="text1"/>
          <w:lang w:val="en-GB"/>
        </w:rPr>
        <w:t>technical and operational details on the ship under analysis can be found elsewhere</w:t>
      </w:r>
      <w:r w:rsidR="00080BCF">
        <w:rPr>
          <w:color w:val="000000" w:themeColor="text1"/>
          <w:lang w:val="en-GB"/>
        </w:rPr>
        <w:t xml:space="preserve"> </w:t>
      </w:r>
      <w:r w:rsidR="00080BCF">
        <w:rPr>
          <w:color w:val="000000" w:themeColor="text1"/>
          <w:lang w:val="en-GB"/>
        </w:rPr>
        <w:fldChar w:fldCharType="begin" w:fldLock="1"/>
      </w:r>
      <w:r w:rsidR="00302545">
        <w:rPr>
          <w:color w:val="000000" w:themeColor="text1"/>
          <w:lang w:val="en-GB"/>
        </w:rPr>
        <w:instrText>ADDIN CSL_CITATION {"citationItems":[{"id":"ITEM-1","itemData":{"URL":"https://maritime-executive.com/article/first-dual-fuel-air-lubricated-cruise-ship-delivered","author":[{"dropping-particle":"","family":"The Maritime Executive","given":"","non-dropping-particle":"","parse-names":false,"suffix":""}],"id":"ITEM-1","issued":{"date-parts":[["2016"]]},"title":"First dual-fuel, air lubricated cruise ship delivered","type":"webpage"},"uris":["http://www.mendeley.com/documents/?uuid=2adef0a8-1383-4a33-b02a-1db6acbbadfb"]},{"id":"ITEM-2","itemData":{"DOI":"10.1016/j.jclepro.2020.121069","ISSN":"09596526","abstract":"Liquefied natural gas (LNG) is becoming a viable, “green” alternative to marine fuel oil for ship propulsion. The present study investigates the expected impact on sustainability of innovative ship fuel systems based on the use of LNG. For the sake of comparison, conventional technologies for ship fuel systems, based on marine fuel oil, were considered in the analysis. A specific methodology was adopted to support the sustainability assessment, based on the evaluation of key performance indicators addressing three fundamental domains: environmental impact, economic feasibility and inherent safety of the fuel system. The results obtained allow determining a sustainability fingerprint of the alternative fuel systems considered and a performance ranking. The LNG-based fuel system technologies show a better sustainability performance than the conventional marine fuel technologies. The relevant environmental benefits associated with LNG fuel systems point out the critical role of environmental impact reduction in driving the design of innovative fuel systems for marine applications.","author":[{"dropping-particle":"","family":"Iannaccone","given":"Tommaso","non-dropping-particle":"","parse-names":false,"suffix":""},{"dropping-particle":"","family":"Landucci","given":"Gabriele","non-dropping-particle":"","parse-names":false,"suffix":""},{"dropping-particle":"","family":"Tugnoli","given":"Alessandro","non-dropping-particle":"","parse-names":false,"suffix":""},{"dropping-particle":"","family":"Salzano","given":"Ernesto","non-dropping-particle":"","parse-names":false,"suffix":""},{"dropping-particle":"","family":"Cozzani","given":"Valerio","non-dropping-particle":"","parse-names":false,"suffix":""}],"container-title":"Journal of Cleaner Production","id":"ITEM-2","issued":{"date-parts":[["2020"]]},"page":"121069","publisher":"Elsevier Ltd","title":"Sustainability of cruise ship fuel systems: Comparison among LNG and diesel technologies","type":"article-journal","volume":"260"},"uris":["http://www.mendeley.com/documents/?uuid=fd7874d6-dc60-43a1-ab37-bc10771b1dc5"]}],"mendeley":{"formattedCitation":"(Iannaccone et al., 2020; The Maritime Executive, 2016)","plainTextFormattedCitation":"(Iannaccone et al., 2020; The Maritime Executive, 2016)","previouslyFormattedCitation":"(Iannaccone et al., 2020; The Maritime Executive, 2016)"},"properties":{"noteIndex":0},"schema":"https://github.com/citation-style-language/schema/raw/master/csl-citation.json"}</w:instrText>
      </w:r>
      <w:r w:rsidR="00080BCF">
        <w:rPr>
          <w:color w:val="000000" w:themeColor="text1"/>
          <w:lang w:val="en-GB"/>
        </w:rPr>
        <w:fldChar w:fldCharType="separate"/>
      </w:r>
      <w:r w:rsidR="001952B2" w:rsidRPr="001952B2">
        <w:rPr>
          <w:noProof/>
          <w:color w:val="000000" w:themeColor="text1"/>
          <w:lang w:val="en-GB"/>
        </w:rPr>
        <w:t>(Iannaccone et al., 2020; The Maritime Executive, 2016)</w:t>
      </w:r>
      <w:r w:rsidR="00080BCF">
        <w:rPr>
          <w:color w:val="000000" w:themeColor="text1"/>
          <w:lang w:val="en-GB"/>
        </w:rPr>
        <w:fldChar w:fldCharType="end"/>
      </w:r>
      <w:r w:rsidR="00A42EBA" w:rsidRPr="00CE5548">
        <w:rPr>
          <w:color w:val="000000" w:themeColor="text1"/>
          <w:lang w:val="en-GB"/>
        </w:rPr>
        <w:t>.</w:t>
      </w:r>
      <w:r w:rsidR="0031012E" w:rsidRPr="00CE5548">
        <w:rPr>
          <w:color w:val="000000" w:themeColor="text1"/>
          <w:lang w:val="en-GB"/>
        </w:rPr>
        <w:t xml:space="preserve"> </w:t>
      </w:r>
      <w:r w:rsidR="00882E87" w:rsidRPr="00CE5548">
        <w:rPr>
          <w:color w:val="000000" w:themeColor="text1"/>
          <w:lang w:val="en-GB"/>
        </w:rPr>
        <w:fldChar w:fldCharType="begin"/>
      </w:r>
      <w:r w:rsidR="00882E87" w:rsidRPr="00CE5548">
        <w:rPr>
          <w:color w:val="000000" w:themeColor="text1"/>
          <w:lang w:val="en-GB"/>
        </w:rPr>
        <w:instrText xml:space="preserve"> REF _Ref184283477 \h </w:instrText>
      </w:r>
      <w:r w:rsidR="00882E87" w:rsidRPr="00CE5548">
        <w:rPr>
          <w:color w:val="000000" w:themeColor="text1"/>
          <w:lang w:val="en-GB"/>
        </w:rPr>
      </w:r>
      <w:r w:rsidR="00882E87" w:rsidRPr="00CE5548">
        <w:rPr>
          <w:color w:val="000000" w:themeColor="text1"/>
          <w:lang w:val="en-GB"/>
        </w:rPr>
        <w:fldChar w:fldCharType="separate"/>
      </w:r>
      <w:r w:rsidR="00882E87" w:rsidRPr="00CE5548">
        <w:rPr>
          <w:lang w:val="en-GB"/>
        </w:rPr>
        <w:t>Table 2</w:t>
      </w:r>
      <w:r w:rsidR="00882E87" w:rsidRPr="00CE5548">
        <w:rPr>
          <w:color w:val="000000" w:themeColor="text1"/>
          <w:lang w:val="en-GB"/>
        </w:rPr>
        <w:fldChar w:fldCharType="end"/>
      </w:r>
      <w:r w:rsidR="00882E87" w:rsidRPr="00CE5548">
        <w:rPr>
          <w:color w:val="000000" w:themeColor="text1"/>
          <w:lang w:val="en-GB"/>
        </w:rPr>
        <w:t xml:space="preserve"> </w:t>
      </w:r>
      <w:r w:rsidR="00AE0563" w:rsidRPr="00CE5548">
        <w:rPr>
          <w:color w:val="000000" w:themeColor="text1"/>
          <w:lang w:val="en-GB"/>
        </w:rPr>
        <w:t xml:space="preserve">summarises the key data for the exhaust stream originating from the cruise ship under </w:t>
      </w:r>
      <w:r w:rsidR="00EB3FB2">
        <w:rPr>
          <w:color w:val="000000" w:themeColor="text1"/>
          <w:lang w:val="en-GB"/>
        </w:rPr>
        <w:t xml:space="preserve">operative </w:t>
      </w:r>
      <w:r w:rsidR="00AE0563" w:rsidRPr="00CE5548">
        <w:rPr>
          <w:color w:val="000000" w:themeColor="text1"/>
          <w:lang w:val="en-GB"/>
        </w:rPr>
        <w:t>consideration</w:t>
      </w:r>
      <w:r w:rsidR="00EB3FB2">
        <w:rPr>
          <w:color w:val="000000" w:themeColor="text1"/>
          <w:lang w:val="en-GB"/>
        </w:rPr>
        <w:t>s</w:t>
      </w:r>
      <w:r w:rsidR="00252BAD" w:rsidRPr="00CE5548">
        <w:rPr>
          <w:color w:val="000000" w:themeColor="text1"/>
          <w:lang w:val="en-GB"/>
        </w:rPr>
        <w:t>.</w:t>
      </w:r>
    </w:p>
    <w:p w14:paraId="423CF084" w14:textId="3BCF7EBF" w:rsidR="00CD0F49" w:rsidRPr="00CE5548" w:rsidRDefault="00CD0F49" w:rsidP="00D86989">
      <w:pPr>
        <w:pStyle w:val="CETCaption"/>
      </w:pPr>
      <w:bookmarkStart w:id="3" w:name="_Ref184283477"/>
      <w:r w:rsidRPr="00CE5548">
        <w:t xml:space="preserve">Table </w:t>
      </w:r>
      <w:r w:rsidRPr="00CE5548">
        <w:fldChar w:fldCharType="begin"/>
      </w:r>
      <w:r w:rsidRPr="00CE5548">
        <w:instrText xml:space="preserve"> SEQ Table \* ARABIC </w:instrText>
      </w:r>
      <w:r w:rsidRPr="00CE5548">
        <w:fldChar w:fldCharType="separate"/>
      </w:r>
      <w:r w:rsidRPr="00CE5548">
        <w:t>2</w:t>
      </w:r>
      <w:r w:rsidRPr="00CE5548">
        <w:fldChar w:fldCharType="end"/>
      </w:r>
      <w:bookmarkEnd w:id="3"/>
      <w:r w:rsidRPr="00CE5548">
        <w:t xml:space="preserve">: </w:t>
      </w:r>
      <w:r w:rsidR="00D86989" w:rsidRPr="00CE5548">
        <w:t xml:space="preserve">Flue gas characteristics associated with the considered passenger vessel </w:t>
      </w:r>
      <w:r w:rsidR="00D86989" w:rsidRPr="00CE5548">
        <w:fldChar w:fldCharType="begin" w:fldLock="1"/>
      </w:r>
      <w:r w:rsidR="00B5158F" w:rsidRPr="00CE5548">
        <w:instrText>ADDIN CSL_CITATION {"citationItems":[{"id":"ITEM-1","itemData":{"DOI":"10.1016/j.jclepro.2024.143343","ISSN":"09596526","abstract":"Limiting the carbon intensity of maritime transport is crucial to meet 2050 net-zero targets. Onboard carbon capture and storage (OCCS) offers a practical short-term solution for reducing shipping-related CO2 emissions until cleaner technologies are ready for large-scale adoption. This study introduces an innovative multi-objective approach to integrate sustainability into the conceptual design and decision-making phases of OCCS. A systematic technology screening identified possible OCCS solutions, which were then assessed for onboard feasibility. Specific indicators were defined to evaluate OCCS performance based on technological, economic, environmental, and social criteria, and aggregated sustainability perspectives. Using a fossil fuel-powered cruise ship as a case study, results were benchmarked against zero-carbon alternatives. Among the alternatives considered, chemical absorption by amine scrubbing (AS) and advanced cryogenic carbon capture (A3C) appeared as the only feasible solutions considering onboard energy requirements. The emerging cryogenic A3C concept resulted in being outperformed by benchmark AS, primarily due to an environmental impact 1.5 times higher. All alternative technologies, whether OCCS- or cleaner fuel-based, were found to be more sustainable than the baseline fossil fuel-based engine, lowering the environmental impact by at least 61%. Hydrogen as a marine fuel leads to the most promising scenario for future cleaner shipping operations, reducing the sustainability footprint by up to 76%. The robustness of the proposed method was confirmed by a probabilistic Monte Carlo sensitivity analysis. Overall, the results obtained can guide toward more informed solutions and policies promoting the sustainability of ship propulsion systems.","author":[{"dropping-particle":"","family":"Zanobetti","given":"Francesco","non-dropping-particle":"","parse-names":false,"suffix":""},{"dropping-particle":"","family":"Pio","given":"Gianmaria","non-dropping-particle":"","parse-names":false,"suffix":""},{"dropping-particle":"","family":"Bucelli","given":"Marta","non-dropping-particle":"","parse-names":false,"suffix":""},{"dropping-particle":"","family":"Miani","given":"Laura","non-dropping-particle":"","parse-names":false,"suffix":""},{"dropping-particle":"","family":"Jafarzadeh","given":"Sepideh","non-dropping-particle":"","parse-names":false,"suffix":""},{"dropping-particle":"","family":"Cozzani","given":"Valerio","non-dropping-particle":"","parse-names":false,"suffix":""}],"container-title":"Journal of Cleaner Production","id":"ITEM-1","issued":{"date-parts":[["2024"]]},"page":"143343","publisher":"Elsevier Ltd","title":"Onboard carbon capture and storage (OCCS) for fossil fuel-based shipping: A sustainability assessment","type":"article-journal","volume":"470"},"uris":["http://www.mendeley.com/documents/?uuid=831322a0-3851-4377-944a-5587178a3e85"]}],"mendeley":{"formattedCitation":"(Zanobetti et al., 2024)","plainTextFormattedCitation":"(Zanobetti et al., 2024)","previouslyFormattedCitation":"(Zanobetti et al., 2024)"},"properties":{"noteIndex":0},"schema":"https://github.com/citation-style-language/schema/raw/master/csl-citation.json"}</w:instrText>
      </w:r>
      <w:r w:rsidR="00D86989" w:rsidRPr="00CE5548">
        <w:fldChar w:fldCharType="separate"/>
      </w:r>
      <w:r w:rsidR="00D86989" w:rsidRPr="00CE5548">
        <w:rPr>
          <w:noProof/>
        </w:rPr>
        <w:t>(Zanobetti et al., 2024)</w:t>
      </w:r>
      <w:r w:rsidR="00D86989" w:rsidRPr="00CE5548">
        <w:fldChar w:fldCharType="end"/>
      </w:r>
      <w:r w:rsidR="00D86989" w:rsidRPr="00CE5548">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31"/>
        <w:gridCol w:w="2928"/>
        <w:gridCol w:w="2928"/>
      </w:tblGrid>
      <w:tr w:rsidR="00CD0F49" w:rsidRPr="00CE5548" w14:paraId="2E95BA6E" w14:textId="77777777" w:rsidTr="00644660">
        <w:tc>
          <w:tcPr>
            <w:tcW w:w="1668" w:type="pct"/>
            <w:tcBorders>
              <w:top w:val="single" w:sz="12" w:space="0" w:color="008000"/>
              <w:bottom w:val="single" w:sz="6" w:space="0" w:color="008000"/>
            </w:tcBorders>
            <w:shd w:val="clear" w:color="auto" w:fill="FFFFFF"/>
          </w:tcPr>
          <w:p w14:paraId="3D071A76" w14:textId="77777777" w:rsidR="00CD0F49" w:rsidRPr="00CE5548" w:rsidRDefault="00CD0F49" w:rsidP="00644660">
            <w:pPr>
              <w:pStyle w:val="CETBodytext"/>
              <w:rPr>
                <w:lang w:val="en-GB"/>
              </w:rPr>
            </w:pPr>
            <w:r w:rsidRPr="00CE5548">
              <w:rPr>
                <w:lang w:val="en-GB"/>
              </w:rPr>
              <w:t>Parameter</w:t>
            </w:r>
          </w:p>
        </w:tc>
        <w:tc>
          <w:tcPr>
            <w:tcW w:w="1666" w:type="pct"/>
            <w:tcBorders>
              <w:top w:val="single" w:sz="12" w:space="0" w:color="008000"/>
              <w:bottom w:val="single" w:sz="6" w:space="0" w:color="008000"/>
            </w:tcBorders>
            <w:shd w:val="clear" w:color="auto" w:fill="FFFFFF"/>
          </w:tcPr>
          <w:p w14:paraId="548EE31A" w14:textId="77777777" w:rsidR="00CD0F49" w:rsidRPr="00CE5548" w:rsidRDefault="00CD0F49" w:rsidP="00644660">
            <w:pPr>
              <w:pStyle w:val="CETBodytext"/>
              <w:rPr>
                <w:lang w:val="en-GB"/>
              </w:rPr>
            </w:pPr>
            <w:r w:rsidRPr="00CE5548">
              <w:rPr>
                <w:lang w:val="en-GB"/>
              </w:rPr>
              <w:t>Unit</w:t>
            </w:r>
          </w:p>
        </w:tc>
        <w:tc>
          <w:tcPr>
            <w:tcW w:w="1666" w:type="pct"/>
            <w:tcBorders>
              <w:top w:val="single" w:sz="12" w:space="0" w:color="008000"/>
              <w:bottom w:val="single" w:sz="6" w:space="0" w:color="008000"/>
            </w:tcBorders>
            <w:shd w:val="clear" w:color="auto" w:fill="FFFFFF"/>
          </w:tcPr>
          <w:p w14:paraId="08AB4C2B" w14:textId="77777777" w:rsidR="00CD0F49" w:rsidRPr="00CE5548" w:rsidRDefault="00CD0F49" w:rsidP="00644660">
            <w:pPr>
              <w:pStyle w:val="CETBodytext"/>
              <w:rPr>
                <w:lang w:val="en-GB"/>
              </w:rPr>
            </w:pPr>
            <w:r w:rsidRPr="00CE5548">
              <w:rPr>
                <w:lang w:val="en-GB"/>
              </w:rPr>
              <w:t>Value</w:t>
            </w:r>
          </w:p>
        </w:tc>
      </w:tr>
      <w:tr w:rsidR="00CD0F49" w:rsidRPr="00CE5548" w14:paraId="22FD2345" w14:textId="77777777" w:rsidTr="00644660">
        <w:tc>
          <w:tcPr>
            <w:tcW w:w="1668" w:type="pct"/>
            <w:shd w:val="clear" w:color="auto" w:fill="FFFFFF"/>
          </w:tcPr>
          <w:p w14:paraId="411DD944" w14:textId="77777777" w:rsidR="00CD0F49" w:rsidRPr="00CE5548" w:rsidRDefault="00CD0F49" w:rsidP="00644660">
            <w:pPr>
              <w:pStyle w:val="CETBodytext"/>
              <w:rPr>
                <w:lang w:val="en-GB"/>
              </w:rPr>
            </w:pPr>
            <w:r w:rsidRPr="00CE5548">
              <w:rPr>
                <w:lang w:val="en-GB"/>
              </w:rPr>
              <w:t>Flow rate</w:t>
            </w:r>
          </w:p>
        </w:tc>
        <w:tc>
          <w:tcPr>
            <w:tcW w:w="1666" w:type="pct"/>
            <w:shd w:val="clear" w:color="auto" w:fill="FFFFFF"/>
          </w:tcPr>
          <w:p w14:paraId="3124CE3C" w14:textId="77777777" w:rsidR="00CD0F49" w:rsidRPr="00CE5548" w:rsidRDefault="00CD0F49" w:rsidP="00644660">
            <w:pPr>
              <w:pStyle w:val="CETBodytext"/>
              <w:rPr>
                <w:lang w:val="en-GB"/>
              </w:rPr>
            </w:pPr>
            <w:r w:rsidRPr="00CE5548">
              <w:rPr>
                <w:lang w:val="en-GB"/>
              </w:rPr>
              <w:t>kg/s</w:t>
            </w:r>
          </w:p>
        </w:tc>
        <w:tc>
          <w:tcPr>
            <w:tcW w:w="1666" w:type="pct"/>
            <w:shd w:val="clear" w:color="auto" w:fill="FFFFFF"/>
          </w:tcPr>
          <w:p w14:paraId="6C08A70A" w14:textId="6FB1BD19" w:rsidR="00CD0F49" w:rsidRPr="00CE5548" w:rsidRDefault="009F7669" w:rsidP="00644660">
            <w:pPr>
              <w:pStyle w:val="CETBodytext"/>
              <w:rPr>
                <w:lang w:val="en-GB"/>
              </w:rPr>
            </w:pPr>
            <w:r>
              <w:rPr>
                <w:lang w:val="en-GB"/>
              </w:rPr>
              <w:t>51.88</w:t>
            </w:r>
          </w:p>
        </w:tc>
      </w:tr>
      <w:tr w:rsidR="00CD0F49" w:rsidRPr="00CE5548" w14:paraId="4C24098C" w14:textId="77777777" w:rsidTr="00644660">
        <w:tc>
          <w:tcPr>
            <w:tcW w:w="1668" w:type="pct"/>
            <w:shd w:val="clear" w:color="auto" w:fill="FFFFFF"/>
          </w:tcPr>
          <w:p w14:paraId="643ED2A0" w14:textId="77777777" w:rsidR="00CD0F49" w:rsidRPr="00CE5548" w:rsidRDefault="00CD0F49" w:rsidP="00644660">
            <w:pPr>
              <w:pStyle w:val="CETBodytext"/>
              <w:ind w:right="-1"/>
              <w:rPr>
                <w:rFonts w:cs="Arial"/>
                <w:szCs w:val="18"/>
                <w:lang w:val="en-GB"/>
              </w:rPr>
            </w:pPr>
            <w:r w:rsidRPr="00CE5548">
              <w:rPr>
                <w:rFonts w:cs="Arial"/>
                <w:szCs w:val="18"/>
                <w:lang w:val="en-GB"/>
              </w:rPr>
              <w:t>Temperature</w:t>
            </w:r>
          </w:p>
        </w:tc>
        <w:tc>
          <w:tcPr>
            <w:tcW w:w="1666" w:type="pct"/>
            <w:shd w:val="clear" w:color="auto" w:fill="FFFFFF"/>
          </w:tcPr>
          <w:p w14:paraId="592325AE" w14:textId="77777777" w:rsidR="00CD0F49" w:rsidRPr="00CE5548" w:rsidRDefault="00CD0F49" w:rsidP="00644660">
            <w:pPr>
              <w:pStyle w:val="CETBodytext"/>
              <w:ind w:right="-1"/>
              <w:rPr>
                <w:rFonts w:cs="Arial"/>
                <w:szCs w:val="18"/>
                <w:lang w:val="en-GB"/>
              </w:rPr>
            </w:pPr>
            <w:r w:rsidRPr="00CE5548">
              <w:rPr>
                <w:rFonts w:cs="Arial"/>
                <w:szCs w:val="18"/>
                <w:lang w:val="en-GB"/>
              </w:rPr>
              <w:t>°C</w:t>
            </w:r>
          </w:p>
        </w:tc>
        <w:tc>
          <w:tcPr>
            <w:tcW w:w="1666" w:type="pct"/>
            <w:shd w:val="clear" w:color="auto" w:fill="FFFFFF"/>
          </w:tcPr>
          <w:p w14:paraId="34697115" w14:textId="2D652294" w:rsidR="00CD0F49" w:rsidRPr="00CE5548" w:rsidRDefault="009F7669" w:rsidP="00644660">
            <w:pPr>
              <w:pStyle w:val="CETBodytext"/>
              <w:ind w:right="-1"/>
              <w:rPr>
                <w:rFonts w:cs="Arial"/>
                <w:szCs w:val="18"/>
                <w:lang w:val="en-GB"/>
              </w:rPr>
            </w:pPr>
            <w:r>
              <w:rPr>
                <w:rFonts w:cs="Arial"/>
                <w:szCs w:val="18"/>
                <w:lang w:val="en-GB"/>
              </w:rPr>
              <w:t>380</w:t>
            </w:r>
          </w:p>
        </w:tc>
      </w:tr>
      <w:tr w:rsidR="00CD0F49" w:rsidRPr="00CE5548" w14:paraId="5345F546" w14:textId="77777777" w:rsidTr="00644660">
        <w:tc>
          <w:tcPr>
            <w:tcW w:w="1668" w:type="pct"/>
            <w:shd w:val="clear" w:color="auto" w:fill="FFFFFF"/>
          </w:tcPr>
          <w:p w14:paraId="1D8F0E50" w14:textId="77777777" w:rsidR="00CD0F49" w:rsidRPr="00CE5548" w:rsidRDefault="00CD0F49" w:rsidP="00644660">
            <w:pPr>
              <w:pStyle w:val="CETBodytext"/>
              <w:ind w:right="-1"/>
              <w:rPr>
                <w:rFonts w:cs="Arial"/>
                <w:szCs w:val="18"/>
                <w:lang w:val="en-GB"/>
              </w:rPr>
            </w:pPr>
            <w:r w:rsidRPr="00CE5548">
              <w:rPr>
                <w:rFonts w:cs="Arial"/>
                <w:szCs w:val="18"/>
                <w:lang w:val="en-GB"/>
              </w:rPr>
              <w:t>Pressure</w:t>
            </w:r>
          </w:p>
        </w:tc>
        <w:tc>
          <w:tcPr>
            <w:tcW w:w="1666" w:type="pct"/>
            <w:shd w:val="clear" w:color="auto" w:fill="FFFFFF"/>
          </w:tcPr>
          <w:p w14:paraId="1424CD5C" w14:textId="64FB5593" w:rsidR="00CD0F49" w:rsidRPr="00CE5548" w:rsidRDefault="00882E87" w:rsidP="00644660">
            <w:pPr>
              <w:pStyle w:val="CETBodytext"/>
              <w:ind w:right="-1"/>
              <w:rPr>
                <w:rFonts w:cs="Arial"/>
                <w:szCs w:val="18"/>
                <w:lang w:val="en-GB"/>
              </w:rPr>
            </w:pPr>
            <w:r w:rsidRPr="00CE5548">
              <w:rPr>
                <w:rFonts w:cs="Arial"/>
                <w:szCs w:val="18"/>
                <w:lang w:val="en-GB"/>
              </w:rPr>
              <w:t>b</w:t>
            </w:r>
            <w:r w:rsidR="00CD0F49" w:rsidRPr="00CE5548">
              <w:rPr>
                <w:rFonts w:cs="Arial"/>
                <w:szCs w:val="18"/>
                <w:lang w:val="en-GB"/>
              </w:rPr>
              <w:t>ar</w:t>
            </w:r>
          </w:p>
        </w:tc>
        <w:tc>
          <w:tcPr>
            <w:tcW w:w="1666" w:type="pct"/>
            <w:shd w:val="clear" w:color="auto" w:fill="FFFFFF"/>
          </w:tcPr>
          <w:p w14:paraId="62E70209" w14:textId="77777777" w:rsidR="00CD0F49" w:rsidRPr="00CE5548" w:rsidRDefault="00CD0F49" w:rsidP="00644660">
            <w:pPr>
              <w:pStyle w:val="CETBodytext"/>
              <w:ind w:right="-1"/>
              <w:rPr>
                <w:rFonts w:cs="Arial"/>
                <w:szCs w:val="18"/>
                <w:lang w:val="en-GB"/>
              </w:rPr>
            </w:pPr>
            <w:r w:rsidRPr="00CE5548">
              <w:rPr>
                <w:rFonts w:cs="Arial"/>
                <w:szCs w:val="18"/>
                <w:lang w:val="en-GB"/>
              </w:rPr>
              <w:t>1.01</w:t>
            </w:r>
          </w:p>
        </w:tc>
      </w:tr>
      <w:tr w:rsidR="00CD0F49" w:rsidRPr="00CE5548" w14:paraId="62CCD9C7" w14:textId="77777777" w:rsidTr="00644660">
        <w:tc>
          <w:tcPr>
            <w:tcW w:w="1668" w:type="pct"/>
            <w:shd w:val="clear" w:color="auto" w:fill="FFFFFF"/>
          </w:tcPr>
          <w:p w14:paraId="3DDF6EBF" w14:textId="77777777" w:rsidR="00CD0F49" w:rsidRPr="00CE5548" w:rsidRDefault="00CD0F49" w:rsidP="00644660">
            <w:pPr>
              <w:pStyle w:val="CETBodytext"/>
              <w:ind w:right="-1"/>
              <w:rPr>
                <w:rFonts w:cs="Arial"/>
                <w:szCs w:val="18"/>
                <w:lang w:val="en-GB"/>
              </w:rPr>
            </w:pPr>
            <w:r w:rsidRPr="00CE5548">
              <w:rPr>
                <w:rFonts w:cs="Arial"/>
                <w:szCs w:val="18"/>
                <w:lang w:val="en-GB"/>
              </w:rPr>
              <w:t>CO</w:t>
            </w:r>
            <w:r w:rsidRPr="00CE5548">
              <w:rPr>
                <w:rFonts w:cs="Arial"/>
                <w:szCs w:val="18"/>
                <w:vertAlign w:val="subscript"/>
                <w:lang w:val="en-GB"/>
              </w:rPr>
              <w:t>2</w:t>
            </w:r>
            <w:r w:rsidRPr="00CE5548">
              <w:rPr>
                <w:rFonts w:cs="Arial"/>
                <w:szCs w:val="18"/>
                <w:lang w:val="en-GB"/>
              </w:rPr>
              <w:t xml:space="preserve"> concentration</w:t>
            </w:r>
          </w:p>
        </w:tc>
        <w:tc>
          <w:tcPr>
            <w:tcW w:w="1666" w:type="pct"/>
            <w:shd w:val="clear" w:color="auto" w:fill="FFFFFF"/>
          </w:tcPr>
          <w:p w14:paraId="3FA879F1" w14:textId="77777777" w:rsidR="00CD0F49" w:rsidRPr="00CE5548" w:rsidRDefault="00CD0F49" w:rsidP="00644660">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3D5AE340" w14:textId="2336644D" w:rsidR="00CD0F49" w:rsidRPr="00CE5548" w:rsidRDefault="009F7669" w:rsidP="00644660">
            <w:pPr>
              <w:pStyle w:val="CETBodytext"/>
              <w:ind w:right="-1"/>
              <w:rPr>
                <w:rFonts w:cs="Arial"/>
                <w:szCs w:val="18"/>
                <w:lang w:val="en-GB"/>
              </w:rPr>
            </w:pPr>
            <w:r>
              <w:rPr>
                <w:rFonts w:cs="Arial"/>
                <w:szCs w:val="18"/>
                <w:lang w:val="en-GB"/>
              </w:rPr>
              <w:t>4.9</w:t>
            </w:r>
          </w:p>
        </w:tc>
      </w:tr>
      <w:tr w:rsidR="00CD0F49" w:rsidRPr="00CE5548" w14:paraId="7F5E5AFE" w14:textId="77777777" w:rsidTr="00644660">
        <w:tc>
          <w:tcPr>
            <w:tcW w:w="1668" w:type="pct"/>
            <w:shd w:val="clear" w:color="auto" w:fill="FFFFFF"/>
          </w:tcPr>
          <w:p w14:paraId="67CB84BA" w14:textId="77777777" w:rsidR="00CD0F49" w:rsidRPr="00CE5548" w:rsidRDefault="00CD0F49" w:rsidP="00644660">
            <w:pPr>
              <w:pStyle w:val="CETBodytext"/>
              <w:ind w:right="-1"/>
              <w:rPr>
                <w:rFonts w:cs="Arial"/>
                <w:szCs w:val="18"/>
                <w:lang w:val="en-GB"/>
              </w:rPr>
            </w:pPr>
            <w:r w:rsidRPr="00CE5548">
              <w:rPr>
                <w:rFonts w:cs="Arial"/>
                <w:szCs w:val="18"/>
                <w:lang w:val="en-GB"/>
              </w:rPr>
              <w:t>N</w:t>
            </w:r>
            <w:r w:rsidRPr="00CE5548">
              <w:rPr>
                <w:rFonts w:cs="Arial"/>
                <w:szCs w:val="18"/>
                <w:vertAlign w:val="subscript"/>
                <w:lang w:val="en-GB"/>
              </w:rPr>
              <w:t>2</w:t>
            </w:r>
            <w:r w:rsidRPr="00CE5548">
              <w:rPr>
                <w:rFonts w:cs="Arial"/>
                <w:szCs w:val="18"/>
                <w:lang w:val="en-GB"/>
              </w:rPr>
              <w:t xml:space="preserve"> concentration</w:t>
            </w:r>
          </w:p>
        </w:tc>
        <w:tc>
          <w:tcPr>
            <w:tcW w:w="1666" w:type="pct"/>
            <w:shd w:val="clear" w:color="auto" w:fill="FFFFFF"/>
          </w:tcPr>
          <w:p w14:paraId="05AFC0D2" w14:textId="77777777" w:rsidR="00CD0F49" w:rsidRPr="00CE5548" w:rsidRDefault="00CD0F49" w:rsidP="00644660">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4284E552" w14:textId="0332AD1F" w:rsidR="00CD0F49" w:rsidRPr="00CE5548" w:rsidRDefault="009C673C" w:rsidP="00644660">
            <w:pPr>
              <w:pStyle w:val="CETBodytext"/>
              <w:ind w:right="-1"/>
              <w:rPr>
                <w:rFonts w:cs="Arial"/>
                <w:szCs w:val="18"/>
                <w:lang w:val="en-GB"/>
              </w:rPr>
            </w:pPr>
            <w:r>
              <w:rPr>
                <w:rFonts w:cs="Arial"/>
                <w:szCs w:val="18"/>
                <w:lang w:val="en-GB"/>
              </w:rPr>
              <w:t>75.0</w:t>
            </w:r>
          </w:p>
        </w:tc>
      </w:tr>
      <w:tr w:rsidR="00CD0F49" w:rsidRPr="00CE5548" w14:paraId="2EB21965" w14:textId="77777777" w:rsidTr="00644660">
        <w:tc>
          <w:tcPr>
            <w:tcW w:w="1668" w:type="pct"/>
            <w:shd w:val="clear" w:color="auto" w:fill="FFFFFF"/>
          </w:tcPr>
          <w:p w14:paraId="61D5CB2A" w14:textId="77777777" w:rsidR="00CD0F49" w:rsidRPr="00CE5548" w:rsidRDefault="00CD0F49" w:rsidP="00644660">
            <w:pPr>
              <w:pStyle w:val="CETBodytext"/>
              <w:ind w:right="-1"/>
              <w:rPr>
                <w:rFonts w:cs="Arial"/>
                <w:szCs w:val="18"/>
                <w:lang w:val="en-GB"/>
              </w:rPr>
            </w:pPr>
            <w:r w:rsidRPr="00CE5548">
              <w:rPr>
                <w:rFonts w:cs="Arial"/>
                <w:szCs w:val="18"/>
                <w:lang w:val="en-GB"/>
              </w:rPr>
              <w:t>O</w:t>
            </w:r>
            <w:r w:rsidRPr="00CE5548">
              <w:rPr>
                <w:rFonts w:cs="Arial"/>
                <w:szCs w:val="18"/>
                <w:vertAlign w:val="subscript"/>
                <w:lang w:val="en-GB"/>
              </w:rPr>
              <w:t>2</w:t>
            </w:r>
            <w:r w:rsidRPr="00CE5548">
              <w:rPr>
                <w:rFonts w:cs="Arial"/>
                <w:szCs w:val="18"/>
                <w:lang w:val="en-GB"/>
              </w:rPr>
              <w:t xml:space="preserve"> concentration</w:t>
            </w:r>
          </w:p>
        </w:tc>
        <w:tc>
          <w:tcPr>
            <w:tcW w:w="1666" w:type="pct"/>
            <w:shd w:val="clear" w:color="auto" w:fill="FFFFFF"/>
          </w:tcPr>
          <w:p w14:paraId="61E00510" w14:textId="77777777" w:rsidR="00CD0F49" w:rsidRPr="00CE5548" w:rsidRDefault="00CD0F49" w:rsidP="00644660">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6A2F2BD9" w14:textId="013D0608" w:rsidR="00CD0F49" w:rsidRPr="00CE5548" w:rsidRDefault="00CD0F49" w:rsidP="00644660">
            <w:pPr>
              <w:pStyle w:val="CETBodytext"/>
              <w:ind w:right="-1"/>
              <w:rPr>
                <w:rFonts w:cs="Arial"/>
                <w:szCs w:val="18"/>
                <w:lang w:val="en-GB"/>
              </w:rPr>
            </w:pPr>
            <w:r w:rsidRPr="00CE5548">
              <w:rPr>
                <w:rFonts w:cs="Arial"/>
                <w:szCs w:val="18"/>
                <w:lang w:val="en-GB"/>
              </w:rPr>
              <w:t>10</w:t>
            </w:r>
            <w:r w:rsidR="009C673C">
              <w:rPr>
                <w:rFonts w:cs="Arial"/>
                <w:szCs w:val="18"/>
                <w:lang w:val="en-GB"/>
              </w:rPr>
              <w:t>.2</w:t>
            </w:r>
          </w:p>
        </w:tc>
      </w:tr>
      <w:tr w:rsidR="00CD0F49" w:rsidRPr="00CE5548" w14:paraId="1CABEE1D" w14:textId="77777777" w:rsidTr="00644660">
        <w:tc>
          <w:tcPr>
            <w:tcW w:w="1668" w:type="pct"/>
            <w:shd w:val="clear" w:color="auto" w:fill="FFFFFF"/>
          </w:tcPr>
          <w:p w14:paraId="0185114F" w14:textId="77777777" w:rsidR="00CD0F49" w:rsidRPr="00CE5548" w:rsidRDefault="00CD0F49" w:rsidP="00644660">
            <w:pPr>
              <w:pStyle w:val="CETBodytext"/>
              <w:ind w:right="-1"/>
              <w:rPr>
                <w:rFonts w:cs="Arial"/>
                <w:szCs w:val="18"/>
                <w:lang w:val="en-GB"/>
              </w:rPr>
            </w:pPr>
            <w:r w:rsidRPr="00CE5548">
              <w:rPr>
                <w:rFonts w:cs="Arial"/>
                <w:szCs w:val="18"/>
                <w:lang w:val="en-GB"/>
              </w:rPr>
              <w:t>H</w:t>
            </w:r>
            <w:r w:rsidRPr="00CE5548">
              <w:rPr>
                <w:rFonts w:cs="Arial"/>
                <w:szCs w:val="18"/>
                <w:vertAlign w:val="subscript"/>
                <w:lang w:val="en-GB"/>
              </w:rPr>
              <w:t>2</w:t>
            </w:r>
            <w:r w:rsidRPr="00CE5548">
              <w:rPr>
                <w:rFonts w:cs="Arial"/>
                <w:szCs w:val="18"/>
                <w:lang w:val="en-GB"/>
              </w:rPr>
              <w:t>O concentration</w:t>
            </w:r>
          </w:p>
        </w:tc>
        <w:tc>
          <w:tcPr>
            <w:tcW w:w="1666" w:type="pct"/>
            <w:shd w:val="clear" w:color="auto" w:fill="FFFFFF"/>
          </w:tcPr>
          <w:p w14:paraId="68F5C077" w14:textId="77777777" w:rsidR="00CD0F49" w:rsidRPr="00CE5548" w:rsidRDefault="00CD0F49" w:rsidP="00644660">
            <w:pPr>
              <w:pStyle w:val="CETBodytext"/>
              <w:ind w:right="-1"/>
              <w:rPr>
                <w:rFonts w:cs="Arial"/>
                <w:szCs w:val="18"/>
                <w:lang w:val="en-GB"/>
              </w:rPr>
            </w:pPr>
            <w:r w:rsidRPr="00CE5548">
              <w:rPr>
                <w:rFonts w:cs="Arial"/>
                <w:szCs w:val="18"/>
                <w:lang w:val="en-GB"/>
              </w:rPr>
              <w:t>mol.%</w:t>
            </w:r>
          </w:p>
        </w:tc>
        <w:tc>
          <w:tcPr>
            <w:tcW w:w="1666" w:type="pct"/>
            <w:shd w:val="clear" w:color="auto" w:fill="FFFFFF"/>
          </w:tcPr>
          <w:p w14:paraId="36E57AFC" w14:textId="7E593425" w:rsidR="00CD0F49" w:rsidRPr="00CE5548" w:rsidRDefault="00CD0F49" w:rsidP="00644660">
            <w:pPr>
              <w:pStyle w:val="CETBodytext"/>
              <w:ind w:right="-1"/>
              <w:rPr>
                <w:rFonts w:cs="Arial"/>
                <w:szCs w:val="18"/>
                <w:lang w:val="en-GB"/>
              </w:rPr>
            </w:pPr>
            <w:r w:rsidRPr="00CE5548">
              <w:rPr>
                <w:rFonts w:cs="Arial"/>
                <w:szCs w:val="18"/>
                <w:lang w:val="en-GB"/>
              </w:rPr>
              <w:t>9</w:t>
            </w:r>
            <w:r w:rsidR="009C673C">
              <w:rPr>
                <w:rFonts w:cs="Arial"/>
                <w:szCs w:val="18"/>
                <w:lang w:val="en-GB"/>
              </w:rPr>
              <w:t>.7</w:t>
            </w:r>
          </w:p>
        </w:tc>
      </w:tr>
    </w:tbl>
    <w:p w14:paraId="1B483ADE" w14:textId="77777777" w:rsidR="00CD0F49" w:rsidRPr="00CE5548" w:rsidRDefault="00CD0F49" w:rsidP="00780B57">
      <w:pPr>
        <w:pStyle w:val="CETBodytext"/>
        <w:rPr>
          <w:color w:val="000000" w:themeColor="text1"/>
          <w:lang w:val="en-GB"/>
        </w:rPr>
      </w:pPr>
    </w:p>
    <w:p w14:paraId="62AA38AB" w14:textId="6ADDCA30" w:rsidR="00CC5512" w:rsidRPr="00CE5548" w:rsidRDefault="006D5707" w:rsidP="00780B57">
      <w:pPr>
        <w:pStyle w:val="CETBodytext"/>
        <w:rPr>
          <w:color w:val="000000" w:themeColor="text1"/>
          <w:lang w:val="en-GB"/>
        </w:rPr>
      </w:pPr>
      <w:r w:rsidRPr="006D5707">
        <w:rPr>
          <w:color w:val="000000" w:themeColor="text1"/>
          <w:lang w:val="en-GB"/>
        </w:rPr>
        <w:t>Analogous to the hard-to-abate industry case study, three alternative CO</w:t>
      </w:r>
      <w:r w:rsidRPr="006D5707">
        <w:rPr>
          <w:color w:val="000000" w:themeColor="text1"/>
          <w:vertAlign w:val="subscript"/>
          <w:lang w:val="en-GB"/>
        </w:rPr>
        <w:t>2</w:t>
      </w:r>
      <w:r w:rsidRPr="006D5707">
        <w:rPr>
          <w:color w:val="000000" w:themeColor="text1"/>
          <w:lang w:val="en-GB"/>
        </w:rPr>
        <w:t xml:space="preserve"> capture technologies were selected for comparative analysis. Solvent-based absorption and adsorption were chosen due to their established maturity in commercial carbon capture applications</w:t>
      </w:r>
      <w:r w:rsidR="009774B0">
        <w:rPr>
          <w:color w:val="000000" w:themeColor="text1"/>
          <w:lang w:val="en-GB"/>
        </w:rPr>
        <w:t xml:space="preserve"> </w:t>
      </w:r>
      <w:r w:rsidR="009774B0">
        <w:rPr>
          <w:color w:val="000000" w:themeColor="text1"/>
          <w:lang w:val="en-GB"/>
        </w:rPr>
        <w:fldChar w:fldCharType="begin" w:fldLock="1"/>
      </w:r>
      <w:r w:rsidR="009774B0">
        <w:rPr>
          <w:color w:val="000000" w:themeColor="text1"/>
          <w:lang w:val="en-GB"/>
        </w:rPr>
        <w:instrText>ADDIN CSL_CITATION {"citationItems":[{"id":"ITEM-1","itemData":{"DOI":"10.1016/j.cogsc.2024.100895","ISSN":"24522236","abstract":"This short paper suggests a review of the latest developments and current challenges associated with carbon dioxide capture, utilization and storage. Recent research has been conducted to reduce energy consumption, costs, and improve efficiency. In carbon dioxide capture, catalysts have been added to solvents while new membranes and sorbent materials have been investigated. In mineral carbon dioxide storage, studies have been carried out to improve reaction rates. Regarding the utilization path, attention has been focused on the development of sustainable chemicals (mainly based on electrochemical conversion), biochemical routes and power generation. Considering the respective challenges, future efforts should be focused toward the optimization of these systems at all levels, in addition to a public acceptance and new policies and regulations for their spread.","author":[{"dropping-particle":"","family":"Leonzio","given":"Grazia","non-dropping-particle":"","parse-names":false,"suffix":""},{"dropping-particle":"","family":"Shah","given":"Nilay","non-dropping-particle":"","parse-names":false,"suffix":""}],"container-title":"Current Opinion in Green and Sustainable Chemistry","id":"ITEM-1","issued":{"date-parts":[["2024"]]},"page":"100895","publisher":"The Authors","title":"Recent advancements and challenges in carbon capture, utilization and storage","type":"article-journal","volume":"46"},"uris":["http://www.mendeley.com/documents/?uuid=31d6435f-cfb2-4892-9f13-69726f1d81b4"]}],"mendeley":{"formattedCitation":"(Leonzio and Shah, 2024)","plainTextFormattedCitation":"(Leonzio and Shah, 2024)","previouslyFormattedCitation":"(Leonzio and Shah, 2024)"},"properties":{"noteIndex":0},"schema":"https://github.com/citation-style-language/schema/raw/master/csl-citation.json"}</w:instrText>
      </w:r>
      <w:r w:rsidR="009774B0">
        <w:rPr>
          <w:color w:val="000000" w:themeColor="text1"/>
          <w:lang w:val="en-GB"/>
        </w:rPr>
        <w:fldChar w:fldCharType="separate"/>
      </w:r>
      <w:r w:rsidR="009774B0" w:rsidRPr="009774B0">
        <w:rPr>
          <w:noProof/>
          <w:color w:val="000000" w:themeColor="text1"/>
          <w:lang w:val="en-GB"/>
        </w:rPr>
        <w:t>(Leonzio and Shah, 2024)</w:t>
      </w:r>
      <w:r w:rsidR="009774B0">
        <w:rPr>
          <w:color w:val="000000" w:themeColor="text1"/>
          <w:lang w:val="en-GB"/>
        </w:rPr>
        <w:fldChar w:fldCharType="end"/>
      </w:r>
      <w:r w:rsidRPr="006D5707">
        <w:rPr>
          <w:color w:val="000000" w:themeColor="text1"/>
          <w:lang w:val="en-GB"/>
        </w:rPr>
        <w:t>. Cryogenic separation was included as a third option, given its growing prominence as a promising alternative to conventional solvent-based technologies, particularly in maritime applications</w:t>
      </w:r>
      <w:r w:rsidR="009774B0">
        <w:rPr>
          <w:color w:val="000000" w:themeColor="text1"/>
          <w:lang w:val="en-GB"/>
        </w:rPr>
        <w:t xml:space="preserve"> </w:t>
      </w:r>
      <w:r w:rsidR="009774B0">
        <w:rPr>
          <w:color w:val="000000" w:themeColor="text1"/>
          <w:lang w:val="en-GB"/>
        </w:rPr>
        <w:fldChar w:fldCharType="begin" w:fldLock="1"/>
      </w:r>
      <w:r w:rsidR="008D0F4F">
        <w:rPr>
          <w:color w:val="000000" w:themeColor="text1"/>
          <w:lang w:val="en-GB"/>
        </w:rPr>
        <w:instrText>ADDIN CSL_CITATION {"citationItems":[{"id":"ITEM-1","itemData":{"DOI":"10.3390/c7030058","ISSN":"2311-5629","abstract":"Our ever-increasing interest in economic growth is leading the way to the decline of natural resources, the detriment of air quality, and is fostering climate change. One potential solution to reduce carbon dioxide emissions from industrial emitters is the exploitation of carbon capture and storage (CCS). Among the various CO2 separation technologies, cryogenic carbon capture (CCC) could emerge by offering high CO2 recovery rates and purity levels. This review covers the different CCC methods that are being developed, their benefits, and the current challenges deterring their commercialisation. It also offers an appraisal for selected feasible small- and large-scale CCC applications, including blue hydrogen production and direct air capture. This work considers their technological readiness for CCC deployment and acknowledges competing technologies and ends by providing some insights into future directions related to the R&amp;D for CCC systems.","author":[{"dropping-particle":"","family":"Font-Palma","given":"Carolina","non-dropping-particle":"","parse-names":false,"suffix":""},{"dropping-particle":"","family":"Cann","given":"David","non-dropping-particle":"","parse-names":false,"suffix":""},{"dropping-particle":"","family":"Udemu","given":"Chinonyelum","non-dropping-particle":"","parse-names":false,"suffix":""}],"container-title":"C","id":"ITEM-1","issue":"3","issued":{"date-parts":[["2021"]]},"page":"58","title":"Review of Cryogenic Carbon Capture Innovations and Their Potential Applications","type":"article-journal","volume":"7"},"uris":["http://www.mendeley.com/documents/?uuid=8cfd7d5d-bdb6-4db7-9296-e18f38f34e2b"]}],"mendeley":{"formattedCitation":"(Font-Palma et al., 2021)","plainTextFormattedCitation":"(Font-Palma et al., 2021)","previouslyFormattedCitation":"(Font-Palma et al., 2021)"},"properties":{"noteIndex":0},"schema":"https://github.com/citation-style-language/schema/raw/master/csl-citation.json"}</w:instrText>
      </w:r>
      <w:r w:rsidR="009774B0">
        <w:rPr>
          <w:color w:val="000000" w:themeColor="text1"/>
          <w:lang w:val="en-GB"/>
        </w:rPr>
        <w:fldChar w:fldCharType="separate"/>
      </w:r>
      <w:r w:rsidR="009774B0" w:rsidRPr="009774B0">
        <w:rPr>
          <w:noProof/>
          <w:color w:val="000000" w:themeColor="text1"/>
          <w:lang w:val="en-GB"/>
        </w:rPr>
        <w:t>(Font-Palma et al., 2021)</w:t>
      </w:r>
      <w:r w:rsidR="009774B0">
        <w:rPr>
          <w:color w:val="000000" w:themeColor="text1"/>
          <w:lang w:val="en-GB"/>
        </w:rPr>
        <w:fldChar w:fldCharType="end"/>
      </w:r>
      <w:r w:rsidRPr="006D5707">
        <w:rPr>
          <w:color w:val="000000" w:themeColor="text1"/>
          <w:lang w:val="en-GB"/>
        </w:rPr>
        <w:t>.</w:t>
      </w:r>
      <w:r w:rsidR="00072B74">
        <w:rPr>
          <w:color w:val="000000" w:themeColor="text1"/>
          <w:lang w:val="en-GB"/>
        </w:rPr>
        <w:t xml:space="preserve"> </w:t>
      </w:r>
      <w:r w:rsidRPr="006D5707">
        <w:rPr>
          <w:color w:val="000000" w:themeColor="text1"/>
          <w:lang w:val="en-GB"/>
        </w:rPr>
        <w:t xml:space="preserve">The process modelling approaches outlined by </w:t>
      </w:r>
      <w:r w:rsidR="00CE5548" w:rsidRPr="00CE5548">
        <w:rPr>
          <w:color w:val="000000" w:themeColor="text1"/>
          <w:lang w:val="en-GB"/>
        </w:rPr>
        <w:fldChar w:fldCharType="begin" w:fldLock="1"/>
      </w:r>
      <w:r w:rsidR="00CE5548" w:rsidRPr="00CE5548">
        <w:rPr>
          <w:color w:val="000000" w:themeColor="text1"/>
          <w:lang w:val="en-GB"/>
        </w:rPr>
        <w:instrText>ADDIN CSL_CITATION {"citationItems":[{"id":"ITEM-1","itemData":{"ISBN":"978-3-030-04578-4","abstract":"This book focuses on modelling issues and their implications for the correct design of reactive absorption{\\textendash}desorption systems. In addition, it addresses the case of carbon dioxide (CO2) post-combustion capture in detail. The book proposes a new perspective on these systems, and provides technological solutions with comparisons to previous treatments of the subject. The model that is proposed is subsequently validated using experimental data. In addition, the book features graphs to guide readers with immediate visualizations of the benefits of the methodology proposed. It shows a systematic procedure for the steady-state model-based design of a CO2 post-combustion capture plant that employs reactive absorption-stripping, using monoethanolamine as the solvent. It also discusses the minimization of energy consumption, both through the modification of the plant flowsheet and the set-up of the operating parameters. The book offers a unique source of information for researchers and practitioners alike, as it also includes an economic analysis of the complete plant. Further, it will be of interest to all academics and students whose work involves reactive absorption-stripping design and the modelling of reactive absorption-stripping systems.","author":[{"dropping-particle":"","family":"Madeddu","given":"Claudio","non-dropping-particle":"","parse-names":false,"suffix":""},{"dropping-particle":"","family":"Errico","given":"Massimiliano","non-dropping-particle":"","parse-names":false,"suffix":""},{"dropping-particle":"","family":"Baratti","given":"Roberto","non-dropping-particle":"","parse-names":false,"suffix":""}],"container-title":"Editorial Springer","id":"ITEM-1","issued":{"date-parts":[["2019"]]},"number-of-pages":"13-14","title":"CO2 Capture by Reactive Absorption-Stripping","type":"book"},"uris":["http://www.mendeley.com/documents/?uuid=b42be1bb-e0cf-4c1d-9892-e2d1e430b2fe"]}],"mendeley":{"formattedCitation":"(Madeddu et al., 2019)","manualFormatting":"Madeddu et al. (2019)","plainTextFormattedCitation":"(Madeddu et al., 2019)","previouslyFormattedCitation":"(Madeddu et al., 2019)"},"properties":{"noteIndex":0},"schema":"https://github.com/citation-style-language/schema/raw/master/csl-citation.json"}</w:instrText>
      </w:r>
      <w:r w:rsidR="00CE5548" w:rsidRPr="00CE5548">
        <w:rPr>
          <w:color w:val="000000" w:themeColor="text1"/>
          <w:lang w:val="en-GB"/>
        </w:rPr>
        <w:fldChar w:fldCharType="separate"/>
      </w:r>
      <w:r w:rsidR="00CE5548" w:rsidRPr="00CE5548">
        <w:rPr>
          <w:noProof/>
          <w:color w:val="000000" w:themeColor="text1"/>
          <w:lang w:val="en-GB"/>
        </w:rPr>
        <w:t>Madeddu et al. (2019)</w:t>
      </w:r>
      <w:r w:rsidR="00CE5548" w:rsidRPr="00CE5548">
        <w:rPr>
          <w:color w:val="000000" w:themeColor="text1"/>
          <w:lang w:val="en-GB"/>
        </w:rPr>
        <w:fldChar w:fldCharType="end"/>
      </w:r>
      <w:r w:rsidR="00CE5548" w:rsidRPr="00CE5548">
        <w:rPr>
          <w:color w:val="000000" w:themeColor="text1"/>
          <w:lang w:val="en-GB"/>
        </w:rPr>
        <w:t xml:space="preserve"> and </w:t>
      </w:r>
      <w:r w:rsidR="00CE5548" w:rsidRPr="00CE5548">
        <w:rPr>
          <w:color w:val="000000" w:themeColor="text1"/>
          <w:lang w:val="en-GB"/>
        </w:rPr>
        <w:fldChar w:fldCharType="begin" w:fldLock="1"/>
      </w:r>
      <w:r w:rsidR="00CE5548" w:rsidRPr="00CE5548">
        <w:rPr>
          <w:color w:val="000000" w:themeColor="text1"/>
          <w:lang w:val="en-GB"/>
        </w:rPr>
        <w:instrText>ADDIN CSL_CITATION {"citationItems":[{"id":"ITEM-1","itemData":{"DOI":"10.1021/ie070831e","ISSN":"08885885","abstract":"Pressure swing adsorption (PSA) processes have been used extensively for gas separation, especially in the separation of hydrogen from CO2, and in air purification. The objective of this paper is to examine the economic feasibility of pressure swing adsorption (PSA) for recovering CO2 from postcombustion power plant flue gas. The analysis considers both high-pressure feed and vacuum desorption using commercial adsorbent 13X, which has a working capacity of 2.2 mol/kg and CO2/N2 selectivity of 54. The results show that using vacuum desorption reduces the capture cost from US$57 to US$51 per ton of CO2 avoided and is comparable in cost to CO2 capture using conventional MEA absorption of US$49 per ton of CO2 avoided. In this paper, a sensitivity analysis is also presented showing the effect on the capture cost with changes in process cycle; feed pressure and evacuation pressure; improvements the adsorbent characteristics; and selectivity and working capacity. The results show that a hypothetical adsorbent with a working capacity of 4.3 mol/kg and a CO2/N2 selectivity of 150 can reduce the capture cost to US$30 per ton of CO2 avoided.","author":[{"dropping-particle":"","family":"Ho","given":"Minh T.","non-dropping-particle":"","parse-names":false,"suffix":""},{"dropping-particle":"","family":"Allinson","given":"Guy W.","non-dropping-particle":"","parse-names":false,"suffix":""},{"dropping-particle":"","family":"Wiley","given":"Dianne E.","non-dropping-particle":"","parse-names":false,"suffix":""}],"container-title":"Industrial and Engineering Chemistry Research","id":"ITEM-1","issue":"14","issued":{"date-parts":[["2008"]]},"page":"4883-4890","title":"Reducing the cost of CO2 capture from flue gases using pressure swing adsorption","type":"article-journal","volume":"47"},"uris":["http://www.mendeley.com/documents/?uuid=b85ceaad-9da1-4d5d-8391-b6510c4809d2"]}],"mendeley":{"formattedCitation":"(Ho et al., 2008)","manualFormatting":"Ho et al. (2008)","plainTextFormattedCitation":"(Ho et al., 2008)","previouslyFormattedCitation":"(Ho et al., 2008)"},"properties":{"noteIndex":0},"schema":"https://github.com/citation-style-language/schema/raw/master/csl-citation.json"}</w:instrText>
      </w:r>
      <w:r w:rsidR="00CE5548" w:rsidRPr="00CE5548">
        <w:rPr>
          <w:color w:val="000000" w:themeColor="text1"/>
          <w:lang w:val="en-GB"/>
        </w:rPr>
        <w:fldChar w:fldCharType="separate"/>
      </w:r>
      <w:r w:rsidR="00CE5548" w:rsidRPr="00CE5548">
        <w:rPr>
          <w:noProof/>
          <w:color w:val="000000" w:themeColor="text1"/>
          <w:lang w:val="en-GB"/>
        </w:rPr>
        <w:t>Ho et al. (2008)</w:t>
      </w:r>
      <w:r w:rsidR="00CE5548" w:rsidRPr="00CE5548">
        <w:rPr>
          <w:color w:val="000000" w:themeColor="text1"/>
          <w:lang w:val="en-GB"/>
        </w:rPr>
        <w:fldChar w:fldCharType="end"/>
      </w:r>
      <w:r w:rsidRPr="006D5707">
        <w:rPr>
          <w:color w:val="000000" w:themeColor="text1"/>
          <w:lang w:val="en-GB"/>
        </w:rPr>
        <w:t xml:space="preserve"> were utilised to simulate amine scrubbing for solvent-based absorption and </w:t>
      </w:r>
      <w:r w:rsidR="001D69F9">
        <w:rPr>
          <w:color w:val="000000" w:themeColor="text1"/>
          <w:lang w:val="en-GB"/>
        </w:rPr>
        <w:t>PSA</w:t>
      </w:r>
      <w:r w:rsidRPr="006D5707">
        <w:rPr>
          <w:color w:val="000000" w:themeColor="text1"/>
          <w:lang w:val="en-GB"/>
        </w:rPr>
        <w:t xml:space="preserve"> for the adsorption strategy, respectively. Additionally, the </w:t>
      </w:r>
      <w:r w:rsidR="00E357A7">
        <w:rPr>
          <w:color w:val="000000" w:themeColor="text1"/>
          <w:lang w:val="en-GB"/>
        </w:rPr>
        <w:t>A</w:t>
      </w:r>
      <w:r w:rsidRPr="006D5707">
        <w:rPr>
          <w:color w:val="000000" w:themeColor="text1"/>
          <w:lang w:val="en-GB"/>
        </w:rPr>
        <w:t xml:space="preserve">dvanced </w:t>
      </w:r>
      <w:r w:rsidR="00E357A7">
        <w:rPr>
          <w:color w:val="000000" w:themeColor="text1"/>
          <w:lang w:val="en-GB"/>
        </w:rPr>
        <w:t>C</w:t>
      </w:r>
      <w:r w:rsidRPr="006D5707">
        <w:rPr>
          <w:color w:val="000000" w:themeColor="text1"/>
          <w:lang w:val="en-GB"/>
        </w:rPr>
        <w:t xml:space="preserve">ryogenic </w:t>
      </w:r>
      <w:r w:rsidR="00E357A7">
        <w:rPr>
          <w:color w:val="000000" w:themeColor="text1"/>
          <w:lang w:val="en-GB"/>
        </w:rPr>
        <w:t>C</w:t>
      </w:r>
      <w:r w:rsidRPr="006D5707">
        <w:rPr>
          <w:color w:val="000000" w:themeColor="text1"/>
          <w:lang w:val="en-GB"/>
        </w:rPr>
        <w:t xml:space="preserve">arbon </w:t>
      </w:r>
      <w:r w:rsidR="00E357A7">
        <w:rPr>
          <w:color w:val="000000" w:themeColor="text1"/>
          <w:lang w:val="en-GB"/>
        </w:rPr>
        <w:t>C</w:t>
      </w:r>
      <w:r w:rsidRPr="006D5707">
        <w:rPr>
          <w:color w:val="000000" w:themeColor="text1"/>
          <w:lang w:val="en-GB"/>
        </w:rPr>
        <w:t>apture (A3C) process</w:t>
      </w:r>
      <w:r w:rsidR="00BC02F9">
        <w:rPr>
          <w:color w:val="000000" w:themeColor="text1"/>
          <w:lang w:val="en-GB"/>
        </w:rPr>
        <w:t>,</w:t>
      </w:r>
      <w:r w:rsidRPr="006D5707">
        <w:rPr>
          <w:color w:val="000000" w:themeColor="text1"/>
          <w:lang w:val="en-GB"/>
        </w:rPr>
        <w:t xml:space="preserve"> employ</w:t>
      </w:r>
      <w:r w:rsidR="00F71834">
        <w:rPr>
          <w:color w:val="000000" w:themeColor="text1"/>
          <w:lang w:val="en-GB"/>
        </w:rPr>
        <w:t>ing</w:t>
      </w:r>
      <w:r w:rsidRPr="006D5707">
        <w:rPr>
          <w:color w:val="000000" w:themeColor="text1"/>
          <w:lang w:val="en-GB"/>
        </w:rPr>
        <w:t xml:space="preserve"> CO</w:t>
      </w:r>
      <w:r w:rsidRPr="006D5707">
        <w:rPr>
          <w:color w:val="000000" w:themeColor="text1"/>
          <w:vertAlign w:val="subscript"/>
          <w:lang w:val="en-GB"/>
        </w:rPr>
        <w:t>2</w:t>
      </w:r>
      <w:r w:rsidRPr="006D5707">
        <w:rPr>
          <w:color w:val="000000" w:themeColor="text1"/>
          <w:lang w:val="en-GB"/>
        </w:rPr>
        <w:t xml:space="preserve"> separation as a solid frost</w:t>
      </w:r>
      <w:r w:rsidR="00BC02F9">
        <w:rPr>
          <w:color w:val="000000" w:themeColor="text1"/>
          <w:lang w:val="en-GB"/>
        </w:rPr>
        <w:t>,</w:t>
      </w:r>
      <w:r w:rsidRPr="006D5707">
        <w:rPr>
          <w:color w:val="000000" w:themeColor="text1"/>
          <w:lang w:val="en-GB"/>
        </w:rPr>
        <w:t xml:space="preserve"> was </w:t>
      </w:r>
      <w:r w:rsidR="00F71834">
        <w:rPr>
          <w:color w:val="000000" w:themeColor="text1"/>
          <w:lang w:val="en-GB"/>
        </w:rPr>
        <w:t>analysed</w:t>
      </w:r>
      <w:r w:rsidR="001D69F9">
        <w:rPr>
          <w:color w:val="000000" w:themeColor="text1"/>
          <w:lang w:val="en-GB"/>
        </w:rPr>
        <w:t xml:space="preserve"> because of its </w:t>
      </w:r>
      <w:r w:rsidRPr="006D5707">
        <w:rPr>
          <w:color w:val="000000" w:themeColor="text1"/>
          <w:lang w:val="en-GB"/>
        </w:rPr>
        <w:t>techno-economic viab</w:t>
      </w:r>
      <w:r w:rsidR="001D69F9">
        <w:rPr>
          <w:color w:val="000000" w:themeColor="text1"/>
          <w:lang w:val="en-GB"/>
        </w:rPr>
        <w:t>i</w:t>
      </w:r>
      <w:r w:rsidRPr="006D5707">
        <w:rPr>
          <w:color w:val="000000" w:themeColor="text1"/>
          <w:lang w:val="en-GB"/>
        </w:rPr>
        <w:t>l</w:t>
      </w:r>
      <w:r w:rsidR="001D69F9">
        <w:rPr>
          <w:color w:val="000000" w:themeColor="text1"/>
          <w:lang w:val="en-GB"/>
        </w:rPr>
        <w:t>ity for</w:t>
      </w:r>
      <w:r w:rsidRPr="006D5707">
        <w:rPr>
          <w:color w:val="000000" w:themeColor="text1"/>
          <w:lang w:val="en-GB"/>
        </w:rPr>
        <w:t xml:space="preserve"> LNG ships </w:t>
      </w:r>
      <w:r w:rsidR="00744F2E" w:rsidRPr="00CE5548">
        <w:rPr>
          <w:color w:val="000000" w:themeColor="text1"/>
          <w:lang w:val="en-GB"/>
        </w:rPr>
        <w:fldChar w:fldCharType="begin" w:fldLock="1"/>
      </w:r>
      <w:r w:rsidR="00047D95">
        <w:rPr>
          <w:color w:val="000000" w:themeColor="text1"/>
          <w:lang w:val="en-GB"/>
        </w:rPr>
        <w:instrText>ADDIN CSL_CITATION {"citationItems":[{"id":"ITEM-1","itemData":{"abstract":"This work presents some insights into two different options for onboard carbon capture and storage (OCCS). Previous studies have shown that solvent-based carbon capture is feasible, and that the new equipment installed for CO2 capture would not debilitate the ship stability. This work assesses the potential for cryogenic carbon capture on LNG-fired engines due to the availability of cold conditions through a thermal analysis.","author":[{"dropping-particle":"","family":"Font-Palma","given":"Carolina","non-dropping-particle":"","parse-names":false,"suffix":""}],"container-title":"TCCS-11 -Trondheim Conference on CO2Capture, Transport and Storage","id":"ITEM-1","issue":"Ccc","issued":{"date-parts":[["2021"]]},"page":"188-192","title":"Is Carbon Capture a Viable Solution To Decarbonise the Shipping Industry?","type":"article-journal"},"uris":["http://www.mendeley.com/documents/?uuid=3cbc910c-9089-434e-b961-74efa52c0579"]}],"mendeley":{"formattedCitation":"(Font-Palma, 2021)","plainTextFormattedCitation":"(Font-Palma, 2021)","previouslyFormattedCitation":"(Font-Palma, 2021)"},"properties":{"noteIndex":0},"schema":"https://github.com/citation-style-language/schema/raw/master/csl-citation.json"}</w:instrText>
      </w:r>
      <w:r w:rsidR="00744F2E" w:rsidRPr="00CE5548">
        <w:rPr>
          <w:color w:val="000000" w:themeColor="text1"/>
          <w:lang w:val="en-GB"/>
        </w:rPr>
        <w:fldChar w:fldCharType="separate"/>
      </w:r>
      <w:r w:rsidR="00744F2E" w:rsidRPr="00CE5548">
        <w:rPr>
          <w:noProof/>
          <w:color w:val="000000" w:themeColor="text1"/>
          <w:lang w:val="en-GB"/>
        </w:rPr>
        <w:t>(Font-Palma, 2021)</w:t>
      </w:r>
      <w:r w:rsidR="00744F2E" w:rsidRPr="00CE5548">
        <w:rPr>
          <w:color w:val="000000" w:themeColor="text1"/>
          <w:lang w:val="en-GB"/>
        </w:rPr>
        <w:fldChar w:fldCharType="end"/>
      </w:r>
      <w:r w:rsidRPr="006D5707">
        <w:rPr>
          <w:color w:val="000000" w:themeColor="text1"/>
          <w:lang w:val="en-GB"/>
        </w:rPr>
        <w:t>.</w:t>
      </w:r>
    </w:p>
    <w:p w14:paraId="677EBFF0" w14:textId="5F1241D7" w:rsidR="00600535" w:rsidRPr="00CE5548" w:rsidRDefault="008A0396" w:rsidP="00600535">
      <w:pPr>
        <w:pStyle w:val="CETHeading1"/>
        <w:tabs>
          <w:tab w:val="clear" w:pos="360"/>
          <w:tab w:val="right" w:pos="7100"/>
        </w:tabs>
        <w:jc w:val="both"/>
        <w:rPr>
          <w:color w:val="000000" w:themeColor="text1"/>
          <w:lang w:val="en-GB"/>
        </w:rPr>
      </w:pPr>
      <w:r w:rsidRPr="00CE5548">
        <w:rPr>
          <w:color w:val="000000" w:themeColor="text1"/>
          <w:lang w:val="en-GB"/>
        </w:rPr>
        <w:t>Methodology</w:t>
      </w:r>
    </w:p>
    <w:p w14:paraId="6983BD4E" w14:textId="5D0901C8" w:rsidR="0074253A" w:rsidRDefault="007F28EE" w:rsidP="00CC5512">
      <w:pPr>
        <w:pStyle w:val="CETListbullets"/>
        <w:ind w:left="0" w:firstLine="0"/>
        <w:rPr>
          <w:color w:val="000000" w:themeColor="text1"/>
        </w:rPr>
      </w:pPr>
      <w:r>
        <w:rPr>
          <w:color w:val="000000" w:themeColor="text1"/>
        </w:rPr>
        <w:t xml:space="preserve">A </w:t>
      </w:r>
      <w:r w:rsidR="009104A0">
        <w:rPr>
          <w:color w:val="000000" w:themeColor="text1"/>
        </w:rPr>
        <w:t>structured</w:t>
      </w:r>
      <w:r>
        <w:rPr>
          <w:color w:val="000000" w:themeColor="text1"/>
        </w:rPr>
        <w:t xml:space="preserve"> approach is proposed to </w:t>
      </w:r>
      <w:r w:rsidR="00BA4A8F">
        <w:rPr>
          <w:color w:val="000000" w:themeColor="text1"/>
        </w:rPr>
        <w:t>quantify</w:t>
      </w:r>
      <w:r>
        <w:rPr>
          <w:color w:val="000000" w:themeColor="text1"/>
        </w:rPr>
        <w:t xml:space="preserve"> the </w:t>
      </w:r>
      <w:r w:rsidR="005C6292">
        <w:rPr>
          <w:color w:val="000000" w:themeColor="text1"/>
        </w:rPr>
        <w:t>inherent safety performance of reference CO</w:t>
      </w:r>
      <w:r w:rsidR="005C6292" w:rsidRPr="006F7A58">
        <w:rPr>
          <w:color w:val="000000" w:themeColor="text1"/>
          <w:vertAlign w:val="subscript"/>
        </w:rPr>
        <w:t>2</w:t>
      </w:r>
      <w:r w:rsidR="005C6292">
        <w:rPr>
          <w:color w:val="000000" w:themeColor="text1"/>
        </w:rPr>
        <w:t xml:space="preserve"> capture technologies and integrate </w:t>
      </w:r>
      <w:r w:rsidR="00BA4A8F">
        <w:rPr>
          <w:color w:val="000000" w:themeColor="text1"/>
        </w:rPr>
        <w:t>these evaluations</w:t>
      </w:r>
      <w:r w:rsidR="005C6292">
        <w:rPr>
          <w:color w:val="000000" w:themeColor="text1"/>
        </w:rPr>
        <w:t xml:space="preserve"> into a </w:t>
      </w:r>
      <w:r w:rsidR="00D61ADC">
        <w:rPr>
          <w:color w:val="000000" w:themeColor="text1"/>
        </w:rPr>
        <w:t>comprehensive</w:t>
      </w:r>
      <w:r w:rsidR="00940FF9">
        <w:rPr>
          <w:color w:val="000000" w:themeColor="text1"/>
        </w:rPr>
        <w:t xml:space="preserve"> multi-criteria</w:t>
      </w:r>
      <w:r w:rsidR="00D61ADC">
        <w:rPr>
          <w:color w:val="000000" w:themeColor="text1"/>
        </w:rPr>
        <w:t xml:space="preserve"> </w:t>
      </w:r>
      <w:r w:rsidR="008B6C05">
        <w:rPr>
          <w:color w:val="000000" w:themeColor="text1"/>
        </w:rPr>
        <w:t>sustainability assessment framework.</w:t>
      </w:r>
      <w:r w:rsidR="00D61ADC">
        <w:rPr>
          <w:color w:val="000000" w:themeColor="text1"/>
        </w:rPr>
        <w:t xml:space="preserve"> The flowchart of the developed approach is schematically presented in</w:t>
      </w:r>
      <w:r w:rsidR="008B6C05">
        <w:rPr>
          <w:color w:val="000000" w:themeColor="text1"/>
        </w:rPr>
        <w:t xml:space="preserve"> </w:t>
      </w:r>
      <w:r w:rsidR="006F7A58">
        <w:rPr>
          <w:color w:val="000000" w:themeColor="text1"/>
        </w:rPr>
        <w:fldChar w:fldCharType="begin"/>
      </w:r>
      <w:r w:rsidR="006F7A58">
        <w:rPr>
          <w:color w:val="000000" w:themeColor="text1"/>
        </w:rPr>
        <w:instrText xml:space="preserve"> REF _Ref184299748 \h </w:instrText>
      </w:r>
      <w:r w:rsidR="006F7A58">
        <w:rPr>
          <w:color w:val="000000" w:themeColor="text1"/>
        </w:rPr>
      </w:r>
      <w:r w:rsidR="006F7A58">
        <w:rPr>
          <w:color w:val="000000" w:themeColor="text1"/>
        </w:rPr>
        <w:fldChar w:fldCharType="separate"/>
      </w:r>
      <w:r w:rsidR="006F7A58">
        <w:t xml:space="preserve">Figure </w:t>
      </w:r>
      <w:r w:rsidR="006F7A58">
        <w:rPr>
          <w:noProof/>
        </w:rPr>
        <w:t>2</w:t>
      </w:r>
      <w:r w:rsidR="006F7A58">
        <w:rPr>
          <w:color w:val="000000" w:themeColor="text1"/>
        </w:rPr>
        <w:fldChar w:fldCharType="end"/>
      </w:r>
      <w:r w:rsidR="00D61ADC">
        <w:rPr>
          <w:color w:val="000000" w:themeColor="text1"/>
        </w:rPr>
        <w:t>.</w:t>
      </w:r>
    </w:p>
    <w:p w14:paraId="47E29D1D" w14:textId="5B900D33" w:rsidR="00105DEC" w:rsidRDefault="0027619C" w:rsidP="00F71834">
      <w:pPr>
        <w:pStyle w:val="CETListbullets"/>
        <w:keepNext/>
        <w:ind w:left="0" w:firstLine="0"/>
        <w:jc w:val="center"/>
      </w:pPr>
      <w:r w:rsidRPr="0027619C">
        <w:rPr>
          <w:noProof/>
        </w:rPr>
        <w:drawing>
          <wp:inline distT="0" distB="0" distL="0" distR="0" wp14:anchorId="74855DA1" wp14:editId="6F037CFC">
            <wp:extent cx="3960000" cy="2281269"/>
            <wp:effectExtent l="0" t="0" r="2540" b="5080"/>
            <wp:docPr id="61427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0000" cy="2281269"/>
                    </a:xfrm>
                    <a:prstGeom prst="rect">
                      <a:avLst/>
                    </a:prstGeom>
                    <a:noFill/>
                    <a:ln>
                      <a:noFill/>
                    </a:ln>
                  </pic:spPr>
                </pic:pic>
              </a:graphicData>
            </a:graphic>
          </wp:inline>
        </w:drawing>
      </w:r>
    </w:p>
    <w:p w14:paraId="5BB2408B" w14:textId="4524B2C2" w:rsidR="00105DEC" w:rsidRDefault="00105DEC" w:rsidP="00105DEC">
      <w:pPr>
        <w:pStyle w:val="CETCaption"/>
      </w:pPr>
      <w:bookmarkStart w:id="4" w:name="_Ref184299748"/>
      <w:r>
        <w:t xml:space="preserve">Figure </w:t>
      </w:r>
      <w:r>
        <w:fldChar w:fldCharType="begin"/>
      </w:r>
      <w:r>
        <w:instrText xml:space="preserve"> SEQ Figure \* ARABIC </w:instrText>
      </w:r>
      <w:r>
        <w:fldChar w:fldCharType="separate"/>
      </w:r>
      <w:r w:rsidR="00103D87">
        <w:rPr>
          <w:noProof/>
        </w:rPr>
        <w:t>2</w:t>
      </w:r>
      <w:r>
        <w:fldChar w:fldCharType="end"/>
      </w:r>
      <w:bookmarkEnd w:id="4"/>
      <w:r>
        <w:t xml:space="preserve">: </w:t>
      </w:r>
      <w:r w:rsidR="001A20F9" w:rsidRPr="001A20F9">
        <w:t>Flowchart illustrating the approach developed for evaluating the inherent safety of CO</w:t>
      </w:r>
      <w:r w:rsidR="001A20F9" w:rsidRPr="001A20F9">
        <w:rPr>
          <w:vertAlign w:val="subscript"/>
        </w:rPr>
        <w:t>2</w:t>
      </w:r>
      <w:r w:rsidR="001A20F9" w:rsidRPr="001A20F9">
        <w:t xml:space="preserve"> capture technologies and integrating the results into a multi-criteria sustainability assessment framework.</w:t>
      </w:r>
    </w:p>
    <w:p w14:paraId="612DF7C0" w14:textId="2B80C4AD" w:rsidR="001D69F9" w:rsidRPr="009C22DC" w:rsidRDefault="001D69F9" w:rsidP="001D69F9">
      <w:pPr>
        <w:pStyle w:val="CETBodytext"/>
        <w:rPr>
          <w:lang w:val="en-GB"/>
        </w:rPr>
      </w:pPr>
      <w:r>
        <w:rPr>
          <w:lang w:val="en-GB"/>
        </w:rPr>
        <w:t>Step 1</w:t>
      </w:r>
      <w:r w:rsidRPr="00940FF9">
        <w:rPr>
          <w:lang w:val="en-GB"/>
        </w:rPr>
        <w:t xml:space="preserve"> involves characterising the reference CO</w:t>
      </w:r>
      <w:r w:rsidRPr="00540486">
        <w:rPr>
          <w:vertAlign w:val="subscript"/>
          <w:lang w:val="en-GB"/>
        </w:rPr>
        <w:t>2</w:t>
      </w:r>
      <w:r w:rsidRPr="00940FF9">
        <w:rPr>
          <w:lang w:val="en-GB"/>
        </w:rPr>
        <w:t xml:space="preserve"> capture technologies </w:t>
      </w:r>
      <w:r>
        <w:rPr>
          <w:lang w:val="en-GB"/>
        </w:rPr>
        <w:t xml:space="preserve">through a process flow sheet, where operating parameters are analysed, energy and material balances are solved, and process units are subjected </w:t>
      </w:r>
      <w:r>
        <w:rPr>
          <w:lang w:val="en-GB"/>
        </w:rPr>
        <w:lastRenderedPageBreak/>
        <w:t>to preliminary design</w:t>
      </w:r>
      <w:r w:rsidRPr="00940FF9">
        <w:rPr>
          <w:lang w:val="en-GB"/>
        </w:rPr>
        <w:t>.</w:t>
      </w:r>
      <w:r>
        <w:rPr>
          <w:lang w:val="en-GB"/>
        </w:rPr>
        <w:t xml:space="preserve"> These technical input data are used for conducting the inherent safety assessment in Step 2.</w:t>
      </w:r>
      <w:r w:rsidRPr="00940FF9">
        <w:rPr>
          <w:lang w:val="en-GB"/>
        </w:rPr>
        <w:t xml:space="preserve"> </w:t>
      </w:r>
      <w:r>
        <w:rPr>
          <w:lang w:val="en-GB"/>
        </w:rPr>
        <w:t xml:space="preserve">Additional details on this procedure are provided </w:t>
      </w:r>
      <w:r w:rsidRPr="00940FF9">
        <w:rPr>
          <w:lang w:val="en-GB"/>
        </w:rPr>
        <w:t xml:space="preserve">in Section </w:t>
      </w:r>
      <w:r w:rsidRPr="00940FF9">
        <w:rPr>
          <w:lang w:val="en-GB"/>
        </w:rPr>
        <w:fldChar w:fldCharType="begin"/>
      </w:r>
      <w:r w:rsidRPr="00940FF9">
        <w:rPr>
          <w:lang w:val="en-GB"/>
        </w:rPr>
        <w:instrText xml:space="preserve"> REF _Ref184301200 \r \h  \* MERGEFORMAT </w:instrText>
      </w:r>
      <w:r w:rsidRPr="00940FF9">
        <w:rPr>
          <w:lang w:val="en-GB"/>
        </w:rPr>
      </w:r>
      <w:r w:rsidRPr="00940FF9">
        <w:rPr>
          <w:lang w:val="en-GB"/>
        </w:rPr>
        <w:fldChar w:fldCharType="separate"/>
      </w:r>
      <w:r w:rsidRPr="00940FF9">
        <w:rPr>
          <w:lang w:val="en-GB"/>
        </w:rPr>
        <w:t>3.2</w:t>
      </w:r>
      <w:r w:rsidRPr="00940FF9">
        <w:rPr>
          <w:lang w:val="en-GB"/>
        </w:rPr>
        <w:fldChar w:fldCharType="end"/>
      </w:r>
      <w:r w:rsidRPr="00940FF9">
        <w:rPr>
          <w:lang w:val="en-GB"/>
        </w:rPr>
        <w:t xml:space="preserve">. </w:t>
      </w:r>
      <w:r>
        <w:rPr>
          <w:lang w:val="en-GB"/>
        </w:rPr>
        <w:t xml:space="preserve">The approach in </w:t>
      </w:r>
      <w:r>
        <w:rPr>
          <w:lang w:val="en-GB"/>
        </w:rPr>
        <w:fldChar w:fldCharType="begin"/>
      </w:r>
      <w:r>
        <w:rPr>
          <w:lang w:val="en-GB"/>
        </w:rPr>
        <w:instrText xml:space="preserve"> REF _Ref184299748 \h </w:instrText>
      </w:r>
      <w:r>
        <w:rPr>
          <w:lang w:val="en-GB"/>
        </w:rPr>
      </w:r>
      <w:r>
        <w:rPr>
          <w:lang w:val="en-GB"/>
        </w:rPr>
        <w:fldChar w:fldCharType="separate"/>
      </w:r>
      <w:r w:rsidRPr="00765FFA">
        <w:rPr>
          <w:lang w:val="en-GB"/>
        </w:rPr>
        <w:t>Figure 2</w:t>
      </w:r>
      <w:r>
        <w:rPr>
          <w:lang w:val="en-GB"/>
        </w:rPr>
        <w:fldChar w:fldCharType="end"/>
      </w:r>
      <w:r w:rsidRPr="00765FFA">
        <w:rPr>
          <w:lang w:val="en-GB"/>
        </w:rPr>
        <w:t xml:space="preserve"> leverages a four-pillar sustainability assessment framework</w:t>
      </w:r>
      <w:r w:rsidR="008D0F4F">
        <w:rPr>
          <w:lang w:val="en-GB"/>
        </w:rPr>
        <w:t xml:space="preserve"> </w:t>
      </w:r>
      <w:r w:rsidR="008D0F4F">
        <w:rPr>
          <w:lang w:val="en-GB"/>
        </w:rPr>
        <w:fldChar w:fldCharType="begin" w:fldLock="1"/>
      </w:r>
      <w:r w:rsidR="001952B2">
        <w:rPr>
          <w:lang w:val="en-GB"/>
        </w:rPr>
        <w:instrText>ADDIN CSL_CITATION {"citationItems":[{"id":"ITEM-1","itemData":{"DOI":"10.1016/j.jclepro.2023.137989","abstract":"The growing concern for the emission of greenhouse gases and several recent international regulations promote the introduction of innovative solutions aiming at the reduction of pollutant production in all human activities, including maritime transportation. Phasing out conventional marine gas oil engines is a key strategy to limit the pressure on the environment exerted by maritime transport. Considering the strategic relevance of this sector, the sustainability of innovative clean technologies proposed for ship power systems is crucial. In the present study, a multi-criteria sustainability assessment methodology, based on specific indicators addressing the technological, economic, environmental, and safety performance of ship power systems is developed. Normalization and ag- gregation perspectives are proposed to provide key performance indicators describing and ranking the overall sustainability performance of the alternative power systems considered. A sensitivity analysis is performed to identify the most impacting parameters in each domain. The methodology is tested considering a case study representative of large-scale maritime transportation. The robustness of the sustainability performance-based ranking is assessed by a Monte Carlo analysis. The results suggest that the ranking of alternative power sys- tems obtained considering only techno-economic factors may be strongly affected by highly fluctuating pa- rameters, such as fuel cost. Conversely, the inclusion of environmental and safety aspects increases the robustness of the results. A trade-off between the environmental and societal domains is also observed, indicating that the performance of cleaner solutions may be strongly improved if safety issues are properly addressed.","author":[{"dropping-particle":"","family":"Zanobetti","given":"Francesco","non-dropping-particle":"","parse-names":false,"suffix":""},{"dropping-particle":"","family":"Pio","given":"Gianmaria","non-dropping-particle":"","parse-names":false,"suffix":""},{"dropping-particle":"","family":"Jafarzadeh","given":"Sepideh","non-dropping-particle":"","parse-names":false,"suffix":""},{"dropping-particle":"","family":"Ortiz","given":"Miguel Muñoz","non-dropping-particle":"","parse-names":false,"suffix":""},{"dropping-particle":"","family":"Cozzani","given":"Valerio","non-dropping-particle":"","parse-names":false,"suffix":""}],"container-title":"Journal of Cleaner Production","id":"ITEM-1","issued":{"date-parts":[["2023"]]},"page":"137989","title":"Decarbonization of maritime transport : Sustainability assessment of alternative power systems","type":"article-journal","volume":"417"},"uris":["http://www.mendeley.com/documents/?uuid=b8934d15-2aa1-4fbe-ab98-5a4fb360957d"]}],"mendeley":{"formattedCitation":"(Zanobetti et al., 2023c)","plainTextFormattedCitation":"(Zanobetti et al., 2023c)","previouslyFormattedCitation":"(Zanobetti et al., 2023c)"},"properties":{"noteIndex":0},"schema":"https://github.com/citation-style-language/schema/raw/master/csl-citation.json"}</w:instrText>
      </w:r>
      <w:r w:rsidR="008D0F4F">
        <w:rPr>
          <w:lang w:val="en-GB"/>
        </w:rPr>
        <w:fldChar w:fldCharType="separate"/>
      </w:r>
      <w:r w:rsidR="001C305A" w:rsidRPr="001C305A">
        <w:rPr>
          <w:noProof/>
          <w:lang w:val="en-GB"/>
        </w:rPr>
        <w:t>(Zanobetti et al., 2023c)</w:t>
      </w:r>
      <w:r w:rsidR="008D0F4F">
        <w:rPr>
          <w:lang w:val="en-GB"/>
        </w:rPr>
        <w:fldChar w:fldCharType="end"/>
      </w:r>
      <w:r w:rsidRPr="00765FFA">
        <w:rPr>
          <w:lang w:val="en-GB"/>
        </w:rPr>
        <w:t xml:space="preserve">, where the inherent safety metric is considered as an objective measure of social sustainability and integrated with other technical, economic, and environmental </w:t>
      </w:r>
      <w:r w:rsidR="00E357A7">
        <w:rPr>
          <w:lang w:val="en-GB"/>
        </w:rPr>
        <w:t>K</w:t>
      </w:r>
      <w:r w:rsidRPr="00765FFA">
        <w:rPr>
          <w:lang w:val="en-GB"/>
        </w:rPr>
        <w:t xml:space="preserve">ey </w:t>
      </w:r>
      <w:r w:rsidR="00E357A7">
        <w:rPr>
          <w:lang w:val="en-GB"/>
        </w:rPr>
        <w:t>P</w:t>
      </w:r>
      <w:r w:rsidRPr="00765FFA">
        <w:rPr>
          <w:lang w:val="en-GB"/>
        </w:rPr>
        <w:t xml:space="preserve">erformance </w:t>
      </w:r>
      <w:r w:rsidR="00E357A7">
        <w:rPr>
          <w:lang w:val="en-GB"/>
        </w:rPr>
        <w:t>I</w:t>
      </w:r>
      <w:r w:rsidRPr="00765FFA">
        <w:rPr>
          <w:lang w:val="en-GB"/>
        </w:rPr>
        <w:t xml:space="preserve">ndicators (KPIs) (Step 3). The KPIs defined for addressing technological, economic, and environmental sustainability assessments are detailed in Section </w:t>
      </w:r>
      <w:r w:rsidRPr="00940FF9">
        <w:rPr>
          <w:lang w:val="en-GB"/>
        </w:rPr>
        <w:fldChar w:fldCharType="begin"/>
      </w:r>
      <w:r w:rsidRPr="00940FF9">
        <w:rPr>
          <w:lang w:val="en-GB"/>
        </w:rPr>
        <w:instrText xml:space="preserve"> REF _Ref184301653 \r \h  \* MERGEFORMAT </w:instrText>
      </w:r>
      <w:r w:rsidRPr="00940FF9">
        <w:rPr>
          <w:lang w:val="en-GB"/>
        </w:rPr>
      </w:r>
      <w:r w:rsidRPr="00940FF9">
        <w:rPr>
          <w:lang w:val="en-GB"/>
        </w:rPr>
        <w:fldChar w:fldCharType="separate"/>
      </w:r>
      <w:r w:rsidRPr="00940FF9">
        <w:rPr>
          <w:lang w:val="en-GB"/>
        </w:rPr>
        <w:t>3.3</w:t>
      </w:r>
      <w:r w:rsidRPr="00940FF9">
        <w:rPr>
          <w:lang w:val="en-GB"/>
        </w:rPr>
        <w:fldChar w:fldCharType="end"/>
      </w:r>
      <w:r>
        <w:rPr>
          <w:lang w:val="en-GB"/>
        </w:rPr>
        <w:t xml:space="preserve">. </w:t>
      </w:r>
    </w:p>
    <w:p w14:paraId="1F96CA21" w14:textId="6B7955AE" w:rsidR="00600535" w:rsidRPr="00CE5548" w:rsidRDefault="003D73C5" w:rsidP="00FA5F5F">
      <w:pPr>
        <w:pStyle w:val="CETheadingx"/>
        <w:rPr>
          <w:color w:val="000000" w:themeColor="text1"/>
          <w:lang w:val="en-GB"/>
        </w:rPr>
      </w:pPr>
      <w:bookmarkStart w:id="5" w:name="_Ref184301200"/>
      <w:r w:rsidRPr="00CE5548">
        <w:rPr>
          <w:color w:val="000000" w:themeColor="text1"/>
          <w:lang w:val="en-GB"/>
        </w:rPr>
        <w:t>The safety domain</w:t>
      </w:r>
      <w:bookmarkEnd w:id="5"/>
    </w:p>
    <w:p w14:paraId="1F73B481" w14:textId="44E7D84A" w:rsidR="00093C23" w:rsidRPr="00765FFA" w:rsidRDefault="00BA37FF" w:rsidP="00050328">
      <w:pPr>
        <w:pStyle w:val="CETBodytext"/>
        <w:rPr>
          <w:lang w:val="en-GB"/>
        </w:rPr>
      </w:pPr>
      <w:r w:rsidRPr="00765FFA">
        <w:rPr>
          <w:lang w:val="en-GB"/>
        </w:rPr>
        <w:t xml:space="preserve">An inherent Hazard Index </w:t>
      </w:r>
      <w:r w:rsidR="00B84049" w:rsidRPr="00765FFA">
        <w:rPr>
          <w:lang w:val="en-GB"/>
        </w:rPr>
        <w:t xml:space="preserve">(HI) </w:t>
      </w:r>
      <w:r w:rsidRPr="00765FFA">
        <w:rPr>
          <w:lang w:val="en-GB"/>
        </w:rPr>
        <w:t xml:space="preserve">was </w:t>
      </w:r>
      <w:r w:rsidR="00861F33" w:rsidRPr="00765FFA">
        <w:rPr>
          <w:lang w:val="en-GB"/>
        </w:rPr>
        <w:t>proposed</w:t>
      </w:r>
      <w:r w:rsidR="00A33906" w:rsidRPr="00765FFA">
        <w:rPr>
          <w:lang w:val="en-GB"/>
        </w:rPr>
        <w:t xml:space="preserve"> to </w:t>
      </w:r>
      <w:r w:rsidR="009625A1" w:rsidRPr="00765FFA">
        <w:rPr>
          <w:lang w:val="en-GB"/>
        </w:rPr>
        <w:t>evaluate</w:t>
      </w:r>
      <w:r w:rsidR="00A33906" w:rsidRPr="00765FFA">
        <w:rPr>
          <w:lang w:val="en-GB"/>
        </w:rPr>
        <w:t xml:space="preserve"> the inherent safety </w:t>
      </w:r>
      <w:r w:rsidR="009625A1" w:rsidRPr="00765FFA">
        <w:rPr>
          <w:lang w:val="en-GB"/>
        </w:rPr>
        <w:t>performance</w:t>
      </w:r>
      <w:r w:rsidR="00A33906" w:rsidRPr="00765FFA">
        <w:rPr>
          <w:lang w:val="en-GB"/>
        </w:rPr>
        <w:t xml:space="preserve"> </w:t>
      </w:r>
      <w:r w:rsidR="0027180B" w:rsidRPr="00765FFA">
        <w:rPr>
          <w:lang w:val="en-GB"/>
        </w:rPr>
        <w:t>of CO</w:t>
      </w:r>
      <w:r w:rsidR="0027180B" w:rsidRPr="00765FFA">
        <w:rPr>
          <w:vertAlign w:val="subscript"/>
          <w:lang w:val="en-GB"/>
        </w:rPr>
        <w:t>2</w:t>
      </w:r>
      <w:r w:rsidR="0027180B" w:rsidRPr="00765FFA">
        <w:rPr>
          <w:lang w:val="en-GB"/>
        </w:rPr>
        <w:t xml:space="preserve"> capture technologies, </w:t>
      </w:r>
      <w:r w:rsidR="009625A1" w:rsidRPr="00765FFA">
        <w:rPr>
          <w:lang w:val="en-GB"/>
        </w:rPr>
        <w:t>as follows</w:t>
      </w:r>
      <w:r w:rsidR="0027180B" w:rsidRPr="00765FFA">
        <w:rPr>
          <w:lang w:val="en-GB"/>
        </w:rPr>
        <w:t xml:space="preserve">: </w:t>
      </w:r>
    </w:p>
    <w:tbl>
      <w:tblPr>
        <w:tblW w:w="5000" w:type="pct"/>
        <w:tblLook w:val="04A0" w:firstRow="1" w:lastRow="0" w:firstColumn="1" w:lastColumn="0" w:noHBand="0" w:noVBand="1"/>
      </w:tblPr>
      <w:tblGrid>
        <w:gridCol w:w="7985"/>
        <w:gridCol w:w="802"/>
      </w:tblGrid>
      <w:tr w:rsidR="00406542" w:rsidRPr="00CE5548" w14:paraId="352CA2ED" w14:textId="77777777" w:rsidTr="00D64558">
        <w:tc>
          <w:tcPr>
            <w:tcW w:w="8188" w:type="dxa"/>
            <w:shd w:val="clear" w:color="auto" w:fill="auto"/>
            <w:vAlign w:val="center"/>
          </w:tcPr>
          <w:p w14:paraId="4EB9EDDD" w14:textId="7918B950" w:rsidR="00406542" w:rsidRPr="00A734A6" w:rsidRDefault="00861F33" w:rsidP="00861F33">
            <w:pPr>
              <w:pStyle w:val="CETEquation"/>
              <w:rPr>
                <w:i/>
                <w:iCs/>
                <w:lang w:val="it-IT"/>
              </w:rPr>
            </w:pPr>
            <m:oMathPara>
              <m:oMathParaPr>
                <m:jc m:val="left"/>
              </m:oMathParaPr>
              <m:oMath>
                <m:r>
                  <m:rPr>
                    <m:nor/>
                  </m:rPr>
                  <w:rPr>
                    <w:i/>
                    <w:iCs/>
                    <w:lang w:val="it-IT"/>
                  </w:rPr>
                  <m:t>HI=</m:t>
                </m:r>
                <m:nary>
                  <m:naryPr>
                    <m:chr m:val="∑"/>
                    <m:limLoc m:val="subSup"/>
                    <m:supHide m:val="1"/>
                    <m:ctrlPr>
                      <w:rPr>
                        <w:rFonts w:ascii="Cambria Math" w:hAnsi="Cambria Math"/>
                        <w:i/>
                        <w:iCs/>
                      </w:rPr>
                    </m:ctrlPr>
                  </m:naryPr>
                  <m:sub>
                    <m:r>
                      <m:rPr>
                        <m:nor/>
                      </m:rPr>
                      <w:rPr>
                        <w:i/>
                        <w:iCs/>
                        <w:lang w:val="it-IT"/>
                      </w:rPr>
                      <m:t>k</m:t>
                    </m:r>
                  </m:sub>
                  <m:sup/>
                  <m:e>
                    <m:r>
                      <m:rPr>
                        <m:nor/>
                      </m:rPr>
                      <w:rPr>
                        <w:i/>
                        <w:iCs/>
                      </w:rPr>
                      <m:t>π</m:t>
                    </m:r>
                    <m:nary>
                      <m:naryPr>
                        <m:chr m:val="∑"/>
                        <m:limLoc m:val="undOvr"/>
                        <m:supHide m:val="1"/>
                        <m:ctrlPr>
                          <w:rPr>
                            <w:rFonts w:ascii="Cambria Math" w:hAnsi="Cambria Math"/>
                            <w:i/>
                            <w:iCs/>
                          </w:rPr>
                        </m:ctrlPr>
                      </m:naryPr>
                      <m:sub>
                        <m:r>
                          <m:rPr>
                            <m:nor/>
                          </m:rPr>
                          <w:rPr>
                            <w:i/>
                            <w:iCs/>
                            <w:lang w:val="it-IT"/>
                          </w:rPr>
                          <m:t>i</m:t>
                        </m:r>
                      </m:sub>
                      <m:sup/>
                      <m:e>
                        <m:sSub>
                          <m:sSubPr>
                            <m:ctrlPr>
                              <w:rPr>
                                <w:rFonts w:ascii="Cambria Math" w:hAnsi="Cambria Math"/>
                                <w:i/>
                                <w:iCs/>
                              </w:rPr>
                            </m:ctrlPr>
                          </m:sSubPr>
                          <m:e>
                            <m:r>
                              <m:rPr>
                                <m:nor/>
                              </m:rPr>
                              <w:rPr>
                                <w:i/>
                                <w:iCs/>
                                <w:lang w:val="it-IT"/>
                              </w:rPr>
                              <m:t>cf</m:t>
                            </m:r>
                          </m:e>
                          <m:sub>
                            <m:r>
                              <m:rPr>
                                <m:nor/>
                              </m:rPr>
                              <w:rPr>
                                <w:i/>
                                <w:iCs/>
                                <w:lang w:val="it-IT"/>
                              </w:rPr>
                              <m:t>i,k</m:t>
                            </m:r>
                          </m:sub>
                        </m:sSub>
                        <m:r>
                          <m:rPr>
                            <m:nor/>
                          </m:rPr>
                          <w:rPr>
                            <w:i/>
                            <w:iCs/>
                            <w:lang w:val="it-IT"/>
                          </w:rPr>
                          <m:t>∙</m:t>
                        </m:r>
                        <m:func>
                          <m:funcPr>
                            <m:ctrlPr>
                              <w:rPr>
                                <w:rFonts w:ascii="Cambria Math" w:hAnsi="Cambria Math"/>
                                <w:i/>
                                <w:iCs/>
                              </w:rPr>
                            </m:ctrlPr>
                          </m:funcPr>
                          <m:fName>
                            <m:limLow>
                              <m:limLowPr>
                                <m:ctrlPr>
                                  <w:rPr>
                                    <w:rFonts w:ascii="Cambria Math" w:hAnsi="Cambria Math"/>
                                    <w:i/>
                                    <w:iCs/>
                                  </w:rPr>
                                </m:ctrlPr>
                              </m:limLowPr>
                              <m:e>
                                <m:r>
                                  <m:rPr>
                                    <m:nor/>
                                  </m:rPr>
                                  <w:rPr>
                                    <w:i/>
                                    <w:iCs/>
                                    <w:lang w:val="it-IT"/>
                                  </w:rPr>
                                  <m:t>max</m:t>
                                </m:r>
                              </m:e>
                              <m:lim>
                                <m:r>
                                  <m:rPr>
                                    <m:nor/>
                                  </m:rPr>
                                  <w:rPr>
                                    <w:i/>
                                    <w:iCs/>
                                    <w:lang w:val="it-IT"/>
                                  </w:rPr>
                                  <m:t>j</m:t>
                                </m:r>
                              </m:lim>
                            </m:limLow>
                          </m:fName>
                          <m:e>
                            <m:sSubSup>
                              <m:sSubSupPr>
                                <m:ctrlPr>
                                  <w:rPr>
                                    <w:rFonts w:ascii="Cambria Math" w:hAnsi="Cambria Math"/>
                                    <w:i/>
                                    <w:iCs/>
                                  </w:rPr>
                                </m:ctrlPr>
                              </m:sSubSupPr>
                              <m:e>
                                <m:r>
                                  <m:rPr>
                                    <m:nor/>
                                  </m:rPr>
                                  <w:rPr>
                                    <w:i/>
                                    <w:iCs/>
                                    <w:lang w:val="it-IT"/>
                                  </w:rPr>
                                  <m:t>d</m:t>
                                </m:r>
                              </m:e>
                              <m:sub>
                                <m:r>
                                  <m:rPr>
                                    <m:nor/>
                                  </m:rPr>
                                  <w:rPr>
                                    <w:i/>
                                    <w:iCs/>
                                    <w:lang w:val="it-IT"/>
                                  </w:rPr>
                                  <m:t>i,j,k</m:t>
                                </m:r>
                              </m:sub>
                              <m:sup>
                                <m:r>
                                  <m:rPr>
                                    <m:nor/>
                                  </m:rPr>
                                  <w:rPr>
                                    <w:i/>
                                    <w:iCs/>
                                    <w:lang w:val="it-IT"/>
                                  </w:rPr>
                                  <m:t>2</m:t>
                                </m:r>
                              </m:sup>
                            </m:sSubSup>
                          </m:e>
                        </m:func>
                      </m:e>
                    </m:nary>
                  </m:e>
                </m:nary>
              </m:oMath>
            </m:oMathPara>
          </w:p>
        </w:tc>
        <w:tc>
          <w:tcPr>
            <w:tcW w:w="815" w:type="dxa"/>
            <w:shd w:val="clear" w:color="auto" w:fill="auto"/>
            <w:vAlign w:val="center"/>
          </w:tcPr>
          <w:p w14:paraId="4DE71565" w14:textId="77777777" w:rsidR="00406542" w:rsidRPr="00CE5548" w:rsidRDefault="00406542" w:rsidP="00D64558">
            <w:pPr>
              <w:pStyle w:val="CETEquation"/>
              <w:jc w:val="right"/>
              <w:rPr>
                <w:color w:val="000000" w:themeColor="text1"/>
              </w:rPr>
            </w:pPr>
            <w:r w:rsidRPr="00CE5548">
              <w:rPr>
                <w:color w:val="000000" w:themeColor="text1"/>
              </w:rPr>
              <w:t>(1)</w:t>
            </w:r>
          </w:p>
        </w:tc>
      </w:tr>
    </w:tbl>
    <w:p w14:paraId="375FF039" w14:textId="622C19FB" w:rsidR="003D73C5" w:rsidRPr="00765FFA" w:rsidRDefault="00AB4DB3" w:rsidP="00050328">
      <w:pPr>
        <w:pStyle w:val="CETBodytext"/>
        <w:rPr>
          <w:lang w:val="en-GB"/>
        </w:rPr>
      </w:pPr>
      <w:r w:rsidRPr="00765FFA">
        <w:rPr>
          <w:color w:val="000000" w:themeColor="text1"/>
          <w:lang w:val="en-GB"/>
        </w:rPr>
        <w:t xml:space="preserve">where </w:t>
      </w:r>
      <m:oMath>
        <m:sSub>
          <m:sSubPr>
            <m:ctrlPr>
              <w:rPr>
                <w:rStyle w:val="CETBodytextCarattere"/>
                <w:rFonts w:ascii="Cambria Math" w:hAnsi="Cambria Math"/>
                <w:i/>
                <w:lang w:val="en-GB"/>
              </w:rPr>
            </m:ctrlPr>
          </m:sSubPr>
          <m:e>
            <m:r>
              <m:rPr>
                <m:nor/>
              </m:rPr>
              <w:rPr>
                <w:rStyle w:val="CETBodytextCarattere"/>
                <w:i/>
                <w:iCs/>
                <w:lang w:val="en-GB"/>
              </w:rPr>
              <m:t>cf</m:t>
            </m:r>
          </m:e>
          <m:sub>
            <m:r>
              <m:rPr>
                <m:nor/>
              </m:rPr>
              <w:rPr>
                <w:rStyle w:val="CETBodytextCarattere"/>
                <w:i/>
                <w:iCs/>
                <w:lang w:val="en-GB"/>
              </w:rPr>
              <m:t>i,k</m:t>
            </m:r>
          </m:sub>
        </m:sSub>
      </m:oMath>
      <w:r w:rsidR="00861F33" w:rsidRPr="00765FFA">
        <w:rPr>
          <w:lang w:val="en-GB"/>
        </w:rPr>
        <w:t xml:space="preserve"> and</w:t>
      </w:r>
      <w:r w:rsidR="002E7885" w:rsidRPr="00765FFA">
        <w:rPr>
          <w:lang w:val="en-GB"/>
        </w:rPr>
        <w:t xml:space="preserve"> </w:t>
      </w:r>
      <m:oMath>
        <m:sSub>
          <m:sSubPr>
            <m:ctrlPr>
              <w:rPr>
                <w:rStyle w:val="CETBodytextCarattere"/>
                <w:rFonts w:ascii="Cambria Math" w:hAnsi="Cambria Math"/>
                <w:lang w:val="en-GB"/>
              </w:rPr>
            </m:ctrlPr>
          </m:sSubPr>
          <m:e>
            <m:r>
              <m:rPr>
                <m:nor/>
              </m:rPr>
              <w:rPr>
                <w:rStyle w:val="CETBodytextCarattere"/>
                <w:i/>
                <w:iCs/>
                <w:lang w:val="en-GB"/>
              </w:rPr>
              <m:t>d</m:t>
            </m:r>
          </m:e>
          <m:sub>
            <m:r>
              <m:rPr>
                <m:nor/>
              </m:rPr>
              <w:rPr>
                <w:rStyle w:val="CETBodytextCarattere"/>
                <w:i/>
                <w:iCs/>
                <w:lang w:val="en-GB"/>
              </w:rPr>
              <m:t>i,j,k</m:t>
            </m:r>
          </m:sub>
        </m:sSub>
      </m:oMath>
      <w:r w:rsidR="0090023E" w:rsidRPr="00765FFA">
        <w:rPr>
          <w:lang w:val="en-GB"/>
        </w:rPr>
        <w:t xml:space="preserve"> </w:t>
      </w:r>
      <w:r w:rsidR="000F2BBB" w:rsidRPr="00765FFA">
        <w:rPr>
          <w:lang w:val="en-GB"/>
        </w:rPr>
        <w:t>represent</w:t>
      </w:r>
      <w:r w:rsidR="00773AC5" w:rsidRPr="00765FFA">
        <w:rPr>
          <w:lang w:val="en-GB"/>
        </w:rPr>
        <w:t xml:space="preserve"> the credit factor (</w:t>
      </w:r>
      <w:r w:rsidR="00B03E85" w:rsidRPr="00765FFA">
        <w:rPr>
          <w:lang w:val="en-GB"/>
        </w:rPr>
        <w:t xml:space="preserve">in 1/y) associated with the </w:t>
      </w:r>
      <w:proofErr w:type="spellStart"/>
      <w:r w:rsidR="00B03E85" w:rsidRPr="00765FFA">
        <w:rPr>
          <w:i/>
          <w:lang w:val="en-GB"/>
        </w:rPr>
        <w:t>i</w:t>
      </w:r>
      <w:r w:rsidR="00B03E85" w:rsidRPr="00765FFA">
        <w:rPr>
          <w:lang w:val="en-GB"/>
        </w:rPr>
        <w:t>-th</w:t>
      </w:r>
      <w:proofErr w:type="spellEnd"/>
      <w:r w:rsidR="00B03E85" w:rsidRPr="00765FFA">
        <w:rPr>
          <w:lang w:val="en-GB"/>
        </w:rPr>
        <w:t xml:space="preserve"> release mode of the </w:t>
      </w:r>
      <w:r w:rsidR="00B03E85" w:rsidRPr="00765FFA">
        <w:rPr>
          <w:i/>
          <w:lang w:val="en-GB"/>
        </w:rPr>
        <w:t>k</w:t>
      </w:r>
      <w:r w:rsidR="00B03E85" w:rsidRPr="00765FFA">
        <w:rPr>
          <w:lang w:val="en-GB"/>
        </w:rPr>
        <w:t>-</w:t>
      </w:r>
      <w:proofErr w:type="spellStart"/>
      <w:r w:rsidR="00B03E85" w:rsidRPr="00765FFA">
        <w:rPr>
          <w:lang w:val="en-GB"/>
        </w:rPr>
        <w:t>th</w:t>
      </w:r>
      <w:proofErr w:type="spellEnd"/>
      <w:r w:rsidR="00B03E85" w:rsidRPr="00765FFA">
        <w:rPr>
          <w:lang w:val="en-GB"/>
        </w:rPr>
        <w:t xml:space="preserve"> process unit</w:t>
      </w:r>
      <w:r w:rsidR="00D06C48" w:rsidRPr="00765FFA">
        <w:rPr>
          <w:lang w:val="en-GB"/>
        </w:rPr>
        <w:t xml:space="preserve"> and</w:t>
      </w:r>
      <w:r w:rsidR="008F077A" w:rsidRPr="00765FFA">
        <w:rPr>
          <w:lang w:val="en-GB"/>
        </w:rPr>
        <w:t xml:space="preserve"> the damage distance (in m) related to the</w:t>
      </w:r>
      <w:r w:rsidR="00F64456" w:rsidRPr="00765FFA">
        <w:rPr>
          <w:lang w:val="en-GB"/>
        </w:rPr>
        <w:t xml:space="preserve"> </w:t>
      </w:r>
      <w:r w:rsidR="00F64456" w:rsidRPr="00765FFA">
        <w:rPr>
          <w:i/>
          <w:lang w:val="en-GB"/>
        </w:rPr>
        <w:t>j</w:t>
      </w:r>
      <w:r w:rsidR="00F64456" w:rsidRPr="00765FFA">
        <w:rPr>
          <w:lang w:val="en-GB"/>
        </w:rPr>
        <w:t>-</w:t>
      </w:r>
      <w:proofErr w:type="spellStart"/>
      <w:r w:rsidR="00F64456" w:rsidRPr="00765FFA">
        <w:rPr>
          <w:lang w:val="en-GB"/>
        </w:rPr>
        <w:t>th</w:t>
      </w:r>
      <w:proofErr w:type="spellEnd"/>
      <w:r w:rsidR="00F64456" w:rsidRPr="00765FFA">
        <w:rPr>
          <w:lang w:val="en-GB"/>
        </w:rPr>
        <w:t xml:space="preserve"> accident scenario originating from the </w:t>
      </w:r>
      <w:proofErr w:type="spellStart"/>
      <w:r w:rsidR="00F64456" w:rsidRPr="00765FFA">
        <w:rPr>
          <w:i/>
          <w:lang w:val="en-GB"/>
        </w:rPr>
        <w:t>i</w:t>
      </w:r>
      <w:r w:rsidR="00F64456" w:rsidRPr="00765FFA">
        <w:rPr>
          <w:lang w:val="en-GB"/>
        </w:rPr>
        <w:t>-th</w:t>
      </w:r>
      <w:proofErr w:type="spellEnd"/>
      <w:r w:rsidR="00F64456" w:rsidRPr="00765FFA">
        <w:rPr>
          <w:lang w:val="en-GB"/>
        </w:rPr>
        <w:t xml:space="preserve"> release mode of the </w:t>
      </w:r>
      <w:r w:rsidR="00F64456" w:rsidRPr="00765FFA">
        <w:rPr>
          <w:i/>
          <w:lang w:val="en-GB"/>
        </w:rPr>
        <w:t>k</w:t>
      </w:r>
      <w:r w:rsidR="00F64456" w:rsidRPr="00765FFA">
        <w:rPr>
          <w:lang w:val="en-GB"/>
        </w:rPr>
        <w:t>-</w:t>
      </w:r>
      <w:proofErr w:type="spellStart"/>
      <w:r w:rsidR="00F64456" w:rsidRPr="00765FFA">
        <w:rPr>
          <w:lang w:val="en-GB"/>
        </w:rPr>
        <w:t>th</w:t>
      </w:r>
      <w:proofErr w:type="spellEnd"/>
      <w:r w:rsidR="00F64456" w:rsidRPr="00765FFA">
        <w:rPr>
          <w:lang w:val="en-GB"/>
        </w:rPr>
        <w:t xml:space="preserve"> process unit</w:t>
      </w:r>
      <w:r w:rsidR="00D06C48" w:rsidRPr="00765FFA">
        <w:rPr>
          <w:lang w:val="en-GB"/>
        </w:rPr>
        <w:t>, respectively</w:t>
      </w:r>
      <w:r w:rsidR="009E3EA7" w:rsidRPr="00765FFA">
        <w:rPr>
          <w:lang w:val="en-GB"/>
        </w:rPr>
        <w:t xml:space="preserve">. </w:t>
      </w:r>
      <w:r w:rsidR="00A82ACB" w:rsidRPr="00765FFA">
        <w:rPr>
          <w:lang w:val="en-GB"/>
        </w:rPr>
        <w:t xml:space="preserve">The assessment of release modes, credit factors, and damage distances is conducted within </w:t>
      </w:r>
      <w:r w:rsidR="002F3C76" w:rsidRPr="00765FFA">
        <w:rPr>
          <w:lang w:val="en-GB"/>
        </w:rPr>
        <w:t xml:space="preserve">Steps 2a, 2b, and 2c of </w:t>
      </w:r>
      <w:r w:rsidR="002F3C76" w:rsidRPr="00765FFA">
        <w:rPr>
          <w:lang w:val="en-GB"/>
        </w:rPr>
        <w:fldChar w:fldCharType="begin"/>
      </w:r>
      <w:r w:rsidR="002F3C76" w:rsidRPr="00765FFA">
        <w:rPr>
          <w:lang w:val="en-GB"/>
        </w:rPr>
        <w:instrText xml:space="preserve"> REF _Ref184299748 \h </w:instrText>
      </w:r>
      <w:r w:rsidR="00050328" w:rsidRPr="00765FFA">
        <w:rPr>
          <w:lang w:val="en-GB"/>
        </w:rPr>
        <w:instrText xml:space="preserve"> \* MERGEFORMAT </w:instrText>
      </w:r>
      <w:r w:rsidR="002F3C76" w:rsidRPr="00765FFA">
        <w:rPr>
          <w:lang w:val="en-GB"/>
        </w:rPr>
      </w:r>
      <w:r w:rsidR="002F3C76" w:rsidRPr="00765FFA">
        <w:rPr>
          <w:lang w:val="en-GB"/>
        </w:rPr>
        <w:fldChar w:fldCharType="separate"/>
      </w:r>
      <w:r w:rsidR="002F3C76" w:rsidRPr="00765FFA">
        <w:rPr>
          <w:lang w:val="en-GB"/>
        </w:rPr>
        <w:t>Figure 2</w:t>
      </w:r>
      <w:r w:rsidR="002F3C76" w:rsidRPr="00765FFA">
        <w:rPr>
          <w:lang w:val="en-GB"/>
        </w:rPr>
        <w:fldChar w:fldCharType="end"/>
      </w:r>
      <w:r w:rsidR="002F3C76" w:rsidRPr="00765FFA">
        <w:rPr>
          <w:lang w:val="en-GB"/>
        </w:rPr>
        <w:t>, using the inherent safety assessment approach</w:t>
      </w:r>
      <w:r w:rsidR="00D605FE">
        <w:rPr>
          <w:lang w:val="en-GB"/>
        </w:rPr>
        <w:t xml:space="preserve"> </w:t>
      </w:r>
      <w:r w:rsidR="0052541A">
        <w:rPr>
          <w:lang w:val="en-GB"/>
        </w:rPr>
        <w:t>outlined</w:t>
      </w:r>
      <w:r w:rsidR="00D605FE">
        <w:rPr>
          <w:lang w:val="en-GB"/>
        </w:rPr>
        <w:t xml:space="preserve"> by </w:t>
      </w:r>
      <w:r w:rsidR="00D605FE">
        <w:rPr>
          <w:lang w:val="en-GB"/>
        </w:rPr>
        <w:fldChar w:fldCharType="begin" w:fldLock="1"/>
      </w:r>
      <w:r w:rsidR="00A01FE5">
        <w:rPr>
          <w:lang w:val="en-GB"/>
        </w:rPr>
        <w:instrText>ADDIN CSL_CITATION {"citationItems":[{"id":"ITEM-1","itemData":{"DOI":"https://doi.org/10.1002/aic.11315","abstract":"Abstract The availability of inherent safety drivers for early process design is a critical issue for the further development of the chemical and process industry. In this study, a consequence-based method for the inherent safety assessment of process alternatives was developed. Key performance indicators (KPIs) for inherent safety were defined and a procedure for their quantitative assessment was developed. A specific equipment classification and the related failure modes were identified, in order to define the potential accidental scenarios associated to each process unit. Rules for the calculation, by physical model runs, of the damage distances for conventional effects were also defined. Credit factors to account for the safety score of the different equipment classes were introduced. KPIs were defined by the combination of the expected damage distances and of credit factors. The methodology was demonstrated through a case study, and provided useful results both for the identification of safety critical units, and for the assessment of the inherent safety of alternative processes. The comparison of the results with those obtained from other literature methods for inherent safety assessment showed that the KPIs introduced allowed considering the hazards coming from auxiliary equipment, that are often overlooked in conventional inherent safety assessment methods. © 2007 American Institute of Chemical Engineers AIChE J, 2007","author":[{"dropping-particle":"","family":"Tugnoli","given":"Alessandro","non-dropping-particle":"","parse-names":false,"suffix":""},{"dropping-particle":"","family":"Cozzani","given":"Valerio","non-dropping-particle":"","parse-names":false,"suffix":""},{"dropping-particle":"","family":"Landucci","given":"Gabriele","non-dropping-particle":"","parse-names":false,"suffix":""}],"container-title":"AIChE Journal","id":"ITEM-1","issue":"12","issued":{"date-parts":[["2007"]]},"page":"3171-3182","title":"A consequence based approach to the quantitative assessment of inherent safety","type":"article-journal","volume":"53"},"uris":["http://www.mendeley.com/documents/?uuid=34d38f15-22af-40ad-964f-69eea075b42b"]}],"mendeley":{"formattedCitation":"(Tugnoli et al., 2007)","manualFormatting":"Tugnoli et al. (2007)","plainTextFormattedCitation":"(Tugnoli et al., 2007)","previouslyFormattedCitation":"(Tugnoli et al., 2007)"},"properties":{"noteIndex":0},"schema":"https://github.com/citation-style-language/schema/raw/master/csl-citation.json"}</w:instrText>
      </w:r>
      <w:r w:rsidR="00D605FE">
        <w:rPr>
          <w:lang w:val="en-GB"/>
        </w:rPr>
        <w:fldChar w:fldCharType="separate"/>
      </w:r>
      <w:r w:rsidR="00D605FE" w:rsidRPr="00D605FE">
        <w:rPr>
          <w:noProof/>
          <w:lang w:val="en-GB"/>
        </w:rPr>
        <w:t xml:space="preserve">Tugnoli et al. </w:t>
      </w:r>
      <w:r w:rsidR="00D605FE">
        <w:rPr>
          <w:noProof/>
          <w:lang w:val="en-GB"/>
        </w:rPr>
        <w:t>(</w:t>
      </w:r>
      <w:r w:rsidR="00D605FE" w:rsidRPr="00D605FE">
        <w:rPr>
          <w:noProof/>
          <w:lang w:val="en-GB"/>
        </w:rPr>
        <w:t>2007)</w:t>
      </w:r>
      <w:r w:rsidR="00D605FE">
        <w:rPr>
          <w:lang w:val="en-GB"/>
        </w:rPr>
        <w:fldChar w:fldCharType="end"/>
      </w:r>
      <w:r w:rsidR="002F3C76" w:rsidRPr="00765FFA">
        <w:rPr>
          <w:lang w:val="en-GB"/>
        </w:rPr>
        <w:t xml:space="preserve">. </w:t>
      </w:r>
      <w:r w:rsidR="003B036F" w:rsidRPr="00765FFA">
        <w:rPr>
          <w:color w:val="000000" w:themeColor="text1"/>
          <w:lang w:val="en-GB"/>
        </w:rPr>
        <w:t>As</w:t>
      </w:r>
      <w:r w:rsidR="00103CCE" w:rsidRPr="00765FFA">
        <w:rPr>
          <w:color w:val="000000" w:themeColor="text1"/>
          <w:lang w:val="en-GB"/>
        </w:rPr>
        <w:t xml:space="preserve"> expressed in Equation (1)</w:t>
      </w:r>
      <w:r w:rsidR="00353174" w:rsidRPr="00765FFA">
        <w:rPr>
          <w:color w:val="000000" w:themeColor="text1"/>
          <w:lang w:val="en-GB"/>
        </w:rPr>
        <w:t xml:space="preserve">, </w:t>
      </w:r>
      <w:r w:rsidR="00103CCE" w:rsidRPr="00765FFA">
        <w:rPr>
          <w:color w:val="000000" w:themeColor="text1"/>
          <w:lang w:val="en-GB"/>
        </w:rPr>
        <w:t>a higher</w:t>
      </w:r>
      <w:r w:rsidR="00353174" w:rsidRPr="00765FFA">
        <w:rPr>
          <w:color w:val="000000" w:themeColor="text1"/>
          <w:lang w:val="en-GB"/>
        </w:rPr>
        <w:t xml:space="preserve"> </w:t>
      </w:r>
      <m:oMath>
        <m:r>
          <m:rPr>
            <m:nor/>
          </m:rPr>
          <w:rPr>
            <w:i/>
            <w:lang w:val="en-GB"/>
          </w:rPr>
          <m:t>HI</m:t>
        </m:r>
      </m:oMath>
      <w:r w:rsidR="00103CCE" w:rsidRPr="00765FFA">
        <w:rPr>
          <w:lang w:val="en-GB"/>
        </w:rPr>
        <w:t xml:space="preserve"> </w:t>
      </w:r>
      <w:r w:rsidR="00AF57DF" w:rsidRPr="00765FFA">
        <w:rPr>
          <w:lang w:val="en-GB"/>
        </w:rPr>
        <w:t xml:space="preserve">value indicates a greater hazard level associated with the carbon capture technology, </w:t>
      </w:r>
      <w:r w:rsidR="00050328" w:rsidRPr="00765FFA">
        <w:rPr>
          <w:lang w:val="en-GB"/>
        </w:rPr>
        <w:t>ultimately reflecting a lower inherent safety performance.</w:t>
      </w:r>
    </w:p>
    <w:p w14:paraId="768F797E" w14:textId="5B51AB32" w:rsidR="003D73C5" w:rsidRDefault="003D73C5" w:rsidP="003D73C5">
      <w:pPr>
        <w:pStyle w:val="CETheadingx"/>
        <w:rPr>
          <w:color w:val="000000" w:themeColor="text1"/>
          <w:lang w:val="en-GB"/>
        </w:rPr>
      </w:pPr>
      <w:bookmarkStart w:id="6" w:name="_Ref184301653"/>
      <w:r w:rsidRPr="00CE5548">
        <w:rPr>
          <w:color w:val="000000" w:themeColor="text1"/>
          <w:lang w:val="en-GB"/>
        </w:rPr>
        <w:t xml:space="preserve">Indicators for the other </w:t>
      </w:r>
      <w:r w:rsidR="00B1721E">
        <w:rPr>
          <w:color w:val="000000" w:themeColor="text1"/>
          <w:lang w:val="en-GB"/>
        </w:rPr>
        <w:t xml:space="preserve">sustainability </w:t>
      </w:r>
      <w:r w:rsidRPr="00CE5548">
        <w:rPr>
          <w:color w:val="000000" w:themeColor="text1"/>
          <w:lang w:val="en-GB"/>
        </w:rPr>
        <w:t>domains</w:t>
      </w:r>
      <w:bookmarkEnd w:id="6"/>
    </w:p>
    <w:p w14:paraId="2FDE7574" w14:textId="287075A5" w:rsidR="00BD73C1" w:rsidRDefault="00BD73C1" w:rsidP="00D06C48">
      <w:pPr>
        <w:pStyle w:val="CETBodytext"/>
        <w:rPr>
          <w:lang w:val="en-GB"/>
        </w:rPr>
      </w:pPr>
      <w:r w:rsidRPr="00BD73C1">
        <w:rPr>
          <w:lang w:val="en-GB"/>
        </w:rPr>
        <w:t xml:space="preserve">A tailored set of </w:t>
      </w:r>
      <w:r w:rsidR="00EA4C19">
        <w:rPr>
          <w:lang w:val="en-GB"/>
        </w:rPr>
        <w:t>KPIs</w:t>
      </w:r>
      <w:r w:rsidRPr="00BD73C1">
        <w:rPr>
          <w:lang w:val="en-GB"/>
        </w:rPr>
        <w:t xml:space="preserve"> for technological, economic, and environmental sustainability was defined for both case studies to appropriately account for their respective boundary conditions.</w:t>
      </w:r>
    </w:p>
    <w:p w14:paraId="2DCCE734" w14:textId="54C18D6A" w:rsidR="00A30295" w:rsidRDefault="00BD73C1" w:rsidP="00D06C48">
      <w:pPr>
        <w:pStyle w:val="CETBodytext"/>
        <w:rPr>
          <w:lang w:val="en-GB"/>
        </w:rPr>
      </w:pPr>
      <w:r>
        <w:rPr>
          <w:lang w:val="en-GB"/>
        </w:rPr>
        <w:t xml:space="preserve">For </w:t>
      </w:r>
      <w:r w:rsidR="007D6E40">
        <w:rPr>
          <w:lang w:val="en-GB"/>
        </w:rPr>
        <w:t>application to the industrial hard-to-abate point source</w:t>
      </w:r>
      <w:r>
        <w:rPr>
          <w:lang w:val="en-GB"/>
        </w:rPr>
        <w:t>, CO</w:t>
      </w:r>
      <w:r w:rsidRPr="00BD73C1">
        <w:rPr>
          <w:vertAlign w:val="subscript"/>
          <w:lang w:val="en-GB"/>
        </w:rPr>
        <w:t>2</w:t>
      </w:r>
      <w:r>
        <w:rPr>
          <w:lang w:val="en-GB"/>
        </w:rPr>
        <w:t xml:space="preserve"> purity was considered as the key technological index, objectively </w:t>
      </w:r>
      <w:r w:rsidR="00202399">
        <w:rPr>
          <w:lang w:val="en-GB"/>
        </w:rPr>
        <w:t>measuring the separation performance</w:t>
      </w:r>
      <w:r w:rsidR="0075189F">
        <w:rPr>
          <w:lang w:val="en-GB"/>
        </w:rPr>
        <w:t xml:space="preserve"> </w:t>
      </w:r>
      <w:r w:rsidR="002B66B2">
        <w:rPr>
          <w:lang w:val="en-GB"/>
        </w:rPr>
        <w:fldChar w:fldCharType="begin" w:fldLock="1"/>
      </w:r>
      <w:r w:rsidR="007D0EEB">
        <w:rPr>
          <w:lang w:val="en-GB"/>
        </w:rPr>
        <w:instrText>ADDIN CSL_CITATION {"citationItems":[{"id":"ITEM-1","itemData":{"DOI":"10.1016/j.egypro.2017.03.1385","ISSN":"18766102","abstract":"This paper provides an insight on state-of-the-art, limits and potentials of pressure swing adsorption (PSA) as CO2 capture technology into power plants. To get a complete picture both post- and pre-combustion cases are considered. The expertise developed with modeling and simulation of PSA processes in power plants stressed the need of a holistic approach to the analysis. The different domains which determine the viability of the technology are taken into account, together with their mutual influence. Accordingly, adsorbent materials characteristics, process configurations and integration strategies are investigated and discussed, in order to provide a general evaluation. In post-combustion applications, PSA has been widely assessed with regard to adsorbent materials and processes. The integration into power plant does not entail significant issues, with a good potential for retrofitting old plants. An excessively large footprint of the separation unit has been reported, which seems to question the feasibility of PSA. In pre-combustion applications, prospects for improving adsorbent materials and processes are noticed. Good potential for PSA is envisaged whit hot gas separation processes, especially with sorption-enhanced processes. Furthermore, the complexity of the arrangements in pre-combustion cases may open room for interesting alternative system configurations, like power and H2 coproduction layouts.","author":[{"dropping-particle":"","family":"Riboldi","given":"Luca","non-dropping-particle":"","parse-names":false,"suffix":""},{"dropping-particle":"","family":"Bolland","given":"Olav","non-dropping-particle":"","parse-names":false,"suffix":""}],"container-title":"Energy Procedia","id":"ITEM-1","issue":"1876","issued":{"date-parts":[["2017"]]},"page":"2390-2400","publisher":"The Author(s)","title":"Overview on Pressure Swing Adsorption (PSA) as CO2 Capture Technology: State-of-the-Art, Limits and Potentials","type":"article-journal","volume":"114"},"uris":["http://www.mendeley.com/documents/?uuid=32061314-67e3-46f8-ade4-6efa228e3046"]}],"mendeley":{"formattedCitation":"(Riboldi and Bolland, 2017)","plainTextFormattedCitation":"(Riboldi and Bolland, 2017)","previouslyFormattedCitation":"(Riboldi and Bolland, 2017)"},"properties":{"noteIndex":0},"schema":"https://github.com/citation-style-language/schema/raw/master/csl-citation.json"}</w:instrText>
      </w:r>
      <w:r w:rsidR="002B66B2">
        <w:rPr>
          <w:lang w:val="en-GB"/>
        </w:rPr>
        <w:fldChar w:fldCharType="separate"/>
      </w:r>
      <w:r w:rsidR="007D0EEB" w:rsidRPr="007D0EEB">
        <w:rPr>
          <w:noProof/>
          <w:lang w:val="en-GB"/>
        </w:rPr>
        <w:t>(Riboldi and Bolland, 2017)</w:t>
      </w:r>
      <w:r w:rsidR="002B66B2">
        <w:rPr>
          <w:lang w:val="en-GB"/>
        </w:rPr>
        <w:fldChar w:fldCharType="end"/>
      </w:r>
      <w:r w:rsidR="002B66B2">
        <w:rPr>
          <w:lang w:val="en-GB"/>
        </w:rPr>
        <w:t xml:space="preserve"> </w:t>
      </w:r>
      <w:r w:rsidR="00A61E6E">
        <w:rPr>
          <w:lang w:val="en-GB"/>
        </w:rPr>
        <w:t xml:space="preserve">of carbon capture technologies </w:t>
      </w:r>
      <w:r w:rsidR="00606BCA" w:rsidRPr="00606BCA">
        <w:rPr>
          <w:lang w:val="en-GB"/>
        </w:rPr>
        <w:t xml:space="preserve">as a function </w:t>
      </w:r>
      <w:r w:rsidR="00A61E6E">
        <w:rPr>
          <w:lang w:val="en-GB"/>
        </w:rPr>
        <w:t>of</w:t>
      </w:r>
      <w:r w:rsidR="00606BCA" w:rsidRPr="00606BCA">
        <w:rPr>
          <w:lang w:val="en-GB"/>
        </w:rPr>
        <w:t xml:space="preserve"> the characteristics of the treated industrial flue gas</w:t>
      </w:r>
      <w:r w:rsidR="002B66B2">
        <w:rPr>
          <w:lang w:val="en-GB"/>
        </w:rPr>
        <w:t>.</w:t>
      </w:r>
      <w:r w:rsidR="00877DD0">
        <w:rPr>
          <w:lang w:val="en-GB"/>
        </w:rPr>
        <w:t xml:space="preserve"> </w:t>
      </w:r>
      <w:r w:rsidR="002556EB">
        <w:rPr>
          <w:lang w:val="en-GB"/>
        </w:rPr>
        <w:t xml:space="preserve">The economic viability was considered measured by </w:t>
      </w:r>
      <w:r w:rsidR="00877DD0">
        <w:rPr>
          <w:lang w:val="en-GB"/>
        </w:rPr>
        <w:t>a CO</w:t>
      </w:r>
      <w:r w:rsidR="00877DD0" w:rsidRPr="00877DD0">
        <w:rPr>
          <w:vertAlign w:val="subscript"/>
          <w:lang w:val="en-GB"/>
        </w:rPr>
        <w:t>2</w:t>
      </w:r>
      <w:r w:rsidR="00877DD0">
        <w:rPr>
          <w:lang w:val="en-GB"/>
        </w:rPr>
        <w:t xml:space="preserve"> </w:t>
      </w:r>
      <w:r w:rsidR="00D83672">
        <w:rPr>
          <w:lang w:val="en-GB"/>
        </w:rPr>
        <w:t>A</w:t>
      </w:r>
      <w:r w:rsidR="00877DD0">
        <w:rPr>
          <w:lang w:val="en-GB"/>
        </w:rPr>
        <w:t>voidan</w:t>
      </w:r>
      <w:r w:rsidR="002778D9">
        <w:rPr>
          <w:lang w:val="en-GB"/>
        </w:rPr>
        <w:t>c</w:t>
      </w:r>
      <w:r w:rsidR="00877DD0">
        <w:rPr>
          <w:lang w:val="en-GB"/>
        </w:rPr>
        <w:t xml:space="preserve">e </w:t>
      </w:r>
      <w:r w:rsidR="00D83672">
        <w:rPr>
          <w:lang w:val="en-GB"/>
        </w:rPr>
        <w:t>C</w:t>
      </w:r>
      <w:r w:rsidR="00877DD0">
        <w:rPr>
          <w:lang w:val="en-GB"/>
        </w:rPr>
        <w:t>ost</w:t>
      </w:r>
      <w:r w:rsidR="003016E5">
        <w:rPr>
          <w:lang w:val="en-GB"/>
        </w:rPr>
        <w:t xml:space="preserve"> (CAC)</w:t>
      </w:r>
      <w:r w:rsidR="00877DD0">
        <w:rPr>
          <w:lang w:val="en-GB"/>
        </w:rPr>
        <w:t xml:space="preserve"> metric, calculated as outlined by </w:t>
      </w:r>
      <w:r w:rsidR="00877DD0">
        <w:rPr>
          <w:lang w:val="en-GB"/>
        </w:rPr>
        <w:fldChar w:fldCharType="begin" w:fldLock="1"/>
      </w:r>
      <w:r w:rsidR="002F3C95">
        <w:rPr>
          <w:lang w:val="en-GB"/>
        </w:rPr>
        <w:instrText>ADDIN CSL_CITATION {"citationItems":[{"id":"ITEM-1","itemData":{"DOI":"10.3390/en12030542","ISSN":"19961073","abstract":"This paper presents an assessment of the cost performance of CO 2 capture technologies when retrofitted to a cement plant: MEA-based absorption, oxyfuel, chilled ammonia-based absorption (Chilled Ammonia Process), membrane-assisted CO 2 liquefaction, and calcium looping. While the technical basis for this study is presented in Part 1 of this paper series, this work presents a comprehensive techno-economic analysis of these CO 2 capture technologies based on a capital and operating costs evaluation for retrofit in a cement plant. The cost of the cement plant product, clinker, is shown to increase with 49 to 92% compared to the cost of clinker without capture. The cost of CO 2 avoided is between 42 €/t CO2 (for the oxyfuel-based capture process) and 84 €/t CO2 (for the membrane-based assisted liquefaction capture process), while the reference MEA-based absorption capture technology has a cost of 80 €/t CO2 . Notably, the cost figures depend strongly on factors such as steam source, electricity mix, electricity price, fuel price and plant-specific characteristics. Hence, this confirms the conclusion of the technical evaluation in Part 1 that for final selection of CO 2 capture technology at a specific plant, a plant-specific techno-economic evaluation should be performed, also considering more practical considerations.","author":[{"dropping-particle":"","family":"Gardarsdottir","given":"Stefania Osk","non-dropping-particle":"","parse-names":false,"suffix":""},{"dropping-particle":"","family":"Lena","given":"Edoardo","non-dropping-particle":"De","parse-names":false,"suffix":""},{"dropping-particle":"","family":"Romano","given":"Matteo","non-dropping-particle":"","parse-names":false,"suffix":""},{"dropping-particle":"","family":"Roussanaly","given":"Simon","non-dropping-particle":"","parse-names":false,"suffix":""},{"dropping-particle":"","family":"Voldsund","given":"Mari","non-dropping-particle":"","parse-names":false,"suffix":""},{"dropping-particle":"","family":"Pérez-Calvo","given":"José Francisco","non-dropping-particle":"","parse-names":false,"suffix":""},{"dropping-particle":"","family":"Berstad","given":"David","non-dropping-particle":"","parse-names":false,"suffix":""},{"dropping-particle":"","family":"Fu","given":"Chao","non-dropping-particle":"","parse-names":false,"suffix":""},{"dropping-particle":"","family":"Anantharaman","given":"Rahul","non-dropping-particle":"","parse-names":false,"suffix":""},{"dropping-particle":"","family":"Sutter","given":"Daniel","non-dropping-particle":"","parse-names":false,"suffix":""},{"dropping-particle":"","family":"Gazzani","given":"Matteo","non-dropping-particle":"","parse-names":false,"suffix":""},{"dropping-particle":"","family":"Mazzotti","given":"Marco","non-dropping-particle":"","parse-names":false,"suffix":""},{"dropping-particle":"","family":"Cinti","given":"Giovanni","non-dropping-particle":"","parse-names":false,"suffix":""}],"container-title":"Energies","id":"ITEM-1","issue":"3","issued":{"date-parts":[["2019"]]},"page":"542","title":"Comparison of technologies for CO2 capture from cement production—Part 2: Cost analysis","type":"article-journal","volume":"12"},"uris":["http://www.mendeley.com/documents/?uuid=98749538-8cb3-4b9c-8957-2e633d7c664a"]}],"mendeley":{"formattedCitation":"(Gardarsdottir et al., 2019)","manualFormatting":"Gardarsdottir et al. (2019)","plainTextFormattedCitation":"(Gardarsdottir et al., 2019)","previouslyFormattedCitation":"(Gardarsdottir et al., 2019)"},"properties":{"noteIndex":0},"schema":"https://github.com/citation-style-language/schema/raw/master/csl-citation.json"}</w:instrText>
      </w:r>
      <w:r w:rsidR="00877DD0">
        <w:rPr>
          <w:lang w:val="en-GB"/>
        </w:rPr>
        <w:fldChar w:fldCharType="separate"/>
      </w:r>
      <w:r w:rsidR="00877DD0" w:rsidRPr="00877DD0">
        <w:rPr>
          <w:noProof/>
          <w:lang w:val="en-GB"/>
        </w:rPr>
        <w:t>Gardarsdottir et al</w:t>
      </w:r>
      <w:r w:rsidR="00877DD0" w:rsidRPr="00765FFA">
        <w:rPr>
          <w:noProof/>
          <w:lang w:val="en-GB"/>
        </w:rPr>
        <w:t xml:space="preserve">. </w:t>
      </w:r>
      <w:r w:rsidR="002517EF">
        <w:rPr>
          <w:noProof/>
          <w:lang w:val="en-GB"/>
        </w:rPr>
        <w:t>(</w:t>
      </w:r>
      <w:r w:rsidR="00877DD0" w:rsidRPr="00877DD0">
        <w:rPr>
          <w:noProof/>
          <w:lang w:val="en-GB"/>
        </w:rPr>
        <w:t>2019)</w:t>
      </w:r>
      <w:r w:rsidR="00877DD0">
        <w:rPr>
          <w:lang w:val="en-GB"/>
        </w:rPr>
        <w:fldChar w:fldCharType="end"/>
      </w:r>
      <w:r w:rsidR="002556EB">
        <w:rPr>
          <w:lang w:val="en-GB"/>
        </w:rPr>
        <w:t xml:space="preserve">. Ultimately, </w:t>
      </w:r>
      <w:r w:rsidR="007D6E40">
        <w:rPr>
          <w:lang w:val="en-GB"/>
        </w:rPr>
        <w:t xml:space="preserve">a </w:t>
      </w:r>
      <w:r w:rsidR="00D83672">
        <w:rPr>
          <w:lang w:val="en-GB"/>
        </w:rPr>
        <w:t>C</w:t>
      </w:r>
      <w:r w:rsidR="007D6E40">
        <w:rPr>
          <w:lang w:val="en-GB"/>
        </w:rPr>
        <w:t xml:space="preserve">umulative </w:t>
      </w:r>
      <w:r w:rsidR="00D83672">
        <w:rPr>
          <w:lang w:val="en-GB"/>
        </w:rPr>
        <w:t>S</w:t>
      </w:r>
      <w:r w:rsidR="007D6E40">
        <w:rPr>
          <w:lang w:val="en-GB"/>
        </w:rPr>
        <w:t xml:space="preserve">pecific </w:t>
      </w:r>
      <w:r w:rsidR="00D83672">
        <w:rPr>
          <w:lang w:val="en-GB"/>
        </w:rPr>
        <w:t>P</w:t>
      </w:r>
      <w:r w:rsidR="0036619E">
        <w:rPr>
          <w:lang w:val="en-GB"/>
        </w:rPr>
        <w:t xml:space="preserve">rimary </w:t>
      </w:r>
      <w:r w:rsidR="00D83672">
        <w:rPr>
          <w:lang w:val="en-GB"/>
        </w:rPr>
        <w:t>E</w:t>
      </w:r>
      <w:r w:rsidR="007D6E40">
        <w:rPr>
          <w:lang w:val="en-GB"/>
        </w:rPr>
        <w:t xml:space="preserve">nergy </w:t>
      </w:r>
      <w:r w:rsidR="00D83672">
        <w:rPr>
          <w:lang w:val="en-GB"/>
        </w:rPr>
        <w:t>C</w:t>
      </w:r>
      <w:r w:rsidR="007D6E40">
        <w:rPr>
          <w:lang w:val="en-GB"/>
        </w:rPr>
        <w:t>onsumption per CO</w:t>
      </w:r>
      <w:r w:rsidR="007D6E40" w:rsidRPr="009F26DA">
        <w:rPr>
          <w:vertAlign w:val="subscript"/>
          <w:lang w:val="en-GB"/>
        </w:rPr>
        <w:t>2</w:t>
      </w:r>
      <w:r w:rsidR="007D6E40">
        <w:rPr>
          <w:lang w:val="en-GB"/>
        </w:rPr>
        <w:t xml:space="preserve"> </w:t>
      </w:r>
      <w:r w:rsidR="00D83672">
        <w:rPr>
          <w:lang w:val="en-GB"/>
        </w:rPr>
        <w:t>A</w:t>
      </w:r>
      <w:r w:rsidR="007D6E40">
        <w:rPr>
          <w:lang w:val="en-GB"/>
        </w:rPr>
        <w:t>voided</w:t>
      </w:r>
      <w:r w:rsidR="003016E5">
        <w:rPr>
          <w:lang w:val="en-GB"/>
        </w:rPr>
        <w:t xml:space="preserve"> (CSPECCA)</w:t>
      </w:r>
      <w:r w:rsidR="007D6E40">
        <w:rPr>
          <w:lang w:val="en-GB"/>
        </w:rPr>
        <w:t xml:space="preserve">, </w:t>
      </w:r>
      <w:r w:rsidR="0036619E">
        <w:rPr>
          <w:lang w:val="en-GB"/>
        </w:rPr>
        <w:t>including the</w:t>
      </w:r>
      <w:r w:rsidR="003016E5">
        <w:rPr>
          <w:lang w:val="en-GB"/>
        </w:rPr>
        <w:t xml:space="preserve"> primary energy consumption associated with heat and electricity supply</w:t>
      </w:r>
      <w:r w:rsidR="00AD53C0">
        <w:rPr>
          <w:lang w:val="en-GB"/>
        </w:rPr>
        <w:t>,</w:t>
      </w:r>
      <w:r w:rsidR="003016E5">
        <w:rPr>
          <w:lang w:val="en-GB"/>
        </w:rPr>
        <w:t xml:space="preserve"> as well as the cumulativ</w:t>
      </w:r>
      <w:r w:rsidR="00C66B7C">
        <w:rPr>
          <w:lang w:val="en-GB"/>
        </w:rPr>
        <w:t>e contribution due to raw material usage, was considered</w:t>
      </w:r>
      <w:r w:rsidR="00406938">
        <w:rPr>
          <w:lang w:val="en-GB"/>
        </w:rPr>
        <w:t>, being representative of the environmental impact associated</w:t>
      </w:r>
      <w:r w:rsidR="00C344E1">
        <w:rPr>
          <w:lang w:val="en-GB"/>
        </w:rPr>
        <w:t xml:space="preserve"> with</w:t>
      </w:r>
      <w:r w:rsidR="00FF784E">
        <w:rPr>
          <w:lang w:val="en-GB"/>
        </w:rPr>
        <w:t xml:space="preserve"> </w:t>
      </w:r>
      <w:r w:rsidR="009F26DA">
        <w:rPr>
          <w:lang w:val="en-GB"/>
        </w:rPr>
        <w:t xml:space="preserve">commodity production </w:t>
      </w:r>
      <w:r w:rsidR="009F26DA">
        <w:rPr>
          <w:lang w:val="en-GB"/>
        </w:rPr>
        <w:fldChar w:fldCharType="begin" w:fldLock="1"/>
      </w:r>
      <w:r w:rsidR="00FB6EC6">
        <w:rPr>
          <w:lang w:val="en-GB"/>
        </w:rPr>
        <w:instrText>ADDIN CSL_CITATION {"citationItems":[{"id":"ITEM-1","itemData":{"DOI":"10.1021/es902870s","ISSN":"0013936X","PMID":"20108964","abstract":"Cumulative energy demand has been used as a methodology to assess life cycle environmental impacts of commodity production since the early seventies, but has also been criticized because it focuses on energy only. During the past 30 years there has been much research into the development of more complex single-score life cycle impact assessment methodologies. However, a comprehensive analysis of potential similarities and differences between these methodologies and cumulative energy demand has not been carried out so far. Here we compare the cumulative energy demand of 498 commodities with the results of six frequently applied environmental life cycle impact assessment methodologies. Commodity groups included are metals, glass, paper and cardboard, organic and inorganic chemicals, agricultural products, construction materials, and plastics. We show that all impact assessment methods investigated often provide converging results, in spite of the different philosophies behind these methodologies. Fossil energy use is identified by all methodologies as the most important driver of environmental burden of the majority of the commodities included, with the main exception of agricultural products. We conclude that a wide range of life cycle environmental assessment methodologies point into the same environmental direction forthe production of many commodities. © 2010 American Chemical Society.","author":[{"dropping-particle":"","family":"Huijbregts","given":"Mark A.J.","non-dropping-particle":"","parse-names":false,"suffix":""},{"dropping-particle":"","family":"Hellweg","given":"Stefanie","non-dropping-particle":"","parse-names":false,"suffix":""},{"dropping-particle":"","family":"Frischknecht","given":"Rolf","non-dropping-particle":"","parse-names":false,"suffix":""},{"dropping-particle":"","family":"Hendriks","given":"Harrie W.M.","non-dropping-particle":"","parse-names":false,"suffix":""},{"dropping-particle":"","family":"Hungehbühler","given":"Konrad","non-dropping-particle":"","parse-names":false,"suffix":""},{"dropping-particle":"","family":"Hendriks","given":"A. Jan","non-dropping-particle":"","parse-names":false,"suffix":""}],"container-title":"Environmental Science and Technology","id":"ITEM-1","issue":"6","issued":{"date-parts":[["2010"]]},"page":"2189-2196","title":"Cumulative energy demand as predictor for the environmental burden of commodity production","type":"article-journal","volume":"44"},"uris":["http://www.mendeley.com/documents/?uuid=af12f201-879b-4fb5-bb99-f139ada72bfd"]},{"id":"ITEM-2","itemData":{"DOI":"10.1021/acs.est.5b05179","ISSN":"15205851","PMID":"26963880","abstract":"Numerous indicators are currently available for environmental impact assessments, especially in the field of Life Cycle Impact Assessment (LCIA). Because decision-making on the basis of hundreds of indicators simultaneously is unfeasible, a nonredundant key set of indicators representative of the overall environmental impact is needed. We aimed to find such a nonredundant set of indicators based on their mutual correlations. We have used Principal Component Analysis (PCA) in combination with an optimization algorithm to find an optimal set of indicators out of 135 impact indicators calculated for 976 products from the ecoinvent database. The first four principal components covered 92% of the variance in product rankings, showing the potential for indicator reduction. The same amount of variance (92%) could be covered by a minimal set of six indicators, related to climate change, ozone depletion, the combined effects of acidification and eutrophication, terrestrial ecotoxicity, marine ecotoxicity, and land use. In comparison, four commonly used resource footprints (energy, water, land, materials) together accounted for 84% of the variance in product rankings. We conclude that the plethora of environmental indicators can be reduced to a small key set, representing the major part of the variation in environmental impacts between product life cycles. (Figure Presented).","author":[{"dropping-particle":"","family":"Steinmann","given":"Zoran J.N.","non-dropping-particle":"","parse-names":false,"suffix":""},{"dropping-particle":"","family":"Schipper","given":"Aafke M.","non-dropping-particle":"","parse-names":false,"suffix":""},{"dropping-particle":"","family":"Hauck","given":"Mara","non-dropping-particle":"","parse-names":false,"suffix":""},{"dropping-particle":"","family":"Huijbregts","given":"Mark A.J.","non-dropping-particle":"","parse-names":false,"suffix":""}],"container-title":"Environmental Science &amp; Technology","id":"ITEM-2","issue":"7","issued":{"date-parts":[["2016"]]},"page":"3913-3919","title":"How many environmental impact indicators are needed in the evaluation of product life cycles?","type":"article-journal","volume":"50"},"uris":["http://www.mendeley.com/documents/?uuid=86f98b3b-c574-4afc-89e4-80be44b4da4e"]}],"mendeley":{"formattedCitation":"(Huijbregts et al., 2010; Steinmann et al., 2016)","plainTextFormattedCitation":"(Huijbregts et al., 2010; Steinmann et al., 2016)","previouslyFormattedCitation":"(Huijbregts et al., 2010; Steinmann et al., 2016)"},"properties":{"noteIndex":0},"schema":"https://github.com/citation-style-language/schema/raw/master/csl-citation.json"}</w:instrText>
      </w:r>
      <w:r w:rsidR="009F26DA">
        <w:rPr>
          <w:lang w:val="en-GB"/>
        </w:rPr>
        <w:fldChar w:fldCharType="separate"/>
      </w:r>
      <w:r w:rsidR="0095565B" w:rsidRPr="0095565B">
        <w:rPr>
          <w:noProof/>
          <w:lang w:val="en-GB"/>
        </w:rPr>
        <w:t>(Huijbregts et al., 2010; Steinmann et al., 2016)</w:t>
      </w:r>
      <w:r w:rsidR="009F26DA">
        <w:rPr>
          <w:lang w:val="en-GB"/>
        </w:rPr>
        <w:fldChar w:fldCharType="end"/>
      </w:r>
      <w:r w:rsidR="00C66B7C">
        <w:rPr>
          <w:lang w:val="en-GB"/>
        </w:rPr>
        <w:t>.</w:t>
      </w:r>
      <w:r w:rsidR="009F26DA">
        <w:rPr>
          <w:lang w:val="en-GB"/>
        </w:rPr>
        <w:t xml:space="preserve"> </w:t>
      </w:r>
      <w:r w:rsidR="005616DE">
        <w:rPr>
          <w:lang w:val="en-GB"/>
        </w:rPr>
        <w:t xml:space="preserve">The procedure proposed by </w:t>
      </w:r>
      <w:r w:rsidR="00553FE8">
        <w:rPr>
          <w:lang w:val="en-GB"/>
        </w:rPr>
        <w:fldChar w:fldCharType="begin" w:fldLock="1"/>
      </w:r>
      <w:r w:rsidR="00B23A49">
        <w:rPr>
          <w:lang w:val="en-GB"/>
        </w:rPr>
        <w:instrText>ADDIN CSL_CITATION {"citationItems":[{"id":"ITEM-1","itemData":{"DOI":"10.3390/en12030559","ISSN":"19961073","abstract":"A technical evaluation of CO 2 capture technologies when retrofitted to a cement plant is performed. The investigated technologies are the oxyfuel process, the chilled ammonia process, membrane-assisted CO 2 liquefaction, and the calcium looping process with tail-end and integrated configurations. For comparison, absorption with monoethanolamine (MEA) is used as reference technology. The focus of the evaluation is on emission abatement, energy performance, and retrofitability. All the investigated technologies perform better than the reference both in terms of emission abatement and energy consumption. The equivalent CO 2 avoided are 73–90%, while it is 64% for MEA, considering the average EU-28 electricity mix. The specific primary energy consumption for CO 2 avoided is 1.63–4.07 MJ/kg CO 2 , compared to 7.08 MJ/kg CO 2 for MEA. The calcium looping technologies have the highest emission abatement potential, while the oxyfuel process has the best energy performance. When it comes to retrofitability, the post-combustion technologies show significant advantages compared to the oxyfuel and to the integrated calcium looping technologies. Furthermore, the performance of the individual technologies shows strong dependencies on site-specific and plant-specific factors. Therefore, rather than identifying one single best technology, it is emphasized that CO 2 capture in the cement industry should be performed with a portfolio of capture technologies, where the preferred choice for each specific plant depends on local factors.","author":[{"dropping-particle":"","family":"Voldsund","given":"Mari","non-dropping-particle":"","parse-names":false,"suffix":""},{"dropping-particle":"","family":"Gardarsdottir","given":"Stefania Osk","non-dropping-particle":"","parse-names":false,"suffix":""},{"dropping-particle":"","family":"Lena","given":"Edoardo","non-dropping-particle":"De","parse-names":false,"suffix":""},{"dropping-particle":"","family":"Pérez-Calvo","given":"José Francisco","non-dropping-particle":"","parse-names":false,"suffix":""},{"dropping-particle":"","family":"Jamali","given":"Armin","non-dropping-particle":"","parse-names":false,"suffix":""},{"dropping-particle":"","family":"Berstad","given":"David","non-dropping-particle":"","parse-names":false,"suffix":""},{"dropping-particle":"","family":"Fu","given":"Chao","non-dropping-particle":"","parse-names":false,"suffix":""},{"dropping-particle":"","family":"Romano","given":"Matteo","non-dropping-particle":"","parse-names":false,"suffix":""},{"dropping-particle":"","family":"Roussanaly","given":"Simon","non-dropping-particle":"","parse-names":false,"suffix":""},{"dropping-particle":"","family":"Anantharaman","given":"Rahul","non-dropping-particle":"","parse-names":false,"suffix":""},{"dropping-particle":"","family":"Hoppe","given":"Helmut","non-dropping-particle":"","parse-names":false,"suffix":""},{"dropping-particle":"","family":"Sutter","given":"Daniel","non-dropping-particle":"","parse-names":false,"suffix":""},{"dropping-particle":"","family":"Mazzotti","given":"Marco","non-dropping-particle":"","parse-names":false,"suffix":""},{"dropping-particle":"","family":"Gazzani","given":"Matteo","non-dropping-particle":"","parse-names":false,"suffix":""},{"dropping-particle":"","family":"Cinti","given":"Giovanni","non-dropping-particle":"","parse-names":false,"suffix":""},{"dropping-particle":"","family":"Jordal","given":"Kristin","non-dropping-particle":"","parse-names":false,"suffix":""}],"container-title":"Energies","id":"ITEM-1","issue":"3","issued":{"date-parts":[["2019"]]},"title":"Comparison of technologies for CO2 capture from cement production—Part 1: Technical evaluation","type":"article-journal","volume":"12"},"uris":["http://www.mendeley.com/documents/?uuid=901fe7d0-c478-46ac-b502-5ba5632ff3c7"]}],"mendeley":{"formattedCitation":"(Voldsund et al., 2019)","manualFormatting":"Voldsund et al. (2019)","plainTextFormattedCitation":"(Voldsund et al., 2019)","previouslyFormattedCitation":"(Voldsund et al., 2019)"},"properties":{"noteIndex":0},"schema":"https://github.com/citation-style-language/schema/raw/master/csl-citation.json"}</w:instrText>
      </w:r>
      <w:r w:rsidR="00553FE8">
        <w:rPr>
          <w:lang w:val="en-GB"/>
        </w:rPr>
        <w:fldChar w:fldCharType="separate"/>
      </w:r>
      <w:r w:rsidR="00553FE8" w:rsidRPr="00553FE8">
        <w:rPr>
          <w:noProof/>
          <w:lang w:val="en-GB"/>
        </w:rPr>
        <w:t xml:space="preserve">Voldsund et al. </w:t>
      </w:r>
      <w:r w:rsidR="00553FE8">
        <w:rPr>
          <w:noProof/>
          <w:lang w:val="en-GB"/>
        </w:rPr>
        <w:t>(</w:t>
      </w:r>
      <w:r w:rsidR="00553FE8" w:rsidRPr="00553FE8">
        <w:rPr>
          <w:noProof/>
          <w:lang w:val="en-GB"/>
        </w:rPr>
        <w:t>2019)</w:t>
      </w:r>
      <w:r w:rsidR="00553FE8">
        <w:rPr>
          <w:lang w:val="en-GB"/>
        </w:rPr>
        <w:fldChar w:fldCharType="end"/>
      </w:r>
      <w:r w:rsidR="00C11E42">
        <w:rPr>
          <w:lang w:val="en-GB"/>
        </w:rPr>
        <w:t xml:space="preserve"> was used to calculate CSPECCA, with </w:t>
      </w:r>
      <w:r w:rsidR="002778D9">
        <w:rPr>
          <w:lang w:val="en-GB"/>
        </w:rPr>
        <w:t xml:space="preserve">input </w:t>
      </w:r>
      <w:r w:rsidR="00B23A49">
        <w:rPr>
          <w:lang w:val="en-GB"/>
        </w:rPr>
        <w:t>data</w:t>
      </w:r>
      <w:r w:rsidR="002778D9">
        <w:rPr>
          <w:lang w:val="en-GB"/>
        </w:rPr>
        <w:t xml:space="preserve"> for calculating </w:t>
      </w:r>
      <w:r w:rsidR="00B23A49">
        <w:rPr>
          <w:lang w:val="en-GB"/>
        </w:rPr>
        <w:t>primary</w:t>
      </w:r>
      <w:r w:rsidR="002778D9">
        <w:rPr>
          <w:lang w:val="en-GB"/>
        </w:rPr>
        <w:t xml:space="preserve"> energy demand </w:t>
      </w:r>
      <w:r w:rsidR="00B23A49">
        <w:rPr>
          <w:lang w:val="en-GB"/>
        </w:rPr>
        <w:t xml:space="preserve">contribution </w:t>
      </w:r>
      <w:r w:rsidR="002778D9">
        <w:rPr>
          <w:lang w:val="en-GB"/>
        </w:rPr>
        <w:t xml:space="preserve">for raw materials supply </w:t>
      </w:r>
      <w:r w:rsidR="00B23A49">
        <w:rPr>
          <w:lang w:val="en-GB"/>
        </w:rPr>
        <w:t xml:space="preserve">retrieved from the </w:t>
      </w:r>
      <w:proofErr w:type="spellStart"/>
      <w:r w:rsidR="00B23A49">
        <w:rPr>
          <w:lang w:val="en-GB"/>
        </w:rPr>
        <w:t>ecoinvent</w:t>
      </w:r>
      <w:proofErr w:type="spellEnd"/>
      <w:r w:rsidR="00B23A49">
        <w:rPr>
          <w:lang w:val="en-GB"/>
        </w:rPr>
        <w:t xml:space="preserve"> </w:t>
      </w:r>
      <w:r w:rsidR="00B23A49">
        <w:rPr>
          <w:lang w:val="en-GB"/>
        </w:rPr>
        <w:fldChar w:fldCharType="begin" w:fldLock="1"/>
      </w:r>
      <w:r w:rsidR="005B2BA4">
        <w:rPr>
          <w:lang w:val="en-GB"/>
        </w:rPr>
        <w:instrText>ADDIN CSL_CITATION {"citationItems":[{"id":"ITEM-1","itemData":{"DOI":": http://dx.doi.org/10.1065/lca2004.10.181.1","author":[{"dropping-particle":"","family":"Frischknecht","given":"Rolf","non-dropping-particle":"","parse-names":false,"suffix":""},{"dropping-particle":"","family":"Jungbluth","given":"Niels","non-dropping-particle":"","parse-names":false,"suffix":""},{"dropping-particle":"","family":"Althaus","given":"Hans-Jörg","non-dropping-particle":"","parse-names":false,"suffix":""},{"dropping-particle":"","family":"Doka","given":"Gabor","non-dropping-particle":"","parse-names":false,"suffix":""},{"dropping-particle":"","family":"Dones","given":"Roberto","non-dropping-particle":"","parse-names":false,"suffix":""},{"dropping-particle":"","family":"Heck","given":"Thomas","non-dropping-particle":"","parse-names":false,"suffix":""},{"dropping-particle":"","family":"Hellweg","given":"Stefanie","non-dropping-particle":"","parse-names":false,"suffix":""},{"dropping-particle":"","family":"Hischier","given":"Roland","non-dropping-particle":"","parse-names":false,"suffix":""},{"dropping-particle":"","family":"Nemecek","given":"Thomas","non-dropping-particle":"","parse-names":false,"suffix":""},{"dropping-particle":"","family":"Rebitzer","given":"Gerald","non-dropping-particle":"","parse-names":false,"suffix":""},{"dropping-particle":"","family":"Spielmann","given":"Michael","non-dropping-particle":"","parse-names":false,"suffix":""}],"container-title":"International Journal of Life Cycle Assessment","id":"ITEM-1","issue":"1","issued":{"date-parts":[["2005"]]},"page":"3-9","title":"The ecoinvent database: overview and methodological framework","type":"article-journal","volume":"10"},"uris":["http://www.mendeley.com/documents/?uuid=637f0675-9aac-4041-b8a2-6295062fe53f"]}],"mendeley":{"formattedCitation":"(Frischknecht et al., 2005)","plainTextFormattedCitation":"(Frischknecht et al., 2005)","previouslyFormattedCitation":"(Frischknecht et al., 2005)"},"properties":{"noteIndex":0},"schema":"https://github.com/citation-style-language/schema/raw/master/csl-citation.json"}</w:instrText>
      </w:r>
      <w:r w:rsidR="00B23A49">
        <w:rPr>
          <w:lang w:val="en-GB"/>
        </w:rPr>
        <w:fldChar w:fldCharType="separate"/>
      </w:r>
      <w:r w:rsidR="00B23A49" w:rsidRPr="00B23A49">
        <w:rPr>
          <w:noProof/>
          <w:lang w:val="en-GB"/>
        </w:rPr>
        <w:t>(Frischknecht et al., 2005)</w:t>
      </w:r>
      <w:r w:rsidR="00B23A49">
        <w:rPr>
          <w:lang w:val="en-GB"/>
        </w:rPr>
        <w:fldChar w:fldCharType="end"/>
      </w:r>
      <w:r w:rsidR="00B23A49">
        <w:rPr>
          <w:lang w:val="en-GB"/>
        </w:rPr>
        <w:t xml:space="preserve"> Life Cycle Inventory (LCI) database. </w:t>
      </w:r>
      <w:r w:rsidR="00337137">
        <w:rPr>
          <w:lang w:val="en-GB"/>
        </w:rPr>
        <w:t>In this context, CO</w:t>
      </w:r>
      <w:r w:rsidR="00337137" w:rsidRPr="00337137">
        <w:rPr>
          <w:vertAlign w:val="subscript"/>
          <w:lang w:val="en-GB"/>
        </w:rPr>
        <w:t>2</w:t>
      </w:r>
      <w:r w:rsidR="00337137">
        <w:rPr>
          <w:lang w:val="en-GB"/>
        </w:rPr>
        <w:t xml:space="preserve"> avoided (in t/y) represents the net amount of CO</w:t>
      </w:r>
      <w:r w:rsidR="00337137" w:rsidRPr="00562634">
        <w:rPr>
          <w:vertAlign w:val="subscript"/>
          <w:lang w:val="en-GB"/>
        </w:rPr>
        <w:t>2</w:t>
      </w:r>
      <w:r w:rsidR="00337137">
        <w:rPr>
          <w:lang w:val="en-GB"/>
        </w:rPr>
        <w:t xml:space="preserve"> </w:t>
      </w:r>
      <w:r w:rsidR="005B2BA4">
        <w:rPr>
          <w:lang w:val="en-GB"/>
        </w:rPr>
        <w:t>abated through carbon capture, considering the direct emissions d</w:t>
      </w:r>
      <w:r w:rsidR="00F71834">
        <w:rPr>
          <w:lang w:val="en-GB"/>
        </w:rPr>
        <w:t>u</w:t>
      </w:r>
      <w:r w:rsidR="005B2BA4">
        <w:rPr>
          <w:lang w:val="en-GB"/>
        </w:rPr>
        <w:t xml:space="preserve">e to heat supply and indirect emissions due to electricity supply </w:t>
      </w:r>
      <w:r w:rsidR="005B2BA4">
        <w:rPr>
          <w:lang w:val="en-GB"/>
        </w:rPr>
        <w:fldChar w:fldCharType="begin" w:fldLock="1"/>
      </w:r>
      <w:r w:rsidR="00812BE0">
        <w:rPr>
          <w:lang w:val="en-GB"/>
        </w:rPr>
        <w:instrText>ADDIN CSL_CITATION {"citationItems":[{"id":"ITEM-1","itemData":{"DOI":"10.3390/en12030559","ISSN":"19961073","abstract":"A technical evaluation of CO 2 capture technologies when retrofitted to a cement plant is performed. The investigated technologies are the oxyfuel process, the chilled ammonia process, membrane-assisted CO 2 liquefaction, and the calcium looping process with tail-end and integrated configurations. For comparison, absorption with monoethanolamine (MEA) is used as reference technology. The focus of the evaluation is on emission abatement, energy performance, and retrofitability. All the investigated technologies perform better than the reference both in terms of emission abatement and energy consumption. The equivalent CO 2 avoided are 73–90%, while it is 64% for MEA, considering the average EU-28 electricity mix. The specific primary energy consumption for CO 2 avoided is 1.63–4.07 MJ/kg CO 2 , compared to 7.08 MJ/kg CO 2 for MEA. The calcium looping technologies have the highest emission abatement potential, while the oxyfuel process has the best energy performance. When it comes to retrofitability, the post-combustion technologies show significant advantages compared to the oxyfuel and to the integrated calcium looping technologies. Furthermore, the performance of the individual technologies shows strong dependencies on site-specific and plant-specific factors. Therefore, rather than identifying one single best technology, it is emphasized that CO 2 capture in the cement industry should be performed with a portfolio of capture technologies, where the preferred choice for each specific plant depends on local factors.","author":[{"dropping-particle":"","family":"Voldsund","given":"Mari","non-dropping-particle":"","parse-names":false,"suffix":""},{"dropping-particle":"","family":"Gardarsdottir","given":"Stefania Osk","non-dropping-particle":"","parse-names":false,"suffix":""},{"dropping-particle":"","family":"Lena","given":"Edoardo","non-dropping-particle":"De","parse-names":false,"suffix":""},{"dropping-particle":"","family":"Pérez-Calvo","given":"José Francisco","non-dropping-particle":"","parse-names":false,"suffix":""},{"dropping-particle":"","family":"Jamali","given":"Armin","non-dropping-particle":"","parse-names":false,"suffix":""},{"dropping-particle":"","family":"Berstad","given":"David","non-dropping-particle":"","parse-names":false,"suffix":""},{"dropping-particle":"","family":"Fu","given":"Chao","non-dropping-particle":"","parse-names":false,"suffix":""},{"dropping-particle":"","family":"Romano","given":"Matteo","non-dropping-particle":"","parse-names":false,"suffix":""},{"dropping-particle":"","family":"Roussanaly","given":"Simon","non-dropping-particle":"","parse-names":false,"suffix":""},{"dropping-particle":"","family":"Anantharaman","given":"Rahul","non-dropping-particle":"","parse-names":false,"suffix":""},{"dropping-particle":"","family":"Hoppe","given":"Helmut","non-dropping-particle":"","parse-names":false,"suffix":""},{"dropping-particle":"","family":"Sutter","given":"Daniel","non-dropping-particle":"","parse-names":false,"suffix":""},{"dropping-particle":"","family":"Mazzotti","given":"Marco","non-dropping-particle":"","parse-names":false,"suffix":""},{"dropping-particle":"","family":"Gazzani","given":"Matteo","non-dropping-particle":"","parse-names":false,"suffix":""},{"dropping-particle":"","family":"Cinti","given":"Giovanni","non-dropping-particle":"","parse-names":false,"suffix":""},{"dropping-particle":"","family":"Jordal","given":"Kristin","non-dropping-particle":"","parse-names":false,"suffix":""}],"container-title":"Energies","id":"ITEM-1","issue":"3","issued":{"date-parts":[["2019"]]},"title":"Comparison of technologies for CO2 capture from cement production—Part 1: Technical evaluation","type":"article-journal","volume":"12"},"uris":["http://www.mendeley.com/documents/?uuid=901fe7d0-c478-46ac-b502-5ba5632ff3c7"]}],"mendeley":{"formattedCitation":"(Voldsund et al., 2019)","plainTextFormattedCitation":"(Voldsund et al., 2019)","previouslyFormattedCitation":"(Voldsund et al., 2019)"},"properties":{"noteIndex":0},"schema":"https://github.com/citation-style-language/schema/raw/master/csl-citation.json"}</w:instrText>
      </w:r>
      <w:r w:rsidR="005B2BA4">
        <w:rPr>
          <w:lang w:val="en-GB"/>
        </w:rPr>
        <w:fldChar w:fldCharType="separate"/>
      </w:r>
      <w:r w:rsidR="00812BE0" w:rsidRPr="00812BE0">
        <w:rPr>
          <w:noProof/>
          <w:lang w:val="en-GB"/>
        </w:rPr>
        <w:t>(Voldsund et al., 2019)</w:t>
      </w:r>
      <w:r w:rsidR="005B2BA4">
        <w:rPr>
          <w:lang w:val="en-GB"/>
        </w:rPr>
        <w:fldChar w:fldCharType="end"/>
      </w:r>
      <w:r w:rsidR="005B2BA4">
        <w:rPr>
          <w:lang w:val="en-GB"/>
        </w:rPr>
        <w:t xml:space="preserve">. </w:t>
      </w:r>
    </w:p>
    <w:p w14:paraId="72317256" w14:textId="2C07441D" w:rsidR="00EE5E42" w:rsidRPr="00D06C48" w:rsidRDefault="00E4463E" w:rsidP="00D06C48">
      <w:pPr>
        <w:pStyle w:val="CETBodytext"/>
        <w:rPr>
          <w:lang w:val="en-GB"/>
        </w:rPr>
      </w:pPr>
      <w:r w:rsidRPr="00765FFA">
        <w:rPr>
          <w:lang w:val="en-GB"/>
        </w:rPr>
        <w:t xml:space="preserve">For the maritime </w:t>
      </w:r>
      <w:r w:rsidR="00863A19" w:rsidRPr="00765FFA">
        <w:rPr>
          <w:lang w:val="en-GB"/>
        </w:rPr>
        <w:t>carbon capture</w:t>
      </w:r>
      <w:r w:rsidRPr="00765FFA">
        <w:rPr>
          <w:lang w:val="en-GB"/>
        </w:rPr>
        <w:t xml:space="preserve">, the KPIs for the other dimensions were defined as recommended by </w:t>
      </w:r>
      <w:r w:rsidRPr="00765FFA">
        <w:rPr>
          <w:lang w:val="en-GB"/>
        </w:rPr>
        <w:fldChar w:fldCharType="begin" w:fldLock="1"/>
      </w:r>
      <w:r w:rsidR="00765FFA">
        <w:rPr>
          <w:lang w:val="en-GB"/>
        </w:rPr>
        <w:instrText>ADDIN CSL_CITATION {"citationItems":[{"id":"ITEM-1","itemData":{"DOI":"10.1016/j.jclepro.2024.143343","ISSN":"09596526","abstract":"Limiting the carbon intensity of maritime transport is crucial to meet 2050 net-zero targets. Onboard carbon capture and storage (OCCS) offers a practical short-term solution for reducing shipping-related CO2 emissions until cleaner technologies are ready for large-scale adoption. This study introduces an innovative multi-objective approach to integrate sustainability into the conceptual design and decision-making phases of OCCS. A systematic technology screening identified possible OCCS solutions, which were then assessed for onboard feasibility. Specific indicators were defined to evaluate OCCS performance based on technological, economic, environmental, and social criteria, and aggregated sustainability perspectives. Using a fossil fuel-powered cruise ship as a case study, results were benchmarked against zero-carbon alternatives. Among the alternatives considered, chemical absorption by amine scrubbing (AS) and advanced cryogenic carbon capture (A3C) appeared as the only feasible solutions considering onboard energy requirements. The emerging cryogenic A3C concept resulted in being outperformed by benchmark AS, primarily due to an environmental impact 1.5 times higher. All alternative technologies, whether OCCS- or cleaner fuel-based, were found to be more sustainable than the baseline fossil fuel-based engine, lowering the environmental impact by at least 61%. Hydrogen as a marine fuel leads to the most promising scenario for future cleaner shipping operations, reducing the sustainability footprint by up to 76%. The robustness of the proposed method was confirmed by a probabilistic Monte Carlo sensitivity analysis. Overall, the results obtained can guide toward more informed solutions and policies promoting the sustainability of ship propulsion systems.","author":[{"dropping-particle":"","family":"Zanobetti","given":"Francesco","non-dropping-particle":"","parse-names":false,"suffix":""},{"dropping-particle":"","family":"Pio","given":"Gianmaria","non-dropping-particle":"","parse-names":false,"suffix":""},{"dropping-particle":"","family":"Bucelli","given":"Marta","non-dropping-particle":"","parse-names":false,"suffix":""},{"dropping-particle":"","family":"Miani","given":"Laura","non-dropping-particle":"","parse-names":false,"suffix":""},{"dropping-particle":"","family":"Jafarzadeh","given":"Sepideh","non-dropping-particle":"","parse-names":false,"suffix":""},{"dropping-particle":"","family":"Cozzani","given":"Valerio","non-dropping-particle":"","parse-names":false,"suffix":""}],"container-title":"Journal of Cleaner Production","id":"ITEM-1","issued":{"date-parts":[["2024"]]},"page":"143343","publisher":"Elsevier Ltd","title":"Onboard carbon capture and storage (OCCS) for fossil fuel-based shipping: A sustainability assessment","type":"article-journal","volume":"470"},"uris":["http://www.mendeley.com/documents/?uuid=831322a0-3851-4377-944a-5587178a3e85"]}],"mendeley":{"formattedCitation":"(Zanobetti et al., 2024)","manualFormatting":"Zanobetti et al. (2024)","plainTextFormattedCitation":"(Zanobetti et al., 2024)","previouslyFormattedCitation":"(Zanobetti et al., 2024)"},"properties":{"noteIndex":0},"schema":"https://github.com/citation-style-language/schema/raw/master/csl-citation.json"}</w:instrText>
      </w:r>
      <w:r w:rsidRPr="00765FFA">
        <w:rPr>
          <w:lang w:val="en-GB"/>
        </w:rPr>
        <w:fldChar w:fldCharType="separate"/>
      </w:r>
      <w:r w:rsidRPr="00765FFA">
        <w:rPr>
          <w:noProof/>
          <w:lang w:val="en-GB"/>
        </w:rPr>
        <w:t xml:space="preserve">Zanobetti et al. </w:t>
      </w:r>
      <w:r w:rsidR="00863A19" w:rsidRPr="00765FFA">
        <w:rPr>
          <w:noProof/>
          <w:lang w:val="en-GB"/>
        </w:rPr>
        <w:t>(</w:t>
      </w:r>
      <w:r w:rsidRPr="00765FFA">
        <w:rPr>
          <w:noProof/>
          <w:lang w:val="en-GB"/>
        </w:rPr>
        <w:t>2024)</w:t>
      </w:r>
      <w:r w:rsidRPr="00765FFA">
        <w:rPr>
          <w:lang w:val="en-GB"/>
        </w:rPr>
        <w:fldChar w:fldCharType="end"/>
      </w:r>
      <w:r w:rsidRPr="00765FFA">
        <w:rPr>
          <w:lang w:val="en-GB"/>
        </w:rPr>
        <w:t xml:space="preserve">: </w:t>
      </w:r>
      <w:r w:rsidR="00477070" w:rsidRPr="00765FFA">
        <w:rPr>
          <w:lang w:val="en-GB"/>
        </w:rPr>
        <w:t xml:space="preserve">Volume Occupied Onboard (VOO) for technological sustainability, </w:t>
      </w:r>
      <w:r w:rsidR="00E50A7F" w:rsidRPr="00765FFA">
        <w:rPr>
          <w:lang w:val="en-GB"/>
        </w:rPr>
        <w:t xml:space="preserve">Net </w:t>
      </w:r>
      <w:r w:rsidR="00863A19" w:rsidRPr="00765FFA">
        <w:rPr>
          <w:lang w:val="en-GB"/>
        </w:rPr>
        <w:t>Present Cost (NPC) for economic sustainability</w:t>
      </w:r>
      <w:r w:rsidR="00F71834">
        <w:rPr>
          <w:lang w:val="en-GB"/>
        </w:rPr>
        <w:t>,</w:t>
      </w:r>
      <w:r w:rsidR="00863A19" w:rsidRPr="00765FFA">
        <w:rPr>
          <w:lang w:val="en-GB"/>
        </w:rPr>
        <w:t xml:space="preserve"> and Global Warming Index (GWI) for environmental sustainability.</w:t>
      </w:r>
    </w:p>
    <w:p w14:paraId="6FE49AB4" w14:textId="32897570" w:rsidR="00B75C69" w:rsidRPr="00B75C69" w:rsidRDefault="00F45967" w:rsidP="00B75C69">
      <w:pPr>
        <w:pStyle w:val="CETHeading1"/>
        <w:rPr>
          <w:color w:val="000000" w:themeColor="text1"/>
          <w:lang w:val="en-GB"/>
        </w:rPr>
      </w:pPr>
      <w:bookmarkStart w:id="7" w:name="_Ref184387166"/>
      <w:r w:rsidRPr="00CE5548">
        <w:rPr>
          <w:color w:val="000000" w:themeColor="text1"/>
          <w:lang w:val="en-GB"/>
        </w:rPr>
        <w:t>Results</w:t>
      </w:r>
      <w:bookmarkEnd w:id="7"/>
      <w:r w:rsidR="00B1721E">
        <w:rPr>
          <w:color w:val="000000" w:themeColor="text1"/>
          <w:lang w:val="en-GB"/>
        </w:rPr>
        <w:t xml:space="preserve"> and discussion</w:t>
      </w:r>
    </w:p>
    <w:p w14:paraId="240D9856" w14:textId="77777777" w:rsidR="00EC5263" w:rsidRDefault="00F00776" w:rsidP="00765FFA">
      <w:pPr>
        <w:pStyle w:val="CETBodytext"/>
        <w:rPr>
          <w:lang w:val="en-GB" w:eastAsia="en-GB"/>
        </w:rPr>
      </w:pPr>
      <w:r w:rsidRPr="00765FFA">
        <w:rPr>
          <w:lang w:val="en-GB" w:eastAsia="en-GB"/>
        </w:rPr>
        <w:t xml:space="preserve">The inherent safety KPI was evaluated for each carbon capture technology across the investigated case studies, following the methodology described in Section </w:t>
      </w:r>
      <w:r w:rsidR="00765FFA" w:rsidRPr="00765FFA">
        <w:rPr>
          <w:color w:val="000000" w:themeColor="text1"/>
          <w:lang w:val="en-GB"/>
        </w:rPr>
        <w:fldChar w:fldCharType="begin"/>
      </w:r>
      <w:r w:rsidR="00765FFA" w:rsidRPr="00765FFA">
        <w:rPr>
          <w:color w:val="000000" w:themeColor="text1"/>
          <w:lang w:val="en-GB"/>
        </w:rPr>
        <w:instrText xml:space="preserve"> REF _Ref184301200 \r \h </w:instrText>
      </w:r>
      <w:r w:rsidR="00765FFA" w:rsidRPr="00765FFA">
        <w:rPr>
          <w:color w:val="000000" w:themeColor="text1"/>
          <w:lang w:val="en-GB"/>
        </w:rPr>
      </w:r>
      <w:r w:rsidR="00765FFA" w:rsidRPr="00765FFA">
        <w:rPr>
          <w:color w:val="000000" w:themeColor="text1"/>
          <w:lang w:val="en-GB"/>
        </w:rPr>
        <w:fldChar w:fldCharType="separate"/>
      </w:r>
      <w:r w:rsidR="00765FFA" w:rsidRPr="00765FFA">
        <w:rPr>
          <w:color w:val="000000" w:themeColor="text1"/>
          <w:lang w:val="en-GB"/>
        </w:rPr>
        <w:t>3.2</w:t>
      </w:r>
      <w:r w:rsidR="00765FFA" w:rsidRPr="00765FFA">
        <w:rPr>
          <w:color w:val="000000" w:themeColor="text1"/>
          <w:lang w:val="en-GB"/>
        </w:rPr>
        <w:fldChar w:fldCharType="end"/>
      </w:r>
      <w:r w:rsidRPr="00765FFA">
        <w:rPr>
          <w:lang w:val="en-GB" w:eastAsia="en-GB"/>
        </w:rPr>
        <w:t xml:space="preserve">. </w:t>
      </w:r>
    </w:p>
    <w:p w14:paraId="57B2E708" w14:textId="3CF88303" w:rsidR="00F00776" w:rsidRPr="007123A4" w:rsidRDefault="00EC5263" w:rsidP="00765FFA">
      <w:pPr>
        <w:pStyle w:val="CETBodytext"/>
        <w:rPr>
          <w:lang w:eastAsia="en-GB"/>
        </w:rPr>
      </w:pPr>
      <w:r w:rsidRPr="00EC5263">
        <w:rPr>
          <w:lang w:eastAsia="en-GB"/>
        </w:rPr>
        <w:t xml:space="preserve">According to the procedure proposed by </w:t>
      </w:r>
      <w:r>
        <w:rPr>
          <w:lang w:val="en-GB" w:eastAsia="en-GB"/>
        </w:rPr>
        <w:fldChar w:fldCharType="begin" w:fldLock="1"/>
      </w:r>
      <w:r w:rsidR="007D0EEB">
        <w:rPr>
          <w:lang w:val="en-GB" w:eastAsia="en-GB"/>
        </w:rPr>
        <w:instrText>ADDIN CSL_CITATION {"citationItems":[{"id":"ITEM-1","itemData":{"DOI":"10.1016/j.jclepro.2024.143343","ISSN":"09596526","abstract":"Limiting the carbon intensity of maritime transport is crucial to meet 2050 net-zero targets. Onboard carbon capture and storage (OCCS) offers a practical short-term solution for reducing shipping-related CO2 emissions until cleaner technologies are ready for large-scale adoption. This study introduces an innovative multi-objective approach to integrate sustainability into the conceptual design and decision-making phases of OCCS. A systematic technology screening identified possible OCCS solutions, which were then assessed for onboard feasibility. Specific indicators were defined to evaluate OCCS performance based on technological, economic, environmental, and social criteria, and aggregated sustainability perspectives. Using a fossil fuel-powered cruise ship as a case study, results were benchmarked against zero-carbon alternatives. Among the alternatives considered, chemical absorption by amine scrubbing (AS) and advanced cryogenic carbon capture (A3C) appeared as the only feasible solutions considering onboard energy requirements. The emerging cryogenic A3C concept resulted in being outperformed by benchmark AS, primarily due to an environmental impact 1.5 times higher. All alternative technologies, whether OCCS- or cleaner fuel-based, were found to be more sustainable than the baseline fossil fuel-based engine, lowering the environmental impact by at least 61%. Hydrogen as a marine fuel leads to the most promising scenario for future cleaner shipping operations, reducing the sustainability footprint by up to 76%. The robustness of the proposed method was confirmed by a probabilistic Monte Carlo sensitivity analysis. Overall, the results obtained can guide toward more informed solutions and policies promoting the sustainability of ship propulsion systems.","author":[{"dropping-particle":"","family":"Zanobetti","given":"Francesco","non-dropping-particle":"","parse-names":false,"suffix":""},{"dropping-particle":"","family":"Pio","given":"Gianmaria","non-dropping-particle":"","parse-names":false,"suffix":""},{"dropping-particle":"","family":"Bucelli","given":"Marta","non-dropping-particle":"","parse-names":false,"suffix":""},{"dropping-particle":"","family":"Miani","given":"Laura","non-dropping-particle":"","parse-names":false,"suffix":""},{"dropping-particle":"","family":"Jafarzadeh","given":"Sepideh","non-dropping-particle":"","parse-names":false,"suffix":""},{"dropping-particle":"","family":"Cozzani","given":"Valerio","non-dropping-particle":"","parse-names":false,"suffix":""}],"container-title":"Journal of Cleaner Production","id":"ITEM-1","issued":{"date-parts":[["2024"]]},"page":"143343","publisher":"Elsevier Ltd","title":"Onboard carbon capture and storage (OCCS) for fossil fuel-based shipping: A sustainability assessment","type":"article-journal","volume":"470"},"uris":["http://www.mendeley.com/documents/?uuid=831322a0-3851-4377-944a-5587178a3e85"]}],"mendeley":{"formattedCitation":"(Zanobetti et al., 2024)","manualFormatting":"Zanobetti et al. (2024)","plainTextFormattedCitation":"(Zanobetti et al., 2024)","previouslyFormattedCitation":"(Zanobetti et al., 2024)"},"properties":{"noteIndex":0},"schema":"https://github.com/citation-style-language/schema/raw/master/csl-citation.json"}</w:instrText>
      </w:r>
      <w:r>
        <w:rPr>
          <w:lang w:val="en-GB" w:eastAsia="en-GB"/>
        </w:rPr>
        <w:fldChar w:fldCharType="separate"/>
      </w:r>
      <w:r w:rsidRPr="002F3C95">
        <w:rPr>
          <w:noProof/>
          <w:lang w:val="en-GB" w:eastAsia="en-GB"/>
        </w:rPr>
        <w:t>Zanobetti et al.</w:t>
      </w:r>
      <w:r>
        <w:rPr>
          <w:noProof/>
          <w:lang w:val="en-GB" w:eastAsia="en-GB"/>
        </w:rPr>
        <w:t xml:space="preserve"> (</w:t>
      </w:r>
      <w:r w:rsidRPr="002F3C95">
        <w:rPr>
          <w:noProof/>
          <w:lang w:val="en-GB" w:eastAsia="en-GB"/>
        </w:rPr>
        <w:t>2024)</w:t>
      </w:r>
      <w:r>
        <w:rPr>
          <w:lang w:val="en-GB" w:eastAsia="en-GB"/>
        </w:rPr>
        <w:fldChar w:fldCharType="end"/>
      </w:r>
      <w:r w:rsidRPr="00EC5263">
        <w:rPr>
          <w:lang w:eastAsia="en-GB"/>
        </w:rPr>
        <w:t xml:space="preserve">, PSA was deemed </w:t>
      </w:r>
      <w:r>
        <w:rPr>
          <w:lang w:eastAsia="en-GB"/>
        </w:rPr>
        <w:t>not feasible</w:t>
      </w:r>
      <w:r w:rsidRPr="00EC5263">
        <w:rPr>
          <w:lang w:eastAsia="en-GB"/>
        </w:rPr>
        <w:t xml:space="preserve"> for use onboard the cruise ship under analysis. This was due to the energy required for CO</w:t>
      </w:r>
      <w:r w:rsidRPr="00EC5263">
        <w:rPr>
          <w:vertAlign w:val="subscript"/>
          <w:lang w:eastAsia="en-GB"/>
        </w:rPr>
        <w:t>2</w:t>
      </w:r>
      <w:r w:rsidRPr="00EC5263">
        <w:rPr>
          <w:lang w:eastAsia="en-GB"/>
        </w:rPr>
        <w:t xml:space="preserve"> liquefaction exceeding the available energy onboard, and therefore, PSA was excluded from further evaluation in the </w:t>
      </w:r>
      <w:r w:rsidR="007123A4">
        <w:rPr>
          <w:lang w:eastAsia="en-GB"/>
        </w:rPr>
        <w:t>present study</w:t>
      </w:r>
      <w:r w:rsidR="00894256">
        <w:rPr>
          <w:lang w:val="en-GB" w:eastAsia="en-GB"/>
        </w:rPr>
        <w:t xml:space="preserve">. </w:t>
      </w:r>
      <w:r w:rsidR="00F00776" w:rsidRPr="00765FFA">
        <w:rPr>
          <w:lang w:val="en-GB" w:eastAsia="en-GB"/>
        </w:rPr>
        <w:t>For the hard-to-abate industry case, th</w:t>
      </w:r>
      <w:r w:rsidR="00781394">
        <w:rPr>
          <w:lang w:val="en-GB" w:eastAsia="en-GB"/>
        </w:rPr>
        <w:t>e calculated HI index values were</w:t>
      </w:r>
      <w:r w:rsidR="00F00776" w:rsidRPr="00765FFA">
        <w:rPr>
          <w:lang w:val="en-GB" w:eastAsia="en-GB"/>
        </w:rPr>
        <w:t xml:space="preserve"> adjusted by dividing </w:t>
      </w:r>
      <w:r w:rsidR="00781394">
        <w:rPr>
          <w:lang w:val="en-GB" w:eastAsia="en-GB"/>
        </w:rPr>
        <w:t>them</w:t>
      </w:r>
      <w:r w:rsidR="00F00776" w:rsidRPr="00765FFA">
        <w:rPr>
          <w:lang w:val="en-GB" w:eastAsia="en-GB"/>
        </w:rPr>
        <w:t xml:space="preserve"> by the amount of CO</w:t>
      </w:r>
      <w:r w:rsidR="00F00776" w:rsidRPr="00765FFA">
        <w:rPr>
          <w:vertAlign w:val="subscript"/>
          <w:lang w:val="en-GB" w:eastAsia="en-GB"/>
        </w:rPr>
        <w:t>2</w:t>
      </w:r>
      <w:r w:rsidR="00F00776" w:rsidRPr="00765FFA">
        <w:rPr>
          <w:lang w:val="en-GB" w:eastAsia="en-GB"/>
        </w:rPr>
        <w:t xml:space="preserve"> avoided, ensuring consistency with the CAC and CSPECCA indices, which are expressed per unit of CO</w:t>
      </w:r>
      <w:r w:rsidR="00F00776" w:rsidRPr="00765FFA">
        <w:rPr>
          <w:vertAlign w:val="subscript"/>
          <w:lang w:val="en-GB" w:eastAsia="en-GB"/>
        </w:rPr>
        <w:t>2</w:t>
      </w:r>
      <w:r w:rsidR="00F00776" w:rsidRPr="00765FFA">
        <w:rPr>
          <w:lang w:val="en-GB" w:eastAsia="en-GB"/>
        </w:rPr>
        <w:t xml:space="preserve"> avoided.</w:t>
      </w:r>
      <w:r w:rsidR="00765FFA" w:rsidRPr="00765FFA">
        <w:rPr>
          <w:lang w:val="en-GB" w:eastAsia="en-GB"/>
        </w:rPr>
        <w:t xml:space="preserve"> </w:t>
      </w:r>
      <w:r w:rsidR="00F00776" w:rsidRPr="00765FFA">
        <w:rPr>
          <w:lang w:val="en-GB" w:eastAsia="en-GB"/>
        </w:rPr>
        <w:t xml:space="preserve">All KPIs, including the inherent safety KPI and those described in Section </w:t>
      </w:r>
      <w:r w:rsidR="00765FFA" w:rsidRPr="00765FFA">
        <w:rPr>
          <w:color w:val="000000" w:themeColor="text1"/>
          <w:lang w:val="en-GB"/>
        </w:rPr>
        <w:fldChar w:fldCharType="begin"/>
      </w:r>
      <w:r w:rsidR="00765FFA" w:rsidRPr="00765FFA">
        <w:rPr>
          <w:color w:val="000000" w:themeColor="text1"/>
          <w:lang w:val="en-GB"/>
        </w:rPr>
        <w:instrText xml:space="preserve"> REF _Ref184301653 \r \h </w:instrText>
      </w:r>
      <w:r w:rsidR="00765FFA" w:rsidRPr="00765FFA">
        <w:rPr>
          <w:color w:val="000000" w:themeColor="text1"/>
          <w:lang w:val="en-GB"/>
        </w:rPr>
      </w:r>
      <w:r w:rsidR="00765FFA" w:rsidRPr="00765FFA">
        <w:rPr>
          <w:color w:val="000000" w:themeColor="text1"/>
          <w:lang w:val="en-GB"/>
        </w:rPr>
        <w:fldChar w:fldCharType="separate"/>
      </w:r>
      <w:r w:rsidR="00765FFA" w:rsidRPr="00765FFA">
        <w:rPr>
          <w:color w:val="000000" w:themeColor="text1"/>
          <w:lang w:val="en-GB"/>
        </w:rPr>
        <w:t>3.3</w:t>
      </w:r>
      <w:r w:rsidR="00765FFA" w:rsidRPr="00765FFA">
        <w:rPr>
          <w:color w:val="000000" w:themeColor="text1"/>
          <w:lang w:val="en-GB"/>
        </w:rPr>
        <w:fldChar w:fldCharType="end"/>
      </w:r>
      <w:r w:rsidR="00F00776" w:rsidRPr="00765FFA">
        <w:rPr>
          <w:lang w:val="en-GB" w:eastAsia="en-GB"/>
        </w:rPr>
        <w:t>, were visualised on a radar plot. An internal normalisation approach was employed to scale each KPI value from 0 to 1, using the highest value within the dataset as the normalisation factor</w:t>
      </w:r>
      <w:r w:rsidR="00765FFA">
        <w:rPr>
          <w:lang w:val="en-GB" w:eastAsia="en-GB"/>
        </w:rPr>
        <w:t xml:space="preserve"> </w:t>
      </w:r>
      <w:r w:rsidR="00765FFA">
        <w:rPr>
          <w:lang w:val="en-GB" w:eastAsia="en-GB"/>
        </w:rPr>
        <w:fldChar w:fldCharType="begin" w:fldLock="1"/>
      </w:r>
      <w:r w:rsidR="002F3C95">
        <w:rPr>
          <w:lang w:val="en-GB" w:eastAsia="en-GB"/>
        </w:rPr>
        <w:instrText>ADDIN CSL_CITATION {"citationItems":[{"id":"ITEM-1","itemData":{"DOI":"10.1007/bf02977843","ISSN":"09483349","abstract":"Two purposes for normalization in LCA are presented: resolving non-commensurate units, and assessing significance. Two families of approach for normalization in LCA are described: internal and external. The need for congruence between the normalization and valuation is illustrated by showing the nonsensical conclusions which can result from an approach that is common in North American LCA applications: internal normalization with external valuation. In order to achieve congruence with internal normalization methods, valuation in such instances must be case-specific. External normalization methods bring an added benefit not provided by internal normalization methods: an assessment of relative significance.","author":[{"dropping-particle":"","family":"Norris","given":"G. A.","non-dropping-particle":"","parse-names":false,"suffix":""}],"container-title":"International Journal of Life Cycle Assessment","id":"ITEM-1","issue":"2","issued":{"date-parts":[["2001"]]},"page":"85-88","title":"The requirement for congruence in normalization","type":"article-journal","volume":"6"},"uris":["http://www.mendeley.com/documents/?uuid=9ada2378-0453-421f-8b89-1d6011f3f8d2"]}],"mendeley":{"formattedCitation":"(Norris, 2001)","plainTextFormattedCitation":"(Norris, 2001)","previouslyFormattedCitation":"(Norris, 2001)"},"properties":{"noteIndex":0},"schema":"https://github.com/citation-style-language/schema/raw/master/csl-citation.json"}</w:instrText>
      </w:r>
      <w:r w:rsidR="00765FFA">
        <w:rPr>
          <w:lang w:val="en-GB" w:eastAsia="en-GB"/>
        </w:rPr>
        <w:fldChar w:fldCharType="separate"/>
      </w:r>
      <w:r w:rsidR="00765FFA" w:rsidRPr="00765FFA">
        <w:rPr>
          <w:noProof/>
          <w:lang w:val="en-GB" w:eastAsia="en-GB"/>
        </w:rPr>
        <w:t>(Norris, 2001)</w:t>
      </w:r>
      <w:r w:rsidR="00765FFA">
        <w:rPr>
          <w:lang w:val="en-GB" w:eastAsia="en-GB"/>
        </w:rPr>
        <w:fldChar w:fldCharType="end"/>
      </w:r>
      <w:r w:rsidR="00F00776" w:rsidRPr="00765FFA">
        <w:rPr>
          <w:lang w:val="en-GB" w:eastAsia="en-GB"/>
        </w:rPr>
        <w:t>.</w:t>
      </w:r>
      <w:r w:rsidR="00765FFA">
        <w:rPr>
          <w:lang w:val="en-GB" w:eastAsia="en-GB"/>
        </w:rPr>
        <w:t xml:space="preserve"> </w:t>
      </w:r>
      <w:r w:rsidR="0068385F" w:rsidRPr="00765FFA">
        <w:rPr>
          <w:color w:val="000000" w:themeColor="text1"/>
          <w:lang w:val="en-GB"/>
        </w:rPr>
        <w:fldChar w:fldCharType="begin"/>
      </w:r>
      <w:r w:rsidR="0068385F" w:rsidRPr="00765FFA">
        <w:rPr>
          <w:color w:val="000000" w:themeColor="text1"/>
          <w:lang w:val="en-GB"/>
        </w:rPr>
        <w:instrText xml:space="preserve"> REF _Ref184387750 \h </w:instrText>
      </w:r>
      <w:r w:rsidR="0068385F" w:rsidRPr="00765FFA">
        <w:rPr>
          <w:color w:val="000000" w:themeColor="text1"/>
          <w:lang w:val="en-GB"/>
        </w:rPr>
      </w:r>
      <w:r w:rsidR="0068385F" w:rsidRPr="00765FFA">
        <w:rPr>
          <w:color w:val="000000" w:themeColor="text1"/>
          <w:lang w:val="en-GB"/>
        </w:rPr>
        <w:fldChar w:fldCharType="separate"/>
      </w:r>
      <w:r w:rsidR="0068385F" w:rsidRPr="00765FFA">
        <w:rPr>
          <w:lang w:val="en-GB"/>
        </w:rPr>
        <w:t xml:space="preserve">Figure </w:t>
      </w:r>
      <w:r w:rsidR="0068385F" w:rsidRPr="00765FFA">
        <w:rPr>
          <w:noProof/>
          <w:lang w:val="en-GB"/>
        </w:rPr>
        <w:t>3</w:t>
      </w:r>
      <w:r w:rsidR="0068385F" w:rsidRPr="00765FFA">
        <w:rPr>
          <w:color w:val="000000" w:themeColor="text1"/>
          <w:lang w:val="en-GB"/>
        </w:rPr>
        <w:fldChar w:fldCharType="end"/>
      </w:r>
      <w:r w:rsidR="00F00776" w:rsidRPr="00765FFA">
        <w:rPr>
          <w:lang w:val="en-GB" w:eastAsia="en-GB"/>
        </w:rPr>
        <w:t xml:space="preserve"> illustrates the normalised technological, economic, environmental, and inherent safety KPIs for the carbon capture technologies considered in the two case studies: hard-to-abate industry and maritime transport.</w:t>
      </w:r>
    </w:p>
    <w:p w14:paraId="1C196A86" w14:textId="07B40386" w:rsidR="00B75C69" w:rsidRDefault="001D69F9" w:rsidP="00B75C69">
      <w:pPr>
        <w:pStyle w:val="CETBodytext"/>
        <w:rPr>
          <w:lang w:val="en-GB" w:eastAsia="en-GB"/>
        </w:rPr>
      </w:pPr>
      <w:r w:rsidRPr="00860A79">
        <w:rPr>
          <w:lang w:val="en-GB"/>
        </w:rPr>
        <w:t xml:space="preserve">The figure highlights inherent safety as the sustainability subdomain with the most significant performance divergence among carbon capture technologies </w:t>
      </w:r>
      <w:r w:rsidR="00BC24BD">
        <w:rPr>
          <w:lang w:val="en-GB"/>
        </w:rPr>
        <w:t>across</w:t>
      </w:r>
      <w:r w:rsidRPr="00860A79">
        <w:rPr>
          <w:lang w:val="en-GB"/>
        </w:rPr>
        <w:t xml:space="preserve"> both case studies. Notably, amine scrubbing (AS) achieves a normalised </w:t>
      </w:r>
      <w:r w:rsidR="009E625E">
        <w:rPr>
          <w:lang w:val="en-GB"/>
        </w:rPr>
        <w:t xml:space="preserve">inherent safety </w:t>
      </w:r>
      <w:r w:rsidR="00E24517">
        <w:rPr>
          <w:lang w:val="en-GB"/>
        </w:rPr>
        <w:t>KPI</w:t>
      </w:r>
      <w:r w:rsidRPr="00860A79">
        <w:rPr>
          <w:lang w:val="en-GB"/>
        </w:rPr>
        <w:t xml:space="preserve"> </w:t>
      </w:r>
      <w:r w:rsidR="006B4266">
        <w:rPr>
          <w:lang w:val="en-GB"/>
        </w:rPr>
        <w:t xml:space="preserve">at least </w:t>
      </w:r>
      <w:r w:rsidRPr="00860A79">
        <w:rPr>
          <w:lang w:val="en-GB"/>
        </w:rPr>
        <w:t>15 times higher</w:t>
      </w:r>
      <w:r w:rsidR="00782BA4">
        <w:rPr>
          <w:lang w:val="en-GB"/>
        </w:rPr>
        <w:t xml:space="preserve"> </w:t>
      </w:r>
      <w:r w:rsidRPr="00860A79">
        <w:rPr>
          <w:lang w:val="en-GB"/>
        </w:rPr>
        <w:t>than those of alternative technologies</w:t>
      </w:r>
      <w:r w:rsidR="001C7FEE">
        <w:rPr>
          <w:lang w:val="en-GB"/>
        </w:rPr>
        <w:t xml:space="preserve">, </w:t>
      </w:r>
      <w:r w:rsidR="004F48C6">
        <w:rPr>
          <w:lang w:val="en-GB"/>
        </w:rPr>
        <w:t>reflecting</w:t>
      </w:r>
      <w:r w:rsidR="001C7FEE">
        <w:rPr>
          <w:lang w:val="en-GB"/>
        </w:rPr>
        <w:t xml:space="preserve"> a substantially greater hazard level</w:t>
      </w:r>
      <w:r w:rsidRPr="00860A79">
        <w:rPr>
          <w:lang w:val="en-GB" w:eastAsia="en-GB"/>
        </w:rPr>
        <w:t xml:space="preserve">. Relying solely on techno-economic </w:t>
      </w:r>
      <w:r w:rsidR="005F28C0">
        <w:rPr>
          <w:lang w:val="en-GB" w:eastAsia="en-GB"/>
        </w:rPr>
        <w:t>and</w:t>
      </w:r>
      <w:r w:rsidR="00B91A6F">
        <w:rPr>
          <w:lang w:val="en-GB" w:eastAsia="en-GB"/>
        </w:rPr>
        <w:t xml:space="preserve"> </w:t>
      </w:r>
      <w:r w:rsidR="005F28C0">
        <w:rPr>
          <w:lang w:val="en-GB" w:eastAsia="en-GB"/>
        </w:rPr>
        <w:t xml:space="preserve">environmental </w:t>
      </w:r>
      <w:r w:rsidR="00B91A6F">
        <w:rPr>
          <w:lang w:val="en-GB" w:eastAsia="en-GB"/>
        </w:rPr>
        <w:t xml:space="preserve">impact </w:t>
      </w:r>
      <w:r w:rsidR="005F28C0">
        <w:rPr>
          <w:lang w:val="en-GB" w:eastAsia="en-GB"/>
        </w:rPr>
        <w:t>assessments</w:t>
      </w:r>
      <w:r w:rsidR="00016B7C">
        <w:rPr>
          <w:lang w:val="en-GB" w:eastAsia="en-GB"/>
        </w:rPr>
        <w:t>,</w:t>
      </w:r>
      <w:r w:rsidRPr="00860A79">
        <w:rPr>
          <w:lang w:val="en-GB" w:eastAsia="en-GB"/>
        </w:rPr>
        <w:t xml:space="preserve"> without considering safety implications</w:t>
      </w:r>
      <w:r w:rsidR="00016B7C">
        <w:rPr>
          <w:lang w:val="en-GB" w:eastAsia="en-GB"/>
        </w:rPr>
        <w:t>,</w:t>
      </w:r>
      <w:r w:rsidRPr="00860A79">
        <w:rPr>
          <w:lang w:val="en-GB" w:eastAsia="en-GB"/>
        </w:rPr>
        <w:t xml:space="preserve"> </w:t>
      </w:r>
      <w:r w:rsidR="0048665A">
        <w:rPr>
          <w:lang w:val="en-GB" w:eastAsia="en-GB"/>
        </w:rPr>
        <w:t>may</w:t>
      </w:r>
      <w:r w:rsidR="006E520D">
        <w:rPr>
          <w:lang w:val="en-GB" w:eastAsia="en-GB"/>
        </w:rPr>
        <w:t xml:space="preserve"> therefore</w:t>
      </w:r>
      <w:r>
        <w:rPr>
          <w:lang w:val="en-GB" w:eastAsia="en-GB"/>
        </w:rPr>
        <w:t xml:space="preserve"> </w:t>
      </w:r>
      <w:r w:rsidR="0048665A">
        <w:rPr>
          <w:lang w:val="en-GB" w:eastAsia="en-GB"/>
        </w:rPr>
        <w:t>result</w:t>
      </w:r>
      <w:r w:rsidR="008E407B">
        <w:rPr>
          <w:lang w:val="en-GB" w:eastAsia="en-GB"/>
        </w:rPr>
        <w:t xml:space="preserve"> </w:t>
      </w:r>
      <w:r w:rsidR="0048665A">
        <w:rPr>
          <w:lang w:val="en-GB" w:eastAsia="en-GB"/>
        </w:rPr>
        <w:t>in</w:t>
      </w:r>
      <w:r w:rsidRPr="00860A79">
        <w:rPr>
          <w:lang w:val="en-GB" w:eastAsia="en-GB"/>
        </w:rPr>
        <w:t xml:space="preserve"> suboptimal </w:t>
      </w:r>
      <w:r w:rsidR="00F173BA">
        <w:rPr>
          <w:lang w:val="en-GB" w:eastAsia="en-GB"/>
        </w:rPr>
        <w:t>decision-making</w:t>
      </w:r>
      <w:r w:rsidRPr="00860A79">
        <w:rPr>
          <w:lang w:val="en-GB" w:eastAsia="en-GB"/>
        </w:rPr>
        <w:t xml:space="preserve">. </w:t>
      </w:r>
      <w:r w:rsidR="00AA7BE6">
        <w:rPr>
          <w:lang w:val="en-GB" w:eastAsia="en-GB"/>
        </w:rPr>
        <w:lastRenderedPageBreak/>
        <w:t xml:space="preserve">Incorporating </w:t>
      </w:r>
      <w:r w:rsidR="007A390B">
        <w:rPr>
          <w:lang w:val="en-GB" w:eastAsia="en-GB"/>
        </w:rPr>
        <w:t xml:space="preserve">an </w:t>
      </w:r>
      <w:r w:rsidRPr="00860A79">
        <w:rPr>
          <w:lang w:val="en-GB" w:eastAsia="en-GB"/>
        </w:rPr>
        <w:t xml:space="preserve">inherent safety metric </w:t>
      </w:r>
      <w:r w:rsidR="007A390B">
        <w:rPr>
          <w:lang w:val="en-GB" w:eastAsia="en-GB"/>
        </w:rPr>
        <w:t>in</w:t>
      </w:r>
      <w:r w:rsidR="00915F98">
        <w:rPr>
          <w:lang w:val="en-GB" w:eastAsia="en-GB"/>
        </w:rPr>
        <w:t>to</w:t>
      </w:r>
      <w:r w:rsidR="007A390B">
        <w:rPr>
          <w:lang w:val="en-GB" w:eastAsia="en-GB"/>
        </w:rPr>
        <w:t xml:space="preserve"> </w:t>
      </w:r>
      <w:r w:rsidR="00F173BA">
        <w:rPr>
          <w:lang w:val="en-GB" w:eastAsia="en-GB"/>
        </w:rPr>
        <w:t xml:space="preserve">the </w:t>
      </w:r>
      <w:r w:rsidR="00510323">
        <w:rPr>
          <w:lang w:val="en-GB" w:eastAsia="en-GB"/>
        </w:rPr>
        <w:t>early-stage</w:t>
      </w:r>
      <w:r w:rsidR="00F173BA">
        <w:rPr>
          <w:lang w:val="en-GB" w:eastAsia="en-GB"/>
        </w:rPr>
        <w:t xml:space="preserve"> evaluation of</w:t>
      </w:r>
      <w:r w:rsidR="00510323">
        <w:rPr>
          <w:lang w:val="en-GB" w:eastAsia="en-GB"/>
        </w:rPr>
        <w:t xml:space="preserve"> carbon capture technolog</w:t>
      </w:r>
      <w:r w:rsidR="00915F98">
        <w:rPr>
          <w:lang w:val="en-GB" w:eastAsia="en-GB"/>
        </w:rPr>
        <w:t>ies helps address this</w:t>
      </w:r>
      <w:r w:rsidR="00F3318D">
        <w:rPr>
          <w:lang w:val="en-GB" w:eastAsia="en-GB"/>
        </w:rPr>
        <w:t xml:space="preserve"> gap by</w:t>
      </w:r>
      <w:r w:rsidRPr="00860A79">
        <w:rPr>
          <w:lang w:val="en-GB" w:eastAsia="en-GB"/>
        </w:rPr>
        <w:t xml:space="preserve"> </w:t>
      </w:r>
      <w:r w:rsidR="007639E4">
        <w:rPr>
          <w:lang w:val="en-GB" w:eastAsia="en-GB"/>
        </w:rPr>
        <w:t>providing</w:t>
      </w:r>
      <w:r w:rsidRPr="00860A79">
        <w:rPr>
          <w:lang w:val="en-GB" w:eastAsia="en-GB"/>
        </w:rPr>
        <w:t xml:space="preserve"> insights</w:t>
      </w:r>
      <w:r w:rsidR="0027713D">
        <w:rPr>
          <w:lang w:val="en-GB" w:eastAsia="en-GB"/>
        </w:rPr>
        <w:t xml:space="preserve"> </w:t>
      </w:r>
      <w:r w:rsidR="003D13CC">
        <w:rPr>
          <w:lang w:val="en-GB" w:eastAsia="en-GB"/>
        </w:rPr>
        <w:t>into</w:t>
      </w:r>
      <w:r w:rsidR="0027713D">
        <w:rPr>
          <w:lang w:val="en-GB" w:eastAsia="en-GB"/>
        </w:rPr>
        <w:t xml:space="preserve"> social sustainability </w:t>
      </w:r>
      <w:r w:rsidRPr="00860A79">
        <w:rPr>
          <w:lang w:val="en-GB" w:eastAsia="en-GB"/>
        </w:rPr>
        <w:t xml:space="preserve">that </w:t>
      </w:r>
      <w:r w:rsidR="00496572">
        <w:rPr>
          <w:lang w:val="en-GB" w:eastAsia="en-GB"/>
        </w:rPr>
        <w:t>often result in being</w:t>
      </w:r>
      <w:r w:rsidR="00C47BFB">
        <w:rPr>
          <w:lang w:val="en-GB" w:eastAsia="en-GB"/>
        </w:rPr>
        <w:t xml:space="preserve"> uncorrelated with</w:t>
      </w:r>
      <w:r w:rsidRPr="00860A79">
        <w:rPr>
          <w:lang w:val="en-GB" w:eastAsia="en-GB"/>
        </w:rPr>
        <w:t xml:space="preserve"> </w:t>
      </w:r>
      <w:r w:rsidR="005C3D5A">
        <w:rPr>
          <w:lang w:val="en-GB" w:eastAsia="en-GB"/>
        </w:rPr>
        <w:t xml:space="preserve">techno-economic and environmental </w:t>
      </w:r>
      <w:r w:rsidR="008A7A79">
        <w:rPr>
          <w:lang w:val="en-GB" w:eastAsia="en-GB"/>
        </w:rPr>
        <w:t>figures</w:t>
      </w:r>
      <w:r w:rsidRPr="00860A79">
        <w:rPr>
          <w:lang w:val="en-GB" w:eastAsia="en-GB"/>
        </w:rPr>
        <w:t xml:space="preserve">. This is evident in </w:t>
      </w:r>
      <w:r>
        <w:rPr>
          <w:lang w:val="en-GB" w:eastAsia="en-GB"/>
        </w:rPr>
        <w:t>both the hard-to-abate industr</w:t>
      </w:r>
      <w:r w:rsidR="00024567">
        <w:rPr>
          <w:lang w:val="en-GB" w:eastAsia="en-GB"/>
        </w:rPr>
        <w:t>ial</w:t>
      </w:r>
      <w:r>
        <w:rPr>
          <w:lang w:val="en-GB" w:eastAsia="en-GB"/>
        </w:rPr>
        <w:t xml:space="preserve"> and </w:t>
      </w:r>
      <w:r w:rsidRPr="00860A79">
        <w:rPr>
          <w:lang w:val="en-GB" w:eastAsia="en-GB"/>
        </w:rPr>
        <w:t xml:space="preserve">maritime </w:t>
      </w:r>
      <w:r w:rsidR="00024567">
        <w:rPr>
          <w:lang w:val="en-GB" w:eastAsia="en-GB"/>
        </w:rPr>
        <w:t>case studies considered</w:t>
      </w:r>
      <w:r w:rsidRPr="00860A79">
        <w:rPr>
          <w:lang w:val="en-GB" w:eastAsia="en-GB"/>
        </w:rPr>
        <w:t>, where trade-off</w:t>
      </w:r>
      <w:r w:rsidR="004B0EA6">
        <w:rPr>
          <w:lang w:val="en-GB" w:eastAsia="en-GB"/>
        </w:rPr>
        <w:t>s</w:t>
      </w:r>
      <w:r w:rsidRPr="00860A79">
        <w:rPr>
          <w:lang w:val="en-GB" w:eastAsia="en-GB"/>
        </w:rPr>
        <w:t xml:space="preserve"> </w:t>
      </w:r>
      <w:r w:rsidR="004B0EA6">
        <w:rPr>
          <w:lang w:val="en-GB" w:eastAsia="en-GB"/>
        </w:rPr>
        <w:t xml:space="preserve">between environmental </w:t>
      </w:r>
      <w:r w:rsidR="00024567">
        <w:rPr>
          <w:lang w:val="en-GB" w:eastAsia="en-GB"/>
        </w:rPr>
        <w:t xml:space="preserve">performance </w:t>
      </w:r>
      <w:r w:rsidR="004B0EA6">
        <w:rPr>
          <w:lang w:val="en-GB" w:eastAsia="en-GB"/>
        </w:rPr>
        <w:t>and inherent safety are observed</w:t>
      </w:r>
      <w:r w:rsidRPr="00860A79">
        <w:rPr>
          <w:lang w:val="en-GB" w:eastAsia="en-GB"/>
        </w:rPr>
        <w:t xml:space="preserve">. Technologies </w:t>
      </w:r>
      <w:r w:rsidR="003F574D">
        <w:rPr>
          <w:lang w:val="en-GB" w:eastAsia="en-GB"/>
        </w:rPr>
        <w:t>with relatively</w:t>
      </w:r>
      <w:r w:rsidR="000A7E2B">
        <w:rPr>
          <w:lang w:val="en-GB" w:eastAsia="en-GB"/>
        </w:rPr>
        <w:t xml:space="preserve"> low environmental impacts</w:t>
      </w:r>
      <w:r w:rsidR="008F7C55">
        <w:rPr>
          <w:lang w:val="en-GB" w:eastAsia="en-GB"/>
        </w:rPr>
        <w:t xml:space="preserve">, such as </w:t>
      </w:r>
      <w:proofErr w:type="spellStart"/>
      <w:r w:rsidR="008F7C55">
        <w:rPr>
          <w:lang w:val="en-GB" w:eastAsia="en-GB"/>
        </w:rPr>
        <w:t>AS</w:t>
      </w:r>
      <w:proofErr w:type="spellEnd"/>
      <w:r w:rsidR="008F7C55">
        <w:rPr>
          <w:lang w:val="en-GB" w:eastAsia="en-GB"/>
        </w:rPr>
        <w:t xml:space="preserve"> (</w:t>
      </w:r>
      <w:r w:rsidR="003F574D">
        <w:rPr>
          <w:lang w:val="en-GB" w:eastAsia="en-GB"/>
        </w:rPr>
        <w:t xml:space="preserve">refer to </w:t>
      </w:r>
      <w:r w:rsidR="003F574D">
        <w:rPr>
          <w:lang w:val="en-GB" w:eastAsia="en-GB"/>
        </w:rPr>
        <w:fldChar w:fldCharType="begin"/>
      </w:r>
      <w:r w:rsidR="003F574D">
        <w:rPr>
          <w:lang w:val="en-GB" w:eastAsia="en-GB"/>
        </w:rPr>
        <w:instrText xml:space="preserve"> REF _Ref184387750 \h </w:instrText>
      </w:r>
      <w:r w:rsidR="003F574D">
        <w:rPr>
          <w:lang w:val="en-GB" w:eastAsia="en-GB"/>
        </w:rPr>
      </w:r>
      <w:r w:rsidR="003F574D">
        <w:rPr>
          <w:lang w:val="en-GB" w:eastAsia="en-GB"/>
        </w:rPr>
        <w:fldChar w:fldCharType="separate"/>
      </w:r>
      <w:r w:rsidR="003F574D">
        <w:t xml:space="preserve">Figure </w:t>
      </w:r>
      <w:r w:rsidR="003F574D">
        <w:rPr>
          <w:noProof/>
        </w:rPr>
        <w:t>3</w:t>
      </w:r>
      <w:r w:rsidR="003F574D">
        <w:rPr>
          <w:lang w:val="en-GB" w:eastAsia="en-GB"/>
        </w:rPr>
        <w:fldChar w:fldCharType="end"/>
      </w:r>
      <w:r w:rsidR="000A7E2B">
        <w:rPr>
          <w:lang w:val="en-GB" w:eastAsia="en-GB"/>
        </w:rPr>
        <w:t>),</w:t>
      </w:r>
      <w:r w:rsidRPr="00860A79">
        <w:rPr>
          <w:lang w:val="en-GB" w:eastAsia="en-GB"/>
        </w:rPr>
        <w:t xml:space="preserve"> may exhibit </w:t>
      </w:r>
      <w:r w:rsidR="0082671F">
        <w:rPr>
          <w:lang w:val="en-GB" w:eastAsia="en-GB"/>
        </w:rPr>
        <w:t xml:space="preserve">significantly </w:t>
      </w:r>
      <w:r w:rsidRPr="00860A79">
        <w:rPr>
          <w:lang w:val="en-GB" w:eastAsia="en-GB"/>
        </w:rPr>
        <w:t>lower inherent safet</w:t>
      </w:r>
      <w:r w:rsidR="002C4C13">
        <w:rPr>
          <w:lang w:val="en-GB" w:eastAsia="en-GB"/>
        </w:rPr>
        <w:t>y levels</w:t>
      </w:r>
      <w:r w:rsidRPr="00860A79">
        <w:rPr>
          <w:lang w:val="en-GB" w:eastAsia="en-GB"/>
        </w:rPr>
        <w:t xml:space="preserve">, </w:t>
      </w:r>
      <w:r w:rsidR="002C4C13" w:rsidRPr="002C4C13">
        <w:rPr>
          <w:lang w:val="en-GB" w:eastAsia="en-GB"/>
        </w:rPr>
        <w:t xml:space="preserve">potentially introducing emerging risks that must be addressed </w:t>
      </w:r>
      <w:r w:rsidR="0082671F">
        <w:rPr>
          <w:lang w:val="en-GB" w:eastAsia="en-GB"/>
        </w:rPr>
        <w:t>during decision-making</w:t>
      </w:r>
      <w:r w:rsidRPr="00860A79">
        <w:rPr>
          <w:lang w:val="en-GB" w:eastAsia="en-GB"/>
        </w:rPr>
        <w:t>.</w:t>
      </w:r>
      <w:r>
        <w:rPr>
          <w:lang w:val="en-GB" w:eastAsia="en-GB"/>
        </w:rPr>
        <w:t xml:space="preserve"> </w:t>
      </w:r>
      <w:r w:rsidR="0098398D">
        <w:rPr>
          <w:lang w:val="en-GB" w:eastAsia="en-GB"/>
        </w:rPr>
        <w:t>Overall, t</w:t>
      </w:r>
      <w:r w:rsidRPr="00860A79">
        <w:rPr>
          <w:lang w:val="en-GB" w:eastAsia="en-GB"/>
        </w:rPr>
        <w:t>h</w:t>
      </w:r>
      <w:r w:rsidR="00BB0115">
        <w:rPr>
          <w:lang w:val="en-GB" w:eastAsia="en-GB"/>
        </w:rPr>
        <w:t xml:space="preserve">e </w:t>
      </w:r>
      <w:r w:rsidR="007D1C95">
        <w:rPr>
          <w:lang w:val="en-GB" w:eastAsia="en-GB"/>
        </w:rPr>
        <w:t>proposed</w:t>
      </w:r>
      <w:r w:rsidRPr="00860A79">
        <w:rPr>
          <w:lang w:val="en-GB" w:eastAsia="en-GB"/>
        </w:rPr>
        <w:t xml:space="preserve"> approach </w:t>
      </w:r>
      <w:r w:rsidR="00712E51">
        <w:rPr>
          <w:lang w:val="en-GB" w:eastAsia="en-GB"/>
        </w:rPr>
        <w:t>allowed for a</w:t>
      </w:r>
      <w:r w:rsidR="007D1C95">
        <w:rPr>
          <w:lang w:val="en-GB" w:eastAsia="en-GB"/>
        </w:rPr>
        <w:t xml:space="preserve"> more comprehensive sustainability assessment</w:t>
      </w:r>
      <w:r w:rsidRPr="00860A79">
        <w:rPr>
          <w:lang w:val="en-GB" w:eastAsia="en-GB"/>
        </w:rPr>
        <w:t xml:space="preserve">, reducing the </w:t>
      </w:r>
      <w:r>
        <w:rPr>
          <w:lang w:val="en-GB" w:eastAsia="en-GB"/>
        </w:rPr>
        <w:t>possibility</w:t>
      </w:r>
      <w:r w:rsidRPr="00860A79">
        <w:rPr>
          <w:lang w:val="en-GB" w:eastAsia="en-GB"/>
        </w:rPr>
        <w:t xml:space="preserve"> of favouring solutions that may be economically or environmentally advantageous but socially suboptimal</w:t>
      </w:r>
      <w:r>
        <w:rPr>
          <w:lang w:val="en-GB" w:eastAsia="en-GB"/>
        </w:rPr>
        <w:t>.</w:t>
      </w:r>
    </w:p>
    <w:p w14:paraId="572C4145" w14:textId="77777777" w:rsidR="00103D87" w:rsidRPr="00765FFA" w:rsidRDefault="00CA7C6C" w:rsidP="00F71834">
      <w:pPr>
        <w:pStyle w:val="CETBodytext"/>
        <w:keepNext/>
        <w:jc w:val="center"/>
        <w:rPr>
          <w:lang w:val="en-GB"/>
        </w:rPr>
      </w:pPr>
      <w:r w:rsidRPr="00765FFA">
        <w:rPr>
          <w:noProof/>
          <w:color w:val="000000" w:themeColor="text1"/>
          <w:lang w:val="en-GB"/>
        </w:rPr>
        <w:drawing>
          <wp:inline distT="0" distB="0" distL="0" distR="0" wp14:anchorId="09C1C341" wp14:editId="62981832">
            <wp:extent cx="5580000" cy="2056867"/>
            <wp:effectExtent l="0" t="0" r="0" b="0"/>
            <wp:docPr id="315139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39501" name="Picture 315139501"/>
                    <pic:cNvPicPr/>
                  </pic:nvPicPr>
                  <pic:blipFill rotWithShape="1">
                    <a:blip r:embed="rId12"/>
                    <a:srcRect l="6146" r="4405" b="4662"/>
                    <a:stretch/>
                  </pic:blipFill>
                  <pic:spPr bwMode="auto">
                    <a:xfrm>
                      <a:off x="0" y="0"/>
                      <a:ext cx="5580000" cy="2056867"/>
                    </a:xfrm>
                    <a:prstGeom prst="rect">
                      <a:avLst/>
                    </a:prstGeom>
                    <a:ln>
                      <a:noFill/>
                    </a:ln>
                    <a:extLst>
                      <a:ext uri="{53640926-AAD7-44D8-BBD7-CCE9431645EC}">
                        <a14:shadowObscured xmlns:a14="http://schemas.microsoft.com/office/drawing/2010/main"/>
                      </a:ext>
                    </a:extLst>
                  </pic:spPr>
                </pic:pic>
              </a:graphicData>
            </a:graphic>
          </wp:inline>
        </w:drawing>
      </w:r>
    </w:p>
    <w:p w14:paraId="57D0D493" w14:textId="647E720E" w:rsidR="00103D87" w:rsidRDefault="00103D87" w:rsidP="00103D87">
      <w:pPr>
        <w:pStyle w:val="CETCaption"/>
      </w:pPr>
      <w:bookmarkStart w:id="8" w:name="_Ref184387750"/>
      <w:r>
        <w:t xml:space="preserve">Figure </w:t>
      </w:r>
      <w:r>
        <w:fldChar w:fldCharType="begin"/>
      </w:r>
      <w:r>
        <w:instrText xml:space="preserve"> SEQ Figure \* ARABIC </w:instrText>
      </w:r>
      <w:r>
        <w:fldChar w:fldCharType="separate"/>
      </w:r>
      <w:r>
        <w:rPr>
          <w:noProof/>
        </w:rPr>
        <w:t>3</w:t>
      </w:r>
      <w:r>
        <w:fldChar w:fldCharType="end"/>
      </w:r>
      <w:bookmarkEnd w:id="8"/>
      <w:r w:rsidRPr="00765FFA">
        <w:t>:</w:t>
      </w:r>
      <w:r w:rsidR="00B36EBE" w:rsidRPr="00765FFA">
        <w:t xml:space="preserve"> </w:t>
      </w:r>
      <w:r w:rsidR="008272C4" w:rsidRPr="00765FFA">
        <w:t xml:space="preserve">Normalised sustainability KPIs </w:t>
      </w:r>
      <w:r w:rsidR="006E6AC0" w:rsidRPr="00765FFA">
        <w:t xml:space="preserve">for </w:t>
      </w:r>
      <w:r w:rsidR="00E410C4" w:rsidRPr="00765FFA">
        <w:t xml:space="preserve">carbon capture technologies </w:t>
      </w:r>
      <w:r w:rsidR="008272C4" w:rsidRPr="00765FFA">
        <w:t xml:space="preserve">applied to: (a) </w:t>
      </w:r>
      <w:r w:rsidR="00E87C4E" w:rsidRPr="00765FFA">
        <w:t>cement manufacturing plant (hard-to-abate industry)</w:t>
      </w:r>
      <w:r w:rsidR="008272C4" w:rsidRPr="00765FFA">
        <w:t xml:space="preserve">; (b) </w:t>
      </w:r>
      <w:r w:rsidR="00E87C4E" w:rsidRPr="00765FFA">
        <w:t>cruise ship (maritime transport)</w:t>
      </w:r>
      <w:r w:rsidR="008272C4" w:rsidRPr="00765FFA">
        <w:t xml:space="preserve">. </w:t>
      </w:r>
    </w:p>
    <w:p w14:paraId="786191BF" w14:textId="77777777" w:rsidR="00F45967" w:rsidRPr="00CE5548" w:rsidRDefault="00F45967" w:rsidP="00F45967">
      <w:pPr>
        <w:pStyle w:val="CETHeading1"/>
        <w:rPr>
          <w:color w:val="000000" w:themeColor="text1"/>
          <w:lang w:val="en-GB"/>
        </w:rPr>
      </w:pPr>
      <w:r w:rsidRPr="00CE5548">
        <w:rPr>
          <w:color w:val="000000" w:themeColor="text1"/>
          <w:lang w:val="en-GB"/>
        </w:rPr>
        <w:t>Conclusions</w:t>
      </w:r>
    </w:p>
    <w:p w14:paraId="2C00D47D" w14:textId="663542C0" w:rsidR="00227847" w:rsidRPr="00353115" w:rsidRDefault="00353115" w:rsidP="00A824A3">
      <w:pPr>
        <w:pStyle w:val="CETBodytext"/>
        <w:rPr>
          <w:lang w:eastAsia="en-GB"/>
        </w:rPr>
      </w:pPr>
      <w:r w:rsidRPr="00353115">
        <w:rPr>
          <w:lang w:eastAsia="en-GB"/>
        </w:rPr>
        <w:t>This study highlights the critical role of inherent safety in assessing the sustainability of carbon capture technologies for hard-to-</w:t>
      </w:r>
      <w:proofErr w:type="spellStart"/>
      <w:r w:rsidRPr="00353115">
        <w:rPr>
          <w:lang w:eastAsia="en-GB"/>
        </w:rPr>
        <w:t>decarbonise</w:t>
      </w:r>
      <w:proofErr w:type="spellEnd"/>
      <w:r w:rsidRPr="00353115">
        <w:rPr>
          <w:lang w:eastAsia="en-GB"/>
        </w:rPr>
        <w:t xml:space="preserve"> applications. By integrating inherent safety into a multi-criteria sustainability framework alongside technological, economic, and environmental dimensions, the analysis reveals performance trade-offs that would otherwise remain unaddressed. Notably, the significant variation in inherent safety performance among technologies</w:t>
      </w:r>
      <w:r w:rsidR="00A824A3">
        <w:rPr>
          <w:lang w:eastAsia="en-GB"/>
        </w:rPr>
        <w:t xml:space="preserve"> </w:t>
      </w:r>
      <w:r w:rsidRPr="00353115">
        <w:rPr>
          <w:lang w:eastAsia="en-GB"/>
        </w:rPr>
        <w:t>underscores the importance of including safety metrics in decision-making processes.</w:t>
      </w:r>
      <w:r w:rsidR="00F71834">
        <w:rPr>
          <w:lang w:eastAsia="en-GB"/>
        </w:rPr>
        <w:t xml:space="preserve"> </w:t>
      </w:r>
      <w:r w:rsidRPr="00353115">
        <w:rPr>
          <w:lang w:eastAsia="en-GB"/>
        </w:rPr>
        <w:t xml:space="preserve">The results demonstrate that relying solely on techno-economic and environmental assessments risks </w:t>
      </w:r>
      <w:proofErr w:type="spellStart"/>
      <w:r w:rsidRPr="00353115">
        <w:rPr>
          <w:lang w:eastAsia="en-GB"/>
        </w:rPr>
        <w:t>favouring</w:t>
      </w:r>
      <w:proofErr w:type="spellEnd"/>
      <w:r w:rsidRPr="00353115">
        <w:rPr>
          <w:lang w:eastAsia="en-GB"/>
        </w:rPr>
        <w:t xml:space="preserve"> solutions that may be economically or environmentally viable but socially sub-optimal. This is especially evident </w:t>
      </w:r>
      <w:r w:rsidR="003C50BD">
        <w:rPr>
          <w:lang w:eastAsia="en-GB"/>
        </w:rPr>
        <w:t>comparing the safety and environmental domains</w:t>
      </w:r>
      <w:r w:rsidRPr="00353115">
        <w:rPr>
          <w:lang w:eastAsia="en-GB"/>
        </w:rPr>
        <w:t xml:space="preserve">. The </w:t>
      </w:r>
      <w:r w:rsidR="00F71834">
        <w:rPr>
          <w:lang w:eastAsia="en-GB"/>
        </w:rPr>
        <w:t>implemented</w:t>
      </w:r>
      <w:r w:rsidRPr="00353115">
        <w:rPr>
          <w:lang w:eastAsia="en-GB"/>
        </w:rPr>
        <w:t xml:space="preserve"> approach enables a more comprehensive sustainability evaluation, fostering informed decision-making that balances all sustainability dimensions. By addressing these complexities, </w:t>
      </w:r>
      <w:r w:rsidR="004807F8">
        <w:rPr>
          <w:lang w:eastAsia="en-GB"/>
        </w:rPr>
        <w:t>the approach presented here</w:t>
      </w:r>
      <w:r w:rsidRPr="00353115">
        <w:rPr>
          <w:lang w:eastAsia="en-GB"/>
        </w:rPr>
        <w:t xml:space="preserve"> contributes to advancing carbon capture strategies that are socially sustainable, ultimately supporting the broader goal of global </w:t>
      </w:r>
      <w:proofErr w:type="spellStart"/>
      <w:r w:rsidRPr="00353115">
        <w:rPr>
          <w:lang w:eastAsia="en-GB"/>
        </w:rPr>
        <w:t>decarbonisation</w:t>
      </w:r>
      <w:proofErr w:type="spellEnd"/>
      <w:r w:rsidRPr="00353115">
        <w:rPr>
          <w:lang w:eastAsia="en-GB"/>
        </w:rPr>
        <w:t>.</w:t>
      </w:r>
    </w:p>
    <w:p w14:paraId="4F1327F8" w14:textId="5066F681" w:rsidR="00B36DFD" w:rsidRDefault="00600535" w:rsidP="00600535">
      <w:pPr>
        <w:pStyle w:val="CETReference"/>
        <w:rPr>
          <w:color w:val="000000" w:themeColor="text1"/>
        </w:rPr>
      </w:pPr>
      <w:r w:rsidRPr="00CE5548">
        <w:rPr>
          <w:color w:val="000000" w:themeColor="text1"/>
        </w:rPr>
        <w:t>References</w:t>
      </w:r>
    </w:p>
    <w:p w14:paraId="2F42D3A8" w14:textId="7FB5A28A" w:rsidR="00446D64" w:rsidRPr="00446D64" w:rsidRDefault="00EB7DA5" w:rsidP="00446D64">
      <w:pPr>
        <w:widowControl w:val="0"/>
        <w:autoSpaceDE w:val="0"/>
        <w:autoSpaceDN w:val="0"/>
        <w:adjustRightInd w:val="0"/>
        <w:spacing w:line="240" w:lineRule="auto"/>
        <w:ind w:left="480" w:hanging="480"/>
        <w:rPr>
          <w:rFonts w:cs="Arial"/>
          <w:noProof/>
        </w:rPr>
      </w:pPr>
      <w:r>
        <w:rPr>
          <w:color w:val="000000" w:themeColor="text1"/>
        </w:rPr>
        <w:fldChar w:fldCharType="begin" w:fldLock="1"/>
      </w:r>
      <w:r>
        <w:rPr>
          <w:color w:val="000000" w:themeColor="text1"/>
        </w:rPr>
        <w:instrText xml:space="preserve">ADDIN Mendeley Bibliography CSL_BIBLIOGRAPHY </w:instrText>
      </w:r>
      <w:r>
        <w:rPr>
          <w:color w:val="000000" w:themeColor="text1"/>
        </w:rPr>
        <w:fldChar w:fldCharType="separate"/>
      </w:r>
      <w:r w:rsidR="00446D64" w:rsidRPr="00446D64">
        <w:rPr>
          <w:rFonts w:cs="Arial"/>
          <w:noProof/>
        </w:rPr>
        <w:t>Chao C., Deng Y., Dewil R., Baeyens J., Fan X., 2021, Post-combustion carbon capture, Renew</w:t>
      </w:r>
      <w:r w:rsidR="00FB6CE9">
        <w:rPr>
          <w:rFonts w:cs="Arial"/>
          <w:noProof/>
        </w:rPr>
        <w:t>able</w:t>
      </w:r>
      <w:r w:rsidR="002A015E">
        <w:rPr>
          <w:rFonts w:cs="Arial"/>
          <w:noProof/>
        </w:rPr>
        <w:t xml:space="preserve"> and</w:t>
      </w:r>
      <w:r w:rsidR="00446D64" w:rsidRPr="00446D64">
        <w:rPr>
          <w:rFonts w:cs="Arial"/>
          <w:noProof/>
        </w:rPr>
        <w:t xml:space="preserve"> Sustain</w:t>
      </w:r>
      <w:r w:rsidR="002A015E">
        <w:rPr>
          <w:rFonts w:cs="Arial"/>
          <w:noProof/>
        </w:rPr>
        <w:t>able</w:t>
      </w:r>
      <w:r w:rsidR="00446D64" w:rsidRPr="00446D64">
        <w:rPr>
          <w:rFonts w:cs="Arial"/>
          <w:noProof/>
        </w:rPr>
        <w:t xml:space="preserve"> Energy Rev</w:t>
      </w:r>
      <w:r w:rsidR="002A015E">
        <w:rPr>
          <w:rFonts w:cs="Arial"/>
          <w:noProof/>
        </w:rPr>
        <w:t>iews,</w:t>
      </w:r>
      <w:r w:rsidR="00446D64" w:rsidRPr="00446D64">
        <w:rPr>
          <w:rFonts w:cs="Arial"/>
          <w:noProof/>
        </w:rPr>
        <w:t xml:space="preserve"> 138, 110490.</w:t>
      </w:r>
    </w:p>
    <w:p w14:paraId="31BE8F3A" w14:textId="77777777"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Dincer I., Cozzani V., Crivellari A., 2021, Hybrid Energy Systems for Offshore Applications, Elsevier.</w:t>
      </w:r>
    </w:p>
    <w:p w14:paraId="76896A93" w14:textId="77777777"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DNV, 2024, The potential of onboard carbon capture in shipping.</w:t>
      </w:r>
    </w:p>
    <w:p w14:paraId="10CA86B0" w14:textId="365C8439"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Font-Palma C., 2021, Is Carbon Capture a Viable Solution </w:t>
      </w:r>
      <w:r w:rsidR="006B6352">
        <w:rPr>
          <w:rFonts w:cs="Arial"/>
          <w:noProof/>
        </w:rPr>
        <w:t>t</w:t>
      </w:r>
      <w:r w:rsidRPr="00446D64">
        <w:rPr>
          <w:rFonts w:cs="Arial"/>
          <w:noProof/>
        </w:rPr>
        <w:t xml:space="preserve">o Decarbonise the Shipping Industry?, </w:t>
      </w:r>
      <w:r w:rsidR="00946E97" w:rsidRPr="00946E97">
        <w:rPr>
          <w:rFonts w:cs="Arial"/>
          <w:noProof/>
        </w:rPr>
        <w:t>CCS–11. CO2 Capture, Transport and Storage. Trondheim 22nd–23rd June 2021. Short Papers from the 11th International Trondheim CCS Conference</w:t>
      </w:r>
      <w:r w:rsidR="00946E97">
        <w:rPr>
          <w:rFonts w:cs="Arial"/>
          <w:noProof/>
        </w:rPr>
        <w:t>, SINTEF Academic Press</w:t>
      </w:r>
      <w:r w:rsidRPr="00446D64">
        <w:rPr>
          <w:rFonts w:cs="Arial"/>
          <w:noProof/>
        </w:rPr>
        <w:t>.</w:t>
      </w:r>
    </w:p>
    <w:p w14:paraId="449DB606" w14:textId="649A4635"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Font-Palma C., Cann D., Udemu C., 2021, Review of Cryogenic Carbon Capture Innovations and Their Potential Applications, C</w:t>
      </w:r>
      <w:r w:rsidR="00347A91">
        <w:rPr>
          <w:rFonts w:cs="Arial"/>
          <w:noProof/>
        </w:rPr>
        <w:t>,</w:t>
      </w:r>
      <w:r w:rsidRPr="00446D64">
        <w:rPr>
          <w:rFonts w:cs="Arial"/>
          <w:noProof/>
        </w:rPr>
        <w:t xml:space="preserve"> 7</w:t>
      </w:r>
      <w:r w:rsidR="00347A91">
        <w:rPr>
          <w:rFonts w:cs="Arial"/>
          <w:noProof/>
        </w:rPr>
        <w:t>(3)</w:t>
      </w:r>
      <w:r w:rsidRPr="00446D64">
        <w:rPr>
          <w:rFonts w:cs="Arial"/>
          <w:noProof/>
        </w:rPr>
        <w:t>, 58.</w:t>
      </w:r>
    </w:p>
    <w:p w14:paraId="715CE4D6" w14:textId="7E6E30F5"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Frischknecht R., Jungbluth N., Althaus H.-J., Doka G., Dones R., Heck T., Hellweg S., Hischier R., Nemecek T., Rebitzer G., Spielmann M., 2005, The ecoinvent database: overview and methodological framework, </w:t>
      </w:r>
      <w:r w:rsidR="00C930B1">
        <w:rPr>
          <w:rFonts w:cs="Arial"/>
          <w:noProof/>
        </w:rPr>
        <w:t>The International Journal of Life Cycle Assessment,</w:t>
      </w:r>
      <w:r w:rsidRPr="00446D64">
        <w:rPr>
          <w:rFonts w:cs="Arial"/>
          <w:noProof/>
        </w:rPr>
        <w:t xml:space="preserve"> 10, 3–9.</w:t>
      </w:r>
    </w:p>
    <w:p w14:paraId="13C3CBB9" w14:textId="63838337"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Gardarsdottir S.O., De Lena E., Romano M., Roussanaly S., Voldsund M., Pérez-Calvo J.F., Berstad D., Fu C., Anantharaman R., Sutter D., Gazzani M., Mazzotti M., Cinti G., 2019, Comparison of technologies for CO2 capture from cement production—Part 2: Cost analysis, Energies</w:t>
      </w:r>
      <w:r w:rsidR="00BA3A02">
        <w:rPr>
          <w:rFonts w:cs="Arial"/>
          <w:noProof/>
        </w:rPr>
        <w:t>,</w:t>
      </w:r>
      <w:r w:rsidRPr="00446D64">
        <w:rPr>
          <w:rFonts w:cs="Arial"/>
          <w:noProof/>
        </w:rPr>
        <w:t xml:space="preserve"> 12</w:t>
      </w:r>
      <w:r w:rsidR="00BA3A02">
        <w:rPr>
          <w:rFonts w:cs="Arial"/>
          <w:noProof/>
        </w:rPr>
        <w:t>(3)</w:t>
      </w:r>
      <w:r w:rsidRPr="00446D64">
        <w:rPr>
          <w:rFonts w:cs="Arial"/>
          <w:noProof/>
        </w:rPr>
        <w:t>, 542.</w:t>
      </w:r>
    </w:p>
    <w:p w14:paraId="596B33EC" w14:textId="4D0AD365"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Gray N., McDonagh S., O’Shea R., Smyth B., Murphy J.D., 2021, Decarbonising ships, planes and trucks: An analysis of suitable low-carbon fuels for the maritime, aviation and haulage sectors, </w:t>
      </w:r>
      <w:r w:rsidR="00FC7FCF">
        <w:rPr>
          <w:rFonts w:cs="Arial"/>
          <w:noProof/>
        </w:rPr>
        <w:t xml:space="preserve">Advances in Applied </w:t>
      </w:r>
      <w:r w:rsidR="00FC7FCF">
        <w:rPr>
          <w:rFonts w:cs="Arial"/>
          <w:noProof/>
        </w:rPr>
        <w:lastRenderedPageBreak/>
        <w:t>Energy,</w:t>
      </w:r>
      <w:r w:rsidRPr="00446D64">
        <w:rPr>
          <w:rFonts w:cs="Arial"/>
          <w:noProof/>
        </w:rPr>
        <w:t xml:space="preserve"> 1, 100008.</w:t>
      </w:r>
    </w:p>
    <w:p w14:paraId="00B3DC06" w14:textId="5C8C57F7"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Ho M.T., Allinson G.W., Wiley D.E., 2008, Reducing the cost of CO2 capture from flue gases using pressure swing adsorption, </w:t>
      </w:r>
      <w:r w:rsidR="00181FC0">
        <w:rPr>
          <w:rFonts w:cs="Arial"/>
          <w:noProof/>
        </w:rPr>
        <w:t>Industrial &amp; Engineering Chemistry Research,</w:t>
      </w:r>
      <w:r w:rsidRPr="00446D64">
        <w:rPr>
          <w:rFonts w:cs="Arial"/>
          <w:noProof/>
        </w:rPr>
        <w:t xml:space="preserve"> 47</w:t>
      </w:r>
      <w:r w:rsidR="00181FC0">
        <w:rPr>
          <w:rFonts w:cs="Arial"/>
          <w:noProof/>
        </w:rPr>
        <w:t>(14)</w:t>
      </w:r>
      <w:r w:rsidRPr="00446D64">
        <w:rPr>
          <w:rFonts w:cs="Arial"/>
          <w:noProof/>
        </w:rPr>
        <w:t>, 4883–4890.</w:t>
      </w:r>
    </w:p>
    <w:p w14:paraId="0F0C8C41" w14:textId="544F22C8"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Huijbregts M.A.J., Hellweg S., Frischknecht R., Hendriks H.W.M., Hungehbühler K., Hendriks A.J., 2010, Cumulative energy demand as predictor for the environmental burden of commodity production, </w:t>
      </w:r>
      <w:r w:rsidR="00A61ACC">
        <w:rPr>
          <w:rFonts w:cs="Arial"/>
          <w:noProof/>
        </w:rPr>
        <w:t>Environmental Science &amp; Technology,</w:t>
      </w:r>
      <w:r w:rsidRPr="00446D64">
        <w:rPr>
          <w:rFonts w:cs="Arial"/>
          <w:noProof/>
        </w:rPr>
        <w:t xml:space="preserve"> 44</w:t>
      </w:r>
      <w:r w:rsidR="00A61ACC">
        <w:rPr>
          <w:rFonts w:cs="Arial"/>
          <w:noProof/>
        </w:rPr>
        <w:t>(6)</w:t>
      </w:r>
      <w:r w:rsidRPr="00446D64">
        <w:rPr>
          <w:rFonts w:cs="Arial"/>
          <w:noProof/>
        </w:rPr>
        <w:t>, 2189–2196.</w:t>
      </w:r>
    </w:p>
    <w:p w14:paraId="6F6D4452" w14:textId="5ABE9A79"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Iannaccone T., Landucci G., Tugnoli A., Salzano E., Cozzani V., 2020, Sustainability of cruise ship fuel systems: Comparison among LNG and diesel technologies, </w:t>
      </w:r>
      <w:r w:rsidR="006F45B6">
        <w:rPr>
          <w:rFonts w:cs="Arial"/>
          <w:noProof/>
        </w:rPr>
        <w:t>Journal of Cleaner Production,</w:t>
      </w:r>
      <w:r w:rsidRPr="00446D64">
        <w:rPr>
          <w:rFonts w:cs="Arial"/>
          <w:noProof/>
        </w:rPr>
        <w:t xml:space="preserve"> 260, 121069.</w:t>
      </w:r>
    </w:p>
    <w:p w14:paraId="4DE2F7A9" w14:textId="1F1996B3" w:rsidR="00446D64" w:rsidRPr="00446D64" w:rsidRDefault="00446D64" w:rsidP="00FA35F1">
      <w:pPr>
        <w:widowControl w:val="0"/>
        <w:autoSpaceDE w:val="0"/>
        <w:autoSpaceDN w:val="0"/>
        <w:adjustRightInd w:val="0"/>
        <w:spacing w:line="240" w:lineRule="auto"/>
        <w:ind w:left="480" w:hanging="480"/>
        <w:rPr>
          <w:rFonts w:cs="Arial"/>
          <w:noProof/>
        </w:rPr>
      </w:pPr>
      <w:r w:rsidRPr="00446D64">
        <w:rPr>
          <w:rFonts w:cs="Arial"/>
          <w:noProof/>
        </w:rPr>
        <w:t>IEA, 2021, Is carbon capture too expensive?, IEA, Paris</w:t>
      </w:r>
      <w:r w:rsidR="009768EF">
        <w:rPr>
          <w:rFonts w:cs="Arial"/>
          <w:noProof/>
        </w:rPr>
        <w:t xml:space="preserve"> </w:t>
      </w:r>
      <w:r w:rsidR="00FA35F1" w:rsidRPr="00FA35F1">
        <w:rPr>
          <w:rFonts w:cs="Arial"/>
          <w:noProof/>
        </w:rPr>
        <w:t>https://www.iea.org/commentaries/is-carbon-capture-too-expensive</w:t>
      </w:r>
      <w:r w:rsidRPr="00446D64">
        <w:rPr>
          <w:rFonts w:cs="Arial"/>
          <w:noProof/>
        </w:rPr>
        <w:t>.</w:t>
      </w:r>
    </w:p>
    <w:p w14:paraId="1743E5FD" w14:textId="33F2F2F3"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IEA, 2019, Transforming Industry through CCUS</w:t>
      </w:r>
      <w:r w:rsidR="00D460A7">
        <w:rPr>
          <w:rFonts w:cs="Arial"/>
          <w:noProof/>
        </w:rPr>
        <w:t xml:space="preserve">, IEA, Paris </w:t>
      </w:r>
      <w:r w:rsidR="00D460A7" w:rsidRPr="00D460A7">
        <w:rPr>
          <w:rFonts w:cs="Arial"/>
          <w:noProof/>
        </w:rPr>
        <w:t>https://www.iea.org/reports/transforming-industry-through-ccus</w:t>
      </w:r>
      <w:r w:rsidRPr="00446D64">
        <w:rPr>
          <w:rFonts w:cs="Arial"/>
          <w:noProof/>
        </w:rPr>
        <w:t>.</w:t>
      </w:r>
    </w:p>
    <w:p w14:paraId="22DADB5A" w14:textId="2A4489AF"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Kearns D., Liu H., Consoli C., 2021, Technology readiness and costs of CCS</w:t>
      </w:r>
      <w:r w:rsidR="00EE1C8C">
        <w:rPr>
          <w:rFonts w:cs="Arial"/>
          <w:noProof/>
        </w:rPr>
        <w:t>,</w:t>
      </w:r>
      <w:r w:rsidRPr="00446D64">
        <w:rPr>
          <w:rFonts w:cs="Arial"/>
          <w:noProof/>
        </w:rPr>
        <w:t xml:space="preserve"> Global CCS Institute</w:t>
      </w:r>
      <w:r w:rsidR="00421EE5">
        <w:rPr>
          <w:rFonts w:cs="Arial"/>
          <w:noProof/>
        </w:rPr>
        <w:t xml:space="preserve"> </w:t>
      </w:r>
      <w:r w:rsidR="00421EE5" w:rsidRPr="00421EE5">
        <w:rPr>
          <w:rFonts w:cs="Arial"/>
          <w:noProof/>
        </w:rPr>
        <w:t>https://www.globalccsinstitute.com/resources/publications-reports-research/technology-readiness-and-costs-of-ccs/</w:t>
      </w:r>
      <w:r w:rsidRPr="00446D64">
        <w:rPr>
          <w:rFonts w:cs="Arial"/>
          <w:noProof/>
        </w:rPr>
        <w:t>.</w:t>
      </w:r>
    </w:p>
    <w:p w14:paraId="411DC743" w14:textId="6921D81A"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Kim H., Lee J., Lee S., Lee I.B., Park J. hyoung, Han J., 2015, Economic process design for separation of CO2 from the off-gas in ironmaking and steelmaking plants, Energy</w:t>
      </w:r>
      <w:r w:rsidR="00192B4A">
        <w:rPr>
          <w:rFonts w:cs="Arial"/>
          <w:noProof/>
        </w:rPr>
        <w:t>,</w:t>
      </w:r>
      <w:r w:rsidRPr="00446D64">
        <w:rPr>
          <w:rFonts w:cs="Arial"/>
          <w:noProof/>
        </w:rPr>
        <w:t xml:space="preserve"> 88, 756–764.</w:t>
      </w:r>
    </w:p>
    <w:p w14:paraId="2E723EB1" w14:textId="3EEEEFDA"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Kuramochi T., Ramírez A., Turkenburg W., Faaij A., 2012, Comparative assessment of CO2 capture technologies for carbon-intensive industrial processes, </w:t>
      </w:r>
      <w:r w:rsidR="00192B4A">
        <w:rPr>
          <w:rFonts w:cs="Arial"/>
          <w:noProof/>
        </w:rPr>
        <w:t>Progress in Energy Combustion and Science,</w:t>
      </w:r>
      <w:r w:rsidRPr="00446D64">
        <w:rPr>
          <w:rFonts w:cs="Arial"/>
          <w:noProof/>
        </w:rPr>
        <w:t xml:space="preserve"> 38</w:t>
      </w:r>
      <w:r w:rsidR="007A23A8">
        <w:rPr>
          <w:rFonts w:cs="Arial"/>
          <w:noProof/>
        </w:rPr>
        <w:t>(1)</w:t>
      </w:r>
      <w:r w:rsidRPr="00446D64">
        <w:rPr>
          <w:rFonts w:cs="Arial"/>
          <w:noProof/>
        </w:rPr>
        <w:t>, 87–112.</w:t>
      </w:r>
    </w:p>
    <w:p w14:paraId="6FDBCE9C" w14:textId="4FA5D399"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Leonzio G., Shah N., 2024, Recent advancements and challenges in carbon capture, utilization and storage, </w:t>
      </w:r>
      <w:r w:rsidR="007A23A8">
        <w:rPr>
          <w:rFonts w:cs="Arial"/>
          <w:noProof/>
        </w:rPr>
        <w:t>Current Opinion in Green and Sustainable Chemistry</w:t>
      </w:r>
      <w:r w:rsidR="00F41CCE">
        <w:rPr>
          <w:rFonts w:cs="Arial"/>
          <w:noProof/>
        </w:rPr>
        <w:t>,</w:t>
      </w:r>
      <w:r w:rsidRPr="00446D64">
        <w:rPr>
          <w:rFonts w:cs="Arial"/>
          <w:noProof/>
        </w:rPr>
        <w:t xml:space="preserve"> 46, 100895.</w:t>
      </w:r>
    </w:p>
    <w:p w14:paraId="5E922D5B" w14:textId="7220716A"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Madeddu C., Errico M., Baratti R., 2019, CO2 Capture by Reactive Absorption-Stripping, Springer.</w:t>
      </w:r>
    </w:p>
    <w:p w14:paraId="28E2F179" w14:textId="625F6044"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Moktadir M.A., Ren J., Ayub Y., Shi T., 2024, Monetizing and selection of sustainable tannery sludge-to-energy technology using a simulation-based novel integrated MCDM model along with life cycle Techno-Economic-ESG analysis, </w:t>
      </w:r>
      <w:r w:rsidR="009E1EEA">
        <w:rPr>
          <w:rFonts w:cs="Arial"/>
          <w:noProof/>
        </w:rPr>
        <w:t>Chemical Engineering Journal,</w:t>
      </w:r>
      <w:r w:rsidRPr="00446D64">
        <w:rPr>
          <w:rFonts w:cs="Arial"/>
          <w:noProof/>
        </w:rPr>
        <w:t xml:space="preserve"> 499, 155428.</w:t>
      </w:r>
    </w:p>
    <w:p w14:paraId="25567AA3" w14:textId="38B39141"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Moore C.C.S., Kulay L., 2019, Effect of the implementation of carbon capture systems on the environmental, energy and economic performance of the Brazilian electricity matrix, Energies</w:t>
      </w:r>
      <w:r w:rsidR="009E1EEA">
        <w:rPr>
          <w:rFonts w:cs="Arial"/>
          <w:noProof/>
        </w:rPr>
        <w:t>,</w:t>
      </w:r>
      <w:r w:rsidRPr="00446D64">
        <w:rPr>
          <w:rFonts w:cs="Arial"/>
          <w:noProof/>
        </w:rPr>
        <w:t xml:space="preserve"> 12</w:t>
      </w:r>
      <w:r w:rsidR="009E1EEA">
        <w:rPr>
          <w:rFonts w:cs="Arial"/>
          <w:noProof/>
        </w:rPr>
        <w:t>(2), 331</w:t>
      </w:r>
      <w:r w:rsidRPr="00446D64">
        <w:rPr>
          <w:rFonts w:cs="Arial"/>
          <w:noProof/>
        </w:rPr>
        <w:t>.</w:t>
      </w:r>
    </w:p>
    <w:p w14:paraId="01AB843A" w14:textId="1EF5DCD2"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Norris G.A., 2001, The requirement for congruence in normalization, </w:t>
      </w:r>
      <w:r w:rsidR="00A055CB">
        <w:rPr>
          <w:rFonts w:cs="Arial"/>
          <w:noProof/>
        </w:rPr>
        <w:t>The International Journal of Life Cycle Assessment,</w:t>
      </w:r>
      <w:r w:rsidRPr="00446D64">
        <w:rPr>
          <w:rFonts w:cs="Arial"/>
          <w:noProof/>
        </w:rPr>
        <w:t xml:space="preserve"> 6, 85–88.</w:t>
      </w:r>
    </w:p>
    <w:p w14:paraId="2BFC63B6" w14:textId="0C4EF048"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Park S., Xu S., Rogers W., Pasman H., El-Halwagi M.M., 2020, Incorporating inherent safety during the conceptual process design stage: A literature review, J</w:t>
      </w:r>
      <w:r w:rsidR="003E4895">
        <w:rPr>
          <w:rFonts w:cs="Arial"/>
          <w:noProof/>
        </w:rPr>
        <w:t>ournal of Loss Prevention in the Process Industries,</w:t>
      </w:r>
      <w:r w:rsidRPr="00446D64">
        <w:rPr>
          <w:rFonts w:cs="Arial"/>
          <w:noProof/>
        </w:rPr>
        <w:t xml:space="preserve"> 63, 104040.</w:t>
      </w:r>
    </w:p>
    <w:p w14:paraId="0C8A1144" w14:textId="625847D3"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Riboldi L., Bolland O., 2017, Overview on Pressure Swing Adsorption (PSA) as CO2 Capture Technology: State-of-the-Art, Limits and Potentials, Energy Procedia</w:t>
      </w:r>
      <w:r w:rsidR="003E4895">
        <w:rPr>
          <w:rFonts w:cs="Arial"/>
          <w:noProof/>
        </w:rPr>
        <w:t>,</w:t>
      </w:r>
      <w:r w:rsidRPr="00446D64">
        <w:rPr>
          <w:rFonts w:cs="Arial"/>
          <w:noProof/>
        </w:rPr>
        <w:t xml:space="preserve"> 114, 2390–2400.</w:t>
      </w:r>
    </w:p>
    <w:p w14:paraId="51897CD8" w14:textId="34AD58EB"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Steinmann Z.J.N., Schipper A.M., Hauck M., Huijbregts M.A.J., 2016, How many environmental impact indicators are needed in the evaluation of product life cycles?, </w:t>
      </w:r>
      <w:r w:rsidR="00745900">
        <w:rPr>
          <w:rFonts w:cs="Arial"/>
          <w:noProof/>
        </w:rPr>
        <w:t>Environmental Science &amp; Technology,</w:t>
      </w:r>
      <w:r w:rsidRPr="00446D64">
        <w:rPr>
          <w:rFonts w:cs="Arial"/>
          <w:noProof/>
        </w:rPr>
        <w:t xml:space="preserve"> 50</w:t>
      </w:r>
      <w:r w:rsidR="00745900">
        <w:rPr>
          <w:rFonts w:cs="Arial"/>
          <w:noProof/>
        </w:rPr>
        <w:t>(7)</w:t>
      </w:r>
      <w:r w:rsidRPr="00446D64">
        <w:rPr>
          <w:rFonts w:cs="Arial"/>
          <w:noProof/>
        </w:rPr>
        <w:t>, 3913–3919.</w:t>
      </w:r>
    </w:p>
    <w:p w14:paraId="22874369" w14:textId="3F30E9C8"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Tavakoli S., Gamlem G.M., Kim D., Roussanaly S., Anantharaman R., Yum K.K., Valland A., 2024, Exploring the technical feasibility of carbon capture onboard ships, </w:t>
      </w:r>
      <w:r w:rsidR="00745900">
        <w:rPr>
          <w:rFonts w:cs="Arial"/>
          <w:noProof/>
        </w:rPr>
        <w:t>Journal of Cleaner Production,</w:t>
      </w:r>
      <w:r w:rsidRPr="00446D64">
        <w:rPr>
          <w:rFonts w:cs="Arial"/>
          <w:noProof/>
        </w:rPr>
        <w:t xml:space="preserve"> 452, 142032.</w:t>
      </w:r>
    </w:p>
    <w:p w14:paraId="3A31DDEC" w14:textId="026AC698"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The Maritime Executive, 2016, First dual-fuel, air lubricated cruise ship delivered. &lt;https://maritime-executive.com/article/first-dual-fuel-air-lubricated-cruise-ship-delivered&gt;</w:t>
      </w:r>
      <w:r w:rsidR="00DC3373">
        <w:rPr>
          <w:rFonts w:cs="Arial"/>
          <w:noProof/>
        </w:rPr>
        <w:t xml:space="preserve"> accessed</w:t>
      </w:r>
      <w:r w:rsidR="00C84279">
        <w:rPr>
          <w:rFonts w:cs="Arial"/>
          <w:noProof/>
        </w:rPr>
        <w:t xml:space="preserve"> 20.11.2024.</w:t>
      </w:r>
    </w:p>
    <w:p w14:paraId="261B8B37" w14:textId="3D2C5769"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Tugnoli A., Cozzani V., Landucci G., 2007, A consequence based approach to the quantitative assessment of inherent safety, AIChE J</w:t>
      </w:r>
      <w:r w:rsidR="00087239">
        <w:rPr>
          <w:rFonts w:cs="Arial"/>
          <w:noProof/>
        </w:rPr>
        <w:t>ournal,</w:t>
      </w:r>
      <w:r w:rsidRPr="00446D64">
        <w:rPr>
          <w:rFonts w:cs="Arial"/>
          <w:noProof/>
        </w:rPr>
        <w:t xml:space="preserve"> 53</w:t>
      </w:r>
      <w:r w:rsidR="00087239">
        <w:rPr>
          <w:rFonts w:cs="Arial"/>
          <w:noProof/>
        </w:rPr>
        <w:t>(12)</w:t>
      </w:r>
      <w:r w:rsidRPr="00446D64">
        <w:rPr>
          <w:rFonts w:cs="Arial"/>
          <w:noProof/>
        </w:rPr>
        <w:t>, 3171–3182.</w:t>
      </w:r>
    </w:p>
    <w:p w14:paraId="09B886B7" w14:textId="504ED305"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Visonà M., Bezzo F., d’Amore F., 2024, Techno-economic analysis of onboard CO2 capture for ultra-large container ships, </w:t>
      </w:r>
      <w:r w:rsidR="007B16E6">
        <w:rPr>
          <w:rFonts w:cs="Arial"/>
          <w:noProof/>
        </w:rPr>
        <w:t>Chemical Engineering Journal,</w:t>
      </w:r>
      <w:r w:rsidRPr="00446D64">
        <w:rPr>
          <w:rFonts w:cs="Arial"/>
          <w:noProof/>
        </w:rPr>
        <w:t xml:space="preserve"> 485, 149982.</w:t>
      </w:r>
    </w:p>
    <w:p w14:paraId="0714C3C5" w14:textId="5A99844B"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Voldsund M., Gardarsdottir S.O., De Lena E., Pérez-Calvo J.F., Jamali A., Berstad D., Fu C., Romano M., Roussanaly S., Anantharaman R., Hoppe H., Sutter D., Mazzotti M., Gazzani M., Cinti G., Jordal K., 2019, Comparison of technologies for CO2 capture from cement production—Part 1: Technical evaluation, Energies</w:t>
      </w:r>
      <w:r w:rsidR="0068135C">
        <w:rPr>
          <w:rFonts w:cs="Arial"/>
          <w:noProof/>
        </w:rPr>
        <w:t>,</w:t>
      </w:r>
      <w:r w:rsidRPr="00446D64">
        <w:rPr>
          <w:rFonts w:cs="Arial"/>
          <w:noProof/>
        </w:rPr>
        <w:t xml:space="preserve"> 12</w:t>
      </w:r>
      <w:r w:rsidR="0068135C">
        <w:rPr>
          <w:rFonts w:cs="Arial"/>
          <w:noProof/>
        </w:rPr>
        <w:t>(3), 559</w:t>
      </w:r>
      <w:r w:rsidRPr="00446D64">
        <w:rPr>
          <w:rFonts w:cs="Arial"/>
          <w:noProof/>
        </w:rPr>
        <w:t>.</w:t>
      </w:r>
    </w:p>
    <w:p w14:paraId="42A71344" w14:textId="7F23C546"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Zanobetti F., Martynov S., Cozzani V., Mahgerefteh H., 2023a, Multi-objective economic and environmental assessment for the preliminary design of CO2 transport pipelines, J</w:t>
      </w:r>
      <w:r w:rsidR="00D9167F">
        <w:rPr>
          <w:rFonts w:cs="Arial"/>
          <w:noProof/>
        </w:rPr>
        <w:t>ournal of Cleaner Production,</w:t>
      </w:r>
      <w:r w:rsidRPr="00446D64">
        <w:rPr>
          <w:rFonts w:cs="Arial"/>
          <w:noProof/>
        </w:rPr>
        <w:t xml:space="preserve"> 411, 137330.</w:t>
      </w:r>
    </w:p>
    <w:p w14:paraId="1E9AE21C" w14:textId="5814AB2F"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Zanobetti F., Pio G., Bucelli M., Miani L., Jafarzadeh S., Cozzani V., 2024, Onboard carbon capture and storage (OCCS) for fossil fuel-based shipping: A sustainability assessment, </w:t>
      </w:r>
      <w:r w:rsidR="00D9167F">
        <w:rPr>
          <w:rFonts w:cs="Arial"/>
          <w:noProof/>
        </w:rPr>
        <w:t>Journal of Cleaner Production,</w:t>
      </w:r>
      <w:r w:rsidRPr="00446D64">
        <w:rPr>
          <w:rFonts w:cs="Arial"/>
          <w:noProof/>
        </w:rPr>
        <w:t xml:space="preserve"> 470, 143343.</w:t>
      </w:r>
    </w:p>
    <w:p w14:paraId="36E10DCF" w14:textId="35EFAE6B"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Zanobetti F., Pio G., Jafarzadeh S., Ortiz M.M., Cozzani V., 2023b, Inherent safety of clean fuels for maritime transport, </w:t>
      </w:r>
      <w:r w:rsidR="00D9167F">
        <w:rPr>
          <w:rFonts w:cs="Arial"/>
          <w:noProof/>
        </w:rPr>
        <w:t>Process Safety and Environmental Protection,</w:t>
      </w:r>
      <w:r w:rsidRPr="00446D64">
        <w:rPr>
          <w:rFonts w:cs="Arial"/>
          <w:noProof/>
        </w:rPr>
        <w:t xml:space="preserve"> 174, 1044–1055.</w:t>
      </w:r>
    </w:p>
    <w:p w14:paraId="72DB9C88" w14:textId="7CDD3664"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 xml:space="preserve">Zanobetti F., Pio G., Jafarzadeh S., Ortiz M.M., Cozzani V., 2023c, Decarbonization of maritime transport : Sustainability assessment of alternative power systems, </w:t>
      </w:r>
      <w:r w:rsidR="0034167F">
        <w:rPr>
          <w:rFonts w:cs="Arial"/>
          <w:noProof/>
        </w:rPr>
        <w:t>Journal of Cleaner Production,</w:t>
      </w:r>
      <w:r w:rsidRPr="00446D64">
        <w:rPr>
          <w:rFonts w:cs="Arial"/>
          <w:noProof/>
        </w:rPr>
        <w:t xml:space="preserve"> 417, 137989.</w:t>
      </w:r>
    </w:p>
    <w:p w14:paraId="6E11018B" w14:textId="346B2239" w:rsidR="00446D64" w:rsidRPr="00446D64" w:rsidRDefault="00446D64" w:rsidP="00446D64">
      <w:pPr>
        <w:widowControl w:val="0"/>
        <w:autoSpaceDE w:val="0"/>
        <w:autoSpaceDN w:val="0"/>
        <w:adjustRightInd w:val="0"/>
        <w:spacing w:line="240" w:lineRule="auto"/>
        <w:ind w:left="480" w:hanging="480"/>
        <w:rPr>
          <w:rFonts w:cs="Arial"/>
          <w:noProof/>
        </w:rPr>
      </w:pPr>
      <w:r w:rsidRPr="00446D64">
        <w:rPr>
          <w:rFonts w:cs="Arial"/>
          <w:noProof/>
        </w:rPr>
        <w:t>Zanobetti F., Tugnoli A., Cozzani V., 2023d, Challenges to ISD application, in: Khan, F.I., Amyotte, P.R., Alauddin, M. (Eds.), Inherently Safer Design</w:t>
      </w:r>
      <w:r w:rsidR="005F2A29">
        <w:rPr>
          <w:rFonts w:cs="Arial"/>
          <w:noProof/>
        </w:rPr>
        <w:t>,</w:t>
      </w:r>
      <w:r w:rsidRPr="00446D64">
        <w:rPr>
          <w:rFonts w:cs="Arial"/>
          <w:noProof/>
        </w:rPr>
        <w:t xml:space="preserve"> Elsevier, 213–244.</w:t>
      </w:r>
    </w:p>
    <w:p w14:paraId="5B0822B9" w14:textId="59B82994" w:rsidR="00F71834" w:rsidRPr="00CE5548" w:rsidRDefault="00EB7DA5" w:rsidP="0034167F">
      <w:pPr>
        <w:pStyle w:val="CETReference"/>
        <w:spacing w:before="0" w:after="0"/>
        <w:rPr>
          <w:color w:val="000000" w:themeColor="text1"/>
        </w:rPr>
      </w:pPr>
      <w:r>
        <w:rPr>
          <w:color w:val="000000" w:themeColor="text1"/>
        </w:rPr>
        <w:fldChar w:fldCharType="end"/>
      </w:r>
    </w:p>
    <w:sectPr w:rsidR="00F71834" w:rsidRPr="00CE554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10A0" w14:textId="77777777" w:rsidR="00C8192D" w:rsidRDefault="00C8192D" w:rsidP="004F5E36">
      <w:r>
        <w:separator/>
      </w:r>
    </w:p>
  </w:endnote>
  <w:endnote w:type="continuationSeparator" w:id="0">
    <w:p w14:paraId="2A0DCC25" w14:textId="77777777" w:rsidR="00C8192D" w:rsidRDefault="00C8192D" w:rsidP="004F5E36">
      <w:r>
        <w:continuationSeparator/>
      </w:r>
    </w:p>
  </w:endnote>
  <w:endnote w:type="continuationNotice" w:id="1">
    <w:p w14:paraId="12E807D5" w14:textId="77777777" w:rsidR="00C8192D" w:rsidRDefault="00C819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A8BE" w14:textId="77777777" w:rsidR="00C8192D" w:rsidRDefault="00C8192D" w:rsidP="004F5E36">
      <w:r>
        <w:separator/>
      </w:r>
    </w:p>
  </w:footnote>
  <w:footnote w:type="continuationSeparator" w:id="0">
    <w:p w14:paraId="6279B697" w14:textId="77777777" w:rsidR="00C8192D" w:rsidRDefault="00C8192D" w:rsidP="004F5E36">
      <w:r>
        <w:continuationSeparator/>
      </w:r>
    </w:p>
  </w:footnote>
  <w:footnote w:type="continuationNotice" w:id="1">
    <w:p w14:paraId="362B0743" w14:textId="77777777" w:rsidR="00C8192D" w:rsidRDefault="00C8192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05A19"/>
    <w:rsid w:val="00005F5B"/>
    <w:rsid w:val="000109CA"/>
    <w:rsid w:val="000114BD"/>
    <w:rsid w:val="000117CB"/>
    <w:rsid w:val="000140D8"/>
    <w:rsid w:val="00016B7C"/>
    <w:rsid w:val="00020734"/>
    <w:rsid w:val="00023064"/>
    <w:rsid w:val="00024567"/>
    <w:rsid w:val="0002621F"/>
    <w:rsid w:val="00026EF0"/>
    <w:rsid w:val="0003148D"/>
    <w:rsid w:val="00031EEC"/>
    <w:rsid w:val="00033179"/>
    <w:rsid w:val="00036404"/>
    <w:rsid w:val="00036DD3"/>
    <w:rsid w:val="00042A50"/>
    <w:rsid w:val="000453FD"/>
    <w:rsid w:val="00047D95"/>
    <w:rsid w:val="00050328"/>
    <w:rsid w:val="00051566"/>
    <w:rsid w:val="00051B55"/>
    <w:rsid w:val="000562A9"/>
    <w:rsid w:val="00062A9A"/>
    <w:rsid w:val="00062E51"/>
    <w:rsid w:val="00065058"/>
    <w:rsid w:val="00067C07"/>
    <w:rsid w:val="00072B74"/>
    <w:rsid w:val="00072ECE"/>
    <w:rsid w:val="00074289"/>
    <w:rsid w:val="00076870"/>
    <w:rsid w:val="000769F1"/>
    <w:rsid w:val="00080BCF"/>
    <w:rsid w:val="00082427"/>
    <w:rsid w:val="00082D5F"/>
    <w:rsid w:val="00084A7B"/>
    <w:rsid w:val="00086C39"/>
    <w:rsid w:val="00087239"/>
    <w:rsid w:val="00093C23"/>
    <w:rsid w:val="0009694A"/>
    <w:rsid w:val="000A03B2"/>
    <w:rsid w:val="000A414D"/>
    <w:rsid w:val="000A5FD1"/>
    <w:rsid w:val="000A661B"/>
    <w:rsid w:val="000A7E2B"/>
    <w:rsid w:val="000A7EFF"/>
    <w:rsid w:val="000B2B8B"/>
    <w:rsid w:val="000D0268"/>
    <w:rsid w:val="000D34BE"/>
    <w:rsid w:val="000D4EC9"/>
    <w:rsid w:val="000E025A"/>
    <w:rsid w:val="000E0B3C"/>
    <w:rsid w:val="000E102F"/>
    <w:rsid w:val="000E28FD"/>
    <w:rsid w:val="000E36F1"/>
    <w:rsid w:val="000E3A73"/>
    <w:rsid w:val="000E414A"/>
    <w:rsid w:val="000E75FD"/>
    <w:rsid w:val="000E792C"/>
    <w:rsid w:val="000F093C"/>
    <w:rsid w:val="000F2BBB"/>
    <w:rsid w:val="000F787B"/>
    <w:rsid w:val="00100758"/>
    <w:rsid w:val="00103CCE"/>
    <w:rsid w:val="00103D87"/>
    <w:rsid w:val="00105DEC"/>
    <w:rsid w:val="001110BB"/>
    <w:rsid w:val="00111692"/>
    <w:rsid w:val="00113CCE"/>
    <w:rsid w:val="00116A48"/>
    <w:rsid w:val="0012091F"/>
    <w:rsid w:val="00126BC2"/>
    <w:rsid w:val="001308B6"/>
    <w:rsid w:val="00130C20"/>
    <w:rsid w:val="0013121F"/>
    <w:rsid w:val="00131E9C"/>
    <w:rsid w:val="00131FE6"/>
    <w:rsid w:val="0013263F"/>
    <w:rsid w:val="001331DF"/>
    <w:rsid w:val="00134DE4"/>
    <w:rsid w:val="0014034D"/>
    <w:rsid w:val="00140FE3"/>
    <w:rsid w:val="0014120E"/>
    <w:rsid w:val="00142017"/>
    <w:rsid w:val="001432EA"/>
    <w:rsid w:val="00144D16"/>
    <w:rsid w:val="0014509A"/>
    <w:rsid w:val="00150E59"/>
    <w:rsid w:val="00150F9A"/>
    <w:rsid w:val="00152DE3"/>
    <w:rsid w:val="00153283"/>
    <w:rsid w:val="001533D0"/>
    <w:rsid w:val="00160EFC"/>
    <w:rsid w:val="00161C26"/>
    <w:rsid w:val="00162D54"/>
    <w:rsid w:val="0016385D"/>
    <w:rsid w:val="00163BEE"/>
    <w:rsid w:val="001642B6"/>
    <w:rsid w:val="00164CF9"/>
    <w:rsid w:val="00165DE1"/>
    <w:rsid w:val="001667A6"/>
    <w:rsid w:val="001668C9"/>
    <w:rsid w:val="00170AED"/>
    <w:rsid w:val="00175139"/>
    <w:rsid w:val="001809A6"/>
    <w:rsid w:val="0018171E"/>
    <w:rsid w:val="00181FC0"/>
    <w:rsid w:val="00184AD6"/>
    <w:rsid w:val="00186158"/>
    <w:rsid w:val="00190804"/>
    <w:rsid w:val="00192B4A"/>
    <w:rsid w:val="00193CC5"/>
    <w:rsid w:val="001952B2"/>
    <w:rsid w:val="001A041F"/>
    <w:rsid w:val="001A20F9"/>
    <w:rsid w:val="001A49D8"/>
    <w:rsid w:val="001A4AF7"/>
    <w:rsid w:val="001A5818"/>
    <w:rsid w:val="001B0349"/>
    <w:rsid w:val="001B1E93"/>
    <w:rsid w:val="001B65C1"/>
    <w:rsid w:val="001C260F"/>
    <w:rsid w:val="001C305A"/>
    <w:rsid w:val="001C5C3A"/>
    <w:rsid w:val="001C684B"/>
    <w:rsid w:val="001C7FEE"/>
    <w:rsid w:val="001D0CFB"/>
    <w:rsid w:val="001D1F27"/>
    <w:rsid w:val="001D21AF"/>
    <w:rsid w:val="001D53FC"/>
    <w:rsid w:val="001D69F9"/>
    <w:rsid w:val="001D7CDD"/>
    <w:rsid w:val="001E3A77"/>
    <w:rsid w:val="001E477A"/>
    <w:rsid w:val="001E48DC"/>
    <w:rsid w:val="001E5FE0"/>
    <w:rsid w:val="001F28DB"/>
    <w:rsid w:val="001F2B60"/>
    <w:rsid w:val="001F42A5"/>
    <w:rsid w:val="001F7B9D"/>
    <w:rsid w:val="00201C93"/>
    <w:rsid w:val="00202399"/>
    <w:rsid w:val="00205A6F"/>
    <w:rsid w:val="00205E93"/>
    <w:rsid w:val="002071CB"/>
    <w:rsid w:val="00207435"/>
    <w:rsid w:val="00207C7B"/>
    <w:rsid w:val="0021399A"/>
    <w:rsid w:val="00220649"/>
    <w:rsid w:val="002224B4"/>
    <w:rsid w:val="00226C2B"/>
    <w:rsid w:val="00227847"/>
    <w:rsid w:val="00227B4F"/>
    <w:rsid w:val="0023122B"/>
    <w:rsid w:val="00233A9C"/>
    <w:rsid w:val="0024332C"/>
    <w:rsid w:val="002447EF"/>
    <w:rsid w:val="00244D2F"/>
    <w:rsid w:val="002450F6"/>
    <w:rsid w:val="00247F8A"/>
    <w:rsid w:val="00250B3B"/>
    <w:rsid w:val="00251550"/>
    <w:rsid w:val="002517EF"/>
    <w:rsid w:val="002524A0"/>
    <w:rsid w:val="00252BAD"/>
    <w:rsid w:val="002556EB"/>
    <w:rsid w:val="0025745E"/>
    <w:rsid w:val="002603E6"/>
    <w:rsid w:val="002612A7"/>
    <w:rsid w:val="00261393"/>
    <w:rsid w:val="00263B05"/>
    <w:rsid w:val="00264B19"/>
    <w:rsid w:val="0027180B"/>
    <w:rsid w:val="0027221A"/>
    <w:rsid w:val="00274CD4"/>
    <w:rsid w:val="00275B61"/>
    <w:rsid w:val="0027619C"/>
    <w:rsid w:val="0027713D"/>
    <w:rsid w:val="002778D9"/>
    <w:rsid w:val="00280FAF"/>
    <w:rsid w:val="002814C3"/>
    <w:rsid w:val="00281683"/>
    <w:rsid w:val="002821DF"/>
    <w:rsid w:val="00282656"/>
    <w:rsid w:val="002912A5"/>
    <w:rsid w:val="0029323D"/>
    <w:rsid w:val="00296B83"/>
    <w:rsid w:val="00297BE1"/>
    <w:rsid w:val="002A015E"/>
    <w:rsid w:val="002A3578"/>
    <w:rsid w:val="002A403F"/>
    <w:rsid w:val="002A5068"/>
    <w:rsid w:val="002A7DE4"/>
    <w:rsid w:val="002B1F4D"/>
    <w:rsid w:val="002B250D"/>
    <w:rsid w:val="002B4015"/>
    <w:rsid w:val="002B4D06"/>
    <w:rsid w:val="002B66B2"/>
    <w:rsid w:val="002B7380"/>
    <w:rsid w:val="002B78CE"/>
    <w:rsid w:val="002C2FB6"/>
    <w:rsid w:val="002C3777"/>
    <w:rsid w:val="002C4C13"/>
    <w:rsid w:val="002D0206"/>
    <w:rsid w:val="002D460F"/>
    <w:rsid w:val="002D545F"/>
    <w:rsid w:val="002D5FB6"/>
    <w:rsid w:val="002E28F8"/>
    <w:rsid w:val="002E5FA7"/>
    <w:rsid w:val="002E7885"/>
    <w:rsid w:val="002F17B5"/>
    <w:rsid w:val="002F3309"/>
    <w:rsid w:val="002F3753"/>
    <w:rsid w:val="002F385D"/>
    <w:rsid w:val="002F3C48"/>
    <w:rsid w:val="002F3C76"/>
    <w:rsid w:val="002F3C95"/>
    <w:rsid w:val="003008CE"/>
    <w:rsid w:val="003009B7"/>
    <w:rsid w:val="00300E56"/>
    <w:rsid w:val="0030152C"/>
    <w:rsid w:val="003016E5"/>
    <w:rsid w:val="00302545"/>
    <w:rsid w:val="0030469C"/>
    <w:rsid w:val="00306625"/>
    <w:rsid w:val="0031012E"/>
    <w:rsid w:val="00313302"/>
    <w:rsid w:val="00317EDA"/>
    <w:rsid w:val="0032156A"/>
    <w:rsid w:val="00321CA6"/>
    <w:rsid w:val="00322F9C"/>
    <w:rsid w:val="00323763"/>
    <w:rsid w:val="00323C5F"/>
    <w:rsid w:val="003321F3"/>
    <w:rsid w:val="00333637"/>
    <w:rsid w:val="00333BD3"/>
    <w:rsid w:val="00334C09"/>
    <w:rsid w:val="00337137"/>
    <w:rsid w:val="003375F6"/>
    <w:rsid w:val="00337CAA"/>
    <w:rsid w:val="0034167F"/>
    <w:rsid w:val="00345B3A"/>
    <w:rsid w:val="00347A91"/>
    <w:rsid w:val="0035066E"/>
    <w:rsid w:val="00353115"/>
    <w:rsid w:val="00353174"/>
    <w:rsid w:val="003562D0"/>
    <w:rsid w:val="0035662F"/>
    <w:rsid w:val="0036619E"/>
    <w:rsid w:val="00371561"/>
    <w:rsid w:val="003723D4"/>
    <w:rsid w:val="0037604D"/>
    <w:rsid w:val="00376253"/>
    <w:rsid w:val="003806BB"/>
    <w:rsid w:val="00381905"/>
    <w:rsid w:val="00381E50"/>
    <w:rsid w:val="00382559"/>
    <w:rsid w:val="003844B4"/>
    <w:rsid w:val="00384CC8"/>
    <w:rsid w:val="003865EA"/>
    <w:rsid w:val="003871FD"/>
    <w:rsid w:val="00391DB4"/>
    <w:rsid w:val="003923E3"/>
    <w:rsid w:val="00392AC5"/>
    <w:rsid w:val="003A0160"/>
    <w:rsid w:val="003A1E30"/>
    <w:rsid w:val="003A2829"/>
    <w:rsid w:val="003A7D1C"/>
    <w:rsid w:val="003B00B8"/>
    <w:rsid w:val="003B036F"/>
    <w:rsid w:val="003B1F9E"/>
    <w:rsid w:val="003B304B"/>
    <w:rsid w:val="003B3146"/>
    <w:rsid w:val="003B31A7"/>
    <w:rsid w:val="003B49CD"/>
    <w:rsid w:val="003C4708"/>
    <w:rsid w:val="003C50BD"/>
    <w:rsid w:val="003D0CE9"/>
    <w:rsid w:val="003D13CC"/>
    <w:rsid w:val="003D1E02"/>
    <w:rsid w:val="003D2691"/>
    <w:rsid w:val="003D482A"/>
    <w:rsid w:val="003D49AE"/>
    <w:rsid w:val="003D73C5"/>
    <w:rsid w:val="003D7532"/>
    <w:rsid w:val="003E1DF2"/>
    <w:rsid w:val="003E23BD"/>
    <w:rsid w:val="003E4148"/>
    <w:rsid w:val="003E4895"/>
    <w:rsid w:val="003E59CA"/>
    <w:rsid w:val="003F015E"/>
    <w:rsid w:val="003F51C2"/>
    <w:rsid w:val="003F541F"/>
    <w:rsid w:val="003F574D"/>
    <w:rsid w:val="003F66A6"/>
    <w:rsid w:val="003F70CB"/>
    <w:rsid w:val="003F73F1"/>
    <w:rsid w:val="00400414"/>
    <w:rsid w:val="00402607"/>
    <w:rsid w:val="00403704"/>
    <w:rsid w:val="004043DD"/>
    <w:rsid w:val="00406542"/>
    <w:rsid w:val="00406938"/>
    <w:rsid w:val="00413FD3"/>
    <w:rsid w:val="0041446B"/>
    <w:rsid w:val="0041740F"/>
    <w:rsid w:val="00421EE5"/>
    <w:rsid w:val="00422B40"/>
    <w:rsid w:val="004261D6"/>
    <w:rsid w:val="00427A26"/>
    <w:rsid w:val="0044071E"/>
    <w:rsid w:val="0044125A"/>
    <w:rsid w:val="00441F15"/>
    <w:rsid w:val="00443058"/>
    <w:rsid w:val="0044329C"/>
    <w:rsid w:val="00445582"/>
    <w:rsid w:val="00446D64"/>
    <w:rsid w:val="00453E24"/>
    <w:rsid w:val="00457456"/>
    <w:rsid w:val="004577FE"/>
    <w:rsid w:val="00457B9C"/>
    <w:rsid w:val="004601F1"/>
    <w:rsid w:val="0046164A"/>
    <w:rsid w:val="004628D2"/>
    <w:rsid w:val="00462DCD"/>
    <w:rsid w:val="00464871"/>
    <w:rsid w:val="004648AD"/>
    <w:rsid w:val="004703A9"/>
    <w:rsid w:val="00475510"/>
    <w:rsid w:val="004760DE"/>
    <w:rsid w:val="004763D7"/>
    <w:rsid w:val="00477070"/>
    <w:rsid w:val="004807F8"/>
    <w:rsid w:val="00485926"/>
    <w:rsid w:val="004859AB"/>
    <w:rsid w:val="0048665A"/>
    <w:rsid w:val="004944DC"/>
    <w:rsid w:val="004953BD"/>
    <w:rsid w:val="00496547"/>
    <w:rsid w:val="00496572"/>
    <w:rsid w:val="00497228"/>
    <w:rsid w:val="004A004E"/>
    <w:rsid w:val="004A0241"/>
    <w:rsid w:val="004A24CF"/>
    <w:rsid w:val="004B0C20"/>
    <w:rsid w:val="004B0EA6"/>
    <w:rsid w:val="004C3841"/>
    <w:rsid w:val="004C3D1D"/>
    <w:rsid w:val="004C3D84"/>
    <w:rsid w:val="004C6430"/>
    <w:rsid w:val="004C7913"/>
    <w:rsid w:val="004E0D81"/>
    <w:rsid w:val="004E10FC"/>
    <w:rsid w:val="004E4DD6"/>
    <w:rsid w:val="004E7A5E"/>
    <w:rsid w:val="004F21A1"/>
    <w:rsid w:val="004F48C6"/>
    <w:rsid w:val="004F4D52"/>
    <w:rsid w:val="004F5E36"/>
    <w:rsid w:val="004F686F"/>
    <w:rsid w:val="00501AF5"/>
    <w:rsid w:val="0050441D"/>
    <w:rsid w:val="00507B47"/>
    <w:rsid w:val="00507BEF"/>
    <w:rsid w:val="00507CC9"/>
    <w:rsid w:val="00510323"/>
    <w:rsid w:val="005119A5"/>
    <w:rsid w:val="0051535B"/>
    <w:rsid w:val="00516D9E"/>
    <w:rsid w:val="00523290"/>
    <w:rsid w:val="005243F3"/>
    <w:rsid w:val="0052541A"/>
    <w:rsid w:val="00525D66"/>
    <w:rsid w:val="005278B7"/>
    <w:rsid w:val="00527E4B"/>
    <w:rsid w:val="00532016"/>
    <w:rsid w:val="005346C8"/>
    <w:rsid w:val="005402B2"/>
    <w:rsid w:val="00540486"/>
    <w:rsid w:val="005424FC"/>
    <w:rsid w:val="00543E7D"/>
    <w:rsid w:val="00544057"/>
    <w:rsid w:val="005449B7"/>
    <w:rsid w:val="00547A68"/>
    <w:rsid w:val="005525EE"/>
    <w:rsid w:val="005531C9"/>
    <w:rsid w:val="00553FE8"/>
    <w:rsid w:val="00554879"/>
    <w:rsid w:val="00555048"/>
    <w:rsid w:val="00555C02"/>
    <w:rsid w:val="00560F44"/>
    <w:rsid w:val="005616DE"/>
    <w:rsid w:val="00561A2A"/>
    <w:rsid w:val="00562634"/>
    <w:rsid w:val="00562C4C"/>
    <w:rsid w:val="00570A87"/>
    <w:rsid w:val="00570C43"/>
    <w:rsid w:val="00574370"/>
    <w:rsid w:val="00574B64"/>
    <w:rsid w:val="00582052"/>
    <w:rsid w:val="00585CC4"/>
    <w:rsid w:val="005860EA"/>
    <w:rsid w:val="00587DBC"/>
    <w:rsid w:val="00587EAC"/>
    <w:rsid w:val="00592274"/>
    <w:rsid w:val="00593C59"/>
    <w:rsid w:val="005A0BCC"/>
    <w:rsid w:val="005A17D5"/>
    <w:rsid w:val="005A4BDB"/>
    <w:rsid w:val="005B2110"/>
    <w:rsid w:val="005B2BA4"/>
    <w:rsid w:val="005B350B"/>
    <w:rsid w:val="005B4051"/>
    <w:rsid w:val="005B61E6"/>
    <w:rsid w:val="005C1BE2"/>
    <w:rsid w:val="005C3C1A"/>
    <w:rsid w:val="005C3D5A"/>
    <w:rsid w:val="005C6292"/>
    <w:rsid w:val="005C77E1"/>
    <w:rsid w:val="005D321A"/>
    <w:rsid w:val="005D5700"/>
    <w:rsid w:val="005D668A"/>
    <w:rsid w:val="005D6A2F"/>
    <w:rsid w:val="005E0592"/>
    <w:rsid w:val="005E10E8"/>
    <w:rsid w:val="005E15AB"/>
    <w:rsid w:val="005E1A82"/>
    <w:rsid w:val="005E25BF"/>
    <w:rsid w:val="005E5B8E"/>
    <w:rsid w:val="005E794C"/>
    <w:rsid w:val="005F0A28"/>
    <w:rsid w:val="005F0E5E"/>
    <w:rsid w:val="005F14B9"/>
    <w:rsid w:val="005F28C0"/>
    <w:rsid w:val="005F2A29"/>
    <w:rsid w:val="005F4413"/>
    <w:rsid w:val="0060025E"/>
    <w:rsid w:val="00600535"/>
    <w:rsid w:val="00603121"/>
    <w:rsid w:val="00606BCA"/>
    <w:rsid w:val="006103CD"/>
    <w:rsid w:val="00610CD6"/>
    <w:rsid w:val="00611A58"/>
    <w:rsid w:val="00613651"/>
    <w:rsid w:val="00616B7C"/>
    <w:rsid w:val="00620DEE"/>
    <w:rsid w:val="00621C24"/>
    <w:rsid w:val="00621D10"/>
    <w:rsid w:val="00621F92"/>
    <w:rsid w:val="0062280A"/>
    <w:rsid w:val="006231E1"/>
    <w:rsid w:val="00623C88"/>
    <w:rsid w:val="00625639"/>
    <w:rsid w:val="00625A13"/>
    <w:rsid w:val="00631505"/>
    <w:rsid w:val="00631B33"/>
    <w:rsid w:val="0063344A"/>
    <w:rsid w:val="0064089F"/>
    <w:rsid w:val="00640A63"/>
    <w:rsid w:val="006411BE"/>
    <w:rsid w:val="0064184D"/>
    <w:rsid w:val="00641F43"/>
    <w:rsid w:val="006422CC"/>
    <w:rsid w:val="00643C03"/>
    <w:rsid w:val="0064422E"/>
    <w:rsid w:val="00646303"/>
    <w:rsid w:val="00651D18"/>
    <w:rsid w:val="00655A3E"/>
    <w:rsid w:val="00660E3E"/>
    <w:rsid w:val="00662B52"/>
    <w:rsid w:val="00662D4E"/>
    <w:rsid w:val="00662E74"/>
    <w:rsid w:val="00663067"/>
    <w:rsid w:val="00666C97"/>
    <w:rsid w:val="00674F57"/>
    <w:rsid w:val="006779BD"/>
    <w:rsid w:val="00680C23"/>
    <w:rsid w:val="0068135C"/>
    <w:rsid w:val="0068385F"/>
    <w:rsid w:val="00683E23"/>
    <w:rsid w:val="00693766"/>
    <w:rsid w:val="006979C9"/>
    <w:rsid w:val="006A0224"/>
    <w:rsid w:val="006A06E4"/>
    <w:rsid w:val="006A3226"/>
    <w:rsid w:val="006A3281"/>
    <w:rsid w:val="006A616B"/>
    <w:rsid w:val="006A6DE5"/>
    <w:rsid w:val="006B08F1"/>
    <w:rsid w:val="006B0BAE"/>
    <w:rsid w:val="006B30F0"/>
    <w:rsid w:val="006B4266"/>
    <w:rsid w:val="006B4888"/>
    <w:rsid w:val="006B6352"/>
    <w:rsid w:val="006C0439"/>
    <w:rsid w:val="006C2E45"/>
    <w:rsid w:val="006C359C"/>
    <w:rsid w:val="006C5238"/>
    <w:rsid w:val="006C5579"/>
    <w:rsid w:val="006C65CE"/>
    <w:rsid w:val="006D0D09"/>
    <w:rsid w:val="006D5707"/>
    <w:rsid w:val="006D5E1A"/>
    <w:rsid w:val="006D6E8B"/>
    <w:rsid w:val="006D7135"/>
    <w:rsid w:val="006D7209"/>
    <w:rsid w:val="006E520D"/>
    <w:rsid w:val="006E643D"/>
    <w:rsid w:val="006E6A96"/>
    <w:rsid w:val="006E6AC0"/>
    <w:rsid w:val="006E737D"/>
    <w:rsid w:val="006F35CC"/>
    <w:rsid w:val="006F376F"/>
    <w:rsid w:val="006F45B6"/>
    <w:rsid w:val="006F5DCD"/>
    <w:rsid w:val="006F7A58"/>
    <w:rsid w:val="00700BBA"/>
    <w:rsid w:val="00702E1A"/>
    <w:rsid w:val="00704C94"/>
    <w:rsid w:val="00707DD1"/>
    <w:rsid w:val="0071160A"/>
    <w:rsid w:val="00712004"/>
    <w:rsid w:val="007123A4"/>
    <w:rsid w:val="00712DB6"/>
    <w:rsid w:val="00712E51"/>
    <w:rsid w:val="00713973"/>
    <w:rsid w:val="00720A24"/>
    <w:rsid w:val="0072146F"/>
    <w:rsid w:val="00726714"/>
    <w:rsid w:val="007306CB"/>
    <w:rsid w:val="007319FF"/>
    <w:rsid w:val="00732386"/>
    <w:rsid w:val="0073514D"/>
    <w:rsid w:val="0074253A"/>
    <w:rsid w:val="0074258B"/>
    <w:rsid w:val="00742CF1"/>
    <w:rsid w:val="00743C6A"/>
    <w:rsid w:val="007447F3"/>
    <w:rsid w:val="00744F2E"/>
    <w:rsid w:val="00745900"/>
    <w:rsid w:val="0075189F"/>
    <w:rsid w:val="0075499F"/>
    <w:rsid w:val="0075799D"/>
    <w:rsid w:val="007639E4"/>
    <w:rsid w:val="00765FFA"/>
    <w:rsid w:val="007661C8"/>
    <w:rsid w:val="00767039"/>
    <w:rsid w:val="0077098D"/>
    <w:rsid w:val="00772872"/>
    <w:rsid w:val="00773AC5"/>
    <w:rsid w:val="00780B57"/>
    <w:rsid w:val="00781394"/>
    <w:rsid w:val="00781876"/>
    <w:rsid w:val="00782BA4"/>
    <w:rsid w:val="007835F0"/>
    <w:rsid w:val="00785BF9"/>
    <w:rsid w:val="007931FA"/>
    <w:rsid w:val="0079732E"/>
    <w:rsid w:val="00797CCB"/>
    <w:rsid w:val="007A23A8"/>
    <w:rsid w:val="007A390B"/>
    <w:rsid w:val="007A3AAD"/>
    <w:rsid w:val="007A4861"/>
    <w:rsid w:val="007A7374"/>
    <w:rsid w:val="007A7BBA"/>
    <w:rsid w:val="007B0C50"/>
    <w:rsid w:val="007B16E6"/>
    <w:rsid w:val="007B2F9E"/>
    <w:rsid w:val="007B48F9"/>
    <w:rsid w:val="007B5CE3"/>
    <w:rsid w:val="007C07C7"/>
    <w:rsid w:val="007C1A43"/>
    <w:rsid w:val="007C1FB5"/>
    <w:rsid w:val="007D0951"/>
    <w:rsid w:val="007D0EEB"/>
    <w:rsid w:val="007D1C95"/>
    <w:rsid w:val="007D35A4"/>
    <w:rsid w:val="007D610D"/>
    <w:rsid w:val="007D6E40"/>
    <w:rsid w:val="007E014B"/>
    <w:rsid w:val="007E1FBE"/>
    <w:rsid w:val="007E3E4E"/>
    <w:rsid w:val="007F1222"/>
    <w:rsid w:val="007F28EE"/>
    <w:rsid w:val="007F4E67"/>
    <w:rsid w:val="007F54A2"/>
    <w:rsid w:val="007F6997"/>
    <w:rsid w:val="0080013E"/>
    <w:rsid w:val="00801759"/>
    <w:rsid w:val="0081018F"/>
    <w:rsid w:val="0081236B"/>
    <w:rsid w:val="00812BE0"/>
    <w:rsid w:val="00813288"/>
    <w:rsid w:val="008149AB"/>
    <w:rsid w:val="00815E27"/>
    <w:rsid w:val="008168FC"/>
    <w:rsid w:val="00821452"/>
    <w:rsid w:val="0082671F"/>
    <w:rsid w:val="008272C4"/>
    <w:rsid w:val="0082782C"/>
    <w:rsid w:val="00830996"/>
    <w:rsid w:val="00832D9A"/>
    <w:rsid w:val="008345F1"/>
    <w:rsid w:val="0086092A"/>
    <w:rsid w:val="00860A79"/>
    <w:rsid w:val="008611C0"/>
    <w:rsid w:val="00861F33"/>
    <w:rsid w:val="00863A19"/>
    <w:rsid w:val="00865B07"/>
    <w:rsid w:val="00865FAC"/>
    <w:rsid w:val="00866423"/>
    <w:rsid w:val="008667EA"/>
    <w:rsid w:val="00873862"/>
    <w:rsid w:val="0087637F"/>
    <w:rsid w:val="00877DD0"/>
    <w:rsid w:val="00881AED"/>
    <w:rsid w:val="00882E87"/>
    <w:rsid w:val="008849F4"/>
    <w:rsid w:val="00887584"/>
    <w:rsid w:val="00892AD5"/>
    <w:rsid w:val="00894256"/>
    <w:rsid w:val="008A0396"/>
    <w:rsid w:val="008A0F1A"/>
    <w:rsid w:val="008A1512"/>
    <w:rsid w:val="008A2A38"/>
    <w:rsid w:val="008A3BCA"/>
    <w:rsid w:val="008A3EEB"/>
    <w:rsid w:val="008A7A79"/>
    <w:rsid w:val="008A7E06"/>
    <w:rsid w:val="008B0CD5"/>
    <w:rsid w:val="008B1566"/>
    <w:rsid w:val="008B1E41"/>
    <w:rsid w:val="008B3608"/>
    <w:rsid w:val="008B6C05"/>
    <w:rsid w:val="008B791C"/>
    <w:rsid w:val="008C5ACB"/>
    <w:rsid w:val="008C5B3C"/>
    <w:rsid w:val="008D0F4F"/>
    <w:rsid w:val="008D2561"/>
    <w:rsid w:val="008D32B9"/>
    <w:rsid w:val="008D433B"/>
    <w:rsid w:val="008D4A16"/>
    <w:rsid w:val="008E10B7"/>
    <w:rsid w:val="008E13FF"/>
    <w:rsid w:val="008E18CC"/>
    <w:rsid w:val="008E2577"/>
    <w:rsid w:val="008E407B"/>
    <w:rsid w:val="008E5401"/>
    <w:rsid w:val="008E566E"/>
    <w:rsid w:val="008E59A1"/>
    <w:rsid w:val="008E7813"/>
    <w:rsid w:val="008F077A"/>
    <w:rsid w:val="008F4EE1"/>
    <w:rsid w:val="008F4FAE"/>
    <w:rsid w:val="008F50E1"/>
    <w:rsid w:val="008F5C95"/>
    <w:rsid w:val="008F7C55"/>
    <w:rsid w:val="0090023E"/>
    <w:rsid w:val="009013AF"/>
    <w:rsid w:val="0090161A"/>
    <w:rsid w:val="00901EB6"/>
    <w:rsid w:val="009041F8"/>
    <w:rsid w:val="00904C62"/>
    <w:rsid w:val="009104A0"/>
    <w:rsid w:val="00910E4D"/>
    <w:rsid w:val="00915AA0"/>
    <w:rsid w:val="00915F98"/>
    <w:rsid w:val="00920D13"/>
    <w:rsid w:val="00922BA8"/>
    <w:rsid w:val="00924DAC"/>
    <w:rsid w:val="00927058"/>
    <w:rsid w:val="00927F2A"/>
    <w:rsid w:val="00930314"/>
    <w:rsid w:val="00936252"/>
    <w:rsid w:val="009373AA"/>
    <w:rsid w:val="0093768D"/>
    <w:rsid w:val="00940FF9"/>
    <w:rsid w:val="00942750"/>
    <w:rsid w:val="00942B84"/>
    <w:rsid w:val="00944694"/>
    <w:rsid w:val="009450CE"/>
    <w:rsid w:val="009459BB"/>
    <w:rsid w:val="009467A6"/>
    <w:rsid w:val="00946E97"/>
    <w:rsid w:val="00947179"/>
    <w:rsid w:val="009476E3"/>
    <w:rsid w:val="00950185"/>
    <w:rsid w:val="00950FF1"/>
    <w:rsid w:val="0095164B"/>
    <w:rsid w:val="00953906"/>
    <w:rsid w:val="00954090"/>
    <w:rsid w:val="0095565B"/>
    <w:rsid w:val="009573E7"/>
    <w:rsid w:val="00957CD2"/>
    <w:rsid w:val="009625A1"/>
    <w:rsid w:val="009631BA"/>
    <w:rsid w:val="00963E05"/>
    <w:rsid w:val="00964A45"/>
    <w:rsid w:val="009654CA"/>
    <w:rsid w:val="00967843"/>
    <w:rsid w:val="009678C8"/>
    <w:rsid w:val="00967D54"/>
    <w:rsid w:val="00971028"/>
    <w:rsid w:val="009768EF"/>
    <w:rsid w:val="009774B0"/>
    <w:rsid w:val="00981386"/>
    <w:rsid w:val="009837C8"/>
    <w:rsid w:val="0098398D"/>
    <w:rsid w:val="00986137"/>
    <w:rsid w:val="009939BE"/>
    <w:rsid w:val="00993B84"/>
    <w:rsid w:val="009944CA"/>
    <w:rsid w:val="00994C6A"/>
    <w:rsid w:val="00996483"/>
    <w:rsid w:val="00996F5A"/>
    <w:rsid w:val="009A4C08"/>
    <w:rsid w:val="009A4CF9"/>
    <w:rsid w:val="009B041A"/>
    <w:rsid w:val="009B4FA8"/>
    <w:rsid w:val="009C22DC"/>
    <w:rsid w:val="009C37C3"/>
    <w:rsid w:val="009C673C"/>
    <w:rsid w:val="009C7C86"/>
    <w:rsid w:val="009D1BFB"/>
    <w:rsid w:val="009D2CC2"/>
    <w:rsid w:val="009D2FF7"/>
    <w:rsid w:val="009D4780"/>
    <w:rsid w:val="009D6025"/>
    <w:rsid w:val="009D6FC0"/>
    <w:rsid w:val="009E1C42"/>
    <w:rsid w:val="009E1EEA"/>
    <w:rsid w:val="009E376C"/>
    <w:rsid w:val="009E3E58"/>
    <w:rsid w:val="009E3EA7"/>
    <w:rsid w:val="009E44F7"/>
    <w:rsid w:val="009E625E"/>
    <w:rsid w:val="009E7884"/>
    <w:rsid w:val="009E788A"/>
    <w:rsid w:val="009F0E08"/>
    <w:rsid w:val="009F26DA"/>
    <w:rsid w:val="009F7669"/>
    <w:rsid w:val="00A0034F"/>
    <w:rsid w:val="00A01FE5"/>
    <w:rsid w:val="00A0489A"/>
    <w:rsid w:val="00A055CB"/>
    <w:rsid w:val="00A07300"/>
    <w:rsid w:val="00A079AE"/>
    <w:rsid w:val="00A16FE3"/>
    <w:rsid w:val="00A1763D"/>
    <w:rsid w:val="00A17CEC"/>
    <w:rsid w:val="00A17F19"/>
    <w:rsid w:val="00A23FE2"/>
    <w:rsid w:val="00A27EF0"/>
    <w:rsid w:val="00A30295"/>
    <w:rsid w:val="00A322CE"/>
    <w:rsid w:val="00A338EA"/>
    <w:rsid w:val="00A33906"/>
    <w:rsid w:val="00A33BB7"/>
    <w:rsid w:val="00A416FA"/>
    <w:rsid w:val="00A42361"/>
    <w:rsid w:val="00A42EBA"/>
    <w:rsid w:val="00A4382E"/>
    <w:rsid w:val="00A46975"/>
    <w:rsid w:val="00A50B20"/>
    <w:rsid w:val="00A51390"/>
    <w:rsid w:val="00A53B63"/>
    <w:rsid w:val="00A57BE6"/>
    <w:rsid w:val="00A60D13"/>
    <w:rsid w:val="00A61ACC"/>
    <w:rsid w:val="00A61E6E"/>
    <w:rsid w:val="00A63BB3"/>
    <w:rsid w:val="00A66525"/>
    <w:rsid w:val="00A67EF4"/>
    <w:rsid w:val="00A7223D"/>
    <w:rsid w:val="00A72745"/>
    <w:rsid w:val="00A729CF"/>
    <w:rsid w:val="00A734A6"/>
    <w:rsid w:val="00A75783"/>
    <w:rsid w:val="00A76EFC"/>
    <w:rsid w:val="00A808B1"/>
    <w:rsid w:val="00A8229D"/>
    <w:rsid w:val="00A824A3"/>
    <w:rsid w:val="00A82ACB"/>
    <w:rsid w:val="00A83B6C"/>
    <w:rsid w:val="00A843CA"/>
    <w:rsid w:val="00A87D50"/>
    <w:rsid w:val="00A91010"/>
    <w:rsid w:val="00A92AC5"/>
    <w:rsid w:val="00A97F29"/>
    <w:rsid w:val="00AA69F9"/>
    <w:rsid w:val="00AA702E"/>
    <w:rsid w:val="00AA7BE6"/>
    <w:rsid w:val="00AA7D26"/>
    <w:rsid w:val="00AB0964"/>
    <w:rsid w:val="00AB20EA"/>
    <w:rsid w:val="00AB3F7E"/>
    <w:rsid w:val="00AB4DB3"/>
    <w:rsid w:val="00AB5011"/>
    <w:rsid w:val="00AC306D"/>
    <w:rsid w:val="00AC7368"/>
    <w:rsid w:val="00AD0FC6"/>
    <w:rsid w:val="00AD16B9"/>
    <w:rsid w:val="00AD1BBA"/>
    <w:rsid w:val="00AD53C0"/>
    <w:rsid w:val="00AD6A59"/>
    <w:rsid w:val="00AE0563"/>
    <w:rsid w:val="00AE377D"/>
    <w:rsid w:val="00AF0EBA"/>
    <w:rsid w:val="00AF2463"/>
    <w:rsid w:val="00AF57DF"/>
    <w:rsid w:val="00B00D40"/>
    <w:rsid w:val="00B02C8A"/>
    <w:rsid w:val="00B03E85"/>
    <w:rsid w:val="00B1494D"/>
    <w:rsid w:val="00B1721E"/>
    <w:rsid w:val="00B17FBD"/>
    <w:rsid w:val="00B20DAF"/>
    <w:rsid w:val="00B225D3"/>
    <w:rsid w:val="00B230FD"/>
    <w:rsid w:val="00B23A49"/>
    <w:rsid w:val="00B2489B"/>
    <w:rsid w:val="00B315A6"/>
    <w:rsid w:val="00B31813"/>
    <w:rsid w:val="00B31F05"/>
    <w:rsid w:val="00B32039"/>
    <w:rsid w:val="00B33365"/>
    <w:rsid w:val="00B35CDB"/>
    <w:rsid w:val="00B36DFD"/>
    <w:rsid w:val="00B36EBE"/>
    <w:rsid w:val="00B40205"/>
    <w:rsid w:val="00B4369C"/>
    <w:rsid w:val="00B444E0"/>
    <w:rsid w:val="00B459FC"/>
    <w:rsid w:val="00B5158F"/>
    <w:rsid w:val="00B550CB"/>
    <w:rsid w:val="00B55257"/>
    <w:rsid w:val="00B57B36"/>
    <w:rsid w:val="00B57E6F"/>
    <w:rsid w:val="00B64F4C"/>
    <w:rsid w:val="00B65B01"/>
    <w:rsid w:val="00B672C7"/>
    <w:rsid w:val="00B75C69"/>
    <w:rsid w:val="00B84049"/>
    <w:rsid w:val="00B8686D"/>
    <w:rsid w:val="00B91A6F"/>
    <w:rsid w:val="00B91FD0"/>
    <w:rsid w:val="00B93F69"/>
    <w:rsid w:val="00BA08D5"/>
    <w:rsid w:val="00BA18CD"/>
    <w:rsid w:val="00BA2781"/>
    <w:rsid w:val="00BA2A42"/>
    <w:rsid w:val="00BA2F08"/>
    <w:rsid w:val="00BA37FF"/>
    <w:rsid w:val="00BA3A02"/>
    <w:rsid w:val="00BA4A8F"/>
    <w:rsid w:val="00BB0115"/>
    <w:rsid w:val="00BB1DDC"/>
    <w:rsid w:val="00BB30BF"/>
    <w:rsid w:val="00BB41E7"/>
    <w:rsid w:val="00BB6276"/>
    <w:rsid w:val="00BB7CAA"/>
    <w:rsid w:val="00BC02F9"/>
    <w:rsid w:val="00BC1216"/>
    <w:rsid w:val="00BC24BD"/>
    <w:rsid w:val="00BC30C9"/>
    <w:rsid w:val="00BC6924"/>
    <w:rsid w:val="00BD077D"/>
    <w:rsid w:val="00BD0D2B"/>
    <w:rsid w:val="00BD3A5F"/>
    <w:rsid w:val="00BD476A"/>
    <w:rsid w:val="00BD4CB0"/>
    <w:rsid w:val="00BD73C1"/>
    <w:rsid w:val="00BD7EF0"/>
    <w:rsid w:val="00BE0976"/>
    <w:rsid w:val="00BE3357"/>
    <w:rsid w:val="00BE3633"/>
    <w:rsid w:val="00BE3E58"/>
    <w:rsid w:val="00BF13CE"/>
    <w:rsid w:val="00BF1D06"/>
    <w:rsid w:val="00C00105"/>
    <w:rsid w:val="00C010E6"/>
    <w:rsid w:val="00C01616"/>
    <w:rsid w:val="00C0162B"/>
    <w:rsid w:val="00C068ED"/>
    <w:rsid w:val="00C0730A"/>
    <w:rsid w:val="00C07D46"/>
    <w:rsid w:val="00C07FC2"/>
    <w:rsid w:val="00C1199E"/>
    <w:rsid w:val="00C11E42"/>
    <w:rsid w:val="00C143C1"/>
    <w:rsid w:val="00C14BAD"/>
    <w:rsid w:val="00C174C7"/>
    <w:rsid w:val="00C22E0C"/>
    <w:rsid w:val="00C2598D"/>
    <w:rsid w:val="00C27F30"/>
    <w:rsid w:val="00C344E1"/>
    <w:rsid w:val="00C345B1"/>
    <w:rsid w:val="00C356FF"/>
    <w:rsid w:val="00C40142"/>
    <w:rsid w:val="00C44AE1"/>
    <w:rsid w:val="00C47BFB"/>
    <w:rsid w:val="00C52C3C"/>
    <w:rsid w:val="00C53241"/>
    <w:rsid w:val="00C54BDC"/>
    <w:rsid w:val="00C57182"/>
    <w:rsid w:val="00C57863"/>
    <w:rsid w:val="00C62721"/>
    <w:rsid w:val="00C640AF"/>
    <w:rsid w:val="00C645B4"/>
    <w:rsid w:val="00C64B63"/>
    <w:rsid w:val="00C6507B"/>
    <w:rsid w:val="00C655FD"/>
    <w:rsid w:val="00C66B7C"/>
    <w:rsid w:val="00C72945"/>
    <w:rsid w:val="00C75407"/>
    <w:rsid w:val="00C76043"/>
    <w:rsid w:val="00C76FC8"/>
    <w:rsid w:val="00C802AB"/>
    <w:rsid w:val="00C8192D"/>
    <w:rsid w:val="00C83B5C"/>
    <w:rsid w:val="00C841C6"/>
    <w:rsid w:val="00C84279"/>
    <w:rsid w:val="00C857F8"/>
    <w:rsid w:val="00C870A8"/>
    <w:rsid w:val="00C930B1"/>
    <w:rsid w:val="00C94434"/>
    <w:rsid w:val="00CA0D75"/>
    <w:rsid w:val="00CA1C95"/>
    <w:rsid w:val="00CA5137"/>
    <w:rsid w:val="00CA5A9C"/>
    <w:rsid w:val="00CA7C6C"/>
    <w:rsid w:val="00CB6D93"/>
    <w:rsid w:val="00CC2D3B"/>
    <w:rsid w:val="00CC4C20"/>
    <w:rsid w:val="00CC5512"/>
    <w:rsid w:val="00CD0A68"/>
    <w:rsid w:val="00CD0F49"/>
    <w:rsid w:val="00CD1187"/>
    <w:rsid w:val="00CD11E0"/>
    <w:rsid w:val="00CD33F9"/>
    <w:rsid w:val="00CD3517"/>
    <w:rsid w:val="00CD3526"/>
    <w:rsid w:val="00CD49A4"/>
    <w:rsid w:val="00CD5FE2"/>
    <w:rsid w:val="00CD63B4"/>
    <w:rsid w:val="00CE1174"/>
    <w:rsid w:val="00CE354F"/>
    <w:rsid w:val="00CE5548"/>
    <w:rsid w:val="00CE7C68"/>
    <w:rsid w:val="00CF7CD8"/>
    <w:rsid w:val="00D02B4C"/>
    <w:rsid w:val="00D040C4"/>
    <w:rsid w:val="00D06C48"/>
    <w:rsid w:val="00D1281C"/>
    <w:rsid w:val="00D16929"/>
    <w:rsid w:val="00D2057F"/>
    <w:rsid w:val="00D20AD1"/>
    <w:rsid w:val="00D2286E"/>
    <w:rsid w:val="00D229BB"/>
    <w:rsid w:val="00D2582C"/>
    <w:rsid w:val="00D309EB"/>
    <w:rsid w:val="00D32132"/>
    <w:rsid w:val="00D33F57"/>
    <w:rsid w:val="00D42582"/>
    <w:rsid w:val="00D460A7"/>
    <w:rsid w:val="00D46132"/>
    <w:rsid w:val="00D46B7E"/>
    <w:rsid w:val="00D51BFC"/>
    <w:rsid w:val="00D56090"/>
    <w:rsid w:val="00D57C84"/>
    <w:rsid w:val="00D6031D"/>
    <w:rsid w:val="00D6057D"/>
    <w:rsid w:val="00D605FE"/>
    <w:rsid w:val="00D60AF1"/>
    <w:rsid w:val="00D61ADC"/>
    <w:rsid w:val="00D66890"/>
    <w:rsid w:val="00D71640"/>
    <w:rsid w:val="00D71D3D"/>
    <w:rsid w:val="00D83672"/>
    <w:rsid w:val="00D836C5"/>
    <w:rsid w:val="00D84576"/>
    <w:rsid w:val="00D86989"/>
    <w:rsid w:val="00D9167F"/>
    <w:rsid w:val="00D920E2"/>
    <w:rsid w:val="00D93B84"/>
    <w:rsid w:val="00DA094E"/>
    <w:rsid w:val="00DA1399"/>
    <w:rsid w:val="00DA24C6"/>
    <w:rsid w:val="00DA2CE7"/>
    <w:rsid w:val="00DA4D7B"/>
    <w:rsid w:val="00DA579E"/>
    <w:rsid w:val="00DB2AED"/>
    <w:rsid w:val="00DB49BE"/>
    <w:rsid w:val="00DB708B"/>
    <w:rsid w:val="00DC2840"/>
    <w:rsid w:val="00DC2C11"/>
    <w:rsid w:val="00DC3373"/>
    <w:rsid w:val="00DC3EBA"/>
    <w:rsid w:val="00DC73EE"/>
    <w:rsid w:val="00DC782C"/>
    <w:rsid w:val="00DC7E91"/>
    <w:rsid w:val="00DD0BAF"/>
    <w:rsid w:val="00DD271C"/>
    <w:rsid w:val="00DD4262"/>
    <w:rsid w:val="00DD50A7"/>
    <w:rsid w:val="00DE264A"/>
    <w:rsid w:val="00DE350E"/>
    <w:rsid w:val="00DE7830"/>
    <w:rsid w:val="00DE798A"/>
    <w:rsid w:val="00DF253C"/>
    <w:rsid w:val="00DF5072"/>
    <w:rsid w:val="00E02216"/>
    <w:rsid w:val="00E02D18"/>
    <w:rsid w:val="00E02D42"/>
    <w:rsid w:val="00E041E7"/>
    <w:rsid w:val="00E05CAF"/>
    <w:rsid w:val="00E0645E"/>
    <w:rsid w:val="00E07928"/>
    <w:rsid w:val="00E109D1"/>
    <w:rsid w:val="00E15EF8"/>
    <w:rsid w:val="00E1698C"/>
    <w:rsid w:val="00E208B8"/>
    <w:rsid w:val="00E223FF"/>
    <w:rsid w:val="00E23CA1"/>
    <w:rsid w:val="00E241C1"/>
    <w:rsid w:val="00E24517"/>
    <w:rsid w:val="00E33DED"/>
    <w:rsid w:val="00E34FD6"/>
    <w:rsid w:val="00E354A9"/>
    <w:rsid w:val="00E357A7"/>
    <w:rsid w:val="00E371ED"/>
    <w:rsid w:val="00E409A8"/>
    <w:rsid w:val="00E410C4"/>
    <w:rsid w:val="00E41CAB"/>
    <w:rsid w:val="00E42E91"/>
    <w:rsid w:val="00E43C2D"/>
    <w:rsid w:val="00E4463E"/>
    <w:rsid w:val="00E47A19"/>
    <w:rsid w:val="00E50A7F"/>
    <w:rsid w:val="00E50C12"/>
    <w:rsid w:val="00E57AD4"/>
    <w:rsid w:val="00E62871"/>
    <w:rsid w:val="00E6375E"/>
    <w:rsid w:val="00E65B91"/>
    <w:rsid w:val="00E7209D"/>
    <w:rsid w:val="00E72EAD"/>
    <w:rsid w:val="00E742D6"/>
    <w:rsid w:val="00E7545D"/>
    <w:rsid w:val="00E77223"/>
    <w:rsid w:val="00E8528B"/>
    <w:rsid w:val="00E85B94"/>
    <w:rsid w:val="00E86D0B"/>
    <w:rsid w:val="00E87C4E"/>
    <w:rsid w:val="00E910CA"/>
    <w:rsid w:val="00E91775"/>
    <w:rsid w:val="00E93114"/>
    <w:rsid w:val="00E94756"/>
    <w:rsid w:val="00E978D0"/>
    <w:rsid w:val="00EA4613"/>
    <w:rsid w:val="00EA4C19"/>
    <w:rsid w:val="00EA7F91"/>
    <w:rsid w:val="00EB01E0"/>
    <w:rsid w:val="00EB1523"/>
    <w:rsid w:val="00EB2861"/>
    <w:rsid w:val="00EB3FB2"/>
    <w:rsid w:val="00EB7552"/>
    <w:rsid w:val="00EB7DA5"/>
    <w:rsid w:val="00EC0C6F"/>
    <w:rsid w:val="00EC0E49"/>
    <w:rsid w:val="00EC101F"/>
    <w:rsid w:val="00EC1D9F"/>
    <w:rsid w:val="00EC5263"/>
    <w:rsid w:val="00ED1248"/>
    <w:rsid w:val="00ED517A"/>
    <w:rsid w:val="00EE0131"/>
    <w:rsid w:val="00EE17B0"/>
    <w:rsid w:val="00EE1C8C"/>
    <w:rsid w:val="00EE5E42"/>
    <w:rsid w:val="00EE7E26"/>
    <w:rsid w:val="00EF06D9"/>
    <w:rsid w:val="00EF3E83"/>
    <w:rsid w:val="00EF5671"/>
    <w:rsid w:val="00F0076A"/>
    <w:rsid w:val="00F00776"/>
    <w:rsid w:val="00F03077"/>
    <w:rsid w:val="00F05686"/>
    <w:rsid w:val="00F07488"/>
    <w:rsid w:val="00F17018"/>
    <w:rsid w:val="00F173BA"/>
    <w:rsid w:val="00F22476"/>
    <w:rsid w:val="00F27D76"/>
    <w:rsid w:val="00F27EE4"/>
    <w:rsid w:val="00F3049E"/>
    <w:rsid w:val="00F30C64"/>
    <w:rsid w:val="00F32BA2"/>
    <w:rsid w:val="00F32CDB"/>
    <w:rsid w:val="00F3318D"/>
    <w:rsid w:val="00F34C99"/>
    <w:rsid w:val="00F3653A"/>
    <w:rsid w:val="00F40334"/>
    <w:rsid w:val="00F41734"/>
    <w:rsid w:val="00F41CCE"/>
    <w:rsid w:val="00F41EE4"/>
    <w:rsid w:val="00F424CA"/>
    <w:rsid w:val="00F43F76"/>
    <w:rsid w:val="00F45967"/>
    <w:rsid w:val="00F519B3"/>
    <w:rsid w:val="00F565FE"/>
    <w:rsid w:val="00F56D2F"/>
    <w:rsid w:val="00F616FE"/>
    <w:rsid w:val="00F61D14"/>
    <w:rsid w:val="00F62B78"/>
    <w:rsid w:val="00F63A70"/>
    <w:rsid w:val="00F63D8C"/>
    <w:rsid w:val="00F63DAB"/>
    <w:rsid w:val="00F64456"/>
    <w:rsid w:val="00F64736"/>
    <w:rsid w:val="00F65BD9"/>
    <w:rsid w:val="00F714F0"/>
    <w:rsid w:val="00F71834"/>
    <w:rsid w:val="00F7189F"/>
    <w:rsid w:val="00F7534E"/>
    <w:rsid w:val="00F76B8A"/>
    <w:rsid w:val="00F827D2"/>
    <w:rsid w:val="00F85496"/>
    <w:rsid w:val="00F86549"/>
    <w:rsid w:val="00F93EDF"/>
    <w:rsid w:val="00FA1802"/>
    <w:rsid w:val="00FA21D0"/>
    <w:rsid w:val="00FA35F1"/>
    <w:rsid w:val="00FA3E2B"/>
    <w:rsid w:val="00FA5F5F"/>
    <w:rsid w:val="00FB526F"/>
    <w:rsid w:val="00FB6CE9"/>
    <w:rsid w:val="00FB6EC6"/>
    <w:rsid w:val="00FB730C"/>
    <w:rsid w:val="00FC091F"/>
    <w:rsid w:val="00FC18E1"/>
    <w:rsid w:val="00FC2695"/>
    <w:rsid w:val="00FC3E03"/>
    <w:rsid w:val="00FC3FC1"/>
    <w:rsid w:val="00FC7FCF"/>
    <w:rsid w:val="00FD1AB8"/>
    <w:rsid w:val="00FD255A"/>
    <w:rsid w:val="00FE101D"/>
    <w:rsid w:val="00FE5BB6"/>
    <w:rsid w:val="00FE7318"/>
    <w:rsid w:val="00FF14C0"/>
    <w:rsid w:val="00FF6B91"/>
    <w:rsid w:val="00FF784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7243D045-8679-43CB-AB9C-D469B1DB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overflow-hidden">
    <w:name w:val="overflow-hidden"/>
    <w:basedOn w:val="Carpredefinitoparagrafo"/>
    <w:rsid w:val="006A616B"/>
  </w:style>
  <w:style w:type="character" w:styleId="Menzionenonrisolta">
    <w:name w:val="Unresolved Mention"/>
    <w:basedOn w:val="Carpredefinitoparagrafo"/>
    <w:uiPriority w:val="99"/>
    <w:semiHidden/>
    <w:unhideWhenUsed/>
    <w:rsid w:val="00A7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3549035">
      <w:bodyDiv w:val="1"/>
      <w:marLeft w:val="0"/>
      <w:marRight w:val="0"/>
      <w:marTop w:val="0"/>
      <w:marBottom w:val="0"/>
      <w:divBdr>
        <w:top w:val="none" w:sz="0" w:space="0" w:color="auto"/>
        <w:left w:val="none" w:sz="0" w:space="0" w:color="auto"/>
        <w:bottom w:val="none" w:sz="0" w:space="0" w:color="auto"/>
        <w:right w:val="none" w:sz="0" w:space="0" w:color="auto"/>
      </w:divBdr>
      <w:divsChild>
        <w:div w:id="1641298891">
          <w:marLeft w:val="0"/>
          <w:marRight w:val="0"/>
          <w:marTop w:val="0"/>
          <w:marBottom w:val="0"/>
          <w:divBdr>
            <w:top w:val="none" w:sz="0" w:space="0" w:color="auto"/>
            <w:left w:val="none" w:sz="0" w:space="0" w:color="auto"/>
            <w:bottom w:val="none" w:sz="0" w:space="0" w:color="auto"/>
            <w:right w:val="none" w:sz="0" w:space="0" w:color="auto"/>
          </w:divBdr>
          <w:divsChild>
            <w:div w:id="706107187">
              <w:marLeft w:val="0"/>
              <w:marRight w:val="0"/>
              <w:marTop w:val="0"/>
              <w:marBottom w:val="0"/>
              <w:divBdr>
                <w:top w:val="none" w:sz="0" w:space="0" w:color="auto"/>
                <w:left w:val="none" w:sz="0" w:space="0" w:color="auto"/>
                <w:bottom w:val="none" w:sz="0" w:space="0" w:color="auto"/>
                <w:right w:val="none" w:sz="0" w:space="0" w:color="auto"/>
              </w:divBdr>
              <w:divsChild>
                <w:div w:id="229661730">
                  <w:marLeft w:val="0"/>
                  <w:marRight w:val="0"/>
                  <w:marTop w:val="0"/>
                  <w:marBottom w:val="0"/>
                  <w:divBdr>
                    <w:top w:val="none" w:sz="0" w:space="0" w:color="auto"/>
                    <w:left w:val="none" w:sz="0" w:space="0" w:color="auto"/>
                    <w:bottom w:val="none" w:sz="0" w:space="0" w:color="auto"/>
                    <w:right w:val="none" w:sz="0" w:space="0" w:color="auto"/>
                  </w:divBdr>
                  <w:divsChild>
                    <w:div w:id="20492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5379">
          <w:marLeft w:val="0"/>
          <w:marRight w:val="0"/>
          <w:marTop w:val="0"/>
          <w:marBottom w:val="0"/>
          <w:divBdr>
            <w:top w:val="none" w:sz="0" w:space="0" w:color="auto"/>
            <w:left w:val="none" w:sz="0" w:space="0" w:color="auto"/>
            <w:bottom w:val="none" w:sz="0" w:space="0" w:color="auto"/>
            <w:right w:val="none" w:sz="0" w:space="0" w:color="auto"/>
          </w:divBdr>
          <w:divsChild>
            <w:div w:id="1422794937">
              <w:marLeft w:val="0"/>
              <w:marRight w:val="0"/>
              <w:marTop w:val="0"/>
              <w:marBottom w:val="0"/>
              <w:divBdr>
                <w:top w:val="none" w:sz="0" w:space="0" w:color="auto"/>
                <w:left w:val="none" w:sz="0" w:space="0" w:color="auto"/>
                <w:bottom w:val="none" w:sz="0" w:space="0" w:color="auto"/>
                <w:right w:val="none" w:sz="0" w:space="0" w:color="auto"/>
              </w:divBdr>
              <w:divsChild>
                <w:div w:id="1688632744">
                  <w:marLeft w:val="0"/>
                  <w:marRight w:val="0"/>
                  <w:marTop w:val="0"/>
                  <w:marBottom w:val="0"/>
                  <w:divBdr>
                    <w:top w:val="none" w:sz="0" w:space="0" w:color="auto"/>
                    <w:left w:val="none" w:sz="0" w:space="0" w:color="auto"/>
                    <w:bottom w:val="none" w:sz="0" w:space="0" w:color="auto"/>
                    <w:right w:val="none" w:sz="0" w:space="0" w:color="auto"/>
                  </w:divBdr>
                  <w:divsChild>
                    <w:div w:id="18367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4378">
      <w:bodyDiv w:val="1"/>
      <w:marLeft w:val="0"/>
      <w:marRight w:val="0"/>
      <w:marTop w:val="0"/>
      <w:marBottom w:val="0"/>
      <w:divBdr>
        <w:top w:val="none" w:sz="0" w:space="0" w:color="auto"/>
        <w:left w:val="none" w:sz="0" w:space="0" w:color="auto"/>
        <w:bottom w:val="none" w:sz="0" w:space="0" w:color="auto"/>
        <w:right w:val="none" w:sz="0" w:space="0" w:color="auto"/>
      </w:divBdr>
    </w:div>
    <w:div w:id="180434467">
      <w:bodyDiv w:val="1"/>
      <w:marLeft w:val="0"/>
      <w:marRight w:val="0"/>
      <w:marTop w:val="0"/>
      <w:marBottom w:val="0"/>
      <w:divBdr>
        <w:top w:val="none" w:sz="0" w:space="0" w:color="auto"/>
        <w:left w:val="none" w:sz="0" w:space="0" w:color="auto"/>
        <w:bottom w:val="none" w:sz="0" w:space="0" w:color="auto"/>
        <w:right w:val="none" w:sz="0" w:space="0" w:color="auto"/>
      </w:divBdr>
    </w:div>
    <w:div w:id="322272328">
      <w:bodyDiv w:val="1"/>
      <w:marLeft w:val="0"/>
      <w:marRight w:val="0"/>
      <w:marTop w:val="0"/>
      <w:marBottom w:val="0"/>
      <w:divBdr>
        <w:top w:val="none" w:sz="0" w:space="0" w:color="auto"/>
        <w:left w:val="none" w:sz="0" w:space="0" w:color="auto"/>
        <w:bottom w:val="none" w:sz="0" w:space="0" w:color="auto"/>
        <w:right w:val="none" w:sz="0" w:space="0" w:color="auto"/>
      </w:divBdr>
    </w:div>
    <w:div w:id="411703450">
      <w:bodyDiv w:val="1"/>
      <w:marLeft w:val="0"/>
      <w:marRight w:val="0"/>
      <w:marTop w:val="0"/>
      <w:marBottom w:val="0"/>
      <w:divBdr>
        <w:top w:val="none" w:sz="0" w:space="0" w:color="auto"/>
        <w:left w:val="none" w:sz="0" w:space="0" w:color="auto"/>
        <w:bottom w:val="none" w:sz="0" w:space="0" w:color="auto"/>
        <w:right w:val="none" w:sz="0" w:space="0" w:color="auto"/>
      </w:divBdr>
    </w:div>
    <w:div w:id="525215695">
      <w:bodyDiv w:val="1"/>
      <w:marLeft w:val="0"/>
      <w:marRight w:val="0"/>
      <w:marTop w:val="0"/>
      <w:marBottom w:val="0"/>
      <w:divBdr>
        <w:top w:val="none" w:sz="0" w:space="0" w:color="auto"/>
        <w:left w:val="none" w:sz="0" w:space="0" w:color="auto"/>
        <w:bottom w:val="none" w:sz="0" w:space="0" w:color="auto"/>
        <w:right w:val="none" w:sz="0" w:space="0" w:color="auto"/>
      </w:divBdr>
    </w:div>
    <w:div w:id="566190589">
      <w:bodyDiv w:val="1"/>
      <w:marLeft w:val="0"/>
      <w:marRight w:val="0"/>
      <w:marTop w:val="0"/>
      <w:marBottom w:val="0"/>
      <w:divBdr>
        <w:top w:val="none" w:sz="0" w:space="0" w:color="auto"/>
        <w:left w:val="none" w:sz="0" w:space="0" w:color="auto"/>
        <w:bottom w:val="none" w:sz="0" w:space="0" w:color="auto"/>
        <w:right w:val="none" w:sz="0" w:space="0" w:color="auto"/>
      </w:divBdr>
    </w:div>
    <w:div w:id="78022845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8000">
      <w:bodyDiv w:val="1"/>
      <w:marLeft w:val="0"/>
      <w:marRight w:val="0"/>
      <w:marTop w:val="0"/>
      <w:marBottom w:val="0"/>
      <w:divBdr>
        <w:top w:val="none" w:sz="0" w:space="0" w:color="auto"/>
        <w:left w:val="none" w:sz="0" w:space="0" w:color="auto"/>
        <w:bottom w:val="none" w:sz="0" w:space="0" w:color="auto"/>
        <w:right w:val="none" w:sz="0" w:space="0" w:color="auto"/>
      </w:divBdr>
    </w:div>
    <w:div w:id="1019621318">
      <w:bodyDiv w:val="1"/>
      <w:marLeft w:val="0"/>
      <w:marRight w:val="0"/>
      <w:marTop w:val="0"/>
      <w:marBottom w:val="0"/>
      <w:divBdr>
        <w:top w:val="none" w:sz="0" w:space="0" w:color="auto"/>
        <w:left w:val="none" w:sz="0" w:space="0" w:color="auto"/>
        <w:bottom w:val="none" w:sz="0" w:space="0" w:color="auto"/>
        <w:right w:val="none" w:sz="0" w:space="0" w:color="auto"/>
      </w:divBdr>
    </w:div>
    <w:div w:id="1101220370">
      <w:bodyDiv w:val="1"/>
      <w:marLeft w:val="0"/>
      <w:marRight w:val="0"/>
      <w:marTop w:val="0"/>
      <w:marBottom w:val="0"/>
      <w:divBdr>
        <w:top w:val="none" w:sz="0" w:space="0" w:color="auto"/>
        <w:left w:val="none" w:sz="0" w:space="0" w:color="auto"/>
        <w:bottom w:val="none" w:sz="0" w:space="0" w:color="auto"/>
        <w:right w:val="none" w:sz="0" w:space="0" w:color="auto"/>
      </w:divBdr>
      <w:divsChild>
        <w:div w:id="335767971">
          <w:marLeft w:val="0"/>
          <w:marRight w:val="0"/>
          <w:marTop w:val="0"/>
          <w:marBottom w:val="0"/>
          <w:divBdr>
            <w:top w:val="none" w:sz="0" w:space="0" w:color="auto"/>
            <w:left w:val="none" w:sz="0" w:space="0" w:color="auto"/>
            <w:bottom w:val="none" w:sz="0" w:space="0" w:color="auto"/>
            <w:right w:val="none" w:sz="0" w:space="0" w:color="auto"/>
          </w:divBdr>
          <w:divsChild>
            <w:div w:id="176776596">
              <w:marLeft w:val="0"/>
              <w:marRight w:val="0"/>
              <w:marTop w:val="0"/>
              <w:marBottom w:val="0"/>
              <w:divBdr>
                <w:top w:val="none" w:sz="0" w:space="0" w:color="auto"/>
                <w:left w:val="none" w:sz="0" w:space="0" w:color="auto"/>
                <w:bottom w:val="none" w:sz="0" w:space="0" w:color="auto"/>
                <w:right w:val="none" w:sz="0" w:space="0" w:color="auto"/>
              </w:divBdr>
              <w:divsChild>
                <w:div w:id="719401290">
                  <w:marLeft w:val="0"/>
                  <w:marRight w:val="0"/>
                  <w:marTop w:val="0"/>
                  <w:marBottom w:val="0"/>
                  <w:divBdr>
                    <w:top w:val="none" w:sz="0" w:space="0" w:color="auto"/>
                    <w:left w:val="none" w:sz="0" w:space="0" w:color="auto"/>
                    <w:bottom w:val="none" w:sz="0" w:space="0" w:color="auto"/>
                    <w:right w:val="none" w:sz="0" w:space="0" w:color="auto"/>
                  </w:divBdr>
                  <w:divsChild>
                    <w:div w:id="13985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2287">
          <w:marLeft w:val="0"/>
          <w:marRight w:val="0"/>
          <w:marTop w:val="0"/>
          <w:marBottom w:val="0"/>
          <w:divBdr>
            <w:top w:val="none" w:sz="0" w:space="0" w:color="auto"/>
            <w:left w:val="none" w:sz="0" w:space="0" w:color="auto"/>
            <w:bottom w:val="none" w:sz="0" w:space="0" w:color="auto"/>
            <w:right w:val="none" w:sz="0" w:space="0" w:color="auto"/>
          </w:divBdr>
          <w:divsChild>
            <w:div w:id="2133477360">
              <w:marLeft w:val="0"/>
              <w:marRight w:val="0"/>
              <w:marTop w:val="0"/>
              <w:marBottom w:val="0"/>
              <w:divBdr>
                <w:top w:val="none" w:sz="0" w:space="0" w:color="auto"/>
                <w:left w:val="none" w:sz="0" w:space="0" w:color="auto"/>
                <w:bottom w:val="none" w:sz="0" w:space="0" w:color="auto"/>
                <w:right w:val="none" w:sz="0" w:space="0" w:color="auto"/>
              </w:divBdr>
              <w:divsChild>
                <w:div w:id="614219126">
                  <w:marLeft w:val="0"/>
                  <w:marRight w:val="0"/>
                  <w:marTop w:val="0"/>
                  <w:marBottom w:val="0"/>
                  <w:divBdr>
                    <w:top w:val="none" w:sz="0" w:space="0" w:color="auto"/>
                    <w:left w:val="none" w:sz="0" w:space="0" w:color="auto"/>
                    <w:bottom w:val="none" w:sz="0" w:space="0" w:color="auto"/>
                    <w:right w:val="none" w:sz="0" w:space="0" w:color="auto"/>
                  </w:divBdr>
                  <w:divsChild>
                    <w:div w:id="13400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95492">
      <w:bodyDiv w:val="1"/>
      <w:marLeft w:val="0"/>
      <w:marRight w:val="0"/>
      <w:marTop w:val="0"/>
      <w:marBottom w:val="0"/>
      <w:divBdr>
        <w:top w:val="none" w:sz="0" w:space="0" w:color="auto"/>
        <w:left w:val="none" w:sz="0" w:space="0" w:color="auto"/>
        <w:bottom w:val="none" w:sz="0" w:space="0" w:color="auto"/>
        <w:right w:val="none" w:sz="0" w:space="0" w:color="auto"/>
      </w:divBdr>
    </w:div>
    <w:div w:id="1273393123">
      <w:bodyDiv w:val="1"/>
      <w:marLeft w:val="0"/>
      <w:marRight w:val="0"/>
      <w:marTop w:val="0"/>
      <w:marBottom w:val="0"/>
      <w:divBdr>
        <w:top w:val="none" w:sz="0" w:space="0" w:color="auto"/>
        <w:left w:val="none" w:sz="0" w:space="0" w:color="auto"/>
        <w:bottom w:val="none" w:sz="0" w:space="0" w:color="auto"/>
        <w:right w:val="none" w:sz="0" w:space="0" w:color="auto"/>
      </w:divBdr>
      <w:divsChild>
        <w:div w:id="369108174">
          <w:marLeft w:val="0"/>
          <w:marRight w:val="0"/>
          <w:marTop w:val="0"/>
          <w:marBottom w:val="0"/>
          <w:divBdr>
            <w:top w:val="none" w:sz="0" w:space="0" w:color="auto"/>
            <w:left w:val="none" w:sz="0" w:space="0" w:color="auto"/>
            <w:bottom w:val="none" w:sz="0" w:space="0" w:color="auto"/>
            <w:right w:val="none" w:sz="0" w:space="0" w:color="auto"/>
          </w:divBdr>
          <w:divsChild>
            <w:div w:id="1327511773">
              <w:marLeft w:val="0"/>
              <w:marRight w:val="0"/>
              <w:marTop w:val="0"/>
              <w:marBottom w:val="0"/>
              <w:divBdr>
                <w:top w:val="none" w:sz="0" w:space="0" w:color="auto"/>
                <w:left w:val="none" w:sz="0" w:space="0" w:color="auto"/>
                <w:bottom w:val="none" w:sz="0" w:space="0" w:color="auto"/>
                <w:right w:val="none" w:sz="0" w:space="0" w:color="auto"/>
              </w:divBdr>
              <w:divsChild>
                <w:div w:id="401489386">
                  <w:marLeft w:val="0"/>
                  <w:marRight w:val="0"/>
                  <w:marTop w:val="0"/>
                  <w:marBottom w:val="0"/>
                  <w:divBdr>
                    <w:top w:val="none" w:sz="0" w:space="0" w:color="auto"/>
                    <w:left w:val="none" w:sz="0" w:space="0" w:color="auto"/>
                    <w:bottom w:val="none" w:sz="0" w:space="0" w:color="auto"/>
                    <w:right w:val="none" w:sz="0" w:space="0" w:color="auto"/>
                  </w:divBdr>
                  <w:divsChild>
                    <w:div w:id="1444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920">
          <w:marLeft w:val="0"/>
          <w:marRight w:val="0"/>
          <w:marTop w:val="0"/>
          <w:marBottom w:val="0"/>
          <w:divBdr>
            <w:top w:val="none" w:sz="0" w:space="0" w:color="auto"/>
            <w:left w:val="none" w:sz="0" w:space="0" w:color="auto"/>
            <w:bottom w:val="none" w:sz="0" w:space="0" w:color="auto"/>
            <w:right w:val="none" w:sz="0" w:space="0" w:color="auto"/>
          </w:divBdr>
          <w:divsChild>
            <w:div w:id="836073857">
              <w:marLeft w:val="0"/>
              <w:marRight w:val="0"/>
              <w:marTop w:val="0"/>
              <w:marBottom w:val="0"/>
              <w:divBdr>
                <w:top w:val="none" w:sz="0" w:space="0" w:color="auto"/>
                <w:left w:val="none" w:sz="0" w:space="0" w:color="auto"/>
                <w:bottom w:val="none" w:sz="0" w:space="0" w:color="auto"/>
                <w:right w:val="none" w:sz="0" w:space="0" w:color="auto"/>
              </w:divBdr>
              <w:divsChild>
                <w:div w:id="1010911625">
                  <w:marLeft w:val="0"/>
                  <w:marRight w:val="0"/>
                  <w:marTop w:val="0"/>
                  <w:marBottom w:val="0"/>
                  <w:divBdr>
                    <w:top w:val="none" w:sz="0" w:space="0" w:color="auto"/>
                    <w:left w:val="none" w:sz="0" w:space="0" w:color="auto"/>
                    <w:bottom w:val="none" w:sz="0" w:space="0" w:color="auto"/>
                    <w:right w:val="none" w:sz="0" w:space="0" w:color="auto"/>
                  </w:divBdr>
                  <w:divsChild>
                    <w:div w:id="3106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7385">
      <w:bodyDiv w:val="1"/>
      <w:marLeft w:val="0"/>
      <w:marRight w:val="0"/>
      <w:marTop w:val="0"/>
      <w:marBottom w:val="0"/>
      <w:divBdr>
        <w:top w:val="none" w:sz="0" w:space="0" w:color="auto"/>
        <w:left w:val="none" w:sz="0" w:space="0" w:color="auto"/>
        <w:bottom w:val="none" w:sz="0" w:space="0" w:color="auto"/>
        <w:right w:val="none" w:sz="0" w:space="0" w:color="auto"/>
      </w:divBdr>
    </w:div>
    <w:div w:id="135260757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0595504">
      <w:bodyDiv w:val="1"/>
      <w:marLeft w:val="0"/>
      <w:marRight w:val="0"/>
      <w:marTop w:val="0"/>
      <w:marBottom w:val="0"/>
      <w:divBdr>
        <w:top w:val="none" w:sz="0" w:space="0" w:color="auto"/>
        <w:left w:val="none" w:sz="0" w:space="0" w:color="auto"/>
        <w:bottom w:val="none" w:sz="0" w:space="0" w:color="auto"/>
        <w:right w:val="none" w:sz="0" w:space="0" w:color="auto"/>
      </w:divBdr>
      <w:divsChild>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sChild>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sChild>
                    <w:div w:id="3379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sChild>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826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079881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5183">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86315055">
      <w:bodyDiv w:val="1"/>
      <w:marLeft w:val="0"/>
      <w:marRight w:val="0"/>
      <w:marTop w:val="0"/>
      <w:marBottom w:val="0"/>
      <w:divBdr>
        <w:top w:val="none" w:sz="0" w:space="0" w:color="auto"/>
        <w:left w:val="none" w:sz="0" w:space="0" w:color="auto"/>
        <w:bottom w:val="none" w:sz="0" w:space="0" w:color="auto"/>
        <w:right w:val="none" w:sz="0" w:space="0" w:color="auto"/>
      </w:divBdr>
    </w:div>
    <w:div w:id="1814911863">
      <w:bodyDiv w:val="1"/>
      <w:marLeft w:val="0"/>
      <w:marRight w:val="0"/>
      <w:marTop w:val="0"/>
      <w:marBottom w:val="0"/>
      <w:divBdr>
        <w:top w:val="none" w:sz="0" w:space="0" w:color="auto"/>
        <w:left w:val="none" w:sz="0" w:space="0" w:color="auto"/>
        <w:bottom w:val="none" w:sz="0" w:space="0" w:color="auto"/>
        <w:right w:val="none" w:sz="0" w:space="0" w:color="auto"/>
      </w:divBdr>
    </w:div>
    <w:div w:id="20672137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21125</Words>
  <Characters>120417</Characters>
  <Application>Microsoft Office Word</Application>
  <DocSecurity>0</DocSecurity>
  <Lines>1003</Lines>
  <Paragraphs>282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141260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Valerio Cozzani</cp:lastModifiedBy>
  <cp:revision>4</cp:revision>
  <cp:lastPrinted>2015-05-12T18:31:00Z</cp:lastPrinted>
  <dcterms:created xsi:type="dcterms:W3CDTF">2024-12-23T19:30:00Z</dcterms:created>
  <dcterms:modified xsi:type="dcterms:W3CDTF">2024-12-24T15:24:00Z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https://csl.mendeley.com/styles/648582171/elsevier-harvard-AIDIC-leobo</vt:lpwstr>
  </property>
  <property fmtid="{D5CDD505-2E9C-101B-9397-08002B2CF9AE}" pid="5" name="Mendeley Recent Style Name 0_1">
    <vt:lpwstr>AIDIC CEt Leobo</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Document_1">
    <vt:lpwstr>True</vt:lpwstr>
  </property>
  <property fmtid="{D5CDD505-2E9C-101B-9397-08002B2CF9AE}" pid="9" name="Mendeley Unique User Id_1">
    <vt:lpwstr>ffc6383b-acd1-3c45-aaa8-91c9040c6bc0</vt:lpwstr>
  </property>
  <property fmtid="{D5CDD505-2E9C-101B-9397-08002B2CF9AE}" pid="10" name="Mendeley Citation Style_1">
    <vt:lpwstr>https://csl.mendeley.com/styles/648582171/elsevier-harvard-AIDIC-leobo</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http://www.zotero.org/styles/applied-energy</vt:lpwstr>
  </property>
  <property fmtid="{D5CDD505-2E9C-101B-9397-08002B2CF9AE}" pid="16" name="Mendeley Recent Style Name 4_1">
    <vt:lpwstr>Applied Energy</vt:lpwstr>
  </property>
  <property fmtid="{D5CDD505-2E9C-101B-9397-08002B2CF9AE}" pid="17" name="Mendeley Recent Style Id 5_1">
    <vt:lpwstr>http://www.zotero.org/styles/chemical-engineering-journal</vt:lpwstr>
  </property>
  <property fmtid="{D5CDD505-2E9C-101B-9397-08002B2CF9AE}" pid="18" name="Mendeley Recent Style Name 5_1">
    <vt:lpwstr>Chemical Engineering Journal</vt:lpwstr>
  </property>
  <property fmtid="{D5CDD505-2E9C-101B-9397-08002B2CF9AE}" pid="19" name="Mendeley Recent Style Id 6_1">
    <vt:lpwstr>http://www.zotero.org/styles/chicago-author-date</vt:lpwstr>
  </property>
  <property fmtid="{D5CDD505-2E9C-101B-9397-08002B2CF9AE}" pid="20" name="Mendeley Recent Style Name 6_1">
    <vt:lpwstr>Chicago Manual of Style 17th edition (author-date)</vt:lpwstr>
  </property>
  <property fmtid="{D5CDD505-2E9C-101B-9397-08002B2CF9AE}" pid="21" name="Mendeley Recent Style Id 7_1">
    <vt:lpwstr>http://www.zotero.org/styles/harvard-cite-them-right</vt:lpwstr>
  </property>
  <property fmtid="{D5CDD505-2E9C-101B-9397-08002B2CF9AE}" pid="22" name="Mendeley Recent Style Name 7_1">
    <vt:lpwstr>Cite Them Right 12th edition - Harvard</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http://www.zotero.org/styles/sustainable-production-and-consumption</vt:lpwstr>
  </property>
  <property fmtid="{D5CDD505-2E9C-101B-9397-08002B2CF9AE}" pid="26" name="Mendeley Recent Style Name 9_1">
    <vt:lpwstr>Sustainable Production and Consumption</vt:lpwstr>
  </property>
  <property fmtid="{D5CDD505-2E9C-101B-9397-08002B2CF9AE}" pid="27" name="GrammarlyDocumentId">
    <vt:lpwstr>f74687ca15639f2d5d234c1a2ad0758d49cc5960264db11da15551d7dc503cf9</vt:lpwstr>
  </property>
</Properties>
</file>