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B36483">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3182D" w14:paraId="380FA3CD" w14:textId="77777777" w:rsidTr="00B3648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B36483" w:rsidRDefault="000D0268" w:rsidP="00CD5FE2">
            <w:pPr>
              <w:spacing w:line="140" w:lineRule="atLeast"/>
              <w:jc w:val="right"/>
              <w:rPr>
                <w:rFonts w:cs="Arial"/>
                <w:sz w:val="13"/>
                <w:szCs w:val="13"/>
                <w:lang w:val="da-DK"/>
              </w:rPr>
            </w:pPr>
            <w:r w:rsidRPr="00B36483">
              <w:rPr>
                <w:rFonts w:cs="Arial"/>
                <w:sz w:val="13"/>
                <w:szCs w:val="13"/>
                <w:lang w:val="da-DK"/>
              </w:rPr>
              <w:t>Online at www.cetjournal.it</w:t>
            </w:r>
          </w:p>
        </w:tc>
      </w:tr>
      <w:tr w:rsidR="000A03B2" w:rsidRPr="00B57B36" w14:paraId="2D1B7169" w14:textId="77777777" w:rsidTr="00B36483">
        <w:trPr>
          <w:trHeight w:val="68"/>
          <w:jc w:val="center"/>
        </w:trPr>
        <w:tc>
          <w:tcPr>
            <w:tcW w:w="8782" w:type="dxa"/>
            <w:gridSpan w:val="2"/>
          </w:tcPr>
          <w:p w14:paraId="30F07041" w14:textId="596C658B"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F4B9BCE" w:rsidR="00E978D0" w:rsidRPr="00B57B36" w:rsidRDefault="00B36483" w:rsidP="00E978D0">
      <w:pPr>
        <w:pStyle w:val="CETTitle"/>
      </w:pPr>
      <w:r w:rsidRPr="00B36483">
        <w:t>Safety Studies for Approval of Green Ammonia Bunkering Terminals – How Best to Apply CFD Modelling</w:t>
      </w:r>
    </w:p>
    <w:p w14:paraId="0488FED2" w14:textId="783C494B" w:rsidR="00B57E6F" w:rsidRPr="00B57B36" w:rsidRDefault="00A82582" w:rsidP="00B57E6F">
      <w:pPr>
        <w:pStyle w:val="CETAuthors"/>
      </w:pPr>
      <w:r w:rsidRPr="00A82582">
        <w:t>Olav R. Hansen</w:t>
      </w:r>
      <w:r w:rsidRPr="00A82582">
        <w:rPr>
          <w:vertAlign w:val="superscript"/>
        </w:rPr>
        <w:t>a</w:t>
      </w:r>
      <w:r w:rsidRPr="00A82582">
        <w:t>*, Eirik S. Hansen</w:t>
      </w:r>
      <w:r w:rsidRPr="00A7281B">
        <w:rPr>
          <w:vertAlign w:val="superscript"/>
        </w:rPr>
        <w:t>a</w:t>
      </w:r>
      <w:r w:rsidRPr="00A82582">
        <w:t xml:space="preserve"> and Steinar Kostøl</w:t>
      </w:r>
      <w:r w:rsidRPr="00A82582">
        <w:rPr>
          <w:vertAlign w:val="superscript"/>
        </w:rPr>
        <w:t>b</w:t>
      </w:r>
    </w:p>
    <w:p w14:paraId="6B2D21B3" w14:textId="37C620FD" w:rsidR="00B57E6F" w:rsidRPr="00B57B36" w:rsidRDefault="00B57E6F" w:rsidP="00B57E6F">
      <w:pPr>
        <w:pStyle w:val="CETAddress"/>
      </w:pPr>
      <w:r w:rsidRPr="00B57B36">
        <w:rPr>
          <w:vertAlign w:val="superscript"/>
        </w:rPr>
        <w:t>a</w:t>
      </w:r>
      <w:r w:rsidR="00712D7F" w:rsidRPr="00712D7F">
        <w:t>HYEX Safety AS, Grindhaugvegen 57, 5259 Hjellestad, Norway</w:t>
      </w:r>
    </w:p>
    <w:p w14:paraId="410D29F0" w14:textId="77777777" w:rsidR="00A7281B" w:rsidRDefault="00B57E6F" w:rsidP="00A7281B">
      <w:pPr>
        <w:pStyle w:val="CETAddress"/>
      </w:pPr>
      <w:r w:rsidRPr="00B57B36">
        <w:rPr>
          <w:vertAlign w:val="superscript"/>
        </w:rPr>
        <w:t>b</w:t>
      </w:r>
      <w:r w:rsidR="00A7281B" w:rsidRPr="00A7281B">
        <w:t>Azane Fuel Solutions AS, Storgata 27, 3210 Sandefjord, Norway</w:t>
      </w:r>
      <w:r>
        <w:t xml:space="preserve"> </w:t>
      </w:r>
    </w:p>
    <w:p w14:paraId="73F1267A" w14:textId="0E429072" w:rsidR="00B57E6F" w:rsidRDefault="005B0768" w:rsidP="00A7281B">
      <w:pPr>
        <w:pStyle w:val="CETAddress"/>
      </w:pPr>
      <w:r>
        <w:t>olav</w:t>
      </w:r>
      <w:r w:rsidR="00B57E6F" w:rsidRPr="00B57B36">
        <w:t>@</w:t>
      </w:r>
      <w:r>
        <w:t>hyexsafe.com</w:t>
      </w:r>
      <w:r w:rsidR="00B57E6F" w:rsidRPr="00B57B36">
        <w:t xml:space="preserve"> </w:t>
      </w:r>
    </w:p>
    <w:p w14:paraId="32FC8C1E" w14:textId="77777777" w:rsidR="00A7281B" w:rsidRPr="00B57B36" w:rsidRDefault="00A7281B" w:rsidP="00A7281B">
      <w:pPr>
        <w:pStyle w:val="CETAddress"/>
      </w:pPr>
    </w:p>
    <w:p w14:paraId="38F76186" w14:textId="03DEB4CC" w:rsidR="006A6DE5" w:rsidRPr="0088036D" w:rsidRDefault="0088036D" w:rsidP="0088036D">
      <w:pPr>
        <w:pStyle w:val="CETBodytext"/>
        <w:rPr>
          <w:lang w:val="en-GB"/>
        </w:rPr>
      </w:pPr>
      <w:bookmarkStart w:id="1" w:name="_Hlk495475023"/>
      <w:r w:rsidRPr="0088036D">
        <w:rPr>
          <w:lang w:val="en-GB"/>
        </w:rPr>
        <w:t xml:space="preserve">Green ammonia </w:t>
      </w:r>
      <w:r w:rsidR="005F5BF5">
        <w:rPr>
          <w:lang w:val="en-GB"/>
        </w:rPr>
        <w:t>(NH</w:t>
      </w:r>
      <w:r w:rsidR="005F5BF5" w:rsidRPr="005F5BF5">
        <w:rPr>
          <w:vertAlign w:val="subscript"/>
          <w:lang w:val="en-GB"/>
        </w:rPr>
        <w:t>3</w:t>
      </w:r>
      <w:r w:rsidR="005F5BF5">
        <w:rPr>
          <w:lang w:val="en-GB"/>
        </w:rPr>
        <w:t xml:space="preserve">) </w:t>
      </w:r>
      <w:r w:rsidRPr="0088036D">
        <w:rPr>
          <w:lang w:val="en-GB"/>
        </w:rPr>
        <w:t>produced by hydrogen from water electrolysis using renewable electricity is considered to have an important role in the ambitions to decarbonize the maritime sector. With a boiling point of -33.4 °C, much closer to ambient temperatures than LH</w:t>
      </w:r>
      <w:r w:rsidRPr="00852C2B">
        <w:rPr>
          <w:vertAlign w:val="subscript"/>
          <w:lang w:val="en-GB"/>
        </w:rPr>
        <w:t>2</w:t>
      </w:r>
      <w:r w:rsidRPr="0088036D">
        <w:rPr>
          <w:lang w:val="en-GB"/>
        </w:rPr>
        <w:t xml:space="preserve">, </w:t>
      </w:r>
      <w:r w:rsidR="005F5BF5">
        <w:rPr>
          <w:lang w:val="en-GB"/>
        </w:rPr>
        <w:t>NH</w:t>
      </w:r>
      <w:r w:rsidR="005F5BF5" w:rsidRPr="005F5BF5">
        <w:rPr>
          <w:vertAlign w:val="subscript"/>
          <w:lang w:val="en-GB"/>
        </w:rPr>
        <w:t>3</w:t>
      </w:r>
      <w:r w:rsidRPr="0088036D">
        <w:rPr>
          <w:lang w:val="en-GB"/>
        </w:rPr>
        <w:t xml:space="preserve"> is less complicated to handle and to store. While the low flammability of </w:t>
      </w:r>
      <w:r w:rsidR="00FB7123">
        <w:rPr>
          <w:lang w:val="en-GB"/>
        </w:rPr>
        <w:t>NH</w:t>
      </w:r>
      <w:r w:rsidR="00FB7123" w:rsidRPr="00FB7123">
        <w:rPr>
          <w:vertAlign w:val="subscript"/>
          <w:lang w:val="en-GB"/>
        </w:rPr>
        <w:t>3</w:t>
      </w:r>
      <w:r w:rsidRPr="0088036D">
        <w:rPr>
          <w:lang w:val="en-GB"/>
        </w:rPr>
        <w:t xml:space="preserve"> represents a challenge as a fuel, this is an advantage regarding handling, and the volumetric energy density of </w:t>
      </w:r>
      <w:r w:rsidR="00FB7123">
        <w:rPr>
          <w:lang w:val="en-GB"/>
        </w:rPr>
        <w:t>NH</w:t>
      </w:r>
      <w:r w:rsidR="00FB7123" w:rsidRPr="00FB7123">
        <w:rPr>
          <w:vertAlign w:val="subscript"/>
          <w:lang w:val="en-GB"/>
        </w:rPr>
        <w:t>3</w:t>
      </w:r>
      <w:r w:rsidRPr="0088036D">
        <w:rPr>
          <w:lang w:val="en-GB"/>
        </w:rPr>
        <w:t xml:space="preserve"> is almost 50% higher than for LH</w:t>
      </w:r>
      <w:r w:rsidRPr="00852C2B">
        <w:rPr>
          <w:vertAlign w:val="subscript"/>
          <w:lang w:val="en-GB"/>
        </w:rPr>
        <w:t>2</w:t>
      </w:r>
      <w:r w:rsidRPr="0088036D">
        <w:rPr>
          <w:lang w:val="en-GB"/>
        </w:rPr>
        <w:t xml:space="preserve">. A disadvantage with </w:t>
      </w:r>
      <w:r w:rsidR="00FB7123">
        <w:rPr>
          <w:lang w:val="en-GB"/>
        </w:rPr>
        <w:t>NH</w:t>
      </w:r>
      <w:r w:rsidR="00FB7123" w:rsidRPr="00FB7123">
        <w:rPr>
          <w:vertAlign w:val="subscript"/>
          <w:lang w:val="en-GB"/>
        </w:rPr>
        <w:t>3</w:t>
      </w:r>
      <w:r w:rsidRPr="0088036D">
        <w:rPr>
          <w:lang w:val="en-GB"/>
        </w:rPr>
        <w:t xml:space="preserve"> is its toxicity and odour, already at 5-50 ppm most people will recognize its characteristic odour, and at concentrations of 1% in air </w:t>
      </w:r>
      <w:r w:rsidR="00FB7123">
        <w:rPr>
          <w:lang w:val="en-GB"/>
        </w:rPr>
        <w:t>NH</w:t>
      </w:r>
      <w:r w:rsidR="00FB7123" w:rsidRPr="00FB7123">
        <w:rPr>
          <w:vertAlign w:val="subscript"/>
          <w:lang w:val="en-GB"/>
        </w:rPr>
        <w:t>3</w:t>
      </w:r>
      <w:r w:rsidRPr="0088036D">
        <w:rPr>
          <w:lang w:val="en-GB"/>
        </w:rPr>
        <w:t xml:space="preserve"> may be fatal within minutes.</w:t>
      </w:r>
      <w:r>
        <w:rPr>
          <w:lang w:val="en-GB"/>
        </w:rPr>
        <w:t xml:space="preserve"> </w:t>
      </w:r>
      <w:r w:rsidRPr="0088036D">
        <w:rPr>
          <w:lang w:val="en-GB"/>
        </w:rPr>
        <w:t xml:space="preserve">For a successful introduction of </w:t>
      </w:r>
      <w:r w:rsidR="00FB7123">
        <w:rPr>
          <w:lang w:val="en-GB"/>
        </w:rPr>
        <w:t>NH</w:t>
      </w:r>
      <w:r w:rsidR="00FB7123" w:rsidRPr="00FB7123">
        <w:rPr>
          <w:vertAlign w:val="subscript"/>
          <w:lang w:val="en-GB"/>
        </w:rPr>
        <w:t>3</w:t>
      </w:r>
      <w:r w:rsidRPr="0088036D">
        <w:rPr>
          <w:lang w:val="en-GB"/>
        </w:rPr>
        <w:t xml:space="preserve"> as a maritime fuel, safe handling is critical. To shorten the construction time and increase flexibility related to scale-up to meet possible future increasing demands, AZANE Fuel Solutions has developed a bunkering concept with </w:t>
      </w:r>
      <w:r w:rsidR="00FB7123">
        <w:rPr>
          <w:lang w:val="en-GB"/>
        </w:rPr>
        <w:t>NH</w:t>
      </w:r>
      <w:r w:rsidR="00FB7123" w:rsidRPr="00FB7123">
        <w:rPr>
          <w:vertAlign w:val="subscript"/>
          <w:lang w:val="en-GB"/>
        </w:rPr>
        <w:t>3</w:t>
      </w:r>
      <w:r w:rsidRPr="0088036D">
        <w:rPr>
          <w:lang w:val="en-GB"/>
        </w:rPr>
        <w:t xml:space="preserve"> stored in floating barges permanently moored at the bunkering site. With partial support from the Research Council of Norway the bunkering concept has been further developed, one of the key tasks was to ensure a best possible safety level of the terminal. To achieve this the </w:t>
      </w:r>
      <w:r w:rsidR="00FB7123">
        <w:rPr>
          <w:lang w:val="en-GB"/>
        </w:rPr>
        <w:t>NH</w:t>
      </w:r>
      <w:r w:rsidR="00FB7123" w:rsidRPr="00FB7123">
        <w:rPr>
          <w:vertAlign w:val="subscript"/>
          <w:lang w:val="en-GB"/>
        </w:rPr>
        <w:t>3</w:t>
      </w:r>
      <w:r w:rsidRPr="0088036D">
        <w:rPr>
          <w:lang w:val="en-GB"/>
        </w:rPr>
        <w:t xml:space="preserve"> is stored refrigerated near its boiling point with all penetrations on top and redundant cooling systems. The tank is further well protected against impact with B/5 separation from the hull of the barge.</w:t>
      </w:r>
      <w:r>
        <w:rPr>
          <w:lang w:val="en-GB"/>
        </w:rPr>
        <w:t xml:space="preserve"> </w:t>
      </w:r>
      <w:r w:rsidRPr="0088036D">
        <w:rPr>
          <w:lang w:val="en-GB"/>
        </w:rPr>
        <w:t xml:space="preserve">For the siting studies the </w:t>
      </w:r>
      <w:r w:rsidR="00FB7123">
        <w:rPr>
          <w:lang w:val="en-GB"/>
        </w:rPr>
        <w:t>NH</w:t>
      </w:r>
      <w:r w:rsidR="00FB7123" w:rsidRPr="00FB7123">
        <w:rPr>
          <w:vertAlign w:val="subscript"/>
          <w:lang w:val="en-GB"/>
        </w:rPr>
        <w:t>3</w:t>
      </w:r>
      <w:r w:rsidRPr="0088036D">
        <w:rPr>
          <w:lang w:val="en-GB"/>
        </w:rPr>
        <w:t xml:space="preserve"> toxicity is the primary concern, and as the terminal will store more </w:t>
      </w:r>
      <w:r w:rsidR="00FB7123">
        <w:rPr>
          <w:lang w:val="en-GB"/>
        </w:rPr>
        <w:t>NH</w:t>
      </w:r>
      <w:r w:rsidR="00FB7123" w:rsidRPr="00FB7123">
        <w:rPr>
          <w:vertAlign w:val="subscript"/>
          <w:lang w:val="en-GB"/>
        </w:rPr>
        <w:t>3</w:t>
      </w:r>
      <w:r w:rsidRPr="0088036D">
        <w:rPr>
          <w:lang w:val="en-GB"/>
        </w:rPr>
        <w:t xml:space="preserve"> than 200 tonnes, the Seveso-III upper tier major accident legislation applies. To develop required risk contours for the approval, all possible loss of containment scenarios must be evaluated considering expected leak rates and durations from statistical rupture and hole size frequency distributions. These scenarios must be evaluated considering the actual geometry and terrain and actual distribution of wind speed and direction. The toxic dose fatality probability contribution must then be assessed using probit functions considering exposure concentration and duration for each leak scenario, wind direction, wind speed and distance. In addition to defining risk contours temporary safety zones during bunkering must be established using a consequence-based approach estimating the maximum distance to 1% fatality risk in case of hose rupture with expected safety systems working as intended.</w:t>
      </w:r>
      <w:r>
        <w:rPr>
          <w:lang w:val="en-GB"/>
        </w:rPr>
        <w:t xml:space="preserve"> </w:t>
      </w:r>
      <w:r w:rsidRPr="0088036D">
        <w:rPr>
          <w:lang w:val="en-GB"/>
        </w:rPr>
        <w:t xml:space="preserve">The leak and dispersion dynamics of liquid </w:t>
      </w:r>
      <w:r w:rsidR="00AD3109">
        <w:rPr>
          <w:lang w:val="en-GB"/>
        </w:rPr>
        <w:t>NH</w:t>
      </w:r>
      <w:r w:rsidR="00AD3109" w:rsidRPr="00AD3109">
        <w:rPr>
          <w:vertAlign w:val="subscript"/>
          <w:lang w:val="en-GB"/>
        </w:rPr>
        <w:t>3</w:t>
      </w:r>
      <w:r w:rsidRPr="0088036D">
        <w:rPr>
          <w:lang w:val="en-GB"/>
        </w:rPr>
        <w:t xml:space="preserve"> strongly depend on storage temperature and pressure. For storage near the boiling point there is no overpressure to push liquid </w:t>
      </w:r>
      <w:r w:rsidR="00AD3109">
        <w:rPr>
          <w:lang w:val="en-GB"/>
        </w:rPr>
        <w:t>NH</w:t>
      </w:r>
      <w:r w:rsidR="00AD3109" w:rsidRPr="00AD3109">
        <w:rPr>
          <w:vertAlign w:val="subscript"/>
          <w:lang w:val="en-GB"/>
        </w:rPr>
        <w:t>3</w:t>
      </w:r>
      <w:r w:rsidRPr="0088036D">
        <w:rPr>
          <w:lang w:val="en-GB"/>
        </w:rPr>
        <w:t xml:space="preserve"> out of the tank through top penetrations, while with increasing temperature and saturation pressure a larger fraction of the tank content can be pushed out as liquid </w:t>
      </w:r>
      <w:r w:rsidR="00AD3109">
        <w:rPr>
          <w:lang w:val="en-GB"/>
        </w:rPr>
        <w:t>NH</w:t>
      </w:r>
      <w:r w:rsidR="00AD3109" w:rsidRPr="00AD3109">
        <w:rPr>
          <w:vertAlign w:val="subscript"/>
          <w:lang w:val="en-GB"/>
        </w:rPr>
        <w:t>3</w:t>
      </w:r>
      <w:r w:rsidRPr="0088036D">
        <w:rPr>
          <w:lang w:val="en-GB"/>
        </w:rPr>
        <w:t xml:space="preserve"> in the tank will boil when the pressure reduces. Leaks of refrigerated and semi-refrigerated </w:t>
      </w:r>
      <w:r w:rsidR="00AD3109">
        <w:rPr>
          <w:lang w:val="en-GB"/>
        </w:rPr>
        <w:t>NH</w:t>
      </w:r>
      <w:r w:rsidR="00AD3109" w:rsidRPr="00AD3109">
        <w:rPr>
          <w:vertAlign w:val="subscript"/>
          <w:lang w:val="en-GB"/>
        </w:rPr>
        <w:t>3</w:t>
      </w:r>
      <w:r w:rsidRPr="0088036D">
        <w:rPr>
          <w:lang w:val="en-GB"/>
        </w:rPr>
        <w:t xml:space="preserve"> (&lt; 0 °C) will generally form buoyant plumes. Evaporation rates will be limited by heat transfer and cooling of substrate. When spilled onto water a major fraction of liquid </w:t>
      </w:r>
      <w:r w:rsidR="00AD3109">
        <w:rPr>
          <w:lang w:val="en-GB"/>
        </w:rPr>
        <w:t>NH</w:t>
      </w:r>
      <w:r w:rsidR="00AD3109" w:rsidRPr="00AD3109">
        <w:rPr>
          <w:vertAlign w:val="subscript"/>
          <w:lang w:val="en-GB"/>
        </w:rPr>
        <w:t>3</w:t>
      </w:r>
      <w:r w:rsidRPr="0088036D">
        <w:rPr>
          <w:lang w:val="en-GB"/>
        </w:rPr>
        <w:t xml:space="preserve"> will dissolve in water, while the spill dynamics will decide whether the evaporation of the remaining 30% or more is immediate or spread over minutes. For releases of warm liquid </w:t>
      </w:r>
      <w:r w:rsidR="00AD3109">
        <w:rPr>
          <w:lang w:val="en-GB"/>
        </w:rPr>
        <w:t>NH</w:t>
      </w:r>
      <w:r w:rsidR="00AD3109" w:rsidRPr="00AD3109">
        <w:rPr>
          <w:vertAlign w:val="subscript"/>
          <w:lang w:val="en-GB"/>
        </w:rPr>
        <w:t>3</w:t>
      </w:r>
      <w:r w:rsidRPr="0088036D">
        <w:rPr>
          <w:lang w:val="en-GB"/>
        </w:rPr>
        <w:t xml:space="preserve"> (&gt; 10 °C) most </w:t>
      </w:r>
      <w:r w:rsidR="00AD3109">
        <w:rPr>
          <w:lang w:val="en-GB"/>
        </w:rPr>
        <w:t>NH</w:t>
      </w:r>
      <w:r w:rsidR="00AD3109" w:rsidRPr="00AD3109">
        <w:rPr>
          <w:vertAlign w:val="subscript"/>
          <w:lang w:val="en-GB"/>
        </w:rPr>
        <w:t>3</w:t>
      </w:r>
      <w:r w:rsidRPr="0088036D">
        <w:rPr>
          <w:lang w:val="en-GB"/>
        </w:rPr>
        <w:t xml:space="preserve"> is expected to flash-boil and form denser than air plumes with extensive hazard distances.</w:t>
      </w:r>
      <w:r>
        <w:rPr>
          <w:lang w:val="en-GB"/>
        </w:rPr>
        <w:t xml:space="preserve"> </w:t>
      </w:r>
      <w:r w:rsidRPr="0088036D">
        <w:rPr>
          <w:lang w:val="en-GB"/>
        </w:rPr>
        <w:t xml:space="preserve">The complexity of the </w:t>
      </w:r>
      <w:r w:rsidR="00AD3109">
        <w:rPr>
          <w:lang w:val="en-GB"/>
        </w:rPr>
        <w:t>NH</w:t>
      </w:r>
      <w:r w:rsidR="00AD3109" w:rsidRPr="00AD3109">
        <w:rPr>
          <w:vertAlign w:val="subscript"/>
          <w:lang w:val="en-GB"/>
        </w:rPr>
        <w:t>3</w:t>
      </w:r>
      <w:r w:rsidRPr="0088036D">
        <w:rPr>
          <w:lang w:val="en-GB"/>
        </w:rPr>
        <w:t xml:space="preserve"> siting studies is high. Even with leaks grouped into 15 scenarios of primary concern, the wind conditions simplified to 16 wind directions and 4 wind speed categories, consequences from 1000 scenarios would need to be assessed, considering transient concentration predictions at 100 different distances from leaks with duration of seconds, minutes or hours. Only a limited number of scenarios is feasible to model in detail using computational fluid dynamics (CFD). If simpler plume models are used for dispersion, important geometry details near the site and terrain will generally be ignored. The article will describe the assessment and illustrate how a limited use of CFD modelling can help improve the precision of the study.</w:t>
      </w:r>
      <w:bookmarkEnd w:id="1"/>
      <w:r w:rsidR="006A6DE5" w:rsidRPr="00B60AE4">
        <w:t xml:space="preserve"> </w:t>
      </w:r>
    </w:p>
    <w:p w14:paraId="476B2F2E" w14:textId="52B36035" w:rsidR="00600535" w:rsidRDefault="00600535" w:rsidP="00600535">
      <w:pPr>
        <w:pStyle w:val="CETHeading1"/>
        <w:rPr>
          <w:lang w:val="en-GB"/>
        </w:rPr>
      </w:pPr>
      <w:r w:rsidRPr="00B57B36">
        <w:rPr>
          <w:lang w:val="en-GB"/>
        </w:rPr>
        <w:lastRenderedPageBreak/>
        <w:t>Introduction</w:t>
      </w:r>
    </w:p>
    <w:p w14:paraId="5A29106A" w14:textId="4413C3DB" w:rsidR="00301061" w:rsidRPr="00301061" w:rsidRDefault="00E12752" w:rsidP="00301061">
      <w:pPr>
        <w:pStyle w:val="CETBodytext"/>
        <w:rPr>
          <w:lang w:val="en-GB"/>
        </w:rPr>
      </w:pPr>
      <w:r>
        <w:rPr>
          <w:lang w:val="en-GB"/>
        </w:rPr>
        <w:t>NH</w:t>
      </w:r>
      <w:r w:rsidRPr="00E12752">
        <w:rPr>
          <w:vertAlign w:val="subscript"/>
          <w:lang w:val="en-GB"/>
        </w:rPr>
        <w:t>3</w:t>
      </w:r>
      <w:r w:rsidR="00D25150">
        <w:rPr>
          <w:lang w:val="en-GB"/>
        </w:rPr>
        <w:t xml:space="preserve"> is </w:t>
      </w:r>
      <w:r w:rsidR="00AC0A4B">
        <w:rPr>
          <w:lang w:val="en-GB"/>
        </w:rPr>
        <w:t xml:space="preserve">being </w:t>
      </w:r>
      <w:r w:rsidR="00D80C88">
        <w:rPr>
          <w:lang w:val="en-GB"/>
        </w:rPr>
        <w:t xml:space="preserve">introduced as a </w:t>
      </w:r>
      <w:r w:rsidR="00AC0A4B">
        <w:rPr>
          <w:lang w:val="en-GB"/>
        </w:rPr>
        <w:t xml:space="preserve">zero-carbon </w:t>
      </w:r>
      <w:r w:rsidR="00D80C88">
        <w:rPr>
          <w:lang w:val="en-GB"/>
        </w:rPr>
        <w:t>fuel for ships</w:t>
      </w:r>
      <w:r w:rsidR="006F22CE">
        <w:rPr>
          <w:lang w:val="en-GB"/>
        </w:rPr>
        <w:t xml:space="preserve">. At IMO CCC10 meetings in September 2024 Interim guidelines for ships using </w:t>
      </w:r>
      <w:r>
        <w:rPr>
          <w:lang w:val="en-GB"/>
        </w:rPr>
        <w:t>NH</w:t>
      </w:r>
      <w:r w:rsidRPr="00E12752">
        <w:rPr>
          <w:vertAlign w:val="subscript"/>
          <w:lang w:val="en-GB"/>
        </w:rPr>
        <w:t>3</w:t>
      </w:r>
      <w:r w:rsidR="006F22CE">
        <w:rPr>
          <w:lang w:val="en-GB"/>
        </w:rPr>
        <w:t xml:space="preserve"> as fuel</w:t>
      </w:r>
      <w:r w:rsidR="001E0A5A">
        <w:rPr>
          <w:lang w:val="en-GB"/>
        </w:rPr>
        <w:t xml:space="preserve"> were agreed</w:t>
      </w:r>
      <w:r w:rsidR="000E5B6D">
        <w:rPr>
          <w:lang w:val="en-GB"/>
        </w:rPr>
        <w:t xml:space="preserve">, which is assumed to </w:t>
      </w:r>
      <w:r>
        <w:rPr>
          <w:lang w:val="en-GB"/>
        </w:rPr>
        <w:t>accelerate the construction of ships using NH</w:t>
      </w:r>
      <w:r w:rsidRPr="00E12752">
        <w:rPr>
          <w:vertAlign w:val="subscript"/>
          <w:lang w:val="en-GB"/>
        </w:rPr>
        <w:t>3</w:t>
      </w:r>
      <w:r>
        <w:rPr>
          <w:lang w:val="en-GB"/>
        </w:rPr>
        <w:t xml:space="preserve"> as fuel</w:t>
      </w:r>
      <w:r w:rsidR="001E0A5A">
        <w:rPr>
          <w:lang w:val="en-GB"/>
        </w:rPr>
        <w:t>.</w:t>
      </w:r>
      <w:r w:rsidR="00E954B6">
        <w:rPr>
          <w:lang w:val="en-GB"/>
        </w:rPr>
        <w:t xml:space="preserve"> </w:t>
      </w:r>
      <w:r w:rsidR="00A96FF3">
        <w:rPr>
          <w:lang w:val="en-GB"/>
        </w:rPr>
        <w:t>To prevent a “chicken-and-egg” situation</w:t>
      </w:r>
      <w:r w:rsidR="00BE5A94">
        <w:rPr>
          <w:lang w:val="en-GB"/>
        </w:rPr>
        <w:t xml:space="preserve"> in this situation partners with the Ammonia Fuel Bunkering Network</w:t>
      </w:r>
      <w:r w:rsidR="00C670DE">
        <w:rPr>
          <w:lang w:val="en-GB"/>
        </w:rPr>
        <w:t xml:space="preserve"> (AFBN) have worked actively on many fronts since 2020. </w:t>
      </w:r>
      <w:r w:rsidR="00006C89">
        <w:rPr>
          <w:lang w:val="en-GB"/>
        </w:rPr>
        <w:t>Early</w:t>
      </w:r>
      <w:r w:rsidR="00BB5EAC">
        <w:rPr>
          <w:lang w:val="en-GB"/>
        </w:rPr>
        <w:t xml:space="preserve"> 2024 Azane</w:t>
      </w:r>
      <w:r w:rsidR="00C31B55">
        <w:rPr>
          <w:lang w:val="en-GB"/>
        </w:rPr>
        <w:t xml:space="preserve">, together with Yara Clean Ammonia </w:t>
      </w:r>
      <w:r w:rsidR="00663365">
        <w:rPr>
          <w:lang w:val="en-GB"/>
        </w:rPr>
        <w:t xml:space="preserve">supported by </w:t>
      </w:r>
      <w:r w:rsidR="00C670DE">
        <w:rPr>
          <w:lang w:val="en-GB"/>
        </w:rPr>
        <w:t xml:space="preserve">AFBN </w:t>
      </w:r>
      <w:r w:rsidR="00F836A0">
        <w:rPr>
          <w:lang w:val="en-GB"/>
        </w:rPr>
        <w:t>partners</w:t>
      </w:r>
      <w:r w:rsidR="00C670DE">
        <w:rPr>
          <w:lang w:val="en-GB"/>
        </w:rPr>
        <w:t xml:space="preserve"> </w:t>
      </w:r>
      <w:r w:rsidR="00F836A0">
        <w:rPr>
          <w:lang w:val="en-GB"/>
        </w:rPr>
        <w:t>received a permit to build an NH</w:t>
      </w:r>
      <w:r w:rsidR="00F836A0" w:rsidRPr="00962237">
        <w:rPr>
          <w:vertAlign w:val="subscript"/>
          <w:lang w:val="en-GB"/>
        </w:rPr>
        <w:t>3</w:t>
      </w:r>
      <w:r w:rsidR="00F836A0">
        <w:rPr>
          <w:lang w:val="en-GB"/>
        </w:rPr>
        <w:t xml:space="preserve"> bunkering terminal at Fjord Base in Florø, Norway.</w:t>
      </w:r>
      <w:r w:rsidR="00252965">
        <w:rPr>
          <w:lang w:val="en-GB"/>
        </w:rPr>
        <w:t xml:space="preserve"> </w:t>
      </w:r>
      <w:r w:rsidR="00CF239C">
        <w:rPr>
          <w:lang w:val="en-GB"/>
        </w:rPr>
        <w:t xml:space="preserve">June 2024 Yara started </w:t>
      </w:r>
      <w:r w:rsidR="00B8040D">
        <w:rPr>
          <w:lang w:val="en-GB"/>
        </w:rPr>
        <w:t xml:space="preserve">operation </w:t>
      </w:r>
      <w:r w:rsidR="002E201A">
        <w:rPr>
          <w:lang w:val="en-GB"/>
        </w:rPr>
        <w:t>at their 24 MW (</w:t>
      </w:r>
      <w:r w:rsidR="00A61BA5">
        <w:rPr>
          <w:lang w:val="en-GB"/>
        </w:rPr>
        <w:t xml:space="preserve">10 </w:t>
      </w:r>
      <w:r w:rsidR="002E201A">
        <w:rPr>
          <w:lang w:val="en-GB"/>
        </w:rPr>
        <w:t xml:space="preserve">tpd) </w:t>
      </w:r>
      <w:r w:rsidR="00501DF1">
        <w:rPr>
          <w:lang w:val="en-GB"/>
        </w:rPr>
        <w:t xml:space="preserve">green hydrogen </w:t>
      </w:r>
      <w:r w:rsidR="00D52346">
        <w:rPr>
          <w:lang w:val="en-GB"/>
        </w:rPr>
        <w:t>production</w:t>
      </w:r>
      <w:r w:rsidR="00B8040D">
        <w:rPr>
          <w:lang w:val="en-GB"/>
        </w:rPr>
        <w:t xml:space="preserve"> by PEM-electrolysis</w:t>
      </w:r>
      <w:r w:rsidR="00D52346">
        <w:rPr>
          <w:lang w:val="en-GB"/>
        </w:rPr>
        <w:t xml:space="preserve"> </w:t>
      </w:r>
      <w:r w:rsidR="00FB5CFA">
        <w:rPr>
          <w:lang w:val="en-GB"/>
        </w:rPr>
        <w:t>(55 tpd NH</w:t>
      </w:r>
      <w:r w:rsidR="00FB5CFA" w:rsidRPr="00FB5CFA">
        <w:rPr>
          <w:vertAlign w:val="subscript"/>
          <w:lang w:val="en-GB"/>
        </w:rPr>
        <w:t>3</w:t>
      </w:r>
      <w:r w:rsidR="00FB5CFA">
        <w:rPr>
          <w:lang w:val="en-GB"/>
        </w:rPr>
        <w:t>)</w:t>
      </w:r>
      <w:r w:rsidR="0044683B">
        <w:rPr>
          <w:lang w:val="en-GB"/>
        </w:rPr>
        <w:t xml:space="preserve"> in Porsgrunn, Norway</w:t>
      </w:r>
      <w:r w:rsidR="00CB2C25">
        <w:rPr>
          <w:lang w:val="en-GB"/>
        </w:rPr>
        <w:t>.</w:t>
      </w:r>
      <w:r w:rsidR="00514A5F">
        <w:rPr>
          <w:lang w:val="en-GB"/>
        </w:rPr>
        <w:t xml:space="preserve"> </w:t>
      </w:r>
      <w:r w:rsidR="00476A24">
        <w:rPr>
          <w:lang w:val="en-GB"/>
        </w:rPr>
        <w:t xml:space="preserve">In </w:t>
      </w:r>
      <w:r w:rsidR="00946614">
        <w:rPr>
          <w:lang w:val="en-GB"/>
        </w:rPr>
        <w:t xml:space="preserve">March </w:t>
      </w:r>
      <w:r w:rsidR="00476A24">
        <w:rPr>
          <w:lang w:val="en-GB"/>
        </w:rPr>
        <w:t xml:space="preserve">2022 Amon Maritime received the first approval in principle from class (DNV) and </w:t>
      </w:r>
      <w:r w:rsidR="00D405D3">
        <w:rPr>
          <w:lang w:val="en-GB"/>
        </w:rPr>
        <w:t xml:space="preserve">a </w:t>
      </w:r>
      <w:r w:rsidR="00946614">
        <w:rPr>
          <w:lang w:val="en-GB"/>
        </w:rPr>
        <w:t xml:space="preserve">preliminary design approval from the Norwegian </w:t>
      </w:r>
      <w:r w:rsidR="00D405D3">
        <w:rPr>
          <w:lang w:val="en-GB"/>
        </w:rPr>
        <w:t xml:space="preserve">Maritime Authorities (NMA) for their prototype </w:t>
      </w:r>
      <w:r w:rsidR="00514A5F">
        <w:rPr>
          <w:lang w:val="en-GB"/>
        </w:rPr>
        <w:t xml:space="preserve">platform supply vessel </w:t>
      </w:r>
      <w:r w:rsidR="000B16A8">
        <w:rPr>
          <w:lang w:val="en-GB"/>
        </w:rPr>
        <w:t>(PSV)</w:t>
      </w:r>
      <w:r w:rsidR="00D405D3">
        <w:rPr>
          <w:lang w:val="en-GB"/>
        </w:rPr>
        <w:t xml:space="preserve">, </w:t>
      </w:r>
      <w:r w:rsidR="008C6B05">
        <w:rPr>
          <w:lang w:val="en-GB"/>
        </w:rPr>
        <w:t xml:space="preserve">the first </w:t>
      </w:r>
      <w:r w:rsidR="00353A36">
        <w:rPr>
          <w:lang w:val="en-GB"/>
        </w:rPr>
        <w:t xml:space="preserve">preliminary flag approval for an ammonia powered ship in the world. In </w:t>
      </w:r>
      <w:r w:rsidR="00D405D3">
        <w:rPr>
          <w:lang w:val="en-GB"/>
        </w:rPr>
        <w:t xml:space="preserve">2023 </w:t>
      </w:r>
      <w:r w:rsidR="00A91F78">
        <w:rPr>
          <w:lang w:val="en-GB"/>
        </w:rPr>
        <w:t xml:space="preserve">Viridis Bulk Carriers </w:t>
      </w:r>
      <w:r w:rsidR="00E55BC7">
        <w:rPr>
          <w:lang w:val="en-GB"/>
        </w:rPr>
        <w:t>received approval in principle for an ammonia-fuelled bulk carrier from B</w:t>
      </w:r>
      <w:r w:rsidR="004948C9">
        <w:rPr>
          <w:lang w:val="en-GB"/>
        </w:rPr>
        <w:t xml:space="preserve">ureau </w:t>
      </w:r>
      <w:r w:rsidR="00E55BC7">
        <w:rPr>
          <w:lang w:val="en-GB"/>
        </w:rPr>
        <w:t>V</w:t>
      </w:r>
      <w:r w:rsidR="004948C9">
        <w:rPr>
          <w:lang w:val="en-GB"/>
        </w:rPr>
        <w:t>eritas</w:t>
      </w:r>
      <w:r w:rsidR="00E55BC7">
        <w:rPr>
          <w:lang w:val="en-GB"/>
        </w:rPr>
        <w:t>.</w:t>
      </w:r>
      <w:r w:rsidR="004948C9">
        <w:rPr>
          <w:lang w:val="en-GB"/>
        </w:rPr>
        <w:t xml:space="preserve"> </w:t>
      </w:r>
      <w:r w:rsidR="00277C12">
        <w:rPr>
          <w:lang w:val="en-GB"/>
        </w:rPr>
        <w:t xml:space="preserve">HYEX Safety has supported </w:t>
      </w:r>
      <w:r w:rsidR="00EB64DB">
        <w:rPr>
          <w:lang w:val="en-GB"/>
        </w:rPr>
        <w:t xml:space="preserve">the AFBN and </w:t>
      </w:r>
      <w:r w:rsidR="00A012E0">
        <w:rPr>
          <w:lang w:val="en-GB"/>
        </w:rPr>
        <w:t>members</w:t>
      </w:r>
      <w:r w:rsidR="009125BD">
        <w:rPr>
          <w:lang w:val="en-GB"/>
        </w:rPr>
        <w:t xml:space="preserve"> with </w:t>
      </w:r>
      <w:r w:rsidR="00EB64DB">
        <w:rPr>
          <w:lang w:val="en-GB"/>
        </w:rPr>
        <w:t>safety</w:t>
      </w:r>
      <w:r w:rsidR="00C74A73">
        <w:rPr>
          <w:lang w:val="en-GB"/>
        </w:rPr>
        <w:t xml:space="preserve"> </w:t>
      </w:r>
      <w:r w:rsidR="00773F84">
        <w:rPr>
          <w:lang w:val="en-GB"/>
        </w:rPr>
        <w:t>studies</w:t>
      </w:r>
      <w:r w:rsidR="00C74A73">
        <w:rPr>
          <w:lang w:val="en-GB"/>
        </w:rPr>
        <w:t xml:space="preserve"> for </w:t>
      </w:r>
      <w:r w:rsidR="00773F84">
        <w:rPr>
          <w:lang w:val="en-GB"/>
        </w:rPr>
        <w:t xml:space="preserve">concept development and </w:t>
      </w:r>
      <w:r w:rsidR="00C74A73">
        <w:rPr>
          <w:lang w:val="en-GB"/>
        </w:rPr>
        <w:t>permitting processes.</w:t>
      </w:r>
    </w:p>
    <w:p w14:paraId="07CEE41F" w14:textId="6FABCDCF" w:rsidR="00301061" w:rsidRDefault="00D635AA" w:rsidP="00301061">
      <w:pPr>
        <w:pStyle w:val="CETheadingx"/>
      </w:pPr>
      <w:r>
        <w:t>NH</w:t>
      </w:r>
      <w:r w:rsidRPr="00D635AA">
        <w:rPr>
          <w:vertAlign w:val="subscript"/>
        </w:rPr>
        <w:t>3</w:t>
      </w:r>
      <w:r w:rsidR="006A1685">
        <w:t xml:space="preserve"> </w:t>
      </w:r>
      <w:r w:rsidR="00796793">
        <w:t xml:space="preserve">releases </w:t>
      </w:r>
      <w:r w:rsidR="006A1685">
        <w:t xml:space="preserve">– </w:t>
      </w:r>
      <w:r w:rsidR="00C173A3">
        <w:t xml:space="preserve">gas and </w:t>
      </w:r>
      <w:r w:rsidR="006A1685">
        <w:t>cold</w:t>
      </w:r>
      <w:r w:rsidR="00C173A3">
        <w:t xml:space="preserve"> liquid</w:t>
      </w:r>
      <w:r w:rsidR="003A6A11">
        <w:t xml:space="preserve"> form</w:t>
      </w:r>
      <w:r w:rsidR="006A1685">
        <w:t xml:space="preserve"> buoyant </w:t>
      </w:r>
      <w:r w:rsidR="003A6A11">
        <w:t xml:space="preserve">plumes and </w:t>
      </w:r>
      <w:r w:rsidR="006A1685">
        <w:t xml:space="preserve">warm </w:t>
      </w:r>
      <w:r w:rsidR="00796793">
        <w:t>liquid</w:t>
      </w:r>
      <w:r w:rsidR="003A6A11">
        <w:t xml:space="preserve"> </w:t>
      </w:r>
      <w:r w:rsidR="006A1685">
        <w:t>dense</w:t>
      </w:r>
      <w:r>
        <w:t>r than air</w:t>
      </w:r>
      <w:r w:rsidR="003A6A11">
        <w:t xml:space="preserve"> plumes</w:t>
      </w:r>
      <w:r w:rsidR="006A1685">
        <w:t xml:space="preserve"> </w:t>
      </w:r>
    </w:p>
    <w:p w14:paraId="111DBE73" w14:textId="3EB33984" w:rsidR="00134209" w:rsidRDefault="00E830F1" w:rsidP="00600535">
      <w:pPr>
        <w:pStyle w:val="CETBodytext"/>
        <w:rPr>
          <w:lang w:val="en-GB"/>
        </w:rPr>
      </w:pPr>
      <w:r>
        <w:t xml:space="preserve">Toxicity </w:t>
      </w:r>
      <w:r w:rsidR="00627AC3">
        <w:t xml:space="preserve">to </w:t>
      </w:r>
      <w:r w:rsidR="003515F7">
        <w:t>people</w:t>
      </w:r>
      <w:r w:rsidR="00627AC3">
        <w:t xml:space="preserve"> </w:t>
      </w:r>
      <w:r w:rsidR="003515F7">
        <w:t xml:space="preserve">with </w:t>
      </w:r>
      <w:r w:rsidR="00627AC3">
        <w:t xml:space="preserve">exposure </w:t>
      </w:r>
      <w:r>
        <w:t>is the primary safety concern with NH</w:t>
      </w:r>
      <w:r w:rsidRPr="005168AA">
        <w:rPr>
          <w:vertAlign w:val="subscript"/>
        </w:rPr>
        <w:t>3</w:t>
      </w:r>
      <w:r>
        <w:t>.</w:t>
      </w:r>
      <w:r w:rsidR="00540D06">
        <w:t xml:space="preserve"> </w:t>
      </w:r>
      <w:r w:rsidR="00A26AED">
        <w:t>Whi</w:t>
      </w:r>
      <w:r w:rsidR="002B4F82">
        <w:t>le the smell from ammonia is reported at concentrations as low as 5 ppm</w:t>
      </w:r>
      <w:r w:rsidR="001F4E51">
        <w:t xml:space="preserve">, occupational safety thresholds </w:t>
      </w:r>
      <w:r w:rsidR="00D050D5">
        <w:t>(T</w:t>
      </w:r>
      <w:r w:rsidR="001F4E51">
        <w:t>WA</w:t>
      </w:r>
      <w:r w:rsidR="00D050D5">
        <w:t xml:space="preserve"> – 8 h average</w:t>
      </w:r>
      <w:r w:rsidR="001F4E51">
        <w:t>)</w:t>
      </w:r>
      <w:r w:rsidR="00D050D5">
        <w:t xml:space="preserve"> are typically in the range 15-25 ppm</w:t>
      </w:r>
      <w:r w:rsidR="00541609">
        <w:t xml:space="preserve">, while short term limits (STEL – 15 min average) are somewhat higher, in Norway 50 ppm. </w:t>
      </w:r>
      <w:r w:rsidR="00A932E2">
        <w:t>The IDLH-limit is at 300 ppm</w:t>
      </w:r>
      <w:r w:rsidR="00DC7BA1">
        <w:t xml:space="preserve">, derived based on expectation of no irreversible injuries </w:t>
      </w:r>
      <w:r w:rsidR="005A6E36">
        <w:t>for exposure less than 30 minutes.</w:t>
      </w:r>
      <w:r w:rsidR="00D65AED">
        <w:t xml:space="preserve"> </w:t>
      </w:r>
      <w:r w:rsidR="001F0A6D">
        <w:t xml:space="preserve">The fatality </w:t>
      </w:r>
      <w:r w:rsidR="00E74E8E">
        <w:t>probability is a function of dose (exposure concentration and time),</w:t>
      </w:r>
      <w:r w:rsidR="00B83EAA">
        <w:t xml:space="preserve"> for fatality risk within minutes concentrations above 10,000 ppm (1%) is generally required</w:t>
      </w:r>
      <w:r w:rsidR="001C3238">
        <w:t xml:space="preserve">. </w:t>
      </w:r>
      <w:r w:rsidR="00CD49B9">
        <w:t>T</w:t>
      </w:r>
      <w:r w:rsidR="007936C4">
        <w:t>he lower flammability limit is around 150,000 ppm (15%)</w:t>
      </w:r>
      <w:r w:rsidR="00CD49B9">
        <w:t xml:space="preserve">. </w:t>
      </w:r>
      <w:r w:rsidR="009E07F0">
        <w:t>T</w:t>
      </w:r>
      <w:r w:rsidR="00CD49B9">
        <w:t>he reactivity is</w:t>
      </w:r>
      <w:r w:rsidR="00467824">
        <w:t xml:space="preserve"> very low</w:t>
      </w:r>
      <w:r w:rsidR="009E07F0">
        <w:t xml:space="preserve"> with</w:t>
      </w:r>
      <w:r w:rsidR="00CD49B9">
        <w:t xml:space="preserve"> downwards flame propagation</w:t>
      </w:r>
      <w:r w:rsidR="008A0AA9">
        <w:t xml:space="preserve"> </w:t>
      </w:r>
      <w:r w:rsidR="009E07F0">
        <w:t>not predicted possible at room temperature</w:t>
      </w:r>
      <w:r w:rsidR="005620F4">
        <w:t>, see illustration from</w:t>
      </w:r>
      <w:r w:rsidR="009E07F0">
        <w:t xml:space="preserve"> (Coward &amp; Jones, 1952)</w:t>
      </w:r>
      <w:r w:rsidR="005620F4">
        <w:t xml:space="preserve"> in Figure 1a</w:t>
      </w:r>
      <w:r w:rsidR="009E0396">
        <w:t>.</w:t>
      </w:r>
      <w:r w:rsidR="006A1236">
        <w:t xml:space="preserve"> </w:t>
      </w:r>
      <w:r w:rsidR="009E0396">
        <w:t>E</w:t>
      </w:r>
      <w:r w:rsidR="006A1236">
        <w:t>xplosion risk is primarily a concern for large,</w:t>
      </w:r>
      <w:r w:rsidR="003E62B8">
        <w:t xml:space="preserve"> </w:t>
      </w:r>
      <w:r w:rsidR="006A1236">
        <w:t>indoor releases.</w:t>
      </w:r>
      <w:r w:rsidR="00A103A2">
        <w:t xml:space="preserve"> With </w:t>
      </w:r>
      <w:r w:rsidR="00735725">
        <w:t>a few exceptions of limited practical importance</w:t>
      </w:r>
      <w:r w:rsidR="001A5F9E">
        <w:t xml:space="preserve">, gas phase releases and evaporation </w:t>
      </w:r>
      <w:r w:rsidR="00C7330B">
        <w:t>of spills o</w:t>
      </w:r>
      <w:r w:rsidR="00143E81">
        <w:t xml:space="preserve">f </w:t>
      </w:r>
      <w:r w:rsidR="008E213A">
        <w:t>refrigerated</w:t>
      </w:r>
      <w:r w:rsidR="00143E81">
        <w:t xml:space="preserve"> </w:t>
      </w:r>
      <w:r w:rsidR="008E213A">
        <w:t>NH</w:t>
      </w:r>
      <w:r w:rsidR="008E213A" w:rsidRPr="008E213A">
        <w:rPr>
          <w:vertAlign w:val="subscript"/>
        </w:rPr>
        <w:t>3</w:t>
      </w:r>
      <w:r w:rsidR="00143E81">
        <w:t xml:space="preserve"> at ambient pressur</w:t>
      </w:r>
      <w:r w:rsidR="00EC2CE8">
        <w:t xml:space="preserve">e form plumes which are buoyant in air. </w:t>
      </w:r>
      <w:r w:rsidR="00E523C9">
        <w:t xml:space="preserve">Unless trapped near ground </w:t>
      </w:r>
      <w:r w:rsidR="00861CC6">
        <w:t xml:space="preserve">(and diluted) </w:t>
      </w:r>
      <w:r w:rsidR="00E523C9">
        <w:t>by wind,</w:t>
      </w:r>
      <w:r w:rsidR="00861CC6">
        <w:t xml:space="preserve"> </w:t>
      </w:r>
      <w:r w:rsidR="00697830">
        <w:t xml:space="preserve">the bulk of </w:t>
      </w:r>
      <w:r w:rsidR="00861CC6">
        <w:t>such releases will be</w:t>
      </w:r>
      <w:r w:rsidR="00E271F1">
        <w:t>come</w:t>
      </w:r>
      <w:r w:rsidR="00861CC6">
        <w:t xml:space="preserve"> buoyant and lift off the ground.</w:t>
      </w:r>
      <w:r w:rsidR="00281D64">
        <w:t xml:space="preserve"> </w:t>
      </w:r>
      <w:r w:rsidR="00EC6938">
        <w:t>F</w:t>
      </w:r>
      <w:r w:rsidR="00281D64">
        <w:t xml:space="preserve">or </w:t>
      </w:r>
      <w:r w:rsidR="00985385">
        <w:t xml:space="preserve">releases from </w:t>
      </w:r>
      <w:r w:rsidR="00281D64">
        <w:t>semi-refrigerated</w:t>
      </w:r>
      <w:r w:rsidR="00985385">
        <w:t xml:space="preserve"> NH</w:t>
      </w:r>
      <w:r w:rsidR="00985385" w:rsidRPr="00985385">
        <w:rPr>
          <w:vertAlign w:val="subscript"/>
        </w:rPr>
        <w:t>3</w:t>
      </w:r>
      <w:r w:rsidR="00985385">
        <w:t xml:space="preserve">, plumes formed </w:t>
      </w:r>
      <w:r w:rsidR="00E758D4">
        <w:t>from evaporation of</w:t>
      </w:r>
      <w:r w:rsidR="00985385">
        <w:t xml:space="preserve"> liquid spills</w:t>
      </w:r>
      <w:r w:rsidR="00F45938">
        <w:t xml:space="preserve"> </w:t>
      </w:r>
      <w:r w:rsidR="00985385">
        <w:t>are generally buo</w:t>
      </w:r>
      <w:r w:rsidR="00F45938">
        <w:t>yan</w:t>
      </w:r>
      <w:r w:rsidR="00C578F6">
        <w:t xml:space="preserve">t with low aerosol formation. </w:t>
      </w:r>
      <w:r w:rsidR="00DB08E1">
        <w:t>T</w:t>
      </w:r>
      <w:r w:rsidR="00353861">
        <w:t xml:space="preserve">he flash-boiling of superheated </w:t>
      </w:r>
      <w:r w:rsidR="00567686">
        <w:t xml:space="preserve">ambient temperature </w:t>
      </w:r>
      <w:r w:rsidR="00353861">
        <w:t>NH</w:t>
      </w:r>
      <w:r w:rsidR="00353861" w:rsidRPr="00353861">
        <w:rPr>
          <w:vertAlign w:val="subscript"/>
        </w:rPr>
        <w:t>3</w:t>
      </w:r>
      <w:r w:rsidR="00353861">
        <w:t xml:space="preserve"> becomes more aggressive</w:t>
      </w:r>
      <w:r w:rsidR="00994A4C">
        <w:t xml:space="preserve"> </w:t>
      </w:r>
      <w:r w:rsidR="00DB08E1">
        <w:t xml:space="preserve">with increasing pressure </w:t>
      </w:r>
      <w:r w:rsidR="00994A4C">
        <w:t>exploding the liquid spray into aerosol</w:t>
      </w:r>
      <w:r w:rsidR="0064590E">
        <w:t>s</w:t>
      </w:r>
      <w:r w:rsidR="00DB08E1">
        <w:t>.</w:t>
      </w:r>
      <w:r w:rsidR="00353861">
        <w:t xml:space="preserve"> </w:t>
      </w:r>
      <w:r w:rsidR="00DB08E1">
        <w:t>A</w:t>
      </w:r>
      <w:r w:rsidR="001754DF">
        <w:t xml:space="preserve">t </w:t>
      </w:r>
      <w:r w:rsidR="0064590E">
        <w:t xml:space="preserve">storage </w:t>
      </w:r>
      <w:r w:rsidR="001754DF">
        <w:t xml:space="preserve">temperatures of 10 </w:t>
      </w:r>
      <w:r w:rsidR="00E81C96">
        <w:rPr>
          <w:rFonts w:cs="Arial"/>
        </w:rPr>
        <w:t>º</w:t>
      </w:r>
      <w:r w:rsidR="001754DF">
        <w:t xml:space="preserve">C and higher, </w:t>
      </w:r>
      <w:r w:rsidR="00E81C96">
        <w:t>the majority of</w:t>
      </w:r>
      <w:r w:rsidR="001754DF">
        <w:t xml:space="preserve"> NH</w:t>
      </w:r>
      <w:r w:rsidR="001754DF" w:rsidRPr="00E81C96">
        <w:rPr>
          <w:vertAlign w:val="subscript"/>
        </w:rPr>
        <w:t>3</w:t>
      </w:r>
      <w:r w:rsidR="001754DF">
        <w:t xml:space="preserve"> may </w:t>
      </w:r>
      <w:r w:rsidR="0064590E">
        <w:t>form a fine fog</w:t>
      </w:r>
      <w:r w:rsidR="00810DFE">
        <w:t xml:space="preserve">, cool towards -70 </w:t>
      </w:r>
      <w:r w:rsidR="00F114E9">
        <w:rPr>
          <w:rFonts w:cs="Arial"/>
        </w:rPr>
        <w:t>º</w:t>
      </w:r>
      <w:r w:rsidR="00810DFE">
        <w:t>C during evaporation,</w:t>
      </w:r>
      <w:r w:rsidR="0064590E">
        <w:t xml:space="preserve"> and </w:t>
      </w:r>
      <w:r w:rsidR="001754DF">
        <w:t xml:space="preserve">remain </w:t>
      </w:r>
      <w:r w:rsidR="00E81C96">
        <w:t>airborne</w:t>
      </w:r>
      <w:r w:rsidR="00227D2A">
        <w:t xml:space="preserve"> </w:t>
      </w:r>
      <w:r w:rsidR="00EB4233">
        <w:t xml:space="preserve">as a dense plume, </w:t>
      </w:r>
      <w:r w:rsidR="00FD18FD">
        <w:t>see estimates using</w:t>
      </w:r>
      <w:r w:rsidR="00227D2A">
        <w:t xml:space="preserve"> the Flash utility</w:t>
      </w:r>
      <w:r w:rsidR="00D267B9">
        <w:t xml:space="preserve"> program</w:t>
      </w:r>
      <w:r w:rsidR="00227D2A">
        <w:t xml:space="preserve"> </w:t>
      </w:r>
      <w:r w:rsidR="00D267B9">
        <w:t>of FLACS CFD tool</w:t>
      </w:r>
      <w:r w:rsidR="00227D2A">
        <w:t xml:space="preserve"> </w:t>
      </w:r>
      <w:r w:rsidR="00615451">
        <w:t xml:space="preserve">in Figure </w:t>
      </w:r>
      <w:r w:rsidR="00EB4233">
        <w:t>1</w:t>
      </w:r>
      <w:r w:rsidR="00615451">
        <w:t>b.</w:t>
      </w:r>
    </w:p>
    <w:p w14:paraId="6FF99492" w14:textId="21DFD20E" w:rsidR="00F061EC" w:rsidRDefault="00476324" w:rsidP="00600535">
      <w:pPr>
        <w:pStyle w:val="CETBodytext"/>
        <w:rPr>
          <w:lang w:val="en-GB"/>
        </w:rPr>
      </w:pPr>
      <w:r>
        <w:rPr>
          <w:noProof/>
          <w:lang w:val="en-GB"/>
        </w:rPr>
        <w:drawing>
          <wp:inline distT="0" distB="0" distL="0" distR="0" wp14:anchorId="228A2E2B" wp14:editId="240DAB7F">
            <wp:extent cx="2485148" cy="2113129"/>
            <wp:effectExtent l="0" t="0" r="0" b="1905"/>
            <wp:docPr id="1848664891" name="Picture 9" descr="Graph of a graph showing the amount of air in the temperature and the amount of air in the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4891" name="Picture 9" descr="Graph of a graph showing the amount of air in the temperature and the amount of air in the temperatur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4969" r="14940" b="6345"/>
                    <a:stretch/>
                  </pic:blipFill>
                  <pic:spPr bwMode="auto">
                    <a:xfrm>
                      <a:off x="0" y="0"/>
                      <a:ext cx="2554274" cy="2171907"/>
                    </a:xfrm>
                    <a:prstGeom prst="rect">
                      <a:avLst/>
                    </a:prstGeom>
                    <a:noFill/>
                    <a:ln>
                      <a:noFill/>
                    </a:ln>
                    <a:extLst>
                      <a:ext uri="{53640926-AAD7-44D8-BBD7-CCE9431645EC}">
                        <a14:shadowObscured xmlns:a14="http://schemas.microsoft.com/office/drawing/2010/main"/>
                      </a:ext>
                    </a:extLst>
                  </pic:spPr>
                </pic:pic>
              </a:graphicData>
            </a:graphic>
          </wp:inline>
        </w:drawing>
      </w:r>
      <w:r w:rsidR="003C671F">
        <w:rPr>
          <w:noProof/>
          <w:lang w:val="en-GB"/>
        </w:rPr>
        <w:drawing>
          <wp:inline distT="0" distB="0" distL="0" distR="0" wp14:anchorId="4759167A" wp14:editId="5883FB3D">
            <wp:extent cx="3046131" cy="2109150"/>
            <wp:effectExtent l="0" t="0" r="0" b="0"/>
            <wp:docPr id="9620722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131" cy="2109150"/>
                    </a:xfrm>
                    <a:prstGeom prst="rect">
                      <a:avLst/>
                    </a:prstGeom>
                    <a:noFill/>
                  </pic:spPr>
                </pic:pic>
              </a:graphicData>
            </a:graphic>
          </wp:inline>
        </w:drawing>
      </w:r>
    </w:p>
    <w:p w14:paraId="73A1306F" w14:textId="77777777" w:rsidR="00651209" w:rsidRDefault="00F061EC" w:rsidP="00F061EC">
      <w:pPr>
        <w:pStyle w:val="CETCaption"/>
        <w:rPr>
          <w:rStyle w:val="CETCaptionCarattere"/>
          <w:i/>
        </w:rPr>
      </w:pPr>
      <w:r w:rsidRPr="00BD077D">
        <w:rPr>
          <w:rStyle w:val="CETCaptionCarattere"/>
          <w:i/>
        </w:rPr>
        <w:t xml:space="preserve">Figure 1: </w:t>
      </w:r>
      <w:r w:rsidR="00476324">
        <w:rPr>
          <w:rStyle w:val="CETCaptionCarattere"/>
          <w:i/>
        </w:rPr>
        <w:t xml:space="preserve">Concentration/temperature limits (left) for upward, horizontal and downward flames (Coward </w:t>
      </w:r>
      <w:r w:rsidR="000A170C">
        <w:rPr>
          <w:rStyle w:val="CETCaptionCarattere"/>
          <w:i/>
        </w:rPr>
        <w:t>&amp;</w:t>
      </w:r>
      <w:r w:rsidR="00476324">
        <w:rPr>
          <w:rStyle w:val="CETCaptionCarattere"/>
          <w:i/>
        </w:rPr>
        <w:t xml:space="preserve"> Jones, 1952)</w:t>
      </w:r>
      <w:r w:rsidR="000A170C">
        <w:rPr>
          <w:rStyle w:val="CETCaptionCarattere"/>
          <w:i/>
        </w:rPr>
        <w:t xml:space="preserve">. </w:t>
      </w:r>
      <w:r w:rsidR="00BB1954">
        <w:rPr>
          <w:rStyle w:val="CETCaptionCarattere"/>
          <w:i/>
        </w:rPr>
        <w:t>Estimated fraction of evaporation (blue dots) and airborne gas+aerosols (</w:t>
      </w:r>
      <w:r w:rsidR="00F329EC">
        <w:rPr>
          <w:rStyle w:val="CETCaptionCarattere"/>
          <w:i/>
        </w:rPr>
        <w:t>orange squares) for</w:t>
      </w:r>
      <w:r w:rsidR="00401F59">
        <w:rPr>
          <w:rStyle w:val="CETCaptionCarattere"/>
          <w:i/>
        </w:rPr>
        <w:t xml:space="preserve"> </w:t>
      </w:r>
      <w:r w:rsidR="005A4CB9">
        <w:rPr>
          <w:rStyle w:val="CETCaptionCarattere"/>
          <w:i/>
        </w:rPr>
        <w:t xml:space="preserve">leaks from </w:t>
      </w:r>
      <w:r w:rsidR="00401F59">
        <w:rPr>
          <w:rStyle w:val="CETCaptionCarattere"/>
          <w:i/>
        </w:rPr>
        <w:t>refrigerated</w:t>
      </w:r>
      <w:r w:rsidR="001147A8">
        <w:rPr>
          <w:rStyle w:val="CETCaptionCarattere"/>
          <w:i/>
        </w:rPr>
        <w:t xml:space="preserve"> (</w:t>
      </w:r>
      <w:r w:rsidR="00984B7A">
        <w:rPr>
          <w:rStyle w:val="CETCaptionCarattere"/>
          <w:i/>
        </w:rPr>
        <w:t xml:space="preserve">T &lt; </w:t>
      </w:r>
      <w:r w:rsidR="00E10A8C">
        <w:rPr>
          <w:rStyle w:val="CETCaptionCarattere"/>
          <w:i/>
        </w:rPr>
        <w:t xml:space="preserve">-33 </w:t>
      </w:r>
      <w:r w:rsidR="004B6F58">
        <w:rPr>
          <w:rStyle w:val="CETCaptionCarattere"/>
          <w:rFonts w:cs="Arial"/>
          <w:i/>
        </w:rPr>
        <w:t>º</w:t>
      </w:r>
      <w:r w:rsidR="00E10A8C">
        <w:rPr>
          <w:rStyle w:val="CETCaptionCarattere"/>
          <w:i/>
        </w:rPr>
        <w:t>C green)</w:t>
      </w:r>
      <w:r w:rsidR="004B6F58">
        <w:rPr>
          <w:rStyle w:val="CETCaptionCarattere"/>
          <w:i/>
        </w:rPr>
        <w:t>, semi-refrigerated (</w:t>
      </w:r>
      <w:r w:rsidR="00984B7A">
        <w:rPr>
          <w:rStyle w:val="CETCaptionCarattere"/>
          <w:i/>
        </w:rPr>
        <w:t>T &lt; -</w:t>
      </w:r>
      <w:r w:rsidR="004B6F58">
        <w:rPr>
          <w:rStyle w:val="CETCaptionCarattere"/>
          <w:i/>
        </w:rPr>
        <w:t xml:space="preserve">2 </w:t>
      </w:r>
      <w:r w:rsidR="00401F59">
        <w:rPr>
          <w:rStyle w:val="CETCaptionCarattere"/>
          <w:rFonts w:cs="Arial"/>
          <w:i/>
        </w:rPr>
        <w:t>º</w:t>
      </w:r>
      <w:r w:rsidR="004B6F58">
        <w:rPr>
          <w:rStyle w:val="CETCaptionCarattere"/>
          <w:i/>
        </w:rPr>
        <w:t>C blue)</w:t>
      </w:r>
      <w:r w:rsidR="009A38BC">
        <w:rPr>
          <w:rStyle w:val="CETCaptionCarattere"/>
          <w:i/>
        </w:rPr>
        <w:t xml:space="preserve"> and pressurized (ambient </w:t>
      </w:r>
      <w:r w:rsidR="00984B7A">
        <w:rPr>
          <w:rStyle w:val="CETCaptionCarattere"/>
          <w:i/>
        </w:rPr>
        <w:t>T</w:t>
      </w:r>
      <w:r w:rsidR="009A38BC">
        <w:rPr>
          <w:rStyle w:val="CETCaptionCarattere"/>
          <w:i/>
        </w:rPr>
        <w:t xml:space="preserve"> – red)</w:t>
      </w:r>
      <w:r w:rsidR="00211BB3">
        <w:rPr>
          <w:rStyle w:val="CETCaptionCarattere"/>
          <w:i/>
        </w:rPr>
        <w:t xml:space="preserve"> </w:t>
      </w:r>
      <w:r w:rsidR="005A4CB9">
        <w:rPr>
          <w:rStyle w:val="CETCaptionCarattere"/>
          <w:i/>
        </w:rPr>
        <w:t>storage</w:t>
      </w:r>
      <w:r>
        <w:rPr>
          <w:rStyle w:val="CETCaptionCarattere"/>
          <w:i/>
        </w:rPr>
        <w:t>.</w:t>
      </w:r>
    </w:p>
    <w:p w14:paraId="79DB95B2" w14:textId="60D25737" w:rsidR="00F061EC" w:rsidRDefault="00175A4F" w:rsidP="008D2028">
      <w:pPr>
        <w:pStyle w:val="CETBodytext"/>
        <w:rPr>
          <w:rStyle w:val="CETCaptionCarattere"/>
          <w:i w:val="0"/>
        </w:rPr>
      </w:pPr>
      <w:r>
        <w:rPr>
          <w:rStyle w:val="CETCaptionCarattere"/>
          <w:i w:val="0"/>
        </w:rPr>
        <w:t xml:space="preserve">For spills </w:t>
      </w:r>
      <w:r w:rsidR="008F67D5">
        <w:rPr>
          <w:rStyle w:val="CETCaptionCarattere"/>
          <w:i w:val="0"/>
        </w:rPr>
        <w:t>falling i</w:t>
      </w:r>
      <w:r>
        <w:rPr>
          <w:rStyle w:val="CETCaptionCarattere"/>
          <w:i w:val="0"/>
        </w:rPr>
        <w:t xml:space="preserve">nto water </w:t>
      </w:r>
      <w:r w:rsidR="00F152A7">
        <w:rPr>
          <w:rStyle w:val="CETCaptionCarattere"/>
          <w:i w:val="0"/>
        </w:rPr>
        <w:t>the majority of NH</w:t>
      </w:r>
      <w:r w:rsidR="00F152A7" w:rsidRPr="008909AD">
        <w:rPr>
          <w:rStyle w:val="CETCaptionCarattere"/>
          <w:i w:val="0"/>
          <w:vertAlign w:val="subscript"/>
        </w:rPr>
        <w:t>3</w:t>
      </w:r>
      <w:r w:rsidR="00F152A7">
        <w:rPr>
          <w:rStyle w:val="CETCaptionCarattere"/>
          <w:i w:val="0"/>
        </w:rPr>
        <w:t xml:space="preserve"> is normally resolved in </w:t>
      </w:r>
      <w:r w:rsidR="008909AD">
        <w:rPr>
          <w:rStyle w:val="CETCaptionCarattere"/>
          <w:i w:val="0"/>
        </w:rPr>
        <w:t xml:space="preserve">water while </w:t>
      </w:r>
      <w:r w:rsidR="00953F92">
        <w:rPr>
          <w:rStyle w:val="CETCaptionCarattere"/>
          <w:i w:val="0"/>
        </w:rPr>
        <w:t xml:space="preserve">a fraction </w:t>
      </w:r>
      <w:r w:rsidR="00BA0993">
        <w:rPr>
          <w:rStyle w:val="CETCaptionCarattere"/>
          <w:i w:val="0"/>
        </w:rPr>
        <w:t>of the order</w:t>
      </w:r>
      <w:r w:rsidR="00D22FBC">
        <w:rPr>
          <w:rStyle w:val="CETCaptionCarattere"/>
          <w:i w:val="0"/>
        </w:rPr>
        <w:t xml:space="preserve"> 35%</w:t>
      </w:r>
      <w:r w:rsidR="00AB77D5">
        <w:rPr>
          <w:rStyle w:val="CETCaptionCarattere"/>
          <w:i w:val="0"/>
        </w:rPr>
        <w:t xml:space="preserve"> or higher</w:t>
      </w:r>
      <w:r w:rsidR="003E70D2">
        <w:rPr>
          <w:rStyle w:val="CETCaptionCarattere"/>
          <w:i w:val="0"/>
        </w:rPr>
        <w:t xml:space="preserve"> may</w:t>
      </w:r>
      <w:r w:rsidR="005A1F1C">
        <w:rPr>
          <w:rStyle w:val="CETCaptionCarattere"/>
          <w:i w:val="0"/>
        </w:rPr>
        <w:t xml:space="preserve"> immediately evaporate</w:t>
      </w:r>
      <w:r w:rsidR="00B15A34">
        <w:rPr>
          <w:rStyle w:val="CETCaptionCarattere"/>
          <w:i w:val="0"/>
        </w:rPr>
        <w:t xml:space="preserve"> as highly buoyant gas</w:t>
      </w:r>
      <w:r w:rsidR="00151450">
        <w:rPr>
          <w:rStyle w:val="CETCaptionCarattere"/>
          <w:i w:val="0"/>
        </w:rPr>
        <w:t xml:space="preserve"> during a spill.</w:t>
      </w:r>
      <w:r w:rsidR="002B4F16">
        <w:rPr>
          <w:rStyle w:val="CETCaptionCarattere"/>
          <w:i w:val="0"/>
        </w:rPr>
        <w:t xml:space="preserve"> </w:t>
      </w:r>
      <w:r w:rsidR="00B15A34">
        <w:rPr>
          <w:rStyle w:val="CETCaptionCarattere"/>
          <w:i w:val="0"/>
        </w:rPr>
        <w:t>Figure 2a</w:t>
      </w:r>
      <w:r w:rsidR="007E19EC">
        <w:rPr>
          <w:rStyle w:val="CETCaptionCarattere"/>
          <w:i w:val="0"/>
        </w:rPr>
        <w:t xml:space="preserve"> show</w:t>
      </w:r>
      <w:r w:rsidR="00151450">
        <w:rPr>
          <w:rStyle w:val="CETCaptionCarattere"/>
          <w:i w:val="0"/>
        </w:rPr>
        <w:t>s</w:t>
      </w:r>
      <w:r w:rsidR="007E19EC">
        <w:rPr>
          <w:rStyle w:val="CETCaptionCarattere"/>
          <w:i w:val="0"/>
        </w:rPr>
        <w:t xml:space="preserve"> </w:t>
      </w:r>
      <w:r w:rsidR="0014066C">
        <w:rPr>
          <w:rStyle w:val="CETCaptionCarattere"/>
          <w:i w:val="0"/>
        </w:rPr>
        <w:t xml:space="preserve">a </w:t>
      </w:r>
      <w:r w:rsidR="007E19EC">
        <w:rPr>
          <w:rStyle w:val="CETCaptionCarattere"/>
          <w:i w:val="0"/>
        </w:rPr>
        <w:t xml:space="preserve">photo </w:t>
      </w:r>
      <w:r w:rsidR="0014066C">
        <w:rPr>
          <w:rStyle w:val="CETCaptionCarattere"/>
          <w:i w:val="0"/>
        </w:rPr>
        <w:t xml:space="preserve">of the buoyant plume </w:t>
      </w:r>
      <w:r w:rsidR="00AE3C53">
        <w:rPr>
          <w:rStyle w:val="CETCaptionCarattere"/>
          <w:i w:val="0"/>
        </w:rPr>
        <w:t xml:space="preserve">during </w:t>
      </w:r>
      <w:r w:rsidR="00496830">
        <w:rPr>
          <w:rStyle w:val="CETCaptionCarattere"/>
          <w:i w:val="0"/>
        </w:rPr>
        <w:t>a</w:t>
      </w:r>
      <w:r w:rsidR="00F3019C">
        <w:rPr>
          <w:rStyle w:val="CETCaptionCarattere"/>
          <w:i w:val="0"/>
        </w:rPr>
        <w:t>n</w:t>
      </w:r>
      <w:r w:rsidR="00496830">
        <w:rPr>
          <w:rStyle w:val="CETCaptionCarattere"/>
          <w:i w:val="0"/>
        </w:rPr>
        <w:t xml:space="preserve"> 8 kg/s spill into water </w:t>
      </w:r>
      <w:r w:rsidR="007E19EC">
        <w:rPr>
          <w:rStyle w:val="CETCaptionCarattere"/>
          <w:i w:val="0"/>
        </w:rPr>
        <w:t>from the Red Squirrel experiments (Dharmavaram et al., 2023).</w:t>
      </w:r>
      <w:r w:rsidR="00AE3C53">
        <w:rPr>
          <w:rStyle w:val="CETCaptionCarattere"/>
          <w:i w:val="0"/>
        </w:rPr>
        <w:t xml:space="preserve"> For a </w:t>
      </w:r>
      <w:r w:rsidR="00F3019C">
        <w:rPr>
          <w:rStyle w:val="CETCaptionCarattere"/>
          <w:i w:val="0"/>
        </w:rPr>
        <w:t xml:space="preserve">pressurized </w:t>
      </w:r>
      <w:r w:rsidR="00CC3E8F">
        <w:rPr>
          <w:rStyle w:val="CETCaptionCarattere"/>
          <w:i w:val="0"/>
        </w:rPr>
        <w:t xml:space="preserve">ambient temperature </w:t>
      </w:r>
      <w:r w:rsidR="00F3019C">
        <w:rPr>
          <w:rStyle w:val="CETCaptionCarattere"/>
          <w:i w:val="0"/>
        </w:rPr>
        <w:t>release the plume</w:t>
      </w:r>
      <w:r w:rsidR="00CC3E8F">
        <w:rPr>
          <w:rStyle w:val="CETCaptionCarattere"/>
          <w:i w:val="0"/>
        </w:rPr>
        <w:t xml:space="preserve"> stays on the ground </w:t>
      </w:r>
      <w:r w:rsidR="00C25835">
        <w:rPr>
          <w:rStyle w:val="CETCaptionCarattere"/>
          <w:i w:val="0"/>
        </w:rPr>
        <w:t>for a long time</w:t>
      </w:r>
      <w:r w:rsidR="00544743">
        <w:rPr>
          <w:rStyle w:val="CETCaptionCarattere"/>
          <w:i w:val="0"/>
        </w:rPr>
        <w:t xml:space="preserve"> </w:t>
      </w:r>
      <w:r w:rsidR="00C25835">
        <w:rPr>
          <w:rStyle w:val="CETCaptionCarattere"/>
          <w:i w:val="0"/>
        </w:rPr>
        <w:t xml:space="preserve">with less dilution, </w:t>
      </w:r>
      <w:r w:rsidR="00544743">
        <w:rPr>
          <w:rStyle w:val="CETCaptionCarattere"/>
          <w:i w:val="0"/>
        </w:rPr>
        <w:t xml:space="preserve">representing a much more severe hazard to people, </w:t>
      </w:r>
      <w:r w:rsidR="00C25835">
        <w:rPr>
          <w:rStyle w:val="CETCaptionCarattere"/>
          <w:i w:val="0"/>
        </w:rPr>
        <w:t xml:space="preserve">see </w:t>
      </w:r>
      <w:r w:rsidR="0088428C">
        <w:rPr>
          <w:rStyle w:val="CETCaptionCarattere"/>
          <w:i w:val="0"/>
        </w:rPr>
        <w:t xml:space="preserve">0.1 kg/s flashing release from same tests in </w:t>
      </w:r>
      <w:r w:rsidR="00C25835">
        <w:rPr>
          <w:rStyle w:val="CETCaptionCarattere"/>
          <w:i w:val="0"/>
        </w:rPr>
        <w:t>Figure 2b.</w:t>
      </w:r>
      <w:r w:rsidR="00EA5FC2">
        <w:rPr>
          <w:rStyle w:val="CETCaptionCarattere"/>
          <w:i w:val="0"/>
        </w:rPr>
        <w:t xml:space="preserve"> </w:t>
      </w:r>
      <w:r w:rsidR="00912836">
        <w:rPr>
          <w:rStyle w:val="CETCaptionCarattere"/>
          <w:i w:val="0"/>
        </w:rPr>
        <w:t xml:space="preserve">With </w:t>
      </w:r>
      <w:r w:rsidR="00E83AEA">
        <w:rPr>
          <w:rStyle w:val="CETCaptionCarattere"/>
          <w:i w:val="0"/>
        </w:rPr>
        <w:t>increasing tank temperature</w:t>
      </w:r>
      <w:r w:rsidR="00CD51B5">
        <w:rPr>
          <w:rStyle w:val="CETCaptionCarattere"/>
          <w:i w:val="0"/>
        </w:rPr>
        <w:t xml:space="preserve">, the </w:t>
      </w:r>
      <w:r w:rsidR="00912836">
        <w:rPr>
          <w:rStyle w:val="CETCaptionCarattere"/>
          <w:i w:val="0"/>
        </w:rPr>
        <w:t>release rates increase</w:t>
      </w:r>
      <w:r w:rsidR="00C967DE">
        <w:rPr>
          <w:rStyle w:val="CETCaptionCarattere"/>
          <w:i w:val="0"/>
        </w:rPr>
        <w:t>,</w:t>
      </w:r>
      <w:r w:rsidR="00FD698A">
        <w:rPr>
          <w:rStyle w:val="CETCaptionCarattere"/>
          <w:i w:val="0"/>
        </w:rPr>
        <w:t xml:space="preserve"> and</w:t>
      </w:r>
      <w:r w:rsidR="00FB0F6B">
        <w:rPr>
          <w:rStyle w:val="CETCaptionCarattere"/>
          <w:i w:val="0"/>
        </w:rPr>
        <w:t xml:space="preserve"> scenario severity increases</w:t>
      </w:r>
      <w:r w:rsidR="00553EC4">
        <w:rPr>
          <w:rStyle w:val="CETCaptionCarattere"/>
          <w:i w:val="0"/>
        </w:rPr>
        <w:t xml:space="preserve">. </w:t>
      </w:r>
      <w:r w:rsidR="00C967DE">
        <w:rPr>
          <w:rStyle w:val="CETCaptionCarattere"/>
          <w:i w:val="0"/>
        </w:rPr>
        <w:t xml:space="preserve">While a rupture of a </w:t>
      </w:r>
      <w:r w:rsidR="006D1832">
        <w:rPr>
          <w:rStyle w:val="CETCaptionCarattere"/>
          <w:i w:val="0"/>
        </w:rPr>
        <w:t xml:space="preserve">liquid </w:t>
      </w:r>
      <w:r w:rsidR="00117DA7">
        <w:rPr>
          <w:rStyle w:val="CETCaptionCarattere"/>
          <w:i w:val="0"/>
        </w:rPr>
        <w:t>tank connection</w:t>
      </w:r>
      <w:r w:rsidR="0040576C">
        <w:rPr>
          <w:rStyle w:val="CETCaptionCarattere"/>
          <w:i w:val="0"/>
        </w:rPr>
        <w:t xml:space="preserve"> </w:t>
      </w:r>
      <w:r w:rsidR="006D1832">
        <w:rPr>
          <w:rStyle w:val="CETCaptionCarattere"/>
          <w:i w:val="0"/>
        </w:rPr>
        <w:t xml:space="preserve">for </w:t>
      </w:r>
      <w:r w:rsidR="004C57E3">
        <w:rPr>
          <w:rStyle w:val="CETCaptionCarattere"/>
          <w:i w:val="0"/>
        </w:rPr>
        <w:t xml:space="preserve">refrigerated </w:t>
      </w:r>
      <w:r w:rsidR="006D1832">
        <w:rPr>
          <w:rStyle w:val="CETCaptionCarattere"/>
          <w:i w:val="0"/>
        </w:rPr>
        <w:t>storage</w:t>
      </w:r>
      <w:r w:rsidR="0069568F">
        <w:rPr>
          <w:rStyle w:val="CETCaptionCarattere"/>
          <w:i w:val="0"/>
        </w:rPr>
        <w:t xml:space="preserve"> </w:t>
      </w:r>
      <w:r w:rsidR="004C57E3">
        <w:rPr>
          <w:rStyle w:val="CETCaptionCarattere"/>
          <w:i w:val="0"/>
        </w:rPr>
        <w:t xml:space="preserve">may </w:t>
      </w:r>
      <w:r w:rsidR="0069568F">
        <w:rPr>
          <w:rStyle w:val="CETCaptionCarattere"/>
          <w:i w:val="0"/>
        </w:rPr>
        <w:t>give literally no NH</w:t>
      </w:r>
      <w:r w:rsidR="0069568F" w:rsidRPr="0069568F">
        <w:rPr>
          <w:rStyle w:val="CETCaptionCarattere"/>
          <w:i w:val="0"/>
          <w:vertAlign w:val="subscript"/>
        </w:rPr>
        <w:t>3</w:t>
      </w:r>
      <w:r w:rsidR="0069568F">
        <w:rPr>
          <w:rStyle w:val="CETCaptionCarattere"/>
          <w:i w:val="0"/>
        </w:rPr>
        <w:t xml:space="preserve"> release at all, only </w:t>
      </w:r>
      <w:r w:rsidR="00DA69FC">
        <w:rPr>
          <w:rStyle w:val="CETCaptionCarattere"/>
          <w:i w:val="0"/>
        </w:rPr>
        <w:t xml:space="preserve">some vapour </w:t>
      </w:r>
      <w:r w:rsidR="00DA69FC">
        <w:rPr>
          <w:rStyle w:val="CETCaptionCarattere"/>
          <w:i w:val="0"/>
        </w:rPr>
        <w:lastRenderedPageBreak/>
        <w:t xml:space="preserve">diffusion, </w:t>
      </w:r>
      <w:r w:rsidR="00C279A6">
        <w:rPr>
          <w:rStyle w:val="CETCaptionCarattere"/>
          <w:i w:val="0"/>
        </w:rPr>
        <w:t xml:space="preserve">the leak rates </w:t>
      </w:r>
      <w:r w:rsidR="004C57E3">
        <w:rPr>
          <w:rStyle w:val="CETCaptionCarattere"/>
          <w:i w:val="0"/>
        </w:rPr>
        <w:t xml:space="preserve">for semi-refrigerated </w:t>
      </w:r>
      <w:r w:rsidR="000B6250">
        <w:rPr>
          <w:rStyle w:val="CETCaptionCarattere"/>
          <w:i w:val="0"/>
        </w:rPr>
        <w:t xml:space="preserve">tanks are much higher but boil-off and evaporation </w:t>
      </w:r>
      <w:r w:rsidR="00805F5E">
        <w:rPr>
          <w:rStyle w:val="CETCaptionCarattere"/>
          <w:i w:val="0"/>
        </w:rPr>
        <w:t>limited (except into water)</w:t>
      </w:r>
      <w:r w:rsidR="00200065">
        <w:rPr>
          <w:rStyle w:val="CETCaptionCarattere"/>
          <w:i w:val="0"/>
        </w:rPr>
        <w:t xml:space="preserve">, and for storage at ambient temperature the leak rate is higher, with the entire release rate potentially forming a </w:t>
      </w:r>
      <w:r w:rsidR="00002C2C">
        <w:rPr>
          <w:rStyle w:val="CETCaptionCarattere"/>
          <w:i w:val="0"/>
        </w:rPr>
        <w:t>hazardous NH</w:t>
      </w:r>
      <w:r w:rsidR="00002C2C" w:rsidRPr="00002C2C">
        <w:rPr>
          <w:rStyle w:val="CETCaptionCarattere"/>
          <w:i w:val="0"/>
          <w:vertAlign w:val="subscript"/>
        </w:rPr>
        <w:t>3</w:t>
      </w:r>
      <w:r w:rsidR="00002C2C">
        <w:rPr>
          <w:rStyle w:val="CETCaptionCarattere"/>
          <w:i w:val="0"/>
        </w:rPr>
        <w:t xml:space="preserve"> cloud along the ground, </w:t>
      </w:r>
      <w:r w:rsidR="00FB0F6B">
        <w:rPr>
          <w:rStyle w:val="CETCaptionCarattere"/>
          <w:i w:val="0"/>
        </w:rPr>
        <w:t>see i</w:t>
      </w:r>
      <w:r w:rsidR="00EA5FC2">
        <w:rPr>
          <w:rStyle w:val="CETCaptionCarattere"/>
          <w:i w:val="0"/>
        </w:rPr>
        <w:t>n Table 1</w:t>
      </w:r>
      <w:r w:rsidR="00FB0F6B">
        <w:rPr>
          <w:rStyle w:val="CETCaptionCarattere"/>
          <w:i w:val="0"/>
        </w:rPr>
        <w:t>.</w:t>
      </w:r>
    </w:p>
    <w:p w14:paraId="2B7DA22A" w14:textId="4A16DD5E" w:rsidR="005E31A9" w:rsidRDefault="00681563" w:rsidP="00F061EC">
      <w:pPr>
        <w:pStyle w:val="CETCaption"/>
        <w:rPr>
          <w:rStyle w:val="CETCaptionCarattere"/>
          <w:i/>
        </w:rPr>
      </w:pPr>
      <w:r>
        <w:rPr>
          <w:rStyle w:val="CETCaptionCarattere"/>
          <w:i/>
          <w:noProof/>
        </w:rPr>
        <w:drawing>
          <wp:inline distT="0" distB="0" distL="0" distR="0" wp14:anchorId="7BADFF4C" wp14:editId="486CA173">
            <wp:extent cx="1896118" cy="953687"/>
            <wp:effectExtent l="0" t="0" r="0" b="0"/>
            <wp:docPr id="5339321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3681" t="3914" b="7802"/>
                    <a:stretch/>
                  </pic:blipFill>
                  <pic:spPr bwMode="auto">
                    <a:xfrm>
                      <a:off x="0" y="0"/>
                      <a:ext cx="1929440" cy="970447"/>
                    </a:xfrm>
                    <a:prstGeom prst="rect">
                      <a:avLst/>
                    </a:prstGeom>
                    <a:noFill/>
                    <a:ln>
                      <a:noFill/>
                    </a:ln>
                    <a:extLst>
                      <a:ext uri="{53640926-AAD7-44D8-BBD7-CCE9431645EC}">
                        <a14:shadowObscured xmlns:a14="http://schemas.microsoft.com/office/drawing/2010/main"/>
                      </a:ext>
                    </a:extLst>
                  </pic:spPr>
                </pic:pic>
              </a:graphicData>
            </a:graphic>
          </wp:inline>
        </w:drawing>
      </w:r>
      <w:r w:rsidR="009F0216">
        <w:rPr>
          <w:rStyle w:val="CETCaptionCarattere"/>
          <w:i/>
          <w:noProof/>
        </w:rPr>
        <w:drawing>
          <wp:inline distT="0" distB="0" distL="0" distR="0" wp14:anchorId="15B9E2FE" wp14:editId="5DD44D31">
            <wp:extent cx="3595892" cy="945074"/>
            <wp:effectExtent l="0" t="0" r="5080" b="7620"/>
            <wp:docPr id="11850718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b="6142"/>
                    <a:stretch/>
                  </pic:blipFill>
                  <pic:spPr bwMode="auto">
                    <a:xfrm>
                      <a:off x="0" y="0"/>
                      <a:ext cx="3680244" cy="967244"/>
                    </a:xfrm>
                    <a:prstGeom prst="rect">
                      <a:avLst/>
                    </a:prstGeom>
                    <a:noFill/>
                    <a:ln>
                      <a:noFill/>
                    </a:ln>
                    <a:extLst>
                      <a:ext uri="{53640926-AAD7-44D8-BBD7-CCE9431645EC}">
                        <a14:shadowObscured xmlns:a14="http://schemas.microsoft.com/office/drawing/2010/main"/>
                      </a:ext>
                    </a:extLst>
                  </pic:spPr>
                </pic:pic>
              </a:graphicData>
            </a:graphic>
          </wp:inline>
        </w:drawing>
      </w:r>
    </w:p>
    <w:p w14:paraId="1D367F8C" w14:textId="76FD2721" w:rsidR="005E31A9" w:rsidRDefault="005E31A9" w:rsidP="005E31A9">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sidR="00596A61">
        <w:rPr>
          <w:rStyle w:val="CETCaptionCarattere"/>
          <w:i/>
        </w:rPr>
        <w:t xml:space="preserve">Release of </w:t>
      </w:r>
      <w:r w:rsidR="00365967">
        <w:rPr>
          <w:rStyle w:val="CETCaptionCarattere"/>
          <w:i/>
        </w:rPr>
        <w:t>cold</w:t>
      </w:r>
      <w:r w:rsidR="00633C55">
        <w:rPr>
          <w:rStyle w:val="CETCaptionCarattere"/>
          <w:i/>
        </w:rPr>
        <w:t xml:space="preserve"> NH</w:t>
      </w:r>
      <w:r w:rsidR="00633C55" w:rsidRPr="00596A61">
        <w:rPr>
          <w:rStyle w:val="CETCaptionCarattere"/>
          <w:i/>
          <w:vertAlign w:val="subscript"/>
        </w:rPr>
        <w:t>3</w:t>
      </w:r>
      <w:r w:rsidR="00633C55">
        <w:rPr>
          <w:rStyle w:val="CETCaptionCarattere"/>
          <w:i/>
        </w:rPr>
        <w:t xml:space="preserve"> into water</w:t>
      </w:r>
      <w:r w:rsidR="00596A61">
        <w:rPr>
          <w:rStyle w:val="CETCaptionCarattere"/>
          <w:i/>
        </w:rPr>
        <w:t xml:space="preserve"> (left) and</w:t>
      </w:r>
      <w:r w:rsidR="00F25B13">
        <w:rPr>
          <w:rStyle w:val="CETCaptionCarattere"/>
          <w:i/>
        </w:rPr>
        <w:t xml:space="preserve"> </w:t>
      </w:r>
      <w:r w:rsidR="00365967">
        <w:rPr>
          <w:rStyle w:val="CETCaptionCarattere"/>
          <w:i/>
        </w:rPr>
        <w:t>warm</w:t>
      </w:r>
      <w:r w:rsidR="00041403">
        <w:rPr>
          <w:rStyle w:val="CETCaptionCarattere"/>
          <w:i/>
        </w:rPr>
        <w:t xml:space="preserve"> pressurized NH</w:t>
      </w:r>
      <w:r w:rsidR="00041403" w:rsidRPr="00041403">
        <w:rPr>
          <w:rStyle w:val="CETCaptionCarattere"/>
          <w:i/>
          <w:vertAlign w:val="subscript"/>
        </w:rPr>
        <w:t>3</w:t>
      </w:r>
      <w:r w:rsidR="00041403">
        <w:rPr>
          <w:rStyle w:val="CETCaptionCarattere"/>
          <w:i/>
        </w:rPr>
        <w:t xml:space="preserve"> (right)</w:t>
      </w:r>
      <w:r w:rsidR="00365967">
        <w:rPr>
          <w:rStyle w:val="CETCaptionCarattere"/>
          <w:i/>
        </w:rPr>
        <w:t xml:space="preserve"> (Dharmavaram et al., 2023)</w:t>
      </w:r>
    </w:p>
    <w:p w14:paraId="500903ED" w14:textId="3ACD68EA" w:rsidR="000953FE" w:rsidRPr="00B57B36" w:rsidRDefault="000953FE" w:rsidP="000953FE">
      <w:pPr>
        <w:pStyle w:val="CETTabletitle"/>
      </w:pPr>
      <w:r w:rsidRPr="00B57B36">
        <w:t xml:space="preserve">Table 1: </w:t>
      </w:r>
      <w:r w:rsidR="00A72E27">
        <w:t>Comparison release</w:t>
      </w:r>
      <w:r w:rsidR="001608AA">
        <w:t>s</w:t>
      </w:r>
      <w:r w:rsidR="00A72E27">
        <w:t xml:space="preserve"> from 50 mm ammonia </w:t>
      </w:r>
      <w:r w:rsidR="00117DA7">
        <w:t xml:space="preserve">liquid </w:t>
      </w:r>
      <w:r w:rsidR="00A72E27">
        <w:t>tank connection</w:t>
      </w:r>
      <w:r w:rsidR="001608AA">
        <w:t xml:space="preserve"> rupture</w:t>
      </w:r>
      <w:r w:rsidR="00117DA7">
        <w:t>s</w:t>
      </w:r>
      <w:r w:rsidR="00A72E27">
        <w:t xml:space="preserve"> (3 m tank level)</w:t>
      </w:r>
    </w:p>
    <w:tbl>
      <w:tblPr>
        <w:tblW w:w="89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993"/>
        <w:gridCol w:w="850"/>
        <w:gridCol w:w="992"/>
        <w:gridCol w:w="2552"/>
        <w:gridCol w:w="1276"/>
      </w:tblGrid>
      <w:tr w:rsidR="0017617A" w:rsidRPr="00B57B36" w14:paraId="240971CE" w14:textId="77777777" w:rsidTr="001B31BF">
        <w:tc>
          <w:tcPr>
            <w:tcW w:w="2268" w:type="dxa"/>
            <w:tcBorders>
              <w:top w:val="single" w:sz="12" w:space="0" w:color="008000"/>
              <w:bottom w:val="single" w:sz="6" w:space="0" w:color="008000"/>
            </w:tcBorders>
            <w:shd w:val="clear" w:color="auto" w:fill="FFFFFF"/>
          </w:tcPr>
          <w:p w14:paraId="04E86AE6" w14:textId="7C3FB4C6" w:rsidR="0017617A" w:rsidRPr="00B57B36" w:rsidRDefault="0017617A" w:rsidP="0017617A">
            <w:pPr>
              <w:pStyle w:val="CETBodytext"/>
              <w:rPr>
                <w:lang w:val="en-GB"/>
              </w:rPr>
            </w:pPr>
            <w:r>
              <w:rPr>
                <w:lang w:val="en-GB"/>
              </w:rPr>
              <w:t>Tank condition</w:t>
            </w:r>
            <w:r w:rsidRPr="00B57B36">
              <w:rPr>
                <w:lang w:val="en-GB"/>
              </w:rPr>
              <w:t xml:space="preserve"> </w:t>
            </w:r>
          </w:p>
        </w:tc>
        <w:tc>
          <w:tcPr>
            <w:tcW w:w="993" w:type="dxa"/>
            <w:tcBorders>
              <w:top w:val="single" w:sz="12" w:space="0" w:color="008000"/>
              <w:bottom w:val="single" w:sz="6" w:space="0" w:color="008000"/>
            </w:tcBorders>
            <w:shd w:val="clear" w:color="auto" w:fill="FFFFFF"/>
          </w:tcPr>
          <w:p w14:paraId="6359BE30" w14:textId="778A251D" w:rsidR="0017617A" w:rsidRPr="00B57B36" w:rsidRDefault="0017617A" w:rsidP="0017617A">
            <w:pPr>
              <w:pStyle w:val="CETBodytext"/>
              <w:rPr>
                <w:lang w:val="en-GB"/>
              </w:rPr>
            </w:pPr>
            <w:r>
              <w:rPr>
                <w:lang w:val="en-GB"/>
              </w:rPr>
              <w:t>Leak rate</w:t>
            </w:r>
          </w:p>
        </w:tc>
        <w:tc>
          <w:tcPr>
            <w:tcW w:w="850" w:type="dxa"/>
            <w:tcBorders>
              <w:top w:val="single" w:sz="12" w:space="0" w:color="008000"/>
              <w:bottom w:val="single" w:sz="6" w:space="0" w:color="008000"/>
            </w:tcBorders>
            <w:shd w:val="clear" w:color="auto" w:fill="FFFFFF"/>
          </w:tcPr>
          <w:p w14:paraId="660D3A8E" w14:textId="4EB30057" w:rsidR="0017617A" w:rsidRDefault="0017617A" w:rsidP="0017617A">
            <w:pPr>
              <w:pStyle w:val="CETBodytext"/>
              <w:rPr>
                <w:lang w:val="en-GB"/>
              </w:rPr>
            </w:pPr>
            <w:r>
              <w:rPr>
                <w:lang w:val="en-GB"/>
              </w:rPr>
              <w:t>Boil-off</w:t>
            </w:r>
          </w:p>
        </w:tc>
        <w:tc>
          <w:tcPr>
            <w:tcW w:w="992" w:type="dxa"/>
            <w:tcBorders>
              <w:top w:val="single" w:sz="12" w:space="0" w:color="008000"/>
              <w:bottom w:val="single" w:sz="6" w:space="0" w:color="008000"/>
            </w:tcBorders>
            <w:shd w:val="clear" w:color="auto" w:fill="FFFFFF"/>
          </w:tcPr>
          <w:p w14:paraId="04E21FF7" w14:textId="03CDA2F3" w:rsidR="0017617A" w:rsidRPr="00B57B36" w:rsidRDefault="0017617A" w:rsidP="0017617A">
            <w:pPr>
              <w:pStyle w:val="CETBodytext"/>
              <w:rPr>
                <w:lang w:val="en-GB"/>
              </w:rPr>
            </w:pPr>
            <w:r>
              <w:rPr>
                <w:lang w:val="en-GB"/>
              </w:rPr>
              <w:t>Airborne</w:t>
            </w:r>
          </w:p>
        </w:tc>
        <w:tc>
          <w:tcPr>
            <w:tcW w:w="2552" w:type="dxa"/>
            <w:tcBorders>
              <w:top w:val="single" w:sz="12" w:space="0" w:color="008000"/>
              <w:bottom w:val="single" w:sz="6" w:space="0" w:color="008000"/>
            </w:tcBorders>
            <w:shd w:val="clear" w:color="auto" w:fill="FFFFFF"/>
          </w:tcPr>
          <w:p w14:paraId="71F1091D" w14:textId="740665EB" w:rsidR="0017617A" w:rsidRPr="00B57B36" w:rsidRDefault="0017617A" w:rsidP="0017617A">
            <w:pPr>
              <w:pStyle w:val="CETBodytext"/>
              <w:ind w:right="-1"/>
              <w:rPr>
                <w:rFonts w:cs="Arial"/>
                <w:szCs w:val="18"/>
                <w:lang w:val="en-GB"/>
              </w:rPr>
            </w:pPr>
            <w:r>
              <w:rPr>
                <w:rFonts w:cs="Arial"/>
                <w:szCs w:val="18"/>
                <w:lang w:val="en-GB"/>
              </w:rPr>
              <w:t>Spill (concrete / water)</w:t>
            </w:r>
          </w:p>
        </w:tc>
        <w:tc>
          <w:tcPr>
            <w:tcW w:w="1276" w:type="dxa"/>
            <w:tcBorders>
              <w:top w:val="single" w:sz="12" w:space="0" w:color="008000"/>
              <w:bottom w:val="single" w:sz="6" w:space="0" w:color="008000"/>
            </w:tcBorders>
            <w:shd w:val="clear" w:color="auto" w:fill="FFFFFF"/>
          </w:tcPr>
          <w:p w14:paraId="46F79B31" w14:textId="41EEDA62" w:rsidR="0017617A" w:rsidRPr="00B57B36" w:rsidRDefault="0017617A" w:rsidP="0017617A">
            <w:pPr>
              <w:pStyle w:val="CETBodytext"/>
              <w:ind w:right="-1"/>
              <w:rPr>
                <w:rFonts w:cs="Arial"/>
                <w:szCs w:val="18"/>
                <w:lang w:val="en-GB"/>
              </w:rPr>
            </w:pPr>
            <w:r>
              <w:rPr>
                <w:rFonts w:cs="Arial"/>
                <w:szCs w:val="18"/>
                <w:lang w:val="en-GB"/>
              </w:rPr>
              <w:t>Plume</w:t>
            </w:r>
          </w:p>
        </w:tc>
      </w:tr>
      <w:tr w:rsidR="0017617A" w:rsidRPr="00B57B36" w14:paraId="72D3169A" w14:textId="77777777" w:rsidTr="001B31BF">
        <w:tc>
          <w:tcPr>
            <w:tcW w:w="2268" w:type="dxa"/>
            <w:shd w:val="clear" w:color="auto" w:fill="FFFFFF"/>
          </w:tcPr>
          <w:p w14:paraId="2F1F3262" w14:textId="77777777" w:rsidR="0017617A" w:rsidRPr="00B57B36" w:rsidRDefault="0017617A" w:rsidP="0017617A">
            <w:pPr>
              <w:pStyle w:val="CETBodytext"/>
              <w:rPr>
                <w:lang w:val="en-GB"/>
              </w:rPr>
            </w:pPr>
            <w:r>
              <w:rPr>
                <w:lang w:val="en-GB"/>
              </w:rPr>
              <w:t xml:space="preserve">0.0 barg (-33 </w:t>
            </w:r>
            <w:r>
              <w:rPr>
                <w:rFonts w:cs="Arial"/>
                <w:lang w:val="en-GB"/>
              </w:rPr>
              <w:t>º</w:t>
            </w:r>
            <w:r>
              <w:rPr>
                <w:lang w:val="en-GB"/>
              </w:rPr>
              <w:t>C) – top</w:t>
            </w:r>
          </w:p>
        </w:tc>
        <w:tc>
          <w:tcPr>
            <w:tcW w:w="993" w:type="dxa"/>
            <w:shd w:val="clear" w:color="auto" w:fill="FFFFFF"/>
          </w:tcPr>
          <w:p w14:paraId="5ADC93E5" w14:textId="77777777" w:rsidR="0017617A" w:rsidRPr="00B57B36" w:rsidRDefault="0017617A" w:rsidP="0017617A">
            <w:pPr>
              <w:pStyle w:val="CETBodytext"/>
              <w:rPr>
                <w:lang w:val="en-GB"/>
              </w:rPr>
            </w:pPr>
            <w:r>
              <w:rPr>
                <w:lang w:val="en-GB"/>
              </w:rPr>
              <w:t>0.0 kg/s</w:t>
            </w:r>
          </w:p>
        </w:tc>
        <w:tc>
          <w:tcPr>
            <w:tcW w:w="850" w:type="dxa"/>
            <w:shd w:val="clear" w:color="auto" w:fill="FFFFFF"/>
          </w:tcPr>
          <w:p w14:paraId="22D5149A" w14:textId="4E7D5359" w:rsidR="0017617A" w:rsidRDefault="0017617A" w:rsidP="0017617A">
            <w:pPr>
              <w:pStyle w:val="CETBodytext"/>
              <w:rPr>
                <w:lang w:val="en-GB"/>
              </w:rPr>
            </w:pPr>
            <w:r>
              <w:rPr>
                <w:lang w:val="en-GB"/>
              </w:rPr>
              <w:t>0.0 kg/s</w:t>
            </w:r>
          </w:p>
        </w:tc>
        <w:tc>
          <w:tcPr>
            <w:tcW w:w="992" w:type="dxa"/>
            <w:shd w:val="clear" w:color="auto" w:fill="FFFFFF"/>
          </w:tcPr>
          <w:p w14:paraId="5B229E2B" w14:textId="39D7B204" w:rsidR="0017617A" w:rsidRPr="00B57B36" w:rsidRDefault="0017617A" w:rsidP="0017617A">
            <w:pPr>
              <w:pStyle w:val="CETBodytext"/>
              <w:rPr>
                <w:lang w:val="en-GB"/>
              </w:rPr>
            </w:pPr>
            <w:r>
              <w:rPr>
                <w:lang w:val="en-GB"/>
              </w:rPr>
              <w:t>0.0 kg/s</w:t>
            </w:r>
          </w:p>
        </w:tc>
        <w:tc>
          <w:tcPr>
            <w:tcW w:w="2552" w:type="dxa"/>
            <w:shd w:val="clear" w:color="auto" w:fill="FFFFFF"/>
          </w:tcPr>
          <w:p w14:paraId="5A1AB9A0" w14:textId="37B79D36" w:rsidR="0017617A" w:rsidRPr="00B57B36" w:rsidRDefault="0017617A" w:rsidP="0017617A">
            <w:pPr>
              <w:pStyle w:val="CETBodytext"/>
              <w:ind w:right="-1"/>
              <w:rPr>
                <w:rFonts w:cs="Arial"/>
                <w:szCs w:val="18"/>
                <w:lang w:val="en-GB"/>
              </w:rPr>
            </w:pPr>
            <w:r>
              <w:rPr>
                <w:rFonts w:cs="Arial"/>
                <w:szCs w:val="18"/>
                <w:lang w:val="en-GB"/>
              </w:rPr>
              <w:t>Pool (~0.03 kg/m</w:t>
            </w:r>
            <w:r w:rsidRPr="00CE43A5">
              <w:rPr>
                <w:rFonts w:cs="Arial"/>
                <w:szCs w:val="18"/>
                <w:vertAlign w:val="superscript"/>
                <w:lang w:val="en-GB"/>
              </w:rPr>
              <w:t>2</w:t>
            </w:r>
            <w:r>
              <w:rPr>
                <w:rFonts w:cs="Arial"/>
                <w:szCs w:val="18"/>
                <w:lang w:val="en-GB"/>
              </w:rPr>
              <w:t>s / ~35%)</w:t>
            </w:r>
          </w:p>
        </w:tc>
        <w:tc>
          <w:tcPr>
            <w:tcW w:w="1276" w:type="dxa"/>
            <w:shd w:val="clear" w:color="auto" w:fill="FFFFFF"/>
          </w:tcPr>
          <w:p w14:paraId="4E501F71" w14:textId="77777777" w:rsidR="0017617A" w:rsidRPr="00B57B36" w:rsidRDefault="0017617A" w:rsidP="0017617A">
            <w:pPr>
              <w:pStyle w:val="CETBodytext"/>
              <w:ind w:right="-1"/>
              <w:rPr>
                <w:rFonts w:cs="Arial"/>
                <w:szCs w:val="18"/>
                <w:lang w:val="en-GB"/>
              </w:rPr>
            </w:pPr>
            <w:r>
              <w:rPr>
                <w:rFonts w:cs="Arial"/>
                <w:szCs w:val="18"/>
                <w:lang w:val="en-GB"/>
              </w:rPr>
              <w:t>Buoyant</w:t>
            </w:r>
          </w:p>
        </w:tc>
      </w:tr>
      <w:tr w:rsidR="0017617A" w:rsidRPr="00B57B36" w14:paraId="49153855" w14:textId="77777777" w:rsidTr="001B31BF">
        <w:tc>
          <w:tcPr>
            <w:tcW w:w="2268" w:type="dxa"/>
            <w:shd w:val="clear" w:color="auto" w:fill="FFFFFF"/>
          </w:tcPr>
          <w:p w14:paraId="32FEFFC0" w14:textId="77777777" w:rsidR="0017617A" w:rsidRPr="00B57B36" w:rsidRDefault="0017617A" w:rsidP="0017617A">
            <w:pPr>
              <w:pStyle w:val="CETBodytext"/>
              <w:rPr>
                <w:lang w:val="en-GB"/>
              </w:rPr>
            </w:pPr>
            <w:r>
              <w:rPr>
                <w:lang w:val="en-GB"/>
              </w:rPr>
              <w:t xml:space="preserve">0.0 barg (-33 </w:t>
            </w:r>
            <w:r>
              <w:rPr>
                <w:rFonts w:cs="Arial"/>
                <w:lang w:val="en-GB"/>
              </w:rPr>
              <w:t>º</w:t>
            </w:r>
            <w:r>
              <w:rPr>
                <w:lang w:val="en-GB"/>
              </w:rPr>
              <w:t>C) – bottom</w:t>
            </w:r>
          </w:p>
        </w:tc>
        <w:tc>
          <w:tcPr>
            <w:tcW w:w="993" w:type="dxa"/>
            <w:shd w:val="clear" w:color="auto" w:fill="FFFFFF"/>
          </w:tcPr>
          <w:p w14:paraId="7BA64176" w14:textId="77777777" w:rsidR="0017617A" w:rsidRPr="00B57B36" w:rsidRDefault="0017617A" w:rsidP="0017617A">
            <w:pPr>
              <w:pStyle w:val="CETBodytext"/>
              <w:rPr>
                <w:lang w:val="en-GB"/>
              </w:rPr>
            </w:pPr>
            <w:r>
              <w:rPr>
                <w:lang w:val="en-GB"/>
              </w:rPr>
              <w:t>6.4 kg/s</w:t>
            </w:r>
          </w:p>
        </w:tc>
        <w:tc>
          <w:tcPr>
            <w:tcW w:w="850" w:type="dxa"/>
            <w:shd w:val="clear" w:color="auto" w:fill="FFFFFF"/>
          </w:tcPr>
          <w:p w14:paraId="2518CF20" w14:textId="38F36363" w:rsidR="0017617A" w:rsidRDefault="0017617A" w:rsidP="0017617A">
            <w:pPr>
              <w:pStyle w:val="CETBodytext"/>
              <w:rPr>
                <w:lang w:val="en-GB"/>
              </w:rPr>
            </w:pPr>
            <w:r>
              <w:rPr>
                <w:lang w:val="en-GB"/>
              </w:rPr>
              <w:t>0.0 kg/s</w:t>
            </w:r>
          </w:p>
        </w:tc>
        <w:tc>
          <w:tcPr>
            <w:tcW w:w="992" w:type="dxa"/>
            <w:shd w:val="clear" w:color="auto" w:fill="FFFFFF"/>
          </w:tcPr>
          <w:p w14:paraId="342A4E78" w14:textId="2D760E8C" w:rsidR="0017617A" w:rsidRPr="00B57B36" w:rsidRDefault="0017617A" w:rsidP="0017617A">
            <w:pPr>
              <w:pStyle w:val="CETBodytext"/>
              <w:rPr>
                <w:lang w:val="en-GB"/>
              </w:rPr>
            </w:pPr>
            <w:r>
              <w:rPr>
                <w:lang w:val="en-GB"/>
              </w:rPr>
              <w:t>0.0 kg/s</w:t>
            </w:r>
          </w:p>
        </w:tc>
        <w:tc>
          <w:tcPr>
            <w:tcW w:w="2552" w:type="dxa"/>
            <w:shd w:val="clear" w:color="auto" w:fill="FFFFFF"/>
          </w:tcPr>
          <w:p w14:paraId="56111C25" w14:textId="77777777" w:rsidR="0017617A" w:rsidRPr="00B57B36" w:rsidRDefault="0017617A" w:rsidP="0017617A">
            <w:pPr>
              <w:pStyle w:val="CETBodytext"/>
              <w:ind w:right="-1"/>
              <w:rPr>
                <w:rFonts w:cs="Arial"/>
                <w:szCs w:val="18"/>
                <w:lang w:val="en-GB"/>
              </w:rPr>
            </w:pPr>
            <w:r>
              <w:rPr>
                <w:rFonts w:cs="Arial"/>
                <w:szCs w:val="18"/>
                <w:lang w:val="en-GB"/>
              </w:rPr>
              <w:t>Pool (~0.03 kg/m</w:t>
            </w:r>
            <w:r w:rsidRPr="00CE43A5">
              <w:rPr>
                <w:rFonts w:cs="Arial"/>
                <w:szCs w:val="18"/>
                <w:vertAlign w:val="superscript"/>
                <w:lang w:val="en-GB"/>
              </w:rPr>
              <w:t>2</w:t>
            </w:r>
            <w:r>
              <w:rPr>
                <w:rFonts w:cs="Arial"/>
                <w:szCs w:val="18"/>
                <w:lang w:val="en-GB"/>
              </w:rPr>
              <w:t>s / ~35%)</w:t>
            </w:r>
          </w:p>
        </w:tc>
        <w:tc>
          <w:tcPr>
            <w:tcW w:w="1276" w:type="dxa"/>
            <w:shd w:val="clear" w:color="auto" w:fill="FFFFFF"/>
          </w:tcPr>
          <w:p w14:paraId="6971AD60" w14:textId="77777777" w:rsidR="0017617A" w:rsidRPr="00B57B36" w:rsidRDefault="0017617A" w:rsidP="0017617A">
            <w:pPr>
              <w:pStyle w:val="CETBodytext"/>
              <w:ind w:right="-1"/>
              <w:rPr>
                <w:rFonts w:cs="Arial"/>
                <w:szCs w:val="18"/>
                <w:lang w:val="en-GB"/>
              </w:rPr>
            </w:pPr>
            <w:r>
              <w:rPr>
                <w:rFonts w:cs="Arial"/>
                <w:szCs w:val="18"/>
                <w:lang w:val="en-GB"/>
              </w:rPr>
              <w:t>Buoyant</w:t>
            </w:r>
          </w:p>
        </w:tc>
      </w:tr>
      <w:tr w:rsidR="003C6590" w:rsidRPr="00B57B36" w14:paraId="60CCF4FB" w14:textId="77777777" w:rsidTr="001B31BF">
        <w:tc>
          <w:tcPr>
            <w:tcW w:w="2268" w:type="dxa"/>
            <w:shd w:val="clear" w:color="auto" w:fill="FFFFFF"/>
          </w:tcPr>
          <w:p w14:paraId="381C0BE8" w14:textId="77777777" w:rsidR="003C6590" w:rsidRPr="00B57B36" w:rsidRDefault="003C6590" w:rsidP="00787F2B">
            <w:pPr>
              <w:pStyle w:val="CETBodytext"/>
              <w:rPr>
                <w:lang w:val="en-GB"/>
              </w:rPr>
            </w:pPr>
            <w:r>
              <w:rPr>
                <w:lang w:val="en-GB"/>
              </w:rPr>
              <w:t xml:space="preserve">3.0 barg (-2 </w:t>
            </w:r>
            <w:r>
              <w:rPr>
                <w:rFonts w:cs="Arial"/>
                <w:lang w:val="en-GB"/>
              </w:rPr>
              <w:t>º</w:t>
            </w:r>
            <w:r>
              <w:rPr>
                <w:lang w:val="en-GB"/>
              </w:rPr>
              <w:t xml:space="preserve">C) </w:t>
            </w:r>
          </w:p>
        </w:tc>
        <w:tc>
          <w:tcPr>
            <w:tcW w:w="993" w:type="dxa"/>
            <w:shd w:val="clear" w:color="auto" w:fill="FFFFFF"/>
          </w:tcPr>
          <w:p w14:paraId="270185D2" w14:textId="77777777" w:rsidR="003C6590" w:rsidRPr="00B57B36" w:rsidRDefault="003C6590" w:rsidP="00787F2B">
            <w:pPr>
              <w:pStyle w:val="CETBodytext"/>
              <w:rPr>
                <w:lang w:val="en-GB"/>
              </w:rPr>
            </w:pPr>
            <w:r>
              <w:rPr>
                <w:lang w:val="en-GB"/>
              </w:rPr>
              <w:t>24 kg/s</w:t>
            </w:r>
          </w:p>
        </w:tc>
        <w:tc>
          <w:tcPr>
            <w:tcW w:w="850" w:type="dxa"/>
            <w:shd w:val="clear" w:color="auto" w:fill="FFFFFF"/>
          </w:tcPr>
          <w:p w14:paraId="00778828" w14:textId="77777777" w:rsidR="003C6590" w:rsidRDefault="003C6590" w:rsidP="00787F2B">
            <w:pPr>
              <w:pStyle w:val="CETBodytext"/>
              <w:rPr>
                <w:lang w:val="en-GB"/>
              </w:rPr>
            </w:pPr>
            <w:r>
              <w:rPr>
                <w:lang w:val="en-GB"/>
              </w:rPr>
              <w:t>2.7 kg/s</w:t>
            </w:r>
          </w:p>
        </w:tc>
        <w:tc>
          <w:tcPr>
            <w:tcW w:w="992" w:type="dxa"/>
            <w:shd w:val="clear" w:color="auto" w:fill="FFFFFF"/>
          </w:tcPr>
          <w:p w14:paraId="04AF2939" w14:textId="77777777" w:rsidR="003C6590" w:rsidRPr="00B57B36" w:rsidRDefault="003C6590" w:rsidP="00787F2B">
            <w:pPr>
              <w:pStyle w:val="CETBodytext"/>
              <w:rPr>
                <w:lang w:val="en-GB"/>
              </w:rPr>
            </w:pPr>
            <w:r>
              <w:rPr>
                <w:lang w:val="en-GB"/>
              </w:rPr>
              <w:t>3.2 kg/s</w:t>
            </w:r>
          </w:p>
        </w:tc>
        <w:tc>
          <w:tcPr>
            <w:tcW w:w="2552" w:type="dxa"/>
            <w:shd w:val="clear" w:color="auto" w:fill="FFFFFF"/>
          </w:tcPr>
          <w:p w14:paraId="4ECD1625" w14:textId="77777777" w:rsidR="003C6590" w:rsidRPr="00B57B36" w:rsidRDefault="003C6590" w:rsidP="00787F2B">
            <w:pPr>
              <w:pStyle w:val="CETBodytext"/>
              <w:ind w:right="-1"/>
              <w:rPr>
                <w:rFonts w:cs="Arial"/>
                <w:szCs w:val="18"/>
                <w:lang w:val="en-GB"/>
              </w:rPr>
            </w:pPr>
            <w:r>
              <w:rPr>
                <w:rFonts w:cs="Arial"/>
                <w:szCs w:val="18"/>
                <w:lang w:val="en-GB"/>
              </w:rPr>
              <w:t>Pool (~0.03 kg/m</w:t>
            </w:r>
            <w:r w:rsidRPr="00CE43A5">
              <w:rPr>
                <w:rFonts w:cs="Arial"/>
                <w:szCs w:val="18"/>
                <w:vertAlign w:val="superscript"/>
                <w:lang w:val="en-GB"/>
              </w:rPr>
              <w:t>2</w:t>
            </w:r>
            <w:r>
              <w:rPr>
                <w:rFonts w:cs="Arial"/>
                <w:szCs w:val="18"/>
                <w:lang w:val="en-GB"/>
              </w:rPr>
              <w:t>s / ~35%)</w:t>
            </w:r>
          </w:p>
        </w:tc>
        <w:tc>
          <w:tcPr>
            <w:tcW w:w="1276" w:type="dxa"/>
            <w:shd w:val="clear" w:color="auto" w:fill="FFFFFF"/>
          </w:tcPr>
          <w:p w14:paraId="2CD775BF" w14:textId="77777777" w:rsidR="003C6590" w:rsidRPr="00B57B36" w:rsidRDefault="003C6590" w:rsidP="00787F2B">
            <w:pPr>
              <w:pStyle w:val="CETBodytext"/>
              <w:ind w:right="-1"/>
              <w:rPr>
                <w:rFonts w:cs="Arial"/>
                <w:szCs w:val="18"/>
                <w:lang w:val="en-GB"/>
              </w:rPr>
            </w:pPr>
            <w:r>
              <w:rPr>
                <w:rFonts w:cs="Arial"/>
                <w:szCs w:val="18"/>
                <w:lang w:val="en-GB"/>
              </w:rPr>
              <w:t>Buoyant</w:t>
            </w:r>
          </w:p>
        </w:tc>
      </w:tr>
      <w:tr w:rsidR="0017617A" w:rsidRPr="00B57B36" w14:paraId="3C6D39AE" w14:textId="77777777" w:rsidTr="001B31BF">
        <w:tc>
          <w:tcPr>
            <w:tcW w:w="2268" w:type="dxa"/>
            <w:shd w:val="clear" w:color="auto" w:fill="FFFFFF"/>
          </w:tcPr>
          <w:p w14:paraId="195FBEDC" w14:textId="69841972" w:rsidR="0017617A" w:rsidRPr="00B57B36" w:rsidRDefault="003C6590" w:rsidP="0017617A">
            <w:pPr>
              <w:pStyle w:val="CETBodytext"/>
              <w:rPr>
                <w:lang w:val="en-GB"/>
              </w:rPr>
            </w:pPr>
            <w:r>
              <w:rPr>
                <w:lang w:val="en-GB"/>
              </w:rPr>
              <w:t>6</w:t>
            </w:r>
            <w:r w:rsidR="0017617A">
              <w:rPr>
                <w:lang w:val="en-GB"/>
              </w:rPr>
              <w:t>.</w:t>
            </w:r>
            <w:r>
              <w:rPr>
                <w:lang w:val="en-GB"/>
              </w:rPr>
              <w:t>3</w:t>
            </w:r>
            <w:r w:rsidR="0017617A">
              <w:rPr>
                <w:lang w:val="en-GB"/>
              </w:rPr>
              <w:t xml:space="preserve"> barg </w:t>
            </w:r>
            <w:r>
              <w:rPr>
                <w:lang w:val="en-GB"/>
              </w:rPr>
              <w:t>(15</w:t>
            </w:r>
            <w:r w:rsidR="0017617A">
              <w:rPr>
                <w:lang w:val="en-GB"/>
              </w:rPr>
              <w:t xml:space="preserve"> </w:t>
            </w:r>
            <w:r w:rsidR="0017617A">
              <w:rPr>
                <w:rFonts w:cs="Arial"/>
                <w:lang w:val="en-GB"/>
              </w:rPr>
              <w:t>º</w:t>
            </w:r>
            <w:r w:rsidR="0017617A">
              <w:rPr>
                <w:lang w:val="en-GB"/>
              </w:rPr>
              <w:t xml:space="preserve">C) </w:t>
            </w:r>
          </w:p>
        </w:tc>
        <w:tc>
          <w:tcPr>
            <w:tcW w:w="993" w:type="dxa"/>
            <w:shd w:val="clear" w:color="auto" w:fill="FFFFFF"/>
          </w:tcPr>
          <w:p w14:paraId="0929BB4B" w14:textId="03F52C97" w:rsidR="0017617A" w:rsidRPr="00B57B36" w:rsidRDefault="001B31BF" w:rsidP="0017617A">
            <w:pPr>
              <w:pStyle w:val="CETBodytext"/>
              <w:rPr>
                <w:lang w:val="en-GB"/>
              </w:rPr>
            </w:pPr>
            <w:r>
              <w:rPr>
                <w:lang w:val="en-GB"/>
              </w:rPr>
              <w:t>3</w:t>
            </w:r>
            <w:r w:rsidR="0017617A">
              <w:rPr>
                <w:lang w:val="en-GB"/>
              </w:rPr>
              <w:t>4 kg/s</w:t>
            </w:r>
          </w:p>
        </w:tc>
        <w:tc>
          <w:tcPr>
            <w:tcW w:w="850" w:type="dxa"/>
            <w:shd w:val="clear" w:color="auto" w:fill="FFFFFF"/>
          </w:tcPr>
          <w:p w14:paraId="60C4580B" w14:textId="37CFFE2C" w:rsidR="0017617A" w:rsidRDefault="001B31BF" w:rsidP="0017617A">
            <w:pPr>
              <w:pStyle w:val="CETBodytext"/>
              <w:rPr>
                <w:lang w:val="en-GB"/>
              </w:rPr>
            </w:pPr>
            <w:r>
              <w:rPr>
                <w:lang w:val="en-GB"/>
              </w:rPr>
              <w:t>5.8</w:t>
            </w:r>
            <w:r w:rsidR="0017617A">
              <w:rPr>
                <w:lang w:val="en-GB"/>
              </w:rPr>
              <w:t xml:space="preserve"> kg/s</w:t>
            </w:r>
          </w:p>
        </w:tc>
        <w:tc>
          <w:tcPr>
            <w:tcW w:w="992" w:type="dxa"/>
            <w:shd w:val="clear" w:color="auto" w:fill="FFFFFF"/>
          </w:tcPr>
          <w:p w14:paraId="2102D6A8" w14:textId="7239C7FD" w:rsidR="0017617A" w:rsidRPr="00B57B36" w:rsidRDefault="00E20823" w:rsidP="0017617A">
            <w:pPr>
              <w:pStyle w:val="CETBodytext"/>
              <w:rPr>
                <w:lang w:val="en-GB"/>
              </w:rPr>
            </w:pPr>
            <w:r>
              <w:rPr>
                <w:lang w:val="en-GB"/>
              </w:rPr>
              <w:t>3</w:t>
            </w:r>
            <w:r w:rsidR="001B31BF">
              <w:rPr>
                <w:lang w:val="en-GB"/>
              </w:rPr>
              <w:t>4</w:t>
            </w:r>
            <w:r w:rsidR="0017617A">
              <w:rPr>
                <w:lang w:val="en-GB"/>
              </w:rPr>
              <w:t xml:space="preserve"> kg/s</w:t>
            </w:r>
          </w:p>
        </w:tc>
        <w:tc>
          <w:tcPr>
            <w:tcW w:w="2552" w:type="dxa"/>
            <w:shd w:val="clear" w:color="auto" w:fill="FFFFFF"/>
          </w:tcPr>
          <w:p w14:paraId="04F1BD88" w14:textId="50CF37DB" w:rsidR="0017617A" w:rsidRPr="00B57B36" w:rsidRDefault="001B31BF" w:rsidP="0017617A">
            <w:pPr>
              <w:pStyle w:val="CETBodytext"/>
              <w:ind w:right="-1"/>
              <w:rPr>
                <w:rFonts w:cs="Arial"/>
                <w:szCs w:val="18"/>
                <w:lang w:val="en-GB"/>
              </w:rPr>
            </w:pPr>
            <w:r>
              <w:rPr>
                <w:rFonts w:cs="Arial"/>
                <w:szCs w:val="18"/>
                <w:lang w:val="en-GB"/>
              </w:rPr>
              <w:t>Cold fog (down to -70 ºC)</w:t>
            </w:r>
          </w:p>
        </w:tc>
        <w:tc>
          <w:tcPr>
            <w:tcW w:w="1276" w:type="dxa"/>
            <w:shd w:val="clear" w:color="auto" w:fill="FFFFFF"/>
          </w:tcPr>
          <w:p w14:paraId="4900BD5B" w14:textId="08C58527" w:rsidR="0017617A" w:rsidRPr="00B57B36" w:rsidRDefault="001B31BF" w:rsidP="0017617A">
            <w:pPr>
              <w:pStyle w:val="CETBodytext"/>
              <w:ind w:right="-1"/>
              <w:rPr>
                <w:rFonts w:cs="Arial"/>
                <w:szCs w:val="18"/>
                <w:lang w:val="en-GB"/>
              </w:rPr>
            </w:pPr>
            <w:r>
              <w:rPr>
                <w:rFonts w:cs="Arial"/>
                <w:szCs w:val="18"/>
                <w:lang w:val="en-GB"/>
              </w:rPr>
              <w:t>Denser than air</w:t>
            </w:r>
          </w:p>
        </w:tc>
      </w:tr>
    </w:tbl>
    <w:p w14:paraId="38291B31" w14:textId="5D2B1520" w:rsidR="00956977" w:rsidRDefault="00956977" w:rsidP="00956977">
      <w:pPr>
        <w:pStyle w:val="CETheadingx"/>
      </w:pPr>
      <w:r>
        <w:t xml:space="preserve">Azane </w:t>
      </w:r>
      <w:r w:rsidR="00002C2C">
        <w:t>NH</w:t>
      </w:r>
      <w:r w:rsidR="00002C2C" w:rsidRPr="00002C2C">
        <w:rPr>
          <w:vertAlign w:val="subscript"/>
        </w:rPr>
        <w:t>3</w:t>
      </w:r>
      <w:r>
        <w:t xml:space="preserve"> bunkering barge – safety </w:t>
      </w:r>
      <w:r w:rsidR="005B65AF">
        <w:t>concepts</w:t>
      </w:r>
    </w:p>
    <w:p w14:paraId="11182B39" w14:textId="77777777" w:rsidR="00DD03FF" w:rsidRDefault="00593000" w:rsidP="00FB1628">
      <w:pPr>
        <w:pStyle w:val="CETBodytext"/>
      </w:pPr>
      <w:r>
        <w:t>T</w:t>
      </w:r>
      <w:r w:rsidR="00574C0B">
        <w:t>he Azane NH</w:t>
      </w:r>
      <w:r w:rsidR="00574C0B" w:rsidRPr="00EC563B">
        <w:rPr>
          <w:vertAlign w:val="subscript"/>
        </w:rPr>
        <w:t>3</w:t>
      </w:r>
      <w:r w:rsidR="00574C0B">
        <w:t xml:space="preserve"> bunkering barge</w:t>
      </w:r>
      <w:r w:rsidR="00EC563B">
        <w:t xml:space="preserve"> </w:t>
      </w:r>
      <w:r w:rsidR="00867773">
        <w:t>will be</w:t>
      </w:r>
      <w:r w:rsidR="005D3A7A">
        <w:t xml:space="preserve"> </w:t>
      </w:r>
      <w:r w:rsidR="00C078EF">
        <w:t>installed</w:t>
      </w:r>
      <w:r w:rsidR="00867773">
        <w:t xml:space="preserve"> at</w:t>
      </w:r>
      <w:r>
        <w:t xml:space="preserve"> various locations</w:t>
      </w:r>
      <w:r w:rsidR="00CA08C2">
        <w:t>. S</w:t>
      </w:r>
      <w:r>
        <w:t xml:space="preserve">ome of these can be expected to have workplaces or traffic close </w:t>
      </w:r>
      <w:r w:rsidR="00503B64">
        <w:t xml:space="preserve">in immediate </w:t>
      </w:r>
      <w:r w:rsidR="00B4015A">
        <w:t>vicinity of t</w:t>
      </w:r>
      <w:r>
        <w:t>he bunkering operation</w:t>
      </w:r>
      <w:r w:rsidR="00CA08C2">
        <w:t xml:space="preserve"> </w:t>
      </w:r>
      <w:r w:rsidR="00E71015">
        <w:t>and</w:t>
      </w:r>
      <w:r w:rsidR="00CA08C2">
        <w:t xml:space="preserve"> residen</w:t>
      </w:r>
      <w:r w:rsidR="001D363A">
        <w:t>tial</w:t>
      </w:r>
      <w:r w:rsidR="00CA08C2">
        <w:t xml:space="preserve"> are</w:t>
      </w:r>
      <w:r w:rsidR="00B4015A">
        <w:t>as a few hundred meters away</w:t>
      </w:r>
      <w:r>
        <w:t>.</w:t>
      </w:r>
      <w:r w:rsidR="00042C13">
        <w:t xml:space="preserve"> </w:t>
      </w:r>
      <w:r w:rsidR="00867773">
        <w:t>To ease the permitting process</w:t>
      </w:r>
      <w:r w:rsidR="002F45A4">
        <w:t>,</w:t>
      </w:r>
      <w:r w:rsidR="00867773">
        <w:t xml:space="preserve"> </w:t>
      </w:r>
      <w:r w:rsidR="00EC67CA">
        <w:t>a s</w:t>
      </w:r>
      <w:r w:rsidR="00AF52EE">
        <w:t>afe</w:t>
      </w:r>
      <w:r w:rsidR="00FE5274">
        <w:t xml:space="preserve"> design</w:t>
      </w:r>
      <w:r w:rsidR="00867773">
        <w:t xml:space="preserve"> </w:t>
      </w:r>
      <w:r w:rsidR="00AF52EE">
        <w:t>is important</w:t>
      </w:r>
      <w:r w:rsidR="002F45A4">
        <w:t>, utilizing</w:t>
      </w:r>
      <w:r w:rsidR="00FE5274">
        <w:t xml:space="preserve"> </w:t>
      </w:r>
      <w:r w:rsidR="00E71015">
        <w:t>the best</w:t>
      </w:r>
      <w:r w:rsidR="00FE5274">
        <w:t xml:space="preserve"> available technology (BAT) where feasible.</w:t>
      </w:r>
      <w:r w:rsidR="00C052D1">
        <w:t xml:space="preserve"> </w:t>
      </w:r>
      <w:r w:rsidR="0028783D">
        <w:t>In Figure 3</w:t>
      </w:r>
      <w:r w:rsidR="00314371">
        <w:t>a</w:t>
      </w:r>
      <w:r w:rsidR="00416360">
        <w:t xml:space="preserve"> the</w:t>
      </w:r>
      <w:r w:rsidR="00314371">
        <w:t xml:space="preserve"> CAD model of the Fjord Base bunkering barge </w:t>
      </w:r>
      <w:r w:rsidR="00A0015F">
        <w:t>and</w:t>
      </w:r>
      <w:r w:rsidR="00314371">
        <w:t xml:space="preserve"> </w:t>
      </w:r>
      <w:r w:rsidR="000355E2">
        <w:t>a</w:t>
      </w:r>
      <w:r w:rsidR="00416360">
        <w:t>n</w:t>
      </w:r>
      <w:r w:rsidR="000355E2">
        <w:t xml:space="preserve"> NH</w:t>
      </w:r>
      <w:r w:rsidR="000355E2" w:rsidRPr="00416360">
        <w:rPr>
          <w:vertAlign w:val="subscript"/>
        </w:rPr>
        <w:t>3</w:t>
      </w:r>
      <w:r w:rsidR="000355E2">
        <w:t xml:space="preserve"> fueled vessel </w:t>
      </w:r>
      <w:r w:rsidR="00EE22F6">
        <w:t xml:space="preserve">concept </w:t>
      </w:r>
      <w:r w:rsidR="000355E2">
        <w:t>from Viridis Bulk Carrier</w:t>
      </w:r>
      <w:r w:rsidR="00EE22F6">
        <w:t xml:space="preserve"> </w:t>
      </w:r>
      <w:r w:rsidR="008475FC">
        <w:t>and an NH</w:t>
      </w:r>
      <w:r w:rsidR="008475FC" w:rsidRPr="008475FC">
        <w:rPr>
          <w:vertAlign w:val="subscript"/>
        </w:rPr>
        <w:t>3</w:t>
      </w:r>
      <w:r w:rsidR="008475FC">
        <w:t xml:space="preserve"> truck </w:t>
      </w:r>
      <w:r w:rsidR="00416360">
        <w:t>are</w:t>
      </w:r>
      <w:r w:rsidR="00EE22F6">
        <w:t xml:space="preserve"> shown</w:t>
      </w:r>
      <w:r w:rsidR="00416360">
        <w:t>.</w:t>
      </w:r>
      <w:r w:rsidR="00676E7B">
        <w:t xml:space="preserve"> </w:t>
      </w:r>
    </w:p>
    <w:p w14:paraId="7275D419" w14:textId="77777777" w:rsidR="00213362" w:rsidRDefault="00213362" w:rsidP="00FB1628">
      <w:pPr>
        <w:pStyle w:val="CETBodytext"/>
      </w:pPr>
    </w:p>
    <w:p w14:paraId="684A5725" w14:textId="77777777" w:rsidR="00213362" w:rsidRDefault="00213362" w:rsidP="00213362">
      <w:pPr>
        <w:pStyle w:val="CETBodytext"/>
        <w:rPr>
          <w:lang w:val="en-GB"/>
        </w:rPr>
      </w:pPr>
      <w:r>
        <w:rPr>
          <w:noProof/>
          <w:lang w:val="en-GB"/>
        </w:rPr>
        <w:drawing>
          <wp:inline distT="0" distB="0" distL="0" distR="0" wp14:anchorId="5B4EE574" wp14:editId="44C52E59">
            <wp:extent cx="2691441" cy="1405922"/>
            <wp:effectExtent l="0" t="0" r="0" b="3810"/>
            <wp:docPr id="916127747" name="Picture 5" descr="A ship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27747" name="Picture 5" descr="A ship on the wa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1015" cy="1416147"/>
                    </a:xfrm>
                    <a:prstGeom prst="rect">
                      <a:avLst/>
                    </a:prstGeom>
                    <a:noFill/>
                  </pic:spPr>
                </pic:pic>
              </a:graphicData>
            </a:graphic>
          </wp:inline>
        </w:drawing>
      </w:r>
      <w:r>
        <w:rPr>
          <w:noProof/>
          <w:lang w:val="en-GB"/>
        </w:rPr>
        <w:t xml:space="preserve"> </w:t>
      </w:r>
      <w:r>
        <w:rPr>
          <w:noProof/>
          <w:lang w:val="en-GB"/>
        </w:rPr>
        <w:drawing>
          <wp:inline distT="0" distB="0" distL="0" distR="0" wp14:anchorId="3F45B016" wp14:editId="5B8FD3E3">
            <wp:extent cx="2855343" cy="1394432"/>
            <wp:effectExtent l="0" t="0" r="2540" b="0"/>
            <wp:docPr id="2051683022" name="Picture 6" descr="A ship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83022" name="Picture 6" descr="A ship on the wa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1297" cy="1411991"/>
                    </a:xfrm>
                    <a:prstGeom prst="rect">
                      <a:avLst/>
                    </a:prstGeom>
                    <a:noFill/>
                  </pic:spPr>
                </pic:pic>
              </a:graphicData>
            </a:graphic>
          </wp:inline>
        </w:drawing>
      </w:r>
    </w:p>
    <w:p w14:paraId="74364908" w14:textId="6B105313" w:rsidR="00DD03FF" w:rsidRPr="00213362" w:rsidRDefault="00213362" w:rsidP="00213362">
      <w:pPr>
        <w:pStyle w:val="CETCaption"/>
      </w:pPr>
      <w:r w:rsidRPr="00BD077D">
        <w:rPr>
          <w:rStyle w:val="CETCaptionCarattere"/>
          <w:i/>
        </w:rPr>
        <w:t xml:space="preserve">Figure </w:t>
      </w:r>
      <w:r>
        <w:rPr>
          <w:rStyle w:val="CETCaptionCarattere"/>
          <w:i/>
        </w:rPr>
        <w:t>3</w:t>
      </w:r>
      <w:r w:rsidRPr="00BD077D">
        <w:rPr>
          <w:rStyle w:val="CETCaptionCarattere"/>
          <w:i/>
        </w:rPr>
        <w:t xml:space="preserve">: </w:t>
      </w:r>
      <w:r>
        <w:rPr>
          <w:rStyle w:val="CETCaptionCarattere"/>
          <w:i/>
        </w:rPr>
        <w:t>Illustration of Azane NH</w:t>
      </w:r>
      <w:r w:rsidRPr="00C16F91">
        <w:rPr>
          <w:rStyle w:val="CETCaptionCarattere"/>
          <w:i/>
          <w:vertAlign w:val="subscript"/>
        </w:rPr>
        <w:t>3</w:t>
      </w:r>
      <w:r>
        <w:rPr>
          <w:rStyle w:val="CETCaptionCarattere"/>
          <w:i/>
        </w:rPr>
        <w:t xml:space="preserve"> bunkering barge (left) and HYEX Safety CFD model (right) at Fjord Base terminal, with a Viridis cargo vessel ready to bunker. The truck represents a back-up solution for filling the barge.</w:t>
      </w:r>
    </w:p>
    <w:p w14:paraId="551ED29B" w14:textId="631ECA53" w:rsidR="00DD03FF" w:rsidRPr="00B57B36" w:rsidRDefault="00676E7B" w:rsidP="00FB1628">
      <w:pPr>
        <w:pStyle w:val="CETBodytext"/>
      </w:pPr>
      <w:r>
        <w:t>The following safety features can be mentioned:</w:t>
      </w:r>
    </w:p>
    <w:p w14:paraId="0F08F867" w14:textId="1B2080F7" w:rsidR="00990BBA" w:rsidRDefault="0033749B" w:rsidP="00990BBA">
      <w:pPr>
        <w:pStyle w:val="CETListbullets"/>
        <w:numPr>
          <w:ilvl w:val="0"/>
          <w:numId w:val="13"/>
        </w:numPr>
      </w:pPr>
      <w:r>
        <w:t xml:space="preserve">Up to </w:t>
      </w:r>
      <w:r w:rsidR="003F2FDE">
        <w:t xml:space="preserve">650 tonnes of </w:t>
      </w:r>
      <w:r w:rsidR="00FB1628">
        <w:t>NH</w:t>
      </w:r>
      <w:r w:rsidR="00FB1628" w:rsidRPr="00FB1628">
        <w:rPr>
          <w:vertAlign w:val="subscript"/>
        </w:rPr>
        <w:t>3</w:t>
      </w:r>
      <w:r w:rsidR="00FB1628">
        <w:t xml:space="preserve"> is stored refrigerated at atmospheric pressure</w:t>
      </w:r>
      <w:r w:rsidR="005B639B">
        <w:t xml:space="preserve"> with </w:t>
      </w:r>
      <w:r w:rsidR="00042017">
        <w:t xml:space="preserve">all </w:t>
      </w:r>
      <w:r w:rsidR="005B639B">
        <w:t>tank penetrations on top</w:t>
      </w:r>
    </w:p>
    <w:p w14:paraId="2810A0E7" w14:textId="7EBD565A" w:rsidR="00042017" w:rsidRDefault="00613FB0" w:rsidP="00990BBA">
      <w:pPr>
        <w:pStyle w:val="CETListbullets"/>
        <w:numPr>
          <w:ilvl w:val="0"/>
          <w:numId w:val="13"/>
        </w:numPr>
      </w:pPr>
      <w:r>
        <w:t xml:space="preserve">There are </w:t>
      </w:r>
      <w:r w:rsidR="00845163">
        <w:t xml:space="preserve">ESD valves </w:t>
      </w:r>
      <w:r>
        <w:t>where</w:t>
      </w:r>
      <w:r w:rsidR="00845163">
        <w:t xml:space="preserve"> all liquid lines</w:t>
      </w:r>
      <w:r>
        <w:t xml:space="preserve"> leave the tank</w:t>
      </w:r>
      <w:r w:rsidR="008D7E04">
        <w:t xml:space="preserve">, and a bund around </w:t>
      </w:r>
    </w:p>
    <w:p w14:paraId="7CB12FD5" w14:textId="0C283D1E" w:rsidR="005B639B" w:rsidRDefault="005B639B" w:rsidP="00990BBA">
      <w:pPr>
        <w:pStyle w:val="CETListbullets"/>
        <w:numPr>
          <w:ilvl w:val="0"/>
          <w:numId w:val="13"/>
        </w:numPr>
      </w:pPr>
      <w:r>
        <w:t>Redundant refrigeration loops</w:t>
      </w:r>
      <w:r w:rsidR="009B6337">
        <w:t xml:space="preserve"> with </w:t>
      </w:r>
      <w:r w:rsidR="00D63C2B">
        <w:t>emergency generator ensure continuous cooling</w:t>
      </w:r>
    </w:p>
    <w:p w14:paraId="113EFF43" w14:textId="2AFC0D5F" w:rsidR="00D63C2B" w:rsidRDefault="004219C8" w:rsidP="00990BBA">
      <w:pPr>
        <w:pStyle w:val="CETListbullets"/>
        <w:numPr>
          <w:ilvl w:val="0"/>
          <w:numId w:val="13"/>
        </w:numPr>
      </w:pPr>
      <w:r>
        <w:t>The robust storage tank is place well inside the hull of the barge (B/5 from side shell)</w:t>
      </w:r>
    </w:p>
    <w:p w14:paraId="662E3738" w14:textId="18EB5F20" w:rsidR="00990BBA" w:rsidRPr="00B57B36" w:rsidRDefault="00695B46" w:rsidP="00990BBA">
      <w:pPr>
        <w:pStyle w:val="CETnumberingbullets"/>
      </w:pPr>
      <w:r>
        <w:t>The barge is permanently moored to land</w:t>
      </w:r>
    </w:p>
    <w:p w14:paraId="1EC02291" w14:textId="00528AA0" w:rsidR="00676E7B" w:rsidRDefault="00C47190" w:rsidP="00002C2C">
      <w:pPr>
        <w:pStyle w:val="CETListbullets"/>
        <w:numPr>
          <w:ilvl w:val="0"/>
          <w:numId w:val="13"/>
        </w:numPr>
      </w:pPr>
      <w:r>
        <w:t>O</w:t>
      </w:r>
      <w:r w:rsidR="00695B46">
        <w:t xml:space="preserve">perators </w:t>
      </w:r>
      <w:r w:rsidR="00940A4A">
        <w:t>use</w:t>
      </w:r>
      <w:r w:rsidR="006B4D36">
        <w:t xml:space="preserve"> full-body PPE </w:t>
      </w:r>
      <w:r w:rsidR="00A90C65">
        <w:t>for</w:t>
      </w:r>
      <w:r w:rsidR="00E10533">
        <w:t xml:space="preserve"> </w:t>
      </w:r>
      <w:r w:rsidR="00907A02">
        <w:t xml:space="preserve">handling </w:t>
      </w:r>
      <w:r w:rsidR="00E10533">
        <w:t>hose</w:t>
      </w:r>
      <w:r w:rsidR="00907A02">
        <w:t>s</w:t>
      </w:r>
      <w:r w:rsidR="00940A4A">
        <w:t xml:space="preserve"> and </w:t>
      </w:r>
      <w:r w:rsidR="00A90C65">
        <w:t>have dedicated</w:t>
      </w:r>
      <w:r w:rsidR="00940A4A">
        <w:t xml:space="preserve"> control room during </w:t>
      </w:r>
      <w:r w:rsidR="00A90C65">
        <w:t xml:space="preserve">transfer </w:t>
      </w:r>
      <w:r w:rsidR="00940A4A">
        <w:t>operation</w:t>
      </w:r>
      <w:r w:rsidR="00907A02">
        <w:t>s</w:t>
      </w:r>
    </w:p>
    <w:p w14:paraId="104DD331" w14:textId="06951D78" w:rsidR="00907A02" w:rsidRDefault="001131E2" w:rsidP="00002C2C">
      <w:pPr>
        <w:pStyle w:val="CETListbullets"/>
        <w:numPr>
          <w:ilvl w:val="0"/>
          <w:numId w:val="13"/>
        </w:numPr>
      </w:pPr>
      <w:r>
        <w:t>T</w:t>
      </w:r>
      <w:r w:rsidR="0038620C">
        <w:t xml:space="preserve">wo PSVs </w:t>
      </w:r>
      <w:r w:rsidR="00466159">
        <w:t>release NH3 to mast</w:t>
      </w:r>
      <w:r w:rsidR="0038620C">
        <w:t xml:space="preserve"> </w:t>
      </w:r>
      <w:r w:rsidR="00466159">
        <w:t xml:space="preserve">if </w:t>
      </w:r>
      <w:r w:rsidR="0038620C">
        <w:t>pressure build-up beyond design</w:t>
      </w:r>
      <w:r w:rsidR="00E34192">
        <w:t>, with ARMS</w:t>
      </w:r>
      <w:r w:rsidR="00E97F23">
        <w:t xml:space="preserve"> installed to clean release</w:t>
      </w:r>
      <w:r w:rsidR="00EC21D4">
        <w:t>s</w:t>
      </w:r>
    </w:p>
    <w:p w14:paraId="038CCC86" w14:textId="77777777" w:rsidR="003E7281" w:rsidRDefault="00E233C4" w:rsidP="00002C2C">
      <w:pPr>
        <w:pStyle w:val="CETListbullets"/>
        <w:numPr>
          <w:ilvl w:val="0"/>
          <w:numId w:val="13"/>
        </w:numPr>
      </w:pPr>
      <w:r>
        <w:t xml:space="preserve">Emergency release system (ERS) </w:t>
      </w:r>
      <w:r w:rsidR="003E7281">
        <w:t xml:space="preserve">is </w:t>
      </w:r>
      <w:r w:rsidR="00A01F2F">
        <w:t>initiate</w:t>
      </w:r>
      <w:r w:rsidR="003E7281">
        <w:t>d</w:t>
      </w:r>
      <w:r w:rsidR="00A01F2F">
        <w:t xml:space="preserve"> by a vessel separation distance (VSD) wire</w:t>
      </w:r>
    </w:p>
    <w:p w14:paraId="6572B5D1" w14:textId="307D9D05" w:rsidR="00EC21D4" w:rsidRDefault="003E7281" w:rsidP="00002C2C">
      <w:pPr>
        <w:pStyle w:val="CETListbullets"/>
        <w:numPr>
          <w:ilvl w:val="0"/>
          <w:numId w:val="13"/>
        </w:numPr>
      </w:pPr>
      <w:r>
        <w:t>If VSD fails</w:t>
      </w:r>
      <w:r w:rsidR="00821406">
        <w:t xml:space="preserve"> a breaking pin will initiate dry break-away from the vessel if hose is strained</w:t>
      </w:r>
      <w:r w:rsidR="00000F35">
        <w:t xml:space="preserve"> </w:t>
      </w:r>
    </w:p>
    <w:p w14:paraId="21B5EE92" w14:textId="3FC01C49" w:rsidR="002B0F2C" w:rsidRDefault="003C2A7F" w:rsidP="00002C2C">
      <w:pPr>
        <w:pStyle w:val="CETListbullets"/>
        <w:numPr>
          <w:ilvl w:val="0"/>
          <w:numId w:val="13"/>
        </w:numPr>
      </w:pPr>
      <w:r>
        <w:t xml:space="preserve">Filling </w:t>
      </w:r>
      <w:r w:rsidR="009D6176">
        <w:t>warm NH</w:t>
      </w:r>
      <w:r w:rsidR="009D6176" w:rsidRPr="009D6176">
        <w:rPr>
          <w:vertAlign w:val="subscript"/>
        </w:rPr>
        <w:t>3</w:t>
      </w:r>
      <w:r w:rsidR="009D6176">
        <w:t xml:space="preserve"> </w:t>
      </w:r>
      <w:r>
        <w:t>from truck</w:t>
      </w:r>
      <w:r w:rsidR="009D6176">
        <w:t xml:space="preserve"> is not intended during normal operation but </w:t>
      </w:r>
      <w:r w:rsidR="009A1ADC">
        <w:t>is</w:t>
      </w:r>
      <w:r w:rsidR="009D6176">
        <w:t xml:space="preserve"> a back-up solution</w:t>
      </w:r>
      <w:r w:rsidR="009A1ADC">
        <w:t xml:space="preserve"> for delivery</w:t>
      </w:r>
    </w:p>
    <w:p w14:paraId="6BBE3E62" w14:textId="7DD6E572" w:rsidR="006D20F2" w:rsidRPr="00907A02" w:rsidRDefault="009A1ADC" w:rsidP="00F75A6C">
      <w:pPr>
        <w:pStyle w:val="CETListbullets"/>
        <w:numPr>
          <w:ilvl w:val="0"/>
          <w:numId w:val="13"/>
        </w:numPr>
      </w:pPr>
      <w:r>
        <w:t xml:space="preserve">Manual and automatic </w:t>
      </w:r>
      <w:r w:rsidR="00163A01">
        <w:t>alarm/ESD is initiated at leak detection</w:t>
      </w:r>
      <w:r w:rsidR="008D1560">
        <w:t xml:space="preserve"> by operators or </w:t>
      </w:r>
      <w:r w:rsidR="000B7665">
        <w:t>gas alarms</w:t>
      </w:r>
      <w:r w:rsidR="00DE6185">
        <w:t xml:space="preserve">, 10 s and 20 s </w:t>
      </w:r>
      <w:r w:rsidR="00C61B70">
        <w:t>ESD-times at</w:t>
      </w:r>
      <w:r w:rsidR="00DE6185">
        <w:t xml:space="preserve"> </w:t>
      </w:r>
      <w:r w:rsidR="00E60966">
        <w:t xml:space="preserve">automatic detection for </w:t>
      </w:r>
      <w:r w:rsidR="00DE6185">
        <w:t xml:space="preserve">bunkering and filling </w:t>
      </w:r>
      <w:r w:rsidR="00E60966">
        <w:t xml:space="preserve">operations, 35 s and </w:t>
      </w:r>
      <w:r w:rsidR="00117DF0">
        <w:t xml:space="preserve">45 s </w:t>
      </w:r>
      <w:r w:rsidR="00DD03FF">
        <w:t>with</w:t>
      </w:r>
      <w:r w:rsidR="00117DF0">
        <w:t xml:space="preserve"> manual detection</w:t>
      </w:r>
    </w:p>
    <w:p w14:paraId="1842A7E2" w14:textId="77777777" w:rsidR="00256041" w:rsidRPr="00956977" w:rsidRDefault="00256041" w:rsidP="00600535">
      <w:pPr>
        <w:pStyle w:val="CETBodytext"/>
      </w:pPr>
    </w:p>
    <w:p w14:paraId="5741900F" w14:textId="37102021" w:rsidR="00453E24" w:rsidRDefault="00695734" w:rsidP="00453E24">
      <w:pPr>
        <w:pStyle w:val="CETHeading1"/>
      </w:pPr>
      <w:r>
        <w:lastRenderedPageBreak/>
        <w:t>Risk Assessment Approach</w:t>
      </w:r>
    </w:p>
    <w:p w14:paraId="09406386" w14:textId="154BC006" w:rsidR="00453E24" w:rsidRPr="001410B3" w:rsidRDefault="00E72119" w:rsidP="00453E24">
      <w:pPr>
        <w:pStyle w:val="CETBodytext"/>
        <w:rPr>
          <w:lang w:val="en-GB"/>
        </w:rPr>
      </w:pPr>
      <w:r>
        <w:rPr>
          <w:lang w:val="en-GB"/>
        </w:rPr>
        <w:t>For a Norwegian major accident facility</w:t>
      </w:r>
      <w:r w:rsidR="00F35556">
        <w:rPr>
          <w:lang w:val="en-GB"/>
        </w:rPr>
        <w:t>,</w:t>
      </w:r>
      <w:r>
        <w:rPr>
          <w:lang w:val="en-GB"/>
        </w:rPr>
        <w:t xml:space="preserve"> risk-based consideration zones must be established</w:t>
      </w:r>
      <w:r w:rsidR="00A819B1" w:rsidRPr="00A819B1">
        <w:rPr>
          <w:lang w:val="en-GB"/>
        </w:rPr>
        <w:t xml:space="preserve"> around the site and operations, more specifically an inner, middle, and outer consideration zone with location specific individual fatality risk (LSIR) above 1E-5/year, 1E-6/year, and 1E-7/year, respectively.</w:t>
      </w:r>
      <w:r w:rsidR="00AB543D">
        <w:rPr>
          <w:lang w:val="en-GB"/>
        </w:rPr>
        <w:t xml:space="preserve"> </w:t>
      </w:r>
      <w:r w:rsidR="004A3372">
        <w:rPr>
          <w:lang w:val="en-GB"/>
        </w:rPr>
        <w:t xml:space="preserve">As a main rule, the inner zone should </w:t>
      </w:r>
      <w:r w:rsidR="00593863">
        <w:rPr>
          <w:lang w:val="en-GB"/>
        </w:rPr>
        <w:t>remain within the facility, the middle zone could include</w:t>
      </w:r>
      <w:r w:rsidR="00EF1DA3">
        <w:rPr>
          <w:lang w:val="en-GB"/>
        </w:rPr>
        <w:t xml:space="preserve"> workplaces and transport corridors in which people are temporarily present, the outer zone allows for </w:t>
      </w:r>
      <w:r w:rsidR="008F6D79">
        <w:rPr>
          <w:lang w:val="en-GB"/>
        </w:rPr>
        <w:t>residences, while particularly vulnerable objects like schools, hospitals, kindergartens, hotels, malls and arenas should be outside the outer zone.</w:t>
      </w:r>
      <w:r w:rsidR="00D86007">
        <w:rPr>
          <w:lang w:val="en-GB"/>
        </w:rPr>
        <w:t xml:space="preserve"> In addition, </w:t>
      </w:r>
      <w:r w:rsidR="00023EB6">
        <w:rPr>
          <w:lang w:val="en-GB"/>
        </w:rPr>
        <w:t xml:space="preserve">according to requirements from Norwegian regulator DSB, </w:t>
      </w:r>
      <w:r w:rsidR="00C56709">
        <w:rPr>
          <w:lang w:val="en-GB"/>
        </w:rPr>
        <w:t>bunkering</w:t>
      </w:r>
      <w:r w:rsidR="00D86007">
        <w:rPr>
          <w:lang w:val="en-GB"/>
        </w:rPr>
        <w:t xml:space="preserve"> safety zones</w:t>
      </w:r>
      <w:r w:rsidR="00C56709">
        <w:rPr>
          <w:lang w:val="en-GB"/>
        </w:rPr>
        <w:t>, and</w:t>
      </w:r>
      <w:r w:rsidR="00D86007">
        <w:rPr>
          <w:lang w:val="en-GB"/>
        </w:rPr>
        <w:t xml:space="preserve"> monitoring and</w:t>
      </w:r>
      <w:r w:rsidR="00C56709">
        <w:rPr>
          <w:lang w:val="en-GB"/>
        </w:rPr>
        <w:t xml:space="preserve"> security areas</w:t>
      </w:r>
      <w:r w:rsidR="00C64DB9">
        <w:rPr>
          <w:lang w:val="en-GB"/>
        </w:rPr>
        <w:t xml:space="preserve"> must be </w:t>
      </w:r>
      <w:r w:rsidR="00871832">
        <w:rPr>
          <w:lang w:val="en-GB"/>
        </w:rPr>
        <w:t>enforced during</w:t>
      </w:r>
      <w:r w:rsidR="00023EB6">
        <w:rPr>
          <w:lang w:val="en-GB"/>
        </w:rPr>
        <w:t xml:space="preserve"> bunkering of flammable gases in a similar way as</w:t>
      </w:r>
      <w:r w:rsidR="002D7C81">
        <w:rPr>
          <w:lang w:val="en-GB"/>
        </w:rPr>
        <w:t xml:space="preserve"> described</w:t>
      </w:r>
      <w:r w:rsidR="00DB1B17">
        <w:rPr>
          <w:lang w:val="en-GB"/>
        </w:rPr>
        <w:t xml:space="preserve"> for LNG in the ISO 20519 standard. </w:t>
      </w:r>
      <w:r w:rsidR="00CF5CC1">
        <w:rPr>
          <w:lang w:val="en-GB"/>
        </w:rPr>
        <w:t>The maximum hazard distances from</w:t>
      </w:r>
      <w:r w:rsidR="00F3177D">
        <w:rPr>
          <w:lang w:val="en-GB"/>
        </w:rPr>
        <w:t xml:space="preserve"> a full-bore hose rupture scenario</w:t>
      </w:r>
      <w:r w:rsidR="002624B8">
        <w:rPr>
          <w:lang w:val="en-GB"/>
        </w:rPr>
        <w:t xml:space="preserve"> corresponding to 1% </w:t>
      </w:r>
      <w:r w:rsidR="00490F2E">
        <w:rPr>
          <w:lang w:val="en-GB"/>
        </w:rPr>
        <w:t xml:space="preserve">toxic </w:t>
      </w:r>
      <w:r w:rsidR="002624B8">
        <w:rPr>
          <w:lang w:val="en-GB"/>
        </w:rPr>
        <w:t>fatality probability</w:t>
      </w:r>
      <w:r w:rsidR="00490F2E">
        <w:rPr>
          <w:lang w:val="en-GB"/>
        </w:rPr>
        <w:t>,</w:t>
      </w:r>
      <w:r w:rsidR="002624B8">
        <w:rPr>
          <w:lang w:val="en-GB"/>
        </w:rPr>
        <w:t xml:space="preserve"> define the bunkering safety zone, while a </w:t>
      </w:r>
      <w:r w:rsidR="00865803">
        <w:rPr>
          <w:lang w:val="en-GB"/>
        </w:rPr>
        <w:t xml:space="preserve">security </w:t>
      </w:r>
      <w:r w:rsidR="002624B8">
        <w:rPr>
          <w:lang w:val="en-GB"/>
        </w:rPr>
        <w:t xml:space="preserve">area outside must be </w:t>
      </w:r>
      <w:r w:rsidR="00865803">
        <w:rPr>
          <w:lang w:val="en-GB"/>
        </w:rPr>
        <w:t>monitored to prevent unauthorized approach into the</w:t>
      </w:r>
      <w:r w:rsidR="00413372">
        <w:rPr>
          <w:lang w:val="en-GB"/>
        </w:rPr>
        <w:t xml:space="preserve"> safety zone.</w:t>
      </w:r>
      <w:r w:rsidR="00866A41">
        <w:rPr>
          <w:lang w:val="en-GB"/>
        </w:rPr>
        <w:t xml:space="preserve"> </w:t>
      </w:r>
      <w:r w:rsidR="00D267C7">
        <w:rPr>
          <w:lang w:val="en-GB"/>
        </w:rPr>
        <w:t>For flammable gases the safety zone is defined at the LFL dispersion distance.</w:t>
      </w:r>
      <w:r w:rsidR="006E127E">
        <w:rPr>
          <w:lang w:val="en-GB"/>
        </w:rPr>
        <w:t xml:space="preserve"> </w:t>
      </w:r>
      <w:r w:rsidR="00165CA8">
        <w:rPr>
          <w:lang w:val="en-GB"/>
        </w:rPr>
        <w:t>A</w:t>
      </w:r>
      <w:r w:rsidR="006268BC">
        <w:rPr>
          <w:lang w:val="en-GB"/>
        </w:rPr>
        <w:t xml:space="preserve"> depowering of</w:t>
      </w:r>
      <w:r w:rsidR="006D13D1">
        <w:rPr>
          <w:lang w:val="en-GB"/>
        </w:rPr>
        <w:t xml:space="preserve"> possible electric ignition sources is expected during bunkering.</w:t>
      </w:r>
      <w:r w:rsidR="006268BC">
        <w:rPr>
          <w:lang w:val="en-GB"/>
        </w:rPr>
        <w:t xml:space="preserve"> </w:t>
      </w:r>
    </w:p>
    <w:p w14:paraId="0636B784" w14:textId="2B227DF9" w:rsidR="00453E24" w:rsidRDefault="003577EF" w:rsidP="00453E24">
      <w:pPr>
        <w:pStyle w:val="CETheadingx"/>
      </w:pPr>
      <w:r>
        <w:t>Challenges</w:t>
      </w:r>
      <w:r w:rsidR="0093280F">
        <w:t xml:space="preserve"> </w:t>
      </w:r>
      <w:r w:rsidR="004D5622">
        <w:t xml:space="preserve">establishing </w:t>
      </w:r>
      <w:r w:rsidR="0045107A">
        <w:t xml:space="preserve">risk </w:t>
      </w:r>
      <w:r w:rsidR="004D5622">
        <w:t>consideration zones</w:t>
      </w:r>
      <w:r w:rsidR="00AC6585">
        <w:t xml:space="preserve"> </w:t>
      </w:r>
    </w:p>
    <w:p w14:paraId="11213D36" w14:textId="260E236B" w:rsidR="00F15D9E" w:rsidRDefault="00C67352" w:rsidP="00F15D9E">
      <w:pPr>
        <w:pStyle w:val="CETBodytext"/>
      </w:pPr>
      <w:r>
        <w:t xml:space="preserve">The </w:t>
      </w:r>
      <w:r w:rsidR="00725F8C">
        <w:t xml:space="preserve">toxic </w:t>
      </w:r>
      <w:r>
        <w:t xml:space="preserve">fatality risk from ammonia exposure </w:t>
      </w:r>
      <w:r w:rsidR="00725F8C">
        <w:t xml:space="preserve">depends on a </w:t>
      </w:r>
      <w:r w:rsidR="00051318">
        <w:t>toxic dose</w:t>
      </w:r>
      <w:r w:rsidR="005A5532">
        <w:t xml:space="preserve"> and for each combination of exposure </w:t>
      </w:r>
      <w:r w:rsidR="00051318">
        <w:t>concentration and exposure time</w:t>
      </w:r>
      <w:r w:rsidR="001E01DE">
        <w:t xml:space="preserve"> </w:t>
      </w:r>
      <w:r w:rsidR="00B459E2">
        <w:t xml:space="preserve">a fatality probability is estimated </w:t>
      </w:r>
      <w:r w:rsidR="001E01DE">
        <w:t>using probit relations from RIVM (Ruiten</w:t>
      </w:r>
      <w:r w:rsidR="003B6CFC">
        <w:t>, 2017</w:t>
      </w:r>
      <w:r w:rsidR="00EC5803">
        <w:t>)</w:t>
      </w:r>
      <w:r w:rsidR="000E214B">
        <w:t>,</w:t>
      </w:r>
      <w:r w:rsidR="001E01DE">
        <w:t xml:space="preserve"> </w:t>
      </w:r>
      <w:r w:rsidR="003B6CFC">
        <w:t>see</w:t>
      </w:r>
      <w:r w:rsidR="001E01DE">
        <w:t xml:space="preserve"> </w:t>
      </w:r>
      <w:r w:rsidR="00B459E2">
        <w:t xml:space="preserve">example curves in </w:t>
      </w:r>
      <w:r w:rsidR="001E01DE">
        <w:t xml:space="preserve">Figure </w:t>
      </w:r>
      <w:r w:rsidR="00255C49">
        <w:t>4</w:t>
      </w:r>
      <w:r w:rsidR="001E01DE">
        <w:t>a</w:t>
      </w:r>
      <w:r w:rsidR="00EC5803">
        <w:t>.</w:t>
      </w:r>
      <w:r w:rsidR="003D3DD4">
        <w:t xml:space="preserve"> </w:t>
      </w:r>
      <w:r w:rsidR="008F47E2">
        <w:t xml:space="preserve">Based on </w:t>
      </w:r>
      <w:r w:rsidR="00DB4453">
        <w:t xml:space="preserve">failure </w:t>
      </w:r>
      <w:r w:rsidR="008F47E2">
        <w:t xml:space="preserve">frequencies </w:t>
      </w:r>
      <w:r w:rsidR="00DB4453">
        <w:t>from HSE</w:t>
      </w:r>
      <w:r w:rsidR="008F47E2">
        <w:t xml:space="preserve"> (HSE, 2017)</w:t>
      </w:r>
      <w:r w:rsidR="00AB7FE5">
        <w:t xml:space="preserve"> </w:t>
      </w:r>
      <w:r w:rsidR="008B69DC">
        <w:t xml:space="preserve">loss of containment scenarios </w:t>
      </w:r>
      <w:r w:rsidR="0070744A">
        <w:t>from small to catastrophic leaks</w:t>
      </w:r>
      <w:r w:rsidR="00B37CF4">
        <w:t xml:space="preserve">, </w:t>
      </w:r>
      <w:r w:rsidR="00922ECD">
        <w:t xml:space="preserve">from </w:t>
      </w:r>
      <w:r w:rsidR="00B37CF4">
        <w:t xml:space="preserve">both liquid and </w:t>
      </w:r>
      <w:r w:rsidR="003347EC">
        <w:t>gas</w:t>
      </w:r>
      <w:r w:rsidR="00922ECD">
        <w:t xml:space="preserve"> phase,</w:t>
      </w:r>
      <w:r w:rsidR="0070744A">
        <w:t xml:space="preserve"> </w:t>
      </w:r>
      <w:r w:rsidR="008B69DC">
        <w:t>were assessed for</w:t>
      </w:r>
      <w:r w:rsidR="0070744A">
        <w:t xml:space="preserve"> </w:t>
      </w:r>
      <w:r w:rsidR="008737A4">
        <w:t xml:space="preserve">various hole sizes </w:t>
      </w:r>
      <w:r w:rsidR="004263B0">
        <w:t xml:space="preserve">for </w:t>
      </w:r>
      <w:r w:rsidR="00015115">
        <w:t>inactive</w:t>
      </w:r>
      <w:r w:rsidR="004263B0">
        <w:t xml:space="preserve"> mode</w:t>
      </w:r>
      <w:r w:rsidR="00D033C4">
        <w:t xml:space="preserve"> with </w:t>
      </w:r>
      <w:r w:rsidR="00922ECD">
        <w:t>atmospheric tank</w:t>
      </w:r>
      <w:r w:rsidR="00D033C4">
        <w:t xml:space="preserve"> pressure below 0.1 barg</w:t>
      </w:r>
      <w:r w:rsidR="001D5F01">
        <w:t>,</w:t>
      </w:r>
      <w:r w:rsidR="004263B0">
        <w:t xml:space="preserve"> and </w:t>
      </w:r>
      <w:r w:rsidR="001D5F01">
        <w:t>for</w:t>
      </w:r>
      <w:r w:rsidR="00D033C4">
        <w:t xml:space="preserve"> </w:t>
      </w:r>
      <w:r w:rsidR="004263B0">
        <w:t>different transfer operations</w:t>
      </w:r>
      <w:r w:rsidR="00015115">
        <w:t xml:space="preserve"> </w:t>
      </w:r>
      <w:r w:rsidR="001D5F01">
        <w:t>with increased</w:t>
      </w:r>
      <w:r w:rsidR="00015115">
        <w:t xml:space="preserve"> tank</w:t>
      </w:r>
      <w:r w:rsidR="00D033C4">
        <w:t xml:space="preserve"> </w:t>
      </w:r>
      <w:r w:rsidR="00015115">
        <w:t xml:space="preserve">pressure </w:t>
      </w:r>
      <w:r w:rsidR="00E410F9">
        <w:t>as</w:t>
      </w:r>
      <w:r w:rsidR="00D774EB">
        <w:t xml:space="preserve"> refrigeration loop </w:t>
      </w:r>
      <w:r w:rsidR="00E410F9">
        <w:t xml:space="preserve">is </w:t>
      </w:r>
      <w:r w:rsidR="00D774EB">
        <w:t>running</w:t>
      </w:r>
      <w:r w:rsidR="00E410F9">
        <w:t xml:space="preserve">. An </w:t>
      </w:r>
      <w:r w:rsidR="0091083B">
        <w:t xml:space="preserve">overview of the </w:t>
      </w:r>
      <w:r w:rsidR="00D667E0">
        <w:t>49</w:t>
      </w:r>
      <w:r w:rsidR="0091083B">
        <w:t xml:space="preserve"> </w:t>
      </w:r>
      <w:r w:rsidR="00D667E0">
        <w:t xml:space="preserve">loss of containment </w:t>
      </w:r>
      <w:r w:rsidR="0091083B">
        <w:t>scenarios assessed is given in Table 2</w:t>
      </w:r>
      <w:r w:rsidR="007B1BC0">
        <w:t xml:space="preserve">, these were </w:t>
      </w:r>
      <w:r w:rsidR="00D122DE">
        <w:t>combined</w:t>
      </w:r>
      <w:r w:rsidR="007B1BC0">
        <w:t xml:space="preserve"> into a total of 20</w:t>
      </w:r>
      <w:r w:rsidR="000E40E4">
        <w:t xml:space="preserve"> scenarios for which </w:t>
      </w:r>
      <w:r w:rsidR="002C106E">
        <w:t xml:space="preserve">the </w:t>
      </w:r>
      <w:r w:rsidR="000E40E4">
        <w:t>consequence</w:t>
      </w:r>
      <w:r w:rsidR="002C106E">
        <w:t>s were</w:t>
      </w:r>
      <w:r w:rsidR="000E40E4">
        <w:t xml:space="preserve"> assess</w:t>
      </w:r>
      <w:r w:rsidR="002C106E">
        <w:t>ed</w:t>
      </w:r>
      <w:r w:rsidR="000E40E4">
        <w:t>.</w:t>
      </w:r>
      <w:r w:rsidR="00A679A3">
        <w:t xml:space="preserve"> All </w:t>
      </w:r>
      <w:r w:rsidR="0079797A">
        <w:t xml:space="preserve">leak scenarios except for leaks from the tank, can be stopped by ESD, whether manual </w:t>
      </w:r>
      <w:r w:rsidR="00671A8F">
        <w:t xml:space="preserve">(35-45 s) </w:t>
      </w:r>
      <w:r w:rsidR="0079797A">
        <w:t>or automatic</w:t>
      </w:r>
      <w:r w:rsidR="00671A8F">
        <w:t xml:space="preserve"> (10-20 s)</w:t>
      </w:r>
      <w:r w:rsidR="0079797A">
        <w:t>.</w:t>
      </w:r>
      <w:r w:rsidR="00C665A4">
        <w:t xml:space="preserve"> </w:t>
      </w:r>
      <w:r w:rsidR="00931D8C">
        <w:t xml:space="preserve">The exposure probability </w:t>
      </w:r>
      <w:r w:rsidR="003E78E5">
        <w:t>at any location around the facility from</w:t>
      </w:r>
      <w:r w:rsidR="00931D8C">
        <w:t xml:space="preserve"> each scenario beyond the </w:t>
      </w:r>
      <w:r w:rsidR="00D122DE">
        <w:t>immediate near field will depend on wind direction and strength</w:t>
      </w:r>
      <w:r w:rsidR="00D7718D">
        <w:t>, as well as local topology/geometry.</w:t>
      </w:r>
      <w:r w:rsidR="006E5C40">
        <w:t xml:space="preserve"> </w:t>
      </w:r>
      <w:r w:rsidR="004330B0">
        <w:t>Hourly w</w:t>
      </w:r>
      <w:r w:rsidR="003F338A">
        <w:t xml:space="preserve">ind </w:t>
      </w:r>
      <w:r w:rsidR="004330B0">
        <w:t xml:space="preserve">statistics </w:t>
      </w:r>
      <w:r w:rsidR="003F338A">
        <w:t xml:space="preserve">were available </w:t>
      </w:r>
      <w:r w:rsidR="00255C49">
        <w:t>from Florø Airport (see Figure 4b) and Florø Port</w:t>
      </w:r>
      <w:r w:rsidR="00712243">
        <w:t xml:space="preserve"> in 12 and 16</w:t>
      </w:r>
      <w:r w:rsidR="004330B0">
        <w:t xml:space="preserve"> directions and 5 strengths</w:t>
      </w:r>
      <w:r w:rsidR="00020682">
        <w:t xml:space="preserve">, and these were combined </w:t>
      </w:r>
      <w:r w:rsidR="00CC0562">
        <w:t>to 16 directions and 4 wind speeds used for the assessment.</w:t>
      </w:r>
      <w:r w:rsidR="007168D1">
        <w:t xml:space="preserve"> To summarize, a total of 49</w:t>
      </w:r>
      <w:r w:rsidR="00BD5B21">
        <w:t xml:space="preserve"> scenarios with </w:t>
      </w:r>
      <w:r w:rsidR="007242AA">
        <w:t xml:space="preserve">spill/leak rate and duration, </w:t>
      </w:r>
      <w:r w:rsidR="00124569">
        <w:t xml:space="preserve">with wind from 16 directions and </w:t>
      </w:r>
      <w:r w:rsidR="000107B5">
        <w:t>5</w:t>
      </w:r>
      <w:r w:rsidR="00124569">
        <w:t xml:space="preserve"> wind speeds</w:t>
      </w:r>
      <w:r w:rsidR="00CA5AC6">
        <w:t xml:space="preserve"> (</w:t>
      </w:r>
      <w:r w:rsidR="003144CB">
        <w:t>~</w:t>
      </w:r>
      <w:r w:rsidR="002A2116">
        <w:t>4</w:t>
      </w:r>
      <w:r w:rsidR="003144CB">
        <w:t>000 scenarios)</w:t>
      </w:r>
      <w:r w:rsidR="00240E2C">
        <w:t xml:space="preserve"> each with a frequency, are assessed, to estimate the toxic dose </w:t>
      </w:r>
      <w:r w:rsidR="005C74DA">
        <w:t xml:space="preserve">from probit functions </w:t>
      </w:r>
      <w:r w:rsidR="00240E2C">
        <w:t xml:space="preserve">at </w:t>
      </w:r>
      <w:r w:rsidR="005C74DA">
        <w:t>any distance downwind</w:t>
      </w:r>
      <w:r w:rsidR="005356A7">
        <w:t xml:space="preserve"> to establish</w:t>
      </w:r>
      <w:r w:rsidR="009E1BA6">
        <w:t xml:space="preserve"> risk contours around the facility</w:t>
      </w:r>
      <w:r w:rsidR="006E3D35">
        <w:t xml:space="preserve">. To resolve the contours 200 different distances were </w:t>
      </w:r>
      <w:r w:rsidR="000107B5">
        <w:t>considered</w:t>
      </w:r>
      <w:r w:rsidR="002A2116">
        <w:t>,</w:t>
      </w:r>
      <w:r w:rsidR="000B007C">
        <w:t xml:space="preserve"> requiring </w:t>
      </w:r>
      <w:r w:rsidR="00E11B97">
        <w:t>800,000</w:t>
      </w:r>
      <w:r w:rsidR="000B007C">
        <w:t xml:space="preserve"> estimates of fatality probability</w:t>
      </w:r>
      <w:r w:rsidR="006A24CD">
        <w:t xml:space="preserve">, or </w:t>
      </w:r>
      <w:r w:rsidR="00FB2ABA">
        <w:t xml:space="preserve">1250 scenarios and </w:t>
      </w:r>
      <w:r w:rsidR="006A24CD">
        <w:t xml:space="preserve">250,000 </w:t>
      </w:r>
      <w:r w:rsidR="00FB2ABA">
        <w:t xml:space="preserve">fatality estimates </w:t>
      </w:r>
      <w:r w:rsidR="006A24CD">
        <w:t>w</w:t>
      </w:r>
      <w:r w:rsidR="006D6CFD">
        <w:t>ith the simplification to group into 20 scenario</w:t>
      </w:r>
      <w:r w:rsidR="00493FA0">
        <w:t>s and 4 wind speed</w:t>
      </w:r>
      <w:r w:rsidR="006A24CD">
        <w:t>s.</w:t>
      </w:r>
      <w:r w:rsidR="00492116">
        <w:t xml:space="preserve"> </w:t>
      </w:r>
      <w:r w:rsidR="000E0A5A">
        <w:t>Performing the entire assessment using CFD modelling</w:t>
      </w:r>
      <w:r w:rsidR="003C417E">
        <w:t xml:space="preserve"> would require </w:t>
      </w:r>
      <w:r w:rsidR="00292FC2">
        <w:t xml:space="preserve">several </w:t>
      </w:r>
      <w:r w:rsidR="008A3C82">
        <w:t>CPU</w:t>
      </w:r>
      <w:r w:rsidR="00A94871">
        <w:t xml:space="preserve">-years and a challenging postprocessing as results will be transient in </w:t>
      </w:r>
      <w:r w:rsidR="00227AA4">
        <w:t xml:space="preserve">time and space and is not an option. </w:t>
      </w:r>
    </w:p>
    <w:p w14:paraId="4604FD27" w14:textId="77777777" w:rsidR="0098460D" w:rsidRDefault="0098460D" w:rsidP="00F15D9E">
      <w:pPr>
        <w:pStyle w:val="CETBodytext"/>
      </w:pPr>
    </w:p>
    <w:p w14:paraId="79F0A57C" w14:textId="77777777" w:rsidR="0098460D" w:rsidRDefault="0098460D" w:rsidP="0098460D">
      <w:pPr>
        <w:pStyle w:val="CETBodytext"/>
      </w:pPr>
      <w:r>
        <w:rPr>
          <w:noProof/>
        </w:rPr>
        <w:drawing>
          <wp:inline distT="0" distB="0" distL="0" distR="0" wp14:anchorId="25149D98" wp14:editId="22EE87D1">
            <wp:extent cx="2924175" cy="1323494"/>
            <wp:effectExtent l="0" t="0" r="0" b="0"/>
            <wp:docPr id="1796258949"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58949" name="Picture 2" descr="A graph of different colored lin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6155" cy="1351546"/>
                    </a:xfrm>
                    <a:prstGeom prst="rect">
                      <a:avLst/>
                    </a:prstGeom>
                    <a:noFill/>
                  </pic:spPr>
                </pic:pic>
              </a:graphicData>
            </a:graphic>
          </wp:inline>
        </w:drawing>
      </w:r>
      <w:r>
        <w:rPr>
          <w:noProof/>
        </w:rPr>
        <w:drawing>
          <wp:inline distT="0" distB="0" distL="0" distR="0" wp14:anchorId="33DD2E39" wp14:editId="47431D9E">
            <wp:extent cx="2613804" cy="1309810"/>
            <wp:effectExtent l="0" t="0" r="0" b="5080"/>
            <wp:docPr id="803925319" name="Picture 3" descr="A diagram of a comp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25319" name="Picture 3" descr="A diagram of a compas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628" cy="1326760"/>
                    </a:xfrm>
                    <a:prstGeom prst="rect">
                      <a:avLst/>
                    </a:prstGeom>
                    <a:noFill/>
                  </pic:spPr>
                </pic:pic>
              </a:graphicData>
            </a:graphic>
          </wp:inline>
        </w:drawing>
      </w:r>
    </w:p>
    <w:p w14:paraId="2C956280" w14:textId="1FD6F8CD" w:rsidR="0098460D" w:rsidRDefault="0098460D" w:rsidP="0098460D">
      <w:pPr>
        <w:pStyle w:val="CETCaption"/>
        <w:rPr>
          <w:rStyle w:val="CETCaptionCarattere"/>
          <w:i/>
        </w:rPr>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Fatality probabilities as function of exposure concentration and time using RIVM probit function (Ruiten, 2017) shown left, and one of two nearby wind statistics near the site in Florø used for the study.</w:t>
      </w:r>
    </w:p>
    <w:p w14:paraId="0B099158" w14:textId="77777777" w:rsidR="009E546F" w:rsidRPr="00B57B36" w:rsidRDefault="009E546F" w:rsidP="009E546F">
      <w:pPr>
        <w:pStyle w:val="CETTabletitle"/>
      </w:pPr>
      <w:r w:rsidRPr="00B57B36">
        <w:t xml:space="preserve">Table </w:t>
      </w:r>
      <w:r>
        <w:t>2</w:t>
      </w:r>
      <w:r w:rsidRPr="00B57B36">
        <w:t xml:space="preserve">: </w:t>
      </w:r>
      <w:r>
        <w:t>NH</w:t>
      </w:r>
      <w:r w:rsidRPr="00D629F3">
        <w:rPr>
          <w:vertAlign w:val="subscript"/>
        </w:rPr>
        <w:t>3</w:t>
      </w:r>
      <w:r>
        <w:t xml:space="preserve"> loss of containment scenarios assessment (ship loading/bunkering scenarios combined)</w:t>
      </w:r>
    </w:p>
    <w:tbl>
      <w:tblPr>
        <w:tblW w:w="89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134"/>
        <w:gridCol w:w="851"/>
        <w:gridCol w:w="1417"/>
        <w:gridCol w:w="1843"/>
        <w:gridCol w:w="1843"/>
      </w:tblGrid>
      <w:tr w:rsidR="009E546F" w:rsidRPr="00B57B36" w14:paraId="33F527AD" w14:textId="77777777" w:rsidTr="00787F2B">
        <w:tc>
          <w:tcPr>
            <w:tcW w:w="1843" w:type="dxa"/>
            <w:tcBorders>
              <w:top w:val="single" w:sz="12" w:space="0" w:color="008000"/>
              <w:bottom w:val="single" w:sz="6" w:space="0" w:color="008000"/>
            </w:tcBorders>
            <w:shd w:val="clear" w:color="auto" w:fill="FFFFFF"/>
          </w:tcPr>
          <w:p w14:paraId="0919A20E" w14:textId="77777777" w:rsidR="009E546F" w:rsidRPr="00B57B36" w:rsidRDefault="009E546F" w:rsidP="00787F2B">
            <w:pPr>
              <w:pStyle w:val="CETBodytext"/>
              <w:rPr>
                <w:lang w:val="en-GB"/>
              </w:rPr>
            </w:pPr>
            <w:r>
              <w:rPr>
                <w:lang w:val="en-GB"/>
              </w:rPr>
              <w:t>Leak category</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376AB8B2" w14:textId="77777777" w:rsidR="009E546F" w:rsidRPr="00B57B36" w:rsidRDefault="009E546F" w:rsidP="00787F2B">
            <w:pPr>
              <w:pStyle w:val="CETBodytext"/>
              <w:rPr>
                <w:lang w:val="en-GB"/>
              </w:rPr>
            </w:pPr>
            <w:r>
              <w:rPr>
                <w:lang w:val="en-GB"/>
              </w:rPr>
              <w:t>Scenarios</w:t>
            </w:r>
          </w:p>
        </w:tc>
        <w:tc>
          <w:tcPr>
            <w:tcW w:w="851" w:type="dxa"/>
            <w:tcBorders>
              <w:top w:val="single" w:sz="12" w:space="0" w:color="008000"/>
              <w:bottom w:val="single" w:sz="6" w:space="0" w:color="008000"/>
            </w:tcBorders>
            <w:shd w:val="clear" w:color="auto" w:fill="FFFFFF"/>
          </w:tcPr>
          <w:p w14:paraId="143C54B1" w14:textId="77777777" w:rsidR="009E546F" w:rsidRDefault="009E546F" w:rsidP="00787F2B">
            <w:pPr>
              <w:pStyle w:val="CETBodytext"/>
              <w:rPr>
                <w:lang w:val="en-GB"/>
              </w:rPr>
            </w:pPr>
            <w:r>
              <w:rPr>
                <w:lang w:val="en-GB"/>
              </w:rPr>
              <w:t>Modelled</w:t>
            </w:r>
          </w:p>
        </w:tc>
        <w:tc>
          <w:tcPr>
            <w:tcW w:w="1417" w:type="dxa"/>
            <w:tcBorders>
              <w:top w:val="single" w:sz="12" w:space="0" w:color="008000"/>
              <w:bottom w:val="single" w:sz="6" w:space="0" w:color="008000"/>
            </w:tcBorders>
            <w:shd w:val="clear" w:color="auto" w:fill="FFFFFF"/>
          </w:tcPr>
          <w:p w14:paraId="6989BD79" w14:textId="77777777" w:rsidR="009E546F" w:rsidRPr="00B57B36" w:rsidRDefault="009E546F" w:rsidP="00787F2B">
            <w:pPr>
              <w:pStyle w:val="CETBodytext"/>
              <w:rPr>
                <w:lang w:val="en-GB"/>
              </w:rPr>
            </w:pPr>
            <w:r>
              <w:rPr>
                <w:rFonts w:cs="Arial"/>
                <w:szCs w:val="18"/>
                <w:lang w:val="en-GB"/>
              </w:rPr>
              <w:t xml:space="preserve">Spill/leak </w:t>
            </w:r>
          </w:p>
        </w:tc>
        <w:tc>
          <w:tcPr>
            <w:tcW w:w="1843" w:type="dxa"/>
            <w:tcBorders>
              <w:top w:val="single" w:sz="12" w:space="0" w:color="008000"/>
              <w:bottom w:val="single" w:sz="6" w:space="0" w:color="008000"/>
            </w:tcBorders>
            <w:shd w:val="clear" w:color="auto" w:fill="FFFFFF"/>
          </w:tcPr>
          <w:p w14:paraId="6436CD7B" w14:textId="77777777" w:rsidR="009E546F" w:rsidRPr="00B57B36" w:rsidRDefault="009E546F" w:rsidP="00787F2B">
            <w:pPr>
              <w:pStyle w:val="CETBodytext"/>
              <w:ind w:right="-1"/>
              <w:rPr>
                <w:rFonts w:cs="Arial"/>
                <w:szCs w:val="18"/>
                <w:lang w:val="en-GB"/>
              </w:rPr>
            </w:pPr>
            <w:r>
              <w:rPr>
                <w:rFonts w:cs="Arial"/>
                <w:szCs w:val="18"/>
                <w:lang w:val="en-GB"/>
              </w:rPr>
              <w:t xml:space="preserve">LoC scenario </w:t>
            </w:r>
          </w:p>
        </w:tc>
        <w:tc>
          <w:tcPr>
            <w:tcW w:w="1843" w:type="dxa"/>
            <w:tcBorders>
              <w:top w:val="single" w:sz="12" w:space="0" w:color="008000"/>
              <w:bottom w:val="single" w:sz="6" w:space="0" w:color="008000"/>
            </w:tcBorders>
            <w:shd w:val="clear" w:color="auto" w:fill="FFFFFF"/>
          </w:tcPr>
          <w:p w14:paraId="2575D18F" w14:textId="77777777" w:rsidR="009E546F" w:rsidRPr="00B57B36" w:rsidRDefault="009E546F" w:rsidP="00787F2B">
            <w:pPr>
              <w:pStyle w:val="CETBodytext"/>
              <w:ind w:right="-1"/>
              <w:rPr>
                <w:rFonts w:cs="Arial"/>
                <w:szCs w:val="18"/>
                <w:lang w:val="en-GB"/>
              </w:rPr>
            </w:pPr>
            <w:r>
              <w:rPr>
                <w:rFonts w:cs="Arial"/>
                <w:szCs w:val="18"/>
                <w:lang w:val="en-GB"/>
              </w:rPr>
              <w:t>Primary concern</w:t>
            </w:r>
          </w:p>
        </w:tc>
      </w:tr>
      <w:tr w:rsidR="009E546F" w:rsidRPr="00B57B36" w14:paraId="37A0A26F" w14:textId="77777777" w:rsidTr="00787F2B">
        <w:tc>
          <w:tcPr>
            <w:tcW w:w="1843" w:type="dxa"/>
            <w:shd w:val="clear" w:color="auto" w:fill="FFFFFF"/>
          </w:tcPr>
          <w:p w14:paraId="5EFFF1AF" w14:textId="77777777" w:rsidR="009E546F" w:rsidRPr="00B57B36" w:rsidRDefault="009E546F" w:rsidP="00787F2B">
            <w:pPr>
              <w:pStyle w:val="CETBodytext"/>
              <w:rPr>
                <w:lang w:val="en-GB"/>
              </w:rPr>
            </w:pPr>
            <w:r>
              <w:rPr>
                <w:lang w:val="en-GB"/>
              </w:rPr>
              <w:t>Tank leaks</w:t>
            </w:r>
          </w:p>
        </w:tc>
        <w:tc>
          <w:tcPr>
            <w:tcW w:w="1134" w:type="dxa"/>
            <w:shd w:val="clear" w:color="auto" w:fill="FFFFFF"/>
          </w:tcPr>
          <w:p w14:paraId="1BE7BE9D" w14:textId="77777777" w:rsidR="009E546F" w:rsidRPr="00B57B36" w:rsidRDefault="009E546F" w:rsidP="00787F2B">
            <w:pPr>
              <w:pStyle w:val="CETBodytext"/>
              <w:rPr>
                <w:lang w:val="en-GB"/>
              </w:rPr>
            </w:pPr>
            <w:r>
              <w:rPr>
                <w:lang w:val="en-GB"/>
              </w:rPr>
              <w:t>17</w:t>
            </w:r>
          </w:p>
        </w:tc>
        <w:tc>
          <w:tcPr>
            <w:tcW w:w="851" w:type="dxa"/>
            <w:shd w:val="clear" w:color="auto" w:fill="FFFFFF"/>
          </w:tcPr>
          <w:p w14:paraId="24884010" w14:textId="77777777" w:rsidR="009E546F" w:rsidRDefault="009E546F" w:rsidP="00787F2B">
            <w:pPr>
              <w:pStyle w:val="CETBodytext"/>
              <w:rPr>
                <w:lang w:val="en-GB"/>
              </w:rPr>
            </w:pPr>
            <w:r>
              <w:rPr>
                <w:lang w:val="en-GB"/>
              </w:rPr>
              <w:t>5</w:t>
            </w:r>
          </w:p>
        </w:tc>
        <w:tc>
          <w:tcPr>
            <w:tcW w:w="1417" w:type="dxa"/>
            <w:shd w:val="clear" w:color="auto" w:fill="FFFFFF"/>
          </w:tcPr>
          <w:p w14:paraId="1A0E740A" w14:textId="77777777" w:rsidR="009E546F" w:rsidRPr="00B57B36" w:rsidRDefault="009E546F" w:rsidP="00787F2B">
            <w:pPr>
              <w:pStyle w:val="CETBodytext"/>
              <w:rPr>
                <w:lang w:val="en-GB"/>
              </w:rPr>
            </w:pPr>
            <w:r>
              <w:rPr>
                <w:lang w:val="en-GB"/>
              </w:rPr>
              <w:t>0.7 - 433 kg/s</w:t>
            </w:r>
          </w:p>
        </w:tc>
        <w:tc>
          <w:tcPr>
            <w:tcW w:w="1843" w:type="dxa"/>
            <w:shd w:val="clear" w:color="auto" w:fill="FFFFFF"/>
          </w:tcPr>
          <w:p w14:paraId="37866F63" w14:textId="77777777" w:rsidR="009E546F" w:rsidRPr="00B57B36" w:rsidRDefault="009E546F" w:rsidP="00787F2B">
            <w:pPr>
              <w:pStyle w:val="CETBodytext"/>
              <w:ind w:right="-1"/>
              <w:rPr>
                <w:rFonts w:cs="Arial"/>
                <w:szCs w:val="18"/>
                <w:lang w:val="en-GB"/>
              </w:rPr>
            </w:pPr>
            <w:r>
              <w:rPr>
                <w:rFonts w:cs="Arial"/>
                <w:szCs w:val="18"/>
                <w:lang w:val="en-GB"/>
              </w:rPr>
              <w:t>Gas &amp; pool (no ESD)</w:t>
            </w:r>
          </w:p>
        </w:tc>
        <w:tc>
          <w:tcPr>
            <w:tcW w:w="1843" w:type="dxa"/>
            <w:shd w:val="clear" w:color="auto" w:fill="FFFFFF"/>
          </w:tcPr>
          <w:p w14:paraId="3B6BF4F1" w14:textId="77777777" w:rsidR="009E546F" w:rsidRPr="00B57B36" w:rsidRDefault="009E546F" w:rsidP="00787F2B">
            <w:pPr>
              <w:pStyle w:val="CETBodytext"/>
              <w:ind w:right="-1"/>
              <w:rPr>
                <w:rFonts w:cs="Arial"/>
                <w:szCs w:val="18"/>
                <w:lang w:val="en-GB"/>
              </w:rPr>
            </w:pPr>
            <w:r>
              <w:rPr>
                <w:rFonts w:cs="Arial"/>
                <w:szCs w:val="18"/>
                <w:lang w:val="en-GB"/>
              </w:rPr>
              <w:t>Pool at sea (buoyant)</w:t>
            </w:r>
          </w:p>
        </w:tc>
      </w:tr>
      <w:tr w:rsidR="009E546F" w:rsidRPr="00B57B36" w14:paraId="466AE7C9" w14:textId="77777777" w:rsidTr="00787F2B">
        <w:tc>
          <w:tcPr>
            <w:tcW w:w="1843" w:type="dxa"/>
            <w:shd w:val="clear" w:color="auto" w:fill="FFFFFF"/>
          </w:tcPr>
          <w:p w14:paraId="288450D8" w14:textId="77777777" w:rsidR="009E546F" w:rsidRPr="00B57B36" w:rsidRDefault="009E546F" w:rsidP="00787F2B">
            <w:pPr>
              <w:pStyle w:val="CETBodytext"/>
              <w:rPr>
                <w:lang w:val="en-GB"/>
              </w:rPr>
            </w:pPr>
            <w:r>
              <w:rPr>
                <w:lang w:val="en-GB"/>
              </w:rPr>
              <w:t>Process/piping leaks</w:t>
            </w:r>
          </w:p>
        </w:tc>
        <w:tc>
          <w:tcPr>
            <w:tcW w:w="1134" w:type="dxa"/>
            <w:shd w:val="clear" w:color="auto" w:fill="FFFFFF"/>
          </w:tcPr>
          <w:p w14:paraId="771E441C" w14:textId="77777777" w:rsidR="009E546F" w:rsidRPr="00B57B36" w:rsidRDefault="009E546F" w:rsidP="00787F2B">
            <w:pPr>
              <w:pStyle w:val="CETBodytext"/>
              <w:rPr>
                <w:lang w:val="en-GB"/>
              </w:rPr>
            </w:pPr>
            <w:r>
              <w:rPr>
                <w:lang w:val="en-GB"/>
              </w:rPr>
              <w:t>16</w:t>
            </w:r>
          </w:p>
        </w:tc>
        <w:tc>
          <w:tcPr>
            <w:tcW w:w="851" w:type="dxa"/>
            <w:shd w:val="clear" w:color="auto" w:fill="FFFFFF"/>
          </w:tcPr>
          <w:p w14:paraId="5F27D79D" w14:textId="77777777" w:rsidR="009E546F" w:rsidRDefault="009E546F" w:rsidP="00787F2B">
            <w:pPr>
              <w:pStyle w:val="CETBodytext"/>
              <w:rPr>
                <w:lang w:val="en-GB"/>
              </w:rPr>
            </w:pPr>
            <w:r>
              <w:rPr>
                <w:lang w:val="en-GB"/>
              </w:rPr>
              <w:t>5</w:t>
            </w:r>
          </w:p>
        </w:tc>
        <w:tc>
          <w:tcPr>
            <w:tcW w:w="1417" w:type="dxa"/>
            <w:shd w:val="clear" w:color="auto" w:fill="FFFFFF"/>
          </w:tcPr>
          <w:p w14:paraId="16877C2D" w14:textId="77777777" w:rsidR="009E546F" w:rsidRPr="00B57B36" w:rsidRDefault="009E546F" w:rsidP="00787F2B">
            <w:pPr>
              <w:pStyle w:val="CETBodytext"/>
              <w:rPr>
                <w:lang w:val="en-GB"/>
              </w:rPr>
            </w:pPr>
            <w:r>
              <w:rPr>
                <w:lang w:val="en-GB"/>
              </w:rPr>
              <w:t>3.5 - 270 kg/s</w:t>
            </w:r>
          </w:p>
        </w:tc>
        <w:tc>
          <w:tcPr>
            <w:tcW w:w="1843" w:type="dxa"/>
            <w:shd w:val="clear" w:color="auto" w:fill="FFFFFF"/>
          </w:tcPr>
          <w:p w14:paraId="66B39187" w14:textId="77777777" w:rsidR="009E546F" w:rsidRPr="00B57B36" w:rsidRDefault="009E546F" w:rsidP="00787F2B">
            <w:pPr>
              <w:pStyle w:val="CETBodytext"/>
              <w:ind w:right="-1"/>
              <w:rPr>
                <w:rFonts w:cs="Arial"/>
                <w:szCs w:val="18"/>
                <w:lang w:val="en-GB"/>
              </w:rPr>
            </w:pPr>
            <w:r>
              <w:rPr>
                <w:rFonts w:cs="Arial"/>
                <w:szCs w:val="18"/>
                <w:lang w:val="en-GB"/>
              </w:rPr>
              <w:t>Gas &amp; pool (ESD)</w:t>
            </w:r>
          </w:p>
        </w:tc>
        <w:tc>
          <w:tcPr>
            <w:tcW w:w="1843" w:type="dxa"/>
            <w:shd w:val="clear" w:color="auto" w:fill="FFFFFF"/>
          </w:tcPr>
          <w:p w14:paraId="11E2D751" w14:textId="77777777" w:rsidR="009E546F" w:rsidRPr="00B57B36" w:rsidRDefault="009E546F" w:rsidP="00787F2B">
            <w:pPr>
              <w:pStyle w:val="CETBodytext"/>
              <w:ind w:right="-1"/>
              <w:rPr>
                <w:rFonts w:cs="Arial"/>
                <w:szCs w:val="18"/>
                <w:lang w:val="en-GB"/>
              </w:rPr>
            </w:pPr>
            <w:r>
              <w:rPr>
                <w:rFonts w:cs="Arial"/>
                <w:szCs w:val="18"/>
                <w:lang w:val="en-GB"/>
              </w:rPr>
              <w:t>Pool in bund (buoyant)</w:t>
            </w:r>
          </w:p>
        </w:tc>
      </w:tr>
      <w:tr w:rsidR="009E546F" w:rsidRPr="00B57B36" w14:paraId="01E46E05" w14:textId="77777777" w:rsidTr="00787F2B">
        <w:tc>
          <w:tcPr>
            <w:tcW w:w="1843" w:type="dxa"/>
            <w:shd w:val="clear" w:color="auto" w:fill="FFFFFF"/>
          </w:tcPr>
          <w:p w14:paraId="0E4AEE0D" w14:textId="77777777" w:rsidR="009E546F" w:rsidRPr="00B57B36" w:rsidRDefault="009E546F" w:rsidP="00787F2B">
            <w:pPr>
              <w:pStyle w:val="CETBodytext"/>
              <w:rPr>
                <w:lang w:val="en-GB"/>
              </w:rPr>
            </w:pPr>
            <w:r>
              <w:rPr>
                <w:lang w:val="en-GB"/>
              </w:rPr>
              <w:t>NH</w:t>
            </w:r>
            <w:r w:rsidRPr="00E24B8F">
              <w:rPr>
                <w:vertAlign w:val="subscript"/>
                <w:lang w:val="en-GB"/>
              </w:rPr>
              <w:t>3</w:t>
            </w:r>
            <w:r>
              <w:rPr>
                <w:lang w:val="en-GB"/>
              </w:rPr>
              <w:t xml:space="preserve"> truck loading</w:t>
            </w:r>
          </w:p>
        </w:tc>
        <w:tc>
          <w:tcPr>
            <w:tcW w:w="1134" w:type="dxa"/>
            <w:shd w:val="clear" w:color="auto" w:fill="FFFFFF"/>
          </w:tcPr>
          <w:p w14:paraId="6B9B2F01" w14:textId="77777777" w:rsidR="009E546F" w:rsidRPr="00B57B36" w:rsidRDefault="009E546F" w:rsidP="00787F2B">
            <w:pPr>
              <w:pStyle w:val="CETBodytext"/>
              <w:rPr>
                <w:lang w:val="en-GB"/>
              </w:rPr>
            </w:pPr>
            <w:r>
              <w:rPr>
                <w:lang w:val="en-GB"/>
              </w:rPr>
              <w:t>6</w:t>
            </w:r>
          </w:p>
        </w:tc>
        <w:tc>
          <w:tcPr>
            <w:tcW w:w="851" w:type="dxa"/>
            <w:shd w:val="clear" w:color="auto" w:fill="FFFFFF"/>
          </w:tcPr>
          <w:p w14:paraId="3B6721BD" w14:textId="77777777" w:rsidR="009E546F" w:rsidRDefault="009E546F" w:rsidP="00787F2B">
            <w:pPr>
              <w:pStyle w:val="CETBodytext"/>
              <w:rPr>
                <w:lang w:val="en-GB"/>
              </w:rPr>
            </w:pPr>
            <w:r>
              <w:rPr>
                <w:lang w:val="en-GB"/>
              </w:rPr>
              <w:t>5</w:t>
            </w:r>
          </w:p>
        </w:tc>
        <w:tc>
          <w:tcPr>
            <w:tcW w:w="1417" w:type="dxa"/>
            <w:shd w:val="clear" w:color="auto" w:fill="FFFFFF"/>
          </w:tcPr>
          <w:p w14:paraId="7E862A8B" w14:textId="77777777" w:rsidR="009E546F" w:rsidRPr="00B57B36" w:rsidRDefault="009E546F" w:rsidP="00787F2B">
            <w:pPr>
              <w:pStyle w:val="CETBodytext"/>
              <w:rPr>
                <w:lang w:val="en-GB"/>
              </w:rPr>
            </w:pPr>
            <w:r>
              <w:rPr>
                <w:lang w:val="en-GB"/>
              </w:rPr>
              <w:t>0.2 - 15 kg/s</w:t>
            </w:r>
          </w:p>
        </w:tc>
        <w:tc>
          <w:tcPr>
            <w:tcW w:w="1843" w:type="dxa"/>
            <w:shd w:val="clear" w:color="auto" w:fill="FFFFFF"/>
          </w:tcPr>
          <w:p w14:paraId="7C1B235C" w14:textId="77777777" w:rsidR="009E546F" w:rsidRPr="00B57B36" w:rsidRDefault="009E546F" w:rsidP="00787F2B">
            <w:pPr>
              <w:pStyle w:val="CETBodytext"/>
              <w:ind w:right="-1"/>
              <w:rPr>
                <w:rFonts w:cs="Arial"/>
                <w:szCs w:val="18"/>
                <w:lang w:val="en-GB"/>
              </w:rPr>
            </w:pPr>
            <w:r>
              <w:rPr>
                <w:rFonts w:cs="Arial"/>
                <w:szCs w:val="18"/>
                <w:lang w:val="en-GB"/>
              </w:rPr>
              <w:t xml:space="preserve">Gas &amp; flashing (ESD) </w:t>
            </w:r>
          </w:p>
        </w:tc>
        <w:tc>
          <w:tcPr>
            <w:tcW w:w="1843" w:type="dxa"/>
            <w:shd w:val="clear" w:color="auto" w:fill="FFFFFF"/>
          </w:tcPr>
          <w:p w14:paraId="38286CD8" w14:textId="77777777" w:rsidR="009E546F" w:rsidRPr="00B57B36" w:rsidRDefault="009E546F" w:rsidP="00787F2B">
            <w:pPr>
              <w:pStyle w:val="CETBodytext"/>
              <w:ind w:right="-1"/>
              <w:rPr>
                <w:rFonts w:cs="Arial"/>
                <w:szCs w:val="18"/>
                <w:lang w:val="en-GB"/>
              </w:rPr>
            </w:pPr>
            <w:r>
              <w:rPr>
                <w:rFonts w:cs="Arial"/>
                <w:szCs w:val="18"/>
                <w:lang w:val="en-GB"/>
              </w:rPr>
              <w:t>Flashing liquid (dense)</w:t>
            </w:r>
          </w:p>
        </w:tc>
      </w:tr>
      <w:tr w:rsidR="009E546F" w:rsidRPr="00B57B36" w14:paraId="21CFA1A1" w14:textId="77777777" w:rsidTr="00787F2B">
        <w:tc>
          <w:tcPr>
            <w:tcW w:w="1843" w:type="dxa"/>
            <w:shd w:val="clear" w:color="auto" w:fill="FFFFFF"/>
          </w:tcPr>
          <w:p w14:paraId="335D573C" w14:textId="77777777" w:rsidR="009E546F" w:rsidRPr="00B57B36" w:rsidRDefault="009E546F" w:rsidP="00787F2B">
            <w:pPr>
              <w:pStyle w:val="CETBodytext"/>
              <w:rPr>
                <w:lang w:val="en-GB"/>
              </w:rPr>
            </w:pPr>
            <w:r>
              <w:rPr>
                <w:lang w:val="en-GB"/>
              </w:rPr>
              <w:t>NH</w:t>
            </w:r>
            <w:r w:rsidRPr="00E24B8F">
              <w:rPr>
                <w:vertAlign w:val="subscript"/>
                <w:lang w:val="en-GB"/>
              </w:rPr>
              <w:t>3</w:t>
            </w:r>
            <w:r>
              <w:rPr>
                <w:lang w:val="en-GB"/>
              </w:rPr>
              <w:t xml:space="preserve"> carrier loading</w:t>
            </w:r>
          </w:p>
        </w:tc>
        <w:tc>
          <w:tcPr>
            <w:tcW w:w="1134" w:type="dxa"/>
            <w:shd w:val="clear" w:color="auto" w:fill="FFFFFF"/>
          </w:tcPr>
          <w:p w14:paraId="1EE87317" w14:textId="77777777" w:rsidR="009E546F" w:rsidRPr="00B57B36" w:rsidRDefault="009E546F" w:rsidP="00787F2B">
            <w:pPr>
              <w:pStyle w:val="CETBodytext"/>
              <w:rPr>
                <w:lang w:val="en-GB"/>
              </w:rPr>
            </w:pPr>
            <w:r>
              <w:rPr>
                <w:lang w:val="en-GB"/>
              </w:rPr>
              <w:t>3</w:t>
            </w:r>
          </w:p>
        </w:tc>
        <w:tc>
          <w:tcPr>
            <w:tcW w:w="851" w:type="dxa"/>
            <w:shd w:val="clear" w:color="auto" w:fill="FFFFFF"/>
          </w:tcPr>
          <w:p w14:paraId="5693FF1D" w14:textId="77777777" w:rsidR="009E546F" w:rsidRDefault="009E546F" w:rsidP="00787F2B">
            <w:pPr>
              <w:pStyle w:val="CETBodytext"/>
              <w:rPr>
                <w:lang w:val="en-GB"/>
              </w:rPr>
            </w:pPr>
          </w:p>
        </w:tc>
        <w:tc>
          <w:tcPr>
            <w:tcW w:w="1417" w:type="dxa"/>
            <w:shd w:val="clear" w:color="auto" w:fill="FFFFFF"/>
          </w:tcPr>
          <w:p w14:paraId="06AED980" w14:textId="77777777" w:rsidR="009E546F" w:rsidRPr="00B57B36" w:rsidRDefault="009E546F" w:rsidP="00787F2B">
            <w:pPr>
              <w:pStyle w:val="CETBodytext"/>
              <w:rPr>
                <w:lang w:val="en-GB"/>
              </w:rPr>
            </w:pPr>
          </w:p>
        </w:tc>
        <w:tc>
          <w:tcPr>
            <w:tcW w:w="1843" w:type="dxa"/>
            <w:shd w:val="clear" w:color="auto" w:fill="FFFFFF"/>
          </w:tcPr>
          <w:p w14:paraId="7CDAAE6E" w14:textId="77777777" w:rsidR="009E546F" w:rsidRPr="00B57B36" w:rsidRDefault="009E546F" w:rsidP="00787F2B">
            <w:pPr>
              <w:pStyle w:val="CETBodytext"/>
              <w:ind w:right="-1"/>
              <w:rPr>
                <w:rFonts w:cs="Arial"/>
                <w:szCs w:val="18"/>
                <w:lang w:val="en-GB"/>
              </w:rPr>
            </w:pPr>
          </w:p>
        </w:tc>
        <w:tc>
          <w:tcPr>
            <w:tcW w:w="1843" w:type="dxa"/>
            <w:shd w:val="clear" w:color="auto" w:fill="FFFFFF"/>
          </w:tcPr>
          <w:p w14:paraId="6C62B53C" w14:textId="77777777" w:rsidR="009E546F" w:rsidRPr="00B57B36" w:rsidRDefault="009E546F" w:rsidP="00787F2B">
            <w:pPr>
              <w:pStyle w:val="CETBodytext"/>
              <w:ind w:right="-1"/>
              <w:rPr>
                <w:rFonts w:cs="Arial"/>
                <w:szCs w:val="18"/>
                <w:lang w:val="en-GB"/>
              </w:rPr>
            </w:pPr>
          </w:p>
        </w:tc>
      </w:tr>
      <w:tr w:rsidR="009E546F" w:rsidRPr="00B57B36" w14:paraId="46FFCEB4" w14:textId="77777777" w:rsidTr="00787F2B">
        <w:tc>
          <w:tcPr>
            <w:tcW w:w="1843" w:type="dxa"/>
            <w:shd w:val="clear" w:color="auto" w:fill="FFFFFF"/>
          </w:tcPr>
          <w:p w14:paraId="35786772" w14:textId="77777777" w:rsidR="009E546F" w:rsidRPr="00B57B36" w:rsidRDefault="009E546F" w:rsidP="00787F2B">
            <w:pPr>
              <w:pStyle w:val="CETBodytext"/>
              <w:rPr>
                <w:lang w:val="en-GB"/>
              </w:rPr>
            </w:pPr>
            <w:r>
              <w:rPr>
                <w:lang w:val="en-GB"/>
              </w:rPr>
              <w:t>NH</w:t>
            </w:r>
            <w:r w:rsidRPr="00E24B8F">
              <w:rPr>
                <w:vertAlign w:val="subscript"/>
                <w:lang w:val="en-GB"/>
              </w:rPr>
              <w:t>3</w:t>
            </w:r>
            <w:r>
              <w:rPr>
                <w:lang w:val="en-GB"/>
              </w:rPr>
              <w:t xml:space="preserve"> ship bunkering</w:t>
            </w:r>
          </w:p>
        </w:tc>
        <w:tc>
          <w:tcPr>
            <w:tcW w:w="1134" w:type="dxa"/>
            <w:shd w:val="clear" w:color="auto" w:fill="FFFFFF"/>
          </w:tcPr>
          <w:p w14:paraId="67253E9A" w14:textId="77777777" w:rsidR="009E546F" w:rsidRPr="00B57B36" w:rsidRDefault="009E546F" w:rsidP="00787F2B">
            <w:pPr>
              <w:pStyle w:val="CETBodytext"/>
              <w:rPr>
                <w:lang w:val="en-GB"/>
              </w:rPr>
            </w:pPr>
            <w:r>
              <w:rPr>
                <w:lang w:val="en-GB"/>
              </w:rPr>
              <w:t>7</w:t>
            </w:r>
          </w:p>
        </w:tc>
        <w:tc>
          <w:tcPr>
            <w:tcW w:w="851" w:type="dxa"/>
            <w:shd w:val="clear" w:color="auto" w:fill="FFFFFF"/>
          </w:tcPr>
          <w:p w14:paraId="1ADF9102" w14:textId="77777777" w:rsidR="009E546F" w:rsidRDefault="009E546F" w:rsidP="00787F2B">
            <w:pPr>
              <w:pStyle w:val="CETBodytext"/>
              <w:rPr>
                <w:lang w:val="en-GB"/>
              </w:rPr>
            </w:pPr>
            <w:r>
              <w:rPr>
                <w:lang w:val="en-GB"/>
              </w:rPr>
              <w:t>5</w:t>
            </w:r>
          </w:p>
        </w:tc>
        <w:tc>
          <w:tcPr>
            <w:tcW w:w="1417" w:type="dxa"/>
            <w:shd w:val="clear" w:color="auto" w:fill="FFFFFF"/>
          </w:tcPr>
          <w:p w14:paraId="0DCAC542" w14:textId="77777777" w:rsidR="009E546F" w:rsidRPr="00B57B36" w:rsidRDefault="009E546F" w:rsidP="00787F2B">
            <w:pPr>
              <w:pStyle w:val="CETBodytext"/>
              <w:rPr>
                <w:lang w:val="en-GB"/>
              </w:rPr>
            </w:pPr>
            <w:r>
              <w:rPr>
                <w:lang w:val="en-GB"/>
              </w:rPr>
              <w:t>1.7 - 77 kg/s</w:t>
            </w:r>
          </w:p>
        </w:tc>
        <w:tc>
          <w:tcPr>
            <w:tcW w:w="1843" w:type="dxa"/>
            <w:shd w:val="clear" w:color="auto" w:fill="FFFFFF"/>
          </w:tcPr>
          <w:p w14:paraId="36FE2C0D" w14:textId="77777777" w:rsidR="009E546F" w:rsidRPr="00B57B36" w:rsidRDefault="009E546F" w:rsidP="00787F2B">
            <w:pPr>
              <w:pStyle w:val="CETBodytext"/>
              <w:ind w:right="-1"/>
              <w:rPr>
                <w:rFonts w:cs="Arial"/>
                <w:szCs w:val="18"/>
                <w:lang w:val="en-GB"/>
              </w:rPr>
            </w:pPr>
            <w:r>
              <w:rPr>
                <w:rFonts w:cs="Arial"/>
                <w:szCs w:val="18"/>
                <w:lang w:val="en-GB"/>
              </w:rPr>
              <w:t>Gas &amp; pool (ESD)</w:t>
            </w:r>
          </w:p>
        </w:tc>
        <w:tc>
          <w:tcPr>
            <w:tcW w:w="1843" w:type="dxa"/>
            <w:shd w:val="clear" w:color="auto" w:fill="FFFFFF"/>
          </w:tcPr>
          <w:p w14:paraId="4FECB59B" w14:textId="77777777" w:rsidR="009E546F" w:rsidRPr="00B57B36" w:rsidRDefault="009E546F" w:rsidP="00787F2B">
            <w:pPr>
              <w:pStyle w:val="CETBodytext"/>
              <w:ind w:right="-1"/>
              <w:rPr>
                <w:rFonts w:cs="Arial"/>
                <w:szCs w:val="18"/>
                <w:lang w:val="en-GB"/>
              </w:rPr>
            </w:pPr>
            <w:r>
              <w:rPr>
                <w:rFonts w:cs="Arial"/>
                <w:szCs w:val="18"/>
                <w:lang w:val="en-GB"/>
              </w:rPr>
              <w:t>Pool at sea (buoyant)</w:t>
            </w:r>
          </w:p>
        </w:tc>
      </w:tr>
    </w:tbl>
    <w:p w14:paraId="4A714960" w14:textId="18D46B38" w:rsidR="00F15D9E" w:rsidRDefault="00F15D9E" w:rsidP="00F15D9E">
      <w:pPr>
        <w:pStyle w:val="CETheadingx"/>
      </w:pPr>
      <w:r>
        <w:lastRenderedPageBreak/>
        <w:t>Use of basic dispersion models</w:t>
      </w:r>
      <w:r w:rsidR="000D009F">
        <w:t xml:space="preserve"> to develop risk contours</w:t>
      </w:r>
    </w:p>
    <w:p w14:paraId="7EB25136" w14:textId="6F2E7632" w:rsidR="00F15D9E" w:rsidRDefault="00F15D9E" w:rsidP="00F15D9E">
      <w:pPr>
        <w:pStyle w:val="CETBodytext"/>
        <w:rPr>
          <w:rStyle w:val="CETCaptionCarattere"/>
          <w:i w:val="0"/>
        </w:rPr>
      </w:pPr>
      <w:r>
        <w:t>T</w:t>
      </w:r>
      <w:r>
        <w:rPr>
          <w:lang w:val="en-GB"/>
        </w:rPr>
        <w:t>o be able to directly calculate probability of fatality at any distance from a dispersion model, the model formulation must be simple</w:t>
      </w:r>
      <w:r w:rsidR="0043576D">
        <w:rPr>
          <w:lang w:val="en-GB"/>
        </w:rPr>
        <w:t>.</w:t>
      </w:r>
      <w:r>
        <w:rPr>
          <w:lang w:val="en-GB"/>
        </w:rPr>
        <w:t xml:space="preserve"> </w:t>
      </w:r>
      <w:r w:rsidR="0043576D">
        <w:rPr>
          <w:lang w:val="en-GB"/>
        </w:rPr>
        <w:t>B</w:t>
      </w:r>
      <w:r>
        <w:rPr>
          <w:lang w:val="en-GB"/>
        </w:rPr>
        <w:t xml:space="preserve">asic dispersion models were developed and calibrated based on various </w:t>
      </w:r>
      <w:r w:rsidR="00032E55">
        <w:rPr>
          <w:lang w:val="en-GB"/>
        </w:rPr>
        <w:t xml:space="preserve">dispersion </w:t>
      </w:r>
      <w:r>
        <w:rPr>
          <w:lang w:val="en-GB"/>
        </w:rPr>
        <w:t xml:space="preserve">experiments </w:t>
      </w:r>
      <w:r w:rsidR="00032E55">
        <w:rPr>
          <w:lang w:val="en-GB"/>
        </w:rPr>
        <w:t xml:space="preserve">for </w:t>
      </w:r>
      <w:r>
        <w:rPr>
          <w:lang w:val="en-GB"/>
        </w:rPr>
        <w:t xml:space="preserve">gas phase </w:t>
      </w:r>
      <w:r w:rsidR="00032E55">
        <w:rPr>
          <w:lang w:val="en-GB"/>
        </w:rPr>
        <w:t>release</w:t>
      </w:r>
      <w:r>
        <w:rPr>
          <w:lang w:val="en-GB"/>
        </w:rPr>
        <w:t xml:space="preserve">, pool evaporation and flashing liquid releases of the form:  </w:t>
      </w:r>
    </w:p>
    <w:p w14:paraId="063955D4" w14:textId="10B05001" w:rsidR="00F15D9E" w:rsidRDefault="00515A72" w:rsidP="00F15D9E">
      <w:pPr>
        <w:pStyle w:val="CETBodytext"/>
        <w:rPr>
          <w:lang w:val="en-GB"/>
        </w:rPr>
      </w:pPr>
      <w:r>
        <w:rPr>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NH3</m:t>
            </m:r>
          </m:sub>
        </m:sSub>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 </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ref</m:t>
                        </m:r>
                      </m:sub>
                    </m:sSub>
                  </m:num>
                  <m:den>
                    <m:r>
                      <w:rPr>
                        <w:rFonts w:ascii="Cambria Math" w:hAnsi="Cambria Math"/>
                        <w:lang w:val="en-GB"/>
                      </w:rPr>
                      <m:t>x</m:t>
                    </m:r>
                  </m:den>
                </m:f>
              </m:e>
            </m:d>
          </m:e>
          <m:sup>
            <m:r>
              <w:rPr>
                <w:rFonts w:ascii="Cambria Math" w:hAnsi="Cambria Math"/>
                <w:lang w:val="en-GB"/>
              </w:rPr>
              <m:t>E1</m:t>
            </m:r>
          </m:sup>
        </m:sSup>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ref</m:t>
                    </m:r>
                  </m:sub>
                </m:sSub>
              </m:num>
              <m:den>
                <m:func>
                  <m:funcPr>
                    <m:ctrlPr>
                      <w:rPr>
                        <w:rFonts w:ascii="Cambria Math" w:hAnsi="Cambria Math"/>
                        <w:lang w:val="en-GB"/>
                      </w:rPr>
                    </m:ctrlPr>
                  </m:funcPr>
                  <m:fName>
                    <m:r>
                      <m:rPr>
                        <m:sty m:val="p"/>
                      </m:rPr>
                      <w:rPr>
                        <w:rFonts w:ascii="Cambria Math" w:hAnsi="Cambria Math"/>
                        <w:lang w:val="en-GB"/>
                      </w:rPr>
                      <m:t>max</m:t>
                    </m:r>
                    <m:ctrlPr>
                      <w:rPr>
                        <w:rFonts w:ascii="Cambria Math" w:hAnsi="Cambria Math"/>
                        <w:i/>
                        <w:lang w:val="en-GB"/>
                      </w:rPr>
                    </m:ctrlPr>
                  </m:fName>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ref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wind</m:t>
                            </m:r>
                          </m:sub>
                        </m:sSub>
                      </m:e>
                    </m:d>
                  </m:e>
                </m:func>
              </m:den>
            </m:f>
          </m:e>
        </m:d>
      </m:oMath>
      <w:r w:rsidR="00F15D9E">
        <w:rPr>
          <w:lang w:val="en-GB"/>
        </w:rPr>
        <w:t xml:space="preserve">    </w:t>
      </w:r>
      <w:r w:rsidR="00F15D9E">
        <w:rPr>
          <w:lang w:val="en-GB"/>
        </w:rPr>
        <w:tab/>
        <w:t>with C</w:t>
      </w:r>
      <w:r w:rsidR="00F15D9E" w:rsidRPr="009D7F51">
        <w:rPr>
          <w:vertAlign w:val="subscript"/>
          <w:lang w:val="en-GB"/>
        </w:rPr>
        <w:t>0</w:t>
      </w:r>
      <w:r w:rsidR="00F15D9E">
        <w:rPr>
          <w:lang w:val="en-GB"/>
        </w:rPr>
        <w:t xml:space="preserve"> = 0.1 (100,000 ppm) and V</w:t>
      </w:r>
      <w:r w:rsidR="00F15D9E" w:rsidRPr="009D7F51">
        <w:rPr>
          <w:vertAlign w:val="subscript"/>
          <w:lang w:val="en-GB"/>
        </w:rPr>
        <w:t>ref</w:t>
      </w:r>
      <w:r w:rsidR="00F15D9E">
        <w:rPr>
          <w:lang w:val="en-GB"/>
        </w:rPr>
        <w:t xml:space="preserve"> = 3 m/s</w:t>
      </w:r>
      <w:r w:rsidR="00F15D9E">
        <w:rPr>
          <w:lang w:val="en-GB"/>
        </w:rPr>
        <w:tab/>
        <w:t>(1)</w:t>
      </w:r>
    </w:p>
    <w:p w14:paraId="7D221D05" w14:textId="76B293FC" w:rsidR="009A30A6" w:rsidRDefault="00F15D9E" w:rsidP="00453E24">
      <w:pPr>
        <w:pStyle w:val="CETBodytext"/>
      </w:pPr>
      <w:r>
        <w:rPr>
          <w:lang w:val="en-GB"/>
        </w:rPr>
        <w:t>Reference distance D</w:t>
      </w:r>
      <w:r w:rsidRPr="00497F80">
        <w:rPr>
          <w:vertAlign w:val="subscript"/>
          <w:lang w:val="en-GB"/>
        </w:rPr>
        <w:t>ref</w:t>
      </w:r>
      <w:r>
        <w:rPr>
          <w:lang w:val="en-GB"/>
        </w:rPr>
        <w:t xml:space="preserve"> is defined as function of release type and spill/leak rate</w:t>
      </w:r>
      <w:r w:rsidR="008A6C52">
        <w:rPr>
          <w:lang w:val="en-GB"/>
        </w:rPr>
        <w:t xml:space="preserve">, for flashing releases </w:t>
      </w:r>
      <w:r w:rsidR="00734A9A">
        <w:rPr>
          <w:lang w:val="en-GB"/>
        </w:rPr>
        <w:t xml:space="preserve">it is </w:t>
      </w:r>
      <m:oMath>
        <m:r>
          <w:rPr>
            <w:rFonts w:ascii="Cambria Math" w:hAnsi="Cambria Math"/>
            <w:lang w:val="en-GB"/>
          </w:rPr>
          <m:t>20</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rate</m:t>
                </m:r>
              </m:sub>
            </m:sSub>
          </m:e>
        </m:rad>
        <m:r>
          <w:rPr>
            <w:rFonts w:ascii="Cambria Math" w:hAnsi="Cambria Math"/>
            <w:lang w:val="en-GB"/>
          </w:rPr>
          <m:t xml:space="preserve">  (m)</m:t>
        </m:r>
      </m:oMath>
      <w:r w:rsidR="00020F45">
        <w:rPr>
          <w:lang w:val="en-GB"/>
        </w:rPr>
        <w:t xml:space="preserve"> </w:t>
      </w:r>
      <w:r w:rsidR="00803454">
        <w:rPr>
          <w:lang w:val="en-GB"/>
        </w:rPr>
        <w:t xml:space="preserve">with </w:t>
      </w:r>
      <w:r w:rsidR="00AB6740">
        <w:rPr>
          <w:lang w:val="en-GB"/>
        </w:rPr>
        <w:t xml:space="preserve">leak rate </w:t>
      </w:r>
      <w:r w:rsidR="00DF0D86">
        <w:rPr>
          <w:lang w:val="en-GB"/>
        </w:rPr>
        <w:t>(m</w:t>
      </w:r>
      <w:r w:rsidR="00DF0D86" w:rsidRPr="00DF0D86">
        <w:rPr>
          <w:vertAlign w:val="subscript"/>
          <w:lang w:val="en-GB"/>
        </w:rPr>
        <w:t>rate</w:t>
      </w:r>
      <w:r w:rsidR="00DF0D86">
        <w:rPr>
          <w:lang w:val="en-GB"/>
        </w:rPr>
        <w:t xml:space="preserve">) </w:t>
      </w:r>
      <w:r w:rsidR="00AB6740">
        <w:rPr>
          <w:lang w:val="en-GB"/>
        </w:rPr>
        <w:t xml:space="preserve">in </w:t>
      </w:r>
      <w:r w:rsidR="00803454">
        <w:rPr>
          <w:lang w:val="en-GB"/>
        </w:rPr>
        <w:t>kg/s</w:t>
      </w:r>
      <w:r w:rsidR="008A6C52">
        <w:rPr>
          <w:lang w:val="en-GB"/>
        </w:rPr>
        <w:t>.</w:t>
      </w:r>
      <w:r>
        <w:rPr>
          <w:lang w:val="en-GB"/>
        </w:rPr>
        <w:t xml:space="preserve"> </w:t>
      </w:r>
      <w:r w:rsidR="008A6C52">
        <w:rPr>
          <w:lang w:val="en-GB"/>
        </w:rPr>
        <w:t>The d</w:t>
      </w:r>
      <w:r>
        <w:rPr>
          <w:lang w:val="en-GB"/>
        </w:rPr>
        <w:t>iffusion exponent E</w:t>
      </w:r>
      <w:r w:rsidRPr="00497F80">
        <w:rPr>
          <w:vertAlign w:val="subscript"/>
          <w:lang w:val="en-GB"/>
        </w:rPr>
        <w:t>1</w:t>
      </w:r>
      <w:r>
        <w:rPr>
          <w:lang w:val="en-GB"/>
        </w:rPr>
        <w:t xml:space="preserve"> is 1.67 for gas release, 1.5 for pool evaporation and 1.33 for flashing releases showing dense gas behaviour. </w:t>
      </w:r>
      <w:r>
        <w:t xml:space="preserve">The simple HYEX dispersion models were </w:t>
      </w:r>
      <w:r w:rsidR="00BD750B">
        <w:t>compared to</w:t>
      </w:r>
      <w:r>
        <w:t xml:space="preserve"> selected FLACS CFD simulations and EPA ALOHA </w:t>
      </w:r>
      <w:r w:rsidR="00BD750B">
        <w:t>model runs</w:t>
      </w:r>
      <w:r>
        <w:t xml:space="preserve"> (Jones et al., 2013). </w:t>
      </w:r>
      <w:r w:rsidR="001E485E">
        <w:t>Th</w:t>
      </w:r>
      <w:r w:rsidR="003C148E">
        <w:t>e</w:t>
      </w:r>
      <w:r w:rsidR="001E485E">
        <w:t xml:space="preserve"> FLACS CFD model </w:t>
      </w:r>
      <w:r w:rsidR="003C148E">
        <w:t>has been</w:t>
      </w:r>
      <w:r w:rsidR="001E485E">
        <w:t xml:space="preserve"> extensively validated </w:t>
      </w:r>
      <w:r w:rsidR="009218C3">
        <w:t>against experiments with LNG (</w:t>
      </w:r>
      <w:r w:rsidR="00024E1B">
        <w:t xml:space="preserve">Hansen et al., 2010) </w:t>
      </w:r>
      <w:r w:rsidR="009218C3">
        <w:t xml:space="preserve">and </w:t>
      </w:r>
      <w:r w:rsidR="002C0412">
        <w:t>other gases (</w:t>
      </w:r>
      <w:r w:rsidR="00892A18">
        <w:t>Hanna et al., 2004</w:t>
      </w:r>
      <w:r w:rsidR="002C0412">
        <w:t>).</w:t>
      </w:r>
      <w:r w:rsidR="00892A18">
        <w:t xml:space="preserve"> </w:t>
      </w:r>
      <w:r>
        <w:t>Estimates were generally found to be reasonable</w:t>
      </w:r>
      <w:r w:rsidR="000F6D4B">
        <w:t xml:space="preserve"> for</w:t>
      </w:r>
      <w:r>
        <w:t xml:space="preserve"> flashing releases and pool dispersion, while uncertainties were larger for gas releases </w:t>
      </w:r>
      <w:r w:rsidR="00DF3CDA">
        <w:t>as</w:t>
      </w:r>
      <w:r>
        <w:t xml:space="preserve"> dispersion distance</w:t>
      </w:r>
      <w:r w:rsidR="000F6D4B">
        <w:t>s</w:t>
      </w:r>
      <w:r>
        <w:t xml:space="preserve"> depend more on leak source </w:t>
      </w:r>
      <w:r w:rsidR="000F6D4B">
        <w:t>direction</w:t>
      </w:r>
      <w:r>
        <w:t xml:space="preserve">. </w:t>
      </w:r>
      <w:r w:rsidR="000F6D4B">
        <w:t>P</w:t>
      </w:r>
      <w:r w:rsidR="009A30A6">
        <w:t xml:space="preserve">ool spill estimates were </w:t>
      </w:r>
      <w:r w:rsidR="006C6339">
        <w:t xml:space="preserve">concluded </w:t>
      </w:r>
      <w:r w:rsidR="009A30A6">
        <w:t xml:space="preserve">conservative in </w:t>
      </w:r>
      <w:r w:rsidR="006C6339">
        <w:t xml:space="preserve">the </w:t>
      </w:r>
      <w:r w:rsidR="009A30A6">
        <w:t>near-field due to point-source represe</w:t>
      </w:r>
      <w:r w:rsidR="007842EE">
        <w:t xml:space="preserve">ntation, and hazard distances were </w:t>
      </w:r>
      <w:r w:rsidR="00062694">
        <w:t xml:space="preserve">overestimated for gas and pool scenarios in low wind, as the buoyancy effects with plume lift-off </w:t>
      </w:r>
      <w:r w:rsidR="00967AF1">
        <w:t>are not</w:t>
      </w:r>
      <w:r w:rsidR="00062694">
        <w:t xml:space="preserve"> considered.</w:t>
      </w:r>
      <w:r w:rsidR="00CF55A1">
        <w:t xml:space="preserve"> The </w:t>
      </w:r>
      <w:r w:rsidR="00DD2E04">
        <w:t xml:space="preserve">basic models were also conservative in the near field as geometry </w:t>
      </w:r>
      <w:r w:rsidR="00E91FF1">
        <w:t xml:space="preserve">and terrain </w:t>
      </w:r>
      <w:r w:rsidR="00967AF1">
        <w:t>were</w:t>
      </w:r>
      <w:r w:rsidR="00DD2E04">
        <w:t xml:space="preserve"> ignored.</w:t>
      </w:r>
      <w:r w:rsidR="00BC02F2">
        <w:t xml:space="preserve"> </w:t>
      </w:r>
      <w:r w:rsidR="003710BE">
        <w:t xml:space="preserve">In Figure 5a a comparison between the </w:t>
      </w:r>
      <w:r w:rsidR="003C5E8A">
        <w:t xml:space="preserve">basic </w:t>
      </w:r>
      <w:r w:rsidR="003710BE">
        <w:t xml:space="preserve">HYEX flashing liquid </w:t>
      </w:r>
      <w:r w:rsidR="0074481D">
        <w:t xml:space="preserve">dispersion predictions and Desert Tortoise large scale </w:t>
      </w:r>
      <w:r w:rsidR="003C5E8A">
        <w:t xml:space="preserve">experiments </w:t>
      </w:r>
      <w:r w:rsidR="00967AF1">
        <w:t>(Goldwire</w:t>
      </w:r>
      <w:r w:rsidR="00126126">
        <w:t xml:space="preserve"> et al., 1985) </w:t>
      </w:r>
      <w:r w:rsidR="003C5E8A">
        <w:t>is shown.</w:t>
      </w:r>
      <w:r w:rsidR="00126126">
        <w:t xml:space="preserve"> </w:t>
      </w:r>
      <w:r w:rsidR="00731196">
        <w:t>In Figure 5b the resulting risk contours from the assessment are shown</w:t>
      </w:r>
      <w:r w:rsidR="00A02DBE">
        <w:t>.</w:t>
      </w:r>
      <w:r w:rsidR="00453B9A">
        <w:t xml:space="preserve"> Outside the transfer operations the risk</w:t>
      </w:r>
      <w:r w:rsidR="00AD617B">
        <w:t xml:space="preserve"> from th</w:t>
      </w:r>
      <w:r w:rsidR="00575C2A">
        <w:t>e refrigerated NH</w:t>
      </w:r>
      <w:r w:rsidR="00575C2A" w:rsidRPr="00575C2A">
        <w:rPr>
          <w:vertAlign w:val="subscript"/>
        </w:rPr>
        <w:t>3</w:t>
      </w:r>
      <w:r w:rsidR="00575C2A">
        <w:t xml:space="preserve"> </w:t>
      </w:r>
      <w:r w:rsidR="00EA0FA0">
        <w:t xml:space="preserve">tank at the barge is concluded very low, </w:t>
      </w:r>
      <w:r w:rsidR="00965BE3">
        <w:t xml:space="preserve">with the </w:t>
      </w:r>
      <w:r w:rsidR="009B3CE2">
        <w:t xml:space="preserve">primary contribution from the </w:t>
      </w:r>
      <w:r w:rsidR="00F015D5">
        <w:t xml:space="preserve">unlikely </w:t>
      </w:r>
      <w:r w:rsidR="00965BE3">
        <w:t xml:space="preserve">catastrophic rupture </w:t>
      </w:r>
      <w:r w:rsidR="009B3CE2">
        <w:t>scenario of the barge and the tank</w:t>
      </w:r>
      <w:r w:rsidR="00AE0F5B">
        <w:t xml:space="preserve"> contributing to the outer </w:t>
      </w:r>
      <w:r w:rsidR="00F015D5">
        <w:t xml:space="preserve">consideration </w:t>
      </w:r>
      <w:r w:rsidR="00AE0F5B">
        <w:t>zone (1E-7/year) risk contour</w:t>
      </w:r>
      <w:r w:rsidR="00FE4414">
        <w:t xml:space="preserve"> up to </w:t>
      </w:r>
      <w:r w:rsidR="00E70AEA">
        <w:t>740 m along the prevailing wind direction</w:t>
      </w:r>
      <w:r w:rsidR="00AE0F5B">
        <w:t>.</w:t>
      </w:r>
      <w:r w:rsidR="00F015D5">
        <w:t xml:space="preserve"> The inner and middle consideration zones</w:t>
      </w:r>
      <w:r w:rsidR="00C16FE9">
        <w:t>, primarily defined by transfer operation leaks,</w:t>
      </w:r>
      <w:r w:rsidR="00E70AEA">
        <w:t xml:space="preserve"> </w:t>
      </w:r>
      <w:r w:rsidR="00130159">
        <w:t>are well within the facility</w:t>
      </w:r>
      <w:r w:rsidR="00F95222">
        <w:t xml:space="preserve"> </w:t>
      </w:r>
      <w:r w:rsidR="00244007">
        <w:t xml:space="preserve">with maximum distances </w:t>
      </w:r>
      <w:r w:rsidR="00237906">
        <w:t xml:space="preserve">133 m and 40 m </w:t>
      </w:r>
      <w:r w:rsidR="00746D25">
        <w:t>along</w:t>
      </w:r>
      <w:r w:rsidR="00237906">
        <w:t xml:space="preserve"> the prevailing wind direction</w:t>
      </w:r>
      <w:r w:rsidR="00FB1D09">
        <w:t>.</w:t>
      </w:r>
    </w:p>
    <w:p w14:paraId="51743F5D" w14:textId="4E689D73" w:rsidR="004857E8" w:rsidRDefault="00C16453" w:rsidP="00453E24">
      <w:pPr>
        <w:pStyle w:val="CETBodytext"/>
      </w:pPr>
      <w:r>
        <w:rPr>
          <w:noProof/>
        </w:rPr>
        <w:drawing>
          <wp:inline distT="0" distB="0" distL="0" distR="0" wp14:anchorId="1D1701AE" wp14:editId="7869D110">
            <wp:extent cx="2804795" cy="2034612"/>
            <wp:effectExtent l="0" t="0" r="0" b="3810"/>
            <wp:docPr id="11986207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6897" cy="2057899"/>
                    </a:xfrm>
                    <a:prstGeom prst="rect">
                      <a:avLst/>
                    </a:prstGeom>
                    <a:noFill/>
                  </pic:spPr>
                </pic:pic>
              </a:graphicData>
            </a:graphic>
          </wp:inline>
        </w:drawing>
      </w:r>
      <w:r>
        <w:t xml:space="preserve">  </w:t>
      </w:r>
      <w:r>
        <w:rPr>
          <w:noProof/>
        </w:rPr>
        <w:drawing>
          <wp:inline distT="0" distB="0" distL="0" distR="0" wp14:anchorId="54D3B7FB" wp14:editId="4639A255">
            <wp:extent cx="2717725" cy="2170999"/>
            <wp:effectExtent l="0" t="0" r="6985" b="1270"/>
            <wp:docPr id="145674960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49609" name="Picture 1" descr="A map of a ci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696" cy="2184556"/>
                    </a:xfrm>
                    <a:prstGeom prst="rect">
                      <a:avLst/>
                    </a:prstGeom>
                    <a:noFill/>
                  </pic:spPr>
                </pic:pic>
              </a:graphicData>
            </a:graphic>
          </wp:inline>
        </w:drawing>
      </w:r>
    </w:p>
    <w:p w14:paraId="272D7FB2" w14:textId="28026EF0" w:rsidR="00CB3699" w:rsidRPr="00BD077D" w:rsidRDefault="00CB3699" w:rsidP="00CB3699">
      <w:pPr>
        <w:pStyle w:val="CETCaption"/>
      </w:pPr>
      <w:r w:rsidRPr="004B5C38">
        <w:rPr>
          <w:rStyle w:val="CETCaptionCarattere"/>
          <w:i/>
        </w:rPr>
        <w:t xml:space="preserve">Figure </w:t>
      </w:r>
      <w:r w:rsidR="003B33C1" w:rsidRPr="004B5C38">
        <w:rPr>
          <w:rStyle w:val="CETCaptionCarattere"/>
          <w:i/>
        </w:rPr>
        <w:t>5</w:t>
      </w:r>
      <w:r w:rsidRPr="004B5C38">
        <w:rPr>
          <w:rStyle w:val="CETCaptionCarattere"/>
          <w:i/>
        </w:rPr>
        <w:t xml:space="preserve">: </w:t>
      </w:r>
      <w:r w:rsidR="009E3199" w:rsidRPr="004B5C38">
        <w:rPr>
          <w:rStyle w:val="CETCaptionCarattere"/>
          <w:i/>
        </w:rPr>
        <w:t>HYEX dispersion model</w:t>
      </w:r>
      <w:r w:rsidR="005823A5" w:rsidRPr="004B5C38">
        <w:rPr>
          <w:rStyle w:val="CETCaptionCarattere"/>
          <w:i/>
        </w:rPr>
        <w:t>s</w:t>
      </w:r>
      <w:r w:rsidR="009E3199" w:rsidRPr="004B5C38">
        <w:rPr>
          <w:rStyle w:val="CETCaptionCarattere"/>
          <w:i/>
        </w:rPr>
        <w:t xml:space="preserve"> compared to Desert Tortoise NH</w:t>
      </w:r>
      <w:r w:rsidR="009E3199" w:rsidRPr="004B5C38">
        <w:rPr>
          <w:rStyle w:val="CETCaptionCarattere"/>
          <w:i/>
          <w:vertAlign w:val="subscript"/>
        </w:rPr>
        <w:t>3</w:t>
      </w:r>
      <w:r w:rsidR="009E3199" w:rsidRPr="004B5C38">
        <w:rPr>
          <w:rStyle w:val="CETCaptionCarattere"/>
          <w:i/>
        </w:rPr>
        <w:t xml:space="preserve"> flashing release </w:t>
      </w:r>
      <w:r w:rsidR="0099511B" w:rsidRPr="004B5C38">
        <w:rPr>
          <w:rStyle w:val="CETCaptionCarattere"/>
          <w:i/>
        </w:rPr>
        <w:t>tests</w:t>
      </w:r>
      <w:r w:rsidR="00217898" w:rsidRPr="004B5C38">
        <w:rPr>
          <w:rStyle w:val="CETCaptionCarattere"/>
          <w:i/>
        </w:rPr>
        <w:t xml:space="preserve"> (left).</w:t>
      </w:r>
      <w:r w:rsidR="0068142A" w:rsidRPr="004B5C38">
        <w:rPr>
          <w:rStyle w:val="CETCaptionCarattere"/>
          <w:i/>
        </w:rPr>
        <w:t xml:space="preserve"> </w:t>
      </w:r>
      <w:r w:rsidR="00D5576B" w:rsidRPr="004B5C38">
        <w:rPr>
          <w:rStyle w:val="CETCaptionCarattere"/>
          <w:i/>
        </w:rPr>
        <w:t>Proposed</w:t>
      </w:r>
      <w:r w:rsidR="008F7DC0" w:rsidRPr="004B5C38">
        <w:rPr>
          <w:rStyle w:val="CETCaptionCarattere"/>
          <w:i/>
        </w:rPr>
        <w:t xml:space="preserve"> </w:t>
      </w:r>
      <w:r w:rsidR="002A66BB" w:rsidRPr="004B5C38">
        <w:rPr>
          <w:rStyle w:val="CETCaptionCarattere"/>
          <w:i/>
        </w:rPr>
        <w:t>inner</w:t>
      </w:r>
      <w:r w:rsidR="002A66BB">
        <w:rPr>
          <w:rStyle w:val="CETCaptionCarattere"/>
          <w:i/>
        </w:rPr>
        <w:t xml:space="preserve"> (1E-5/y), middle (1E-6/y) and outer (1E-7/y)</w:t>
      </w:r>
      <w:r w:rsidR="00D5576B">
        <w:rPr>
          <w:rStyle w:val="CETCaptionCarattere"/>
          <w:i/>
        </w:rPr>
        <w:t xml:space="preserve"> consideration zones </w:t>
      </w:r>
      <w:r w:rsidR="00B27634">
        <w:rPr>
          <w:rStyle w:val="CETCaptionCarattere"/>
          <w:i/>
        </w:rPr>
        <w:t xml:space="preserve">used as basis for the </w:t>
      </w:r>
      <w:r w:rsidR="008759F0">
        <w:rPr>
          <w:rStyle w:val="CETCaptionCarattere"/>
          <w:i/>
        </w:rPr>
        <w:t xml:space="preserve">building </w:t>
      </w:r>
      <w:r w:rsidR="00B27634">
        <w:rPr>
          <w:rStyle w:val="CETCaptionCarattere"/>
          <w:i/>
        </w:rPr>
        <w:t>permit</w:t>
      </w:r>
      <w:r w:rsidR="008759F0">
        <w:rPr>
          <w:rStyle w:val="CETCaptionCarattere"/>
          <w:i/>
        </w:rPr>
        <w:t xml:space="preserve"> (right).</w:t>
      </w:r>
      <w:r w:rsidR="0099511B">
        <w:rPr>
          <w:rStyle w:val="CETCaptionCarattere"/>
          <w:i/>
        </w:rPr>
        <w:t xml:space="preserve"> </w:t>
      </w:r>
    </w:p>
    <w:p w14:paraId="5AE315D8" w14:textId="30A3D5F5" w:rsidR="00B64E0C" w:rsidRDefault="003C3C02" w:rsidP="00B64E0C">
      <w:pPr>
        <w:pStyle w:val="CETheadingx"/>
      </w:pPr>
      <w:r>
        <w:t>Using CFD modelling for the scenarios of primary concern</w:t>
      </w:r>
    </w:p>
    <w:p w14:paraId="77239E03" w14:textId="75B9908A" w:rsidR="007530DD" w:rsidRDefault="008D2327" w:rsidP="00B64E0C">
      <w:pPr>
        <w:pStyle w:val="CETBodytext"/>
      </w:pPr>
      <w:r>
        <w:t>W</w:t>
      </w:r>
      <w:r w:rsidR="00942CA7">
        <w:t xml:space="preserve">hile the development of risk contours is efficient using </w:t>
      </w:r>
      <w:r w:rsidR="00E513AB">
        <w:t>basic dispersion models</w:t>
      </w:r>
      <w:r w:rsidR="00F912C3">
        <w:t>,</w:t>
      </w:r>
      <w:r w:rsidR="00E513AB">
        <w:t xml:space="preserve"> </w:t>
      </w:r>
      <w:r w:rsidR="00946384">
        <w:t>accuracy in the consequence modelling is sacrificed</w:t>
      </w:r>
      <w:r w:rsidR="00E513AB">
        <w:t xml:space="preserve"> when not modelling the </w:t>
      </w:r>
      <w:r w:rsidR="009B480D">
        <w:t xml:space="preserve">near field </w:t>
      </w:r>
      <w:r w:rsidR="004951FB">
        <w:t>with 3D CFD</w:t>
      </w:r>
      <w:r w:rsidR="00E513AB">
        <w:t>.</w:t>
      </w:r>
      <w:r w:rsidR="0065719A">
        <w:t xml:space="preserve"> </w:t>
      </w:r>
      <w:r w:rsidR="00CA3D8E">
        <w:t>For a</w:t>
      </w:r>
      <w:r w:rsidR="00FC24A9">
        <w:t xml:space="preserve"> hose rupture scenari</w:t>
      </w:r>
      <w:r w:rsidR="00D35276">
        <w:t xml:space="preserve">o </w:t>
      </w:r>
      <w:r w:rsidR="00AF2401">
        <w:t xml:space="preserve">releasing the full bunkering rate of </w:t>
      </w:r>
      <w:r w:rsidR="00863F8C">
        <w:t>4</w:t>
      </w:r>
      <w:r w:rsidR="00AF2401">
        <w:t>7 kg/s NH</w:t>
      </w:r>
      <w:r w:rsidR="00AF2401" w:rsidRPr="0087004E">
        <w:rPr>
          <w:vertAlign w:val="subscript"/>
        </w:rPr>
        <w:t>3</w:t>
      </w:r>
      <w:r w:rsidR="00AF2401">
        <w:t xml:space="preserve"> into water </w:t>
      </w:r>
      <w:r w:rsidR="00D91E57">
        <w:t xml:space="preserve">until ESD </w:t>
      </w:r>
      <w:r w:rsidR="00AF2401">
        <w:t>(</w:t>
      </w:r>
      <w:r w:rsidR="003B6023">
        <w:t>16</w:t>
      </w:r>
      <w:r w:rsidR="00AF2401">
        <w:t xml:space="preserve"> kg/s assumed </w:t>
      </w:r>
      <w:r w:rsidR="0087004E">
        <w:t xml:space="preserve">vaporized) the basic </w:t>
      </w:r>
      <w:r w:rsidR="00B06345">
        <w:t xml:space="preserve">dispersion </w:t>
      </w:r>
      <w:r w:rsidR="0087004E">
        <w:t>model assuming</w:t>
      </w:r>
      <w:r w:rsidR="00B06345">
        <w:t xml:space="preserve"> </w:t>
      </w:r>
      <w:r w:rsidR="00264B1D">
        <w:t xml:space="preserve">a </w:t>
      </w:r>
      <w:r w:rsidR="00B06345">
        <w:t>flat terrain predict</w:t>
      </w:r>
      <w:r w:rsidR="00264B1D">
        <w:t>s</w:t>
      </w:r>
      <w:r w:rsidR="00B06345">
        <w:t xml:space="preserve"> 1% probability for fatality at a distance of </w:t>
      </w:r>
      <w:r w:rsidR="003B6023">
        <w:t>45</w:t>
      </w:r>
      <w:r w:rsidR="00B06345">
        <w:t xml:space="preserve"> m from the spill</w:t>
      </w:r>
      <w:r w:rsidR="00264B1D">
        <w:t>, which would be basis for the bunkering safety zone</w:t>
      </w:r>
      <w:r w:rsidR="006626FE">
        <w:t xml:space="preserve"> in Norway</w:t>
      </w:r>
      <w:r w:rsidR="00B06345">
        <w:t xml:space="preserve">. </w:t>
      </w:r>
      <w:r w:rsidR="00F90789">
        <w:t xml:space="preserve">As the spill from the hose between the bunkering barge and the </w:t>
      </w:r>
      <w:r w:rsidR="006626FE">
        <w:t>ship</w:t>
      </w:r>
      <w:r w:rsidR="00445991">
        <w:t xml:space="preserve"> fall</w:t>
      </w:r>
      <w:r w:rsidR="006626FE">
        <w:t>s</w:t>
      </w:r>
      <w:r w:rsidR="00445991">
        <w:t xml:space="preserve"> into the sea between the two vessels</w:t>
      </w:r>
      <w:r w:rsidR="00825A89">
        <w:t xml:space="preserve">, </w:t>
      </w:r>
      <w:r w:rsidR="00464487">
        <w:t xml:space="preserve">the highly buoyant </w:t>
      </w:r>
      <w:r w:rsidR="00FD4D40">
        <w:t>concentrated NH</w:t>
      </w:r>
      <w:r w:rsidR="00FD4D40" w:rsidRPr="00FD4D40">
        <w:rPr>
          <w:vertAlign w:val="subscript"/>
        </w:rPr>
        <w:t>3</w:t>
      </w:r>
      <w:r w:rsidR="00FD4D40">
        <w:t xml:space="preserve"> </w:t>
      </w:r>
      <w:r w:rsidR="00464487">
        <w:t xml:space="preserve">plume </w:t>
      </w:r>
      <w:r w:rsidR="00825A89">
        <w:t xml:space="preserve">would have to climb above the </w:t>
      </w:r>
      <w:r w:rsidR="00464487">
        <w:t>barge</w:t>
      </w:r>
      <w:r w:rsidR="00DF5516">
        <w:t xml:space="preserve"> </w:t>
      </w:r>
      <w:r w:rsidR="00AD5A18">
        <w:t xml:space="preserve">to a height of 8 m </w:t>
      </w:r>
      <w:r w:rsidR="00DF5516">
        <w:t xml:space="preserve">before </w:t>
      </w:r>
      <w:r w:rsidR="00FA783C">
        <w:t xml:space="preserve">blowing with the wind </w:t>
      </w:r>
      <w:r w:rsidR="00DF5516">
        <w:t>towards shore</w:t>
      </w:r>
      <w:r w:rsidR="00FD4D40">
        <w:t xml:space="preserve">. When simulating this </w:t>
      </w:r>
      <w:r w:rsidR="00FA783C">
        <w:t xml:space="preserve">scenario </w:t>
      </w:r>
      <w:r w:rsidR="00FD4D40">
        <w:t>with CFD</w:t>
      </w:r>
      <w:r w:rsidR="00624234">
        <w:t xml:space="preserve"> the </w:t>
      </w:r>
      <w:r w:rsidR="00DD5B80">
        <w:t xml:space="preserve">maximum </w:t>
      </w:r>
      <w:r w:rsidR="00624234">
        <w:t>1% fatality distance is reduced to 35 m</w:t>
      </w:r>
      <w:r w:rsidR="00480FB2">
        <w:t xml:space="preserve"> at an elevation 20 m above the quay</w:t>
      </w:r>
      <w:r w:rsidR="00DD5B80">
        <w:t xml:space="preserve">, and the maximum </w:t>
      </w:r>
      <w:r w:rsidR="008F30C9">
        <w:t xml:space="preserve">distance to 1% fatality </w:t>
      </w:r>
      <w:r w:rsidR="009D1611">
        <w:t xml:space="preserve">probability </w:t>
      </w:r>
      <w:r w:rsidR="007738E3">
        <w:t xml:space="preserve">into the quay for any wind speed </w:t>
      </w:r>
      <w:r w:rsidR="008F30C9">
        <w:t xml:space="preserve">is </w:t>
      </w:r>
      <w:r w:rsidR="00160540">
        <w:t xml:space="preserve">only </w:t>
      </w:r>
      <w:r w:rsidR="008F30C9">
        <w:t>13 m from the barge.</w:t>
      </w:r>
      <w:r w:rsidR="00D17BA6">
        <w:t xml:space="preserve"> </w:t>
      </w:r>
      <w:r w:rsidR="00820170">
        <w:t>In Figure 6</w:t>
      </w:r>
      <w:r w:rsidR="00384564">
        <w:t xml:space="preserve"> predicted plume development </w:t>
      </w:r>
      <w:r w:rsidR="008C089E">
        <w:t>for a</w:t>
      </w:r>
      <w:r w:rsidR="00384564">
        <w:t xml:space="preserve"> </w:t>
      </w:r>
      <w:r w:rsidR="00D41E46">
        <w:t>hose rupture</w:t>
      </w:r>
      <w:r w:rsidR="00FE6914">
        <w:t xml:space="preserve"> bunkering</w:t>
      </w:r>
      <w:r w:rsidR="008C089E">
        <w:t xml:space="preserve"> scenario in 5 m/s wind towards shore is shown illustrating </w:t>
      </w:r>
      <w:r w:rsidR="004451FA">
        <w:t>how the plume is lifted</w:t>
      </w:r>
      <w:r w:rsidR="0082490E">
        <w:t xml:space="preserve">. CFD predictions can investigate </w:t>
      </w:r>
      <w:r w:rsidR="00DD2357">
        <w:t>how</w:t>
      </w:r>
      <w:r w:rsidR="00C93C0C">
        <w:t xml:space="preserve"> the local environment with </w:t>
      </w:r>
      <w:r w:rsidR="00B87F1C">
        <w:t xml:space="preserve">barge, vessel, </w:t>
      </w:r>
      <w:r w:rsidR="00C93C0C">
        <w:t>shoreline and terrain may influence the wind field</w:t>
      </w:r>
      <w:r w:rsidR="00B87F1C">
        <w:t>s</w:t>
      </w:r>
      <w:r w:rsidR="006750B7">
        <w:t xml:space="preserve"> and contribute to </w:t>
      </w:r>
      <w:r w:rsidR="0007611F">
        <w:t xml:space="preserve">vertical mixing or lifting of a toxic plume </w:t>
      </w:r>
      <w:r w:rsidR="00B87F1C">
        <w:t>to the surroundings</w:t>
      </w:r>
      <w:r w:rsidR="00654B7B">
        <w:t>, and the main scenarios contributing to risk contours</w:t>
      </w:r>
      <w:r w:rsidR="003744E2">
        <w:t xml:space="preserve"> can be simulated with </w:t>
      </w:r>
      <w:r w:rsidR="003744E2">
        <w:lastRenderedPageBreak/>
        <w:t>wind in different directions</w:t>
      </w:r>
      <w:r w:rsidR="00B87F1C">
        <w:t>.</w:t>
      </w:r>
      <w:r w:rsidR="00243BFF">
        <w:t xml:space="preserve"> </w:t>
      </w:r>
      <w:r w:rsidR="0039406E">
        <w:t>T</w:t>
      </w:r>
      <w:r w:rsidR="003744E2">
        <w:t>he output from CFD models is more extensive and transient than for a basic dispersion model</w:t>
      </w:r>
      <w:r w:rsidR="0039406E">
        <w:t>. To develop more accurate consideration zones</w:t>
      </w:r>
      <w:r w:rsidR="003744E2">
        <w:t xml:space="preserve"> the </w:t>
      </w:r>
      <w:r w:rsidR="0039406E">
        <w:t xml:space="preserve">CFD </w:t>
      </w:r>
      <w:r w:rsidR="007A3F19">
        <w:t xml:space="preserve">results </w:t>
      </w:r>
      <w:r w:rsidR="0039406E">
        <w:t xml:space="preserve">are </w:t>
      </w:r>
      <w:r w:rsidR="006C5C05">
        <w:t xml:space="preserve">imported from </w:t>
      </w:r>
      <w:r w:rsidR="0039406E">
        <w:t>tab</w:t>
      </w:r>
      <w:r w:rsidR="006C5C05">
        <w:t>les</w:t>
      </w:r>
      <w:r w:rsidR="007A3F19">
        <w:t xml:space="preserve"> with maximum concentratio</w:t>
      </w:r>
      <w:r w:rsidR="00E843BA">
        <w:t xml:space="preserve">ns at various distances, </w:t>
      </w:r>
      <w:r w:rsidR="00EA499A">
        <w:t xml:space="preserve">replacing </w:t>
      </w:r>
      <w:r w:rsidR="00C67616">
        <w:t xml:space="preserve">the </w:t>
      </w:r>
      <w:r w:rsidR="007530DD">
        <w:t>predictions</w:t>
      </w:r>
      <w:r w:rsidR="00A27612">
        <w:t xml:space="preserve"> of the </w:t>
      </w:r>
      <w:r w:rsidR="00C67616">
        <w:t>basic dispersion model.</w:t>
      </w:r>
      <w:r w:rsidR="007D2AF6">
        <w:t xml:space="preserve"> </w:t>
      </w:r>
    </w:p>
    <w:p w14:paraId="6DE025A9" w14:textId="437A28AB" w:rsidR="0013398C" w:rsidRDefault="00A541C8" w:rsidP="00B64E0C">
      <w:pPr>
        <w:pStyle w:val="CETBodytext"/>
      </w:pPr>
      <w:r>
        <w:rPr>
          <w:noProof/>
        </w:rPr>
        <w:drawing>
          <wp:inline distT="0" distB="0" distL="0" distR="0" wp14:anchorId="48BAEA3B" wp14:editId="5C3AE0FB">
            <wp:extent cx="1464162" cy="1544112"/>
            <wp:effectExtent l="0" t="0" r="3175" b="0"/>
            <wp:docPr id="14383413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41328" name="Picture 17"/>
                    <pic:cNvPicPr>
                      <a:picLocks noChangeAspect="1" noChangeArrowheads="1"/>
                    </pic:cNvPicPr>
                  </pic:nvPicPr>
                  <pic:blipFill rotWithShape="1">
                    <a:blip r:embed="rId22"/>
                    <a:srcRect t="36828" b="462"/>
                    <a:stretch/>
                  </pic:blipFill>
                  <pic:spPr bwMode="auto">
                    <a:xfrm>
                      <a:off x="0" y="0"/>
                      <a:ext cx="1469392" cy="1549627"/>
                    </a:xfrm>
                    <a:prstGeom prst="rect">
                      <a:avLst/>
                    </a:prstGeom>
                    <a:noFill/>
                    <a:ln>
                      <a:noFill/>
                    </a:ln>
                    <a:extLst>
                      <a:ext uri="{53640926-AAD7-44D8-BBD7-CCE9431645EC}">
                        <a14:shadowObscured xmlns:a14="http://schemas.microsoft.com/office/drawing/2010/main"/>
                      </a:ext>
                    </a:extLst>
                  </pic:spPr>
                </pic:pic>
              </a:graphicData>
            </a:graphic>
          </wp:inline>
        </w:drawing>
      </w:r>
      <w:r w:rsidR="00B4477F">
        <w:t xml:space="preserve"> </w:t>
      </w:r>
      <w:r w:rsidR="005B2292">
        <w:rPr>
          <w:noProof/>
        </w:rPr>
        <w:drawing>
          <wp:inline distT="0" distB="0" distL="0" distR="0" wp14:anchorId="42B20C05" wp14:editId="4C703418">
            <wp:extent cx="1452943" cy="1542460"/>
            <wp:effectExtent l="0" t="0" r="0" b="635"/>
            <wp:docPr id="5138485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48536" name="Picture 19"/>
                    <pic:cNvPicPr>
                      <a:picLocks noChangeAspect="1" noChangeArrowheads="1"/>
                    </pic:cNvPicPr>
                  </pic:nvPicPr>
                  <pic:blipFill rotWithShape="1">
                    <a:blip r:embed="rId23"/>
                    <a:srcRect t="38118" b="362"/>
                    <a:stretch/>
                  </pic:blipFill>
                  <pic:spPr bwMode="auto">
                    <a:xfrm>
                      <a:off x="0" y="0"/>
                      <a:ext cx="1481482" cy="1572758"/>
                    </a:xfrm>
                    <a:prstGeom prst="rect">
                      <a:avLst/>
                    </a:prstGeom>
                    <a:noFill/>
                    <a:ln>
                      <a:noFill/>
                    </a:ln>
                    <a:extLst>
                      <a:ext uri="{53640926-AAD7-44D8-BBD7-CCE9431645EC}">
                        <a14:shadowObscured xmlns:a14="http://schemas.microsoft.com/office/drawing/2010/main"/>
                      </a:ext>
                    </a:extLst>
                  </pic:spPr>
                </pic:pic>
              </a:graphicData>
            </a:graphic>
          </wp:inline>
        </w:drawing>
      </w:r>
      <w:r w:rsidR="005B2292">
        <w:t xml:space="preserve"> </w:t>
      </w:r>
      <w:r w:rsidR="00B4477F">
        <w:rPr>
          <w:noProof/>
        </w:rPr>
        <w:drawing>
          <wp:inline distT="0" distB="0" distL="0" distR="0" wp14:anchorId="19835F47" wp14:editId="3A0C4800">
            <wp:extent cx="2344903" cy="1551791"/>
            <wp:effectExtent l="0" t="0" r="0" b="0"/>
            <wp:docPr id="19909960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96004" name="Picture 18"/>
                    <pic:cNvPicPr>
                      <a:picLocks noChangeAspect="1" noChangeArrowheads="1"/>
                    </pic:cNvPicPr>
                  </pic:nvPicPr>
                  <pic:blipFill rotWithShape="1">
                    <a:blip r:embed="rId24"/>
                    <a:srcRect t="36701" b="35"/>
                    <a:stretch/>
                  </pic:blipFill>
                  <pic:spPr bwMode="auto">
                    <a:xfrm>
                      <a:off x="0" y="0"/>
                      <a:ext cx="2350299" cy="1555362"/>
                    </a:xfrm>
                    <a:prstGeom prst="rect">
                      <a:avLst/>
                    </a:prstGeom>
                    <a:noFill/>
                    <a:ln>
                      <a:noFill/>
                    </a:ln>
                    <a:extLst>
                      <a:ext uri="{53640926-AAD7-44D8-BBD7-CCE9431645EC}">
                        <a14:shadowObscured xmlns:a14="http://schemas.microsoft.com/office/drawing/2010/main"/>
                      </a:ext>
                    </a:extLst>
                  </pic:spPr>
                </pic:pic>
              </a:graphicData>
            </a:graphic>
          </wp:inline>
        </w:drawing>
      </w:r>
    </w:p>
    <w:p w14:paraId="4DF7166B" w14:textId="4E2FCA03" w:rsidR="0013398C" w:rsidRPr="00BD077D" w:rsidRDefault="0013398C" w:rsidP="0013398C">
      <w:pPr>
        <w:pStyle w:val="CETCaption"/>
      </w:pPr>
      <w:r w:rsidRPr="004B5C38">
        <w:rPr>
          <w:rStyle w:val="CETCaptionCarattere"/>
          <w:i/>
        </w:rPr>
        <w:t xml:space="preserve">Figure 6: </w:t>
      </w:r>
      <w:r>
        <w:rPr>
          <w:rStyle w:val="CETCaptionCarattere"/>
          <w:i/>
        </w:rPr>
        <w:t xml:space="preserve">For spill scenarios </w:t>
      </w:r>
      <w:r w:rsidR="00394063">
        <w:rPr>
          <w:rStyle w:val="CETCaptionCarattere"/>
          <w:i/>
        </w:rPr>
        <w:t xml:space="preserve">CFD simulations </w:t>
      </w:r>
      <w:r w:rsidR="007877D6">
        <w:rPr>
          <w:rStyle w:val="CETCaptionCarattere"/>
          <w:i/>
        </w:rPr>
        <w:t>including ship/barge geometry and local wind field</w:t>
      </w:r>
      <w:r w:rsidR="009730A4">
        <w:rPr>
          <w:rStyle w:val="CETCaptionCarattere"/>
          <w:i/>
        </w:rPr>
        <w:t>s</w:t>
      </w:r>
      <w:r w:rsidR="007877D6">
        <w:rPr>
          <w:rStyle w:val="CETCaptionCarattere"/>
          <w:i/>
        </w:rPr>
        <w:t xml:space="preserve"> </w:t>
      </w:r>
      <w:r w:rsidR="00C719C3">
        <w:rPr>
          <w:rStyle w:val="CETCaptionCarattere"/>
          <w:i/>
        </w:rPr>
        <w:t>may improve precision when predicting hazard distances.</w:t>
      </w:r>
      <w:r w:rsidRPr="00BD077D">
        <w:t xml:space="preserve"> </w:t>
      </w:r>
      <w:r w:rsidR="00491CD3">
        <w:t xml:space="preserve">Plume lifting for </w:t>
      </w:r>
      <w:r w:rsidR="001246F6">
        <w:rPr>
          <w:rStyle w:val="CETCaptionCarattere"/>
          <w:i/>
        </w:rPr>
        <w:t>hose rupture into the sea</w:t>
      </w:r>
      <w:r w:rsidR="00491CD3">
        <w:rPr>
          <w:rStyle w:val="CETCaptionCarattere"/>
          <w:i/>
        </w:rPr>
        <w:t xml:space="preserve"> in 5 m/s wind shown.</w:t>
      </w:r>
    </w:p>
    <w:p w14:paraId="68D26B83" w14:textId="77777777" w:rsidR="00600535" w:rsidRPr="00B57B36" w:rsidRDefault="00600535" w:rsidP="00600535">
      <w:pPr>
        <w:pStyle w:val="CETHeading1"/>
        <w:rPr>
          <w:lang w:val="en-GB"/>
        </w:rPr>
      </w:pPr>
      <w:r w:rsidRPr="00B57B36">
        <w:rPr>
          <w:lang w:val="en-GB"/>
        </w:rPr>
        <w:t>Conclusions</w:t>
      </w:r>
    </w:p>
    <w:p w14:paraId="52DAFDE0" w14:textId="3554EB55" w:rsidR="001D0CFB" w:rsidRDefault="008B2717" w:rsidP="00600535">
      <w:pPr>
        <w:pStyle w:val="CETBodytext"/>
        <w:rPr>
          <w:lang w:val="en-GB"/>
        </w:rPr>
      </w:pPr>
      <w:r>
        <w:rPr>
          <w:lang w:val="en-GB"/>
        </w:rPr>
        <w:t xml:space="preserve">Ammonia is being introduced as a </w:t>
      </w:r>
      <w:r w:rsidR="00F1660D">
        <w:rPr>
          <w:lang w:val="en-GB"/>
        </w:rPr>
        <w:t xml:space="preserve">zero-carbon </w:t>
      </w:r>
      <w:r>
        <w:rPr>
          <w:lang w:val="en-GB"/>
        </w:rPr>
        <w:t>fuel for ship</w:t>
      </w:r>
      <w:r w:rsidR="00F1660D">
        <w:rPr>
          <w:lang w:val="en-GB"/>
        </w:rPr>
        <w:t xml:space="preserve">s. One part of </w:t>
      </w:r>
      <w:r w:rsidR="003834F6">
        <w:rPr>
          <w:lang w:val="en-GB"/>
        </w:rPr>
        <w:t xml:space="preserve">the effort for this to succeed is the development of bunkering infrastructure for </w:t>
      </w:r>
      <w:r w:rsidR="00723F1C">
        <w:rPr>
          <w:lang w:val="en-GB"/>
        </w:rPr>
        <w:t xml:space="preserve">ships. </w:t>
      </w:r>
      <w:r w:rsidR="00686EAF">
        <w:rPr>
          <w:lang w:val="en-GB"/>
        </w:rPr>
        <w:t xml:space="preserve">This article has described </w:t>
      </w:r>
      <w:r w:rsidR="00F51034">
        <w:rPr>
          <w:lang w:val="en-GB"/>
        </w:rPr>
        <w:t xml:space="preserve">the risk assessment for </w:t>
      </w:r>
      <w:r w:rsidR="00686EAF">
        <w:rPr>
          <w:lang w:val="en-GB"/>
        </w:rPr>
        <w:t>a</w:t>
      </w:r>
      <w:r w:rsidR="002E6867">
        <w:rPr>
          <w:lang w:val="en-GB"/>
        </w:rPr>
        <w:t>n NH</w:t>
      </w:r>
      <w:r w:rsidR="002E6867" w:rsidRPr="002E6867">
        <w:rPr>
          <w:vertAlign w:val="subscript"/>
          <w:lang w:val="en-GB"/>
        </w:rPr>
        <w:t>3</w:t>
      </w:r>
      <w:r w:rsidR="002E6867">
        <w:rPr>
          <w:lang w:val="en-GB"/>
        </w:rPr>
        <w:t xml:space="preserve"> </w:t>
      </w:r>
      <w:r w:rsidR="00686EAF">
        <w:rPr>
          <w:lang w:val="en-GB"/>
        </w:rPr>
        <w:t xml:space="preserve"> bunkering terminal </w:t>
      </w:r>
      <w:r w:rsidR="00E74470">
        <w:rPr>
          <w:lang w:val="en-GB"/>
        </w:rPr>
        <w:t xml:space="preserve">for </w:t>
      </w:r>
      <w:r w:rsidR="002E6867">
        <w:rPr>
          <w:lang w:val="en-GB"/>
        </w:rPr>
        <w:t xml:space="preserve">with </w:t>
      </w:r>
      <w:r w:rsidR="00E74470">
        <w:rPr>
          <w:lang w:val="en-GB"/>
        </w:rPr>
        <w:t xml:space="preserve">a safety design had a </w:t>
      </w:r>
      <w:r w:rsidR="002042EA">
        <w:rPr>
          <w:lang w:val="en-GB"/>
        </w:rPr>
        <w:t>high focus</w:t>
      </w:r>
      <w:r w:rsidR="00B914C6">
        <w:rPr>
          <w:lang w:val="en-GB"/>
        </w:rPr>
        <w:t xml:space="preserve">. There are </w:t>
      </w:r>
      <w:r w:rsidR="00075707">
        <w:rPr>
          <w:lang w:val="en-GB"/>
        </w:rPr>
        <w:t>several</w:t>
      </w:r>
      <w:r w:rsidR="00B914C6">
        <w:rPr>
          <w:lang w:val="en-GB"/>
        </w:rPr>
        <w:t xml:space="preserve"> challenges related to performing probabilistic risk assessments for </w:t>
      </w:r>
      <w:r w:rsidR="00075707">
        <w:rPr>
          <w:lang w:val="en-GB"/>
        </w:rPr>
        <w:t>a site handling NH</w:t>
      </w:r>
      <w:r w:rsidR="00075707" w:rsidRPr="00075707">
        <w:rPr>
          <w:vertAlign w:val="subscript"/>
          <w:lang w:val="en-GB"/>
        </w:rPr>
        <w:t>3</w:t>
      </w:r>
      <w:r w:rsidR="00075707">
        <w:rPr>
          <w:lang w:val="en-GB"/>
        </w:rPr>
        <w:t xml:space="preserve">, </w:t>
      </w:r>
      <w:r w:rsidR="00A15FB2">
        <w:rPr>
          <w:lang w:val="en-GB"/>
        </w:rPr>
        <w:t xml:space="preserve">both </w:t>
      </w:r>
      <w:r w:rsidR="00322BE1">
        <w:rPr>
          <w:lang w:val="en-GB"/>
        </w:rPr>
        <w:t xml:space="preserve">related to understanding and modelling </w:t>
      </w:r>
      <w:r w:rsidR="003255E7">
        <w:rPr>
          <w:lang w:val="en-GB"/>
        </w:rPr>
        <w:t>the</w:t>
      </w:r>
      <w:r w:rsidR="004D4104">
        <w:rPr>
          <w:lang w:val="en-GB"/>
        </w:rPr>
        <w:t xml:space="preserve"> gas</w:t>
      </w:r>
      <w:r w:rsidR="00E60757">
        <w:rPr>
          <w:lang w:val="en-GB"/>
        </w:rPr>
        <w:t xml:space="preserve"> dispersion and fatality risk. </w:t>
      </w:r>
      <w:r w:rsidR="00F92312">
        <w:rPr>
          <w:lang w:val="en-GB"/>
        </w:rPr>
        <w:t>Numerous</w:t>
      </w:r>
      <w:r w:rsidR="008012E2">
        <w:rPr>
          <w:lang w:val="en-GB"/>
        </w:rPr>
        <w:t xml:space="preserve"> scenarios and wind conditions</w:t>
      </w:r>
      <w:r w:rsidR="00E60757">
        <w:rPr>
          <w:lang w:val="en-GB"/>
        </w:rPr>
        <w:t xml:space="preserve"> must be assessed</w:t>
      </w:r>
      <w:r w:rsidR="00423F95">
        <w:rPr>
          <w:lang w:val="en-GB"/>
        </w:rPr>
        <w:t xml:space="preserve"> </w:t>
      </w:r>
      <w:r w:rsidR="00D14F1B">
        <w:rPr>
          <w:lang w:val="en-GB"/>
        </w:rPr>
        <w:t xml:space="preserve">to estimate risk contours, </w:t>
      </w:r>
      <w:r w:rsidR="00423F95">
        <w:rPr>
          <w:lang w:val="en-GB"/>
        </w:rPr>
        <w:t xml:space="preserve">with fatality risk depending on </w:t>
      </w:r>
      <w:r w:rsidR="00A45BA9">
        <w:rPr>
          <w:lang w:val="en-GB"/>
        </w:rPr>
        <w:t>exposure time and concentration,</w:t>
      </w:r>
      <w:r w:rsidR="00385800">
        <w:rPr>
          <w:lang w:val="en-GB"/>
        </w:rPr>
        <w:t xml:space="preserve"> </w:t>
      </w:r>
      <w:r w:rsidR="007C449D">
        <w:rPr>
          <w:lang w:val="en-GB"/>
        </w:rPr>
        <w:t xml:space="preserve">which must be estimated </w:t>
      </w:r>
      <w:r w:rsidR="00D14F1B">
        <w:rPr>
          <w:lang w:val="en-GB"/>
        </w:rPr>
        <w:t>for</w:t>
      </w:r>
      <w:r w:rsidR="007C449D">
        <w:rPr>
          <w:lang w:val="en-GB"/>
        </w:rPr>
        <w:t xml:space="preserve"> any distance and direction.</w:t>
      </w:r>
      <w:r w:rsidR="0026153E">
        <w:rPr>
          <w:lang w:val="en-GB"/>
        </w:rPr>
        <w:t xml:space="preserve"> </w:t>
      </w:r>
      <w:r w:rsidR="00344C9B">
        <w:rPr>
          <w:lang w:val="en-GB"/>
        </w:rPr>
        <w:t>For the risk assessment for the first terminal</w:t>
      </w:r>
      <w:r w:rsidR="00B665D4">
        <w:rPr>
          <w:lang w:val="en-GB"/>
        </w:rPr>
        <w:t>,</w:t>
      </w:r>
      <w:r w:rsidR="00B84A45">
        <w:rPr>
          <w:lang w:val="en-GB"/>
        </w:rPr>
        <w:t xml:space="preserve"> this was handled </w:t>
      </w:r>
      <w:r w:rsidR="00361E3E">
        <w:rPr>
          <w:lang w:val="en-GB"/>
        </w:rPr>
        <w:t xml:space="preserve">by </w:t>
      </w:r>
      <w:r w:rsidR="00074F19">
        <w:rPr>
          <w:lang w:val="en-GB"/>
        </w:rPr>
        <w:t xml:space="preserve">using basic </w:t>
      </w:r>
      <w:r w:rsidR="00641074">
        <w:rPr>
          <w:lang w:val="en-GB"/>
        </w:rPr>
        <w:t xml:space="preserve">dispersion models </w:t>
      </w:r>
      <w:r w:rsidR="0032291C">
        <w:rPr>
          <w:lang w:val="en-GB"/>
        </w:rPr>
        <w:t>supported by comparisons with</w:t>
      </w:r>
      <w:r w:rsidR="00D37DF9">
        <w:rPr>
          <w:lang w:val="en-GB"/>
        </w:rPr>
        <w:t xml:space="preserve"> more accurate </w:t>
      </w:r>
      <w:r w:rsidR="00B81E7F">
        <w:rPr>
          <w:lang w:val="en-GB"/>
        </w:rPr>
        <w:t>dispersion</w:t>
      </w:r>
      <w:r w:rsidR="00D37DF9">
        <w:rPr>
          <w:lang w:val="en-GB"/>
        </w:rPr>
        <w:t xml:space="preserve"> models</w:t>
      </w:r>
      <w:r w:rsidR="00B81E7F">
        <w:rPr>
          <w:lang w:val="en-GB"/>
        </w:rPr>
        <w:t xml:space="preserve"> and experiments</w:t>
      </w:r>
      <w:r w:rsidR="00A31A60">
        <w:rPr>
          <w:lang w:val="en-GB"/>
        </w:rPr>
        <w:t>.</w:t>
      </w:r>
      <w:r w:rsidR="00B665D4">
        <w:rPr>
          <w:lang w:val="en-GB"/>
        </w:rPr>
        <w:t xml:space="preserve"> </w:t>
      </w:r>
      <w:r w:rsidR="00F92312">
        <w:rPr>
          <w:lang w:val="en-GB"/>
        </w:rPr>
        <w:t xml:space="preserve">A refined approach </w:t>
      </w:r>
      <w:r w:rsidR="00780932">
        <w:rPr>
          <w:lang w:val="en-GB"/>
        </w:rPr>
        <w:t xml:space="preserve">using 3D CFD modelling to increase precision of </w:t>
      </w:r>
      <w:r w:rsidR="00E83AC3">
        <w:rPr>
          <w:lang w:val="en-GB"/>
        </w:rPr>
        <w:t xml:space="preserve">the </w:t>
      </w:r>
      <w:r w:rsidR="00780932">
        <w:rPr>
          <w:lang w:val="en-GB"/>
        </w:rPr>
        <w:t>consequence modelling for the scenarios of primary concern was also illustrated</w:t>
      </w:r>
      <w:r w:rsidR="005265F1">
        <w:rPr>
          <w:lang w:val="en-GB"/>
        </w:rPr>
        <w:t>.</w:t>
      </w:r>
      <w:r w:rsidR="00E83AC3">
        <w:rPr>
          <w:lang w:val="en-GB"/>
        </w:rPr>
        <w:t xml:space="preserve"> </w:t>
      </w:r>
      <w:r w:rsidR="005265F1">
        <w:rPr>
          <w:lang w:val="en-GB"/>
        </w:rPr>
        <w:t>D</w:t>
      </w:r>
      <w:r w:rsidR="00E83AC3">
        <w:rPr>
          <w:lang w:val="en-GB"/>
        </w:rPr>
        <w:t xml:space="preserve">istance tables for </w:t>
      </w:r>
      <w:r w:rsidR="00C263EB">
        <w:rPr>
          <w:lang w:val="en-GB"/>
        </w:rPr>
        <w:t xml:space="preserve">concentration based on CFD simulations </w:t>
      </w:r>
      <w:r w:rsidR="00B644C4">
        <w:rPr>
          <w:lang w:val="en-GB"/>
        </w:rPr>
        <w:t>is used when developing the risk contours.</w:t>
      </w:r>
      <w:r w:rsidR="00B444C3" w:rsidRPr="00B444C3">
        <w:rPr>
          <w:lang w:val="en-GB"/>
        </w:rPr>
        <w:t xml:space="preserve"> </w:t>
      </w:r>
      <w:r w:rsidR="0020131B">
        <w:rPr>
          <w:lang w:val="en-GB"/>
        </w:rPr>
        <w:t>A</w:t>
      </w:r>
      <w:r w:rsidR="00566ED8">
        <w:rPr>
          <w:lang w:val="en-GB"/>
        </w:rPr>
        <w:t xml:space="preserve"> low risk </w:t>
      </w:r>
      <w:r w:rsidR="0020131B">
        <w:rPr>
          <w:lang w:val="en-GB"/>
        </w:rPr>
        <w:t xml:space="preserve">was documented </w:t>
      </w:r>
      <w:r w:rsidR="00566ED8">
        <w:rPr>
          <w:lang w:val="en-GB"/>
        </w:rPr>
        <w:t xml:space="preserve">and </w:t>
      </w:r>
      <w:r w:rsidR="0020131B">
        <w:rPr>
          <w:lang w:val="en-GB"/>
        </w:rPr>
        <w:t xml:space="preserve">the first </w:t>
      </w:r>
      <w:r w:rsidR="00B444C3">
        <w:rPr>
          <w:lang w:val="en-GB"/>
        </w:rPr>
        <w:t>permit to build</w:t>
      </w:r>
      <w:r w:rsidR="00566ED8">
        <w:rPr>
          <w:lang w:val="en-GB"/>
        </w:rPr>
        <w:t xml:space="preserve"> was obtained early 2024.</w:t>
      </w:r>
    </w:p>
    <w:p w14:paraId="459D05E6" w14:textId="77777777" w:rsidR="00600535" w:rsidRPr="00B57B36" w:rsidRDefault="00600535" w:rsidP="00600535">
      <w:pPr>
        <w:pStyle w:val="CETAcknowledgementstitle"/>
      </w:pPr>
      <w:r w:rsidRPr="00B57B36">
        <w:t>Acknowledgments</w:t>
      </w:r>
    </w:p>
    <w:p w14:paraId="33F8138F" w14:textId="2431E786" w:rsidR="00600535" w:rsidRPr="00B57B36" w:rsidRDefault="00B12581" w:rsidP="00600535">
      <w:pPr>
        <w:pStyle w:val="CETBodytext"/>
        <w:rPr>
          <w:lang w:val="en-GB"/>
        </w:rPr>
      </w:pPr>
      <w:r>
        <w:rPr>
          <w:lang w:val="en-GB"/>
        </w:rPr>
        <w:t>The authors</w:t>
      </w:r>
      <w:r w:rsidR="00F43B54">
        <w:rPr>
          <w:lang w:val="en-GB"/>
        </w:rPr>
        <w:t xml:space="preserve"> would like to thank the </w:t>
      </w:r>
      <w:r w:rsidR="00BF468B">
        <w:rPr>
          <w:lang w:val="en-GB"/>
        </w:rPr>
        <w:t xml:space="preserve">other </w:t>
      </w:r>
      <w:r w:rsidR="00F43B54">
        <w:rPr>
          <w:lang w:val="en-GB"/>
        </w:rPr>
        <w:t xml:space="preserve">partners of the Ammonia Fuel Bunkering Network (AFBN) </w:t>
      </w:r>
      <w:r w:rsidR="00D647BE">
        <w:rPr>
          <w:lang w:val="en-GB"/>
        </w:rPr>
        <w:t>and its</w:t>
      </w:r>
      <w:r w:rsidR="00F43B54">
        <w:rPr>
          <w:lang w:val="en-GB"/>
        </w:rPr>
        <w:t xml:space="preserve"> support from the Norwegian Research </w:t>
      </w:r>
      <w:r w:rsidR="00D647BE">
        <w:rPr>
          <w:lang w:val="en-GB"/>
        </w:rPr>
        <w:t>Council</w:t>
      </w:r>
      <w:r w:rsidR="00A73885">
        <w:rPr>
          <w:lang w:val="en-GB"/>
        </w:rPr>
        <w:t xml:space="preserve"> (project number 328723)</w:t>
      </w:r>
      <w:r>
        <w:rPr>
          <w:lang w:val="en-GB"/>
        </w:rPr>
        <w:t xml:space="preserve">, including </w:t>
      </w:r>
      <w:r w:rsidR="009A2FD2">
        <w:rPr>
          <w:lang w:val="en-GB"/>
        </w:rPr>
        <w:t>partners</w:t>
      </w:r>
      <w:r w:rsidR="00BF468B">
        <w:rPr>
          <w:lang w:val="en-GB"/>
        </w:rPr>
        <w:t xml:space="preserve"> </w:t>
      </w:r>
      <w:r w:rsidR="00AF6844">
        <w:rPr>
          <w:lang w:val="en-GB"/>
        </w:rPr>
        <w:t xml:space="preserve">and associated companies </w:t>
      </w:r>
      <w:r w:rsidR="00BF468B">
        <w:rPr>
          <w:lang w:val="en-GB"/>
        </w:rPr>
        <w:t xml:space="preserve">Yara Clean Ammonia, </w:t>
      </w:r>
      <w:r w:rsidR="008247BD">
        <w:rPr>
          <w:lang w:val="en-GB"/>
        </w:rPr>
        <w:t>Fjord</w:t>
      </w:r>
      <w:r w:rsidR="00B224DF">
        <w:rPr>
          <w:lang w:val="en-GB"/>
        </w:rPr>
        <w:t xml:space="preserve"> B</w:t>
      </w:r>
      <w:r w:rsidR="008247BD">
        <w:rPr>
          <w:lang w:val="en-GB"/>
        </w:rPr>
        <w:t>ase, Ocean Hyway Cluster, GOT</w:t>
      </w:r>
      <w:r w:rsidR="007A5885">
        <w:rPr>
          <w:lang w:val="en-GB"/>
        </w:rPr>
        <w:t>, Amon Maritime</w:t>
      </w:r>
      <w:r w:rsidR="007204C7">
        <w:rPr>
          <w:lang w:val="en-GB"/>
        </w:rPr>
        <w:t>, Econnect Energy, Viridis Bulk Carriers and SINTEF.</w:t>
      </w:r>
    </w:p>
    <w:p w14:paraId="4F1327F8" w14:textId="77777777" w:rsidR="00600535" w:rsidRPr="00B57B36" w:rsidRDefault="00600535" w:rsidP="00600535">
      <w:pPr>
        <w:pStyle w:val="CETReference"/>
      </w:pPr>
      <w:r w:rsidRPr="00B57B36">
        <w:t>References</w:t>
      </w:r>
    </w:p>
    <w:p w14:paraId="5380F937" w14:textId="77777777" w:rsidR="00526792" w:rsidRDefault="00526792" w:rsidP="006B4888">
      <w:pPr>
        <w:pStyle w:val="CETReferencetext"/>
      </w:pPr>
      <w:r w:rsidRPr="00526792">
        <w:t>Coward, H. F., &amp; Jones, G. W. (1952). Limits of flammability of gases and vapors. US Bureau of Mines. Washington, DC, USA: US Government Printing Office.</w:t>
      </w:r>
    </w:p>
    <w:p w14:paraId="68663970" w14:textId="77777777" w:rsidR="00C3182D" w:rsidRDefault="00B95E70" w:rsidP="00C3182D">
      <w:pPr>
        <w:pStyle w:val="CETReferencetext"/>
      </w:pPr>
      <w:r w:rsidRPr="00B95E70">
        <w:t xml:space="preserve">Dharmavaram, S., Carroll, M. J., Lutostansky, E. M., McCormack, D., Chester, A., &amp; Allason, D. (2023). Red Squirrel Tests: Air Products' ammonia field experiments. Process Safety Progress, </w:t>
      </w:r>
      <w:r w:rsidR="00A94BAA">
        <w:t>2023</w:t>
      </w:r>
      <w:r w:rsidR="00C145C5">
        <w:t xml:space="preserve">, Vol. </w:t>
      </w:r>
      <w:r w:rsidR="004D5154">
        <w:t>42</w:t>
      </w:r>
      <w:r w:rsidR="00C145C5">
        <w:t xml:space="preserve">, </w:t>
      </w:r>
      <w:r w:rsidR="004D5154">
        <w:t>481-498</w:t>
      </w:r>
      <w:r w:rsidR="007825DA">
        <w:t>.</w:t>
      </w:r>
      <w:r w:rsidRPr="00B95E70">
        <w:t xml:space="preserve"> </w:t>
      </w:r>
    </w:p>
    <w:p w14:paraId="04820A2F" w14:textId="77777777" w:rsidR="00C3182D" w:rsidRDefault="00000868" w:rsidP="00C3182D">
      <w:pPr>
        <w:pStyle w:val="CETReferencetext"/>
        <w:rPr>
          <w:noProof/>
        </w:rPr>
      </w:pPr>
      <w:r>
        <w:rPr>
          <w:noProof/>
        </w:rPr>
        <w:t xml:space="preserve">Goldwire, H. C., McRae, T. G., Johnson, G. W., Hipple, D. L., Koopman, R. P., McClure, J. W., </w:t>
      </w:r>
      <w:r w:rsidR="00E368E5">
        <w:rPr>
          <w:noProof/>
        </w:rPr>
        <w:t>Morris</w:t>
      </w:r>
      <w:r w:rsidR="004C4696">
        <w:rPr>
          <w:noProof/>
        </w:rPr>
        <w:t>, L. K.</w:t>
      </w:r>
      <w:r w:rsidR="00C3182D">
        <w:rPr>
          <w:noProof/>
        </w:rPr>
        <w:t xml:space="preserve"> </w:t>
      </w:r>
      <w:r>
        <w:rPr>
          <w:noProof/>
        </w:rPr>
        <w:t xml:space="preserve">Cederwall, R. T. (1985). </w:t>
      </w:r>
      <w:r>
        <w:rPr>
          <w:i/>
          <w:iCs/>
          <w:noProof/>
        </w:rPr>
        <w:t>Desert Tortoise series data report: 1983 pressurized ammonia spills.</w:t>
      </w:r>
      <w:r>
        <w:rPr>
          <w:noProof/>
        </w:rPr>
        <w:t xml:space="preserve"> Livermore, CA, USA: Lawrence Livermore National Laboratories.</w:t>
      </w:r>
    </w:p>
    <w:p w14:paraId="41915A72" w14:textId="77777777" w:rsidR="00C3182D" w:rsidRDefault="00695606" w:rsidP="00C3182D">
      <w:pPr>
        <w:pStyle w:val="CETReferencetext"/>
        <w:rPr>
          <w:noProof/>
          <w:lang w:val="nb-NO"/>
        </w:rPr>
      </w:pPr>
      <w:r w:rsidRPr="00695606">
        <w:rPr>
          <w:noProof/>
          <w:lang w:val="sv-SE"/>
        </w:rPr>
        <w:t xml:space="preserve">Hanna, S. R., Hansen, O. R., &amp; Dharmavaram, S. (2004). </w:t>
      </w:r>
      <w:r>
        <w:rPr>
          <w:noProof/>
        </w:rPr>
        <w:t xml:space="preserve">FLACS CFD air quality model performance evaluation with Kit Fox, MUST, Prairie Grass, and EMU observations. </w:t>
      </w:r>
      <w:r w:rsidRPr="00A81E30">
        <w:rPr>
          <w:i/>
          <w:iCs/>
          <w:noProof/>
          <w:lang w:val="nb-NO"/>
        </w:rPr>
        <w:t>Atm</w:t>
      </w:r>
      <w:r w:rsidR="00A81E30" w:rsidRPr="00A81E30">
        <w:rPr>
          <w:i/>
          <w:iCs/>
          <w:noProof/>
          <w:lang w:val="nb-NO"/>
        </w:rPr>
        <w:t>.</w:t>
      </w:r>
      <w:r w:rsidRPr="00A81E30">
        <w:rPr>
          <w:i/>
          <w:iCs/>
          <w:noProof/>
          <w:lang w:val="nb-NO"/>
        </w:rPr>
        <w:t xml:space="preserve"> Env</w:t>
      </w:r>
      <w:r w:rsidR="00A81E30">
        <w:rPr>
          <w:i/>
          <w:iCs/>
          <w:noProof/>
          <w:lang w:val="nb-NO"/>
        </w:rPr>
        <w:t>.</w:t>
      </w:r>
      <w:r w:rsidRPr="00A81E30">
        <w:rPr>
          <w:i/>
          <w:iCs/>
          <w:noProof/>
          <w:lang w:val="nb-NO"/>
        </w:rPr>
        <w:t>, Vol. 38</w:t>
      </w:r>
      <w:r w:rsidRPr="00A81E30">
        <w:rPr>
          <w:noProof/>
          <w:lang w:val="nb-NO"/>
        </w:rPr>
        <w:t>, pp. 4675-4687.</w:t>
      </w:r>
    </w:p>
    <w:p w14:paraId="71B63448" w14:textId="77777777" w:rsidR="00C3182D" w:rsidRDefault="0093628C" w:rsidP="00C3182D">
      <w:pPr>
        <w:pStyle w:val="CETReferencetext"/>
        <w:rPr>
          <w:noProof/>
        </w:rPr>
      </w:pPr>
      <w:r w:rsidRPr="00695606">
        <w:rPr>
          <w:noProof/>
          <w:lang w:val="nb-NO"/>
        </w:rPr>
        <w:t xml:space="preserve">Hansen, O. R., Gavelli, F., Ichard, M., &amp; Davis, S. G. (2010). </w:t>
      </w:r>
      <w:r w:rsidRPr="0093628C">
        <w:rPr>
          <w:noProof/>
        </w:rPr>
        <w:t>Validation of FLACS against experimental data sets from the model evaluation database for LNG vapor dispersion. Journal of Loss Prevention in the Process Industries, Vol. 23, No. 6, pp. 857-877.</w:t>
      </w:r>
    </w:p>
    <w:p w14:paraId="7102006B" w14:textId="77777777" w:rsidR="00C3182D" w:rsidRDefault="007F57DC" w:rsidP="00C3182D">
      <w:pPr>
        <w:pStyle w:val="CETReferencetext"/>
        <w:rPr>
          <w:noProof/>
        </w:rPr>
      </w:pPr>
      <w:r>
        <w:rPr>
          <w:noProof/>
        </w:rPr>
        <w:t xml:space="preserve">HSE. (2017). </w:t>
      </w:r>
      <w:r>
        <w:rPr>
          <w:i/>
          <w:iCs/>
          <w:noProof/>
        </w:rPr>
        <w:t>Failure Rate and Event Data for use within Risk Assessments (06/11/17), PCAG chp_6K Version 14.</w:t>
      </w:r>
      <w:r>
        <w:rPr>
          <w:noProof/>
        </w:rPr>
        <w:t xml:space="preserve"> Health and Safety Executive. Bootle, EN, UK: HMSO.</w:t>
      </w:r>
    </w:p>
    <w:p w14:paraId="3DDF9C35" w14:textId="0CE2B9E3" w:rsidR="002E7A29" w:rsidRDefault="002E7A29" w:rsidP="00C3182D">
      <w:pPr>
        <w:pStyle w:val="CETReferencetext"/>
      </w:pPr>
      <w:r>
        <w:rPr>
          <w:noProof/>
        </w:rPr>
        <w:t xml:space="preserve">Jones, R., Lehr, W., Simecek-Beatty, D., &amp; Reynolds, R. M. (2013). </w:t>
      </w:r>
      <w:r>
        <w:rPr>
          <w:i/>
          <w:iCs/>
          <w:noProof/>
        </w:rPr>
        <w:t>ALOHA (Areal Locations of Hazardous Atmospheres) 5.4.4 Technical Documentation.</w:t>
      </w:r>
      <w:r>
        <w:rPr>
          <w:noProof/>
        </w:rPr>
        <w:t xml:space="preserve"> U.S. Department of Commerce. Seattle, WA, USA: National Oceanic and Atmospheric Administration.</w:t>
      </w:r>
    </w:p>
    <w:p w14:paraId="3BFB117B" w14:textId="290EEE88" w:rsidR="00956FB8" w:rsidRDefault="001A0611" w:rsidP="00956FB8">
      <w:pPr>
        <w:pStyle w:val="CETReferencetext"/>
      </w:pPr>
      <w:r w:rsidRPr="001A0611">
        <w:t xml:space="preserve">Ruijten, I. M. (2017). </w:t>
      </w:r>
      <w:r w:rsidRPr="00241225">
        <w:rPr>
          <w:lang w:val="fr-FR"/>
        </w:rPr>
        <w:t xml:space="preserve">Probit function technical support document. </w:t>
      </w:r>
      <w:r w:rsidRPr="001A0611">
        <w:t>Netherlands’ National Institute of Public Health and the Environment (RIVM). Bilthoven, Netherlands: RIVM.</w:t>
      </w:r>
    </w:p>
    <w:sectPr w:rsidR="00956FB8"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038F5" w14:textId="77777777" w:rsidR="00B65B0F" w:rsidRDefault="00B65B0F" w:rsidP="004F5E36">
      <w:r>
        <w:separator/>
      </w:r>
    </w:p>
  </w:endnote>
  <w:endnote w:type="continuationSeparator" w:id="0">
    <w:p w14:paraId="7951E0CD" w14:textId="77777777" w:rsidR="00B65B0F" w:rsidRDefault="00B65B0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87C59" w14:textId="77777777" w:rsidR="00B65B0F" w:rsidRDefault="00B65B0F" w:rsidP="004F5E36">
      <w:r>
        <w:separator/>
      </w:r>
    </w:p>
  </w:footnote>
  <w:footnote w:type="continuationSeparator" w:id="0">
    <w:p w14:paraId="41A25292" w14:textId="77777777" w:rsidR="00B65B0F" w:rsidRDefault="00B65B0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765E6CB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lang w:val="en-GB"/>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868"/>
    <w:rsid w:val="00000F35"/>
    <w:rsid w:val="000027C0"/>
    <w:rsid w:val="00002C2C"/>
    <w:rsid w:val="000052FB"/>
    <w:rsid w:val="00005A19"/>
    <w:rsid w:val="00006133"/>
    <w:rsid w:val="00006709"/>
    <w:rsid w:val="00006C89"/>
    <w:rsid w:val="000107B5"/>
    <w:rsid w:val="000117CB"/>
    <w:rsid w:val="00015115"/>
    <w:rsid w:val="00020682"/>
    <w:rsid w:val="0002092C"/>
    <w:rsid w:val="00020F45"/>
    <w:rsid w:val="00023EB6"/>
    <w:rsid w:val="00024E1B"/>
    <w:rsid w:val="0003148D"/>
    <w:rsid w:val="00031EEC"/>
    <w:rsid w:val="00032E55"/>
    <w:rsid w:val="000355E2"/>
    <w:rsid w:val="00041403"/>
    <w:rsid w:val="00041952"/>
    <w:rsid w:val="00042017"/>
    <w:rsid w:val="00042C13"/>
    <w:rsid w:val="00047DEB"/>
    <w:rsid w:val="00047F49"/>
    <w:rsid w:val="00051318"/>
    <w:rsid w:val="00051566"/>
    <w:rsid w:val="000562A9"/>
    <w:rsid w:val="0005646C"/>
    <w:rsid w:val="00062694"/>
    <w:rsid w:val="00062A9A"/>
    <w:rsid w:val="00065058"/>
    <w:rsid w:val="00074F19"/>
    <w:rsid w:val="00075707"/>
    <w:rsid w:val="0007611F"/>
    <w:rsid w:val="00086C39"/>
    <w:rsid w:val="000953FE"/>
    <w:rsid w:val="000A03B2"/>
    <w:rsid w:val="000A170C"/>
    <w:rsid w:val="000A6F02"/>
    <w:rsid w:val="000B007C"/>
    <w:rsid w:val="000B16A8"/>
    <w:rsid w:val="000B6250"/>
    <w:rsid w:val="000B7665"/>
    <w:rsid w:val="000C5C67"/>
    <w:rsid w:val="000C6491"/>
    <w:rsid w:val="000C6905"/>
    <w:rsid w:val="000D009F"/>
    <w:rsid w:val="000D0268"/>
    <w:rsid w:val="000D34BE"/>
    <w:rsid w:val="000E0A5A"/>
    <w:rsid w:val="000E0B3C"/>
    <w:rsid w:val="000E0F98"/>
    <w:rsid w:val="000E102F"/>
    <w:rsid w:val="000E214B"/>
    <w:rsid w:val="000E36F1"/>
    <w:rsid w:val="000E3A73"/>
    <w:rsid w:val="000E40E4"/>
    <w:rsid w:val="000E414A"/>
    <w:rsid w:val="000E5B6D"/>
    <w:rsid w:val="000E75FD"/>
    <w:rsid w:val="000E7636"/>
    <w:rsid w:val="000F093C"/>
    <w:rsid w:val="000F3503"/>
    <w:rsid w:val="000F4B49"/>
    <w:rsid w:val="000F6D4B"/>
    <w:rsid w:val="000F72F9"/>
    <w:rsid w:val="000F787B"/>
    <w:rsid w:val="00104C93"/>
    <w:rsid w:val="00105355"/>
    <w:rsid w:val="00107B90"/>
    <w:rsid w:val="00110580"/>
    <w:rsid w:val="001131E2"/>
    <w:rsid w:val="001147A8"/>
    <w:rsid w:val="00117DA7"/>
    <w:rsid w:val="00117DF0"/>
    <w:rsid w:val="0012091F"/>
    <w:rsid w:val="00124569"/>
    <w:rsid w:val="001246F6"/>
    <w:rsid w:val="00126126"/>
    <w:rsid w:val="00126BC2"/>
    <w:rsid w:val="00130159"/>
    <w:rsid w:val="001308B6"/>
    <w:rsid w:val="0013121F"/>
    <w:rsid w:val="00131FE6"/>
    <w:rsid w:val="0013263F"/>
    <w:rsid w:val="001331DF"/>
    <w:rsid w:val="0013398C"/>
    <w:rsid w:val="00134209"/>
    <w:rsid w:val="00134DE4"/>
    <w:rsid w:val="0014034D"/>
    <w:rsid w:val="0014066C"/>
    <w:rsid w:val="00140FE3"/>
    <w:rsid w:val="001410B3"/>
    <w:rsid w:val="00142337"/>
    <w:rsid w:val="00143E81"/>
    <w:rsid w:val="001440C3"/>
    <w:rsid w:val="00144D16"/>
    <w:rsid w:val="0014677E"/>
    <w:rsid w:val="00150E59"/>
    <w:rsid w:val="00151450"/>
    <w:rsid w:val="00151C0D"/>
    <w:rsid w:val="001524A3"/>
    <w:rsid w:val="00152B82"/>
    <w:rsid w:val="00152DE3"/>
    <w:rsid w:val="00160540"/>
    <w:rsid w:val="001608AA"/>
    <w:rsid w:val="00160C57"/>
    <w:rsid w:val="00161929"/>
    <w:rsid w:val="00162749"/>
    <w:rsid w:val="00163A01"/>
    <w:rsid w:val="001648AE"/>
    <w:rsid w:val="00164CF9"/>
    <w:rsid w:val="00165CA8"/>
    <w:rsid w:val="001667A6"/>
    <w:rsid w:val="001754DF"/>
    <w:rsid w:val="00175A4F"/>
    <w:rsid w:val="0017617A"/>
    <w:rsid w:val="0018171E"/>
    <w:rsid w:val="00183BE5"/>
    <w:rsid w:val="00183EA9"/>
    <w:rsid w:val="0018435F"/>
    <w:rsid w:val="00184AD6"/>
    <w:rsid w:val="001942C9"/>
    <w:rsid w:val="00195255"/>
    <w:rsid w:val="001979EF"/>
    <w:rsid w:val="001A0611"/>
    <w:rsid w:val="001A4AF7"/>
    <w:rsid w:val="001A5F9E"/>
    <w:rsid w:val="001A7E4C"/>
    <w:rsid w:val="001B0279"/>
    <w:rsid w:val="001B0349"/>
    <w:rsid w:val="001B1E93"/>
    <w:rsid w:val="001B31BF"/>
    <w:rsid w:val="001B65C1"/>
    <w:rsid w:val="001B6B83"/>
    <w:rsid w:val="001C260F"/>
    <w:rsid w:val="001C3238"/>
    <w:rsid w:val="001C5C3A"/>
    <w:rsid w:val="001C684B"/>
    <w:rsid w:val="001D0CFB"/>
    <w:rsid w:val="001D21AF"/>
    <w:rsid w:val="001D2C13"/>
    <w:rsid w:val="001D363A"/>
    <w:rsid w:val="001D53FC"/>
    <w:rsid w:val="001D5B80"/>
    <w:rsid w:val="001D5F01"/>
    <w:rsid w:val="001E01DE"/>
    <w:rsid w:val="001E0A5A"/>
    <w:rsid w:val="001E485E"/>
    <w:rsid w:val="001E644C"/>
    <w:rsid w:val="001E7117"/>
    <w:rsid w:val="001F0A6D"/>
    <w:rsid w:val="001F1191"/>
    <w:rsid w:val="001F42A5"/>
    <w:rsid w:val="001F4E51"/>
    <w:rsid w:val="001F6B91"/>
    <w:rsid w:val="001F7B9D"/>
    <w:rsid w:val="00200065"/>
    <w:rsid w:val="0020131B"/>
    <w:rsid w:val="0020160E"/>
    <w:rsid w:val="00201C93"/>
    <w:rsid w:val="002042EA"/>
    <w:rsid w:val="00211BB3"/>
    <w:rsid w:val="00213362"/>
    <w:rsid w:val="00217898"/>
    <w:rsid w:val="002224B4"/>
    <w:rsid w:val="00224BF1"/>
    <w:rsid w:val="00227AA4"/>
    <w:rsid w:val="00227D2A"/>
    <w:rsid w:val="002325C5"/>
    <w:rsid w:val="00237906"/>
    <w:rsid w:val="00240E2C"/>
    <w:rsid w:val="00241225"/>
    <w:rsid w:val="00243BFF"/>
    <w:rsid w:val="00244007"/>
    <w:rsid w:val="00244299"/>
    <w:rsid w:val="002447EF"/>
    <w:rsid w:val="00244F27"/>
    <w:rsid w:val="00251550"/>
    <w:rsid w:val="00252965"/>
    <w:rsid w:val="00255C49"/>
    <w:rsid w:val="00256041"/>
    <w:rsid w:val="0025626A"/>
    <w:rsid w:val="0026153E"/>
    <w:rsid w:val="002624B8"/>
    <w:rsid w:val="00263B05"/>
    <w:rsid w:val="00264B1D"/>
    <w:rsid w:val="0027221A"/>
    <w:rsid w:val="00275B61"/>
    <w:rsid w:val="00277C12"/>
    <w:rsid w:val="00280FAF"/>
    <w:rsid w:val="00281D64"/>
    <w:rsid w:val="00282656"/>
    <w:rsid w:val="0028783D"/>
    <w:rsid w:val="00292FC2"/>
    <w:rsid w:val="00295ED8"/>
    <w:rsid w:val="00296B83"/>
    <w:rsid w:val="002A0A23"/>
    <w:rsid w:val="002A2116"/>
    <w:rsid w:val="002A2D84"/>
    <w:rsid w:val="002A4DFC"/>
    <w:rsid w:val="002A66BB"/>
    <w:rsid w:val="002A724F"/>
    <w:rsid w:val="002B0F2C"/>
    <w:rsid w:val="002B4015"/>
    <w:rsid w:val="002B4F16"/>
    <w:rsid w:val="002B4F82"/>
    <w:rsid w:val="002B5861"/>
    <w:rsid w:val="002B78CE"/>
    <w:rsid w:val="002C0412"/>
    <w:rsid w:val="002C106E"/>
    <w:rsid w:val="002C2FB6"/>
    <w:rsid w:val="002C4E5C"/>
    <w:rsid w:val="002D58EB"/>
    <w:rsid w:val="002D7C81"/>
    <w:rsid w:val="002E09AF"/>
    <w:rsid w:val="002E201A"/>
    <w:rsid w:val="002E5FA7"/>
    <w:rsid w:val="002E6867"/>
    <w:rsid w:val="002E7A29"/>
    <w:rsid w:val="002F3309"/>
    <w:rsid w:val="002F45A4"/>
    <w:rsid w:val="002F53BB"/>
    <w:rsid w:val="002F7ED2"/>
    <w:rsid w:val="003008CE"/>
    <w:rsid w:val="003009B7"/>
    <w:rsid w:val="00300E56"/>
    <w:rsid w:val="00301061"/>
    <w:rsid w:val="0030152C"/>
    <w:rsid w:val="0030469C"/>
    <w:rsid w:val="00314371"/>
    <w:rsid w:val="003144CB"/>
    <w:rsid w:val="00321CA6"/>
    <w:rsid w:val="0032291C"/>
    <w:rsid w:val="00322BE1"/>
    <w:rsid w:val="00323763"/>
    <w:rsid w:val="00323C5F"/>
    <w:rsid w:val="003255E7"/>
    <w:rsid w:val="003347EC"/>
    <w:rsid w:val="00334C09"/>
    <w:rsid w:val="0033749B"/>
    <w:rsid w:val="00341308"/>
    <w:rsid w:val="00342C74"/>
    <w:rsid w:val="00344C9B"/>
    <w:rsid w:val="003475A0"/>
    <w:rsid w:val="00350403"/>
    <w:rsid w:val="003515F7"/>
    <w:rsid w:val="00353861"/>
    <w:rsid w:val="00353A36"/>
    <w:rsid w:val="0035619C"/>
    <w:rsid w:val="003577EF"/>
    <w:rsid w:val="00361E3E"/>
    <w:rsid w:val="00365967"/>
    <w:rsid w:val="00367380"/>
    <w:rsid w:val="00367D11"/>
    <w:rsid w:val="003710BE"/>
    <w:rsid w:val="003723D4"/>
    <w:rsid w:val="003744E2"/>
    <w:rsid w:val="00381905"/>
    <w:rsid w:val="003834F6"/>
    <w:rsid w:val="003840C0"/>
    <w:rsid w:val="00384564"/>
    <w:rsid w:val="00384CC8"/>
    <w:rsid w:val="00385800"/>
    <w:rsid w:val="0038620C"/>
    <w:rsid w:val="003871FD"/>
    <w:rsid w:val="00391E0B"/>
    <w:rsid w:val="00393A3D"/>
    <w:rsid w:val="00394063"/>
    <w:rsid w:val="0039406E"/>
    <w:rsid w:val="00397036"/>
    <w:rsid w:val="003A1E30"/>
    <w:rsid w:val="003A2829"/>
    <w:rsid w:val="003A6A11"/>
    <w:rsid w:val="003A7D1C"/>
    <w:rsid w:val="003B2607"/>
    <w:rsid w:val="003B2C2D"/>
    <w:rsid w:val="003B304B"/>
    <w:rsid w:val="003B3146"/>
    <w:rsid w:val="003B33C1"/>
    <w:rsid w:val="003B3FC1"/>
    <w:rsid w:val="003B4490"/>
    <w:rsid w:val="003B49CD"/>
    <w:rsid w:val="003B5FE0"/>
    <w:rsid w:val="003B6023"/>
    <w:rsid w:val="003B6868"/>
    <w:rsid w:val="003B6CFC"/>
    <w:rsid w:val="003B76AD"/>
    <w:rsid w:val="003C148E"/>
    <w:rsid w:val="003C2A7F"/>
    <w:rsid w:val="003C3916"/>
    <w:rsid w:val="003C3C02"/>
    <w:rsid w:val="003C417E"/>
    <w:rsid w:val="003C5E8A"/>
    <w:rsid w:val="003C6590"/>
    <w:rsid w:val="003C671F"/>
    <w:rsid w:val="003D1E02"/>
    <w:rsid w:val="003D3D98"/>
    <w:rsid w:val="003D3DD4"/>
    <w:rsid w:val="003D4B73"/>
    <w:rsid w:val="003D5A02"/>
    <w:rsid w:val="003D66BB"/>
    <w:rsid w:val="003D79C9"/>
    <w:rsid w:val="003E0634"/>
    <w:rsid w:val="003E3B39"/>
    <w:rsid w:val="003E62B8"/>
    <w:rsid w:val="003E70D2"/>
    <w:rsid w:val="003E710E"/>
    <w:rsid w:val="003E7281"/>
    <w:rsid w:val="003E78E5"/>
    <w:rsid w:val="003F015E"/>
    <w:rsid w:val="003F0F3A"/>
    <w:rsid w:val="003F21A2"/>
    <w:rsid w:val="003F2FDE"/>
    <w:rsid w:val="003F338A"/>
    <w:rsid w:val="003F4B80"/>
    <w:rsid w:val="003F562D"/>
    <w:rsid w:val="00400414"/>
    <w:rsid w:val="004017D5"/>
    <w:rsid w:val="00401F59"/>
    <w:rsid w:val="00404D3A"/>
    <w:rsid w:val="0040576C"/>
    <w:rsid w:val="00405F02"/>
    <w:rsid w:val="00407504"/>
    <w:rsid w:val="00413372"/>
    <w:rsid w:val="0041446B"/>
    <w:rsid w:val="00414DF2"/>
    <w:rsid w:val="00416360"/>
    <w:rsid w:val="00421124"/>
    <w:rsid w:val="004219C8"/>
    <w:rsid w:val="00423F95"/>
    <w:rsid w:val="004263B0"/>
    <w:rsid w:val="004330B0"/>
    <w:rsid w:val="00434FCE"/>
    <w:rsid w:val="0043576D"/>
    <w:rsid w:val="0044071E"/>
    <w:rsid w:val="00442CB8"/>
    <w:rsid w:val="0044329C"/>
    <w:rsid w:val="004441FA"/>
    <w:rsid w:val="004451FA"/>
    <w:rsid w:val="00445991"/>
    <w:rsid w:val="0044683B"/>
    <w:rsid w:val="00450D4B"/>
    <w:rsid w:val="0045107A"/>
    <w:rsid w:val="00451885"/>
    <w:rsid w:val="00453B9A"/>
    <w:rsid w:val="00453E24"/>
    <w:rsid w:val="00457456"/>
    <w:rsid w:val="004577FE"/>
    <w:rsid w:val="00457B9C"/>
    <w:rsid w:val="00457CF3"/>
    <w:rsid w:val="004600C1"/>
    <w:rsid w:val="0046164A"/>
    <w:rsid w:val="004628D2"/>
    <w:rsid w:val="00462DCD"/>
    <w:rsid w:val="00464487"/>
    <w:rsid w:val="004648AD"/>
    <w:rsid w:val="00466159"/>
    <w:rsid w:val="00467824"/>
    <w:rsid w:val="004703A9"/>
    <w:rsid w:val="004749D9"/>
    <w:rsid w:val="004760DE"/>
    <w:rsid w:val="00476324"/>
    <w:rsid w:val="004763D7"/>
    <w:rsid w:val="00476A24"/>
    <w:rsid w:val="00480FB2"/>
    <w:rsid w:val="004828BA"/>
    <w:rsid w:val="004857E8"/>
    <w:rsid w:val="00490351"/>
    <w:rsid w:val="00490F2E"/>
    <w:rsid w:val="00491081"/>
    <w:rsid w:val="00491CD3"/>
    <w:rsid w:val="00492116"/>
    <w:rsid w:val="00493FA0"/>
    <w:rsid w:val="004948C9"/>
    <w:rsid w:val="004951FB"/>
    <w:rsid w:val="00496830"/>
    <w:rsid w:val="00497F80"/>
    <w:rsid w:val="004A004E"/>
    <w:rsid w:val="004A0422"/>
    <w:rsid w:val="004A0E3A"/>
    <w:rsid w:val="004A24CF"/>
    <w:rsid w:val="004A3372"/>
    <w:rsid w:val="004B1CD0"/>
    <w:rsid w:val="004B403D"/>
    <w:rsid w:val="004B5C38"/>
    <w:rsid w:val="004B6F58"/>
    <w:rsid w:val="004C3D1D"/>
    <w:rsid w:val="004C3D84"/>
    <w:rsid w:val="004C4696"/>
    <w:rsid w:val="004C57E3"/>
    <w:rsid w:val="004C7913"/>
    <w:rsid w:val="004D4104"/>
    <w:rsid w:val="004D5154"/>
    <w:rsid w:val="004D5622"/>
    <w:rsid w:val="004E2B7A"/>
    <w:rsid w:val="004E3E13"/>
    <w:rsid w:val="004E4DD6"/>
    <w:rsid w:val="004E519F"/>
    <w:rsid w:val="004F5E36"/>
    <w:rsid w:val="00501DF1"/>
    <w:rsid w:val="00503B64"/>
    <w:rsid w:val="005043EB"/>
    <w:rsid w:val="00504AF0"/>
    <w:rsid w:val="00507B47"/>
    <w:rsid w:val="00507BEF"/>
    <w:rsid w:val="00507CC9"/>
    <w:rsid w:val="005119A5"/>
    <w:rsid w:val="00514A5F"/>
    <w:rsid w:val="00515A72"/>
    <w:rsid w:val="005168AA"/>
    <w:rsid w:val="005265F1"/>
    <w:rsid w:val="00526792"/>
    <w:rsid w:val="005278B7"/>
    <w:rsid w:val="00532016"/>
    <w:rsid w:val="005346C8"/>
    <w:rsid w:val="005356A7"/>
    <w:rsid w:val="00540D06"/>
    <w:rsid w:val="00541609"/>
    <w:rsid w:val="005424FC"/>
    <w:rsid w:val="00543260"/>
    <w:rsid w:val="00543E7D"/>
    <w:rsid w:val="00544743"/>
    <w:rsid w:val="00547A68"/>
    <w:rsid w:val="005513D0"/>
    <w:rsid w:val="005531C9"/>
    <w:rsid w:val="00553EC4"/>
    <w:rsid w:val="00554879"/>
    <w:rsid w:val="005620F4"/>
    <w:rsid w:val="00566ED8"/>
    <w:rsid w:val="00567686"/>
    <w:rsid w:val="00570C43"/>
    <w:rsid w:val="005711E1"/>
    <w:rsid w:val="00574C0B"/>
    <w:rsid w:val="00575C2A"/>
    <w:rsid w:val="005816DD"/>
    <w:rsid w:val="005823A5"/>
    <w:rsid w:val="00592274"/>
    <w:rsid w:val="005923FC"/>
    <w:rsid w:val="00593000"/>
    <w:rsid w:val="005934B2"/>
    <w:rsid w:val="00593863"/>
    <w:rsid w:val="00596A61"/>
    <w:rsid w:val="005A1F1C"/>
    <w:rsid w:val="005A4CB9"/>
    <w:rsid w:val="005A5532"/>
    <w:rsid w:val="005A6E36"/>
    <w:rsid w:val="005B0768"/>
    <w:rsid w:val="005B2110"/>
    <w:rsid w:val="005B2292"/>
    <w:rsid w:val="005B22DF"/>
    <w:rsid w:val="005B350B"/>
    <w:rsid w:val="005B61E6"/>
    <w:rsid w:val="005B639B"/>
    <w:rsid w:val="005B65AF"/>
    <w:rsid w:val="005C12AD"/>
    <w:rsid w:val="005C5B35"/>
    <w:rsid w:val="005C730A"/>
    <w:rsid w:val="005C74DA"/>
    <w:rsid w:val="005C77E1"/>
    <w:rsid w:val="005D2D50"/>
    <w:rsid w:val="005D3A7A"/>
    <w:rsid w:val="005D668A"/>
    <w:rsid w:val="005D6A2F"/>
    <w:rsid w:val="005E0592"/>
    <w:rsid w:val="005E1A82"/>
    <w:rsid w:val="005E31A9"/>
    <w:rsid w:val="005E528A"/>
    <w:rsid w:val="005E794C"/>
    <w:rsid w:val="005F0A28"/>
    <w:rsid w:val="005F0E5E"/>
    <w:rsid w:val="005F1AA9"/>
    <w:rsid w:val="005F2E98"/>
    <w:rsid w:val="005F5BF5"/>
    <w:rsid w:val="005F6551"/>
    <w:rsid w:val="00600496"/>
    <w:rsid w:val="00600535"/>
    <w:rsid w:val="0060109B"/>
    <w:rsid w:val="006050B6"/>
    <w:rsid w:val="00610CD6"/>
    <w:rsid w:val="00611876"/>
    <w:rsid w:val="00613FB0"/>
    <w:rsid w:val="00615451"/>
    <w:rsid w:val="00620DEE"/>
    <w:rsid w:val="00621F92"/>
    <w:rsid w:val="0062280A"/>
    <w:rsid w:val="006231E1"/>
    <w:rsid w:val="00624234"/>
    <w:rsid w:val="00625639"/>
    <w:rsid w:val="006268BC"/>
    <w:rsid w:val="00627AC3"/>
    <w:rsid w:val="00631B33"/>
    <w:rsid w:val="006325DE"/>
    <w:rsid w:val="00632A11"/>
    <w:rsid w:val="00633C55"/>
    <w:rsid w:val="00641074"/>
    <w:rsid w:val="0064184D"/>
    <w:rsid w:val="006422CC"/>
    <w:rsid w:val="0064269A"/>
    <w:rsid w:val="0064590E"/>
    <w:rsid w:val="00651209"/>
    <w:rsid w:val="00651D18"/>
    <w:rsid w:val="00654B7B"/>
    <w:rsid w:val="00654E48"/>
    <w:rsid w:val="0065719A"/>
    <w:rsid w:val="00660E3E"/>
    <w:rsid w:val="0066133E"/>
    <w:rsid w:val="006626FE"/>
    <w:rsid w:val="00662891"/>
    <w:rsid w:val="00662E74"/>
    <w:rsid w:val="00663365"/>
    <w:rsid w:val="00670E1D"/>
    <w:rsid w:val="00671A8F"/>
    <w:rsid w:val="00671D16"/>
    <w:rsid w:val="0067244D"/>
    <w:rsid w:val="006750B7"/>
    <w:rsid w:val="00676314"/>
    <w:rsid w:val="00676E7B"/>
    <w:rsid w:val="00680C23"/>
    <w:rsid w:val="00680DF4"/>
    <w:rsid w:val="0068142A"/>
    <w:rsid w:val="00681563"/>
    <w:rsid w:val="00683E23"/>
    <w:rsid w:val="00686EAF"/>
    <w:rsid w:val="00693766"/>
    <w:rsid w:val="00695606"/>
    <w:rsid w:val="0069568F"/>
    <w:rsid w:val="00695734"/>
    <w:rsid w:val="00695B46"/>
    <w:rsid w:val="00697830"/>
    <w:rsid w:val="006A1236"/>
    <w:rsid w:val="006A1685"/>
    <w:rsid w:val="006A24CD"/>
    <w:rsid w:val="006A3281"/>
    <w:rsid w:val="006A6139"/>
    <w:rsid w:val="006A6DE5"/>
    <w:rsid w:val="006B4888"/>
    <w:rsid w:val="006B4D36"/>
    <w:rsid w:val="006C2E45"/>
    <w:rsid w:val="006C359C"/>
    <w:rsid w:val="006C5579"/>
    <w:rsid w:val="006C5C05"/>
    <w:rsid w:val="006C6339"/>
    <w:rsid w:val="006D13D1"/>
    <w:rsid w:val="006D1832"/>
    <w:rsid w:val="006D1CDB"/>
    <w:rsid w:val="006D20F2"/>
    <w:rsid w:val="006D4368"/>
    <w:rsid w:val="006D6609"/>
    <w:rsid w:val="006D6CFD"/>
    <w:rsid w:val="006D6E8B"/>
    <w:rsid w:val="006D7209"/>
    <w:rsid w:val="006E127E"/>
    <w:rsid w:val="006E1526"/>
    <w:rsid w:val="006E2F37"/>
    <w:rsid w:val="006E3D35"/>
    <w:rsid w:val="006E50AF"/>
    <w:rsid w:val="006E5C40"/>
    <w:rsid w:val="006E737D"/>
    <w:rsid w:val="006F22CE"/>
    <w:rsid w:val="006F64A2"/>
    <w:rsid w:val="0070744A"/>
    <w:rsid w:val="00707DD1"/>
    <w:rsid w:val="00711B50"/>
    <w:rsid w:val="00712243"/>
    <w:rsid w:val="00712D7F"/>
    <w:rsid w:val="00713973"/>
    <w:rsid w:val="00713D16"/>
    <w:rsid w:val="007168D1"/>
    <w:rsid w:val="007204C7"/>
    <w:rsid w:val="00720A24"/>
    <w:rsid w:val="00723F1C"/>
    <w:rsid w:val="007242AA"/>
    <w:rsid w:val="00725F8C"/>
    <w:rsid w:val="00726BBF"/>
    <w:rsid w:val="00731196"/>
    <w:rsid w:val="007319AC"/>
    <w:rsid w:val="00732386"/>
    <w:rsid w:val="007337DB"/>
    <w:rsid w:val="00734A9A"/>
    <w:rsid w:val="0073514D"/>
    <w:rsid w:val="00735725"/>
    <w:rsid w:val="00742CF1"/>
    <w:rsid w:val="007447F3"/>
    <w:rsid w:val="0074481D"/>
    <w:rsid w:val="00746D25"/>
    <w:rsid w:val="007530DD"/>
    <w:rsid w:val="0075499F"/>
    <w:rsid w:val="00764CD8"/>
    <w:rsid w:val="007661C8"/>
    <w:rsid w:val="0077098D"/>
    <w:rsid w:val="007738E3"/>
    <w:rsid w:val="00773F84"/>
    <w:rsid w:val="00774484"/>
    <w:rsid w:val="0077748B"/>
    <w:rsid w:val="00780378"/>
    <w:rsid w:val="00780932"/>
    <w:rsid w:val="007825DA"/>
    <w:rsid w:val="00782917"/>
    <w:rsid w:val="007842EE"/>
    <w:rsid w:val="00785BF9"/>
    <w:rsid w:val="007877D6"/>
    <w:rsid w:val="00792EBE"/>
    <w:rsid w:val="007931FA"/>
    <w:rsid w:val="007936C4"/>
    <w:rsid w:val="007960A8"/>
    <w:rsid w:val="00796793"/>
    <w:rsid w:val="0079797A"/>
    <w:rsid w:val="007A2818"/>
    <w:rsid w:val="007A3F19"/>
    <w:rsid w:val="007A41F5"/>
    <w:rsid w:val="007A4861"/>
    <w:rsid w:val="007A5885"/>
    <w:rsid w:val="007A7BBA"/>
    <w:rsid w:val="007B0515"/>
    <w:rsid w:val="007B0C50"/>
    <w:rsid w:val="007B1BC0"/>
    <w:rsid w:val="007B48F9"/>
    <w:rsid w:val="007B6DFD"/>
    <w:rsid w:val="007C1A43"/>
    <w:rsid w:val="007C449D"/>
    <w:rsid w:val="007D0951"/>
    <w:rsid w:val="007D2AF6"/>
    <w:rsid w:val="007D2BF7"/>
    <w:rsid w:val="007D4F34"/>
    <w:rsid w:val="007D610D"/>
    <w:rsid w:val="007E19EC"/>
    <w:rsid w:val="007F57DC"/>
    <w:rsid w:val="0080013E"/>
    <w:rsid w:val="008012E2"/>
    <w:rsid w:val="00801759"/>
    <w:rsid w:val="00801A9A"/>
    <w:rsid w:val="00803454"/>
    <w:rsid w:val="00805ED7"/>
    <w:rsid w:val="00805F5E"/>
    <w:rsid w:val="00810DFE"/>
    <w:rsid w:val="00813288"/>
    <w:rsid w:val="008168FC"/>
    <w:rsid w:val="00820170"/>
    <w:rsid w:val="00821406"/>
    <w:rsid w:val="008247BD"/>
    <w:rsid w:val="0082490E"/>
    <w:rsid w:val="00825A89"/>
    <w:rsid w:val="00830996"/>
    <w:rsid w:val="008345F1"/>
    <w:rsid w:val="008448D8"/>
    <w:rsid w:val="00845163"/>
    <w:rsid w:val="008475FC"/>
    <w:rsid w:val="00851327"/>
    <w:rsid w:val="00852C2B"/>
    <w:rsid w:val="00856857"/>
    <w:rsid w:val="008569D7"/>
    <w:rsid w:val="00861807"/>
    <w:rsid w:val="008619B8"/>
    <w:rsid w:val="00861CC6"/>
    <w:rsid w:val="00863F8C"/>
    <w:rsid w:val="00865803"/>
    <w:rsid w:val="00865B07"/>
    <w:rsid w:val="008667EA"/>
    <w:rsid w:val="00866A41"/>
    <w:rsid w:val="00867773"/>
    <w:rsid w:val="0087004E"/>
    <w:rsid w:val="00871832"/>
    <w:rsid w:val="008737A4"/>
    <w:rsid w:val="00875242"/>
    <w:rsid w:val="008759F0"/>
    <w:rsid w:val="0087637F"/>
    <w:rsid w:val="0088036D"/>
    <w:rsid w:val="00880652"/>
    <w:rsid w:val="00881A62"/>
    <w:rsid w:val="0088428C"/>
    <w:rsid w:val="008909AD"/>
    <w:rsid w:val="00892A18"/>
    <w:rsid w:val="00892AD5"/>
    <w:rsid w:val="008A0541"/>
    <w:rsid w:val="008A0AA9"/>
    <w:rsid w:val="008A1512"/>
    <w:rsid w:val="008A2F5F"/>
    <w:rsid w:val="008A3C82"/>
    <w:rsid w:val="008A6C52"/>
    <w:rsid w:val="008B2717"/>
    <w:rsid w:val="008B3032"/>
    <w:rsid w:val="008B41C3"/>
    <w:rsid w:val="008B69DC"/>
    <w:rsid w:val="008C089E"/>
    <w:rsid w:val="008C6B05"/>
    <w:rsid w:val="008D080E"/>
    <w:rsid w:val="008D1560"/>
    <w:rsid w:val="008D2028"/>
    <w:rsid w:val="008D2327"/>
    <w:rsid w:val="008D32B9"/>
    <w:rsid w:val="008D433B"/>
    <w:rsid w:val="008D4A16"/>
    <w:rsid w:val="008D7E04"/>
    <w:rsid w:val="008E213A"/>
    <w:rsid w:val="008E2AEC"/>
    <w:rsid w:val="008E5401"/>
    <w:rsid w:val="008E566E"/>
    <w:rsid w:val="008E5D23"/>
    <w:rsid w:val="008F16E2"/>
    <w:rsid w:val="008F30C9"/>
    <w:rsid w:val="008F386F"/>
    <w:rsid w:val="008F47E2"/>
    <w:rsid w:val="008F67D5"/>
    <w:rsid w:val="008F6D79"/>
    <w:rsid w:val="008F7DC0"/>
    <w:rsid w:val="00900F7E"/>
    <w:rsid w:val="0090161A"/>
    <w:rsid w:val="00901EB6"/>
    <w:rsid w:val="009041F8"/>
    <w:rsid w:val="00904C62"/>
    <w:rsid w:val="00907A02"/>
    <w:rsid w:val="0091083B"/>
    <w:rsid w:val="009125BD"/>
    <w:rsid w:val="00912836"/>
    <w:rsid w:val="0091294B"/>
    <w:rsid w:val="00920326"/>
    <w:rsid w:val="009218C3"/>
    <w:rsid w:val="00922BA8"/>
    <w:rsid w:val="00922ECD"/>
    <w:rsid w:val="00923323"/>
    <w:rsid w:val="00924DAC"/>
    <w:rsid w:val="00926691"/>
    <w:rsid w:val="00927058"/>
    <w:rsid w:val="00930A60"/>
    <w:rsid w:val="00931D8C"/>
    <w:rsid w:val="009327DD"/>
    <w:rsid w:val="0093280F"/>
    <w:rsid w:val="0093628C"/>
    <w:rsid w:val="00936893"/>
    <w:rsid w:val="00940A4A"/>
    <w:rsid w:val="00942750"/>
    <w:rsid w:val="00942CA7"/>
    <w:rsid w:val="009450CE"/>
    <w:rsid w:val="009459BB"/>
    <w:rsid w:val="00946384"/>
    <w:rsid w:val="00946614"/>
    <w:rsid w:val="00947179"/>
    <w:rsid w:val="0095164B"/>
    <w:rsid w:val="00953F92"/>
    <w:rsid w:val="00954090"/>
    <w:rsid w:val="00956977"/>
    <w:rsid w:val="00956FB8"/>
    <w:rsid w:val="009573E7"/>
    <w:rsid w:val="00962237"/>
    <w:rsid w:val="0096303F"/>
    <w:rsid w:val="00963E05"/>
    <w:rsid w:val="00964A45"/>
    <w:rsid w:val="00965BE3"/>
    <w:rsid w:val="00965EC9"/>
    <w:rsid w:val="009674B7"/>
    <w:rsid w:val="00967843"/>
    <w:rsid w:val="00967AF1"/>
    <w:rsid w:val="00967D54"/>
    <w:rsid w:val="00971028"/>
    <w:rsid w:val="009730A4"/>
    <w:rsid w:val="00975287"/>
    <w:rsid w:val="0098460D"/>
    <w:rsid w:val="00984B7A"/>
    <w:rsid w:val="00985385"/>
    <w:rsid w:val="009903AA"/>
    <w:rsid w:val="0099053C"/>
    <w:rsid w:val="00990BBA"/>
    <w:rsid w:val="00993B84"/>
    <w:rsid w:val="00994A4C"/>
    <w:rsid w:val="00994C6A"/>
    <w:rsid w:val="0099511B"/>
    <w:rsid w:val="00996483"/>
    <w:rsid w:val="00996F5A"/>
    <w:rsid w:val="009979A8"/>
    <w:rsid w:val="009A0B42"/>
    <w:rsid w:val="009A1ADC"/>
    <w:rsid w:val="009A2FD2"/>
    <w:rsid w:val="009A30A6"/>
    <w:rsid w:val="009A38BC"/>
    <w:rsid w:val="009A73CC"/>
    <w:rsid w:val="009B041A"/>
    <w:rsid w:val="009B3CE2"/>
    <w:rsid w:val="009B480D"/>
    <w:rsid w:val="009B5ED0"/>
    <w:rsid w:val="009B6337"/>
    <w:rsid w:val="009C37C3"/>
    <w:rsid w:val="009C7C86"/>
    <w:rsid w:val="009D1611"/>
    <w:rsid w:val="009D2FF7"/>
    <w:rsid w:val="009D53A3"/>
    <w:rsid w:val="009D5B43"/>
    <w:rsid w:val="009D6176"/>
    <w:rsid w:val="009D7F51"/>
    <w:rsid w:val="009E0396"/>
    <w:rsid w:val="009E07F0"/>
    <w:rsid w:val="009E193A"/>
    <w:rsid w:val="009E1BA6"/>
    <w:rsid w:val="009E3199"/>
    <w:rsid w:val="009E546F"/>
    <w:rsid w:val="009E7884"/>
    <w:rsid w:val="009E788A"/>
    <w:rsid w:val="009F0158"/>
    <w:rsid w:val="009F0216"/>
    <w:rsid w:val="009F0E08"/>
    <w:rsid w:val="00A0015F"/>
    <w:rsid w:val="00A012E0"/>
    <w:rsid w:val="00A01F2F"/>
    <w:rsid w:val="00A02DBE"/>
    <w:rsid w:val="00A079AE"/>
    <w:rsid w:val="00A103A2"/>
    <w:rsid w:val="00A15FB2"/>
    <w:rsid w:val="00A1763D"/>
    <w:rsid w:val="00A17CEC"/>
    <w:rsid w:val="00A254E3"/>
    <w:rsid w:val="00A25D3A"/>
    <w:rsid w:val="00A26AED"/>
    <w:rsid w:val="00A27612"/>
    <w:rsid w:val="00A27EF0"/>
    <w:rsid w:val="00A31A60"/>
    <w:rsid w:val="00A33B50"/>
    <w:rsid w:val="00A42361"/>
    <w:rsid w:val="00A43346"/>
    <w:rsid w:val="00A45BA9"/>
    <w:rsid w:val="00A50B20"/>
    <w:rsid w:val="00A51390"/>
    <w:rsid w:val="00A541C8"/>
    <w:rsid w:val="00A60D13"/>
    <w:rsid w:val="00A61BA5"/>
    <w:rsid w:val="00A679A3"/>
    <w:rsid w:val="00A7223D"/>
    <w:rsid w:val="00A72745"/>
    <w:rsid w:val="00A7281B"/>
    <w:rsid w:val="00A72E27"/>
    <w:rsid w:val="00A73885"/>
    <w:rsid w:val="00A758C0"/>
    <w:rsid w:val="00A76EFC"/>
    <w:rsid w:val="00A819B1"/>
    <w:rsid w:val="00A81E30"/>
    <w:rsid w:val="00A82582"/>
    <w:rsid w:val="00A87D50"/>
    <w:rsid w:val="00A90C65"/>
    <w:rsid w:val="00A91010"/>
    <w:rsid w:val="00A91F78"/>
    <w:rsid w:val="00A92835"/>
    <w:rsid w:val="00A92E66"/>
    <w:rsid w:val="00A932E2"/>
    <w:rsid w:val="00A94871"/>
    <w:rsid w:val="00A94BAA"/>
    <w:rsid w:val="00A96FF3"/>
    <w:rsid w:val="00A97A35"/>
    <w:rsid w:val="00A97F29"/>
    <w:rsid w:val="00AA34A1"/>
    <w:rsid w:val="00AA702E"/>
    <w:rsid w:val="00AA7D26"/>
    <w:rsid w:val="00AB0964"/>
    <w:rsid w:val="00AB148B"/>
    <w:rsid w:val="00AB3F7E"/>
    <w:rsid w:val="00AB5011"/>
    <w:rsid w:val="00AB543D"/>
    <w:rsid w:val="00AB6740"/>
    <w:rsid w:val="00AB77D5"/>
    <w:rsid w:val="00AB7FE5"/>
    <w:rsid w:val="00AC0A4B"/>
    <w:rsid w:val="00AC0B99"/>
    <w:rsid w:val="00AC3D4E"/>
    <w:rsid w:val="00AC6585"/>
    <w:rsid w:val="00AC7368"/>
    <w:rsid w:val="00AD0A2C"/>
    <w:rsid w:val="00AD16B9"/>
    <w:rsid w:val="00AD3109"/>
    <w:rsid w:val="00AD5A18"/>
    <w:rsid w:val="00AD617B"/>
    <w:rsid w:val="00AE0F5B"/>
    <w:rsid w:val="00AE377D"/>
    <w:rsid w:val="00AE3C53"/>
    <w:rsid w:val="00AF0EBA"/>
    <w:rsid w:val="00AF2401"/>
    <w:rsid w:val="00AF2463"/>
    <w:rsid w:val="00AF52EE"/>
    <w:rsid w:val="00AF6844"/>
    <w:rsid w:val="00AF7E1D"/>
    <w:rsid w:val="00B01E37"/>
    <w:rsid w:val="00B01E4B"/>
    <w:rsid w:val="00B02C8A"/>
    <w:rsid w:val="00B03222"/>
    <w:rsid w:val="00B06345"/>
    <w:rsid w:val="00B11691"/>
    <w:rsid w:val="00B12581"/>
    <w:rsid w:val="00B15A34"/>
    <w:rsid w:val="00B16A30"/>
    <w:rsid w:val="00B17FBD"/>
    <w:rsid w:val="00B21AC3"/>
    <w:rsid w:val="00B224DF"/>
    <w:rsid w:val="00B27634"/>
    <w:rsid w:val="00B315A6"/>
    <w:rsid w:val="00B31813"/>
    <w:rsid w:val="00B33365"/>
    <w:rsid w:val="00B35AFE"/>
    <w:rsid w:val="00B36483"/>
    <w:rsid w:val="00B37CF4"/>
    <w:rsid w:val="00B4015A"/>
    <w:rsid w:val="00B444C3"/>
    <w:rsid w:val="00B4477F"/>
    <w:rsid w:val="00B459E2"/>
    <w:rsid w:val="00B57B36"/>
    <w:rsid w:val="00B57E6F"/>
    <w:rsid w:val="00B644C4"/>
    <w:rsid w:val="00B64E0C"/>
    <w:rsid w:val="00B65B0F"/>
    <w:rsid w:val="00B665D4"/>
    <w:rsid w:val="00B754F6"/>
    <w:rsid w:val="00B8040D"/>
    <w:rsid w:val="00B81E7F"/>
    <w:rsid w:val="00B824A9"/>
    <w:rsid w:val="00B83EAA"/>
    <w:rsid w:val="00B84A45"/>
    <w:rsid w:val="00B8686D"/>
    <w:rsid w:val="00B87F1C"/>
    <w:rsid w:val="00B914C6"/>
    <w:rsid w:val="00B91D30"/>
    <w:rsid w:val="00B93F69"/>
    <w:rsid w:val="00B95E70"/>
    <w:rsid w:val="00BA0993"/>
    <w:rsid w:val="00BA2A16"/>
    <w:rsid w:val="00BA34FA"/>
    <w:rsid w:val="00BA533A"/>
    <w:rsid w:val="00BB1954"/>
    <w:rsid w:val="00BB1DDC"/>
    <w:rsid w:val="00BB4E00"/>
    <w:rsid w:val="00BB5EAC"/>
    <w:rsid w:val="00BC02F2"/>
    <w:rsid w:val="00BC30C9"/>
    <w:rsid w:val="00BD077D"/>
    <w:rsid w:val="00BD5B21"/>
    <w:rsid w:val="00BD5D42"/>
    <w:rsid w:val="00BD750B"/>
    <w:rsid w:val="00BE0005"/>
    <w:rsid w:val="00BE3E58"/>
    <w:rsid w:val="00BE5A94"/>
    <w:rsid w:val="00BF0E2A"/>
    <w:rsid w:val="00BF13CE"/>
    <w:rsid w:val="00BF45BE"/>
    <w:rsid w:val="00BF468B"/>
    <w:rsid w:val="00C01616"/>
    <w:rsid w:val="00C0162B"/>
    <w:rsid w:val="00C01C70"/>
    <w:rsid w:val="00C052D1"/>
    <w:rsid w:val="00C068ED"/>
    <w:rsid w:val="00C078EF"/>
    <w:rsid w:val="00C10560"/>
    <w:rsid w:val="00C11FE3"/>
    <w:rsid w:val="00C145C5"/>
    <w:rsid w:val="00C16453"/>
    <w:rsid w:val="00C16F91"/>
    <w:rsid w:val="00C16FE9"/>
    <w:rsid w:val="00C173A3"/>
    <w:rsid w:val="00C225A6"/>
    <w:rsid w:val="00C22E0C"/>
    <w:rsid w:val="00C25835"/>
    <w:rsid w:val="00C263EB"/>
    <w:rsid w:val="00C2791C"/>
    <w:rsid w:val="00C279A6"/>
    <w:rsid w:val="00C3182D"/>
    <w:rsid w:val="00C31B55"/>
    <w:rsid w:val="00C343CE"/>
    <w:rsid w:val="00C345B1"/>
    <w:rsid w:val="00C40142"/>
    <w:rsid w:val="00C47190"/>
    <w:rsid w:val="00C52C3C"/>
    <w:rsid w:val="00C56709"/>
    <w:rsid w:val="00C57182"/>
    <w:rsid w:val="00C57863"/>
    <w:rsid w:val="00C578F6"/>
    <w:rsid w:val="00C61B70"/>
    <w:rsid w:val="00C640AF"/>
    <w:rsid w:val="00C642BA"/>
    <w:rsid w:val="00C64DB9"/>
    <w:rsid w:val="00C655FD"/>
    <w:rsid w:val="00C665A4"/>
    <w:rsid w:val="00C670DE"/>
    <w:rsid w:val="00C67352"/>
    <w:rsid w:val="00C675E5"/>
    <w:rsid w:val="00C67616"/>
    <w:rsid w:val="00C719C3"/>
    <w:rsid w:val="00C7330B"/>
    <w:rsid w:val="00C73FD7"/>
    <w:rsid w:val="00C7435D"/>
    <w:rsid w:val="00C74A73"/>
    <w:rsid w:val="00C75407"/>
    <w:rsid w:val="00C841C6"/>
    <w:rsid w:val="00C870A8"/>
    <w:rsid w:val="00C9166D"/>
    <w:rsid w:val="00C93C0C"/>
    <w:rsid w:val="00C94434"/>
    <w:rsid w:val="00C967DE"/>
    <w:rsid w:val="00CA08C2"/>
    <w:rsid w:val="00CA0D75"/>
    <w:rsid w:val="00CA1022"/>
    <w:rsid w:val="00CA1C95"/>
    <w:rsid w:val="00CA3D8E"/>
    <w:rsid w:val="00CA5A9C"/>
    <w:rsid w:val="00CA5AC6"/>
    <w:rsid w:val="00CB2C25"/>
    <w:rsid w:val="00CB3699"/>
    <w:rsid w:val="00CB5FB7"/>
    <w:rsid w:val="00CB61E7"/>
    <w:rsid w:val="00CC0562"/>
    <w:rsid w:val="00CC3E8F"/>
    <w:rsid w:val="00CC4C20"/>
    <w:rsid w:val="00CD3517"/>
    <w:rsid w:val="00CD49B9"/>
    <w:rsid w:val="00CD51B5"/>
    <w:rsid w:val="00CD5FE2"/>
    <w:rsid w:val="00CE0020"/>
    <w:rsid w:val="00CE1FC4"/>
    <w:rsid w:val="00CE43A5"/>
    <w:rsid w:val="00CE7C68"/>
    <w:rsid w:val="00CF239C"/>
    <w:rsid w:val="00CF55A1"/>
    <w:rsid w:val="00CF5CC1"/>
    <w:rsid w:val="00D029B1"/>
    <w:rsid w:val="00D02B4C"/>
    <w:rsid w:val="00D033C4"/>
    <w:rsid w:val="00D040C4"/>
    <w:rsid w:val="00D04303"/>
    <w:rsid w:val="00D050D5"/>
    <w:rsid w:val="00D1110F"/>
    <w:rsid w:val="00D122DE"/>
    <w:rsid w:val="00D14F1B"/>
    <w:rsid w:val="00D17BA6"/>
    <w:rsid w:val="00D20AD1"/>
    <w:rsid w:val="00D22FBC"/>
    <w:rsid w:val="00D25150"/>
    <w:rsid w:val="00D2582C"/>
    <w:rsid w:val="00D267B9"/>
    <w:rsid w:val="00D267C7"/>
    <w:rsid w:val="00D35276"/>
    <w:rsid w:val="00D37DF9"/>
    <w:rsid w:val="00D405D3"/>
    <w:rsid w:val="00D41E46"/>
    <w:rsid w:val="00D46B7E"/>
    <w:rsid w:val="00D52346"/>
    <w:rsid w:val="00D5576B"/>
    <w:rsid w:val="00D56E4D"/>
    <w:rsid w:val="00D57C74"/>
    <w:rsid w:val="00D57C84"/>
    <w:rsid w:val="00D6057D"/>
    <w:rsid w:val="00D61D86"/>
    <w:rsid w:val="00D629F3"/>
    <w:rsid w:val="00D635AA"/>
    <w:rsid w:val="00D63C2B"/>
    <w:rsid w:val="00D646FE"/>
    <w:rsid w:val="00D647BE"/>
    <w:rsid w:val="00D65AED"/>
    <w:rsid w:val="00D667E0"/>
    <w:rsid w:val="00D6699D"/>
    <w:rsid w:val="00D66CC3"/>
    <w:rsid w:val="00D71640"/>
    <w:rsid w:val="00D7718D"/>
    <w:rsid w:val="00D774EB"/>
    <w:rsid w:val="00D80C88"/>
    <w:rsid w:val="00D836C5"/>
    <w:rsid w:val="00D84576"/>
    <w:rsid w:val="00D86007"/>
    <w:rsid w:val="00D90FE1"/>
    <w:rsid w:val="00D91869"/>
    <w:rsid w:val="00D91E57"/>
    <w:rsid w:val="00D97529"/>
    <w:rsid w:val="00DA02E5"/>
    <w:rsid w:val="00DA0AD3"/>
    <w:rsid w:val="00DA1399"/>
    <w:rsid w:val="00DA24C6"/>
    <w:rsid w:val="00DA4D7B"/>
    <w:rsid w:val="00DA4E47"/>
    <w:rsid w:val="00DA517C"/>
    <w:rsid w:val="00DA69FC"/>
    <w:rsid w:val="00DB08E1"/>
    <w:rsid w:val="00DB1B17"/>
    <w:rsid w:val="00DB4453"/>
    <w:rsid w:val="00DB46BC"/>
    <w:rsid w:val="00DB55C8"/>
    <w:rsid w:val="00DC2840"/>
    <w:rsid w:val="00DC284D"/>
    <w:rsid w:val="00DC2D72"/>
    <w:rsid w:val="00DC73EE"/>
    <w:rsid w:val="00DC7BA1"/>
    <w:rsid w:val="00DD03FF"/>
    <w:rsid w:val="00DD0B5C"/>
    <w:rsid w:val="00DD2357"/>
    <w:rsid w:val="00DD271C"/>
    <w:rsid w:val="00DD2E04"/>
    <w:rsid w:val="00DD5B80"/>
    <w:rsid w:val="00DE264A"/>
    <w:rsid w:val="00DE6185"/>
    <w:rsid w:val="00DF0D86"/>
    <w:rsid w:val="00DF2A9C"/>
    <w:rsid w:val="00DF3CDA"/>
    <w:rsid w:val="00DF44BE"/>
    <w:rsid w:val="00DF5072"/>
    <w:rsid w:val="00DF5516"/>
    <w:rsid w:val="00DF58BA"/>
    <w:rsid w:val="00E02D18"/>
    <w:rsid w:val="00E03C06"/>
    <w:rsid w:val="00E041E7"/>
    <w:rsid w:val="00E10533"/>
    <w:rsid w:val="00E10A8C"/>
    <w:rsid w:val="00E11B97"/>
    <w:rsid w:val="00E12752"/>
    <w:rsid w:val="00E20823"/>
    <w:rsid w:val="00E21337"/>
    <w:rsid w:val="00E233C4"/>
    <w:rsid w:val="00E23CA1"/>
    <w:rsid w:val="00E24B8F"/>
    <w:rsid w:val="00E271F1"/>
    <w:rsid w:val="00E3071F"/>
    <w:rsid w:val="00E325CF"/>
    <w:rsid w:val="00E34192"/>
    <w:rsid w:val="00E35030"/>
    <w:rsid w:val="00E368E5"/>
    <w:rsid w:val="00E409A8"/>
    <w:rsid w:val="00E410F9"/>
    <w:rsid w:val="00E50C12"/>
    <w:rsid w:val="00E513AB"/>
    <w:rsid w:val="00E523C9"/>
    <w:rsid w:val="00E539C0"/>
    <w:rsid w:val="00E55BC7"/>
    <w:rsid w:val="00E60757"/>
    <w:rsid w:val="00E60966"/>
    <w:rsid w:val="00E65B91"/>
    <w:rsid w:val="00E70AEA"/>
    <w:rsid w:val="00E71015"/>
    <w:rsid w:val="00E7209D"/>
    <w:rsid w:val="00E72119"/>
    <w:rsid w:val="00E72EAD"/>
    <w:rsid w:val="00E74470"/>
    <w:rsid w:val="00E74E8E"/>
    <w:rsid w:val="00E758D4"/>
    <w:rsid w:val="00E7656B"/>
    <w:rsid w:val="00E77223"/>
    <w:rsid w:val="00E81C96"/>
    <w:rsid w:val="00E8262B"/>
    <w:rsid w:val="00E82E71"/>
    <w:rsid w:val="00E830F1"/>
    <w:rsid w:val="00E83AC3"/>
    <w:rsid w:val="00E83AEA"/>
    <w:rsid w:val="00E83F4A"/>
    <w:rsid w:val="00E843BA"/>
    <w:rsid w:val="00E8528B"/>
    <w:rsid w:val="00E8549A"/>
    <w:rsid w:val="00E85B94"/>
    <w:rsid w:val="00E91FF1"/>
    <w:rsid w:val="00E954B6"/>
    <w:rsid w:val="00E978D0"/>
    <w:rsid w:val="00E97F23"/>
    <w:rsid w:val="00EA0FA0"/>
    <w:rsid w:val="00EA4613"/>
    <w:rsid w:val="00EA499A"/>
    <w:rsid w:val="00EA5FC2"/>
    <w:rsid w:val="00EA7F91"/>
    <w:rsid w:val="00EB003B"/>
    <w:rsid w:val="00EB1523"/>
    <w:rsid w:val="00EB4011"/>
    <w:rsid w:val="00EB4233"/>
    <w:rsid w:val="00EB64DB"/>
    <w:rsid w:val="00EB7E29"/>
    <w:rsid w:val="00EC0E49"/>
    <w:rsid w:val="00EC101F"/>
    <w:rsid w:val="00EC1D9F"/>
    <w:rsid w:val="00EC21D4"/>
    <w:rsid w:val="00EC2CE8"/>
    <w:rsid w:val="00EC470B"/>
    <w:rsid w:val="00EC563B"/>
    <w:rsid w:val="00EC5803"/>
    <w:rsid w:val="00EC67CA"/>
    <w:rsid w:val="00EC6938"/>
    <w:rsid w:val="00EE0131"/>
    <w:rsid w:val="00EE17B0"/>
    <w:rsid w:val="00EE22F6"/>
    <w:rsid w:val="00EF06D9"/>
    <w:rsid w:val="00EF0A28"/>
    <w:rsid w:val="00EF1DA3"/>
    <w:rsid w:val="00EF31CC"/>
    <w:rsid w:val="00F015D5"/>
    <w:rsid w:val="00F0229C"/>
    <w:rsid w:val="00F061EC"/>
    <w:rsid w:val="00F114E9"/>
    <w:rsid w:val="00F152A7"/>
    <w:rsid w:val="00F15D9E"/>
    <w:rsid w:val="00F1660D"/>
    <w:rsid w:val="00F23412"/>
    <w:rsid w:val="00F24D1D"/>
    <w:rsid w:val="00F24E65"/>
    <w:rsid w:val="00F25B13"/>
    <w:rsid w:val="00F27EE4"/>
    <w:rsid w:val="00F3019C"/>
    <w:rsid w:val="00F3049E"/>
    <w:rsid w:val="00F30C64"/>
    <w:rsid w:val="00F3177D"/>
    <w:rsid w:val="00F329EC"/>
    <w:rsid w:val="00F32BA2"/>
    <w:rsid w:val="00F32CDB"/>
    <w:rsid w:val="00F35556"/>
    <w:rsid w:val="00F41EE4"/>
    <w:rsid w:val="00F43B54"/>
    <w:rsid w:val="00F45938"/>
    <w:rsid w:val="00F51034"/>
    <w:rsid w:val="00F565FE"/>
    <w:rsid w:val="00F57CAF"/>
    <w:rsid w:val="00F57F5D"/>
    <w:rsid w:val="00F63A70"/>
    <w:rsid w:val="00F63D8C"/>
    <w:rsid w:val="00F64624"/>
    <w:rsid w:val="00F66D4F"/>
    <w:rsid w:val="00F7534E"/>
    <w:rsid w:val="00F75A6C"/>
    <w:rsid w:val="00F816E9"/>
    <w:rsid w:val="00F836A0"/>
    <w:rsid w:val="00F90789"/>
    <w:rsid w:val="00F912C3"/>
    <w:rsid w:val="00F92312"/>
    <w:rsid w:val="00F93EDF"/>
    <w:rsid w:val="00F95222"/>
    <w:rsid w:val="00FA0F31"/>
    <w:rsid w:val="00FA1802"/>
    <w:rsid w:val="00FA21D0"/>
    <w:rsid w:val="00FA5F5F"/>
    <w:rsid w:val="00FA783C"/>
    <w:rsid w:val="00FB0E96"/>
    <w:rsid w:val="00FB0F6B"/>
    <w:rsid w:val="00FB1628"/>
    <w:rsid w:val="00FB1D09"/>
    <w:rsid w:val="00FB2ABA"/>
    <w:rsid w:val="00FB5CFA"/>
    <w:rsid w:val="00FB7123"/>
    <w:rsid w:val="00FB730C"/>
    <w:rsid w:val="00FC24A9"/>
    <w:rsid w:val="00FC2695"/>
    <w:rsid w:val="00FC2DF2"/>
    <w:rsid w:val="00FC3E03"/>
    <w:rsid w:val="00FC3FC1"/>
    <w:rsid w:val="00FD18FD"/>
    <w:rsid w:val="00FD4D40"/>
    <w:rsid w:val="00FD698A"/>
    <w:rsid w:val="00FE4414"/>
    <w:rsid w:val="00FE5274"/>
    <w:rsid w:val="00FE56D9"/>
    <w:rsid w:val="00FE5737"/>
    <w:rsid w:val="00FE5F5A"/>
    <w:rsid w:val="00FE6914"/>
    <w:rsid w:val="00FF241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5E528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B58F329134E4246A29C7FD972208622" ma:contentTypeVersion="18" ma:contentTypeDescription="Opprett et nytt dokument." ma:contentTypeScope="" ma:versionID="c1dcff68e86ba01bb273e316ec939ff0">
  <xsd:schema xmlns:xsd="http://www.w3.org/2001/XMLSchema" xmlns:xs="http://www.w3.org/2001/XMLSchema" xmlns:p="http://schemas.microsoft.com/office/2006/metadata/properties" xmlns:ns2="c1c30085-2461-4274-a296-f67f847e1aef" xmlns:ns3="6a9b72a9-bbc0-4c97-9e5d-5be7d55aec29" targetNamespace="http://schemas.microsoft.com/office/2006/metadata/properties" ma:root="true" ma:fieldsID="757628a76d12b91e893acd3a1a2e6e1f" ns2:_="" ns3:_="">
    <xsd:import namespace="c1c30085-2461-4274-a296-f67f847e1aef"/>
    <xsd:import namespace="6a9b72a9-bbc0-4c97-9e5d-5be7d55aec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30085-2461-4274-a296-f67f847e1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a960cf46-cdfc-4492-b1fe-867baca0b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9b72a9-bbc0-4c97-9e5d-5be7d55aec29"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c63df23b-b226-4f86-9eb3-ad0741d26c3a}" ma:internalName="TaxCatchAll" ma:showField="CatchAllData" ma:web="6a9b72a9-bbc0-4c97-9e5d-5be7d55aec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55BAD-C6E5-4A4C-A391-3C0DD3CA5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30085-2461-4274-a296-f67f847e1aef"/>
    <ds:schemaRef ds:uri="6a9b72a9-bbc0-4c97-9e5d-5be7d55ae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9B63B0-FD22-4491-9FE5-C70C7F23C94B}">
  <ds:schemaRefs>
    <ds:schemaRef ds:uri="http://schemas.microsoft.com/sharepoint/v3/contenttype/forms"/>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3549</Words>
  <Characters>20234</Characters>
  <Application>Microsoft Office Word</Application>
  <DocSecurity>0</DocSecurity>
  <Lines>168</Lines>
  <Paragraphs>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Sauro Pierucci</cp:lastModifiedBy>
  <cp:revision>10</cp:revision>
  <cp:lastPrinted>2024-11-08T11:08:00Z</cp:lastPrinted>
  <dcterms:created xsi:type="dcterms:W3CDTF">2025-02-28T16:14:00Z</dcterms:created>
  <dcterms:modified xsi:type="dcterms:W3CDTF">2025-04-16T11:38:00Z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