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E051E8">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78067027"/>
            <w:bookmarkStart w:id="1" w:name="_Hlk145068772"/>
            <w:bookmarkEnd w:id="0"/>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E051E8">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E051E8">
        <w:trPr>
          <w:trHeight w:val="68"/>
          <w:jc w:val="center"/>
        </w:trPr>
        <w:tc>
          <w:tcPr>
            <w:tcW w:w="8782" w:type="dxa"/>
            <w:gridSpan w:val="2"/>
          </w:tcPr>
          <w:p w14:paraId="30F07041" w14:textId="5AD59A9A" w:rsidR="00F27EE4" w:rsidRPr="00F27EE4" w:rsidRDefault="00AA7D26" w:rsidP="00F27EE4">
            <w:pPr>
              <w:ind w:left="-107"/>
              <w:rPr>
                <w:rFonts w:ascii="Tahoma" w:hAnsi="Tahoma" w:cs="Tahoma"/>
                <w:b/>
                <w:bCs/>
                <w:color w:val="000000"/>
                <w:sz w:val="14"/>
                <w:szCs w:val="14"/>
                <w:shd w:val="clear" w:color="auto" w:fill="FFFFFF"/>
                <w:lang w:val="it-IT"/>
              </w:rPr>
            </w:pPr>
            <w:r w:rsidRPr="00F27EE4">
              <w:rPr>
                <w:rFonts w:ascii="Tahoma" w:hAnsi="Tahoma" w:cs="Tahoma"/>
                <w:iCs/>
                <w:color w:val="333333"/>
                <w:sz w:val="14"/>
                <w:szCs w:val="14"/>
                <w:lang w:val="it-IT" w:eastAsia="it-IT"/>
              </w:rPr>
              <w:t>Guest Editors:</w:t>
            </w:r>
            <w:r w:rsidR="007D610D" w:rsidRPr="00F27EE4">
              <w:rPr>
                <w:rFonts w:ascii="Aptos" w:eastAsiaTheme="minorHAnsi" w:hAnsi="Aptos" w:cs="Aptos"/>
                <w:sz w:val="22"/>
                <w:szCs w:val="22"/>
                <w:lang w:val="it-IT"/>
                <w14:ligatures w14:val="standardContextual"/>
              </w:rPr>
              <w:t xml:space="preserve"> </w:t>
            </w:r>
            <w:r w:rsidR="00F27EE4" w:rsidRPr="00F27EE4">
              <w:rPr>
                <w:rFonts w:ascii="Tahoma" w:hAnsi="Tahoma" w:cs="Tahoma"/>
                <w:color w:val="000000"/>
                <w:sz w:val="14"/>
                <w:szCs w:val="14"/>
                <w:shd w:val="clear" w:color="auto" w:fill="FFFFFF"/>
                <w:lang w:val="it-IT"/>
              </w:rPr>
              <w:t>Bruno Fabiano, Va</w:t>
            </w:r>
            <w:r w:rsidR="00F27EE4">
              <w:rPr>
                <w:rFonts w:ascii="Tahoma" w:hAnsi="Tahoma" w:cs="Tahoma"/>
                <w:color w:val="000000"/>
                <w:sz w:val="14"/>
                <w:szCs w:val="14"/>
                <w:shd w:val="clear" w:color="auto" w:fill="FFFFFF"/>
                <w:lang w:val="it-IT"/>
              </w:rPr>
              <w:t>lerio Cozzani</w:t>
            </w:r>
          </w:p>
          <w:p w14:paraId="1B0F1814" w14:textId="2DB8A07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F27EE4">
              <w:rPr>
                <w:rFonts w:ascii="Tahoma" w:hAnsi="Tahoma" w:cs="Tahoma"/>
                <w:sz w:val="14"/>
                <w:szCs w:val="14"/>
              </w:rPr>
              <w:t>xx-y</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1"/>
    <w:p w14:paraId="43EC5C76" w14:textId="77777777" w:rsidR="00E051E8" w:rsidRPr="00CB3825" w:rsidRDefault="00E051E8" w:rsidP="00E051E8">
      <w:pPr>
        <w:pStyle w:val="CETTitle"/>
        <w:rPr>
          <w:lang w:val="en-CA"/>
        </w:rPr>
      </w:pPr>
      <w:r w:rsidRPr="00CB3825">
        <w:rPr>
          <w:lang w:val="en-CA"/>
        </w:rPr>
        <w:t>Experimental Investigation of the I</w:t>
      </w:r>
      <w:r>
        <w:rPr>
          <w:lang w:val="en-CA"/>
        </w:rPr>
        <w:t>nfluence of Opening Dynamics on the Blast Overpressure Anisotropy in BLEVEs</w:t>
      </w:r>
    </w:p>
    <w:p w14:paraId="5DA3FC6C" w14:textId="2F750003" w:rsidR="00E051E8" w:rsidRPr="00CB3825" w:rsidRDefault="00E051E8" w:rsidP="00E051E8">
      <w:pPr>
        <w:pStyle w:val="CETAuthors"/>
        <w:rPr>
          <w:lang w:val="en-CA"/>
        </w:rPr>
      </w:pPr>
      <w:r w:rsidRPr="00CB3825">
        <w:rPr>
          <w:lang w:val="en-CA"/>
        </w:rPr>
        <w:t>El Mehdi Laamarti</w:t>
      </w:r>
      <w:r w:rsidRPr="00CB3825">
        <w:rPr>
          <w:vertAlign w:val="superscript"/>
          <w:lang w:val="en-CA"/>
        </w:rPr>
        <w:t>a,b</w:t>
      </w:r>
      <w:r w:rsidRPr="00CB3825">
        <w:rPr>
          <w:lang w:val="en-CA"/>
        </w:rPr>
        <w:t>, Frederic Heymes</w:t>
      </w:r>
      <w:r w:rsidRPr="00CB3825">
        <w:rPr>
          <w:vertAlign w:val="superscript"/>
          <w:lang w:val="en-CA"/>
        </w:rPr>
        <w:t>b,</w:t>
      </w:r>
      <w:r w:rsidRPr="00CB3825">
        <w:rPr>
          <w:lang w:val="en-CA"/>
        </w:rPr>
        <w:t>*,</w:t>
      </w:r>
      <w:r w:rsidR="00644272">
        <w:rPr>
          <w:lang w:val="en-CA"/>
        </w:rPr>
        <w:t>Clement Chanut</w:t>
      </w:r>
      <w:r w:rsidR="00644272" w:rsidRPr="00CB3825">
        <w:rPr>
          <w:vertAlign w:val="superscript"/>
          <w:lang w:val="en-CA"/>
        </w:rPr>
        <w:t>b</w:t>
      </w:r>
      <w:r w:rsidR="00644272">
        <w:rPr>
          <w:lang w:val="en-CA"/>
        </w:rPr>
        <w:t>,</w:t>
      </w:r>
      <w:r w:rsidRPr="00CB3825">
        <w:rPr>
          <w:lang w:val="en-CA"/>
        </w:rPr>
        <w:t xml:space="preserve"> Albrecht Michael Birk</w:t>
      </w:r>
      <w:r w:rsidRPr="00CB3825">
        <w:rPr>
          <w:vertAlign w:val="superscript"/>
          <w:lang w:val="en-CA"/>
        </w:rPr>
        <w:t>a</w:t>
      </w:r>
    </w:p>
    <w:p w14:paraId="7717A81A" w14:textId="77777777" w:rsidR="00E051E8" w:rsidRPr="00B57B36" w:rsidRDefault="00E051E8" w:rsidP="00E051E8">
      <w:pPr>
        <w:pStyle w:val="CETAddress"/>
      </w:pPr>
      <w:r w:rsidRPr="00B57B36">
        <w:rPr>
          <w:vertAlign w:val="superscript"/>
        </w:rPr>
        <w:t>a</w:t>
      </w:r>
      <w:r>
        <w:t>Department of Mechanical and Materials Engineering, Queen’s University, Kingston, Ontario, Canada</w:t>
      </w:r>
    </w:p>
    <w:p w14:paraId="6198EAB9" w14:textId="0A0C3333" w:rsidR="00E051E8" w:rsidRPr="00D57CBE" w:rsidRDefault="00E051E8" w:rsidP="00E051E8">
      <w:pPr>
        <w:pStyle w:val="CETAddress"/>
        <w:rPr>
          <w:lang w:val="fr-FR"/>
        </w:rPr>
      </w:pPr>
      <w:r w:rsidRPr="00D57CBE">
        <w:rPr>
          <w:vertAlign w:val="superscript"/>
          <w:lang w:val="fr-FR"/>
        </w:rPr>
        <w:t>b</w:t>
      </w:r>
      <w:r w:rsidRPr="00D57CBE">
        <w:rPr>
          <w:lang w:val="fr-FR"/>
        </w:rPr>
        <w:t>Institut des Sciences des Risques, Institut Mines-Télécom</w:t>
      </w:r>
      <w:r>
        <w:rPr>
          <w:lang w:val="fr-FR"/>
        </w:rPr>
        <w:t>,</w:t>
      </w:r>
      <w:r w:rsidRPr="00D57CBE">
        <w:rPr>
          <w:lang w:val="fr-FR"/>
        </w:rPr>
        <w:t> </w:t>
      </w:r>
      <w:r>
        <w:rPr>
          <w:lang w:val="fr-FR"/>
        </w:rPr>
        <w:t xml:space="preserve">IMT mines </w:t>
      </w:r>
      <w:r w:rsidRPr="00D57CBE">
        <w:rPr>
          <w:lang w:val="fr-FR"/>
        </w:rPr>
        <w:t>Alès</w:t>
      </w:r>
      <w:r w:rsidR="00750051">
        <w:rPr>
          <w:lang w:val="fr-FR"/>
        </w:rPr>
        <w:t xml:space="preserve">, </w:t>
      </w:r>
      <w:r w:rsidR="00312D3B" w:rsidRPr="00D57CBE">
        <w:rPr>
          <w:lang w:val="fr-FR"/>
        </w:rPr>
        <w:t>Alès</w:t>
      </w:r>
      <w:r w:rsidRPr="00D57CBE">
        <w:rPr>
          <w:lang w:val="fr-FR"/>
        </w:rPr>
        <w:t xml:space="preserve">, France  </w:t>
      </w:r>
    </w:p>
    <w:p w14:paraId="4271B005" w14:textId="77777777" w:rsidR="00E051E8" w:rsidRPr="009546D4" w:rsidRDefault="00E051E8" w:rsidP="00E051E8">
      <w:pPr>
        <w:pStyle w:val="CETemail"/>
        <w:rPr>
          <w:lang w:val="en-CA"/>
        </w:rPr>
      </w:pPr>
      <w:r w:rsidRPr="009546D4">
        <w:rPr>
          <w:lang w:val="fr-FR"/>
        </w:rPr>
        <w:t xml:space="preserve"> </w:t>
      </w:r>
      <w:bookmarkStart w:id="2" w:name="_Hlk495475023"/>
      <w:r w:rsidRPr="00EF7EE0">
        <w:rPr>
          <w:lang w:val="fr-FR"/>
        </w:rPr>
        <w:fldChar w:fldCharType="begin"/>
      </w:r>
      <w:r w:rsidRPr="00EF7EE0">
        <w:rPr>
          <w:lang w:val="en-CA"/>
        </w:rPr>
        <w:instrText>HYPERLINK "mailto:frederic.heymes@mines-ales.fr"</w:instrText>
      </w:r>
      <w:r w:rsidRPr="00EF7EE0">
        <w:rPr>
          <w:lang w:val="fr-FR"/>
        </w:rPr>
      </w:r>
      <w:r w:rsidRPr="00EF7EE0">
        <w:rPr>
          <w:lang w:val="fr-FR"/>
        </w:rPr>
        <w:fldChar w:fldCharType="separate"/>
      </w:r>
      <w:r w:rsidRPr="00EF7EE0">
        <w:rPr>
          <w:lang w:val="en-CA"/>
        </w:rPr>
        <w:t>frederic.heymes@mines-ales.fr</w:t>
      </w:r>
      <w:r w:rsidRPr="00EF7EE0">
        <w:rPr>
          <w:lang w:val="fr-FR"/>
        </w:rPr>
        <w:fldChar w:fldCharType="end"/>
      </w:r>
    </w:p>
    <w:p w14:paraId="5F0557EF" w14:textId="2F706C5F" w:rsidR="00E051E8" w:rsidRPr="00EC6C1A" w:rsidRDefault="00E051E8" w:rsidP="00E051E8">
      <w:pPr>
        <w:pStyle w:val="CETListbullets"/>
        <w:ind w:left="0" w:firstLine="0"/>
        <w:rPr>
          <w:lang w:val="en-CA"/>
        </w:rPr>
      </w:pPr>
      <w:r>
        <w:t xml:space="preserve">The </w:t>
      </w:r>
      <w:r w:rsidRPr="00CB3825">
        <w:rPr>
          <w:lang w:val="en-CA"/>
        </w:rPr>
        <w:t>Boiling Liquid Expanding Vapor Explosion</w:t>
      </w:r>
      <w:r>
        <w:rPr>
          <w:lang w:val="en-CA"/>
        </w:rPr>
        <w:t xml:space="preserve"> (BLEVE)</w:t>
      </w:r>
      <w:r w:rsidRPr="00CB3825">
        <w:rPr>
          <w:lang w:val="en-CA"/>
        </w:rPr>
        <w:t xml:space="preserve"> is one of the most</w:t>
      </w:r>
      <w:r w:rsidR="00956267">
        <w:rPr>
          <w:lang w:val="en-CA"/>
        </w:rPr>
        <w:t xml:space="preserve"> </w:t>
      </w:r>
      <w:r>
        <w:rPr>
          <w:lang w:val="en-CA"/>
        </w:rPr>
        <w:t>dangerous</w:t>
      </w:r>
      <w:r w:rsidRPr="00CB3825">
        <w:rPr>
          <w:lang w:val="en-CA"/>
        </w:rPr>
        <w:t xml:space="preserve"> industrial accidents, occurring when a pressure vessel containing</w:t>
      </w:r>
      <w:r>
        <w:rPr>
          <w:lang w:val="en-CA"/>
        </w:rPr>
        <w:t xml:space="preserve"> a</w:t>
      </w:r>
      <w:r w:rsidRPr="00CB3825">
        <w:rPr>
          <w:lang w:val="en-CA"/>
        </w:rPr>
        <w:t xml:space="preserve"> pressure liquefied gas </w:t>
      </w:r>
      <w:r w:rsidR="00515656">
        <w:rPr>
          <w:lang w:val="en-CA"/>
        </w:rPr>
        <w:t xml:space="preserve">like LPG or heated water suffers </w:t>
      </w:r>
      <w:r w:rsidRPr="00CB3825">
        <w:rPr>
          <w:lang w:val="en-CA"/>
        </w:rPr>
        <w:t xml:space="preserve">a catastrophic structural failure. Once the vessel opens, the vapor phase leaves the vessel pushing the </w:t>
      </w:r>
      <w:r>
        <w:rPr>
          <w:lang w:val="en-CA"/>
        </w:rPr>
        <w:t xml:space="preserve">surrounding </w:t>
      </w:r>
      <w:r w:rsidRPr="00CB3825">
        <w:rPr>
          <w:lang w:val="en-CA"/>
        </w:rPr>
        <w:t xml:space="preserve">atmosphere out of the way, leading to compression waves that then pile up to form a shock overpressure. The vessel progressively opens causing a rapid depressurization and violent boiling. A BLEVE results in </w:t>
      </w:r>
      <w:r w:rsidR="00B169F4">
        <w:rPr>
          <w:lang w:val="en-CA"/>
        </w:rPr>
        <w:t>many</w:t>
      </w:r>
      <w:r w:rsidR="00515656">
        <w:rPr>
          <w:lang w:val="en-CA"/>
        </w:rPr>
        <w:t xml:space="preserve"> other</w:t>
      </w:r>
      <w:r w:rsidRPr="00CB3825">
        <w:rPr>
          <w:lang w:val="en-CA"/>
        </w:rPr>
        <w:t xml:space="preserve"> hazards </w:t>
      </w:r>
      <w:r w:rsidR="00B169F4">
        <w:rPr>
          <w:lang w:val="en-CA"/>
        </w:rPr>
        <w:t>including</w:t>
      </w:r>
      <w:r w:rsidRPr="00CB3825">
        <w:rPr>
          <w:lang w:val="en-CA"/>
        </w:rPr>
        <w:t xml:space="preserve"> projectiles, flammable or toxic release and ground loading. </w:t>
      </w:r>
      <w:r>
        <w:rPr>
          <w:lang w:val="en-CA"/>
        </w:rPr>
        <w:t>To date, m</w:t>
      </w:r>
      <w:r w:rsidRPr="00CB3825">
        <w:rPr>
          <w:lang w:val="en-CA"/>
        </w:rPr>
        <w:t xml:space="preserve">any </w:t>
      </w:r>
      <w:r>
        <w:rPr>
          <w:lang w:val="en-CA"/>
        </w:rPr>
        <w:t>experiments</w:t>
      </w:r>
      <w:r w:rsidRPr="00CB3825">
        <w:rPr>
          <w:lang w:val="en-CA"/>
        </w:rPr>
        <w:t xml:space="preserve"> have been </w:t>
      </w:r>
      <w:r>
        <w:rPr>
          <w:lang w:val="en-CA"/>
        </w:rPr>
        <w:t>carried out</w:t>
      </w:r>
      <w:r w:rsidRPr="00CB3825">
        <w:rPr>
          <w:lang w:val="en-CA"/>
        </w:rPr>
        <w:t xml:space="preserve"> to </w:t>
      </w:r>
      <w:r>
        <w:rPr>
          <w:lang w:val="en-CA"/>
        </w:rPr>
        <w:t>predict the</w:t>
      </w:r>
      <w:r w:rsidRPr="00CB3825">
        <w:rPr>
          <w:lang w:val="en-CA"/>
        </w:rPr>
        <w:t xml:space="preserve"> BLEVE hazards. </w:t>
      </w:r>
      <w:r>
        <w:rPr>
          <w:lang w:val="en-CA"/>
        </w:rPr>
        <w:t>Most of these studies have been performed with limited data on far-field overpressure</w:t>
      </w:r>
      <w:r w:rsidR="00B169F4">
        <w:rPr>
          <w:lang w:val="en-CA"/>
        </w:rPr>
        <w:t xml:space="preserve"> and mainly focusing on the</w:t>
      </w:r>
      <w:r w:rsidR="0003751C">
        <w:rPr>
          <w:lang w:val="en-CA"/>
        </w:rPr>
        <w:t xml:space="preserve"> blast data measured on perpendicular</w:t>
      </w:r>
      <w:r w:rsidR="00B169F4">
        <w:rPr>
          <w:lang w:val="en-CA"/>
        </w:rPr>
        <w:t xml:space="preserve"> horizontal </w:t>
      </w:r>
      <w:r w:rsidR="0003751C">
        <w:rPr>
          <w:lang w:val="en-CA"/>
        </w:rPr>
        <w:t>directions</w:t>
      </w:r>
      <w:r w:rsidR="00B169F4">
        <w:rPr>
          <w:lang w:val="en-CA"/>
        </w:rPr>
        <w:t>.</w:t>
      </w:r>
      <w:r w:rsidR="0003751C">
        <w:rPr>
          <w:lang w:val="en-CA"/>
        </w:rPr>
        <w:t xml:space="preserve"> </w:t>
      </w:r>
      <w:r w:rsidR="00F35074">
        <w:rPr>
          <w:lang w:val="en-CA"/>
        </w:rPr>
        <w:t>These</w:t>
      </w:r>
      <w:r>
        <w:rPr>
          <w:lang w:val="en-CA"/>
        </w:rPr>
        <w:t xml:space="preserve"> studies showed that the blast shape</w:t>
      </w:r>
      <w:r w:rsidR="00F35074">
        <w:rPr>
          <w:lang w:val="en-CA"/>
        </w:rPr>
        <w:t xml:space="preserve"> is contingent upon vessel’s </w:t>
      </w:r>
      <w:r w:rsidR="0003751C">
        <w:rPr>
          <w:lang w:val="en-CA"/>
        </w:rPr>
        <w:t xml:space="preserve">geometry; in </w:t>
      </w:r>
      <w:r>
        <w:rPr>
          <w:lang w:val="en-CA"/>
        </w:rPr>
        <w:t>cylindrical vessels</w:t>
      </w:r>
      <w:r w:rsidR="00F35074">
        <w:rPr>
          <w:lang w:val="en-CA"/>
        </w:rPr>
        <w:t xml:space="preserve"> </w:t>
      </w:r>
      <w:r w:rsidR="00C36203">
        <w:rPr>
          <w:lang w:val="en-CA"/>
        </w:rPr>
        <w:t>the blast</w:t>
      </w:r>
      <w:r>
        <w:rPr>
          <w:lang w:val="en-CA"/>
        </w:rPr>
        <w:t xml:space="preserve"> is not </w:t>
      </w:r>
      <w:r w:rsidR="00515656">
        <w:rPr>
          <w:lang w:val="en-CA"/>
        </w:rPr>
        <w:t xml:space="preserve">directionally </w:t>
      </w:r>
      <w:r>
        <w:rPr>
          <w:lang w:val="en-CA"/>
        </w:rPr>
        <w:t>uniform</w:t>
      </w:r>
      <w:r w:rsidR="00515656">
        <w:rPr>
          <w:lang w:val="en-CA"/>
        </w:rPr>
        <w:t>. This is also true for</w:t>
      </w:r>
      <w:r>
        <w:rPr>
          <w:lang w:val="en-CA"/>
        </w:rPr>
        <w:t xml:space="preserve"> spherical vessels. </w:t>
      </w:r>
      <w:r w:rsidR="0079293C">
        <w:rPr>
          <w:lang w:val="en-CA"/>
        </w:rPr>
        <w:t>Given that most industrial pressure vessels are cylindrical, this paper investigates blast overpressure resulting from top-initiated failures in cylindrical vessels, utilizing small-scale BLEVE experiments.</w:t>
      </w:r>
      <w:r w:rsidR="00884601">
        <w:rPr>
          <w:lang w:val="en-CA"/>
        </w:rPr>
        <w:t xml:space="preserve"> The results indicated that the Top blast gauges recorded the highest overpressure, followed by the </w:t>
      </w:r>
      <w:r w:rsidR="00977F2A">
        <w:rPr>
          <w:lang w:val="en-CA"/>
        </w:rPr>
        <w:t>45-degree</w:t>
      </w:r>
      <w:r w:rsidR="00884601">
        <w:rPr>
          <w:lang w:val="en-CA"/>
        </w:rPr>
        <w:t xml:space="preserve"> angle and end gauges.</w:t>
      </w:r>
    </w:p>
    <w:bookmarkEnd w:id="2"/>
    <w:p w14:paraId="40C026A3" w14:textId="77777777" w:rsidR="00186EAD" w:rsidRPr="00B57B36" w:rsidRDefault="00186EAD" w:rsidP="00186EAD">
      <w:pPr>
        <w:pStyle w:val="CETHeading1"/>
        <w:rPr>
          <w:lang w:val="en-GB"/>
        </w:rPr>
      </w:pPr>
      <w:r w:rsidRPr="00B57B36">
        <w:rPr>
          <w:lang w:val="en-GB"/>
        </w:rPr>
        <w:t>Introduction</w:t>
      </w:r>
    </w:p>
    <w:p w14:paraId="6891CC60" w14:textId="645C5B05" w:rsidR="002E4CCF" w:rsidRDefault="00FB0DFD" w:rsidP="00186EAD">
      <w:pPr>
        <w:pStyle w:val="CETListbullets"/>
        <w:ind w:left="0" w:firstLine="0"/>
      </w:pPr>
      <w:r>
        <w:t xml:space="preserve">A sudden failure of a pressure vessel containing </w:t>
      </w:r>
      <w:r w:rsidR="0079293C">
        <w:t>pressurized liquid</w:t>
      </w:r>
      <w:r>
        <w:t xml:space="preserve"> can lead to a Boiling Liquid Expanding Vapor Explosion (BLEVE), often resulting in </w:t>
      </w:r>
      <w:r w:rsidR="0079293C">
        <w:t xml:space="preserve">human casualties, </w:t>
      </w:r>
      <w:r>
        <w:t>material loss, property damage, and</w:t>
      </w:r>
      <w:r w:rsidR="0079293C">
        <w:t xml:space="preserve"> social disruption</w:t>
      </w:r>
      <w:r>
        <w:t xml:space="preserve">. These explosions, well-known </w:t>
      </w:r>
      <w:r w:rsidR="002E4CCF">
        <w:t xml:space="preserve">within the </w:t>
      </w:r>
      <w:r>
        <w:t>loss prevention</w:t>
      </w:r>
      <w:r w:rsidR="002E4CCF">
        <w:t xml:space="preserve"> community</w:t>
      </w:r>
      <w:r>
        <w:t>, occur during transportation, storage, or handling of pressurized vessels in industries like refineries, hospitals, and small businesses.</w:t>
      </w:r>
      <w:r w:rsidR="002E4CCF">
        <w:t xml:space="preserve"> For instance,</w:t>
      </w:r>
      <w:r w:rsidR="007559DB">
        <w:t xml:space="preserve"> in </w:t>
      </w:r>
      <w:r w:rsidR="00515656">
        <w:t>D</w:t>
      </w:r>
      <w:r w:rsidR="007559DB">
        <w:t>ecember 2022</w:t>
      </w:r>
      <w:r w:rsidR="002E4CCF">
        <w:t xml:space="preserve"> a truck carrying PLG </w:t>
      </w:r>
      <w:r w:rsidR="00FE69CE">
        <w:t>did burst</w:t>
      </w:r>
      <w:r w:rsidR="002E4CCF">
        <w:t xml:space="preserve"> near a hospital in Johannesburg, South Africa resulting in the death of eleven healthcare workers and </w:t>
      </w:r>
      <w:r w:rsidR="007559DB">
        <w:t>thirty-seven</w:t>
      </w:r>
      <w:r w:rsidR="002E4CCF">
        <w:t xml:space="preserve"> </w:t>
      </w:r>
      <w:r w:rsidR="007559DB">
        <w:t xml:space="preserve">other suffering serious burns. </w:t>
      </w:r>
    </w:p>
    <w:p w14:paraId="2697192D" w14:textId="17265FEE" w:rsidR="00186EAD" w:rsidRDefault="00FB0DFD" w:rsidP="00186EAD">
      <w:pPr>
        <w:pStyle w:val="CETListbullets"/>
        <w:ind w:left="0" w:firstLine="0"/>
      </w:pPr>
      <w:r>
        <w:t>The severity of a BLEVE depends on factors such as vessel size,</w:t>
      </w:r>
      <w:r w:rsidR="007559DB">
        <w:t xml:space="preserve"> liquid fill level,</w:t>
      </w:r>
      <w:r>
        <w:t xml:space="preserve"> substance types, and vessel material, </w:t>
      </w:r>
      <w:r w:rsidR="007559DB">
        <w:t>all of which affect</w:t>
      </w:r>
      <w:r>
        <w:t xml:space="preserve"> </w:t>
      </w:r>
      <w:r w:rsidR="007559DB">
        <w:t xml:space="preserve">the intensity of </w:t>
      </w:r>
      <w:r>
        <w:t xml:space="preserve">hazards. Blast overpressure remains the most studied hazard, often quantified through energy models, with Planas-Cuchi et al. (2004) </w:t>
      </w:r>
      <w:r w:rsidR="007559DB">
        <w:t>assuming an adiabatic and irreversible expansion process</w:t>
      </w:r>
      <w:r>
        <w:t>, and Casal and Salla (2006) focusing on the liquid’s flash fraction.</w:t>
      </w:r>
      <w:r w:rsidR="006F0096">
        <w:t xml:space="preserve"> </w:t>
      </w:r>
    </w:p>
    <w:p w14:paraId="3E80677B" w14:textId="4FAD9ED0" w:rsidR="00186EAD" w:rsidRDefault="00FB0DFD" w:rsidP="00186EAD">
      <w:pPr>
        <w:pStyle w:val="CETListbullets"/>
        <w:ind w:left="0" w:firstLine="0"/>
        <w:rPr>
          <w:lang w:val="en-CA"/>
        </w:rPr>
      </w:pPr>
      <w:r>
        <w:rPr>
          <w:lang w:val="en-CA"/>
        </w:rPr>
        <w:t>More recent models,</w:t>
      </w:r>
      <w:r w:rsidR="00564244">
        <w:rPr>
          <w:lang w:val="en-CA"/>
        </w:rPr>
        <w:t xml:space="preserve"> focusing on the blast effect above the vessel,</w:t>
      </w:r>
      <w:r>
        <w:rPr>
          <w:lang w:val="en-CA"/>
        </w:rPr>
        <w:t xml:space="preserve"> such as Birk et al. (201</w:t>
      </w:r>
      <w:r w:rsidR="00997D00">
        <w:rPr>
          <w:lang w:val="en-CA"/>
        </w:rPr>
        <w:t>8</w:t>
      </w:r>
      <w:r>
        <w:rPr>
          <w:lang w:val="en-CA"/>
        </w:rPr>
        <w:t xml:space="preserve">) using the tube spherical </w:t>
      </w:r>
      <w:r w:rsidR="0085184B">
        <w:rPr>
          <w:lang w:val="en-CA"/>
        </w:rPr>
        <w:t xml:space="preserve">shock </w:t>
      </w:r>
      <w:r>
        <w:rPr>
          <w:lang w:val="en-CA"/>
        </w:rPr>
        <w:t>approach and Laamarti et al. (</w:t>
      </w:r>
      <w:r w:rsidR="00F612AA">
        <w:rPr>
          <w:lang w:val="en-CA"/>
        </w:rPr>
        <w:t xml:space="preserve">2024, </w:t>
      </w:r>
      <w:r w:rsidR="006576C5">
        <w:rPr>
          <w:lang w:val="en-CA"/>
        </w:rPr>
        <w:t>a</w:t>
      </w:r>
      <w:r>
        <w:rPr>
          <w:lang w:val="en-CA"/>
        </w:rPr>
        <w:t xml:space="preserve">) with correlations, have </w:t>
      </w:r>
      <w:r w:rsidR="00AF6C3C">
        <w:rPr>
          <w:lang w:val="en-CA"/>
        </w:rPr>
        <w:t xml:space="preserve">successfully predicted </w:t>
      </w:r>
      <w:r w:rsidR="004A3944">
        <w:rPr>
          <w:lang w:val="en-CA"/>
        </w:rPr>
        <w:t xml:space="preserve">the vertical </w:t>
      </w:r>
      <w:r w:rsidR="00AF6C3C">
        <w:rPr>
          <w:lang w:val="en-CA"/>
        </w:rPr>
        <w:t xml:space="preserve">near-field overpressure in small-scale BLEVE experiments. Maximum overpressure was found to occur at </w:t>
      </w:r>
      <w:r w:rsidR="0001603B">
        <w:rPr>
          <w:lang w:val="en-CA"/>
        </w:rPr>
        <w:t>three</w:t>
      </w:r>
      <w:r w:rsidR="00AF6C3C">
        <w:rPr>
          <w:lang w:val="en-CA"/>
        </w:rPr>
        <w:t xml:space="preserve"> to </w:t>
      </w:r>
      <w:r w:rsidR="0001603B">
        <w:rPr>
          <w:lang w:val="en-CA"/>
        </w:rPr>
        <w:t>four</w:t>
      </w:r>
      <w:r w:rsidR="00AF6C3C">
        <w:rPr>
          <w:lang w:val="en-CA"/>
        </w:rPr>
        <w:t xml:space="preserve"> times the vessel diameter vertically. These studies assume ideal hemispherical propagation of peak overpressure, but do not account for the real anisotropic pressure fields in actual BLEVEs. They simplif</w:t>
      </w:r>
      <w:r w:rsidR="00C232A6">
        <w:rPr>
          <w:lang w:val="en-CA"/>
        </w:rPr>
        <w:t>ied</w:t>
      </w:r>
      <w:r w:rsidR="00AF6C3C">
        <w:rPr>
          <w:lang w:val="en-CA"/>
        </w:rPr>
        <w:t xml:space="preserve"> the vapor phase as an ideal gas, ignore fragment mass, and overlook the complexities of vessel opening dynamics, which are influenced by crack location (middle or side)</w:t>
      </w:r>
      <w:r w:rsidR="004A3944">
        <w:rPr>
          <w:lang w:val="en-CA"/>
        </w:rPr>
        <w:t xml:space="preserve"> and</w:t>
      </w:r>
      <w:r w:rsidR="0085184B">
        <w:rPr>
          <w:lang w:val="en-CA"/>
        </w:rPr>
        <w:t xml:space="preserve"> vessel wall</w:t>
      </w:r>
      <w:r w:rsidR="00AF6C3C">
        <w:rPr>
          <w:lang w:val="en-CA"/>
        </w:rPr>
        <w:t xml:space="preserve"> material </w:t>
      </w:r>
      <w:r w:rsidR="0085184B">
        <w:rPr>
          <w:lang w:val="en-CA"/>
        </w:rPr>
        <w:t>properties</w:t>
      </w:r>
      <w:r w:rsidR="004A3944">
        <w:rPr>
          <w:lang w:val="en-CA"/>
        </w:rPr>
        <w:t xml:space="preserve">. </w:t>
      </w:r>
      <w:r w:rsidR="00AF6C3C">
        <w:rPr>
          <w:lang w:val="en-CA"/>
        </w:rPr>
        <w:t xml:space="preserve"> </w:t>
      </w:r>
    </w:p>
    <w:p w14:paraId="2156A2DC" w14:textId="6878BEAA" w:rsidR="006F0096" w:rsidRDefault="00AF6C3C" w:rsidP="00186EAD">
      <w:pPr>
        <w:pStyle w:val="CETListbullets"/>
        <w:ind w:left="0" w:firstLine="0"/>
        <w:rPr>
          <w:lang w:val="en-CA"/>
        </w:rPr>
      </w:pPr>
      <w:r>
        <w:rPr>
          <w:lang w:val="en-CA"/>
        </w:rPr>
        <w:t xml:space="preserve">The shape of a vessel, whether spherical or cylindrical, significantly influences the blast pattern. Spherical vessels </w:t>
      </w:r>
      <w:r w:rsidR="0085184B">
        <w:rPr>
          <w:lang w:val="en-CA"/>
        </w:rPr>
        <w:t xml:space="preserve">may </w:t>
      </w:r>
      <w:r>
        <w:rPr>
          <w:lang w:val="en-CA"/>
        </w:rPr>
        <w:t xml:space="preserve">produce </w:t>
      </w:r>
      <w:r w:rsidR="0067321A">
        <w:rPr>
          <w:lang w:val="en-CA"/>
        </w:rPr>
        <w:t>more uniform blasts, while cylindrical vessels, especially those with a high length to diameter ratio, generate stronger directional overpressure, particularly at the top</w:t>
      </w:r>
      <w:r w:rsidR="0085184B">
        <w:rPr>
          <w:lang w:val="en-CA"/>
        </w:rPr>
        <w:t>, sides and ends</w:t>
      </w:r>
      <w:r w:rsidR="0067321A">
        <w:rPr>
          <w:lang w:val="en-CA"/>
        </w:rPr>
        <w:t>. Since cylindrical vessel</w:t>
      </w:r>
      <w:r w:rsidR="006F0096">
        <w:rPr>
          <w:lang w:val="en-CA"/>
        </w:rPr>
        <w:t>s</w:t>
      </w:r>
      <w:r w:rsidR="0067321A">
        <w:rPr>
          <w:lang w:val="en-CA"/>
        </w:rPr>
        <w:t xml:space="preserve"> are the most common in industry due to ease of handling and transportation, addressing this anisotropy is crucial for risk assessment and emergency response. Understanding the directional blast effects helps determine safety distances for people and infrastructure, including vertical impacts, as seen in the 2022 </w:t>
      </w:r>
      <w:r w:rsidR="0067321A">
        <w:rPr>
          <w:lang w:val="en-CA"/>
        </w:rPr>
        <w:lastRenderedPageBreak/>
        <w:t>Johannesburg incident, where a BLEVE from a tank truck</w:t>
      </w:r>
      <w:r w:rsidR="006F0096">
        <w:rPr>
          <w:lang w:val="en-CA"/>
        </w:rPr>
        <w:t xml:space="preserve"> lodged</w:t>
      </w:r>
      <w:r w:rsidR="0067321A">
        <w:rPr>
          <w:lang w:val="en-CA"/>
        </w:rPr>
        <w:t xml:space="preserve"> under a bridge caused its partial collapse. </w:t>
      </w:r>
      <w:r w:rsidR="00FE69CE">
        <w:rPr>
          <w:lang w:val="en-CA"/>
        </w:rPr>
        <w:t>This consideration is essential in global safety considerations (Heymes et al. (2014)</w:t>
      </w:r>
      <w:r w:rsidR="000B03FB">
        <w:rPr>
          <w:lang w:val="en-CA"/>
        </w:rPr>
        <w:t>).</w:t>
      </w:r>
    </w:p>
    <w:p w14:paraId="438F8B63" w14:textId="4E8C0E4D" w:rsidR="00D52ABB" w:rsidRDefault="00186EAD" w:rsidP="00D52ABB">
      <w:pPr>
        <w:pStyle w:val="CETListbullets"/>
        <w:ind w:left="0" w:firstLine="0"/>
        <w:rPr>
          <w:lang w:val="en-CA"/>
        </w:rPr>
      </w:pPr>
      <w:r>
        <w:rPr>
          <w:lang w:val="en-CA"/>
        </w:rPr>
        <w:t>Few studies have been focusing on the directional overpressure effects of the BLEVE</w:t>
      </w:r>
      <w:r w:rsidR="00D52ABB">
        <w:rPr>
          <w:lang w:val="en-CA"/>
        </w:rPr>
        <w:t xml:space="preserve">, </w:t>
      </w:r>
      <w:r>
        <w:rPr>
          <w:lang w:val="en-CA"/>
        </w:rPr>
        <w:t>among them Baker et al. (198</w:t>
      </w:r>
      <w:r w:rsidR="000B03FB">
        <w:rPr>
          <w:lang w:val="en-CA"/>
        </w:rPr>
        <w:t>5</w:t>
      </w:r>
      <w:r>
        <w:rPr>
          <w:lang w:val="en-CA"/>
        </w:rPr>
        <w:t xml:space="preserve">) that proposed approximate adjustments factors to account for the cylindrical vessel shape and ground effect relative to the scaled distance. Experimentally, Birk et al. (2007) and Johnson et al. (1991) investigated the directional effect across different compounds, vessel volumes and operating conditions. </w:t>
      </w:r>
      <w:r w:rsidR="00F377B5">
        <w:rPr>
          <w:lang w:val="en-CA"/>
        </w:rPr>
        <w:t xml:space="preserve">Geng et al. (2011) and </w:t>
      </w:r>
      <w:r>
        <w:rPr>
          <w:lang w:val="en-CA"/>
        </w:rPr>
        <w:t xml:space="preserve">Hanssen et al. (2016) carried out </w:t>
      </w:r>
      <w:r w:rsidR="006576C5">
        <w:rPr>
          <w:lang w:val="en-CA"/>
        </w:rPr>
        <w:t>CFD</w:t>
      </w:r>
      <w:r>
        <w:rPr>
          <w:lang w:val="en-CA"/>
        </w:rPr>
        <w:t xml:space="preserve"> modelling to calculate the blast effects for a cylindrical burst in axial and radial directions</w:t>
      </w:r>
      <w:r w:rsidR="00D27187">
        <w:rPr>
          <w:lang w:val="en-CA"/>
        </w:rPr>
        <w:t xml:space="preserve"> showing</w:t>
      </w:r>
      <w:r>
        <w:rPr>
          <w:lang w:val="en-CA"/>
        </w:rPr>
        <w:t xml:space="preserve"> </w:t>
      </w:r>
      <w:r w:rsidR="00FE69CE">
        <w:rPr>
          <w:lang w:val="en-CA"/>
        </w:rPr>
        <w:t xml:space="preserve">that the blast effects are not </w:t>
      </w:r>
      <w:r w:rsidR="00097AEC">
        <w:rPr>
          <w:lang w:val="en-CA"/>
        </w:rPr>
        <w:t>symmetric. Most</w:t>
      </w:r>
      <w:r w:rsidR="00D52ABB">
        <w:rPr>
          <w:lang w:val="en-CA"/>
        </w:rPr>
        <w:t xml:space="preserve"> of the studies done on blast overpressure have primarily focused on far-field measurements and on overpressure in the horizontal </w:t>
      </w:r>
      <w:r w:rsidR="00FE69CE">
        <w:rPr>
          <w:lang w:val="en-CA"/>
        </w:rPr>
        <w:t>direction.</w:t>
      </w:r>
      <w:r w:rsidR="00281FF5">
        <w:rPr>
          <w:lang w:val="en-CA"/>
        </w:rPr>
        <w:t xml:space="preserve"> Few researchers have investigated the vertical direction, among them, Laboureur et al. (2015) </w:t>
      </w:r>
      <w:r w:rsidR="00FE69CE">
        <w:rPr>
          <w:lang w:val="en-CA"/>
        </w:rPr>
        <w:t xml:space="preserve">that </w:t>
      </w:r>
      <w:r w:rsidR="00281FF5">
        <w:rPr>
          <w:lang w:val="en-CA"/>
        </w:rPr>
        <w:t xml:space="preserve">recommend measuring the blast from the top, side and end of the reservoir. However, no experimental studies to date have specifically examined near-field overpressure </w:t>
      </w:r>
      <w:r w:rsidR="0001603B">
        <w:rPr>
          <w:lang w:val="en-CA"/>
        </w:rPr>
        <w:t xml:space="preserve">at different orientations </w:t>
      </w:r>
      <w:r w:rsidR="00FE69CE">
        <w:rPr>
          <w:lang w:val="en-CA"/>
        </w:rPr>
        <w:t>of a BLEVE involving</w:t>
      </w:r>
      <w:r w:rsidR="00D27187">
        <w:rPr>
          <w:lang w:val="en-CA"/>
        </w:rPr>
        <w:t xml:space="preserve"> a </w:t>
      </w:r>
      <w:r w:rsidR="00FE69CE">
        <w:rPr>
          <w:lang w:val="en-CA"/>
        </w:rPr>
        <w:t>realistic rupture</w:t>
      </w:r>
      <w:r w:rsidR="00A45C5B">
        <w:rPr>
          <w:lang w:val="en-CA"/>
        </w:rPr>
        <w:t xml:space="preserve"> of the vessel but heavier end caps. </w:t>
      </w:r>
    </w:p>
    <w:p w14:paraId="006643F1" w14:textId="4A0D58B6" w:rsidR="00456D33" w:rsidRDefault="00456D33" w:rsidP="00186EAD">
      <w:pPr>
        <w:pStyle w:val="CETListbullets"/>
        <w:ind w:left="0" w:firstLine="0"/>
        <w:rPr>
          <w:lang w:val="en-CA"/>
        </w:rPr>
      </w:pPr>
      <w:r>
        <w:rPr>
          <w:lang w:val="en-CA"/>
        </w:rPr>
        <w:t>This study enhances the understanding of overpressure directionality and anisotropy in BLEVEs through controlled small-scale experiments</w:t>
      </w:r>
      <w:r w:rsidR="006576C5">
        <w:rPr>
          <w:lang w:val="en-CA"/>
        </w:rPr>
        <w:t xml:space="preserve"> (Laamarti et al. (2024, b))</w:t>
      </w:r>
      <w:r>
        <w:rPr>
          <w:lang w:val="en-CA"/>
        </w:rPr>
        <w:t xml:space="preserve"> on cylindrical vessels filled with pure propane under various failure conditions (failure pressure, liquid fill level, weakened length). The aluminum vessel</w:t>
      </w:r>
      <w:r w:rsidR="00EC2D91">
        <w:rPr>
          <w:lang w:val="en-CA"/>
        </w:rPr>
        <w:t>s</w:t>
      </w:r>
      <w:r>
        <w:rPr>
          <w:lang w:val="en-CA"/>
        </w:rPr>
        <w:t xml:space="preserve"> produced different types of openings across 80 experiments. Thirteen blast gauges, positioned at various angles and elevations, recorded near-field overpressure from </w:t>
      </w:r>
      <w:r w:rsidR="00D61EA8" w:rsidRPr="00DF0DF0">
        <w:rPr>
          <w:lang w:val="en-CA"/>
        </w:rPr>
        <w:t xml:space="preserve">eighteen </w:t>
      </w:r>
      <w:r>
        <w:rPr>
          <w:lang w:val="en-CA"/>
        </w:rPr>
        <w:t>sensors. Data from these gauges were used to reconstruct the aerial overpressure shape at various orientations. High-speed cameras captured vessel opening dynamics, synchronized with overpressure data for thorough analysis</w:t>
      </w:r>
      <w:r w:rsidR="00EC2D91">
        <w:rPr>
          <w:lang w:val="en-CA"/>
        </w:rPr>
        <w:t>.</w:t>
      </w:r>
      <w:r w:rsidR="007E419D">
        <w:rPr>
          <w:lang w:val="en-CA"/>
        </w:rPr>
        <w:t xml:space="preserve"> </w:t>
      </w:r>
    </w:p>
    <w:p w14:paraId="14FBF71C" w14:textId="77777777" w:rsidR="007E419D" w:rsidRDefault="007E419D" w:rsidP="007E419D">
      <w:pPr>
        <w:pStyle w:val="CETHeading1"/>
      </w:pPr>
      <w:r>
        <w:t>Experimental apparatus</w:t>
      </w:r>
    </w:p>
    <w:p w14:paraId="2143A84B" w14:textId="662D404C" w:rsidR="007E419D" w:rsidRPr="0094048E" w:rsidRDefault="007E419D" w:rsidP="007E419D">
      <w:pPr>
        <w:pStyle w:val="CETBodytext"/>
      </w:pPr>
      <w:r>
        <w:t xml:space="preserve">The small-scale BLEVE experiments represent a cost-effective alternative to large scale experiments. They afford </w:t>
      </w:r>
      <w:r w:rsidR="00B702CC">
        <w:t>greater</w:t>
      </w:r>
      <w:r>
        <w:t xml:space="preserve"> flexibility in adjusting operating parameters to explore diverse facets of the BLEVE. In the case of </w:t>
      </w:r>
      <w:r w:rsidR="0001603B">
        <w:t xml:space="preserve">a </w:t>
      </w:r>
      <w:r>
        <w:t xml:space="preserve">BLEVE, conducting experiments offer a controlled environment to replicate real-world scenarios without the potential for catastrophic damage, while still providing valuable insights into failure modes and explosion dynamics. These experiments were conducted indoors on cylindrical horizontal aluminum tubes measuring </w:t>
      </w:r>
      <w:r>
        <w:rPr>
          <w:lang w:val="en-CA"/>
        </w:rPr>
        <w:t xml:space="preserve">305 </w:t>
      </w:r>
      <w:r w:rsidRPr="00DF0DF0">
        <w:rPr>
          <w:lang w:val="en-CA"/>
        </w:rPr>
        <w:t>± 5 mm long, 50.8 ± 0.8 mm in diameter and 1.65 ± 0.05 mm in thickness</w:t>
      </w:r>
      <w:r>
        <w:rPr>
          <w:lang w:val="en-CA"/>
        </w:rPr>
        <w:t>. The tubes are made of aluminum 6061 T6 and were annealed to T0 temper to reduce the material yield strength. They were then machined and filed on the top along a defined weakened</w:t>
      </w:r>
      <w:r w:rsidR="00EC2D91">
        <w:rPr>
          <w:lang w:val="en-CA"/>
        </w:rPr>
        <w:t xml:space="preserve"> length</w:t>
      </w:r>
      <w:r>
        <w:rPr>
          <w:lang w:val="en-CA"/>
        </w:rPr>
        <w:t xml:space="preserve"> so they can burst at the desired burst pressures. The tubes were supported by cradles </w:t>
      </w:r>
      <w:r w:rsidR="00D27187">
        <w:rPr>
          <w:lang w:val="en-CA"/>
        </w:rPr>
        <w:t xml:space="preserve">with a blast plate </w:t>
      </w:r>
      <w:r>
        <w:rPr>
          <w:lang w:val="en-CA"/>
        </w:rPr>
        <w:t>and mounted on four</w:t>
      </w:r>
      <w:r w:rsidR="00D27187">
        <w:rPr>
          <w:lang w:val="en-CA"/>
        </w:rPr>
        <w:t xml:space="preserve"> high-speed</w:t>
      </w:r>
      <w:r>
        <w:rPr>
          <w:lang w:val="en-CA"/>
        </w:rPr>
        <w:t xml:space="preserve"> load cells with all siting on 1 meter bloc of concrete. To heat the tube </w:t>
      </w:r>
      <w:r w:rsidR="00D27187">
        <w:rPr>
          <w:lang w:val="en-CA"/>
        </w:rPr>
        <w:t xml:space="preserve">bottom </w:t>
      </w:r>
      <w:r>
        <w:rPr>
          <w:lang w:val="en-CA"/>
        </w:rPr>
        <w:t xml:space="preserve">and correspondingly the propane liquid, an electric heater was </w:t>
      </w:r>
      <w:r w:rsidR="00EC2D91">
        <w:rPr>
          <w:lang w:val="en-CA"/>
        </w:rPr>
        <w:t>placed</w:t>
      </w:r>
      <w:r>
        <w:rPr>
          <w:lang w:val="en-CA"/>
        </w:rPr>
        <w:t xml:space="preserve"> below. The instrumentation introduced to measure the data including high/low speed measurement</w:t>
      </w:r>
      <w:r w:rsidR="000E6CE8">
        <w:rPr>
          <w:lang w:val="en-CA"/>
        </w:rPr>
        <w:t>s</w:t>
      </w:r>
      <w:r>
        <w:rPr>
          <w:lang w:val="en-CA"/>
        </w:rPr>
        <w:t xml:space="preserve"> are:</w:t>
      </w:r>
    </w:p>
    <w:p w14:paraId="3B9C04C9" w14:textId="53DF8F29" w:rsidR="007E419D" w:rsidRPr="00FE1AB6" w:rsidRDefault="007E419D" w:rsidP="007E419D">
      <w:pPr>
        <w:pStyle w:val="Paragrafoelenco"/>
        <w:numPr>
          <w:ilvl w:val="0"/>
          <w:numId w:val="27"/>
        </w:numPr>
        <w:rPr>
          <w:lang w:val="en-CA"/>
        </w:rPr>
      </w:pPr>
      <w:r w:rsidRPr="00FE1AB6">
        <w:rPr>
          <w:lang w:val="en-CA"/>
        </w:rPr>
        <w:t xml:space="preserve">Five high-speed cameras strategically positioned </w:t>
      </w:r>
      <w:r w:rsidR="00425944">
        <w:rPr>
          <w:lang w:val="en-CA"/>
        </w:rPr>
        <w:t>and</w:t>
      </w:r>
      <w:r w:rsidR="00E53B43">
        <w:rPr>
          <w:lang w:val="en-CA"/>
        </w:rPr>
        <w:t xml:space="preserve"> going up to 88,000 fps.</w:t>
      </w:r>
    </w:p>
    <w:p w14:paraId="4AE71B96" w14:textId="1580965B" w:rsidR="007E419D" w:rsidRPr="00DF0DF0" w:rsidRDefault="007E419D" w:rsidP="007E419D">
      <w:pPr>
        <w:pStyle w:val="Paragrafoelenco"/>
        <w:numPr>
          <w:ilvl w:val="0"/>
          <w:numId w:val="24"/>
        </w:numPr>
        <w:tabs>
          <w:tab w:val="clear" w:pos="7100"/>
        </w:tabs>
        <w:spacing w:line="240" w:lineRule="auto"/>
        <w:rPr>
          <w:lang w:val="en-CA"/>
        </w:rPr>
      </w:pPr>
      <w:r w:rsidRPr="00DF0DF0">
        <w:rPr>
          <w:lang w:val="en-CA"/>
        </w:rPr>
        <w:t xml:space="preserve">Thirteen pencil blast gages with a total of eighteen sensors across different locations to measure the overpressure. Four vertical blast sensors above the tube are PCB137B28 [1 µs response time / 0.2 % uncertainty] </w:t>
      </w:r>
      <w:r w:rsidR="0001603B">
        <w:rPr>
          <w:lang w:val="en-CA"/>
        </w:rPr>
        <w:t>O</w:t>
      </w:r>
      <w:r w:rsidRPr="00DF0DF0">
        <w:rPr>
          <w:lang w:val="en-CA"/>
        </w:rPr>
        <w:t xml:space="preserve">ther gages around the tube are PCB 137A23 [ 4 µs response time / 0.2 % uncertainty]. </w:t>
      </w:r>
    </w:p>
    <w:p w14:paraId="484BB2B2" w14:textId="32A84032" w:rsidR="00E53B43" w:rsidRPr="00E53B43" w:rsidRDefault="007E419D" w:rsidP="00E53B43">
      <w:pPr>
        <w:pStyle w:val="Paragrafoelenco"/>
        <w:numPr>
          <w:ilvl w:val="1"/>
          <w:numId w:val="26"/>
        </w:numPr>
        <w:tabs>
          <w:tab w:val="clear" w:pos="7100"/>
        </w:tabs>
        <w:spacing w:line="240" w:lineRule="auto"/>
        <w:rPr>
          <w:lang w:val="en-CA"/>
        </w:rPr>
      </w:pPr>
      <w:r w:rsidRPr="00DF0DF0">
        <w:rPr>
          <w:lang w:val="en-CA"/>
        </w:rPr>
        <w:t>Thermocouples type K</w:t>
      </w:r>
      <w:r w:rsidR="00E53B43">
        <w:rPr>
          <w:lang w:val="en-CA"/>
        </w:rPr>
        <w:t xml:space="preserve">, static pressure transducer </w:t>
      </w:r>
      <w:r w:rsidR="00E53B43" w:rsidRPr="00DF0DF0">
        <w:rPr>
          <w:lang w:val="en-CA"/>
        </w:rPr>
        <w:t>TC-direct 716-072</w:t>
      </w:r>
      <w:r w:rsidR="00E53B43">
        <w:rPr>
          <w:lang w:val="en-CA"/>
        </w:rPr>
        <w:t xml:space="preserve">, High-speed transducer </w:t>
      </w:r>
      <w:r w:rsidR="00E53B43" w:rsidRPr="00DF0DF0">
        <w:rPr>
          <w:lang w:val="en-CA"/>
        </w:rPr>
        <w:t>PCB M101A02</w:t>
      </w:r>
      <w:r w:rsidR="00E53B43">
        <w:rPr>
          <w:lang w:val="en-CA"/>
        </w:rPr>
        <w:t xml:space="preserve">, </w:t>
      </w:r>
      <w:r w:rsidR="00997D00" w:rsidRPr="00E53B43">
        <w:rPr>
          <w:lang w:val="en-CA"/>
        </w:rPr>
        <w:t>four</w:t>
      </w:r>
      <w:r w:rsidRPr="00E53B43">
        <w:rPr>
          <w:lang w:val="en-CA"/>
        </w:rPr>
        <w:t xml:space="preserve"> piezoelectric load cells PCB M202B</w:t>
      </w:r>
      <w:r w:rsidR="00E53B43">
        <w:rPr>
          <w:lang w:val="en-CA"/>
        </w:rPr>
        <w:t xml:space="preserve">, </w:t>
      </w:r>
      <w:r w:rsidRPr="00E53B43">
        <w:rPr>
          <w:lang w:val="en-CA"/>
        </w:rPr>
        <w:t>Electric valves, Swagelok end fittings with Dk-Lok ferrules, an infrared camera FLIR GF320 GASFIND to detect leaks.</w:t>
      </w:r>
    </w:p>
    <w:p w14:paraId="1260F43C" w14:textId="5AFE329C" w:rsidR="006576C5" w:rsidRDefault="006576C5" w:rsidP="0001603B">
      <w:pPr>
        <w:pStyle w:val="CETBodytext"/>
        <w:rPr>
          <w:lang w:val="en-CA"/>
        </w:rPr>
      </w:pPr>
      <w:r>
        <w:rPr>
          <w:lang w:val="en-CA"/>
        </w:rPr>
        <w:t xml:space="preserve">More details of the apparatus can be found in Laamarti et al. (2024, b). </w:t>
      </w:r>
    </w:p>
    <w:p w14:paraId="582914F0" w14:textId="7D110E5D" w:rsidR="0001603B" w:rsidRDefault="00D61EA8" w:rsidP="0001603B">
      <w:pPr>
        <w:pStyle w:val="CETBodytext"/>
        <w:rPr>
          <w:lang w:val="en-CA"/>
        </w:rPr>
      </w:pPr>
      <w:r>
        <w:rPr>
          <w:lang w:val="en-CA"/>
        </w:rPr>
        <w:t xml:space="preserve">Figure </w:t>
      </w:r>
      <w:r w:rsidR="00427F71">
        <w:rPr>
          <w:lang w:val="en-CA"/>
        </w:rPr>
        <w:t>1</w:t>
      </w:r>
      <w:r>
        <w:rPr>
          <w:lang w:val="en-CA"/>
        </w:rPr>
        <w:t xml:space="preserve"> illustrates the positioning of the gauges relative to the tube. </w:t>
      </w:r>
      <w:r w:rsidR="0001603B">
        <w:rPr>
          <w:lang w:val="en-CA"/>
        </w:rPr>
        <w:t>Each sensor was named according to space rules: HOR means horizontal; FT means front; BK means back; RGT means right; 45 means tilted on an axis at 45° from vertical axis; TOP means top position.</w:t>
      </w:r>
    </w:p>
    <w:p w14:paraId="69DCB4A7" w14:textId="47F97584" w:rsidR="008C6EA0" w:rsidRDefault="00316F3A" w:rsidP="0001603B">
      <w:pPr>
        <w:pStyle w:val="CETBodytext"/>
        <w:jc w:val="center"/>
        <w:rPr>
          <w:lang w:val="en-CA"/>
        </w:rPr>
      </w:pPr>
      <w:r w:rsidRPr="00316F3A">
        <w:rPr>
          <w:noProof/>
          <w:lang w:val="en-CA"/>
        </w:rPr>
        <w:drawing>
          <wp:inline distT="0" distB="0" distL="0" distR="0" wp14:anchorId="481E2317" wp14:editId="7DB04C11">
            <wp:extent cx="3805142" cy="2133600"/>
            <wp:effectExtent l="0" t="0" r="5080" b="0"/>
            <wp:docPr id="65213510" name="Image 1" descr="Une image contenant texte, diagramme, capture d’écran,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3510" name="Image 1" descr="Une image contenant texte, diagramme, capture d’écran, Plan&#10;&#10;Description générée automatiquement"/>
                    <pic:cNvPicPr/>
                  </pic:nvPicPr>
                  <pic:blipFill>
                    <a:blip r:embed="rId10"/>
                    <a:stretch>
                      <a:fillRect/>
                    </a:stretch>
                  </pic:blipFill>
                  <pic:spPr>
                    <a:xfrm>
                      <a:off x="0" y="0"/>
                      <a:ext cx="3805142" cy="2133600"/>
                    </a:xfrm>
                    <a:prstGeom prst="rect">
                      <a:avLst/>
                    </a:prstGeom>
                  </pic:spPr>
                </pic:pic>
              </a:graphicData>
            </a:graphic>
          </wp:inline>
        </w:drawing>
      </w:r>
    </w:p>
    <w:p w14:paraId="70FA18BA" w14:textId="7C6C9934" w:rsidR="00E53B43" w:rsidRDefault="00316F3A" w:rsidP="00E53B43">
      <w:pPr>
        <w:pStyle w:val="CETBodytext"/>
        <w:jc w:val="center"/>
        <w:rPr>
          <w:lang w:val="en-CA"/>
        </w:rPr>
      </w:pPr>
      <w:r w:rsidRPr="00316F3A">
        <w:rPr>
          <w:noProof/>
          <w:lang w:val="en-CA"/>
        </w:rPr>
        <w:lastRenderedPageBreak/>
        <w:drawing>
          <wp:inline distT="0" distB="0" distL="0" distR="0" wp14:anchorId="6D3E5E5E" wp14:editId="57930AF9">
            <wp:extent cx="3710789" cy="2098431"/>
            <wp:effectExtent l="0" t="0" r="0" b="6350"/>
            <wp:docPr id="977121117" name="Image 1" descr="Une image contenant capture d’écran, diagramme, ligne,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21117" name="Image 1" descr="Une image contenant capture d’écran, diagramme, ligne, croquis&#10;&#10;Description générée automatiquement"/>
                    <pic:cNvPicPr/>
                  </pic:nvPicPr>
                  <pic:blipFill>
                    <a:blip r:embed="rId11"/>
                    <a:stretch>
                      <a:fillRect/>
                    </a:stretch>
                  </pic:blipFill>
                  <pic:spPr>
                    <a:xfrm>
                      <a:off x="0" y="0"/>
                      <a:ext cx="3710789" cy="2098431"/>
                    </a:xfrm>
                    <a:prstGeom prst="rect">
                      <a:avLst/>
                    </a:prstGeom>
                  </pic:spPr>
                </pic:pic>
              </a:graphicData>
            </a:graphic>
          </wp:inline>
        </w:drawing>
      </w:r>
    </w:p>
    <w:p w14:paraId="413D058A" w14:textId="4B50E23A" w:rsidR="00E53B43" w:rsidRDefault="00E53B43" w:rsidP="00427F71">
      <w:pPr>
        <w:pStyle w:val="CETCaption"/>
        <w:jc w:val="center"/>
      </w:pPr>
      <w:r w:rsidRPr="00BD077D">
        <w:rPr>
          <w:rStyle w:val="CETCaptionCarattere"/>
          <w:i/>
        </w:rPr>
        <w:t xml:space="preserve">Figure 1: </w:t>
      </w:r>
      <w:r>
        <w:rPr>
          <w:rStyle w:val="CETCaptionCarattere"/>
          <w:i/>
        </w:rPr>
        <w:t xml:space="preserve">Top and side view of the </w:t>
      </w:r>
      <w:r w:rsidR="00427F71">
        <w:rPr>
          <w:rStyle w:val="CETCaptionCarattere"/>
          <w:i/>
        </w:rPr>
        <w:t xml:space="preserve">pressure </w:t>
      </w:r>
      <w:r>
        <w:rPr>
          <w:rStyle w:val="CETCaptionCarattere"/>
          <w:i/>
        </w:rPr>
        <w:t>vessel</w:t>
      </w:r>
      <w:r w:rsidR="00427F71">
        <w:rPr>
          <w:rStyle w:val="CETCaptionCarattere"/>
          <w:i/>
        </w:rPr>
        <w:t xml:space="preserve"> from 2022/2024 BLEVE apparatus</w:t>
      </w:r>
    </w:p>
    <w:p w14:paraId="56903038" w14:textId="6DED0516" w:rsidR="00E53B43" w:rsidRDefault="00E53B43" w:rsidP="00E53B43">
      <w:pPr>
        <w:pStyle w:val="CETHeading1"/>
      </w:pPr>
      <w:r>
        <w:t>Blast overpressure from the BLEVE</w:t>
      </w:r>
    </w:p>
    <w:p w14:paraId="4470E34E" w14:textId="3E1000BD" w:rsidR="009E33B2" w:rsidRDefault="00E53B43" w:rsidP="00E53B43">
      <w:pPr>
        <w:pStyle w:val="CETBodytext"/>
      </w:pPr>
      <w:r>
        <w:t xml:space="preserve">Upon rupture, the stored pressurized vapor inside the container </w:t>
      </w:r>
      <w:r w:rsidR="004717A1">
        <w:t>is</w:t>
      </w:r>
      <w:r>
        <w:t xml:space="preserve"> released, rapidly expanding into the surrounding environment. This sudden expansion generates a high-pressure shockwave or blast wave, which is characterized by three key parameters: magnitude, duration and impulse. The intensity of these parameters depends heavily on the opening dynamics and the operating conditions of the container, such as its internal pressure, temperature and the nature of the stored substance. </w:t>
      </w:r>
    </w:p>
    <w:p w14:paraId="56252783" w14:textId="08F2D806" w:rsidR="004D4A15" w:rsidRDefault="009E33B2" w:rsidP="00E53B43">
      <w:pPr>
        <w:pStyle w:val="CETBodytext"/>
      </w:pPr>
      <w:r>
        <w:t xml:space="preserve">The understanding of this </w:t>
      </w:r>
      <w:r w:rsidR="00F377B5">
        <w:t xml:space="preserve">blast </w:t>
      </w:r>
      <w:r>
        <w:t xml:space="preserve">directionality and anisotropic behavior of the blast has been made possible through 80 </w:t>
      </w:r>
      <w:r w:rsidR="00C32AFD">
        <w:t>small-scale</w:t>
      </w:r>
      <w:r w:rsidR="00097AEC">
        <w:t xml:space="preserve"> propane</w:t>
      </w:r>
      <w:r w:rsidR="00C32AFD">
        <w:t xml:space="preserve"> BLEVE experiments, conducted in March 2022 and April 2024</w:t>
      </w:r>
      <w:r>
        <w:t xml:space="preserve">. </w:t>
      </w:r>
      <w:r w:rsidR="00C32AFD">
        <w:t xml:space="preserve"> </w:t>
      </w:r>
      <w:r w:rsidR="00097AEC">
        <w:t>V</w:t>
      </w:r>
      <w:r w:rsidR="00C32AFD">
        <w:t>arious blast gauges positioned around the tube</w:t>
      </w:r>
      <w:r w:rsidR="00097AEC">
        <w:t xml:space="preserve"> recorded the overpressure signals at different locations, as shown in Figures 2,3 and 4 for experiment </w:t>
      </w:r>
      <w:r w:rsidR="00884ECB">
        <w:t>31</w:t>
      </w:r>
      <w:r w:rsidR="00097AEC">
        <w:t xml:space="preserve"> from the 2022 BLEVE campaign.</w:t>
      </w:r>
      <w:r w:rsidR="00884ECB">
        <w:t xml:space="preserve"> While some noise in the data was noted, possibly due to obstacles or sensor interference, the overall trends remained clear. </w:t>
      </w:r>
      <w:r w:rsidR="000959E9">
        <w:t>Experimental results</w:t>
      </w:r>
      <w:r w:rsidR="00F377B5">
        <w:t xml:space="preserve"> for these vessel top failures</w:t>
      </w:r>
      <w:r w:rsidR="000959E9">
        <w:t xml:space="preserve"> showed that the highest overpressure was recorded in the vertical direction at the TOP1 gauge, located 15 cm above the tube</w:t>
      </w:r>
      <w:r w:rsidR="00F377B5">
        <w:t xml:space="preserve"> upper surface</w:t>
      </w:r>
      <w:r w:rsidR="000959E9">
        <w:t xml:space="preserve">, measuring </w:t>
      </w:r>
      <w:r w:rsidR="00884ECB">
        <w:t>382</w:t>
      </w:r>
      <w:r w:rsidR="000959E9">
        <w:t xml:space="preserve"> mbar in experiment </w:t>
      </w:r>
      <w:r w:rsidR="00884ECB">
        <w:t>31</w:t>
      </w:r>
      <w:r w:rsidR="000959E9">
        <w:t xml:space="preserve">. </w:t>
      </w:r>
      <w:r w:rsidR="00EF72AB">
        <w:t xml:space="preserve">Across all experiments, the maximum peak overpressure consistently occurred between 15 cm and 20 cm (TOP2 gauge). When comparing overpressure at the same distance (40 cm) across orientations, the vertical gauges recorded the highest overpressure at </w:t>
      </w:r>
      <w:r w:rsidR="00884ECB">
        <w:t>153</w:t>
      </w:r>
      <w:r w:rsidR="00EF72AB">
        <w:t xml:space="preserve"> mbar (</w:t>
      </w:r>
      <w:r w:rsidR="00DC6AF9">
        <w:t>TOP4</w:t>
      </w:r>
      <w:r w:rsidR="00EF72AB">
        <w:t xml:space="preserve">). The 45-degree tilt gauges, as shown in Figure 3, recorded a lower peak overpressure of </w:t>
      </w:r>
      <w:r w:rsidR="00884ECB">
        <w:t>146</w:t>
      </w:r>
      <w:r w:rsidR="00EF72AB">
        <w:t xml:space="preserve"> mbar (</w:t>
      </w:r>
      <w:r w:rsidR="00DC6AF9">
        <w:t>45FT2</w:t>
      </w:r>
      <w:r w:rsidR="00EF72AB">
        <w:t xml:space="preserve">), while the horizontal gauges measured the lowest overpressure at </w:t>
      </w:r>
      <w:r w:rsidR="00884ECB">
        <w:t>129</w:t>
      </w:r>
      <w:r w:rsidR="00EF72AB">
        <w:t xml:space="preserve"> mbar </w:t>
      </w:r>
      <w:r w:rsidR="00DC6AF9">
        <w:t xml:space="preserve">(HORFT1), </w:t>
      </w:r>
      <w:r w:rsidR="00EF72AB">
        <w:t xml:space="preserve">in the front direction. Overpressures at the back and front sides of the vessel were nearly identical across orientations, likely </w:t>
      </w:r>
      <w:r w:rsidR="00DC6AF9">
        <w:t xml:space="preserve">due </w:t>
      </w:r>
      <w:r w:rsidR="00EF72AB">
        <w:t xml:space="preserve">to the vessel’s symmetrical opening. </w:t>
      </w:r>
      <w:r w:rsidR="009855C3">
        <w:t>However, in some experiments where only one side of the vessel opened</w:t>
      </w:r>
      <w:r w:rsidR="00B702CC">
        <w:t xml:space="preserve"> fully</w:t>
      </w:r>
      <w:r w:rsidR="009855C3">
        <w:t>, the resulting overpressure was non-symmetrical, leading to uneven blast effects between the back and the front</w:t>
      </w:r>
      <w:r w:rsidR="00B702CC">
        <w:t xml:space="preserve"> sides</w:t>
      </w:r>
      <w:r w:rsidR="009855C3">
        <w:t xml:space="preserve">. </w:t>
      </w:r>
      <w:r w:rsidR="003E4927">
        <w:t xml:space="preserve">The cause of this asymmetrical rupture, where the vessel opened on a preferred side, is likely due to variations in the weakened length’s thickness that is not uniform along the tube. Thus, the tube opens first from the side of least resistance, where the thickness is the least. </w:t>
      </w:r>
      <w:r w:rsidR="009855C3">
        <w:t>Finally, comparing the</w:t>
      </w:r>
      <w:r w:rsidR="004D4A15">
        <w:t xml:space="preserve"> overpressure at</w:t>
      </w:r>
      <w:r w:rsidR="009855C3">
        <w:t xml:space="preserve"> </w:t>
      </w:r>
      <w:r w:rsidR="00DC6AF9">
        <w:t xml:space="preserve">back/front </w:t>
      </w:r>
      <w:r w:rsidR="009855C3">
        <w:t>side</w:t>
      </w:r>
      <w:r w:rsidR="004D4A15">
        <w:t>s</w:t>
      </w:r>
      <w:r w:rsidR="009855C3">
        <w:t xml:space="preserve"> </w:t>
      </w:r>
      <w:r w:rsidR="004D4A15">
        <w:t xml:space="preserve">with </w:t>
      </w:r>
      <w:r w:rsidR="009855C3">
        <w:t>th</w:t>
      </w:r>
      <w:r w:rsidR="004D4A15">
        <w:t>ose at the</w:t>
      </w:r>
      <w:r w:rsidR="009855C3">
        <w:t xml:space="preserve"> </w:t>
      </w:r>
      <w:r w:rsidR="00B702CC">
        <w:t xml:space="preserve">tube </w:t>
      </w:r>
      <w:r w:rsidR="009855C3">
        <w:t>end</w:t>
      </w:r>
      <w:r w:rsidR="00B702CC">
        <w:t>s</w:t>
      </w:r>
      <w:r w:rsidR="00DC6AF9">
        <w:t xml:space="preserve"> in the horizontal direction</w:t>
      </w:r>
      <w:r w:rsidR="004D4A15">
        <w:t xml:space="preserve"> at the same distance</w:t>
      </w:r>
      <w:r w:rsidR="00DC6AF9">
        <w:t xml:space="preserve"> reveals a significant</w:t>
      </w:r>
      <w:r w:rsidR="009855C3">
        <w:t xml:space="preserve"> </w:t>
      </w:r>
      <w:r w:rsidR="00DC6AF9">
        <w:t>discrepancy</w:t>
      </w:r>
      <w:r w:rsidR="00884ECB">
        <w:t>,</w:t>
      </w:r>
      <w:r w:rsidR="004D4A15">
        <w:t xml:space="preserve"> with values of</w:t>
      </w:r>
      <w:r w:rsidR="00884ECB">
        <w:t xml:space="preserve"> 129 mbar and 66 mbar</w:t>
      </w:r>
      <w:r w:rsidR="004D4A15">
        <w:t xml:space="preserve"> (HORRGT1)</w:t>
      </w:r>
      <w:r w:rsidR="00DC6AF9">
        <w:t xml:space="preserve"> respectively. </w:t>
      </w:r>
      <w:r w:rsidR="006576C5">
        <w:t>T</w:t>
      </w:r>
      <w:r w:rsidR="00B702CC">
        <w:t>he tube end fittings were not typical of cylindrical pressure vessel ends. The ends were closed with heavy Swagelok caps</w:t>
      </w:r>
      <w:r w:rsidR="000A18F6">
        <w:t xml:space="preserve">. The impact of the end fitting on the end overpressure is not yet known. </w:t>
      </w:r>
    </w:p>
    <w:p w14:paraId="0C345545" w14:textId="63EABD64" w:rsidR="00DC6AF9" w:rsidRDefault="00884ECB" w:rsidP="006576C5">
      <w:pPr>
        <w:pStyle w:val="CETBodytext"/>
        <w:jc w:val="center"/>
      </w:pPr>
      <w:r>
        <w:rPr>
          <w:noProof/>
        </w:rPr>
        <w:drawing>
          <wp:inline distT="0" distB="0" distL="0" distR="0" wp14:anchorId="0723ED47" wp14:editId="0C83FF5F">
            <wp:extent cx="2772351" cy="1733389"/>
            <wp:effectExtent l="0" t="0" r="0" b="635"/>
            <wp:docPr id="1259170608" name="Image 1" descr="Une image contenant texte, diagramm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170608" name="Image 1" descr="Une image contenant texte, diagramme, ligne, Tracé&#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2351" cy="1733389"/>
                    </a:xfrm>
                    <a:prstGeom prst="rect">
                      <a:avLst/>
                    </a:prstGeom>
                    <a:noFill/>
                    <a:ln>
                      <a:noFill/>
                    </a:ln>
                  </pic:spPr>
                </pic:pic>
              </a:graphicData>
            </a:graphic>
          </wp:inline>
        </w:drawing>
      </w:r>
      <w:r>
        <w:rPr>
          <w:noProof/>
        </w:rPr>
        <w:drawing>
          <wp:inline distT="0" distB="0" distL="0" distR="0" wp14:anchorId="0B780743" wp14:editId="10C3678C">
            <wp:extent cx="2793827" cy="1794510"/>
            <wp:effectExtent l="0" t="0" r="6985" b="0"/>
            <wp:docPr id="761790869" name="Image 2" descr="Une image contenant texte, diagramm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90869" name="Image 2" descr="Une image contenant texte, diagramme, ligne, nombr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7201" cy="1803100"/>
                    </a:xfrm>
                    <a:prstGeom prst="rect">
                      <a:avLst/>
                    </a:prstGeom>
                    <a:noFill/>
                    <a:ln>
                      <a:noFill/>
                    </a:ln>
                  </pic:spPr>
                </pic:pic>
              </a:graphicData>
            </a:graphic>
          </wp:inline>
        </w:drawing>
      </w:r>
      <w:r w:rsidR="00DC6AF9" w:rsidRPr="00BD077D">
        <w:rPr>
          <w:rStyle w:val="CETCaptionCarattere"/>
        </w:rPr>
        <w:t xml:space="preserve">Figure </w:t>
      </w:r>
      <w:r w:rsidR="00DC6AF9">
        <w:rPr>
          <w:rStyle w:val="CETCaptionCarattere"/>
        </w:rPr>
        <w:t>2</w:t>
      </w:r>
      <w:r w:rsidR="00DC6AF9" w:rsidRPr="00BD077D">
        <w:rPr>
          <w:rStyle w:val="CETCaptionCarattere"/>
        </w:rPr>
        <w:t xml:space="preserve">: </w:t>
      </w:r>
      <w:r w:rsidR="00DC6AF9">
        <w:rPr>
          <w:rStyle w:val="CETCaptionCarattere"/>
        </w:rPr>
        <w:t>Vertical overpressure Experiment 31</w:t>
      </w:r>
      <w:r w:rsidR="00DC6AF9" w:rsidRPr="00BD077D">
        <w:t xml:space="preserve"> </w:t>
      </w:r>
      <w:r w:rsidR="00DC6AF9">
        <w:t xml:space="preserve">           </w:t>
      </w:r>
      <w:r w:rsidR="00DC6AF9" w:rsidRPr="00BD077D">
        <w:rPr>
          <w:rStyle w:val="CETCaptionCarattere"/>
        </w:rPr>
        <w:t xml:space="preserve">Figure </w:t>
      </w:r>
      <w:r w:rsidR="00DC6AF9">
        <w:rPr>
          <w:rStyle w:val="CETCaptionCarattere"/>
        </w:rPr>
        <w:t>3</w:t>
      </w:r>
      <w:r w:rsidR="00DC6AF9" w:rsidRPr="00BD077D">
        <w:rPr>
          <w:rStyle w:val="CETCaptionCarattere"/>
        </w:rPr>
        <w:t xml:space="preserve">: </w:t>
      </w:r>
      <w:r w:rsidR="00DC6AF9">
        <w:rPr>
          <w:rStyle w:val="CETCaptionCarattere"/>
        </w:rPr>
        <w:t>45-degree overpressure Experiment 31</w:t>
      </w:r>
    </w:p>
    <w:p w14:paraId="3B6ED5A2" w14:textId="2F1438C4" w:rsidR="00DC6AF9" w:rsidRDefault="00DC6AF9" w:rsidP="004D4A15">
      <w:pPr>
        <w:pStyle w:val="CETBodytext"/>
        <w:jc w:val="center"/>
      </w:pPr>
      <w:r>
        <w:rPr>
          <w:noProof/>
        </w:rPr>
        <w:lastRenderedPageBreak/>
        <w:drawing>
          <wp:inline distT="0" distB="0" distL="0" distR="0" wp14:anchorId="3D7C00E5" wp14:editId="4AD4E1E9">
            <wp:extent cx="3532990" cy="2147455"/>
            <wp:effectExtent l="0" t="0" r="0" b="5715"/>
            <wp:docPr id="41306446" name="Image 3" descr="Une image contenant texte, ligne, nombr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6446" name="Image 3" descr="Une image contenant texte, ligne, nombre, diagramm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4529" cy="2160547"/>
                    </a:xfrm>
                    <a:prstGeom prst="rect">
                      <a:avLst/>
                    </a:prstGeom>
                    <a:noFill/>
                    <a:ln>
                      <a:noFill/>
                    </a:ln>
                  </pic:spPr>
                </pic:pic>
              </a:graphicData>
            </a:graphic>
          </wp:inline>
        </w:drawing>
      </w:r>
    </w:p>
    <w:p w14:paraId="2E21344B" w14:textId="6D6AAF14" w:rsidR="004D4A15" w:rsidRDefault="004D4A15" w:rsidP="004D4A15">
      <w:pPr>
        <w:pStyle w:val="CETCaption"/>
      </w:pPr>
      <w:r w:rsidRPr="00BD077D">
        <w:rPr>
          <w:rStyle w:val="CETCaptionCarattere"/>
          <w:i/>
        </w:rPr>
        <w:t xml:space="preserve">Figure </w:t>
      </w:r>
      <w:r>
        <w:rPr>
          <w:rStyle w:val="CETCaptionCarattere"/>
          <w:i/>
        </w:rPr>
        <w:t>4</w:t>
      </w:r>
      <w:r w:rsidRPr="00BD077D">
        <w:rPr>
          <w:rStyle w:val="CETCaptionCarattere"/>
          <w:i/>
        </w:rPr>
        <w:t xml:space="preserve">: </w:t>
      </w:r>
      <w:r>
        <w:rPr>
          <w:rStyle w:val="CETCaptionCarattere"/>
          <w:i/>
        </w:rPr>
        <w:t xml:space="preserve">Horizontal overpressure Experiment </w:t>
      </w:r>
      <w:r w:rsidR="0096787B">
        <w:rPr>
          <w:rStyle w:val="CETCaptionCarattere"/>
          <w:i/>
        </w:rPr>
        <w:t>31</w:t>
      </w:r>
      <w:r>
        <w:rPr>
          <w:rStyle w:val="CETCaptionCarattere"/>
          <w:i/>
        </w:rPr>
        <w:t xml:space="preserve"> [</w:t>
      </w:r>
      <w:r w:rsidR="00D166B2">
        <w:rPr>
          <w:rStyle w:val="CETCaptionCarattere"/>
          <w:i/>
        </w:rPr>
        <w:t>Failure pressure: 29.4 Barg ; Fill level: 90%  ; Weakened length : 75 mm ; Full opening of the vessel</w:t>
      </w:r>
      <w:r>
        <w:rPr>
          <w:rStyle w:val="CETCaptionCarattere"/>
          <w:i/>
        </w:rPr>
        <w:t xml:space="preserve">] </w:t>
      </w:r>
      <w:r w:rsidRPr="00BD077D">
        <w:t xml:space="preserve"> </w:t>
      </w:r>
    </w:p>
    <w:p w14:paraId="0C4CB9BD" w14:textId="2E79EEA4" w:rsidR="009C6540" w:rsidRDefault="0096787B" w:rsidP="0096787B">
      <w:pPr>
        <w:pStyle w:val="CETBodytext"/>
      </w:pPr>
      <w:r w:rsidRPr="0096787B">
        <w:t xml:space="preserve">The overpressure anisotropy between the gauges at different orientations (vertical, 45-degree tilt, horizontal) in the same direction, for instance </w:t>
      </w:r>
      <w:r w:rsidR="00B702CC">
        <w:t xml:space="preserve">the </w:t>
      </w:r>
      <w:r w:rsidRPr="0096787B">
        <w:t>front</w:t>
      </w:r>
      <w:r w:rsidR="00B702CC">
        <w:t xml:space="preserve"> side</w:t>
      </w:r>
      <w:r w:rsidRPr="0096787B">
        <w:t xml:space="preserve"> is explained by the opening dynamics of the vessel.</w:t>
      </w:r>
      <w:r w:rsidR="009C6540">
        <w:t xml:space="preserve"> The maximum overpressure is obtained in the vertical direction</w:t>
      </w:r>
      <w:r w:rsidR="00B702CC">
        <w:t xml:space="preserve"> (TOP)</w:t>
      </w:r>
      <w:r w:rsidR="009C6540">
        <w:t xml:space="preserve"> because the vessel opens first at the top and then </w:t>
      </w:r>
      <w:r w:rsidR="00B702CC">
        <w:t>the free edges of cylinder flaps open</w:t>
      </w:r>
      <w:r w:rsidR="009C6540">
        <w:t xml:space="preserve">. But what can explain the lower overpressure from the horizontal gauges? </w:t>
      </w:r>
    </w:p>
    <w:p w14:paraId="702E2AD9" w14:textId="14DFE505" w:rsidR="0096787B" w:rsidRPr="0096787B" w:rsidRDefault="0096787B" w:rsidP="0096787B">
      <w:pPr>
        <w:pStyle w:val="CETBodytext"/>
      </w:pPr>
      <w:r>
        <w:t>Different approaches can be suggested to explain this discrepancy</w:t>
      </w:r>
      <w:r w:rsidRPr="0096787B">
        <w:t>:</w:t>
      </w:r>
    </w:p>
    <w:p w14:paraId="362EB4D4" w14:textId="411DA576" w:rsidR="0096787B" w:rsidRDefault="005D6CE0" w:rsidP="004872E6">
      <w:pPr>
        <w:pStyle w:val="CETBodytext"/>
        <w:numPr>
          <w:ilvl w:val="1"/>
          <w:numId w:val="26"/>
        </w:numPr>
      </w:pPr>
      <w:r>
        <w:t>Using an energy conservation approach,</w:t>
      </w:r>
      <w:r w:rsidR="006D5E3C">
        <w:t xml:space="preserve"> in the vertical direction </w:t>
      </w:r>
      <w:r>
        <w:t xml:space="preserve">most of the released energy contributes </w:t>
      </w:r>
      <w:r w:rsidR="006D5E3C">
        <w:t xml:space="preserve">to </w:t>
      </w:r>
      <w:r>
        <w:t xml:space="preserve">overpressure. In contrast, </w:t>
      </w:r>
      <w:r w:rsidR="006D5E3C">
        <w:t xml:space="preserve">in the horizontal direction </w:t>
      </w:r>
      <w:r>
        <w:t xml:space="preserve">a portion of the energy is </w:t>
      </w:r>
      <w:r w:rsidR="00D166B2">
        <w:t>used</w:t>
      </w:r>
      <w:r w:rsidR="00906785">
        <w:t xml:space="preserve"> </w:t>
      </w:r>
      <w:r w:rsidR="00D166B2">
        <w:t xml:space="preserve">to </w:t>
      </w:r>
      <w:r>
        <w:t xml:space="preserve">push the vessel walls outward, resulting in a lower peak overpressure. </w:t>
      </w:r>
    </w:p>
    <w:p w14:paraId="3E598A91" w14:textId="0EFD602F" w:rsidR="00191533" w:rsidRDefault="00D166B2" w:rsidP="004872E6">
      <w:pPr>
        <w:pStyle w:val="CETBodytext"/>
        <w:numPr>
          <w:ilvl w:val="1"/>
          <w:numId w:val="26"/>
        </w:numPr>
      </w:pPr>
      <w:r>
        <w:t xml:space="preserve">Since most of the energy escaped vertically to generate overpressure, less energy remains to exert force on the vessel walls and build horizontal overpressure. </w:t>
      </w:r>
    </w:p>
    <w:p w14:paraId="2E4E574B" w14:textId="1FF63E62" w:rsidR="00F67614" w:rsidRDefault="002C0B63" w:rsidP="002C0B63">
      <w:pPr>
        <w:pStyle w:val="CETBodytext"/>
      </w:pPr>
      <w:r>
        <w:t xml:space="preserve">What can explain the lower overpressure from the ends compared to the </w:t>
      </w:r>
      <w:r w:rsidR="00AB52BE">
        <w:t>sides?</w:t>
      </w:r>
    </w:p>
    <w:p w14:paraId="4F5189FF" w14:textId="25D723D6" w:rsidR="002C0B63" w:rsidRDefault="008E67B9" w:rsidP="004872E6">
      <w:pPr>
        <w:pStyle w:val="CETBodytext"/>
      </w:pPr>
      <w:r>
        <w:t>Th</w:t>
      </w:r>
      <w:r w:rsidR="001C757D">
        <w:t>e ends of the cylinder are structurally stronger and act as shielding barriers; thus, the overpressure will follow the path of least resistance along the sides of the cylinder. Due to the vessel’s geometry and the unequal stress distribution between the cylindrical wall and the end caps, the overpressure will have a directional and more forceful release</w:t>
      </w:r>
      <w:r w:rsidR="00577EE1">
        <w:t xml:space="preserve"> at the top</w:t>
      </w:r>
      <w:r w:rsidR="001C757D">
        <w:t xml:space="preserve">. Because there is a greater surface area over which internal pressure has been acting, then most of the energy acts on the side walls of the cylinder. </w:t>
      </w:r>
    </w:p>
    <w:p w14:paraId="55D0A7B1" w14:textId="2CEA0C82" w:rsidR="00D166B2" w:rsidRDefault="00CB5657" w:rsidP="00D166B2">
      <w:pPr>
        <w:pStyle w:val="CETBodytext"/>
      </w:pPr>
      <w:r>
        <w:t>T</w:t>
      </w:r>
      <w:r w:rsidR="00D166B2">
        <w:t xml:space="preserve">wo experiments under similar conditions </w:t>
      </w:r>
      <w:r w:rsidR="00C07ABD">
        <w:t>and</w:t>
      </w:r>
      <w:r w:rsidR="00D166B2">
        <w:t xml:space="preserve"> final vessel geometry </w:t>
      </w:r>
      <w:r w:rsidR="001B49D4">
        <w:t>(Laamarti et al. (</w:t>
      </w:r>
      <w:r w:rsidR="004872E6">
        <w:t>2024, c</w:t>
      </w:r>
      <w:r w:rsidR="001B49D4">
        <w:t xml:space="preserve">)) </w:t>
      </w:r>
      <w:r w:rsidR="00D166B2">
        <w:t xml:space="preserve">were compared: </w:t>
      </w:r>
    </w:p>
    <w:p w14:paraId="0DE897B6" w14:textId="4D1FD188" w:rsidR="001B49D4" w:rsidRPr="00B57B36" w:rsidRDefault="001B49D4" w:rsidP="001B49D4">
      <w:pPr>
        <w:pStyle w:val="CETTabletitle"/>
      </w:pPr>
      <w:r w:rsidRPr="00B57B36">
        <w:t xml:space="preserve">Table 1: </w:t>
      </w:r>
      <w:r>
        <w:t>Experiment 1 and Experiment 7 from the 2024 BLEVE campaign</w:t>
      </w:r>
    </w:p>
    <w:tbl>
      <w:tblPr>
        <w:tblW w:w="8648" w:type="dxa"/>
        <w:jc w:val="center"/>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42"/>
        <w:gridCol w:w="1559"/>
        <w:gridCol w:w="1134"/>
        <w:gridCol w:w="1134"/>
        <w:gridCol w:w="1701"/>
        <w:gridCol w:w="567"/>
        <w:gridCol w:w="709"/>
        <w:gridCol w:w="851"/>
        <w:gridCol w:w="851"/>
      </w:tblGrid>
      <w:tr w:rsidR="00FB1356" w:rsidRPr="00B57B36" w14:paraId="3CDAF0C4" w14:textId="03415346" w:rsidTr="00FB1356">
        <w:trPr>
          <w:trHeight w:val="460"/>
          <w:jc w:val="center"/>
        </w:trPr>
        <w:tc>
          <w:tcPr>
            <w:tcW w:w="142" w:type="dxa"/>
            <w:tcBorders>
              <w:top w:val="single" w:sz="12" w:space="0" w:color="008000"/>
              <w:bottom w:val="single" w:sz="6" w:space="0" w:color="008000"/>
            </w:tcBorders>
            <w:shd w:val="clear" w:color="auto" w:fill="FFFFFF"/>
            <w:vAlign w:val="center"/>
          </w:tcPr>
          <w:p w14:paraId="2F10E561" w14:textId="194F31E9" w:rsidR="00FB1356" w:rsidRPr="00B57B36" w:rsidRDefault="00FB1356" w:rsidP="006D5E3C">
            <w:pPr>
              <w:pStyle w:val="CETBodytext"/>
              <w:jc w:val="center"/>
              <w:rPr>
                <w:lang w:val="en-GB"/>
              </w:rPr>
            </w:pPr>
            <w:r>
              <w:rPr>
                <w:lang w:val="en-GB"/>
              </w:rPr>
              <w:t>#</w:t>
            </w:r>
          </w:p>
        </w:tc>
        <w:tc>
          <w:tcPr>
            <w:tcW w:w="1559" w:type="dxa"/>
            <w:tcBorders>
              <w:top w:val="single" w:sz="12" w:space="0" w:color="008000"/>
              <w:bottom w:val="single" w:sz="6" w:space="0" w:color="008000"/>
            </w:tcBorders>
            <w:shd w:val="clear" w:color="auto" w:fill="FFFFFF"/>
            <w:vAlign w:val="center"/>
          </w:tcPr>
          <w:p w14:paraId="363C7FEC" w14:textId="77F3B803" w:rsidR="00FB1356" w:rsidRPr="00B57B36" w:rsidRDefault="00FB1356" w:rsidP="006D5E3C">
            <w:pPr>
              <w:pStyle w:val="CETBodytext"/>
              <w:jc w:val="center"/>
              <w:rPr>
                <w:lang w:val="en-GB"/>
              </w:rPr>
            </w:pPr>
            <w:r>
              <w:rPr>
                <w:lang w:val="en-GB"/>
              </w:rPr>
              <w:t>Failure pressure (Barg)</w:t>
            </w:r>
          </w:p>
        </w:tc>
        <w:tc>
          <w:tcPr>
            <w:tcW w:w="1134" w:type="dxa"/>
            <w:tcBorders>
              <w:top w:val="single" w:sz="12" w:space="0" w:color="008000"/>
              <w:bottom w:val="single" w:sz="6" w:space="0" w:color="008000"/>
            </w:tcBorders>
            <w:shd w:val="clear" w:color="auto" w:fill="FFFFFF"/>
            <w:vAlign w:val="center"/>
          </w:tcPr>
          <w:p w14:paraId="4A0457BA" w14:textId="478F29FF" w:rsidR="00FB1356" w:rsidRPr="00B57B36" w:rsidRDefault="00FB1356" w:rsidP="006D5E3C">
            <w:pPr>
              <w:pStyle w:val="CETBodytext"/>
              <w:jc w:val="center"/>
              <w:rPr>
                <w:lang w:val="en-GB"/>
              </w:rPr>
            </w:pPr>
            <w:r>
              <w:rPr>
                <w:lang w:val="en-GB"/>
              </w:rPr>
              <w:t>Liquid fill level (%)</w:t>
            </w:r>
          </w:p>
        </w:tc>
        <w:tc>
          <w:tcPr>
            <w:tcW w:w="1134" w:type="dxa"/>
            <w:tcBorders>
              <w:top w:val="single" w:sz="12" w:space="0" w:color="008000"/>
              <w:bottom w:val="single" w:sz="6" w:space="0" w:color="008000"/>
            </w:tcBorders>
            <w:shd w:val="clear" w:color="auto" w:fill="FFFFFF"/>
            <w:vAlign w:val="center"/>
          </w:tcPr>
          <w:p w14:paraId="28538869" w14:textId="474C43C1" w:rsidR="00FB1356" w:rsidRPr="00B57B36" w:rsidRDefault="00FB1356" w:rsidP="006D5E3C">
            <w:pPr>
              <w:pStyle w:val="CETBodytext"/>
              <w:ind w:right="-1"/>
              <w:jc w:val="center"/>
              <w:rPr>
                <w:rFonts w:cs="Arial"/>
                <w:szCs w:val="18"/>
                <w:lang w:val="en-GB"/>
              </w:rPr>
            </w:pPr>
            <w:r>
              <w:rPr>
                <w:rFonts w:cs="Arial"/>
                <w:szCs w:val="18"/>
                <w:lang w:val="en-GB"/>
              </w:rPr>
              <w:t>Weakened length (mm)</w:t>
            </w:r>
          </w:p>
        </w:tc>
        <w:tc>
          <w:tcPr>
            <w:tcW w:w="1701" w:type="dxa"/>
            <w:tcBorders>
              <w:top w:val="single" w:sz="12" w:space="0" w:color="008000"/>
              <w:bottom w:val="single" w:sz="6" w:space="0" w:color="008000"/>
            </w:tcBorders>
            <w:shd w:val="clear" w:color="auto" w:fill="FFFFFF"/>
            <w:vAlign w:val="center"/>
          </w:tcPr>
          <w:p w14:paraId="23A64FFE" w14:textId="33A035AD" w:rsidR="00FB1356" w:rsidRPr="00B57B36" w:rsidRDefault="00FB1356" w:rsidP="006D5E3C">
            <w:pPr>
              <w:pStyle w:val="CETBodytext"/>
              <w:ind w:right="-1"/>
              <w:jc w:val="center"/>
              <w:rPr>
                <w:rFonts w:cs="Arial"/>
                <w:szCs w:val="18"/>
                <w:lang w:val="en-GB"/>
              </w:rPr>
            </w:pPr>
            <w:r>
              <w:rPr>
                <w:rFonts w:cs="Arial"/>
                <w:szCs w:val="18"/>
                <w:lang w:val="en-GB"/>
              </w:rPr>
              <w:t>Type of opening</w:t>
            </w:r>
          </w:p>
        </w:tc>
        <w:tc>
          <w:tcPr>
            <w:tcW w:w="567" w:type="dxa"/>
            <w:tcBorders>
              <w:top w:val="single" w:sz="12" w:space="0" w:color="008000"/>
              <w:bottom w:val="single" w:sz="6" w:space="0" w:color="008000"/>
            </w:tcBorders>
            <w:shd w:val="clear" w:color="auto" w:fill="FFFFFF"/>
            <w:vAlign w:val="center"/>
          </w:tcPr>
          <w:p w14:paraId="3E577972" w14:textId="00F0460D" w:rsidR="00FB1356" w:rsidRPr="00B57B36" w:rsidRDefault="00FB1356" w:rsidP="006D5E3C">
            <w:pPr>
              <w:pStyle w:val="CETBodytext"/>
              <w:ind w:right="-1"/>
              <w:jc w:val="center"/>
              <w:rPr>
                <w:rFonts w:cs="Arial"/>
                <w:szCs w:val="18"/>
                <w:lang w:val="en-GB"/>
              </w:rPr>
            </w:pPr>
            <w:r>
              <w:rPr>
                <w:rFonts w:cs="Arial"/>
                <w:szCs w:val="18"/>
                <w:lang w:val="en-GB"/>
              </w:rPr>
              <w:t>TOP 1 (mbar)</w:t>
            </w:r>
          </w:p>
        </w:tc>
        <w:tc>
          <w:tcPr>
            <w:tcW w:w="709" w:type="dxa"/>
            <w:tcBorders>
              <w:top w:val="single" w:sz="12" w:space="0" w:color="008000"/>
              <w:bottom w:val="single" w:sz="6" w:space="0" w:color="008000"/>
            </w:tcBorders>
            <w:shd w:val="clear" w:color="auto" w:fill="FFFFFF"/>
            <w:vAlign w:val="center"/>
          </w:tcPr>
          <w:p w14:paraId="49AF15E5" w14:textId="63D052AD" w:rsidR="00FB1356" w:rsidRDefault="00FB1356" w:rsidP="006D5E3C">
            <w:pPr>
              <w:pStyle w:val="CETBodytext"/>
              <w:ind w:right="-1"/>
              <w:jc w:val="center"/>
              <w:rPr>
                <w:rFonts w:cs="Arial"/>
                <w:szCs w:val="18"/>
                <w:lang w:val="en-GB"/>
              </w:rPr>
            </w:pPr>
            <w:r>
              <w:rPr>
                <w:rFonts w:cs="Arial"/>
                <w:szCs w:val="18"/>
                <w:lang w:val="en-GB"/>
              </w:rPr>
              <w:t>TOP 4 (mbar)</w:t>
            </w:r>
          </w:p>
        </w:tc>
        <w:tc>
          <w:tcPr>
            <w:tcW w:w="851" w:type="dxa"/>
            <w:tcBorders>
              <w:top w:val="single" w:sz="12" w:space="0" w:color="008000"/>
              <w:bottom w:val="single" w:sz="6" w:space="0" w:color="008000"/>
            </w:tcBorders>
            <w:shd w:val="clear" w:color="auto" w:fill="FFFFFF"/>
            <w:vAlign w:val="center"/>
          </w:tcPr>
          <w:p w14:paraId="0E984FD8" w14:textId="3C595217" w:rsidR="00FB1356" w:rsidRDefault="00FB1356" w:rsidP="006D5E3C">
            <w:pPr>
              <w:pStyle w:val="CETBodytext"/>
              <w:ind w:right="-1"/>
              <w:jc w:val="center"/>
              <w:rPr>
                <w:rFonts w:cs="Arial"/>
                <w:szCs w:val="18"/>
                <w:lang w:val="en-GB"/>
              </w:rPr>
            </w:pPr>
            <w:r>
              <w:rPr>
                <w:rFonts w:cs="Arial"/>
                <w:szCs w:val="18"/>
                <w:lang w:val="en-GB"/>
              </w:rPr>
              <w:t>HORFT1 (mbar)</w:t>
            </w:r>
          </w:p>
        </w:tc>
        <w:tc>
          <w:tcPr>
            <w:tcW w:w="851" w:type="dxa"/>
            <w:tcBorders>
              <w:top w:val="single" w:sz="12" w:space="0" w:color="008000"/>
              <w:bottom w:val="single" w:sz="6" w:space="0" w:color="008000"/>
            </w:tcBorders>
            <w:shd w:val="clear" w:color="auto" w:fill="FFFFFF"/>
          </w:tcPr>
          <w:p w14:paraId="7C246949" w14:textId="5359A3BC" w:rsidR="00FB1356" w:rsidRDefault="00FB1356" w:rsidP="006D5E3C">
            <w:pPr>
              <w:pStyle w:val="CETBodytext"/>
              <w:ind w:right="-1"/>
              <w:jc w:val="center"/>
              <w:rPr>
                <w:rFonts w:cs="Arial"/>
                <w:szCs w:val="18"/>
                <w:lang w:val="en-GB"/>
              </w:rPr>
            </w:pPr>
            <w:r>
              <w:rPr>
                <w:rFonts w:cs="Arial"/>
                <w:szCs w:val="18"/>
                <w:lang w:val="en-GB"/>
              </w:rPr>
              <w:t>Crack speed (m/s)</w:t>
            </w:r>
          </w:p>
        </w:tc>
      </w:tr>
      <w:tr w:rsidR="00FB1356" w:rsidRPr="00B57B36" w14:paraId="22F67C77" w14:textId="1BE812F4" w:rsidTr="00FB1356">
        <w:trPr>
          <w:trHeight w:val="220"/>
          <w:jc w:val="center"/>
        </w:trPr>
        <w:tc>
          <w:tcPr>
            <w:tcW w:w="142" w:type="dxa"/>
            <w:shd w:val="clear" w:color="auto" w:fill="FFFFFF"/>
            <w:vAlign w:val="center"/>
          </w:tcPr>
          <w:p w14:paraId="36536DB0" w14:textId="4FD6754F" w:rsidR="00FB1356" w:rsidRPr="00B57B36" w:rsidRDefault="00FB1356" w:rsidP="006D5E3C">
            <w:pPr>
              <w:pStyle w:val="CETBodytext"/>
              <w:jc w:val="center"/>
              <w:rPr>
                <w:lang w:val="en-GB"/>
              </w:rPr>
            </w:pPr>
            <w:r>
              <w:rPr>
                <w:lang w:val="en-GB"/>
              </w:rPr>
              <w:t>1</w:t>
            </w:r>
          </w:p>
        </w:tc>
        <w:tc>
          <w:tcPr>
            <w:tcW w:w="1559" w:type="dxa"/>
            <w:shd w:val="clear" w:color="auto" w:fill="FFFFFF"/>
            <w:vAlign w:val="center"/>
          </w:tcPr>
          <w:p w14:paraId="39A3D4A7" w14:textId="26F23C6D" w:rsidR="00FB1356" w:rsidRPr="00B57B36" w:rsidRDefault="00FB1356" w:rsidP="006D5E3C">
            <w:pPr>
              <w:pStyle w:val="CETBodytext"/>
              <w:jc w:val="center"/>
              <w:rPr>
                <w:lang w:val="en-GB"/>
              </w:rPr>
            </w:pPr>
            <w:r>
              <w:rPr>
                <w:lang w:val="en-GB"/>
              </w:rPr>
              <w:t xml:space="preserve">12.4 </w:t>
            </w:r>
            <w:r>
              <w:rPr>
                <w:rFonts w:cs="Arial"/>
                <w:lang w:val="en-GB"/>
              </w:rPr>
              <w:t>±</w:t>
            </w:r>
            <w:r>
              <w:rPr>
                <w:lang w:val="en-GB"/>
              </w:rPr>
              <w:t xml:space="preserve"> 0.1</w:t>
            </w:r>
          </w:p>
        </w:tc>
        <w:tc>
          <w:tcPr>
            <w:tcW w:w="1134" w:type="dxa"/>
            <w:shd w:val="clear" w:color="auto" w:fill="FFFFFF"/>
            <w:vAlign w:val="center"/>
          </w:tcPr>
          <w:p w14:paraId="5D21CABB" w14:textId="5210CB98" w:rsidR="00FB1356" w:rsidRPr="00B57B36" w:rsidRDefault="00FB1356" w:rsidP="006D5E3C">
            <w:pPr>
              <w:pStyle w:val="CETBodytext"/>
              <w:jc w:val="center"/>
              <w:rPr>
                <w:lang w:val="en-GB"/>
              </w:rPr>
            </w:pPr>
            <w:r>
              <w:rPr>
                <w:lang w:val="en-GB"/>
              </w:rPr>
              <w:t xml:space="preserve">57 </w:t>
            </w:r>
            <w:r>
              <w:rPr>
                <w:rFonts w:cs="Arial"/>
                <w:lang w:val="en-GB"/>
              </w:rPr>
              <w:t>±</w:t>
            </w:r>
            <w:r>
              <w:rPr>
                <w:lang w:val="en-GB"/>
              </w:rPr>
              <w:t xml:space="preserve"> 3</w:t>
            </w:r>
          </w:p>
        </w:tc>
        <w:tc>
          <w:tcPr>
            <w:tcW w:w="1134" w:type="dxa"/>
            <w:shd w:val="clear" w:color="auto" w:fill="FFFFFF"/>
            <w:vAlign w:val="center"/>
          </w:tcPr>
          <w:p w14:paraId="7B4F70A7" w14:textId="513EDB69" w:rsidR="00FB1356" w:rsidRPr="00B57B36" w:rsidRDefault="00FB1356" w:rsidP="006D5E3C">
            <w:pPr>
              <w:pStyle w:val="CETBodytext"/>
              <w:ind w:right="-1"/>
              <w:jc w:val="center"/>
              <w:rPr>
                <w:rFonts w:cs="Arial"/>
                <w:szCs w:val="18"/>
                <w:lang w:val="en-GB"/>
              </w:rPr>
            </w:pPr>
            <w:r>
              <w:rPr>
                <w:rFonts w:cs="Arial"/>
                <w:szCs w:val="18"/>
                <w:lang w:val="en-GB"/>
              </w:rPr>
              <w:t xml:space="preserve">150 </w:t>
            </w:r>
            <w:r>
              <w:rPr>
                <w:rFonts w:cs="Arial"/>
                <w:lang w:val="en-GB"/>
              </w:rPr>
              <w:t>±</w:t>
            </w:r>
            <w:r>
              <w:rPr>
                <w:lang w:val="en-GB"/>
              </w:rPr>
              <w:t xml:space="preserve"> 2</w:t>
            </w:r>
          </w:p>
        </w:tc>
        <w:tc>
          <w:tcPr>
            <w:tcW w:w="1701" w:type="dxa"/>
            <w:shd w:val="clear" w:color="auto" w:fill="FFFFFF"/>
            <w:vAlign w:val="center"/>
          </w:tcPr>
          <w:p w14:paraId="746B4D62" w14:textId="25D2B087" w:rsidR="00FB1356" w:rsidRPr="00B57B36" w:rsidRDefault="00FB1356" w:rsidP="006D5E3C">
            <w:pPr>
              <w:pStyle w:val="CETBodytext"/>
              <w:ind w:right="-1"/>
              <w:jc w:val="center"/>
              <w:rPr>
                <w:rFonts w:cs="Arial"/>
                <w:szCs w:val="18"/>
                <w:lang w:val="en-GB"/>
              </w:rPr>
            </w:pPr>
            <w:r>
              <w:rPr>
                <w:rFonts w:cs="Arial"/>
                <w:szCs w:val="18"/>
                <w:lang w:val="en-GB"/>
              </w:rPr>
              <w:t xml:space="preserve">Partial Symmetrical </w:t>
            </w:r>
          </w:p>
        </w:tc>
        <w:tc>
          <w:tcPr>
            <w:tcW w:w="567" w:type="dxa"/>
            <w:shd w:val="clear" w:color="auto" w:fill="FFFFFF"/>
            <w:vAlign w:val="center"/>
          </w:tcPr>
          <w:p w14:paraId="5384A68E" w14:textId="0C563699" w:rsidR="00FB1356" w:rsidRPr="00B57B36" w:rsidRDefault="00FB1356" w:rsidP="006D5E3C">
            <w:pPr>
              <w:pStyle w:val="CETBodytext"/>
              <w:ind w:right="-1"/>
              <w:jc w:val="center"/>
              <w:rPr>
                <w:rFonts w:cs="Arial"/>
                <w:szCs w:val="18"/>
                <w:lang w:val="en-GB"/>
              </w:rPr>
            </w:pPr>
            <w:r>
              <w:rPr>
                <w:rFonts w:cs="Arial"/>
                <w:szCs w:val="18"/>
                <w:lang w:val="en-GB"/>
              </w:rPr>
              <w:t>272</w:t>
            </w:r>
          </w:p>
        </w:tc>
        <w:tc>
          <w:tcPr>
            <w:tcW w:w="709" w:type="dxa"/>
            <w:shd w:val="clear" w:color="auto" w:fill="FFFFFF"/>
            <w:vAlign w:val="center"/>
          </w:tcPr>
          <w:p w14:paraId="43E43C92" w14:textId="4C3C0901" w:rsidR="00FB1356" w:rsidRDefault="00FB1356" w:rsidP="006D5E3C">
            <w:pPr>
              <w:pStyle w:val="CETBodytext"/>
              <w:ind w:right="-1"/>
              <w:jc w:val="center"/>
              <w:rPr>
                <w:rFonts w:cs="Arial"/>
                <w:szCs w:val="18"/>
                <w:lang w:val="en-GB"/>
              </w:rPr>
            </w:pPr>
            <w:r>
              <w:rPr>
                <w:rFonts w:cs="Arial"/>
                <w:szCs w:val="18"/>
                <w:lang w:val="en-GB"/>
              </w:rPr>
              <w:t>104</w:t>
            </w:r>
          </w:p>
        </w:tc>
        <w:tc>
          <w:tcPr>
            <w:tcW w:w="851" w:type="dxa"/>
            <w:shd w:val="clear" w:color="auto" w:fill="FFFFFF"/>
            <w:vAlign w:val="center"/>
          </w:tcPr>
          <w:p w14:paraId="058BF7BE" w14:textId="3C34195E" w:rsidR="00FB1356" w:rsidRDefault="00FB1356" w:rsidP="006D5E3C">
            <w:pPr>
              <w:pStyle w:val="CETBodytext"/>
              <w:ind w:right="-1"/>
              <w:jc w:val="center"/>
              <w:rPr>
                <w:rFonts w:cs="Arial"/>
                <w:szCs w:val="18"/>
                <w:lang w:val="en-GB"/>
              </w:rPr>
            </w:pPr>
            <w:r>
              <w:rPr>
                <w:rFonts w:cs="Arial"/>
                <w:szCs w:val="18"/>
                <w:lang w:val="en-GB"/>
              </w:rPr>
              <w:t>12</w:t>
            </w:r>
          </w:p>
        </w:tc>
        <w:tc>
          <w:tcPr>
            <w:tcW w:w="851" w:type="dxa"/>
            <w:shd w:val="clear" w:color="auto" w:fill="FFFFFF"/>
          </w:tcPr>
          <w:p w14:paraId="312BE7BE" w14:textId="7A85C76B" w:rsidR="00FB1356" w:rsidRDefault="00FB1356" w:rsidP="006D5E3C">
            <w:pPr>
              <w:pStyle w:val="CETBodytext"/>
              <w:ind w:right="-1"/>
              <w:jc w:val="center"/>
              <w:rPr>
                <w:rFonts w:cs="Arial"/>
                <w:szCs w:val="18"/>
                <w:lang w:val="en-GB"/>
              </w:rPr>
            </w:pPr>
            <w:r>
              <w:rPr>
                <w:rFonts w:cs="Arial"/>
                <w:szCs w:val="18"/>
                <w:lang w:val="en-GB"/>
              </w:rPr>
              <w:t>223</w:t>
            </w:r>
            <w:r>
              <w:rPr>
                <w:rFonts w:cs="Arial"/>
                <w:lang w:val="en-GB"/>
              </w:rPr>
              <w:t>±</w:t>
            </w:r>
            <w:r>
              <w:rPr>
                <w:lang w:val="en-GB"/>
              </w:rPr>
              <w:t xml:space="preserve"> 3</w:t>
            </w:r>
          </w:p>
        </w:tc>
      </w:tr>
      <w:tr w:rsidR="00FB1356" w:rsidRPr="00B57B36" w14:paraId="14B4E88D" w14:textId="7C663A56" w:rsidTr="00FB1356">
        <w:trPr>
          <w:trHeight w:val="230"/>
          <w:jc w:val="center"/>
        </w:trPr>
        <w:tc>
          <w:tcPr>
            <w:tcW w:w="142" w:type="dxa"/>
            <w:shd w:val="clear" w:color="auto" w:fill="FFFFFF"/>
            <w:vAlign w:val="center"/>
          </w:tcPr>
          <w:p w14:paraId="6511A3C4" w14:textId="715F2ADE" w:rsidR="00FB1356" w:rsidRPr="00B57B36" w:rsidRDefault="00FB1356" w:rsidP="006D5E3C">
            <w:pPr>
              <w:pStyle w:val="CETBodytext"/>
              <w:ind w:right="-1"/>
              <w:jc w:val="center"/>
              <w:rPr>
                <w:rFonts w:cs="Arial"/>
                <w:szCs w:val="18"/>
                <w:lang w:val="en-GB"/>
              </w:rPr>
            </w:pPr>
            <w:r>
              <w:rPr>
                <w:rFonts w:cs="Arial"/>
                <w:szCs w:val="18"/>
                <w:lang w:val="en-GB"/>
              </w:rPr>
              <w:t>7</w:t>
            </w:r>
          </w:p>
        </w:tc>
        <w:tc>
          <w:tcPr>
            <w:tcW w:w="1559" w:type="dxa"/>
            <w:shd w:val="clear" w:color="auto" w:fill="FFFFFF"/>
            <w:vAlign w:val="center"/>
          </w:tcPr>
          <w:p w14:paraId="70C47B6E" w14:textId="574EA672" w:rsidR="00FB1356" w:rsidRPr="00B57B36" w:rsidRDefault="00FB1356" w:rsidP="006D5E3C">
            <w:pPr>
              <w:pStyle w:val="CETBodytext"/>
              <w:ind w:right="-1"/>
              <w:jc w:val="center"/>
              <w:rPr>
                <w:rFonts w:cs="Arial"/>
                <w:szCs w:val="18"/>
                <w:lang w:val="en-GB"/>
              </w:rPr>
            </w:pPr>
            <w:r>
              <w:rPr>
                <w:rFonts w:cs="Arial"/>
                <w:szCs w:val="18"/>
                <w:lang w:val="en-GB"/>
              </w:rPr>
              <w:t xml:space="preserve">12.4 </w:t>
            </w:r>
            <w:r>
              <w:rPr>
                <w:rFonts w:cs="Arial"/>
                <w:lang w:val="en-GB"/>
              </w:rPr>
              <w:t>±</w:t>
            </w:r>
            <w:r>
              <w:rPr>
                <w:lang w:val="en-GB"/>
              </w:rPr>
              <w:t xml:space="preserve"> 0.1</w:t>
            </w:r>
          </w:p>
        </w:tc>
        <w:tc>
          <w:tcPr>
            <w:tcW w:w="1134" w:type="dxa"/>
            <w:shd w:val="clear" w:color="auto" w:fill="FFFFFF"/>
            <w:vAlign w:val="center"/>
          </w:tcPr>
          <w:p w14:paraId="3CC01403" w14:textId="769F36BB" w:rsidR="00FB1356" w:rsidRPr="00B57B36" w:rsidRDefault="00FB1356" w:rsidP="006D5E3C">
            <w:pPr>
              <w:pStyle w:val="CETBodytext"/>
              <w:ind w:right="-1"/>
              <w:jc w:val="center"/>
              <w:rPr>
                <w:rFonts w:cs="Arial"/>
                <w:szCs w:val="18"/>
                <w:lang w:val="en-GB"/>
              </w:rPr>
            </w:pPr>
            <w:r>
              <w:rPr>
                <w:rFonts w:cs="Arial"/>
                <w:szCs w:val="18"/>
                <w:lang w:val="en-GB"/>
              </w:rPr>
              <w:t xml:space="preserve">51 </w:t>
            </w:r>
            <w:r>
              <w:rPr>
                <w:rFonts w:cs="Arial"/>
                <w:lang w:val="en-GB"/>
              </w:rPr>
              <w:t>±</w:t>
            </w:r>
            <w:r>
              <w:rPr>
                <w:lang w:val="en-GB"/>
              </w:rPr>
              <w:t xml:space="preserve"> 3</w:t>
            </w:r>
          </w:p>
        </w:tc>
        <w:tc>
          <w:tcPr>
            <w:tcW w:w="1134" w:type="dxa"/>
            <w:shd w:val="clear" w:color="auto" w:fill="FFFFFF"/>
            <w:vAlign w:val="center"/>
          </w:tcPr>
          <w:p w14:paraId="2344E285" w14:textId="16F1547D" w:rsidR="00FB1356" w:rsidRPr="00B57B36" w:rsidRDefault="00FB1356" w:rsidP="006D5E3C">
            <w:pPr>
              <w:pStyle w:val="CETBodytext"/>
              <w:ind w:right="-1"/>
              <w:jc w:val="center"/>
              <w:rPr>
                <w:rFonts w:cs="Arial"/>
                <w:szCs w:val="18"/>
                <w:lang w:val="en-GB"/>
              </w:rPr>
            </w:pPr>
            <w:r>
              <w:rPr>
                <w:rFonts w:cs="Arial"/>
                <w:szCs w:val="18"/>
                <w:lang w:val="en-GB"/>
              </w:rPr>
              <w:t xml:space="preserve">150 </w:t>
            </w:r>
            <w:r>
              <w:rPr>
                <w:rFonts w:cs="Arial"/>
                <w:lang w:val="en-GB"/>
              </w:rPr>
              <w:t>±</w:t>
            </w:r>
            <w:r>
              <w:rPr>
                <w:lang w:val="en-GB"/>
              </w:rPr>
              <w:t xml:space="preserve"> 2</w:t>
            </w:r>
          </w:p>
        </w:tc>
        <w:tc>
          <w:tcPr>
            <w:tcW w:w="1701" w:type="dxa"/>
            <w:shd w:val="clear" w:color="auto" w:fill="FFFFFF"/>
            <w:vAlign w:val="center"/>
          </w:tcPr>
          <w:p w14:paraId="2FCC840B" w14:textId="09E4503E" w:rsidR="00FB1356" w:rsidRPr="00B57B36" w:rsidRDefault="00FB1356" w:rsidP="006D5E3C">
            <w:pPr>
              <w:pStyle w:val="CETBodytext"/>
              <w:ind w:right="-1"/>
              <w:jc w:val="center"/>
              <w:rPr>
                <w:rFonts w:cs="Arial"/>
                <w:szCs w:val="18"/>
                <w:lang w:val="en-GB"/>
              </w:rPr>
            </w:pPr>
            <w:r>
              <w:rPr>
                <w:rFonts w:cs="Arial"/>
                <w:szCs w:val="18"/>
                <w:lang w:val="en-GB"/>
              </w:rPr>
              <w:t xml:space="preserve">Partial Symmetrical </w:t>
            </w:r>
          </w:p>
        </w:tc>
        <w:tc>
          <w:tcPr>
            <w:tcW w:w="567" w:type="dxa"/>
            <w:shd w:val="clear" w:color="auto" w:fill="FFFFFF"/>
            <w:vAlign w:val="center"/>
          </w:tcPr>
          <w:p w14:paraId="53F26260" w14:textId="62AE1A83" w:rsidR="00FB1356" w:rsidRPr="00B57B36" w:rsidRDefault="00FB1356" w:rsidP="006D5E3C">
            <w:pPr>
              <w:pStyle w:val="CETBodytext"/>
              <w:ind w:right="-1"/>
              <w:jc w:val="center"/>
              <w:rPr>
                <w:rFonts w:cs="Arial"/>
                <w:szCs w:val="18"/>
                <w:lang w:val="en-GB"/>
              </w:rPr>
            </w:pPr>
            <w:r>
              <w:rPr>
                <w:rFonts w:cs="Arial"/>
                <w:szCs w:val="18"/>
                <w:lang w:val="en-GB"/>
              </w:rPr>
              <w:t>494</w:t>
            </w:r>
          </w:p>
        </w:tc>
        <w:tc>
          <w:tcPr>
            <w:tcW w:w="709" w:type="dxa"/>
            <w:shd w:val="clear" w:color="auto" w:fill="FFFFFF"/>
            <w:vAlign w:val="center"/>
          </w:tcPr>
          <w:p w14:paraId="2EF02E0B" w14:textId="3F766601" w:rsidR="00FB1356" w:rsidRDefault="00FB1356" w:rsidP="006D5E3C">
            <w:pPr>
              <w:pStyle w:val="CETBodytext"/>
              <w:ind w:right="-1"/>
              <w:jc w:val="center"/>
              <w:rPr>
                <w:rFonts w:cs="Arial"/>
                <w:szCs w:val="18"/>
                <w:lang w:val="en-GB"/>
              </w:rPr>
            </w:pPr>
            <w:r>
              <w:rPr>
                <w:rFonts w:cs="Arial"/>
                <w:szCs w:val="18"/>
                <w:lang w:val="en-GB"/>
              </w:rPr>
              <w:t>166</w:t>
            </w:r>
          </w:p>
        </w:tc>
        <w:tc>
          <w:tcPr>
            <w:tcW w:w="851" w:type="dxa"/>
            <w:shd w:val="clear" w:color="auto" w:fill="FFFFFF"/>
            <w:vAlign w:val="center"/>
          </w:tcPr>
          <w:p w14:paraId="0FCE6050" w14:textId="35BDFF4B" w:rsidR="00FB1356" w:rsidRDefault="00FB1356" w:rsidP="006D5E3C">
            <w:pPr>
              <w:pStyle w:val="CETBodytext"/>
              <w:ind w:right="-1"/>
              <w:jc w:val="center"/>
              <w:rPr>
                <w:rFonts w:cs="Arial"/>
                <w:szCs w:val="18"/>
                <w:lang w:val="en-GB"/>
              </w:rPr>
            </w:pPr>
            <w:r>
              <w:rPr>
                <w:rFonts w:cs="Arial"/>
                <w:szCs w:val="18"/>
                <w:lang w:val="en-GB"/>
              </w:rPr>
              <w:t>21</w:t>
            </w:r>
          </w:p>
        </w:tc>
        <w:tc>
          <w:tcPr>
            <w:tcW w:w="851" w:type="dxa"/>
            <w:shd w:val="clear" w:color="auto" w:fill="FFFFFF"/>
          </w:tcPr>
          <w:p w14:paraId="78D8FF08" w14:textId="7F0CD855" w:rsidR="00FB1356" w:rsidRPr="00FB1356" w:rsidRDefault="00FB1356" w:rsidP="006D5E3C">
            <w:pPr>
              <w:pStyle w:val="CETBodytext"/>
              <w:ind w:right="-1"/>
              <w:jc w:val="center"/>
              <w:rPr>
                <w:rFonts w:cs="Arial"/>
                <w:szCs w:val="18"/>
                <w:lang w:val="en-GB"/>
              </w:rPr>
            </w:pPr>
            <w:r w:rsidRPr="00FB1356">
              <w:t>196</w:t>
            </w:r>
            <w:r>
              <w:rPr>
                <w:rFonts w:cs="Arial"/>
                <w:lang w:val="en-GB"/>
              </w:rPr>
              <w:t>±</w:t>
            </w:r>
            <w:r>
              <w:rPr>
                <w:lang w:val="en-GB"/>
              </w:rPr>
              <w:t xml:space="preserve"> 3</w:t>
            </w:r>
          </w:p>
        </w:tc>
      </w:tr>
    </w:tbl>
    <w:p w14:paraId="54F01FBA" w14:textId="77777777" w:rsidR="00D437A5" w:rsidRDefault="00D437A5" w:rsidP="00D166B2">
      <w:pPr>
        <w:pStyle w:val="CETBodytext"/>
      </w:pPr>
    </w:p>
    <w:p w14:paraId="77AADBD1" w14:textId="799B4698" w:rsidR="00757474" w:rsidRDefault="00757474" w:rsidP="00D166B2">
      <w:pPr>
        <w:pStyle w:val="CETBodytext"/>
      </w:pPr>
      <w:r>
        <w:t xml:space="preserve">These results </w:t>
      </w:r>
      <w:r w:rsidR="00906785">
        <w:t>show</w:t>
      </w:r>
      <w:r>
        <w:t xml:space="preserve"> that </w:t>
      </w:r>
      <w:r w:rsidR="004B52CF">
        <w:t>the same</w:t>
      </w:r>
      <w:r w:rsidR="00F9779D">
        <w:t xml:space="preserve"> </w:t>
      </w:r>
      <w:r>
        <w:t xml:space="preserve">opening of the vessel </w:t>
      </w:r>
      <w:r w:rsidR="00986F0C">
        <w:t>produces</w:t>
      </w:r>
      <w:r>
        <w:t xml:space="preserve"> a </w:t>
      </w:r>
      <w:r w:rsidR="00283A07">
        <w:t>strong</w:t>
      </w:r>
      <w:r w:rsidR="00577EE1">
        <w:t>er</w:t>
      </w:r>
      <w:r w:rsidR="00906785">
        <w:t xml:space="preserve"> blast</w:t>
      </w:r>
      <w:r>
        <w:t xml:space="preserve"> overpressure</w:t>
      </w:r>
      <w:r w:rsidR="00906785">
        <w:t xml:space="preserve"> TOP1 </w:t>
      </w:r>
      <w:r w:rsidR="00F9779D">
        <w:t xml:space="preserve">for experiment 7 </w:t>
      </w:r>
      <w:r w:rsidR="00906785">
        <w:t xml:space="preserve">because </w:t>
      </w:r>
      <w:r w:rsidR="00F9779D">
        <w:t xml:space="preserve">of </w:t>
      </w:r>
      <w:r w:rsidR="004B52CF">
        <w:t>the</w:t>
      </w:r>
      <w:r w:rsidR="00F9779D">
        <w:t xml:space="preserve"> faster crack </w:t>
      </w:r>
      <w:r w:rsidR="00906785">
        <w:t>th</w:t>
      </w:r>
      <w:r w:rsidR="00F9779D">
        <w:t>at</w:t>
      </w:r>
      <w:r w:rsidR="00906785">
        <w:t xml:space="preserve"> allows for the rapid expansion of the contents</w:t>
      </w:r>
      <w:r w:rsidR="00283A07">
        <w:t xml:space="preserve">, </w:t>
      </w:r>
      <w:r w:rsidR="00C07ABD">
        <w:t>while</w:t>
      </w:r>
      <w:r w:rsidR="00283A07">
        <w:t xml:space="preserve"> both cases have similar impulse. Moreover</w:t>
      </w:r>
      <w:r w:rsidR="004B52CF">
        <w:t>, the stronger blast overpressure from experiment 7 decays faster with distance compared to experiment 1</w:t>
      </w:r>
      <w:r w:rsidR="001F5810">
        <w:t xml:space="preserve"> </w:t>
      </w:r>
      <w:r w:rsidR="000B03FB">
        <w:t>because</w:t>
      </w:r>
      <w:r w:rsidR="00577EE1">
        <w:t xml:space="preserve"> stronger shock has more</w:t>
      </w:r>
      <w:r w:rsidR="001F5810">
        <w:t xml:space="preserve"> </w:t>
      </w:r>
      <w:r w:rsidR="00A724CF">
        <w:t>friction and</w:t>
      </w:r>
      <w:r w:rsidR="001F5810">
        <w:t xml:space="preserve"> heat transfer with surrounding environment</w:t>
      </w:r>
      <w:r w:rsidR="00283A07">
        <w:t xml:space="preserve">. </w:t>
      </w:r>
      <w:r w:rsidR="009E444A">
        <w:t xml:space="preserve">Comparing the overpressure from </w:t>
      </w:r>
      <w:r w:rsidR="00283A07">
        <w:t>TOP</w:t>
      </w:r>
      <w:r w:rsidR="00C07ABD">
        <w:t>4</w:t>
      </w:r>
      <w:r w:rsidR="00283A07">
        <w:t xml:space="preserve"> with </w:t>
      </w:r>
      <w:r w:rsidR="009E444A">
        <w:t>HORFT1</w:t>
      </w:r>
      <w:r w:rsidR="00C07ABD">
        <w:t xml:space="preserve"> </w:t>
      </w:r>
      <w:r w:rsidR="009E444A">
        <w:t xml:space="preserve">shows </w:t>
      </w:r>
      <w:r w:rsidR="00C07ABD">
        <w:t xml:space="preserve">that </w:t>
      </w:r>
      <w:r w:rsidR="00ED22AB">
        <w:t>12</w:t>
      </w:r>
      <w:r w:rsidR="009E444A">
        <w:t xml:space="preserve"> % and 1</w:t>
      </w:r>
      <w:r w:rsidR="00ED22AB">
        <w:t>3</w:t>
      </w:r>
      <w:r w:rsidR="009E444A">
        <w:t xml:space="preserve"> % respectively</w:t>
      </w:r>
      <w:r w:rsidR="00C07ABD">
        <w:t xml:space="preserve">, of the vertical values </w:t>
      </w:r>
      <w:r w:rsidR="004872E6">
        <w:t>correspond</w:t>
      </w:r>
      <w:r w:rsidR="00C07ABD">
        <w:t xml:space="preserve"> to the horizontal overpressure. </w:t>
      </w:r>
    </w:p>
    <w:p w14:paraId="09A3444D" w14:textId="77777777" w:rsidR="00474435" w:rsidRDefault="00474435" w:rsidP="00474435">
      <w:pPr>
        <w:pStyle w:val="CETHeading1"/>
      </w:pPr>
      <w:r>
        <w:t xml:space="preserve">Anisotropy of the blast overpressure </w:t>
      </w:r>
    </w:p>
    <w:p w14:paraId="36CCD644" w14:textId="4C60D914" w:rsidR="00474435" w:rsidRDefault="001F5810" w:rsidP="00474435">
      <w:pPr>
        <w:pStyle w:val="CETBodytext"/>
      </w:pPr>
      <w:r>
        <w:t xml:space="preserve">This section aims to examine how overpressure varies with direction and orientation across all experiments. Initially, the front </w:t>
      </w:r>
      <w:r w:rsidR="00AB0B4F">
        <w:t xml:space="preserve">side </w:t>
      </w:r>
      <w:r>
        <w:t>(Y axis) and the back</w:t>
      </w:r>
      <w:r w:rsidR="00AB0B4F">
        <w:t xml:space="preserve"> side</w:t>
      </w:r>
      <w:r>
        <w:t xml:space="preserve"> (X axis) lead peak overpressures from the 45-degree angles and horizontal gauges at 40 cm were compared</w:t>
      </w:r>
      <w:r w:rsidR="004872E6">
        <w:t xml:space="preserve"> in</w:t>
      </w:r>
      <w:r>
        <w:t xml:space="preserve"> Figure 5.</w:t>
      </w:r>
      <w:r w:rsidR="00474435">
        <w:t xml:space="preserve"> Results reveal that overpressure from both sides </w:t>
      </w:r>
      <w:r w:rsidR="00AB0B4F">
        <w:t>is</w:t>
      </w:r>
      <w:r w:rsidR="00474435">
        <w:t xml:space="preserve"> nearly identical, clustering around the line (x=y). Additionally,</w:t>
      </w:r>
      <w:r w:rsidR="00D5479D">
        <w:t xml:space="preserve"> the lead</w:t>
      </w:r>
      <w:r w:rsidR="00474435">
        <w:t xml:space="preserve"> peak overpressures recorded by the 45-degree angle gauges (red) are generally higher than those from the horizontal gauges (blue). </w:t>
      </w:r>
      <w:r w:rsidR="00D5479D">
        <w:t xml:space="preserve">This remains </w:t>
      </w:r>
      <w:r w:rsidR="00D5479D">
        <w:lastRenderedPageBreak/>
        <w:t xml:space="preserve">true for symmetrical breaches. </w:t>
      </w:r>
      <w:r w:rsidR="00474435">
        <w:t>However, several experiments exhibited partial failures with asymmetric</w:t>
      </w:r>
      <w:r w:rsidR="00D5479D">
        <w:t>al</w:t>
      </w:r>
      <w:r w:rsidR="00474435">
        <w:t xml:space="preserve"> </w:t>
      </w:r>
      <w:r w:rsidR="00D5479D">
        <w:t xml:space="preserve">partial </w:t>
      </w:r>
      <w:r w:rsidR="00474435">
        <w:t>openings</w:t>
      </w:r>
      <w:r w:rsidR="00D5479D">
        <w:t>, where only</w:t>
      </w:r>
      <w:r w:rsidR="00474435">
        <w:t xml:space="preserve"> one side </w:t>
      </w:r>
      <w:r w:rsidR="00D5479D">
        <w:t xml:space="preserve">of the vessel </w:t>
      </w:r>
      <w:r w:rsidR="00474435">
        <w:t>rupture</w:t>
      </w:r>
      <w:r w:rsidR="00F467C0">
        <w:t>d</w:t>
      </w:r>
      <w:r w:rsidR="00D5479D">
        <w:t xml:space="preserve">. For these cases </w:t>
      </w:r>
      <w:r w:rsidR="00474435">
        <w:t xml:space="preserve">the blast wave is directed more forcefully toward the </w:t>
      </w:r>
      <w:r w:rsidR="00AB0B4F">
        <w:t>opening side</w:t>
      </w:r>
      <w:r w:rsidR="00474435">
        <w:t xml:space="preserve">, leading to anisotropic behavior in the overpressure distribution. Figure </w:t>
      </w:r>
      <w:r w:rsidR="00427F71">
        <w:t>6</w:t>
      </w:r>
      <w:r w:rsidR="00474435">
        <w:t xml:space="preserve"> shows that asymmetric openings result in stronger overpressure in </w:t>
      </w:r>
      <w:r w:rsidR="00F467C0">
        <w:t xml:space="preserve">the preferential </w:t>
      </w:r>
      <w:r w:rsidR="00474435">
        <w:t>direction</w:t>
      </w:r>
      <w:r w:rsidR="00D5479D">
        <w:t>.</w:t>
      </w:r>
      <w:r w:rsidR="00474435">
        <w:t xml:space="preserve"> </w:t>
      </w:r>
      <w:r w:rsidR="00D5479D">
        <w:t xml:space="preserve">Those </w:t>
      </w:r>
      <w:r w:rsidR="00474435">
        <w:t>scenarios</w:t>
      </w:r>
      <w:r w:rsidR="00D5479D">
        <w:t xml:space="preserve"> happened</w:t>
      </w:r>
      <w:r w:rsidR="00474435">
        <w:t xml:space="preserve"> whe</w:t>
      </w:r>
      <w:r w:rsidR="00D5479D">
        <w:t>n</w:t>
      </w:r>
      <w:r w:rsidR="00474435">
        <w:t xml:space="preserve"> the vessel was liquid-full before </w:t>
      </w:r>
      <w:r w:rsidR="00AE7C67">
        <w:t>rupture, had</w:t>
      </w:r>
      <w:r w:rsidR="00474435">
        <w:t xml:space="preserve"> reduced </w:t>
      </w:r>
      <w:r w:rsidR="005066A0">
        <w:t>weakened length</w:t>
      </w:r>
      <w:r w:rsidR="00474435">
        <w:t xml:space="preserve"> </w:t>
      </w:r>
      <w:r w:rsidR="005066A0">
        <w:t>or</w:t>
      </w:r>
      <w:r w:rsidR="00474435">
        <w:t xml:space="preserve"> failed at low pressures. </w:t>
      </w:r>
    </w:p>
    <w:p w14:paraId="53D5469C" w14:textId="194A267C" w:rsidR="00474435" w:rsidRDefault="000B03FB" w:rsidP="00805BB6">
      <w:pPr>
        <w:pStyle w:val="CETBodytext"/>
        <w:jc w:val="center"/>
      </w:pPr>
      <w:r w:rsidRPr="00AE7C67">
        <w:rPr>
          <w:noProof/>
          <w:lang w:val="en-GB"/>
        </w:rPr>
        <w:drawing>
          <wp:anchor distT="0" distB="0" distL="114300" distR="114300" simplePos="0" relativeHeight="251658240" behindDoc="0" locked="0" layoutInCell="1" allowOverlap="1" wp14:anchorId="0FACE98B" wp14:editId="23B1443B">
            <wp:simplePos x="0" y="0"/>
            <wp:positionH relativeFrom="column">
              <wp:posOffset>4355465</wp:posOffset>
            </wp:positionH>
            <wp:positionV relativeFrom="paragraph">
              <wp:posOffset>1225550</wp:posOffset>
            </wp:positionV>
            <wp:extent cx="871666" cy="541729"/>
            <wp:effectExtent l="0" t="0" r="5080" b="0"/>
            <wp:wrapNone/>
            <wp:docPr id="19" name="Image 18" descr="Une image contenant cylindre&#10;&#10;Description générée automatiquement">
              <a:extLst xmlns:a="http://schemas.openxmlformats.org/drawingml/2006/main">
                <a:ext uri="{FF2B5EF4-FFF2-40B4-BE49-F238E27FC236}">
                  <a16:creationId xmlns:a16="http://schemas.microsoft.com/office/drawing/2014/main" id="{4AB48E16-6038-CD77-F9D4-5B6887745D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Une image contenant cylindre&#10;&#10;Description générée automatiquement">
                      <a:extLst>
                        <a:ext uri="{FF2B5EF4-FFF2-40B4-BE49-F238E27FC236}">
                          <a16:creationId xmlns:a16="http://schemas.microsoft.com/office/drawing/2014/main" id="{4AB48E16-6038-CD77-F9D4-5B6887745D36}"/>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871666" cy="541729"/>
                    </a:xfrm>
                    <a:prstGeom prst="rect">
                      <a:avLst/>
                    </a:prstGeom>
                  </pic:spPr>
                </pic:pic>
              </a:graphicData>
            </a:graphic>
            <wp14:sizeRelH relativeFrom="page">
              <wp14:pctWidth>0</wp14:pctWidth>
            </wp14:sizeRelH>
            <wp14:sizeRelV relativeFrom="page">
              <wp14:pctHeight>0</wp14:pctHeight>
            </wp14:sizeRelV>
          </wp:anchor>
        </w:drawing>
      </w:r>
      <w:r w:rsidR="000C2E45">
        <w:rPr>
          <w:noProof/>
        </w:rPr>
        <w:drawing>
          <wp:inline distT="0" distB="0" distL="0" distR="0" wp14:anchorId="79995F6B" wp14:editId="004D3A4B">
            <wp:extent cx="2761155" cy="2045335"/>
            <wp:effectExtent l="0" t="0" r="1270" b="0"/>
            <wp:docPr id="67964746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47464" name="Imag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1155" cy="2045335"/>
                    </a:xfrm>
                    <a:prstGeom prst="rect">
                      <a:avLst/>
                    </a:prstGeom>
                    <a:noFill/>
                    <a:ln>
                      <a:noFill/>
                    </a:ln>
                  </pic:spPr>
                </pic:pic>
              </a:graphicData>
            </a:graphic>
          </wp:inline>
        </w:drawing>
      </w:r>
      <w:r>
        <w:rPr>
          <w:noProof/>
        </w:rPr>
        <w:drawing>
          <wp:inline distT="0" distB="0" distL="0" distR="0" wp14:anchorId="43E04082" wp14:editId="243A2962">
            <wp:extent cx="2768600" cy="2063453"/>
            <wp:effectExtent l="0" t="0" r="0" b="0"/>
            <wp:docPr id="1972586631" name="Image 1" descr="Une image contenant texte, ligne, Tracé,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86631" name="Image 1" descr="Une image contenant texte, ligne, Tracé, diagramme&#10;&#10;Description générée automatiqu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8600" cy="2063453"/>
                    </a:xfrm>
                    <a:prstGeom prst="rect">
                      <a:avLst/>
                    </a:prstGeom>
                    <a:noFill/>
                    <a:ln>
                      <a:noFill/>
                    </a:ln>
                  </pic:spPr>
                </pic:pic>
              </a:graphicData>
            </a:graphic>
          </wp:inline>
        </w:drawing>
      </w:r>
    </w:p>
    <w:p w14:paraId="589A402D" w14:textId="4D673C52" w:rsidR="00474435" w:rsidRDefault="000C2E45" w:rsidP="00474435">
      <w:pPr>
        <w:pStyle w:val="CETCaption"/>
      </w:pPr>
      <w:r>
        <w:rPr>
          <w:rStyle w:val="CETCaptionCarattere"/>
          <w:i/>
        </w:rPr>
        <w:t xml:space="preserve"> </w:t>
      </w:r>
      <w:r w:rsidR="00474435" w:rsidRPr="00BD077D">
        <w:rPr>
          <w:rStyle w:val="CETCaptionCarattere"/>
          <w:i/>
        </w:rPr>
        <w:t xml:space="preserve">Figure </w:t>
      </w:r>
      <w:r w:rsidR="00427F71">
        <w:rPr>
          <w:rStyle w:val="CETCaptionCarattere"/>
          <w:i/>
        </w:rPr>
        <w:t>5</w:t>
      </w:r>
      <w:r w:rsidR="00474435" w:rsidRPr="00BD077D">
        <w:rPr>
          <w:rStyle w:val="CETCaptionCarattere"/>
          <w:i/>
        </w:rPr>
        <w:t xml:space="preserve">: </w:t>
      </w:r>
      <w:r w:rsidR="00427F71">
        <w:rPr>
          <w:rStyle w:val="CETCaptionCarattere"/>
          <w:i/>
        </w:rPr>
        <w:t>Front/Back overpressure at 40 cm</w:t>
      </w:r>
      <w:r w:rsidR="00C95F85">
        <w:rPr>
          <w:rStyle w:val="CETCaptionCarattere"/>
          <w:i/>
        </w:rPr>
        <w:t xml:space="preserve">        </w:t>
      </w:r>
      <w:r w:rsidR="00474435" w:rsidRPr="00BD077D">
        <w:rPr>
          <w:rStyle w:val="CETCaptionCarattere"/>
          <w:i/>
        </w:rPr>
        <w:t xml:space="preserve">Figure </w:t>
      </w:r>
      <w:r w:rsidR="00427F71">
        <w:rPr>
          <w:rStyle w:val="CETCaptionCarattere"/>
          <w:i/>
        </w:rPr>
        <w:t>6</w:t>
      </w:r>
      <w:r w:rsidR="00474435" w:rsidRPr="00BD077D">
        <w:rPr>
          <w:rStyle w:val="CETCaptionCarattere"/>
          <w:i/>
        </w:rPr>
        <w:t xml:space="preserve">: </w:t>
      </w:r>
      <w:r w:rsidR="00427F71">
        <w:rPr>
          <w:rStyle w:val="CETCaptionCarattere"/>
          <w:i/>
        </w:rPr>
        <w:t xml:space="preserve">Front back overpressure </w:t>
      </w:r>
      <w:r w:rsidR="00C95F85">
        <w:rPr>
          <w:rStyle w:val="CETCaptionCarattere"/>
          <w:i/>
        </w:rPr>
        <w:t xml:space="preserve">from </w:t>
      </w:r>
      <w:r w:rsidR="00427F71">
        <w:rPr>
          <w:rStyle w:val="CETCaptionCarattere"/>
          <w:i/>
        </w:rPr>
        <w:t>asymmetrical openings</w:t>
      </w:r>
      <w:r w:rsidR="00474435" w:rsidRPr="00BD077D">
        <w:t xml:space="preserve"> </w:t>
      </w:r>
    </w:p>
    <w:p w14:paraId="266DDA8B" w14:textId="753BD55A" w:rsidR="0038273F" w:rsidRDefault="004B4C2F" w:rsidP="0038273F">
      <w:pPr>
        <w:pStyle w:val="CETBodytext"/>
      </w:pPr>
      <w:r>
        <w:t>S</w:t>
      </w:r>
      <w:r w:rsidR="00F467C0">
        <w:t xml:space="preserve">ymmetrical openings </w:t>
      </w:r>
      <w:r>
        <w:t>have similar overpressure at the</w:t>
      </w:r>
      <w:r w:rsidR="00F467C0">
        <w:t xml:space="preserve"> front and back sides. Thus, i</w:t>
      </w:r>
      <w:r w:rsidR="00474435">
        <w:t xml:space="preserve">n Figure </w:t>
      </w:r>
      <w:r w:rsidR="00C95F85">
        <w:t>7</w:t>
      </w:r>
      <w:r w:rsidR="00474435">
        <w:t xml:space="preserve">, the back side </w:t>
      </w:r>
      <w:r w:rsidR="00F467C0">
        <w:t xml:space="preserve">and </w:t>
      </w:r>
      <w:r w:rsidR="00474435">
        <w:t xml:space="preserve">the right end, both positioned 40 cm from the vessel, </w:t>
      </w:r>
      <w:r w:rsidR="00F467C0">
        <w:t xml:space="preserve">are compared </w:t>
      </w:r>
      <w:r w:rsidR="00474435">
        <w:t>for the 45-degree angle and horizontal orientations</w:t>
      </w:r>
      <w:r w:rsidR="00F467C0">
        <w:t xml:space="preserve"> across both experimental campaigns</w:t>
      </w:r>
      <w:r w:rsidR="00474435">
        <w:t xml:space="preserve">. </w:t>
      </w:r>
      <w:r>
        <w:t>All</w:t>
      </w:r>
      <w:r w:rsidR="00474435">
        <w:t xml:space="preserve"> points fall </w:t>
      </w:r>
      <w:r>
        <w:t>mostly</w:t>
      </w:r>
      <w:r w:rsidR="00474435">
        <w:t xml:space="preserve"> below the line (x=y), </w:t>
      </w:r>
      <w:r w:rsidR="00541055">
        <w:t>where</w:t>
      </w:r>
      <w:r w:rsidR="00474435">
        <w:t xml:space="preserve"> back gauges </w:t>
      </w:r>
      <w:r w:rsidR="00541055">
        <w:t>record</w:t>
      </w:r>
      <w:r w:rsidR="00474435">
        <w:t xml:space="preserve"> high</w:t>
      </w:r>
      <w:r w:rsidR="00541055">
        <w:t>er</w:t>
      </w:r>
      <w:r w:rsidR="00474435">
        <w:t xml:space="preserve"> overpressure tha</w:t>
      </w:r>
      <w:r w:rsidR="00F467C0">
        <w:t>n</w:t>
      </w:r>
      <w:r w:rsidR="00474435">
        <w:t xml:space="preserve"> the right end</w:t>
      </w:r>
      <w:r w:rsidR="009F2FFB">
        <w:t>.</w:t>
      </w:r>
      <w:r w:rsidR="00474435">
        <w:t xml:space="preserve"> </w:t>
      </w:r>
      <w:r w:rsidR="0038273F">
        <w:t xml:space="preserve">Furthermore, the horizontal end gauge consistently produces lower peak overpressure compared to the 45-degree angle end gauge. The maximum side/end ratio overpressure from horizontal gauges was </w:t>
      </w:r>
      <w:r w:rsidR="004872E6">
        <w:t>found</w:t>
      </w:r>
      <w:r w:rsidR="0038273F">
        <w:t xml:space="preserve"> to be 2.</w:t>
      </w:r>
      <w:r w:rsidR="00AB0B4F">
        <w:t>2</w:t>
      </w:r>
      <w:r w:rsidR="0038273F">
        <w:t xml:space="preserve">, with a minimum value of 0.7. </w:t>
      </w:r>
    </w:p>
    <w:p w14:paraId="2AEC2B11" w14:textId="7C1A555F" w:rsidR="00E53B43" w:rsidRDefault="000C2E45" w:rsidP="008D25C3">
      <w:pPr>
        <w:pStyle w:val="CETBodytext"/>
        <w:jc w:val="center"/>
        <w:rPr>
          <w:noProof/>
        </w:rPr>
      </w:pPr>
      <w:r>
        <w:rPr>
          <w:noProof/>
        </w:rPr>
        <w:drawing>
          <wp:inline distT="0" distB="0" distL="0" distR="0" wp14:anchorId="2CA63F5C" wp14:editId="19C58C6B">
            <wp:extent cx="2757588" cy="2033905"/>
            <wp:effectExtent l="0" t="0" r="5080" b="4445"/>
            <wp:docPr id="752455748" name="Image 3" descr="Une image contenant texte, Tracé,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55748" name="Image 3" descr="Une image contenant texte, Tracé, ligne, diagramme&#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4731" cy="2046549"/>
                    </a:xfrm>
                    <a:prstGeom prst="rect">
                      <a:avLst/>
                    </a:prstGeom>
                    <a:noFill/>
                    <a:ln>
                      <a:noFill/>
                    </a:ln>
                  </pic:spPr>
                </pic:pic>
              </a:graphicData>
            </a:graphic>
          </wp:inline>
        </w:drawing>
      </w:r>
      <w:r w:rsidR="000B03FB">
        <w:rPr>
          <w:noProof/>
        </w:rPr>
        <w:drawing>
          <wp:inline distT="0" distB="0" distL="0" distR="0" wp14:anchorId="04C81A66" wp14:editId="3B7148BF">
            <wp:extent cx="2719553" cy="2038350"/>
            <wp:effectExtent l="0" t="0" r="5080" b="0"/>
            <wp:docPr id="860317049" name="Image 3" descr="Une image contenant texte, capture d’écran,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17049" name="Image 3" descr="Une image contenant texte, capture d’écran, diagramme, Tracé&#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8229" cy="2052348"/>
                    </a:xfrm>
                    <a:prstGeom prst="rect">
                      <a:avLst/>
                    </a:prstGeom>
                    <a:noFill/>
                    <a:ln>
                      <a:noFill/>
                    </a:ln>
                  </pic:spPr>
                </pic:pic>
              </a:graphicData>
            </a:graphic>
          </wp:inline>
        </w:drawing>
      </w:r>
    </w:p>
    <w:p w14:paraId="555AD781" w14:textId="3ECA55DC" w:rsidR="000C2E45" w:rsidRDefault="000C2E45" w:rsidP="00E53B43">
      <w:pPr>
        <w:pStyle w:val="CETBodytext"/>
        <w:rPr>
          <w:rStyle w:val="CETCaptionCarattere"/>
        </w:rPr>
      </w:pPr>
      <w:r>
        <w:rPr>
          <w:rStyle w:val="CETCaptionCarattere"/>
          <w:i w:val="0"/>
        </w:rPr>
        <w:t xml:space="preserve">   </w:t>
      </w:r>
      <w:r w:rsidRPr="00BD077D">
        <w:rPr>
          <w:rStyle w:val="CETCaptionCarattere"/>
        </w:rPr>
        <w:t>Figure</w:t>
      </w:r>
      <w:r w:rsidR="00C95F85">
        <w:rPr>
          <w:rStyle w:val="CETCaptionCarattere"/>
        </w:rPr>
        <w:t xml:space="preserve"> 7</w:t>
      </w:r>
      <w:r w:rsidR="00C95F85" w:rsidRPr="00BD077D">
        <w:rPr>
          <w:rStyle w:val="CETCaptionCarattere"/>
        </w:rPr>
        <w:t xml:space="preserve">: </w:t>
      </w:r>
      <w:r w:rsidR="00C95F85">
        <w:rPr>
          <w:rStyle w:val="CETCaptionCarattere"/>
          <w:i w:val="0"/>
        </w:rPr>
        <w:t>Front/Right-end overpressure at 40 cm</w:t>
      </w:r>
      <w:r>
        <w:rPr>
          <w:rStyle w:val="CETCaptionCarattere"/>
        </w:rPr>
        <w:tab/>
      </w:r>
      <w:r w:rsidR="00C95F85">
        <w:rPr>
          <w:rStyle w:val="CETCaptionCarattere"/>
        </w:rPr>
        <w:t xml:space="preserve">          </w:t>
      </w:r>
      <w:r w:rsidRPr="00BD077D">
        <w:rPr>
          <w:rStyle w:val="CETCaptionCarattere"/>
        </w:rPr>
        <w:t xml:space="preserve">Figure </w:t>
      </w:r>
      <w:r w:rsidR="00C95F85">
        <w:rPr>
          <w:rStyle w:val="CETCaptionCarattere"/>
        </w:rPr>
        <w:t>8</w:t>
      </w:r>
      <w:r w:rsidRPr="00BD077D">
        <w:rPr>
          <w:rStyle w:val="CETCaptionCarattere"/>
        </w:rPr>
        <w:t xml:space="preserve">: </w:t>
      </w:r>
      <w:r w:rsidR="00C95F85">
        <w:rPr>
          <w:rStyle w:val="CETCaptionCarattere"/>
        </w:rPr>
        <w:t>Overpressure ratios w.r.t Failure pressure</w:t>
      </w:r>
    </w:p>
    <w:p w14:paraId="6F2ADC1E" w14:textId="0D99E6AD" w:rsidR="008D721D" w:rsidRDefault="000C2E45" w:rsidP="000C2E45">
      <w:pPr>
        <w:pStyle w:val="CETBodytext"/>
      </w:pPr>
      <w:r>
        <w:t xml:space="preserve">A comparison of dimensionless overpressures, normalized by the maximum overpressure observed at TOP4, is shown in Figure </w:t>
      </w:r>
      <w:r w:rsidR="00C95F85">
        <w:t>8</w:t>
      </w:r>
      <w:r>
        <w:t xml:space="preserve"> relative to the failure pressure. The graph illustrates </w:t>
      </w:r>
      <w:r w:rsidR="00EC4CE2">
        <w:t>how</w:t>
      </w:r>
      <w:r>
        <w:t xml:space="preserve"> lead peak overpressure is significantly influenced by the failure pressure, as well as by orientation and direction. As the burst pressure increases, the overpressure becomes more isotropic</w:t>
      </w:r>
      <w:r w:rsidR="009A20EF">
        <w:t xml:space="preserve"> in the side/end directions</w:t>
      </w:r>
      <w:r w:rsidR="000B03FB">
        <w:t xml:space="preserve"> with the ratio approaching 1.</w:t>
      </w:r>
      <w:r w:rsidR="008D721D">
        <w:t xml:space="preserve"> </w:t>
      </w:r>
    </w:p>
    <w:p w14:paraId="7011D73A" w14:textId="77777777" w:rsidR="00FB1356" w:rsidRDefault="00FB1356" w:rsidP="00FB1356">
      <w:pPr>
        <w:pStyle w:val="CETBodytext"/>
        <w:jc w:val="center"/>
        <w:rPr>
          <w:rStyle w:val="CETCaptionCarattere"/>
        </w:rPr>
      </w:pPr>
      <w:r w:rsidRPr="00FB1356">
        <w:rPr>
          <w:rStyle w:val="CETCaptionCarattere"/>
          <w:noProof/>
        </w:rPr>
        <w:drawing>
          <wp:inline distT="0" distB="0" distL="0" distR="0" wp14:anchorId="580FC8A3" wp14:editId="78293495">
            <wp:extent cx="3671454" cy="1601532"/>
            <wp:effectExtent l="0" t="0" r="5715" b="0"/>
            <wp:docPr id="1017940028" name="Image 1" descr="Une image contenant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40028" name="Image 1" descr="Une image contenant diagramme, ligne&#10;&#10;Description générée automatiquement"/>
                    <pic:cNvPicPr/>
                  </pic:nvPicPr>
                  <pic:blipFill>
                    <a:blip r:embed="rId20"/>
                    <a:stretch>
                      <a:fillRect/>
                    </a:stretch>
                  </pic:blipFill>
                  <pic:spPr>
                    <a:xfrm>
                      <a:off x="0" y="0"/>
                      <a:ext cx="3789339" cy="1652955"/>
                    </a:xfrm>
                    <a:prstGeom prst="rect">
                      <a:avLst/>
                    </a:prstGeom>
                  </pic:spPr>
                </pic:pic>
              </a:graphicData>
            </a:graphic>
          </wp:inline>
        </w:drawing>
      </w:r>
    </w:p>
    <w:p w14:paraId="457D0241" w14:textId="55D1E382" w:rsidR="00B70097" w:rsidRDefault="000670D7" w:rsidP="00FB1356">
      <w:pPr>
        <w:pStyle w:val="CETBodytext"/>
        <w:rPr>
          <w:rStyle w:val="CETCaptionCarattere"/>
        </w:rPr>
      </w:pPr>
      <w:r w:rsidRPr="00BD077D">
        <w:rPr>
          <w:rStyle w:val="CETCaptionCarattere"/>
        </w:rPr>
        <w:lastRenderedPageBreak/>
        <w:t xml:space="preserve">Figure </w:t>
      </w:r>
      <w:r w:rsidR="00C95F85">
        <w:rPr>
          <w:rStyle w:val="CETCaptionCarattere"/>
        </w:rPr>
        <w:t>9</w:t>
      </w:r>
      <w:r w:rsidRPr="00BD077D">
        <w:rPr>
          <w:rStyle w:val="CETCaptionCarattere"/>
        </w:rPr>
        <w:t xml:space="preserve">: </w:t>
      </w:r>
      <w:r w:rsidR="00F612AA">
        <w:rPr>
          <w:rStyle w:val="CETCaptionCarattere"/>
        </w:rPr>
        <w:t>A-A view of the overpressure distribution at 40 cm from the tube</w:t>
      </w:r>
      <w:r w:rsidR="00B70097">
        <w:rPr>
          <w:rStyle w:val="CETCaptionCarattere"/>
        </w:rPr>
        <w:t xml:space="preserve"> across all experiments</w:t>
      </w:r>
    </w:p>
    <w:p w14:paraId="7D04AA4A" w14:textId="23A12F2B" w:rsidR="004872E6" w:rsidRDefault="004872E6" w:rsidP="009F2FFB">
      <w:pPr>
        <w:pStyle w:val="CETBodytext"/>
        <w:rPr>
          <w:lang w:val="en-GB"/>
        </w:rPr>
      </w:pPr>
      <w:r>
        <w:t xml:space="preserve">The graph reaffirms that the vertical gauges consistently record the highest lead peak overpressures, with the magnitude decreasing as orientation changes. </w:t>
      </w:r>
      <w:r w:rsidR="006C21F1">
        <w:t>A</w:t>
      </w:r>
      <w:r>
        <w:t>t high overpressure levels</w:t>
      </w:r>
      <w:r w:rsidR="00D437A5">
        <w:t>, and respectively</w:t>
      </w:r>
      <w:r>
        <w:t xml:space="preserve"> high </w:t>
      </w:r>
      <w:r w:rsidR="006C21F1">
        <w:t>burst</w:t>
      </w:r>
      <w:r>
        <w:t xml:space="preserve"> pressures, the overpressure tends to become isotropic</w:t>
      </w:r>
      <w:r w:rsidR="008D25C3">
        <w:t xml:space="preserve"> due to faster and more </w:t>
      </w:r>
      <w:r w:rsidR="00D437A5">
        <w:t>complete</w:t>
      </w:r>
      <w:r w:rsidR="008D25C3">
        <w:t xml:space="preserve"> opening of the vessel. </w:t>
      </w:r>
    </w:p>
    <w:p w14:paraId="1220CB35" w14:textId="793891DF" w:rsidR="005066A0" w:rsidRDefault="005066A0" w:rsidP="005066A0">
      <w:pPr>
        <w:pStyle w:val="CETHeading1"/>
      </w:pPr>
      <w:r>
        <w:t>Conclusion</w:t>
      </w:r>
    </w:p>
    <w:p w14:paraId="54E065B3" w14:textId="77777777" w:rsidR="000670D7" w:rsidRDefault="000670D7" w:rsidP="005754A7">
      <w:pPr>
        <w:pStyle w:val="CETBodytext"/>
        <w:sectPr w:rsidR="000670D7" w:rsidSect="005066A0">
          <w:type w:val="continuous"/>
          <w:pgSz w:w="11906" w:h="16838" w:code="9"/>
          <w:pgMar w:top="1701" w:right="1418" w:bottom="1701" w:left="1701" w:header="1701" w:footer="0" w:gutter="0"/>
          <w:cols w:space="708"/>
          <w:formProt w:val="0"/>
          <w:titlePg/>
          <w:docGrid w:linePitch="360"/>
        </w:sectPr>
      </w:pPr>
    </w:p>
    <w:p w14:paraId="6292B94C" w14:textId="74FB2CD9" w:rsidR="0096787B" w:rsidRDefault="0077391D" w:rsidP="0096787B">
      <w:pPr>
        <w:pStyle w:val="CETBodytext"/>
        <w:rPr>
          <w:i/>
          <w:iCs/>
        </w:rPr>
      </w:pPr>
      <w:r>
        <w:t>This paper explores the directional behavior of blast overpressure based on experimental data from two small scale BLEVE campaigns involving cylindrical pressure vessels. Using thirteen blast gauges, overpressure was tracked at various locations, orientations and distances. Results showed that t</w:t>
      </w:r>
      <w:r w:rsidR="00FB566F">
        <w:t xml:space="preserve">he lead </w:t>
      </w:r>
      <w:r>
        <w:t xml:space="preserve">peak overpressure </w:t>
      </w:r>
      <w:r w:rsidR="00FB566F">
        <w:t xml:space="preserve">was the highest for the </w:t>
      </w:r>
      <w:r>
        <w:t xml:space="preserve">vertical gauges, followed by 45-degree gauges, and lowest </w:t>
      </w:r>
      <w:r w:rsidR="00FB566F">
        <w:t>for the</w:t>
      </w:r>
      <w:r>
        <w:t xml:space="preserve"> horizontal gauges at the same distance. </w:t>
      </w:r>
      <w:r w:rsidR="00A724CF">
        <w:t>The intensity of the overpressure is contingent about how fast the vessel opens allowing for the rapid expansion of the contents.</w:t>
      </w:r>
      <w:r w:rsidR="00AD7767">
        <w:t xml:space="preserve"> Thus, the complete opening of the vessel will produce the strongest overpressure. Moreover, t</w:t>
      </w:r>
      <w:r w:rsidR="00A724CF">
        <w:t>he magnitude of the overpressure reduces with distance</w:t>
      </w:r>
      <w:r w:rsidR="00AD7767">
        <w:t xml:space="preserve"> because of </w:t>
      </w:r>
      <w:r w:rsidR="00AB0B4F">
        <w:t xml:space="preserve">conservation of energy and losses </w:t>
      </w:r>
      <w:r w:rsidR="00B657B7">
        <w:t xml:space="preserve">– </w:t>
      </w:r>
      <w:r w:rsidR="00AD7767">
        <w:t>friction</w:t>
      </w:r>
      <w:r w:rsidR="00B657B7">
        <w:t xml:space="preserve"> etc...</w:t>
      </w:r>
      <w:r w:rsidR="00A724CF">
        <w:t xml:space="preserve"> and with orientation </w:t>
      </w:r>
      <w:r w:rsidR="00AD7767">
        <w:t xml:space="preserve">as one portion of the energy is lost in opening the vessel walls. </w:t>
      </w:r>
      <w:r>
        <w:t>Symmetrical vessel openings led to consistent overpressure between the front and the back</w:t>
      </w:r>
      <w:r w:rsidR="00B657B7">
        <w:t xml:space="preserve"> side</w:t>
      </w:r>
      <w:r>
        <w:t xml:space="preserve"> gauges, while asymmetrical openings (where only one side of the vessel fully opened) caused a twofold </w:t>
      </w:r>
      <w:r w:rsidR="00B657B7">
        <w:t>reduction</w:t>
      </w:r>
      <w:r>
        <w:t xml:space="preserve"> </w:t>
      </w:r>
      <w:r w:rsidR="00B657B7">
        <w:t xml:space="preserve">of the blast strength </w:t>
      </w:r>
      <w:r>
        <w:t xml:space="preserve">in the </w:t>
      </w:r>
      <w:r w:rsidR="00B657B7">
        <w:t>close</w:t>
      </w:r>
      <w:r w:rsidR="008147F9">
        <w:t>d direction</w:t>
      </w:r>
      <w:r>
        <w:t xml:space="preserve">. Additionally, as expected for cylindrical vessels, the overpressure </w:t>
      </w:r>
      <w:r w:rsidR="00347DE6">
        <w:t>is highly directional, depending on whether the measurement is taken at the tube end or side. This behavior is explained by the shielding effect from the tube’s end</w:t>
      </w:r>
      <w:r w:rsidR="008147F9">
        <w:t xml:space="preserve"> fitting (Swagelok)</w:t>
      </w:r>
      <w:r w:rsidR="00347DE6">
        <w:t xml:space="preserve"> as the </w:t>
      </w:r>
      <w:r w:rsidR="00541055">
        <w:t>vessel</w:t>
      </w:r>
      <w:r w:rsidR="00347DE6">
        <w:t xml:space="preserve"> opens. T</w:t>
      </w:r>
      <w:r>
        <w:t xml:space="preserve">he end-to-side ratio </w:t>
      </w:r>
      <w:r w:rsidR="00347DE6">
        <w:t>was found to range</w:t>
      </w:r>
      <w:r>
        <w:t xml:space="preserve"> from 0.7 to 2.</w:t>
      </w:r>
      <w:r w:rsidR="008147F9">
        <w:t>2</w:t>
      </w:r>
      <w:r>
        <w:t xml:space="preserve"> for L/</w:t>
      </w:r>
      <w:r w:rsidR="00347DE6">
        <w:t>D</w:t>
      </w:r>
      <w:r>
        <w:t xml:space="preserve"> = 6, </w:t>
      </w:r>
      <w:r w:rsidR="00FB566F">
        <w:t xml:space="preserve">and is </w:t>
      </w:r>
      <w:r w:rsidR="00AD7767">
        <w:t>expected</w:t>
      </w:r>
      <w:r w:rsidR="00FB566F">
        <w:t xml:space="preserve"> to increase</w:t>
      </w:r>
      <w:r>
        <w:t xml:space="preserve"> with</w:t>
      </w:r>
      <w:r w:rsidR="00FB566F">
        <w:t xml:space="preserve"> higher</w:t>
      </w:r>
      <w:r>
        <w:t xml:space="preserve"> L/D. At higher failure pressures, overpressure distribution became more isotropic</w:t>
      </w:r>
      <w:r w:rsidR="008147F9">
        <w:t xml:space="preserve"> due to faster and more full opening of the vessel</w:t>
      </w:r>
      <w:r>
        <w:t xml:space="preserve">. </w:t>
      </w:r>
      <w:r w:rsidR="00347DE6">
        <w:t>Other ratio</w:t>
      </w:r>
      <w:r w:rsidR="00FB566F">
        <w:t>s</w:t>
      </w:r>
      <w:r w:rsidR="00347DE6">
        <w:t xml:space="preserve"> with respect to the orientation were presented in the following paper. This helps</w:t>
      </w:r>
      <w:r w:rsidR="00F612AA">
        <w:t>,</w:t>
      </w:r>
      <w:r w:rsidR="00347DE6">
        <w:t xml:space="preserve"> </w:t>
      </w:r>
      <w:r w:rsidR="00F612AA">
        <w:t xml:space="preserve">if validated at larger scale, </w:t>
      </w:r>
      <w:r w:rsidR="00347DE6">
        <w:t>predict the impact of explosions on surrounding structures</w:t>
      </w:r>
      <w:r w:rsidR="004717A1">
        <w:t>/</w:t>
      </w:r>
      <w:r w:rsidR="00347DE6">
        <w:t>people allowing for more accurate safety measures.</w:t>
      </w:r>
      <w:r w:rsidR="0096787B" w:rsidRPr="0096787B">
        <w:rPr>
          <w:i/>
          <w:iCs/>
        </w:rPr>
        <w:t xml:space="preserve"> </w:t>
      </w:r>
    </w:p>
    <w:p w14:paraId="1F8526C5" w14:textId="77777777" w:rsidR="00F612AA" w:rsidRPr="00B57B36" w:rsidRDefault="00F612AA" w:rsidP="00F612AA">
      <w:pPr>
        <w:pStyle w:val="CETAcknowledgementstitle"/>
      </w:pPr>
      <w:r w:rsidRPr="00B57B36">
        <w:t>Acknowledgments</w:t>
      </w:r>
    </w:p>
    <w:p w14:paraId="58128A28" w14:textId="36F271F6" w:rsidR="00F612AA" w:rsidRPr="00F612AA" w:rsidRDefault="00F612AA" w:rsidP="00D35F25">
      <w:pPr>
        <w:pStyle w:val="CETReference"/>
        <w:jc w:val="both"/>
        <w:rPr>
          <w:b w:val="0"/>
          <w:lang w:val="en-US"/>
        </w:rPr>
      </w:pPr>
      <w:r w:rsidRPr="00F612AA">
        <w:rPr>
          <w:b w:val="0"/>
          <w:lang w:val="en-US"/>
        </w:rPr>
        <w:t>The authors are grateful to</w:t>
      </w:r>
      <w:r w:rsidR="00D35F25">
        <w:rPr>
          <w:b w:val="0"/>
          <w:lang w:val="en-US"/>
        </w:rPr>
        <w:t xml:space="preserve"> Natural Sciences and Engineering Research Council Canada (</w:t>
      </w:r>
      <w:r>
        <w:rPr>
          <w:b w:val="0"/>
          <w:lang w:val="en-US"/>
        </w:rPr>
        <w:t>NSERC</w:t>
      </w:r>
      <w:r w:rsidR="00D35F25">
        <w:rPr>
          <w:b w:val="0"/>
          <w:lang w:val="en-US"/>
        </w:rPr>
        <w:t>)</w:t>
      </w:r>
      <w:r w:rsidRPr="00F612AA">
        <w:rPr>
          <w:b w:val="0"/>
          <w:lang w:val="en-US"/>
        </w:rPr>
        <w:t xml:space="preserve"> for supporting this research work</w:t>
      </w:r>
      <w:r>
        <w:rPr>
          <w:b w:val="0"/>
          <w:lang w:val="en-US"/>
        </w:rPr>
        <w:t>.</w:t>
      </w:r>
    </w:p>
    <w:p w14:paraId="0DEE0C62" w14:textId="66514D62" w:rsidR="005066A0" w:rsidRPr="00B57B36" w:rsidRDefault="005066A0" w:rsidP="005066A0">
      <w:pPr>
        <w:pStyle w:val="CETReference"/>
      </w:pPr>
      <w:r w:rsidRPr="00B57B36">
        <w:t>References</w:t>
      </w:r>
    </w:p>
    <w:p w14:paraId="05B4C144" w14:textId="77777777" w:rsidR="000670D7" w:rsidRDefault="000670D7" w:rsidP="005066A0">
      <w:pPr>
        <w:widowControl w:val="0"/>
        <w:autoSpaceDE w:val="0"/>
        <w:autoSpaceDN w:val="0"/>
        <w:adjustRightInd w:val="0"/>
        <w:ind w:left="480" w:hanging="480"/>
        <w:rPr>
          <w:lang w:eastAsia="en-GB"/>
        </w:rPr>
        <w:sectPr w:rsidR="000670D7" w:rsidSect="000670D7">
          <w:type w:val="continuous"/>
          <w:pgSz w:w="11906" w:h="16838" w:code="9"/>
          <w:pgMar w:top="1701" w:right="1418" w:bottom="1701" w:left="1701" w:header="1701" w:footer="0" w:gutter="0"/>
          <w:cols w:space="708"/>
          <w:formProt w:val="0"/>
          <w:titlePg/>
          <w:docGrid w:linePitch="360"/>
        </w:sectPr>
      </w:pPr>
    </w:p>
    <w:p w14:paraId="37FAECD5" w14:textId="77777777" w:rsidR="00997D00" w:rsidRDefault="00997D00" w:rsidP="00997D00">
      <w:pPr>
        <w:pStyle w:val="NormaleWeb"/>
        <w:ind w:left="480" w:hanging="480"/>
        <w:rPr>
          <w:noProof/>
          <w:sz w:val="22"/>
        </w:rPr>
      </w:pPr>
      <w:r w:rsidRPr="00997D00">
        <w:rPr>
          <w:sz w:val="18"/>
          <w:szCs w:val="20"/>
          <w:lang w:eastAsia="en-GB"/>
        </w:rPr>
        <w:t>Baker, W.E., 1985. Explosion hazards and evaluation, Elsevier Scientific Pub. Co</w:t>
      </w:r>
      <w:r w:rsidRPr="00491442">
        <w:rPr>
          <w:noProof/>
          <w:sz w:val="22"/>
        </w:rPr>
        <w:t>.</w:t>
      </w:r>
    </w:p>
    <w:p w14:paraId="74DFEF32" w14:textId="77777777" w:rsidR="00997D00" w:rsidRPr="00997D00" w:rsidRDefault="00997D00" w:rsidP="00997D00">
      <w:pPr>
        <w:widowControl w:val="0"/>
        <w:autoSpaceDE w:val="0"/>
        <w:autoSpaceDN w:val="0"/>
        <w:adjustRightInd w:val="0"/>
        <w:ind w:left="480" w:hanging="480"/>
        <w:rPr>
          <w:lang w:eastAsia="en-GB"/>
        </w:rPr>
      </w:pPr>
      <w:r w:rsidRPr="00997D00">
        <w:rPr>
          <w:lang w:eastAsia="en-GB"/>
        </w:rPr>
        <w:t>Birk, A.M., Davison, C., Cunningham, M., 2007. Blast overpressures from medium scale BLEVE tests. J.Loss Prev. Process Ind. 20, 194–206. doi:10.1016/j.jlp.2007.03.001</w:t>
      </w:r>
    </w:p>
    <w:p w14:paraId="5D99B1C1" w14:textId="77777777" w:rsidR="00997D00" w:rsidRDefault="00997D00" w:rsidP="00427F71">
      <w:pPr>
        <w:widowControl w:val="0"/>
        <w:autoSpaceDE w:val="0"/>
        <w:autoSpaceDN w:val="0"/>
        <w:adjustRightInd w:val="0"/>
        <w:ind w:left="480" w:hanging="480"/>
        <w:rPr>
          <w:rFonts w:ascii="Cambria Math" w:hAnsi="Cambria Math" w:cs="Cambria Math"/>
          <w:lang w:eastAsia="en-GB"/>
        </w:rPr>
      </w:pPr>
      <w:r w:rsidRPr="00427F71">
        <w:rPr>
          <w:lang w:eastAsia="en-GB"/>
        </w:rPr>
        <w:t xml:space="preserve">Birk, A.M., Heymes, F., Eyssette, R., Lauret, P., Aprin, L., et al., 2018. Near-field BLEVE overpressure effects: The shock start model. Process Safety and Environmental Protection, 116, pp.727-736. doi:10.1016/j.psep.2018.04.003. </w:t>
      </w:r>
      <w:r w:rsidRPr="00427F71">
        <w:rPr>
          <w:rFonts w:ascii="Cambria Math" w:hAnsi="Cambria Math" w:cs="Cambria Math"/>
          <w:lang w:eastAsia="en-GB"/>
        </w:rPr>
        <w:t>⟨</w:t>
      </w:r>
      <w:r w:rsidRPr="00427F71">
        <w:rPr>
          <w:lang w:eastAsia="en-GB"/>
        </w:rPr>
        <w:t>hal-02011899</w:t>
      </w:r>
      <w:r w:rsidRPr="00427F71">
        <w:rPr>
          <w:rFonts w:ascii="Cambria Math" w:hAnsi="Cambria Math" w:cs="Cambria Math"/>
          <w:lang w:eastAsia="en-GB"/>
        </w:rPr>
        <w:t>⟩</w:t>
      </w:r>
    </w:p>
    <w:p w14:paraId="76A53920" w14:textId="77777777" w:rsidR="00FF3EC4" w:rsidRPr="00427F71" w:rsidRDefault="00FF3EC4" w:rsidP="00FF3EC4">
      <w:pPr>
        <w:widowControl w:val="0"/>
        <w:autoSpaceDE w:val="0"/>
        <w:autoSpaceDN w:val="0"/>
        <w:adjustRightInd w:val="0"/>
        <w:ind w:left="480" w:hanging="480"/>
        <w:rPr>
          <w:lang w:eastAsia="en-GB"/>
        </w:rPr>
      </w:pPr>
      <w:r w:rsidRPr="000B79D9">
        <w:rPr>
          <w:lang w:val="en-CA" w:eastAsia="en-GB"/>
        </w:rPr>
        <w:t xml:space="preserve">Casal, J., Salla, J.M., 2006. </w:t>
      </w:r>
      <w:r w:rsidRPr="00427F71">
        <w:rPr>
          <w:lang w:eastAsia="en-GB"/>
        </w:rPr>
        <w:t>Using liquid superheating energy for a quick estimation of overpressure in BLEVEs and similar explosions. J. Hazard. Mater. 137, 1321–1327.</w:t>
      </w:r>
    </w:p>
    <w:p w14:paraId="3B74FAB7" w14:textId="2F3C9A7D" w:rsidR="00FF3EC4" w:rsidRPr="000B03FB" w:rsidRDefault="00FF3EC4" w:rsidP="00FF3EC4">
      <w:pPr>
        <w:widowControl w:val="0"/>
        <w:autoSpaceDE w:val="0"/>
        <w:autoSpaceDN w:val="0"/>
        <w:adjustRightInd w:val="0"/>
        <w:ind w:left="480" w:hanging="480"/>
        <w:rPr>
          <w:lang w:val="en-US" w:eastAsia="en-GB"/>
        </w:rPr>
      </w:pPr>
      <w:r w:rsidRPr="00FF3EC4">
        <w:rPr>
          <w:lang w:eastAsia="en-GB"/>
        </w:rPr>
        <w:t xml:space="preserve">Geng J, Baker Q, Thomas K. Pressure vessel burst directional effects. In: ASME 2011 pressure vessels and piping conference, vol. 4; 2011. p. 3e9. https://doi.org/10.1115/ PVP2011-57167. Baltimore, Maryland, </w:t>
      </w:r>
    </w:p>
    <w:p w14:paraId="62D23765" w14:textId="77777777" w:rsidR="00FF3EC4" w:rsidRPr="00D50FE7" w:rsidRDefault="00FF3EC4" w:rsidP="00FF3EC4">
      <w:pPr>
        <w:widowControl w:val="0"/>
        <w:autoSpaceDE w:val="0"/>
        <w:autoSpaceDN w:val="0"/>
        <w:adjustRightInd w:val="0"/>
        <w:ind w:left="480" w:hanging="480"/>
      </w:pPr>
      <w:r w:rsidRPr="002942EB">
        <w:rPr>
          <w:lang w:eastAsia="en-GB"/>
        </w:rPr>
        <w:t>Hansen, O., Kjellander, M. (2016). CFD Modelling of Blast</w:t>
      </w:r>
      <w:r>
        <w:rPr>
          <w:lang w:eastAsia="en-GB"/>
        </w:rPr>
        <w:t xml:space="preserve"> </w:t>
      </w:r>
      <w:r w:rsidRPr="002942EB">
        <w:rPr>
          <w:lang w:eastAsia="en-GB"/>
        </w:rPr>
        <w:t>Waves from BLEVEs. Chemical Engineering Transactions, 48, 199-204.</w:t>
      </w:r>
      <w:hyperlink r:id="rId21" w:history="1">
        <w:r w:rsidRPr="00D50FE7">
          <w:t>http://dx.doi.org/10.3303/CET1648034</w:t>
        </w:r>
      </w:hyperlink>
    </w:p>
    <w:p w14:paraId="35A418A6" w14:textId="77777777" w:rsidR="00FF3EC4" w:rsidRDefault="00FF3EC4" w:rsidP="00FF3EC4">
      <w:pPr>
        <w:widowControl w:val="0"/>
        <w:autoSpaceDE w:val="0"/>
        <w:autoSpaceDN w:val="0"/>
        <w:adjustRightInd w:val="0"/>
        <w:ind w:left="480" w:hanging="480"/>
        <w:rPr>
          <w:lang w:val="en-US" w:eastAsia="en-GB"/>
        </w:rPr>
      </w:pPr>
      <w:r w:rsidRPr="000B03FB">
        <w:rPr>
          <w:lang w:val="en-US" w:eastAsia="en-GB"/>
        </w:rPr>
        <w:t xml:space="preserve">Heymes, F. et al., 2014. On the Effects of a Triple Aggression ( Fragment , Blast , Fireball ) on an LPG Storage. </w:t>
      </w:r>
      <w:r w:rsidRPr="000B03FB">
        <w:rPr>
          <w:i/>
          <w:iCs/>
          <w:lang w:val="en-US" w:eastAsia="en-GB"/>
        </w:rPr>
        <w:t>Chemical Engineering Transactions</w:t>
      </w:r>
      <w:r w:rsidRPr="000B03FB">
        <w:rPr>
          <w:lang w:val="en-US" w:eastAsia="en-GB"/>
        </w:rPr>
        <w:t>, 36, pp.355–360.</w:t>
      </w:r>
    </w:p>
    <w:p w14:paraId="0A30B0AA" w14:textId="77777777" w:rsidR="00F377B5" w:rsidRDefault="00F377B5" w:rsidP="00F377B5">
      <w:pPr>
        <w:widowControl w:val="0"/>
        <w:autoSpaceDE w:val="0"/>
        <w:autoSpaceDN w:val="0"/>
        <w:adjustRightInd w:val="0"/>
        <w:ind w:left="480" w:hanging="480"/>
        <w:rPr>
          <w:lang w:val="en-CA"/>
        </w:rPr>
      </w:pPr>
      <w:r w:rsidRPr="00427F71">
        <w:rPr>
          <w:lang w:val="en-CA"/>
        </w:rPr>
        <w:t xml:space="preserve">Johnson, D.M., Pritchard, M.J., 1991. A large-scale experimental study of BLEVEs. British Gas Report No I536 </w:t>
      </w:r>
    </w:p>
    <w:p w14:paraId="3B91D889" w14:textId="2307D894" w:rsidR="000B03FB" w:rsidRDefault="000B03FB" w:rsidP="000B03FB">
      <w:pPr>
        <w:widowControl w:val="0"/>
        <w:autoSpaceDE w:val="0"/>
        <w:autoSpaceDN w:val="0"/>
        <w:adjustRightInd w:val="0"/>
        <w:ind w:left="480" w:hanging="480"/>
        <w:rPr>
          <w:rStyle w:val="Collegamentoipertestuale"/>
          <w:lang w:eastAsia="en-GB"/>
        </w:rPr>
      </w:pPr>
      <w:r w:rsidRPr="000B03FB">
        <w:rPr>
          <w:lang w:eastAsia="en-GB"/>
        </w:rPr>
        <w:t xml:space="preserve">Laamarti, E. M., Heymes, F., &amp; Birk, A. M. </w:t>
      </w:r>
      <w:r w:rsidR="00D50FE7">
        <w:rPr>
          <w:lang w:eastAsia="en-GB"/>
        </w:rPr>
        <w:t>,</w:t>
      </w:r>
      <w:r w:rsidRPr="000B03FB">
        <w:rPr>
          <w:lang w:eastAsia="en-GB"/>
        </w:rPr>
        <w:t>2024</w:t>
      </w:r>
      <w:r w:rsidR="006576C5">
        <w:rPr>
          <w:lang w:eastAsia="en-GB"/>
        </w:rPr>
        <w:t>a</w:t>
      </w:r>
      <w:r w:rsidRPr="000B03FB">
        <w:rPr>
          <w:lang w:eastAsia="en-GB"/>
        </w:rPr>
        <w:t>. Consequences of Partial Vessel Failure in BLEVE and Liquid Full Fill Rupture Events. Chemical Engineering Transactions, 111, 331-336.</w:t>
      </w:r>
      <w:r w:rsidR="00EC4CE2">
        <w:rPr>
          <w:lang w:eastAsia="en-GB"/>
        </w:rPr>
        <w:t xml:space="preserve"> </w:t>
      </w:r>
      <w:hyperlink r:id="rId22" w:history="1">
        <w:r w:rsidR="00EC4CE2" w:rsidRPr="001E6B4D">
          <w:rPr>
            <w:rStyle w:val="Collegamentoipertestuale"/>
            <w:lang w:eastAsia="en-GB"/>
          </w:rPr>
          <w:t>https://doi.org/10.3303/CET24111056</w:t>
        </w:r>
      </w:hyperlink>
    </w:p>
    <w:p w14:paraId="565F3933" w14:textId="1AB98F51" w:rsidR="006576C5" w:rsidRPr="00427F71" w:rsidRDefault="006576C5" w:rsidP="006576C5">
      <w:pPr>
        <w:widowControl w:val="0"/>
        <w:autoSpaceDE w:val="0"/>
        <w:autoSpaceDN w:val="0"/>
        <w:adjustRightInd w:val="0"/>
        <w:ind w:left="480" w:hanging="480"/>
        <w:rPr>
          <w:lang w:eastAsia="en-GB"/>
        </w:rPr>
      </w:pPr>
      <w:r w:rsidRPr="00427F71">
        <w:rPr>
          <w:lang w:eastAsia="en-GB"/>
        </w:rPr>
        <w:t>Laamarti, E.M., Birk, A.M., Chanut, C., Heymes, F., 2024</w:t>
      </w:r>
      <w:r>
        <w:rPr>
          <w:lang w:eastAsia="en-GB"/>
        </w:rPr>
        <w:t>b</w:t>
      </w:r>
      <w:r w:rsidRPr="00427F71">
        <w:rPr>
          <w:lang w:eastAsia="en-GB"/>
        </w:rPr>
        <w:t xml:space="preserve"> Correlations to estimate the ground loading from small-scale propane BLEVE experiments. Process Safety and Environmental Protection.</w:t>
      </w:r>
      <w:r>
        <w:rPr>
          <w:lang w:eastAsia="en-GB"/>
        </w:rPr>
        <w:t xml:space="preserve"> </w:t>
      </w:r>
      <w:hyperlink r:id="rId23" w:history="1">
        <w:r w:rsidRPr="001E6B4D">
          <w:rPr>
            <w:rStyle w:val="Collegamentoipertestuale"/>
            <w:lang w:eastAsia="en-GB"/>
          </w:rPr>
          <w:t>https://doi.org/10.1016/j.psep.2024.03.006</w:t>
        </w:r>
      </w:hyperlink>
    </w:p>
    <w:p w14:paraId="0CD6B49D" w14:textId="16E3B5FA" w:rsidR="000B03FB" w:rsidRDefault="000B03FB" w:rsidP="00EC4CE2">
      <w:pPr>
        <w:widowControl w:val="0"/>
        <w:autoSpaceDE w:val="0"/>
        <w:autoSpaceDN w:val="0"/>
        <w:adjustRightInd w:val="0"/>
        <w:ind w:left="480" w:hanging="480"/>
        <w:rPr>
          <w:lang w:eastAsia="en-GB"/>
        </w:rPr>
      </w:pPr>
      <w:bookmarkStart w:id="3" w:name="_Hlk181852680"/>
      <w:r>
        <w:rPr>
          <w:lang w:eastAsia="en-GB"/>
        </w:rPr>
        <w:t>Laamarti</w:t>
      </w:r>
      <w:r w:rsidRPr="000B03FB">
        <w:rPr>
          <w:lang w:eastAsia="en-GB"/>
        </w:rPr>
        <w:t xml:space="preserve"> </w:t>
      </w:r>
      <w:r>
        <w:rPr>
          <w:lang w:eastAsia="en-GB"/>
        </w:rPr>
        <w:t>E.M., Birk</w:t>
      </w:r>
      <w:r w:rsidRPr="000B03FB">
        <w:rPr>
          <w:lang w:eastAsia="en-GB"/>
        </w:rPr>
        <w:t xml:space="preserve"> </w:t>
      </w:r>
      <w:r>
        <w:rPr>
          <w:lang w:eastAsia="en-GB"/>
        </w:rPr>
        <w:t xml:space="preserve">A.M., Heymes F., </w:t>
      </w:r>
      <w:r w:rsidR="00D50FE7">
        <w:rPr>
          <w:lang w:eastAsia="en-GB"/>
        </w:rPr>
        <w:t xml:space="preserve">2024c </w:t>
      </w:r>
      <w:r>
        <w:rPr>
          <w:lang w:eastAsia="en-GB"/>
        </w:rPr>
        <w:t>Small-scale BLEVE: Near-field aerial shock overpressure and impulse, Journal of Loss Prevention in the Process Industries, Volume 92,</w:t>
      </w:r>
      <w:r w:rsidR="00D50FE7">
        <w:rPr>
          <w:lang w:eastAsia="en-GB"/>
        </w:rPr>
        <w:t xml:space="preserve"> </w:t>
      </w:r>
      <w:r>
        <w:rPr>
          <w:lang w:eastAsia="en-GB"/>
        </w:rPr>
        <w:t>,105463,ISSN 0950-4230,</w:t>
      </w:r>
      <w:r w:rsidR="00EC4CE2">
        <w:rPr>
          <w:lang w:eastAsia="en-GB"/>
        </w:rPr>
        <w:t xml:space="preserve"> </w:t>
      </w:r>
      <w:hyperlink r:id="rId24" w:history="1">
        <w:r w:rsidR="000B79D9" w:rsidRPr="00722F60">
          <w:rPr>
            <w:rStyle w:val="Collegamentoipertestuale"/>
            <w:lang w:eastAsia="en-GB"/>
          </w:rPr>
          <w:t>https://doi.org/10.1016/j.jlp.2024.105463</w:t>
        </w:r>
      </w:hyperlink>
      <w:r>
        <w:rPr>
          <w:lang w:eastAsia="en-GB"/>
        </w:rPr>
        <w:t>.</w:t>
      </w:r>
    </w:p>
    <w:p w14:paraId="59E0F93B" w14:textId="3414700B" w:rsidR="00D50FE7" w:rsidRPr="00D50FE7" w:rsidRDefault="00D50FE7" w:rsidP="00D50FE7">
      <w:pPr>
        <w:widowControl w:val="0"/>
        <w:autoSpaceDE w:val="0"/>
        <w:autoSpaceDN w:val="0"/>
        <w:adjustRightInd w:val="0"/>
        <w:ind w:left="480" w:hanging="480"/>
        <w:rPr>
          <w:lang w:eastAsia="en-GB"/>
        </w:rPr>
      </w:pPr>
      <w:r w:rsidRPr="002C5F22">
        <w:rPr>
          <w:lang w:eastAsia="en-GB"/>
        </w:rPr>
        <w:t>Laboureur D., Birk A.M., Buchlin J.M., Rambaud P., Aprin L., Heymes F., Osmont A., 2015, A Closer Look at BLEVE Overpressure,"Process Safety and Environmental Protection, 95, 159-171.</w:t>
      </w:r>
    </w:p>
    <w:bookmarkEnd w:id="3"/>
    <w:p w14:paraId="0577DAF2" w14:textId="42FF7591" w:rsidR="00FF3EC4" w:rsidRDefault="00FF3EC4" w:rsidP="002942EB">
      <w:pPr>
        <w:widowControl w:val="0"/>
        <w:autoSpaceDE w:val="0"/>
        <w:autoSpaceDN w:val="0"/>
        <w:adjustRightInd w:val="0"/>
        <w:ind w:left="480" w:hanging="480"/>
        <w:rPr>
          <w:lang w:eastAsia="en-GB"/>
        </w:rPr>
      </w:pPr>
      <w:r w:rsidRPr="00FF3EC4">
        <w:rPr>
          <w:lang w:val="es-ES" w:eastAsia="en-GB"/>
        </w:rPr>
        <w:t xml:space="preserve">Planas-Cuchi, E., Salla, J.M., Casal, J., 2004. </w:t>
      </w:r>
      <w:r w:rsidRPr="00427F71">
        <w:rPr>
          <w:lang w:eastAsia="en-GB"/>
        </w:rPr>
        <w:t>Calculating overpressure from BLEVE explosions. J. Loss Prev. Process Ind. 17, 431–436. doi:10.1016/j.jlp.2004.08.002</w:t>
      </w:r>
    </w:p>
    <w:sectPr w:rsidR="00FF3EC4"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2622C" w14:textId="77777777" w:rsidR="00896819" w:rsidRDefault="00896819" w:rsidP="004F5E36">
      <w:r>
        <w:separator/>
      </w:r>
    </w:p>
  </w:endnote>
  <w:endnote w:type="continuationSeparator" w:id="0">
    <w:p w14:paraId="34B8C55E" w14:textId="77777777" w:rsidR="00896819" w:rsidRDefault="0089681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AB5B5" w14:textId="77777777" w:rsidR="00896819" w:rsidRDefault="00896819" w:rsidP="004F5E36">
      <w:r>
        <w:separator/>
      </w:r>
    </w:p>
  </w:footnote>
  <w:footnote w:type="continuationSeparator" w:id="0">
    <w:p w14:paraId="33DC1413" w14:textId="77777777" w:rsidR="00896819" w:rsidRDefault="00896819"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08B10A1"/>
    <w:multiLevelType w:val="hybridMultilevel"/>
    <w:tmpl w:val="8344481C"/>
    <w:lvl w:ilvl="0" w:tplc="10090005">
      <w:start w:val="1"/>
      <w:numFmt w:val="bullet"/>
      <w:lvlText w:val=""/>
      <w:lvlJc w:val="left"/>
      <w:pPr>
        <w:ind w:left="720" w:hanging="360"/>
      </w:pPr>
      <w:rPr>
        <w:rFonts w:ascii="Wingdings" w:hAnsi="Wingdings" w:hint="default"/>
      </w:rPr>
    </w:lvl>
    <w:lvl w:ilvl="1" w:tplc="AF76DDDE">
      <w:numFmt w:val="bullet"/>
      <w:lvlText w:val="-"/>
      <w:lvlJc w:val="left"/>
      <w:pPr>
        <w:ind w:left="1440" w:hanging="360"/>
      </w:pPr>
      <w:rPr>
        <w:rFonts w:ascii="Times New Roman" w:eastAsia="Times New Roman" w:hAnsi="Times New Roman" w:cs="Times New Roman"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42E7DB2"/>
    <w:multiLevelType w:val="hybridMultilevel"/>
    <w:tmpl w:val="DFFC705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3226EF"/>
    <w:multiLevelType w:val="hybridMultilevel"/>
    <w:tmpl w:val="71DCA7A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3564FAD"/>
    <w:multiLevelType w:val="hybridMultilevel"/>
    <w:tmpl w:val="F0B4B7EA"/>
    <w:lvl w:ilvl="0" w:tplc="FFFFFFFF">
      <w:start w:val="1"/>
      <w:numFmt w:val="bullet"/>
      <w:lvlText w:val=""/>
      <w:lvlJc w:val="left"/>
      <w:pPr>
        <w:ind w:left="1428" w:hanging="360"/>
      </w:pPr>
      <w:rPr>
        <w:rFonts w:ascii="Symbol" w:hAnsi="Symbol" w:hint="default"/>
      </w:rPr>
    </w:lvl>
    <w:lvl w:ilvl="1" w:tplc="1009000B">
      <w:start w:val="1"/>
      <w:numFmt w:val="bullet"/>
      <w:lvlText w:val=""/>
      <w:lvlJc w:val="left"/>
      <w:pPr>
        <w:ind w:left="2148" w:hanging="360"/>
      </w:pPr>
      <w:rPr>
        <w:rFonts w:ascii="Wingdings" w:hAnsi="Wingdings"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3"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B746810"/>
    <w:multiLevelType w:val="hybridMultilevel"/>
    <w:tmpl w:val="D3E6CB20"/>
    <w:lvl w:ilvl="0" w:tplc="10090001">
      <w:start w:val="1"/>
      <w:numFmt w:val="bullet"/>
      <w:lvlText w:val=""/>
      <w:lvlJc w:val="left"/>
      <w:pPr>
        <w:ind w:left="1428" w:hanging="360"/>
      </w:pPr>
      <w:rPr>
        <w:rFonts w:ascii="Symbol" w:hAnsi="Symbol" w:hint="default"/>
      </w:rPr>
    </w:lvl>
    <w:lvl w:ilvl="1" w:tplc="10090003">
      <w:start w:val="1"/>
      <w:numFmt w:val="bullet"/>
      <w:lvlText w:val="o"/>
      <w:lvlJc w:val="left"/>
      <w:pPr>
        <w:ind w:left="2148" w:hanging="360"/>
      </w:pPr>
      <w:rPr>
        <w:rFonts w:ascii="Courier New" w:hAnsi="Courier New" w:cs="Courier New" w:hint="default"/>
      </w:rPr>
    </w:lvl>
    <w:lvl w:ilvl="2" w:tplc="10090005" w:tentative="1">
      <w:start w:val="1"/>
      <w:numFmt w:val="bullet"/>
      <w:lvlText w:val=""/>
      <w:lvlJc w:val="left"/>
      <w:pPr>
        <w:ind w:left="2868" w:hanging="360"/>
      </w:pPr>
      <w:rPr>
        <w:rFonts w:ascii="Wingdings" w:hAnsi="Wingdings" w:hint="default"/>
      </w:rPr>
    </w:lvl>
    <w:lvl w:ilvl="3" w:tplc="10090001" w:tentative="1">
      <w:start w:val="1"/>
      <w:numFmt w:val="bullet"/>
      <w:lvlText w:val=""/>
      <w:lvlJc w:val="left"/>
      <w:pPr>
        <w:ind w:left="3588" w:hanging="360"/>
      </w:pPr>
      <w:rPr>
        <w:rFonts w:ascii="Symbol" w:hAnsi="Symbol" w:hint="default"/>
      </w:rPr>
    </w:lvl>
    <w:lvl w:ilvl="4" w:tplc="10090003" w:tentative="1">
      <w:start w:val="1"/>
      <w:numFmt w:val="bullet"/>
      <w:lvlText w:val="o"/>
      <w:lvlJc w:val="left"/>
      <w:pPr>
        <w:ind w:left="4308" w:hanging="360"/>
      </w:pPr>
      <w:rPr>
        <w:rFonts w:ascii="Courier New" w:hAnsi="Courier New" w:cs="Courier New" w:hint="default"/>
      </w:rPr>
    </w:lvl>
    <w:lvl w:ilvl="5" w:tplc="10090005" w:tentative="1">
      <w:start w:val="1"/>
      <w:numFmt w:val="bullet"/>
      <w:lvlText w:val=""/>
      <w:lvlJc w:val="left"/>
      <w:pPr>
        <w:ind w:left="5028" w:hanging="360"/>
      </w:pPr>
      <w:rPr>
        <w:rFonts w:ascii="Wingdings" w:hAnsi="Wingdings" w:hint="default"/>
      </w:rPr>
    </w:lvl>
    <w:lvl w:ilvl="6" w:tplc="10090001" w:tentative="1">
      <w:start w:val="1"/>
      <w:numFmt w:val="bullet"/>
      <w:lvlText w:val=""/>
      <w:lvlJc w:val="left"/>
      <w:pPr>
        <w:ind w:left="5748" w:hanging="360"/>
      </w:pPr>
      <w:rPr>
        <w:rFonts w:ascii="Symbol" w:hAnsi="Symbol" w:hint="default"/>
      </w:rPr>
    </w:lvl>
    <w:lvl w:ilvl="7" w:tplc="10090003" w:tentative="1">
      <w:start w:val="1"/>
      <w:numFmt w:val="bullet"/>
      <w:lvlText w:val="o"/>
      <w:lvlJc w:val="left"/>
      <w:pPr>
        <w:ind w:left="6468" w:hanging="360"/>
      </w:pPr>
      <w:rPr>
        <w:rFonts w:ascii="Courier New" w:hAnsi="Courier New" w:cs="Courier New" w:hint="default"/>
      </w:rPr>
    </w:lvl>
    <w:lvl w:ilvl="8" w:tplc="10090005" w:tentative="1">
      <w:start w:val="1"/>
      <w:numFmt w:val="bullet"/>
      <w:lvlText w:val=""/>
      <w:lvlJc w:val="left"/>
      <w:pPr>
        <w:ind w:left="7188" w:hanging="360"/>
      </w:pPr>
      <w:rPr>
        <w:rFonts w:ascii="Wingdings" w:hAnsi="Wingdings" w:hint="default"/>
      </w:rPr>
    </w:lvl>
  </w:abstractNum>
  <w:abstractNum w:abstractNumId="27" w15:restartNumberingAfterBreak="0">
    <w:nsid w:val="7E3F0F2D"/>
    <w:multiLevelType w:val="hybridMultilevel"/>
    <w:tmpl w:val="652A6A02"/>
    <w:lvl w:ilvl="0" w:tplc="10090005">
      <w:start w:val="1"/>
      <w:numFmt w:val="bullet"/>
      <w:lvlText w:val=""/>
      <w:lvlJc w:val="left"/>
      <w:pPr>
        <w:ind w:left="720" w:hanging="360"/>
      </w:pPr>
      <w:rPr>
        <w:rFonts w:ascii="Wingdings" w:hAnsi="Wingdings" w:hint="default"/>
      </w:rPr>
    </w:lvl>
    <w:lvl w:ilvl="1" w:tplc="10090005">
      <w:start w:val="1"/>
      <w:numFmt w:val="bullet"/>
      <w:lvlText w:val=""/>
      <w:lvlJc w:val="left"/>
      <w:pPr>
        <w:ind w:left="72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2"/>
  </w:num>
  <w:num w:numId="13" w16cid:durableId="695733619">
    <w:abstractNumId w:val="15"/>
  </w:num>
  <w:num w:numId="14" w16cid:durableId="145903400">
    <w:abstractNumId w:val="23"/>
  </w:num>
  <w:num w:numId="15" w16cid:durableId="19162326">
    <w:abstractNumId w:val="25"/>
  </w:num>
  <w:num w:numId="16" w16cid:durableId="1977102699">
    <w:abstractNumId w:val="24"/>
  </w:num>
  <w:num w:numId="17" w16cid:durableId="860774865">
    <w:abstractNumId w:val="13"/>
  </w:num>
  <w:num w:numId="18" w16cid:durableId="313221457">
    <w:abstractNumId w:val="15"/>
    <w:lvlOverride w:ilvl="0">
      <w:startOverride w:val="1"/>
    </w:lvlOverride>
  </w:num>
  <w:num w:numId="19" w16cid:durableId="534971577">
    <w:abstractNumId w:val="20"/>
  </w:num>
  <w:num w:numId="20" w16cid:durableId="1150947773">
    <w:abstractNumId w:val="19"/>
  </w:num>
  <w:num w:numId="21" w16cid:durableId="124660497">
    <w:abstractNumId w:val="18"/>
  </w:num>
  <w:num w:numId="22" w16cid:durableId="2099861471">
    <w:abstractNumId w:val="16"/>
  </w:num>
  <w:num w:numId="23" w16cid:durableId="84351335">
    <w:abstractNumId w:val="10"/>
  </w:num>
  <w:num w:numId="24" w16cid:durableId="619192466">
    <w:abstractNumId w:val="12"/>
  </w:num>
  <w:num w:numId="25" w16cid:durableId="1039747015">
    <w:abstractNumId w:val="21"/>
  </w:num>
  <w:num w:numId="26" w16cid:durableId="1362130225">
    <w:abstractNumId w:val="27"/>
  </w:num>
  <w:num w:numId="27" w16cid:durableId="2044282138">
    <w:abstractNumId w:val="17"/>
  </w:num>
  <w:num w:numId="28" w16cid:durableId="1233731276">
    <w:abstractNumId w:val="26"/>
  </w:num>
  <w:num w:numId="29" w16cid:durableId="208078851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1603B"/>
    <w:rsid w:val="000226D7"/>
    <w:rsid w:val="0003148D"/>
    <w:rsid w:val="00031EEC"/>
    <w:rsid w:val="0003751C"/>
    <w:rsid w:val="000376C0"/>
    <w:rsid w:val="00044987"/>
    <w:rsid w:val="00051566"/>
    <w:rsid w:val="000562A9"/>
    <w:rsid w:val="00062A9A"/>
    <w:rsid w:val="00065058"/>
    <w:rsid w:val="000670D7"/>
    <w:rsid w:val="00086C39"/>
    <w:rsid w:val="000959E9"/>
    <w:rsid w:val="00097AEC"/>
    <w:rsid w:val="000A03B2"/>
    <w:rsid w:val="000A18F6"/>
    <w:rsid w:val="000A5D30"/>
    <w:rsid w:val="000B03FB"/>
    <w:rsid w:val="000B79D9"/>
    <w:rsid w:val="000B7F77"/>
    <w:rsid w:val="000C2E45"/>
    <w:rsid w:val="000D0268"/>
    <w:rsid w:val="000D34BE"/>
    <w:rsid w:val="000E0B3C"/>
    <w:rsid w:val="000E102F"/>
    <w:rsid w:val="000E36F1"/>
    <w:rsid w:val="000E3A73"/>
    <w:rsid w:val="000E414A"/>
    <w:rsid w:val="000E6CE8"/>
    <w:rsid w:val="000E75FD"/>
    <w:rsid w:val="000F093C"/>
    <w:rsid w:val="000F5BCA"/>
    <w:rsid w:val="000F787B"/>
    <w:rsid w:val="0012091F"/>
    <w:rsid w:val="00126BC2"/>
    <w:rsid w:val="001308B6"/>
    <w:rsid w:val="0013121F"/>
    <w:rsid w:val="00131FE6"/>
    <w:rsid w:val="0013263F"/>
    <w:rsid w:val="001331DF"/>
    <w:rsid w:val="00134DE4"/>
    <w:rsid w:val="0014034D"/>
    <w:rsid w:val="00140FE3"/>
    <w:rsid w:val="00144D16"/>
    <w:rsid w:val="00150E59"/>
    <w:rsid w:val="00152DE3"/>
    <w:rsid w:val="00156E46"/>
    <w:rsid w:val="001619D1"/>
    <w:rsid w:val="00164CF9"/>
    <w:rsid w:val="001667A6"/>
    <w:rsid w:val="0018171E"/>
    <w:rsid w:val="00184AD6"/>
    <w:rsid w:val="00186EAD"/>
    <w:rsid w:val="00191533"/>
    <w:rsid w:val="001A429A"/>
    <w:rsid w:val="001A4AF7"/>
    <w:rsid w:val="001B0349"/>
    <w:rsid w:val="001B1E93"/>
    <w:rsid w:val="001B49D4"/>
    <w:rsid w:val="001B65C1"/>
    <w:rsid w:val="001C260F"/>
    <w:rsid w:val="001C5C3A"/>
    <w:rsid w:val="001C684B"/>
    <w:rsid w:val="001C757D"/>
    <w:rsid w:val="001D0358"/>
    <w:rsid w:val="001D0CFB"/>
    <w:rsid w:val="001D21AF"/>
    <w:rsid w:val="001D53FC"/>
    <w:rsid w:val="001E2F1A"/>
    <w:rsid w:val="001F42A5"/>
    <w:rsid w:val="001F5810"/>
    <w:rsid w:val="001F7B9D"/>
    <w:rsid w:val="00201C93"/>
    <w:rsid w:val="002131B3"/>
    <w:rsid w:val="002224B4"/>
    <w:rsid w:val="002319D7"/>
    <w:rsid w:val="002447EF"/>
    <w:rsid w:val="00251550"/>
    <w:rsid w:val="00253574"/>
    <w:rsid w:val="00261C40"/>
    <w:rsid w:val="002639B1"/>
    <w:rsid w:val="00263B05"/>
    <w:rsid w:val="0027221A"/>
    <w:rsid w:val="00275B61"/>
    <w:rsid w:val="002760EC"/>
    <w:rsid w:val="00280FAF"/>
    <w:rsid w:val="00281FF5"/>
    <w:rsid w:val="00282656"/>
    <w:rsid w:val="00283A07"/>
    <w:rsid w:val="002872DC"/>
    <w:rsid w:val="002942EB"/>
    <w:rsid w:val="00296B83"/>
    <w:rsid w:val="002B12F2"/>
    <w:rsid w:val="002B4015"/>
    <w:rsid w:val="002B78CE"/>
    <w:rsid w:val="002C0B63"/>
    <w:rsid w:val="002C2FB6"/>
    <w:rsid w:val="002E4CCF"/>
    <w:rsid w:val="002E5FA7"/>
    <w:rsid w:val="002F3309"/>
    <w:rsid w:val="003008CE"/>
    <w:rsid w:val="003009B7"/>
    <w:rsid w:val="00300E56"/>
    <w:rsid w:val="0030152C"/>
    <w:rsid w:val="0030469C"/>
    <w:rsid w:val="00306AD9"/>
    <w:rsid w:val="00312D3B"/>
    <w:rsid w:val="00316F3A"/>
    <w:rsid w:val="00321CA6"/>
    <w:rsid w:val="00323763"/>
    <w:rsid w:val="00323C5F"/>
    <w:rsid w:val="00334C09"/>
    <w:rsid w:val="00347DE6"/>
    <w:rsid w:val="00354BEC"/>
    <w:rsid w:val="00366BDC"/>
    <w:rsid w:val="003723D4"/>
    <w:rsid w:val="00381905"/>
    <w:rsid w:val="0038273F"/>
    <w:rsid w:val="00384CC8"/>
    <w:rsid w:val="003871FD"/>
    <w:rsid w:val="0039721F"/>
    <w:rsid w:val="003A1E30"/>
    <w:rsid w:val="003A2829"/>
    <w:rsid w:val="003A2F40"/>
    <w:rsid w:val="003A41E6"/>
    <w:rsid w:val="003A4599"/>
    <w:rsid w:val="003A6A53"/>
    <w:rsid w:val="003A7D1C"/>
    <w:rsid w:val="003B02E5"/>
    <w:rsid w:val="003B1B06"/>
    <w:rsid w:val="003B304B"/>
    <w:rsid w:val="003B3146"/>
    <w:rsid w:val="003B3F84"/>
    <w:rsid w:val="003B49CD"/>
    <w:rsid w:val="003D1E02"/>
    <w:rsid w:val="003D207E"/>
    <w:rsid w:val="003E3D5C"/>
    <w:rsid w:val="003E4927"/>
    <w:rsid w:val="003F015E"/>
    <w:rsid w:val="00400414"/>
    <w:rsid w:val="0041446B"/>
    <w:rsid w:val="00425944"/>
    <w:rsid w:val="00427F71"/>
    <w:rsid w:val="0044071E"/>
    <w:rsid w:val="0044329C"/>
    <w:rsid w:val="00446533"/>
    <w:rsid w:val="00453E24"/>
    <w:rsid w:val="00454E69"/>
    <w:rsid w:val="00456D33"/>
    <w:rsid w:val="00457456"/>
    <w:rsid w:val="004577FE"/>
    <w:rsid w:val="00457B9C"/>
    <w:rsid w:val="0046164A"/>
    <w:rsid w:val="004628D2"/>
    <w:rsid w:val="00462DCD"/>
    <w:rsid w:val="004648AD"/>
    <w:rsid w:val="004703A9"/>
    <w:rsid w:val="004717A1"/>
    <w:rsid w:val="00473B1A"/>
    <w:rsid w:val="00474435"/>
    <w:rsid w:val="004760DE"/>
    <w:rsid w:val="004763D7"/>
    <w:rsid w:val="004872E6"/>
    <w:rsid w:val="004A004E"/>
    <w:rsid w:val="004A24CF"/>
    <w:rsid w:val="004A3944"/>
    <w:rsid w:val="004B4C2F"/>
    <w:rsid w:val="004B52CF"/>
    <w:rsid w:val="004C3D1D"/>
    <w:rsid w:val="004C3D84"/>
    <w:rsid w:val="004C7913"/>
    <w:rsid w:val="004D4A15"/>
    <w:rsid w:val="004E4DD6"/>
    <w:rsid w:val="004F5E36"/>
    <w:rsid w:val="005066A0"/>
    <w:rsid w:val="00507B47"/>
    <w:rsid w:val="00507BEF"/>
    <w:rsid w:val="00507CC9"/>
    <w:rsid w:val="005119A5"/>
    <w:rsid w:val="00515656"/>
    <w:rsid w:val="00520C62"/>
    <w:rsid w:val="005278B7"/>
    <w:rsid w:val="00532016"/>
    <w:rsid w:val="005346C8"/>
    <w:rsid w:val="00541055"/>
    <w:rsid w:val="005424FC"/>
    <w:rsid w:val="00543E7D"/>
    <w:rsid w:val="00547A68"/>
    <w:rsid w:val="005531C9"/>
    <w:rsid w:val="00554879"/>
    <w:rsid w:val="00564244"/>
    <w:rsid w:val="00570C43"/>
    <w:rsid w:val="005754A7"/>
    <w:rsid w:val="00577197"/>
    <w:rsid w:val="00577EE1"/>
    <w:rsid w:val="00584039"/>
    <w:rsid w:val="00592274"/>
    <w:rsid w:val="00593153"/>
    <w:rsid w:val="005B1BC1"/>
    <w:rsid w:val="005B2110"/>
    <w:rsid w:val="005B265D"/>
    <w:rsid w:val="005B350B"/>
    <w:rsid w:val="005B61E6"/>
    <w:rsid w:val="005C18EF"/>
    <w:rsid w:val="005C77E1"/>
    <w:rsid w:val="005D2A85"/>
    <w:rsid w:val="005D668A"/>
    <w:rsid w:val="005D6A2F"/>
    <w:rsid w:val="005D6CE0"/>
    <w:rsid w:val="005E0592"/>
    <w:rsid w:val="005E170A"/>
    <w:rsid w:val="005E1A82"/>
    <w:rsid w:val="005E6518"/>
    <w:rsid w:val="005E794C"/>
    <w:rsid w:val="005F04F0"/>
    <w:rsid w:val="005F0A28"/>
    <w:rsid w:val="005F0E5E"/>
    <w:rsid w:val="005F5962"/>
    <w:rsid w:val="00600535"/>
    <w:rsid w:val="00610C1C"/>
    <w:rsid w:val="00610CD6"/>
    <w:rsid w:val="00614BDC"/>
    <w:rsid w:val="00620DEE"/>
    <w:rsid w:val="00621F92"/>
    <w:rsid w:val="0062280A"/>
    <w:rsid w:val="006231E1"/>
    <w:rsid w:val="00625639"/>
    <w:rsid w:val="00631B33"/>
    <w:rsid w:val="0064184D"/>
    <w:rsid w:val="006422CC"/>
    <w:rsid w:val="00644272"/>
    <w:rsid w:val="00651D18"/>
    <w:rsid w:val="006576C5"/>
    <w:rsid w:val="00660E3E"/>
    <w:rsid w:val="00662E74"/>
    <w:rsid w:val="0067321A"/>
    <w:rsid w:val="00680C23"/>
    <w:rsid w:val="00683E23"/>
    <w:rsid w:val="00693766"/>
    <w:rsid w:val="006A3281"/>
    <w:rsid w:val="006A6DE5"/>
    <w:rsid w:val="006B3E30"/>
    <w:rsid w:val="006B4888"/>
    <w:rsid w:val="006B536E"/>
    <w:rsid w:val="006C21F1"/>
    <w:rsid w:val="006C2E45"/>
    <w:rsid w:val="006C358D"/>
    <w:rsid w:val="006C359C"/>
    <w:rsid w:val="006C5579"/>
    <w:rsid w:val="006D5E3C"/>
    <w:rsid w:val="006D6E8B"/>
    <w:rsid w:val="006D7209"/>
    <w:rsid w:val="006E737D"/>
    <w:rsid w:val="006F0096"/>
    <w:rsid w:val="00707DD1"/>
    <w:rsid w:val="00713973"/>
    <w:rsid w:val="00720051"/>
    <w:rsid w:val="00720A24"/>
    <w:rsid w:val="00732386"/>
    <w:rsid w:val="0073514D"/>
    <w:rsid w:val="00742CF1"/>
    <w:rsid w:val="007447F3"/>
    <w:rsid w:val="00750051"/>
    <w:rsid w:val="0075499F"/>
    <w:rsid w:val="007559DB"/>
    <w:rsid w:val="00757474"/>
    <w:rsid w:val="007661C8"/>
    <w:rsid w:val="0077098D"/>
    <w:rsid w:val="0077391D"/>
    <w:rsid w:val="00776D23"/>
    <w:rsid w:val="007833C4"/>
    <w:rsid w:val="00785BF9"/>
    <w:rsid w:val="0079293C"/>
    <w:rsid w:val="007931FA"/>
    <w:rsid w:val="007A4861"/>
    <w:rsid w:val="007A699E"/>
    <w:rsid w:val="007A7BBA"/>
    <w:rsid w:val="007B0C50"/>
    <w:rsid w:val="007B48F9"/>
    <w:rsid w:val="007C1A43"/>
    <w:rsid w:val="007D0951"/>
    <w:rsid w:val="007D610D"/>
    <w:rsid w:val="007E419D"/>
    <w:rsid w:val="0080013E"/>
    <w:rsid w:val="00801759"/>
    <w:rsid w:val="00803F5E"/>
    <w:rsid w:val="00805BB6"/>
    <w:rsid w:val="00813288"/>
    <w:rsid w:val="008147F9"/>
    <w:rsid w:val="008168FC"/>
    <w:rsid w:val="00821350"/>
    <w:rsid w:val="00830996"/>
    <w:rsid w:val="008321CF"/>
    <w:rsid w:val="008345F1"/>
    <w:rsid w:val="0085184B"/>
    <w:rsid w:val="00865B07"/>
    <w:rsid w:val="008667EA"/>
    <w:rsid w:val="0087637F"/>
    <w:rsid w:val="008809B1"/>
    <w:rsid w:val="00884601"/>
    <w:rsid w:val="00884ECB"/>
    <w:rsid w:val="00892AD5"/>
    <w:rsid w:val="00896819"/>
    <w:rsid w:val="008A1512"/>
    <w:rsid w:val="008A3181"/>
    <w:rsid w:val="008B5AE7"/>
    <w:rsid w:val="008C6205"/>
    <w:rsid w:val="008C6EA0"/>
    <w:rsid w:val="008D22B8"/>
    <w:rsid w:val="008D25C3"/>
    <w:rsid w:val="008D32B9"/>
    <w:rsid w:val="008D433B"/>
    <w:rsid w:val="008D4A16"/>
    <w:rsid w:val="008D721D"/>
    <w:rsid w:val="008E5401"/>
    <w:rsid w:val="008E566E"/>
    <w:rsid w:val="008E67B9"/>
    <w:rsid w:val="00901554"/>
    <w:rsid w:val="0090161A"/>
    <w:rsid w:val="00901EB6"/>
    <w:rsid w:val="009041F8"/>
    <w:rsid w:val="00904C62"/>
    <w:rsid w:val="00906785"/>
    <w:rsid w:val="009219A9"/>
    <w:rsid w:val="00922BA8"/>
    <w:rsid w:val="00924DAC"/>
    <w:rsid w:val="00927058"/>
    <w:rsid w:val="0094048E"/>
    <w:rsid w:val="00942750"/>
    <w:rsid w:val="009450CE"/>
    <w:rsid w:val="009459BB"/>
    <w:rsid w:val="00947179"/>
    <w:rsid w:val="0095164B"/>
    <w:rsid w:val="00954090"/>
    <w:rsid w:val="00956267"/>
    <w:rsid w:val="009573E7"/>
    <w:rsid w:val="00963E05"/>
    <w:rsid w:val="00964A45"/>
    <w:rsid w:val="00967843"/>
    <w:rsid w:val="0096787B"/>
    <w:rsid w:val="00967D54"/>
    <w:rsid w:val="00971028"/>
    <w:rsid w:val="00975C70"/>
    <w:rsid w:val="00977F2A"/>
    <w:rsid w:val="009855C3"/>
    <w:rsid w:val="00986F0C"/>
    <w:rsid w:val="00993B84"/>
    <w:rsid w:val="00994400"/>
    <w:rsid w:val="00994C6A"/>
    <w:rsid w:val="0099621E"/>
    <w:rsid w:val="00996483"/>
    <w:rsid w:val="00996F5A"/>
    <w:rsid w:val="00997D00"/>
    <w:rsid w:val="009A20EF"/>
    <w:rsid w:val="009A2911"/>
    <w:rsid w:val="009A51CA"/>
    <w:rsid w:val="009B041A"/>
    <w:rsid w:val="009C37C3"/>
    <w:rsid w:val="009C6540"/>
    <w:rsid w:val="009C7C86"/>
    <w:rsid w:val="009D2FF7"/>
    <w:rsid w:val="009E33B2"/>
    <w:rsid w:val="009E444A"/>
    <w:rsid w:val="009E7884"/>
    <w:rsid w:val="009E788A"/>
    <w:rsid w:val="009F0E08"/>
    <w:rsid w:val="009F2FFB"/>
    <w:rsid w:val="00A079AE"/>
    <w:rsid w:val="00A1763D"/>
    <w:rsid w:val="00A17CEC"/>
    <w:rsid w:val="00A2234F"/>
    <w:rsid w:val="00A27EF0"/>
    <w:rsid w:val="00A42361"/>
    <w:rsid w:val="00A45C5B"/>
    <w:rsid w:val="00A46A8A"/>
    <w:rsid w:val="00A50B20"/>
    <w:rsid w:val="00A51390"/>
    <w:rsid w:val="00A60D13"/>
    <w:rsid w:val="00A7223D"/>
    <w:rsid w:val="00A724CF"/>
    <w:rsid w:val="00A72745"/>
    <w:rsid w:val="00A76EFC"/>
    <w:rsid w:val="00A87D50"/>
    <w:rsid w:val="00A91010"/>
    <w:rsid w:val="00A97F29"/>
    <w:rsid w:val="00AA702E"/>
    <w:rsid w:val="00AA7D26"/>
    <w:rsid w:val="00AB0964"/>
    <w:rsid w:val="00AB0B4F"/>
    <w:rsid w:val="00AB3F7E"/>
    <w:rsid w:val="00AB492A"/>
    <w:rsid w:val="00AB5011"/>
    <w:rsid w:val="00AB52BE"/>
    <w:rsid w:val="00AC7368"/>
    <w:rsid w:val="00AD16B9"/>
    <w:rsid w:val="00AD41F1"/>
    <w:rsid w:val="00AD5042"/>
    <w:rsid w:val="00AD7767"/>
    <w:rsid w:val="00AE377D"/>
    <w:rsid w:val="00AE3AC4"/>
    <w:rsid w:val="00AE7C67"/>
    <w:rsid w:val="00AF0EBA"/>
    <w:rsid w:val="00AF2463"/>
    <w:rsid w:val="00AF2B0F"/>
    <w:rsid w:val="00AF6C3C"/>
    <w:rsid w:val="00AF777B"/>
    <w:rsid w:val="00B02C8A"/>
    <w:rsid w:val="00B0343F"/>
    <w:rsid w:val="00B169F4"/>
    <w:rsid w:val="00B17FBD"/>
    <w:rsid w:val="00B2200D"/>
    <w:rsid w:val="00B24879"/>
    <w:rsid w:val="00B315A6"/>
    <w:rsid w:val="00B31813"/>
    <w:rsid w:val="00B33365"/>
    <w:rsid w:val="00B57B36"/>
    <w:rsid w:val="00B57E6F"/>
    <w:rsid w:val="00B657B7"/>
    <w:rsid w:val="00B70097"/>
    <w:rsid w:val="00B702CC"/>
    <w:rsid w:val="00B8686D"/>
    <w:rsid w:val="00B93F69"/>
    <w:rsid w:val="00BA31F3"/>
    <w:rsid w:val="00BB1DDC"/>
    <w:rsid w:val="00BC30C9"/>
    <w:rsid w:val="00BD077D"/>
    <w:rsid w:val="00BE3E58"/>
    <w:rsid w:val="00BF13CE"/>
    <w:rsid w:val="00BF4993"/>
    <w:rsid w:val="00C01616"/>
    <w:rsid w:val="00C0162B"/>
    <w:rsid w:val="00C068ED"/>
    <w:rsid w:val="00C07ABD"/>
    <w:rsid w:val="00C22E0C"/>
    <w:rsid w:val="00C232A6"/>
    <w:rsid w:val="00C32AFD"/>
    <w:rsid w:val="00C345B1"/>
    <w:rsid w:val="00C36203"/>
    <w:rsid w:val="00C40142"/>
    <w:rsid w:val="00C42FF7"/>
    <w:rsid w:val="00C52C3C"/>
    <w:rsid w:val="00C57182"/>
    <w:rsid w:val="00C57863"/>
    <w:rsid w:val="00C640AF"/>
    <w:rsid w:val="00C6553D"/>
    <w:rsid w:val="00C655FD"/>
    <w:rsid w:val="00C75407"/>
    <w:rsid w:val="00C841C6"/>
    <w:rsid w:val="00C870A8"/>
    <w:rsid w:val="00C94434"/>
    <w:rsid w:val="00C95F85"/>
    <w:rsid w:val="00CA0976"/>
    <w:rsid w:val="00CA0D75"/>
    <w:rsid w:val="00CA1C95"/>
    <w:rsid w:val="00CA5A9C"/>
    <w:rsid w:val="00CB5657"/>
    <w:rsid w:val="00CC4C20"/>
    <w:rsid w:val="00CD29A4"/>
    <w:rsid w:val="00CD3517"/>
    <w:rsid w:val="00CD5FE2"/>
    <w:rsid w:val="00CE7C68"/>
    <w:rsid w:val="00D01C44"/>
    <w:rsid w:val="00D02B4C"/>
    <w:rsid w:val="00D040C4"/>
    <w:rsid w:val="00D042BE"/>
    <w:rsid w:val="00D166B2"/>
    <w:rsid w:val="00D20AD1"/>
    <w:rsid w:val="00D2582C"/>
    <w:rsid w:val="00D27187"/>
    <w:rsid w:val="00D35F25"/>
    <w:rsid w:val="00D437A5"/>
    <w:rsid w:val="00D46B7E"/>
    <w:rsid w:val="00D50FE7"/>
    <w:rsid w:val="00D52ABB"/>
    <w:rsid w:val="00D5479D"/>
    <w:rsid w:val="00D57C84"/>
    <w:rsid w:val="00D6057D"/>
    <w:rsid w:val="00D61EA8"/>
    <w:rsid w:val="00D71640"/>
    <w:rsid w:val="00D836C5"/>
    <w:rsid w:val="00D84576"/>
    <w:rsid w:val="00DA1399"/>
    <w:rsid w:val="00DA24C6"/>
    <w:rsid w:val="00DA4D7B"/>
    <w:rsid w:val="00DC11F7"/>
    <w:rsid w:val="00DC2840"/>
    <w:rsid w:val="00DC6AF9"/>
    <w:rsid w:val="00DC73EE"/>
    <w:rsid w:val="00DD271C"/>
    <w:rsid w:val="00DE2259"/>
    <w:rsid w:val="00DE264A"/>
    <w:rsid w:val="00DE5529"/>
    <w:rsid w:val="00DF5072"/>
    <w:rsid w:val="00E02D18"/>
    <w:rsid w:val="00E041E7"/>
    <w:rsid w:val="00E051E8"/>
    <w:rsid w:val="00E11E96"/>
    <w:rsid w:val="00E147CA"/>
    <w:rsid w:val="00E218EB"/>
    <w:rsid w:val="00E23CA1"/>
    <w:rsid w:val="00E409A8"/>
    <w:rsid w:val="00E50C12"/>
    <w:rsid w:val="00E53B43"/>
    <w:rsid w:val="00E65B91"/>
    <w:rsid w:val="00E7209D"/>
    <w:rsid w:val="00E72EAD"/>
    <w:rsid w:val="00E77223"/>
    <w:rsid w:val="00E81AFD"/>
    <w:rsid w:val="00E8528B"/>
    <w:rsid w:val="00E85B94"/>
    <w:rsid w:val="00E978D0"/>
    <w:rsid w:val="00EA4613"/>
    <w:rsid w:val="00EA7F91"/>
    <w:rsid w:val="00EB1523"/>
    <w:rsid w:val="00EC0E49"/>
    <w:rsid w:val="00EC101F"/>
    <w:rsid w:val="00EC1D9F"/>
    <w:rsid w:val="00EC2D91"/>
    <w:rsid w:val="00EC4CE2"/>
    <w:rsid w:val="00ED22AB"/>
    <w:rsid w:val="00EE0131"/>
    <w:rsid w:val="00EE17B0"/>
    <w:rsid w:val="00EF06D9"/>
    <w:rsid w:val="00EF72AB"/>
    <w:rsid w:val="00F2780F"/>
    <w:rsid w:val="00F27EE4"/>
    <w:rsid w:val="00F3049E"/>
    <w:rsid w:val="00F30C64"/>
    <w:rsid w:val="00F32BA2"/>
    <w:rsid w:val="00F32CDB"/>
    <w:rsid w:val="00F35074"/>
    <w:rsid w:val="00F359DC"/>
    <w:rsid w:val="00F35FAF"/>
    <w:rsid w:val="00F377B5"/>
    <w:rsid w:val="00F41EE4"/>
    <w:rsid w:val="00F467C0"/>
    <w:rsid w:val="00F565FE"/>
    <w:rsid w:val="00F612AA"/>
    <w:rsid w:val="00F63A70"/>
    <w:rsid w:val="00F63D8C"/>
    <w:rsid w:val="00F67614"/>
    <w:rsid w:val="00F7534E"/>
    <w:rsid w:val="00F80884"/>
    <w:rsid w:val="00F93EDF"/>
    <w:rsid w:val="00F9779D"/>
    <w:rsid w:val="00FA1802"/>
    <w:rsid w:val="00FA21D0"/>
    <w:rsid w:val="00FA5F5F"/>
    <w:rsid w:val="00FB0DFD"/>
    <w:rsid w:val="00FB1356"/>
    <w:rsid w:val="00FB566F"/>
    <w:rsid w:val="00FB730C"/>
    <w:rsid w:val="00FC2695"/>
    <w:rsid w:val="00FC3E03"/>
    <w:rsid w:val="00FC3FC1"/>
    <w:rsid w:val="00FE1AB6"/>
    <w:rsid w:val="00FE69CE"/>
    <w:rsid w:val="00FF3EC4"/>
    <w:rsid w:val="00FF763D"/>
    <w:rsid w:val="00FF78A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DCF55A35-FA6C-44D9-9CBC-FD234E0AF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qFormat/>
    <w:rsid w:val="00280FAF"/>
    <w:pPr>
      <w:ind w:left="720"/>
      <w:contextualSpacing/>
    </w:pPr>
  </w:style>
  <w:style w:type="character" w:customStyle="1" w:styleId="gmail-apple-converted-space">
    <w:name w:val="gmail-apple-converted-space"/>
    <w:basedOn w:val="Carpredefinitoparagrafo"/>
    <w:rsid w:val="00005A19"/>
  </w:style>
  <w:style w:type="character" w:styleId="Menzionenonrisolta">
    <w:name w:val="Unresolved Mention"/>
    <w:basedOn w:val="Carpredefinitoparagrafo"/>
    <w:uiPriority w:val="99"/>
    <w:semiHidden/>
    <w:unhideWhenUsed/>
    <w:rsid w:val="002942EB"/>
    <w:rPr>
      <w:color w:val="605E5C"/>
      <w:shd w:val="clear" w:color="auto" w:fill="E1DFDD"/>
    </w:rPr>
  </w:style>
  <w:style w:type="paragraph" w:customStyle="1" w:styleId="CHISA">
    <w:name w:val="CHISA"/>
    <w:rsid w:val="00D50FE7"/>
    <w:pPr>
      <w:spacing w:after="0" w:line="240" w:lineRule="auto"/>
    </w:pPr>
    <w:rPr>
      <w:rFonts w:ascii="Arial" w:eastAsia="Times New Roman" w:hAnsi="Arial" w:cs="Arial"/>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3911">
      <w:bodyDiv w:val="1"/>
      <w:marLeft w:val="0"/>
      <w:marRight w:val="0"/>
      <w:marTop w:val="0"/>
      <w:marBottom w:val="0"/>
      <w:divBdr>
        <w:top w:val="none" w:sz="0" w:space="0" w:color="auto"/>
        <w:left w:val="none" w:sz="0" w:space="0" w:color="auto"/>
        <w:bottom w:val="none" w:sz="0" w:space="0" w:color="auto"/>
        <w:right w:val="none" w:sz="0" w:space="0" w:color="auto"/>
      </w:divBdr>
      <w:divsChild>
        <w:div w:id="1034967223">
          <w:marLeft w:val="0"/>
          <w:marRight w:val="0"/>
          <w:marTop w:val="0"/>
          <w:marBottom w:val="0"/>
          <w:divBdr>
            <w:top w:val="none" w:sz="0" w:space="0" w:color="auto"/>
            <w:left w:val="none" w:sz="0" w:space="0" w:color="auto"/>
            <w:bottom w:val="none" w:sz="0" w:space="0" w:color="auto"/>
            <w:right w:val="none" w:sz="0" w:space="0" w:color="auto"/>
          </w:divBdr>
          <w:divsChild>
            <w:div w:id="1442073250">
              <w:marLeft w:val="0"/>
              <w:marRight w:val="0"/>
              <w:marTop w:val="0"/>
              <w:marBottom w:val="0"/>
              <w:divBdr>
                <w:top w:val="none" w:sz="0" w:space="0" w:color="auto"/>
                <w:left w:val="none" w:sz="0" w:space="0" w:color="auto"/>
                <w:bottom w:val="none" w:sz="0" w:space="0" w:color="auto"/>
                <w:right w:val="none" w:sz="0" w:space="0" w:color="auto"/>
              </w:divBdr>
              <w:divsChild>
                <w:div w:id="714932750">
                  <w:marLeft w:val="0"/>
                  <w:marRight w:val="0"/>
                  <w:marTop w:val="0"/>
                  <w:marBottom w:val="0"/>
                  <w:divBdr>
                    <w:top w:val="none" w:sz="0" w:space="0" w:color="auto"/>
                    <w:left w:val="none" w:sz="0" w:space="0" w:color="auto"/>
                    <w:bottom w:val="none" w:sz="0" w:space="0" w:color="auto"/>
                    <w:right w:val="none" w:sz="0" w:space="0" w:color="auto"/>
                  </w:divBdr>
                  <w:divsChild>
                    <w:div w:id="6654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480173">
          <w:marLeft w:val="0"/>
          <w:marRight w:val="0"/>
          <w:marTop w:val="0"/>
          <w:marBottom w:val="0"/>
          <w:divBdr>
            <w:top w:val="none" w:sz="0" w:space="0" w:color="auto"/>
            <w:left w:val="none" w:sz="0" w:space="0" w:color="auto"/>
            <w:bottom w:val="none" w:sz="0" w:space="0" w:color="auto"/>
            <w:right w:val="none" w:sz="0" w:space="0" w:color="auto"/>
          </w:divBdr>
          <w:divsChild>
            <w:div w:id="1789858432">
              <w:marLeft w:val="0"/>
              <w:marRight w:val="0"/>
              <w:marTop w:val="0"/>
              <w:marBottom w:val="0"/>
              <w:divBdr>
                <w:top w:val="none" w:sz="0" w:space="0" w:color="auto"/>
                <w:left w:val="none" w:sz="0" w:space="0" w:color="auto"/>
                <w:bottom w:val="none" w:sz="0" w:space="0" w:color="auto"/>
                <w:right w:val="none" w:sz="0" w:space="0" w:color="auto"/>
              </w:divBdr>
              <w:divsChild>
                <w:div w:id="880241778">
                  <w:marLeft w:val="0"/>
                  <w:marRight w:val="0"/>
                  <w:marTop w:val="0"/>
                  <w:marBottom w:val="0"/>
                  <w:divBdr>
                    <w:top w:val="none" w:sz="0" w:space="0" w:color="auto"/>
                    <w:left w:val="none" w:sz="0" w:space="0" w:color="auto"/>
                    <w:bottom w:val="none" w:sz="0" w:space="0" w:color="auto"/>
                    <w:right w:val="none" w:sz="0" w:space="0" w:color="auto"/>
                  </w:divBdr>
                  <w:divsChild>
                    <w:div w:id="33707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81687">
      <w:bodyDiv w:val="1"/>
      <w:marLeft w:val="0"/>
      <w:marRight w:val="0"/>
      <w:marTop w:val="0"/>
      <w:marBottom w:val="0"/>
      <w:divBdr>
        <w:top w:val="none" w:sz="0" w:space="0" w:color="auto"/>
        <w:left w:val="none" w:sz="0" w:space="0" w:color="auto"/>
        <w:bottom w:val="none" w:sz="0" w:space="0" w:color="auto"/>
        <w:right w:val="none" w:sz="0" w:space="0" w:color="auto"/>
      </w:divBdr>
    </w:div>
    <w:div w:id="65929870">
      <w:bodyDiv w:val="1"/>
      <w:marLeft w:val="0"/>
      <w:marRight w:val="0"/>
      <w:marTop w:val="0"/>
      <w:marBottom w:val="0"/>
      <w:divBdr>
        <w:top w:val="none" w:sz="0" w:space="0" w:color="auto"/>
        <w:left w:val="none" w:sz="0" w:space="0" w:color="auto"/>
        <w:bottom w:val="none" w:sz="0" w:space="0" w:color="auto"/>
        <w:right w:val="none" w:sz="0" w:space="0" w:color="auto"/>
      </w:divBdr>
    </w:div>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157815054">
      <w:bodyDiv w:val="1"/>
      <w:marLeft w:val="0"/>
      <w:marRight w:val="0"/>
      <w:marTop w:val="0"/>
      <w:marBottom w:val="0"/>
      <w:divBdr>
        <w:top w:val="none" w:sz="0" w:space="0" w:color="auto"/>
        <w:left w:val="none" w:sz="0" w:space="0" w:color="auto"/>
        <w:bottom w:val="none" w:sz="0" w:space="0" w:color="auto"/>
        <w:right w:val="none" w:sz="0" w:space="0" w:color="auto"/>
      </w:divBdr>
    </w:div>
    <w:div w:id="311061786">
      <w:bodyDiv w:val="1"/>
      <w:marLeft w:val="0"/>
      <w:marRight w:val="0"/>
      <w:marTop w:val="0"/>
      <w:marBottom w:val="0"/>
      <w:divBdr>
        <w:top w:val="none" w:sz="0" w:space="0" w:color="auto"/>
        <w:left w:val="none" w:sz="0" w:space="0" w:color="auto"/>
        <w:bottom w:val="none" w:sz="0" w:space="0" w:color="auto"/>
        <w:right w:val="none" w:sz="0" w:space="0" w:color="auto"/>
      </w:divBdr>
    </w:div>
    <w:div w:id="691803512">
      <w:bodyDiv w:val="1"/>
      <w:marLeft w:val="0"/>
      <w:marRight w:val="0"/>
      <w:marTop w:val="0"/>
      <w:marBottom w:val="0"/>
      <w:divBdr>
        <w:top w:val="none" w:sz="0" w:space="0" w:color="auto"/>
        <w:left w:val="none" w:sz="0" w:space="0" w:color="auto"/>
        <w:bottom w:val="none" w:sz="0" w:space="0" w:color="auto"/>
        <w:right w:val="none" w:sz="0" w:space="0" w:color="auto"/>
      </w:divBdr>
    </w:div>
    <w:div w:id="745958733">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33938">
      <w:bodyDiv w:val="1"/>
      <w:marLeft w:val="0"/>
      <w:marRight w:val="0"/>
      <w:marTop w:val="0"/>
      <w:marBottom w:val="0"/>
      <w:divBdr>
        <w:top w:val="none" w:sz="0" w:space="0" w:color="auto"/>
        <w:left w:val="none" w:sz="0" w:space="0" w:color="auto"/>
        <w:bottom w:val="none" w:sz="0" w:space="0" w:color="auto"/>
        <w:right w:val="none" w:sz="0" w:space="0" w:color="auto"/>
      </w:divBdr>
    </w:div>
    <w:div w:id="1028263772">
      <w:bodyDiv w:val="1"/>
      <w:marLeft w:val="0"/>
      <w:marRight w:val="0"/>
      <w:marTop w:val="0"/>
      <w:marBottom w:val="0"/>
      <w:divBdr>
        <w:top w:val="none" w:sz="0" w:space="0" w:color="auto"/>
        <w:left w:val="none" w:sz="0" w:space="0" w:color="auto"/>
        <w:bottom w:val="none" w:sz="0" w:space="0" w:color="auto"/>
        <w:right w:val="none" w:sz="0" w:space="0" w:color="auto"/>
      </w:divBdr>
    </w:div>
    <w:div w:id="1035698078">
      <w:bodyDiv w:val="1"/>
      <w:marLeft w:val="0"/>
      <w:marRight w:val="0"/>
      <w:marTop w:val="0"/>
      <w:marBottom w:val="0"/>
      <w:divBdr>
        <w:top w:val="none" w:sz="0" w:space="0" w:color="auto"/>
        <w:left w:val="none" w:sz="0" w:space="0" w:color="auto"/>
        <w:bottom w:val="none" w:sz="0" w:space="0" w:color="auto"/>
        <w:right w:val="none" w:sz="0" w:space="0" w:color="auto"/>
      </w:divBdr>
      <w:divsChild>
        <w:div w:id="338628797">
          <w:marLeft w:val="0"/>
          <w:marRight w:val="0"/>
          <w:marTop w:val="0"/>
          <w:marBottom w:val="0"/>
          <w:divBdr>
            <w:top w:val="none" w:sz="0" w:space="0" w:color="auto"/>
            <w:left w:val="none" w:sz="0" w:space="0" w:color="auto"/>
            <w:bottom w:val="none" w:sz="0" w:space="0" w:color="auto"/>
            <w:right w:val="none" w:sz="0" w:space="0" w:color="auto"/>
          </w:divBdr>
          <w:divsChild>
            <w:div w:id="480971347">
              <w:marLeft w:val="0"/>
              <w:marRight w:val="0"/>
              <w:marTop w:val="0"/>
              <w:marBottom w:val="0"/>
              <w:divBdr>
                <w:top w:val="none" w:sz="0" w:space="0" w:color="auto"/>
                <w:left w:val="none" w:sz="0" w:space="0" w:color="auto"/>
                <w:bottom w:val="none" w:sz="0" w:space="0" w:color="auto"/>
                <w:right w:val="none" w:sz="0" w:space="0" w:color="auto"/>
              </w:divBdr>
              <w:divsChild>
                <w:div w:id="365064277">
                  <w:marLeft w:val="0"/>
                  <w:marRight w:val="0"/>
                  <w:marTop w:val="0"/>
                  <w:marBottom w:val="0"/>
                  <w:divBdr>
                    <w:top w:val="none" w:sz="0" w:space="0" w:color="auto"/>
                    <w:left w:val="none" w:sz="0" w:space="0" w:color="auto"/>
                    <w:bottom w:val="none" w:sz="0" w:space="0" w:color="auto"/>
                    <w:right w:val="none" w:sz="0" w:space="0" w:color="auto"/>
                  </w:divBdr>
                  <w:divsChild>
                    <w:div w:id="98856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312759">
          <w:marLeft w:val="0"/>
          <w:marRight w:val="0"/>
          <w:marTop w:val="0"/>
          <w:marBottom w:val="0"/>
          <w:divBdr>
            <w:top w:val="none" w:sz="0" w:space="0" w:color="auto"/>
            <w:left w:val="none" w:sz="0" w:space="0" w:color="auto"/>
            <w:bottom w:val="none" w:sz="0" w:space="0" w:color="auto"/>
            <w:right w:val="none" w:sz="0" w:space="0" w:color="auto"/>
          </w:divBdr>
          <w:divsChild>
            <w:div w:id="64031484">
              <w:marLeft w:val="0"/>
              <w:marRight w:val="0"/>
              <w:marTop w:val="0"/>
              <w:marBottom w:val="0"/>
              <w:divBdr>
                <w:top w:val="none" w:sz="0" w:space="0" w:color="auto"/>
                <w:left w:val="none" w:sz="0" w:space="0" w:color="auto"/>
                <w:bottom w:val="none" w:sz="0" w:space="0" w:color="auto"/>
                <w:right w:val="none" w:sz="0" w:space="0" w:color="auto"/>
              </w:divBdr>
              <w:divsChild>
                <w:div w:id="244146606">
                  <w:marLeft w:val="0"/>
                  <w:marRight w:val="0"/>
                  <w:marTop w:val="0"/>
                  <w:marBottom w:val="0"/>
                  <w:divBdr>
                    <w:top w:val="none" w:sz="0" w:space="0" w:color="auto"/>
                    <w:left w:val="none" w:sz="0" w:space="0" w:color="auto"/>
                    <w:bottom w:val="none" w:sz="0" w:space="0" w:color="auto"/>
                    <w:right w:val="none" w:sz="0" w:space="0" w:color="auto"/>
                  </w:divBdr>
                  <w:divsChild>
                    <w:div w:id="15550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552671">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81065896">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14406">
      <w:bodyDiv w:val="1"/>
      <w:marLeft w:val="0"/>
      <w:marRight w:val="0"/>
      <w:marTop w:val="0"/>
      <w:marBottom w:val="0"/>
      <w:divBdr>
        <w:top w:val="none" w:sz="0" w:space="0" w:color="auto"/>
        <w:left w:val="none" w:sz="0" w:space="0" w:color="auto"/>
        <w:bottom w:val="none" w:sz="0" w:space="0" w:color="auto"/>
        <w:right w:val="none" w:sz="0" w:space="0" w:color="auto"/>
      </w:divBdr>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3136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dx.doi.org/10.3303/CET1648034"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16/j.jlp.2024.105463"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psep.2024.03.006"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3303/CET24111056"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3294</Words>
  <Characters>18777</Characters>
  <Application>Microsoft Office Word</Application>
  <DocSecurity>0</DocSecurity>
  <Lines>156</Lines>
  <Paragraphs>44</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Sauro Pierucci</cp:lastModifiedBy>
  <cp:revision>17</cp:revision>
  <cp:lastPrinted>2015-05-12T18:31:00Z</cp:lastPrinted>
  <dcterms:created xsi:type="dcterms:W3CDTF">2024-09-28T19:39:00Z</dcterms:created>
  <dcterms:modified xsi:type="dcterms:W3CDTF">2025-04-16T11:45:00Z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