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7599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7599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75998">
        <w:trPr>
          <w:trHeight w:val="68"/>
          <w:jc w:val="center"/>
        </w:trPr>
        <w:tc>
          <w:tcPr>
            <w:tcW w:w="8782"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B18C904" w:rsidR="00E978D0" w:rsidRPr="00B57B36" w:rsidRDefault="00775998" w:rsidP="00E978D0">
      <w:pPr>
        <w:pStyle w:val="CETTitle"/>
      </w:pPr>
      <w:r w:rsidRPr="00775998">
        <w:t>Focus on the environmental impact of Lithium-Ion batteries</w:t>
      </w:r>
    </w:p>
    <w:p w14:paraId="0488FED2" w14:textId="5FAE52D0" w:rsidR="00B57E6F" w:rsidRPr="00CD2ACA" w:rsidRDefault="00775998" w:rsidP="00B57E6F">
      <w:pPr>
        <w:pStyle w:val="CETAuthors"/>
        <w:rPr>
          <w:lang w:val="fr-FR"/>
        </w:rPr>
      </w:pPr>
      <w:r w:rsidRPr="00CD2ACA">
        <w:rPr>
          <w:lang w:val="fr-FR"/>
        </w:rPr>
        <w:t>Benjamin Truchot</w:t>
      </w:r>
      <w:r w:rsidR="00B57E6F" w:rsidRPr="00CD2ACA">
        <w:rPr>
          <w:vertAlign w:val="superscript"/>
          <w:lang w:val="fr-FR"/>
        </w:rPr>
        <w:t>a</w:t>
      </w:r>
      <w:r w:rsidRPr="00CD2ACA">
        <w:rPr>
          <w:vertAlign w:val="superscript"/>
          <w:lang w:val="fr-FR"/>
        </w:rPr>
        <w:t>,*</w:t>
      </w:r>
      <w:r w:rsidR="00B57E6F" w:rsidRPr="00CD2ACA">
        <w:rPr>
          <w:lang w:val="fr-FR"/>
        </w:rPr>
        <w:t xml:space="preserve">, </w:t>
      </w:r>
      <w:r w:rsidRPr="00CD2ACA">
        <w:rPr>
          <w:lang w:val="fr-FR"/>
        </w:rPr>
        <w:t>Caroline Gaya</w:t>
      </w:r>
      <w:r w:rsidRPr="00CD2ACA">
        <w:rPr>
          <w:vertAlign w:val="superscript"/>
          <w:lang w:val="fr-FR"/>
        </w:rPr>
        <w:t>a</w:t>
      </w:r>
      <w:r w:rsidR="00B57E6F" w:rsidRPr="00CD2ACA">
        <w:rPr>
          <w:lang w:val="fr-FR"/>
        </w:rPr>
        <w:t xml:space="preserve">, </w:t>
      </w:r>
      <w:r w:rsidR="00A66168" w:rsidRPr="00CD2ACA">
        <w:rPr>
          <w:lang w:val="fr-FR"/>
        </w:rPr>
        <w:t>Arnaud Bordes</w:t>
      </w:r>
      <w:r w:rsidR="00A66168" w:rsidRPr="00CD2ACA">
        <w:rPr>
          <w:vertAlign w:val="superscript"/>
          <w:lang w:val="fr-FR"/>
        </w:rPr>
        <w:t>a</w:t>
      </w:r>
      <w:r w:rsidR="00A66168" w:rsidRPr="00CD2ACA">
        <w:rPr>
          <w:lang w:val="fr-FR"/>
        </w:rPr>
        <w:t xml:space="preserve">, </w:t>
      </w:r>
      <w:r w:rsidRPr="00CD2ACA">
        <w:rPr>
          <w:lang w:val="fr-FR"/>
        </w:rPr>
        <w:t>Loraine Torres-Castro</w:t>
      </w:r>
      <w:r w:rsidRPr="00CD2ACA">
        <w:rPr>
          <w:vertAlign w:val="superscript"/>
          <w:lang w:val="fr-FR"/>
        </w:rPr>
        <w:t>b</w:t>
      </w:r>
      <w:r w:rsidRPr="00CD2ACA">
        <w:rPr>
          <w:lang w:val="fr-FR"/>
        </w:rPr>
        <w:t>, Joshua Lamb</w:t>
      </w:r>
      <w:r w:rsidRPr="00CD2ACA">
        <w:rPr>
          <w:vertAlign w:val="superscript"/>
          <w:lang w:val="fr-FR"/>
        </w:rPr>
        <w:t>b</w:t>
      </w:r>
      <w:r w:rsidR="00B57E6F" w:rsidRPr="00CD2ACA">
        <w:rPr>
          <w:lang w:val="fr-FR"/>
        </w:rPr>
        <w:t xml:space="preserve"> </w:t>
      </w:r>
    </w:p>
    <w:p w14:paraId="6B2D21B3" w14:textId="0FEDAF75" w:rsidR="00B57E6F" w:rsidRPr="00CD2ACA" w:rsidRDefault="00B57E6F" w:rsidP="00B57E6F">
      <w:pPr>
        <w:pStyle w:val="CETAddress"/>
        <w:rPr>
          <w:lang w:val="fr-FR"/>
        </w:rPr>
      </w:pPr>
      <w:r w:rsidRPr="00CD2ACA">
        <w:rPr>
          <w:vertAlign w:val="superscript"/>
          <w:lang w:val="fr-FR"/>
        </w:rPr>
        <w:t>a</w:t>
      </w:r>
      <w:r w:rsidR="00775998" w:rsidRPr="00CD2ACA">
        <w:rPr>
          <w:lang w:val="fr-FR"/>
        </w:rPr>
        <w:t xml:space="preserve"> Ineris, Parc ALATA 60550 Verneuil en Halatte, France</w:t>
      </w:r>
      <w:r w:rsidRPr="00CD2ACA">
        <w:rPr>
          <w:lang w:val="fr-FR"/>
        </w:rPr>
        <w:t xml:space="preserve"> </w:t>
      </w:r>
    </w:p>
    <w:p w14:paraId="3D72B0B0" w14:textId="3DABD76B" w:rsidR="00B57E6F" w:rsidRPr="00B57B36" w:rsidRDefault="00B57E6F" w:rsidP="00B57E6F">
      <w:pPr>
        <w:pStyle w:val="CETAddress"/>
      </w:pPr>
      <w:r w:rsidRPr="00B57B36">
        <w:rPr>
          <w:vertAlign w:val="superscript"/>
        </w:rPr>
        <w:t>b</w:t>
      </w:r>
      <w:r w:rsidR="00775998">
        <w:rPr>
          <w:vertAlign w:val="superscript"/>
        </w:rPr>
        <w:t xml:space="preserve"> </w:t>
      </w:r>
      <w:r w:rsidR="00775998" w:rsidRPr="00775998">
        <w:t xml:space="preserve">Sandia </w:t>
      </w:r>
      <w:r w:rsidR="00775998">
        <w:t>National Laborator</w:t>
      </w:r>
      <w:r w:rsidR="00161D35">
        <w:t>ies</w:t>
      </w:r>
      <w:r w:rsidR="00775998">
        <w:t xml:space="preserve"> … </w:t>
      </w:r>
    </w:p>
    <w:p w14:paraId="73F1267A" w14:textId="274791F2" w:rsidR="00B57E6F" w:rsidRPr="00FD2EA9" w:rsidRDefault="00775998" w:rsidP="00B57E6F">
      <w:pPr>
        <w:pStyle w:val="CETemail"/>
      </w:pPr>
      <w:r w:rsidRPr="00FD2EA9">
        <w:t>benjamin.truchot</w:t>
      </w:r>
      <w:r w:rsidR="00B57E6F" w:rsidRPr="00FD2EA9">
        <w:t>@</w:t>
      </w:r>
      <w:r w:rsidRPr="00FD2EA9">
        <w:t>ineris.fr</w:t>
      </w:r>
    </w:p>
    <w:p w14:paraId="38F76186" w14:textId="27A51759" w:rsidR="006A6DE5" w:rsidRDefault="00161D35" w:rsidP="00F468BD">
      <w:pPr>
        <w:pStyle w:val="CETBodytext"/>
      </w:pPr>
      <w:bookmarkStart w:id="1" w:name="_Hlk182837760"/>
      <w:r>
        <w:rPr>
          <w:lang w:val="en-GB"/>
        </w:rPr>
        <w:t>The use of l</w:t>
      </w:r>
      <w:r w:rsidR="001117F3" w:rsidRPr="001117F3">
        <w:rPr>
          <w:lang w:val="en-GB"/>
        </w:rPr>
        <w:t>ithium-ion batter</w:t>
      </w:r>
      <w:r>
        <w:rPr>
          <w:lang w:val="en-GB"/>
        </w:rPr>
        <w:t>ies</w:t>
      </w:r>
      <w:r w:rsidR="001117F3" w:rsidRPr="001117F3">
        <w:rPr>
          <w:lang w:val="en-GB"/>
        </w:rPr>
        <w:t xml:space="preserve"> </w:t>
      </w:r>
      <w:r w:rsidR="00A507B3">
        <w:rPr>
          <w:lang w:val="en-GB"/>
        </w:rPr>
        <w:t xml:space="preserve">(LIBs) </w:t>
      </w:r>
      <w:r w:rsidR="001117F3" w:rsidRPr="001117F3">
        <w:rPr>
          <w:lang w:val="en-GB"/>
        </w:rPr>
        <w:t xml:space="preserve">is </w:t>
      </w:r>
      <w:r>
        <w:rPr>
          <w:lang w:val="en-GB"/>
        </w:rPr>
        <w:t>rapidly</w:t>
      </w:r>
      <w:r w:rsidRPr="001117F3">
        <w:rPr>
          <w:lang w:val="en-GB"/>
        </w:rPr>
        <w:t xml:space="preserve"> </w:t>
      </w:r>
      <w:r w:rsidR="001117F3" w:rsidRPr="001117F3">
        <w:rPr>
          <w:lang w:val="en-GB"/>
        </w:rPr>
        <w:t xml:space="preserve">increasing </w:t>
      </w:r>
      <w:r w:rsidR="00E34B51">
        <w:rPr>
          <w:lang w:val="en-GB"/>
        </w:rPr>
        <w:t>as part of the energy</w:t>
      </w:r>
      <w:r w:rsidR="001117F3" w:rsidRPr="001117F3">
        <w:rPr>
          <w:lang w:val="en-GB"/>
        </w:rPr>
        <w:t xml:space="preserve"> transition </w:t>
      </w:r>
      <w:r>
        <w:rPr>
          <w:lang w:val="en-GB"/>
        </w:rPr>
        <w:t>aimed at</w:t>
      </w:r>
      <w:r w:rsidR="001117F3" w:rsidRPr="001117F3">
        <w:rPr>
          <w:lang w:val="en-GB"/>
        </w:rPr>
        <w:t xml:space="preserve"> limit</w:t>
      </w:r>
      <w:r>
        <w:rPr>
          <w:lang w:val="en-GB"/>
        </w:rPr>
        <w:t>ing</w:t>
      </w:r>
      <w:r w:rsidR="001117F3" w:rsidRPr="001117F3">
        <w:rPr>
          <w:lang w:val="en-GB"/>
        </w:rPr>
        <w:t xml:space="preserve"> human influence on global warming. This technology </w:t>
      </w:r>
      <w:r w:rsidR="00E34B51">
        <w:rPr>
          <w:lang w:val="en-GB"/>
        </w:rPr>
        <w:t>can</w:t>
      </w:r>
      <w:r w:rsidR="00E34B51" w:rsidRPr="001117F3">
        <w:rPr>
          <w:lang w:val="en-GB"/>
        </w:rPr>
        <w:t xml:space="preserve"> </w:t>
      </w:r>
      <w:r w:rsidR="001117F3" w:rsidRPr="001117F3">
        <w:rPr>
          <w:lang w:val="en-GB"/>
        </w:rPr>
        <w:t xml:space="preserve">replace numerous carbon-based systems to limit carbon dioxide production. </w:t>
      </w:r>
      <w:r>
        <w:rPr>
          <w:lang w:val="en-GB"/>
        </w:rPr>
        <w:t>H</w:t>
      </w:r>
      <w:r w:rsidR="001117F3" w:rsidRPr="001117F3">
        <w:rPr>
          <w:lang w:val="en-GB"/>
        </w:rPr>
        <w:t xml:space="preserve">owever, </w:t>
      </w:r>
      <w:r>
        <w:rPr>
          <w:lang w:val="en-GB"/>
        </w:rPr>
        <w:t>these batteries are subject to</w:t>
      </w:r>
      <w:r w:rsidR="001117F3" w:rsidRPr="001117F3">
        <w:rPr>
          <w:lang w:val="en-GB"/>
        </w:rPr>
        <w:t xml:space="preserve"> the intrinsic risk of thermal runaway</w:t>
      </w:r>
      <w:r>
        <w:rPr>
          <w:lang w:val="en-GB"/>
        </w:rPr>
        <w:t>, which</w:t>
      </w:r>
      <w:r w:rsidR="001117F3" w:rsidRPr="001117F3">
        <w:rPr>
          <w:lang w:val="en-GB"/>
        </w:rPr>
        <w:t xml:space="preserve"> can lead to</w:t>
      </w:r>
      <w:r>
        <w:rPr>
          <w:lang w:val="en-GB"/>
        </w:rPr>
        <w:t xml:space="preserve"> </w:t>
      </w:r>
      <w:r w:rsidR="001117F3" w:rsidRPr="001117F3">
        <w:rPr>
          <w:lang w:val="en-GB"/>
        </w:rPr>
        <w:t>fire</w:t>
      </w:r>
      <w:r>
        <w:rPr>
          <w:lang w:val="en-GB"/>
        </w:rPr>
        <w:t>s</w:t>
      </w:r>
      <w:r w:rsidR="001117F3" w:rsidRPr="001117F3">
        <w:rPr>
          <w:lang w:val="en-GB"/>
        </w:rPr>
        <w:t>. The specificities of those fires are mainly due to, the material</w:t>
      </w:r>
      <w:r>
        <w:rPr>
          <w:lang w:val="en-GB"/>
        </w:rPr>
        <w:t>s</w:t>
      </w:r>
      <w:r w:rsidR="001117F3" w:rsidRPr="001117F3">
        <w:rPr>
          <w:lang w:val="en-GB"/>
        </w:rPr>
        <w:t xml:space="preserve"> used in th</w:t>
      </w:r>
      <w:r>
        <w:rPr>
          <w:lang w:val="en-GB"/>
        </w:rPr>
        <w:t>e</w:t>
      </w:r>
      <w:r w:rsidR="001117F3" w:rsidRPr="001117F3">
        <w:rPr>
          <w:lang w:val="en-GB"/>
        </w:rPr>
        <w:t xml:space="preserve"> batteries, the specific propagation mode of thermal runaway</w:t>
      </w:r>
      <w:r w:rsidR="00146415">
        <w:rPr>
          <w:lang w:val="en-GB"/>
        </w:rPr>
        <w:t xml:space="preserve"> and the extinguishing difficulties</w:t>
      </w:r>
      <w:r w:rsidR="001117F3" w:rsidRPr="001117F3">
        <w:rPr>
          <w:lang w:val="en-GB"/>
        </w:rPr>
        <w:t>. </w:t>
      </w:r>
      <w:proofErr w:type="gramStart"/>
      <w:r w:rsidR="001117F3" w:rsidRPr="001117F3">
        <w:rPr>
          <w:lang w:val="en-GB"/>
        </w:rPr>
        <w:t xml:space="preserve">In </w:t>
      </w:r>
      <w:r>
        <w:rPr>
          <w:lang w:val="en-GB"/>
        </w:rPr>
        <w:t>light of</w:t>
      </w:r>
      <w:proofErr w:type="gramEnd"/>
      <w:r>
        <w:rPr>
          <w:lang w:val="en-GB"/>
        </w:rPr>
        <w:t xml:space="preserve"> public</w:t>
      </w:r>
      <w:r w:rsidR="001117F3" w:rsidRPr="001117F3">
        <w:rPr>
          <w:lang w:val="en-GB"/>
        </w:rPr>
        <w:t xml:space="preserve"> concerns regarding the environmental impact of fire</w:t>
      </w:r>
      <w:r>
        <w:rPr>
          <w:lang w:val="en-GB"/>
        </w:rPr>
        <w:t>s</w:t>
      </w:r>
      <w:r w:rsidR="001117F3" w:rsidRPr="001117F3">
        <w:rPr>
          <w:lang w:val="en-GB"/>
        </w:rPr>
        <w:t xml:space="preserve">, estimating the potential </w:t>
      </w:r>
      <w:r>
        <w:rPr>
          <w:lang w:val="en-GB"/>
        </w:rPr>
        <w:t xml:space="preserve">consequences </w:t>
      </w:r>
      <w:r w:rsidR="001117F3" w:rsidRPr="001117F3">
        <w:rPr>
          <w:lang w:val="en-GB"/>
        </w:rPr>
        <w:t>of th</w:t>
      </w:r>
      <w:r>
        <w:rPr>
          <w:lang w:val="en-GB"/>
        </w:rPr>
        <w:t>e</w:t>
      </w:r>
      <w:r w:rsidR="001117F3" w:rsidRPr="001117F3">
        <w:rPr>
          <w:lang w:val="en-GB"/>
        </w:rPr>
        <w:t xml:space="preserve">se </w:t>
      </w:r>
      <w:r>
        <w:rPr>
          <w:lang w:val="en-GB"/>
        </w:rPr>
        <w:t>incidents</w:t>
      </w:r>
      <w:r w:rsidRPr="001117F3">
        <w:rPr>
          <w:lang w:val="en-GB"/>
        </w:rPr>
        <w:t xml:space="preserve"> </w:t>
      </w:r>
      <w:r w:rsidR="001117F3" w:rsidRPr="001117F3">
        <w:rPr>
          <w:lang w:val="en-GB"/>
        </w:rPr>
        <w:t xml:space="preserve">and considering both short-term toxicity and long-term </w:t>
      </w:r>
      <w:r>
        <w:rPr>
          <w:lang w:val="en-GB"/>
        </w:rPr>
        <w:t>effects has</w:t>
      </w:r>
      <w:r w:rsidR="001117F3" w:rsidRPr="001117F3">
        <w:rPr>
          <w:lang w:val="en-GB"/>
        </w:rPr>
        <w:t xml:space="preserve"> become a significant issue. To </w:t>
      </w:r>
      <w:r>
        <w:rPr>
          <w:lang w:val="en-GB"/>
        </w:rPr>
        <w:t>address this</w:t>
      </w:r>
      <w:r w:rsidR="001117F3" w:rsidRPr="001117F3">
        <w:rPr>
          <w:lang w:val="en-GB"/>
        </w:rPr>
        <w:t xml:space="preserve"> objective, this paper proposes a review of existing data on lithium-ion battery fire emission</w:t>
      </w:r>
      <w:r>
        <w:rPr>
          <w:lang w:val="en-GB"/>
        </w:rPr>
        <w:t>s</w:t>
      </w:r>
      <w:r w:rsidR="001117F3" w:rsidRPr="001117F3">
        <w:rPr>
          <w:lang w:val="en-GB"/>
        </w:rPr>
        <w:t xml:space="preserve">. This review shows that, while some data are available regarding acute toxicity through emitted gases, very few exist </w:t>
      </w:r>
      <w:r>
        <w:rPr>
          <w:lang w:val="en-GB"/>
        </w:rPr>
        <w:t xml:space="preserve">on </w:t>
      </w:r>
      <w:r w:rsidR="001117F3" w:rsidRPr="001117F3">
        <w:rPr>
          <w:lang w:val="en-GB"/>
        </w:rPr>
        <w:t>other gases or particles that could lead to long-term consequences. Furthermore, the different types of emissions, water pollution, or direct impacts on the ground are rarely studied</w:t>
      </w:r>
      <w:r w:rsidR="00A507B3">
        <w:rPr>
          <w:lang w:val="en-GB"/>
        </w:rPr>
        <w:t>, even though</w:t>
      </w:r>
      <w:r w:rsidR="001117F3" w:rsidRPr="001117F3">
        <w:rPr>
          <w:lang w:val="en-GB"/>
        </w:rPr>
        <w:t xml:space="preserve"> they could be the primary source</w:t>
      </w:r>
      <w:r w:rsidR="00A507B3">
        <w:rPr>
          <w:lang w:val="en-GB"/>
        </w:rPr>
        <w:t>s</w:t>
      </w:r>
      <w:r w:rsidR="001117F3" w:rsidRPr="001117F3">
        <w:rPr>
          <w:lang w:val="en-GB"/>
        </w:rPr>
        <w:t xml:space="preserve"> of pollution f</w:t>
      </w:r>
      <w:r w:rsidR="00A507B3">
        <w:rPr>
          <w:lang w:val="en-GB"/>
        </w:rPr>
        <w:t>rom</w:t>
      </w:r>
      <w:r w:rsidR="001117F3" w:rsidRPr="001117F3">
        <w:rPr>
          <w:lang w:val="en-GB"/>
        </w:rPr>
        <w:t xml:space="preserve"> large lithium-ion battery fires. </w:t>
      </w:r>
    </w:p>
    <w:bookmarkEnd w:id="1"/>
    <w:p w14:paraId="476B2F2E" w14:textId="52B36035" w:rsidR="00600535" w:rsidRPr="00B57B36" w:rsidRDefault="00600535" w:rsidP="00600535">
      <w:pPr>
        <w:pStyle w:val="CETHeading1"/>
        <w:rPr>
          <w:lang w:val="en-GB"/>
        </w:rPr>
      </w:pPr>
      <w:r w:rsidRPr="00B57B36">
        <w:rPr>
          <w:lang w:val="en-GB"/>
        </w:rPr>
        <w:t>Introduction</w:t>
      </w:r>
    </w:p>
    <w:p w14:paraId="0E7B8BE2" w14:textId="6D80CDBA" w:rsidR="001820EF" w:rsidRDefault="00A507B3" w:rsidP="00F468BD">
      <w:pPr>
        <w:pStyle w:val="CETBodytext"/>
      </w:pPr>
      <w:bookmarkStart w:id="2" w:name="_Hlk182838576"/>
      <w:r>
        <w:t xml:space="preserve">LIBs </w:t>
      </w:r>
      <w:r w:rsidR="0096502F" w:rsidRPr="00F468BD">
        <w:t xml:space="preserve">have become a leading energy storage solution that is now </w:t>
      </w:r>
      <w:r>
        <w:t>prevalent</w:t>
      </w:r>
      <w:r w:rsidR="0096502F" w:rsidRPr="00F468BD">
        <w:t xml:space="preserve"> in many applications, from small </w:t>
      </w:r>
      <w:r w:rsidR="00FA50C7">
        <w:t>devices</w:t>
      </w:r>
      <w:r w:rsidR="0096502F" w:rsidRPr="00F468BD">
        <w:t xml:space="preserve"> to massive energy storage</w:t>
      </w:r>
      <w:r w:rsidR="00FA50C7">
        <w:t xml:space="preserve"> systems</w:t>
      </w:r>
      <w:r w:rsidR="0096502F" w:rsidRPr="00F468BD">
        <w:t xml:space="preserve"> and electric vehicles. </w:t>
      </w:r>
      <w:r w:rsidR="00FA50C7">
        <w:t>Given</w:t>
      </w:r>
      <w:r w:rsidR="0096502F" w:rsidRPr="00F468BD">
        <w:t xml:space="preserve"> recent large fires involving </w:t>
      </w:r>
      <w:r>
        <w:t>LIBs</w:t>
      </w:r>
      <w:r w:rsidR="0096502F" w:rsidRPr="00F468BD">
        <w:t xml:space="preserve"> </w:t>
      </w:r>
      <w:r w:rsidR="00FA50C7">
        <w:t xml:space="preserve">and </w:t>
      </w:r>
      <w:r w:rsidR="0096502F" w:rsidRPr="00F468BD">
        <w:t xml:space="preserve">the potential environmental impact of such </w:t>
      </w:r>
      <w:r>
        <w:t>incidents</w:t>
      </w:r>
      <w:r w:rsidR="0096502F" w:rsidRPr="00F468BD">
        <w:t xml:space="preserve">, </w:t>
      </w:r>
      <w:r>
        <w:t xml:space="preserve">it is essential to </w:t>
      </w:r>
      <w:r w:rsidR="0096502F" w:rsidRPr="00F468BD">
        <w:t>defin</w:t>
      </w:r>
      <w:r>
        <w:t>e</w:t>
      </w:r>
      <w:r w:rsidR="0096502F" w:rsidRPr="00F468BD">
        <w:t xml:space="preserve"> the emissions from </w:t>
      </w:r>
      <w:r>
        <w:t>LIB</w:t>
      </w:r>
      <w:r w:rsidR="0096502F" w:rsidRPr="00F468BD">
        <w:t xml:space="preserve"> fires to unlock future development of th</w:t>
      </w:r>
      <w:r>
        <w:t>e</w:t>
      </w:r>
      <w:r w:rsidR="0096502F" w:rsidRPr="00F468BD">
        <w:t>se technologies.</w:t>
      </w:r>
    </w:p>
    <w:p w14:paraId="1C56FFEA" w14:textId="77777777" w:rsidR="00FA50C7" w:rsidRPr="0096502F" w:rsidRDefault="00FA50C7" w:rsidP="00F468BD">
      <w:pPr>
        <w:pStyle w:val="CETBodytext"/>
      </w:pPr>
    </w:p>
    <w:p w14:paraId="52175890" w14:textId="409500C2" w:rsidR="0096502F" w:rsidRPr="0096502F" w:rsidRDefault="00172564" w:rsidP="00F468BD">
      <w:pPr>
        <w:pStyle w:val="CETBodytext"/>
      </w:pPr>
      <w:r>
        <w:t>Although LIB</w:t>
      </w:r>
      <w:r w:rsidR="0096502F" w:rsidRPr="0096502F">
        <w:t xml:space="preserve"> can appear as a generic term, it </w:t>
      </w:r>
      <w:r>
        <w:t>encompasses</w:t>
      </w:r>
      <w:r w:rsidRPr="0096502F">
        <w:t xml:space="preserve"> </w:t>
      </w:r>
      <w:r w:rsidR="0096502F" w:rsidRPr="0096502F">
        <w:t xml:space="preserve">several technologies corresponding to different chemistries, generally named based on their cathode composition. The most common chemistries </w:t>
      </w:r>
      <w:r w:rsidR="00FA50C7">
        <w:t>currently</w:t>
      </w:r>
      <w:r w:rsidR="00FA50C7" w:rsidRPr="0096502F">
        <w:t xml:space="preserve"> </w:t>
      </w:r>
      <w:r>
        <w:t xml:space="preserve">in use </w:t>
      </w:r>
      <w:r w:rsidR="0096502F" w:rsidRPr="0096502F">
        <w:t xml:space="preserve">are Lithium </w:t>
      </w:r>
      <w:r w:rsidR="00FA50C7">
        <w:t>Iron</w:t>
      </w:r>
      <w:r w:rsidR="00FA50C7" w:rsidRPr="0096502F">
        <w:t xml:space="preserve"> </w:t>
      </w:r>
      <w:r w:rsidR="0096502F" w:rsidRPr="0096502F">
        <w:t xml:space="preserve">Phosphate (LFP), Nickel Manganese Cobalt (NMC), and Nickel Cobalt Aluminum (NCA). </w:t>
      </w:r>
      <w:r>
        <w:t>Aside</w:t>
      </w:r>
      <w:r w:rsidRPr="0096502F">
        <w:t xml:space="preserve"> </w:t>
      </w:r>
      <w:r w:rsidR="0096502F" w:rsidRPr="0096502F">
        <w:t>f</w:t>
      </w:r>
      <w:r>
        <w:t>rom the differences</w:t>
      </w:r>
      <w:r w:rsidR="0096502F" w:rsidRPr="0096502F">
        <w:t xml:space="preserve"> </w:t>
      </w:r>
      <w:r>
        <w:t>in</w:t>
      </w:r>
      <w:r w:rsidR="0096502F" w:rsidRPr="0096502F">
        <w:t xml:space="preserve"> cathode</w:t>
      </w:r>
      <w:r>
        <w:t>s</w:t>
      </w:r>
      <w:r w:rsidR="0096502F" w:rsidRPr="0096502F">
        <w:t>, the global compositions of th</w:t>
      </w:r>
      <w:r>
        <w:t>e</w:t>
      </w:r>
      <w:r w:rsidR="0096502F" w:rsidRPr="0096502F">
        <w:t xml:space="preserve">se </w:t>
      </w:r>
      <w:r>
        <w:t>batteries</w:t>
      </w:r>
      <w:r w:rsidR="0096502F" w:rsidRPr="0096502F">
        <w:t xml:space="preserve"> are similar</w:t>
      </w:r>
      <w:r>
        <w:t>,</w:t>
      </w:r>
      <w:r w:rsidR="0096502F" w:rsidRPr="0096502F">
        <w:t xml:space="preserve"> </w:t>
      </w:r>
      <w:r>
        <w:t>comprising</w:t>
      </w:r>
      <w:r w:rsidRPr="0096502F">
        <w:t xml:space="preserve"> </w:t>
      </w:r>
      <w:r w:rsidR="0096502F" w:rsidRPr="0096502F">
        <w:t xml:space="preserve">four main </w:t>
      </w:r>
      <w:r>
        <w:t>components</w:t>
      </w:r>
      <w:r w:rsidR="0096502F" w:rsidRPr="0096502F">
        <w:t xml:space="preserve">: a graphite-based anode, </w:t>
      </w:r>
      <w:r w:rsidR="00FA50C7">
        <w:t xml:space="preserve">the </w:t>
      </w:r>
      <w:proofErr w:type="gramStart"/>
      <w:r w:rsidR="00FA50C7">
        <w:t>aforementioned</w:t>
      </w:r>
      <w:r w:rsidR="0096502F" w:rsidRPr="0096502F">
        <w:t xml:space="preserve"> cathode</w:t>
      </w:r>
      <w:proofErr w:type="gramEnd"/>
      <w:r w:rsidR="0096502F" w:rsidRPr="0096502F">
        <w:t xml:space="preserve">, an electrolyte (organic carbonate-based solvents with a lithium salt), and a separator (usually made of </w:t>
      </w:r>
      <w:r>
        <w:t>p</w:t>
      </w:r>
      <w:r w:rsidR="0096502F" w:rsidRPr="0096502F">
        <w:t xml:space="preserve">olypropylene/polyethylene). These </w:t>
      </w:r>
      <w:r>
        <w:t>components</w:t>
      </w:r>
      <w:r w:rsidR="0096502F" w:rsidRPr="0096502F">
        <w:t>, detailed by Accardo et al.</w:t>
      </w:r>
      <w:r w:rsidR="0096502F">
        <w:t xml:space="preserve"> </w:t>
      </w:r>
      <w:r w:rsidR="0096502F" w:rsidRPr="0096502F">
        <w:t xml:space="preserve">(2021), are of primary importance while dealing with emissions, as the fuel composition directly governs the substances found in smoke. Since carbon-based solvents are used, carbon-based pollutants are expected and </w:t>
      </w:r>
      <w:r>
        <w:t xml:space="preserve">likely </w:t>
      </w:r>
      <w:r w:rsidR="0096502F" w:rsidRPr="0096502F">
        <w:t xml:space="preserve">encountered in smoke in </w:t>
      </w:r>
      <w:r>
        <w:t>the event</w:t>
      </w:r>
      <w:r w:rsidRPr="0096502F">
        <w:t xml:space="preserve"> </w:t>
      </w:r>
      <w:r w:rsidR="0096502F" w:rsidRPr="0096502F">
        <w:t xml:space="preserve">of a thermal runaway (including carbon oxides but also more complex molecules). Another essential </w:t>
      </w:r>
      <w:r>
        <w:t>component</w:t>
      </w:r>
      <w:r w:rsidRPr="0096502F">
        <w:t xml:space="preserve"> </w:t>
      </w:r>
      <w:r w:rsidR="0096502F" w:rsidRPr="0096502F">
        <w:t>is lithium salt, which might contain fluor</w:t>
      </w:r>
      <w:r>
        <w:t>ine</w:t>
      </w:r>
      <w:r w:rsidR="0096502F" w:rsidRPr="0096502F">
        <w:t xml:space="preserve"> and phosphor</w:t>
      </w:r>
      <w:r>
        <w:t>us</w:t>
      </w:r>
      <w:r w:rsidR="0096502F" w:rsidRPr="0096502F">
        <w:t xml:space="preserve"> (commonly LiPF</w:t>
      </w:r>
      <w:r w:rsidR="0096502F" w:rsidRPr="00CD2ACA">
        <w:rPr>
          <w:vertAlign w:val="subscript"/>
        </w:rPr>
        <w:t>6</w:t>
      </w:r>
      <w:r w:rsidR="0096502F" w:rsidRPr="0096502F">
        <w:t xml:space="preserve">), leading to smoke toxicity hazards. Other battery technologies exist, such as Lithium Metal batteries, but because they differ from </w:t>
      </w:r>
      <w:r>
        <w:t>LIBs</w:t>
      </w:r>
      <w:r w:rsidR="0096502F" w:rsidRPr="0096502F">
        <w:t xml:space="preserve"> and there is a significant lack of data on them, they are not considered in the present study.</w:t>
      </w:r>
    </w:p>
    <w:p w14:paraId="2BD03473" w14:textId="77777777" w:rsidR="0096502F" w:rsidRPr="0096502F" w:rsidRDefault="0096502F" w:rsidP="0096502F">
      <w:pPr>
        <w:pStyle w:val="CETBodytext"/>
      </w:pPr>
    </w:p>
    <w:p w14:paraId="71E44361" w14:textId="50815ACA" w:rsidR="0053377B" w:rsidRDefault="00E34B51" w:rsidP="00AD6FC8">
      <w:pPr>
        <w:pStyle w:val="CETBodytext"/>
        <w:rPr>
          <w:rFonts w:cstheme="minorHAnsi"/>
        </w:rPr>
      </w:pPr>
      <w:r>
        <w:rPr>
          <w:rFonts w:cstheme="minorHAnsi"/>
        </w:rPr>
        <w:t xml:space="preserve">Several recent incidents have illustrated the potential hazard for </w:t>
      </w:r>
      <w:r w:rsidR="00172564">
        <w:rPr>
          <w:rFonts w:cstheme="minorHAnsi"/>
        </w:rPr>
        <w:t>LIB</w:t>
      </w:r>
      <w:r>
        <w:rPr>
          <w:rFonts w:cstheme="minorHAnsi"/>
        </w:rPr>
        <w:t xml:space="preserve"> systems, but little data has been </w:t>
      </w:r>
      <w:r w:rsidR="00172564">
        <w:rPr>
          <w:rFonts w:cstheme="minorHAnsi"/>
        </w:rPr>
        <w:t>collected</w:t>
      </w:r>
      <w:r>
        <w:rPr>
          <w:rFonts w:cstheme="minorHAnsi"/>
        </w:rPr>
        <w:t xml:space="preserve"> on how they impacted the environment. A more exhaustive list is available online</w:t>
      </w:r>
      <w:r w:rsidR="00876587">
        <w:rPr>
          <w:rFonts w:cstheme="minorHAnsi"/>
        </w:rPr>
        <w:t xml:space="preserve"> at</w:t>
      </w:r>
      <w:r w:rsidR="0096502F" w:rsidRPr="0096502F">
        <w:rPr>
          <w:rFonts w:cstheme="minorHAnsi"/>
        </w:rPr>
        <w:t xml:space="preserve"> </w:t>
      </w:r>
      <w:hyperlink r:id="rId10" w:history="1">
        <w:r w:rsidR="0096502F" w:rsidRPr="001F6474">
          <w:rPr>
            <w:rStyle w:val="Lienhypertexte"/>
            <w:rFonts w:cstheme="minorHAnsi"/>
          </w:rPr>
          <w:t>https://storagewiki.epri.com/index.php/BESS_Failure_Event_Database</w:t>
        </w:r>
      </w:hyperlink>
      <w:r w:rsidR="00172564">
        <w:rPr>
          <w:rStyle w:val="Lienhypertexte"/>
          <w:rFonts w:cstheme="minorHAnsi"/>
        </w:rPr>
        <w:t>,</w:t>
      </w:r>
      <w:r w:rsidR="0096502F">
        <w:rPr>
          <w:rFonts w:cstheme="minorHAnsi"/>
        </w:rPr>
        <w:t xml:space="preserve"> </w:t>
      </w:r>
      <w:r w:rsidR="00876587">
        <w:rPr>
          <w:rFonts w:cstheme="minorHAnsi"/>
        </w:rPr>
        <w:t>but</w:t>
      </w:r>
      <w:r w:rsidR="0096502F" w:rsidRPr="0096502F">
        <w:rPr>
          <w:rFonts w:cstheme="minorHAnsi"/>
        </w:rPr>
        <w:t xml:space="preserve"> some recent significant events </w:t>
      </w:r>
      <w:r w:rsidR="00172564">
        <w:rPr>
          <w:rFonts w:cstheme="minorHAnsi"/>
        </w:rPr>
        <w:t>highlight</w:t>
      </w:r>
      <w:r w:rsidR="0096502F" w:rsidRPr="0096502F">
        <w:rPr>
          <w:rFonts w:cstheme="minorHAnsi"/>
        </w:rPr>
        <w:t xml:space="preserve"> the wide variety of potential fires that could </w:t>
      </w:r>
      <w:r w:rsidR="00172564">
        <w:rPr>
          <w:rFonts w:cstheme="minorHAnsi"/>
        </w:rPr>
        <w:t>affect</w:t>
      </w:r>
      <w:r w:rsidR="00172564" w:rsidRPr="0096502F">
        <w:rPr>
          <w:rFonts w:cstheme="minorHAnsi"/>
        </w:rPr>
        <w:t xml:space="preserve"> </w:t>
      </w:r>
      <w:r w:rsidR="0096502F" w:rsidRPr="0096502F">
        <w:rPr>
          <w:rFonts w:cstheme="minorHAnsi"/>
        </w:rPr>
        <w:t xml:space="preserve">large industrial facilities </w:t>
      </w:r>
      <w:r w:rsidR="00876587">
        <w:rPr>
          <w:rFonts w:cstheme="minorHAnsi"/>
        </w:rPr>
        <w:t>and</w:t>
      </w:r>
      <w:r w:rsidR="0096502F" w:rsidRPr="0096502F">
        <w:rPr>
          <w:rFonts w:cstheme="minorHAnsi"/>
        </w:rPr>
        <w:t xml:space="preserve"> domestic applications</w:t>
      </w:r>
      <w:r w:rsidR="00626A95">
        <w:rPr>
          <w:rFonts w:cstheme="minorHAnsi"/>
        </w:rPr>
        <w:t>, including</w:t>
      </w:r>
      <w:r w:rsidR="0096502F" w:rsidRPr="0096502F">
        <w:rPr>
          <w:rFonts w:cstheme="minorHAnsi"/>
        </w:rPr>
        <w:t xml:space="preserve"> electric vehicles</w:t>
      </w:r>
      <w:r w:rsidR="00876587">
        <w:rPr>
          <w:rFonts w:cstheme="minorHAnsi"/>
        </w:rPr>
        <w:t xml:space="preserve"> (EV)</w:t>
      </w:r>
      <w:r w:rsidR="0096502F" w:rsidRPr="0096502F">
        <w:rPr>
          <w:rFonts w:cstheme="minorHAnsi"/>
        </w:rPr>
        <w:t xml:space="preserve"> and battery energy storage system</w:t>
      </w:r>
      <w:r w:rsidR="00876587">
        <w:rPr>
          <w:rFonts w:cstheme="minorHAnsi"/>
        </w:rPr>
        <w:t>s</w:t>
      </w:r>
      <w:r w:rsidR="0096502F" w:rsidRPr="0096502F">
        <w:rPr>
          <w:rFonts w:cstheme="minorHAnsi"/>
        </w:rPr>
        <w:t xml:space="preserve"> (BESS). The first two</w:t>
      </w:r>
      <w:r w:rsidR="00626A95">
        <w:rPr>
          <w:rFonts w:cstheme="minorHAnsi"/>
        </w:rPr>
        <w:t xml:space="preserve"> incidents</w:t>
      </w:r>
      <w:r w:rsidR="0096502F" w:rsidRPr="0096502F">
        <w:rPr>
          <w:rFonts w:cstheme="minorHAnsi"/>
        </w:rPr>
        <w:t xml:space="preserve"> </w:t>
      </w:r>
      <w:r w:rsidR="00626A95">
        <w:rPr>
          <w:rFonts w:cstheme="minorHAnsi"/>
        </w:rPr>
        <w:t xml:space="preserve">occurred </w:t>
      </w:r>
      <w:r w:rsidR="0096502F" w:rsidRPr="0096502F">
        <w:rPr>
          <w:rFonts w:cstheme="minorHAnsi"/>
        </w:rPr>
        <w:t xml:space="preserve">in </w:t>
      </w:r>
      <w:r w:rsidR="0096502F" w:rsidRPr="0096502F">
        <w:rPr>
          <w:rFonts w:cstheme="minorHAnsi"/>
        </w:rPr>
        <w:lastRenderedPageBreak/>
        <w:t xml:space="preserve">2024 and </w:t>
      </w:r>
      <w:r w:rsidR="00876587">
        <w:rPr>
          <w:rFonts w:cstheme="minorHAnsi"/>
        </w:rPr>
        <w:t>impacted</w:t>
      </w:r>
      <w:r w:rsidR="00876587" w:rsidRPr="0096502F">
        <w:rPr>
          <w:rFonts w:cstheme="minorHAnsi"/>
        </w:rPr>
        <w:t xml:space="preserve"> </w:t>
      </w:r>
      <w:r w:rsidR="0096502F" w:rsidRPr="0096502F">
        <w:rPr>
          <w:rFonts w:cstheme="minorHAnsi"/>
        </w:rPr>
        <w:t>large battery facilities</w:t>
      </w:r>
      <w:r w:rsidR="00626A95">
        <w:rPr>
          <w:rFonts w:cstheme="minorHAnsi"/>
        </w:rPr>
        <w:t>,</w:t>
      </w:r>
      <w:r w:rsidR="0096502F" w:rsidRPr="0096502F">
        <w:rPr>
          <w:rFonts w:cstheme="minorHAnsi"/>
        </w:rPr>
        <w:t xml:space="preserve"> </w:t>
      </w:r>
      <w:r w:rsidR="00876587">
        <w:rPr>
          <w:rFonts w:cstheme="minorHAnsi"/>
        </w:rPr>
        <w:t>including</w:t>
      </w:r>
      <w:r w:rsidR="0096502F" w:rsidRPr="0096502F">
        <w:rPr>
          <w:rFonts w:cstheme="minorHAnsi"/>
        </w:rPr>
        <w:t xml:space="preserve"> a dramatic fire in South Korea on June 24</w:t>
      </w:r>
      <w:r w:rsidR="0096502F" w:rsidRPr="00CD2ACA">
        <w:rPr>
          <w:rFonts w:cstheme="minorHAnsi"/>
          <w:vertAlign w:val="superscript"/>
        </w:rPr>
        <w:t>th</w:t>
      </w:r>
      <w:r w:rsidR="00626A95">
        <w:rPr>
          <w:rFonts w:cstheme="minorHAnsi"/>
        </w:rPr>
        <w:t>, 2024, which resulted</w:t>
      </w:r>
      <w:r w:rsidR="0096502F" w:rsidRPr="0096502F">
        <w:rPr>
          <w:rFonts w:cstheme="minorHAnsi"/>
        </w:rPr>
        <w:t xml:space="preserve"> </w:t>
      </w:r>
      <w:r w:rsidR="00626A95">
        <w:rPr>
          <w:rFonts w:cstheme="minorHAnsi"/>
        </w:rPr>
        <w:t>in</w:t>
      </w:r>
      <w:r w:rsidR="00626A95" w:rsidRPr="0096502F">
        <w:rPr>
          <w:rFonts w:cstheme="minorHAnsi"/>
        </w:rPr>
        <w:t xml:space="preserve"> </w:t>
      </w:r>
      <w:r w:rsidR="0096502F" w:rsidRPr="0096502F">
        <w:rPr>
          <w:rFonts w:cstheme="minorHAnsi"/>
        </w:rPr>
        <w:t xml:space="preserve">more than 20 fatalities and </w:t>
      </w:r>
      <w:r w:rsidR="00626A95">
        <w:rPr>
          <w:rFonts w:cstheme="minorHAnsi"/>
        </w:rPr>
        <w:t xml:space="preserve">produced </w:t>
      </w:r>
      <w:r w:rsidR="0096502F" w:rsidRPr="0096502F">
        <w:rPr>
          <w:rFonts w:cstheme="minorHAnsi"/>
        </w:rPr>
        <w:t>an impressive smoke cloud</w:t>
      </w:r>
      <w:r w:rsidR="00626A95">
        <w:rPr>
          <w:rFonts w:cstheme="minorHAnsi"/>
        </w:rPr>
        <w:t>.</w:t>
      </w:r>
      <w:r w:rsidR="0096502F" w:rsidRPr="0096502F">
        <w:rPr>
          <w:rFonts w:cstheme="minorHAnsi"/>
        </w:rPr>
        <w:t xml:space="preserve"> </w:t>
      </w:r>
      <w:r w:rsidR="00626A95">
        <w:rPr>
          <w:rFonts w:cstheme="minorHAnsi"/>
        </w:rPr>
        <w:t>L</w:t>
      </w:r>
      <w:r w:rsidR="0096502F" w:rsidRPr="0096502F">
        <w:rPr>
          <w:rFonts w:cstheme="minorHAnsi"/>
        </w:rPr>
        <w:t>ater</w:t>
      </w:r>
      <w:r w:rsidR="00626A95">
        <w:rPr>
          <w:rFonts w:cstheme="minorHAnsi"/>
        </w:rPr>
        <w:t>,</w:t>
      </w:r>
      <w:r w:rsidR="0096502F" w:rsidRPr="0096502F">
        <w:rPr>
          <w:rFonts w:cstheme="minorHAnsi"/>
        </w:rPr>
        <w:t xml:space="preserve"> a major fire in a recycling plant in southeast Missouri on October 30</w:t>
      </w:r>
      <w:r w:rsidR="0096502F" w:rsidRPr="00CD2ACA">
        <w:rPr>
          <w:rFonts w:cstheme="minorHAnsi"/>
          <w:vertAlign w:val="superscript"/>
        </w:rPr>
        <w:t>th</w:t>
      </w:r>
      <w:r w:rsidR="00626A95">
        <w:rPr>
          <w:rFonts w:cstheme="minorHAnsi"/>
        </w:rPr>
        <w:t>, 2024,</w:t>
      </w:r>
      <w:r w:rsidR="0096502F" w:rsidRPr="0096502F">
        <w:rPr>
          <w:rFonts w:cstheme="minorHAnsi"/>
        </w:rPr>
        <w:t xml:space="preserve"> resulting </w:t>
      </w:r>
      <w:r w:rsidR="00626A95">
        <w:rPr>
          <w:rFonts w:cstheme="minorHAnsi"/>
        </w:rPr>
        <w:t>in another</w:t>
      </w:r>
      <w:r w:rsidR="0096502F" w:rsidRPr="0096502F">
        <w:rPr>
          <w:rFonts w:cstheme="minorHAnsi"/>
        </w:rPr>
        <w:t xml:space="preserve"> remarkable smoke cloud </w:t>
      </w:r>
      <w:r w:rsidR="00626A95">
        <w:rPr>
          <w:rFonts w:cstheme="minorHAnsi"/>
        </w:rPr>
        <w:t xml:space="preserve">that </w:t>
      </w:r>
      <w:r w:rsidR="0096502F" w:rsidRPr="0096502F">
        <w:rPr>
          <w:rFonts w:cstheme="minorHAnsi"/>
        </w:rPr>
        <w:t>propagat</w:t>
      </w:r>
      <w:r w:rsidR="00626A95">
        <w:rPr>
          <w:rFonts w:cstheme="minorHAnsi"/>
        </w:rPr>
        <w:t>ed</w:t>
      </w:r>
      <w:r w:rsidR="0096502F" w:rsidRPr="0096502F">
        <w:rPr>
          <w:rFonts w:cstheme="minorHAnsi"/>
        </w:rPr>
        <w:t xml:space="preserve"> to the neighborhood. Pictures from th</w:t>
      </w:r>
      <w:r w:rsidR="00626A95">
        <w:rPr>
          <w:rFonts w:cstheme="minorHAnsi"/>
        </w:rPr>
        <w:t>e</w:t>
      </w:r>
      <w:r w:rsidR="0096502F" w:rsidRPr="0096502F">
        <w:rPr>
          <w:rFonts w:cstheme="minorHAnsi"/>
        </w:rPr>
        <w:t xml:space="preserve">se two large fires are reproduced in </w:t>
      </w:r>
      <w:r w:rsidR="0096502F">
        <w:rPr>
          <w:rFonts w:cstheme="minorHAnsi"/>
        </w:rPr>
        <w:fldChar w:fldCharType="begin"/>
      </w:r>
      <w:r w:rsidR="0096502F">
        <w:rPr>
          <w:rFonts w:cstheme="minorHAnsi"/>
        </w:rPr>
        <w:instrText xml:space="preserve"> REF _Ref181769992 \h </w:instrText>
      </w:r>
      <w:r w:rsidR="0096502F">
        <w:rPr>
          <w:rFonts w:cstheme="minorHAnsi"/>
        </w:rPr>
      </w:r>
      <w:r w:rsidR="0096502F">
        <w:rPr>
          <w:rFonts w:cstheme="minorHAnsi"/>
        </w:rPr>
        <w:fldChar w:fldCharType="separate"/>
      </w:r>
      <w:r w:rsidR="008B3396" w:rsidRPr="00F468BD">
        <w:rPr>
          <w:rStyle w:val="CETCaptionCarattere"/>
          <w:i w:val="0"/>
          <w:lang w:val="en-US"/>
        </w:rPr>
        <w:t xml:space="preserve">Figure </w:t>
      </w:r>
      <w:r w:rsidR="008B3396">
        <w:rPr>
          <w:rStyle w:val="CETCaptionCarattere"/>
          <w:i w:val="0"/>
          <w:noProof/>
        </w:rPr>
        <w:t>1</w:t>
      </w:r>
      <w:r w:rsidR="0096502F">
        <w:rPr>
          <w:rFonts w:cstheme="minorHAnsi"/>
        </w:rPr>
        <w:fldChar w:fldCharType="end"/>
      </w:r>
      <w:r w:rsidR="0096502F">
        <w:rPr>
          <w:rFonts w:cstheme="minorHAnsi"/>
        </w:rPr>
        <w:t>.</w:t>
      </w:r>
    </w:p>
    <w:tbl>
      <w:tblPr>
        <w:tblStyle w:val="Grilledutableau"/>
        <w:tblW w:w="877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53377B" w14:paraId="59D5F722" w14:textId="77777777" w:rsidTr="001C7EE0">
        <w:tc>
          <w:tcPr>
            <w:tcW w:w="4388" w:type="dxa"/>
          </w:tcPr>
          <w:bookmarkEnd w:id="2"/>
          <w:p w14:paraId="7B8D6121" w14:textId="23726D78" w:rsidR="0053377B" w:rsidRDefault="00692DB7" w:rsidP="00AD6FC8">
            <w:pPr>
              <w:pStyle w:val="CETBodytext"/>
              <w:rPr>
                <w:rFonts w:cstheme="minorHAnsi"/>
              </w:rPr>
            </w:pPr>
            <w:r w:rsidRPr="0053377B">
              <w:rPr>
                <w:rFonts w:cstheme="minorHAnsi"/>
                <w:noProof/>
              </w:rPr>
              <w:drawing>
                <wp:anchor distT="0" distB="0" distL="114300" distR="114300" simplePos="0" relativeHeight="251658240" behindDoc="0" locked="0" layoutInCell="1" allowOverlap="1" wp14:anchorId="68F00F2F" wp14:editId="2AD26BEA">
                  <wp:simplePos x="0" y="0"/>
                  <wp:positionH relativeFrom="margin">
                    <wp:posOffset>-67945</wp:posOffset>
                  </wp:positionH>
                  <wp:positionV relativeFrom="margin">
                    <wp:posOffset>42545</wp:posOffset>
                  </wp:positionV>
                  <wp:extent cx="2337435" cy="1271905"/>
                  <wp:effectExtent l="0" t="0" r="5715" b="4445"/>
                  <wp:wrapSquare wrapText="bothSides"/>
                  <wp:docPr id="8252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414" name=""/>
                          <pic:cNvPicPr/>
                        </pic:nvPicPr>
                        <pic:blipFill>
                          <a:blip r:embed="rId11"/>
                          <a:stretch>
                            <a:fillRect/>
                          </a:stretch>
                        </pic:blipFill>
                        <pic:spPr>
                          <a:xfrm>
                            <a:off x="0" y="0"/>
                            <a:ext cx="2337435" cy="1271905"/>
                          </a:xfrm>
                          <a:prstGeom prst="rect">
                            <a:avLst/>
                          </a:prstGeom>
                        </pic:spPr>
                      </pic:pic>
                    </a:graphicData>
                  </a:graphic>
                  <wp14:sizeRelH relativeFrom="margin">
                    <wp14:pctWidth>0</wp14:pctWidth>
                  </wp14:sizeRelH>
                  <wp14:sizeRelV relativeFrom="margin">
                    <wp14:pctHeight>0</wp14:pctHeight>
                  </wp14:sizeRelV>
                </wp:anchor>
              </w:drawing>
            </w:r>
          </w:p>
        </w:tc>
        <w:tc>
          <w:tcPr>
            <w:tcW w:w="4389" w:type="dxa"/>
            <w:vAlign w:val="center"/>
          </w:tcPr>
          <w:p w14:paraId="79D41FD4" w14:textId="1CF7ADAA" w:rsidR="0053377B" w:rsidRDefault="00692DB7" w:rsidP="0053377B">
            <w:pPr>
              <w:pStyle w:val="CETBodytext"/>
              <w:jc w:val="center"/>
              <w:rPr>
                <w:rFonts w:cstheme="minorHAnsi"/>
              </w:rPr>
            </w:pPr>
            <w:r>
              <w:rPr>
                <w:noProof/>
              </w:rPr>
              <w:drawing>
                <wp:inline distT="0" distB="0" distL="0" distR="0" wp14:anchorId="64CE1FB5" wp14:editId="2972A4BC">
                  <wp:extent cx="1748682" cy="1311661"/>
                  <wp:effectExtent l="0" t="0" r="4445" b="3175"/>
                  <wp:docPr id="1114972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2252" cy="1329341"/>
                          </a:xfrm>
                          <a:prstGeom prst="rect">
                            <a:avLst/>
                          </a:prstGeom>
                          <a:noFill/>
                          <a:ln>
                            <a:noFill/>
                          </a:ln>
                        </pic:spPr>
                      </pic:pic>
                    </a:graphicData>
                  </a:graphic>
                </wp:inline>
              </w:drawing>
            </w:r>
          </w:p>
        </w:tc>
      </w:tr>
      <w:tr w:rsidR="0053377B" w14:paraId="5AA2C0E4" w14:textId="77777777" w:rsidTr="001C7EE0">
        <w:tc>
          <w:tcPr>
            <w:tcW w:w="4388" w:type="dxa"/>
          </w:tcPr>
          <w:p w14:paraId="4A0A5DAB" w14:textId="545BB217" w:rsidR="0053377B" w:rsidRDefault="00692DB7" w:rsidP="0053377B">
            <w:pPr>
              <w:pStyle w:val="CETBodytext"/>
              <w:jc w:val="center"/>
              <w:rPr>
                <w:noProof/>
              </w:rPr>
            </w:pPr>
            <w:r>
              <w:rPr>
                <w:rFonts w:cstheme="minorHAnsi"/>
              </w:rPr>
              <w:t xml:space="preserve">South Korea, 06/24/2024 </w:t>
            </w:r>
          </w:p>
        </w:tc>
        <w:tc>
          <w:tcPr>
            <w:tcW w:w="4389" w:type="dxa"/>
          </w:tcPr>
          <w:p w14:paraId="0AB847AF" w14:textId="5CCC0FD2" w:rsidR="0053377B" w:rsidRDefault="00692DB7" w:rsidP="0053377B">
            <w:pPr>
              <w:pStyle w:val="CETBodytext"/>
              <w:jc w:val="center"/>
              <w:rPr>
                <w:rFonts w:cstheme="minorHAnsi"/>
              </w:rPr>
            </w:pPr>
            <w:r>
              <w:rPr>
                <w:noProof/>
              </w:rPr>
              <w:t>Southeast Missouri, 10/30/2024</w:t>
            </w:r>
          </w:p>
        </w:tc>
      </w:tr>
    </w:tbl>
    <w:p w14:paraId="6268D2EB" w14:textId="43A474F9" w:rsidR="0053377B" w:rsidRPr="0096502F" w:rsidRDefault="0053377B" w:rsidP="001C7EE0">
      <w:pPr>
        <w:pStyle w:val="CETCaption"/>
        <w:spacing w:before="0"/>
        <w:rPr>
          <w:rStyle w:val="CETCaptionCarattere"/>
          <w:i/>
        </w:rPr>
      </w:pPr>
      <w:bookmarkStart w:id="3" w:name="_Ref181769992"/>
      <w:r w:rsidRPr="00F468BD">
        <w:rPr>
          <w:rStyle w:val="CETCaptionCarattere"/>
          <w:i/>
        </w:rPr>
        <w:t xml:space="preserve">Figure </w:t>
      </w:r>
      <w:r w:rsidRPr="00F468BD">
        <w:rPr>
          <w:rStyle w:val="CETCaptionCarattere"/>
          <w:i/>
        </w:rPr>
        <w:fldChar w:fldCharType="begin"/>
      </w:r>
      <w:r w:rsidRPr="00F468BD">
        <w:rPr>
          <w:rStyle w:val="CETCaptionCarattere"/>
          <w:i/>
        </w:rPr>
        <w:instrText xml:space="preserve"> SEQ Figure \* ARABIC </w:instrText>
      </w:r>
      <w:r w:rsidRPr="00F468BD">
        <w:rPr>
          <w:rStyle w:val="CETCaptionCarattere"/>
          <w:i/>
        </w:rPr>
        <w:fldChar w:fldCharType="separate"/>
      </w:r>
      <w:r w:rsidR="008B3396">
        <w:rPr>
          <w:rStyle w:val="CETCaptionCarattere"/>
          <w:i/>
          <w:noProof/>
        </w:rPr>
        <w:t>1</w:t>
      </w:r>
      <w:r w:rsidRPr="00F468BD">
        <w:rPr>
          <w:rStyle w:val="CETCaptionCarattere"/>
          <w:i/>
        </w:rPr>
        <w:fldChar w:fldCharType="end"/>
      </w:r>
      <w:bookmarkEnd w:id="3"/>
      <w:r w:rsidRPr="00F468BD">
        <w:rPr>
          <w:rStyle w:val="CETCaptionCarattere"/>
          <w:i/>
        </w:rPr>
        <w:t>: Picture from two major fires involving lithium-ion batteries in 2024.</w:t>
      </w:r>
    </w:p>
    <w:p w14:paraId="7724FAC9" w14:textId="5A8AA898" w:rsidR="00B069D7" w:rsidRDefault="0096502F" w:rsidP="0053377B">
      <w:pPr>
        <w:pStyle w:val="CETCaption"/>
        <w:rPr>
          <w:rStyle w:val="CETCaptionCarattere"/>
        </w:rPr>
      </w:pPr>
      <w:r w:rsidRPr="0096502F">
        <w:rPr>
          <w:rStyle w:val="CETCaptionCarattere"/>
        </w:rPr>
        <w:t xml:space="preserve">Two fires, among others, illustrate typical accidents that concern domestic </w:t>
      </w:r>
      <w:r w:rsidR="007D16B4">
        <w:rPr>
          <w:rStyle w:val="CETCaptionCarattere"/>
        </w:rPr>
        <w:t>LIB</w:t>
      </w:r>
      <w:r w:rsidRPr="0096502F">
        <w:rPr>
          <w:rStyle w:val="CETCaptionCarattere"/>
        </w:rPr>
        <w:t xml:space="preserve"> use. A </w:t>
      </w:r>
      <w:r w:rsidR="007D16B4">
        <w:rPr>
          <w:rStyle w:val="CETCaptionCarattere"/>
        </w:rPr>
        <w:t>fatal</w:t>
      </w:r>
      <w:r w:rsidR="007D16B4" w:rsidRPr="0096502F">
        <w:rPr>
          <w:rStyle w:val="CETCaptionCarattere"/>
        </w:rPr>
        <w:t xml:space="preserve"> </w:t>
      </w:r>
      <w:r w:rsidRPr="0096502F">
        <w:rPr>
          <w:rStyle w:val="CETCaptionCarattere"/>
        </w:rPr>
        <w:t xml:space="preserve">fire occurred in Nice on September 1st, </w:t>
      </w:r>
      <w:proofErr w:type="gramStart"/>
      <w:r w:rsidRPr="0096502F">
        <w:rPr>
          <w:rStyle w:val="CETCaptionCarattere"/>
        </w:rPr>
        <w:t>2024</w:t>
      </w:r>
      <w:proofErr w:type="gramEnd"/>
      <w:r w:rsidRPr="0096502F">
        <w:rPr>
          <w:rStyle w:val="CETCaptionCarattere"/>
        </w:rPr>
        <w:t xml:space="preserve"> when an electric scooter battery caught fire </w:t>
      </w:r>
      <w:r w:rsidR="00F20E41">
        <w:rPr>
          <w:rStyle w:val="CETCaptionCarattere"/>
        </w:rPr>
        <w:t>while charging</w:t>
      </w:r>
      <w:r w:rsidRPr="0096502F">
        <w:rPr>
          <w:rStyle w:val="CETCaptionCarattere"/>
        </w:rPr>
        <w:t xml:space="preserve">. In the Madrid subway on October 19th, 2023, another electric scooter battery went into thermal runaway, </w:t>
      </w:r>
      <w:r w:rsidR="00F20E41">
        <w:rPr>
          <w:rStyle w:val="CETCaptionCarattere"/>
        </w:rPr>
        <w:t>apparently</w:t>
      </w:r>
      <w:r w:rsidR="00F20E41" w:rsidRPr="0096502F">
        <w:rPr>
          <w:rStyle w:val="CETCaptionCarattere"/>
        </w:rPr>
        <w:t xml:space="preserve"> </w:t>
      </w:r>
      <w:r w:rsidRPr="0096502F">
        <w:rPr>
          <w:rStyle w:val="CETCaptionCarattere"/>
        </w:rPr>
        <w:t xml:space="preserve">without injuries, but the consequences were </w:t>
      </w:r>
      <w:r w:rsidR="007D16B4">
        <w:rPr>
          <w:rStyle w:val="CETCaptionCarattere"/>
        </w:rPr>
        <w:t>significant</w:t>
      </w:r>
      <w:r w:rsidR="00876587">
        <w:rPr>
          <w:rStyle w:val="CETCaptionCarattere"/>
        </w:rPr>
        <w:t xml:space="preserve">. </w:t>
      </w:r>
      <w:r w:rsidRPr="0096502F">
        <w:rPr>
          <w:rStyle w:val="CETCaptionCarattere"/>
        </w:rPr>
        <w:t xml:space="preserve">Due to the </w:t>
      </w:r>
      <w:r w:rsidR="002C0713">
        <w:rPr>
          <w:rStyle w:val="CETCaptionCarattere"/>
        </w:rPr>
        <w:t xml:space="preserve">widespread use of </w:t>
      </w:r>
      <w:r w:rsidR="007D16B4">
        <w:rPr>
          <w:rStyle w:val="CETCaptionCarattere"/>
        </w:rPr>
        <w:t>LIBs</w:t>
      </w:r>
      <w:r w:rsidR="009F5C5B">
        <w:rPr>
          <w:rStyle w:val="CETCaptionCarattere"/>
        </w:rPr>
        <w:t>,</w:t>
      </w:r>
      <w:r w:rsidRPr="0096502F">
        <w:rPr>
          <w:rStyle w:val="CETCaptionCarattere"/>
        </w:rPr>
        <w:t xml:space="preserve"> such events will </w:t>
      </w:r>
      <w:r w:rsidR="002C0713">
        <w:rPr>
          <w:rStyle w:val="CETCaptionCarattere"/>
        </w:rPr>
        <w:t>likely be</w:t>
      </w:r>
      <w:r w:rsidRPr="0096502F">
        <w:rPr>
          <w:rStyle w:val="CETCaptionCarattere"/>
        </w:rPr>
        <w:t xml:space="preserve"> </w:t>
      </w:r>
      <w:r w:rsidR="007D16B4">
        <w:rPr>
          <w:rStyle w:val="CETCaptionCarattere"/>
        </w:rPr>
        <w:t xml:space="preserve">more </w:t>
      </w:r>
      <w:r w:rsidRPr="0096502F">
        <w:rPr>
          <w:rStyle w:val="CETCaptionCarattere"/>
        </w:rPr>
        <w:t xml:space="preserve">frequent </w:t>
      </w:r>
      <w:proofErr w:type="gramStart"/>
      <w:r w:rsidRPr="0096502F">
        <w:rPr>
          <w:rStyle w:val="CETCaptionCarattere"/>
        </w:rPr>
        <w:t>in the near future</w:t>
      </w:r>
      <w:proofErr w:type="gramEnd"/>
      <w:r w:rsidRPr="0096502F">
        <w:rPr>
          <w:rStyle w:val="CETCaptionCarattere"/>
        </w:rPr>
        <w:t xml:space="preserve">. Therefore, the consequences of </w:t>
      </w:r>
      <w:r w:rsidR="007D16B4">
        <w:rPr>
          <w:rStyle w:val="CETCaptionCarattere"/>
        </w:rPr>
        <w:t>LIB</w:t>
      </w:r>
      <w:r w:rsidRPr="0096502F">
        <w:rPr>
          <w:rStyle w:val="CETCaptionCarattere"/>
        </w:rPr>
        <w:t xml:space="preserve"> fires should be addressed, including immediate consequences like thermal effect</w:t>
      </w:r>
      <w:r w:rsidR="007D16B4">
        <w:rPr>
          <w:rStyle w:val="CETCaptionCarattere"/>
        </w:rPr>
        <w:t>s</w:t>
      </w:r>
      <w:r w:rsidRPr="0096502F">
        <w:rPr>
          <w:rStyle w:val="CETCaptionCarattere"/>
        </w:rPr>
        <w:t>, toxicity, and, in some situations, overpressure, as well as the environmental impact of fire, the main topic of this paper.</w:t>
      </w:r>
      <w:r w:rsidR="00B069D7">
        <w:rPr>
          <w:rStyle w:val="CETCaptionCarattere"/>
        </w:rPr>
        <w:t xml:space="preserve"> </w:t>
      </w:r>
    </w:p>
    <w:p w14:paraId="5741900F" w14:textId="688F90C2" w:rsidR="00453E24" w:rsidRDefault="00985D84" w:rsidP="00453E24">
      <w:pPr>
        <w:pStyle w:val="CETHeading1"/>
      </w:pPr>
      <w:r>
        <w:t xml:space="preserve">Environmental impact of fire </w:t>
      </w:r>
    </w:p>
    <w:p w14:paraId="14DFD266" w14:textId="56D2131C" w:rsidR="0096502F" w:rsidRDefault="0096502F" w:rsidP="0096502F">
      <w:pPr>
        <w:pStyle w:val="CETHeading1"/>
        <w:numPr>
          <w:ilvl w:val="0"/>
          <w:numId w:val="0"/>
        </w:numPr>
        <w:jc w:val="both"/>
        <w:rPr>
          <w:b w:val="0"/>
          <w:sz w:val="18"/>
        </w:rPr>
      </w:pPr>
      <w:r w:rsidRPr="0096502F">
        <w:rPr>
          <w:b w:val="0"/>
          <w:sz w:val="18"/>
        </w:rPr>
        <w:t xml:space="preserve">Defining the environmental impact of </w:t>
      </w:r>
      <w:r w:rsidR="007D16B4">
        <w:rPr>
          <w:b w:val="0"/>
          <w:sz w:val="18"/>
        </w:rPr>
        <w:t>LIB</w:t>
      </w:r>
      <w:r w:rsidRPr="0096502F">
        <w:rPr>
          <w:b w:val="0"/>
          <w:sz w:val="18"/>
        </w:rPr>
        <w:t xml:space="preserve"> thermal runaway implies evaluating the environmental impact of fire. Following ISO 26367-1 (2019), the environmental impact of fire should include potential contamination of the atmosphere, the ground, different waters, and the </w:t>
      </w:r>
      <w:r w:rsidR="00F20E41">
        <w:rPr>
          <w:b w:val="0"/>
          <w:sz w:val="18"/>
        </w:rPr>
        <w:t>sewage</w:t>
      </w:r>
      <w:r w:rsidR="00F20E41" w:rsidRPr="0096502F">
        <w:rPr>
          <w:b w:val="0"/>
          <w:sz w:val="18"/>
        </w:rPr>
        <w:t xml:space="preserve"> </w:t>
      </w:r>
      <w:r w:rsidRPr="0096502F">
        <w:rPr>
          <w:b w:val="0"/>
          <w:sz w:val="18"/>
        </w:rPr>
        <w:t xml:space="preserve">system while considering all potential contamination modes, as described in </w:t>
      </w:r>
      <w:r>
        <w:rPr>
          <w:b w:val="0"/>
          <w:sz w:val="18"/>
        </w:rPr>
        <w:fldChar w:fldCharType="begin"/>
      </w:r>
      <w:r>
        <w:rPr>
          <w:b w:val="0"/>
          <w:sz w:val="18"/>
        </w:rPr>
        <w:instrText xml:space="preserve"> REF _Ref181717483 \h  \* MERGEFORMAT </w:instrText>
      </w:r>
      <w:r>
        <w:rPr>
          <w:b w:val="0"/>
          <w:sz w:val="18"/>
        </w:rPr>
      </w:r>
      <w:r>
        <w:rPr>
          <w:b w:val="0"/>
          <w:sz w:val="18"/>
        </w:rPr>
        <w:fldChar w:fldCharType="separate"/>
      </w:r>
      <w:r w:rsidR="008B3396" w:rsidRPr="00CD2ACA">
        <w:rPr>
          <w:b w:val="0"/>
          <w:sz w:val="18"/>
        </w:rPr>
        <w:t>Figure 2</w:t>
      </w:r>
      <w:r>
        <w:rPr>
          <w:b w:val="0"/>
          <w:sz w:val="18"/>
        </w:rPr>
        <w:fldChar w:fldCharType="end"/>
      </w:r>
      <w:r w:rsidRPr="0096502F">
        <w:rPr>
          <w:b w:val="0"/>
          <w:sz w:val="18"/>
        </w:rPr>
        <w:t>.</w:t>
      </w:r>
    </w:p>
    <w:p w14:paraId="78056F06" w14:textId="138ADB87" w:rsidR="008A5B34" w:rsidRDefault="0096502F" w:rsidP="00F468BD">
      <w:pPr>
        <w:pStyle w:val="CETHeading1"/>
        <w:numPr>
          <w:ilvl w:val="0"/>
          <w:numId w:val="0"/>
        </w:numPr>
        <w:jc w:val="center"/>
      </w:pPr>
      <w:r w:rsidRPr="0096502F">
        <w:rPr>
          <w:b w:val="0"/>
          <w:sz w:val="18"/>
        </w:rPr>
        <w:t xml:space="preserve"> </w:t>
      </w:r>
      <w:r w:rsidR="008A5B34">
        <w:rPr>
          <w:rStyle w:val="CETCaptionCarattere"/>
          <w:noProof/>
        </w:rPr>
        <w:drawing>
          <wp:inline distT="0" distB="0" distL="0" distR="0" wp14:anchorId="23DD6AA6" wp14:editId="66A0A1D3">
            <wp:extent cx="3674110" cy="2347287"/>
            <wp:effectExtent l="0" t="0" r="2540" b="0"/>
            <wp:docPr id="9904120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0098"/>
                    <a:stretch/>
                  </pic:blipFill>
                  <pic:spPr bwMode="auto">
                    <a:xfrm>
                      <a:off x="0" y="0"/>
                      <a:ext cx="3681686" cy="2352127"/>
                    </a:xfrm>
                    <a:prstGeom prst="rect">
                      <a:avLst/>
                    </a:prstGeom>
                    <a:noFill/>
                    <a:ln>
                      <a:noFill/>
                    </a:ln>
                    <a:extLst>
                      <a:ext uri="{53640926-AAD7-44D8-BBD7-CCE9431645EC}">
                        <a14:shadowObscured xmlns:a14="http://schemas.microsoft.com/office/drawing/2010/main"/>
                      </a:ext>
                    </a:extLst>
                  </pic:spPr>
                </pic:pic>
              </a:graphicData>
            </a:graphic>
          </wp:inline>
        </w:drawing>
      </w:r>
    </w:p>
    <w:p w14:paraId="30619B9E" w14:textId="25369897" w:rsidR="008A5B34" w:rsidRPr="008A5B34" w:rsidRDefault="008A5B34" w:rsidP="00F468BD">
      <w:pPr>
        <w:pStyle w:val="CETCaption"/>
        <w:spacing w:before="0"/>
        <w:rPr>
          <w:rStyle w:val="CETCaptionCarattere"/>
          <w:i/>
        </w:rPr>
      </w:pPr>
      <w:bookmarkStart w:id="4" w:name="_Ref181717483"/>
      <w:r w:rsidRPr="008A5B34">
        <w:rPr>
          <w:rStyle w:val="CETCaptionCarattere"/>
        </w:rPr>
        <w:t xml:space="preserve">Figure </w:t>
      </w:r>
      <w:r w:rsidRPr="008A5B34">
        <w:rPr>
          <w:rStyle w:val="CETCaptionCarattere"/>
        </w:rPr>
        <w:fldChar w:fldCharType="begin"/>
      </w:r>
      <w:r w:rsidRPr="008A5B34">
        <w:rPr>
          <w:rStyle w:val="CETCaptionCarattere"/>
        </w:rPr>
        <w:instrText xml:space="preserve"> SEQ Figure \* ARABIC </w:instrText>
      </w:r>
      <w:r w:rsidRPr="008A5B34">
        <w:rPr>
          <w:rStyle w:val="CETCaptionCarattere"/>
        </w:rPr>
        <w:fldChar w:fldCharType="separate"/>
      </w:r>
      <w:r w:rsidR="008B3396">
        <w:rPr>
          <w:rStyle w:val="CETCaptionCarattere"/>
          <w:noProof/>
        </w:rPr>
        <w:t>2</w:t>
      </w:r>
      <w:r w:rsidRPr="008A5B34">
        <w:rPr>
          <w:rStyle w:val="CETCaptionCarattere"/>
        </w:rPr>
        <w:fldChar w:fldCharType="end"/>
      </w:r>
      <w:bookmarkEnd w:id="4"/>
      <w:r w:rsidRPr="008A5B34">
        <w:rPr>
          <w:rStyle w:val="CETCaptionCarattere"/>
        </w:rPr>
        <w:t>: Emission pathways from fires</w:t>
      </w:r>
      <w:r>
        <w:rPr>
          <w:rStyle w:val="CETCaptionCarattere"/>
        </w:rPr>
        <w:t>.</w:t>
      </w:r>
    </w:p>
    <w:p w14:paraId="5436D977" w14:textId="2BC4817C" w:rsidR="00453E24" w:rsidRPr="00B57B36" w:rsidRDefault="008A5B34" w:rsidP="00453E24">
      <w:pPr>
        <w:pStyle w:val="CETBodytext"/>
      </w:pPr>
      <w:r>
        <w:t xml:space="preserve">This definition </w:t>
      </w:r>
      <w:r w:rsidR="000E59D1">
        <w:t>requires</w:t>
      </w:r>
      <w:r>
        <w:t xml:space="preserve"> knowledge about the </w:t>
      </w:r>
      <w:r w:rsidR="007D16B4">
        <w:t>LIB</w:t>
      </w:r>
      <w:r w:rsidR="00C965E8">
        <w:t xml:space="preserve"> </w:t>
      </w:r>
      <w:r>
        <w:t>fire emissions to enable any evaluation of potential contaminations. To meet this objective</w:t>
      </w:r>
      <w:r w:rsidR="004B104E">
        <w:t xml:space="preserve">, it </w:t>
      </w:r>
      <w:r w:rsidR="000E59D1">
        <w:t xml:space="preserve">is </w:t>
      </w:r>
      <w:r w:rsidR="004B104E">
        <w:t>essential to characterize the different fire emissions</w:t>
      </w:r>
      <w:r w:rsidR="000E59D1">
        <w:t xml:space="preserve"> </w:t>
      </w:r>
      <w:r w:rsidR="007D16B4">
        <w:t xml:space="preserve">and their </w:t>
      </w:r>
      <w:r w:rsidR="000E59D1">
        <w:t>effects</w:t>
      </w:r>
      <w:r w:rsidR="004B104E">
        <w:t xml:space="preserve"> </w:t>
      </w:r>
      <w:r w:rsidR="007D16B4">
        <w:t xml:space="preserve">on </w:t>
      </w:r>
      <w:r w:rsidR="004B104E">
        <w:t>the atmosphere, water</w:t>
      </w:r>
      <w:r w:rsidR="000E59D1">
        <w:t>,</w:t>
      </w:r>
      <w:r w:rsidR="004B104E">
        <w:t xml:space="preserve"> and </w:t>
      </w:r>
      <w:r w:rsidR="000E59D1">
        <w:t>soil</w:t>
      </w:r>
      <w:r w:rsidR="004B104E">
        <w:t>. Th</w:t>
      </w:r>
      <w:r w:rsidR="007D16B4">
        <w:t>e</w:t>
      </w:r>
      <w:r w:rsidR="004B104E">
        <w:t>se emissions should also consider the different pollutant</w:t>
      </w:r>
      <w:r w:rsidR="000E59D1">
        <w:t>s</w:t>
      </w:r>
      <w:r w:rsidR="004B104E">
        <w:t xml:space="preserve"> identified in ISO 26367-3 (2019). </w:t>
      </w:r>
      <w:r w:rsidR="000E59D1">
        <w:t xml:space="preserve">The contaminants this </w:t>
      </w:r>
      <w:r w:rsidR="00AB6B0E">
        <w:t xml:space="preserve">specific </w:t>
      </w:r>
      <w:r w:rsidR="000E59D1">
        <w:t>standard considers include</w:t>
      </w:r>
      <w:r w:rsidR="004B104E">
        <w:t xml:space="preserve"> halogenated acids, metals, volatile organic compounds (VOC),</w:t>
      </w:r>
      <w:r w:rsidR="0019189F">
        <w:t xml:space="preserve"> polyaromatic hydrocarbons (PAH),</w:t>
      </w:r>
      <w:r w:rsidR="004B104E">
        <w:t xml:space="preserve"> polychlorinated dibenzodioxins (PCDD)</w:t>
      </w:r>
      <w:r w:rsidR="000E59D1">
        <w:t>,</w:t>
      </w:r>
      <w:r w:rsidR="004B104E">
        <w:t xml:space="preserve"> </w:t>
      </w:r>
      <w:r w:rsidR="000E59D1">
        <w:t>and</w:t>
      </w:r>
      <w:r w:rsidR="004B104E">
        <w:t xml:space="preserve"> perfluorinated compounds, including PFAS, that are particularly </w:t>
      </w:r>
      <w:r w:rsidR="00C965E8">
        <w:t>scrutinized</w:t>
      </w:r>
      <w:r w:rsidR="004B104E">
        <w:t xml:space="preserve">. </w:t>
      </w:r>
    </w:p>
    <w:p w14:paraId="677EBFF0" w14:textId="48BA88E1" w:rsidR="00600535" w:rsidRDefault="00220217" w:rsidP="00600535">
      <w:pPr>
        <w:pStyle w:val="CETHeading1"/>
        <w:tabs>
          <w:tab w:val="clear" w:pos="360"/>
          <w:tab w:val="right" w:pos="7100"/>
        </w:tabs>
        <w:jc w:val="both"/>
        <w:rPr>
          <w:lang w:val="en-GB"/>
        </w:rPr>
      </w:pPr>
      <w:r>
        <w:rPr>
          <w:lang w:val="en-GB"/>
        </w:rPr>
        <w:lastRenderedPageBreak/>
        <w:t xml:space="preserve">Towards emission factors for lithium-ion battery fires </w:t>
      </w:r>
    </w:p>
    <w:p w14:paraId="2C1D4F2A" w14:textId="2CA841E2" w:rsidR="00220217" w:rsidRDefault="009A5586" w:rsidP="00220217">
      <w:pPr>
        <w:pStyle w:val="CETBodytext"/>
        <w:rPr>
          <w:lang w:val="en-GB"/>
        </w:rPr>
      </w:pPr>
      <w:r>
        <w:rPr>
          <w:lang w:val="en-GB"/>
        </w:rPr>
        <w:t xml:space="preserve">This section proposes a review of the available data in the literature about </w:t>
      </w:r>
      <w:r w:rsidR="007D16B4">
        <w:rPr>
          <w:lang w:val="en-GB"/>
        </w:rPr>
        <w:t>LIB</w:t>
      </w:r>
      <w:r>
        <w:rPr>
          <w:lang w:val="en-GB"/>
        </w:rPr>
        <w:t xml:space="preserve"> emissions. This analysis is split into the three main </w:t>
      </w:r>
      <w:r w:rsidR="007D16B4">
        <w:rPr>
          <w:lang w:val="en-GB"/>
        </w:rPr>
        <w:t xml:space="preserve">types of </w:t>
      </w:r>
      <w:r>
        <w:rPr>
          <w:lang w:val="en-GB"/>
        </w:rPr>
        <w:t>emissions:</w:t>
      </w:r>
    </w:p>
    <w:p w14:paraId="3988F487" w14:textId="0319D180" w:rsidR="009A5586" w:rsidRDefault="009A5586" w:rsidP="009A5586">
      <w:pPr>
        <w:pStyle w:val="CETBodytext"/>
        <w:numPr>
          <w:ilvl w:val="0"/>
          <w:numId w:val="24"/>
        </w:numPr>
        <w:rPr>
          <w:lang w:val="en-GB"/>
        </w:rPr>
      </w:pPr>
      <w:r>
        <w:rPr>
          <w:lang w:val="en-GB"/>
        </w:rPr>
        <w:t>Gaseous emissions,</w:t>
      </w:r>
    </w:p>
    <w:p w14:paraId="743EDEBE" w14:textId="4DF45667" w:rsidR="009A5586" w:rsidRPr="009A5586" w:rsidRDefault="009A5586" w:rsidP="009A5586">
      <w:pPr>
        <w:pStyle w:val="CETBodytext"/>
        <w:numPr>
          <w:ilvl w:val="0"/>
          <w:numId w:val="24"/>
        </w:numPr>
        <w:rPr>
          <w:lang w:val="en-GB"/>
        </w:rPr>
      </w:pPr>
      <w:r>
        <w:rPr>
          <w:lang w:val="en-GB"/>
        </w:rPr>
        <w:t>A</w:t>
      </w:r>
      <w:r w:rsidRPr="009A5586">
        <w:rPr>
          <w:lang w:val="en-GB"/>
        </w:rPr>
        <w:t>erosol emissions</w:t>
      </w:r>
      <w:r w:rsidR="007D16B4">
        <w:rPr>
          <w:lang w:val="en-GB"/>
        </w:rPr>
        <w:t>, including</w:t>
      </w:r>
      <w:r w:rsidRPr="009A5586">
        <w:rPr>
          <w:lang w:val="en-GB"/>
        </w:rPr>
        <w:t xml:space="preserve"> particles ranging from µm to nm scale, combined with liquid droplets,</w:t>
      </w:r>
    </w:p>
    <w:p w14:paraId="1DC7E99E" w14:textId="129C9675" w:rsidR="009A5586" w:rsidRDefault="009A5586" w:rsidP="009A5586">
      <w:pPr>
        <w:pStyle w:val="CETBodytext"/>
        <w:numPr>
          <w:ilvl w:val="0"/>
          <w:numId w:val="24"/>
        </w:numPr>
        <w:rPr>
          <w:lang w:val="en-GB"/>
        </w:rPr>
      </w:pPr>
      <w:r>
        <w:rPr>
          <w:lang w:val="en-GB"/>
        </w:rPr>
        <w:t>S</w:t>
      </w:r>
      <w:r w:rsidRPr="009A5586">
        <w:rPr>
          <w:lang w:val="en-GB"/>
        </w:rPr>
        <w:t>olid particle releases with sizes from mm to above</w:t>
      </w:r>
      <w:r>
        <w:rPr>
          <w:lang w:val="en-GB"/>
        </w:rPr>
        <w:t>.</w:t>
      </w:r>
    </w:p>
    <w:p w14:paraId="5FFE6F7B" w14:textId="40F93C48" w:rsidR="009A5586" w:rsidRDefault="0085507D" w:rsidP="009A5586">
      <w:pPr>
        <w:pStyle w:val="CETBodytext"/>
        <w:rPr>
          <w:lang w:val="en-GB"/>
        </w:rPr>
      </w:pPr>
      <w:r>
        <w:rPr>
          <w:lang w:val="en-GB"/>
        </w:rPr>
        <w:t xml:space="preserve">As this will </w:t>
      </w:r>
      <w:r w:rsidR="002B5E03">
        <w:rPr>
          <w:lang w:val="en-GB"/>
        </w:rPr>
        <w:t xml:space="preserve">be </w:t>
      </w:r>
      <w:r>
        <w:rPr>
          <w:lang w:val="en-GB"/>
        </w:rPr>
        <w:t xml:space="preserve">detailed </w:t>
      </w:r>
      <w:r w:rsidR="007D16B4">
        <w:rPr>
          <w:lang w:val="en-GB"/>
        </w:rPr>
        <w:t>later</w:t>
      </w:r>
      <w:r>
        <w:rPr>
          <w:lang w:val="en-GB"/>
        </w:rPr>
        <w:t>, most of the published data were obtained in lab-scale test</w:t>
      </w:r>
      <w:r w:rsidR="007D16B4">
        <w:rPr>
          <w:lang w:val="en-GB"/>
        </w:rPr>
        <w:t>s,</w:t>
      </w:r>
      <w:r>
        <w:rPr>
          <w:lang w:val="en-GB"/>
        </w:rPr>
        <w:t xml:space="preserve"> and extrapolation to large fire</w:t>
      </w:r>
      <w:r w:rsidR="007D16B4">
        <w:rPr>
          <w:lang w:val="en-GB"/>
        </w:rPr>
        <w:t>s</w:t>
      </w:r>
      <w:r>
        <w:rPr>
          <w:lang w:val="en-GB"/>
        </w:rPr>
        <w:t xml:space="preserve"> is not so obvious</w:t>
      </w:r>
      <w:r w:rsidR="007D16B4">
        <w:rPr>
          <w:lang w:val="en-GB"/>
        </w:rPr>
        <w:t>; therefore,</w:t>
      </w:r>
      <w:r>
        <w:rPr>
          <w:lang w:val="en-GB"/>
        </w:rPr>
        <w:t xml:space="preserve"> th</w:t>
      </w:r>
      <w:r w:rsidR="007D16B4">
        <w:rPr>
          <w:lang w:val="en-GB"/>
        </w:rPr>
        <w:t>is</w:t>
      </w:r>
      <w:r>
        <w:rPr>
          <w:lang w:val="en-GB"/>
        </w:rPr>
        <w:t xml:space="preserve"> data should be used </w:t>
      </w:r>
      <w:r w:rsidR="007D16B4">
        <w:rPr>
          <w:lang w:val="en-GB"/>
        </w:rPr>
        <w:t>with caution.</w:t>
      </w:r>
      <w:r w:rsidR="00ED1CB3">
        <w:rPr>
          <w:lang w:val="en-GB"/>
        </w:rPr>
        <w:t xml:space="preserve"> Transposition to real scale situation remains a challenge. </w:t>
      </w:r>
    </w:p>
    <w:p w14:paraId="12A58F1C" w14:textId="77777777" w:rsidR="009A5586" w:rsidRPr="00220217" w:rsidRDefault="009A5586" w:rsidP="009A5586">
      <w:pPr>
        <w:pStyle w:val="CETBodytext"/>
        <w:rPr>
          <w:lang w:val="en-GB"/>
        </w:rPr>
      </w:pPr>
    </w:p>
    <w:p w14:paraId="04963A06" w14:textId="2CDCC3E2" w:rsidR="00600535" w:rsidRDefault="0085507D" w:rsidP="00FA5F5F">
      <w:pPr>
        <w:pStyle w:val="CETheadingx"/>
      </w:pPr>
      <w:r>
        <w:t>Gaseous emissions</w:t>
      </w:r>
    </w:p>
    <w:p w14:paraId="586BEF67" w14:textId="7779A13D" w:rsidR="00C461F1" w:rsidRDefault="00953C42" w:rsidP="0085507D">
      <w:pPr>
        <w:pStyle w:val="CETBodytext"/>
      </w:pPr>
      <w:r>
        <w:t xml:space="preserve">Gaseous emissions are </w:t>
      </w:r>
      <w:r w:rsidR="00812AEA">
        <w:t xml:space="preserve">most extensively studied emissions from </w:t>
      </w:r>
      <w:r w:rsidR="00DC477D">
        <w:t xml:space="preserve">LIBs, </w:t>
      </w:r>
      <w:r>
        <w:t xml:space="preserve">with numerous papers in the literature considering the different </w:t>
      </w:r>
      <w:r w:rsidR="00DC477D">
        <w:t>effect</w:t>
      </w:r>
      <w:r w:rsidR="00812AEA">
        <w:t>s</w:t>
      </w:r>
      <w:r w:rsidR="00DC477D">
        <w:t xml:space="preserve"> of LIB</w:t>
      </w:r>
      <w:r>
        <w:t xml:space="preserve"> chemistry and shape.</w:t>
      </w:r>
      <w:r w:rsidR="00C461F1">
        <w:t xml:space="preserve"> The main objective of this </w:t>
      </w:r>
      <w:r w:rsidR="00812AEA">
        <w:t xml:space="preserve">section is to </w:t>
      </w:r>
      <w:r w:rsidR="00C461F1">
        <w:t>highligh</w:t>
      </w:r>
      <w:r w:rsidR="00812AEA">
        <w:t>t</w:t>
      </w:r>
      <w:r w:rsidR="00C461F1">
        <w:t xml:space="preserve"> the influenc</w:t>
      </w:r>
      <w:r w:rsidR="00DC477D">
        <w:t>ing</w:t>
      </w:r>
      <w:r w:rsidR="00C461F1">
        <w:t xml:space="preserve"> factors and the </w:t>
      </w:r>
      <w:r w:rsidR="00812AEA">
        <w:t xml:space="preserve">current </w:t>
      </w:r>
      <w:r w:rsidR="00C461F1">
        <w:t>knowledge about emissions based on the state</w:t>
      </w:r>
      <w:r w:rsidR="006F6C92">
        <w:t>-</w:t>
      </w:r>
      <w:r w:rsidR="00C461F1">
        <w:t>of</w:t>
      </w:r>
      <w:r w:rsidR="006F6C92">
        <w:t>-</w:t>
      </w:r>
      <w:r w:rsidR="00C461F1">
        <w:t>the</w:t>
      </w:r>
      <w:r w:rsidR="006F6C92">
        <w:t>-</w:t>
      </w:r>
      <w:r w:rsidR="00C461F1">
        <w:t>art.</w:t>
      </w:r>
    </w:p>
    <w:p w14:paraId="36C14A47" w14:textId="77777777" w:rsidR="00812AEA" w:rsidRDefault="00812AEA" w:rsidP="0085507D">
      <w:pPr>
        <w:pStyle w:val="CETBodytext"/>
      </w:pPr>
    </w:p>
    <w:p w14:paraId="5198C78B" w14:textId="237BACE1" w:rsidR="00014787" w:rsidRDefault="00CE24E9" w:rsidP="0085507D">
      <w:pPr>
        <w:pStyle w:val="CETBodytext"/>
      </w:pPr>
      <w:r>
        <w:t xml:space="preserve">A first </w:t>
      </w:r>
      <w:r w:rsidR="00DC477D">
        <w:t xml:space="preserve">relevant </w:t>
      </w:r>
      <w:r>
        <w:t>element to</w:t>
      </w:r>
      <w:r w:rsidR="00812AEA">
        <w:t xml:space="preserve"> </w:t>
      </w:r>
      <w:r>
        <w:t>consider is the different thermal runaway mechanisms that can be encountered</w:t>
      </w:r>
      <w:r w:rsidR="00812AEA">
        <w:t>,</w:t>
      </w:r>
      <w:r>
        <w:t xml:space="preserve"> with, on the one hand, a gas release without combustion and, on the other hand, a gas release with combustion. Obviously, </w:t>
      </w:r>
      <w:r w:rsidR="00812AEA">
        <w:t xml:space="preserve">the </w:t>
      </w:r>
      <w:r>
        <w:t xml:space="preserve">presence </w:t>
      </w:r>
      <w:r w:rsidR="006F6C92">
        <w:t xml:space="preserve">or lack </w:t>
      </w:r>
      <w:r>
        <w:t xml:space="preserve">of combustion </w:t>
      </w:r>
      <w:r w:rsidR="00812AEA">
        <w:t xml:space="preserve">thereof </w:t>
      </w:r>
      <w:r>
        <w:t>strongly change</w:t>
      </w:r>
      <w:r w:rsidR="00615340">
        <w:t>s</w:t>
      </w:r>
      <w:r>
        <w:t xml:space="preserve"> the characteristic</w:t>
      </w:r>
      <w:r w:rsidR="00812AEA">
        <w:t>s</w:t>
      </w:r>
      <w:r>
        <w:t xml:space="preserve"> of gaseous emissions</w:t>
      </w:r>
      <w:r w:rsidR="00812AEA">
        <w:t>,</w:t>
      </w:r>
      <w:r w:rsidR="00AE10A7">
        <w:t xml:space="preserve"> as shown by Bordes et al. (2022)</w:t>
      </w:r>
      <w:r>
        <w:t xml:space="preserve">. </w:t>
      </w:r>
      <w:r w:rsidR="00E3066B">
        <w:t xml:space="preserve">It should also be noted that the emission characteristics will depend on </w:t>
      </w:r>
      <w:r w:rsidR="00812AEA">
        <w:t xml:space="preserve">the </w:t>
      </w:r>
      <w:r w:rsidR="00E3066B">
        <w:t xml:space="preserve">phenomena that </w:t>
      </w:r>
      <w:r w:rsidR="00534470">
        <w:t xml:space="preserve">trigger </w:t>
      </w:r>
      <w:r w:rsidR="00E3066B">
        <w:t>the thermal runaway</w:t>
      </w:r>
      <w:r w:rsidR="00812AEA">
        <w:t>,</w:t>
      </w:r>
      <w:r w:rsidR="00256005">
        <w:t xml:space="preserve"> as demonstrated by Larsson et al. (2014).</w:t>
      </w:r>
      <w:r w:rsidR="00014787">
        <w:t xml:space="preserve"> This</w:t>
      </w:r>
      <w:r w:rsidR="00812AEA">
        <w:t>,</w:t>
      </w:r>
      <w:r w:rsidR="00014787">
        <w:t xml:space="preserve"> however</w:t>
      </w:r>
      <w:r w:rsidR="00812AEA">
        <w:t>,</w:t>
      </w:r>
      <w:r w:rsidR="00014787">
        <w:t xml:space="preserve"> does not strongly modify the list of emitted gases. Considering</w:t>
      </w:r>
      <w:r w:rsidR="00812AEA">
        <w:t>,</w:t>
      </w:r>
      <w:r w:rsidR="00014787">
        <w:t xml:space="preserve"> for instance, the publication from </w:t>
      </w:r>
      <w:proofErr w:type="spellStart"/>
      <w:r w:rsidR="00014787" w:rsidRPr="00014787">
        <w:t>Nedjalkov</w:t>
      </w:r>
      <w:proofErr w:type="spellEnd"/>
      <w:r w:rsidR="00014787" w:rsidRPr="00014787">
        <w:t xml:space="preserve"> et al.</w:t>
      </w:r>
      <w:r w:rsidR="00651280">
        <w:t xml:space="preserve"> (2013), </w:t>
      </w:r>
      <w:r w:rsidR="00812AEA">
        <w:t xml:space="preserve">which involved </w:t>
      </w:r>
      <w:r w:rsidR="00651280">
        <w:t>several test</w:t>
      </w:r>
      <w:r w:rsidR="00812AEA">
        <w:t>s</w:t>
      </w:r>
      <w:r w:rsidR="00651280">
        <w:t xml:space="preserve"> using nail </w:t>
      </w:r>
      <w:r w:rsidR="00C53BC0">
        <w:t xml:space="preserve">penetration </w:t>
      </w:r>
      <w:r w:rsidR="00014787" w:rsidRPr="00014787">
        <w:t>o</w:t>
      </w:r>
      <w:r w:rsidR="00651280">
        <w:t>f</w:t>
      </w:r>
      <w:r w:rsidR="00014787" w:rsidRPr="00014787">
        <w:t xml:space="preserve"> NMC pouch cells</w:t>
      </w:r>
      <w:r w:rsidR="00651280">
        <w:t xml:space="preserve">, they identified </w:t>
      </w:r>
      <w:r w:rsidR="00812AEA">
        <w:t xml:space="preserve">the </w:t>
      </w:r>
      <w:r w:rsidR="00651280">
        <w:t>main component</w:t>
      </w:r>
      <w:r w:rsidR="00812AEA">
        <w:t>s</w:t>
      </w:r>
      <w:r w:rsidR="00651280">
        <w:t xml:space="preserve"> of the emissions</w:t>
      </w:r>
      <w:r w:rsidR="00812AEA">
        <w:t xml:space="preserve"> as </w:t>
      </w:r>
      <w:r w:rsidR="00651280">
        <w:t xml:space="preserve">carbonates </w:t>
      </w:r>
      <w:r w:rsidR="00C53BC0">
        <w:t>typical in LIB electrolytes</w:t>
      </w:r>
      <w:r w:rsidR="00651280">
        <w:t>, including</w:t>
      </w:r>
      <w:r w:rsidR="00C53BC0">
        <w:t xml:space="preserve"> ethyl methyl carbonate</w:t>
      </w:r>
      <w:r w:rsidR="00651280">
        <w:t xml:space="preserve"> </w:t>
      </w:r>
      <w:r w:rsidR="00C53BC0">
        <w:t>(</w:t>
      </w:r>
      <w:r w:rsidR="00651280">
        <w:t>EMC</w:t>
      </w:r>
      <w:r w:rsidR="00C53BC0">
        <w:t>)</w:t>
      </w:r>
      <w:r w:rsidR="00651280">
        <w:t xml:space="preserve">, </w:t>
      </w:r>
      <w:r w:rsidR="00C53BC0">
        <w:t>ethylene carbonate (</w:t>
      </w:r>
      <w:r w:rsidR="00651280">
        <w:t>EC</w:t>
      </w:r>
      <w:r w:rsidR="00C53BC0">
        <w:t>)</w:t>
      </w:r>
      <w:r w:rsidR="00651280">
        <w:t xml:space="preserve"> and </w:t>
      </w:r>
      <w:r w:rsidR="00C53BC0">
        <w:t>dimethyl carbonate (</w:t>
      </w:r>
      <w:r w:rsidR="00651280">
        <w:t>DMC</w:t>
      </w:r>
      <w:r w:rsidR="00C53BC0">
        <w:t>)</w:t>
      </w:r>
      <w:r w:rsidR="00651280">
        <w:t>, as well as carbon monoxide</w:t>
      </w:r>
      <w:r w:rsidR="00583E4F">
        <w:t xml:space="preserve"> (CO)</w:t>
      </w:r>
      <w:r w:rsidR="00651280">
        <w:t xml:space="preserve"> and </w:t>
      </w:r>
      <w:r w:rsidR="00812AEA">
        <w:t xml:space="preserve">carbon </w:t>
      </w:r>
      <w:r w:rsidR="00651280">
        <w:t>dioxide</w:t>
      </w:r>
      <w:r w:rsidR="005518DB">
        <w:t xml:space="preserve"> (CO</w:t>
      </w:r>
      <w:r w:rsidR="005518DB">
        <w:rPr>
          <w:vertAlign w:val="subscript"/>
        </w:rPr>
        <w:t>2</w:t>
      </w:r>
      <w:r w:rsidR="005518DB">
        <w:t>)</w:t>
      </w:r>
      <w:r w:rsidR="00651280">
        <w:t>. A large variety of other gases were also identified</w:t>
      </w:r>
      <w:r w:rsidR="00812AEA">
        <w:t>,</w:t>
      </w:r>
      <w:r w:rsidR="00651280">
        <w:t xml:space="preserve"> </w:t>
      </w:r>
      <w:r w:rsidR="00C53BC0">
        <w:t xml:space="preserve">including </w:t>
      </w:r>
      <w:r w:rsidR="00651280">
        <w:t>acrolein</w:t>
      </w:r>
      <w:r w:rsidR="00651280" w:rsidRPr="00651280">
        <w:t>, toluene, styrene, biphenyl, and hydrogen fluoride (HF)</w:t>
      </w:r>
      <w:r w:rsidR="00651280">
        <w:t xml:space="preserve">. This </w:t>
      </w:r>
      <w:r w:rsidR="00812AEA">
        <w:t>extensive</w:t>
      </w:r>
      <w:r w:rsidR="00651280">
        <w:t xml:space="preserve"> list, without considering the emission factor at this stage, was confirmed by several publications</w:t>
      </w:r>
      <w:r w:rsidR="00C53BC0">
        <w:t xml:space="preserve"> with multiple</w:t>
      </w:r>
      <w:r w:rsidR="00651280">
        <w:t xml:space="preserve"> chemistries, </w:t>
      </w:r>
      <w:r w:rsidR="00C53BC0">
        <w:t>including</w:t>
      </w:r>
      <w:r w:rsidR="00651280">
        <w:t xml:space="preserve"> publications from </w:t>
      </w:r>
      <w:proofErr w:type="spellStart"/>
      <w:r w:rsidR="00651280" w:rsidRPr="00651280">
        <w:t>Golubkov</w:t>
      </w:r>
      <w:proofErr w:type="spellEnd"/>
      <w:r w:rsidR="004745AB">
        <w:t xml:space="preserve"> </w:t>
      </w:r>
      <w:r w:rsidR="00651280" w:rsidRPr="00651280">
        <w:t>et al.</w:t>
      </w:r>
      <w:r w:rsidR="004745AB">
        <w:t xml:space="preserve"> (2015) </w:t>
      </w:r>
      <w:r w:rsidR="00C53BC0">
        <w:t xml:space="preserve">and </w:t>
      </w:r>
      <w:r w:rsidR="004745AB" w:rsidRPr="005C14A2">
        <w:t>Larsson et al.</w:t>
      </w:r>
      <w:r w:rsidR="004745AB">
        <w:t xml:space="preserve"> (2017). In some situations, as illustrated by </w:t>
      </w:r>
      <w:r w:rsidR="004745AB" w:rsidRPr="005C14A2">
        <w:t xml:space="preserve">Maloney </w:t>
      </w:r>
      <w:r w:rsidR="004745AB">
        <w:t>(2016), a significant amount of hydrogen</w:t>
      </w:r>
      <w:r w:rsidR="00C53BC0">
        <w:t xml:space="preserve"> (H</w:t>
      </w:r>
      <w:r w:rsidR="00C53BC0">
        <w:rPr>
          <w:vertAlign w:val="subscript"/>
        </w:rPr>
        <w:t>2</w:t>
      </w:r>
      <w:r w:rsidR="00C53BC0">
        <w:t>)</w:t>
      </w:r>
      <w:r w:rsidR="004745AB">
        <w:t xml:space="preserve"> can be identified in the emissions.</w:t>
      </w:r>
    </w:p>
    <w:p w14:paraId="5E8B3CC4" w14:textId="77777777" w:rsidR="00FA4EAD" w:rsidRDefault="00FA4EAD" w:rsidP="0085507D">
      <w:pPr>
        <w:pStyle w:val="CETBodytext"/>
      </w:pPr>
    </w:p>
    <w:p w14:paraId="7F988416" w14:textId="0C4BE806" w:rsidR="00BC21AD" w:rsidRDefault="00BC21AD" w:rsidP="0085507D">
      <w:pPr>
        <w:pStyle w:val="CETBodytext"/>
      </w:pPr>
      <w:r>
        <w:t>Concerning the governing parameters when dealing with thermal runaway, the state-of-charge</w:t>
      </w:r>
      <w:r w:rsidR="00BF1043">
        <w:t xml:space="preserve"> (SOC)</w:t>
      </w:r>
      <w:r>
        <w:t xml:space="preserve"> appears as</w:t>
      </w:r>
      <w:r w:rsidR="00654353">
        <w:t xml:space="preserve"> a</w:t>
      </w:r>
      <w:r>
        <w:t xml:space="preserve"> critical</w:t>
      </w:r>
      <w:r w:rsidR="00BC5719">
        <w:t xml:space="preserve"> </w:t>
      </w:r>
      <w:r w:rsidR="00654353">
        <w:t>parameter</w:t>
      </w:r>
      <w:r w:rsidR="00812AEA">
        <w:t>,</w:t>
      </w:r>
      <w:r w:rsidR="00654353">
        <w:t xml:space="preserve"> as shown by </w:t>
      </w:r>
      <w:proofErr w:type="spellStart"/>
      <w:r w:rsidR="00654353">
        <w:t>Golubkov</w:t>
      </w:r>
      <w:proofErr w:type="spellEnd"/>
      <w:r w:rsidR="00654353">
        <w:t xml:space="preserve"> et al. (2015</w:t>
      </w:r>
      <w:r w:rsidR="00FA4EAD">
        <w:t>) and</w:t>
      </w:r>
      <w:r>
        <w:t xml:space="preserve"> </w:t>
      </w:r>
      <w:proofErr w:type="spellStart"/>
      <w:r w:rsidRPr="00BC21AD">
        <w:t>Willstrand</w:t>
      </w:r>
      <w:proofErr w:type="spellEnd"/>
      <w:r w:rsidRPr="00BC21AD">
        <w:t xml:space="preserve"> et al. (</w:t>
      </w:r>
      <w:r w:rsidR="000A6308">
        <w:t>2023</w:t>
      </w:r>
      <w:r w:rsidRPr="00BC21AD">
        <w:t>)</w:t>
      </w:r>
      <w:r w:rsidR="00FA4EAD">
        <w:t>.</w:t>
      </w:r>
      <w:r w:rsidR="005518DB">
        <w:t xml:space="preserve"> T</w:t>
      </w:r>
      <w:r w:rsidR="00082B40">
        <w:t xml:space="preserve">he battery chemistry and shape also strongly influence the emissions, </w:t>
      </w:r>
      <w:r w:rsidR="005518DB">
        <w:t>specifically influencing</w:t>
      </w:r>
      <w:r w:rsidR="00082B40">
        <w:t xml:space="preserve"> the proportions between species </w:t>
      </w:r>
      <w:r w:rsidR="005518DB">
        <w:t xml:space="preserve">rather </w:t>
      </w:r>
      <w:r w:rsidR="00082B40">
        <w:t xml:space="preserve">than the </w:t>
      </w:r>
      <w:r w:rsidR="00812AEA">
        <w:t xml:space="preserve">overall </w:t>
      </w:r>
      <w:r w:rsidR="00082B40">
        <w:t xml:space="preserve">list of species. </w:t>
      </w:r>
      <w:r w:rsidR="005518DB">
        <w:t>This</w:t>
      </w:r>
      <w:r w:rsidR="00082B40">
        <w:t xml:space="preserve"> was detailed in the </w:t>
      </w:r>
      <w:proofErr w:type="spellStart"/>
      <w:r w:rsidR="00082B40" w:rsidRPr="00621958">
        <w:t>Rappsilber</w:t>
      </w:r>
      <w:proofErr w:type="spellEnd"/>
      <w:r w:rsidR="00082B40">
        <w:t xml:space="preserve"> et al</w:t>
      </w:r>
      <w:r w:rsidR="00BC5719">
        <w:t>.</w:t>
      </w:r>
      <w:r w:rsidR="00082B40">
        <w:t xml:space="preserve"> paper (2023), </w:t>
      </w:r>
      <w:r w:rsidR="005518DB">
        <w:t xml:space="preserve">with </w:t>
      </w:r>
      <w:r w:rsidR="00082B40">
        <w:t xml:space="preserve">the corresponding results </w:t>
      </w:r>
      <w:r w:rsidR="00812AEA">
        <w:t>p</w:t>
      </w:r>
      <w:r w:rsidR="00082B40">
        <w:t>resented hereafter</w:t>
      </w:r>
      <w:r w:rsidR="00BC5719">
        <w:t xml:space="preserve"> in</w:t>
      </w:r>
      <w:r w:rsidR="00BF1043">
        <w:t xml:space="preserve"> </w:t>
      </w:r>
      <w:r w:rsidR="00BF1043">
        <w:fldChar w:fldCharType="begin"/>
      </w:r>
      <w:r w:rsidR="00BF1043">
        <w:instrText xml:space="preserve"> REF _Ref181725716 \h </w:instrText>
      </w:r>
      <w:r w:rsidR="00BF1043">
        <w:fldChar w:fldCharType="separate"/>
      </w:r>
      <w:r w:rsidR="008B3396" w:rsidRPr="00D14F7D">
        <w:t xml:space="preserve">Figure </w:t>
      </w:r>
      <w:r w:rsidR="008B3396">
        <w:rPr>
          <w:noProof/>
        </w:rPr>
        <w:t>3</w:t>
      </w:r>
      <w:r w:rsidR="00BF1043">
        <w:fldChar w:fldCharType="end"/>
      </w:r>
      <w:r w:rsidR="00BF1043">
        <w:t xml:space="preserve">. </w:t>
      </w:r>
      <w:r w:rsidR="005518DB">
        <w:t>This figure illustrates the impact of these parameters on CO generation during battery failure</w:t>
      </w:r>
      <w:r w:rsidR="00BF1043">
        <w:t xml:space="preserve">. Considering a single chemistry and shape, one can see that the total amount of carbon monoxide </w:t>
      </w:r>
      <w:r w:rsidR="005518DB">
        <w:t>increases</w:t>
      </w:r>
      <w:r w:rsidR="00BF1043">
        <w:t xml:space="preserve"> by a factor </w:t>
      </w:r>
      <w:r w:rsidR="00812AEA">
        <w:t xml:space="preserve">of </w:t>
      </w:r>
      <w:r w:rsidR="00BF1043">
        <w:t>about 5 between 25%</w:t>
      </w:r>
      <w:r w:rsidR="009E38F8">
        <w:t xml:space="preserve"> </w:t>
      </w:r>
      <w:r w:rsidR="00BC5719">
        <w:t>SOC</w:t>
      </w:r>
      <w:r w:rsidR="00BF1043">
        <w:t xml:space="preserve"> and </w:t>
      </w:r>
      <w:r w:rsidR="00BC5719">
        <w:t>100%</w:t>
      </w:r>
      <w:r w:rsidR="009E38F8">
        <w:t xml:space="preserve"> </w:t>
      </w:r>
      <w:r w:rsidR="00BC5719">
        <w:t>SOC</w:t>
      </w:r>
      <w:r w:rsidR="00BF1043">
        <w:t>. Focusing on a given SOC and shape, for instance</w:t>
      </w:r>
      <w:r w:rsidR="009E38F8">
        <w:t>,</w:t>
      </w:r>
      <w:r w:rsidR="00BF1043">
        <w:t xml:space="preserve"> a fully charged pouch cell, a factor </w:t>
      </w:r>
      <w:r w:rsidR="00BC5719">
        <w:t xml:space="preserve">of </w:t>
      </w:r>
      <w:r w:rsidR="00BF1043">
        <w:t xml:space="preserve">2.5 is observed. </w:t>
      </w:r>
      <w:proofErr w:type="gramStart"/>
      <w:r w:rsidR="00BF1043">
        <w:t>Last but not least</w:t>
      </w:r>
      <w:proofErr w:type="gramEnd"/>
      <w:r w:rsidR="00BF1043">
        <w:t>, the influence of the cell shape</w:t>
      </w:r>
      <w:r w:rsidR="00BC5719">
        <w:t xml:space="preserve"> could lead to</w:t>
      </w:r>
      <w:r w:rsidR="00BF1043">
        <w:t xml:space="preserve"> a factor </w:t>
      </w:r>
      <w:r w:rsidR="009E38F8">
        <w:t xml:space="preserve">of </w:t>
      </w:r>
      <w:r w:rsidR="00BF1043">
        <w:t xml:space="preserve">4. </w:t>
      </w:r>
    </w:p>
    <w:p w14:paraId="24A28F33" w14:textId="77777777" w:rsidR="00082B40" w:rsidRDefault="00082B40" w:rsidP="00082B40">
      <w:pPr>
        <w:keepNext/>
        <w:spacing w:after="160" w:line="259" w:lineRule="auto"/>
        <w:jc w:val="center"/>
      </w:pPr>
      <w:r w:rsidRPr="00BD16A8">
        <w:rPr>
          <w:noProof/>
          <w:lang w:eastAsia="fr-FR"/>
        </w:rPr>
        <w:lastRenderedPageBreak/>
        <w:drawing>
          <wp:inline distT="0" distB="0" distL="0" distR="0" wp14:anchorId="726ACC5B" wp14:editId="19E0C2C3">
            <wp:extent cx="4008120" cy="2451274"/>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1052" cy="2471414"/>
                    </a:xfrm>
                    <a:prstGeom prst="rect">
                      <a:avLst/>
                    </a:prstGeom>
                  </pic:spPr>
                </pic:pic>
              </a:graphicData>
            </a:graphic>
          </wp:inline>
        </w:drawing>
      </w:r>
    </w:p>
    <w:p w14:paraId="0B5C63BC" w14:textId="1F62CBF6" w:rsidR="00082B40" w:rsidRDefault="00082B40" w:rsidP="00082B40">
      <w:pPr>
        <w:pStyle w:val="CETCaption"/>
      </w:pPr>
      <w:bookmarkStart w:id="5" w:name="_Ref181725716"/>
      <w:bookmarkStart w:id="6" w:name="_Toc172724833"/>
      <w:bookmarkStart w:id="7" w:name="_Toc172725084"/>
      <w:bookmarkStart w:id="8" w:name="_Toc172725219"/>
      <w:r w:rsidRPr="00D14F7D">
        <w:rPr>
          <w:lang w:val="en-US"/>
        </w:rPr>
        <w:t xml:space="preserve">Figure </w:t>
      </w:r>
      <w:r w:rsidRPr="005232E4">
        <w:fldChar w:fldCharType="begin"/>
      </w:r>
      <w:r w:rsidRPr="00D14F7D">
        <w:rPr>
          <w:lang w:val="en-US"/>
        </w:rPr>
        <w:instrText xml:space="preserve"> SEQ Figure \* ARABIC </w:instrText>
      </w:r>
      <w:r w:rsidRPr="005232E4">
        <w:fldChar w:fldCharType="separate"/>
      </w:r>
      <w:r w:rsidR="008B3396">
        <w:rPr>
          <w:noProof/>
          <w:lang w:val="en-US"/>
        </w:rPr>
        <w:t>3</w:t>
      </w:r>
      <w:r w:rsidRPr="005232E4">
        <w:fldChar w:fldCharType="end"/>
      </w:r>
      <w:bookmarkEnd w:id="5"/>
      <w:r w:rsidRPr="00D14F7D">
        <w:rPr>
          <w:lang w:val="en-US"/>
        </w:rPr>
        <w:t xml:space="preserve"> : CO emission for different type of L</w:t>
      </w:r>
      <w:r>
        <w:rPr>
          <w:lang w:val="en-US"/>
        </w:rPr>
        <w:t>I</w:t>
      </w:r>
      <w:r w:rsidRPr="00D14F7D">
        <w:rPr>
          <w:lang w:val="en-US"/>
        </w:rPr>
        <w:t>Bs, shape and chemistry, and different SOC, reproduced from</w:t>
      </w:r>
      <w:bookmarkEnd w:id="6"/>
      <w:bookmarkEnd w:id="7"/>
      <w:bookmarkEnd w:id="8"/>
      <w:r>
        <w:rPr>
          <w:lang w:val="en-US"/>
        </w:rPr>
        <w:t xml:space="preserve"> </w:t>
      </w:r>
      <w:proofErr w:type="spellStart"/>
      <w:r w:rsidRPr="00621958">
        <w:t>Rappsilber</w:t>
      </w:r>
      <w:proofErr w:type="spellEnd"/>
      <w:r>
        <w:t xml:space="preserve"> et </w:t>
      </w:r>
      <w:proofErr w:type="spellStart"/>
      <w:r>
        <w:t>al’s</w:t>
      </w:r>
      <w:proofErr w:type="spellEnd"/>
      <w:r>
        <w:t xml:space="preserve"> paper (2023).</w:t>
      </w:r>
    </w:p>
    <w:p w14:paraId="15B7627C" w14:textId="0F1BADBC" w:rsidR="00953C42" w:rsidRPr="0085507D" w:rsidRDefault="0096502F" w:rsidP="0085507D">
      <w:pPr>
        <w:pStyle w:val="CETBodytext"/>
      </w:pPr>
      <w:bookmarkStart w:id="9" w:name="_Hlk182840668"/>
      <w:r w:rsidRPr="0096502F">
        <w:t>A key issue regarding th</w:t>
      </w:r>
      <w:r w:rsidR="009E38F8">
        <w:t>e</w:t>
      </w:r>
      <w:r w:rsidRPr="0096502F">
        <w:t xml:space="preserve">se emission measurements is the focus on specific products, such as carbon oxides, hydrogen fluoride, carbonates, or hydrogen for some tests. Considering the target of the environmental impact assessment, key products, such as </w:t>
      </w:r>
      <w:r w:rsidR="009E38F8">
        <w:t>volatile organic compounds (</w:t>
      </w:r>
      <w:r w:rsidRPr="0096502F">
        <w:t>VOC</w:t>
      </w:r>
      <w:r w:rsidR="009E38F8">
        <w:t>)</w:t>
      </w:r>
      <w:r w:rsidRPr="0096502F">
        <w:t xml:space="preserve"> or </w:t>
      </w:r>
      <w:r w:rsidR="009E38F8">
        <w:t>polyaromatic hydrocarbons (</w:t>
      </w:r>
      <w:r w:rsidRPr="0096502F">
        <w:t>PAH</w:t>
      </w:r>
      <w:r w:rsidR="009E38F8">
        <w:t>)</w:t>
      </w:r>
      <w:r w:rsidRPr="0096502F">
        <w:t xml:space="preserve">, should be </w:t>
      </w:r>
      <w:r w:rsidR="005518DB">
        <w:t>considered</w:t>
      </w:r>
      <w:r w:rsidR="00DF1A49">
        <w:t xml:space="preserve"> but may not be specifically tested</w:t>
      </w:r>
      <w:r w:rsidR="003E4616">
        <w:t xml:space="preserve"> or detected</w:t>
      </w:r>
      <w:r w:rsidR="00DF1A49">
        <w:t xml:space="preserve"> in lab tests</w:t>
      </w:r>
      <w:r w:rsidRPr="0096502F">
        <w:t>.</w:t>
      </w:r>
      <w:r w:rsidR="005518DB">
        <w:t xml:space="preserve"> Further</w:t>
      </w:r>
      <w:r w:rsidR="009E38F8">
        <w:t>more</w:t>
      </w:r>
      <w:r w:rsidRPr="0096502F">
        <w:t xml:space="preserve">, it should be </w:t>
      </w:r>
      <w:r w:rsidR="009E38F8">
        <w:t>noted</w:t>
      </w:r>
      <w:r w:rsidR="009E38F8" w:rsidRPr="0096502F">
        <w:t xml:space="preserve"> </w:t>
      </w:r>
      <w:r w:rsidRPr="0096502F">
        <w:t>that real</w:t>
      </w:r>
      <w:r w:rsidR="005518DB">
        <w:t>-world</w:t>
      </w:r>
      <w:r w:rsidRPr="0096502F">
        <w:t xml:space="preserve"> situations can </w:t>
      </w:r>
      <w:r w:rsidR="009E38F8">
        <w:t>differ significantly</w:t>
      </w:r>
      <w:r w:rsidRPr="0096502F">
        <w:t xml:space="preserve">. Consequently, emissions </w:t>
      </w:r>
      <w:r w:rsidR="009E38F8">
        <w:t>during</w:t>
      </w:r>
      <w:r w:rsidR="009E38F8" w:rsidRPr="0096502F">
        <w:t xml:space="preserve"> </w:t>
      </w:r>
      <w:r w:rsidRPr="0096502F">
        <w:t xml:space="preserve">a fire can vary from those measured at the lab scale </w:t>
      </w:r>
      <w:r w:rsidR="009E38F8">
        <w:t xml:space="preserve">due to factors such as </w:t>
      </w:r>
      <w:r w:rsidRPr="0096502F">
        <w:t>upscal</w:t>
      </w:r>
      <w:r w:rsidR="009E38F8">
        <w:t>ing</w:t>
      </w:r>
      <w:r w:rsidRPr="0096502F">
        <w:t xml:space="preserve"> impact, </w:t>
      </w:r>
      <w:r w:rsidR="009E38F8">
        <w:t xml:space="preserve">the presence of </w:t>
      </w:r>
      <w:r w:rsidRPr="0096502F">
        <w:t xml:space="preserve">additional materials at the system level, and </w:t>
      </w:r>
      <w:r w:rsidR="009E38F8">
        <w:t>other variables</w:t>
      </w:r>
      <w:r w:rsidRPr="0096502F">
        <w:t>.</w:t>
      </w:r>
    </w:p>
    <w:bookmarkEnd w:id="9"/>
    <w:p w14:paraId="1F96CA21" w14:textId="5114E42B" w:rsidR="00600535" w:rsidRDefault="0019430B" w:rsidP="00FA5F5F">
      <w:pPr>
        <w:pStyle w:val="CETheadingx"/>
      </w:pPr>
      <w:r>
        <w:t>Aerosols and solid particle emissions</w:t>
      </w:r>
      <w:r>
        <w:tab/>
      </w:r>
    </w:p>
    <w:p w14:paraId="0CE1D373" w14:textId="76CD66D4" w:rsidR="00337260" w:rsidRDefault="00595D6D" w:rsidP="0019430B">
      <w:pPr>
        <w:pStyle w:val="CETBodytext"/>
      </w:pPr>
      <w:r>
        <w:t xml:space="preserve">While gas emissions </w:t>
      </w:r>
      <w:r w:rsidR="00DF1A49">
        <w:t>were extensively studied</w:t>
      </w:r>
      <w:r w:rsidR="003B3BBF">
        <w:t xml:space="preserve"> in the literature, few studies </w:t>
      </w:r>
      <w:r w:rsidR="009E38F8">
        <w:t xml:space="preserve">have been </w:t>
      </w:r>
      <w:r w:rsidR="003B3BBF">
        <w:t>published regarding aerosol and solid particle emissions</w:t>
      </w:r>
      <w:r w:rsidR="009E38F8">
        <w:t>,</w:t>
      </w:r>
      <w:r w:rsidR="003B3BBF">
        <w:t xml:space="preserve"> </w:t>
      </w:r>
      <w:r w:rsidR="00DF1A49">
        <w:t>which</w:t>
      </w:r>
      <w:r w:rsidR="003B3BBF">
        <w:t xml:space="preserve"> are critical for environmental impact assessment. </w:t>
      </w:r>
      <w:r w:rsidR="0043656F">
        <w:t xml:space="preserve">When dealing with particle or aerosol emissions, not only </w:t>
      </w:r>
      <w:r w:rsidR="009E38F8">
        <w:t xml:space="preserve">should </w:t>
      </w:r>
      <w:r w:rsidR="0043656F">
        <w:t>the total emission amount and corresponding emission factor be considered</w:t>
      </w:r>
      <w:r w:rsidR="009E38F8">
        <w:t>,</w:t>
      </w:r>
      <w:r w:rsidR="0043656F">
        <w:t xml:space="preserve"> but</w:t>
      </w:r>
      <w:r w:rsidR="009E38F8">
        <w:t xml:space="preserve"> also</w:t>
      </w:r>
      <w:r w:rsidR="0043656F">
        <w:t xml:space="preserve"> </w:t>
      </w:r>
      <w:r w:rsidR="00DD5BDE">
        <w:t xml:space="preserve">the chemical composition and </w:t>
      </w:r>
      <w:r w:rsidR="0043656F">
        <w:t>the diameter distribution</w:t>
      </w:r>
      <w:r w:rsidR="00DD5BDE">
        <w:t>. The first, chemical composition, is directly connected to the potential impact</w:t>
      </w:r>
      <w:r w:rsidR="009E38F8">
        <w:t>;</w:t>
      </w:r>
      <w:r w:rsidR="00DD5BDE">
        <w:t xml:space="preserve"> the second, diameter distribution, governs the particle dispersion after atmospheric release.</w:t>
      </w:r>
    </w:p>
    <w:p w14:paraId="5C716F5A" w14:textId="1E4309F6" w:rsidR="0019430B" w:rsidRDefault="00DD5BDE" w:rsidP="0019430B">
      <w:pPr>
        <w:pStyle w:val="CETBodytext"/>
      </w:pPr>
      <w:r>
        <w:t xml:space="preserve"> </w:t>
      </w:r>
    </w:p>
    <w:p w14:paraId="692688E1" w14:textId="6BCB63BE" w:rsidR="00DD5BDE" w:rsidRDefault="00DD5BDE" w:rsidP="0019430B">
      <w:pPr>
        <w:pStyle w:val="CETBodytext"/>
      </w:pPr>
      <w:r w:rsidRPr="005C14A2">
        <w:t xml:space="preserve">Barone </w:t>
      </w:r>
      <w:r w:rsidRPr="00CA62EC">
        <w:rPr>
          <w:i/>
          <w:iCs/>
        </w:rPr>
        <w:t>et al</w:t>
      </w:r>
      <w:r w:rsidRPr="0010663F">
        <w:t>.</w:t>
      </w:r>
      <w:r w:rsidRPr="005C14A2">
        <w:t xml:space="preserve"> </w:t>
      </w:r>
      <w:r w:rsidR="001315CA">
        <w:t xml:space="preserve">(2021) published an aerosol comparison for different </w:t>
      </w:r>
      <w:r w:rsidR="009E38F8">
        <w:t>LIB</w:t>
      </w:r>
      <w:r w:rsidR="001315CA">
        <w:t xml:space="preserve"> chemistries</w:t>
      </w:r>
      <w:r w:rsidR="009E38F8">
        <w:t>,</w:t>
      </w:r>
      <w:r w:rsidR="001315CA">
        <w:t xml:space="preserve"> showing an important difference between NMC and LFP in terms of both sizes and composition. </w:t>
      </w:r>
      <w:r w:rsidR="007B4C0B">
        <w:t>Larger particles were found after LFP cell abuse testing</w:t>
      </w:r>
      <w:r w:rsidR="009B48C6">
        <w:t xml:space="preserve"> (micro-scale)</w:t>
      </w:r>
      <w:r w:rsidR="007B4C0B">
        <w:t xml:space="preserve"> </w:t>
      </w:r>
      <w:r w:rsidR="0076086E">
        <w:t>c</w:t>
      </w:r>
      <w:r w:rsidR="007B4C0B">
        <w:t>ompared to NMC</w:t>
      </w:r>
      <w:r w:rsidR="009E38F8">
        <w:t>, which</w:t>
      </w:r>
      <w:r w:rsidR="009B48C6">
        <w:t xml:space="preserve"> starts at nanoscale (up to microscale)</w:t>
      </w:r>
      <w:r w:rsidR="0076086E">
        <w:t>. Also, w</w:t>
      </w:r>
      <w:r w:rsidR="009630EB">
        <w:t xml:space="preserve">hile NMC particle emissions were composed </w:t>
      </w:r>
      <w:r w:rsidR="0076086E">
        <w:t xml:space="preserve">mostly </w:t>
      </w:r>
      <w:r w:rsidR="009E38F8">
        <w:t xml:space="preserve">of </w:t>
      </w:r>
      <w:r w:rsidR="0076086E">
        <w:t>cathode components (</w:t>
      </w:r>
      <w:r w:rsidR="009630EB">
        <w:t>nickel</w:t>
      </w:r>
      <w:r w:rsidR="0076086E">
        <w:t>,</w:t>
      </w:r>
      <w:r w:rsidR="009630EB">
        <w:t xml:space="preserve"> aluminum, cobalt</w:t>
      </w:r>
      <w:r w:rsidR="0076086E">
        <w:t>)</w:t>
      </w:r>
      <w:r w:rsidR="009630EB">
        <w:t xml:space="preserve">, </w:t>
      </w:r>
      <w:r w:rsidR="0076086E">
        <w:t xml:space="preserve">mostly </w:t>
      </w:r>
      <w:r w:rsidR="009630EB">
        <w:t xml:space="preserve">carbonaceous </w:t>
      </w:r>
      <w:r w:rsidR="0076086E">
        <w:t xml:space="preserve">particle </w:t>
      </w:r>
      <w:r w:rsidR="009630EB">
        <w:t>linked to organic component decomposition</w:t>
      </w:r>
      <w:r w:rsidR="0076086E">
        <w:t xml:space="preserve"> were encountered</w:t>
      </w:r>
      <w:r w:rsidR="009B48C6">
        <w:t xml:space="preserve"> for LFP</w:t>
      </w:r>
      <w:r w:rsidR="0076086E">
        <w:t xml:space="preserve"> (</w:t>
      </w:r>
      <w:r w:rsidR="009630EB">
        <w:t>with</w:t>
      </w:r>
      <w:r w:rsidR="009B48C6">
        <w:t xml:space="preserve"> some</w:t>
      </w:r>
      <w:r w:rsidR="009630EB">
        <w:t xml:space="preserve"> </w:t>
      </w:r>
      <w:r w:rsidR="00132267">
        <w:t xml:space="preserve">fluoride </w:t>
      </w:r>
      <w:r w:rsidR="0076086E">
        <w:t xml:space="preserve">and </w:t>
      </w:r>
      <w:r w:rsidR="009630EB">
        <w:t>silicon content</w:t>
      </w:r>
      <w:r w:rsidR="0076086E">
        <w:t>)</w:t>
      </w:r>
      <w:r w:rsidR="009630EB">
        <w:t>.</w:t>
      </w:r>
      <w:r w:rsidR="007B4C0B">
        <w:t xml:space="preserve"> Buston et al.</w:t>
      </w:r>
      <w:r w:rsidR="0076086E">
        <w:t xml:space="preserve"> (2023)</w:t>
      </w:r>
      <w:r w:rsidR="007B4C0B">
        <w:t xml:space="preserve"> encountered cathode metal species in all the particles emitted by </w:t>
      </w:r>
      <w:r w:rsidR="00132267">
        <w:t>lithium cobalt oxide (</w:t>
      </w:r>
      <w:r w:rsidR="007B4C0B">
        <w:t>LCO</w:t>
      </w:r>
      <w:r w:rsidR="00132267">
        <w:t>)</w:t>
      </w:r>
      <w:r w:rsidR="007B4C0B">
        <w:t xml:space="preserve">, NMC and NCA </w:t>
      </w:r>
      <w:r w:rsidR="009B48C6">
        <w:t>abused cells</w:t>
      </w:r>
      <w:r w:rsidR="007B4C0B">
        <w:t xml:space="preserve">. It is worth pointing out that the particle composition ratio </w:t>
      </w:r>
      <w:r w:rsidR="009E38F8">
        <w:t>evolves</w:t>
      </w:r>
      <w:r w:rsidR="007B4C0B">
        <w:t xml:space="preserve"> with respect to the particle size considered</w:t>
      </w:r>
      <w:r w:rsidR="009E38F8">
        <w:t xml:space="preserve">, </w:t>
      </w:r>
      <w:r w:rsidR="007B4C0B">
        <w:t xml:space="preserve">as </w:t>
      </w:r>
      <w:r w:rsidR="00392147">
        <w:t xml:space="preserve">noted </w:t>
      </w:r>
      <w:r w:rsidR="007B4C0B">
        <w:t>by Wang et al.</w:t>
      </w:r>
      <w:r w:rsidR="0076086E">
        <w:t xml:space="preserve"> (2021).</w:t>
      </w:r>
      <w:r w:rsidR="009B48C6">
        <w:t xml:space="preserve"> </w:t>
      </w:r>
      <w:r w:rsidR="00392147">
        <w:t xml:space="preserve">In the breathable range of particle size and </w:t>
      </w:r>
      <w:r w:rsidR="00A347AD">
        <w:t xml:space="preserve">with respect to their </w:t>
      </w:r>
      <w:r w:rsidR="00392147">
        <w:t>composition</w:t>
      </w:r>
      <w:r w:rsidR="00A347AD">
        <w:t>,</w:t>
      </w:r>
      <w:r w:rsidR="007B4C0B">
        <w:t xml:space="preserve"> </w:t>
      </w:r>
      <w:r w:rsidR="009E38F8">
        <w:t>LIB</w:t>
      </w:r>
      <w:r w:rsidR="007B4C0B">
        <w:t xml:space="preserve"> particle emissions represent a hazard for</w:t>
      </w:r>
      <w:r w:rsidR="009E38F8">
        <w:t xml:space="preserve"> the</w:t>
      </w:r>
      <w:r w:rsidR="007B4C0B">
        <w:t xml:space="preserve"> environment </w:t>
      </w:r>
      <w:r w:rsidR="00462286">
        <w:t>that need</w:t>
      </w:r>
      <w:r w:rsidR="009E38F8">
        <w:t>s</w:t>
      </w:r>
      <w:r w:rsidR="00462286">
        <w:t xml:space="preserve"> to be address</w:t>
      </w:r>
      <w:r w:rsidR="009E38F8">
        <w:t>ed</w:t>
      </w:r>
      <w:r w:rsidR="00462286">
        <w:t xml:space="preserve"> by a</w:t>
      </w:r>
      <w:r w:rsidR="009B48C6">
        <w:t xml:space="preserve"> deeper analysis </w:t>
      </w:r>
      <w:r w:rsidR="00462286">
        <w:t xml:space="preserve">of their characteristics </w:t>
      </w:r>
      <w:r w:rsidR="009E38F8">
        <w:t xml:space="preserve">during </w:t>
      </w:r>
      <w:r w:rsidR="00462286">
        <w:t>large fire incidents</w:t>
      </w:r>
      <w:r w:rsidR="007B4C0B">
        <w:t>.</w:t>
      </w:r>
    </w:p>
    <w:p w14:paraId="05E08BC0" w14:textId="77777777" w:rsidR="0019430B" w:rsidRDefault="0019430B" w:rsidP="0019430B">
      <w:pPr>
        <w:pStyle w:val="CETBodytext"/>
      </w:pPr>
    </w:p>
    <w:p w14:paraId="395662C3" w14:textId="785098DF" w:rsidR="0019430B" w:rsidRDefault="0019430B" w:rsidP="0019430B">
      <w:pPr>
        <w:pStyle w:val="CETheadingx"/>
      </w:pPr>
      <w:r>
        <w:t>Focus on water contamination</w:t>
      </w:r>
    </w:p>
    <w:p w14:paraId="3F3386FE" w14:textId="779D38F0" w:rsidR="004C1DCD" w:rsidRDefault="0019430B" w:rsidP="006D5492">
      <w:r>
        <w:t xml:space="preserve">Considering </w:t>
      </w:r>
      <w:r w:rsidR="00C91CDD">
        <w:t>LIB</w:t>
      </w:r>
      <w:r>
        <w:t xml:space="preserve"> thermal runaway</w:t>
      </w:r>
      <w:r w:rsidR="00462286">
        <w:t>, a major</w:t>
      </w:r>
      <w:r>
        <w:t xml:space="preserve"> challeng</w:t>
      </w:r>
      <w:r w:rsidR="00C918E7">
        <w:t>e</w:t>
      </w:r>
      <w:r>
        <w:t xml:space="preserve"> in terms of </w:t>
      </w:r>
      <w:r w:rsidR="0043656F">
        <w:t>firefighting</w:t>
      </w:r>
      <w:r>
        <w:t xml:space="preserve"> </w:t>
      </w:r>
      <w:r w:rsidR="00462286">
        <w:t>is the</w:t>
      </w:r>
      <w:r>
        <w:t xml:space="preserve"> large amount of water</w:t>
      </w:r>
      <w:r w:rsidR="00462286">
        <w:t xml:space="preserve"> required</w:t>
      </w:r>
      <w:r>
        <w:t xml:space="preserve">, </w:t>
      </w:r>
      <w:r w:rsidR="00C91CDD">
        <w:t xml:space="preserve">along </w:t>
      </w:r>
      <w:r>
        <w:t>with very long firefighting sequences</w:t>
      </w:r>
      <w:r w:rsidR="00C918E7">
        <w:t>. I</w:t>
      </w:r>
      <w:r>
        <w:t xml:space="preserve">t </w:t>
      </w:r>
      <w:r w:rsidR="00C91CDD">
        <w:t xml:space="preserve">is therefore </w:t>
      </w:r>
      <w:r>
        <w:t>essential to characterize water contamination in such situation</w:t>
      </w:r>
      <w:r w:rsidR="00C91CDD">
        <w:t>s</w:t>
      </w:r>
      <w:r>
        <w:t xml:space="preserve">. </w:t>
      </w:r>
      <w:r w:rsidR="006A0AF5">
        <w:t xml:space="preserve">While few data </w:t>
      </w:r>
      <w:proofErr w:type="gramStart"/>
      <w:r w:rsidR="00C91CDD">
        <w:t>is</w:t>
      </w:r>
      <w:proofErr w:type="gramEnd"/>
      <w:r w:rsidR="00C91CDD">
        <w:t xml:space="preserve"> </w:t>
      </w:r>
      <w:r w:rsidR="006A0AF5">
        <w:t xml:space="preserve">available </w:t>
      </w:r>
      <w:r w:rsidR="00C91CDD">
        <w:t xml:space="preserve">for </w:t>
      </w:r>
      <w:r w:rsidR="006A0AF5">
        <w:t>large scale</w:t>
      </w:r>
      <w:r w:rsidR="00C91CDD">
        <w:t xml:space="preserve"> fires,</w:t>
      </w:r>
      <w:r w:rsidR="006A0AF5">
        <w:t xml:space="preserve"> some tests performed at module scale </w:t>
      </w:r>
      <w:r w:rsidR="00724AF4">
        <w:t>by</w:t>
      </w:r>
      <w:r w:rsidR="006A0AF5">
        <w:t xml:space="preserve"> Bordes et al (2024) </w:t>
      </w:r>
      <w:r w:rsidR="00C91CDD">
        <w:t xml:space="preserve">have </w:t>
      </w:r>
      <w:r w:rsidR="006A0AF5">
        <w:t>already pointed out the presence of metallic compounds (Ni, Mn, Co, Li, Al)</w:t>
      </w:r>
      <w:r w:rsidR="005F688D">
        <w:t xml:space="preserve"> and some undecomposed solvent</w:t>
      </w:r>
      <w:r w:rsidR="00827757">
        <w:t>s</w:t>
      </w:r>
      <w:r w:rsidR="005F688D">
        <w:t xml:space="preserve"> used in battery electrolyte</w:t>
      </w:r>
      <w:r w:rsidR="00F8085A">
        <w:t>s</w:t>
      </w:r>
      <w:r w:rsidR="00C918E7">
        <w:t xml:space="preserve"> in wastewater</w:t>
      </w:r>
      <w:r w:rsidR="005F688D">
        <w:t xml:space="preserve">. Their extrapolation </w:t>
      </w:r>
      <w:r w:rsidR="00C918E7">
        <w:t xml:space="preserve">from module </w:t>
      </w:r>
      <w:r w:rsidR="005F688D">
        <w:t xml:space="preserve">to large fire </w:t>
      </w:r>
      <w:r w:rsidR="00724AF4">
        <w:t>underscores</w:t>
      </w:r>
      <w:r w:rsidR="005F688D">
        <w:t xml:space="preserve"> the potential </w:t>
      </w:r>
      <w:r w:rsidR="00F8085A">
        <w:t xml:space="preserve">detrimental </w:t>
      </w:r>
      <w:r w:rsidR="00724AF4">
        <w:t xml:space="preserve">effect on </w:t>
      </w:r>
      <w:r w:rsidR="00F8085A">
        <w:t xml:space="preserve">the </w:t>
      </w:r>
      <w:r w:rsidR="00724AF4">
        <w:t>water ecosystem</w:t>
      </w:r>
      <w:r w:rsidR="005F688D">
        <w:t xml:space="preserve"> (PNEC values above accepta</w:t>
      </w:r>
      <w:r w:rsidR="00F8085A">
        <w:t>ble levels</w:t>
      </w:r>
      <w:r w:rsidR="005F688D">
        <w:t>).</w:t>
      </w:r>
      <w:r w:rsidR="0050474E">
        <w:t xml:space="preserve"> </w:t>
      </w:r>
    </w:p>
    <w:p w14:paraId="08138458" w14:textId="68B37153" w:rsidR="004C1DCD" w:rsidRPr="00AA524C" w:rsidRDefault="00F8085A" w:rsidP="006D5492">
      <w:pPr>
        <w:rPr>
          <w:lang w:val="en-US"/>
        </w:rPr>
      </w:pPr>
      <w:r>
        <w:t xml:space="preserve">The </w:t>
      </w:r>
      <w:r w:rsidR="00042C33">
        <w:t>LCCP</w:t>
      </w:r>
      <w:r w:rsidR="00E50DAE">
        <w:t xml:space="preserve"> study</w:t>
      </w:r>
      <w:r w:rsidR="00042C33">
        <w:t xml:space="preserve"> (2012)</w:t>
      </w:r>
      <w:r>
        <w:t>,</w:t>
      </w:r>
      <w:r w:rsidR="00D45CAA">
        <w:t xml:space="preserve"> in partnership with major EV manufacturer</w:t>
      </w:r>
      <w:r>
        <w:t>, also</w:t>
      </w:r>
      <w:r w:rsidR="00E50DAE">
        <w:t xml:space="preserve"> highlighted </w:t>
      </w:r>
      <w:r w:rsidR="003737EE">
        <w:t xml:space="preserve">exceeding concentrations of several components </w:t>
      </w:r>
      <w:r w:rsidR="000127C5">
        <w:t>(</w:t>
      </w:r>
      <w:r w:rsidR="00507E1B">
        <w:t xml:space="preserve">such as </w:t>
      </w:r>
      <w:r w:rsidR="000127C5" w:rsidRPr="003249CE">
        <w:rPr>
          <w:lang w:val="en-US"/>
        </w:rPr>
        <w:t>fluoride, nickel</w:t>
      </w:r>
      <w:r w:rsidR="000127C5">
        <w:t>,</w:t>
      </w:r>
      <w:r w:rsidR="000127C5" w:rsidRPr="003249CE">
        <w:rPr>
          <w:lang w:val="en-US"/>
        </w:rPr>
        <w:t xml:space="preserve"> manganese</w:t>
      </w:r>
      <w:r>
        <w:rPr>
          <w:lang w:val="en-US"/>
        </w:rPr>
        <w:t>,</w:t>
      </w:r>
      <w:r w:rsidR="000127C5">
        <w:t xml:space="preserve"> and copper) </w:t>
      </w:r>
      <w:r w:rsidR="003737EE">
        <w:t>compared to those allowed</w:t>
      </w:r>
      <w:r w:rsidR="00E50DAE">
        <w:t xml:space="preserve"> </w:t>
      </w:r>
      <w:r w:rsidR="003737EE">
        <w:t xml:space="preserve">for </w:t>
      </w:r>
      <w:r w:rsidR="00507E1B">
        <w:lastRenderedPageBreak/>
        <w:t>waste</w:t>
      </w:r>
      <w:r w:rsidR="003737EE">
        <w:t>water (</w:t>
      </w:r>
      <w:r w:rsidR="003737EE" w:rsidRPr="003249CE">
        <w:rPr>
          <w:lang w:val="en-US"/>
        </w:rPr>
        <w:t>decree of February 2, 1998</w:t>
      </w:r>
      <w:r w:rsidR="003737EE">
        <w:t>)</w:t>
      </w:r>
      <w:r>
        <w:t>, as well as</w:t>
      </w:r>
      <w:r w:rsidR="00D45CAA">
        <w:t xml:space="preserve"> some other significant concentration</w:t>
      </w:r>
      <w:r w:rsidR="006D5492">
        <w:t>s</w:t>
      </w:r>
      <w:r w:rsidR="00D45CAA">
        <w:t xml:space="preserve"> for </w:t>
      </w:r>
      <w:r w:rsidR="00D45CAA" w:rsidRPr="00AA524C">
        <w:rPr>
          <w:lang w:val="en-US"/>
        </w:rPr>
        <w:t>chlorides, barium, methanol, ethanol, cobalt and lithium</w:t>
      </w:r>
      <w:r w:rsidR="003737EE">
        <w:t>.</w:t>
      </w:r>
      <w:r w:rsidR="006D5492">
        <w:t xml:space="preserve"> The study also pointed out the presence of pollutant</w:t>
      </w:r>
      <w:r w:rsidR="00411D14">
        <w:t>s</w:t>
      </w:r>
      <w:r w:rsidR="006D5492">
        <w:t xml:space="preserve"> attributed </w:t>
      </w:r>
      <w:r>
        <w:t xml:space="preserve">solely </w:t>
      </w:r>
      <w:r w:rsidR="006D5492">
        <w:t xml:space="preserve">to </w:t>
      </w:r>
      <w:r>
        <w:t xml:space="preserve">the </w:t>
      </w:r>
      <w:r w:rsidR="006D5492">
        <w:t>full system</w:t>
      </w:r>
      <w:r>
        <w:t>, such</w:t>
      </w:r>
      <w:r w:rsidR="006D5492">
        <w:t xml:space="preserve"> as </w:t>
      </w:r>
      <w:r w:rsidR="006D5492" w:rsidRPr="00AA524C">
        <w:rPr>
          <w:lang w:val="en-US"/>
        </w:rPr>
        <w:t>calcium</w:t>
      </w:r>
      <w:r w:rsidR="006D5492">
        <w:rPr>
          <w:lang w:val="en-US"/>
        </w:rPr>
        <w:t xml:space="preserve"> a</w:t>
      </w:r>
      <w:r w:rsidR="006D5492" w:rsidRPr="00AA524C">
        <w:rPr>
          <w:lang w:val="en-US"/>
        </w:rPr>
        <w:t>nd zinc ions</w:t>
      </w:r>
      <w:r>
        <w:rPr>
          <w:lang w:val="en-US"/>
        </w:rPr>
        <w:t>,</w:t>
      </w:r>
      <w:r w:rsidR="006D5492" w:rsidRPr="00AA524C">
        <w:rPr>
          <w:lang w:val="en-US"/>
        </w:rPr>
        <w:t xml:space="preserve"> </w:t>
      </w:r>
      <w:r w:rsidR="00411D14">
        <w:rPr>
          <w:lang w:val="en-US"/>
        </w:rPr>
        <w:t>as well as</w:t>
      </w:r>
      <w:r w:rsidR="006D5492">
        <w:rPr>
          <w:lang w:val="en-US"/>
        </w:rPr>
        <w:t xml:space="preserve"> the increased water contamination in </w:t>
      </w:r>
      <w:r w:rsidR="00411D14">
        <w:rPr>
          <w:lang w:val="en-US"/>
        </w:rPr>
        <w:t>scenario</w:t>
      </w:r>
      <w:r>
        <w:rPr>
          <w:lang w:val="en-US"/>
        </w:rPr>
        <w:t>s</w:t>
      </w:r>
      <w:r w:rsidR="00411D14">
        <w:rPr>
          <w:lang w:val="en-US"/>
        </w:rPr>
        <w:t xml:space="preserve"> where the</w:t>
      </w:r>
      <w:r w:rsidR="006D5492">
        <w:rPr>
          <w:lang w:val="en-US"/>
        </w:rPr>
        <w:t xml:space="preserve"> fire induc</w:t>
      </w:r>
      <w:r w:rsidR="00411D14">
        <w:rPr>
          <w:lang w:val="en-US"/>
        </w:rPr>
        <w:t>ed</w:t>
      </w:r>
      <w:r w:rsidR="006D5492">
        <w:rPr>
          <w:lang w:val="en-US"/>
        </w:rPr>
        <w:t xml:space="preserve"> large battery damage</w:t>
      </w:r>
      <w:r w:rsidR="006D5492" w:rsidRPr="00AA524C">
        <w:rPr>
          <w:lang w:val="en-US"/>
        </w:rPr>
        <w:t>.</w:t>
      </w:r>
      <w:r w:rsidR="00411D14">
        <w:rPr>
          <w:lang w:val="en-US"/>
        </w:rPr>
        <w:t xml:space="preserve"> </w:t>
      </w:r>
      <w:r w:rsidR="004C1DCD">
        <w:rPr>
          <w:lang w:val="en-US"/>
        </w:rPr>
        <w:t xml:space="preserve">To highlight water contamination by smoke emission only, smoke abatement by water spray was analyzed in </w:t>
      </w:r>
      <w:r>
        <w:rPr>
          <w:lang w:val="en-US"/>
        </w:rPr>
        <w:t xml:space="preserve">the </w:t>
      </w:r>
      <w:r w:rsidR="004C1DCD">
        <w:rPr>
          <w:lang w:val="en-US"/>
        </w:rPr>
        <w:t>EMPA study (2020) on a 4</w:t>
      </w:r>
      <w:r w:rsidR="001D37AE">
        <w:rPr>
          <w:lang w:val="en-US"/>
        </w:rPr>
        <w:t> </w:t>
      </w:r>
      <w:r w:rsidR="004C1DCD">
        <w:rPr>
          <w:lang w:val="en-US"/>
        </w:rPr>
        <w:t xml:space="preserve">kWh NMC </w:t>
      </w:r>
      <w:r w:rsidR="001D37AE">
        <w:rPr>
          <w:lang w:val="en-US"/>
        </w:rPr>
        <w:t>module</w:t>
      </w:r>
      <w:r w:rsidR="004C1DCD">
        <w:rPr>
          <w:lang w:val="en-US"/>
        </w:rPr>
        <w:t xml:space="preserve">. In </w:t>
      </w:r>
      <w:r>
        <w:rPr>
          <w:lang w:val="en-US"/>
        </w:rPr>
        <w:t xml:space="preserve">this </w:t>
      </w:r>
      <w:r w:rsidR="004C1DCD">
        <w:rPr>
          <w:lang w:val="en-US"/>
        </w:rPr>
        <w:t xml:space="preserve">case, no direct contact </w:t>
      </w:r>
      <w:r w:rsidR="00411D14">
        <w:rPr>
          <w:lang w:val="en-US"/>
        </w:rPr>
        <w:t>between</w:t>
      </w:r>
      <w:r w:rsidR="004C1DCD">
        <w:rPr>
          <w:lang w:val="en-US"/>
        </w:rPr>
        <w:t xml:space="preserve"> </w:t>
      </w:r>
      <w:r>
        <w:rPr>
          <w:lang w:val="en-US"/>
        </w:rPr>
        <w:t xml:space="preserve">the </w:t>
      </w:r>
      <w:r w:rsidR="004C1DCD">
        <w:rPr>
          <w:lang w:val="en-US"/>
        </w:rPr>
        <w:t>system and water took place</w:t>
      </w:r>
      <w:r w:rsidR="00411D14">
        <w:rPr>
          <w:lang w:val="en-US"/>
        </w:rPr>
        <w:t>,</w:t>
      </w:r>
      <w:r w:rsidR="004C1DCD">
        <w:rPr>
          <w:lang w:val="en-US"/>
        </w:rPr>
        <w:t xml:space="preserve"> leading to moderate contamination </w:t>
      </w:r>
      <w:r>
        <w:rPr>
          <w:lang w:val="en-US"/>
        </w:rPr>
        <w:t xml:space="preserve">when </w:t>
      </w:r>
      <w:r w:rsidR="004C1DCD">
        <w:rPr>
          <w:lang w:val="en-US"/>
        </w:rPr>
        <w:t>considering PAH</w:t>
      </w:r>
      <w:r>
        <w:rPr>
          <w:lang w:val="en-US"/>
        </w:rPr>
        <w:t>s</w:t>
      </w:r>
      <w:r w:rsidR="00411D14">
        <w:rPr>
          <w:lang w:val="en-US"/>
        </w:rPr>
        <w:t xml:space="preserve">, </w:t>
      </w:r>
      <w:r w:rsidR="00411D14" w:rsidRPr="00AA524C">
        <w:rPr>
          <w:lang w:val="en-US"/>
        </w:rPr>
        <w:t>chlorides, sulfates, nitrate and phosphate</w:t>
      </w:r>
      <w:r>
        <w:rPr>
          <w:lang w:val="en-US"/>
        </w:rPr>
        <w:t>,</w:t>
      </w:r>
      <w:r w:rsidR="00411D14" w:rsidRPr="00AA524C">
        <w:rPr>
          <w:lang w:val="en-US"/>
        </w:rPr>
        <w:t xml:space="preserve"> </w:t>
      </w:r>
      <w:r w:rsidR="00411D14">
        <w:rPr>
          <w:lang w:val="en-US"/>
        </w:rPr>
        <w:t>and fluoride ions</w:t>
      </w:r>
      <w:r>
        <w:rPr>
          <w:lang w:val="en-US"/>
        </w:rPr>
        <w:t>, along with</w:t>
      </w:r>
      <w:r w:rsidR="00FA4EAD">
        <w:rPr>
          <w:lang w:val="en-US"/>
        </w:rPr>
        <w:t xml:space="preserve"> notable </w:t>
      </w:r>
      <w:r w:rsidR="00411D14">
        <w:rPr>
          <w:lang w:val="en-US"/>
        </w:rPr>
        <w:t xml:space="preserve">contamination </w:t>
      </w:r>
      <w:r w:rsidR="00FA4EAD">
        <w:rPr>
          <w:lang w:val="en-US"/>
        </w:rPr>
        <w:t>due to</w:t>
      </w:r>
      <w:r w:rsidR="00411D14">
        <w:rPr>
          <w:lang w:val="en-US"/>
        </w:rPr>
        <w:t xml:space="preserve"> </w:t>
      </w:r>
      <w:r w:rsidR="00FA4EAD">
        <w:rPr>
          <w:lang w:val="en-US"/>
        </w:rPr>
        <w:t xml:space="preserve">cathode </w:t>
      </w:r>
      <w:r w:rsidR="00411D14">
        <w:rPr>
          <w:lang w:val="en-US"/>
        </w:rPr>
        <w:t>metal</w:t>
      </w:r>
      <w:r w:rsidR="00FA4EAD">
        <w:rPr>
          <w:lang w:val="en-US"/>
        </w:rPr>
        <w:t xml:space="preserve"> content</w:t>
      </w:r>
      <w:r w:rsidR="00411D14">
        <w:rPr>
          <w:lang w:val="en-US"/>
        </w:rPr>
        <w:t xml:space="preserve"> </w:t>
      </w:r>
      <w:r w:rsidR="00FA4EAD">
        <w:rPr>
          <w:lang w:val="en-US"/>
        </w:rPr>
        <w:t>(</w:t>
      </w:r>
      <w:r>
        <w:rPr>
          <w:lang w:val="en-US"/>
        </w:rPr>
        <w:t xml:space="preserve">which was well </w:t>
      </w:r>
      <w:r w:rsidR="00411D14">
        <w:rPr>
          <w:lang w:val="en-US"/>
        </w:rPr>
        <w:t>above</w:t>
      </w:r>
      <w:r>
        <w:rPr>
          <w:lang w:val="en-US"/>
        </w:rPr>
        <w:t xml:space="preserve"> the</w:t>
      </w:r>
      <w:r w:rsidR="00411D14">
        <w:rPr>
          <w:lang w:val="en-US"/>
        </w:rPr>
        <w:t xml:space="preserve"> authorized concentration for industrial effluent</w:t>
      </w:r>
      <w:r w:rsidR="00FA4EAD">
        <w:rPr>
          <w:lang w:val="en-US"/>
        </w:rPr>
        <w:t>)</w:t>
      </w:r>
      <w:r w:rsidR="00411D14">
        <w:rPr>
          <w:lang w:val="en-US"/>
        </w:rPr>
        <w:t>.</w:t>
      </w:r>
    </w:p>
    <w:p w14:paraId="1D7551AA" w14:textId="7882FD75" w:rsidR="00E3066B" w:rsidRDefault="00E3066B" w:rsidP="00600535">
      <w:pPr>
        <w:pStyle w:val="CETHeading1"/>
        <w:rPr>
          <w:lang w:val="en-GB"/>
        </w:rPr>
      </w:pPr>
      <w:r>
        <w:rPr>
          <w:lang w:val="en-GB"/>
        </w:rPr>
        <w:t xml:space="preserve">Emission comparison </w:t>
      </w:r>
    </w:p>
    <w:p w14:paraId="68A4496F" w14:textId="1E21E786" w:rsidR="00E3685E" w:rsidRPr="00F468BD" w:rsidRDefault="00E3066B" w:rsidP="00F468BD">
      <w:pPr>
        <w:spacing w:after="160" w:line="259" w:lineRule="auto"/>
      </w:pPr>
      <w:r>
        <w:t>While emission factors could provide an indication of the potential environmental contamination, when dealing with fire, it remains important to consider not only the absolute value</w:t>
      </w:r>
      <w:r w:rsidR="00F8085A">
        <w:t>s</w:t>
      </w:r>
      <w:r>
        <w:t xml:space="preserve"> but </w:t>
      </w:r>
      <w:r w:rsidR="00F8085A">
        <w:t xml:space="preserve">also </w:t>
      </w:r>
      <w:r>
        <w:t>to compare</w:t>
      </w:r>
      <w:r w:rsidR="00F8085A">
        <w:t xml:space="preserve"> with</w:t>
      </w:r>
      <w:r>
        <w:t xml:space="preserve"> those </w:t>
      </w:r>
      <w:r w:rsidR="00F8085A">
        <w:t>of</w:t>
      </w:r>
      <w:r>
        <w:t xml:space="preserve"> other fuels. Based on a specific series</w:t>
      </w:r>
      <w:r w:rsidR="00F8085A">
        <w:t xml:space="preserve"> of tests conducted under</w:t>
      </w:r>
      <w:r>
        <w:t xml:space="preserve"> identical conditions, emission factor</w:t>
      </w:r>
      <w:r w:rsidR="00F8085A">
        <w:t>s</w:t>
      </w:r>
      <w:r>
        <w:t xml:space="preserve"> from different fuel</w:t>
      </w:r>
      <w:r w:rsidR="007E6237">
        <w:t>s</w:t>
      </w:r>
      <w:r>
        <w:t xml:space="preserve"> have been compared</w:t>
      </w:r>
      <w:r w:rsidR="00F8085A">
        <w:t>,</w:t>
      </w:r>
      <w:r w:rsidR="00E3685E">
        <w:t xml:space="preserve"> as </w:t>
      </w:r>
      <w:r w:rsidR="007E6237">
        <w:t xml:space="preserve">shown </w:t>
      </w:r>
      <w:r w:rsidR="00E3685E">
        <w:t xml:space="preserve">in </w:t>
      </w:r>
      <w:r w:rsidR="00E3685E">
        <w:fldChar w:fldCharType="begin"/>
      </w:r>
      <w:r w:rsidR="00E3685E">
        <w:instrText xml:space="preserve"> REF _Ref182005592 \h </w:instrText>
      </w:r>
      <w:r w:rsidR="00E3685E">
        <w:fldChar w:fldCharType="separate"/>
      </w:r>
      <w:r w:rsidR="008B3396" w:rsidRPr="00E3066B">
        <w:rPr>
          <w:rStyle w:val="CETCaptionCarattere"/>
        </w:rPr>
        <w:t xml:space="preserve">Figure </w:t>
      </w:r>
      <w:r w:rsidR="008B3396">
        <w:rPr>
          <w:rStyle w:val="CETCaptionCarattere"/>
          <w:noProof/>
        </w:rPr>
        <w:t>4</w:t>
      </w:r>
      <w:r w:rsidR="00E3685E">
        <w:fldChar w:fldCharType="end"/>
      </w:r>
      <w:r w:rsidR="00F8085A">
        <w:t>.</w:t>
      </w:r>
      <w:r w:rsidR="00E3685E">
        <w:t xml:space="preserve"> </w:t>
      </w:r>
      <w:r w:rsidR="00F8085A">
        <w:t xml:space="preserve">This reveals </w:t>
      </w:r>
      <w:r w:rsidR="00E3685E">
        <w:t xml:space="preserve">comparable </w:t>
      </w:r>
      <w:r w:rsidR="00E3685E" w:rsidRPr="00A5395F">
        <w:rPr>
          <w:lang w:val="en-US"/>
        </w:rPr>
        <w:t>emission factors for CO and CO</w:t>
      </w:r>
      <w:r w:rsidR="00E3685E" w:rsidRPr="001B2CFB">
        <w:rPr>
          <w:vertAlign w:val="subscript"/>
          <w:lang w:val="en-US"/>
        </w:rPr>
        <w:t>2</w:t>
      </w:r>
      <w:r w:rsidR="00E3685E" w:rsidRPr="00A5395F">
        <w:rPr>
          <w:lang w:val="en-US"/>
        </w:rPr>
        <w:t xml:space="preserve"> </w:t>
      </w:r>
      <w:r w:rsidR="00E3685E">
        <w:t>for</w:t>
      </w:r>
      <w:r w:rsidR="00E3685E" w:rsidRPr="00A5395F">
        <w:rPr>
          <w:lang w:val="en-US"/>
        </w:rPr>
        <w:t xml:space="preserve"> </w:t>
      </w:r>
      <w:r w:rsidR="00E3685E">
        <w:rPr>
          <w:lang w:val="en-US"/>
        </w:rPr>
        <w:t>LIBs</w:t>
      </w:r>
      <w:r w:rsidR="00E3685E" w:rsidRPr="00A5395F">
        <w:rPr>
          <w:lang w:val="en-US"/>
        </w:rPr>
        <w:t xml:space="preserve"> compared to other fuels</w:t>
      </w:r>
      <w:r w:rsidR="001240A5">
        <w:rPr>
          <w:lang w:val="en-US"/>
        </w:rPr>
        <w:t xml:space="preserve">, </w:t>
      </w:r>
      <w:r w:rsidR="00F8085A">
        <w:rPr>
          <w:lang w:val="en-US"/>
        </w:rPr>
        <w:t xml:space="preserve">along with </w:t>
      </w:r>
      <w:r w:rsidR="001240A5">
        <w:rPr>
          <w:lang w:val="en-US"/>
        </w:rPr>
        <w:t xml:space="preserve">increased </w:t>
      </w:r>
      <w:r w:rsidR="00E3685E" w:rsidRPr="00A5395F">
        <w:rPr>
          <w:lang w:val="en-US"/>
        </w:rPr>
        <w:t xml:space="preserve">nitrogen oxide </w:t>
      </w:r>
      <w:r w:rsidR="00E3685E">
        <w:rPr>
          <w:lang w:val="en-US"/>
        </w:rPr>
        <w:t>emissions</w:t>
      </w:r>
      <w:r w:rsidR="001240A5">
        <w:rPr>
          <w:lang w:val="en-US"/>
        </w:rPr>
        <w:t xml:space="preserve"> and larger</w:t>
      </w:r>
      <w:r w:rsidR="00E3685E" w:rsidRPr="00A5395F">
        <w:rPr>
          <w:lang w:val="en-US"/>
        </w:rPr>
        <w:t xml:space="preserve"> emission factor for</w:t>
      </w:r>
      <w:r w:rsidR="001240A5">
        <w:rPr>
          <w:lang w:val="en-US"/>
        </w:rPr>
        <w:t xml:space="preserve"> HF</w:t>
      </w:r>
      <w:r w:rsidR="00E3685E" w:rsidRPr="00A5395F">
        <w:rPr>
          <w:lang w:val="en-US"/>
        </w:rPr>
        <w:t>.</w:t>
      </w:r>
      <w:r w:rsidR="001240A5">
        <w:t xml:space="preserve"> </w:t>
      </w:r>
      <w:r w:rsidR="001240A5">
        <w:rPr>
          <w:lang w:val="en-US"/>
        </w:rPr>
        <w:t>Soot</w:t>
      </w:r>
      <w:r w:rsidR="001240A5" w:rsidRPr="00A5395F">
        <w:rPr>
          <w:lang w:val="en-US"/>
        </w:rPr>
        <w:t xml:space="preserve"> production also </w:t>
      </w:r>
      <w:r w:rsidR="001240A5">
        <w:rPr>
          <w:lang w:val="en-US"/>
        </w:rPr>
        <w:t xml:space="preserve">appears to be </w:t>
      </w:r>
      <w:r w:rsidR="001240A5" w:rsidRPr="00A5395F">
        <w:rPr>
          <w:lang w:val="en-US"/>
        </w:rPr>
        <w:t xml:space="preserve">smaller for </w:t>
      </w:r>
      <w:r w:rsidR="001240A5">
        <w:rPr>
          <w:lang w:val="en-US"/>
        </w:rPr>
        <w:t>LIBs</w:t>
      </w:r>
      <w:r w:rsidR="00F8085A">
        <w:rPr>
          <w:lang w:val="en-US"/>
        </w:rPr>
        <w:t>;</w:t>
      </w:r>
      <w:r w:rsidR="001240A5">
        <w:rPr>
          <w:lang w:val="en-US"/>
        </w:rPr>
        <w:t xml:space="preserve"> however</w:t>
      </w:r>
      <w:r w:rsidR="00F8085A">
        <w:rPr>
          <w:lang w:val="en-US"/>
        </w:rPr>
        <w:t>, the</w:t>
      </w:r>
      <w:r w:rsidR="001240A5">
        <w:rPr>
          <w:lang w:val="en-US"/>
        </w:rPr>
        <w:t xml:space="preserve"> soot composition gap is not considered here (likely </w:t>
      </w:r>
      <w:r w:rsidR="00F8085A">
        <w:rPr>
          <w:lang w:val="en-US"/>
        </w:rPr>
        <w:t>differing</w:t>
      </w:r>
      <w:r w:rsidR="001240A5" w:rsidRPr="00A5395F">
        <w:rPr>
          <w:lang w:val="en-US"/>
        </w:rPr>
        <w:t xml:space="preserve"> between carbon</w:t>
      </w:r>
      <w:r w:rsidR="001240A5">
        <w:rPr>
          <w:lang w:val="en-US"/>
        </w:rPr>
        <w:t>-based</w:t>
      </w:r>
      <w:r w:rsidR="001240A5" w:rsidRPr="00A5395F">
        <w:rPr>
          <w:lang w:val="en-US"/>
        </w:rPr>
        <w:t xml:space="preserve"> fuel</w:t>
      </w:r>
      <w:r w:rsidR="001240A5">
        <w:rPr>
          <w:lang w:val="en-US"/>
        </w:rPr>
        <w:t>s</w:t>
      </w:r>
      <w:r w:rsidR="001240A5" w:rsidRPr="00A5395F">
        <w:rPr>
          <w:lang w:val="en-US"/>
        </w:rPr>
        <w:t xml:space="preserve"> and L</w:t>
      </w:r>
      <w:r w:rsidR="001240A5">
        <w:rPr>
          <w:lang w:val="en-US"/>
        </w:rPr>
        <w:t>I</w:t>
      </w:r>
      <w:r w:rsidR="001240A5" w:rsidRPr="00A5395F">
        <w:rPr>
          <w:lang w:val="en-US"/>
        </w:rPr>
        <w:t xml:space="preserve">Bs, mainly due to </w:t>
      </w:r>
      <w:r w:rsidR="001240A5">
        <w:rPr>
          <w:lang w:val="en-US"/>
        </w:rPr>
        <w:t xml:space="preserve">the presence of </w:t>
      </w:r>
      <w:r w:rsidR="001240A5" w:rsidRPr="00A5395F">
        <w:rPr>
          <w:lang w:val="en-US"/>
        </w:rPr>
        <w:t xml:space="preserve">metals </w:t>
      </w:r>
      <w:r w:rsidR="001240A5">
        <w:rPr>
          <w:lang w:val="en-US"/>
        </w:rPr>
        <w:t>in the</w:t>
      </w:r>
      <w:r w:rsidR="001240A5" w:rsidRPr="00A5395F">
        <w:rPr>
          <w:lang w:val="en-US"/>
        </w:rPr>
        <w:t xml:space="preserve"> soot f</w:t>
      </w:r>
      <w:r w:rsidR="001240A5">
        <w:rPr>
          <w:lang w:val="en-US"/>
        </w:rPr>
        <w:t>rom</w:t>
      </w:r>
      <w:r w:rsidR="001240A5" w:rsidRPr="00A5395F">
        <w:rPr>
          <w:lang w:val="en-US"/>
        </w:rPr>
        <w:t xml:space="preserve"> L</w:t>
      </w:r>
      <w:r w:rsidR="001240A5">
        <w:rPr>
          <w:lang w:val="en-US"/>
        </w:rPr>
        <w:t>I</w:t>
      </w:r>
      <w:r w:rsidR="001240A5" w:rsidRPr="00A5395F">
        <w:rPr>
          <w:lang w:val="en-US"/>
        </w:rPr>
        <w:t>Bs</w:t>
      </w:r>
      <w:r w:rsidR="001240A5">
        <w:rPr>
          <w:lang w:val="en-US"/>
        </w:rPr>
        <w:t>)</w:t>
      </w:r>
      <w:r w:rsidR="001240A5" w:rsidRPr="00A5395F">
        <w:rPr>
          <w:lang w:val="en-US"/>
        </w:rPr>
        <w:t>.</w:t>
      </w:r>
      <w:r w:rsidR="001240A5">
        <w:rPr>
          <w:lang w:val="en-US"/>
        </w:rPr>
        <w:t xml:space="preserve"> </w:t>
      </w:r>
      <w:r w:rsidR="001240A5" w:rsidRPr="00A5395F">
        <w:rPr>
          <w:lang w:val="en-US"/>
        </w:rPr>
        <w:t>The emission factor</w:t>
      </w:r>
      <w:r w:rsidR="001240A5">
        <w:rPr>
          <w:lang w:val="en-US"/>
        </w:rPr>
        <w:t>s</w:t>
      </w:r>
      <w:r w:rsidR="001240A5" w:rsidRPr="00A5395F">
        <w:rPr>
          <w:lang w:val="en-US"/>
        </w:rPr>
        <w:t xml:space="preserve"> for VOC</w:t>
      </w:r>
      <w:r w:rsidR="00F8085A">
        <w:rPr>
          <w:lang w:val="en-US"/>
        </w:rPr>
        <w:t>s</w:t>
      </w:r>
      <w:r w:rsidR="001240A5" w:rsidRPr="00A5395F">
        <w:rPr>
          <w:lang w:val="en-US"/>
        </w:rPr>
        <w:t xml:space="preserve"> and PAH</w:t>
      </w:r>
      <w:r w:rsidR="00F8085A">
        <w:rPr>
          <w:lang w:val="en-US"/>
        </w:rPr>
        <w:t>s</w:t>
      </w:r>
      <w:r w:rsidR="001240A5" w:rsidRPr="00A5395F">
        <w:rPr>
          <w:lang w:val="en-US"/>
        </w:rPr>
        <w:t xml:space="preserve"> </w:t>
      </w:r>
      <w:r w:rsidR="001240A5">
        <w:rPr>
          <w:lang w:val="en-US"/>
        </w:rPr>
        <w:t>are of</w:t>
      </w:r>
      <w:r w:rsidR="001240A5" w:rsidRPr="00A5395F">
        <w:rPr>
          <w:lang w:val="en-US"/>
        </w:rPr>
        <w:t xml:space="preserve"> the same order of magnitude as th</w:t>
      </w:r>
      <w:r w:rsidR="001240A5">
        <w:rPr>
          <w:lang w:val="en-US"/>
        </w:rPr>
        <w:t>ose</w:t>
      </w:r>
      <w:r w:rsidR="001240A5" w:rsidRPr="00A5395F">
        <w:rPr>
          <w:lang w:val="en-US"/>
        </w:rPr>
        <w:t xml:space="preserve"> observed for other fuels.</w:t>
      </w:r>
    </w:p>
    <w:p w14:paraId="71FB3133" w14:textId="77777777" w:rsidR="00E3066B" w:rsidRDefault="00E3066B" w:rsidP="00E3066B">
      <w:pPr>
        <w:pStyle w:val="CETBodytext"/>
        <w:rPr>
          <w:lang w:val="en-GB"/>
        </w:rPr>
      </w:pPr>
    </w:p>
    <w:p w14:paraId="17AD3DE1" w14:textId="77777777" w:rsidR="00E3066B" w:rsidRDefault="00E3066B" w:rsidP="00E3066B">
      <w:pPr>
        <w:pStyle w:val="CETBodytext"/>
        <w:keepNext/>
        <w:jc w:val="center"/>
      </w:pPr>
      <w:r w:rsidRPr="00463F05">
        <w:rPr>
          <w:noProof/>
          <w:lang w:eastAsia="fr-FR"/>
        </w:rPr>
        <w:drawing>
          <wp:inline distT="0" distB="0" distL="0" distR="0" wp14:anchorId="4BE984EF" wp14:editId="5F0EAAB6">
            <wp:extent cx="3959062" cy="2600671"/>
            <wp:effectExtent l="0" t="0" r="381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7064" cy="2612497"/>
                    </a:xfrm>
                    <a:prstGeom prst="rect">
                      <a:avLst/>
                    </a:prstGeom>
                    <a:noFill/>
                    <a:ln>
                      <a:noFill/>
                    </a:ln>
                  </pic:spPr>
                </pic:pic>
              </a:graphicData>
            </a:graphic>
          </wp:inline>
        </w:drawing>
      </w:r>
    </w:p>
    <w:p w14:paraId="011C537B" w14:textId="188B1BE6" w:rsidR="00E3066B" w:rsidRDefault="00E3066B" w:rsidP="008B3396">
      <w:pPr>
        <w:pStyle w:val="CETCaption"/>
        <w:rPr>
          <w:rStyle w:val="CETCaptionCarattere"/>
        </w:rPr>
      </w:pPr>
      <w:bookmarkStart w:id="10" w:name="_Ref182005592"/>
      <w:r w:rsidRPr="00E3066B">
        <w:rPr>
          <w:rStyle w:val="CETCaptionCarattere"/>
        </w:rPr>
        <w:t xml:space="preserve">Figure </w:t>
      </w:r>
      <w:r w:rsidRPr="00E3066B">
        <w:rPr>
          <w:rStyle w:val="CETCaptionCarattere"/>
        </w:rPr>
        <w:fldChar w:fldCharType="begin"/>
      </w:r>
      <w:r w:rsidRPr="00E3066B">
        <w:rPr>
          <w:rStyle w:val="CETCaptionCarattere"/>
        </w:rPr>
        <w:instrText xml:space="preserve"> SEQ Figure \* ARABIC </w:instrText>
      </w:r>
      <w:r w:rsidRPr="00E3066B">
        <w:rPr>
          <w:rStyle w:val="CETCaptionCarattere"/>
        </w:rPr>
        <w:fldChar w:fldCharType="separate"/>
      </w:r>
      <w:r w:rsidR="008B3396">
        <w:rPr>
          <w:rStyle w:val="CETCaptionCarattere"/>
          <w:noProof/>
        </w:rPr>
        <w:t>4</w:t>
      </w:r>
      <w:r w:rsidRPr="00E3066B">
        <w:rPr>
          <w:rStyle w:val="CETCaptionCarattere"/>
        </w:rPr>
        <w:fldChar w:fldCharType="end"/>
      </w:r>
      <w:bookmarkEnd w:id="10"/>
      <w:r w:rsidRPr="00E3066B">
        <w:rPr>
          <w:rStyle w:val="CETCaptionCarattere"/>
        </w:rPr>
        <w:t>: Emission factors from different fuels.</w:t>
      </w:r>
    </w:p>
    <w:p w14:paraId="68D26B83" w14:textId="13B4E301" w:rsidR="00600535" w:rsidRPr="00B57B36" w:rsidRDefault="00600535" w:rsidP="00600535">
      <w:pPr>
        <w:pStyle w:val="CETHeading1"/>
        <w:rPr>
          <w:lang w:val="en-GB"/>
        </w:rPr>
      </w:pPr>
      <w:r w:rsidRPr="00B57B36">
        <w:rPr>
          <w:lang w:val="en-GB"/>
        </w:rPr>
        <w:t>Conclusions</w:t>
      </w:r>
    </w:p>
    <w:p w14:paraId="2E0477D3" w14:textId="059A27D6" w:rsidR="002B1035" w:rsidRDefault="002B1035" w:rsidP="002B1035">
      <w:pPr>
        <w:pStyle w:val="CETBodytext"/>
        <w:rPr>
          <w:lang w:val="en-GB"/>
        </w:rPr>
      </w:pPr>
      <w:r w:rsidRPr="002B1035">
        <w:rPr>
          <w:lang w:val="en-GB"/>
        </w:rPr>
        <w:t xml:space="preserve">Determining the emission factor of numerous species is crucial </w:t>
      </w:r>
      <w:r w:rsidR="00F8085A">
        <w:rPr>
          <w:lang w:val="en-GB"/>
        </w:rPr>
        <w:t>for</w:t>
      </w:r>
      <w:r w:rsidRPr="002B1035">
        <w:rPr>
          <w:lang w:val="en-GB"/>
        </w:rPr>
        <w:t xml:space="preserve"> consider</w:t>
      </w:r>
      <w:r w:rsidR="00F8085A">
        <w:rPr>
          <w:lang w:val="en-GB"/>
        </w:rPr>
        <w:t>ing</w:t>
      </w:r>
      <w:r w:rsidRPr="002B1035">
        <w:rPr>
          <w:lang w:val="en-GB"/>
        </w:rPr>
        <w:t xml:space="preserve"> the environmental impact of </w:t>
      </w:r>
      <w:r w:rsidR="00F8085A">
        <w:rPr>
          <w:lang w:val="en-GB"/>
        </w:rPr>
        <w:t>LIB</w:t>
      </w:r>
      <w:r w:rsidRPr="002B1035">
        <w:rPr>
          <w:lang w:val="en-GB"/>
        </w:rPr>
        <w:t xml:space="preserve"> fires. This paper highlights the current substantial limitation </w:t>
      </w:r>
      <w:r w:rsidR="00F8085A">
        <w:rPr>
          <w:lang w:val="en-GB"/>
        </w:rPr>
        <w:t>in meeting</w:t>
      </w:r>
      <w:r w:rsidRPr="002B1035">
        <w:rPr>
          <w:lang w:val="en-GB"/>
        </w:rPr>
        <w:t xml:space="preserve"> this objective</w:t>
      </w:r>
      <w:r w:rsidR="00F8085A">
        <w:rPr>
          <w:lang w:val="en-GB"/>
        </w:rPr>
        <w:t>, as</w:t>
      </w:r>
      <w:r w:rsidRPr="002B1035">
        <w:rPr>
          <w:lang w:val="en-GB"/>
        </w:rPr>
        <w:t xml:space="preserve"> most publications that consider gas emissions focus on acute toxicity, such as hydrogen fluoride emissions, and rarely consider other products that induce environmental impact. Furthermore, since water contamination from run-off water contributes to environmental impact, specific tests and analyses addressing this issue </w:t>
      </w:r>
      <w:r w:rsidR="00146415">
        <w:rPr>
          <w:lang w:val="en-GB"/>
        </w:rPr>
        <w:t>should be implemented</w:t>
      </w:r>
      <w:r w:rsidRPr="002B1035">
        <w:rPr>
          <w:lang w:val="en-GB"/>
        </w:rPr>
        <w:t>.</w:t>
      </w:r>
    </w:p>
    <w:p w14:paraId="515E404A" w14:textId="77777777" w:rsidR="007E6237" w:rsidRPr="002B1035" w:rsidRDefault="007E6237" w:rsidP="002B1035">
      <w:pPr>
        <w:pStyle w:val="CETBodytext"/>
        <w:rPr>
          <w:lang w:val="en-GB"/>
        </w:rPr>
      </w:pPr>
    </w:p>
    <w:p w14:paraId="7C7592D2" w14:textId="46618D89" w:rsidR="002B1035" w:rsidRPr="002B1035" w:rsidRDefault="002B1035" w:rsidP="002B1035">
      <w:pPr>
        <w:pStyle w:val="CETBodytext"/>
        <w:rPr>
          <w:lang w:val="en-GB"/>
        </w:rPr>
      </w:pPr>
      <w:r w:rsidRPr="002B1035">
        <w:rPr>
          <w:lang w:val="en-GB"/>
        </w:rPr>
        <w:t xml:space="preserve">Estimating the emission factors and environmental impact of LIB fires using available data is a challenging task. This highlights the need for future test series focused on this objective. Despite a significant level of uncertainty in evaluating these emission factors, their general magnitude can be inferred from various scientific publications and targeted fire tests. </w:t>
      </w:r>
      <w:r w:rsidR="00ED1CB3">
        <w:rPr>
          <w:lang w:val="en-GB"/>
        </w:rPr>
        <w:t xml:space="preserve">It should be noted that most of the data come from small scale test and transposition to real situation is a challenge. </w:t>
      </w:r>
    </w:p>
    <w:p w14:paraId="458E72D5" w14:textId="77777777" w:rsidR="002B1035" w:rsidRPr="002B1035" w:rsidRDefault="002B1035" w:rsidP="002B1035">
      <w:pPr>
        <w:pStyle w:val="CETBodytext"/>
        <w:rPr>
          <w:lang w:val="en-GB"/>
        </w:rPr>
      </w:pPr>
    </w:p>
    <w:p w14:paraId="739B5465" w14:textId="1DFDC91C" w:rsidR="002B1035" w:rsidRPr="002B1035" w:rsidRDefault="002B1035" w:rsidP="002B1035">
      <w:pPr>
        <w:pStyle w:val="CETBodytext"/>
        <w:rPr>
          <w:lang w:val="en-GB"/>
        </w:rPr>
      </w:pPr>
      <w:r w:rsidRPr="002B1035">
        <w:rPr>
          <w:lang w:val="en-GB"/>
        </w:rPr>
        <w:t xml:space="preserve">By considering these magnitudes rather than exact values, emission factors of LIB fires </w:t>
      </w:r>
      <w:r>
        <w:rPr>
          <w:lang w:val="en-GB"/>
        </w:rPr>
        <w:t>can be compare</w:t>
      </w:r>
      <w:r w:rsidR="00E34B51">
        <w:rPr>
          <w:lang w:val="en-GB"/>
        </w:rPr>
        <w:t>d</w:t>
      </w:r>
      <w:r>
        <w:rPr>
          <w:lang w:val="en-GB"/>
        </w:rPr>
        <w:t xml:space="preserve"> </w:t>
      </w:r>
      <w:r w:rsidRPr="002B1035">
        <w:rPr>
          <w:lang w:val="en-GB"/>
        </w:rPr>
        <w:t>to those of other fuels involved in significant fire incidents. The findings suggest the following:</w:t>
      </w:r>
    </w:p>
    <w:p w14:paraId="29019177" w14:textId="7CCCBB14" w:rsidR="002B1035" w:rsidRPr="002B1035" w:rsidRDefault="002B1035" w:rsidP="002B1035">
      <w:pPr>
        <w:pStyle w:val="CETBodytext"/>
        <w:numPr>
          <w:ilvl w:val="0"/>
          <w:numId w:val="31"/>
        </w:numPr>
        <w:rPr>
          <w:lang w:val="en-GB"/>
        </w:rPr>
      </w:pPr>
      <w:r w:rsidRPr="002B1035">
        <w:rPr>
          <w:lang w:val="en-GB"/>
        </w:rPr>
        <w:t>Carbon monoxide emissions from LIB fires are comparable to those from traditional fires.</w:t>
      </w:r>
    </w:p>
    <w:p w14:paraId="3C3655ED" w14:textId="776285AA" w:rsidR="002B1035" w:rsidRPr="002B1035" w:rsidRDefault="002B1035" w:rsidP="002B1035">
      <w:pPr>
        <w:pStyle w:val="CETBodytext"/>
        <w:numPr>
          <w:ilvl w:val="0"/>
          <w:numId w:val="31"/>
        </w:numPr>
        <w:rPr>
          <w:lang w:val="en-GB"/>
        </w:rPr>
      </w:pPr>
      <w:r w:rsidRPr="002B1035">
        <w:rPr>
          <w:lang w:val="en-GB"/>
        </w:rPr>
        <w:lastRenderedPageBreak/>
        <w:t>Hydrogen fluoride serves as a clear indicator of emissions from LIB fires.</w:t>
      </w:r>
    </w:p>
    <w:p w14:paraId="0B8B3AD2" w14:textId="62456A2F" w:rsidR="002B1035" w:rsidRPr="002B1035" w:rsidRDefault="002B1035" w:rsidP="002B1035">
      <w:pPr>
        <w:pStyle w:val="CETBodytext"/>
        <w:numPr>
          <w:ilvl w:val="0"/>
          <w:numId w:val="31"/>
        </w:numPr>
        <w:rPr>
          <w:lang w:val="en-GB"/>
        </w:rPr>
      </w:pPr>
      <w:r w:rsidRPr="002B1035">
        <w:rPr>
          <w:lang w:val="en-GB"/>
        </w:rPr>
        <w:t xml:space="preserve">The total soot emissions from LIB fires are lower than those from fires that produce significant smoke, such as hydrocarbon fires; however, the chemical structure of the particles differs, containing a considerable </w:t>
      </w:r>
      <w:proofErr w:type="gramStart"/>
      <w:r w:rsidRPr="002B1035">
        <w:rPr>
          <w:lang w:val="en-GB"/>
        </w:rPr>
        <w:t>amount</w:t>
      </w:r>
      <w:proofErr w:type="gramEnd"/>
      <w:r w:rsidRPr="002B1035">
        <w:rPr>
          <w:lang w:val="en-GB"/>
        </w:rPr>
        <w:t xml:space="preserve"> of metals.</w:t>
      </w:r>
    </w:p>
    <w:p w14:paraId="775C35F8" w14:textId="64B5FD26" w:rsidR="002B1035" w:rsidRPr="002B1035" w:rsidRDefault="002B1035" w:rsidP="002B1035">
      <w:pPr>
        <w:pStyle w:val="CETBodytext"/>
        <w:numPr>
          <w:ilvl w:val="0"/>
          <w:numId w:val="31"/>
        </w:numPr>
        <w:rPr>
          <w:lang w:val="en-GB"/>
        </w:rPr>
      </w:pPr>
      <w:r w:rsidRPr="002B1035">
        <w:rPr>
          <w:lang w:val="en-GB"/>
        </w:rPr>
        <w:t xml:space="preserve">Volatile organic compound (VOC) emissions from LIBs are </w:t>
      </w:r>
      <w:proofErr w:type="gramStart"/>
      <w:r w:rsidRPr="002B1035">
        <w:rPr>
          <w:lang w:val="en-GB"/>
        </w:rPr>
        <w:t>similar to</w:t>
      </w:r>
      <w:proofErr w:type="gramEnd"/>
      <w:r w:rsidRPr="002B1035">
        <w:rPr>
          <w:lang w:val="en-GB"/>
        </w:rPr>
        <w:t xml:space="preserve"> those from conventional fuels.</w:t>
      </w:r>
    </w:p>
    <w:p w14:paraId="07A6D20F" w14:textId="248CD3FE" w:rsidR="00373882" w:rsidRPr="00373882" w:rsidRDefault="002B1035" w:rsidP="002B1035">
      <w:pPr>
        <w:pStyle w:val="CETBodytext"/>
        <w:numPr>
          <w:ilvl w:val="0"/>
          <w:numId w:val="31"/>
        </w:numPr>
        <w:sectPr w:rsidR="00373882" w:rsidRPr="00373882" w:rsidSect="00DC73EE">
          <w:type w:val="continuous"/>
          <w:pgSz w:w="11906" w:h="16838" w:code="9"/>
          <w:pgMar w:top="1701" w:right="1418" w:bottom="1701" w:left="1701" w:header="1701" w:footer="0" w:gutter="0"/>
          <w:cols w:space="708"/>
          <w:formProt w:val="0"/>
          <w:titlePg/>
          <w:docGrid w:linePitch="360"/>
        </w:sectPr>
      </w:pPr>
      <w:r w:rsidRPr="002B1035">
        <w:rPr>
          <w:lang w:val="en-GB"/>
        </w:rPr>
        <w:t>Polycyclic aromatic hydrocarbon (PAH) emissions from LIB fires appear to be lower than those observed for other fuel types.</w:t>
      </w:r>
    </w:p>
    <w:p w14:paraId="38BFE636" w14:textId="39406A7D" w:rsidR="00280FAF" w:rsidRPr="00E377D0" w:rsidRDefault="00280FAF" w:rsidP="00280FAF">
      <w:pPr>
        <w:pStyle w:val="CETBodytext"/>
        <w:jc w:val="left"/>
        <w:rPr>
          <w:rFonts w:eastAsia="SimSun"/>
        </w:rPr>
        <w:sectPr w:rsidR="00280FAF" w:rsidRPr="00E377D0" w:rsidSect="00DC73EE">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B57B36" w:rsidRDefault="00600535" w:rsidP="00600535">
      <w:pPr>
        <w:pStyle w:val="CETAcknowledgementstitle"/>
      </w:pPr>
      <w:r w:rsidRPr="00B57B36">
        <w:t>Acknowledgments</w:t>
      </w:r>
    </w:p>
    <w:p w14:paraId="33F8138F" w14:textId="3C3832CB" w:rsidR="00600535" w:rsidRDefault="000E10C9" w:rsidP="00600535">
      <w:pPr>
        <w:pStyle w:val="CETBodytext"/>
        <w:rPr>
          <w:lang w:val="en-GB"/>
        </w:rPr>
      </w:pPr>
      <w:r w:rsidRPr="000E10C9">
        <w:rPr>
          <w:lang w:val="en-GB"/>
        </w:rPr>
        <w:t xml:space="preserve">The authors strongly acknowledge the NFPA research foundation for funding this research. </w:t>
      </w:r>
    </w:p>
    <w:p w14:paraId="0414873D" w14:textId="77777777" w:rsidR="00EC7C53" w:rsidRDefault="00EC7C53" w:rsidP="00600535">
      <w:pPr>
        <w:pStyle w:val="CETBodytext"/>
        <w:rPr>
          <w:lang w:val="en-GB"/>
        </w:rPr>
      </w:pPr>
    </w:p>
    <w:p w14:paraId="17C0A757" w14:textId="6E794677" w:rsidR="00EC7C53" w:rsidRPr="00EC7C53" w:rsidRDefault="00EC7C53" w:rsidP="00EC7C53">
      <w:r w:rsidRPr="00EC7C53">
        <w:t xml:space="preserve">Sandia National Laboratories is a </w:t>
      </w:r>
      <w:proofErr w:type="spellStart"/>
      <w:r w:rsidRPr="00EC7C53">
        <w:t>multimission</w:t>
      </w:r>
      <w:proofErr w:type="spellEnd"/>
      <w:r w:rsidRPr="00EC7C53">
        <w:t xml:space="preserve"> laboratory managed and operated by National Technology &amp; Engineering Solutions of Sandia, LLC, a wholly owned subsidiary of Honeywell International Inc., for the U.S. Department of Energy’s National Nuclear Security Administration under contract DE-NA0003525.</w:t>
      </w:r>
      <w:r>
        <w:t xml:space="preserve"> </w:t>
      </w:r>
      <w:r w:rsidRPr="00EC7C53">
        <w:t>This paper describes objective technical results and analysis. Any subjective views or opinions that might be expressed in the paper do not necessarily represent the views of the U.S. Department of Energy or the United States Government.</w:t>
      </w:r>
    </w:p>
    <w:p w14:paraId="53C864E5" w14:textId="77777777" w:rsidR="00EC7C53" w:rsidRPr="00B57B36" w:rsidRDefault="00EC7C53" w:rsidP="00600535">
      <w:pPr>
        <w:pStyle w:val="CETBodytext"/>
        <w:rPr>
          <w:lang w:val="en-GB"/>
        </w:rPr>
      </w:pPr>
    </w:p>
    <w:p w14:paraId="428B022A" w14:textId="340AC74D" w:rsidR="00E65B91" w:rsidRDefault="00600535" w:rsidP="0019430B">
      <w:pPr>
        <w:pStyle w:val="CETReference"/>
      </w:pPr>
      <w:r w:rsidRPr="00B57B36">
        <w:t>References</w:t>
      </w:r>
    </w:p>
    <w:p w14:paraId="602042FE" w14:textId="3F677105" w:rsidR="00AD6FC8" w:rsidRDefault="00AD6FC8" w:rsidP="006B4888">
      <w:pPr>
        <w:pStyle w:val="CETReferencetext"/>
      </w:pPr>
      <w:r w:rsidRPr="00621958">
        <w:t xml:space="preserve">Accardo A, </w:t>
      </w:r>
      <w:proofErr w:type="spellStart"/>
      <w:r w:rsidRPr="00621958">
        <w:t>Dotelli</w:t>
      </w:r>
      <w:proofErr w:type="spellEnd"/>
      <w:r w:rsidRPr="00621958">
        <w:t xml:space="preserve"> G, Musa ML, </w:t>
      </w:r>
      <w:proofErr w:type="spellStart"/>
      <w:r w:rsidRPr="00621958">
        <w:t>Spessa</w:t>
      </w:r>
      <w:proofErr w:type="spellEnd"/>
      <w:r w:rsidRPr="00621958">
        <w:t xml:space="preserve"> E.</w:t>
      </w:r>
      <w:r>
        <w:t>, 2021,</w:t>
      </w:r>
      <w:r w:rsidRPr="00621958">
        <w:t xml:space="preserve"> Life Cycle Assessment of an NMC Battery for Application to Electric Light-Duty Commercial Vehicles and Comparison with a Sodium-Nickel-Chloride Battery. Applied Sciences;</w:t>
      </w:r>
      <w:r>
        <w:t xml:space="preserve"> Vol </w:t>
      </w:r>
      <w:r w:rsidRPr="00621958">
        <w:t>11(3):1160</w:t>
      </w:r>
    </w:p>
    <w:p w14:paraId="6963F8BE" w14:textId="4FFAB5E0" w:rsidR="00DD5BDE" w:rsidRDefault="00DD5BDE" w:rsidP="006B4888">
      <w:pPr>
        <w:pStyle w:val="CETReferencetext"/>
      </w:pPr>
      <w:r w:rsidRPr="00621958">
        <w:t xml:space="preserve">Barone TL, </w:t>
      </w:r>
      <w:proofErr w:type="spellStart"/>
      <w:r w:rsidRPr="00621958">
        <w:t>Dubaniewicz</w:t>
      </w:r>
      <w:proofErr w:type="spellEnd"/>
      <w:r w:rsidRPr="00621958">
        <w:t xml:space="preserve"> TH, Friend SA, </w:t>
      </w:r>
      <w:proofErr w:type="spellStart"/>
      <w:r w:rsidRPr="00621958">
        <w:t>Zlochower</w:t>
      </w:r>
      <w:proofErr w:type="spellEnd"/>
      <w:r w:rsidRPr="00621958">
        <w:t xml:space="preserve"> IA, </w:t>
      </w:r>
      <w:proofErr w:type="spellStart"/>
      <w:r w:rsidRPr="00621958">
        <w:t>Bugarski</w:t>
      </w:r>
      <w:proofErr w:type="spellEnd"/>
      <w:r w:rsidRPr="00621958">
        <w:t xml:space="preserve"> AD, Rayyan NS</w:t>
      </w:r>
      <w:r w:rsidR="001315CA">
        <w:t>, 2021,</w:t>
      </w:r>
      <w:r w:rsidRPr="00621958">
        <w:t xml:space="preserve"> Lithium-ion battery explosion aerosols: Morphology and elemental composition. Aerosol Sci Technol. </w:t>
      </w:r>
      <w:r w:rsidR="001315CA">
        <w:t xml:space="preserve">Vol </w:t>
      </w:r>
      <w:r w:rsidRPr="00621958">
        <w:t>55(10):1183-201.</w:t>
      </w:r>
    </w:p>
    <w:p w14:paraId="22F9C28D" w14:textId="4FCF0935" w:rsidR="00AE10A7" w:rsidRDefault="00AE10A7" w:rsidP="006B4888">
      <w:pPr>
        <w:pStyle w:val="CETReferencetext"/>
      </w:pPr>
      <w:r w:rsidRPr="00AE10A7">
        <w:t xml:space="preserve">Bordes A, </w:t>
      </w:r>
      <w:proofErr w:type="spellStart"/>
      <w:r w:rsidRPr="00AE10A7">
        <w:t>Marlair</w:t>
      </w:r>
      <w:proofErr w:type="spellEnd"/>
      <w:r w:rsidRPr="00AE10A7">
        <w:t xml:space="preserve"> G, </w:t>
      </w:r>
      <w:proofErr w:type="spellStart"/>
      <w:r w:rsidRPr="00AE10A7">
        <w:t>Zantman</w:t>
      </w:r>
      <w:proofErr w:type="spellEnd"/>
      <w:r w:rsidRPr="00AE10A7">
        <w:t xml:space="preserve"> A, </w:t>
      </w:r>
      <w:proofErr w:type="spellStart"/>
      <w:r w:rsidRPr="00AE10A7">
        <w:t>Herreyre</w:t>
      </w:r>
      <w:proofErr w:type="spellEnd"/>
      <w:r w:rsidRPr="00AE10A7">
        <w:t xml:space="preserve"> S, Papin A, </w:t>
      </w:r>
      <w:proofErr w:type="spellStart"/>
      <w:r w:rsidRPr="00AE10A7">
        <w:t>Desprez</w:t>
      </w:r>
      <w:proofErr w:type="spellEnd"/>
      <w:r w:rsidRPr="00AE10A7">
        <w:t xml:space="preserve"> P, et al.</w:t>
      </w:r>
      <w:r>
        <w:t>, 2022,</w:t>
      </w:r>
      <w:r w:rsidRPr="00AE10A7">
        <w:t xml:space="preserve"> New insight on the risk profile pertaining to lithium-ion batteries under thermal runaway as affected by system modularity and subsequent oxidation regime. Journal of Energy Storage. 52:104790</w:t>
      </w:r>
    </w:p>
    <w:p w14:paraId="73B0E49E" w14:textId="3B17EF5B" w:rsidR="005F688D" w:rsidRDefault="005F688D" w:rsidP="006B4888">
      <w:pPr>
        <w:pStyle w:val="CETReferencetext"/>
      </w:pPr>
      <w:r w:rsidRPr="00F468BD">
        <w:rPr>
          <w:lang w:val="en-US"/>
        </w:rPr>
        <w:t xml:space="preserve">Bordes A, Papin A, </w:t>
      </w:r>
      <w:proofErr w:type="spellStart"/>
      <w:r w:rsidRPr="00F468BD">
        <w:rPr>
          <w:lang w:val="en-US"/>
        </w:rPr>
        <w:t>Marlair</w:t>
      </w:r>
      <w:proofErr w:type="spellEnd"/>
      <w:r w:rsidRPr="00F468BD">
        <w:rPr>
          <w:lang w:val="en-US"/>
        </w:rPr>
        <w:t xml:space="preserve"> G, Claude T, </w:t>
      </w:r>
      <w:proofErr w:type="spellStart"/>
      <w:r w:rsidRPr="00F468BD">
        <w:rPr>
          <w:lang w:val="en-US"/>
        </w:rPr>
        <w:t>El-Masri</w:t>
      </w:r>
      <w:proofErr w:type="spellEnd"/>
      <w:r w:rsidRPr="00F468BD">
        <w:rPr>
          <w:lang w:val="en-US"/>
        </w:rPr>
        <w:t xml:space="preserve"> A, </w:t>
      </w:r>
      <w:proofErr w:type="spellStart"/>
      <w:r w:rsidRPr="00F468BD">
        <w:rPr>
          <w:lang w:val="en-US"/>
        </w:rPr>
        <w:t>Durussel</w:t>
      </w:r>
      <w:proofErr w:type="spellEnd"/>
      <w:r w:rsidRPr="00F468BD">
        <w:rPr>
          <w:lang w:val="en-US"/>
        </w:rPr>
        <w:t xml:space="preserve"> T, et al.</w:t>
      </w:r>
      <w:r>
        <w:rPr>
          <w:lang w:val="en-US"/>
        </w:rPr>
        <w:t>,</w:t>
      </w:r>
      <w:r w:rsidRPr="00F468BD">
        <w:rPr>
          <w:lang w:val="en-US"/>
        </w:rPr>
        <w:t xml:space="preserve"> </w:t>
      </w:r>
      <w:r w:rsidRPr="005F688D">
        <w:t>2024</w:t>
      </w:r>
      <w:r>
        <w:t xml:space="preserve">, </w:t>
      </w:r>
      <w:r w:rsidRPr="005F688D">
        <w:t>Assessment of Run-Off Waters Resulting from Lithium-Ion Battery Fire-Fighting Operations. Batteries.</w:t>
      </w:r>
      <w:r>
        <w:t xml:space="preserve"> </w:t>
      </w:r>
      <w:r w:rsidRPr="005F688D">
        <w:t>10(4):118.</w:t>
      </w:r>
    </w:p>
    <w:p w14:paraId="59F6FF42" w14:textId="43F9D9DC" w:rsidR="0076086E" w:rsidRPr="00F468BD" w:rsidRDefault="0076086E" w:rsidP="006B4888">
      <w:pPr>
        <w:pStyle w:val="CETReferencetext"/>
        <w:rPr>
          <w:lang w:val="fr-FR"/>
        </w:rPr>
      </w:pPr>
      <w:r w:rsidRPr="0076086E">
        <w:t xml:space="preserve">Buston JEH, Gill J, </w:t>
      </w:r>
      <w:proofErr w:type="spellStart"/>
      <w:r w:rsidRPr="0076086E">
        <w:t>Lisseman</w:t>
      </w:r>
      <w:proofErr w:type="spellEnd"/>
      <w:r w:rsidRPr="0076086E">
        <w:t xml:space="preserve"> R, Morton J, Musgrove D, Williams RCE.</w:t>
      </w:r>
      <w:r>
        <w:t>, 2023,</w:t>
      </w:r>
      <w:r w:rsidRPr="0076086E">
        <w:t xml:space="preserve"> Experimental determination of metals generated during the thermal failure of </w:t>
      </w:r>
      <w:proofErr w:type="gramStart"/>
      <w:r w:rsidRPr="0076086E">
        <w:t>lithium ion</w:t>
      </w:r>
      <w:proofErr w:type="gramEnd"/>
      <w:r w:rsidRPr="0076086E">
        <w:t xml:space="preserve"> batteries. </w:t>
      </w:r>
      <w:r w:rsidRPr="00F468BD">
        <w:rPr>
          <w:lang w:val="fr-FR"/>
        </w:rPr>
        <w:t xml:space="preserve">Energy </w:t>
      </w:r>
      <w:proofErr w:type="spellStart"/>
      <w:r w:rsidRPr="00F468BD">
        <w:rPr>
          <w:lang w:val="fr-FR"/>
        </w:rPr>
        <w:t>Advances</w:t>
      </w:r>
      <w:proofErr w:type="spellEnd"/>
      <w:r w:rsidRPr="00F468BD">
        <w:rPr>
          <w:lang w:val="fr-FR"/>
        </w:rPr>
        <w:t>. 2(1</w:t>
      </w:r>
      <w:proofErr w:type="gramStart"/>
      <w:r w:rsidRPr="00F468BD">
        <w:rPr>
          <w:lang w:val="fr-FR"/>
        </w:rPr>
        <w:t>):</w:t>
      </w:r>
      <w:proofErr w:type="gramEnd"/>
      <w:r w:rsidRPr="00F468BD">
        <w:rPr>
          <w:lang w:val="fr-FR"/>
        </w:rPr>
        <w:t>170-9.</w:t>
      </w:r>
    </w:p>
    <w:p w14:paraId="53574D02" w14:textId="77777777" w:rsidR="00042C33" w:rsidRPr="00F03949" w:rsidRDefault="00042C33" w:rsidP="00042C33">
      <w:pPr>
        <w:pStyle w:val="CETReferencetext"/>
        <w:rPr>
          <w:lang w:val="fr-FR"/>
        </w:rPr>
      </w:pPr>
      <w:r w:rsidRPr="00F03949">
        <w:rPr>
          <w:lang w:val="fr-FR"/>
        </w:rPr>
        <w:t>EMPA.</w:t>
      </w:r>
      <w:r>
        <w:rPr>
          <w:lang w:val="fr-FR"/>
        </w:rPr>
        <w:t>,2020,</w:t>
      </w:r>
      <w:r w:rsidRPr="00F03949">
        <w:rPr>
          <w:lang w:val="fr-FR"/>
        </w:rPr>
        <w:t xml:space="preserve"> Minimisation des risques d'incendie de véhicules électriques dans les infrastructures de circulation souterraine. </w:t>
      </w:r>
    </w:p>
    <w:p w14:paraId="77A30E6A" w14:textId="32DD2868" w:rsidR="00651280" w:rsidRDefault="00651280" w:rsidP="006B4888">
      <w:pPr>
        <w:pStyle w:val="CETReferencetext"/>
      </w:pPr>
      <w:proofErr w:type="spellStart"/>
      <w:r w:rsidRPr="00651280">
        <w:t>Golubkov</w:t>
      </w:r>
      <w:proofErr w:type="spellEnd"/>
      <w:r w:rsidRPr="00651280">
        <w:t xml:space="preserve"> AW, </w:t>
      </w:r>
      <w:proofErr w:type="spellStart"/>
      <w:r w:rsidRPr="00651280">
        <w:t>Scheikl</w:t>
      </w:r>
      <w:proofErr w:type="spellEnd"/>
      <w:r w:rsidRPr="00651280">
        <w:t xml:space="preserve"> S, </w:t>
      </w:r>
      <w:proofErr w:type="spellStart"/>
      <w:r w:rsidRPr="00651280">
        <w:t>Planteu</w:t>
      </w:r>
      <w:proofErr w:type="spellEnd"/>
      <w:r w:rsidRPr="00651280">
        <w:t xml:space="preserve"> R, </w:t>
      </w:r>
      <w:proofErr w:type="spellStart"/>
      <w:r w:rsidRPr="00651280">
        <w:t>Voitic</w:t>
      </w:r>
      <w:proofErr w:type="spellEnd"/>
      <w:r w:rsidRPr="00651280">
        <w:t xml:space="preserve"> G, </w:t>
      </w:r>
      <w:proofErr w:type="spellStart"/>
      <w:r w:rsidRPr="00651280">
        <w:t>Wiltsche</w:t>
      </w:r>
      <w:proofErr w:type="spellEnd"/>
      <w:r w:rsidRPr="00651280">
        <w:t xml:space="preserve"> H, Stangl C.</w:t>
      </w:r>
      <w:r>
        <w:t>, 2015,</w:t>
      </w:r>
      <w:r w:rsidRPr="00651280">
        <w:t xml:space="preserve"> Thermal runaway of commercial 18650 Li-ion batteries with LFP and NCA cathodes – impact of state of charge and overcharge. RSC Advances.</w:t>
      </w:r>
      <w:r>
        <w:t xml:space="preserve"> Vol </w:t>
      </w:r>
      <w:r w:rsidRPr="00651280">
        <w:t>5(70):57171-86</w:t>
      </w:r>
    </w:p>
    <w:p w14:paraId="6B8CFDB8" w14:textId="5814B813" w:rsidR="00654353" w:rsidRDefault="00654353" w:rsidP="006B4888">
      <w:pPr>
        <w:pStyle w:val="CETReferencetext"/>
      </w:pPr>
      <w:proofErr w:type="spellStart"/>
      <w:r w:rsidRPr="00654353">
        <w:t>Golubkov</w:t>
      </w:r>
      <w:proofErr w:type="spellEnd"/>
      <w:r w:rsidRPr="00654353">
        <w:t xml:space="preserve"> AW, </w:t>
      </w:r>
      <w:proofErr w:type="spellStart"/>
      <w:r w:rsidRPr="00654353">
        <w:t>Scheikl</w:t>
      </w:r>
      <w:proofErr w:type="spellEnd"/>
      <w:r w:rsidRPr="00654353">
        <w:t xml:space="preserve"> S, </w:t>
      </w:r>
      <w:proofErr w:type="spellStart"/>
      <w:r w:rsidRPr="00654353">
        <w:t>Planteu</w:t>
      </w:r>
      <w:proofErr w:type="spellEnd"/>
      <w:r w:rsidRPr="00654353">
        <w:t xml:space="preserve"> R, </w:t>
      </w:r>
      <w:proofErr w:type="spellStart"/>
      <w:r w:rsidRPr="00654353">
        <w:t>Voitic</w:t>
      </w:r>
      <w:proofErr w:type="spellEnd"/>
      <w:r w:rsidRPr="00654353">
        <w:t xml:space="preserve"> G, </w:t>
      </w:r>
      <w:proofErr w:type="spellStart"/>
      <w:r w:rsidRPr="00654353">
        <w:t>Wiltsche</w:t>
      </w:r>
      <w:proofErr w:type="spellEnd"/>
      <w:r w:rsidRPr="00654353">
        <w:t xml:space="preserve"> H, Stangl C, et al.</w:t>
      </w:r>
      <w:r>
        <w:t>, 2015,</w:t>
      </w:r>
      <w:r w:rsidRPr="00654353">
        <w:t xml:space="preserve"> Thermal runaway of commercial 18650 Li-ion batteries with LFP and NCA cathodes – impact of state of charge and overcharge. RSC Advances.</w:t>
      </w:r>
      <w:r>
        <w:t xml:space="preserve"> </w:t>
      </w:r>
      <w:r w:rsidRPr="00654353">
        <w:t>5(70):57171-86.</w:t>
      </w:r>
    </w:p>
    <w:p w14:paraId="674455A5" w14:textId="2C9FA54F" w:rsidR="00256005" w:rsidRPr="00F468BD" w:rsidRDefault="00256005" w:rsidP="006B4888">
      <w:pPr>
        <w:pStyle w:val="CETReferencetext"/>
        <w:rPr>
          <w:lang w:val="fr-FR"/>
        </w:rPr>
      </w:pPr>
      <w:r>
        <w:t>L</w:t>
      </w:r>
      <w:r w:rsidRPr="007B4C0B">
        <w:t>arsson F.</w:t>
      </w:r>
      <w:r>
        <w:t xml:space="preserve">, </w:t>
      </w:r>
      <w:proofErr w:type="spellStart"/>
      <w:r>
        <w:t>Mellander</w:t>
      </w:r>
      <w:proofErr w:type="spellEnd"/>
      <w:r>
        <w:t xml:space="preserve"> B-E., 2014,</w:t>
      </w:r>
      <w:r w:rsidRPr="007B4C0B">
        <w:t xml:space="preserve"> Abuse by External Heating, Overcharge and Short Circuiting of Commercial Lithium-Ion Battery Cells. </w:t>
      </w:r>
      <w:r w:rsidRPr="00F468BD">
        <w:rPr>
          <w:lang w:val="fr-FR"/>
        </w:rPr>
        <w:t xml:space="preserve">Journal of The </w:t>
      </w:r>
      <w:proofErr w:type="spellStart"/>
      <w:r w:rsidRPr="00F468BD">
        <w:rPr>
          <w:lang w:val="fr-FR"/>
        </w:rPr>
        <w:t>Electrochemical</w:t>
      </w:r>
      <w:proofErr w:type="spellEnd"/>
      <w:r w:rsidRPr="00F468BD">
        <w:rPr>
          <w:lang w:val="fr-FR"/>
        </w:rPr>
        <w:t xml:space="preserve"> Society. 161(10</w:t>
      </w:r>
      <w:proofErr w:type="gramStart"/>
      <w:r w:rsidRPr="00F468BD">
        <w:rPr>
          <w:lang w:val="fr-FR"/>
        </w:rPr>
        <w:t>):A</w:t>
      </w:r>
      <w:proofErr w:type="gramEnd"/>
      <w:r w:rsidRPr="00F468BD">
        <w:rPr>
          <w:lang w:val="fr-FR"/>
        </w:rPr>
        <w:t>1611-A7</w:t>
      </w:r>
    </w:p>
    <w:p w14:paraId="51CE1AAC" w14:textId="7A70DF65" w:rsidR="00042C33" w:rsidRPr="00F468BD" w:rsidRDefault="00042C33" w:rsidP="00042C33">
      <w:pPr>
        <w:pStyle w:val="CETReferencetext"/>
        <w:rPr>
          <w:lang w:val="fr-FR"/>
        </w:rPr>
      </w:pPr>
      <w:r w:rsidRPr="00F468BD">
        <w:rPr>
          <w:lang w:val="fr-FR"/>
        </w:rPr>
        <w:t>LCPP.</w:t>
      </w:r>
      <w:r>
        <w:rPr>
          <w:lang w:val="fr-FR"/>
        </w:rPr>
        <w:t>, 2012,</w:t>
      </w:r>
      <w:r w:rsidRPr="00F468BD">
        <w:rPr>
          <w:lang w:val="fr-FR"/>
        </w:rPr>
        <w:t xml:space="preserve"> Étude de l'impact de feux de véhicules électriques (RENAULT) sur les intervenants des services de secours.</w:t>
      </w:r>
    </w:p>
    <w:p w14:paraId="57C8FB11" w14:textId="27AECAB3" w:rsidR="00985D84" w:rsidRDefault="00985D84" w:rsidP="006B4888">
      <w:pPr>
        <w:pStyle w:val="CETReferencetext"/>
      </w:pPr>
      <w:r>
        <w:t>ISO 26367-1</w:t>
      </w:r>
      <w:r w:rsidR="006F1FB2">
        <w:t>, 2019</w:t>
      </w:r>
      <w:r w:rsidRPr="00985D84">
        <w:t>: Guidelines for assessing the adverse environmental impact of fire effluents. Part I: General.</w:t>
      </w:r>
    </w:p>
    <w:p w14:paraId="22766592" w14:textId="5008B287" w:rsidR="004B104E" w:rsidRDefault="004B104E" w:rsidP="006B4888">
      <w:pPr>
        <w:pStyle w:val="CETReferencetext"/>
      </w:pPr>
      <w:r w:rsidRPr="00621958">
        <w:t>ISO 26367-3</w:t>
      </w:r>
      <w:r w:rsidR="006F1FB2">
        <w:t>, 2019</w:t>
      </w:r>
      <w:r w:rsidRPr="00621958">
        <w:t>: Guidelines for assessing the adverse environmental impact of fire effluents – Part 3: Sampling and analysis</w:t>
      </w:r>
      <w:r w:rsidR="006F1FB2">
        <w:t>.</w:t>
      </w:r>
    </w:p>
    <w:p w14:paraId="714168C1" w14:textId="6A092698" w:rsidR="004745AB" w:rsidRDefault="004745AB" w:rsidP="006B4888">
      <w:pPr>
        <w:pStyle w:val="CETReferencetext"/>
      </w:pPr>
      <w:r w:rsidRPr="00621958">
        <w:t xml:space="preserve">Larsson F, Andersson P, Blomqvist P, </w:t>
      </w:r>
      <w:proofErr w:type="spellStart"/>
      <w:r w:rsidRPr="00621958">
        <w:t>Mellander</w:t>
      </w:r>
      <w:proofErr w:type="spellEnd"/>
      <w:r w:rsidRPr="00621958">
        <w:t xml:space="preserve"> BE</w:t>
      </w:r>
      <w:r>
        <w:t>, 2017,</w:t>
      </w:r>
      <w:r w:rsidRPr="00621958">
        <w:t xml:space="preserve"> Toxic fluoride gas emissions from lithium-ion battery fires. Sci Rep. </w:t>
      </w:r>
      <w:r>
        <w:t xml:space="preserve">Vol </w:t>
      </w:r>
      <w:r w:rsidRPr="00621958">
        <w:t>7(1):10018</w:t>
      </w:r>
    </w:p>
    <w:p w14:paraId="5FA7CB5F" w14:textId="2B8982BF" w:rsidR="004745AB" w:rsidRDefault="004745AB" w:rsidP="006B4888">
      <w:pPr>
        <w:pStyle w:val="CETReferencetext"/>
      </w:pPr>
      <w:r w:rsidRPr="00621958">
        <w:t>Maloney</w:t>
      </w:r>
      <w:r>
        <w:t>, 2016,</w:t>
      </w:r>
      <w:r w:rsidRPr="00621958">
        <w:t xml:space="preserve"> Lithium Battery Thermal Runaway Vent Gas Analysis. DOT/FAA/TC-15/59.</w:t>
      </w:r>
    </w:p>
    <w:p w14:paraId="62B640C8" w14:textId="05E9D05D" w:rsidR="006F1FB2" w:rsidRDefault="006F1FB2" w:rsidP="006B4888">
      <w:pPr>
        <w:pStyle w:val="CETReferencetext"/>
      </w:pPr>
      <w:proofErr w:type="spellStart"/>
      <w:r w:rsidRPr="006F1FB2">
        <w:t>Nedjalkov</w:t>
      </w:r>
      <w:proofErr w:type="spellEnd"/>
      <w:r w:rsidRPr="006F1FB2">
        <w:t xml:space="preserve"> A, Meyer J, </w:t>
      </w:r>
      <w:proofErr w:type="spellStart"/>
      <w:r w:rsidRPr="006F1FB2">
        <w:t>Köhring</w:t>
      </w:r>
      <w:proofErr w:type="spellEnd"/>
      <w:r w:rsidRPr="006F1FB2">
        <w:t xml:space="preserve"> M, Doering A, </w:t>
      </w:r>
      <w:proofErr w:type="spellStart"/>
      <w:r w:rsidRPr="006F1FB2">
        <w:t>Angelmahr</w:t>
      </w:r>
      <w:proofErr w:type="spellEnd"/>
      <w:r w:rsidRPr="006F1FB2">
        <w:t xml:space="preserve"> M, Dahle S, et al</w:t>
      </w:r>
      <w:r>
        <w:t>, 2013,</w:t>
      </w:r>
      <w:r w:rsidRPr="006F1FB2">
        <w:t xml:space="preserve"> Toxic Gas Emissions from Damaged </w:t>
      </w:r>
      <w:proofErr w:type="gramStart"/>
      <w:r w:rsidRPr="006F1FB2">
        <w:t>Lithium Ion</w:t>
      </w:r>
      <w:proofErr w:type="gramEnd"/>
      <w:r w:rsidRPr="006F1FB2">
        <w:t xml:space="preserve"> Batteries—Analysis and Safety Enhancement Solution. Batteries.</w:t>
      </w:r>
      <w:r>
        <w:t xml:space="preserve"> Vol </w:t>
      </w:r>
      <w:r w:rsidRPr="006F1FB2">
        <w:t>2(1):5.</w:t>
      </w:r>
    </w:p>
    <w:p w14:paraId="6DED9AFE" w14:textId="00A5C91C" w:rsidR="0076086E" w:rsidRDefault="0076086E" w:rsidP="00BC21AD">
      <w:pPr>
        <w:pStyle w:val="CETReferencetext"/>
      </w:pPr>
      <w:r w:rsidRPr="00F468BD">
        <w:rPr>
          <w:lang w:val="en-US"/>
        </w:rPr>
        <w:t xml:space="preserve">Wang Y, Wang H, Zhang Y, Cheng L, Wu Y, Feng X, et al., </w:t>
      </w:r>
      <w:r>
        <w:rPr>
          <w:lang w:val="en-US"/>
        </w:rPr>
        <w:t>2021,</w:t>
      </w:r>
      <w:r w:rsidRPr="00F468BD">
        <w:rPr>
          <w:lang w:val="en-US"/>
        </w:rPr>
        <w:t xml:space="preserve"> </w:t>
      </w:r>
      <w:r w:rsidRPr="0076086E">
        <w:t xml:space="preserve">Thermal oxidation characteristics for smoke particles from an abused prismatic </w:t>
      </w:r>
      <w:proofErr w:type="gramStart"/>
      <w:r w:rsidRPr="0076086E">
        <w:t>Li(</w:t>
      </w:r>
      <w:proofErr w:type="gramEnd"/>
      <w:r w:rsidRPr="0076086E">
        <w:t>Ni0.6Co0.2Mn0.2)O2 battery. Journal of Energy Storage. 39:102639.</w:t>
      </w:r>
    </w:p>
    <w:p w14:paraId="5149A88A" w14:textId="007A4675" w:rsidR="006B4888" w:rsidRDefault="00BC21AD" w:rsidP="00BC21AD">
      <w:pPr>
        <w:pStyle w:val="CETReferencetext"/>
      </w:pPr>
      <w:proofErr w:type="spellStart"/>
      <w:r w:rsidRPr="00621958">
        <w:t>Willstrand</w:t>
      </w:r>
      <w:proofErr w:type="spellEnd"/>
      <w:r w:rsidRPr="00621958">
        <w:t xml:space="preserve"> O, Pushp M, Andersson P, Brandell D.</w:t>
      </w:r>
      <w:r>
        <w:t>, 2023,</w:t>
      </w:r>
      <w:r w:rsidRPr="00621958">
        <w:t xml:space="preserve"> Impact of different Li-ion cell test conditions on thermal runaway characteristics and gas release measurements. Journal of Energy Storage. </w:t>
      </w:r>
      <w:r>
        <w:t xml:space="preserve">Vol </w:t>
      </w:r>
      <w:r w:rsidRPr="00621958">
        <w:t>68:107785</w:t>
      </w:r>
    </w:p>
    <w:sectPr w:rsidR="006B4888"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9F701" w14:textId="77777777" w:rsidR="00771F3F" w:rsidRDefault="00771F3F" w:rsidP="004F5E36">
      <w:r>
        <w:separator/>
      </w:r>
    </w:p>
  </w:endnote>
  <w:endnote w:type="continuationSeparator" w:id="0">
    <w:p w14:paraId="33264833" w14:textId="77777777" w:rsidR="00771F3F" w:rsidRDefault="00771F3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554C5" w14:textId="77777777" w:rsidR="00771F3F" w:rsidRDefault="00771F3F" w:rsidP="004F5E36">
      <w:r>
        <w:separator/>
      </w:r>
    </w:p>
  </w:footnote>
  <w:footnote w:type="continuationSeparator" w:id="0">
    <w:p w14:paraId="024FF568" w14:textId="77777777" w:rsidR="00771F3F" w:rsidRDefault="00771F3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D716EE"/>
    <w:multiLevelType w:val="hybridMultilevel"/>
    <w:tmpl w:val="A232E9A6"/>
    <w:lvl w:ilvl="0" w:tplc="7AB27FF0">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6806F6"/>
    <w:multiLevelType w:val="hybridMultilevel"/>
    <w:tmpl w:val="B4409DE0"/>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F0639C"/>
    <w:multiLevelType w:val="hybridMultilevel"/>
    <w:tmpl w:val="D3E2FFD2"/>
    <w:lvl w:ilvl="0" w:tplc="D858521E">
      <w:start w:val="47"/>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3874D5A"/>
    <w:multiLevelType w:val="hybridMultilevel"/>
    <w:tmpl w:val="5E7AF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B6D01B0"/>
    <w:multiLevelType w:val="hybridMultilevel"/>
    <w:tmpl w:val="D39CA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8D1301"/>
    <w:multiLevelType w:val="hybridMultilevel"/>
    <w:tmpl w:val="F7A65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C592835"/>
    <w:multiLevelType w:val="hybridMultilevel"/>
    <w:tmpl w:val="4CBC5B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2"/>
  </w:num>
  <w:num w:numId="13" w16cid:durableId="695733619">
    <w:abstractNumId w:val="14"/>
  </w:num>
  <w:num w:numId="14" w16cid:durableId="145903400">
    <w:abstractNumId w:val="23"/>
  </w:num>
  <w:num w:numId="15" w16cid:durableId="19162326">
    <w:abstractNumId w:val="25"/>
  </w:num>
  <w:num w:numId="16" w16cid:durableId="1977102699">
    <w:abstractNumId w:val="24"/>
  </w:num>
  <w:num w:numId="17" w16cid:durableId="860774865">
    <w:abstractNumId w:val="13"/>
  </w:num>
  <w:num w:numId="18" w16cid:durableId="313221457">
    <w:abstractNumId w:val="14"/>
    <w:lvlOverride w:ilvl="0">
      <w:startOverride w:val="1"/>
    </w:lvlOverride>
  </w:num>
  <w:num w:numId="19" w16cid:durableId="534971577">
    <w:abstractNumId w:val="21"/>
  </w:num>
  <w:num w:numId="20" w16cid:durableId="1150947773">
    <w:abstractNumId w:val="20"/>
  </w:num>
  <w:num w:numId="21" w16cid:durableId="124660497">
    <w:abstractNumId w:val="18"/>
  </w:num>
  <w:num w:numId="22" w16cid:durableId="2099861471">
    <w:abstractNumId w:val="17"/>
  </w:num>
  <w:num w:numId="23" w16cid:durableId="84351335">
    <w:abstractNumId w:val="10"/>
  </w:num>
  <w:num w:numId="24" w16cid:durableId="1171870047">
    <w:abstractNumId w:val="27"/>
  </w:num>
  <w:num w:numId="25" w16cid:durableId="217711076">
    <w:abstractNumId w:val="11"/>
  </w:num>
  <w:num w:numId="26" w16cid:durableId="926308524">
    <w:abstractNumId w:val="19"/>
  </w:num>
  <w:num w:numId="27" w16cid:durableId="1475677894">
    <w:abstractNumId w:val="16"/>
  </w:num>
  <w:num w:numId="28" w16cid:durableId="163202363">
    <w:abstractNumId w:val="12"/>
  </w:num>
  <w:num w:numId="29" w16cid:durableId="2032031648">
    <w:abstractNumId w:val="26"/>
  </w:num>
  <w:num w:numId="30" w16cid:durableId="1052580902">
    <w:abstractNumId w:val="15"/>
  </w:num>
  <w:num w:numId="31" w16cid:durableId="5610170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vpwa2xre02tles0adxa05vwvrfd2f9aara&quot;&gt;My EndNote Library&lt;record-ids&gt;&lt;item&gt;28&lt;/item&gt;&lt;item&gt;33&lt;/item&gt;&lt;item&gt;55&lt;/item&gt;&lt;item&gt;57&lt;/item&gt;&lt;item&gt;128&lt;/item&gt;&lt;item&gt;275&lt;/item&gt;&lt;/record-ids&gt;&lt;/item&gt;&lt;/Libraries&gt;"/>
  </w:docVars>
  <w:rsids>
    <w:rsidRoot w:val="000E414A"/>
    <w:rsid w:val="000027C0"/>
    <w:rsid w:val="000052FB"/>
    <w:rsid w:val="00005A19"/>
    <w:rsid w:val="000117CB"/>
    <w:rsid w:val="000127C5"/>
    <w:rsid w:val="00014787"/>
    <w:rsid w:val="0003148D"/>
    <w:rsid w:val="00031EEC"/>
    <w:rsid w:val="00042C33"/>
    <w:rsid w:val="00043854"/>
    <w:rsid w:val="00051566"/>
    <w:rsid w:val="000562A9"/>
    <w:rsid w:val="00062A9A"/>
    <w:rsid w:val="00062E51"/>
    <w:rsid w:val="00065058"/>
    <w:rsid w:val="00071567"/>
    <w:rsid w:val="00082B40"/>
    <w:rsid w:val="000851EF"/>
    <w:rsid w:val="00086C39"/>
    <w:rsid w:val="000A03B2"/>
    <w:rsid w:val="000A6308"/>
    <w:rsid w:val="000B297E"/>
    <w:rsid w:val="000D0268"/>
    <w:rsid w:val="000D34BE"/>
    <w:rsid w:val="000E0B3C"/>
    <w:rsid w:val="000E102F"/>
    <w:rsid w:val="000E10C9"/>
    <w:rsid w:val="000E36F1"/>
    <w:rsid w:val="000E3A73"/>
    <w:rsid w:val="000E414A"/>
    <w:rsid w:val="000E59D1"/>
    <w:rsid w:val="000E75FD"/>
    <w:rsid w:val="000F093C"/>
    <w:rsid w:val="000F285D"/>
    <w:rsid w:val="000F787B"/>
    <w:rsid w:val="00104992"/>
    <w:rsid w:val="001117F3"/>
    <w:rsid w:val="00112AC4"/>
    <w:rsid w:val="001131C6"/>
    <w:rsid w:val="0012091F"/>
    <w:rsid w:val="001240A5"/>
    <w:rsid w:val="00126BC2"/>
    <w:rsid w:val="001308B6"/>
    <w:rsid w:val="0013121F"/>
    <w:rsid w:val="001315CA"/>
    <w:rsid w:val="00131FE6"/>
    <w:rsid w:val="00132267"/>
    <w:rsid w:val="0013263F"/>
    <w:rsid w:val="001331DF"/>
    <w:rsid w:val="00134DE4"/>
    <w:rsid w:val="0014034D"/>
    <w:rsid w:val="00140FE3"/>
    <w:rsid w:val="00144D16"/>
    <w:rsid w:val="00146415"/>
    <w:rsid w:val="00150AEE"/>
    <w:rsid w:val="00150E59"/>
    <w:rsid w:val="00152DE3"/>
    <w:rsid w:val="00161D35"/>
    <w:rsid w:val="00162C6B"/>
    <w:rsid w:val="00164007"/>
    <w:rsid w:val="00164CF9"/>
    <w:rsid w:val="001667A6"/>
    <w:rsid w:val="00172564"/>
    <w:rsid w:val="0018171E"/>
    <w:rsid w:val="001820EF"/>
    <w:rsid w:val="00184AD6"/>
    <w:rsid w:val="0019189F"/>
    <w:rsid w:val="0019430B"/>
    <w:rsid w:val="001A4AF7"/>
    <w:rsid w:val="001B0349"/>
    <w:rsid w:val="001B1E93"/>
    <w:rsid w:val="001B65C1"/>
    <w:rsid w:val="001C260F"/>
    <w:rsid w:val="001C5C3A"/>
    <w:rsid w:val="001C684B"/>
    <w:rsid w:val="001C7EE0"/>
    <w:rsid w:val="001D0CFB"/>
    <w:rsid w:val="001D21AF"/>
    <w:rsid w:val="001D2D72"/>
    <w:rsid w:val="001D37AE"/>
    <w:rsid w:val="001D53FC"/>
    <w:rsid w:val="001F42A5"/>
    <w:rsid w:val="001F7B9D"/>
    <w:rsid w:val="00201C93"/>
    <w:rsid w:val="00212391"/>
    <w:rsid w:val="00220217"/>
    <w:rsid w:val="002224B4"/>
    <w:rsid w:val="00227518"/>
    <w:rsid w:val="00227B90"/>
    <w:rsid w:val="002447EF"/>
    <w:rsid w:val="00251550"/>
    <w:rsid w:val="002541F3"/>
    <w:rsid w:val="00256005"/>
    <w:rsid w:val="00263B05"/>
    <w:rsid w:val="0027221A"/>
    <w:rsid w:val="00275B61"/>
    <w:rsid w:val="00280FAF"/>
    <w:rsid w:val="00282656"/>
    <w:rsid w:val="00296B83"/>
    <w:rsid w:val="00297ED3"/>
    <w:rsid w:val="002B1035"/>
    <w:rsid w:val="002B4015"/>
    <w:rsid w:val="002B5E03"/>
    <w:rsid w:val="002B78CE"/>
    <w:rsid w:val="002C0713"/>
    <w:rsid w:val="002C2FB6"/>
    <w:rsid w:val="002C4DE5"/>
    <w:rsid w:val="002E5FA7"/>
    <w:rsid w:val="002F3309"/>
    <w:rsid w:val="002F7FF1"/>
    <w:rsid w:val="003008CE"/>
    <w:rsid w:val="003009B7"/>
    <w:rsid w:val="00300E56"/>
    <w:rsid w:val="0030152C"/>
    <w:rsid w:val="0030469C"/>
    <w:rsid w:val="0032156A"/>
    <w:rsid w:val="00321CA6"/>
    <w:rsid w:val="00323763"/>
    <w:rsid w:val="00323C5F"/>
    <w:rsid w:val="00331BA6"/>
    <w:rsid w:val="00334C09"/>
    <w:rsid w:val="00337260"/>
    <w:rsid w:val="003723D4"/>
    <w:rsid w:val="003737EE"/>
    <w:rsid w:val="00373882"/>
    <w:rsid w:val="00381905"/>
    <w:rsid w:val="00382C9B"/>
    <w:rsid w:val="00384CC8"/>
    <w:rsid w:val="003871FD"/>
    <w:rsid w:val="00392147"/>
    <w:rsid w:val="0039529F"/>
    <w:rsid w:val="003A1E30"/>
    <w:rsid w:val="003A2829"/>
    <w:rsid w:val="003A7D1C"/>
    <w:rsid w:val="003B304B"/>
    <w:rsid w:val="003B3146"/>
    <w:rsid w:val="003B3BBF"/>
    <w:rsid w:val="003B49CD"/>
    <w:rsid w:val="003D1E02"/>
    <w:rsid w:val="003D5AA6"/>
    <w:rsid w:val="003D665E"/>
    <w:rsid w:val="003E4616"/>
    <w:rsid w:val="003F015E"/>
    <w:rsid w:val="003F7F1B"/>
    <w:rsid w:val="004001BC"/>
    <w:rsid w:val="00400414"/>
    <w:rsid w:val="00411D14"/>
    <w:rsid w:val="0041446B"/>
    <w:rsid w:val="004151EC"/>
    <w:rsid w:val="00415CC2"/>
    <w:rsid w:val="0043656F"/>
    <w:rsid w:val="0044071E"/>
    <w:rsid w:val="0044329C"/>
    <w:rsid w:val="00453E24"/>
    <w:rsid w:val="00457456"/>
    <w:rsid w:val="004577FE"/>
    <w:rsid w:val="00457B9C"/>
    <w:rsid w:val="0046164A"/>
    <w:rsid w:val="00462286"/>
    <w:rsid w:val="004628D2"/>
    <w:rsid w:val="00462DCD"/>
    <w:rsid w:val="004648AD"/>
    <w:rsid w:val="004703A9"/>
    <w:rsid w:val="004745AB"/>
    <w:rsid w:val="004760DE"/>
    <w:rsid w:val="004763D7"/>
    <w:rsid w:val="00481FD3"/>
    <w:rsid w:val="004822F8"/>
    <w:rsid w:val="004924F2"/>
    <w:rsid w:val="004940AD"/>
    <w:rsid w:val="00495657"/>
    <w:rsid w:val="004A004E"/>
    <w:rsid w:val="004A24CF"/>
    <w:rsid w:val="004B104E"/>
    <w:rsid w:val="004B20C0"/>
    <w:rsid w:val="004C1DCD"/>
    <w:rsid w:val="004C3D1D"/>
    <w:rsid w:val="004C3D84"/>
    <w:rsid w:val="004C7913"/>
    <w:rsid w:val="004E4DD6"/>
    <w:rsid w:val="004F5E36"/>
    <w:rsid w:val="00503182"/>
    <w:rsid w:val="0050474E"/>
    <w:rsid w:val="00507B47"/>
    <w:rsid w:val="00507BEF"/>
    <w:rsid w:val="00507CC9"/>
    <w:rsid w:val="00507E1B"/>
    <w:rsid w:val="005119A5"/>
    <w:rsid w:val="005144D5"/>
    <w:rsid w:val="005278B7"/>
    <w:rsid w:val="00532016"/>
    <w:rsid w:val="0053377B"/>
    <w:rsid w:val="00534470"/>
    <w:rsid w:val="005346C8"/>
    <w:rsid w:val="005424FC"/>
    <w:rsid w:val="00543E7D"/>
    <w:rsid w:val="00547A68"/>
    <w:rsid w:val="005518DB"/>
    <w:rsid w:val="005531C9"/>
    <w:rsid w:val="00554879"/>
    <w:rsid w:val="00570C43"/>
    <w:rsid w:val="00583E4F"/>
    <w:rsid w:val="00592274"/>
    <w:rsid w:val="00595D6D"/>
    <w:rsid w:val="005A0BCC"/>
    <w:rsid w:val="005B2110"/>
    <w:rsid w:val="005B350B"/>
    <w:rsid w:val="005B61E6"/>
    <w:rsid w:val="005C77E1"/>
    <w:rsid w:val="005D668A"/>
    <w:rsid w:val="005D6A2F"/>
    <w:rsid w:val="005D7FF9"/>
    <w:rsid w:val="005E0592"/>
    <w:rsid w:val="005E1A82"/>
    <w:rsid w:val="005E69DB"/>
    <w:rsid w:val="005E794C"/>
    <w:rsid w:val="005F0A28"/>
    <w:rsid w:val="005F0E5E"/>
    <w:rsid w:val="005F688D"/>
    <w:rsid w:val="00600535"/>
    <w:rsid w:val="00601193"/>
    <w:rsid w:val="00610CD6"/>
    <w:rsid w:val="006139A5"/>
    <w:rsid w:val="00615340"/>
    <w:rsid w:val="00620DEE"/>
    <w:rsid w:val="00621F92"/>
    <w:rsid w:val="0062280A"/>
    <w:rsid w:val="006231E1"/>
    <w:rsid w:val="00625639"/>
    <w:rsid w:val="00626A95"/>
    <w:rsid w:val="00630B9A"/>
    <w:rsid w:val="00631B33"/>
    <w:rsid w:val="00636131"/>
    <w:rsid w:val="0064184D"/>
    <w:rsid w:val="006422CC"/>
    <w:rsid w:val="0064601C"/>
    <w:rsid w:val="00651280"/>
    <w:rsid w:val="00651D18"/>
    <w:rsid w:val="00654353"/>
    <w:rsid w:val="00660E3E"/>
    <w:rsid w:val="00662E74"/>
    <w:rsid w:val="006727A5"/>
    <w:rsid w:val="00680C23"/>
    <w:rsid w:val="00683E23"/>
    <w:rsid w:val="00692DB7"/>
    <w:rsid w:val="00693766"/>
    <w:rsid w:val="006A0AF5"/>
    <w:rsid w:val="006A3281"/>
    <w:rsid w:val="006A6DE5"/>
    <w:rsid w:val="006B4888"/>
    <w:rsid w:val="006C2E45"/>
    <w:rsid w:val="006C359C"/>
    <w:rsid w:val="006C5579"/>
    <w:rsid w:val="006D5492"/>
    <w:rsid w:val="006D6E8B"/>
    <w:rsid w:val="006D7209"/>
    <w:rsid w:val="006E6D64"/>
    <w:rsid w:val="006E737D"/>
    <w:rsid w:val="006F1FB2"/>
    <w:rsid w:val="006F6C92"/>
    <w:rsid w:val="00707DD1"/>
    <w:rsid w:val="00710B10"/>
    <w:rsid w:val="00713973"/>
    <w:rsid w:val="00720A24"/>
    <w:rsid w:val="00722F38"/>
    <w:rsid w:val="00724AF4"/>
    <w:rsid w:val="00732386"/>
    <w:rsid w:val="0073514D"/>
    <w:rsid w:val="00742CF1"/>
    <w:rsid w:val="007447F3"/>
    <w:rsid w:val="0075499F"/>
    <w:rsid w:val="0076086E"/>
    <w:rsid w:val="007661C8"/>
    <w:rsid w:val="0077098D"/>
    <w:rsid w:val="00771F3F"/>
    <w:rsid w:val="00775998"/>
    <w:rsid w:val="007856A9"/>
    <w:rsid w:val="00785BF9"/>
    <w:rsid w:val="007931FA"/>
    <w:rsid w:val="007A4861"/>
    <w:rsid w:val="007A7BBA"/>
    <w:rsid w:val="007B0C50"/>
    <w:rsid w:val="007B48F9"/>
    <w:rsid w:val="007B4C0B"/>
    <w:rsid w:val="007C1A43"/>
    <w:rsid w:val="007C622C"/>
    <w:rsid w:val="007D0951"/>
    <w:rsid w:val="007D16B4"/>
    <w:rsid w:val="007D610D"/>
    <w:rsid w:val="007E6237"/>
    <w:rsid w:val="0080013E"/>
    <w:rsid w:val="00801759"/>
    <w:rsid w:val="00812AEA"/>
    <w:rsid w:val="00813288"/>
    <w:rsid w:val="008168FC"/>
    <w:rsid w:val="0082434E"/>
    <w:rsid w:val="00827757"/>
    <w:rsid w:val="00830996"/>
    <w:rsid w:val="008345F1"/>
    <w:rsid w:val="0085507D"/>
    <w:rsid w:val="00865B07"/>
    <w:rsid w:val="008667EA"/>
    <w:rsid w:val="00874A0A"/>
    <w:rsid w:val="0087637F"/>
    <w:rsid w:val="00876587"/>
    <w:rsid w:val="00892AD5"/>
    <w:rsid w:val="008A1512"/>
    <w:rsid w:val="008A2F14"/>
    <w:rsid w:val="008A5B34"/>
    <w:rsid w:val="008B3396"/>
    <w:rsid w:val="008B4C37"/>
    <w:rsid w:val="008D32B9"/>
    <w:rsid w:val="008D433B"/>
    <w:rsid w:val="008D4A16"/>
    <w:rsid w:val="008E5401"/>
    <w:rsid w:val="008E566E"/>
    <w:rsid w:val="008F71F3"/>
    <w:rsid w:val="0090161A"/>
    <w:rsid w:val="00901EB6"/>
    <w:rsid w:val="009041F8"/>
    <w:rsid w:val="00904C62"/>
    <w:rsid w:val="00922BA8"/>
    <w:rsid w:val="00924DAC"/>
    <w:rsid w:val="00927058"/>
    <w:rsid w:val="00936A69"/>
    <w:rsid w:val="00942750"/>
    <w:rsid w:val="009450CE"/>
    <w:rsid w:val="009459BB"/>
    <w:rsid w:val="00947179"/>
    <w:rsid w:val="0095164B"/>
    <w:rsid w:val="00953C42"/>
    <w:rsid w:val="00954090"/>
    <w:rsid w:val="009573E7"/>
    <w:rsid w:val="009630EB"/>
    <w:rsid w:val="00963E05"/>
    <w:rsid w:val="00964899"/>
    <w:rsid w:val="00964A45"/>
    <w:rsid w:val="0096502F"/>
    <w:rsid w:val="00967843"/>
    <w:rsid w:val="00967D54"/>
    <w:rsid w:val="00971028"/>
    <w:rsid w:val="00985D84"/>
    <w:rsid w:val="00993B84"/>
    <w:rsid w:val="00994C6A"/>
    <w:rsid w:val="00996483"/>
    <w:rsid w:val="00996F5A"/>
    <w:rsid w:val="009A5586"/>
    <w:rsid w:val="009A64D1"/>
    <w:rsid w:val="009B041A"/>
    <w:rsid w:val="009B48C6"/>
    <w:rsid w:val="009C37C3"/>
    <w:rsid w:val="009C7C86"/>
    <w:rsid w:val="009D2FF7"/>
    <w:rsid w:val="009E38F8"/>
    <w:rsid w:val="009E7884"/>
    <w:rsid w:val="009E788A"/>
    <w:rsid w:val="009F0E08"/>
    <w:rsid w:val="009F5C5B"/>
    <w:rsid w:val="00A079AE"/>
    <w:rsid w:val="00A1763D"/>
    <w:rsid w:val="00A17CEC"/>
    <w:rsid w:val="00A2624A"/>
    <w:rsid w:val="00A27EF0"/>
    <w:rsid w:val="00A347AD"/>
    <w:rsid w:val="00A35E0F"/>
    <w:rsid w:val="00A42361"/>
    <w:rsid w:val="00A42A1D"/>
    <w:rsid w:val="00A507B3"/>
    <w:rsid w:val="00A50B20"/>
    <w:rsid w:val="00A51390"/>
    <w:rsid w:val="00A60D13"/>
    <w:rsid w:val="00A66168"/>
    <w:rsid w:val="00A7223D"/>
    <w:rsid w:val="00A72745"/>
    <w:rsid w:val="00A76EFC"/>
    <w:rsid w:val="00A87D50"/>
    <w:rsid w:val="00A91010"/>
    <w:rsid w:val="00A97F29"/>
    <w:rsid w:val="00AA702E"/>
    <w:rsid w:val="00AA7D26"/>
    <w:rsid w:val="00AB0964"/>
    <w:rsid w:val="00AB3F7E"/>
    <w:rsid w:val="00AB5011"/>
    <w:rsid w:val="00AB6B0E"/>
    <w:rsid w:val="00AC7368"/>
    <w:rsid w:val="00AD16B9"/>
    <w:rsid w:val="00AD6FC8"/>
    <w:rsid w:val="00AE10A7"/>
    <w:rsid w:val="00AE377D"/>
    <w:rsid w:val="00AF0EBA"/>
    <w:rsid w:val="00AF2463"/>
    <w:rsid w:val="00B01145"/>
    <w:rsid w:val="00B024CE"/>
    <w:rsid w:val="00B02C8A"/>
    <w:rsid w:val="00B069D7"/>
    <w:rsid w:val="00B17FBD"/>
    <w:rsid w:val="00B25DE3"/>
    <w:rsid w:val="00B30320"/>
    <w:rsid w:val="00B315A6"/>
    <w:rsid w:val="00B31813"/>
    <w:rsid w:val="00B33365"/>
    <w:rsid w:val="00B40C4A"/>
    <w:rsid w:val="00B444A5"/>
    <w:rsid w:val="00B57B36"/>
    <w:rsid w:val="00B57E6F"/>
    <w:rsid w:val="00B6656E"/>
    <w:rsid w:val="00B702E2"/>
    <w:rsid w:val="00B8686D"/>
    <w:rsid w:val="00B93F69"/>
    <w:rsid w:val="00B951F0"/>
    <w:rsid w:val="00BB1DDC"/>
    <w:rsid w:val="00BC21AD"/>
    <w:rsid w:val="00BC30C9"/>
    <w:rsid w:val="00BC5719"/>
    <w:rsid w:val="00BD077D"/>
    <w:rsid w:val="00BE3E58"/>
    <w:rsid w:val="00BF1043"/>
    <w:rsid w:val="00BF13CE"/>
    <w:rsid w:val="00C01616"/>
    <w:rsid w:val="00C0162B"/>
    <w:rsid w:val="00C06498"/>
    <w:rsid w:val="00C068ED"/>
    <w:rsid w:val="00C22E0C"/>
    <w:rsid w:val="00C2735D"/>
    <w:rsid w:val="00C345B1"/>
    <w:rsid w:val="00C40142"/>
    <w:rsid w:val="00C461F1"/>
    <w:rsid w:val="00C52C3C"/>
    <w:rsid w:val="00C53BC0"/>
    <w:rsid w:val="00C57182"/>
    <w:rsid w:val="00C57863"/>
    <w:rsid w:val="00C640AF"/>
    <w:rsid w:val="00C64B63"/>
    <w:rsid w:val="00C655FD"/>
    <w:rsid w:val="00C75407"/>
    <w:rsid w:val="00C841C6"/>
    <w:rsid w:val="00C870A8"/>
    <w:rsid w:val="00C918E7"/>
    <w:rsid w:val="00C91CDD"/>
    <w:rsid w:val="00C94434"/>
    <w:rsid w:val="00C965E8"/>
    <w:rsid w:val="00CA0D75"/>
    <w:rsid w:val="00CA1C95"/>
    <w:rsid w:val="00CA5A9C"/>
    <w:rsid w:val="00CB0372"/>
    <w:rsid w:val="00CC1B92"/>
    <w:rsid w:val="00CC4C20"/>
    <w:rsid w:val="00CD2ACA"/>
    <w:rsid w:val="00CD3517"/>
    <w:rsid w:val="00CD5FE2"/>
    <w:rsid w:val="00CE24E9"/>
    <w:rsid w:val="00CE7C68"/>
    <w:rsid w:val="00CF14D4"/>
    <w:rsid w:val="00D02B4C"/>
    <w:rsid w:val="00D040C4"/>
    <w:rsid w:val="00D04484"/>
    <w:rsid w:val="00D20AD1"/>
    <w:rsid w:val="00D20F61"/>
    <w:rsid w:val="00D2582C"/>
    <w:rsid w:val="00D411BD"/>
    <w:rsid w:val="00D45CAA"/>
    <w:rsid w:val="00D46B7E"/>
    <w:rsid w:val="00D57C84"/>
    <w:rsid w:val="00D6057D"/>
    <w:rsid w:val="00D71640"/>
    <w:rsid w:val="00D836C5"/>
    <w:rsid w:val="00D84576"/>
    <w:rsid w:val="00D95CEA"/>
    <w:rsid w:val="00DA1399"/>
    <w:rsid w:val="00DA24C6"/>
    <w:rsid w:val="00DA4D7B"/>
    <w:rsid w:val="00DC2840"/>
    <w:rsid w:val="00DC477D"/>
    <w:rsid w:val="00DC73EE"/>
    <w:rsid w:val="00DC77A6"/>
    <w:rsid w:val="00DD271C"/>
    <w:rsid w:val="00DD5BDE"/>
    <w:rsid w:val="00DE264A"/>
    <w:rsid w:val="00DE7900"/>
    <w:rsid w:val="00DF1A49"/>
    <w:rsid w:val="00DF5072"/>
    <w:rsid w:val="00E02D18"/>
    <w:rsid w:val="00E041E7"/>
    <w:rsid w:val="00E23CA1"/>
    <w:rsid w:val="00E3066B"/>
    <w:rsid w:val="00E3447A"/>
    <w:rsid w:val="00E34B51"/>
    <w:rsid w:val="00E3685E"/>
    <w:rsid w:val="00E409A8"/>
    <w:rsid w:val="00E44D7C"/>
    <w:rsid w:val="00E50C12"/>
    <w:rsid w:val="00E50DAE"/>
    <w:rsid w:val="00E65B91"/>
    <w:rsid w:val="00E7209D"/>
    <w:rsid w:val="00E72EAD"/>
    <w:rsid w:val="00E77223"/>
    <w:rsid w:val="00E8528B"/>
    <w:rsid w:val="00E85B94"/>
    <w:rsid w:val="00E978D0"/>
    <w:rsid w:val="00EA0084"/>
    <w:rsid w:val="00EA4613"/>
    <w:rsid w:val="00EA7F91"/>
    <w:rsid w:val="00EB1523"/>
    <w:rsid w:val="00EC0E49"/>
    <w:rsid w:val="00EC101F"/>
    <w:rsid w:val="00EC1D9F"/>
    <w:rsid w:val="00EC7C53"/>
    <w:rsid w:val="00ED1CB3"/>
    <w:rsid w:val="00EE0131"/>
    <w:rsid w:val="00EE0754"/>
    <w:rsid w:val="00EE17B0"/>
    <w:rsid w:val="00EE2EB3"/>
    <w:rsid w:val="00EF06D9"/>
    <w:rsid w:val="00F049D3"/>
    <w:rsid w:val="00F20E41"/>
    <w:rsid w:val="00F27EE4"/>
    <w:rsid w:val="00F3049E"/>
    <w:rsid w:val="00F30C64"/>
    <w:rsid w:val="00F32BA2"/>
    <w:rsid w:val="00F32CDB"/>
    <w:rsid w:val="00F41EE4"/>
    <w:rsid w:val="00F468BD"/>
    <w:rsid w:val="00F565FE"/>
    <w:rsid w:val="00F63A70"/>
    <w:rsid w:val="00F63D8C"/>
    <w:rsid w:val="00F7534E"/>
    <w:rsid w:val="00F8085A"/>
    <w:rsid w:val="00F8088F"/>
    <w:rsid w:val="00F91CBC"/>
    <w:rsid w:val="00F93EDF"/>
    <w:rsid w:val="00FA1802"/>
    <w:rsid w:val="00FA21D0"/>
    <w:rsid w:val="00FA4EAD"/>
    <w:rsid w:val="00FA50C7"/>
    <w:rsid w:val="00FA5F5F"/>
    <w:rsid w:val="00FB42D7"/>
    <w:rsid w:val="00FB6ED9"/>
    <w:rsid w:val="00FB730C"/>
    <w:rsid w:val="00FC2695"/>
    <w:rsid w:val="00FC3E03"/>
    <w:rsid w:val="00FC3FC1"/>
    <w:rsid w:val="00FD2EA9"/>
    <w:rsid w:val="00FF270A"/>
    <w:rsid w:val="00FF34B6"/>
    <w:rsid w:val="00FF6D5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aliases w:val=" Car Car Car, Car Car Car Car, Car Car Car Car Car, Car2, Car3,Caption_0,Car2,Légende Car Car,Légende Car1,Légende Car1 Car,Légende Car1 Car Car Car,Légende Car1 Car1 Car,Légende Car2 Car,Légende Car3,Légende1,Légende1 Car Car,annexes,annexes m"/>
    <w:basedOn w:val="Normal"/>
    <w:next w:val="Normal"/>
    <w:link w:val="LgendeCar"/>
    <w:uiPriority w:val="35"/>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link w:val="ParagraphedelisteCar"/>
    <w:uiPriority w:val="34"/>
    <w:qFormat/>
    <w:rsid w:val="00280FAF"/>
    <w:pPr>
      <w:ind w:left="720"/>
      <w:contextualSpacing/>
    </w:pPr>
  </w:style>
  <w:style w:type="character" w:customStyle="1" w:styleId="gmail-apple-converted-space">
    <w:name w:val="gmail-apple-converted-space"/>
    <w:basedOn w:val="Policepardfaut"/>
    <w:rsid w:val="00005A19"/>
  </w:style>
  <w:style w:type="character" w:customStyle="1" w:styleId="ParagraphedelisteCar">
    <w:name w:val="Paragraphe de liste Car"/>
    <w:basedOn w:val="Policepardfaut"/>
    <w:link w:val="Paragraphedeliste"/>
    <w:uiPriority w:val="34"/>
    <w:rsid w:val="009A5586"/>
    <w:rPr>
      <w:rFonts w:ascii="Arial" w:eastAsia="Times New Roman" w:hAnsi="Arial" w:cs="Times New Roman"/>
      <w:sz w:val="18"/>
      <w:szCs w:val="20"/>
      <w:lang w:val="en-GB"/>
    </w:rPr>
  </w:style>
  <w:style w:type="character" w:customStyle="1" w:styleId="LgendeCar">
    <w:name w:val="Légende Car"/>
    <w:aliases w:val=" Car Car Car Car1, Car Car Car Car Car1, Car Car Car Car Car Car, Car2 Car, Car3 Car,Caption_0 Car,Car2 Car,Légende Car Car Car,Légende Car1 Car1,Légende Car1 Car Car,Légende Car1 Car Car Car Car,Légende Car1 Car1 Car Car,Légende Car3 Car"/>
    <w:basedOn w:val="Policepardfaut"/>
    <w:link w:val="Lgende"/>
    <w:uiPriority w:val="35"/>
    <w:rsid w:val="00BC21AD"/>
    <w:rPr>
      <w:rFonts w:ascii="Arial" w:eastAsia="Times New Roman" w:hAnsi="Arial" w:cs="Times New Roman"/>
      <w:b/>
      <w:bCs/>
      <w:color w:val="4F81BD" w:themeColor="accent1"/>
      <w:sz w:val="18"/>
      <w:szCs w:val="18"/>
      <w:lang w:val="en-GB"/>
    </w:rPr>
  </w:style>
  <w:style w:type="character" w:styleId="Lienhypertextesuivivisit">
    <w:name w:val="FollowedHyperlink"/>
    <w:basedOn w:val="Policepardfaut"/>
    <w:uiPriority w:val="99"/>
    <w:semiHidden/>
    <w:unhideWhenUsed/>
    <w:rsid w:val="00AD6FC8"/>
    <w:rPr>
      <w:color w:val="800080" w:themeColor="followedHyperlink"/>
      <w:u w:val="single"/>
    </w:rPr>
  </w:style>
  <w:style w:type="paragraph" w:styleId="Rvision">
    <w:name w:val="Revision"/>
    <w:hidden/>
    <w:uiPriority w:val="99"/>
    <w:semiHidden/>
    <w:rsid w:val="00150AEE"/>
    <w:pPr>
      <w:spacing w:after="0" w:line="240" w:lineRule="auto"/>
    </w:pPr>
    <w:rPr>
      <w:rFonts w:ascii="Arial" w:eastAsia="Times New Roman" w:hAnsi="Arial" w:cs="Times New Roman"/>
      <w:sz w:val="18"/>
      <w:szCs w:val="20"/>
      <w:lang w:val="en-GB"/>
    </w:rPr>
  </w:style>
  <w:style w:type="paragraph" w:customStyle="1" w:styleId="EndNoteBibliographyTitle">
    <w:name w:val="EndNote Bibliography Title"/>
    <w:basedOn w:val="Normal"/>
    <w:link w:val="EndNoteBibliographyTitleCar"/>
    <w:rsid w:val="00DC477D"/>
    <w:pPr>
      <w:jc w:val="center"/>
    </w:pPr>
    <w:rPr>
      <w:rFonts w:cs="Arial"/>
      <w:noProof/>
      <w:sz w:val="20"/>
      <w:lang w:val="en-US"/>
    </w:rPr>
  </w:style>
  <w:style w:type="character" w:customStyle="1" w:styleId="EndNoteBibliographyTitleCar">
    <w:name w:val="EndNote Bibliography Title Car"/>
    <w:basedOn w:val="CETBodytextCarattere"/>
    <w:link w:val="EndNoteBibliographyTitle"/>
    <w:rsid w:val="00DC477D"/>
    <w:rPr>
      <w:rFonts w:ascii="Arial" w:eastAsia="Times New Roman" w:hAnsi="Arial" w:cs="Arial"/>
      <w:noProof/>
      <w:sz w:val="20"/>
      <w:szCs w:val="20"/>
      <w:lang w:val="en-US"/>
    </w:rPr>
  </w:style>
  <w:style w:type="paragraph" w:customStyle="1" w:styleId="EndNoteBibliography">
    <w:name w:val="EndNote Bibliography"/>
    <w:basedOn w:val="Normal"/>
    <w:link w:val="EndNoteBibliographyCar"/>
    <w:rsid w:val="00DC477D"/>
    <w:pPr>
      <w:spacing w:line="240" w:lineRule="auto"/>
      <w:jc w:val="left"/>
    </w:pPr>
    <w:rPr>
      <w:rFonts w:cs="Arial"/>
      <w:noProof/>
      <w:sz w:val="20"/>
      <w:lang w:val="en-US"/>
    </w:rPr>
  </w:style>
  <w:style w:type="character" w:customStyle="1" w:styleId="EndNoteBibliographyCar">
    <w:name w:val="EndNote Bibliography Car"/>
    <w:basedOn w:val="CETBodytextCarattere"/>
    <w:link w:val="EndNoteBibliography"/>
    <w:rsid w:val="00DC477D"/>
    <w:rPr>
      <w:rFonts w:ascii="Arial" w:eastAsia="Times New Roman" w:hAnsi="Arial" w:cs="Arial"/>
      <w:noProof/>
      <w:sz w:val="20"/>
      <w:szCs w:val="20"/>
      <w:lang w:val="en-US"/>
    </w:rPr>
  </w:style>
  <w:style w:type="character" w:styleId="Mentionnonrsolue">
    <w:name w:val="Unresolved Mention"/>
    <w:basedOn w:val="Policepardfaut"/>
    <w:uiPriority w:val="99"/>
    <w:semiHidden/>
    <w:unhideWhenUsed/>
    <w:rsid w:val="00965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54303">
      <w:bodyDiv w:val="1"/>
      <w:marLeft w:val="0"/>
      <w:marRight w:val="0"/>
      <w:marTop w:val="0"/>
      <w:marBottom w:val="0"/>
      <w:divBdr>
        <w:top w:val="none" w:sz="0" w:space="0" w:color="auto"/>
        <w:left w:val="none" w:sz="0" w:space="0" w:color="auto"/>
        <w:bottom w:val="none" w:sz="0" w:space="0" w:color="auto"/>
        <w:right w:val="none" w:sz="0" w:space="0" w:color="auto"/>
      </w:divBdr>
      <w:divsChild>
        <w:div w:id="944727035">
          <w:marLeft w:val="0"/>
          <w:marRight w:val="0"/>
          <w:marTop w:val="0"/>
          <w:marBottom w:val="0"/>
          <w:divBdr>
            <w:top w:val="single" w:sz="6" w:space="0" w:color="E5E8EC"/>
            <w:left w:val="single" w:sz="6" w:space="0" w:color="E5E8EC"/>
            <w:bottom w:val="single" w:sz="6" w:space="0" w:color="E5E8EC"/>
            <w:right w:val="single" w:sz="6" w:space="0" w:color="E5E8EC"/>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https://storagewiki.epri.com/index.php/BESS_Failure_Event_Databa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3226</Words>
  <Characters>17743</Characters>
  <Application>Microsoft Office Word</Application>
  <DocSecurity>0</DocSecurity>
  <Lines>147</Lines>
  <Paragraphs>41</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TRUCHOT Benjamin</cp:lastModifiedBy>
  <cp:revision>2</cp:revision>
  <cp:lastPrinted>2015-05-12T18:31:00Z</cp:lastPrinted>
  <dcterms:created xsi:type="dcterms:W3CDTF">2025-03-18T14:00:00Z</dcterms:created>
  <dcterms:modified xsi:type="dcterms:W3CDTF">2025-03-18T14:00:00Z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