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216E5C">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216E5C">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216E5C">
        <w:trPr>
          <w:trHeight w:val="68"/>
          <w:jc w:val="center"/>
        </w:trPr>
        <w:tc>
          <w:tcPr>
            <w:tcW w:w="8782" w:type="dxa"/>
            <w:gridSpan w:val="2"/>
          </w:tcPr>
          <w:p w14:paraId="30F07041" w14:textId="717040BE"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24CA2151" w:rsidR="00E978D0" w:rsidRPr="00B57B36" w:rsidRDefault="00216E5C" w:rsidP="00E978D0">
      <w:pPr>
        <w:pStyle w:val="CETTitle"/>
      </w:pPr>
      <w:r w:rsidRPr="00216E5C">
        <w:t xml:space="preserve">Development of a Resilience Enhancement Model based on the Pandemic Experience in Industrial Contexts </w:t>
      </w:r>
    </w:p>
    <w:p w14:paraId="3E89F80C" w14:textId="57ABBCAE" w:rsidR="00216E5C" w:rsidRPr="00650BCF" w:rsidRDefault="00216E5C" w:rsidP="00216E5C">
      <w:pPr>
        <w:pStyle w:val="CETAuthors"/>
        <w:rPr>
          <w:vertAlign w:val="superscript"/>
        </w:rPr>
      </w:pPr>
      <w:r w:rsidRPr="00650BCF">
        <w:t>Bruno Fabiano</w:t>
      </w:r>
      <w:r w:rsidRPr="00650BCF">
        <w:rPr>
          <w:vertAlign w:val="superscript"/>
        </w:rPr>
        <w:t>a</w:t>
      </w:r>
      <w:r w:rsidRPr="00650BCF">
        <w:t>*</w:t>
      </w:r>
      <w:r w:rsidRPr="00650BCF">
        <w:rPr>
          <w:vertAlign w:val="superscript"/>
        </w:rPr>
        <w:t xml:space="preserve"> </w:t>
      </w:r>
      <w:r w:rsidRPr="00650BCF">
        <w:t>Ales Bernatik</w:t>
      </w:r>
      <w:r w:rsidRPr="00650BCF">
        <w:rPr>
          <w:vertAlign w:val="superscript"/>
        </w:rPr>
        <w:t>b</w:t>
      </w:r>
      <w:r w:rsidRPr="00650BCF">
        <w:t>, Vesna Spasojević Brkić</w:t>
      </w:r>
      <w:r w:rsidRPr="00650BCF">
        <w:rPr>
          <w:vertAlign w:val="superscript"/>
        </w:rPr>
        <w:t>c</w:t>
      </w:r>
      <w:r w:rsidRPr="00650BCF">
        <w:t>, Pavel Danihelka</w:t>
      </w:r>
      <w:r w:rsidRPr="00650BCF">
        <w:rPr>
          <w:vertAlign w:val="superscript"/>
        </w:rPr>
        <w:t>b</w:t>
      </w:r>
      <w:r w:rsidRPr="00650BCF">
        <w:t>, Maria Francesca Milazzo</w:t>
      </w:r>
      <w:r w:rsidRPr="00650BCF">
        <w:rPr>
          <w:vertAlign w:val="superscript"/>
        </w:rPr>
        <w:t>d</w:t>
      </w:r>
      <w:r w:rsidRPr="00650BCF">
        <w:t>,Tomaso Vairo</w:t>
      </w:r>
      <w:r w:rsidRPr="00650BCF">
        <w:rPr>
          <w:vertAlign w:val="superscript"/>
        </w:rPr>
        <w:t>a</w:t>
      </w:r>
      <w:r w:rsidR="00D906A3" w:rsidRPr="00650BCF">
        <w:t>, Maria Rosaria Vallerotonda</w:t>
      </w:r>
      <w:r w:rsidR="00D906A3" w:rsidRPr="00650BCF">
        <w:rPr>
          <w:vertAlign w:val="superscript"/>
        </w:rPr>
        <w:t>e</w:t>
      </w:r>
    </w:p>
    <w:p w14:paraId="23B9B5F8" w14:textId="77777777" w:rsidR="00216E5C" w:rsidRPr="00650BCF" w:rsidRDefault="00216E5C" w:rsidP="00D906A3">
      <w:pPr>
        <w:tabs>
          <w:tab w:val="clear" w:pos="7100"/>
        </w:tabs>
        <w:spacing w:after="60" w:line="276" w:lineRule="auto"/>
        <w:rPr>
          <w:rFonts w:eastAsia="Aptos" w:cs="Arial"/>
          <w:kern w:val="2"/>
          <w:sz w:val="16"/>
          <w:szCs w:val="16"/>
          <w14:ligatures w14:val="standardContextual"/>
        </w:rPr>
      </w:pPr>
      <w:r w:rsidRPr="00650BCF">
        <w:rPr>
          <w:rFonts w:eastAsia="Aptos" w:cs="Arial"/>
          <w:kern w:val="2"/>
          <w:sz w:val="16"/>
          <w:szCs w:val="16"/>
          <w:vertAlign w:val="superscript"/>
          <w14:ligatures w14:val="standardContextual"/>
        </w:rPr>
        <w:t>a</w:t>
      </w:r>
      <w:r w:rsidRPr="00650BCF">
        <w:rPr>
          <w:rFonts w:eastAsia="Aptos" w:cs="Arial"/>
          <w:kern w:val="2"/>
          <w:sz w:val="16"/>
          <w:szCs w:val="16"/>
          <w14:ligatures w14:val="standardContextual"/>
        </w:rPr>
        <w:t>DICCA – Civil, Chemical and Environmental Engineering Dept. – Genova University, Via Opera Pia 15, 16145 Genova, Italy</w:t>
      </w:r>
    </w:p>
    <w:p w14:paraId="4EEE7725" w14:textId="482318C6" w:rsidR="00216E5C" w:rsidRPr="00650BCF" w:rsidRDefault="00216E5C" w:rsidP="00D906A3">
      <w:pPr>
        <w:spacing w:after="60" w:line="276" w:lineRule="auto"/>
        <w:rPr>
          <w:rFonts w:eastAsia="Aptos" w:cs="Arial"/>
          <w:kern w:val="2"/>
          <w:sz w:val="16"/>
          <w:szCs w:val="16"/>
          <w14:ligatures w14:val="standardContextual"/>
        </w:rPr>
      </w:pPr>
      <w:r w:rsidRPr="00650BCF">
        <w:rPr>
          <w:rFonts w:cs="Arial"/>
          <w:sz w:val="16"/>
          <w:szCs w:val="16"/>
          <w:vertAlign w:val="superscript"/>
        </w:rPr>
        <w:t>b</w:t>
      </w:r>
      <w:r w:rsidRPr="00650BCF">
        <w:rPr>
          <w:rFonts w:eastAsia="Aptos" w:cs="Arial"/>
          <w:kern w:val="2"/>
          <w:sz w:val="16"/>
          <w:szCs w:val="16"/>
          <w14:ligatures w14:val="standardContextual"/>
        </w:rPr>
        <w:t>VŠB-Technical University of Ostrava, Ostrava, Czech Republic.</w:t>
      </w:r>
    </w:p>
    <w:p w14:paraId="2D5DA0E2" w14:textId="057A3395" w:rsidR="00216E5C" w:rsidRPr="00216E5C" w:rsidRDefault="00216E5C" w:rsidP="00D906A3">
      <w:pPr>
        <w:tabs>
          <w:tab w:val="clear" w:pos="7100"/>
        </w:tabs>
        <w:spacing w:after="60" w:line="276" w:lineRule="auto"/>
        <w:rPr>
          <w:rFonts w:eastAsia="Aptos" w:cs="Arial"/>
          <w:kern w:val="2"/>
          <w:sz w:val="16"/>
          <w:szCs w:val="16"/>
          <w14:ligatures w14:val="standardContextual"/>
        </w:rPr>
      </w:pPr>
      <w:r w:rsidRPr="00216E5C">
        <w:rPr>
          <w:rFonts w:eastAsia="Aptos" w:cs="Arial"/>
          <w:kern w:val="2"/>
          <w:sz w:val="16"/>
          <w:szCs w:val="16"/>
          <w:vertAlign w:val="superscript"/>
          <w14:ligatures w14:val="standardContextual"/>
        </w:rPr>
        <w:t>c</w:t>
      </w:r>
      <w:r w:rsidRPr="00216E5C">
        <w:rPr>
          <w:rFonts w:eastAsia="Aptos" w:cs="Arial"/>
          <w:kern w:val="2"/>
          <w:sz w:val="16"/>
          <w:szCs w:val="16"/>
          <w14:ligatures w14:val="standardContextual"/>
        </w:rPr>
        <w:t xml:space="preserve">University of Belgrade-Faculty of Mechanical Engineering, Belgrade, Serbia. </w:t>
      </w:r>
    </w:p>
    <w:p w14:paraId="7BF1BACA" w14:textId="2E98304D" w:rsidR="00216E5C" w:rsidRPr="00216E5C" w:rsidRDefault="00216E5C" w:rsidP="00D906A3">
      <w:pPr>
        <w:tabs>
          <w:tab w:val="clear" w:pos="7100"/>
        </w:tabs>
        <w:spacing w:after="60" w:line="276" w:lineRule="auto"/>
        <w:rPr>
          <w:rFonts w:eastAsia="Aptos" w:cs="Arial"/>
          <w:kern w:val="2"/>
          <w:sz w:val="16"/>
          <w:szCs w:val="16"/>
          <w14:ligatures w14:val="standardContextual"/>
        </w:rPr>
      </w:pPr>
      <w:r w:rsidRPr="00D906A3">
        <w:rPr>
          <w:rFonts w:eastAsia="Aptos" w:cs="Arial"/>
          <w:kern w:val="2"/>
          <w:sz w:val="16"/>
          <w:szCs w:val="16"/>
          <w:vertAlign w:val="superscript"/>
          <w14:ligatures w14:val="standardContextual"/>
        </w:rPr>
        <w:t>d</w:t>
      </w:r>
      <w:r w:rsidR="00D906A3" w:rsidRPr="00D906A3">
        <w:rPr>
          <w:rFonts w:eastAsia="Aptos" w:cs="Arial"/>
          <w:kern w:val="2"/>
          <w:sz w:val="16"/>
          <w:szCs w:val="16"/>
          <w14:ligatures w14:val="standardContextual"/>
        </w:rPr>
        <w:t xml:space="preserve"> </w:t>
      </w:r>
      <w:r w:rsidR="00D906A3" w:rsidRPr="00216E5C">
        <w:rPr>
          <w:rFonts w:eastAsia="Aptos" w:cs="Arial"/>
          <w:kern w:val="2"/>
          <w:sz w:val="16"/>
          <w:szCs w:val="16"/>
          <w14:ligatures w14:val="standardContextual"/>
        </w:rPr>
        <w:t xml:space="preserve">Department of </w:t>
      </w:r>
      <w:r w:rsidR="00D906A3" w:rsidRPr="00D906A3">
        <w:rPr>
          <w:rFonts w:eastAsia="Aptos" w:cs="Arial"/>
          <w:kern w:val="2"/>
          <w:sz w:val="16"/>
          <w:szCs w:val="16"/>
          <w14:ligatures w14:val="standardContextual"/>
        </w:rPr>
        <w:t>Engineering</w:t>
      </w:r>
      <w:r w:rsidRPr="00216E5C">
        <w:rPr>
          <w:rFonts w:eastAsia="Aptos" w:cs="Arial"/>
          <w:kern w:val="2"/>
          <w:sz w:val="16"/>
          <w:szCs w:val="16"/>
          <w14:ligatures w14:val="standardContextual"/>
        </w:rPr>
        <w:t>, Universit</w:t>
      </w:r>
      <w:r w:rsidR="00D906A3" w:rsidRPr="00D906A3">
        <w:rPr>
          <w:rFonts w:eastAsia="Aptos" w:cs="Arial"/>
          <w:kern w:val="2"/>
          <w:sz w:val="16"/>
          <w:szCs w:val="16"/>
          <w14:ligatures w14:val="standardContextual"/>
        </w:rPr>
        <w:t>y</w:t>
      </w:r>
      <w:r w:rsidRPr="00216E5C">
        <w:rPr>
          <w:rFonts w:eastAsia="Aptos" w:cs="Arial"/>
          <w:kern w:val="2"/>
          <w:sz w:val="16"/>
          <w:szCs w:val="16"/>
          <w14:ligatures w14:val="standardContextual"/>
        </w:rPr>
        <w:t xml:space="preserve"> </w:t>
      </w:r>
      <w:r w:rsidR="00D906A3">
        <w:rPr>
          <w:rFonts w:eastAsia="Aptos" w:cs="Arial"/>
          <w:kern w:val="2"/>
          <w:sz w:val="16"/>
          <w:szCs w:val="16"/>
          <w14:ligatures w14:val="standardContextual"/>
        </w:rPr>
        <w:t>of</w:t>
      </w:r>
      <w:r w:rsidRPr="00216E5C">
        <w:rPr>
          <w:rFonts w:eastAsia="Aptos" w:cs="Arial"/>
          <w:kern w:val="2"/>
          <w:sz w:val="16"/>
          <w:szCs w:val="16"/>
          <w14:ligatures w14:val="standardContextual"/>
        </w:rPr>
        <w:t xml:space="preserve"> Messina, Contrada di Dio, 98166 Messina, Italy</w:t>
      </w:r>
    </w:p>
    <w:p w14:paraId="0397DC89" w14:textId="3BFC3C6C" w:rsidR="00216E5C" w:rsidRPr="00216E5C" w:rsidRDefault="00216E5C" w:rsidP="00D906A3">
      <w:pPr>
        <w:tabs>
          <w:tab w:val="clear" w:pos="7100"/>
        </w:tabs>
        <w:spacing w:after="60" w:line="276" w:lineRule="auto"/>
        <w:rPr>
          <w:rFonts w:eastAsia="Aptos" w:cs="Arial"/>
          <w:kern w:val="2"/>
          <w:sz w:val="16"/>
          <w:szCs w:val="16"/>
          <w14:ligatures w14:val="standardContextual"/>
        </w:rPr>
      </w:pPr>
      <w:r w:rsidRPr="00D906A3">
        <w:rPr>
          <w:rFonts w:eastAsia="Aptos" w:cs="Arial"/>
          <w:kern w:val="2"/>
          <w:sz w:val="16"/>
          <w:szCs w:val="16"/>
          <w:vertAlign w:val="superscript"/>
          <w14:ligatures w14:val="standardContextual"/>
        </w:rPr>
        <w:t>e</w:t>
      </w:r>
      <w:r w:rsidRPr="00216E5C">
        <w:rPr>
          <w:rFonts w:eastAsia="Aptos" w:cs="Arial"/>
          <w:kern w:val="2"/>
          <w:sz w:val="16"/>
          <w:szCs w:val="16"/>
          <w14:ligatures w14:val="standardContextual"/>
        </w:rPr>
        <w:t>Department of Innovation Technologies, INAIL, via R. Ferruzzi 38, 00143 Roma, Italy.</w:t>
      </w:r>
    </w:p>
    <w:p w14:paraId="73F1267A" w14:textId="7492B2BE" w:rsidR="00B57E6F" w:rsidRPr="00216E5C" w:rsidRDefault="00216E5C" w:rsidP="00D906A3">
      <w:pPr>
        <w:pStyle w:val="CETemail"/>
        <w:rPr>
          <w:rFonts w:cs="Arial"/>
          <w:szCs w:val="16"/>
          <w:lang w:val="en-US"/>
        </w:rPr>
      </w:pPr>
      <w:r w:rsidRPr="00216E5C">
        <w:rPr>
          <w:rFonts w:cs="Arial"/>
          <w:szCs w:val="16"/>
          <w:lang w:val="en-US"/>
        </w:rPr>
        <w:t>*brown@unige.it</w:t>
      </w:r>
      <w:r w:rsidR="00B57E6F" w:rsidRPr="00216E5C">
        <w:rPr>
          <w:rFonts w:cs="Arial"/>
          <w:szCs w:val="16"/>
          <w:lang w:val="en-US"/>
        </w:rPr>
        <w:t xml:space="preserve"> </w:t>
      </w:r>
    </w:p>
    <w:p w14:paraId="34851705" w14:textId="7BFE0C8B" w:rsidR="00D906A3" w:rsidRDefault="00D906A3" w:rsidP="00600535">
      <w:pPr>
        <w:pStyle w:val="CETBodytext"/>
        <w:rPr>
          <w:lang w:val="en-GB"/>
        </w:rPr>
      </w:pPr>
      <w:r w:rsidRPr="00D906A3">
        <w:rPr>
          <w:lang w:val="en-GB"/>
        </w:rPr>
        <w:t xml:space="preserve">After the COVID19 pandemic, the industrial process industry and the manufacturing sector experienced that the pandemic impact needs to be included among the unforeseen threats and the management, technology and internal policy must be developed through a resilience lens into mitigation, adaptation, and preventative measures. This paper examines the lessons learned from Covid-19 </w:t>
      </w:r>
      <w:r w:rsidR="00197C74" w:rsidRPr="00D906A3">
        <w:rPr>
          <w:lang w:val="en-GB"/>
        </w:rPr>
        <w:t>based on</w:t>
      </w:r>
      <w:r w:rsidRPr="00D906A3">
        <w:rPr>
          <w:lang w:val="en-GB"/>
        </w:rPr>
        <w:t xml:space="preserve"> pilot case studies in Italy, Serbia and Czech Republic, focusing on the claim “building back better” by developing resilient responses in process industries.</w:t>
      </w:r>
    </w:p>
    <w:p w14:paraId="476B2F2E" w14:textId="52B36035" w:rsidR="00600535" w:rsidRPr="00B57B36" w:rsidRDefault="00600535" w:rsidP="00600535">
      <w:pPr>
        <w:pStyle w:val="CETHeading1"/>
        <w:rPr>
          <w:lang w:val="en-GB"/>
        </w:rPr>
      </w:pPr>
      <w:r w:rsidRPr="00B57B36">
        <w:rPr>
          <w:lang w:val="en-GB"/>
        </w:rPr>
        <w:t>Introduction</w:t>
      </w:r>
    </w:p>
    <w:p w14:paraId="1AA28391" w14:textId="34561A0D" w:rsidR="009940CE" w:rsidRPr="003F55DB" w:rsidRDefault="009940CE" w:rsidP="00312D5B">
      <w:r w:rsidRPr="0082239E">
        <w:t>The emergency triggered by C</w:t>
      </w:r>
      <w:r w:rsidR="008A78C5">
        <w:t>OVID</w:t>
      </w:r>
      <w:r w:rsidRPr="0082239E">
        <w:t>-19 revealed that both the industrial processes and the manufacturing sector must include, among the unforeseen threats and external environmental stressors, the pandemic impact</w:t>
      </w:r>
      <w:r w:rsidR="001D0506">
        <w:t xml:space="preserve"> </w:t>
      </w:r>
      <w:r w:rsidR="0040445B">
        <w:t>(</w:t>
      </w:r>
      <w:r w:rsidR="001D0506">
        <w:t>Fabiano et al., 2024</w:t>
      </w:r>
      <w:r w:rsidR="0040445B">
        <w:t>)</w:t>
      </w:r>
      <w:r w:rsidRPr="0082239E">
        <w:t xml:space="preserve">. </w:t>
      </w:r>
      <w:r w:rsidR="00B01370">
        <w:t xml:space="preserve">The effectiveness of the </w:t>
      </w:r>
      <w:r w:rsidR="00B01370" w:rsidRPr="00B01370">
        <w:t xml:space="preserve">World Health Organization recommendations to mitigate the negative effect of COVID-19 on the operational, logistical, health and safety performance of workers </w:t>
      </w:r>
      <w:r w:rsidR="00B01370">
        <w:t>w</w:t>
      </w:r>
      <w:r w:rsidR="008A78C5">
        <w:t>as</w:t>
      </w:r>
      <w:r w:rsidR="00B01370">
        <w:t xml:space="preserve"> evaluated by statistical surveys in</w:t>
      </w:r>
      <w:r w:rsidR="00B01370" w:rsidRPr="00B01370">
        <w:t xml:space="preserve"> multinational industries</w:t>
      </w:r>
      <w:r w:rsidR="00B01370">
        <w:t xml:space="preserve"> (</w:t>
      </w:r>
      <w:r w:rsidR="00B01370" w:rsidRPr="00B01370">
        <w:t>Oliveira Neto</w:t>
      </w:r>
      <w:r w:rsidR="00B01370">
        <w:t xml:space="preserve"> et al.,2022)</w:t>
      </w:r>
      <w:r w:rsidR="00B01370" w:rsidRPr="00B01370">
        <w:t xml:space="preserve">. </w:t>
      </w:r>
      <w:r w:rsidR="008A78C5">
        <w:t xml:space="preserve">The </w:t>
      </w:r>
      <w:r w:rsidR="00912718">
        <w:t xml:space="preserve">COVID-19 crisis offered many learning opportunities to improve engineering risk management practices relying on </w:t>
      </w:r>
      <w:r w:rsidR="00912718" w:rsidRPr="00912718">
        <w:t>some of the techniques used in process safety analysis and risk mitigation in the pandemic risk management</w:t>
      </w:r>
      <w:r w:rsidR="00912718">
        <w:t xml:space="preserve"> (Alauddin et al., 2022). </w:t>
      </w:r>
      <w:r w:rsidR="00912718" w:rsidRPr="005C1627">
        <w:t>The objective of this work is to</w:t>
      </w:r>
      <w:r w:rsidR="00C41821" w:rsidRPr="005C1627">
        <w:t xml:space="preserve"> describe how the risk assessment techniques can be applied, and adapted, to pandemic risk management</w:t>
      </w:r>
      <w:r w:rsidR="00912718" w:rsidRPr="005C1627">
        <w:t xml:space="preserve">. </w:t>
      </w:r>
      <w:r w:rsidR="0040445B">
        <w:t>Following the reasoning of Duchek (2020),</w:t>
      </w:r>
      <w:r w:rsidRPr="0082239E">
        <w:t xml:space="preserve"> Organizational Resilience (OR) is the ability of an organization to anticipate, prepare for, respond, and adapt to incremental changes and sudden disruptions to survive and prosper. OR can be obtained by proper</w:t>
      </w:r>
      <w:r w:rsidR="008A78C5">
        <w:t>ly</w:t>
      </w:r>
      <w:r w:rsidRPr="0082239E">
        <w:t xml:space="preserve"> balancing preventative control, mindful action, performance optimisation and adaptive innovation, as well </w:t>
      </w:r>
      <w:r w:rsidR="008A78C5">
        <w:t>a</w:t>
      </w:r>
      <w:r w:rsidRPr="0082239E">
        <w:t>s managing the tensions inherent to these distinct perspectives</w:t>
      </w:r>
      <w:r w:rsidR="00C41821">
        <w:t xml:space="preserve"> </w:t>
      </w:r>
      <w:r w:rsidR="00C41821" w:rsidRPr="005C1627">
        <w:t>(Bragatto et al., 2021)</w:t>
      </w:r>
      <w:r w:rsidRPr="005C1627">
        <w:t xml:space="preserve">. </w:t>
      </w:r>
      <w:r w:rsidRPr="0082239E">
        <w:t>The research focuses on developing a conceptual model for the organizational resilience evaluation for different industrial sectors covering manufacturing and the process industry and relying on the experience gained during the first and second waves of the pandemic emergency. In this regard, as an overall safety umbrella, the organizational resilience assessment and setting</w:t>
      </w:r>
      <w:r w:rsidR="008A78C5">
        <w:t xml:space="preserve"> </w:t>
      </w:r>
      <w:r w:rsidRPr="0082239E">
        <w:t>up resilience indicators can support business continuity and help deal with unexpected events, absorbing the disruptive potential. The methodology adopted within the research was based on the identification of industrial sectors and activities liable to be impacted by pandemic</w:t>
      </w:r>
      <w:r w:rsidR="00ED0B90">
        <w:t>, on the development</w:t>
      </w:r>
      <w:r w:rsidRPr="0082239E">
        <w:t xml:space="preserve"> of </w:t>
      </w:r>
      <w:r w:rsidR="00ED0B90">
        <w:t xml:space="preserve">the </w:t>
      </w:r>
      <w:r w:rsidRPr="0082239E">
        <w:t>O</w:t>
      </w:r>
      <w:r w:rsidR="00B85CD0">
        <w:t>R</w:t>
      </w:r>
      <w:r w:rsidRPr="0082239E">
        <w:t xml:space="preserve"> </w:t>
      </w:r>
      <w:r w:rsidR="00ED0B90" w:rsidRPr="0082239E">
        <w:t>checklist</w:t>
      </w:r>
      <w:r w:rsidRPr="0082239E">
        <w:t xml:space="preserve"> and the design and elaboration of </w:t>
      </w:r>
      <w:r w:rsidR="00441B20">
        <w:t>tailored</w:t>
      </w:r>
      <w:r w:rsidRPr="0082239E">
        <w:t xml:space="preserve"> questionnaire</w:t>
      </w:r>
      <w:r w:rsidR="00B85CD0">
        <w:t>s</w:t>
      </w:r>
      <w:r w:rsidRPr="0082239E">
        <w:t>. By using selected case</w:t>
      </w:r>
      <w:r w:rsidR="000E64C7">
        <w:t>-</w:t>
      </w:r>
      <w:r w:rsidRPr="0082239E">
        <w:t xml:space="preserve">studies </w:t>
      </w:r>
      <w:r w:rsidR="0096037C">
        <w:t xml:space="preserve">covering both the manufacturing and the process sector </w:t>
      </w:r>
      <w:r w:rsidRPr="0082239E">
        <w:t xml:space="preserve">in three countries (Italy, Serbia and </w:t>
      </w:r>
      <w:r w:rsidR="00A46917">
        <w:t xml:space="preserve">the </w:t>
      </w:r>
      <w:r w:rsidRPr="0082239E">
        <w:t>Czech Republic), a Systemic Resilience Model (SRM) has been developed by a data</w:t>
      </w:r>
      <w:r w:rsidR="0096037C">
        <w:t>-</w:t>
      </w:r>
      <w:r w:rsidRPr="0082239E">
        <w:t>driven approach identifying the significant precursors of an accident, or near miss under pandemic condition.</w:t>
      </w:r>
      <w:r w:rsidR="0040445B">
        <w:t xml:space="preserve"> </w:t>
      </w:r>
      <w:r w:rsidRPr="003F55DB">
        <w:t>The SAFERA</w:t>
      </w:r>
      <w:r w:rsidR="0040445B">
        <w:t xml:space="preserve"> project</w:t>
      </w:r>
      <w:r w:rsidRPr="003F55DB">
        <w:t xml:space="preserve"> RESilience enhancement MODel along with related studies, aims to analyse organizational causality and optimize resilience in dynamic business environments </w:t>
      </w:r>
      <w:r w:rsidR="00B85CD0">
        <w:lastRenderedPageBreak/>
        <w:t>(</w:t>
      </w:r>
      <w:r w:rsidR="00C1762C">
        <w:t>UniGe</w:t>
      </w:r>
      <w:r w:rsidR="007A2C8A">
        <w:t>,</w:t>
      </w:r>
      <w:r>
        <w:t xml:space="preserve"> 202</w:t>
      </w:r>
      <w:r w:rsidR="007A2C8A">
        <w:t>4</w:t>
      </w:r>
      <w:r w:rsidR="00B85CD0">
        <w:t>)</w:t>
      </w:r>
      <w:r w:rsidRPr="003F55DB">
        <w:t>. In an era of increasing uncertainty and rapid change, organizational resilience has become a critical factor for long-term success and sustainability. This paper presents an overview of the project's methodology, key findings, and implications for organizational decision-making, incorporating insights from multiple related studies</w:t>
      </w:r>
      <w:r w:rsidR="00312D5B">
        <w:t xml:space="preserve">, evidencing </w:t>
      </w:r>
      <w:r w:rsidR="00A34233">
        <w:t xml:space="preserve">among other issues, </w:t>
      </w:r>
      <w:r w:rsidR="00197C74">
        <w:t xml:space="preserve">that </w:t>
      </w:r>
      <w:r w:rsidR="00197C74" w:rsidRPr="00312D5B">
        <w:t>digitization</w:t>
      </w:r>
      <w:r w:rsidR="00312D5B" w:rsidRPr="00312D5B">
        <w:t xml:space="preserve">, AI and system approach will be of help, but human thinking remains </w:t>
      </w:r>
      <w:r w:rsidR="00197C74">
        <w:t>“</w:t>
      </w:r>
      <w:r w:rsidR="00312D5B" w:rsidRPr="00312D5B">
        <w:t>conditio sine qua non”</w:t>
      </w:r>
      <w:r w:rsidR="00197C74">
        <w:t xml:space="preserve"> (Pasman et al., 2024)</w:t>
      </w:r>
      <w:r w:rsidR="00312D5B" w:rsidRPr="00312D5B">
        <w:t>.</w:t>
      </w:r>
    </w:p>
    <w:p w14:paraId="30671329" w14:textId="075DA294" w:rsidR="009940CE" w:rsidRPr="003F55DB" w:rsidRDefault="009940CE" w:rsidP="009940CE"/>
    <w:p w14:paraId="5741900F" w14:textId="4272077C" w:rsidR="00453E24" w:rsidRDefault="001D0506" w:rsidP="0003335B">
      <w:pPr>
        <w:pStyle w:val="CETHeading1"/>
        <w:spacing w:before="0"/>
      </w:pPr>
      <w:r>
        <w:t>Methods</w:t>
      </w:r>
    </w:p>
    <w:p w14:paraId="07C40D89" w14:textId="038D3A73" w:rsidR="005B3C10" w:rsidRDefault="005B3C10" w:rsidP="005B3C10">
      <w:r w:rsidRPr="003F55DB">
        <w:t xml:space="preserve">The </w:t>
      </w:r>
      <w:r w:rsidR="00267E6B">
        <w:t>overall</w:t>
      </w:r>
      <w:r w:rsidRPr="003F55DB">
        <w:t xml:space="preserve"> project focus</w:t>
      </w:r>
      <w:r w:rsidR="0003335B">
        <w:t>es</w:t>
      </w:r>
      <w:r w:rsidRPr="003F55DB">
        <w:t xml:space="preserve"> on</w:t>
      </w:r>
      <w:r>
        <w:t xml:space="preserve"> three main aspects:</w:t>
      </w:r>
    </w:p>
    <w:p w14:paraId="5DF7045F" w14:textId="32CFF236" w:rsidR="00267E6B" w:rsidRDefault="005B3C10" w:rsidP="00267E6B">
      <w:pPr>
        <w:pStyle w:val="Paragrafoelenco"/>
        <w:numPr>
          <w:ilvl w:val="0"/>
          <w:numId w:val="35"/>
        </w:numPr>
        <w:spacing w:after="160" w:line="259" w:lineRule="auto"/>
        <w:jc w:val="left"/>
      </w:pPr>
      <w:r>
        <w:t xml:space="preserve">The </w:t>
      </w:r>
      <w:r w:rsidRPr="003F55DB">
        <w:t xml:space="preserve">four </w:t>
      </w:r>
      <w:r w:rsidR="00341524">
        <w:t>perspectives</w:t>
      </w:r>
      <w:r w:rsidR="00AA7D48">
        <w:t xml:space="preserve"> on OR strategy</w:t>
      </w:r>
      <w:r w:rsidR="00957C06">
        <w:t>,</w:t>
      </w:r>
      <w:r>
        <w:t xml:space="preserve"> </w:t>
      </w:r>
      <w:r w:rsidR="00341524">
        <w:t>a</w:t>
      </w:r>
      <w:r w:rsidR="00957C06">
        <w:t>s</w:t>
      </w:r>
      <w:r w:rsidR="00341524" w:rsidRPr="00C41821">
        <w:rPr>
          <w:color w:val="FF0000"/>
        </w:rPr>
        <w:t xml:space="preserve"> </w:t>
      </w:r>
      <w:r w:rsidR="00C41821" w:rsidRPr="007C2B99">
        <w:t>described</w:t>
      </w:r>
      <w:r w:rsidR="00341524" w:rsidRPr="007C2B99">
        <w:t xml:space="preserve"> in </w:t>
      </w:r>
      <w:r w:rsidR="00341524">
        <w:t>Bragatto et al. (2021)</w:t>
      </w:r>
      <w:r w:rsidR="00267E6B">
        <w:t xml:space="preserve">, i.e.: </w:t>
      </w:r>
      <w:r>
        <w:t>Performance Optimization</w:t>
      </w:r>
      <w:r w:rsidR="00267E6B">
        <w:t xml:space="preserve">; </w:t>
      </w:r>
      <w:r>
        <w:t>Adaptive Innovation</w:t>
      </w:r>
      <w:r w:rsidR="00267E6B">
        <w:t xml:space="preserve">; </w:t>
      </w:r>
      <w:r>
        <w:t>Preventative Control</w:t>
      </w:r>
      <w:r w:rsidR="00267E6B">
        <w:t xml:space="preserve"> and </w:t>
      </w:r>
      <w:r>
        <w:t>Mindful Action</w:t>
      </w:r>
      <w:r w:rsidR="00267E6B">
        <w:t>.</w:t>
      </w:r>
    </w:p>
    <w:p w14:paraId="6D61740F" w14:textId="4EAE5869" w:rsidR="00267E6B" w:rsidRDefault="00341524" w:rsidP="00267E6B">
      <w:pPr>
        <w:pStyle w:val="Paragrafoelenco"/>
        <w:numPr>
          <w:ilvl w:val="0"/>
          <w:numId w:val="35"/>
        </w:numPr>
        <w:spacing w:after="160" w:line="259" w:lineRule="auto"/>
        <w:jc w:val="left"/>
      </w:pPr>
      <w:r>
        <w:t xml:space="preserve">The four resilience </w:t>
      </w:r>
      <w:r w:rsidR="00AA7D48">
        <w:t>objectives</w:t>
      </w:r>
      <w:r>
        <w:t xml:space="preserve"> </w:t>
      </w:r>
      <w:r w:rsidR="00267E6B">
        <w:t>(</w:t>
      </w:r>
      <w:r>
        <w:t>Hollnagel et al., 2006</w:t>
      </w:r>
      <w:r w:rsidR="00267E6B">
        <w:t xml:space="preserve">), i.e., </w:t>
      </w:r>
      <w:r>
        <w:t>Monitor</w:t>
      </w:r>
      <w:r w:rsidR="00267E6B">
        <w:t xml:space="preserve">, </w:t>
      </w:r>
      <w:r>
        <w:t>Learn</w:t>
      </w:r>
      <w:r w:rsidR="00267E6B">
        <w:t xml:space="preserve">, </w:t>
      </w:r>
      <w:r>
        <w:t>Anticipate</w:t>
      </w:r>
      <w:r w:rsidR="00267E6B">
        <w:t xml:space="preserve"> and </w:t>
      </w:r>
      <w:r>
        <w:t>React</w:t>
      </w:r>
      <w:r w:rsidR="00267E6B">
        <w:t>.</w:t>
      </w:r>
    </w:p>
    <w:p w14:paraId="08BE2161" w14:textId="3270B0D4" w:rsidR="00341524" w:rsidRPr="003F55DB" w:rsidRDefault="00341524" w:rsidP="00267E6B">
      <w:pPr>
        <w:pStyle w:val="Paragrafoelenco"/>
        <w:numPr>
          <w:ilvl w:val="0"/>
          <w:numId w:val="35"/>
        </w:numPr>
        <w:spacing w:line="259" w:lineRule="auto"/>
        <w:ind w:left="714" w:hanging="357"/>
        <w:jc w:val="left"/>
      </w:pPr>
      <w:r>
        <w:t xml:space="preserve">The OR components </w:t>
      </w:r>
      <w:r w:rsidR="00B85CD0">
        <w:t xml:space="preserve">previously anticipated and </w:t>
      </w:r>
      <w:r w:rsidR="00267E6B">
        <w:t xml:space="preserve">validated by </w:t>
      </w:r>
      <w:r>
        <w:t xml:space="preserve">Markowski et al., </w:t>
      </w:r>
      <w:r w:rsidR="00267E6B">
        <w:t>(</w:t>
      </w:r>
      <w:r>
        <w:t>2021</w:t>
      </w:r>
      <w:r w:rsidR="00267E6B">
        <w:t xml:space="preserve">), i.e., </w:t>
      </w:r>
      <w:r>
        <w:t>Leadership and Safety Culture</w:t>
      </w:r>
      <w:r w:rsidR="00267E6B">
        <w:t xml:space="preserve">, </w:t>
      </w:r>
      <w:r>
        <w:t>Risk Awareness</w:t>
      </w:r>
      <w:r w:rsidR="00267E6B">
        <w:t xml:space="preserve">, </w:t>
      </w:r>
      <w:r>
        <w:t>Communication - Information Flow</w:t>
      </w:r>
      <w:r w:rsidR="00267E6B">
        <w:t xml:space="preserve">, </w:t>
      </w:r>
      <w:r>
        <w:t>Skill and Competencies</w:t>
      </w:r>
      <w:r w:rsidR="00267E6B">
        <w:t xml:space="preserve">, </w:t>
      </w:r>
      <w:r>
        <w:t>Action, Decision-making Process</w:t>
      </w:r>
      <w:r w:rsidR="00267E6B">
        <w:t xml:space="preserve">, </w:t>
      </w:r>
      <w:r>
        <w:t>External / Internal Circumstances</w:t>
      </w:r>
      <w:r w:rsidR="00267E6B">
        <w:t>.</w:t>
      </w:r>
    </w:p>
    <w:p w14:paraId="7F2D39F6" w14:textId="03347E04" w:rsidR="00AA7D48" w:rsidRDefault="005B3C10" w:rsidP="00AA7D48">
      <w:r w:rsidRPr="003F55DB">
        <w:t xml:space="preserve">These </w:t>
      </w:r>
      <w:r w:rsidR="00341524">
        <w:t>main aspects</w:t>
      </w:r>
      <w:r w:rsidRPr="003F55DB">
        <w:t xml:space="preserve"> form the foundation for developing strategies to enhance organizatio</w:t>
      </w:r>
      <w:r>
        <w:t xml:space="preserve">nal resilience and performance </w:t>
      </w:r>
      <w:r w:rsidR="00267E6B">
        <w:t>(</w:t>
      </w:r>
      <w:r w:rsidRPr="001D0506">
        <w:t>Markowski</w:t>
      </w:r>
      <w:r>
        <w:t xml:space="preserve"> et al., 2021</w:t>
      </w:r>
      <w:r w:rsidR="00267E6B">
        <w:t>)</w:t>
      </w:r>
      <w:r w:rsidRPr="003F55DB">
        <w:t>. By implementing a combination of proactive measures, continuous learning initiatives, and adaptive innovation practices, organizations can effectively navigate uncertainty and capitalize on emerging opportunities.</w:t>
      </w:r>
      <w:r w:rsidR="002B429D">
        <w:t xml:space="preserve"> </w:t>
      </w:r>
      <w:r w:rsidR="00341524" w:rsidRPr="00341524">
        <w:t>The aspects listed above were, grouped according to the resilience objective they pursue, and the organisational perspective they adopt</w:t>
      </w:r>
      <w:r w:rsidR="00341524">
        <w:t xml:space="preserve">, as shown in </w:t>
      </w:r>
      <w:r w:rsidR="002B429D">
        <w:t>T</w:t>
      </w:r>
      <w:r w:rsidR="00341524">
        <w:t>able 1.</w:t>
      </w:r>
    </w:p>
    <w:p w14:paraId="150AC814" w14:textId="77777777" w:rsidR="00AA7D48" w:rsidRPr="00B57B36" w:rsidRDefault="00AA7D48" w:rsidP="00AA7D48"/>
    <w:p w14:paraId="11889A29" w14:textId="2BAEA7AE" w:rsidR="00AA7D48" w:rsidRPr="00AA7D48" w:rsidRDefault="00AA7D48" w:rsidP="00AA7D48">
      <w:pPr>
        <w:pStyle w:val="Didascalia"/>
        <w:keepNext/>
        <w:rPr>
          <w:b w:val="0"/>
          <w:bCs w:val="0"/>
          <w:i/>
          <w:color w:val="auto"/>
          <w:szCs w:val="20"/>
        </w:rPr>
      </w:pPr>
      <w:r w:rsidRPr="00AA7D48">
        <w:rPr>
          <w:b w:val="0"/>
          <w:bCs w:val="0"/>
          <w:i/>
          <w:color w:val="auto"/>
          <w:szCs w:val="20"/>
        </w:rPr>
        <w:t xml:space="preserve">Table </w:t>
      </w:r>
      <w:r w:rsidRPr="00AA7D48">
        <w:rPr>
          <w:b w:val="0"/>
          <w:bCs w:val="0"/>
          <w:i/>
          <w:color w:val="auto"/>
          <w:szCs w:val="20"/>
        </w:rPr>
        <w:fldChar w:fldCharType="begin"/>
      </w:r>
      <w:r w:rsidRPr="00AA7D48">
        <w:rPr>
          <w:b w:val="0"/>
          <w:bCs w:val="0"/>
          <w:i/>
          <w:color w:val="auto"/>
          <w:szCs w:val="20"/>
        </w:rPr>
        <w:instrText xml:space="preserve"> SEQ Table \* ARABIC </w:instrText>
      </w:r>
      <w:r w:rsidRPr="00AA7D48">
        <w:rPr>
          <w:b w:val="0"/>
          <w:bCs w:val="0"/>
          <w:i/>
          <w:color w:val="auto"/>
          <w:szCs w:val="20"/>
        </w:rPr>
        <w:fldChar w:fldCharType="separate"/>
      </w:r>
      <w:r w:rsidRPr="00AA7D48">
        <w:rPr>
          <w:b w:val="0"/>
          <w:bCs w:val="0"/>
          <w:i/>
          <w:color w:val="auto"/>
          <w:szCs w:val="20"/>
        </w:rPr>
        <w:t>1</w:t>
      </w:r>
      <w:r w:rsidRPr="00AA7D48">
        <w:rPr>
          <w:b w:val="0"/>
          <w:bCs w:val="0"/>
          <w:i/>
          <w:color w:val="auto"/>
          <w:szCs w:val="20"/>
        </w:rPr>
        <w:fldChar w:fldCharType="end"/>
      </w:r>
      <w:r w:rsidRPr="00AA7D48">
        <w:rPr>
          <w:b w:val="0"/>
          <w:bCs w:val="0"/>
          <w:i/>
          <w:color w:val="auto"/>
          <w:szCs w:val="20"/>
        </w:rPr>
        <w:t>: Organizational Resilience components, strategies and objectives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402"/>
        <w:gridCol w:w="3119"/>
        <w:gridCol w:w="2268"/>
      </w:tblGrid>
      <w:tr w:rsidR="00AA7D48" w:rsidRPr="00B57B36" w14:paraId="737CA73E" w14:textId="77777777" w:rsidTr="00AA7D48">
        <w:tc>
          <w:tcPr>
            <w:tcW w:w="3402" w:type="dxa"/>
            <w:tcBorders>
              <w:top w:val="single" w:sz="12" w:space="0" w:color="008000"/>
              <w:bottom w:val="single" w:sz="6" w:space="0" w:color="008000"/>
            </w:tcBorders>
            <w:shd w:val="clear" w:color="auto" w:fill="FFFFFF"/>
          </w:tcPr>
          <w:p w14:paraId="26DACDFA" w14:textId="18A7EE0C" w:rsidR="00AA7D48" w:rsidRPr="00AA7D48" w:rsidRDefault="00AA7D48" w:rsidP="00AA7D48">
            <w:pPr>
              <w:pStyle w:val="CETBodytext"/>
              <w:jc w:val="left"/>
              <w:rPr>
                <w:i/>
                <w:lang w:val="en-GB"/>
              </w:rPr>
            </w:pPr>
            <w:r w:rsidRPr="00AA7D48">
              <w:rPr>
                <w:i/>
                <w:lang w:val="en-GB"/>
              </w:rPr>
              <w:t>Organizational Resilience Component</w:t>
            </w:r>
          </w:p>
        </w:tc>
        <w:tc>
          <w:tcPr>
            <w:tcW w:w="3119" w:type="dxa"/>
            <w:tcBorders>
              <w:top w:val="single" w:sz="12" w:space="0" w:color="008000"/>
              <w:bottom w:val="single" w:sz="6" w:space="0" w:color="008000"/>
            </w:tcBorders>
            <w:shd w:val="clear" w:color="auto" w:fill="FFFFFF"/>
          </w:tcPr>
          <w:p w14:paraId="7054C261" w14:textId="7CC2BB01" w:rsidR="00AA7D48" w:rsidRPr="00AA7D48" w:rsidRDefault="00AA7D48" w:rsidP="00AA7D48">
            <w:pPr>
              <w:pStyle w:val="CETBodytext"/>
              <w:jc w:val="left"/>
              <w:rPr>
                <w:i/>
                <w:lang w:val="en-GB"/>
              </w:rPr>
            </w:pPr>
            <w:r w:rsidRPr="00AA7D48">
              <w:rPr>
                <w:i/>
                <w:lang w:val="en-GB"/>
              </w:rPr>
              <w:t>How to achieve</w:t>
            </w:r>
          </w:p>
        </w:tc>
        <w:tc>
          <w:tcPr>
            <w:tcW w:w="2268" w:type="dxa"/>
            <w:tcBorders>
              <w:top w:val="single" w:sz="12" w:space="0" w:color="008000"/>
              <w:bottom w:val="single" w:sz="6" w:space="0" w:color="008000"/>
            </w:tcBorders>
            <w:shd w:val="clear" w:color="auto" w:fill="FFFFFF"/>
          </w:tcPr>
          <w:p w14:paraId="7EB1E41E" w14:textId="68D96E54" w:rsidR="00AA7D48" w:rsidRPr="00AA7D48" w:rsidRDefault="00AA7D48" w:rsidP="00AA7D48">
            <w:pPr>
              <w:pStyle w:val="CETBodytext"/>
              <w:ind w:right="-1"/>
              <w:jc w:val="left"/>
              <w:rPr>
                <w:rFonts w:cs="Arial"/>
                <w:i/>
                <w:szCs w:val="18"/>
                <w:lang w:val="en-GB"/>
              </w:rPr>
            </w:pPr>
            <w:r w:rsidRPr="00AA7D48">
              <w:rPr>
                <w:rFonts w:cs="Arial"/>
                <w:i/>
                <w:szCs w:val="18"/>
                <w:lang w:val="en-GB"/>
              </w:rPr>
              <w:t>Resilience Objective</w:t>
            </w:r>
          </w:p>
        </w:tc>
      </w:tr>
      <w:tr w:rsidR="00AA7D48" w:rsidRPr="00B57B36" w14:paraId="2EA47C14" w14:textId="77777777" w:rsidTr="00AA7D48">
        <w:tc>
          <w:tcPr>
            <w:tcW w:w="3402" w:type="dxa"/>
            <w:shd w:val="clear" w:color="auto" w:fill="FFFFFF"/>
          </w:tcPr>
          <w:p w14:paraId="1028E9D1" w14:textId="799351DE" w:rsidR="00AA7D48" w:rsidRPr="00B57B36" w:rsidRDefault="00AA7D48" w:rsidP="00AA7D48">
            <w:pPr>
              <w:pStyle w:val="CETBodytext"/>
              <w:jc w:val="left"/>
              <w:rPr>
                <w:lang w:val="en-GB"/>
              </w:rPr>
            </w:pPr>
            <w:r w:rsidRPr="00341524">
              <w:rPr>
                <w:lang w:val="en-GB"/>
              </w:rPr>
              <w:t>Leadership and Safety Culture</w:t>
            </w:r>
            <w:r w:rsidR="004D092B">
              <w:rPr>
                <w:lang w:val="en-GB"/>
              </w:rPr>
              <w:t xml:space="preserve"> (LSC)</w:t>
            </w:r>
          </w:p>
        </w:tc>
        <w:tc>
          <w:tcPr>
            <w:tcW w:w="3119" w:type="dxa"/>
            <w:shd w:val="clear" w:color="auto" w:fill="FFFFFF"/>
          </w:tcPr>
          <w:p w14:paraId="3D72094C" w14:textId="650F11A5" w:rsidR="00AA7D48" w:rsidRPr="00B57B36" w:rsidRDefault="00AA7D48" w:rsidP="00AA7D48">
            <w:pPr>
              <w:pStyle w:val="CETBodytext"/>
              <w:jc w:val="left"/>
              <w:rPr>
                <w:lang w:val="en-GB"/>
              </w:rPr>
            </w:pPr>
            <w:r w:rsidRPr="00341524">
              <w:rPr>
                <w:lang w:val="en-GB"/>
              </w:rPr>
              <w:t>Mindful Action / Performance optimization</w:t>
            </w:r>
          </w:p>
        </w:tc>
        <w:tc>
          <w:tcPr>
            <w:tcW w:w="2268" w:type="dxa"/>
            <w:shd w:val="clear" w:color="auto" w:fill="FFFFFF"/>
          </w:tcPr>
          <w:p w14:paraId="5ADB87FE" w14:textId="452B4891" w:rsidR="00AA7D48" w:rsidRPr="00B57B36" w:rsidRDefault="00AA7D48" w:rsidP="00AA7D48">
            <w:pPr>
              <w:pStyle w:val="CETBodytext"/>
              <w:ind w:right="-1"/>
              <w:jc w:val="left"/>
              <w:rPr>
                <w:rFonts w:cs="Arial"/>
                <w:szCs w:val="18"/>
                <w:lang w:val="en-GB"/>
              </w:rPr>
            </w:pPr>
            <w:r w:rsidRPr="00341524">
              <w:rPr>
                <w:lang w:val="en-GB"/>
              </w:rPr>
              <w:t>A</w:t>
            </w:r>
            <w:r w:rsidR="0096037C">
              <w:rPr>
                <w:lang w:val="en-GB"/>
              </w:rPr>
              <w:t>nticipate</w:t>
            </w:r>
            <w:r w:rsidRPr="00341524">
              <w:rPr>
                <w:lang w:val="en-GB"/>
              </w:rPr>
              <w:t xml:space="preserve"> / R</w:t>
            </w:r>
            <w:r w:rsidR="0096037C">
              <w:rPr>
                <w:lang w:val="en-GB"/>
              </w:rPr>
              <w:t>eact</w:t>
            </w:r>
          </w:p>
        </w:tc>
      </w:tr>
      <w:tr w:rsidR="00AA7D48" w:rsidRPr="00B57B36" w14:paraId="62E71733" w14:textId="77777777" w:rsidTr="00AA7D48">
        <w:tc>
          <w:tcPr>
            <w:tcW w:w="3402" w:type="dxa"/>
            <w:shd w:val="clear" w:color="auto" w:fill="FFFFFF"/>
          </w:tcPr>
          <w:p w14:paraId="3172397C" w14:textId="7BB4B62B" w:rsidR="00AA7D48" w:rsidRPr="00FC128E" w:rsidRDefault="00AA7D48" w:rsidP="00AA7D48">
            <w:pPr>
              <w:pStyle w:val="CETBodytext"/>
              <w:jc w:val="left"/>
            </w:pPr>
            <w:r w:rsidRPr="00341524">
              <w:rPr>
                <w:lang w:val="en-GB"/>
              </w:rPr>
              <w:t>Risk Awareness</w:t>
            </w:r>
            <w:r w:rsidR="004D092B">
              <w:rPr>
                <w:lang w:val="en-GB"/>
              </w:rPr>
              <w:t xml:space="preserve"> (RA)</w:t>
            </w:r>
          </w:p>
        </w:tc>
        <w:tc>
          <w:tcPr>
            <w:tcW w:w="3119" w:type="dxa"/>
            <w:shd w:val="clear" w:color="auto" w:fill="FFFFFF"/>
          </w:tcPr>
          <w:p w14:paraId="4BEE4171" w14:textId="0E24E62C" w:rsidR="00AA7D48" w:rsidRPr="00B57B36" w:rsidRDefault="00AA7D48" w:rsidP="00AA7D48">
            <w:pPr>
              <w:pStyle w:val="CETBodytext"/>
              <w:jc w:val="left"/>
              <w:rPr>
                <w:lang w:val="en-GB"/>
              </w:rPr>
            </w:pPr>
            <w:r w:rsidRPr="00341524">
              <w:rPr>
                <w:lang w:val="en-GB"/>
              </w:rPr>
              <w:t>Preventative Control / Mindful Action</w:t>
            </w:r>
          </w:p>
        </w:tc>
        <w:tc>
          <w:tcPr>
            <w:tcW w:w="2268" w:type="dxa"/>
            <w:shd w:val="clear" w:color="auto" w:fill="FFFFFF"/>
          </w:tcPr>
          <w:p w14:paraId="0E516046" w14:textId="237503AD" w:rsidR="00AA7D48" w:rsidRPr="00B57B36" w:rsidRDefault="00AA7D48" w:rsidP="00AA7D48">
            <w:pPr>
              <w:pStyle w:val="CETBodytext"/>
              <w:ind w:right="-1"/>
              <w:jc w:val="left"/>
              <w:rPr>
                <w:rFonts w:cs="Arial"/>
                <w:szCs w:val="18"/>
                <w:lang w:val="en-GB"/>
              </w:rPr>
            </w:pPr>
            <w:r w:rsidRPr="00341524">
              <w:rPr>
                <w:lang w:val="en-GB"/>
              </w:rPr>
              <w:t>M</w:t>
            </w:r>
            <w:r w:rsidR="0096037C">
              <w:rPr>
                <w:lang w:val="en-GB"/>
              </w:rPr>
              <w:t>onitor</w:t>
            </w:r>
            <w:r w:rsidRPr="00341524">
              <w:rPr>
                <w:lang w:val="en-GB"/>
              </w:rPr>
              <w:t xml:space="preserve"> / A</w:t>
            </w:r>
            <w:r w:rsidR="0096037C">
              <w:rPr>
                <w:lang w:val="en-GB"/>
              </w:rPr>
              <w:t>nticipate</w:t>
            </w:r>
          </w:p>
        </w:tc>
      </w:tr>
      <w:tr w:rsidR="00AA7D48" w:rsidRPr="00B57B36" w14:paraId="385086DB" w14:textId="77777777" w:rsidTr="00AA7D48">
        <w:tc>
          <w:tcPr>
            <w:tcW w:w="3402" w:type="dxa"/>
            <w:shd w:val="clear" w:color="auto" w:fill="FFFFFF"/>
          </w:tcPr>
          <w:p w14:paraId="55D7575C" w14:textId="28BC4967" w:rsidR="00AA7D48" w:rsidRPr="00FC128E" w:rsidRDefault="00AA7D48" w:rsidP="00AA7D48">
            <w:pPr>
              <w:pStyle w:val="CETBodytext"/>
              <w:jc w:val="left"/>
            </w:pPr>
            <w:r w:rsidRPr="00341524">
              <w:rPr>
                <w:lang w:val="en-GB"/>
              </w:rPr>
              <w:t>Communication - Information Flow</w:t>
            </w:r>
            <w:r w:rsidR="004D092B">
              <w:rPr>
                <w:lang w:val="en-GB"/>
              </w:rPr>
              <w:t xml:space="preserve"> (CI)</w:t>
            </w:r>
          </w:p>
        </w:tc>
        <w:tc>
          <w:tcPr>
            <w:tcW w:w="3119" w:type="dxa"/>
            <w:shd w:val="clear" w:color="auto" w:fill="FFFFFF"/>
          </w:tcPr>
          <w:p w14:paraId="320AE499" w14:textId="389EE9CC" w:rsidR="00AA7D48" w:rsidRPr="00B57B36" w:rsidRDefault="00AA7D48" w:rsidP="00AA7D48">
            <w:pPr>
              <w:pStyle w:val="CETBodytext"/>
              <w:jc w:val="left"/>
              <w:rPr>
                <w:lang w:val="en-GB"/>
              </w:rPr>
            </w:pPr>
            <w:r w:rsidRPr="00341524">
              <w:rPr>
                <w:lang w:val="en-GB"/>
              </w:rPr>
              <w:t>Adaptive innovation / Performance optimization</w:t>
            </w:r>
          </w:p>
        </w:tc>
        <w:tc>
          <w:tcPr>
            <w:tcW w:w="2268" w:type="dxa"/>
            <w:shd w:val="clear" w:color="auto" w:fill="FFFFFF"/>
          </w:tcPr>
          <w:p w14:paraId="66F0A0AA" w14:textId="133444E5" w:rsidR="00AA7D48" w:rsidRPr="00B57B36" w:rsidRDefault="00AA7D48" w:rsidP="00AA7D48">
            <w:pPr>
              <w:pStyle w:val="CETBodytext"/>
              <w:ind w:right="-1"/>
              <w:jc w:val="left"/>
              <w:rPr>
                <w:rFonts w:cs="Arial"/>
                <w:szCs w:val="18"/>
                <w:lang w:val="en-GB"/>
              </w:rPr>
            </w:pPr>
            <w:r w:rsidRPr="00341524">
              <w:rPr>
                <w:lang w:val="en-GB"/>
              </w:rPr>
              <w:t>L</w:t>
            </w:r>
            <w:r w:rsidR="0096037C">
              <w:rPr>
                <w:lang w:val="en-GB"/>
              </w:rPr>
              <w:t>earn</w:t>
            </w:r>
            <w:r w:rsidRPr="00341524">
              <w:rPr>
                <w:lang w:val="en-GB"/>
              </w:rPr>
              <w:t xml:space="preserve"> / R</w:t>
            </w:r>
            <w:r w:rsidR="0096037C">
              <w:rPr>
                <w:lang w:val="en-GB"/>
              </w:rPr>
              <w:t>eact</w:t>
            </w:r>
          </w:p>
        </w:tc>
      </w:tr>
      <w:tr w:rsidR="00AA7D48" w:rsidRPr="00B57B36" w14:paraId="2D04E491" w14:textId="77777777" w:rsidTr="00AA7D48">
        <w:tc>
          <w:tcPr>
            <w:tcW w:w="3402" w:type="dxa"/>
            <w:shd w:val="clear" w:color="auto" w:fill="FFFFFF"/>
          </w:tcPr>
          <w:p w14:paraId="2E62809B" w14:textId="1C242932" w:rsidR="00AA7D48" w:rsidRPr="00FC128E" w:rsidRDefault="00AA7D48" w:rsidP="00AA7D48">
            <w:pPr>
              <w:pStyle w:val="CETBodytext"/>
              <w:jc w:val="left"/>
            </w:pPr>
            <w:r w:rsidRPr="00341524">
              <w:rPr>
                <w:lang w:val="en-GB"/>
              </w:rPr>
              <w:t>Skill and Competencies</w:t>
            </w:r>
            <w:r w:rsidR="004D092B">
              <w:rPr>
                <w:lang w:val="en-GB"/>
              </w:rPr>
              <w:t xml:space="preserve"> (SC)</w:t>
            </w:r>
          </w:p>
        </w:tc>
        <w:tc>
          <w:tcPr>
            <w:tcW w:w="3119" w:type="dxa"/>
            <w:shd w:val="clear" w:color="auto" w:fill="FFFFFF"/>
          </w:tcPr>
          <w:p w14:paraId="74727931" w14:textId="437BF959" w:rsidR="00AA7D48" w:rsidRPr="00B57B36" w:rsidRDefault="00AA7D48" w:rsidP="00AA7D48">
            <w:pPr>
              <w:pStyle w:val="CETBodytext"/>
              <w:jc w:val="left"/>
              <w:rPr>
                <w:lang w:val="en-GB"/>
              </w:rPr>
            </w:pPr>
            <w:r w:rsidRPr="00341524">
              <w:rPr>
                <w:lang w:val="en-GB"/>
              </w:rPr>
              <w:t>Preventative Control / Performance optimization</w:t>
            </w:r>
          </w:p>
        </w:tc>
        <w:tc>
          <w:tcPr>
            <w:tcW w:w="2268" w:type="dxa"/>
            <w:shd w:val="clear" w:color="auto" w:fill="FFFFFF"/>
          </w:tcPr>
          <w:p w14:paraId="66A041B0" w14:textId="7DB48B0D" w:rsidR="00AA7D48" w:rsidRPr="00B57B36" w:rsidRDefault="00AA7D48" w:rsidP="00AA7D48">
            <w:pPr>
              <w:pStyle w:val="CETBodytext"/>
              <w:ind w:right="-1"/>
              <w:jc w:val="left"/>
              <w:rPr>
                <w:rFonts w:cs="Arial"/>
                <w:szCs w:val="18"/>
                <w:lang w:val="en-GB"/>
              </w:rPr>
            </w:pPr>
            <w:r w:rsidRPr="00341524">
              <w:rPr>
                <w:lang w:val="en-GB"/>
              </w:rPr>
              <w:t>M</w:t>
            </w:r>
            <w:r w:rsidR="0096037C">
              <w:rPr>
                <w:lang w:val="en-GB"/>
              </w:rPr>
              <w:t>onitor</w:t>
            </w:r>
            <w:r w:rsidRPr="00341524">
              <w:rPr>
                <w:lang w:val="en-GB"/>
              </w:rPr>
              <w:t xml:space="preserve"> / R</w:t>
            </w:r>
            <w:r w:rsidR="0096037C">
              <w:rPr>
                <w:lang w:val="en-GB"/>
              </w:rPr>
              <w:t>eact</w:t>
            </w:r>
          </w:p>
        </w:tc>
      </w:tr>
      <w:tr w:rsidR="00AA7D48" w:rsidRPr="00B57B36" w14:paraId="7461F3B9" w14:textId="77777777" w:rsidTr="00AA7D48">
        <w:tc>
          <w:tcPr>
            <w:tcW w:w="3402" w:type="dxa"/>
            <w:shd w:val="clear" w:color="auto" w:fill="FFFFFF"/>
          </w:tcPr>
          <w:p w14:paraId="24530606" w14:textId="521CC6BE" w:rsidR="00AA7D48" w:rsidRPr="00FC128E" w:rsidRDefault="00AA7D48" w:rsidP="00AA7D48">
            <w:pPr>
              <w:pStyle w:val="CETBodytext"/>
              <w:jc w:val="left"/>
            </w:pPr>
            <w:r w:rsidRPr="00341524">
              <w:rPr>
                <w:lang w:val="en-GB"/>
              </w:rPr>
              <w:t>Action, Decision-making Process</w:t>
            </w:r>
            <w:r w:rsidR="004D092B">
              <w:rPr>
                <w:lang w:val="en-GB"/>
              </w:rPr>
              <w:t xml:space="preserve"> (A)</w:t>
            </w:r>
          </w:p>
        </w:tc>
        <w:tc>
          <w:tcPr>
            <w:tcW w:w="3119" w:type="dxa"/>
            <w:shd w:val="clear" w:color="auto" w:fill="FFFFFF"/>
          </w:tcPr>
          <w:p w14:paraId="3F673E53" w14:textId="061994B1" w:rsidR="00AA7D48" w:rsidRPr="00B57B36" w:rsidRDefault="00AA7D48" w:rsidP="00AA7D48">
            <w:pPr>
              <w:pStyle w:val="CETBodytext"/>
              <w:jc w:val="left"/>
              <w:rPr>
                <w:lang w:val="en-GB"/>
              </w:rPr>
            </w:pPr>
            <w:r w:rsidRPr="00341524">
              <w:rPr>
                <w:lang w:val="en-GB"/>
              </w:rPr>
              <w:t>Preventative Control / Adaptive innovation</w:t>
            </w:r>
          </w:p>
        </w:tc>
        <w:tc>
          <w:tcPr>
            <w:tcW w:w="2268" w:type="dxa"/>
            <w:shd w:val="clear" w:color="auto" w:fill="FFFFFF"/>
          </w:tcPr>
          <w:p w14:paraId="76CEBE28" w14:textId="4F972BBF" w:rsidR="00AA7D48" w:rsidRPr="00B57B36" w:rsidRDefault="00AA7D48" w:rsidP="00AA7D48">
            <w:pPr>
              <w:pStyle w:val="CETBodytext"/>
              <w:ind w:right="-1"/>
              <w:jc w:val="left"/>
              <w:rPr>
                <w:rFonts w:cs="Arial"/>
                <w:szCs w:val="18"/>
                <w:lang w:val="en-GB"/>
              </w:rPr>
            </w:pPr>
            <w:r w:rsidRPr="00341524">
              <w:rPr>
                <w:lang w:val="en-GB"/>
              </w:rPr>
              <w:t>M</w:t>
            </w:r>
            <w:r w:rsidR="0096037C">
              <w:rPr>
                <w:lang w:val="en-GB"/>
              </w:rPr>
              <w:t>onitor</w:t>
            </w:r>
            <w:r w:rsidRPr="00341524">
              <w:rPr>
                <w:lang w:val="en-GB"/>
              </w:rPr>
              <w:t xml:space="preserve"> / L</w:t>
            </w:r>
            <w:r w:rsidR="0096037C">
              <w:rPr>
                <w:lang w:val="en-GB"/>
              </w:rPr>
              <w:t>earn</w:t>
            </w:r>
          </w:p>
        </w:tc>
      </w:tr>
      <w:tr w:rsidR="00AA7D48" w:rsidRPr="00B57B36" w14:paraId="1D4A93FE" w14:textId="77777777" w:rsidTr="00AA7D48">
        <w:tc>
          <w:tcPr>
            <w:tcW w:w="3402" w:type="dxa"/>
            <w:shd w:val="clear" w:color="auto" w:fill="FFFFFF"/>
          </w:tcPr>
          <w:p w14:paraId="7738CED9" w14:textId="0B7E5755" w:rsidR="00AA7D48" w:rsidRPr="00B57B36" w:rsidRDefault="00AA7D48" w:rsidP="00AA7D48">
            <w:pPr>
              <w:pStyle w:val="CETBodytext"/>
              <w:ind w:right="-1"/>
              <w:jc w:val="left"/>
              <w:rPr>
                <w:rFonts w:cs="Arial"/>
                <w:szCs w:val="18"/>
                <w:lang w:val="en-GB"/>
              </w:rPr>
            </w:pPr>
            <w:r w:rsidRPr="00341524">
              <w:rPr>
                <w:lang w:val="en-GB"/>
              </w:rPr>
              <w:t>External / Internal Circumstances</w:t>
            </w:r>
            <w:r w:rsidR="004D092B">
              <w:rPr>
                <w:lang w:val="en-GB"/>
              </w:rPr>
              <w:t xml:space="preserve"> (C)</w:t>
            </w:r>
          </w:p>
        </w:tc>
        <w:tc>
          <w:tcPr>
            <w:tcW w:w="3119" w:type="dxa"/>
            <w:shd w:val="clear" w:color="auto" w:fill="FFFFFF"/>
          </w:tcPr>
          <w:p w14:paraId="7919849E" w14:textId="1E69F71C" w:rsidR="00AA7D48" w:rsidRPr="00B57B36" w:rsidRDefault="00AA7D48" w:rsidP="00AA7D48">
            <w:pPr>
              <w:pStyle w:val="CETBodytext"/>
              <w:ind w:right="-1"/>
              <w:jc w:val="left"/>
              <w:rPr>
                <w:rFonts w:cs="Arial"/>
                <w:szCs w:val="18"/>
                <w:lang w:val="en-GB"/>
              </w:rPr>
            </w:pPr>
            <w:r w:rsidRPr="00341524">
              <w:rPr>
                <w:lang w:val="en-GB"/>
              </w:rPr>
              <w:t>Mindful Action / Adaptive innovation</w:t>
            </w:r>
          </w:p>
        </w:tc>
        <w:tc>
          <w:tcPr>
            <w:tcW w:w="2268" w:type="dxa"/>
            <w:shd w:val="clear" w:color="auto" w:fill="FFFFFF"/>
          </w:tcPr>
          <w:p w14:paraId="6301A0C6" w14:textId="30B84246" w:rsidR="00AA7D48" w:rsidRPr="00B57B36" w:rsidRDefault="00AA7D48" w:rsidP="00AA7D48">
            <w:pPr>
              <w:pStyle w:val="CETBodytext"/>
              <w:ind w:right="-1"/>
              <w:jc w:val="left"/>
              <w:rPr>
                <w:rFonts w:cs="Arial"/>
                <w:szCs w:val="18"/>
                <w:lang w:val="en-GB"/>
              </w:rPr>
            </w:pPr>
            <w:r w:rsidRPr="00341524">
              <w:rPr>
                <w:lang w:val="en-GB"/>
              </w:rPr>
              <w:t>A</w:t>
            </w:r>
            <w:r w:rsidR="0096037C">
              <w:rPr>
                <w:lang w:val="en-GB"/>
              </w:rPr>
              <w:t>nticipate</w:t>
            </w:r>
            <w:r w:rsidRPr="00341524">
              <w:rPr>
                <w:lang w:val="en-GB"/>
              </w:rPr>
              <w:t xml:space="preserve"> / </w:t>
            </w:r>
            <w:r w:rsidR="0096037C">
              <w:rPr>
                <w:lang w:val="en-GB"/>
              </w:rPr>
              <w:t>Learn</w:t>
            </w:r>
          </w:p>
        </w:tc>
      </w:tr>
    </w:tbl>
    <w:p w14:paraId="455FDEB5" w14:textId="77777777" w:rsidR="00341524" w:rsidRPr="003F55DB" w:rsidRDefault="00341524" w:rsidP="005B3C10"/>
    <w:p w14:paraId="2B95E595" w14:textId="00F701F0" w:rsidR="005B3C10" w:rsidRDefault="009D7993" w:rsidP="005B3C10">
      <w:pPr>
        <w:pStyle w:val="CETBodytext"/>
        <w:rPr>
          <w:lang w:val="en-GB"/>
        </w:rPr>
      </w:pPr>
      <w:r w:rsidRPr="009D7993">
        <w:t xml:space="preserve">Tailored surveys were designed to rate the current state and importance of different organizational factors, as below detailed. Subsequently, the different aspects of organizational resilience have been modelled by </w:t>
      </w:r>
      <w:r w:rsidR="00F50504">
        <w:t xml:space="preserve">the </w:t>
      </w:r>
      <w:r w:rsidRPr="009D7993">
        <w:t xml:space="preserve">Analytic Hierarchy Process (AHP) method. The weight coefficients obtained with the AHP model were used to calculate the resilience index. </w:t>
      </w:r>
      <w:r w:rsidRPr="009D7993">
        <w:rPr>
          <w:lang w:val="en-GB"/>
        </w:rPr>
        <w:t>Additionally, t</w:t>
      </w:r>
      <w:r w:rsidR="005B3C10" w:rsidRPr="009D7993">
        <w:rPr>
          <w:lang w:val="en-GB"/>
        </w:rPr>
        <w:t xml:space="preserve">he project employed Bayesian network modelling techniques to explore the interdependencies among </w:t>
      </w:r>
      <w:r w:rsidR="005B3C10" w:rsidRPr="003F55DB">
        <w:rPr>
          <w:lang w:val="en-GB"/>
        </w:rPr>
        <w:t>various organizational factors and their impacts on key outcomes such as business impact and suspension incidents. This approach allows for a comprehensive understanding of the complex relationships within organizational systems and provides valuable insights for decision-makers.</w:t>
      </w:r>
    </w:p>
    <w:p w14:paraId="350798E5" w14:textId="13E79D79" w:rsidR="001D0506" w:rsidRDefault="001D0506" w:rsidP="00197C74">
      <w:pPr>
        <w:pStyle w:val="CETheadingx"/>
      </w:pPr>
      <w:r>
        <w:t xml:space="preserve">Data Collection and </w:t>
      </w:r>
      <w:r w:rsidR="00F50504">
        <w:t>P</w:t>
      </w:r>
      <w:r>
        <w:t>re-processing</w:t>
      </w:r>
    </w:p>
    <w:p w14:paraId="721A5C1E" w14:textId="32E3F3D3" w:rsidR="001D0506" w:rsidRDefault="001D0506" w:rsidP="00441B20">
      <w:pPr>
        <w:pStyle w:val="CETBodytext"/>
      </w:pPr>
      <w:r>
        <w:t xml:space="preserve">The project utilized datasets </w:t>
      </w:r>
      <w:r w:rsidR="00F50504">
        <w:t>comprising</w:t>
      </w:r>
      <w:r>
        <w:t xml:space="preserve"> organizational attributes and performance metrics from multiple companies across different countries.</w:t>
      </w:r>
      <w:r w:rsidR="00260697">
        <w:t xml:space="preserve"> </w:t>
      </w:r>
      <w:r>
        <w:t>Data was collected through specific questionnaires, covering various aspects of organizational resilience, including company size, industry sector, employee training, procedural adherence, and incidents of suspension.</w:t>
      </w:r>
      <w:r w:rsidR="00260697">
        <w:t xml:space="preserve"> </w:t>
      </w:r>
      <w:r w:rsidR="00260697" w:rsidRPr="00260697">
        <w:t xml:space="preserve">An “ad hoc” questionnaire was developed to gather information on a series of control variables related to workers’ personal characteristics and to assess the pandemic impact on business continuity and safety levels of </w:t>
      </w:r>
      <w:r w:rsidR="00260697">
        <w:t xml:space="preserve">an Italian industrial </w:t>
      </w:r>
      <w:r w:rsidR="00260697" w:rsidRPr="00260697">
        <w:t xml:space="preserve">port </w:t>
      </w:r>
      <w:r w:rsidR="00260697">
        <w:t>related to different activities including HazMat handling</w:t>
      </w:r>
      <w:r w:rsidR="00260697" w:rsidRPr="00260697">
        <w:t>.</w:t>
      </w:r>
      <w:r w:rsidR="00260697">
        <w:t xml:space="preserve"> </w:t>
      </w:r>
      <w:r w:rsidR="00A14C9C">
        <w:t xml:space="preserve">It was possible to obtain 226 questionnaires </w:t>
      </w:r>
      <w:r w:rsidR="00201592">
        <w:t>completed,</w:t>
      </w:r>
      <w:r w:rsidR="00A14C9C">
        <w:t xml:space="preserve"> each covering 22 questions</w:t>
      </w:r>
      <w:r w:rsidR="00B23331">
        <w:t>,</w:t>
      </w:r>
      <w:r w:rsidR="00201592">
        <w:t xml:space="preserve"> grouped according to the defined OR components</w:t>
      </w:r>
      <w:r w:rsidR="00A14C9C">
        <w:t xml:space="preserve">. </w:t>
      </w:r>
      <w:r w:rsidR="0089194F" w:rsidRPr="0089194F">
        <w:t xml:space="preserve">To assess organizational resilience at different organizational levels in </w:t>
      </w:r>
      <w:r w:rsidR="00C8055A">
        <w:t xml:space="preserve">Serbia </w:t>
      </w:r>
      <w:r w:rsidR="0089194F" w:rsidRPr="0089194F">
        <w:t xml:space="preserve">transport and mining companies, </w:t>
      </w:r>
      <w:r w:rsidR="00201592">
        <w:t>the</w:t>
      </w:r>
      <w:r w:rsidR="0089194F" w:rsidRPr="0089194F">
        <w:t xml:space="preserve"> questionnaire was </w:t>
      </w:r>
      <w:r w:rsidR="00FE6EFE">
        <w:t xml:space="preserve">properly tailored according to the same OR components </w:t>
      </w:r>
      <w:r w:rsidR="00C8055A">
        <w:t xml:space="preserve">and submitted to </w:t>
      </w:r>
      <w:r w:rsidR="00C8055A" w:rsidRPr="00C8055A">
        <w:t>transport and mining companies</w:t>
      </w:r>
      <w:r w:rsidR="00B85CD0">
        <w:t xml:space="preserve">, </w:t>
      </w:r>
      <w:r w:rsidR="00C8055A">
        <w:t>obtaining 1</w:t>
      </w:r>
      <w:r w:rsidR="0089194F" w:rsidRPr="0089194F">
        <w:t>48 respondents</w:t>
      </w:r>
      <w:r w:rsidR="00B85CD0">
        <w:t>.</w:t>
      </w:r>
      <w:r w:rsidR="0089194F" w:rsidRPr="0089194F">
        <w:t xml:space="preserve"> </w:t>
      </w:r>
      <w:r w:rsidR="00B85CD0">
        <w:t>D</w:t>
      </w:r>
      <w:r w:rsidR="0089194F" w:rsidRPr="0089194F">
        <w:t xml:space="preserve">ifferent </w:t>
      </w:r>
      <w:r w:rsidR="00B85CD0">
        <w:t xml:space="preserve">job </w:t>
      </w:r>
      <w:r w:rsidR="0089194F" w:rsidRPr="0089194F">
        <w:t>qualifications</w:t>
      </w:r>
      <w:r w:rsidR="00B85CD0">
        <w:t xml:space="preserve"> and </w:t>
      </w:r>
      <w:r w:rsidR="0089194F" w:rsidRPr="0089194F">
        <w:t>organizational levels</w:t>
      </w:r>
      <w:r w:rsidR="00B85CD0">
        <w:t xml:space="preserve"> were surveyed</w:t>
      </w:r>
      <w:r w:rsidR="0089194F" w:rsidRPr="0089194F">
        <w:t xml:space="preserve"> (Strategic Manager Level, Middle Manager Level, First Line Managers, Transport and Mining Machine Operators and Other Workers) ask</w:t>
      </w:r>
      <w:r w:rsidR="00B85CD0">
        <w:t>ing</w:t>
      </w:r>
      <w:r w:rsidR="0089194F" w:rsidRPr="0089194F">
        <w:t xml:space="preserve"> to rate </w:t>
      </w:r>
      <w:r w:rsidR="00F50504">
        <w:t xml:space="preserve">the </w:t>
      </w:r>
      <w:r w:rsidR="0089194F" w:rsidRPr="0089194F">
        <w:t xml:space="preserve">current state and importance of </w:t>
      </w:r>
      <w:r w:rsidR="00F50504">
        <w:t xml:space="preserve">the </w:t>
      </w:r>
      <w:r w:rsidR="0089194F" w:rsidRPr="0089194F">
        <w:t xml:space="preserve">item in the questionnaire on the </w:t>
      </w:r>
      <w:r w:rsidR="00441B20" w:rsidRPr="0089194F">
        <w:t>5-point</w:t>
      </w:r>
      <w:r w:rsidR="0089194F" w:rsidRPr="0089194F">
        <w:t xml:space="preserve"> Likert scale. </w:t>
      </w:r>
      <w:r w:rsidR="00441B20">
        <w:t>According to a tested approach addressing safety climate (Spasojević-Brkić et al., 2022), d</w:t>
      </w:r>
      <w:r w:rsidR="0089194F" w:rsidRPr="0089194F">
        <w:t xml:space="preserve">escriptive statistics and statistical tests Kolomogorov and U* Mann Whitney </w:t>
      </w:r>
      <w:r w:rsidR="00245A00" w:rsidRPr="007C2B99">
        <w:t xml:space="preserve">(Mann &amp; Whitney, 1947) </w:t>
      </w:r>
      <w:r w:rsidR="0089194F" w:rsidRPr="0089194F">
        <w:t>are used to test the differences between organizational levels (operative, tactical and strategic).</w:t>
      </w:r>
      <w:r w:rsidR="00260697">
        <w:t xml:space="preserve"> </w:t>
      </w:r>
      <w:r w:rsidR="00C8055A">
        <w:t xml:space="preserve">With a peculiar focus on </w:t>
      </w:r>
      <w:r w:rsidR="00C8055A">
        <w:rPr>
          <w:lang w:val="en-GB"/>
        </w:rPr>
        <w:t xml:space="preserve">on resiliency and emergency response, and </w:t>
      </w:r>
      <w:r w:rsidR="00F50504">
        <w:rPr>
          <w:lang w:val="en-GB"/>
        </w:rPr>
        <w:t xml:space="preserve">an </w:t>
      </w:r>
      <w:r w:rsidR="00C8055A">
        <w:rPr>
          <w:lang w:val="en-GB"/>
        </w:rPr>
        <w:t xml:space="preserve">ad-hoc designed questionnaire was submitted to </w:t>
      </w:r>
      <w:r w:rsidR="00C8055A" w:rsidRPr="00C8055A">
        <w:rPr>
          <w:lang w:val="en-GB"/>
        </w:rPr>
        <w:t xml:space="preserve">members of the Czech </w:t>
      </w:r>
      <w:bookmarkStart w:id="1" w:name="_Hlk186715035"/>
      <w:r w:rsidR="00C8055A" w:rsidRPr="00C8055A">
        <w:rPr>
          <w:lang w:val="en-GB"/>
        </w:rPr>
        <w:t>volunteer fire brigade units (JSDH)</w:t>
      </w:r>
      <w:r w:rsidR="00C8055A">
        <w:rPr>
          <w:lang w:val="en-GB"/>
        </w:rPr>
        <w:t xml:space="preserve"> and</w:t>
      </w:r>
      <w:r w:rsidR="00C8055A" w:rsidRPr="00C8055A">
        <w:rPr>
          <w:lang w:val="en-GB"/>
        </w:rPr>
        <w:t xml:space="preserve"> </w:t>
      </w:r>
      <w:r w:rsidR="00C8055A" w:rsidRPr="00C8055A">
        <w:rPr>
          <w:lang w:val="en-GB"/>
        </w:rPr>
        <w:lastRenderedPageBreak/>
        <w:t>JSDH commanders</w:t>
      </w:r>
      <w:bookmarkEnd w:id="1"/>
      <w:r w:rsidR="00C8055A">
        <w:rPr>
          <w:lang w:val="en-GB"/>
        </w:rPr>
        <w:t xml:space="preserve">, obtaining </w:t>
      </w:r>
      <w:r w:rsidR="00C8055A" w:rsidRPr="00C8055A">
        <w:rPr>
          <w:lang w:val="en-GB"/>
        </w:rPr>
        <w:t xml:space="preserve">505 responses </w:t>
      </w:r>
      <w:r w:rsidR="00C8055A">
        <w:rPr>
          <w:lang w:val="en-GB"/>
        </w:rPr>
        <w:t>providing</w:t>
      </w:r>
      <w:r w:rsidR="00C8055A" w:rsidRPr="00C8055A">
        <w:rPr>
          <w:lang w:val="en-GB"/>
        </w:rPr>
        <w:t xml:space="preserve"> an interesting and </w:t>
      </w:r>
      <w:r w:rsidR="00C8055A">
        <w:rPr>
          <w:lang w:val="en-GB"/>
        </w:rPr>
        <w:t>clear</w:t>
      </w:r>
      <w:r w:rsidR="00C8055A" w:rsidRPr="00C8055A">
        <w:rPr>
          <w:lang w:val="en-GB"/>
        </w:rPr>
        <w:t xml:space="preserve"> picture of the resiliency of firemen volunteers units, JSDH's activities during the </w:t>
      </w:r>
      <w:r w:rsidR="00C8055A">
        <w:rPr>
          <w:lang w:val="en-GB"/>
        </w:rPr>
        <w:t>C</w:t>
      </w:r>
      <w:r w:rsidR="00C8055A" w:rsidRPr="00C8055A">
        <w:rPr>
          <w:lang w:val="en-GB"/>
        </w:rPr>
        <w:t>ovid-19 crisis.</w:t>
      </w:r>
      <w:r w:rsidR="00267E6B">
        <w:rPr>
          <w:lang w:val="en-GB"/>
        </w:rPr>
        <w:t xml:space="preserve"> </w:t>
      </w:r>
      <w:r w:rsidR="00A6752F">
        <w:t>Globally</w:t>
      </w:r>
      <w:r w:rsidR="00260697">
        <w:t>,</w:t>
      </w:r>
      <w:r w:rsidR="00A6752F">
        <w:t xml:space="preserve"> t</w:t>
      </w:r>
      <w:r>
        <w:t>hese surveys provided valuable insights into organizational practices, safety culture, and resilience factors across different industrial contexts.</w:t>
      </w:r>
      <w:r w:rsidR="00A6752F">
        <w:t xml:space="preserve"> </w:t>
      </w:r>
      <w:r w:rsidR="00267E6B">
        <w:t>All raw data</w:t>
      </w:r>
      <w:r>
        <w:t xml:space="preserve"> underwent pre-processing steps to ensure consistency and reliability</w:t>
      </w:r>
      <w:r w:rsidR="00267E6B">
        <w:t xml:space="preserve"> with </w:t>
      </w:r>
      <w:r w:rsidR="00F50504">
        <w:t xml:space="preserve">the </w:t>
      </w:r>
      <w:r w:rsidR="00267E6B">
        <w:t>main focus on</w:t>
      </w:r>
      <w:r>
        <w:t xml:space="preserve"> handling missing values, encoding categorical variables and performing necessary data transformations.</w:t>
      </w:r>
    </w:p>
    <w:p w14:paraId="784CE182" w14:textId="058C2949" w:rsidR="001D0506" w:rsidRDefault="001D0506" w:rsidP="00197C74">
      <w:pPr>
        <w:pStyle w:val="CETheadingx"/>
      </w:pPr>
      <w:r>
        <w:t>Causal Discovery Algorithm</w:t>
      </w:r>
    </w:p>
    <w:p w14:paraId="08A5462F" w14:textId="146E5BCC" w:rsidR="005B3C10" w:rsidRPr="005B3C10" w:rsidRDefault="001D0506" w:rsidP="005B3C10">
      <w:pPr>
        <w:pStyle w:val="CETBodytext"/>
        <w:rPr>
          <w:lang w:val="en-GB"/>
        </w:rPr>
      </w:pPr>
      <w:r>
        <w:t xml:space="preserve">The project employed the Peter and Clark algorithm for causal discovery </w:t>
      </w:r>
      <w:r w:rsidR="00441B20">
        <w:t>(</w:t>
      </w:r>
      <w:r w:rsidRPr="001D0506">
        <w:t>Spirtes et al., 1993</w:t>
      </w:r>
      <w:r w:rsidR="00441B20">
        <w:t>)</w:t>
      </w:r>
      <w:r>
        <w:t xml:space="preserve">. This constraint-based approach is </w:t>
      </w:r>
      <w:r w:rsidR="003B4B4D">
        <w:t>here developed</w:t>
      </w:r>
      <w:r>
        <w:t xml:space="preserve"> for learning the structure of Bayesian networks from observational </w:t>
      </w:r>
      <w:r w:rsidR="007C2B99">
        <w:t>data, aiming</w:t>
      </w:r>
      <w:r w:rsidR="00C85270">
        <w:t xml:space="preserve"> at </w:t>
      </w:r>
      <w:r>
        <w:t>discover</w:t>
      </w:r>
      <w:r w:rsidR="00C85270">
        <w:t>ing the</w:t>
      </w:r>
      <w:r w:rsidR="003B4B4D">
        <w:t xml:space="preserve"> </w:t>
      </w:r>
      <w:r>
        <w:t>causal relationships between variables by identifying conditional independence relationships among them.</w:t>
      </w:r>
      <w:r w:rsidR="003B4B4D">
        <w:t xml:space="preserve"> </w:t>
      </w:r>
      <w:r w:rsidR="005B3C10" w:rsidRPr="005B3C10">
        <w:rPr>
          <w:lang w:val="en-GB"/>
        </w:rPr>
        <w:t xml:space="preserve">The </w:t>
      </w:r>
      <w:r w:rsidR="000E64C7" w:rsidRPr="005B3C10">
        <w:rPr>
          <w:lang w:val="en-GB"/>
        </w:rPr>
        <w:t>algorithm-based</w:t>
      </w:r>
      <w:r w:rsidR="006C34A3">
        <w:rPr>
          <w:lang w:val="en-GB"/>
        </w:rPr>
        <w:t xml:space="preserve"> approach was de</w:t>
      </w:r>
      <w:r w:rsidR="003B4B4D">
        <w:rPr>
          <w:lang w:val="en-GB"/>
        </w:rPr>
        <w:t>signed</w:t>
      </w:r>
      <w:r w:rsidR="006C34A3">
        <w:rPr>
          <w:lang w:val="en-GB"/>
        </w:rPr>
        <w:t xml:space="preserve"> according to </w:t>
      </w:r>
      <w:r w:rsidR="005B3C10">
        <w:rPr>
          <w:lang w:val="en-GB"/>
        </w:rPr>
        <w:t>the following steps</w:t>
      </w:r>
      <w:r w:rsidR="005B3C10" w:rsidRPr="005B3C10">
        <w:rPr>
          <w:lang w:val="en-GB"/>
        </w:rPr>
        <w:t>:</w:t>
      </w:r>
    </w:p>
    <w:p w14:paraId="693E8005" w14:textId="77777777" w:rsidR="005B3C10" w:rsidRPr="005B3C10" w:rsidRDefault="005B3C10" w:rsidP="005B3C10">
      <w:pPr>
        <w:pStyle w:val="CETBodytext"/>
        <w:numPr>
          <w:ilvl w:val="0"/>
          <w:numId w:val="33"/>
        </w:numPr>
        <w:rPr>
          <w:lang w:val="en-GB"/>
        </w:rPr>
      </w:pPr>
      <w:r w:rsidRPr="005B3C10">
        <w:rPr>
          <w:i/>
          <w:lang w:val="en-GB"/>
        </w:rPr>
        <w:t>Initialization</w:t>
      </w:r>
      <w:r w:rsidRPr="005B3C10">
        <w:rPr>
          <w:lang w:val="en-GB"/>
        </w:rPr>
        <w:t>: Begin with a fully connected undirected graph.</w:t>
      </w:r>
    </w:p>
    <w:p w14:paraId="1DC23202" w14:textId="77777777" w:rsidR="005B3C10" w:rsidRPr="005B3C10" w:rsidRDefault="005B3C10" w:rsidP="005B3C10">
      <w:pPr>
        <w:pStyle w:val="CETBodytext"/>
        <w:numPr>
          <w:ilvl w:val="0"/>
          <w:numId w:val="33"/>
        </w:numPr>
        <w:rPr>
          <w:lang w:val="en-GB"/>
        </w:rPr>
      </w:pPr>
      <w:r w:rsidRPr="005B3C10">
        <w:rPr>
          <w:i/>
          <w:lang w:val="en-GB"/>
        </w:rPr>
        <w:t>Conditional Independence Tests</w:t>
      </w:r>
      <w:r w:rsidRPr="005B3C10">
        <w:rPr>
          <w:lang w:val="en-GB"/>
        </w:rPr>
        <w:t>: Perform tests between pairs of variables to determine direct causal relationships.</w:t>
      </w:r>
    </w:p>
    <w:p w14:paraId="3E0549AC" w14:textId="77777777" w:rsidR="005B3C10" w:rsidRPr="005B3C10" w:rsidRDefault="005B3C10" w:rsidP="005B3C10">
      <w:pPr>
        <w:pStyle w:val="CETBodytext"/>
        <w:numPr>
          <w:ilvl w:val="0"/>
          <w:numId w:val="33"/>
        </w:numPr>
        <w:rPr>
          <w:lang w:val="en-GB"/>
        </w:rPr>
      </w:pPr>
      <w:r w:rsidRPr="005B3C10">
        <w:rPr>
          <w:i/>
          <w:lang w:val="en-GB"/>
        </w:rPr>
        <w:t>Eliminate Spurious Relationships</w:t>
      </w:r>
      <w:r w:rsidRPr="005B3C10">
        <w:rPr>
          <w:lang w:val="en-GB"/>
        </w:rPr>
        <w:t>: Remove edges between conditionally independent variables.</w:t>
      </w:r>
    </w:p>
    <w:p w14:paraId="6BE8283E" w14:textId="77777777" w:rsidR="005B3C10" w:rsidRPr="005B3C10" w:rsidRDefault="005B3C10" w:rsidP="005B3C10">
      <w:pPr>
        <w:pStyle w:val="CETBodytext"/>
        <w:numPr>
          <w:ilvl w:val="0"/>
          <w:numId w:val="33"/>
        </w:numPr>
        <w:rPr>
          <w:lang w:val="en-GB"/>
        </w:rPr>
      </w:pPr>
      <w:r w:rsidRPr="005B3C10">
        <w:rPr>
          <w:i/>
          <w:lang w:val="en-GB"/>
        </w:rPr>
        <w:t>Orient Edges</w:t>
      </w:r>
      <w:r w:rsidRPr="005B3C10">
        <w:rPr>
          <w:lang w:val="en-GB"/>
        </w:rPr>
        <w:t>: Establish the directionality of causal relationships.</w:t>
      </w:r>
    </w:p>
    <w:p w14:paraId="4CFDD545" w14:textId="445CCDC8" w:rsidR="005B3C10" w:rsidRPr="005B3C10" w:rsidRDefault="005B3C10" w:rsidP="005B3C10">
      <w:pPr>
        <w:pStyle w:val="CETBodytext"/>
        <w:numPr>
          <w:ilvl w:val="0"/>
          <w:numId w:val="33"/>
        </w:numPr>
        <w:rPr>
          <w:lang w:val="en-GB"/>
        </w:rPr>
      </w:pPr>
      <w:r w:rsidRPr="005B3C10">
        <w:rPr>
          <w:i/>
          <w:lang w:val="en-GB"/>
        </w:rPr>
        <w:t>Refine the Structure</w:t>
      </w:r>
      <w:r w:rsidRPr="005B3C10">
        <w:rPr>
          <w:lang w:val="en-GB"/>
        </w:rPr>
        <w:t>: Apply additional tests and heuristics to improve accuracy.</w:t>
      </w:r>
    </w:p>
    <w:p w14:paraId="0DE952EB" w14:textId="7FF37A71" w:rsidR="001D0506" w:rsidRDefault="001D0506" w:rsidP="001D0506">
      <w:pPr>
        <w:pStyle w:val="CETBodytext"/>
      </w:pPr>
      <w:r>
        <w:t xml:space="preserve">Bayesian network modelling techniques were used to analyze causal relationships within the </w:t>
      </w:r>
      <w:r w:rsidR="00C1762C">
        <w:t xml:space="preserve">complex </w:t>
      </w:r>
      <w:r>
        <w:t>organizational context. Th</w:t>
      </w:r>
      <w:r w:rsidR="00312D5B">
        <w:t>e designed</w:t>
      </w:r>
      <w:r>
        <w:t xml:space="preserve"> approach allows for the representation of complex dependencies between variables and provides a probabilistic framework for reasoning about organizational factors and their impacts.</w:t>
      </w:r>
    </w:p>
    <w:p w14:paraId="4B1EBFC9" w14:textId="71BAC3C0" w:rsidR="001D0506" w:rsidRDefault="001D0506" w:rsidP="00197C74">
      <w:pPr>
        <w:pStyle w:val="CETheadingx"/>
      </w:pPr>
      <w:r>
        <w:t>Multilevel Flow Modelling (MFM)</w:t>
      </w:r>
    </w:p>
    <w:p w14:paraId="09406386" w14:textId="0187E2AC" w:rsidR="00453E24" w:rsidRDefault="001D0506" w:rsidP="001D0506">
      <w:pPr>
        <w:pStyle w:val="CETBodytext"/>
      </w:pPr>
      <w:r>
        <w:t xml:space="preserve">In addition to Bayesian network modelling, the </w:t>
      </w:r>
      <w:r w:rsidR="00C1762C">
        <w:t xml:space="preserve">research </w:t>
      </w:r>
      <w:r>
        <w:t>project incorporated Multilevel Flow Modelling (MFM) techniques</w:t>
      </w:r>
      <w:r w:rsidR="002E6B95">
        <w:t xml:space="preserve"> </w:t>
      </w:r>
      <w:r w:rsidR="00C1762C">
        <w:t>(</w:t>
      </w:r>
      <w:r w:rsidR="002E6B95">
        <w:t>Morten, 2013</w:t>
      </w:r>
      <w:r w:rsidR="00C1762C">
        <w:t>)</w:t>
      </w:r>
      <w:r>
        <w:t xml:space="preserve">. MFM is a functional modelling methodology used to represent complex systems and their </w:t>
      </w:r>
      <w:r w:rsidR="005C1627">
        <w:t>interdependence</w:t>
      </w:r>
      <w:r>
        <w:t>. This approach provides a complementary perspective on organizational resilience by capturing the flow of resources, information, and processes within the system.</w:t>
      </w:r>
    </w:p>
    <w:p w14:paraId="677EBFF0" w14:textId="7632B817" w:rsidR="00600535" w:rsidRPr="00B57B36" w:rsidRDefault="002E6B95" w:rsidP="00600535">
      <w:pPr>
        <w:pStyle w:val="CETHeading1"/>
        <w:tabs>
          <w:tab w:val="clear" w:pos="360"/>
          <w:tab w:val="right" w:pos="7100"/>
        </w:tabs>
        <w:jc w:val="both"/>
        <w:rPr>
          <w:lang w:val="en-GB"/>
        </w:rPr>
      </w:pPr>
      <w:r>
        <w:rPr>
          <w:lang w:val="en-GB"/>
        </w:rPr>
        <w:t>Results and discussion</w:t>
      </w:r>
    </w:p>
    <w:p w14:paraId="04963A06" w14:textId="628A0120" w:rsidR="00600535" w:rsidRPr="00B57B36" w:rsidRDefault="002E6B95" w:rsidP="00197C74">
      <w:pPr>
        <w:pStyle w:val="CETheadingx"/>
      </w:pPr>
      <w:r>
        <w:t>Learned Network Structure</w:t>
      </w:r>
    </w:p>
    <w:p w14:paraId="4EA4C3BF" w14:textId="20294CD0" w:rsidR="002E6B95" w:rsidRDefault="002E6B95" w:rsidP="00B52E0C">
      <w:r w:rsidRPr="003F55DB">
        <w:t>The causal discovery process resulted in a learned network structure that reveals key insight</w:t>
      </w:r>
      <w:r>
        <w:t>s into organizational causality</w:t>
      </w:r>
      <w:r w:rsidRPr="003F55DB">
        <w:t>.</w:t>
      </w:r>
      <w:r w:rsidR="00B52E0C">
        <w:t xml:space="preserve"> </w:t>
      </w:r>
      <w:r w:rsidR="00B52E0C" w:rsidRPr="007C2B99">
        <w:t>We argue that the more knowledge is available about the structure, the more the Covid 19 epistemic uncertainty can be reduced.</w:t>
      </w:r>
      <w:r w:rsidR="00B52E0C" w:rsidRPr="00B52E0C">
        <w:rPr>
          <w:color w:val="FF0000"/>
        </w:rPr>
        <w:t xml:space="preserve"> </w:t>
      </w:r>
      <w:r w:rsidRPr="003F55DB">
        <w:t xml:space="preserve">The network </w:t>
      </w:r>
      <w:r w:rsidR="00245A00" w:rsidRPr="003F55DB">
        <w:t>structure</w:t>
      </w:r>
      <w:r w:rsidR="00245A00">
        <w:t xml:space="preserve"> depicted</w:t>
      </w:r>
      <w:r w:rsidR="003B4B4D">
        <w:t xml:space="preserve"> in </w:t>
      </w:r>
      <w:r w:rsidR="00AA7D48">
        <w:t>Figure 1</w:t>
      </w:r>
      <w:r w:rsidRPr="003F55DB">
        <w:t xml:space="preserve"> illustrates the complex relationships between various organizational </w:t>
      </w:r>
      <w:r w:rsidR="00110E7E">
        <w:t xml:space="preserve">resilience </w:t>
      </w:r>
      <w:r w:rsidRPr="003F55DB">
        <w:t>actors.</w:t>
      </w:r>
    </w:p>
    <w:p w14:paraId="0B70003E" w14:textId="77777777" w:rsidR="00210032" w:rsidRDefault="00210032" w:rsidP="002E6B95"/>
    <w:p w14:paraId="5F49A7B5" w14:textId="1D12F68B" w:rsidR="00210032" w:rsidRDefault="00210032" w:rsidP="002E6B95">
      <w:r>
        <w:rPr>
          <w:noProof/>
          <w:lang w:val="it-IT" w:eastAsia="it-IT"/>
        </w:rPr>
        <w:drawing>
          <wp:inline distT="0" distB="0" distL="0" distR="0" wp14:anchorId="077BC33F" wp14:editId="16496E29">
            <wp:extent cx="4082426" cy="2579915"/>
            <wp:effectExtent l="0" t="0" r="0" b="0"/>
            <wp:docPr id="831561460" name="Immagine 1" descr="Immagine che contiene diagramma, schermata, testo, 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561460" name="Immagine 1" descr="Immagine che contiene diagramma, schermata, testo, lin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5169" cy="2600607"/>
                    </a:xfrm>
                    <a:prstGeom prst="rect">
                      <a:avLst/>
                    </a:prstGeom>
                    <a:noFill/>
                    <a:ln>
                      <a:noFill/>
                    </a:ln>
                  </pic:spPr>
                </pic:pic>
              </a:graphicData>
            </a:graphic>
          </wp:inline>
        </w:drawing>
      </w:r>
    </w:p>
    <w:p w14:paraId="7F24ED3F" w14:textId="7B1C7F75" w:rsidR="00AA7D48" w:rsidRDefault="00AA7D48" w:rsidP="003B4B4D">
      <w:pPr>
        <w:pStyle w:val="Didascalia"/>
        <w:spacing w:before="120" w:after="240"/>
        <w:rPr>
          <w:b w:val="0"/>
          <w:bCs w:val="0"/>
          <w:i/>
          <w:color w:val="auto"/>
          <w:szCs w:val="20"/>
        </w:rPr>
      </w:pPr>
      <w:r w:rsidRPr="00AA7D48">
        <w:rPr>
          <w:b w:val="0"/>
          <w:bCs w:val="0"/>
          <w:i/>
          <w:color w:val="auto"/>
          <w:szCs w:val="20"/>
        </w:rPr>
        <w:t xml:space="preserve">Figure </w:t>
      </w:r>
      <w:r w:rsidRPr="00AA7D48">
        <w:rPr>
          <w:b w:val="0"/>
          <w:bCs w:val="0"/>
          <w:i/>
          <w:color w:val="auto"/>
          <w:szCs w:val="20"/>
        </w:rPr>
        <w:fldChar w:fldCharType="begin"/>
      </w:r>
      <w:r w:rsidRPr="00AA7D48">
        <w:rPr>
          <w:b w:val="0"/>
          <w:bCs w:val="0"/>
          <w:i/>
          <w:color w:val="auto"/>
          <w:szCs w:val="20"/>
        </w:rPr>
        <w:instrText xml:space="preserve"> SEQ Figure \* ARABIC </w:instrText>
      </w:r>
      <w:r w:rsidRPr="00AA7D48">
        <w:rPr>
          <w:b w:val="0"/>
          <w:bCs w:val="0"/>
          <w:i/>
          <w:color w:val="auto"/>
          <w:szCs w:val="20"/>
        </w:rPr>
        <w:fldChar w:fldCharType="separate"/>
      </w:r>
      <w:r w:rsidR="00A80344">
        <w:rPr>
          <w:b w:val="0"/>
          <w:bCs w:val="0"/>
          <w:i/>
          <w:noProof/>
          <w:color w:val="auto"/>
          <w:szCs w:val="20"/>
        </w:rPr>
        <w:t>1</w:t>
      </w:r>
      <w:r w:rsidRPr="00AA7D48">
        <w:rPr>
          <w:b w:val="0"/>
          <w:bCs w:val="0"/>
          <w:i/>
          <w:color w:val="auto"/>
          <w:szCs w:val="20"/>
        </w:rPr>
        <w:fldChar w:fldCharType="end"/>
      </w:r>
      <w:r w:rsidRPr="00AA7D48">
        <w:rPr>
          <w:b w:val="0"/>
          <w:bCs w:val="0"/>
          <w:i/>
          <w:color w:val="auto"/>
          <w:szCs w:val="20"/>
        </w:rPr>
        <w:t>: Learned Causal Structure</w:t>
      </w:r>
      <w:r w:rsidR="003B4B4D">
        <w:rPr>
          <w:b w:val="0"/>
          <w:bCs w:val="0"/>
          <w:i/>
          <w:color w:val="auto"/>
          <w:szCs w:val="20"/>
        </w:rPr>
        <w:t>.</w:t>
      </w:r>
    </w:p>
    <w:p w14:paraId="21F661FC" w14:textId="328A3A4A" w:rsidR="002E6B95" w:rsidRPr="002E6B95" w:rsidRDefault="002E6B95" w:rsidP="00197C74">
      <w:pPr>
        <w:pStyle w:val="CETheadingx"/>
      </w:pPr>
      <w:r w:rsidRPr="002E6B95">
        <w:t>Key Insights on Causality</w:t>
      </w:r>
    </w:p>
    <w:p w14:paraId="0419D419" w14:textId="7A0C3583" w:rsidR="002E6B95" w:rsidRPr="003F55DB" w:rsidRDefault="002E6B95" w:rsidP="002E6B95">
      <w:r w:rsidRPr="003F55DB">
        <w:t>Analysis of the learned network structure yielded several important insights</w:t>
      </w:r>
      <w:r w:rsidR="00197C74">
        <w:t>, summarized in the following.</w:t>
      </w:r>
    </w:p>
    <w:p w14:paraId="6DEA647F" w14:textId="67723C5B" w:rsidR="002E6B95" w:rsidRDefault="002E6B95" w:rsidP="002F04EB">
      <w:pPr>
        <w:pStyle w:val="Paragrafoelenco"/>
        <w:numPr>
          <w:ilvl w:val="0"/>
          <w:numId w:val="29"/>
        </w:numPr>
        <w:tabs>
          <w:tab w:val="clear" w:pos="7100"/>
        </w:tabs>
        <w:spacing w:after="160" w:line="259" w:lineRule="auto"/>
        <w:jc w:val="left"/>
      </w:pPr>
      <w:r w:rsidRPr="00500117">
        <w:rPr>
          <w:i/>
        </w:rPr>
        <w:lastRenderedPageBreak/>
        <w:t>Direct Impact on Organizational Resilience</w:t>
      </w:r>
      <w:r w:rsidRPr="003F55DB">
        <w:t>: Employee training and procedural adherence were found to have a direct impact on</w:t>
      </w:r>
      <w:r w:rsidR="00500117">
        <w:t xml:space="preserve"> firm</w:t>
      </w:r>
      <w:r w:rsidRPr="003F55DB">
        <w:t xml:space="preserve"> organizational resilience. This is evidenced by their strong connections to business impact and suspension incidents.</w:t>
      </w:r>
      <w:r w:rsidR="00500117">
        <w:t xml:space="preserve"> </w:t>
      </w:r>
    </w:p>
    <w:p w14:paraId="541E5CCA" w14:textId="722BBC79" w:rsidR="002E6B95" w:rsidRDefault="002E6B95" w:rsidP="002E6B95">
      <w:pPr>
        <w:pStyle w:val="Paragrafoelenco"/>
        <w:numPr>
          <w:ilvl w:val="0"/>
          <w:numId w:val="29"/>
        </w:numPr>
        <w:tabs>
          <w:tab w:val="clear" w:pos="7100"/>
        </w:tabs>
        <w:spacing w:after="160" w:line="259" w:lineRule="auto"/>
        <w:jc w:val="left"/>
      </w:pPr>
      <w:r w:rsidRPr="002E6B95">
        <w:rPr>
          <w:i/>
        </w:rPr>
        <w:t>Indirect Causal Paths</w:t>
      </w:r>
      <w:r w:rsidRPr="003F55DB">
        <w:t>: Complex organizational dynamics were observed through indirect causal paths between factors such as company size, industry sector,</w:t>
      </w:r>
      <w:r>
        <w:t xml:space="preserve"> and organizational resilience</w:t>
      </w:r>
      <w:r w:rsidRPr="003F55DB">
        <w:t>.</w:t>
      </w:r>
    </w:p>
    <w:p w14:paraId="2BDA8694" w14:textId="549A2EEE" w:rsidR="002E6B95" w:rsidRPr="007C2B99" w:rsidRDefault="002E6B95" w:rsidP="00411936">
      <w:pPr>
        <w:pStyle w:val="Paragrafoelenco"/>
        <w:numPr>
          <w:ilvl w:val="0"/>
          <w:numId w:val="29"/>
        </w:numPr>
        <w:tabs>
          <w:tab w:val="clear" w:pos="7100"/>
        </w:tabs>
        <w:spacing w:after="160" w:line="259" w:lineRule="auto"/>
        <w:jc w:val="left"/>
      </w:pPr>
      <w:r w:rsidRPr="007C2B99">
        <w:t>Safety Management System (SMS) Importance</w:t>
      </w:r>
      <w:r w:rsidRPr="003F55DB">
        <w:t xml:space="preserve">: The learned causal network structure underlines the crucial role of the </w:t>
      </w:r>
      <w:r w:rsidR="003B0DED">
        <w:t>SMS</w:t>
      </w:r>
      <w:r w:rsidRPr="003F55DB">
        <w:t xml:space="preserve"> in ensuring the safety and well-being of personne</w:t>
      </w:r>
      <w:r>
        <w:t>l, assets, and the environment</w:t>
      </w:r>
      <w:r w:rsidR="00B52E0C">
        <w:t>,</w:t>
      </w:r>
      <w:r w:rsidR="00500117">
        <w:t xml:space="preserve"> </w:t>
      </w:r>
      <w:r w:rsidR="00500117" w:rsidRPr="007C2B99">
        <w:t xml:space="preserve">by </w:t>
      </w:r>
      <w:r w:rsidR="00B52E0C" w:rsidRPr="007C2B99">
        <w:t>posing</w:t>
      </w:r>
      <w:r w:rsidR="00500117" w:rsidRPr="007C2B99">
        <w:t xml:space="preserve"> emphasis on anticipation of unwanted events</w:t>
      </w:r>
      <w:r w:rsidR="00B52E0C" w:rsidRPr="007C2B99">
        <w:t xml:space="preserve"> </w:t>
      </w:r>
      <w:r w:rsidR="00500117" w:rsidRPr="007C2B99">
        <w:t>and proactive management</w:t>
      </w:r>
      <w:r w:rsidR="00B52E0C" w:rsidRPr="007C2B99">
        <w:t>.</w:t>
      </w:r>
    </w:p>
    <w:p w14:paraId="7969A365" w14:textId="71E886AD" w:rsidR="002E6B95" w:rsidRPr="002E6B95" w:rsidRDefault="002E6B95" w:rsidP="00197C74">
      <w:pPr>
        <w:pStyle w:val="CETheadingx"/>
      </w:pPr>
      <w:r w:rsidRPr="002E6B95">
        <w:t>Organizational Optimization Strategies</w:t>
      </w:r>
    </w:p>
    <w:p w14:paraId="5E7B85E1" w14:textId="7B172992" w:rsidR="009D7993" w:rsidRDefault="002E6B95" w:rsidP="002E6B95">
      <w:r w:rsidRPr="003F55DB">
        <w:t>Based on the analysis, the project identified several organizational optimization strategies aligned with the</w:t>
      </w:r>
      <w:r>
        <w:t xml:space="preserve"> above mentioned</w:t>
      </w:r>
      <w:r w:rsidRPr="003F55DB">
        <w:t xml:space="preserve"> four</w:t>
      </w:r>
      <w:r w:rsidR="00C41821">
        <w:t xml:space="preserve"> </w:t>
      </w:r>
      <w:r w:rsidR="00C41821" w:rsidRPr="007C2B99">
        <w:t>objectives</w:t>
      </w:r>
      <w:r w:rsidRPr="003F55DB">
        <w:t xml:space="preserve"> </w:t>
      </w:r>
      <w:r>
        <w:t>of organizational resilience</w:t>
      </w:r>
      <w:r w:rsidRPr="003F55DB">
        <w:t>. These strategies provide a comprehensive framework for enhancing organizational resilience and performance.</w:t>
      </w:r>
      <w:r w:rsidR="00110E7E">
        <w:t xml:space="preserve"> </w:t>
      </w:r>
      <w:r w:rsidRPr="003F55DB">
        <w:t>The analysis highlighted the importance of adhering to and updating the main SMS pillars, including risk management, safety culture, a</w:t>
      </w:r>
      <w:r>
        <w:t>nd compliance with regulations</w:t>
      </w:r>
      <w:r w:rsidRPr="003F55DB">
        <w:t>.</w:t>
      </w:r>
      <w:r w:rsidR="002B429D">
        <w:t xml:space="preserve"> </w:t>
      </w:r>
      <w:r>
        <w:t>T</w:t>
      </w:r>
      <w:r w:rsidRPr="003F55DB">
        <w:t>he</w:t>
      </w:r>
      <w:r w:rsidR="00A6752F">
        <w:t xml:space="preserve"> </w:t>
      </w:r>
      <w:r w:rsidRPr="003F55DB">
        <w:t>need for innovation within the SMS framework</w:t>
      </w:r>
      <w:r>
        <w:t xml:space="preserve"> resulted strongly emphasized</w:t>
      </w:r>
      <w:r w:rsidRPr="003F55DB">
        <w:t>, especially in the face of unexpected events such as pandemics. Key areas for innovation include real-time monitoring and reporting, continuous improvement, and integration of safety and innovatio</w:t>
      </w:r>
      <w:r>
        <w:t>n</w:t>
      </w:r>
      <w:r w:rsidRPr="003F55DB">
        <w:t>.</w:t>
      </w:r>
      <w:r w:rsidR="002B429D">
        <w:t xml:space="preserve"> </w:t>
      </w:r>
      <w:r w:rsidRPr="003F55DB">
        <w:t xml:space="preserve">The incorporation of survey data from different </w:t>
      </w:r>
      <w:r w:rsidR="00110E7E">
        <w:t>C</w:t>
      </w:r>
      <w:r w:rsidRPr="003F55DB">
        <w:t>ountries allowed for cross-country comparisons of organizational resilience practices. These comparisons revealed both commonalities and differences in approaches to safety management, risk perception, and organizational culture across different industrial contexts.</w:t>
      </w:r>
      <w:r w:rsidR="002B429D">
        <w:t xml:space="preserve"> </w:t>
      </w:r>
      <w:r w:rsidRPr="003F55DB">
        <w:t>The application of Multilevel Flow Mode</w:t>
      </w:r>
      <w:r>
        <w:t>l</w:t>
      </w:r>
      <w:r w:rsidRPr="003F55DB">
        <w:t>ling (MFM) provided additional insights into the functional aspects of organizational resilience. MFM allowed for the representation of complex system interdependencies and helped identify critical flows and bottlenecks within organizational processes. This analysis complemented the Bayesian network approach by offering a different perspective on system dynamics and potential points of failure or improvement.</w:t>
      </w:r>
      <w:r w:rsidR="00A6752F">
        <w:t xml:space="preserve"> </w:t>
      </w:r>
    </w:p>
    <w:p w14:paraId="0B29207F" w14:textId="370F0AE6" w:rsidR="00A80344" w:rsidRDefault="00A80344" w:rsidP="002E6B95">
      <w:r>
        <w:t xml:space="preserve">Figure 2 </w:t>
      </w:r>
      <w:r w:rsidR="002B429D">
        <w:t>depict</w:t>
      </w:r>
      <w:r>
        <w:t xml:space="preserve">s the relative importance of </w:t>
      </w:r>
      <w:r w:rsidRPr="00A80344">
        <w:t xml:space="preserve">organizational resilience </w:t>
      </w:r>
      <w:r>
        <w:t xml:space="preserve">goals </w:t>
      </w:r>
      <w:r w:rsidRPr="00A80344">
        <w:t>for the assessment of safety and security at work by workplace</w:t>
      </w:r>
      <w:r>
        <w:t>, as defined by the</w:t>
      </w:r>
      <w:r w:rsidR="00780044">
        <w:t xml:space="preserve"> investigation performed</w:t>
      </w:r>
      <w:r w:rsidR="00110E7E">
        <w:t xml:space="preserve"> in the </w:t>
      </w:r>
      <w:r w:rsidR="00110E7E" w:rsidRPr="00110E7E">
        <w:t>transport and mining companies</w:t>
      </w:r>
      <w:r w:rsidR="00780044">
        <w:t>.</w:t>
      </w:r>
    </w:p>
    <w:p w14:paraId="3A21EE2A" w14:textId="77777777" w:rsidR="002B429D" w:rsidRDefault="002B429D" w:rsidP="002E6B95"/>
    <w:p w14:paraId="731BFDAD" w14:textId="77777777" w:rsidR="00A80344" w:rsidRDefault="00A80344" w:rsidP="00A80344">
      <w:pPr>
        <w:keepNext/>
      </w:pPr>
      <w:r w:rsidRPr="00A80344">
        <w:rPr>
          <w:noProof/>
          <w:lang w:val="it-IT" w:eastAsia="it-IT"/>
        </w:rPr>
        <w:drawing>
          <wp:inline distT="0" distB="0" distL="0" distR="0" wp14:anchorId="31FFF38B" wp14:editId="2203F140">
            <wp:extent cx="4700132" cy="3412473"/>
            <wp:effectExtent l="0" t="0" r="571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2716" cy="3450651"/>
                    </a:xfrm>
                    <a:prstGeom prst="rect">
                      <a:avLst/>
                    </a:prstGeom>
                    <a:noFill/>
                    <a:ln>
                      <a:noFill/>
                    </a:ln>
                  </pic:spPr>
                </pic:pic>
              </a:graphicData>
            </a:graphic>
          </wp:inline>
        </w:drawing>
      </w:r>
    </w:p>
    <w:p w14:paraId="32706B7A" w14:textId="6F46904D" w:rsidR="00A80344" w:rsidRDefault="00A80344" w:rsidP="003B4B4D">
      <w:pPr>
        <w:pStyle w:val="Didascalia"/>
        <w:spacing w:before="240" w:after="240"/>
        <w:rPr>
          <w:b w:val="0"/>
          <w:bCs w:val="0"/>
          <w:i/>
          <w:color w:val="auto"/>
          <w:szCs w:val="20"/>
        </w:rPr>
      </w:pPr>
      <w:r w:rsidRPr="00A80344">
        <w:rPr>
          <w:b w:val="0"/>
          <w:bCs w:val="0"/>
          <w:i/>
          <w:color w:val="auto"/>
          <w:szCs w:val="20"/>
        </w:rPr>
        <w:t xml:space="preserve">Figure </w:t>
      </w:r>
      <w:r w:rsidRPr="00A80344">
        <w:rPr>
          <w:b w:val="0"/>
          <w:bCs w:val="0"/>
          <w:i/>
          <w:color w:val="auto"/>
          <w:szCs w:val="20"/>
        </w:rPr>
        <w:fldChar w:fldCharType="begin"/>
      </w:r>
      <w:r w:rsidRPr="00A80344">
        <w:rPr>
          <w:b w:val="0"/>
          <w:bCs w:val="0"/>
          <w:i/>
          <w:color w:val="auto"/>
          <w:szCs w:val="20"/>
        </w:rPr>
        <w:instrText xml:space="preserve"> SEQ Figure \* ARABIC </w:instrText>
      </w:r>
      <w:r w:rsidRPr="00A80344">
        <w:rPr>
          <w:b w:val="0"/>
          <w:bCs w:val="0"/>
          <w:i/>
          <w:color w:val="auto"/>
          <w:szCs w:val="20"/>
        </w:rPr>
        <w:fldChar w:fldCharType="separate"/>
      </w:r>
      <w:r w:rsidRPr="00A80344">
        <w:rPr>
          <w:b w:val="0"/>
          <w:bCs w:val="0"/>
          <w:i/>
          <w:color w:val="auto"/>
          <w:szCs w:val="20"/>
        </w:rPr>
        <w:t>2</w:t>
      </w:r>
      <w:r w:rsidRPr="00A80344">
        <w:rPr>
          <w:b w:val="0"/>
          <w:bCs w:val="0"/>
          <w:i/>
          <w:color w:val="auto"/>
          <w:szCs w:val="20"/>
        </w:rPr>
        <w:fldChar w:fldCharType="end"/>
      </w:r>
      <w:r>
        <w:rPr>
          <w:b w:val="0"/>
          <w:bCs w:val="0"/>
          <w:i/>
          <w:color w:val="auto"/>
          <w:szCs w:val="20"/>
        </w:rPr>
        <w:t xml:space="preserve">: </w:t>
      </w:r>
      <w:r w:rsidRPr="00A80344">
        <w:rPr>
          <w:b w:val="0"/>
          <w:bCs w:val="0"/>
          <w:i/>
          <w:color w:val="auto"/>
          <w:szCs w:val="20"/>
        </w:rPr>
        <w:t>Radar diagram of organizational resilience for the assessment of safety and security at work by workplace</w:t>
      </w:r>
      <w:r w:rsidR="00110E7E">
        <w:rPr>
          <w:b w:val="0"/>
          <w:bCs w:val="0"/>
          <w:i/>
          <w:color w:val="auto"/>
          <w:szCs w:val="20"/>
        </w:rPr>
        <w:t>.</w:t>
      </w:r>
    </w:p>
    <w:p w14:paraId="1EEEEDC6" w14:textId="77777777" w:rsidR="00312D5B" w:rsidRDefault="00D36D11" w:rsidP="00110E7E">
      <w:r>
        <w:t xml:space="preserve">Table 2 summarizes the quantitative results referred to the 4 resilience objectives. </w:t>
      </w:r>
    </w:p>
    <w:p w14:paraId="1DB8CDB0" w14:textId="6963A091" w:rsidR="00D36D11" w:rsidRDefault="00110E7E" w:rsidP="00110E7E">
      <w:r w:rsidRPr="00110E7E">
        <w:t xml:space="preserve">The Reaction and Anticipation aspects have good resilience index values. Middle level managers, first line managers, transport and mining machine operators and other workers have a very high resilience index in terms of the Reaction angle (11.92, 10.14, 11.44 and 11.24 respectively), while strategic level managers have a twice </w:t>
      </w:r>
      <w:r w:rsidRPr="00110E7E">
        <w:lastRenderedPageBreak/>
        <w:t xml:space="preserve">lower value of resilience index. The prediction index values at all organizational levels are good, between 3.79 and 5.66. The values of the Monitoring aspect are good at the middle level of managers and operators, and somewhat lower, but adequate at other organizational levels. However, employees at all organizational levels have low values of coefficients of </w:t>
      </w:r>
      <w:r w:rsidR="00312D5B">
        <w:t>OR</w:t>
      </w:r>
      <w:r w:rsidRPr="00110E7E">
        <w:t xml:space="preserve"> in terms of the Learning aspect (ranging from 0.81 to 2.13), which indicates that employees do not use experiences from previous periods</w:t>
      </w:r>
      <w:r w:rsidRPr="00500117">
        <w:rPr>
          <w:color w:val="FF0000"/>
        </w:rPr>
        <w:t>.</w:t>
      </w:r>
      <w:r w:rsidR="00500117" w:rsidRPr="00500117">
        <w:rPr>
          <w:color w:val="FF0000"/>
        </w:rPr>
        <w:t xml:space="preserve"> </w:t>
      </w:r>
      <w:r w:rsidR="00500117" w:rsidRPr="00500117">
        <w:rPr>
          <w:color w:val="FF0000"/>
        </w:rPr>
        <w:tab/>
      </w:r>
      <w:r w:rsidR="00500117" w:rsidRPr="007C2B99">
        <w:t xml:space="preserve">Deep epistemic uncertainties on pandemics, i.e. lack of knowledge, information ambiguity and poor controllability </w:t>
      </w:r>
      <w:r w:rsidR="007C2B99">
        <w:t>resulted</w:t>
      </w:r>
      <w:r w:rsidR="00500117" w:rsidRPr="007C2B99">
        <w:t xml:space="preserve"> critical elements to be considered in developing emergency planning and response.</w:t>
      </w:r>
      <w:r w:rsidRPr="007C2B99">
        <w:t xml:space="preserve"> </w:t>
      </w:r>
      <w:r w:rsidRPr="00110E7E">
        <w:t>Transport and mining machine operators have the highest aggregate resilience index value</w:t>
      </w:r>
      <w:r w:rsidR="00D36D11">
        <w:t>,</w:t>
      </w:r>
      <w:r w:rsidRPr="00110E7E">
        <w:t xml:space="preserve"> while strategic level managers </w:t>
      </w:r>
      <w:r w:rsidR="00D36D11">
        <w:t>rank</w:t>
      </w:r>
      <w:r w:rsidRPr="00110E7E">
        <w:t xml:space="preserve"> the lowest </w:t>
      </w:r>
      <w:r w:rsidR="00D36D11">
        <w:t xml:space="preserve">one. </w:t>
      </w:r>
      <w:r w:rsidRPr="00110E7E">
        <w:t xml:space="preserve">It is also noticeable that the Monitoring aspect, depending on the organizational level, has alternately good and adequate values, which points </w:t>
      </w:r>
      <w:r w:rsidR="0080374F">
        <w:t>out</w:t>
      </w:r>
      <w:r w:rsidRPr="00110E7E">
        <w:t xml:space="preserve"> that organizational restructuring could improve this aspect. Finally, the high values of the coefficients regarding the aspect of Reaction at all organizational levels indicate the readiness to organizationally adapt to changes with corrective activities, rather than planned and preventive measures.</w:t>
      </w:r>
    </w:p>
    <w:p w14:paraId="7A89CAC6" w14:textId="2089913C" w:rsidR="00BA15AE" w:rsidRPr="00B57B36" w:rsidRDefault="00BA15AE" w:rsidP="00BA15AE">
      <w:pPr>
        <w:pStyle w:val="CETTabletitle"/>
      </w:pPr>
      <w:r w:rsidRPr="00B57B36">
        <w:t xml:space="preserve">Table </w:t>
      </w:r>
      <w:r w:rsidR="0080374F">
        <w:t>2</w:t>
      </w:r>
      <w:r w:rsidRPr="00B57B36">
        <w:t xml:space="preserve">: </w:t>
      </w:r>
      <w:r w:rsidR="00E75FAC">
        <w:t>R</w:t>
      </w:r>
      <w:r w:rsidR="0080374F">
        <w:t>esilience cornerstone indexes and total resilience in transport and mining companies.</w:t>
      </w:r>
    </w:p>
    <w:tbl>
      <w:tblPr>
        <w:tblW w:w="793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276"/>
        <w:gridCol w:w="1701"/>
        <w:gridCol w:w="1559"/>
      </w:tblGrid>
      <w:tr w:rsidR="00BA15AE" w:rsidRPr="00B57B36" w14:paraId="56193CFA" w14:textId="377C97DB" w:rsidTr="00E75FAC">
        <w:tc>
          <w:tcPr>
            <w:tcW w:w="1134" w:type="dxa"/>
            <w:tcBorders>
              <w:top w:val="single" w:sz="12" w:space="0" w:color="008000"/>
              <w:bottom w:val="single" w:sz="6" w:space="0" w:color="008000"/>
            </w:tcBorders>
            <w:shd w:val="clear" w:color="auto" w:fill="FFFFFF"/>
          </w:tcPr>
          <w:p w14:paraId="2F1B0F66" w14:textId="77777777" w:rsidR="00BA15AE" w:rsidRDefault="00BA15AE" w:rsidP="00E75FAC">
            <w:pPr>
              <w:pStyle w:val="CETBodytext"/>
              <w:jc w:val="center"/>
              <w:rPr>
                <w:lang w:val="en-GB"/>
              </w:rPr>
            </w:pPr>
            <w:r>
              <w:rPr>
                <w:lang w:val="en-GB"/>
              </w:rPr>
              <w:t>Resilience</w:t>
            </w:r>
          </w:p>
          <w:p w14:paraId="1334F4BC" w14:textId="589565EA" w:rsidR="00BA15AE" w:rsidRPr="00B57B36" w:rsidRDefault="00BA15AE" w:rsidP="00E75FAC">
            <w:pPr>
              <w:pStyle w:val="CETBodytext"/>
              <w:jc w:val="center"/>
              <w:rPr>
                <w:lang w:val="en-GB"/>
              </w:rPr>
            </w:pPr>
            <w:r>
              <w:rPr>
                <w:lang w:val="en-GB"/>
              </w:rPr>
              <w:t>Cornerstone</w:t>
            </w:r>
          </w:p>
        </w:tc>
        <w:tc>
          <w:tcPr>
            <w:tcW w:w="1134" w:type="dxa"/>
            <w:tcBorders>
              <w:top w:val="single" w:sz="12" w:space="0" w:color="008000"/>
              <w:bottom w:val="single" w:sz="6" w:space="0" w:color="008000"/>
            </w:tcBorders>
            <w:shd w:val="clear" w:color="auto" w:fill="FFFFFF"/>
          </w:tcPr>
          <w:p w14:paraId="719D8BDD" w14:textId="7C148BCD" w:rsidR="00BA15AE" w:rsidRPr="00B57B36" w:rsidRDefault="00BA15AE" w:rsidP="00CE7C83">
            <w:pPr>
              <w:pStyle w:val="CETBodytext"/>
              <w:jc w:val="center"/>
              <w:rPr>
                <w:lang w:val="en-GB"/>
              </w:rPr>
            </w:pPr>
            <w:r w:rsidRPr="00BA15AE">
              <w:rPr>
                <w:lang w:val="en-GB"/>
              </w:rPr>
              <w:t>Strategic Manager</w:t>
            </w:r>
          </w:p>
        </w:tc>
        <w:tc>
          <w:tcPr>
            <w:tcW w:w="1134" w:type="dxa"/>
            <w:tcBorders>
              <w:top w:val="single" w:sz="12" w:space="0" w:color="008000"/>
              <w:bottom w:val="single" w:sz="6" w:space="0" w:color="008000"/>
            </w:tcBorders>
            <w:shd w:val="clear" w:color="auto" w:fill="FFFFFF"/>
          </w:tcPr>
          <w:p w14:paraId="440B86A2" w14:textId="3B443C2C" w:rsidR="00BA15AE" w:rsidRPr="00B57B36" w:rsidRDefault="00BA15AE" w:rsidP="00CE7C83">
            <w:pPr>
              <w:pStyle w:val="CETBodytext"/>
              <w:jc w:val="center"/>
              <w:rPr>
                <w:lang w:val="en-GB"/>
              </w:rPr>
            </w:pPr>
            <w:r w:rsidRPr="00BA15AE">
              <w:rPr>
                <w:lang w:val="en-GB"/>
              </w:rPr>
              <w:t>Middle Manager</w:t>
            </w:r>
          </w:p>
        </w:tc>
        <w:tc>
          <w:tcPr>
            <w:tcW w:w="1276" w:type="dxa"/>
            <w:tcBorders>
              <w:top w:val="single" w:sz="12" w:space="0" w:color="008000"/>
              <w:bottom w:val="single" w:sz="6" w:space="0" w:color="008000"/>
            </w:tcBorders>
            <w:shd w:val="clear" w:color="auto" w:fill="FFFFFF"/>
          </w:tcPr>
          <w:p w14:paraId="0938DDAE" w14:textId="56014D4D" w:rsidR="00BA15AE" w:rsidRPr="00B57B36" w:rsidRDefault="00BA15AE" w:rsidP="00CE7C83">
            <w:pPr>
              <w:pStyle w:val="CETBodytext"/>
              <w:ind w:right="-1"/>
              <w:jc w:val="center"/>
              <w:rPr>
                <w:rFonts w:cs="Arial"/>
                <w:szCs w:val="18"/>
                <w:lang w:val="en-GB"/>
              </w:rPr>
            </w:pPr>
            <w:r w:rsidRPr="00BA15AE">
              <w:rPr>
                <w:rFonts w:cs="Arial"/>
                <w:szCs w:val="18"/>
                <w:lang w:val="en-GB"/>
              </w:rPr>
              <w:t>First Line Managers</w:t>
            </w:r>
          </w:p>
        </w:tc>
        <w:tc>
          <w:tcPr>
            <w:tcW w:w="1701" w:type="dxa"/>
            <w:tcBorders>
              <w:top w:val="single" w:sz="12" w:space="0" w:color="008000"/>
              <w:bottom w:val="single" w:sz="6" w:space="0" w:color="008000"/>
            </w:tcBorders>
            <w:shd w:val="clear" w:color="auto" w:fill="FFFFFF"/>
          </w:tcPr>
          <w:p w14:paraId="659D141B" w14:textId="1F57F903" w:rsidR="00BA15AE" w:rsidRPr="00B57B36" w:rsidRDefault="00BA15AE" w:rsidP="00CE7C83">
            <w:pPr>
              <w:pStyle w:val="CETBodytext"/>
              <w:ind w:right="-1"/>
              <w:jc w:val="center"/>
              <w:rPr>
                <w:rFonts w:cs="Arial"/>
                <w:szCs w:val="18"/>
                <w:lang w:val="en-GB"/>
              </w:rPr>
            </w:pPr>
            <w:r w:rsidRPr="00BA15AE">
              <w:rPr>
                <w:rFonts w:cs="Arial"/>
                <w:szCs w:val="18"/>
                <w:lang w:val="en-GB"/>
              </w:rPr>
              <w:t>Transport and Mining Machine Operators</w:t>
            </w:r>
          </w:p>
        </w:tc>
        <w:tc>
          <w:tcPr>
            <w:tcW w:w="1559" w:type="dxa"/>
            <w:tcBorders>
              <w:top w:val="single" w:sz="12" w:space="0" w:color="008000"/>
              <w:bottom w:val="single" w:sz="6" w:space="0" w:color="008000"/>
            </w:tcBorders>
            <w:shd w:val="clear" w:color="auto" w:fill="FFFFFF"/>
          </w:tcPr>
          <w:p w14:paraId="41DA776A" w14:textId="36A3F9E9" w:rsidR="00BA15AE" w:rsidRPr="00BA15AE" w:rsidRDefault="00CE7C83" w:rsidP="00CE7C83">
            <w:pPr>
              <w:pStyle w:val="CETBodytext"/>
              <w:ind w:right="-1418"/>
              <w:rPr>
                <w:rFonts w:cs="Arial"/>
                <w:szCs w:val="18"/>
                <w:lang w:val="en-GB"/>
              </w:rPr>
            </w:pPr>
            <w:r>
              <w:rPr>
                <w:rFonts w:cs="Arial"/>
                <w:szCs w:val="18"/>
                <w:lang w:val="en-GB"/>
              </w:rPr>
              <w:t xml:space="preserve">       </w:t>
            </w:r>
            <w:r w:rsidR="00BA15AE" w:rsidRPr="00BA15AE">
              <w:rPr>
                <w:rFonts w:cs="Arial"/>
                <w:szCs w:val="18"/>
                <w:lang w:val="en-GB"/>
              </w:rPr>
              <w:t>Other Workers</w:t>
            </w:r>
          </w:p>
        </w:tc>
      </w:tr>
      <w:tr w:rsidR="00BA15AE" w:rsidRPr="00B57B36" w14:paraId="58D37516" w14:textId="7523E297" w:rsidTr="00E75FAC">
        <w:tc>
          <w:tcPr>
            <w:tcW w:w="1134" w:type="dxa"/>
            <w:shd w:val="clear" w:color="auto" w:fill="FFFFFF"/>
          </w:tcPr>
          <w:p w14:paraId="2145359D" w14:textId="6E65C974" w:rsidR="00BA15AE" w:rsidRPr="00B57B36" w:rsidRDefault="00BA15AE" w:rsidP="00E75FAC">
            <w:pPr>
              <w:pStyle w:val="CETBodytext"/>
              <w:jc w:val="center"/>
              <w:rPr>
                <w:lang w:val="en-GB"/>
              </w:rPr>
            </w:pPr>
            <w:r>
              <w:rPr>
                <w:lang w:val="en-GB"/>
              </w:rPr>
              <w:t>IR</w:t>
            </w:r>
            <w:r w:rsidRPr="00CE7C83">
              <w:rPr>
                <w:vertAlign w:val="subscript"/>
                <w:lang w:val="en-GB"/>
              </w:rPr>
              <w:t>A</w:t>
            </w:r>
          </w:p>
        </w:tc>
        <w:tc>
          <w:tcPr>
            <w:tcW w:w="1134" w:type="dxa"/>
            <w:shd w:val="clear" w:color="auto" w:fill="FFFFFF"/>
          </w:tcPr>
          <w:p w14:paraId="772685FF" w14:textId="24017466" w:rsidR="00BA15AE" w:rsidRPr="00B57B36" w:rsidRDefault="00BA15AE" w:rsidP="00CE7C83">
            <w:pPr>
              <w:pStyle w:val="CETBodytext"/>
              <w:jc w:val="center"/>
              <w:rPr>
                <w:lang w:val="en-GB"/>
              </w:rPr>
            </w:pPr>
            <w:r>
              <w:rPr>
                <w:lang w:val="en-GB"/>
              </w:rPr>
              <w:t>5.29</w:t>
            </w:r>
          </w:p>
        </w:tc>
        <w:tc>
          <w:tcPr>
            <w:tcW w:w="1134" w:type="dxa"/>
            <w:shd w:val="clear" w:color="auto" w:fill="FFFFFF"/>
          </w:tcPr>
          <w:p w14:paraId="1BEF9029" w14:textId="0D0B2B3D" w:rsidR="00BA15AE" w:rsidRPr="00B57B36" w:rsidRDefault="00BA15AE" w:rsidP="00CE7C83">
            <w:pPr>
              <w:pStyle w:val="CETBodytext"/>
              <w:jc w:val="center"/>
              <w:rPr>
                <w:lang w:val="en-GB"/>
              </w:rPr>
            </w:pPr>
            <w:r>
              <w:rPr>
                <w:lang w:val="en-GB"/>
              </w:rPr>
              <w:t>3.79</w:t>
            </w:r>
          </w:p>
        </w:tc>
        <w:tc>
          <w:tcPr>
            <w:tcW w:w="1276" w:type="dxa"/>
            <w:shd w:val="clear" w:color="auto" w:fill="FFFFFF"/>
          </w:tcPr>
          <w:p w14:paraId="507A2692" w14:textId="321B3E09" w:rsidR="00BA15AE" w:rsidRPr="00B57B36" w:rsidRDefault="00BA15AE" w:rsidP="00CE7C83">
            <w:pPr>
              <w:pStyle w:val="CETBodytext"/>
              <w:ind w:right="-1"/>
              <w:jc w:val="center"/>
              <w:rPr>
                <w:rFonts w:cs="Arial"/>
                <w:szCs w:val="18"/>
                <w:lang w:val="en-GB"/>
              </w:rPr>
            </w:pPr>
            <w:r>
              <w:rPr>
                <w:rFonts w:cs="Arial"/>
                <w:szCs w:val="18"/>
                <w:lang w:val="en-GB"/>
              </w:rPr>
              <w:t>4.56</w:t>
            </w:r>
          </w:p>
        </w:tc>
        <w:tc>
          <w:tcPr>
            <w:tcW w:w="1701" w:type="dxa"/>
            <w:shd w:val="clear" w:color="auto" w:fill="FFFFFF"/>
          </w:tcPr>
          <w:p w14:paraId="79269949" w14:textId="74CFD86F" w:rsidR="00BA15AE" w:rsidRPr="00B57B36" w:rsidRDefault="00BA15AE" w:rsidP="00CE7C83">
            <w:pPr>
              <w:pStyle w:val="CETBodytext"/>
              <w:ind w:right="-1"/>
              <w:jc w:val="center"/>
              <w:rPr>
                <w:rFonts w:cs="Arial"/>
                <w:szCs w:val="18"/>
                <w:lang w:val="en-GB"/>
              </w:rPr>
            </w:pPr>
            <w:r>
              <w:rPr>
                <w:rFonts w:cs="Arial"/>
                <w:szCs w:val="18"/>
                <w:lang w:val="en-GB"/>
              </w:rPr>
              <w:t>5.66</w:t>
            </w:r>
          </w:p>
        </w:tc>
        <w:tc>
          <w:tcPr>
            <w:tcW w:w="1559" w:type="dxa"/>
            <w:shd w:val="clear" w:color="auto" w:fill="FFFFFF"/>
          </w:tcPr>
          <w:p w14:paraId="7CB8A6D3" w14:textId="26845C29" w:rsidR="00BA15AE" w:rsidRPr="00B57B36" w:rsidRDefault="00CE7C83" w:rsidP="00CE7C83">
            <w:pPr>
              <w:pStyle w:val="CETBodytext"/>
              <w:ind w:right="-1418"/>
              <w:jc w:val="left"/>
              <w:rPr>
                <w:rFonts w:cs="Arial"/>
                <w:szCs w:val="18"/>
                <w:lang w:val="en-GB"/>
              </w:rPr>
            </w:pPr>
            <w:r>
              <w:rPr>
                <w:rFonts w:cs="Arial"/>
                <w:szCs w:val="18"/>
                <w:lang w:val="en-GB"/>
              </w:rPr>
              <w:t xml:space="preserve">            </w:t>
            </w:r>
            <w:r w:rsidR="00BA15AE">
              <w:rPr>
                <w:rFonts w:cs="Arial"/>
                <w:szCs w:val="18"/>
                <w:lang w:val="en-GB"/>
              </w:rPr>
              <w:t>5.27</w:t>
            </w:r>
          </w:p>
        </w:tc>
      </w:tr>
      <w:tr w:rsidR="00CE7C83" w:rsidRPr="00B57B36" w14:paraId="40490796" w14:textId="77777777" w:rsidTr="00E75FAC">
        <w:tc>
          <w:tcPr>
            <w:tcW w:w="1134" w:type="dxa"/>
            <w:shd w:val="clear" w:color="auto" w:fill="FFFFFF"/>
          </w:tcPr>
          <w:p w14:paraId="3EC3E3D3" w14:textId="7D13A4C5" w:rsidR="00CE7C83" w:rsidRDefault="00CE7C83" w:rsidP="00E75FAC">
            <w:pPr>
              <w:pStyle w:val="CETBodytext"/>
              <w:jc w:val="center"/>
              <w:rPr>
                <w:lang w:val="en-GB"/>
              </w:rPr>
            </w:pPr>
            <w:r>
              <w:rPr>
                <w:lang w:val="en-GB"/>
              </w:rPr>
              <w:t>IR</w:t>
            </w:r>
            <w:r w:rsidRPr="00CE7C83">
              <w:rPr>
                <w:vertAlign w:val="subscript"/>
                <w:lang w:val="en-GB"/>
              </w:rPr>
              <w:t>L</w:t>
            </w:r>
          </w:p>
        </w:tc>
        <w:tc>
          <w:tcPr>
            <w:tcW w:w="1134" w:type="dxa"/>
            <w:shd w:val="clear" w:color="auto" w:fill="FFFFFF"/>
          </w:tcPr>
          <w:p w14:paraId="7C07F482" w14:textId="188F26F3" w:rsidR="00CE7C83" w:rsidRDefault="00CE7C83" w:rsidP="00CE7C83">
            <w:pPr>
              <w:pStyle w:val="CETBodytext"/>
              <w:jc w:val="center"/>
              <w:rPr>
                <w:lang w:val="en-GB"/>
              </w:rPr>
            </w:pPr>
            <w:r>
              <w:rPr>
                <w:lang w:val="en-GB"/>
              </w:rPr>
              <w:t>2.13</w:t>
            </w:r>
          </w:p>
        </w:tc>
        <w:tc>
          <w:tcPr>
            <w:tcW w:w="1134" w:type="dxa"/>
            <w:shd w:val="clear" w:color="auto" w:fill="FFFFFF"/>
          </w:tcPr>
          <w:p w14:paraId="583C1DC8" w14:textId="6BE2813E" w:rsidR="00CE7C83" w:rsidRDefault="00CE7C83" w:rsidP="00CE7C83">
            <w:pPr>
              <w:pStyle w:val="CETBodytext"/>
              <w:jc w:val="center"/>
              <w:rPr>
                <w:lang w:val="en-GB"/>
              </w:rPr>
            </w:pPr>
            <w:r>
              <w:rPr>
                <w:lang w:val="en-GB"/>
              </w:rPr>
              <w:t>0.81</w:t>
            </w:r>
          </w:p>
        </w:tc>
        <w:tc>
          <w:tcPr>
            <w:tcW w:w="1276" w:type="dxa"/>
            <w:shd w:val="clear" w:color="auto" w:fill="FFFFFF"/>
          </w:tcPr>
          <w:p w14:paraId="154F538E" w14:textId="538E8BD9" w:rsidR="00CE7C83" w:rsidRDefault="00CE7C83" w:rsidP="00CE7C83">
            <w:pPr>
              <w:pStyle w:val="CETBodytext"/>
              <w:ind w:right="-1"/>
              <w:jc w:val="center"/>
              <w:rPr>
                <w:rFonts w:cs="Arial"/>
                <w:szCs w:val="18"/>
                <w:lang w:val="en-GB"/>
              </w:rPr>
            </w:pPr>
            <w:r>
              <w:rPr>
                <w:rFonts w:cs="Arial"/>
                <w:szCs w:val="18"/>
                <w:lang w:val="en-GB"/>
              </w:rPr>
              <w:t>1.71</w:t>
            </w:r>
          </w:p>
        </w:tc>
        <w:tc>
          <w:tcPr>
            <w:tcW w:w="1701" w:type="dxa"/>
            <w:shd w:val="clear" w:color="auto" w:fill="FFFFFF"/>
          </w:tcPr>
          <w:p w14:paraId="1F453685" w14:textId="3F54A63F" w:rsidR="00CE7C83" w:rsidRDefault="00CE7C83" w:rsidP="00CE7C83">
            <w:pPr>
              <w:pStyle w:val="CETBodytext"/>
              <w:ind w:right="-1"/>
              <w:jc w:val="center"/>
              <w:rPr>
                <w:rFonts w:cs="Arial"/>
                <w:szCs w:val="18"/>
                <w:lang w:val="en-GB"/>
              </w:rPr>
            </w:pPr>
            <w:r>
              <w:rPr>
                <w:rFonts w:cs="Arial"/>
                <w:szCs w:val="18"/>
                <w:lang w:val="en-GB"/>
              </w:rPr>
              <w:t>1.85</w:t>
            </w:r>
          </w:p>
        </w:tc>
        <w:tc>
          <w:tcPr>
            <w:tcW w:w="1559" w:type="dxa"/>
            <w:shd w:val="clear" w:color="auto" w:fill="FFFFFF"/>
          </w:tcPr>
          <w:p w14:paraId="3D494E2E" w14:textId="32B36122" w:rsidR="00CE7C83" w:rsidRDefault="00CE7C83" w:rsidP="00CE7C83">
            <w:pPr>
              <w:pStyle w:val="CETBodytext"/>
              <w:ind w:right="-1"/>
              <w:jc w:val="center"/>
              <w:rPr>
                <w:rFonts w:cs="Arial"/>
                <w:szCs w:val="18"/>
                <w:lang w:val="en-GB"/>
              </w:rPr>
            </w:pPr>
            <w:r>
              <w:rPr>
                <w:rFonts w:cs="Arial"/>
                <w:szCs w:val="18"/>
                <w:lang w:val="en-GB"/>
              </w:rPr>
              <w:t>2.13</w:t>
            </w:r>
          </w:p>
        </w:tc>
      </w:tr>
      <w:tr w:rsidR="00CE7C83" w:rsidRPr="00B57B36" w14:paraId="398D0E54" w14:textId="77777777" w:rsidTr="00E75FAC">
        <w:tc>
          <w:tcPr>
            <w:tcW w:w="1134" w:type="dxa"/>
            <w:shd w:val="clear" w:color="auto" w:fill="FFFFFF"/>
          </w:tcPr>
          <w:p w14:paraId="56779775" w14:textId="64AD7838" w:rsidR="00CE7C83" w:rsidRDefault="00CE7C83" w:rsidP="00E75FAC">
            <w:pPr>
              <w:pStyle w:val="CETBodytext"/>
              <w:jc w:val="center"/>
              <w:rPr>
                <w:lang w:val="en-GB"/>
              </w:rPr>
            </w:pPr>
            <w:r>
              <w:rPr>
                <w:lang w:val="en-GB"/>
              </w:rPr>
              <w:t>IR</w:t>
            </w:r>
            <w:r w:rsidRPr="00CE7C83">
              <w:rPr>
                <w:vertAlign w:val="subscript"/>
                <w:lang w:val="en-GB"/>
              </w:rPr>
              <w:t>M</w:t>
            </w:r>
          </w:p>
        </w:tc>
        <w:tc>
          <w:tcPr>
            <w:tcW w:w="1134" w:type="dxa"/>
            <w:shd w:val="clear" w:color="auto" w:fill="FFFFFF"/>
          </w:tcPr>
          <w:p w14:paraId="44FA34A7" w14:textId="5D258114" w:rsidR="00CE7C83" w:rsidRDefault="00CE7C83" w:rsidP="00CE7C83">
            <w:pPr>
              <w:pStyle w:val="CETBodytext"/>
              <w:jc w:val="center"/>
              <w:rPr>
                <w:lang w:val="en-GB"/>
              </w:rPr>
            </w:pPr>
            <w:r>
              <w:rPr>
                <w:lang w:val="en-GB"/>
              </w:rPr>
              <w:t>2.95</w:t>
            </w:r>
          </w:p>
        </w:tc>
        <w:tc>
          <w:tcPr>
            <w:tcW w:w="1134" w:type="dxa"/>
            <w:shd w:val="clear" w:color="auto" w:fill="FFFFFF"/>
          </w:tcPr>
          <w:p w14:paraId="4DC2B9A4" w14:textId="4E6B29CB" w:rsidR="00CE7C83" w:rsidRDefault="00CE7C83" w:rsidP="00CE7C83">
            <w:pPr>
              <w:pStyle w:val="CETBodytext"/>
              <w:jc w:val="center"/>
              <w:rPr>
                <w:lang w:val="en-GB"/>
              </w:rPr>
            </w:pPr>
            <w:r>
              <w:rPr>
                <w:lang w:val="en-GB"/>
              </w:rPr>
              <w:t>3.51</w:t>
            </w:r>
          </w:p>
        </w:tc>
        <w:tc>
          <w:tcPr>
            <w:tcW w:w="1276" w:type="dxa"/>
            <w:shd w:val="clear" w:color="auto" w:fill="FFFFFF"/>
          </w:tcPr>
          <w:p w14:paraId="4258B3A7" w14:textId="3ABEE4D6" w:rsidR="00CE7C83" w:rsidRDefault="00CE7C83" w:rsidP="00CE7C83">
            <w:pPr>
              <w:pStyle w:val="CETBodytext"/>
              <w:ind w:right="-1"/>
              <w:jc w:val="center"/>
              <w:rPr>
                <w:rFonts w:cs="Arial"/>
                <w:szCs w:val="18"/>
                <w:lang w:val="en-GB"/>
              </w:rPr>
            </w:pPr>
            <w:r>
              <w:rPr>
                <w:rFonts w:cs="Arial"/>
                <w:szCs w:val="18"/>
                <w:lang w:val="en-GB"/>
              </w:rPr>
              <w:t>2.95</w:t>
            </w:r>
          </w:p>
        </w:tc>
        <w:tc>
          <w:tcPr>
            <w:tcW w:w="1701" w:type="dxa"/>
            <w:shd w:val="clear" w:color="auto" w:fill="FFFFFF"/>
          </w:tcPr>
          <w:p w14:paraId="5FF0D6CC" w14:textId="0A07CD2E" w:rsidR="00CE7C83" w:rsidRDefault="00CE7C83" w:rsidP="00CE7C83">
            <w:pPr>
              <w:pStyle w:val="CETBodytext"/>
              <w:ind w:right="-1"/>
              <w:jc w:val="center"/>
              <w:rPr>
                <w:rFonts w:cs="Arial"/>
                <w:szCs w:val="18"/>
                <w:lang w:val="en-GB"/>
              </w:rPr>
            </w:pPr>
            <w:r>
              <w:rPr>
                <w:rFonts w:cs="Arial"/>
                <w:szCs w:val="18"/>
                <w:lang w:val="en-GB"/>
              </w:rPr>
              <w:t>3.73</w:t>
            </w:r>
          </w:p>
        </w:tc>
        <w:tc>
          <w:tcPr>
            <w:tcW w:w="1559" w:type="dxa"/>
            <w:shd w:val="clear" w:color="auto" w:fill="FFFFFF"/>
          </w:tcPr>
          <w:p w14:paraId="356D34BD" w14:textId="0F9D3C8C" w:rsidR="00CE7C83" w:rsidRDefault="00CE7C83" w:rsidP="00CE7C83">
            <w:pPr>
              <w:pStyle w:val="CETBodytext"/>
              <w:ind w:right="-1"/>
              <w:jc w:val="center"/>
              <w:rPr>
                <w:rFonts w:cs="Arial"/>
                <w:szCs w:val="18"/>
                <w:lang w:val="en-GB"/>
              </w:rPr>
            </w:pPr>
            <w:r>
              <w:rPr>
                <w:rFonts w:cs="Arial"/>
                <w:szCs w:val="18"/>
                <w:lang w:val="en-GB"/>
              </w:rPr>
              <w:t>3.09</w:t>
            </w:r>
          </w:p>
        </w:tc>
      </w:tr>
      <w:tr w:rsidR="00CE7C83" w:rsidRPr="00B57B36" w14:paraId="004431EE" w14:textId="77777777" w:rsidTr="00E75FAC">
        <w:tc>
          <w:tcPr>
            <w:tcW w:w="1134" w:type="dxa"/>
            <w:shd w:val="clear" w:color="auto" w:fill="FFFFFF"/>
          </w:tcPr>
          <w:p w14:paraId="082FD2DC" w14:textId="0BCA0AFC" w:rsidR="00CE7C83" w:rsidRDefault="00CE7C83" w:rsidP="00E75FAC">
            <w:pPr>
              <w:pStyle w:val="CETBodytext"/>
              <w:jc w:val="center"/>
              <w:rPr>
                <w:lang w:val="en-GB"/>
              </w:rPr>
            </w:pPr>
            <w:r>
              <w:rPr>
                <w:lang w:val="en-GB"/>
              </w:rPr>
              <w:t>IR</w:t>
            </w:r>
            <w:r w:rsidRPr="00CE7C83">
              <w:rPr>
                <w:vertAlign w:val="subscript"/>
                <w:lang w:val="en-GB"/>
              </w:rPr>
              <w:t>R</w:t>
            </w:r>
          </w:p>
        </w:tc>
        <w:tc>
          <w:tcPr>
            <w:tcW w:w="1134" w:type="dxa"/>
            <w:shd w:val="clear" w:color="auto" w:fill="FFFFFF"/>
          </w:tcPr>
          <w:p w14:paraId="2DB8FE9E" w14:textId="54D94FAB" w:rsidR="00CE7C83" w:rsidRDefault="00CE7C83" w:rsidP="00CE7C83">
            <w:pPr>
              <w:pStyle w:val="CETBodytext"/>
              <w:jc w:val="center"/>
              <w:rPr>
                <w:lang w:val="en-GB"/>
              </w:rPr>
            </w:pPr>
            <w:r>
              <w:rPr>
                <w:lang w:val="en-GB"/>
              </w:rPr>
              <w:t>5.85</w:t>
            </w:r>
          </w:p>
        </w:tc>
        <w:tc>
          <w:tcPr>
            <w:tcW w:w="1134" w:type="dxa"/>
            <w:shd w:val="clear" w:color="auto" w:fill="FFFFFF"/>
          </w:tcPr>
          <w:p w14:paraId="2D0CABD2" w14:textId="2ED9ABC8" w:rsidR="00CE7C83" w:rsidRDefault="00CE7C83" w:rsidP="00CE7C83">
            <w:pPr>
              <w:pStyle w:val="CETBodytext"/>
              <w:jc w:val="center"/>
              <w:rPr>
                <w:lang w:val="en-GB"/>
              </w:rPr>
            </w:pPr>
            <w:r>
              <w:rPr>
                <w:lang w:val="en-GB"/>
              </w:rPr>
              <w:t>11.92</w:t>
            </w:r>
          </w:p>
        </w:tc>
        <w:tc>
          <w:tcPr>
            <w:tcW w:w="1276" w:type="dxa"/>
            <w:shd w:val="clear" w:color="auto" w:fill="FFFFFF"/>
          </w:tcPr>
          <w:p w14:paraId="5A286883" w14:textId="4438F8FE" w:rsidR="00CE7C83" w:rsidRDefault="00CE7C83" w:rsidP="00CE7C83">
            <w:pPr>
              <w:pStyle w:val="CETBodytext"/>
              <w:ind w:right="-1"/>
              <w:jc w:val="center"/>
              <w:rPr>
                <w:rFonts w:cs="Arial"/>
                <w:szCs w:val="18"/>
                <w:lang w:val="en-GB"/>
              </w:rPr>
            </w:pPr>
            <w:r>
              <w:rPr>
                <w:rFonts w:cs="Arial"/>
                <w:szCs w:val="18"/>
                <w:lang w:val="en-GB"/>
              </w:rPr>
              <w:t>10.14</w:t>
            </w:r>
          </w:p>
        </w:tc>
        <w:tc>
          <w:tcPr>
            <w:tcW w:w="1701" w:type="dxa"/>
            <w:shd w:val="clear" w:color="auto" w:fill="FFFFFF"/>
          </w:tcPr>
          <w:p w14:paraId="5B3E3F88" w14:textId="30EDF072" w:rsidR="00CE7C83" w:rsidRDefault="00CE7C83" w:rsidP="00CE7C83">
            <w:pPr>
              <w:pStyle w:val="CETBodytext"/>
              <w:ind w:right="-1"/>
              <w:jc w:val="center"/>
              <w:rPr>
                <w:rFonts w:cs="Arial"/>
                <w:szCs w:val="18"/>
                <w:lang w:val="en-GB"/>
              </w:rPr>
            </w:pPr>
            <w:r>
              <w:rPr>
                <w:rFonts w:cs="Arial"/>
                <w:szCs w:val="18"/>
                <w:lang w:val="en-GB"/>
              </w:rPr>
              <w:t>11.44</w:t>
            </w:r>
          </w:p>
        </w:tc>
        <w:tc>
          <w:tcPr>
            <w:tcW w:w="1559" w:type="dxa"/>
            <w:shd w:val="clear" w:color="auto" w:fill="FFFFFF"/>
          </w:tcPr>
          <w:p w14:paraId="7E182B5B" w14:textId="54236277" w:rsidR="00CE7C83" w:rsidRDefault="00CE7C83" w:rsidP="00CE7C83">
            <w:pPr>
              <w:pStyle w:val="CETBodytext"/>
              <w:ind w:right="-1"/>
              <w:jc w:val="center"/>
              <w:rPr>
                <w:rFonts w:cs="Arial"/>
                <w:szCs w:val="18"/>
                <w:lang w:val="en-GB"/>
              </w:rPr>
            </w:pPr>
            <w:r>
              <w:rPr>
                <w:rFonts w:cs="Arial"/>
                <w:szCs w:val="18"/>
                <w:lang w:val="en-GB"/>
              </w:rPr>
              <w:t>11.24</w:t>
            </w:r>
          </w:p>
        </w:tc>
      </w:tr>
      <w:tr w:rsidR="00CE7C83" w:rsidRPr="00B57B36" w14:paraId="1A5765A5" w14:textId="77777777" w:rsidTr="00E75FAC">
        <w:tc>
          <w:tcPr>
            <w:tcW w:w="1134" w:type="dxa"/>
            <w:shd w:val="clear" w:color="auto" w:fill="FFFFFF"/>
          </w:tcPr>
          <w:p w14:paraId="4DE29356" w14:textId="06C23650" w:rsidR="00CE7C83" w:rsidRDefault="00CE7C83" w:rsidP="00E75FAC">
            <w:pPr>
              <w:pStyle w:val="CETBodytext"/>
              <w:jc w:val="center"/>
              <w:rPr>
                <w:lang w:val="en-GB"/>
              </w:rPr>
            </w:pPr>
            <w:r>
              <w:rPr>
                <w:lang w:val="en-GB"/>
              </w:rPr>
              <w:t>IR</w:t>
            </w:r>
            <w:r w:rsidRPr="00E75FAC">
              <w:rPr>
                <w:vertAlign w:val="subscript"/>
                <w:lang w:val="en-GB"/>
              </w:rPr>
              <w:t>Total</w:t>
            </w:r>
          </w:p>
        </w:tc>
        <w:tc>
          <w:tcPr>
            <w:tcW w:w="1134" w:type="dxa"/>
            <w:shd w:val="clear" w:color="auto" w:fill="FFFFFF"/>
          </w:tcPr>
          <w:p w14:paraId="083B1D6B" w14:textId="5D71485D" w:rsidR="00CE7C83" w:rsidRDefault="00CE7C83" w:rsidP="00CE7C83">
            <w:pPr>
              <w:pStyle w:val="CETBodytext"/>
              <w:jc w:val="center"/>
              <w:rPr>
                <w:lang w:val="en-GB"/>
              </w:rPr>
            </w:pPr>
            <w:r>
              <w:rPr>
                <w:lang w:val="en-GB"/>
              </w:rPr>
              <w:t>16.22</w:t>
            </w:r>
          </w:p>
        </w:tc>
        <w:tc>
          <w:tcPr>
            <w:tcW w:w="1134" w:type="dxa"/>
            <w:shd w:val="clear" w:color="auto" w:fill="FFFFFF"/>
          </w:tcPr>
          <w:p w14:paraId="5EE436CF" w14:textId="3AD85D7E" w:rsidR="00CE7C83" w:rsidRDefault="00CE7C83" w:rsidP="00CE7C83">
            <w:pPr>
              <w:pStyle w:val="CETBodytext"/>
              <w:jc w:val="center"/>
              <w:rPr>
                <w:lang w:val="en-GB"/>
              </w:rPr>
            </w:pPr>
            <w:r>
              <w:rPr>
                <w:lang w:val="en-GB"/>
              </w:rPr>
              <w:t>20.03</w:t>
            </w:r>
          </w:p>
        </w:tc>
        <w:tc>
          <w:tcPr>
            <w:tcW w:w="1276" w:type="dxa"/>
            <w:shd w:val="clear" w:color="auto" w:fill="FFFFFF"/>
          </w:tcPr>
          <w:p w14:paraId="74179217" w14:textId="47BA46B9" w:rsidR="00CE7C83" w:rsidRDefault="00CE7C83" w:rsidP="00CE7C83">
            <w:pPr>
              <w:pStyle w:val="CETBodytext"/>
              <w:ind w:right="-1"/>
              <w:jc w:val="center"/>
              <w:rPr>
                <w:rFonts w:cs="Arial"/>
                <w:szCs w:val="18"/>
                <w:lang w:val="en-GB"/>
              </w:rPr>
            </w:pPr>
            <w:r>
              <w:rPr>
                <w:rFonts w:cs="Arial"/>
                <w:szCs w:val="18"/>
                <w:lang w:val="en-GB"/>
              </w:rPr>
              <w:t>19.36</w:t>
            </w:r>
          </w:p>
        </w:tc>
        <w:tc>
          <w:tcPr>
            <w:tcW w:w="1701" w:type="dxa"/>
            <w:shd w:val="clear" w:color="auto" w:fill="FFFFFF"/>
          </w:tcPr>
          <w:p w14:paraId="474C75F7" w14:textId="0FDAD420" w:rsidR="00CE7C83" w:rsidRDefault="00CE7C83" w:rsidP="00CE7C83">
            <w:pPr>
              <w:pStyle w:val="CETBodytext"/>
              <w:ind w:right="-1"/>
              <w:jc w:val="center"/>
              <w:rPr>
                <w:rFonts w:cs="Arial"/>
                <w:szCs w:val="18"/>
                <w:lang w:val="en-GB"/>
              </w:rPr>
            </w:pPr>
            <w:r>
              <w:rPr>
                <w:rFonts w:cs="Arial"/>
                <w:szCs w:val="18"/>
                <w:lang w:val="en-GB"/>
              </w:rPr>
              <w:t>22.68</w:t>
            </w:r>
          </w:p>
        </w:tc>
        <w:tc>
          <w:tcPr>
            <w:tcW w:w="1559" w:type="dxa"/>
            <w:shd w:val="clear" w:color="auto" w:fill="FFFFFF"/>
          </w:tcPr>
          <w:p w14:paraId="5B565713" w14:textId="452FCE28" w:rsidR="00CE7C83" w:rsidRDefault="00CE7C83" w:rsidP="00CE7C83">
            <w:pPr>
              <w:pStyle w:val="CETBodytext"/>
              <w:ind w:right="-1"/>
              <w:jc w:val="center"/>
              <w:rPr>
                <w:rFonts w:cs="Arial"/>
                <w:szCs w:val="18"/>
                <w:lang w:val="en-GB"/>
              </w:rPr>
            </w:pPr>
            <w:r>
              <w:rPr>
                <w:rFonts w:cs="Arial"/>
                <w:szCs w:val="18"/>
                <w:lang w:val="en-GB"/>
              </w:rPr>
              <w:t>21.73</w:t>
            </w:r>
          </w:p>
        </w:tc>
      </w:tr>
    </w:tbl>
    <w:p w14:paraId="34E5D1E1" w14:textId="77777777" w:rsidR="00A80344" w:rsidRDefault="00A80344" w:rsidP="00A80344"/>
    <w:p w14:paraId="194BE68E" w14:textId="6D4104B3" w:rsidR="0080374F" w:rsidRDefault="00F935FB" w:rsidP="00FE6EFE">
      <w:r>
        <w:t>The a</w:t>
      </w:r>
      <w:r w:rsidR="002E6B95" w:rsidRPr="009D7993">
        <w:t xml:space="preserve">nalysis of past incidents and near-misses </w:t>
      </w:r>
      <w:r w:rsidR="00D36D11">
        <w:t>allows</w:t>
      </w:r>
      <w:r>
        <w:t xml:space="preserve"> for</w:t>
      </w:r>
      <w:r w:rsidR="00D36D11">
        <w:t xml:space="preserve"> </w:t>
      </w:r>
      <w:r w:rsidR="00D36D11" w:rsidRPr="009D7993">
        <w:t>highligh</w:t>
      </w:r>
      <w:r w:rsidR="00D36D11">
        <w:t>ting</w:t>
      </w:r>
      <w:r w:rsidR="002E6B95" w:rsidRPr="009D7993">
        <w:t xml:space="preserve"> the importance of learning from experience and incorporating lessons learned into organizational practices</w:t>
      </w:r>
      <w:r w:rsidR="00D36D11">
        <w:t xml:space="preserve"> (Fabiano et al., 2024)</w:t>
      </w:r>
      <w:r w:rsidR="002E6B95" w:rsidRPr="009D7993">
        <w:t>. This retrospective analysis contributed to the development of more robust resilience strategies and improved risk management approaches.</w:t>
      </w:r>
      <w:r w:rsidR="00650BCF">
        <w:t xml:space="preserve"> </w:t>
      </w:r>
      <w:r w:rsidR="00780044" w:rsidRPr="009D7993">
        <w:t xml:space="preserve">From the </w:t>
      </w:r>
      <w:r w:rsidR="00E7726E" w:rsidRPr="009D7993">
        <w:t>investigation</w:t>
      </w:r>
      <w:r w:rsidR="00725877" w:rsidRPr="009D7993">
        <w:t xml:space="preserve"> performed in the manufacturing setting</w:t>
      </w:r>
      <w:r w:rsidR="00E7726E" w:rsidRPr="009D7993">
        <w:t xml:space="preserve">, </w:t>
      </w:r>
      <w:r w:rsidR="00725877" w:rsidRPr="009D7993">
        <w:t xml:space="preserve">it </w:t>
      </w:r>
      <w:r w:rsidR="00E7726E" w:rsidRPr="009D7993">
        <w:t>emerges that t</w:t>
      </w:r>
      <w:r w:rsidR="00780044" w:rsidRPr="009D7993">
        <w:t>he Reaction and Anticipation aspects have good resilience index values. The prediction index values at all organizational levels are good</w:t>
      </w:r>
      <w:r w:rsidR="00E7726E" w:rsidRPr="009D7993">
        <w:t>, and</w:t>
      </w:r>
      <w:r w:rsidR="00780044" w:rsidRPr="009D7993">
        <w:t xml:space="preserve"> </w:t>
      </w:r>
      <w:r w:rsidR="00E7726E" w:rsidRPr="009D7993">
        <w:t>t</w:t>
      </w:r>
      <w:r w:rsidR="00780044" w:rsidRPr="009D7993">
        <w:t>he values of the Monitoring aspect are good at the middle level of managers and operators, and somewhat lower, but adequate at other organizational levels. It is also noticeable that the Monitoring aspect, depending on the organizational level, has alternately good and adequate values, which points to the fact that organizational restructuring could improve this aspect. Finally, the high values of the coefficients regarding the aspect of Reaction at all organizational levels indicate the readiness to adapt to changes with corrective activities, rather than planned and preventive measures</w:t>
      </w:r>
      <w:r w:rsidR="00E7726E" w:rsidRPr="009D7993">
        <w:t>.</w:t>
      </w:r>
      <w:r w:rsidR="00E44A2A">
        <w:t xml:space="preserve"> </w:t>
      </w:r>
      <w:r w:rsidR="00E7726E" w:rsidRPr="009D7993">
        <w:t xml:space="preserve">The </w:t>
      </w:r>
      <w:r w:rsidR="0080374F">
        <w:t>determining</w:t>
      </w:r>
      <w:r w:rsidR="00E7726E" w:rsidRPr="009D7993">
        <w:t xml:space="preserve"> role of</w:t>
      </w:r>
      <w:r w:rsidR="0080374F">
        <w:t xml:space="preserve"> the cornerstone “</w:t>
      </w:r>
      <w:r w:rsidR="00E7726E" w:rsidRPr="009D7993">
        <w:t>Reaction</w:t>
      </w:r>
      <w:r w:rsidR="0080374F">
        <w:t>”</w:t>
      </w:r>
      <w:r w:rsidR="00E7726E" w:rsidRPr="009D7993">
        <w:t xml:space="preserve"> emerges from the </w:t>
      </w:r>
      <w:r w:rsidR="00725877" w:rsidRPr="009D7993">
        <w:t xml:space="preserve">results obtained in </w:t>
      </w:r>
      <w:r w:rsidR="00FE6EFE" w:rsidRPr="009D7993">
        <w:t xml:space="preserve">volunteer fire brigade units and JSDH </w:t>
      </w:r>
      <w:r w:rsidR="0003335B" w:rsidRPr="009D7993">
        <w:t>commanders’</w:t>
      </w:r>
      <w:r w:rsidR="00FE6EFE" w:rsidRPr="009D7993">
        <w:t xml:space="preserve"> </w:t>
      </w:r>
      <w:r w:rsidR="00E7726E" w:rsidRPr="009D7993">
        <w:t xml:space="preserve">investigation. </w:t>
      </w:r>
      <w:r w:rsidR="0080374F">
        <w:t>In this context,</w:t>
      </w:r>
      <w:r w:rsidR="00E7726E" w:rsidRPr="009D7993">
        <w:t xml:space="preserve"> the role of emergency responders </w:t>
      </w:r>
      <w:r w:rsidR="00FE6EFE" w:rsidRPr="009D7993">
        <w:t>was</w:t>
      </w:r>
      <w:r w:rsidR="00E7726E" w:rsidRPr="009D7993">
        <w:t xml:space="preserve"> analysed</w:t>
      </w:r>
      <w:r w:rsidR="00725877" w:rsidRPr="009D7993">
        <w:t xml:space="preserve"> to quantitatively assess </w:t>
      </w:r>
      <w:r>
        <w:t>its</w:t>
      </w:r>
      <w:r w:rsidR="00725877" w:rsidRPr="009D7993">
        <w:t xml:space="preserve"> contribution to </w:t>
      </w:r>
      <w:r w:rsidR="00E7726E" w:rsidRPr="009D7993">
        <w:t>the overall resilience</w:t>
      </w:r>
      <w:r w:rsidR="00725877" w:rsidRPr="009D7993">
        <w:t xml:space="preserve"> improvement</w:t>
      </w:r>
      <w:r w:rsidR="0080374F">
        <w:t xml:space="preserve"> and t</w:t>
      </w:r>
      <w:r w:rsidR="00E7726E" w:rsidRPr="009D7993">
        <w:t xml:space="preserve">he main findings </w:t>
      </w:r>
      <w:r w:rsidR="00725877" w:rsidRPr="009D7993">
        <w:t xml:space="preserve">in strengthening the process </w:t>
      </w:r>
      <w:r w:rsidR="00E7726E" w:rsidRPr="009D7993">
        <w:t xml:space="preserve">can be summarized </w:t>
      </w:r>
      <w:r w:rsidR="00725877" w:rsidRPr="009D7993">
        <w:t>as follows</w:t>
      </w:r>
      <w:r w:rsidR="00FE6EFE" w:rsidRPr="009D7993">
        <w:t>.</w:t>
      </w:r>
      <w:r w:rsidR="00E7726E" w:rsidRPr="009D7993">
        <w:t xml:space="preserve"> </w:t>
      </w:r>
    </w:p>
    <w:p w14:paraId="2B82F948" w14:textId="616FCE58" w:rsidR="00E7726E" w:rsidRPr="009D7993" w:rsidRDefault="00725877" w:rsidP="00FE6EFE">
      <w:r w:rsidRPr="009D7993">
        <w:t>Critical c</w:t>
      </w:r>
      <w:r w:rsidR="00E7726E" w:rsidRPr="009D7993">
        <w:t>ommunication issues</w:t>
      </w:r>
      <w:r w:rsidRPr="009D7993">
        <w:t xml:space="preserve"> to be addressed</w:t>
      </w:r>
      <w:r w:rsidR="00FE6EFE" w:rsidRPr="009D7993">
        <w:t xml:space="preserve"> include: o</w:t>
      </w:r>
      <w:r w:rsidR="00E7726E" w:rsidRPr="009D7993">
        <w:t>ne-directional</w:t>
      </w:r>
      <w:r w:rsidR="00FE6EFE" w:rsidRPr="009D7993">
        <w:t xml:space="preserve"> process</w:t>
      </w:r>
      <w:r w:rsidR="00E7726E" w:rsidRPr="009D7993">
        <w:t>;</w:t>
      </w:r>
      <w:r w:rsidR="00FE6EFE" w:rsidRPr="009D7993">
        <w:t xml:space="preserve"> n</w:t>
      </w:r>
      <w:r w:rsidR="00E7726E" w:rsidRPr="009D7993">
        <w:t>ot enough f</w:t>
      </w:r>
      <w:r w:rsidR="00FE6EFE" w:rsidRPr="009D7993">
        <w:t>ro</w:t>
      </w:r>
      <w:r w:rsidR="00E7726E" w:rsidRPr="009D7993">
        <w:t>m “above”;</w:t>
      </w:r>
      <w:r w:rsidR="00FE6EFE" w:rsidRPr="009D7993">
        <w:t xml:space="preserve"> c</w:t>
      </w:r>
      <w:r w:rsidR="00E7726E" w:rsidRPr="009D7993">
        <w:t>haotic and contradictory information flows;</w:t>
      </w:r>
      <w:r w:rsidR="00FE6EFE" w:rsidRPr="009D7993">
        <w:t xml:space="preserve"> p</w:t>
      </w:r>
      <w:r w:rsidR="00E7726E" w:rsidRPr="009D7993">
        <w:t xml:space="preserve">ower-play </w:t>
      </w:r>
      <w:r w:rsidR="00FE6EFE" w:rsidRPr="009D7993">
        <w:t xml:space="preserve">attitude </w:t>
      </w:r>
      <w:r w:rsidR="00E7726E" w:rsidRPr="009D7993">
        <w:t>instead of leadership.</w:t>
      </w:r>
    </w:p>
    <w:p w14:paraId="5A2D3A41" w14:textId="75FE66B8" w:rsidR="00110E7E" w:rsidRDefault="00FE6EFE" w:rsidP="002E6B95">
      <w:r w:rsidRPr="009D7993">
        <w:t>Other critical remarks include the perception by l</w:t>
      </w:r>
      <w:r w:rsidR="00E7726E" w:rsidRPr="009D7993">
        <w:t xml:space="preserve">ocal unit felt </w:t>
      </w:r>
      <w:r w:rsidR="00F935FB">
        <w:t>being</w:t>
      </w:r>
      <w:r w:rsidR="00E7726E" w:rsidRPr="009D7993">
        <w:t xml:space="preserve"> abandoned by headquarter and government</w:t>
      </w:r>
      <w:r w:rsidRPr="009D7993">
        <w:t xml:space="preserve"> and the enforcement of resilience attitude </w:t>
      </w:r>
      <w:r w:rsidR="00E7726E" w:rsidRPr="009D7993">
        <w:t>much more at local level that at central level.</w:t>
      </w:r>
    </w:p>
    <w:p w14:paraId="5BAA61BA" w14:textId="768C8B57" w:rsidR="005B3C10" w:rsidRDefault="00D26002" w:rsidP="005B3C10">
      <w:r>
        <w:t>Summarizing, t</w:t>
      </w:r>
      <w:r w:rsidR="002E6B95" w:rsidRPr="009D7993">
        <w:t>he main findings</w:t>
      </w:r>
      <w:r w:rsidR="00E7726E" w:rsidRPr="009D7993">
        <w:t xml:space="preserve"> of the whole project</w:t>
      </w:r>
      <w:r w:rsidR="002E6B95" w:rsidRPr="009D7993">
        <w:t xml:space="preserve"> emphasized the critical role of human factors and organizational culture in shaping resilience.</w:t>
      </w:r>
      <w:r w:rsidR="00110E7E">
        <w:t xml:space="preserve"> </w:t>
      </w:r>
      <w:r w:rsidR="002E6B95" w:rsidRPr="009D7993">
        <w:t xml:space="preserve">Factors such as leadership commitment, employee engagement, and effective communication </w:t>
      </w:r>
      <w:r w:rsidR="002E6B95" w:rsidRPr="003F55DB">
        <w:t>were identified as key drivers of organizational resilience. Th</w:t>
      </w:r>
      <w:r w:rsidR="00650BCF">
        <w:t>e</w:t>
      </w:r>
      <w:r w:rsidR="002E6B95" w:rsidRPr="003F55DB">
        <w:t xml:space="preserve"> study highlighted the need for a</w:t>
      </w:r>
      <w:r>
        <w:t xml:space="preserve">n </w:t>
      </w:r>
      <w:r w:rsidRPr="00D26002">
        <w:t>evidence-based</w:t>
      </w:r>
      <w:r w:rsidR="002E6B95" w:rsidRPr="003F55DB">
        <w:t xml:space="preserve"> holistic approach that integrates technical, organizational, and human aspects of safety and resilience.</w:t>
      </w:r>
      <w:r>
        <w:t xml:space="preserve"> </w:t>
      </w:r>
      <w:r w:rsidR="005B3C10">
        <w:t xml:space="preserve">Based on the analysis, the project identified </w:t>
      </w:r>
      <w:r w:rsidR="005B3C10" w:rsidRPr="007C2B99">
        <w:t>s</w:t>
      </w:r>
      <w:r w:rsidR="00650BCF" w:rsidRPr="007C2B99">
        <w:t>ix</w:t>
      </w:r>
      <w:r w:rsidR="005B3C10" w:rsidRPr="007C2B99">
        <w:t xml:space="preserve"> organizational </w:t>
      </w:r>
      <w:r w:rsidR="00650BCF" w:rsidRPr="007C2B99">
        <w:t xml:space="preserve">resilience components </w:t>
      </w:r>
      <w:r w:rsidR="005B3C10" w:rsidRPr="007C2B99">
        <w:t>optimization</w:t>
      </w:r>
      <w:r w:rsidR="00DE6F58">
        <w:t>,</w:t>
      </w:r>
      <w:r w:rsidR="005B3C10" w:rsidRPr="007C2B99">
        <w:t xml:space="preserve"> </w:t>
      </w:r>
      <w:r w:rsidR="00650BCF" w:rsidRPr="007C2B99">
        <w:t xml:space="preserve">each </w:t>
      </w:r>
      <w:r w:rsidR="00500117" w:rsidRPr="007C2B99">
        <w:t>aligned with</w:t>
      </w:r>
      <w:r w:rsidR="00650BCF" w:rsidRPr="007C2B99">
        <w:t xml:space="preserve"> the pertinent S</w:t>
      </w:r>
      <w:r w:rsidR="005B3C10" w:rsidRPr="007C2B99">
        <w:t xml:space="preserve">trategies </w:t>
      </w:r>
      <w:r w:rsidR="00650BCF" w:rsidRPr="007C2B99">
        <w:t>and Objectives of</w:t>
      </w:r>
      <w:r w:rsidR="005B3C10" w:rsidRPr="007C2B99">
        <w:t xml:space="preserve"> resilience:</w:t>
      </w:r>
    </w:p>
    <w:p w14:paraId="49642B1C" w14:textId="77777777" w:rsidR="005B3C10" w:rsidRDefault="005B3C10" w:rsidP="005150F3">
      <w:pPr>
        <w:pStyle w:val="Paragrafoelenco"/>
        <w:numPr>
          <w:ilvl w:val="0"/>
          <w:numId w:val="34"/>
        </w:numPr>
      </w:pPr>
      <w:r w:rsidRPr="005B3C10">
        <w:rPr>
          <w:i/>
        </w:rPr>
        <w:t>Mindful Action / Performance Optimization (Anticipate, React)</w:t>
      </w:r>
      <w:r>
        <w:t>: This strategy involves proactively anticipating potential issues or opportunities and reacting swiftly to optimize organizational performance.</w:t>
      </w:r>
    </w:p>
    <w:p w14:paraId="24C268CB" w14:textId="77777777" w:rsidR="005B3C10" w:rsidRDefault="005B3C10" w:rsidP="00DD41A3">
      <w:pPr>
        <w:pStyle w:val="Paragrafoelenco"/>
        <w:numPr>
          <w:ilvl w:val="0"/>
          <w:numId w:val="34"/>
        </w:numPr>
      </w:pPr>
      <w:r w:rsidRPr="005B3C10">
        <w:rPr>
          <w:i/>
        </w:rPr>
        <w:t>Preventative Control / Mindful Action (Monitor, Anticipate)</w:t>
      </w:r>
      <w:r>
        <w:t xml:space="preserve">: This approach combines proactive monitoring and anticipatory actions to prevent potential risks or disruptions before they occur. </w:t>
      </w:r>
    </w:p>
    <w:p w14:paraId="3314BFA5" w14:textId="77777777" w:rsidR="005B3C10" w:rsidRDefault="005B3C10" w:rsidP="00463031">
      <w:pPr>
        <w:pStyle w:val="Paragrafoelenco"/>
        <w:numPr>
          <w:ilvl w:val="0"/>
          <w:numId w:val="34"/>
        </w:numPr>
      </w:pPr>
      <w:r w:rsidRPr="005B3C10">
        <w:rPr>
          <w:i/>
        </w:rPr>
        <w:t>Adaptive Innovation / Performance Optimization (Learn, React)</w:t>
      </w:r>
      <w:r>
        <w:t>: This strategy focuses on continuous learning and adaptive innovation to optimize organizational performance.</w:t>
      </w:r>
    </w:p>
    <w:p w14:paraId="530C985A" w14:textId="77777777" w:rsidR="005B3C10" w:rsidRDefault="005B3C10" w:rsidP="00827F9A">
      <w:pPr>
        <w:pStyle w:val="Paragrafoelenco"/>
        <w:numPr>
          <w:ilvl w:val="0"/>
          <w:numId w:val="34"/>
        </w:numPr>
      </w:pPr>
      <w:r w:rsidRPr="005B3C10">
        <w:rPr>
          <w:i/>
        </w:rPr>
        <w:t>Preventative Control / Performance Optimization (Monitor, React)</w:t>
      </w:r>
      <w:r>
        <w:t>: This approach involves proactive monitoring of key performance metrics and rapid response to deviations from expected norms.</w:t>
      </w:r>
    </w:p>
    <w:p w14:paraId="4AAF2B2C" w14:textId="77777777" w:rsidR="005B3C10" w:rsidRDefault="005B3C10" w:rsidP="00E02B4B">
      <w:pPr>
        <w:pStyle w:val="Paragrafoelenco"/>
        <w:numPr>
          <w:ilvl w:val="0"/>
          <w:numId w:val="34"/>
        </w:numPr>
      </w:pPr>
      <w:r w:rsidRPr="005B3C10">
        <w:rPr>
          <w:i/>
        </w:rPr>
        <w:t>Preventative Control / Adaptive Innovation (Monitor, Learn)</w:t>
      </w:r>
      <w:r>
        <w:t>: This strategy integrates proactive risk management with continuous learning and innovation efforts.</w:t>
      </w:r>
    </w:p>
    <w:p w14:paraId="672AF576" w14:textId="05D6394E" w:rsidR="005B3C10" w:rsidRPr="003F55DB" w:rsidRDefault="005B3C10" w:rsidP="00E02B4B">
      <w:pPr>
        <w:pStyle w:val="Paragrafoelenco"/>
        <w:numPr>
          <w:ilvl w:val="0"/>
          <w:numId w:val="34"/>
        </w:numPr>
      </w:pPr>
      <w:r w:rsidRPr="005B3C10">
        <w:rPr>
          <w:i/>
        </w:rPr>
        <w:lastRenderedPageBreak/>
        <w:t>Mindful Action / Adaptive Innovation (Anticipate, Learn)</w:t>
      </w:r>
      <w:r>
        <w:t>: This approach combines proactive anticipation of future trends and challenges with a focus on continuous learning and innovation.</w:t>
      </w:r>
    </w:p>
    <w:p w14:paraId="78EE3B60" w14:textId="77777777" w:rsidR="005B3C10" w:rsidRPr="00B57B36" w:rsidRDefault="005B3C10" w:rsidP="005B3C10">
      <w:pPr>
        <w:pStyle w:val="CETHeading1"/>
        <w:rPr>
          <w:lang w:val="en-GB"/>
        </w:rPr>
      </w:pPr>
      <w:r w:rsidRPr="00B57B36">
        <w:rPr>
          <w:lang w:val="en-GB"/>
        </w:rPr>
        <w:t>Conclusions</w:t>
      </w:r>
    </w:p>
    <w:p w14:paraId="32A7B00D" w14:textId="0B148FC4" w:rsidR="005B3C10" w:rsidRPr="0082239E" w:rsidRDefault="005B3C10" w:rsidP="005B3C10">
      <w:pPr>
        <w:pStyle w:val="Paragrafoelenco"/>
        <w:ind w:left="0"/>
      </w:pPr>
      <w:r w:rsidRPr="003F55DB">
        <w:t xml:space="preserve">The </w:t>
      </w:r>
      <w:r w:rsidR="0080374F">
        <w:t>international research</w:t>
      </w:r>
      <w:r w:rsidRPr="003F55DB">
        <w:t xml:space="preserve"> project</w:t>
      </w:r>
      <w:r>
        <w:t xml:space="preserve"> </w:t>
      </w:r>
      <w:r w:rsidR="00033E3D" w:rsidRPr="003F55DB">
        <w:t>provide</w:t>
      </w:r>
      <w:r w:rsidR="00033E3D">
        <w:t>d</w:t>
      </w:r>
      <w:r w:rsidRPr="003F55DB">
        <w:t xml:space="preserve"> valuable insights into organizational resilience and optimization strategies. By employing advanced causal discovery techniques, Bayesian network model</w:t>
      </w:r>
      <w:r>
        <w:t>l</w:t>
      </w:r>
      <w:r w:rsidRPr="003F55DB">
        <w:t>ing, and complementary methodologies such as Multilevel Flow Model</w:t>
      </w:r>
      <w:r>
        <w:t>l</w:t>
      </w:r>
      <w:r w:rsidRPr="003F55DB">
        <w:t>ing, the research has revealed complex relationships between various organizational factors and their impacts on key outcomes.</w:t>
      </w:r>
      <w:r w:rsidR="0040445B">
        <w:t xml:space="preserve"> </w:t>
      </w:r>
      <w:r w:rsidRPr="003F55DB">
        <w:t xml:space="preserve">The findings highlight the importance of employee training, procedural adherence, and a robust Safety Management System in enhancing organizational resilience. The identified optimization strategies, aligned with the four </w:t>
      </w:r>
      <w:r w:rsidR="0080374F">
        <w:t xml:space="preserve">OR </w:t>
      </w:r>
      <w:r w:rsidRPr="003F55DB">
        <w:t>cornerstones offer a comprehensive framework for organizations to improve their adaptive capacity and performance in dynamic environments.</w:t>
      </w:r>
      <w:r w:rsidR="0040445B">
        <w:t xml:space="preserve"> </w:t>
      </w:r>
      <w:r w:rsidR="003B4B4D">
        <w:t>Additionally</w:t>
      </w:r>
      <w:r w:rsidRPr="003F55DB">
        <w:t>, the project underscores the need for continuous innovation within the SMS framework, emphasizing the integration of advanced technologies, data analytics, and a culture of continuous improvement. The cross-country comparisons and diverse methodological approaches provide a rich tapestry of insights that can be applied across different industrial and cultural contexts.</w:t>
      </w:r>
      <w:r w:rsidR="0040445B">
        <w:t xml:space="preserve"> </w:t>
      </w:r>
      <w:r w:rsidRPr="003F55DB">
        <w:t xml:space="preserve">In conclusion, </w:t>
      </w:r>
      <w:r w:rsidR="0003335B">
        <w:t>this study can</w:t>
      </w:r>
      <w:r w:rsidRPr="003F55DB">
        <w:t xml:space="preserve"> contribute significantly to our understanding of organizational resilience and provide practical strategies for optimization. As organizations face increasingly complex and uncertain environments, the insights and recommendations from </w:t>
      </w:r>
      <w:r w:rsidR="0003335B">
        <w:t>empirical findings may</w:t>
      </w:r>
      <w:r w:rsidRPr="003F55DB">
        <w:t xml:space="preserve"> offer valuable guidance for decision-makers seeking to enhance their organizational resilience and long-term sustainability.</w:t>
      </w:r>
    </w:p>
    <w:p w14:paraId="459D05E6" w14:textId="07EF1BE0" w:rsidR="00600535" w:rsidRPr="00B57B36" w:rsidRDefault="00600535" w:rsidP="00600535">
      <w:pPr>
        <w:pStyle w:val="CETAcknowledgementstitle"/>
      </w:pPr>
      <w:r w:rsidRPr="00B57B36">
        <w:t>Acknowledgments</w:t>
      </w:r>
    </w:p>
    <w:p w14:paraId="33F8138F" w14:textId="5730A0F2" w:rsidR="00600535" w:rsidRPr="00B57B36" w:rsidRDefault="00F24452" w:rsidP="00F75A6E">
      <w:pPr>
        <w:pStyle w:val="CETBodytext"/>
        <w:rPr>
          <w:lang w:val="en-GB"/>
        </w:rPr>
      </w:pPr>
      <w:r>
        <w:rPr>
          <w:lang w:val="en-GB"/>
        </w:rPr>
        <w:t>Authors gratefully acknowledge funding of this work w</w:t>
      </w:r>
      <w:r w:rsidR="00F75A6E" w:rsidRPr="00F75A6E">
        <w:rPr>
          <w:lang w:val="en-GB"/>
        </w:rPr>
        <w:t>ithin the</w:t>
      </w:r>
      <w:r w:rsidR="00F75A6E">
        <w:rPr>
          <w:lang w:val="en-GB"/>
        </w:rPr>
        <w:t xml:space="preserve"> </w:t>
      </w:r>
      <w:r w:rsidR="00F75A6E" w:rsidRPr="00F75A6E">
        <w:rPr>
          <w:lang w:val="en-GB"/>
        </w:rPr>
        <w:t>framework of the SAF€RA 2021</w:t>
      </w:r>
      <w:r w:rsidR="00F75A6E">
        <w:rPr>
          <w:lang w:val="en-GB"/>
        </w:rPr>
        <w:t xml:space="preserve"> – </w:t>
      </w:r>
      <w:r w:rsidR="00F75A6E" w:rsidRPr="00F75A6E">
        <w:rPr>
          <w:lang w:val="en-GB"/>
        </w:rPr>
        <w:t>Project</w:t>
      </w:r>
      <w:r w:rsidR="00F75A6E">
        <w:rPr>
          <w:lang w:val="en-GB"/>
        </w:rPr>
        <w:t xml:space="preserve"> </w:t>
      </w:r>
      <w:r w:rsidR="003B4B4D">
        <w:rPr>
          <w:lang w:val="en-GB"/>
        </w:rPr>
        <w:t>“</w:t>
      </w:r>
      <w:r w:rsidR="00F75A6E" w:rsidRPr="00F75A6E">
        <w:rPr>
          <w:lang w:val="en-GB"/>
        </w:rPr>
        <w:t>RESMOD-RESilience enhancement MODel</w:t>
      </w:r>
      <w:r w:rsidR="003B4B4D">
        <w:rPr>
          <w:lang w:val="en-GB"/>
        </w:rPr>
        <w:t>”</w:t>
      </w:r>
      <w:r w:rsidR="00F75A6E">
        <w:rPr>
          <w:lang w:val="en-GB"/>
        </w:rPr>
        <w:t>,</w:t>
      </w:r>
      <w:r w:rsidR="00F75A6E" w:rsidRPr="00F75A6E">
        <w:rPr>
          <w:lang w:val="en-GB"/>
        </w:rPr>
        <w:t xml:space="preserve"> </w:t>
      </w:r>
      <w:r w:rsidR="00F75A6E" w:rsidRPr="00F75A6E">
        <w:t>by INAIL (Istituto Nazionale per l’Assicurazione contro gli Infortuni sul Lavoro)</w:t>
      </w:r>
      <w:r w:rsidR="00A830EF">
        <w:t xml:space="preserve"> </w:t>
      </w:r>
      <w:r w:rsidR="00C85270">
        <w:t>-</w:t>
      </w:r>
      <w:r w:rsidR="00A830EF">
        <w:t xml:space="preserve"> </w:t>
      </w:r>
      <w:r w:rsidR="00C85270">
        <w:t>Italy</w:t>
      </w:r>
      <w:r w:rsidR="00D26002">
        <w:t>,</w:t>
      </w:r>
      <w:r w:rsidR="00F75A6E">
        <w:t xml:space="preserve"> </w:t>
      </w:r>
      <w:r>
        <w:t>VUBP Occupational Research Institute</w:t>
      </w:r>
      <w:r w:rsidR="00C85270">
        <w:t xml:space="preserve"> - </w:t>
      </w:r>
      <w:r>
        <w:t>Czech Republic and MESTD</w:t>
      </w:r>
      <w:r w:rsidR="00E75FAC">
        <w:t xml:space="preserve"> (</w:t>
      </w:r>
      <w:r w:rsidR="0080374F">
        <w:t>Ministry of Education</w:t>
      </w:r>
      <w:r w:rsidR="00E75FAC">
        <w:t>)</w:t>
      </w:r>
      <w:r w:rsidR="00A830EF">
        <w:t xml:space="preserve"> </w:t>
      </w:r>
      <w:r w:rsidR="00C85270">
        <w:t>-</w:t>
      </w:r>
      <w:r>
        <w:t xml:space="preserve"> Republic of Serbia.</w:t>
      </w:r>
    </w:p>
    <w:p w14:paraId="4F1327F8" w14:textId="77777777" w:rsidR="00600535" w:rsidRPr="00B57B36" w:rsidRDefault="00600535" w:rsidP="00600535">
      <w:pPr>
        <w:pStyle w:val="CETReference"/>
      </w:pPr>
      <w:r w:rsidRPr="00B57B36">
        <w:t>References</w:t>
      </w:r>
    </w:p>
    <w:p w14:paraId="22125192" w14:textId="583D1208" w:rsidR="00912718" w:rsidRDefault="00912718" w:rsidP="00912718">
      <w:pPr>
        <w:pStyle w:val="CETReferencetext"/>
      </w:pPr>
      <w:r>
        <w:t>Alauddin M., Khan F., Imtiaz S., Ahmed S., Amyotte P., 2021, Pandemic risk management using engineering safety principles,</w:t>
      </w:r>
      <w:r w:rsidR="00D26002">
        <w:t xml:space="preserve"> </w:t>
      </w:r>
      <w:r>
        <w:t>Process Safety and Environmental Protection,</w:t>
      </w:r>
      <w:r w:rsidR="00D26002">
        <w:t xml:space="preserve"> </w:t>
      </w:r>
      <w:r>
        <w:t>150,</w:t>
      </w:r>
      <w:r w:rsidR="00D26002">
        <w:t xml:space="preserve"> </w:t>
      </w:r>
      <w:r>
        <w:t>416-432</w:t>
      </w:r>
      <w:r w:rsidR="00D26002">
        <w:t>.</w:t>
      </w:r>
    </w:p>
    <w:p w14:paraId="2A854DEF" w14:textId="50D5F43B" w:rsidR="00E75FAC" w:rsidRDefault="00E75FAC" w:rsidP="00E61544">
      <w:pPr>
        <w:pStyle w:val="CETReferencetext"/>
      </w:pPr>
      <w:r>
        <w:t>Bragatto P., Vairo T., Milazzo M.F., Fabiano B.</w:t>
      </w:r>
      <w:r w:rsidR="00957C06">
        <w:t>, 2021,</w:t>
      </w:r>
      <w:r>
        <w:t xml:space="preserve"> The impact of the COVID-19 pandemic on the safety management in Italian Seveso industries. J</w:t>
      </w:r>
      <w:r w:rsidR="00957C06">
        <w:t>ournal of</w:t>
      </w:r>
      <w:r>
        <w:t xml:space="preserve"> Loss Prev</w:t>
      </w:r>
      <w:r w:rsidR="00957C06">
        <w:t>ention in the</w:t>
      </w:r>
      <w:r>
        <w:t xml:space="preserve"> Process Ind</w:t>
      </w:r>
      <w:r w:rsidR="00957C06">
        <w:t>ustries</w:t>
      </w:r>
      <w:r>
        <w:t xml:space="preserve">, 70, 104393. </w:t>
      </w:r>
    </w:p>
    <w:p w14:paraId="72FD34A9" w14:textId="40286B6D" w:rsidR="00E75FAC" w:rsidRDefault="00E75FAC" w:rsidP="00E75FAC">
      <w:pPr>
        <w:pStyle w:val="CETReferencetext"/>
      </w:pPr>
      <w:r>
        <w:t>Duchek S. 2020, Organizational resilience: a capability-based conceptualization. Bu</w:t>
      </w:r>
      <w:r w:rsidR="00650BCF">
        <w:t>s.</w:t>
      </w:r>
      <w:r>
        <w:t xml:space="preserve"> Res</w:t>
      </w:r>
      <w:r w:rsidR="00650BCF">
        <w:t>.,</w:t>
      </w:r>
      <w:r>
        <w:t xml:space="preserve"> 13, 215-246. </w:t>
      </w:r>
    </w:p>
    <w:p w14:paraId="28138B3D" w14:textId="004DF724" w:rsidR="00957C06" w:rsidRDefault="00E75FAC" w:rsidP="000E64C7">
      <w:pPr>
        <w:pStyle w:val="CETReferencetext"/>
      </w:pPr>
      <w:r>
        <w:t xml:space="preserve">Fabiano B., Guastaferro M., Pettinato M., Pasman H.J., 2024, </w:t>
      </w:r>
      <w:r w:rsidR="000E64C7">
        <w:t xml:space="preserve">Towards strengthening resilience of organizations by risk management tools: A scientometric perspective on COVID-19 experience in a healthcare and industrial setting, </w:t>
      </w:r>
      <w:r w:rsidR="00957C06">
        <w:t>Canadian Journal of Chemical Engineering 102, 1705-1725.</w:t>
      </w:r>
    </w:p>
    <w:p w14:paraId="2D5A1155" w14:textId="5521FF60" w:rsidR="00E75FAC" w:rsidRDefault="00E75FAC" w:rsidP="00E75FAC">
      <w:pPr>
        <w:pStyle w:val="CETReferencetext"/>
      </w:pPr>
      <w:r w:rsidRPr="00E75FAC">
        <w:t xml:space="preserve">Fabiano B., Pettinato M., Mastrangelo C., Gajek A., Vallerotonda M.R., 2024, Lessons </w:t>
      </w:r>
      <w:r w:rsidR="00957C06">
        <w:t>l</w:t>
      </w:r>
      <w:r w:rsidRPr="00E75FAC">
        <w:t xml:space="preserve">earned from Covid-19 </w:t>
      </w:r>
      <w:r w:rsidR="00957C06">
        <w:t>t</w:t>
      </w:r>
      <w:r w:rsidRPr="00E75FAC">
        <w:t xml:space="preserve">owards </w:t>
      </w:r>
      <w:r w:rsidR="00957C06">
        <w:t>r</w:t>
      </w:r>
      <w:r w:rsidRPr="00E75FAC">
        <w:t xml:space="preserve">esilience of </w:t>
      </w:r>
      <w:r w:rsidR="00957C06">
        <w:t>c</w:t>
      </w:r>
      <w:r w:rsidRPr="00E75FAC">
        <w:t xml:space="preserve">omplex </w:t>
      </w:r>
      <w:r w:rsidR="00957C06">
        <w:t>i</w:t>
      </w:r>
      <w:r w:rsidRPr="00E75FAC">
        <w:t xml:space="preserve">ndustrial </w:t>
      </w:r>
      <w:r w:rsidR="00957C06">
        <w:t>s</w:t>
      </w:r>
      <w:r w:rsidRPr="00E75FAC">
        <w:t>ystems, Chemical Engineering Transactions, 111, 235-240.</w:t>
      </w:r>
    </w:p>
    <w:p w14:paraId="7357B388" w14:textId="77777777" w:rsidR="00E75FAC" w:rsidRDefault="00E75FAC" w:rsidP="00341524">
      <w:pPr>
        <w:pStyle w:val="CETReferencetext"/>
      </w:pPr>
      <w:r w:rsidRPr="00F41EE2">
        <w:rPr>
          <w:lang w:val="nl-NL"/>
        </w:rPr>
        <w:t xml:space="preserve">Hollnagel E., Woods D.D., Leveson N., 2006. </w:t>
      </w:r>
      <w:r>
        <w:t>Resilience Engineering – Concepts and Precepts. CRC, Cleveland, US.</w:t>
      </w:r>
    </w:p>
    <w:p w14:paraId="3A45792D" w14:textId="32EC6B7A" w:rsidR="00245A00" w:rsidRDefault="00245A00" w:rsidP="00341524">
      <w:pPr>
        <w:pStyle w:val="CETReferencetext"/>
      </w:pPr>
      <w:r w:rsidRPr="00245A00">
        <w:t xml:space="preserve">Mann H.B. &amp; Whitney D.R. 1947, On a test of whether one of two random variables is stochastically larger than the other, The </w:t>
      </w:r>
      <w:r w:rsidR="00A97A95">
        <w:t>A</w:t>
      </w:r>
      <w:r w:rsidRPr="00245A00">
        <w:t xml:space="preserve">nnals of </w:t>
      </w:r>
      <w:r>
        <w:t>M</w:t>
      </w:r>
      <w:r w:rsidRPr="00245A00">
        <w:t xml:space="preserve">athematical </w:t>
      </w:r>
      <w:r>
        <w:t>S</w:t>
      </w:r>
      <w:r w:rsidRPr="00245A00">
        <w:t>tatistics, 50-60.</w:t>
      </w:r>
    </w:p>
    <w:p w14:paraId="441AB81C" w14:textId="0C32E021" w:rsidR="00E75FAC" w:rsidRDefault="00E75FAC" w:rsidP="009940CE">
      <w:pPr>
        <w:pStyle w:val="CETReferencetext"/>
      </w:pPr>
      <w:r w:rsidRPr="001D0506">
        <w:t>Markowski A.S.</w:t>
      </w:r>
      <w:r>
        <w:t>,</w:t>
      </w:r>
      <w:r w:rsidRPr="001D0506">
        <w:t xml:space="preserve"> Krasławski A.</w:t>
      </w:r>
      <w:r>
        <w:t>,</w:t>
      </w:r>
      <w:r w:rsidRPr="001D0506">
        <w:t xml:space="preserve"> Vair</w:t>
      </w:r>
      <w:r>
        <w:t>o</w:t>
      </w:r>
      <w:r w:rsidRPr="001D0506">
        <w:t xml:space="preserve"> T.</w:t>
      </w:r>
      <w:r>
        <w:t>,</w:t>
      </w:r>
      <w:r w:rsidRPr="001D0506">
        <w:t xml:space="preserve"> Fabiano B. </w:t>
      </w:r>
      <w:r>
        <w:t xml:space="preserve">2021, </w:t>
      </w:r>
      <w:r w:rsidRPr="001D0506">
        <w:t xml:space="preserve">Process </w:t>
      </w:r>
      <w:r w:rsidR="00957C06">
        <w:t>s</w:t>
      </w:r>
      <w:r w:rsidRPr="001D0506">
        <w:t xml:space="preserve">afety </w:t>
      </w:r>
      <w:r w:rsidR="00957C06">
        <w:t>m</w:t>
      </w:r>
      <w:r w:rsidRPr="001D0506">
        <w:t xml:space="preserve">anagement </w:t>
      </w:r>
      <w:r w:rsidR="00957C06">
        <w:t>q</w:t>
      </w:r>
      <w:r w:rsidRPr="001D0506">
        <w:t xml:space="preserve">uality in </w:t>
      </w:r>
      <w:r w:rsidR="00957C06">
        <w:t>i</w:t>
      </w:r>
      <w:r w:rsidRPr="001D0506">
        <w:t xml:space="preserve">ndustrial </w:t>
      </w:r>
      <w:r w:rsidR="00957C06">
        <w:t>c</w:t>
      </w:r>
      <w:r w:rsidRPr="001D0506">
        <w:t xml:space="preserve">orporation for </w:t>
      </w:r>
      <w:r w:rsidR="00957C06">
        <w:t>s</w:t>
      </w:r>
      <w:r w:rsidRPr="001D0506">
        <w:t xml:space="preserve">ustainable </w:t>
      </w:r>
      <w:r w:rsidR="00957C06">
        <w:t>d</w:t>
      </w:r>
      <w:r w:rsidRPr="001D0506">
        <w:t>evelopment</w:t>
      </w:r>
      <w:r>
        <w:t>,</w:t>
      </w:r>
      <w:r w:rsidRPr="001D0506">
        <w:t xml:space="preserve"> Sustainability, 13, 9001</w:t>
      </w:r>
      <w:r>
        <w:t>.</w:t>
      </w:r>
    </w:p>
    <w:p w14:paraId="5015E223" w14:textId="7F6734DE" w:rsidR="00E75FAC" w:rsidRDefault="00E75FAC" w:rsidP="00A80344">
      <w:pPr>
        <w:pStyle w:val="CETReferencetext"/>
      </w:pPr>
      <w:r w:rsidRPr="002E6B95">
        <w:t>Morten</w:t>
      </w:r>
      <w:r>
        <w:t xml:space="preserve"> L., 2013, </w:t>
      </w:r>
      <w:r w:rsidRPr="002E6B95">
        <w:t>An overv</w:t>
      </w:r>
      <w:r>
        <w:t>iew of multilevel flow modelling,</w:t>
      </w:r>
      <w:r w:rsidRPr="002E6B95">
        <w:t xml:space="preserve"> International Electronic </w:t>
      </w:r>
      <w:r w:rsidR="00E44A2A" w:rsidRPr="00E44A2A">
        <w:t>J. Nucl. Sci. Technol</w:t>
      </w:r>
      <w:r w:rsidR="00E44A2A">
        <w:t>.</w:t>
      </w:r>
      <w:r w:rsidR="00E44A2A" w:rsidRPr="00E44A2A">
        <w:t xml:space="preserve"> </w:t>
      </w:r>
      <w:r w:rsidRPr="002E6B95">
        <w:t>Simulation 4</w:t>
      </w:r>
      <w:r>
        <w:t>,</w:t>
      </w:r>
      <w:r w:rsidRPr="002E6B95">
        <w:t xml:space="preserve"> 186–191</w:t>
      </w:r>
      <w:r>
        <w:t>.</w:t>
      </w:r>
    </w:p>
    <w:p w14:paraId="20770FD4" w14:textId="77777777" w:rsidR="00E44A2A" w:rsidRDefault="00957C06" w:rsidP="00957C06">
      <w:pPr>
        <w:pStyle w:val="CETReferencetext"/>
      </w:pPr>
      <w:bookmarkStart w:id="2" w:name="_Hlk186722592"/>
      <w:r w:rsidRPr="00B01370">
        <w:rPr>
          <w:lang w:val="en-US"/>
        </w:rPr>
        <w:t xml:space="preserve">Oliveira Neto </w:t>
      </w:r>
      <w:bookmarkEnd w:id="2"/>
      <w:r w:rsidRPr="00B01370">
        <w:rPr>
          <w:lang w:val="en-US"/>
        </w:rPr>
        <w:t>G</w:t>
      </w:r>
      <w:r>
        <w:rPr>
          <w:lang w:val="en-US"/>
        </w:rPr>
        <w:t>.</w:t>
      </w:r>
      <w:r w:rsidRPr="00B01370">
        <w:rPr>
          <w:lang w:val="en-US"/>
        </w:rPr>
        <w:t>C</w:t>
      </w:r>
      <w:r>
        <w:rPr>
          <w:lang w:val="en-US"/>
        </w:rPr>
        <w:t>.</w:t>
      </w:r>
      <w:r w:rsidRPr="00B01370">
        <w:rPr>
          <w:lang w:val="en-US"/>
        </w:rPr>
        <w:t>, Tucci H</w:t>
      </w:r>
      <w:r>
        <w:rPr>
          <w:lang w:val="en-US"/>
        </w:rPr>
        <w:t>.</w:t>
      </w:r>
      <w:r w:rsidRPr="00B01370">
        <w:rPr>
          <w:lang w:val="en-US"/>
        </w:rPr>
        <w:t>N</w:t>
      </w:r>
      <w:r>
        <w:rPr>
          <w:lang w:val="en-US"/>
        </w:rPr>
        <w:t>.</w:t>
      </w:r>
      <w:r w:rsidRPr="00B01370">
        <w:rPr>
          <w:lang w:val="en-US"/>
        </w:rPr>
        <w:t>P</w:t>
      </w:r>
      <w:r>
        <w:rPr>
          <w:lang w:val="en-US"/>
        </w:rPr>
        <w:t>.</w:t>
      </w:r>
      <w:r w:rsidRPr="00B01370">
        <w:rPr>
          <w:lang w:val="en-US"/>
        </w:rPr>
        <w:t>, Godinho Filho M</w:t>
      </w:r>
      <w:r>
        <w:rPr>
          <w:lang w:val="en-US"/>
        </w:rPr>
        <w:t>.</w:t>
      </w:r>
      <w:r w:rsidRPr="00B01370">
        <w:rPr>
          <w:lang w:val="en-US"/>
        </w:rPr>
        <w:t>, Lucato W</w:t>
      </w:r>
      <w:r>
        <w:rPr>
          <w:lang w:val="en-US"/>
        </w:rPr>
        <w:t>.</w:t>
      </w:r>
      <w:r w:rsidRPr="00B01370">
        <w:rPr>
          <w:lang w:val="en-US"/>
        </w:rPr>
        <w:t>C</w:t>
      </w:r>
      <w:r>
        <w:rPr>
          <w:lang w:val="en-US"/>
        </w:rPr>
        <w:t>.</w:t>
      </w:r>
      <w:r w:rsidRPr="00B01370">
        <w:rPr>
          <w:lang w:val="en-US"/>
        </w:rPr>
        <w:t>, da Silva D.</w:t>
      </w:r>
      <w:r>
        <w:rPr>
          <w:lang w:val="en-US"/>
        </w:rPr>
        <w:t>,</w:t>
      </w:r>
      <w:r w:rsidRPr="00B01370">
        <w:rPr>
          <w:lang w:val="en-US"/>
        </w:rPr>
        <w:t xml:space="preserve"> 20</w:t>
      </w:r>
      <w:r>
        <w:rPr>
          <w:lang w:val="en-US"/>
        </w:rPr>
        <w:t>22,</w:t>
      </w:r>
      <w:r w:rsidRPr="00B01370">
        <w:rPr>
          <w:lang w:val="en-US"/>
        </w:rPr>
        <w:t xml:space="preserve"> </w:t>
      </w:r>
      <w:r w:rsidRPr="00B01370">
        <w:t>Moderating effect of OHS actions based on WHO recommendations to mitigate the effects of COVID-19 in multinational companies</w:t>
      </w:r>
      <w:r w:rsidR="00030DFF">
        <w:t>,</w:t>
      </w:r>
      <w:r w:rsidRPr="00B01370">
        <w:t xml:space="preserve"> Process Saf</w:t>
      </w:r>
      <w:r>
        <w:t>ety and</w:t>
      </w:r>
      <w:r w:rsidRPr="00B01370">
        <w:t xml:space="preserve"> Environ</w:t>
      </w:r>
      <w:r>
        <w:t>mental</w:t>
      </w:r>
      <w:r w:rsidRPr="00B01370">
        <w:t xml:space="preserve"> Prot</w:t>
      </w:r>
      <w:r>
        <w:t>ection,</w:t>
      </w:r>
      <w:r w:rsidRPr="00B01370">
        <w:t xml:space="preserve"> </w:t>
      </w:r>
      <w:r>
        <w:t xml:space="preserve">159, </w:t>
      </w:r>
      <w:r w:rsidRPr="00B01370">
        <w:t>652-661.</w:t>
      </w:r>
      <w:r w:rsidR="00E44A2A" w:rsidRPr="00E44A2A">
        <w:t xml:space="preserve"> </w:t>
      </w:r>
    </w:p>
    <w:p w14:paraId="50FC4CD0" w14:textId="48FCAC9E" w:rsidR="00957C06" w:rsidRDefault="00E44A2A" w:rsidP="00957C06">
      <w:pPr>
        <w:pStyle w:val="CETReferencetext"/>
      </w:pPr>
      <w:r w:rsidRPr="00E44A2A">
        <w:t>Pasman H.J., Sripaul E., Khan F., Fabiano B., 2024, Energy transition technology comes with new process safety challenges and risks - What does it mean? Process Safety Progress, 43(2), 226–230.</w:t>
      </w:r>
    </w:p>
    <w:p w14:paraId="72913BFE" w14:textId="2E994D64" w:rsidR="00E75FAC" w:rsidRDefault="00E75FAC" w:rsidP="00493818">
      <w:pPr>
        <w:pStyle w:val="CETReferencetext"/>
      </w:pPr>
      <w:r>
        <w:t>Spasojević-Brkić V., Veljković Z., Brkić A., Misita M., Perišić M., Papić N.</w:t>
      </w:r>
      <w:r w:rsidR="00957C06">
        <w:t>,</w:t>
      </w:r>
      <w:r>
        <w:t xml:space="preserve"> 2022. Transport </w:t>
      </w:r>
      <w:r w:rsidR="00957C06">
        <w:t>a</w:t>
      </w:r>
      <w:r>
        <w:t xml:space="preserve">nd </w:t>
      </w:r>
      <w:r w:rsidR="00957C06">
        <w:t>m</w:t>
      </w:r>
      <w:r>
        <w:t xml:space="preserve">ining </w:t>
      </w:r>
      <w:r w:rsidR="00957C06">
        <w:t>m</w:t>
      </w:r>
      <w:r>
        <w:t xml:space="preserve">achines </w:t>
      </w:r>
      <w:r w:rsidR="00957C06">
        <w:t>o</w:t>
      </w:r>
      <w:r>
        <w:t xml:space="preserve">perators’ </w:t>
      </w:r>
      <w:r w:rsidR="00957C06">
        <w:t>b</w:t>
      </w:r>
      <w:r>
        <w:t xml:space="preserve">ehavioral </w:t>
      </w:r>
      <w:r w:rsidR="00957C06">
        <w:t>a</w:t>
      </w:r>
      <w:r>
        <w:t xml:space="preserve">ttitudes </w:t>
      </w:r>
      <w:r w:rsidR="00957C06">
        <w:t>i</w:t>
      </w:r>
      <w:r>
        <w:t xml:space="preserve">n </w:t>
      </w:r>
      <w:r w:rsidR="00957C06">
        <w:t>s</w:t>
      </w:r>
      <w:r>
        <w:t xml:space="preserve">afety </w:t>
      </w:r>
      <w:r w:rsidR="00957C06">
        <w:t>c</w:t>
      </w:r>
      <w:r>
        <w:t xml:space="preserve">limate </w:t>
      </w:r>
      <w:r w:rsidR="00957C06">
        <w:t>c</w:t>
      </w:r>
      <w:r>
        <w:t>ontext, J</w:t>
      </w:r>
      <w:r w:rsidR="00245A00">
        <w:t>.</w:t>
      </w:r>
      <w:r>
        <w:t xml:space="preserve"> of Applied Engineering Science 20, 1196-1202.</w:t>
      </w:r>
    </w:p>
    <w:p w14:paraId="48B772F6" w14:textId="23640567" w:rsidR="00E75FAC" w:rsidRDefault="00E75FAC" w:rsidP="009940CE">
      <w:pPr>
        <w:pStyle w:val="CETReferencetext"/>
      </w:pPr>
      <w:r w:rsidRPr="001D0506">
        <w:t>Spirtes P., Glymour C., Scheines R.</w:t>
      </w:r>
      <w:r>
        <w:t>, 1993,</w:t>
      </w:r>
      <w:r w:rsidRPr="001D0506">
        <w:t xml:space="preserve"> Causation, Prediction, and Search, Lecture Notes in Statistics LNS, volume 81, Springer</w:t>
      </w:r>
      <w:r>
        <w:t>, New Yo</w:t>
      </w:r>
      <w:r w:rsidR="00D26002">
        <w:t>rk, US</w:t>
      </w:r>
      <w:r w:rsidRPr="001D0506">
        <w:t>.</w:t>
      </w:r>
    </w:p>
    <w:p w14:paraId="5727CDF8" w14:textId="2D158EEB" w:rsidR="00894666" w:rsidRDefault="00E75FAC" w:rsidP="00894666">
      <w:pPr>
        <w:pStyle w:val="CETReferencetext"/>
      </w:pPr>
      <w:r>
        <w:t xml:space="preserve">UniGe, 2024 ResMod -2021 Safera </w:t>
      </w:r>
      <w:r w:rsidRPr="00E75FAC">
        <w:t>https://resmod.unige.it/</w:t>
      </w:r>
      <w:r>
        <w:t xml:space="preserve"> accessed 02.12.2024.</w:t>
      </w:r>
      <w:r w:rsidR="00245A00" w:rsidRPr="00245A00">
        <w:t xml:space="preserve"> </w:t>
      </w:r>
    </w:p>
    <w:sectPr w:rsidR="00894666"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CFC47" w14:textId="77777777" w:rsidR="00C81C0A" w:rsidRDefault="00C81C0A" w:rsidP="004F5E36">
      <w:r>
        <w:separator/>
      </w:r>
    </w:p>
  </w:endnote>
  <w:endnote w:type="continuationSeparator" w:id="0">
    <w:p w14:paraId="6F9E6091" w14:textId="77777777" w:rsidR="00C81C0A" w:rsidRDefault="00C81C0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57EB0" w14:textId="77777777" w:rsidR="00C81C0A" w:rsidRDefault="00C81C0A" w:rsidP="004F5E36">
      <w:r>
        <w:separator/>
      </w:r>
    </w:p>
  </w:footnote>
  <w:footnote w:type="continuationSeparator" w:id="0">
    <w:p w14:paraId="37E9821C" w14:textId="77777777" w:rsidR="00C81C0A" w:rsidRDefault="00C81C0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4A56F49"/>
    <w:multiLevelType w:val="hybridMultilevel"/>
    <w:tmpl w:val="F26C9E6C"/>
    <w:lvl w:ilvl="0" w:tplc="04100001">
      <w:start w:val="1"/>
      <w:numFmt w:val="bullet"/>
      <w:lvlText w:val=""/>
      <w:lvlJc w:val="left"/>
      <w:pPr>
        <w:ind w:left="720" w:hanging="360"/>
      </w:pPr>
      <w:rPr>
        <w:rFonts w:ascii="Symbol" w:hAnsi="Symbol" w:hint="default"/>
      </w:rPr>
    </w:lvl>
    <w:lvl w:ilvl="1" w:tplc="2BD61BE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E1E4023"/>
    <w:multiLevelType w:val="hybridMultilevel"/>
    <w:tmpl w:val="85883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438217E"/>
    <w:multiLevelType w:val="multilevel"/>
    <w:tmpl w:val="592C810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2B161629"/>
    <w:multiLevelType w:val="hybridMultilevel"/>
    <w:tmpl w:val="C7A4841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5A164D1"/>
    <w:multiLevelType w:val="hybridMultilevel"/>
    <w:tmpl w:val="E5FEBE6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62F2EBE"/>
    <w:multiLevelType w:val="hybridMultilevel"/>
    <w:tmpl w:val="A3766E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59AB2EED"/>
    <w:multiLevelType w:val="hybridMultilevel"/>
    <w:tmpl w:val="F9CA4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CEA3F36"/>
    <w:multiLevelType w:val="hybridMultilevel"/>
    <w:tmpl w:val="9CB8E1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436847"/>
    <w:multiLevelType w:val="hybridMultilevel"/>
    <w:tmpl w:val="6E60E10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913086">
    <w:abstractNumId w:val="13"/>
  </w:num>
  <w:num w:numId="2" w16cid:durableId="470244822">
    <w:abstractNumId w:val="8"/>
  </w:num>
  <w:num w:numId="3" w16cid:durableId="1102066645">
    <w:abstractNumId w:val="3"/>
  </w:num>
  <w:num w:numId="4" w16cid:durableId="969629839">
    <w:abstractNumId w:val="2"/>
  </w:num>
  <w:num w:numId="5" w16cid:durableId="214699264">
    <w:abstractNumId w:val="1"/>
  </w:num>
  <w:num w:numId="6" w16cid:durableId="1744067064">
    <w:abstractNumId w:val="0"/>
  </w:num>
  <w:num w:numId="7" w16cid:durableId="1484617006">
    <w:abstractNumId w:val="9"/>
  </w:num>
  <w:num w:numId="8" w16cid:durableId="1588535842">
    <w:abstractNumId w:val="7"/>
  </w:num>
  <w:num w:numId="9" w16cid:durableId="485048848">
    <w:abstractNumId w:val="6"/>
  </w:num>
  <w:num w:numId="10" w16cid:durableId="325213467">
    <w:abstractNumId w:val="5"/>
  </w:num>
  <w:num w:numId="11" w16cid:durableId="1689796354">
    <w:abstractNumId w:val="4"/>
  </w:num>
  <w:num w:numId="12" w16cid:durableId="733821635">
    <w:abstractNumId w:val="23"/>
  </w:num>
  <w:num w:numId="13" w16cid:durableId="928078447">
    <w:abstractNumId w:val="16"/>
  </w:num>
  <w:num w:numId="14" w16cid:durableId="31082177">
    <w:abstractNumId w:val="25"/>
  </w:num>
  <w:num w:numId="15" w16cid:durableId="2064060734">
    <w:abstractNumId w:val="29"/>
  </w:num>
  <w:num w:numId="16" w16cid:durableId="1907252771">
    <w:abstractNumId w:val="28"/>
  </w:num>
  <w:num w:numId="17" w16cid:durableId="1739787262">
    <w:abstractNumId w:val="15"/>
  </w:num>
  <w:num w:numId="18" w16cid:durableId="2087996992">
    <w:abstractNumId w:val="16"/>
    <w:lvlOverride w:ilvl="0">
      <w:startOverride w:val="1"/>
    </w:lvlOverride>
  </w:num>
  <w:num w:numId="19" w16cid:durableId="676923530">
    <w:abstractNumId w:val="22"/>
  </w:num>
  <w:num w:numId="20" w16cid:durableId="293028809">
    <w:abstractNumId w:val="21"/>
  </w:num>
  <w:num w:numId="21" w16cid:durableId="2118327273">
    <w:abstractNumId w:val="18"/>
  </w:num>
  <w:num w:numId="22" w16cid:durableId="777719811">
    <w:abstractNumId w:val="17"/>
  </w:num>
  <w:num w:numId="23" w16cid:durableId="1216047492">
    <w:abstractNumId w:val="12"/>
  </w:num>
  <w:num w:numId="24" w16cid:durableId="213080267">
    <w:abstractNumId w:val="27"/>
  </w:num>
  <w:num w:numId="25" w16cid:durableId="1996840517">
    <w:abstractNumId w:val="13"/>
  </w:num>
  <w:num w:numId="26" w16cid:durableId="1628468526">
    <w:abstractNumId w:val="13"/>
  </w:num>
  <w:num w:numId="27" w16cid:durableId="530917936">
    <w:abstractNumId w:val="13"/>
  </w:num>
  <w:num w:numId="28" w16cid:durableId="1927759624">
    <w:abstractNumId w:val="13"/>
  </w:num>
  <w:num w:numId="29" w16cid:durableId="2086343446">
    <w:abstractNumId w:val="10"/>
  </w:num>
  <w:num w:numId="30" w16cid:durableId="492910270">
    <w:abstractNumId w:val="13"/>
  </w:num>
  <w:num w:numId="31" w16cid:durableId="977221488">
    <w:abstractNumId w:val="13"/>
  </w:num>
  <w:num w:numId="32" w16cid:durableId="562377522">
    <w:abstractNumId w:val="24"/>
  </w:num>
  <w:num w:numId="33" w16cid:durableId="88815355">
    <w:abstractNumId w:val="14"/>
  </w:num>
  <w:num w:numId="34" w16cid:durableId="535704727">
    <w:abstractNumId w:val="20"/>
  </w:num>
  <w:num w:numId="35" w16cid:durableId="1136071614">
    <w:abstractNumId w:val="19"/>
  </w:num>
  <w:num w:numId="36" w16cid:durableId="1131745309">
    <w:abstractNumId w:val="26"/>
  </w:num>
  <w:num w:numId="37" w16cid:durableId="12170062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E46"/>
    <w:rsid w:val="000027C0"/>
    <w:rsid w:val="000052FB"/>
    <w:rsid w:val="00005A19"/>
    <w:rsid w:val="000117CB"/>
    <w:rsid w:val="00014619"/>
    <w:rsid w:val="00030DFF"/>
    <w:rsid w:val="0003148D"/>
    <w:rsid w:val="00031EEC"/>
    <w:rsid w:val="0003335B"/>
    <w:rsid w:val="00033E3D"/>
    <w:rsid w:val="000503F1"/>
    <w:rsid w:val="00051566"/>
    <w:rsid w:val="000562A9"/>
    <w:rsid w:val="00062A9A"/>
    <w:rsid w:val="00065058"/>
    <w:rsid w:val="00086C39"/>
    <w:rsid w:val="000A03B2"/>
    <w:rsid w:val="000D0268"/>
    <w:rsid w:val="000D29A6"/>
    <w:rsid w:val="000D34BE"/>
    <w:rsid w:val="000E066C"/>
    <w:rsid w:val="000E0B3C"/>
    <w:rsid w:val="000E102F"/>
    <w:rsid w:val="000E36F1"/>
    <w:rsid w:val="000E3A73"/>
    <w:rsid w:val="000E414A"/>
    <w:rsid w:val="000E64C7"/>
    <w:rsid w:val="000E75FD"/>
    <w:rsid w:val="000F093C"/>
    <w:rsid w:val="000F787B"/>
    <w:rsid w:val="00110E7E"/>
    <w:rsid w:val="0012091F"/>
    <w:rsid w:val="00126BC2"/>
    <w:rsid w:val="001308B6"/>
    <w:rsid w:val="0013121F"/>
    <w:rsid w:val="00131FE6"/>
    <w:rsid w:val="0013263F"/>
    <w:rsid w:val="001331DF"/>
    <w:rsid w:val="00134DE4"/>
    <w:rsid w:val="0014034D"/>
    <w:rsid w:val="00140FE3"/>
    <w:rsid w:val="00144D16"/>
    <w:rsid w:val="00146B9B"/>
    <w:rsid w:val="00150E59"/>
    <w:rsid w:val="00152DE3"/>
    <w:rsid w:val="00163025"/>
    <w:rsid w:val="00164CF9"/>
    <w:rsid w:val="001667A6"/>
    <w:rsid w:val="0018171E"/>
    <w:rsid w:val="00184AD6"/>
    <w:rsid w:val="00197C74"/>
    <w:rsid w:val="001A4AF7"/>
    <w:rsid w:val="001B0349"/>
    <w:rsid w:val="001B1E93"/>
    <w:rsid w:val="001B65C1"/>
    <w:rsid w:val="001C260F"/>
    <w:rsid w:val="001C5C3A"/>
    <w:rsid w:val="001C684B"/>
    <w:rsid w:val="001D0111"/>
    <w:rsid w:val="001D0506"/>
    <w:rsid w:val="001D0CFB"/>
    <w:rsid w:val="001D21AF"/>
    <w:rsid w:val="001D53FC"/>
    <w:rsid w:val="001E69CE"/>
    <w:rsid w:val="001E7279"/>
    <w:rsid w:val="001F42A5"/>
    <w:rsid w:val="001F7B9D"/>
    <w:rsid w:val="00201592"/>
    <w:rsid w:val="00201C93"/>
    <w:rsid w:val="00210032"/>
    <w:rsid w:val="00212DEA"/>
    <w:rsid w:val="00216E5C"/>
    <w:rsid w:val="002224B4"/>
    <w:rsid w:val="002447EF"/>
    <w:rsid w:val="00245A00"/>
    <w:rsid w:val="00251550"/>
    <w:rsid w:val="00260697"/>
    <w:rsid w:val="00263B05"/>
    <w:rsid w:val="00267E6B"/>
    <w:rsid w:val="0027221A"/>
    <w:rsid w:val="00275B61"/>
    <w:rsid w:val="00280FAF"/>
    <w:rsid w:val="00282656"/>
    <w:rsid w:val="00296B83"/>
    <w:rsid w:val="002B4015"/>
    <w:rsid w:val="002B429D"/>
    <w:rsid w:val="002B78CE"/>
    <w:rsid w:val="002C2FB6"/>
    <w:rsid w:val="002C3F64"/>
    <w:rsid w:val="002E5FA7"/>
    <w:rsid w:val="002E6B95"/>
    <w:rsid w:val="002F3309"/>
    <w:rsid w:val="003008CE"/>
    <w:rsid w:val="003009B7"/>
    <w:rsid w:val="00300E56"/>
    <w:rsid w:val="0030152C"/>
    <w:rsid w:val="0030469C"/>
    <w:rsid w:val="00312D5B"/>
    <w:rsid w:val="00321CA6"/>
    <w:rsid w:val="00323763"/>
    <w:rsid w:val="00323C5F"/>
    <w:rsid w:val="00334009"/>
    <w:rsid w:val="00334C09"/>
    <w:rsid w:val="00341524"/>
    <w:rsid w:val="003613D5"/>
    <w:rsid w:val="003723D4"/>
    <w:rsid w:val="00381905"/>
    <w:rsid w:val="00384CC8"/>
    <w:rsid w:val="003871FD"/>
    <w:rsid w:val="003A1E30"/>
    <w:rsid w:val="003A2829"/>
    <w:rsid w:val="003A7D1C"/>
    <w:rsid w:val="003B0DED"/>
    <w:rsid w:val="003B304B"/>
    <w:rsid w:val="003B3146"/>
    <w:rsid w:val="003B49CD"/>
    <w:rsid w:val="003B4B4D"/>
    <w:rsid w:val="003D1E02"/>
    <w:rsid w:val="003F015E"/>
    <w:rsid w:val="003F2261"/>
    <w:rsid w:val="00400414"/>
    <w:rsid w:val="0040445B"/>
    <w:rsid w:val="0041446B"/>
    <w:rsid w:val="00420482"/>
    <w:rsid w:val="00430CA9"/>
    <w:rsid w:val="0044071E"/>
    <w:rsid w:val="00441B20"/>
    <w:rsid w:val="0044329C"/>
    <w:rsid w:val="00453E24"/>
    <w:rsid w:val="00457456"/>
    <w:rsid w:val="004577FE"/>
    <w:rsid w:val="00457B9C"/>
    <w:rsid w:val="0046164A"/>
    <w:rsid w:val="004628D2"/>
    <w:rsid w:val="00462DCD"/>
    <w:rsid w:val="004648AD"/>
    <w:rsid w:val="004703A9"/>
    <w:rsid w:val="004760DE"/>
    <w:rsid w:val="004763D7"/>
    <w:rsid w:val="00482101"/>
    <w:rsid w:val="00493818"/>
    <w:rsid w:val="004A004E"/>
    <w:rsid w:val="004A24CF"/>
    <w:rsid w:val="004C3D1D"/>
    <w:rsid w:val="004C3D84"/>
    <w:rsid w:val="004C4D23"/>
    <w:rsid w:val="004C7913"/>
    <w:rsid w:val="004D092B"/>
    <w:rsid w:val="004E3906"/>
    <w:rsid w:val="004E4DD6"/>
    <w:rsid w:val="004F5E36"/>
    <w:rsid w:val="00500117"/>
    <w:rsid w:val="00507B47"/>
    <w:rsid w:val="00507BEF"/>
    <w:rsid w:val="00507CC9"/>
    <w:rsid w:val="005119A5"/>
    <w:rsid w:val="005278B7"/>
    <w:rsid w:val="00530D3C"/>
    <w:rsid w:val="00532016"/>
    <w:rsid w:val="005346C8"/>
    <w:rsid w:val="005424FC"/>
    <w:rsid w:val="00543E7D"/>
    <w:rsid w:val="00547A68"/>
    <w:rsid w:val="005531C9"/>
    <w:rsid w:val="00554879"/>
    <w:rsid w:val="00570C43"/>
    <w:rsid w:val="00577F7C"/>
    <w:rsid w:val="00591067"/>
    <w:rsid w:val="00592274"/>
    <w:rsid w:val="00597367"/>
    <w:rsid w:val="005B2110"/>
    <w:rsid w:val="005B350B"/>
    <w:rsid w:val="005B3C10"/>
    <w:rsid w:val="005B4FB2"/>
    <w:rsid w:val="005B61E6"/>
    <w:rsid w:val="005C1627"/>
    <w:rsid w:val="005C77E1"/>
    <w:rsid w:val="005D668A"/>
    <w:rsid w:val="005D6A2F"/>
    <w:rsid w:val="005E0592"/>
    <w:rsid w:val="005E1A82"/>
    <w:rsid w:val="005E5912"/>
    <w:rsid w:val="005E794C"/>
    <w:rsid w:val="005F0A28"/>
    <w:rsid w:val="005F0E5E"/>
    <w:rsid w:val="00600535"/>
    <w:rsid w:val="00610CD6"/>
    <w:rsid w:val="00620DEE"/>
    <w:rsid w:val="00621F92"/>
    <w:rsid w:val="0062280A"/>
    <w:rsid w:val="006231E1"/>
    <w:rsid w:val="00625639"/>
    <w:rsid w:val="00631B33"/>
    <w:rsid w:val="0064184D"/>
    <w:rsid w:val="006422CC"/>
    <w:rsid w:val="00650BCF"/>
    <w:rsid w:val="00651135"/>
    <w:rsid w:val="00651D18"/>
    <w:rsid w:val="00660E3E"/>
    <w:rsid w:val="00662E74"/>
    <w:rsid w:val="00680C23"/>
    <w:rsid w:val="00683E23"/>
    <w:rsid w:val="00693766"/>
    <w:rsid w:val="006A3281"/>
    <w:rsid w:val="006A6DE5"/>
    <w:rsid w:val="006B32E5"/>
    <w:rsid w:val="006B4888"/>
    <w:rsid w:val="006C2E45"/>
    <w:rsid w:val="006C34A3"/>
    <w:rsid w:val="006C359C"/>
    <w:rsid w:val="006C5579"/>
    <w:rsid w:val="006D6E8B"/>
    <w:rsid w:val="006D7209"/>
    <w:rsid w:val="006E737D"/>
    <w:rsid w:val="00707DD1"/>
    <w:rsid w:val="00713973"/>
    <w:rsid w:val="00720A24"/>
    <w:rsid w:val="007246B0"/>
    <w:rsid w:val="00725877"/>
    <w:rsid w:val="00732386"/>
    <w:rsid w:val="0073284A"/>
    <w:rsid w:val="0073514D"/>
    <w:rsid w:val="00742CF1"/>
    <w:rsid w:val="007447F3"/>
    <w:rsid w:val="0075499F"/>
    <w:rsid w:val="007661C8"/>
    <w:rsid w:val="0077098D"/>
    <w:rsid w:val="007729C2"/>
    <w:rsid w:val="00780044"/>
    <w:rsid w:val="00785BF9"/>
    <w:rsid w:val="007931FA"/>
    <w:rsid w:val="007A2C8A"/>
    <w:rsid w:val="007A4861"/>
    <w:rsid w:val="007A50D0"/>
    <w:rsid w:val="007A7BBA"/>
    <w:rsid w:val="007B0C50"/>
    <w:rsid w:val="007B48F9"/>
    <w:rsid w:val="007C0FA6"/>
    <w:rsid w:val="007C1A43"/>
    <w:rsid w:val="007C2B99"/>
    <w:rsid w:val="007D0951"/>
    <w:rsid w:val="007D610D"/>
    <w:rsid w:val="0080013E"/>
    <w:rsid w:val="00801759"/>
    <w:rsid w:val="0080374F"/>
    <w:rsid w:val="00813288"/>
    <w:rsid w:val="008168FC"/>
    <w:rsid w:val="00830996"/>
    <w:rsid w:val="00833CB5"/>
    <w:rsid w:val="008345F1"/>
    <w:rsid w:val="008529F1"/>
    <w:rsid w:val="00865B07"/>
    <w:rsid w:val="008667EA"/>
    <w:rsid w:val="0087637F"/>
    <w:rsid w:val="0089194F"/>
    <w:rsid w:val="00892AD5"/>
    <w:rsid w:val="00893161"/>
    <w:rsid w:val="00894666"/>
    <w:rsid w:val="008A1512"/>
    <w:rsid w:val="008A78C5"/>
    <w:rsid w:val="008D32B9"/>
    <w:rsid w:val="008D433B"/>
    <w:rsid w:val="008D4A16"/>
    <w:rsid w:val="008E5401"/>
    <w:rsid w:val="008E566E"/>
    <w:rsid w:val="0090161A"/>
    <w:rsid w:val="00901EB6"/>
    <w:rsid w:val="00903888"/>
    <w:rsid w:val="009041F8"/>
    <w:rsid w:val="00904C62"/>
    <w:rsid w:val="00912718"/>
    <w:rsid w:val="00916B79"/>
    <w:rsid w:val="00922BA8"/>
    <w:rsid w:val="00924DAC"/>
    <w:rsid w:val="00927058"/>
    <w:rsid w:val="0094229E"/>
    <w:rsid w:val="00942750"/>
    <w:rsid w:val="009450CE"/>
    <w:rsid w:val="009459BB"/>
    <w:rsid w:val="00947179"/>
    <w:rsid w:val="0095164B"/>
    <w:rsid w:val="00954090"/>
    <w:rsid w:val="009573E7"/>
    <w:rsid w:val="00957C06"/>
    <w:rsid w:val="0096037C"/>
    <w:rsid w:val="00963E05"/>
    <w:rsid w:val="00964A45"/>
    <w:rsid w:val="00967843"/>
    <w:rsid w:val="00967D54"/>
    <w:rsid w:val="00971028"/>
    <w:rsid w:val="00993B84"/>
    <w:rsid w:val="009940CE"/>
    <w:rsid w:val="00994C6A"/>
    <w:rsid w:val="00996483"/>
    <w:rsid w:val="00996F5A"/>
    <w:rsid w:val="00997263"/>
    <w:rsid w:val="009B041A"/>
    <w:rsid w:val="009C37C3"/>
    <w:rsid w:val="009C7C86"/>
    <w:rsid w:val="009D2FF7"/>
    <w:rsid w:val="009D60B5"/>
    <w:rsid w:val="009D7993"/>
    <w:rsid w:val="009E007C"/>
    <w:rsid w:val="009E7884"/>
    <w:rsid w:val="009E788A"/>
    <w:rsid w:val="009F0E08"/>
    <w:rsid w:val="00A02616"/>
    <w:rsid w:val="00A079AE"/>
    <w:rsid w:val="00A14C9C"/>
    <w:rsid w:val="00A1763D"/>
    <w:rsid w:val="00A17CEC"/>
    <w:rsid w:val="00A2122A"/>
    <w:rsid w:val="00A27EF0"/>
    <w:rsid w:val="00A34233"/>
    <w:rsid w:val="00A42361"/>
    <w:rsid w:val="00A46917"/>
    <w:rsid w:val="00A50B20"/>
    <w:rsid w:val="00A51390"/>
    <w:rsid w:val="00A60D13"/>
    <w:rsid w:val="00A6752F"/>
    <w:rsid w:val="00A7223D"/>
    <w:rsid w:val="00A72745"/>
    <w:rsid w:val="00A76EFC"/>
    <w:rsid w:val="00A80344"/>
    <w:rsid w:val="00A8143E"/>
    <w:rsid w:val="00A830EF"/>
    <w:rsid w:val="00A87D50"/>
    <w:rsid w:val="00A91010"/>
    <w:rsid w:val="00A97A95"/>
    <w:rsid w:val="00A97F29"/>
    <w:rsid w:val="00AA702E"/>
    <w:rsid w:val="00AA7D26"/>
    <w:rsid w:val="00AA7D48"/>
    <w:rsid w:val="00AB0964"/>
    <w:rsid w:val="00AB3F7E"/>
    <w:rsid w:val="00AB5011"/>
    <w:rsid w:val="00AC7368"/>
    <w:rsid w:val="00AD16B9"/>
    <w:rsid w:val="00AD32AA"/>
    <w:rsid w:val="00AE377D"/>
    <w:rsid w:val="00AF0EBA"/>
    <w:rsid w:val="00AF2463"/>
    <w:rsid w:val="00B01370"/>
    <w:rsid w:val="00B02C8A"/>
    <w:rsid w:val="00B037E7"/>
    <w:rsid w:val="00B17FBD"/>
    <w:rsid w:val="00B21F3A"/>
    <w:rsid w:val="00B23331"/>
    <w:rsid w:val="00B315A6"/>
    <w:rsid w:val="00B31813"/>
    <w:rsid w:val="00B33365"/>
    <w:rsid w:val="00B46672"/>
    <w:rsid w:val="00B5277B"/>
    <w:rsid w:val="00B52E0C"/>
    <w:rsid w:val="00B57B36"/>
    <w:rsid w:val="00B57E6F"/>
    <w:rsid w:val="00B72E64"/>
    <w:rsid w:val="00B85CD0"/>
    <w:rsid w:val="00B8686D"/>
    <w:rsid w:val="00B93F69"/>
    <w:rsid w:val="00BA15AE"/>
    <w:rsid w:val="00BB1DDC"/>
    <w:rsid w:val="00BC30C9"/>
    <w:rsid w:val="00BD077D"/>
    <w:rsid w:val="00BE3E58"/>
    <w:rsid w:val="00BF13CE"/>
    <w:rsid w:val="00C01616"/>
    <w:rsid w:val="00C0162B"/>
    <w:rsid w:val="00C068ED"/>
    <w:rsid w:val="00C13962"/>
    <w:rsid w:val="00C16950"/>
    <w:rsid w:val="00C1762C"/>
    <w:rsid w:val="00C22E0C"/>
    <w:rsid w:val="00C330FE"/>
    <w:rsid w:val="00C345B1"/>
    <w:rsid w:val="00C40142"/>
    <w:rsid w:val="00C41821"/>
    <w:rsid w:val="00C52C3C"/>
    <w:rsid w:val="00C57182"/>
    <w:rsid w:val="00C57863"/>
    <w:rsid w:val="00C640AF"/>
    <w:rsid w:val="00C655FD"/>
    <w:rsid w:val="00C75407"/>
    <w:rsid w:val="00C8055A"/>
    <w:rsid w:val="00C81C0A"/>
    <w:rsid w:val="00C841C6"/>
    <w:rsid w:val="00C85270"/>
    <w:rsid w:val="00C870A8"/>
    <w:rsid w:val="00C94434"/>
    <w:rsid w:val="00CA0D75"/>
    <w:rsid w:val="00CA1C95"/>
    <w:rsid w:val="00CA5177"/>
    <w:rsid w:val="00CA5A9C"/>
    <w:rsid w:val="00CC12D1"/>
    <w:rsid w:val="00CC4560"/>
    <w:rsid w:val="00CC4C20"/>
    <w:rsid w:val="00CD3517"/>
    <w:rsid w:val="00CD5FE2"/>
    <w:rsid w:val="00CE65D0"/>
    <w:rsid w:val="00CE7C68"/>
    <w:rsid w:val="00CE7C83"/>
    <w:rsid w:val="00CF4ACA"/>
    <w:rsid w:val="00D02B4C"/>
    <w:rsid w:val="00D040C4"/>
    <w:rsid w:val="00D20AD1"/>
    <w:rsid w:val="00D2582C"/>
    <w:rsid w:val="00D26002"/>
    <w:rsid w:val="00D36D11"/>
    <w:rsid w:val="00D46B7E"/>
    <w:rsid w:val="00D57C84"/>
    <w:rsid w:val="00D6057D"/>
    <w:rsid w:val="00D71640"/>
    <w:rsid w:val="00D836C5"/>
    <w:rsid w:val="00D84576"/>
    <w:rsid w:val="00D906A3"/>
    <w:rsid w:val="00DA1399"/>
    <w:rsid w:val="00DA24C6"/>
    <w:rsid w:val="00DA4D7B"/>
    <w:rsid w:val="00DC2840"/>
    <w:rsid w:val="00DC73EE"/>
    <w:rsid w:val="00DD271C"/>
    <w:rsid w:val="00DE264A"/>
    <w:rsid w:val="00DE6F58"/>
    <w:rsid w:val="00DF5072"/>
    <w:rsid w:val="00E02D18"/>
    <w:rsid w:val="00E041E7"/>
    <w:rsid w:val="00E157BA"/>
    <w:rsid w:val="00E23CA1"/>
    <w:rsid w:val="00E409A8"/>
    <w:rsid w:val="00E44A2A"/>
    <w:rsid w:val="00E50C12"/>
    <w:rsid w:val="00E549B7"/>
    <w:rsid w:val="00E61544"/>
    <w:rsid w:val="00E65B91"/>
    <w:rsid w:val="00E66E36"/>
    <w:rsid w:val="00E7209D"/>
    <w:rsid w:val="00E72EAD"/>
    <w:rsid w:val="00E75FAC"/>
    <w:rsid w:val="00E77223"/>
    <w:rsid w:val="00E7726E"/>
    <w:rsid w:val="00E8528B"/>
    <w:rsid w:val="00E85B94"/>
    <w:rsid w:val="00E978D0"/>
    <w:rsid w:val="00EA4613"/>
    <w:rsid w:val="00EA7F91"/>
    <w:rsid w:val="00EB1523"/>
    <w:rsid w:val="00EC0E49"/>
    <w:rsid w:val="00EC101F"/>
    <w:rsid w:val="00EC1D9F"/>
    <w:rsid w:val="00ED0B90"/>
    <w:rsid w:val="00ED40DC"/>
    <w:rsid w:val="00EE0131"/>
    <w:rsid w:val="00EE17B0"/>
    <w:rsid w:val="00EE54D4"/>
    <w:rsid w:val="00EF06D9"/>
    <w:rsid w:val="00F24452"/>
    <w:rsid w:val="00F27EE4"/>
    <w:rsid w:val="00F3049E"/>
    <w:rsid w:val="00F30C64"/>
    <w:rsid w:val="00F32BA2"/>
    <w:rsid w:val="00F32CDB"/>
    <w:rsid w:val="00F41EE2"/>
    <w:rsid w:val="00F41EE4"/>
    <w:rsid w:val="00F50504"/>
    <w:rsid w:val="00F565FE"/>
    <w:rsid w:val="00F63A70"/>
    <w:rsid w:val="00F63D8C"/>
    <w:rsid w:val="00F7534E"/>
    <w:rsid w:val="00F75A6E"/>
    <w:rsid w:val="00F90443"/>
    <w:rsid w:val="00F935FB"/>
    <w:rsid w:val="00F93EDF"/>
    <w:rsid w:val="00FA1802"/>
    <w:rsid w:val="00FA21D0"/>
    <w:rsid w:val="00FA5F5F"/>
    <w:rsid w:val="00FB5CAF"/>
    <w:rsid w:val="00FB730C"/>
    <w:rsid w:val="00FC2695"/>
    <w:rsid w:val="00FC3E03"/>
    <w:rsid w:val="00FC3FC1"/>
    <w:rsid w:val="00FE6EF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97C74"/>
    <w:pPr>
      <w:keepNext/>
      <w:numPr>
        <w:ilvl w:val="2"/>
        <w:numId w:val="1"/>
      </w:numPr>
      <w:suppressAutoHyphens/>
      <w:spacing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97C74"/>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table" w:styleId="Tabellaelenco1chiara-colore5">
    <w:name w:val="List Table 1 Light Accent 5"/>
    <w:basedOn w:val="Tabellanormale"/>
    <w:uiPriority w:val="46"/>
    <w:rsid w:val="00341524"/>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enzionenonrisolta1">
    <w:name w:val="Menzione non risolta1"/>
    <w:basedOn w:val="Carpredefinitoparagrafo"/>
    <w:uiPriority w:val="99"/>
    <w:semiHidden/>
    <w:unhideWhenUsed/>
    <w:rsid w:val="007A2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351107700">
      <w:bodyDiv w:val="1"/>
      <w:marLeft w:val="0"/>
      <w:marRight w:val="0"/>
      <w:marTop w:val="0"/>
      <w:marBottom w:val="0"/>
      <w:divBdr>
        <w:top w:val="none" w:sz="0" w:space="0" w:color="auto"/>
        <w:left w:val="none" w:sz="0" w:space="0" w:color="auto"/>
        <w:bottom w:val="none" w:sz="0" w:space="0" w:color="auto"/>
        <w:right w:val="none" w:sz="0" w:space="0" w:color="auto"/>
      </w:divBdr>
      <w:divsChild>
        <w:div w:id="816799614">
          <w:marLeft w:val="0"/>
          <w:marRight w:val="0"/>
          <w:marTop w:val="0"/>
          <w:marBottom w:val="0"/>
          <w:divBdr>
            <w:top w:val="none" w:sz="0" w:space="0" w:color="auto"/>
            <w:left w:val="none" w:sz="0" w:space="0" w:color="auto"/>
            <w:bottom w:val="none" w:sz="0" w:space="0" w:color="auto"/>
            <w:right w:val="none" w:sz="0" w:space="0" w:color="auto"/>
          </w:divBdr>
        </w:div>
      </w:divsChild>
    </w:div>
    <w:div w:id="729613294">
      <w:bodyDiv w:val="1"/>
      <w:marLeft w:val="0"/>
      <w:marRight w:val="0"/>
      <w:marTop w:val="0"/>
      <w:marBottom w:val="0"/>
      <w:divBdr>
        <w:top w:val="none" w:sz="0" w:space="0" w:color="auto"/>
        <w:left w:val="none" w:sz="0" w:space="0" w:color="auto"/>
        <w:bottom w:val="none" w:sz="0" w:space="0" w:color="auto"/>
        <w:right w:val="none" w:sz="0" w:space="0" w:color="auto"/>
      </w:divBdr>
      <w:divsChild>
        <w:div w:id="1119910822">
          <w:marLeft w:val="0"/>
          <w:marRight w:val="0"/>
          <w:marTop w:val="0"/>
          <w:marBottom w:val="0"/>
          <w:divBdr>
            <w:top w:val="none" w:sz="0" w:space="0" w:color="auto"/>
            <w:left w:val="none" w:sz="0" w:space="0" w:color="auto"/>
            <w:bottom w:val="none" w:sz="0" w:space="0" w:color="auto"/>
            <w:right w:val="none" w:sz="0" w:space="0" w:color="auto"/>
          </w:divBdr>
        </w:div>
        <w:div w:id="850412887">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129944">
      <w:bodyDiv w:val="1"/>
      <w:marLeft w:val="0"/>
      <w:marRight w:val="0"/>
      <w:marTop w:val="0"/>
      <w:marBottom w:val="0"/>
      <w:divBdr>
        <w:top w:val="none" w:sz="0" w:space="0" w:color="auto"/>
        <w:left w:val="none" w:sz="0" w:space="0" w:color="auto"/>
        <w:bottom w:val="none" w:sz="0" w:space="0" w:color="auto"/>
        <w:right w:val="none" w:sz="0" w:space="0" w:color="auto"/>
      </w:divBdr>
      <w:divsChild>
        <w:div w:id="835921607">
          <w:marLeft w:val="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1860-0183-499C-B055-F7823365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3691</Words>
  <Characters>21041</Characters>
  <Application>Microsoft Office Word</Application>
  <DocSecurity>0</DocSecurity>
  <Lines>175</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16</cp:revision>
  <cp:lastPrinted>2015-05-12T18:31:00Z</cp:lastPrinted>
  <dcterms:created xsi:type="dcterms:W3CDTF">2025-02-12T09:22:00Z</dcterms:created>
  <dcterms:modified xsi:type="dcterms:W3CDTF">2025-04-16T11:40:00Z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