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7546C3">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7546C3">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30F07041" w14:textId="11182ABA" w:rsidR="00F27EE4" w:rsidRPr="001F7C0C" w:rsidRDefault="00AA7D26" w:rsidP="00F27EE4">
            <w:pPr>
              <w:ind w:left="-107"/>
              <w:rPr>
                <w:rFonts w:ascii="Tahoma" w:hAnsi="Tahoma" w:cs="Tahoma"/>
                <w:b/>
                <w:color w:val="000000"/>
                <w:sz w:val="14"/>
                <w:szCs w:val="14"/>
                <w:shd w:val="clear" w:color="auto" w:fill="FFFFFF"/>
                <w:lang w:val="it-IT"/>
              </w:rPr>
            </w:pPr>
            <w:r w:rsidRPr="001F7C0C">
              <w:rPr>
                <w:rFonts w:ascii="Tahoma" w:hAnsi="Tahoma" w:cs="Tahoma"/>
                <w:color w:val="333333"/>
                <w:sz w:val="14"/>
                <w:szCs w:val="14"/>
                <w:lang w:val="it-IT" w:eastAsia="it-IT"/>
              </w:rPr>
              <w:t>Guest Editors:</w:t>
            </w:r>
            <w:r w:rsidR="007D610D" w:rsidRPr="001F7C0C">
              <w:rPr>
                <w:rFonts w:ascii="Aptos" w:eastAsiaTheme="minorHAnsi" w:hAnsi="Aptos" w:cs="Aptos"/>
                <w:sz w:val="22"/>
                <w:szCs w:val="22"/>
                <w:lang w:val="it-IT"/>
                <w14:ligatures w14:val="standardContextual"/>
              </w:rPr>
              <w:t xml:space="preserve"> </w:t>
            </w:r>
            <w:r w:rsidR="00F27EE4" w:rsidRPr="001F7C0C">
              <w:rPr>
                <w:rFonts w:ascii="Tahoma" w:hAnsi="Tahoma" w:cs="Tahoma"/>
                <w:color w:val="000000"/>
                <w:sz w:val="14"/>
                <w:szCs w:val="14"/>
                <w:shd w:val="clear" w:color="auto" w:fill="FFFFFF"/>
                <w:lang w:val="it-IT"/>
              </w:rPr>
              <w:t>Bruno Fabiano, Valerio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7ACF64D3" w:rsidR="00E978D0" w:rsidRPr="00B57B36" w:rsidRDefault="00D41401" w:rsidP="00E978D0">
      <w:pPr>
        <w:pStyle w:val="CETTitle"/>
      </w:pPr>
      <w:r w:rsidRPr="00D41401">
        <w:t xml:space="preserve">Common </w:t>
      </w:r>
      <w:r w:rsidR="00EC69BE">
        <w:t>P</w:t>
      </w:r>
      <w:r w:rsidRPr="00D41401">
        <w:t xml:space="preserve">itfalls in PSM </w:t>
      </w:r>
      <w:r w:rsidR="00EC69BE">
        <w:t>A</w:t>
      </w:r>
      <w:r w:rsidRPr="00D41401">
        <w:t xml:space="preserve">ssessment - Case </w:t>
      </w:r>
      <w:r w:rsidR="00EC69BE">
        <w:t>S</w:t>
      </w:r>
      <w:r w:rsidRPr="00D41401">
        <w:t xml:space="preserve">tudies and </w:t>
      </w:r>
      <w:r w:rsidR="00EC69BE">
        <w:t>L</w:t>
      </w:r>
      <w:r w:rsidRPr="00D41401">
        <w:t xml:space="preserve">essons </w:t>
      </w:r>
      <w:r w:rsidR="00EC69BE">
        <w:t>L</w:t>
      </w:r>
      <w:r w:rsidRPr="00D41401">
        <w:t>earned</w:t>
      </w:r>
    </w:p>
    <w:p w14:paraId="0488FED2" w14:textId="42648A41" w:rsidR="00B57E6F" w:rsidRPr="001F7C0C" w:rsidRDefault="00DB4841" w:rsidP="00B57E6F">
      <w:pPr>
        <w:pStyle w:val="CETAuthors"/>
        <w:rPr>
          <w:lang w:val="it-IT"/>
        </w:rPr>
      </w:pPr>
      <w:r w:rsidRPr="001F7C0C">
        <w:rPr>
          <w:lang w:val="it-IT"/>
        </w:rPr>
        <w:t>Zahra Basiri*; Andrea Gritti; Leonardo Michele Carluccio</w:t>
      </w:r>
    </w:p>
    <w:p w14:paraId="3D72B0B0" w14:textId="2B48224E" w:rsidR="00B57E6F" w:rsidRPr="001F7C0C" w:rsidRDefault="00DB4841" w:rsidP="00B57E6F">
      <w:pPr>
        <w:pStyle w:val="CETAddress"/>
        <w:rPr>
          <w:lang w:val="it-IT"/>
        </w:rPr>
      </w:pPr>
      <w:r w:rsidRPr="001F7C0C">
        <w:rPr>
          <w:lang w:val="it-IT"/>
        </w:rPr>
        <w:t>DEKRA Italia s.r.l., Process Safety Business Unit, Via Fratelli Gracchi 27, 20122 Cinisello Balsamo (MI)</w:t>
      </w:r>
    </w:p>
    <w:p w14:paraId="478CAC02" w14:textId="39A53E96" w:rsidR="00DB4841" w:rsidRPr="00753CA0" w:rsidRDefault="00DB4841" w:rsidP="00DB4841">
      <w:pPr>
        <w:pStyle w:val="CETAddress"/>
      </w:pPr>
      <w:r>
        <w:t>zahra</w:t>
      </w:r>
      <w:r w:rsidRPr="00753CA0">
        <w:t>.</w:t>
      </w:r>
      <w:r>
        <w:t>basiri</w:t>
      </w:r>
      <w:r w:rsidRPr="00753CA0">
        <w:t xml:space="preserve">@dekra.com </w:t>
      </w:r>
    </w:p>
    <w:p w14:paraId="73F1267A" w14:textId="7AAFAE2D" w:rsidR="00B57E6F" w:rsidRPr="00B57B36" w:rsidRDefault="00B57E6F" w:rsidP="00B57E6F">
      <w:pPr>
        <w:pStyle w:val="CETemail"/>
      </w:pPr>
    </w:p>
    <w:p w14:paraId="01A629BD" w14:textId="55B2ED2F" w:rsidR="00100EC9" w:rsidRDefault="00100EC9" w:rsidP="00100EC9">
      <w:pPr>
        <w:pStyle w:val="CETBodytext"/>
        <w:rPr>
          <w:lang w:val="en-GB"/>
        </w:rPr>
      </w:pPr>
      <w:bookmarkStart w:id="1" w:name="_Hlk495475023"/>
      <w:r w:rsidRPr="00100EC9">
        <w:rPr>
          <w:lang w:val="en-GB"/>
        </w:rPr>
        <w:t xml:space="preserve">Process Safety Management (PSM) is </w:t>
      </w:r>
      <w:r>
        <w:rPr>
          <w:lang w:val="en-GB"/>
        </w:rPr>
        <w:t>essential</w:t>
      </w:r>
      <w:r w:rsidRPr="00100EC9">
        <w:rPr>
          <w:lang w:val="en-GB"/>
        </w:rPr>
        <w:t xml:space="preserve"> for mitigating risks in high-hazard industries, </w:t>
      </w:r>
      <w:r w:rsidR="00766E34" w:rsidRPr="00766E34">
        <w:rPr>
          <w:lang w:val="en-GB"/>
        </w:rPr>
        <w:t>yet many organizations encounter challenges in implementation. DEKRA’s 7-workstream PSM model streamlines the CCPS 20-pillar framework, covering procedural, technical, and cultural areas</w:t>
      </w:r>
      <w:r w:rsidRPr="00100EC9">
        <w:rPr>
          <w:lang w:val="en-GB"/>
        </w:rPr>
        <w:t>.</w:t>
      </w:r>
      <w:r>
        <w:rPr>
          <w:lang w:val="en-GB"/>
        </w:rPr>
        <w:t xml:space="preserve"> </w:t>
      </w:r>
      <w:r w:rsidRPr="00100EC9">
        <w:rPr>
          <w:lang w:val="en-GB"/>
        </w:rPr>
        <w:t xml:space="preserve">Case studies of the DEKRA PSM model highlight common pitfalls, such as relying on irrelevant KPIs, ineffective risk assessment frameworks, and weak leadership and cultural management. Pre-implementation KPIs often focus on lagging indicators like incident reports and </w:t>
      </w:r>
      <w:r w:rsidR="00E54350">
        <w:rPr>
          <w:lang w:val="en-GB"/>
        </w:rPr>
        <w:t>regulations</w:t>
      </w:r>
      <w:r w:rsidRPr="00100EC9">
        <w:rPr>
          <w:lang w:val="en-GB"/>
        </w:rPr>
        <w:t xml:space="preserve">, which address past issues rather than preventing future risks. This approach overlooks leading indicators, such as near-miss reporting and hazard identification, which </w:t>
      </w:r>
      <w:r w:rsidRPr="00100EC9">
        <w:rPr>
          <w:lang w:val="en-GB"/>
        </w:rPr>
        <w:lastRenderedPageBreak/>
        <w:t>are crucial for anticipating potential risks.</w:t>
      </w:r>
      <w:r>
        <w:rPr>
          <w:lang w:val="en-GB"/>
        </w:rPr>
        <w:t xml:space="preserve"> </w:t>
      </w:r>
      <w:r w:rsidR="009A6929" w:rsidRPr="007546C3">
        <w:rPr>
          <w:lang w:val="en-GB"/>
        </w:rPr>
        <w:t>Improper</w:t>
      </w:r>
      <w:r w:rsidR="00E82E5E" w:rsidRPr="007546C3">
        <w:rPr>
          <w:lang w:val="en-GB"/>
        </w:rPr>
        <w:t xml:space="preserve"> risk assessment frameworks often miss hazard prioritization, leading to regulatory non-compliance and inconsistent safety performance</w:t>
      </w:r>
      <w:r w:rsidRPr="00100EC9">
        <w:rPr>
          <w:lang w:val="en-GB"/>
        </w:rPr>
        <w:t xml:space="preserve"> This can lead to regulatory non-compliance and an inability to </w:t>
      </w:r>
      <w:r w:rsidR="009923A7">
        <w:rPr>
          <w:lang w:val="en-GB"/>
        </w:rPr>
        <w:t>enhance</w:t>
      </w:r>
      <w:r w:rsidRPr="00100EC9">
        <w:rPr>
          <w:lang w:val="en-GB"/>
        </w:rPr>
        <w:t xml:space="preserve"> safety over time, increasing the risk of operational failures and incidents</w:t>
      </w:r>
      <w:r w:rsidR="00D56552" w:rsidRPr="007546C3">
        <w:rPr>
          <w:lang w:val="en-GB"/>
        </w:rPr>
        <w:t xml:space="preserve"> </w:t>
      </w:r>
      <w:r w:rsidR="00D56552" w:rsidRPr="00D56552">
        <w:rPr>
          <w:lang w:val="en-GB"/>
        </w:rPr>
        <w:t xml:space="preserve">Effective PSM requires strong leadership, </w:t>
      </w:r>
      <w:r w:rsidR="00257A5F">
        <w:rPr>
          <w:lang w:val="en-GB"/>
        </w:rPr>
        <w:t xml:space="preserve">and </w:t>
      </w:r>
      <w:r w:rsidR="00D56552" w:rsidRPr="00D56552">
        <w:rPr>
          <w:lang w:val="en-GB"/>
        </w:rPr>
        <w:t>resource allocation, and open communication to build a proactive safety culture, with psychological safety enabling employees to report risks without fear</w:t>
      </w:r>
      <w:r w:rsidRPr="00100EC9">
        <w:rPr>
          <w:lang w:val="en-GB"/>
        </w:rPr>
        <w:t xml:space="preserve">, </w:t>
      </w:r>
      <w:r w:rsidR="004771EA">
        <w:rPr>
          <w:lang w:val="en-GB"/>
        </w:rPr>
        <w:t xml:space="preserve">and </w:t>
      </w:r>
      <w:r w:rsidRPr="00100EC9">
        <w:rPr>
          <w:lang w:val="en-GB"/>
        </w:rPr>
        <w:t>ensuring continuous improvement and risk reduction.</w:t>
      </w:r>
      <w:r>
        <w:rPr>
          <w:lang w:val="en-GB"/>
        </w:rPr>
        <w:t xml:space="preserve"> </w:t>
      </w:r>
      <w:r w:rsidR="0015720B">
        <w:rPr>
          <w:lang w:val="en-GB"/>
        </w:rPr>
        <w:t>Organizations must take a holistic approach to PSM to overcome these challenges</w:t>
      </w:r>
      <w:r w:rsidRPr="00100EC9">
        <w:rPr>
          <w:lang w:val="en-GB"/>
        </w:rPr>
        <w:t xml:space="preserve">, aligning KPIs with continuous risk reassessment and avoiding reliance on completed PSM recommendations as the sole measure of success. </w:t>
      </w:r>
      <w:r w:rsidR="001E6B12" w:rsidRPr="00100EC9">
        <w:rPr>
          <w:lang w:val="en-GB"/>
        </w:rPr>
        <w:t>The increasing complexity of the process industry</w:t>
      </w:r>
      <w:r w:rsidRPr="00100EC9">
        <w:rPr>
          <w:lang w:val="en-GB"/>
        </w:rPr>
        <w:t xml:space="preserve"> calls for </w:t>
      </w:r>
      <w:r w:rsidR="002E7FD1">
        <w:rPr>
          <w:lang w:val="en-GB"/>
        </w:rPr>
        <w:t>inc</w:t>
      </w:r>
      <w:r w:rsidR="00627B41">
        <w:rPr>
          <w:lang w:val="en-GB"/>
        </w:rPr>
        <w:t>orporating</w:t>
      </w:r>
      <w:r w:rsidRPr="00100EC9">
        <w:rPr>
          <w:lang w:val="en-GB"/>
        </w:rPr>
        <w:t xml:space="preserve"> Artificial Intelligence (AI) and machine learning,</w:t>
      </w:r>
      <w:r w:rsidR="001E6B12">
        <w:rPr>
          <w:lang w:val="en-GB"/>
        </w:rPr>
        <w:t xml:space="preserve"> </w:t>
      </w:r>
      <w:r w:rsidR="001E6B12" w:rsidRPr="007546C3">
        <w:rPr>
          <w:lang w:val="en-GB"/>
        </w:rPr>
        <w:t xml:space="preserve">for accurate risk prediction and system </w:t>
      </w:r>
      <w:r w:rsidR="0031122D" w:rsidRPr="007546C3">
        <w:rPr>
          <w:lang w:val="en-GB"/>
        </w:rPr>
        <w:t xml:space="preserve">effectiveness </w:t>
      </w:r>
      <w:r w:rsidRPr="00100EC9">
        <w:rPr>
          <w:lang w:val="en-GB"/>
        </w:rPr>
        <w:t>of PSM systems.</w:t>
      </w:r>
    </w:p>
    <w:bookmarkEnd w:id="1"/>
    <w:p w14:paraId="476B2F2E" w14:textId="52B36035" w:rsidR="00600535" w:rsidRPr="00B57B36" w:rsidRDefault="00600535" w:rsidP="00600535">
      <w:pPr>
        <w:pStyle w:val="CETHeading1"/>
        <w:rPr>
          <w:lang w:val="en-GB"/>
        </w:rPr>
      </w:pPr>
      <w:r w:rsidRPr="00B57B36">
        <w:rPr>
          <w:lang w:val="en-GB"/>
        </w:rPr>
        <w:t>Introduction</w:t>
      </w:r>
    </w:p>
    <w:p w14:paraId="23F86FEF" w14:textId="7ABD79BB" w:rsidR="00600535" w:rsidRDefault="00CF78B3" w:rsidP="00600535">
      <w:pPr>
        <w:pStyle w:val="CETBodytext"/>
        <w:rPr>
          <w:lang w:val="en-GB"/>
        </w:rPr>
      </w:pPr>
      <w:r w:rsidRPr="00CF78B3">
        <w:rPr>
          <w:lang w:val="en-GB"/>
        </w:rPr>
        <w:t>Process Safety Management (PSM) is a structured approach aimed at preventing accidents and managing the risks associated with complex industrial processes. Although numerous PSM frameworks are available, organizations frequently encounter obstacles in effectively assessing and implementing PSM systems. These challenges often stem from procedural inefficiencies, poorly designed risk assessment methodologies, and weak cultural support within the organization.</w:t>
      </w:r>
      <w:r w:rsidR="004C7943">
        <w:rPr>
          <w:lang w:val="en-GB"/>
        </w:rPr>
        <w:t xml:space="preserve"> </w:t>
      </w:r>
      <w:r w:rsidRPr="00CF78B3">
        <w:rPr>
          <w:lang w:val="en-GB"/>
        </w:rPr>
        <w:t>Through an in-depth analysis of case studies where DEKRA's 7-workstream PSM model was applied, this article explores common pitfalls and provides actionable insights to help organizations strengthen their PSM frameworks.</w:t>
      </w:r>
      <w:r w:rsidR="00600535" w:rsidRPr="00FA5F5F">
        <w:rPr>
          <w:lang w:val="en-GB"/>
        </w:rPr>
        <w:t xml:space="preserve"> </w:t>
      </w:r>
    </w:p>
    <w:p w14:paraId="61A9B77A" w14:textId="6C2421B1" w:rsidR="00600535" w:rsidRPr="007546C3" w:rsidRDefault="004A3899" w:rsidP="00FA5F5F">
      <w:pPr>
        <w:pStyle w:val="CETheadingx"/>
        <w:rPr>
          <w:lang w:val="en-GB"/>
        </w:rPr>
      </w:pPr>
      <w:r w:rsidRPr="007546C3">
        <w:rPr>
          <w:lang w:val="en-GB"/>
        </w:rPr>
        <w:lastRenderedPageBreak/>
        <w:t xml:space="preserve">DEKRA’s Process Safety Management Model </w:t>
      </w:r>
    </w:p>
    <w:p w14:paraId="655C3CAF" w14:textId="39EC81A9" w:rsidR="00B2207A" w:rsidRDefault="00944D77" w:rsidP="00B2207A">
      <w:pPr>
        <w:pStyle w:val="CETBodytext"/>
        <w:rPr>
          <w:lang w:val="en-GB"/>
        </w:rPr>
      </w:pPr>
      <w:r>
        <w:rPr>
          <w:lang w:val="en-GB"/>
        </w:rPr>
        <w:t>To have and guide a systematic PSM, there are various frameworks such as</w:t>
      </w:r>
      <w:r w:rsidR="00B2207A">
        <w:rPr>
          <w:lang w:val="en-GB"/>
        </w:rPr>
        <w:t>:</w:t>
      </w:r>
      <w:r>
        <w:rPr>
          <w:lang w:val="en-GB"/>
        </w:rPr>
        <w:t xml:space="preserve"> </w:t>
      </w:r>
    </w:p>
    <w:p w14:paraId="462B49FC" w14:textId="3D24230E" w:rsidR="006F6839" w:rsidRPr="00B2207A" w:rsidRDefault="00944D77" w:rsidP="00B2207A">
      <w:pPr>
        <w:pStyle w:val="CETBodytext"/>
        <w:numPr>
          <w:ilvl w:val="0"/>
          <w:numId w:val="25"/>
        </w:numPr>
        <w:rPr>
          <w:lang w:val="en-GB"/>
        </w:rPr>
      </w:pPr>
      <w:r>
        <w:rPr>
          <w:lang w:val="en-GB"/>
        </w:rPr>
        <w:t>OSHA PSM</w:t>
      </w:r>
      <w:r w:rsidR="00B2207A">
        <w:rPr>
          <w:lang w:val="en-GB"/>
        </w:rPr>
        <w:t xml:space="preserve"> standard </w:t>
      </w:r>
      <w:r w:rsidR="00B2207A" w:rsidRPr="007546C3">
        <w:rPr>
          <w:lang w:val="en-GB"/>
        </w:rPr>
        <w:t>outlined in 29 CFR 1910.119. This standard has 14 key elements aimed at controlling highly hazardous chemicals</w:t>
      </w:r>
      <w:r w:rsidR="00A26604">
        <w:rPr>
          <w:lang w:val="en-GB"/>
        </w:rPr>
        <w:t xml:space="preserve"> </w:t>
      </w:r>
      <w:sdt>
        <w:sdtPr>
          <w:rPr>
            <w:lang w:val="en-GB"/>
          </w:rPr>
          <w:id w:val="379527780"/>
          <w:citation/>
        </w:sdtPr>
        <w:sdtEndPr/>
        <w:sdtContent>
          <w:r w:rsidR="00CD6EC6">
            <w:rPr>
              <w:lang w:val="en-GB"/>
            </w:rPr>
            <w:fldChar w:fldCharType="begin"/>
          </w:r>
          <w:r w:rsidR="00CD6EC6" w:rsidRPr="00926190">
            <w:instrText xml:space="preserve"> CITATION USD \l 1040 </w:instrText>
          </w:r>
          <w:r w:rsidR="00CD6EC6">
            <w:rPr>
              <w:lang w:val="en-GB"/>
            </w:rPr>
            <w:fldChar w:fldCharType="separate"/>
          </w:r>
          <w:r w:rsidR="000D08AD" w:rsidRPr="000D08AD">
            <w:rPr>
              <w:noProof/>
            </w:rPr>
            <w:t>(U.S. Department of Labor, 1992)</w:t>
          </w:r>
          <w:r w:rsidR="00CD6EC6">
            <w:rPr>
              <w:lang w:val="en-GB"/>
            </w:rPr>
            <w:fldChar w:fldCharType="end"/>
          </w:r>
        </w:sdtContent>
      </w:sdt>
      <w:r w:rsidR="00926190">
        <w:rPr>
          <w:lang w:val="en-GB"/>
        </w:rPr>
        <w:t>.</w:t>
      </w:r>
      <w:r w:rsidR="00B2207A" w:rsidRPr="007546C3">
        <w:rPr>
          <w:lang w:val="en-GB"/>
        </w:rPr>
        <w:t xml:space="preserve"> </w:t>
      </w:r>
    </w:p>
    <w:p w14:paraId="1D4AD1B1" w14:textId="09E01386" w:rsidR="00B2207A" w:rsidRPr="007A0279" w:rsidRDefault="00AC0100" w:rsidP="00B2207A">
      <w:pPr>
        <w:pStyle w:val="CETBodytext"/>
        <w:numPr>
          <w:ilvl w:val="0"/>
          <w:numId w:val="25"/>
        </w:numPr>
        <w:rPr>
          <w:lang w:val="en-GB"/>
        </w:rPr>
      </w:pPr>
      <w:r>
        <w:rPr>
          <w:lang w:val="en-GB"/>
        </w:rPr>
        <w:t xml:space="preserve">Seveso </w:t>
      </w:r>
      <w:r w:rsidR="007A0279">
        <w:rPr>
          <w:lang w:val="en-GB"/>
        </w:rPr>
        <w:t xml:space="preserve">directive Safety Management system </w:t>
      </w:r>
      <w:r w:rsidR="007A0279" w:rsidRPr="007546C3">
        <w:rPr>
          <w:lang w:val="en-GB"/>
        </w:rPr>
        <w:t xml:space="preserve">is </w:t>
      </w:r>
      <w:proofErr w:type="gramStart"/>
      <w:r w:rsidR="007A0279" w:rsidRPr="007546C3">
        <w:rPr>
          <w:lang w:val="en-GB"/>
        </w:rPr>
        <w:t>similar to</w:t>
      </w:r>
      <w:proofErr w:type="gramEnd"/>
      <w:r w:rsidR="007A0279" w:rsidRPr="007546C3">
        <w:rPr>
          <w:lang w:val="en-GB"/>
        </w:rPr>
        <w:t xml:space="preserve"> OSHA’s Process Safety Management system but is more extensive, as it also addresses environmental protection and public safety. The </w:t>
      </w:r>
      <w:r w:rsidR="004154AF">
        <w:rPr>
          <w:lang w:val="en-GB"/>
        </w:rPr>
        <w:t>PS</w:t>
      </w:r>
      <w:r w:rsidR="007A0279" w:rsidRPr="007546C3">
        <w:rPr>
          <w:lang w:val="en-GB"/>
        </w:rPr>
        <w:t>M</w:t>
      </w:r>
      <w:r w:rsidR="004154AF">
        <w:rPr>
          <w:lang w:val="en-GB"/>
        </w:rPr>
        <w:t xml:space="preserve"> system</w:t>
      </w:r>
      <w:r w:rsidR="007A0279" w:rsidRPr="007546C3">
        <w:rPr>
          <w:lang w:val="en-GB"/>
        </w:rPr>
        <w:t xml:space="preserve"> in SEVESO is built around 10 key elements align</w:t>
      </w:r>
      <w:r w:rsidR="00916706">
        <w:rPr>
          <w:lang w:val="en-GB"/>
        </w:rPr>
        <w:t>ed</w:t>
      </w:r>
      <w:r w:rsidR="007A0279" w:rsidRPr="007546C3">
        <w:rPr>
          <w:lang w:val="en-GB"/>
        </w:rPr>
        <w:t xml:space="preserve"> with European regulations and the specific requirements of the SEVESO Directive.</w:t>
      </w:r>
      <w:sdt>
        <w:sdtPr>
          <w:rPr>
            <w:lang w:val="en-GB"/>
          </w:rPr>
          <w:id w:val="1957601224"/>
          <w:citation/>
        </w:sdtPr>
        <w:sdtEndPr/>
        <w:sdtContent>
          <w:r w:rsidR="00926190">
            <w:rPr>
              <w:lang w:val="en-GB"/>
            </w:rPr>
            <w:fldChar w:fldCharType="begin"/>
          </w:r>
          <w:r w:rsidR="00193CA2">
            <w:instrText xml:space="preserve">CITATION Eur12 \l 1040 </w:instrText>
          </w:r>
          <w:r w:rsidR="00926190">
            <w:rPr>
              <w:lang w:val="en-GB"/>
            </w:rPr>
            <w:fldChar w:fldCharType="separate"/>
          </w:r>
          <w:r w:rsidR="000D08AD">
            <w:rPr>
              <w:noProof/>
            </w:rPr>
            <w:t xml:space="preserve"> </w:t>
          </w:r>
          <w:r w:rsidR="000D08AD" w:rsidRPr="000D08AD">
            <w:rPr>
              <w:noProof/>
            </w:rPr>
            <w:t>((Seveso), 2012)</w:t>
          </w:r>
          <w:r w:rsidR="00926190">
            <w:rPr>
              <w:lang w:val="en-GB"/>
            </w:rPr>
            <w:fldChar w:fldCharType="end"/>
          </w:r>
        </w:sdtContent>
      </w:sdt>
    </w:p>
    <w:p w14:paraId="37408E36" w14:textId="59BE1EC0" w:rsidR="007A0279" w:rsidRPr="00CD62E8" w:rsidRDefault="00CD62E8" w:rsidP="00B2207A">
      <w:pPr>
        <w:pStyle w:val="CETBodytext"/>
        <w:numPr>
          <w:ilvl w:val="0"/>
          <w:numId w:val="25"/>
        </w:numPr>
        <w:rPr>
          <w:lang w:val="en-GB"/>
        </w:rPr>
      </w:pPr>
      <w:r>
        <w:rPr>
          <w:lang w:val="en-GB"/>
        </w:rPr>
        <w:t xml:space="preserve">The </w:t>
      </w:r>
      <w:r w:rsidR="007A0279">
        <w:rPr>
          <w:lang w:val="en-GB"/>
        </w:rPr>
        <w:t xml:space="preserve">Energy </w:t>
      </w:r>
      <w:r>
        <w:rPr>
          <w:lang w:val="en-GB"/>
        </w:rPr>
        <w:t>Institute</w:t>
      </w:r>
      <w:r w:rsidR="007A0279">
        <w:rPr>
          <w:lang w:val="en-GB"/>
        </w:rPr>
        <w:t xml:space="preserve"> PSM system </w:t>
      </w:r>
      <w:r w:rsidRPr="007546C3">
        <w:rPr>
          <w:lang w:val="en-GB"/>
        </w:rPr>
        <w:t xml:space="preserve">is a comprehensive safety framework specifically designed for the energy sector, including oil, gas, and other energy-related industries. </w:t>
      </w:r>
      <w:r w:rsidR="00916706">
        <w:rPr>
          <w:lang w:val="en-GB"/>
        </w:rPr>
        <w:t>T</w:t>
      </w:r>
      <w:r w:rsidRPr="007546C3">
        <w:rPr>
          <w:lang w:val="en-GB"/>
        </w:rPr>
        <w:t xml:space="preserve">his </w:t>
      </w:r>
      <w:r w:rsidR="00253F1E" w:rsidRPr="007546C3">
        <w:rPr>
          <w:lang w:val="en-GB"/>
        </w:rPr>
        <w:t>framework</w:t>
      </w:r>
      <w:r w:rsidRPr="007546C3">
        <w:rPr>
          <w:lang w:val="en-GB"/>
        </w:rPr>
        <w:t xml:space="preserve"> consists of 20 key elements.</w:t>
      </w:r>
      <w:sdt>
        <w:sdtPr>
          <w:rPr>
            <w:lang w:val="en-GB"/>
          </w:rPr>
          <w:id w:val="-913624841"/>
          <w:citation/>
        </w:sdtPr>
        <w:sdtEndPr/>
        <w:sdtContent>
          <w:r w:rsidR="00926190">
            <w:rPr>
              <w:lang w:val="en-GB"/>
            </w:rPr>
            <w:fldChar w:fldCharType="begin"/>
          </w:r>
          <w:r w:rsidR="00453414">
            <w:instrText xml:space="preserve">CITATION Ins10 \l 1040 </w:instrText>
          </w:r>
          <w:r w:rsidR="00926190">
            <w:rPr>
              <w:lang w:val="en-GB"/>
            </w:rPr>
            <w:fldChar w:fldCharType="separate"/>
          </w:r>
          <w:r w:rsidR="000D08AD">
            <w:rPr>
              <w:noProof/>
            </w:rPr>
            <w:t xml:space="preserve"> </w:t>
          </w:r>
          <w:r w:rsidR="000D08AD" w:rsidRPr="000D08AD">
            <w:rPr>
              <w:noProof/>
            </w:rPr>
            <w:t>(Energy Institute, 2010)</w:t>
          </w:r>
          <w:r w:rsidR="00926190">
            <w:rPr>
              <w:lang w:val="en-GB"/>
            </w:rPr>
            <w:fldChar w:fldCharType="end"/>
          </w:r>
        </w:sdtContent>
      </w:sdt>
      <w:r w:rsidRPr="007546C3">
        <w:rPr>
          <w:lang w:val="en-GB"/>
        </w:rPr>
        <w:t xml:space="preserve"> </w:t>
      </w:r>
    </w:p>
    <w:p w14:paraId="3BC66F8E" w14:textId="66B1BCBD" w:rsidR="00CD62E8" w:rsidRDefault="00CD62E8" w:rsidP="00B2207A">
      <w:pPr>
        <w:pStyle w:val="CETBodytext"/>
        <w:numPr>
          <w:ilvl w:val="0"/>
          <w:numId w:val="25"/>
        </w:numPr>
        <w:rPr>
          <w:lang w:val="en-GB"/>
        </w:rPr>
      </w:pPr>
      <w:r w:rsidRPr="00CD62E8">
        <w:rPr>
          <w:lang w:val="en-GB"/>
        </w:rPr>
        <w:t xml:space="preserve">The CCPS </w:t>
      </w:r>
      <w:r w:rsidR="00181B72" w:rsidRPr="00CD62E8">
        <w:rPr>
          <w:lang w:val="en-GB"/>
        </w:rPr>
        <w:t>(Center for Chemical Process Safety)</w:t>
      </w:r>
      <w:r w:rsidR="00181B72">
        <w:rPr>
          <w:lang w:val="en-GB"/>
        </w:rPr>
        <w:t xml:space="preserve"> </w:t>
      </w:r>
      <w:r w:rsidRPr="00CD62E8">
        <w:rPr>
          <w:lang w:val="en-GB"/>
        </w:rPr>
        <w:t xml:space="preserve">Model </w:t>
      </w:r>
      <w:r w:rsidR="00181B72">
        <w:rPr>
          <w:lang w:val="en-GB"/>
        </w:rPr>
        <w:t>is a</w:t>
      </w:r>
      <w:r w:rsidRPr="00CD62E8">
        <w:rPr>
          <w:lang w:val="en-GB"/>
        </w:rPr>
        <w:t xml:space="preserve"> comprehensive model with 20 pillars, focusing on a range of safety aspects from risk analysis to emergency preparedness</w:t>
      </w:r>
      <w:r w:rsidR="00926190">
        <w:rPr>
          <w:lang w:val="en-GB"/>
        </w:rPr>
        <w:t xml:space="preserve"> </w:t>
      </w:r>
      <w:sdt>
        <w:sdtPr>
          <w:rPr>
            <w:lang w:val="en-GB"/>
          </w:rPr>
          <w:id w:val="-1626995438"/>
          <w:citation/>
        </w:sdtPr>
        <w:sdtEndPr/>
        <w:sdtContent>
          <w:r w:rsidR="00926190">
            <w:rPr>
              <w:lang w:val="en-GB"/>
            </w:rPr>
            <w:fldChar w:fldCharType="begin"/>
          </w:r>
          <w:r w:rsidR="00926190" w:rsidRPr="00926190">
            <w:instrText xml:space="preserve"> CITATION Cen07 \l 1040 </w:instrText>
          </w:r>
          <w:r w:rsidR="00926190">
            <w:rPr>
              <w:lang w:val="en-GB"/>
            </w:rPr>
            <w:fldChar w:fldCharType="separate"/>
          </w:r>
          <w:r w:rsidR="000D08AD" w:rsidRPr="000D08AD">
            <w:rPr>
              <w:noProof/>
            </w:rPr>
            <w:t>((CCPS), 2007)</w:t>
          </w:r>
          <w:r w:rsidR="00926190">
            <w:rPr>
              <w:lang w:val="en-GB"/>
            </w:rPr>
            <w:fldChar w:fldCharType="end"/>
          </w:r>
        </w:sdtContent>
      </w:sdt>
      <w:r w:rsidRPr="00CD62E8">
        <w:rPr>
          <w:lang w:val="en-GB"/>
        </w:rPr>
        <w:t>.</w:t>
      </w:r>
    </w:p>
    <w:p w14:paraId="5246036C" w14:textId="396F2B49" w:rsidR="00F208AF" w:rsidRDefault="008F139D" w:rsidP="00B47E39">
      <w:pPr>
        <w:pStyle w:val="CETBodytext"/>
        <w:ind w:left="360"/>
        <w:rPr>
          <w:lang w:val="en-GB"/>
        </w:rPr>
      </w:pPr>
      <w:r w:rsidRPr="008F139D">
        <w:rPr>
          <w:lang w:val="en-GB"/>
        </w:rPr>
        <w:t xml:space="preserve">DEKRA’s model integrates these aiming for an efficient approach to PSM that prioritizes procedural, technical, and cultural factors. The model’s focus on simplification and actionable insights helps address </w:t>
      </w:r>
      <w:r w:rsidRPr="008706E9">
        <w:rPr>
          <w:lang w:val="en-GB"/>
        </w:rPr>
        <w:t xml:space="preserve">common issues in PSM, particularly around assessment and implementation gaps </w:t>
      </w:r>
      <w:r w:rsidR="00CF514A" w:rsidRPr="008706E9">
        <w:rPr>
          <w:lang w:val="en-GB"/>
        </w:rPr>
        <w:t>(</w:t>
      </w:r>
      <w:r w:rsidR="00253F1E" w:rsidRPr="008706E9">
        <w:rPr>
          <w:lang w:val="en-GB"/>
        </w:rPr>
        <w:fldChar w:fldCharType="begin"/>
      </w:r>
      <w:r w:rsidR="00253F1E" w:rsidRPr="008706E9">
        <w:rPr>
          <w:lang w:val="en-GB"/>
        </w:rPr>
        <w:instrText xml:space="preserve"> REF _Ref182297129 \h  \* MERGEFORMAT </w:instrText>
      </w:r>
      <w:r w:rsidR="00253F1E" w:rsidRPr="008706E9">
        <w:rPr>
          <w:lang w:val="en-GB"/>
        </w:rPr>
      </w:r>
      <w:r w:rsidR="00253F1E" w:rsidRPr="008706E9">
        <w:rPr>
          <w:lang w:val="en-GB"/>
        </w:rPr>
        <w:fldChar w:fldCharType="separate"/>
      </w:r>
      <w:r w:rsidR="00527ED7" w:rsidRPr="00527ED7">
        <w:rPr>
          <w:lang w:val="en-GB"/>
        </w:rPr>
        <w:t>Table 1</w:t>
      </w:r>
      <w:r w:rsidR="00253F1E" w:rsidRPr="008706E9">
        <w:rPr>
          <w:lang w:val="en-GB"/>
        </w:rPr>
        <w:fldChar w:fldCharType="end"/>
      </w:r>
      <w:r w:rsidR="00CF514A" w:rsidRPr="008706E9">
        <w:rPr>
          <w:lang w:val="en-GB"/>
        </w:rPr>
        <w:t>)</w:t>
      </w:r>
      <w:r w:rsidR="00253F1E" w:rsidRPr="008706E9">
        <w:rPr>
          <w:lang w:val="en-GB"/>
        </w:rPr>
        <w:t>.</w:t>
      </w:r>
    </w:p>
    <w:p w14:paraId="3521D91F" w14:textId="5B7D0FB2" w:rsidR="007E7217" w:rsidRPr="002153D2" w:rsidRDefault="007E7217" w:rsidP="002153D2">
      <w:pPr>
        <w:pStyle w:val="Caption"/>
        <w:keepNext/>
        <w:rPr>
          <w:b w:val="0"/>
          <w:bCs w:val="0"/>
          <w:i/>
          <w:color w:val="auto"/>
          <w:szCs w:val="20"/>
        </w:rPr>
      </w:pPr>
      <w:bookmarkStart w:id="2" w:name="_Ref182297129"/>
      <w:r w:rsidRPr="002153D2">
        <w:rPr>
          <w:b w:val="0"/>
          <w:bCs w:val="0"/>
          <w:i/>
          <w:color w:val="auto"/>
          <w:szCs w:val="20"/>
        </w:rPr>
        <w:t xml:space="preserve">Table </w:t>
      </w:r>
      <w:r w:rsidRPr="007546C3">
        <w:rPr>
          <w:b w:val="0"/>
          <w:i/>
          <w:color w:val="auto"/>
          <w:szCs w:val="20"/>
        </w:rPr>
        <w:fldChar w:fldCharType="begin"/>
      </w:r>
      <w:r w:rsidRPr="007546C3">
        <w:rPr>
          <w:b w:val="0"/>
          <w:i/>
          <w:color w:val="auto"/>
          <w:szCs w:val="20"/>
        </w:rPr>
        <w:instrText xml:space="preserve"> SEQ Table \* ARABIC </w:instrText>
      </w:r>
      <w:r w:rsidRPr="007546C3">
        <w:rPr>
          <w:b w:val="0"/>
          <w:i/>
          <w:color w:val="auto"/>
          <w:szCs w:val="20"/>
        </w:rPr>
        <w:fldChar w:fldCharType="separate"/>
      </w:r>
      <w:r w:rsidR="00527ED7">
        <w:rPr>
          <w:b w:val="0"/>
          <w:i/>
          <w:noProof/>
          <w:color w:val="auto"/>
          <w:szCs w:val="20"/>
        </w:rPr>
        <w:t>1</w:t>
      </w:r>
      <w:r w:rsidRPr="007546C3">
        <w:rPr>
          <w:b w:val="0"/>
          <w:i/>
          <w:color w:val="auto"/>
          <w:szCs w:val="20"/>
        </w:rPr>
        <w:fldChar w:fldCharType="end"/>
      </w:r>
      <w:bookmarkEnd w:id="2"/>
      <w:r w:rsidRPr="002153D2">
        <w:rPr>
          <w:b w:val="0"/>
          <w:bCs w:val="0"/>
          <w:i/>
          <w:color w:val="auto"/>
          <w:szCs w:val="20"/>
        </w:rPr>
        <w:t>: DEKRA’s 7-pillar framework</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4"/>
        <w:gridCol w:w="2691"/>
        <w:gridCol w:w="5812"/>
      </w:tblGrid>
      <w:tr w:rsidR="00A41711" w:rsidRPr="00B57B36" w14:paraId="0C464E28" w14:textId="77777777" w:rsidTr="002A2503">
        <w:tc>
          <w:tcPr>
            <w:tcW w:w="162" w:type="pct"/>
            <w:tcBorders>
              <w:top w:val="single" w:sz="12" w:space="0" w:color="008000"/>
              <w:bottom w:val="single" w:sz="6" w:space="0" w:color="008000"/>
            </w:tcBorders>
            <w:shd w:val="clear" w:color="auto" w:fill="FFFFFF"/>
          </w:tcPr>
          <w:p w14:paraId="28BAAE44" w14:textId="27D798EA" w:rsidR="00A41711" w:rsidRPr="007546C3" w:rsidRDefault="00A41711" w:rsidP="002A2503">
            <w:pPr>
              <w:pStyle w:val="CETBodytext"/>
              <w:jc w:val="left"/>
              <w:rPr>
                <w:sz w:val="16"/>
                <w:szCs w:val="18"/>
                <w:lang w:val="en-GB"/>
              </w:rPr>
            </w:pPr>
            <w:r w:rsidRPr="007546C3">
              <w:rPr>
                <w:sz w:val="16"/>
                <w:szCs w:val="18"/>
                <w:lang w:val="en-GB"/>
              </w:rPr>
              <w:t>#</w:t>
            </w:r>
          </w:p>
        </w:tc>
        <w:tc>
          <w:tcPr>
            <w:tcW w:w="1531" w:type="pct"/>
            <w:tcBorders>
              <w:top w:val="single" w:sz="12" w:space="0" w:color="008000"/>
              <w:bottom w:val="single" w:sz="6" w:space="0" w:color="008000"/>
            </w:tcBorders>
            <w:shd w:val="clear" w:color="auto" w:fill="FFFFFF"/>
          </w:tcPr>
          <w:p w14:paraId="1CBC35FB" w14:textId="74BA0D76" w:rsidR="00A41711" w:rsidRPr="007546C3" w:rsidRDefault="001604A2" w:rsidP="002A2503">
            <w:pPr>
              <w:pStyle w:val="CETBodytext"/>
              <w:jc w:val="left"/>
              <w:rPr>
                <w:sz w:val="16"/>
                <w:szCs w:val="18"/>
                <w:lang w:val="en-GB"/>
              </w:rPr>
            </w:pPr>
            <w:r>
              <w:rPr>
                <w:sz w:val="16"/>
                <w:szCs w:val="18"/>
                <w:lang w:val="en-GB"/>
              </w:rPr>
              <w:t>Workstream</w:t>
            </w:r>
          </w:p>
        </w:tc>
        <w:tc>
          <w:tcPr>
            <w:tcW w:w="3308" w:type="pct"/>
            <w:tcBorders>
              <w:top w:val="single" w:sz="12" w:space="0" w:color="008000"/>
              <w:bottom w:val="single" w:sz="6" w:space="0" w:color="008000"/>
            </w:tcBorders>
            <w:shd w:val="clear" w:color="auto" w:fill="FFFFFF"/>
          </w:tcPr>
          <w:p w14:paraId="7B6F9866" w14:textId="164673DD" w:rsidR="00A41711" w:rsidRPr="007546C3" w:rsidRDefault="00A41711">
            <w:pPr>
              <w:pStyle w:val="CETBodytext"/>
              <w:rPr>
                <w:sz w:val="16"/>
                <w:szCs w:val="18"/>
                <w:lang w:val="en-GB"/>
              </w:rPr>
            </w:pPr>
            <w:r w:rsidRPr="007546C3">
              <w:rPr>
                <w:sz w:val="16"/>
                <w:szCs w:val="18"/>
                <w:lang w:val="en-GB"/>
              </w:rPr>
              <w:t>CCPS E</w:t>
            </w:r>
            <w:r w:rsidR="002A2503" w:rsidRPr="007546C3">
              <w:rPr>
                <w:sz w:val="16"/>
                <w:szCs w:val="18"/>
                <w:lang w:val="en-GB"/>
              </w:rPr>
              <w:t>le</w:t>
            </w:r>
            <w:r w:rsidRPr="007546C3">
              <w:rPr>
                <w:sz w:val="16"/>
                <w:szCs w:val="18"/>
                <w:lang w:val="en-GB"/>
              </w:rPr>
              <w:t>ments</w:t>
            </w:r>
          </w:p>
        </w:tc>
      </w:tr>
      <w:tr w:rsidR="007E7217" w:rsidRPr="00B57B36" w14:paraId="76CF5644" w14:textId="77777777" w:rsidTr="002A2503">
        <w:tc>
          <w:tcPr>
            <w:tcW w:w="162" w:type="pct"/>
            <w:shd w:val="clear" w:color="auto" w:fill="FFFFFF"/>
          </w:tcPr>
          <w:p w14:paraId="003106E3" w14:textId="12754EAD" w:rsidR="007E7217" w:rsidRPr="007546C3" w:rsidRDefault="007E7217" w:rsidP="002A2503">
            <w:pPr>
              <w:pStyle w:val="CETBodytext"/>
              <w:jc w:val="left"/>
              <w:rPr>
                <w:sz w:val="16"/>
                <w:szCs w:val="18"/>
                <w:lang w:val="en-GB"/>
              </w:rPr>
            </w:pPr>
            <w:r w:rsidRPr="007546C3">
              <w:rPr>
                <w:sz w:val="16"/>
                <w:szCs w:val="18"/>
                <w:lang w:val="en-GB"/>
              </w:rPr>
              <w:lastRenderedPageBreak/>
              <w:t>1</w:t>
            </w:r>
          </w:p>
        </w:tc>
        <w:tc>
          <w:tcPr>
            <w:tcW w:w="1531" w:type="pct"/>
          </w:tcPr>
          <w:p w14:paraId="73E1E856" w14:textId="4B6107E5" w:rsidR="007E7217" w:rsidRPr="007546C3" w:rsidRDefault="007E7217" w:rsidP="002A2503">
            <w:pPr>
              <w:pStyle w:val="CETBodytext"/>
              <w:jc w:val="left"/>
              <w:rPr>
                <w:sz w:val="16"/>
                <w:szCs w:val="18"/>
                <w:lang w:val="en-GB"/>
              </w:rPr>
            </w:pPr>
            <w:r w:rsidRPr="007546C3">
              <w:rPr>
                <w:sz w:val="16"/>
                <w:szCs w:val="18"/>
                <w:lang w:val="en-GB"/>
              </w:rPr>
              <w:t>Competency</w:t>
            </w:r>
          </w:p>
        </w:tc>
        <w:tc>
          <w:tcPr>
            <w:tcW w:w="3308" w:type="pct"/>
          </w:tcPr>
          <w:p w14:paraId="17D21376" w14:textId="322EAA7F" w:rsidR="007E7217" w:rsidRPr="007546C3" w:rsidRDefault="007E7217" w:rsidP="007E7217">
            <w:pPr>
              <w:pStyle w:val="CETBodytext"/>
              <w:numPr>
                <w:ilvl w:val="0"/>
                <w:numId w:val="27"/>
              </w:numPr>
              <w:ind w:left="346" w:right="957"/>
              <w:rPr>
                <w:sz w:val="16"/>
                <w:szCs w:val="18"/>
                <w:lang w:val="en-GB"/>
              </w:rPr>
            </w:pPr>
            <w:r w:rsidRPr="007546C3">
              <w:rPr>
                <w:sz w:val="16"/>
                <w:szCs w:val="18"/>
                <w:lang w:val="en-GB"/>
              </w:rPr>
              <w:t>Compliance with standards</w:t>
            </w:r>
          </w:p>
          <w:p w14:paraId="71415BEC" w14:textId="3D138DAB" w:rsidR="007E7217" w:rsidRPr="007546C3" w:rsidRDefault="007E7217" w:rsidP="007E7217">
            <w:pPr>
              <w:pStyle w:val="CETBodytext"/>
              <w:numPr>
                <w:ilvl w:val="0"/>
                <w:numId w:val="27"/>
              </w:numPr>
              <w:ind w:left="346" w:right="957"/>
              <w:rPr>
                <w:sz w:val="16"/>
                <w:szCs w:val="18"/>
                <w:lang w:val="en-GB"/>
              </w:rPr>
            </w:pPr>
            <w:r w:rsidRPr="007546C3">
              <w:rPr>
                <w:sz w:val="16"/>
                <w:szCs w:val="18"/>
                <w:lang w:val="en-GB"/>
              </w:rPr>
              <w:t>Process knowledge management</w:t>
            </w:r>
          </w:p>
          <w:p w14:paraId="5004B761" w14:textId="16545A29" w:rsidR="002A2503" w:rsidRPr="007546C3" w:rsidRDefault="007E7217" w:rsidP="002A2503">
            <w:pPr>
              <w:pStyle w:val="CETBodytext"/>
              <w:numPr>
                <w:ilvl w:val="0"/>
                <w:numId w:val="27"/>
              </w:numPr>
              <w:ind w:left="346" w:right="957"/>
              <w:rPr>
                <w:sz w:val="16"/>
                <w:szCs w:val="18"/>
                <w:lang w:val="en-GB"/>
              </w:rPr>
            </w:pPr>
            <w:r w:rsidRPr="007546C3">
              <w:rPr>
                <w:sz w:val="16"/>
                <w:szCs w:val="18"/>
                <w:lang w:val="en-GB"/>
              </w:rPr>
              <w:t>Process safety competency</w:t>
            </w:r>
          </w:p>
          <w:p w14:paraId="5C4FB944" w14:textId="77777777" w:rsidR="00F208AF" w:rsidRPr="007546C3" w:rsidRDefault="007E7217" w:rsidP="002A2503">
            <w:pPr>
              <w:pStyle w:val="CETBodytext"/>
              <w:numPr>
                <w:ilvl w:val="0"/>
                <w:numId w:val="27"/>
              </w:numPr>
              <w:ind w:left="346" w:right="957"/>
              <w:rPr>
                <w:sz w:val="16"/>
                <w:szCs w:val="18"/>
                <w:lang w:val="en-GB"/>
              </w:rPr>
            </w:pPr>
            <w:r w:rsidRPr="007546C3">
              <w:rPr>
                <w:sz w:val="16"/>
                <w:szCs w:val="18"/>
                <w:lang w:val="en-GB"/>
              </w:rPr>
              <w:t>Training and Performance Assurance</w:t>
            </w:r>
          </w:p>
          <w:p w14:paraId="3C9B1C16" w14:textId="7C7FDB15" w:rsidR="007E7217" w:rsidRPr="007546C3" w:rsidRDefault="007E7217" w:rsidP="002A2503">
            <w:pPr>
              <w:pStyle w:val="CETBodytext"/>
              <w:ind w:right="957"/>
              <w:rPr>
                <w:sz w:val="16"/>
                <w:szCs w:val="18"/>
                <w:lang w:val="en-GB"/>
              </w:rPr>
            </w:pPr>
          </w:p>
        </w:tc>
      </w:tr>
      <w:tr w:rsidR="007E7217" w:rsidRPr="00B57B36" w14:paraId="58FF85CD" w14:textId="77777777" w:rsidTr="002A2503">
        <w:tc>
          <w:tcPr>
            <w:tcW w:w="162" w:type="pct"/>
            <w:shd w:val="clear" w:color="auto" w:fill="FFFFFF"/>
          </w:tcPr>
          <w:p w14:paraId="0B2D550F" w14:textId="3957F5BA" w:rsidR="007E7217" w:rsidRPr="007546C3" w:rsidRDefault="007E7217" w:rsidP="002A2503">
            <w:pPr>
              <w:pStyle w:val="CETBodytext"/>
              <w:jc w:val="left"/>
              <w:rPr>
                <w:sz w:val="16"/>
                <w:szCs w:val="18"/>
                <w:lang w:val="en-GB"/>
              </w:rPr>
            </w:pPr>
            <w:r w:rsidRPr="007546C3">
              <w:rPr>
                <w:sz w:val="16"/>
                <w:szCs w:val="18"/>
                <w:lang w:val="en-GB"/>
              </w:rPr>
              <w:t>2</w:t>
            </w:r>
          </w:p>
        </w:tc>
        <w:tc>
          <w:tcPr>
            <w:tcW w:w="1531" w:type="pct"/>
          </w:tcPr>
          <w:p w14:paraId="6524D8B8" w14:textId="6478A95E" w:rsidR="007E7217" w:rsidRPr="007546C3" w:rsidRDefault="007E7217" w:rsidP="002A2503">
            <w:pPr>
              <w:pStyle w:val="CETBodytext"/>
              <w:jc w:val="left"/>
              <w:rPr>
                <w:sz w:val="16"/>
                <w:szCs w:val="18"/>
                <w:lang w:val="en-GB"/>
              </w:rPr>
            </w:pPr>
            <w:r w:rsidRPr="007546C3">
              <w:rPr>
                <w:sz w:val="16"/>
                <w:szCs w:val="18"/>
                <w:lang w:val="en-GB"/>
              </w:rPr>
              <w:t>Incident Response</w:t>
            </w:r>
          </w:p>
        </w:tc>
        <w:tc>
          <w:tcPr>
            <w:tcW w:w="3308" w:type="pct"/>
          </w:tcPr>
          <w:p w14:paraId="533BDC6C" w14:textId="7D21D77A" w:rsidR="007E7217" w:rsidRPr="007546C3" w:rsidRDefault="007E7217" w:rsidP="007E7217">
            <w:pPr>
              <w:pStyle w:val="CETBodytext"/>
              <w:numPr>
                <w:ilvl w:val="0"/>
                <w:numId w:val="28"/>
              </w:numPr>
              <w:ind w:left="346"/>
              <w:rPr>
                <w:sz w:val="16"/>
                <w:szCs w:val="18"/>
                <w:lang w:val="en-GB"/>
              </w:rPr>
            </w:pPr>
            <w:r w:rsidRPr="007546C3">
              <w:rPr>
                <w:sz w:val="16"/>
                <w:szCs w:val="18"/>
                <w:lang w:val="en-GB"/>
              </w:rPr>
              <w:t>Stakeholder Outreach</w:t>
            </w:r>
          </w:p>
          <w:p w14:paraId="35574933" w14:textId="63924304" w:rsidR="002A2503" w:rsidRPr="007546C3" w:rsidRDefault="007E7217" w:rsidP="002A2503">
            <w:pPr>
              <w:pStyle w:val="CETBodytext"/>
              <w:numPr>
                <w:ilvl w:val="0"/>
                <w:numId w:val="28"/>
              </w:numPr>
              <w:ind w:left="346"/>
              <w:rPr>
                <w:sz w:val="16"/>
                <w:szCs w:val="18"/>
                <w:lang w:val="en-GB"/>
              </w:rPr>
            </w:pPr>
            <w:r w:rsidRPr="007546C3">
              <w:rPr>
                <w:sz w:val="16"/>
                <w:szCs w:val="18"/>
                <w:lang w:val="en-GB"/>
              </w:rPr>
              <w:t>Emergency Management</w:t>
            </w:r>
          </w:p>
          <w:p w14:paraId="467FD561" w14:textId="77777777" w:rsidR="00F208AF" w:rsidRPr="007546C3" w:rsidRDefault="007E7217" w:rsidP="002A2503">
            <w:pPr>
              <w:pStyle w:val="CETBodytext"/>
              <w:numPr>
                <w:ilvl w:val="0"/>
                <w:numId w:val="28"/>
              </w:numPr>
              <w:ind w:left="346"/>
              <w:rPr>
                <w:sz w:val="16"/>
                <w:szCs w:val="18"/>
                <w:lang w:val="en-GB"/>
              </w:rPr>
            </w:pPr>
            <w:r w:rsidRPr="007546C3">
              <w:rPr>
                <w:sz w:val="16"/>
                <w:szCs w:val="18"/>
                <w:lang w:val="en-GB"/>
              </w:rPr>
              <w:t>Incident Investigation</w:t>
            </w:r>
          </w:p>
          <w:p w14:paraId="519AF47E" w14:textId="1F0C48F3" w:rsidR="007E7217" w:rsidRPr="007546C3" w:rsidRDefault="007E7217" w:rsidP="007E7217">
            <w:pPr>
              <w:pStyle w:val="CETBodytext"/>
              <w:rPr>
                <w:sz w:val="16"/>
                <w:szCs w:val="18"/>
                <w:lang w:val="en-GB"/>
              </w:rPr>
            </w:pPr>
          </w:p>
        </w:tc>
      </w:tr>
      <w:tr w:rsidR="007E7217" w:rsidRPr="00B57B36" w14:paraId="1E85E451" w14:textId="77777777" w:rsidTr="002A2503">
        <w:tc>
          <w:tcPr>
            <w:tcW w:w="162" w:type="pct"/>
            <w:shd w:val="clear" w:color="auto" w:fill="FFFFFF"/>
          </w:tcPr>
          <w:p w14:paraId="4ABB49F9" w14:textId="7E7AA0DB" w:rsidR="007E7217" w:rsidRPr="007546C3" w:rsidRDefault="007E7217" w:rsidP="002A2503">
            <w:pPr>
              <w:pStyle w:val="CETBodytext"/>
              <w:jc w:val="left"/>
              <w:rPr>
                <w:sz w:val="16"/>
                <w:szCs w:val="18"/>
                <w:lang w:val="en-GB"/>
              </w:rPr>
            </w:pPr>
            <w:r w:rsidRPr="007546C3">
              <w:rPr>
                <w:sz w:val="16"/>
                <w:szCs w:val="18"/>
                <w:lang w:val="en-GB"/>
              </w:rPr>
              <w:t>3</w:t>
            </w:r>
          </w:p>
        </w:tc>
        <w:tc>
          <w:tcPr>
            <w:tcW w:w="1531" w:type="pct"/>
          </w:tcPr>
          <w:p w14:paraId="0E11C2B5" w14:textId="04065870" w:rsidR="007E7217" w:rsidRPr="007546C3" w:rsidRDefault="007E7217" w:rsidP="002A2503">
            <w:pPr>
              <w:pStyle w:val="CETBodytext"/>
              <w:jc w:val="left"/>
              <w:rPr>
                <w:sz w:val="16"/>
                <w:szCs w:val="18"/>
                <w:lang w:val="en-GB"/>
              </w:rPr>
            </w:pPr>
            <w:r w:rsidRPr="007546C3">
              <w:rPr>
                <w:sz w:val="16"/>
                <w:szCs w:val="18"/>
                <w:lang w:val="en-GB"/>
              </w:rPr>
              <w:t>Risk Management</w:t>
            </w:r>
          </w:p>
        </w:tc>
        <w:tc>
          <w:tcPr>
            <w:tcW w:w="3308" w:type="pct"/>
          </w:tcPr>
          <w:p w14:paraId="0F9ADA50" w14:textId="77777777" w:rsidR="00A41711" w:rsidRPr="007546C3" w:rsidRDefault="007E7217" w:rsidP="002A2503">
            <w:pPr>
              <w:pStyle w:val="CETBodytext"/>
              <w:numPr>
                <w:ilvl w:val="0"/>
                <w:numId w:val="29"/>
              </w:numPr>
              <w:ind w:left="346"/>
              <w:rPr>
                <w:sz w:val="16"/>
                <w:szCs w:val="18"/>
                <w:lang w:val="en-GB"/>
              </w:rPr>
            </w:pPr>
            <w:r w:rsidRPr="007546C3">
              <w:rPr>
                <w:sz w:val="16"/>
                <w:szCs w:val="18"/>
                <w:lang w:val="en-GB"/>
              </w:rPr>
              <w:t>Hazard Identification and Risk Analysis</w:t>
            </w:r>
          </w:p>
          <w:p w14:paraId="5A6746C9" w14:textId="4E2AD716" w:rsidR="007E7217" w:rsidRPr="007546C3" w:rsidRDefault="007E7217" w:rsidP="007E7217">
            <w:pPr>
              <w:pStyle w:val="CETBodytext"/>
              <w:rPr>
                <w:sz w:val="16"/>
                <w:szCs w:val="18"/>
                <w:lang w:val="en-GB"/>
              </w:rPr>
            </w:pPr>
          </w:p>
        </w:tc>
      </w:tr>
      <w:tr w:rsidR="007E7217" w:rsidRPr="00B57B36" w14:paraId="4AD9EC3E" w14:textId="77777777" w:rsidTr="002A2503">
        <w:tc>
          <w:tcPr>
            <w:tcW w:w="162" w:type="pct"/>
            <w:shd w:val="clear" w:color="auto" w:fill="FFFFFF"/>
          </w:tcPr>
          <w:p w14:paraId="7339AD4C" w14:textId="4179EBEB" w:rsidR="007E7217" w:rsidRPr="007546C3" w:rsidRDefault="007E7217" w:rsidP="002A2503">
            <w:pPr>
              <w:pStyle w:val="CETBodytext"/>
              <w:jc w:val="left"/>
              <w:rPr>
                <w:sz w:val="16"/>
                <w:szCs w:val="18"/>
                <w:lang w:val="en-GB"/>
              </w:rPr>
            </w:pPr>
            <w:r w:rsidRPr="007546C3">
              <w:rPr>
                <w:sz w:val="16"/>
                <w:szCs w:val="18"/>
                <w:lang w:val="en-GB"/>
              </w:rPr>
              <w:t>4</w:t>
            </w:r>
          </w:p>
        </w:tc>
        <w:tc>
          <w:tcPr>
            <w:tcW w:w="1531" w:type="pct"/>
          </w:tcPr>
          <w:p w14:paraId="06BA3639" w14:textId="027B79A3" w:rsidR="007E7217" w:rsidRPr="007546C3" w:rsidRDefault="007E7217" w:rsidP="002A2503">
            <w:pPr>
              <w:pStyle w:val="CETBodytext"/>
              <w:jc w:val="left"/>
              <w:rPr>
                <w:sz w:val="16"/>
                <w:szCs w:val="18"/>
                <w:lang w:val="en-GB"/>
              </w:rPr>
            </w:pPr>
            <w:r w:rsidRPr="007546C3">
              <w:rPr>
                <w:sz w:val="16"/>
                <w:szCs w:val="18"/>
                <w:lang w:val="en-GB"/>
              </w:rPr>
              <w:t>Asset Integrity</w:t>
            </w:r>
          </w:p>
        </w:tc>
        <w:tc>
          <w:tcPr>
            <w:tcW w:w="3308" w:type="pct"/>
          </w:tcPr>
          <w:p w14:paraId="7C627034" w14:textId="434F87A7" w:rsidR="002A2503" w:rsidRPr="007546C3" w:rsidRDefault="007E7217" w:rsidP="002A2503">
            <w:pPr>
              <w:pStyle w:val="CETBodytext"/>
              <w:numPr>
                <w:ilvl w:val="0"/>
                <w:numId w:val="29"/>
              </w:numPr>
              <w:ind w:left="346"/>
              <w:rPr>
                <w:sz w:val="16"/>
                <w:szCs w:val="18"/>
                <w:lang w:val="en-GB"/>
              </w:rPr>
            </w:pPr>
            <w:r w:rsidRPr="007546C3">
              <w:rPr>
                <w:sz w:val="16"/>
                <w:szCs w:val="18"/>
                <w:lang w:val="en-GB"/>
              </w:rPr>
              <w:t>Asset Integrity and Reliability</w:t>
            </w:r>
          </w:p>
          <w:p w14:paraId="53327096" w14:textId="77777777" w:rsidR="00A41711" w:rsidRPr="007546C3" w:rsidRDefault="007E7217" w:rsidP="002A2503">
            <w:pPr>
              <w:pStyle w:val="CETBodytext"/>
              <w:numPr>
                <w:ilvl w:val="0"/>
                <w:numId w:val="29"/>
              </w:numPr>
              <w:ind w:left="346"/>
              <w:rPr>
                <w:sz w:val="16"/>
                <w:szCs w:val="18"/>
                <w:lang w:val="en-GB"/>
              </w:rPr>
            </w:pPr>
            <w:r w:rsidRPr="007546C3">
              <w:rPr>
                <w:sz w:val="16"/>
                <w:szCs w:val="18"/>
                <w:lang w:val="en-GB"/>
              </w:rPr>
              <w:t>Management of Change</w:t>
            </w:r>
          </w:p>
          <w:p w14:paraId="30BED4B1" w14:textId="304FB1BD" w:rsidR="007E7217" w:rsidRPr="007546C3" w:rsidRDefault="007E7217" w:rsidP="007E7217">
            <w:pPr>
              <w:pStyle w:val="CETBodytext"/>
              <w:rPr>
                <w:sz w:val="16"/>
                <w:szCs w:val="18"/>
                <w:lang w:val="en-GB"/>
              </w:rPr>
            </w:pPr>
          </w:p>
        </w:tc>
      </w:tr>
      <w:tr w:rsidR="007E7217" w:rsidRPr="00B57B36" w14:paraId="56F56074" w14:textId="77777777" w:rsidTr="002A2503">
        <w:tc>
          <w:tcPr>
            <w:tcW w:w="162" w:type="pct"/>
            <w:shd w:val="clear" w:color="auto" w:fill="FFFFFF"/>
          </w:tcPr>
          <w:p w14:paraId="4854D0AE" w14:textId="7D5C61AC" w:rsidR="007E7217" w:rsidRPr="007546C3" w:rsidRDefault="007E7217" w:rsidP="002A2503">
            <w:pPr>
              <w:pStyle w:val="CETBodytext"/>
              <w:jc w:val="left"/>
              <w:rPr>
                <w:sz w:val="16"/>
                <w:szCs w:val="18"/>
                <w:lang w:val="en-GB"/>
              </w:rPr>
            </w:pPr>
            <w:r w:rsidRPr="007546C3">
              <w:rPr>
                <w:sz w:val="16"/>
                <w:szCs w:val="18"/>
                <w:lang w:val="en-GB"/>
              </w:rPr>
              <w:t>5</w:t>
            </w:r>
          </w:p>
        </w:tc>
        <w:tc>
          <w:tcPr>
            <w:tcW w:w="1531" w:type="pct"/>
          </w:tcPr>
          <w:p w14:paraId="78D67B79" w14:textId="55F6177D" w:rsidR="007E7217" w:rsidRPr="007546C3" w:rsidRDefault="007E7217" w:rsidP="002A2503">
            <w:pPr>
              <w:pStyle w:val="CETBodytext"/>
              <w:jc w:val="left"/>
              <w:rPr>
                <w:sz w:val="16"/>
                <w:szCs w:val="18"/>
                <w:lang w:val="en-GB"/>
              </w:rPr>
            </w:pPr>
            <w:r w:rsidRPr="007546C3">
              <w:rPr>
                <w:sz w:val="16"/>
                <w:szCs w:val="18"/>
                <w:lang w:val="en-GB"/>
              </w:rPr>
              <w:t>Accountability</w:t>
            </w:r>
          </w:p>
        </w:tc>
        <w:tc>
          <w:tcPr>
            <w:tcW w:w="3308" w:type="pct"/>
          </w:tcPr>
          <w:p w14:paraId="4D75948C" w14:textId="5D13F060" w:rsidR="007E7217" w:rsidRPr="007546C3" w:rsidRDefault="007E7217" w:rsidP="007E7217">
            <w:pPr>
              <w:pStyle w:val="CETBodytext"/>
              <w:numPr>
                <w:ilvl w:val="0"/>
                <w:numId w:val="30"/>
              </w:numPr>
              <w:ind w:left="346"/>
              <w:rPr>
                <w:sz w:val="16"/>
                <w:szCs w:val="18"/>
                <w:lang w:val="en-GB"/>
              </w:rPr>
            </w:pPr>
            <w:r w:rsidRPr="007546C3">
              <w:rPr>
                <w:sz w:val="16"/>
                <w:szCs w:val="18"/>
                <w:lang w:val="en-GB"/>
              </w:rPr>
              <w:t>Measurement and Metrics</w:t>
            </w:r>
          </w:p>
          <w:p w14:paraId="10752444" w14:textId="77777777" w:rsidR="002A2503" w:rsidRPr="007546C3" w:rsidRDefault="007E7217" w:rsidP="002A2503">
            <w:pPr>
              <w:pStyle w:val="CETBodytext"/>
              <w:numPr>
                <w:ilvl w:val="0"/>
                <w:numId w:val="30"/>
              </w:numPr>
              <w:ind w:left="346"/>
              <w:rPr>
                <w:sz w:val="16"/>
                <w:szCs w:val="18"/>
                <w:lang w:val="en-GB"/>
              </w:rPr>
            </w:pPr>
            <w:r w:rsidRPr="007546C3">
              <w:rPr>
                <w:sz w:val="16"/>
                <w:szCs w:val="18"/>
                <w:lang w:val="en-GB"/>
              </w:rPr>
              <w:t>Auditing</w:t>
            </w:r>
          </w:p>
          <w:p w14:paraId="19F26398" w14:textId="77777777" w:rsidR="00A41711" w:rsidRPr="007546C3" w:rsidRDefault="007E7217" w:rsidP="002A2503">
            <w:pPr>
              <w:pStyle w:val="CETBodytext"/>
              <w:numPr>
                <w:ilvl w:val="0"/>
                <w:numId w:val="30"/>
              </w:numPr>
              <w:ind w:left="346"/>
              <w:rPr>
                <w:sz w:val="16"/>
                <w:szCs w:val="18"/>
                <w:lang w:val="en-GB"/>
              </w:rPr>
            </w:pPr>
            <w:r w:rsidRPr="007546C3">
              <w:rPr>
                <w:sz w:val="16"/>
                <w:szCs w:val="18"/>
                <w:lang w:val="en-GB"/>
              </w:rPr>
              <w:t>Management Review and Continuous Improvement</w:t>
            </w:r>
          </w:p>
          <w:p w14:paraId="574BD01C" w14:textId="43F7B204" w:rsidR="007E7217" w:rsidRPr="007546C3" w:rsidRDefault="007E7217" w:rsidP="007E7217">
            <w:pPr>
              <w:pStyle w:val="CETBodytext"/>
              <w:rPr>
                <w:sz w:val="16"/>
                <w:szCs w:val="18"/>
                <w:lang w:val="en-GB"/>
              </w:rPr>
            </w:pPr>
          </w:p>
        </w:tc>
      </w:tr>
      <w:tr w:rsidR="007E7217" w:rsidRPr="00B57B36" w14:paraId="29D40CC3" w14:textId="77777777" w:rsidTr="002A2503">
        <w:tc>
          <w:tcPr>
            <w:tcW w:w="162" w:type="pct"/>
            <w:shd w:val="clear" w:color="auto" w:fill="FFFFFF"/>
          </w:tcPr>
          <w:p w14:paraId="763FC21E" w14:textId="46FA67B6" w:rsidR="007E7217" w:rsidRPr="007546C3" w:rsidRDefault="007E7217" w:rsidP="002A2503">
            <w:pPr>
              <w:pStyle w:val="CETBodytext"/>
              <w:jc w:val="left"/>
              <w:rPr>
                <w:sz w:val="16"/>
                <w:szCs w:val="18"/>
                <w:lang w:val="en-GB"/>
              </w:rPr>
            </w:pPr>
            <w:r w:rsidRPr="007546C3">
              <w:rPr>
                <w:sz w:val="16"/>
                <w:szCs w:val="18"/>
                <w:lang w:val="en-GB"/>
              </w:rPr>
              <w:t>6</w:t>
            </w:r>
          </w:p>
        </w:tc>
        <w:tc>
          <w:tcPr>
            <w:tcW w:w="1531" w:type="pct"/>
          </w:tcPr>
          <w:p w14:paraId="0706E8C5" w14:textId="5CEFF5DF" w:rsidR="007E7217" w:rsidRPr="007546C3" w:rsidRDefault="007E7217" w:rsidP="002A2503">
            <w:pPr>
              <w:pStyle w:val="CETBodytext"/>
              <w:jc w:val="left"/>
              <w:rPr>
                <w:sz w:val="16"/>
                <w:szCs w:val="18"/>
                <w:lang w:val="en-GB"/>
              </w:rPr>
            </w:pPr>
            <w:r w:rsidRPr="007546C3">
              <w:rPr>
                <w:sz w:val="16"/>
                <w:szCs w:val="18"/>
                <w:lang w:val="en-GB"/>
              </w:rPr>
              <w:t>Operations</w:t>
            </w:r>
          </w:p>
        </w:tc>
        <w:tc>
          <w:tcPr>
            <w:tcW w:w="3308" w:type="pct"/>
          </w:tcPr>
          <w:p w14:paraId="7B92A08E" w14:textId="5F3652D6" w:rsidR="007E7217" w:rsidRPr="007546C3" w:rsidRDefault="007E7217" w:rsidP="007E7217">
            <w:pPr>
              <w:pStyle w:val="CETBodytext"/>
              <w:numPr>
                <w:ilvl w:val="0"/>
                <w:numId w:val="31"/>
              </w:numPr>
              <w:ind w:left="346"/>
              <w:rPr>
                <w:sz w:val="16"/>
                <w:szCs w:val="18"/>
                <w:lang w:val="en-GB"/>
              </w:rPr>
            </w:pPr>
            <w:r w:rsidRPr="007546C3">
              <w:rPr>
                <w:sz w:val="16"/>
                <w:szCs w:val="18"/>
                <w:lang w:val="en-GB"/>
              </w:rPr>
              <w:t>Operating Procedure</w:t>
            </w:r>
          </w:p>
          <w:p w14:paraId="4326628B" w14:textId="4214C252" w:rsidR="007E7217" w:rsidRPr="007546C3" w:rsidRDefault="007E7217" w:rsidP="007E7217">
            <w:pPr>
              <w:pStyle w:val="CETBodytext"/>
              <w:numPr>
                <w:ilvl w:val="0"/>
                <w:numId w:val="31"/>
              </w:numPr>
              <w:ind w:left="346"/>
              <w:rPr>
                <w:sz w:val="16"/>
                <w:szCs w:val="18"/>
                <w:lang w:val="en-GB"/>
              </w:rPr>
            </w:pPr>
            <w:r w:rsidRPr="007546C3">
              <w:rPr>
                <w:sz w:val="16"/>
                <w:szCs w:val="18"/>
                <w:lang w:val="en-GB"/>
              </w:rPr>
              <w:t>Safe Work Practices</w:t>
            </w:r>
          </w:p>
          <w:p w14:paraId="557BB271" w14:textId="77777777" w:rsidR="007E7217" w:rsidRPr="007546C3" w:rsidRDefault="007E7217" w:rsidP="007E7217">
            <w:pPr>
              <w:pStyle w:val="CETBodytext"/>
              <w:numPr>
                <w:ilvl w:val="0"/>
                <w:numId w:val="31"/>
              </w:numPr>
              <w:ind w:left="346"/>
              <w:rPr>
                <w:sz w:val="16"/>
                <w:szCs w:val="18"/>
                <w:lang w:val="en-GB"/>
              </w:rPr>
            </w:pPr>
            <w:r w:rsidRPr="007546C3">
              <w:rPr>
                <w:sz w:val="16"/>
                <w:szCs w:val="18"/>
                <w:lang w:val="en-GB"/>
              </w:rPr>
              <w:t>Operational Readiness</w:t>
            </w:r>
          </w:p>
          <w:p w14:paraId="1FB22112" w14:textId="77777777" w:rsidR="00A41711" w:rsidRPr="007546C3" w:rsidRDefault="007E7217" w:rsidP="002A2503">
            <w:pPr>
              <w:pStyle w:val="CETBodytext"/>
              <w:numPr>
                <w:ilvl w:val="0"/>
                <w:numId w:val="31"/>
              </w:numPr>
              <w:ind w:left="346"/>
              <w:rPr>
                <w:sz w:val="16"/>
                <w:szCs w:val="18"/>
                <w:lang w:val="en-GB"/>
              </w:rPr>
            </w:pPr>
            <w:r w:rsidRPr="007546C3">
              <w:rPr>
                <w:sz w:val="16"/>
                <w:szCs w:val="18"/>
                <w:lang w:val="en-GB"/>
              </w:rPr>
              <w:t>Contractor Management</w:t>
            </w:r>
          </w:p>
          <w:p w14:paraId="2F1C8863" w14:textId="28295A58" w:rsidR="007E7217" w:rsidRPr="007546C3" w:rsidRDefault="007E7217" w:rsidP="007E7217">
            <w:pPr>
              <w:pStyle w:val="CETBodytext"/>
              <w:rPr>
                <w:sz w:val="16"/>
                <w:szCs w:val="18"/>
                <w:lang w:val="en-GB"/>
              </w:rPr>
            </w:pPr>
          </w:p>
        </w:tc>
      </w:tr>
      <w:tr w:rsidR="007E7217" w:rsidRPr="00B57B36" w14:paraId="636C64F9" w14:textId="77777777" w:rsidTr="002A2503">
        <w:tc>
          <w:tcPr>
            <w:tcW w:w="162" w:type="pct"/>
            <w:shd w:val="clear" w:color="auto" w:fill="FFFFFF"/>
          </w:tcPr>
          <w:p w14:paraId="135A3F8F" w14:textId="0F6986EA" w:rsidR="007E7217" w:rsidRPr="007546C3" w:rsidRDefault="007E7217" w:rsidP="002A2503">
            <w:pPr>
              <w:pStyle w:val="CETBodytext"/>
              <w:jc w:val="left"/>
              <w:rPr>
                <w:sz w:val="16"/>
                <w:szCs w:val="18"/>
                <w:lang w:val="en-GB"/>
              </w:rPr>
            </w:pPr>
            <w:r w:rsidRPr="007546C3">
              <w:rPr>
                <w:sz w:val="16"/>
                <w:szCs w:val="18"/>
                <w:lang w:val="en-GB"/>
              </w:rPr>
              <w:t>7</w:t>
            </w:r>
          </w:p>
        </w:tc>
        <w:tc>
          <w:tcPr>
            <w:tcW w:w="1531" w:type="pct"/>
          </w:tcPr>
          <w:p w14:paraId="084500D5" w14:textId="7CB84639" w:rsidR="007E7217" w:rsidRPr="007546C3" w:rsidRDefault="007E7217" w:rsidP="002A2503">
            <w:pPr>
              <w:pStyle w:val="CETBodytext"/>
              <w:jc w:val="left"/>
              <w:rPr>
                <w:sz w:val="16"/>
                <w:szCs w:val="18"/>
                <w:lang w:val="en-GB"/>
              </w:rPr>
            </w:pPr>
            <w:r w:rsidRPr="007546C3">
              <w:rPr>
                <w:sz w:val="16"/>
                <w:szCs w:val="18"/>
                <w:lang w:val="en-GB"/>
              </w:rPr>
              <w:t>Culture and Organization</w:t>
            </w:r>
          </w:p>
        </w:tc>
        <w:tc>
          <w:tcPr>
            <w:tcW w:w="3308" w:type="pct"/>
          </w:tcPr>
          <w:p w14:paraId="31E98E3E" w14:textId="316F90D1" w:rsidR="007E7217" w:rsidRPr="007546C3" w:rsidRDefault="007E7217" w:rsidP="007E7217">
            <w:pPr>
              <w:pStyle w:val="CETBodytext"/>
              <w:numPr>
                <w:ilvl w:val="0"/>
                <w:numId w:val="32"/>
              </w:numPr>
              <w:ind w:left="346"/>
              <w:rPr>
                <w:sz w:val="16"/>
                <w:szCs w:val="18"/>
                <w:lang w:val="en-GB"/>
              </w:rPr>
            </w:pPr>
            <w:r w:rsidRPr="007546C3">
              <w:rPr>
                <w:sz w:val="16"/>
                <w:szCs w:val="18"/>
                <w:lang w:val="en-GB"/>
              </w:rPr>
              <w:t>Process safety culture</w:t>
            </w:r>
          </w:p>
          <w:p w14:paraId="7A63D93F" w14:textId="77777777" w:rsidR="007E7217" w:rsidRPr="007546C3" w:rsidRDefault="007E7217" w:rsidP="007E7217">
            <w:pPr>
              <w:pStyle w:val="CETBodytext"/>
              <w:numPr>
                <w:ilvl w:val="0"/>
                <w:numId w:val="32"/>
              </w:numPr>
              <w:ind w:left="346"/>
              <w:rPr>
                <w:sz w:val="16"/>
                <w:szCs w:val="18"/>
                <w:lang w:val="en-GB"/>
              </w:rPr>
            </w:pPr>
            <w:r w:rsidRPr="007546C3">
              <w:rPr>
                <w:sz w:val="16"/>
                <w:szCs w:val="18"/>
                <w:lang w:val="en-GB"/>
              </w:rPr>
              <w:t>Workforce Involvement</w:t>
            </w:r>
          </w:p>
          <w:p w14:paraId="5A3DA17A" w14:textId="20137147" w:rsidR="007E7217" w:rsidRPr="007546C3" w:rsidRDefault="007E7217" w:rsidP="002A2503">
            <w:pPr>
              <w:pStyle w:val="CETBodytext"/>
              <w:numPr>
                <w:ilvl w:val="0"/>
                <w:numId w:val="32"/>
              </w:numPr>
              <w:ind w:left="346"/>
              <w:rPr>
                <w:sz w:val="16"/>
                <w:szCs w:val="18"/>
                <w:lang w:val="en-GB"/>
              </w:rPr>
            </w:pPr>
            <w:r w:rsidRPr="007546C3">
              <w:rPr>
                <w:sz w:val="16"/>
                <w:szCs w:val="18"/>
                <w:lang w:val="en-GB"/>
              </w:rPr>
              <w:t>Conduct of Operations</w:t>
            </w:r>
            <w:r w:rsidR="002A2503" w:rsidRPr="007546C3">
              <w:rPr>
                <w:sz w:val="16"/>
                <w:szCs w:val="18"/>
                <w:lang w:val="en-GB"/>
              </w:rPr>
              <w:t xml:space="preserve"> </w:t>
            </w:r>
            <w:r w:rsidRPr="007546C3">
              <w:rPr>
                <w:sz w:val="16"/>
                <w:szCs w:val="18"/>
                <w:lang w:val="en-GB"/>
              </w:rPr>
              <w:t xml:space="preserve">- Operational Discipline </w:t>
            </w:r>
          </w:p>
        </w:tc>
      </w:tr>
    </w:tbl>
    <w:p w14:paraId="6A8D7783" w14:textId="76BFCCCB" w:rsidR="00F030D1" w:rsidRDefault="00F030D1" w:rsidP="002D63F0">
      <w:r w:rsidRPr="00F030D1">
        <w:t>Building on the CCPS framework, DEKRA developed OPS (Organizational Process Safety) to be adaptable across various industries and to address the unique safety challenges organizations face. OPS introduces several enhancements, including a maturity model that measures the effectiveness of PSM practices. This model provides companies with an objective, precise, and repeatable way to assess their safety management maturity across a spectrum of six levels, from "Unaware</w:t>
      </w:r>
      <w:r w:rsidRPr="004C6A96">
        <w:t>" to "Excellence"</w:t>
      </w:r>
      <w:r w:rsidR="00253F1E" w:rsidRPr="004C6A96">
        <w:t xml:space="preserve"> </w:t>
      </w:r>
      <w:r w:rsidR="007425BA" w:rsidRPr="004C6A96">
        <w:t>(</w:t>
      </w:r>
      <w:r w:rsidR="00253F1E" w:rsidRPr="004C6A96">
        <w:fldChar w:fldCharType="begin"/>
      </w:r>
      <w:r w:rsidR="00253F1E" w:rsidRPr="004C6A96">
        <w:instrText xml:space="preserve"> REF _Ref182297158 \h  \* MERGEFORMAT </w:instrText>
      </w:r>
      <w:r w:rsidR="00253F1E" w:rsidRPr="004C6A96">
        <w:fldChar w:fldCharType="separate"/>
      </w:r>
      <w:r w:rsidR="00527ED7" w:rsidRPr="00527ED7">
        <w:t>Table 2</w:t>
      </w:r>
      <w:r w:rsidR="00253F1E" w:rsidRPr="004C6A96">
        <w:fldChar w:fldCharType="end"/>
      </w:r>
      <w:r w:rsidR="007425BA" w:rsidRPr="004C6A96">
        <w:t>)</w:t>
      </w:r>
      <w:r w:rsidR="00253F1E" w:rsidRPr="004C6A96">
        <w:t>.</w:t>
      </w:r>
    </w:p>
    <w:p w14:paraId="2688DAE2" w14:textId="1B32C3AD" w:rsidR="00211F01" w:rsidRDefault="00211F01" w:rsidP="00211F01">
      <w:r w:rsidRPr="007545F8">
        <w:t xml:space="preserve">The Process Safety Maturity indicators described in </w:t>
      </w:r>
      <w:r w:rsidR="007545F8" w:rsidRPr="007545F8">
        <w:fldChar w:fldCharType="begin"/>
      </w:r>
      <w:r w:rsidR="007545F8" w:rsidRPr="007545F8">
        <w:instrText xml:space="preserve"> REF _Ref182297158 \h  \* MERGEFORMAT </w:instrText>
      </w:r>
      <w:r w:rsidR="007545F8" w:rsidRPr="007545F8">
        <w:fldChar w:fldCharType="separate"/>
      </w:r>
      <w:r w:rsidR="00527ED7" w:rsidRPr="00527ED7">
        <w:t>Table 2</w:t>
      </w:r>
      <w:r w:rsidR="007545F8" w:rsidRPr="007545F8">
        <w:fldChar w:fldCharType="end"/>
      </w:r>
      <w:r w:rsidR="007545F8" w:rsidRPr="007545F8">
        <w:t xml:space="preserve"> </w:t>
      </w:r>
      <w:r w:rsidRPr="007545F8">
        <w:t xml:space="preserve">provide benchmarking of individual site performance against industry best-in-class. These metrics also allow </w:t>
      </w:r>
      <w:r w:rsidR="00F600D2">
        <w:t xml:space="preserve">for </w:t>
      </w:r>
      <w:r w:rsidRPr="007545F8">
        <w:t xml:space="preserve">to </w:t>
      </w:r>
      <w:r w:rsidR="00F600D2">
        <w:t>definition</w:t>
      </w:r>
      <w:r w:rsidRPr="007545F8">
        <w:t xml:space="preserve"> </w:t>
      </w:r>
      <w:r w:rsidR="00F600D2">
        <w:t xml:space="preserve">of </w:t>
      </w:r>
      <w:r w:rsidRPr="007545F8">
        <w:t xml:space="preserve">improvement areas and can be presented using a spider’s web graphic </w:t>
      </w:r>
      <w:r w:rsidR="00A62DA4">
        <w:t>(</w:t>
      </w:r>
      <w:r w:rsidR="00A62DA4">
        <w:fldChar w:fldCharType="begin"/>
      </w:r>
      <w:r w:rsidR="00A62DA4">
        <w:instrText xml:space="preserve"> REF _Ref191283932 \h  \* MERGEFORMAT </w:instrText>
      </w:r>
      <w:r w:rsidR="00A62DA4">
        <w:fldChar w:fldCharType="separate"/>
      </w:r>
      <w:r w:rsidR="00527ED7" w:rsidRPr="00527ED7">
        <w:t>Figure 1</w:t>
      </w:r>
      <w:r w:rsidR="00A62DA4">
        <w:fldChar w:fldCharType="end"/>
      </w:r>
      <w:r w:rsidR="00A62DA4">
        <w:t xml:space="preserve">) </w:t>
      </w:r>
      <w:r w:rsidRPr="007545F8">
        <w:t xml:space="preserve">to highlight strengths and weaknesses in an easily understood format. This output will be used in the </w:t>
      </w:r>
      <w:r w:rsidRPr="007545F8">
        <w:lastRenderedPageBreak/>
        <w:t>debrief session(s) to facilitate discussion and debate around the direction and pace of improvement of PSM.</w:t>
      </w:r>
    </w:p>
    <w:p w14:paraId="6BAF969C" w14:textId="10B4A511" w:rsidR="00F600D2" w:rsidRDefault="00F600D2" w:rsidP="00211F01">
      <w:r>
        <w:rPr>
          <w:noProof/>
        </w:rPr>
        <w:drawing>
          <wp:inline distT="0" distB="0" distL="0" distR="0" wp14:anchorId="4A3E22F2" wp14:editId="6CE6E738">
            <wp:extent cx="3533225" cy="2411730"/>
            <wp:effectExtent l="0" t="0" r="0" b="7620"/>
            <wp:docPr id="1227964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8586" cy="2415389"/>
                    </a:xfrm>
                    <a:prstGeom prst="rect">
                      <a:avLst/>
                    </a:prstGeom>
                    <a:noFill/>
                  </pic:spPr>
                </pic:pic>
              </a:graphicData>
            </a:graphic>
          </wp:inline>
        </w:drawing>
      </w:r>
    </w:p>
    <w:p w14:paraId="38FE217D" w14:textId="5607A352" w:rsidR="0034022B" w:rsidRDefault="00211F01" w:rsidP="00211F01">
      <w:pPr>
        <w:pStyle w:val="Caption"/>
      </w:pPr>
      <w:bookmarkStart w:id="3" w:name="_Ref191283932"/>
      <w:r w:rsidRPr="0022704E">
        <w:rPr>
          <w:rStyle w:val="CETCaptionCarattere"/>
          <w:b w:val="0"/>
          <w:bCs w:val="0"/>
          <w:color w:val="auto"/>
        </w:rPr>
        <w:t xml:space="preserve">Figure </w:t>
      </w:r>
      <w:r w:rsidRPr="0022704E">
        <w:rPr>
          <w:rStyle w:val="CETCaptionCarattere"/>
          <w:b w:val="0"/>
          <w:bCs w:val="0"/>
          <w:color w:val="auto"/>
        </w:rPr>
        <w:fldChar w:fldCharType="begin"/>
      </w:r>
      <w:r w:rsidRPr="0022704E">
        <w:rPr>
          <w:rStyle w:val="CETCaptionCarattere"/>
          <w:b w:val="0"/>
          <w:bCs w:val="0"/>
          <w:color w:val="auto"/>
        </w:rPr>
        <w:instrText xml:space="preserve"> SEQ Figure \* ARABIC </w:instrText>
      </w:r>
      <w:r w:rsidRPr="0022704E">
        <w:rPr>
          <w:rStyle w:val="CETCaptionCarattere"/>
          <w:b w:val="0"/>
          <w:bCs w:val="0"/>
          <w:color w:val="auto"/>
        </w:rPr>
        <w:fldChar w:fldCharType="separate"/>
      </w:r>
      <w:r w:rsidR="00527ED7">
        <w:rPr>
          <w:rStyle w:val="CETCaptionCarattere"/>
          <w:b w:val="0"/>
          <w:bCs w:val="0"/>
          <w:noProof/>
          <w:color w:val="auto"/>
        </w:rPr>
        <w:t>1</w:t>
      </w:r>
      <w:r w:rsidRPr="0022704E">
        <w:rPr>
          <w:rStyle w:val="CETCaptionCarattere"/>
          <w:b w:val="0"/>
          <w:bCs w:val="0"/>
          <w:color w:val="auto"/>
        </w:rPr>
        <w:fldChar w:fldCharType="end"/>
      </w:r>
      <w:bookmarkEnd w:id="3"/>
      <w:r w:rsidRPr="0022704E">
        <w:rPr>
          <w:rStyle w:val="CETCaptionCarattere"/>
          <w:b w:val="0"/>
          <w:bCs w:val="0"/>
          <w:color w:val="auto"/>
        </w:rPr>
        <w:t xml:space="preserve"> DEKRA PSM Performance Radar</w:t>
      </w:r>
    </w:p>
    <w:p w14:paraId="140241B7" w14:textId="428D735D" w:rsidR="002153D2" w:rsidRPr="002153D2" w:rsidRDefault="002153D2" w:rsidP="002153D2">
      <w:pPr>
        <w:pStyle w:val="Caption"/>
        <w:keepNext/>
        <w:pageBreakBefore/>
        <w:rPr>
          <w:b w:val="0"/>
          <w:bCs w:val="0"/>
          <w:i/>
          <w:color w:val="auto"/>
          <w:szCs w:val="20"/>
        </w:rPr>
      </w:pPr>
      <w:bookmarkStart w:id="4" w:name="_Ref182297158"/>
      <w:r w:rsidRPr="002153D2">
        <w:rPr>
          <w:b w:val="0"/>
          <w:bCs w:val="0"/>
          <w:i/>
          <w:color w:val="auto"/>
          <w:szCs w:val="20"/>
        </w:rPr>
        <w:lastRenderedPageBreak/>
        <w:t xml:space="preserve">Table </w:t>
      </w:r>
      <w:r w:rsidRPr="002153D2">
        <w:rPr>
          <w:b w:val="0"/>
          <w:bCs w:val="0"/>
          <w:i/>
          <w:color w:val="auto"/>
          <w:szCs w:val="20"/>
        </w:rPr>
        <w:fldChar w:fldCharType="begin"/>
      </w:r>
      <w:r w:rsidRPr="002153D2">
        <w:rPr>
          <w:b w:val="0"/>
          <w:bCs w:val="0"/>
          <w:i/>
          <w:color w:val="auto"/>
          <w:szCs w:val="20"/>
        </w:rPr>
        <w:instrText xml:space="preserve"> SEQ Table \* ARABIC </w:instrText>
      </w:r>
      <w:r w:rsidRPr="002153D2">
        <w:rPr>
          <w:b w:val="0"/>
          <w:bCs w:val="0"/>
          <w:i/>
          <w:color w:val="auto"/>
          <w:szCs w:val="20"/>
        </w:rPr>
        <w:fldChar w:fldCharType="separate"/>
      </w:r>
      <w:r w:rsidR="00527ED7">
        <w:rPr>
          <w:b w:val="0"/>
          <w:bCs w:val="0"/>
          <w:i/>
          <w:noProof/>
          <w:color w:val="auto"/>
          <w:szCs w:val="20"/>
        </w:rPr>
        <w:t>2</w:t>
      </w:r>
      <w:r w:rsidRPr="002153D2">
        <w:rPr>
          <w:b w:val="0"/>
          <w:bCs w:val="0"/>
          <w:i/>
          <w:color w:val="auto"/>
          <w:szCs w:val="20"/>
        </w:rPr>
        <w:fldChar w:fldCharType="end"/>
      </w:r>
      <w:bookmarkEnd w:id="4"/>
      <w:r w:rsidRPr="002153D2">
        <w:rPr>
          <w:b w:val="0"/>
          <w:bCs w:val="0"/>
          <w:i/>
          <w:color w:val="auto"/>
          <w:szCs w:val="20"/>
        </w:rPr>
        <w:t>: Maturity Levels Definitions</w:t>
      </w:r>
    </w:p>
    <w:tbl>
      <w:tblPr>
        <w:tblW w:w="0" w:type="auto"/>
        <w:tblBorders>
          <w:top w:val="single" w:sz="12" w:space="0" w:color="008000"/>
          <w:bottom w:val="single" w:sz="12" w:space="0" w:color="008000"/>
          <w:insideH w:val="single" w:sz="4" w:space="0" w:color="auto"/>
        </w:tblBorders>
        <w:shd w:val="clear" w:color="auto" w:fill="FFFFFF"/>
        <w:tblCellMar>
          <w:left w:w="0" w:type="dxa"/>
          <w:right w:w="0" w:type="dxa"/>
        </w:tblCellMar>
        <w:tblLook w:val="00A0" w:firstRow="1" w:lastRow="0" w:firstColumn="1" w:lastColumn="0" w:noHBand="0" w:noVBand="0"/>
      </w:tblPr>
      <w:tblGrid>
        <w:gridCol w:w="1182"/>
        <w:gridCol w:w="948"/>
        <w:gridCol w:w="1131"/>
        <w:gridCol w:w="1332"/>
        <w:gridCol w:w="1505"/>
        <w:gridCol w:w="1326"/>
        <w:gridCol w:w="1363"/>
      </w:tblGrid>
      <w:tr w:rsidR="00895673" w:rsidRPr="00B57B36" w14:paraId="0B9F7602" w14:textId="77777777" w:rsidTr="00EC69BE">
        <w:trPr>
          <w:trHeight w:val="267"/>
        </w:trPr>
        <w:tc>
          <w:tcPr>
            <w:tcW w:w="0" w:type="auto"/>
            <w:shd w:val="clear" w:color="auto" w:fill="FFFFFF"/>
            <w:vAlign w:val="center"/>
          </w:tcPr>
          <w:p w14:paraId="3A412F68" w14:textId="1508B132" w:rsidR="006C47A4" w:rsidRPr="007546C3" w:rsidRDefault="006C47A4" w:rsidP="009A6929">
            <w:pPr>
              <w:pStyle w:val="CETBodytext"/>
              <w:ind w:right="89"/>
              <w:jc w:val="center"/>
              <w:rPr>
                <w:sz w:val="16"/>
                <w:szCs w:val="18"/>
                <w:lang w:val="en-GB"/>
              </w:rPr>
            </w:pPr>
            <w:r w:rsidRPr="007546C3">
              <w:rPr>
                <w:sz w:val="16"/>
                <w:szCs w:val="18"/>
                <w:lang w:val="en-GB"/>
              </w:rPr>
              <w:t>Process safety Maturity</w:t>
            </w:r>
          </w:p>
        </w:tc>
        <w:tc>
          <w:tcPr>
            <w:tcW w:w="0" w:type="auto"/>
            <w:gridSpan w:val="2"/>
            <w:shd w:val="clear" w:color="auto" w:fill="FFFFFF"/>
            <w:vAlign w:val="center"/>
          </w:tcPr>
          <w:p w14:paraId="71C47FEC" w14:textId="7D93F671" w:rsidR="006C47A4" w:rsidRPr="007546C3" w:rsidRDefault="006C47A4" w:rsidP="009A6929">
            <w:pPr>
              <w:pStyle w:val="CETBodytext"/>
              <w:jc w:val="center"/>
              <w:rPr>
                <w:sz w:val="16"/>
                <w:szCs w:val="18"/>
                <w:lang w:val="en-GB"/>
              </w:rPr>
            </w:pPr>
            <w:r w:rsidRPr="007546C3">
              <w:rPr>
                <w:sz w:val="16"/>
                <w:szCs w:val="18"/>
                <w:lang w:val="en-GB"/>
              </w:rPr>
              <w:t>Avoidance- Driven</w:t>
            </w:r>
          </w:p>
        </w:tc>
        <w:tc>
          <w:tcPr>
            <w:tcW w:w="0" w:type="auto"/>
            <w:gridSpan w:val="2"/>
            <w:shd w:val="clear" w:color="auto" w:fill="FFFFFF"/>
            <w:vAlign w:val="center"/>
          </w:tcPr>
          <w:p w14:paraId="1A6C6418" w14:textId="67814F06" w:rsidR="006C47A4" w:rsidRPr="007546C3" w:rsidRDefault="006C47A4" w:rsidP="009A6929">
            <w:pPr>
              <w:pStyle w:val="CETBodytext"/>
              <w:jc w:val="center"/>
              <w:rPr>
                <w:sz w:val="16"/>
                <w:szCs w:val="18"/>
                <w:lang w:val="en-GB"/>
              </w:rPr>
            </w:pPr>
            <w:r w:rsidRPr="007546C3">
              <w:rPr>
                <w:sz w:val="16"/>
                <w:szCs w:val="18"/>
                <w:lang w:val="en-GB"/>
              </w:rPr>
              <w:t>Compliance- Driven</w:t>
            </w:r>
          </w:p>
        </w:tc>
        <w:tc>
          <w:tcPr>
            <w:tcW w:w="0" w:type="auto"/>
            <w:gridSpan w:val="2"/>
            <w:shd w:val="clear" w:color="auto" w:fill="FFFFFF"/>
            <w:vAlign w:val="center"/>
          </w:tcPr>
          <w:p w14:paraId="4B489ACD" w14:textId="2ACFF695" w:rsidR="006C47A4" w:rsidRPr="007546C3" w:rsidRDefault="006C47A4" w:rsidP="009A6929">
            <w:pPr>
              <w:pStyle w:val="CETBodytext"/>
              <w:ind w:right="-1"/>
              <w:jc w:val="center"/>
              <w:rPr>
                <w:rFonts w:cs="Arial"/>
                <w:sz w:val="16"/>
                <w:szCs w:val="18"/>
                <w:lang w:val="en-GB"/>
              </w:rPr>
            </w:pPr>
            <w:r w:rsidRPr="007546C3">
              <w:rPr>
                <w:rFonts w:cs="Arial"/>
                <w:sz w:val="16"/>
                <w:szCs w:val="18"/>
                <w:lang w:val="en-GB"/>
              </w:rPr>
              <w:t>Values- Driven</w:t>
            </w:r>
          </w:p>
        </w:tc>
      </w:tr>
      <w:tr w:rsidR="00895673" w:rsidRPr="00B57B36" w14:paraId="766F62B3" w14:textId="77777777" w:rsidTr="00EC69BE">
        <w:trPr>
          <w:trHeight w:val="267"/>
        </w:trPr>
        <w:tc>
          <w:tcPr>
            <w:tcW w:w="0" w:type="auto"/>
            <w:vAlign w:val="center"/>
          </w:tcPr>
          <w:p w14:paraId="7F7EDDF9" w14:textId="30FB8BFA" w:rsidR="006C47A4" w:rsidRPr="007546C3" w:rsidRDefault="006C47A4" w:rsidP="009A6929">
            <w:pPr>
              <w:pStyle w:val="CETBodytext"/>
              <w:ind w:right="89"/>
              <w:jc w:val="center"/>
              <w:rPr>
                <w:sz w:val="16"/>
                <w:szCs w:val="18"/>
                <w:lang w:val="en-GB"/>
              </w:rPr>
            </w:pPr>
            <w:r w:rsidRPr="007546C3">
              <w:rPr>
                <w:sz w:val="16"/>
                <w:szCs w:val="18"/>
                <w:lang w:val="en-GB"/>
              </w:rPr>
              <w:t>Maturity Level</w:t>
            </w:r>
          </w:p>
        </w:tc>
        <w:tc>
          <w:tcPr>
            <w:tcW w:w="0" w:type="auto"/>
            <w:vAlign w:val="center"/>
          </w:tcPr>
          <w:p w14:paraId="2AC43F3B" w14:textId="3D35C399" w:rsidR="006C47A4" w:rsidRPr="007546C3" w:rsidRDefault="006C47A4" w:rsidP="009A6929">
            <w:pPr>
              <w:pStyle w:val="CETBodytext"/>
              <w:ind w:right="101"/>
              <w:jc w:val="center"/>
              <w:rPr>
                <w:sz w:val="16"/>
                <w:szCs w:val="18"/>
                <w:lang w:val="en-GB"/>
              </w:rPr>
            </w:pPr>
            <w:r w:rsidRPr="007546C3">
              <w:rPr>
                <w:sz w:val="16"/>
                <w:szCs w:val="18"/>
                <w:lang w:val="en-GB"/>
              </w:rPr>
              <w:t>Oblivious</w:t>
            </w:r>
          </w:p>
        </w:tc>
        <w:tc>
          <w:tcPr>
            <w:tcW w:w="0" w:type="auto"/>
            <w:vAlign w:val="center"/>
          </w:tcPr>
          <w:p w14:paraId="4116A2F3" w14:textId="529D8CE3" w:rsidR="006C47A4" w:rsidRPr="007546C3" w:rsidRDefault="006C47A4" w:rsidP="009A6929">
            <w:pPr>
              <w:pStyle w:val="CETBodytext"/>
              <w:ind w:right="49"/>
              <w:jc w:val="center"/>
              <w:rPr>
                <w:sz w:val="16"/>
                <w:szCs w:val="18"/>
                <w:lang w:val="en-GB"/>
              </w:rPr>
            </w:pPr>
            <w:r w:rsidRPr="007546C3">
              <w:rPr>
                <w:sz w:val="16"/>
                <w:szCs w:val="18"/>
                <w:lang w:val="en-GB"/>
              </w:rPr>
              <w:t>Embryonic</w:t>
            </w:r>
          </w:p>
        </w:tc>
        <w:tc>
          <w:tcPr>
            <w:tcW w:w="0" w:type="auto"/>
            <w:vAlign w:val="center"/>
          </w:tcPr>
          <w:p w14:paraId="380E698A" w14:textId="0132C52C" w:rsidR="006C47A4" w:rsidRPr="007546C3" w:rsidRDefault="006C47A4" w:rsidP="009A6929">
            <w:pPr>
              <w:pStyle w:val="CETBodytext"/>
              <w:ind w:right="104"/>
              <w:jc w:val="center"/>
              <w:rPr>
                <w:sz w:val="16"/>
                <w:szCs w:val="18"/>
                <w:lang w:val="en-GB"/>
              </w:rPr>
            </w:pPr>
            <w:r w:rsidRPr="007546C3">
              <w:rPr>
                <w:sz w:val="16"/>
                <w:szCs w:val="18"/>
                <w:lang w:val="en-GB"/>
              </w:rPr>
              <w:t>Basic</w:t>
            </w:r>
          </w:p>
        </w:tc>
        <w:tc>
          <w:tcPr>
            <w:tcW w:w="0" w:type="auto"/>
            <w:vAlign w:val="center"/>
          </w:tcPr>
          <w:p w14:paraId="1C762A1B" w14:textId="13C2E142" w:rsidR="006C47A4" w:rsidRPr="007546C3" w:rsidRDefault="006C47A4" w:rsidP="009A6929">
            <w:pPr>
              <w:pStyle w:val="CETBodytext"/>
              <w:ind w:right="126"/>
              <w:jc w:val="center"/>
              <w:rPr>
                <w:sz w:val="16"/>
                <w:szCs w:val="18"/>
                <w:lang w:val="en-GB"/>
              </w:rPr>
            </w:pPr>
            <w:r w:rsidRPr="007546C3">
              <w:rPr>
                <w:sz w:val="16"/>
                <w:szCs w:val="18"/>
                <w:lang w:val="en-GB"/>
              </w:rPr>
              <w:t>Advancing</w:t>
            </w:r>
          </w:p>
        </w:tc>
        <w:tc>
          <w:tcPr>
            <w:tcW w:w="0" w:type="auto"/>
            <w:vAlign w:val="center"/>
          </w:tcPr>
          <w:p w14:paraId="01F92B46" w14:textId="36486444" w:rsidR="006C47A4" w:rsidRPr="007546C3" w:rsidRDefault="006C47A4" w:rsidP="009A6929">
            <w:pPr>
              <w:pStyle w:val="CETBodytext"/>
              <w:ind w:right="101"/>
              <w:jc w:val="center"/>
              <w:rPr>
                <w:sz w:val="16"/>
                <w:szCs w:val="18"/>
                <w:lang w:val="en-GB"/>
              </w:rPr>
            </w:pPr>
            <w:r w:rsidRPr="007546C3">
              <w:rPr>
                <w:sz w:val="16"/>
                <w:szCs w:val="18"/>
                <w:lang w:val="en-GB"/>
              </w:rPr>
              <w:t>Continuous Improvement</w:t>
            </w:r>
          </w:p>
        </w:tc>
        <w:tc>
          <w:tcPr>
            <w:tcW w:w="0" w:type="auto"/>
            <w:vAlign w:val="center"/>
          </w:tcPr>
          <w:p w14:paraId="7C3A21E0" w14:textId="123B4808" w:rsidR="006C47A4" w:rsidRPr="007546C3" w:rsidRDefault="006C47A4" w:rsidP="009A6929">
            <w:pPr>
              <w:pStyle w:val="CETBodytext"/>
              <w:jc w:val="center"/>
              <w:rPr>
                <w:rFonts w:cs="Arial"/>
                <w:sz w:val="16"/>
                <w:szCs w:val="18"/>
                <w:lang w:val="en-GB"/>
              </w:rPr>
            </w:pPr>
            <w:r w:rsidRPr="007546C3">
              <w:rPr>
                <w:sz w:val="16"/>
                <w:szCs w:val="18"/>
                <w:lang w:val="en-GB"/>
              </w:rPr>
              <w:t>Process Safety Excellence</w:t>
            </w:r>
          </w:p>
        </w:tc>
      </w:tr>
      <w:tr w:rsidR="00895673" w:rsidRPr="00B57B36" w14:paraId="6489C4C7" w14:textId="77777777" w:rsidTr="00EC69BE">
        <w:trPr>
          <w:trHeight w:val="267"/>
        </w:trPr>
        <w:tc>
          <w:tcPr>
            <w:tcW w:w="0" w:type="auto"/>
            <w:vAlign w:val="center"/>
          </w:tcPr>
          <w:p w14:paraId="38E11084" w14:textId="6F8E3FC2" w:rsidR="006C47A4" w:rsidRPr="007546C3" w:rsidRDefault="006C47A4" w:rsidP="009A6929">
            <w:pPr>
              <w:pStyle w:val="CETBodytext"/>
              <w:ind w:right="89"/>
              <w:jc w:val="center"/>
              <w:rPr>
                <w:sz w:val="16"/>
                <w:szCs w:val="18"/>
                <w:lang w:val="en-GB"/>
              </w:rPr>
            </w:pPr>
            <w:r w:rsidRPr="007546C3">
              <w:rPr>
                <w:sz w:val="16"/>
                <w:szCs w:val="18"/>
                <w:lang w:val="en-GB"/>
              </w:rPr>
              <w:t>Short Description</w:t>
            </w:r>
          </w:p>
        </w:tc>
        <w:tc>
          <w:tcPr>
            <w:tcW w:w="0" w:type="auto"/>
            <w:vAlign w:val="center"/>
          </w:tcPr>
          <w:p w14:paraId="46A07D05" w14:textId="77777777" w:rsidR="006C47A4" w:rsidRPr="007546C3" w:rsidRDefault="006C47A4" w:rsidP="00EC69BE">
            <w:pPr>
              <w:ind w:right="101"/>
              <w:jc w:val="left"/>
              <w:rPr>
                <w:sz w:val="16"/>
                <w:szCs w:val="18"/>
              </w:rPr>
            </w:pPr>
            <w:r w:rsidRPr="007546C3">
              <w:rPr>
                <w:sz w:val="16"/>
                <w:szCs w:val="18"/>
              </w:rPr>
              <w:t>No organized process safety activities</w:t>
            </w:r>
          </w:p>
          <w:p w14:paraId="30AF1DDA" w14:textId="77777777" w:rsidR="006C47A4" w:rsidRPr="007546C3" w:rsidRDefault="006C47A4" w:rsidP="00EC69BE">
            <w:pPr>
              <w:ind w:right="101"/>
              <w:jc w:val="left"/>
              <w:rPr>
                <w:sz w:val="16"/>
                <w:szCs w:val="18"/>
              </w:rPr>
            </w:pPr>
          </w:p>
        </w:tc>
        <w:tc>
          <w:tcPr>
            <w:tcW w:w="0" w:type="auto"/>
            <w:vAlign w:val="center"/>
          </w:tcPr>
          <w:p w14:paraId="2D435AB7" w14:textId="1BCB1BBE" w:rsidR="006C47A4" w:rsidRPr="007546C3" w:rsidRDefault="006C47A4" w:rsidP="00EC69BE">
            <w:pPr>
              <w:ind w:right="49"/>
              <w:jc w:val="left"/>
              <w:rPr>
                <w:sz w:val="16"/>
                <w:szCs w:val="18"/>
              </w:rPr>
            </w:pPr>
            <w:r w:rsidRPr="007546C3">
              <w:rPr>
                <w:sz w:val="16"/>
                <w:szCs w:val="18"/>
              </w:rPr>
              <w:t>Responds to recognized process safety problems</w:t>
            </w:r>
          </w:p>
        </w:tc>
        <w:tc>
          <w:tcPr>
            <w:tcW w:w="0" w:type="auto"/>
            <w:vAlign w:val="center"/>
          </w:tcPr>
          <w:p w14:paraId="58C5426B" w14:textId="34A5C001" w:rsidR="006C47A4" w:rsidRPr="007546C3" w:rsidRDefault="006C47A4" w:rsidP="00EC69BE">
            <w:pPr>
              <w:pStyle w:val="CETBodytext"/>
              <w:ind w:right="104"/>
              <w:jc w:val="left"/>
              <w:rPr>
                <w:sz w:val="16"/>
                <w:szCs w:val="18"/>
                <w:lang w:val="en-GB"/>
              </w:rPr>
            </w:pPr>
            <w:r w:rsidRPr="007546C3">
              <w:rPr>
                <w:sz w:val="16"/>
                <w:szCs w:val="18"/>
                <w:lang w:val="en-GB"/>
              </w:rPr>
              <w:t xml:space="preserve">Does minimum </w:t>
            </w:r>
            <w:proofErr w:type="gramStart"/>
            <w:r w:rsidRPr="007546C3">
              <w:rPr>
                <w:sz w:val="16"/>
                <w:szCs w:val="18"/>
                <w:lang w:val="en-GB"/>
              </w:rPr>
              <w:t>required</w:t>
            </w:r>
            <w:proofErr w:type="gramEnd"/>
            <w:r w:rsidRPr="007546C3">
              <w:rPr>
                <w:sz w:val="16"/>
                <w:szCs w:val="18"/>
                <w:lang w:val="en-GB"/>
              </w:rPr>
              <w:t xml:space="preserve"> by regulations</w:t>
            </w:r>
          </w:p>
        </w:tc>
        <w:tc>
          <w:tcPr>
            <w:tcW w:w="0" w:type="auto"/>
            <w:vAlign w:val="center"/>
          </w:tcPr>
          <w:p w14:paraId="0BFBF241" w14:textId="0F36CD9A" w:rsidR="006C47A4" w:rsidRPr="007546C3" w:rsidRDefault="006C47A4" w:rsidP="00EC69BE">
            <w:pPr>
              <w:pStyle w:val="CETBodytext"/>
              <w:ind w:right="126"/>
              <w:jc w:val="left"/>
              <w:rPr>
                <w:sz w:val="16"/>
                <w:szCs w:val="18"/>
                <w:lang w:val="en-GB"/>
              </w:rPr>
            </w:pPr>
            <w:r w:rsidRPr="007546C3">
              <w:rPr>
                <w:sz w:val="16"/>
                <w:szCs w:val="18"/>
                <w:lang w:val="en-GB"/>
              </w:rPr>
              <w:t>Meets regulatory requirements and has more rigorous internal standards in at least some aspects of process safety</w:t>
            </w:r>
          </w:p>
        </w:tc>
        <w:tc>
          <w:tcPr>
            <w:tcW w:w="0" w:type="auto"/>
            <w:vAlign w:val="center"/>
          </w:tcPr>
          <w:p w14:paraId="7FA41CA0" w14:textId="782F0988" w:rsidR="006C47A4" w:rsidRPr="007546C3" w:rsidRDefault="006C47A4" w:rsidP="00EC69BE">
            <w:pPr>
              <w:pStyle w:val="CETBodytext"/>
              <w:ind w:right="101"/>
              <w:jc w:val="left"/>
              <w:rPr>
                <w:sz w:val="16"/>
                <w:szCs w:val="18"/>
                <w:lang w:val="en-GB"/>
              </w:rPr>
            </w:pPr>
            <w:r w:rsidRPr="007546C3">
              <w:rPr>
                <w:sz w:val="16"/>
                <w:szCs w:val="18"/>
                <w:lang w:val="en-GB"/>
              </w:rPr>
              <w:t>Formal efforts to understand and move toward achieving best-in-class performance</w:t>
            </w:r>
          </w:p>
        </w:tc>
        <w:tc>
          <w:tcPr>
            <w:tcW w:w="0" w:type="auto"/>
            <w:vAlign w:val="center"/>
          </w:tcPr>
          <w:p w14:paraId="5B895DEF" w14:textId="32D47173" w:rsidR="006C47A4" w:rsidRPr="007546C3" w:rsidRDefault="006C47A4" w:rsidP="00EC69BE">
            <w:pPr>
              <w:pStyle w:val="CETBodytext"/>
              <w:jc w:val="left"/>
              <w:rPr>
                <w:rFonts w:cs="Arial"/>
                <w:sz w:val="16"/>
                <w:szCs w:val="18"/>
                <w:lang w:val="en-GB"/>
              </w:rPr>
            </w:pPr>
            <w:r w:rsidRPr="007546C3">
              <w:rPr>
                <w:sz w:val="16"/>
                <w:szCs w:val="18"/>
                <w:lang w:val="en-GB"/>
              </w:rPr>
              <w:t>Demonstrates best-in-class performance, with ongoing efforts at continuous improvement</w:t>
            </w:r>
          </w:p>
        </w:tc>
      </w:tr>
      <w:tr w:rsidR="00895673" w:rsidRPr="00B57B36" w14:paraId="4E09E93F" w14:textId="77777777" w:rsidTr="00EC69BE">
        <w:trPr>
          <w:trHeight w:val="276"/>
        </w:trPr>
        <w:tc>
          <w:tcPr>
            <w:tcW w:w="0" w:type="auto"/>
            <w:vAlign w:val="center"/>
          </w:tcPr>
          <w:p w14:paraId="09233C5D" w14:textId="3F30DAB4" w:rsidR="006C47A4" w:rsidRPr="007546C3" w:rsidRDefault="006C47A4" w:rsidP="009A6929">
            <w:pPr>
              <w:pStyle w:val="CETBodytext"/>
              <w:ind w:right="89"/>
              <w:jc w:val="center"/>
              <w:rPr>
                <w:sz w:val="16"/>
                <w:szCs w:val="18"/>
                <w:lang w:val="en-GB"/>
              </w:rPr>
            </w:pPr>
            <w:r w:rsidRPr="007546C3">
              <w:rPr>
                <w:sz w:val="16"/>
                <w:szCs w:val="18"/>
                <w:lang w:val="en-GB"/>
              </w:rPr>
              <w:t>Focus</w:t>
            </w:r>
          </w:p>
        </w:tc>
        <w:tc>
          <w:tcPr>
            <w:tcW w:w="0" w:type="auto"/>
            <w:vAlign w:val="center"/>
          </w:tcPr>
          <w:p w14:paraId="71BB5B99" w14:textId="15E8F3D3" w:rsidR="006C47A4" w:rsidRPr="007546C3" w:rsidRDefault="006C47A4" w:rsidP="00EC69BE">
            <w:pPr>
              <w:pStyle w:val="CETBodytext"/>
              <w:ind w:right="101"/>
              <w:jc w:val="left"/>
              <w:rPr>
                <w:sz w:val="16"/>
                <w:szCs w:val="18"/>
                <w:lang w:val="en-GB"/>
              </w:rPr>
            </w:pPr>
            <w:r w:rsidRPr="007546C3">
              <w:rPr>
                <w:sz w:val="16"/>
                <w:szCs w:val="18"/>
                <w:lang w:val="en-GB"/>
              </w:rPr>
              <w:t>Avoidance</w:t>
            </w:r>
          </w:p>
        </w:tc>
        <w:tc>
          <w:tcPr>
            <w:tcW w:w="0" w:type="auto"/>
            <w:vAlign w:val="center"/>
          </w:tcPr>
          <w:p w14:paraId="27CF6885" w14:textId="59F3FC06" w:rsidR="006C47A4" w:rsidRPr="007546C3" w:rsidRDefault="006C47A4" w:rsidP="00EC69BE">
            <w:pPr>
              <w:pStyle w:val="CETBodytext"/>
              <w:ind w:right="49"/>
              <w:jc w:val="left"/>
              <w:rPr>
                <w:sz w:val="16"/>
                <w:szCs w:val="18"/>
                <w:lang w:val="en-GB"/>
              </w:rPr>
            </w:pPr>
            <w:r w:rsidRPr="007546C3">
              <w:rPr>
                <w:sz w:val="16"/>
                <w:szCs w:val="18"/>
                <w:lang w:val="en-GB"/>
              </w:rPr>
              <w:t>Responding</w:t>
            </w:r>
          </w:p>
        </w:tc>
        <w:tc>
          <w:tcPr>
            <w:tcW w:w="0" w:type="auto"/>
            <w:vAlign w:val="center"/>
          </w:tcPr>
          <w:p w14:paraId="1C5B16AE" w14:textId="55C3C7EB" w:rsidR="006C47A4" w:rsidRPr="007546C3" w:rsidRDefault="006C47A4" w:rsidP="00EC69BE">
            <w:pPr>
              <w:pStyle w:val="CETBodytext"/>
              <w:ind w:right="104"/>
              <w:jc w:val="left"/>
              <w:rPr>
                <w:sz w:val="16"/>
                <w:szCs w:val="18"/>
                <w:lang w:val="en-GB"/>
              </w:rPr>
            </w:pPr>
            <w:r w:rsidRPr="007546C3">
              <w:rPr>
                <w:sz w:val="16"/>
                <w:szCs w:val="18"/>
                <w:lang w:val="en-GB"/>
              </w:rPr>
              <w:t>Compliance</w:t>
            </w:r>
          </w:p>
        </w:tc>
        <w:tc>
          <w:tcPr>
            <w:tcW w:w="0" w:type="auto"/>
            <w:vAlign w:val="center"/>
          </w:tcPr>
          <w:p w14:paraId="5AE98627" w14:textId="447A4824" w:rsidR="006C47A4" w:rsidRPr="007546C3" w:rsidRDefault="006C47A4" w:rsidP="00EC69BE">
            <w:pPr>
              <w:pStyle w:val="CETBodytext"/>
              <w:ind w:right="126"/>
              <w:jc w:val="left"/>
              <w:rPr>
                <w:sz w:val="16"/>
                <w:szCs w:val="18"/>
                <w:lang w:val="en-GB"/>
              </w:rPr>
            </w:pPr>
            <w:r w:rsidRPr="007546C3">
              <w:rPr>
                <w:sz w:val="16"/>
                <w:szCs w:val="18"/>
                <w:lang w:val="en-GB"/>
              </w:rPr>
              <w:t>Managing</w:t>
            </w:r>
          </w:p>
        </w:tc>
        <w:tc>
          <w:tcPr>
            <w:tcW w:w="0" w:type="auto"/>
            <w:vAlign w:val="center"/>
          </w:tcPr>
          <w:p w14:paraId="4EEF4C9F" w14:textId="3F8D8FE8" w:rsidR="006C47A4" w:rsidRPr="007546C3" w:rsidRDefault="006C47A4" w:rsidP="00EC69BE">
            <w:pPr>
              <w:pStyle w:val="CETBodytext"/>
              <w:ind w:right="101"/>
              <w:jc w:val="left"/>
              <w:rPr>
                <w:sz w:val="16"/>
                <w:szCs w:val="18"/>
                <w:lang w:val="en-GB"/>
              </w:rPr>
            </w:pPr>
            <w:r w:rsidRPr="007546C3">
              <w:rPr>
                <w:sz w:val="16"/>
                <w:szCs w:val="18"/>
                <w:lang w:val="en-GB"/>
              </w:rPr>
              <w:t>Learning</w:t>
            </w:r>
          </w:p>
        </w:tc>
        <w:tc>
          <w:tcPr>
            <w:tcW w:w="0" w:type="auto"/>
            <w:vAlign w:val="center"/>
          </w:tcPr>
          <w:p w14:paraId="4BCC6178" w14:textId="1B111176" w:rsidR="006C47A4" w:rsidRPr="007546C3" w:rsidRDefault="006C47A4" w:rsidP="00EC69BE">
            <w:pPr>
              <w:pStyle w:val="CETBodytext"/>
              <w:jc w:val="left"/>
              <w:rPr>
                <w:rFonts w:cs="Arial"/>
                <w:sz w:val="16"/>
                <w:szCs w:val="18"/>
                <w:lang w:val="en-GB"/>
              </w:rPr>
            </w:pPr>
            <w:r w:rsidRPr="007546C3">
              <w:rPr>
                <w:sz w:val="16"/>
                <w:szCs w:val="18"/>
                <w:lang w:val="en-GB"/>
              </w:rPr>
              <w:t>Anticipation and Resilience</w:t>
            </w:r>
          </w:p>
        </w:tc>
      </w:tr>
      <w:tr w:rsidR="00895673" w:rsidRPr="00B57B36" w14:paraId="3EE0F620" w14:textId="77777777" w:rsidTr="00EC69BE">
        <w:trPr>
          <w:trHeight w:val="267"/>
        </w:trPr>
        <w:tc>
          <w:tcPr>
            <w:tcW w:w="0" w:type="auto"/>
            <w:vAlign w:val="center"/>
          </w:tcPr>
          <w:p w14:paraId="10818A22" w14:textId="50431484" w:rsidR="006C47A4" w:rsidRPr="007546C3" w:rsidRDefault="006C47A4" w:rsidP="009A6929">
            <w:pPr>
              <w:pStyle w:val="CETBodytext"/>
              <w:ind w:right="89"/>
              <w:jc w:val="center"/>
              <w:rPr>
                <w:sz w:val="16"/>
                <w:szCs w:val="18"/>
                <w:lang w:val="en-GB"/>
              </w:rPr>
            </w:pPr>
            <w:r w:rsidRPr="007546C3">
              <w:rPr>
                <w:sz w:val="16"/>
                <w:szCs w:val="18"/>
                <w:lang w:val="en-GB"/>
              </w:rPr>
              <w:t>Capability</w:t>
            </w:r>
          </w:p>
        </w:tc>
        <w:tc>
          <w:tcPr>
            <w:tcW w:w="0" w:type="auto"/>
            <w:vAlign w:val="center"/>
          </w:tcPr>
          <w:p w14:paraId="2D602F74" w14:textId="24DE9250" w:rsidR="006C47A4" w:rsidRPr="007546C3" w:rsidRDefault="006C47A4" w:rsidP="00EC69BE">
            <w:pPr>
              <w:pStyle w:val="CETBodytext"/>
              <w:ind w:right="101"/>
              <w:jc w:val="left"/>
              <w:rPr>
                <w:sz w:val="16"/>
                <w:szCs w:val="18"/>
                <w:lang w:val="en-GB"/>
              </w:rPr>
            </w:pPr>
            <w:r w:rsidRPr="007546C3">
              <w:rPr>
                <w:sz w:val="16"/>
                <w:szCs w:val="18"/>
                <w:lang w:val="en-GB"/>
              </w:rPr>
              <w:t>No specific process safety expertise</w:t>
            </w:r>
          </w:p>
        </w:tc>
        <w:tc>
          <w:tcPr>
            <w:tcW w:w="0" w:type="auto"/>
            <w:vAlign w:val="center"/>
          </w:tcPr>
          <w:p w14:paraId="549CF911" w14:textId="00184E45" w:rsidR="006C47A4" w:rsidRPr="007546C3" w:rsidRDefault="006C47A4" w:rsidP="00EC69BE">
            <w:pPr>
              <w:pStyle w:val="CETBodytext"/>
              <w:ind w:right="49"/>
              <w:jc w:val="left"/>
              <w:rPr>
                <w:sz w:val="16"/>
                <w:szCs w:val="18"/>
                <w:lang w:val="en-GB"/>
              </w:rPr>
            </w:pPr>
            <w:r w:rsidRPr="007546C3">
              <w:rPr>
                <w:sz w:val="16"/>
                <w:szCs w:val="18"/>
                <w:lang w:val="en-GB"/>
              </w:rPr>
              <w:t>Individuals with some process safety knowledge but no organized structure</w:t>
            </w:r>
          </w:p>
        </w:tc>
        <w:tc>
          <w:tcPr>
            <w:tcW w:w="0" w:type="auto"/>
            <w:vAlign w:val="center"/>
          </w:tcPr>
          <w:p w14:paraId="16D718FA" w14:textId="52D96F3E" w:rsidR="006C47A4" w:rsidRPr="007546C3" w:rsidRDefault="006C47A4" w:rsidP="00EC69BE">
            <w:pPr>
              <w:pStyle w:val="CETBodytext"/>
              <w:ind w:right="104"/>
              <w:jc w:val="left"/>
              <w:rPr>
                <w:sz w:val="16"/>
                <w:szCs w:val="18"/>
                <w:lang w:val="en-GB"/>
              </w:rPr>
            </w:pPr>
            <w:r w:rsidRPr="007546C3">
              <w:rPr>
                <w:sz w:val="16"/>
                <w:szCs w:val="18"/>
                <w:lang w:val="en-GB"/>
              </w:rPr>
              <w:t>Process Safety expertise and defined roles &amp; responsibilities</w:t>
            </w:r>
          </w:p>
        </w:tc>
        <w:tc>
          <w:tcPr>
            <w:tcW w:w="0" w:type="auto"/>
            <w:vAlign w:val="center"/>
          </w:tcPr>
          <w:p w14:paraId="250BDC4A" w14:textId="222E5396" w:rsidR="006C47A4" w:rsidRPr="007546C3" w:rsidRDefault="006C47A4" w:rsidP="00EC69BE">
            <w:pPr>
              <w:pStyle w:val="CETBodytext"/>
              <w:ind w:right="126"/>
              <w:jc w:val="left"/>
              <w:rPr>
                <w:sz w:val="16"/>
                <w:szCs w:val="18"/>
                <w:lang w:val="en-GB"/>
              </w:rPr>
            </w:pPr>
            <w:r w:rsidRPr="007546C3">
              <w:rPr>
                <w:sz w:val="16"/>
                <w:szCs w:val="18"/>
                <w:lang w:val="en-GB"/>
              </w:rPr>
              <w:t>Process Safety expertise and defined R&amp;R with a widespread understanding of process safety requirements</w:t>
            </w:r>
          </w:p>
        </w:tc>
        <w:tc>
          <w:tcPr>
            <w:tcW w:w="0" w:type="auto"/>
            <w:vAlign w:val="center"/>
          </w:tcPr>
          <w:p w14:paraId="4ECF3EE8" w14:textId="34D68788" w:rsidR="006C47A4" w:rsidRPr="007546C3" w:rsidRDefault="006C47A4" w:rsidP="00EC69BE">
            <w:pPr>
              <w:pStyle w:val="CETBodytext"/>
              <w:ind w:right="101"/>
              <w:jc w:val="left"/>
              <w:rPr>
                <w:sz w:val="16"/>
                <w:szCs w:val="18"/>
                <w:lang w:val="en-GB"/>
              </w:rPr>
            </w:pPr>
            <w:r w:rsidRPr="007546C3">
              <w:rPr>
                <w:sz w:val="16"/>
                <w:szCs w:val="18"/>
                <w:lang w:val="en-GB"/>
              </w:rPr>
              <w:t>Same as the “Advancing” level, plus active management involvement in process safety</w:t>
            </w:r>
          </w:p>
        </w:tc>
        <w:tc>
          <w:tcPr>
            <w:tcW w:w="0" w:type="auto"/>
            <w:vAlign w:val="center"/>
          </w:tcPr>
          <w:p w14:paraId="530ED7ED" w14:textId="78D796AF" w:rsidR="006C47A4" w:rsidRPr="007546C3" w:rsidRDefault="006C47A4" w:rsidP="00EC69BE">
            <w:pPr>
              <w:pStyle w:val="CETBodytext"/>
              <w:jc w:val="left"/>
              <w:rPr>
                <w:rFonts w:cs="Arial"/>
                <w:sz w:val="16"/>
                <w:szCs w:val="18"/>
                <w:lang w:val="en-GB"/>
              </w:rPr>
            </w:pPr>
            <w:r w:rsidRPr="007546C3">
              <w:rPr>
                <w:sz w:val="16"/>
                <w:szCs w:val="18"/>
                <w:lang w:val="en-GB"/>
              </w:rPr>
              <w:t>Same as the “Continuous Improvement” level, plus active external networking and engagement of senior executives</w:t>
            </w:r>
          </w:p>
        </w:tc>
      </w:tr>
      <w:tr w:rsidR="00895673" w:rsidRPr="00B57B36" w14:paraId="252F4BB2" w14:textId="77777777" w:rsidTr="00EC69BE">
        <w:trPr>
          <w:trHeight w:val="276"/>
        </w:trPr>
        <w:tc>
          <w:tcPr>
            <w:tcW w:w="0" w:type="auto"/>
            <w:vAlign w:val="center"/>
          </w:tcPr>
          <w:p w14:paraId="5A85C7B3" w14:textId="3876DFB9" w:rsidR="006C47A4" w:rsidRPr="007546C3" w:rsidRDefault="006C47A4" w:rsidP="009A6929">
            <w:pPr>
              <w:pStyle w:val="CETBodytext"/>
              <w:ind w:right="89"/>
              <w:jc w:val="center"/>
              <w:rPr>
                <w:sz w:val="16"/>
                <w:szCs w:val="18"/>
                <w:lang w:val="en-GB"/>
              </w:rPr>
            </w:pPr>
            <w:r w:rsidRPr="007546C3">
              <w:rPr>
                <w:sz w:val="16"/>
                <w:szCs w:val="18"/>
                <w:lang w:val="en-GB"/>
              </w:rPr>
              <w:t>Systems Characteristics</w:t>
            </w:r>
          </w:p>
        </w:tc>
        <w:tc>
          <w:tcPr>
            <w:tcW w:w="0" w:type="auto"/>
            <w:vAlign w:val="center"/>
          </w:tcPr>
          <w:p w14:paraId="7A9C61B5" w14:textId="099FC46F" w:rsidR="006C47A4" w:rsidRPr="007546C3" w:rsidRDefault="006C47A4" w:rsidP="00EC69BE">
            <w:pPr>
              <w:pStyle w:val="CETBodytext"/>
              <w:ind w:right="101"/>
              <w:jc w:val="left"/>
              <w:rPr>
                <w:sz w:val="16"/>
                <w:szCs w:val="18"/>
                <w:lang w:val="en-GB"/>
              </w:rPr>
            </w:pPr>
            <w:r w:rsidRPr="007546C3">
              <w:rPr>
                <w:sz w:val="16"/>
                <w:szCs w:val="18"/>
                <w:lang w:val="en-GB"/>
              </w:rPr>
              <w:t>o process safety systems</w:t>
            </w:r>
          </w:p>
        </w:tc>
        <w:tc>
          <w:tcPr>
            <w:tcW w:w="0" w:type="auto"/>
            <w:vAlign w:val="center"/>
          </w:tcPr>
          <w:p w14:paraId="594B1576" w14:textId="3F7F699C" w:rsidR="006C47A4" w:rsidRPr="007546C3" w:rsidRDefault="006C47A4" w:rsidP="00EC69BE">
            <w:pPr>
              <w:pStyle w:val="CETBodytext"/>
              <w:ind w:right="49"/>
              <w:jc w:val="left"/>
              <w:rPr>
                <w:sz w:val="16"/>
                <w:szCs w:val="18"/>
                <w:lang w:val="en-GB"/>
              </w:rPr>
            </w:pPr>
            <w:r w:rsidRPr="007546C3">
              <w:rPr>
                <w:sz w:val="16"/>
                <w:szCs w:val="18"/>
                <w:lang w:val="en-GB"/>
              </w:rPr>
              <w:t>Pockets of good practices</w:t>
            </w:r>
          </w:p>
        </w:tc>
        <w:tc>
          <w:tcPr>
            <w:tcW w:w="0" w:type="auto"/>
            <w:vAlign w:val="center"/>
          </w:tcPr>
          <w:p w14:paraId="53ADC984" w14:textId="7A8D7470" w:rsidR="006C47A4" w:rsidRPr="007546C3" w:rsidRDefault="006C47A4" w:rsidP="00EC69BE">
            <w:pPr>
              <w:pStyle w:val="CETBodytext"/>
              <w:ind w:right="104"/>
              <w:jc w:val="left"/>
              <w:rPr>
                <w:sz w:val="16"/>
                <w:szCs w:val="18"/>
                <w:lang w:val="en-GB"/>
              </w:rPr>
            </w:pPr>
            <w:r w:rsidRPr="007546C3">
              <w:rPr>
                <w:sz w:val="16"/>
                <w:szCs w:val="18"/>
                <w:lang w:val="en-GB"/>
              </w:rPr>
              <w:t>Process safety management systems exist and are documented</w:t>
            </w:r>
          </w:p>
        </w:tc>
        <w:tc>
          <w:tcPr>
            <w:tcW w:w="0" w:type="auto"/>
            <w:vAlign w:val="center"/>
          </w:tcPr>
          <w:p w14:paraId="30833E3D" w14:textId="66497868" w:rsidR="006C47A4" w:rsidRPr="007546C3" w:rsidRDefault="006C47A4" w:rsidP="00EC69BE">
            <w:pPr>
              <w:pStyle w:val="CETBodytext"/>
              <w:ind w:right="126"/>
              <w:jc w:val="left"/>
              <w:rPr>
                <w:sz w:val="16"/>
                <w:szCs w:val="18"/>
                <w:lang w:val="en-GB"/>
              </w:rPr>
            </w:pPr>
            <w:r w:rsidRPr="007546C3">
              <w:rPr>
                <w:sz w:val="16"/>
                <w:szCs w:val="18"/>
                <w:lang w:val="en-GB"/>
              </w:rPr>
              <w:t>Auditing process &amp; control loops work, PS actions are followed and implemented</w:t>
            </w:r>
          </w:p>
        </w:tc>
        <w:tc>
          <w:tcPr>
            <w:tcW w:w="0" w:type="auto"/>
            <w:vAlign w:val="center"/>
          </w:tcPr>
          <w:p w14:paraId="03A48275" w14:textId="251A347D" w:rsidR="006C47A4" w:rsidRPr="007546C3" w:rsidRDefault="006C47A4" w:rsidP="00EC69BE">
            <w:pPr>
              <w:pStyle w:val="CETBodytext"/>
              <w:ind w:right="101"/>
              <w:jc w:val="left"/>
              <w:rPr>
                <w:sz w:val="16"/>
                <w:szCs w:val="18"/>
                <w:lang w:val="en-GB"/>
              </w:rPr>
            </w:pPr>
            <w:r w:rsidRPr="007546C3">
              <w:rPr>
                <w:sz w:val="16"/>
                <w:szCs w:val="18"/>
                <w:lang w:val="en-GB"/>
              </w:rPr>
              <w:t>Thorough PSM systems as well as efforts to reinforce the culture that supports process safety</w:t>
            </w:r>
          </w:p>
        </w:tc>
        <w:tc>
          <w:tcPr>
            <w:tcW w:w="0" w:type="auto"/>
            <w:vAlign w:val="center"/>
          </w:tcPr>
          <w:p w14:paraId="35F772FE" w14:textId="01BCA7F9" w:rsidR="006C47A4" w:rsidRPr="007546C3" w:rsidRDefault="006C47A4" w:rsidP="00EC69BE">
            <w:pPr>
              <w:pStyle w:val="CETBodytext"/>
              <w:jc w:val="left"/>
              <w:rPr>
                <w:rFonts w:cs="Arial"/>
                <w:sz w:val="16"/>
                <w:szCs w:val="18"/>
                <w:lang w:val="en-GB"/>
              </w:rPr>
            </w:pPr>
            <w:r w:rsidRPr="007546C3">
              <w:rPr>
                <w:sz w:val="16"/>
                <w:szCs w:val="18"/>
                <w:lang w:val="en-GB"/>
              </w:rPr>
              <w:t>Systems are mature and the culture required to make them efficient is embedded</w:t>
            </w:r>
          </w:p>
        </w:tc>
      </w:tr>
      <w:tr w:rsidR="00895673" w:rsidRPr="00B57B36" w14:paraId="29EB658C" w14:textId="77777777" w:rsidTr="00EC69BE">
        <w:trPr>
          <w:trHeight w:val="256"/>
        </w:trPr>
        <w:tc>
          <w:tcPr>
            <w:tcW w:w="0" w:type="auto"/>
            <w:vAlign w:val="center"/>
          </w:tcPr>
          <w:p w14:paraId="2A2A721A" w14:textId="437198E5" w:rsidR="006C47A4" w:rsidRPr="007546C3" w:rsidRDefault="006C47A4" w:rsidP="009A6929">
            <w:pPr>
              <w:pStyle w:val="CETBodytext"/>
              <w:ind w:right="89"/>
              <w:jc w:val="center"/>
              <w:rPr>
                <w:rFonts w:cs="Arial"/>
                <w:sz w:val="16"/>
                <w:szCs w:val="18"/>
                <w:lang w:val="en-GB"/>
              </w:rPr>
            </w:pPr>
            <w:r w:rsidRPr="007546C3">
              <w:rPr>
                <w:sz w:val="16"/>
                <w:szCs w:val="18"/>
                <w:lang w:val="en-GB"/>
              </w:rPr>
              <w:t>Short Description</w:t>
            </w:r>
          </w:p>
        </w:tc>
        <w:tc>
          <w:tcPr>
            <w:tcW w:w="0" w:type="auto"/>
            <w:vAlign w:val="center"/>
          </w:tcPr>
          <w:p w14:paraId="513F80BC" w14:textId="77777777" w:rsidR="006C47A4" w:rsidRPr="007546C3" w:rsidRDefault="006C47A4" w:rsidP="00EC69BE">
            <w:pPr>
              <w:ind w:right="101"/>
              <w:jc w:val="left"/>
              <w:rPr>
                <w:sz w:val="16"/>
                <w:szCs w:val="18"/>
              </w:rPr>
            </w:pPr>
            <w:r w:rsidRPr="007546C3">
              <w:rPr>
                <w:sz w:val="16"/>
                <w:szCs w:val="18"/>
              </w:rPr>
              <w:t>No organized process safety activities</w:t>
            </w:r>
          </w:p>
          <w:p w14:paraId="6C279BCE" w14:textId="77777777" w:rsidR="006C47A4" w:rsidRPr="007546C3" w:rsidRDefault="006C47A4" w:rsidP="00EC69BE">
            <w:pPr>
              <w:ind w:right="101"/>
              <w:jc w:val="left"/>
              <w:rPr>
                <w:sz w:val="16"/>
                <w:szCs w:val="18"/>
              </w:rPr>
            </w:pPr>
          </w:p>
        </w:tc>
        <w:tc>
          <w:tcPr>
            <w:tcW w:w="0" w:type="auto"/>
            <w:vAlign w:val="center"/>
          </w:tcPr>
          <w:p w14:paraId="396819B3" w14:textId="16035686" w:rsidR="006C47A4" w:rsidRPr="007546C3" w:rsidRDefault="006C47A4" w:rsidP="00EC69BE">
            <w:pPr>
              <w:ind w:right="49"/>
              <w:jc w:val="left"/>
              <w:rPr>
                <w:rFonts w:cs="Arial"/>
                <w:sz w:val="16"/>
                <w:szCs w:val="18"/>
              </w:rPr>
            </w:pPr>
            <w:r w:rsidRPr="007546C3">
              <w:rPr>
                <w:sz w:val="16"/>
                <w:szCs w:val="18"/>
              </w:rPr>
              <w:t>Responds to recognized process safety problems</w:t>
            </w:r>
          </w:p>
        </w:tc>
        <w:tc>
          <w:tcPr>
            <w:tcW w:w="0" w:type="auto"/>
            <w:vAlign w:val="center"/>
          </w:tcPr>
          <w:p w14:paraId="185D4CB8" w14:textId="1FB8E181" w:rsidR="006C47A4" w:rsidRPr="007546C3" w:rsidRDefault="006C47A4" w:rsidP="00EC69BE">
            <w:pPr>
              <w:pStyle w:val="CETBodytext"/>
              <w:ind w:right="104"/>
              <w:jc w:val="left"/>
              <w:rPr>
                <w:sz w:val="16"/>
                <w:szCs w:val="18"/>
                <w:lang w:val="en-GB"/>
              </w:rPr>
            </w:pPr>
            <w:r w:rsidRPr="007546C3">
              <w:rPr>
                <w:sz w:val="16"/>
                <w:szCs w:val="18"/>
                <w:lang w:val="en-GB"/>
              </w:rPr>
              <w:t xml:space="preserve">Does minimum </w:t>
            </w:r>
            <w:proofErr w:type="gramStart"/>
            <w:r w:rsidRPr="007546C3">
              <w:rPr>
                <w:sz w:val="16"/>
                <w:szCs w:val="18"/>
                <w:lang w:val="en-GB"/>
              </w:rPr>
              <w:t>required</w:t>
            </w:r>
            <w:proofErr w:type="gramEnd"/>
            <w:r w:rsidRPr="007546C3">
              <w:rPr>
                <w:sz w:val="16"/>
                <w:szCs w:val="18"/>
                <w:lang w:val="en-GB"/>
              </w:rPr>
              <w:t xml:space="preserve"> by regulations</w:t>
            </w:r>
          </w:p>
        </w:tc>
        <w:tc>
          <w:tcPr>
            <w:tcW w:w="0" w:type="auto"/>
            <w:vAlign w:val="center"/>
          </w:tcPr>
          <w:p w14:paraId="69AEC217" w14:textId="2B9D2299" w:rsidR="006C47A4" w:rsidRPr="007546C3" w:rsidRDefault="006C47A4" w:rsidP="00EC69BE">
            <w:pPr>
              <w:pStyle w:val="CETBodytext"/>
              <w:ind w:right="126"/>
              <w:jc w:val="left"/>
              <w:rPr>
                <w:rFonts w:cs="Arial"/>
                <w:sz w:val="16"/>
                <w:szCs w:val="18"/>
                <w:lang w:val="en-GB"/>
              </w:rPr>
            </w:pPr>
            <w:r w:rsidRPr="007546C3">
              <w:rPr>
                <w:sz w:val="16"/>
                <w:szCs w:val="18"/>
                <w:lang w:val="en-GB"/>
              </w:rPr>
              <w:t>Meets regulatory requirements and has more rigorous internal standards in at least some aspects of process safety</w:t>
            </w:r>
          </w:p>
        </w:tc>
        <w:tc>
          <w:tcPr>
            <w:tcW w:w="0" w:type="auto"/>
            <w:vAlign w:val="center"/>
          </w:tcPr>
          <w:p w14:paraId="5E94C530" w14:textId="795C6F35" w:rsidR="006C47A4" w:rsidRPr="007546C3" w:rsidRDefault="006C47A4" w:rsidP="00EC69BE">
            <w:pPr>
              <w:pStyle w:val="CETBodytext"/>
              <w:ind w:right="101"/>
              <w:jc w:val="left"/>
              <w:rPr>
                <w:sz w:val="16"/>
                <w:szCs w:val="18"/>
                <w:lang w:val="en-GB"/>
              </w:rPr>
            </w:pPr>
            <w:r w:rsidRPr="007546C3">
              <w:rPr>
                <w:sz w:val="16"/>
                <w:szCs w:val="18"/>
                <w:lang w:val="en-GB"/>
              </w:rPr>
              <w:t>Formal efforts to understand and move toward achieving best-in-class performance</w:t>
            </w:r>
          </w:p>
        </w:tc>
        <w:tc>
          <w:tcPr>
            <w:tcW w:w="0" w:type="auto"/>
            <w:vAlign w:val="center"/>
          </w:tcPr>
          <w:p w14:paraId="7058D2EE" w14:textId="3D849A41" w:rsidR="006C47A4" w:rsidRPr="007546C3" w:rsidRDefault="006C47A4" w:rsidP="00EC69BE">
            <w:pPr>
              <w:pStyle w:val="CETBodytext"/>
              <w:jc w:val="left"/>
              <w:rPr>
                <w:rFonts w:cs="Arial"/>
                <w:sz w:val="16"/>
                <w:szCs w:val="18"/>
                <w:lang w:val="en-GB"/>
              </w:rPr>
            </w:pPr>
            <w:r w:rsidRPr="007546C3">
              <w:rPr>
                <w:sz w:val="16"/>
                <w:szCs w:val="18"/>
                <w:lang w:val="en-GB"/>
              </w:rPr>
              <w:t>Demonstrates best-in-class performance, with ongoing efforts at continuous improvement</w:t>
            </w:r>
          </w:p>
        </w:tc>
      </w:tr>
    </w:tbl>
    <w:p w14:paraId="5741900F" w14:textId="0185172D" w:rsidR="00453E24" w:rsidRPr="007546C3" w:rsidRDefault="004F3DF8" w:rsidP="00453E24">
      <w:pPr>
        <w:pStyle w:val="CETHeading1"/>
        <w:rPr>
          <w:lang w:val="en-GB"/>
        </w:rPr>
      </w:pPr>
      <w:r w:rsidRPr="007546C3">
        <w:rPr>
          <w:lang w:val="en-GB"/>
        </w:rPr>
        <w:t>Common Pitfalls in PSM As</w:t>
      </w:r>
      <w:commentRangeStart w:id="5"/>
      <w:commentRangeStart w:id="6"/>
      <w:r w:rsidRPr="007546C3">
        <w:rPr>
          <w:lang w:val="en-GB"/>
        </w:rPr>
        <w:t>sessm</w:t>
      </w:r>
      <w:commentRangeEnd w:id="5"/>
      <w:r w:rsidR="00CD4B69">
        <w:rPr>
          <w:rStyle w:val="CommentReference"/>
          <w:b w:val="0"/>
          <w:lang w:val="en-GB"/>
        </w:rPr>
        <w:commentReference w:id="5"/>
      </w:r>
      <w:commentRangeEnd w:id="6"/>
      <w:r w:rsidR="00CD4B69">
        <w:rPr>
          <w:rStyle w:val="CommentReference"/>
          <w:b w:val="0"/>
          <w:lang w:val="en-GB"/>
        </w:rPr>
        <w:commentReference w:id="6"/>
      </w:r>
      <w:r w:rsidRPr="007546C3">
        <w:rPr>
          <w:lang w:val="en-GB"/>
        </w:rPr>
        <w:t xml:space="preserve">ent </w:t>
      </w:r>
    </w:p>
    <w:p w14:paraId="044681DC" w14:textId="12B7E20C" w:rsidR="007546C3" w:rsidRPr="007546C3" w:rsidRDefault="004F3DF8" w:rsidP="00453E24">
      <w:pPr>
        <w:pStyle w:val="CETBodytext"/>
        <w:rPr>
          <w:lang w:val="en-GB"/>
        </w:rPr>
      </w:pPr>
      <w:r w:rsidRPr="007546C3">
        <w:rPr>
          <w:lang w:val="en-GB"/>
        </w:rPr>
        <w:t>Despite the availability of robust frameworks, PSM assessments are often undermined by several recurring issues. Based on DEKRA’s experience, the most common pitfalls include ineffective</w:t>
      </w:r>
      <w:r w:rsidR="007546C3" w:rsidRPr="007546C3">
        <w:rPr>
          <w:lang w:val="en-GB"/>
        </w:rPr>
        <w:t xml:space="preserve"> selection of</w:t>
      </w:r>
      <w:r w:rsidRPr="007546C3">
        <w:rPr>
          <w:lang w:val="en-GB"/>
        </w:rPr>
        <w:t xml:space="preserve"> KPIs, inadequate risk assessment frameworks, and deficiencies in cultural and leadership practices.</w:t>
      </w:r>
      <w:r w:rsidR="007546C3" w:rsidRPr="007546C3">
        <w:rPr>
          <w:lang w:val="en-GB"/>
        </w:rPr>
        <w:t xml:space="preserve"> In the next paragraphs, these aspects will be </w:t>
      </w:r>
      <w:r w:rsidR="00495D20">
        <w:rPr>
          <w:lang w:val="en-GB"/>
        </w:rPr>
        <w:t>analysed</w:t>
      </w:r>
      <w:r w:rsidR="007546C3" w:rsidRPr="007546C3">
        <w:rPr>
          <w:lang w:val="en-GB"/>
        </w:rPr>
        <w:t xml:space="preserve"> </w:t>
      </w:r>
      <w:r w:rsidR="00245733">
        <w:rPr>
          <w:lang w:val="en-GB"/>
        </w:rPr>
        <w:t>to</w:t>
      </w:r>
      <w:r w:rsidR="007546C3" w:rsidRPr="007546C3">
        <w:rPr>
          <w:lang w:val="en-GB"/>
        </w:rPr>
        <w:t xml:space="preserve"> </w:t>
      </w:r>
      <w:r w:rsidR="00E661E8">
        <w:rPr>
          <w:lang w:val="en-GB"/>
        </w:rPr>
        <w:t>ill</w:t>
      </w:r>
      <w:r w:rsidR="00594048">
        <w:rPr>
          <w:lang w:val="en-GB"/>
        </w:rPr>
        <w:t xml:space="preserve">ustrate the common pitfalls and </w:t>
      </w:r>
      <w:r w:rsidR="007546C3" w:rsidRPr="007546C3">
        <w:rPr>
          <w:lang w:val="en-GB"/>
        </w:rPr>
        <w:t>describe the possible approaches to be adopted.</w:t>
      </w:r>
    </w:p>
    <w:p w14:paraId="18BAFA6F" w14:textId="232379E7" w:rsidR="00453E24" w:rsidRPr="00252853" w:rsidRDefault="00252853" w:rsidP="00453E24">
      <w:pPr>
        <w:pStyle w:val="CETheadingx"/>
        <w:rPr>
          <w:lang w:val="en-GB"/>
        </w:rPr>
      </w:pPr>
      <w:bookmarkStart w:id="7" w:name="_Ref184889115"/>
      <w:r w:rsidRPr="00252853">
        <w:rPr>
          <w:lang w:val="en-GB"/>
        </w:rPr>
        <w:t>Inefficient</w:t>
      </w:r>
      <w:r w:rsidR="00CE2AAA" w:rsidRPr="00252853">
        <w:rPr>
          <w:lang w:val="en-GB"/>
        </w:rPr>
        <w:t xml:space="preserve"> r</w:t>
      </w:r>
      <w:r w:rsidR="00610DE5" w:rsidRPr="00252853">
        <w:rPr>
          <w:lang w:val="en-GB"/>
        </w:rPr>
        <w:t xml:space="preserve">isk </w:t>
      </w:r>
      <w:r w:rsidR="000E2455" w:rsidRPr="00252853">
        <w:rPr>
          <w:lang w:val="en-GB"/>
        </w:rPr>
        <w:t>assessment</w:t>
      </w:r>
      <w:bookmarkEnd w:id="7"/>
    </w:p>
    <w:p w14:paraId="70C176AB" w14:textId="3056070E" w:rsidR="007A0864" w:rsidRDefault="009F130E" w:rsidP="009F130E">
      <w:pPr>
        <w:pStyle w:val="CETBodytext"/>
        <w:rPr>
          <w:lang w:val="en-GB"/>
        </w:rPr>
      </w:pPr>
      <w:r w:rsidRPr="009F130E">
        <w:rPr>
          <w:lang w:val="en-GB"/>
        </w:rPr>
        <w:t>Risk assessments are one of the most important safety procedures for any industrial setting</w:t>
      </w:r>
      <w:r w:rsidR="008706E9">
        <w:rPr>
          <w:lang w:val="en-GB"/>
        </w:rPr>
        <w:t xml:space="preserve"> since they </w:t>
      </w:r>
      <w:r w:rsidR="00FA02D1">
        <w:rPr>
          <w:lang w:val="en-GB"/>
        </w:rPr>
        <w:t>have</w:t>
      </w:r>
      <w:r w:rsidRPr="009F130E">
        <w:rPr>
          <w:lang w:val="en-GB"/>
        </w:rPr>
        <w:t xml:space="preserve"> a large role in ensuring safety </w:t>
      </w:r>
      <w:r w:rsidR="008706E9">
        <w:rPr>
          <w:lang w:val="en-GB"/>
        </w:rPr>
        <w:t>by identifying major accident scenarios</w:t>
      </w:r>
      <w:r w:rsidRPr="009F130E">
        <w:rPr>
          <w:lang w:val="en-GB"/>
        </w:rPr>
        <w:t xml:space="preserve">. Nevertheless, several long-standing problems limit their efficiency and accuracy. </w:t>
      </w:r>
    </w:p>
    <w:p w14:paraId="75D51A92" w14:textId="58185512" w:rsidR="00B64DBD" w:rsidRDefault="008706E9" w:rsidP="009F130E">
      <w:pPr>
        <w:pStyle w:val="CETBodytext"/>
        <w:rPr>
          <w:lang w:val="en-GB"/>
        </w:rPr>
      </w:pPr>
      <w:r>
        <w:rPr>
          <w:lang w:val="en-GB"/>
        </w:rPr>
        <w:lastRenderedPageBreak/>
        <w:t>A</w:t>
      </w:r>
      <w:r w:rsidR="009F130E" w:rsidRPr="009F130E">
        <w:rPr>
          <w:lang w:val="en-GB"/>
        </w:rPr>
        <w:t xml:space="preserve">ccurate and up-to-date Process Safety Information (PSI) is the first step in conducting a proper risk assessment. Yet, </w:t>
      </w:r>
      <w:r>
        <w:rPr>
          <w:lang w:val="en-GB"/>
        </w:rPr>
        <w:t>several</w:t>
      </w:r>
      <w:r w:rsidR="009F130E" w:rsidRPr="009F130E">
        <w:rPr>
          <w:lang w:val="en-GB"/>
        </w:rPr>
        <w:t xml:space="preserve"> organizations fail as they face the problem of cluttered documentation, poor data quality, and stale information. </w:t>
      </w:r>
      <w:r w:rsidRPr="008706E9">
        <w:rPr>
          <w:lang w:val="en-GB"/>
        </w:rPr>
        <w:t>During</w:t>
      </w:r>
      <w:r>
        <w:rPr>
          <w:lang w:val="en-GB"/>
        </w:rPr>
        <w:t xml:space="preserve"> some of</w:t>
      </w:r>
      <w:r w:rsidRPr="008706E9">
        <w:rPr>
          <w:lang w:val="en-GB"/>
        </w:rPr>
        <w:t xml:space="preserve"> DEKRA’s PSM audits, it has been found</w:t>
      </w:r>
      <w:r w:rsidR="006F5AB2">
        <w:rPr>
          <w:lang w:val="en-GB"/>
        </w:rPr>
        <w:t xml:space="preserve"> that the necessary </w:t>
      </w:r>
      <w:r w:rsidR="006C23E0">
        <w:rPr>
          <w:lang w:val="en-GB"/>
        </w:rPr>
        <w:t>data</w:t>
      </w:r>
      <w:r w:rsidR="006F5AB2">
        <w:rPr>
          <w:lang w:val="en-GB"/>
        </w:rPr>
        <w:t xml:space="preserve"> was </w:t>
      </w:r>
      <w:r w:rsidR="003B5B0D">
        <w:rPr>
          <w:lang w:val="en-GB"/>
        </w:rPr>
        <w:t>stored</w:t>
      </w:r>
      <w:r w:rsidR="006F5AB2">
        <w:rPr>
          <w:lang w:val="en-GB"/>
        </w:rPr>
        <w:t xml:space="preserve"> in a personal </w:t>
      </w:r>
      <w:r w:rsidR="006C23E0">
        <w:rPr>
          <w:lang w:val="en-GB"/>
        </w:rPr>
        <w:t>folder</w:t>
      </w:r>
      <w:r w:rsidR="003B5B0D">
        <w:rPr>
          <w:lang w:val="en-GB"/>
        </w:rPr>
        <w:t xml:space="preserve"> or even</w:t>
      </w:r>
      <w:r w:rsidR="005D4EFA">
        <w:rPr>
          <w:lang w:val="en-GB"/>
        </w:rPr>
        <w:t xml:space="preserve"> in</w:t>
      </w:r>
      <w:r w:rsidR="003B5B0D">
        <w:rPr>
          <w:lang w:val="en-GB"/>
        </w:rPr>
        <w:t xml:space="preserve"> the email inbox</w:t>
      </w:r>
      <w:r>
        <w:rPr>
          <w:lang w:val="en-GB"/>
        </w:rPr>
        <w:t>,</w:t>
      </w:r>
      <w:r w:rsidR="003B5B0D">
        <w:rPr>
          <w:lang w:val="en-GB"/>
        </w:rPr>
        <w:t xml:space="preserve"> without saving </w:t>
      </w:r>
      <w:r w:rsidR="005D4EFA">
        <w:rPr>
          <w:lang w:val="en-GB"/>
        </w:rPr>
        <w:t xml:space="preserve">it </w:t>
      </w:r>
      <w:r w:rsidR="003B5B0D">
        <w:rPr>
          <w:lang w:val="en-GB"/>
        </w:rPr>
        <w:t>in the related work folder</w:t>
      </w:r>
      <w:r>
        <w:rPr>
          <w:lang w:val="en-GB"/>
        </w:rPr>
        <w:t>;</w:t>
      </w:r>
      <w:r w:rsidR="00A73571">
        <w:rPr>
          <w:lang w:val="en-GB"/>
        </w:rPr>
        <w:t xml:space="preserve"> therefore</w:t>
      </w:r>
      <w:r>
        <w:rPr>
          <w:lang w:val="en-GB"/>
        </w:rPr>
        <w:t>,</w:t>
      </w:r>
      <w:r w:rsidR="00A73571">
        <w:rPr>
          <w:lang w:val="en-GB"/>
        </w:rPr>
        <w:t xml:space="preserve"> these necessary documents were not available for </w:t>
      </w:r>
      <w:r w:rsidR="00E649C9">
        <w:rPr>
          <w:lang w:val="en-GB"/>
        </w:rPr>
        <w:t>all related</w:t>
      </w:r>
      <w:r w:rsidR="00A73571">
        <w:rPr>
          <w:lang w:val="en-GB"/>
        </w:rPr>
        <w:t xml:space="preserve"> functions.</w:t>
      </w:r>
      <w:r w:rsidR="006C23E0">
        <w:rPr>
          <w:lang w:val="en-GB"/>
        </w:rPr>
        <w:t xml:space="preserve"> </w:t>
      </w:r>
      <w:r w:rsidR="006E6748">
        <w:rPr>
          <w:lang w:val="en-GB"/>
        </w:rPr>
        <w:t>Centralizing</w:t>
      </w:r>
      <w:r w:rsidR="009F130E" w:rsidRPr="009F130E">
        <w:rPr>
          <w:lang w:val="en-GB"/>
        </w:rPr>
        <w:t xml:space="preserve"> PSI in a shared and regularly updated digital repository</w:t>
      </w:r>
      <w:r w:rsidR="00A90F27">
        <w:rPr>
          <w:lang w:val="en-GB"/>
        </w:rPr>
        <w:t xml:space="preserve"> is </w:t>
      </w:r>
      <w:r w:rsidR="00DC2183">
        <w:rPr>
          <w:lang w:val="en-GB"/>
        </w:rPr>
        <w:t xml:space="preserve">fundamental </w:t>
      </w:r>
      <w:r w:rsidR="004807BC">
        <w:rPr>
          <w:lang w:val="en-GB"/>
        </w:rPr>
        <w:t>to</w:t>
      </w:r>
      <w:r w:rsidR="00DC2183">
        <w:rPr>
          <w:lang w:val="en-GB"/>
        </w:rPr>
        <w:t xml:space="preserve"> </w:t>
      </w:r>
      <w:r w:rsidR="004807BC">
        <w:rPr>
          <w:lang w:val="en-GB"/>
        </w:rPr>
        <w:t>ensure</w:t>
      </w:r>
      <w:r w:rsidR="00DC2183">
        <w:rPr>
          <w:lang w:val="en-GB"/>
        </w:rPr>
        <w:t xml:space="preserve"> </w:t>
      </w:r>
      <w:r w:rsidR="004807BC">
        <w:rPr>
          <w:lang w:val="en-GB"/>
        </w:rPr>
        <w:t xml:space="preserve">the </w:t>
      </w:r>
      <w:r w:rsidR="00DC2183">
        <w:rPr>
          <w:lang w:val="en-GB"/>
        </w:rPr>
        <w:t xml:space="preserve">availability of </w:t>
      </w:r>
      <w:r w:rsidR="004807BC">
        <w:rPr>
          <w:lang w:val="en-GB"/>
        </w:rPr>
        <w:t>documentation</w:t>
      </w:r>
      <w:r w:rsidR="00DC2183">
        <w:rPr>
          <w:lang w:val="en-GB"/>
        </w:rPr>
        <w:t xml:space="preserve"> to all </w:t>
      </w:r>
      <w:r w:rsidR="004807BC">
        <w:rPr>
          <w:lang w:val="en-GB"/>
        </w:rPr>
        <w:t>personnel</w:t>
      </w:r>
      <w:r w:rsidR="006E6748">
        <w:rPr>
          <w:lang w:val="en-GB"/>
        </w:rPr>
        <w:t xml:space="preserve"> and departments</w:t>
      </w:r>
      <w:r w:rsidR="009F130E" w:rsidRPr="009F130E">
        <w:rPr>
          <w:lang w:val="en-GB"/>
        </w:rPr>
        <w:t xml:space="preserve">. By leveraging real-time operational data using AI tools, records would </w:t>
      </w:r>
      <w:r w:rsidR="00F1638C">
        <w:rPr>
          <w:lang w:val="en-GB"/>
        </w:rPr>
        <w:t>now be</w:t>
      </w:r>
      <w:r w:rsidR="009F130E" w:rsidRPr="009F130E">
        <w:rPr>
          <w:lang w:val="en-GB"/>
        </w:rPr>
        <w:t xml:space="preserve"> updated automatically and always consistent</w:t>
      </w:r>
      <w:r w:rsidR="008470F8">
        <w:rPr>
          <w:lang w:val="en-GB"/>
        </w:rPr>
        <w:t>,</w:t>
      </w:r>
      <w:r w:rsidR="009F130E" w:rsidRPr="009F130E">
        <w:rPr>
          <w:lang w:val="en-GB"/>
        </w:rPr>
        <w:t xml:space="preserve"> making them more freely accessible. </w:t>
      </w:r>
    </w:p>
    <w:p w14:paraId="6BFE18A6" w14:textId="6ED4D24F" w:rsidR="00AF02F8" w:rsidRDefault="00AF02F8" w:rsidP="009F130E">
      <w:pPr>
        <w:pStyle w:val="CETBodytext"/>
        <w:rPr>
          <w:lang w:val="en-GB"/>
        </w:rPr>
      </w:pPr>
      <w:r>
        <w:rPr>
          <w:lang w:val="en-GB"/>
        </w:rPr>
        <w:t>Together with the accurate and up-to-date PSI, it is fundamental to conduct the risk assessment properly (e.g., HAZOP study) since</w:t>
      </w:r>
      <w:r w:rsidR="009F130E" w:rsidRPr="009F130E">
        <w:rPr>
          <w:lang w:val="en-GB"/>
        </w:rPr>
        <w:t xml:space="preserve">, if not </w:t>
      </w:r>
      <w:r w:rsidR="00B64DBD">
        <w:rPr>
          <w:lang w:val="en-GB"/>
        </w:rPr>
        <w:t>well-focused</w:t>
      </w:r>
      <w:r w:rsidR="009F130E" w:rsidRPr="009F130E">
        <w:rPr>
          <w:lang w:val="en-GB"/>
        </w:rPr>
        <w:t xml:space="preserve">, </w:t>
      </w:r>
      <w:r>
        <w:rPr>
          <w:lang w:val="en-GB"/>
        </w:rPr>
        <w:t xml:space="preserve">it </w:t>
      </w:r>
      <w:r w:rsidR="009F130E" w:rsidRPr="009F130E">
        <w:rPr>
          <w:lang w:val="en-GB"/>
        </w:rPr>
        <w:t>will directly affect the outcome of risk a</w:t>
      </w:r>
      <w:r w:rsidR="00097FEE">
        <w:rPr>
          <w:lang w:val="en-GB"/>
        </w:rPr>
        <w:t>ssessment</w:t>
      </w:r>
      <w:r w:rsidR="009F130E" w:rsidRPr="009F130E">
        <w:rPr>
          <w:lang w:val="en-GB"/>
        </w:rPr>
        <w:t xml:space="preserve">. </w:t>
      </w:r>
      <w:r w:rsidR="00667A9E">
        <w:rPr>
          <w:lang w:val="en-GB"/>
        </w:rPr>
        <w:t>S</w:t>
      </w:r>
      <w:r w:rsidR="009F130E" w:rsidRPr="009F130E">
        <w:rPr>
          <w:lang w:val="en-GB"/>
        </w:rPr>
        <w:t>ome of t</w:t>
      </w:r>
      <w:r w:rsidR="003E26C7">
        <w:rPr>
          <w:lang w:val="en-GB"/>
        </w:rPr>
        <w:t>he</w:t>
      </w:r>
      <w:r w:rsidR="00667A9E">
        <w:rPr>
          <w:lang w:val="en-GB"/>
        </w:rPr>
        <w:t xml:space="preserve"> </w:t>
      </w:r>
      <w:r w:rsidR="00DD5101">
        <w:rPr>
          <w:lang w:val="en-GB"/>
        </w:rPr>
        <w:t>key aspects</w:t>
      </w:r>
      <w:r w:rsidR="00F75B7B">
        <w:rPr>
          <w:lang w:val="en-GB"/>
        </w:rPr>
        <w:t xml:space="preserve"> </w:t>
      </w:r>
      <w:r w:rsidR="0053473C">
        <w:rPr>
          <w:lang w:val="en-GB"/>
        </w:rPr>
        <w:t>of performing</w:t>
      </w:r>
      <w:r w:rsidR="00F75B7B">
        <w:rPr>
          <w:lang w:val="en-GB"/>
        </w:rPr>
        <w:t xml:space="preserve"> a high-quality risk assessment are: </w:t>
      </w:r>
    </w:p>
    <w:p w14:paraId="5769D334" w14:textId="3C69F67C" w:rsidR="00AF02F8" w:rsidRDefault="009F130E" w:rsidP="00F67F4F">
      <w:pPr>
        <w:pStyle w:val="CETBodytext"/>
        <w:numPr>
          <w:ilvl w:val="0"/>
          <w:numId w:val="37"/>
        </w:numPr>
        <w:ind w:left="270"/>
        <w:rPr>
          <w:lang w:val="en-GB"/>
        </w:rPr>
      </w:pPr>
      <w:r w:rsidRPr="009F130E">
        <w:rPr>
          <w:lang w:val="en-GB"/>
        </w:rPr>
        <w:t xml:space="preserve">A good </w:t>
      </w:r>
      <w:r w:rsidR="00955538">
        <w:rPr>
          <w:lang w:val="en-GB"/>
        </w:rPr>
        <w:t xml:space="preserve">(and independent) </w:t>
      </w:r>
      <w:r w:rsidRPr="009F130E">
        <w:rPr>
          <w:lang w:val="en-GB"/>
        </w:rPr>
        <w:t>chairman</w:t>
      </w:r>
      <w:r w:rsidR="00AF02F8">
        <w:rPr>
          <w:lang w:val="en-GB"/>
        </w:rPr>
        <w:t xml:space="preserve">: </w:t>
      </w:r>
      <w:r w:rsidRPr="009F130E">
        <w:rPr>
          <w:lang w:val="en-GB"/>
        </w:rPr>
        <w:t xml:space="preserve">leaders </w:t>
      </w:r>
      <w:r w:rsidR="00AF02F8">
        <w:rPr>
          <w:lang w:val="en-GB"/>
        </w:rPr>
        <w:t xml:space="preserve">should be properly trained and competent </w:t>
      </w:r>
      <w:r w:rsidR="005D7835">
        <w:rPr>
          <w:lang w:val="en-GB"/>
        </w:rPr>
        <w:t>in</w:t>
      </w:r>
      <w:r w:rsidR="00AF02F8">
        <w:rPr>
          <w:lang w:val="en-GB"/>
        </w:rPr>
        <w:t xml:space="preserve"> </w:t>
      </w:r>
      <w:r w:rsidRPr="009F130E">
        <w:rPr>
          <w:lang w:val="en-GB"/>
        </w:rPr>
        <w:t>both technical</w:t>
      </w:r>
      <w:r w:rsidR="00AF02F8">
        <w:rPr>
          <w:lang w:val="en-GB"/>
        </w:rPr>
        <w:t xml:space="preserve"> and management aspects</w:t>
      </w:r>
      <w:r w:rsidR="00B30E30">
        <w:rPr>
          <w:lang w:val="en-GB"/>
        </w:rPr>
        <w:t>, to</w:t>
      </w:r>
      <w:r w:rsidR="00955538">
        <w:rPr>
          <w:lang w:val="en-GB"/>
        </w:rPr>
        <w:t xml:space="preserve"> properly stimulate the discussion among the team and critically evaluate the resulting hazardous scenarios</w:t>
      </w:r>
      <w:r w:rsidRPr="009F130E">
        <w:rPr>
          <w:lang w:val="en-GB"/>
        </w:rPr>
        <w:t xml:space="preserve">. </w:t>
      </w:r>
    </w:p>
    <w:p w14:paraId="5D8A0025" w14:textId="136FBC90" w:rsidR="00F92270" w:rsidRDefault="00F92270" w:rsidP="00F67F4F">
      <w:pPr>
        <w:pStyle w:val="CETBodytext"/>
        <w:numPr>
          <w:ilvl w:val="0"/>
          <w:numId w:val="37"/>
        </w:numPr>
        <w:ind w:left="270"/>
        <w:rPr>
          <w:lang w:val="en-GB"/>
        </w:rPr>
      </w:pPr>
      <w:r>
        <w:rPr>
          <w:lang w:val="en-GB"/>
        </w:rPr>
        <w:t xml:space="preserve">Proper timing for the assessment: too early or too late </w:t>
      </w:r>
      <w:r w:rsidR="007B545A">
        <w:rPr>
          <w:lang w:val="en-GB"/>
        </w:rPr>
        <w:t>risk assessment</w:t>
      </w:r>
      <w:r>
        <w:rPr>
          <w:lang w:val="en-GB"/>
        </w:rPr>
        <w:t xml:space="preserve"> will lead to a loss of the cost benefits of this risk assessment</w:t>
      </w:r>
      <w:r w:rsidR="00F92AB7">
        <w:rPr>
          <w:lang w:val="en-GB"/>
        </w:rPr>
        <w:t xml:space="preserve">; early </w:t>
      </w:r>
      <w:r w:rsidR="007B545A">
        <w:rPr>
          <w:lang w:val="en-GB"/>
        </w:rPr>
        <w:t>stage risk assessment</w:t>
      </w:r>
      <w:r w:rsidR="00F92AB7">
        <w:rPr>
          <w:lang w:val="en-GB"/>
        </w:rPr>
        <w:t xml:space="preserve"> (e.g., when P&amp;IDs are not yet detailed with operating process information) will </w:t>
      </w:r>
      <w:r w:rsidR="00F92AB7" w:rsidRPr="009F130E">
        <w:rPr>
          <w:lang w:val="en-GB"/>
        </w:rPr>
        <w:t>mak</w:t>
      </w:r>
      <w:r w:rsidR="00F92AB7">
        <w:rPr>
          <w:lang w:val="en-GB"/>
        </w:rPr>
        <w:t>e</w:t>
      </w:r>
      <w:r w:rsidR="00F92AB7" w:rsidRPr="009F130E">
        <w:rPr>
          <w:lang w:val="en-GB"/>
        </w:rPr>
        <w:t xml:space="preserve"> the exercise less impactful </w:t>
      </w:r>
      <w:r w:rsidR="00F92AB7">
        <w:rPr>
          <w:lang w:val="en-GB"/>
        </w:rPr>
        <w:t xml:space="preserve">leading to the necessity to repeat the assessment later, while too late </w:t>
      </w:r>
      <w:r w:rsidR="00660526">
        <w:rPr>
          <w:lang w:val="en-GB"/>
        </w:rPr>
        <w:t>risk assessment</w:t>
      </w:r>
      <w:r w:rsidR="00F92AB7">
        <w:rPr>
          <w:lang w:val="en-GB"/>
        </w:rPr>
        <w:t xml:space="preserve"> could impact on the economic aspect of the project in case of required modifications.</w:t>
      </w:r>
      <w:r w:rsidR="006A16D4">
        <w:rPr>
          <w:lang w:val="en-GB"/>
        </w:rPr>
        <w:t xml:space="preserve"> In general, proper scheduling of the project is fundamental </w:t>
      </w:r>
      <w:r w:rsidR="006A16D4">
        <w:rPr>
          <w:lang w:val="en-GB"/>
        </w:rPr>
        <w:lastRenderedPageBreak/>
        <w:t xml:space="preserve">to </w:t>
      </w:r>
      <w:r w:rsidR="005B15C2">
        <w:rPr>
          <w:lang w:val="en-GB"/>
        </w:rPr>
        <w:t>obtaining</w:t>
      </w:r>
      <w:r w:rsidR="006A16D4">
        <w:rPr>
          <w:lang w:val="en-GB"/>
        </w:rPr>
        <w:t xml:space="preserve"> high-efficiency risk assessment with the minimum economic impact.</w:t>
      </w:r>
    </w:p>
    <w:p w14:paraId="7EB111BD" w14:textId="7FFA6F03" w:rsidR="00F92270" w:rsidRDefault="005B15C2" w:rsidP="00F67F4F">
      <w:pPr>
        <w:pStyle w:val="CETBodytext"/>
        <w:numPr>
          <w:ilvl w:val="0"/>
          <w:numId w:val="37"/>
        </w:numPr>
        <w:ind w:left="270"/>
        <w:rPr>
          <w:lang w:val="en-GB"/>
        </w:rPr>
      </w:pPr>
      <w:r>
        <w:rPr>
          <w:lang w:val="en-GB"/>
        </w:rPr>
        <w:t>Risk assessment</w:t>
      </w:r>
      <w:r w:rsidR="00F92AB7">
        <w:rPr>
          <w:lang w:val="en-GB"/>
        </w:rPr>
        <w:t xml:space="preserve"> team knowledge: </w:t>
      </w:r>
      <w:r w:rsidR="00B30E30">
        <w:rPr>
          <w:lang w:val="en-GB"/>
        </w:rPr>
        <w:t>people</w:t>
      </w:r>
      <w:r w:rsidR="00F92AB7" w:rsidRPr="009F130E">
        <w:rPr>
          <w:lang w:val="en-GB"/>
        </w:rPr>
        <w:t xml:space="preserve"> involved in risk assessments usually have no training </w:t>
      </w:r>
      <w:r w:rsidR="00F92AB7">
        <w:rPr>
          <w:lang w:val="en-GB"/>
        </w:rPr>
        <w:t>to</w:t>
      </w:r>
      <w:r w:rsidR="00F92AB7" w:rsidRPr="009F130E">
        <w:rPr>
          <w:lang w:val="en-GB"/>
        </w:rPr>
        <w:t xml:space="preserve"> be able to participate. This can lead to identifying or overlooking hazards</w:t>
      </w:r>
      <w:r w:rsidR="00F92AB7">
        <w:rPr>
          <w:lang w:val="en-GB"/>
        </w:rPr>
        <w:t xml:space="preserve"> a</w:t>
      </w:r>
      <w:r w:rsidR="00F92AB7" w:rsidRPr="009F130E">
        <w:rPr>
          <w:lang w:val="en-GB"/>
        </w:rPr>
        <w:t>nd failure to offer workable solutions. Reflecting, organizations need to ensure they have adequate targeted training programs in place.</w:t>
      </w:r>
      <w:r w:rsidR="00B30E30">
        <w:rPr>
          <w:lang w:val="en-GB"/>
        </w:rPr>
        <w:t xml:space="preserve"> </w:t>
      </w:r>
      <w:r w:rsidR="00F92AB7" w:rsidRPr="009F130E">
        <w:rPr>
          <w:lang w:val="en-GB"/>
        </w:rPr>
        <w:t xml:space="preserve">One of the best ways to practice is by running simulated </w:t>
      </w:r>
      <w:r w:rsidR="00D34F12">
        <w:rPr>
          <w:lang w:val="en-GB"/>
        </w:rPr>
        <w:t>Risk assessment</w:t>
      </w:r>
      <w:r w:rsidR="00F92AB7" w:rsidRPr="009F130E">
        <w:rPr>
          <w:lang w:val="en-GB"/>
        </w:rPr>
        <w:t xml:space="preserve"> sessions</w:t>
      </w:r>
      <w:r w:rsidR="00B30E30">
        <w:rPr>
          <w:lang w:val="en-GB"/>
        </w:rPr>
        <w:t>.</w:t>
      </w:r>
    </w:p>
    <w:p w14:paraId="7D578E5F" w14:textId="5D116543" w:rsidR="00F92270" w:rsidRDefault="00B30E30" w:rsidP="00F67F4F">
      <w:pPr>
        <w:pStyle w:val="CETBodytext"/>
        <w:numPr>
          <w:ilvl w:val="0"/>
          <w:numId w:val="37"/>
        </w:numPr>
        <w:ind w:left="270"/>
        <w:rPr>
          <w:lang w:val="en-GB"/>
        </w:rPr>
      </w:pPr>
      <w:r>
        <w:rPr>
          <w:lang w:val="en-GB"/>
        </w:rPr>
        <w:t>Risk Matrix: not calibrated risk matrix</w:t>
      </w:r>
      <w:r w:rsidRPr="009F130E">
        <w:rPr>
          <w:lang w:val="en-GB"/>
        </w:rPr>
        <w:t xml:space="preserve"> can lead to misinterpretations </w:t>
      </w:r>
      <w:r>
        <w:rPr>
          <w:lang w:val="en-GB"/>
        </w:rPr>
        <w:t xml:space="preserve">or poor prioritization </w:t>
      </w:r>
      <w:r w:rsidRPr="009F130E">
        <w:rPr>
          <w:lang w:val="en-GB"/>
        </w:rPr>
        <w:t xml:space="preserve">since the analysis may be too general, not considering unique aspects of a project, or lacking enough granularity to differentiate between </w:t>
      </w:r>
      <w:r>
        <w:rPr>
          <w:lang w:val="en-GB"/>
        </w:rPr>
        <w:t>extreme</w:t>
      </w:r>
      <w:r w:rsidRPr="009F130E">
        <w:rPr>
          <w:lang w:val="en-GB"/>
        </w:rPr>
        <w:t xml:space="preserve"> scenarios with low versus high severity risks</w:t>
      </w:r>
      <w:r>
        <w:rPr>
          <w:lang w:val="en-GB"/>
        </w:rPr>
        <w:t xml:space="preserve">. It is recommended to adopt </w:t>
      </w:r>
      <w:r w:rsidR="00C72D80">
        <w:rPr>
          <w:lang w:val="en-GB"/>
        </w:rPr>
        <w:t xml:space="preserve">an </w:t>
      </w:r>
      <w:r>
        <w:rPr>
          <w:lang w:val="en-GB"/>
        </w:rPr>
        <w:t>internationally recognized and agreed risk matrix to ensure adequate risk acceptability criteria</w:t>
      </w:r>
      <w:r w:rsidR="00904D0D">
        <w:rPr>
          <w:lang w:val="en-GB"/>
        </w:rPr>
        <w:t xml:space="preserve"> (Reducing risk, Protecting People, 2001</w:t>
      </w:r>
      <w:r>
        <w:rPr>
          <w:lang w:val="en-GB"/>
        </w:rPr>
        <w:t>)</w:t>
      </w:r>
      <w:r w:rsidR="006B489D">
        <w:rPr>
          <w:lang w:val="en-GB"/>
        </w:rPr>
        <w:t>.</w:t>
      </w:r>
    </w:p>
    <w:p w14:paraId="6F7CDC3D" w14:textId="24057244" w:rsidR="001D0C96" w:rsidRPr="001D0C96" w:rsidRDefault="00B30E30" w:rsidP="00F67F4F">
      <w:pPr>
        <w:pStyle w:val="CETBodytext"/>
        <w:numPr>
          <w:ilvl w:val="0"/>
          <w:numId w:val="37"/>
        </w:numPr>
        <w:ind w:left="270"/>
        <w:rPr>
          <w:lang w:val="en-GB"/>
        </w:rPr>
      </w:pPr>
      <w:r>
        <w:rPr>
          <w:lang w:val="en-GB"/>
        </w:rPr>
        <w:t>Recommendations: r</w:t>
      </w:r>
      <w:r w:rsidRPr="009F130E">
        <w:rPr>
          <w:lang w:val="en-GB"/>
        </w:rPr>
        <w:t>isk assessments frequently lead to recommendations that everyone knows are impractical, such as No accountability for risk mitigation and No follow-up method for implementation tracking or effectiveness verification. Recommendations should be SMART (Specific, Measurable, Achievable, Relevant</w:t>
      </w:r>
      <w:r w:rsidR="003D10C8">
        <w:rPr>
          <w:lang w:val="en-GB"/>
        </w:rPr>
        <w:t>,</w:t>
      </w:r>
      <w:r w:rsidRPr="009F130E">
        <w:rPr>
          <w:lang w:val="en-GB"/>
        </w:rPr>
        <w:t xml:space="preserve"> and Time-bound)</w:t>
      </w:r>
      <w:r w:rsidR="007423BB">
        <w:rPr>
          <w:lang w:val="en-GB"/>
        </w:rPr>
        <w:t xml:space="preserve">; </w:t>
      </w:r>
      <w:r w:rsidR="001D0C96" w:rsidRPr="001D0C96">
        <w:rPr>
          <w:lang w:val="en-GB"/>
        </w:rPr>
        <w:t xml:space="preserve">also </w:t>
      </w:r>
      <w:r w:rsidR="007423BB">
        <w:rPr>
          <w:lang w:val="en-GB"/>
        </w:rPr>
        <w:t>leveraging</w:t>
      </w:r>
      <w:r w:rsidR="001D0C96" w:rsidRPr="001D0C96">
        <w:rPr>
          <w:lang w:val="en-GB"/>
        </w:rPr>
        <w:t xml:space="preserve"> a Dynamic Risk Register </w:t>
      </w:r>
      <w:r w:rsidR="00F43975">
        <w:rPr>
          <w:lang w:val="en-GB"/>
        </w:rPr>
        <w:t>makes it</w:t>
      </w:r>
      <w:r w:rsidR="007423BB">
        <w:rPr>
          <w:lang w:val="en-GB"/>
        </w:rPr>
        <w:t xml:space="preserve"> possible to</w:t>
      </w:r>
      <w:r w:rsidR="001D0C96" w:rsidRPr="001D0C96">
        <w:rPr>
          <w:lang w:val="en-GB"/>
        </w:rPr>
        <w:t xml:space="preserve"> track recommendations continuously by assigning responsibility and sending automatic reminders for overdue actions.</w:t>
      </w:r>
    </w:p>
    <w:p w14:paraId="6226AFB1" w14:textId="5F1D251E" w:rsidR="00610DE5" w:rsidRDefault="002064D3" w:rsidP="009F130E">
      <w:pPr>
        <w:pStyle w:val="CETBodytext"/>
        <w:rPr>
          <w:lang w:val="en-GB"/>
        </w:rPr>
      </w:pPr>
      <w:r>
        <w:rPr>
          <w:lang w:val="en-GB"/>
        </w:rPr>
        <w:t xml:space="preserve">Furthermore, risk assessment outcomes often lead to complex and long-term improvement plans which, in turn, lead to the need </w:t>
      </w:r>
      <w:r w:rsidR="008059AA">
        <w:rPr>
          <w:lang w:val="en-GB"/>
        </w:rPr>
        <w:t>for</w:t>
      </w:r>
      <w:r>
        <w:rPr>
          <w:lang w:val="en-GB"/>
        </w:rPr>
        <w:t xml:space="preserve"> continuous updating of the risk assessment results. Moreover, due to the increasing com</w:t>
      </w:r>
      <w:r>
        <w:rPr>
          <w:lang w:val="en-GB"/>
        </w:rPr>
        <w:lastRenderedPageBreak/>
        <w:t>plexity of the industrial plants</w:t>
      </w:r>
      <w:r w:rsidR="00111632">
        <w:rPr>
          <w:lang w:val="en-GB"/>
        </w:rPr>
        <w:t>,</w:t>
      </w:r>
      <w:r>
        <w:rPr>
          <w:lang w:val="en-GB"/>
        </w:rPr>
        <w:t xml:space="preserve"> it is more and more difficult to evaluate the effectiveness of implemented recommendations in reducing the risk level and to track the very high number of modifications that could be present in a facility</w:t>
      </w:r>
      <w:r w:rsidR="00181B72">
        <w:rPr>
          <w:lang w:val="en-GB"/>
        </w:rPr>
        <w:t xml:space="preserve"> (very often, MOC procedures are not sufficient or incomplete)</w:t>
      </w:r>
      <w:r>
        <w:rPr>
          <w:lang w:val="en-GB"/>
        </w:rPr>
        <w:t xml:space="preserve">. </w:t>
      </w:r>
      <w:r w:rsidR="00E345E4">
        <w:rPr>
          <w:lang w:val="en-GB"/>
        </w:rPr>
        <w:t>In</w:t>
      </w:r>
      <w:r>
        <w:rPr>
          <w:lang w:val="en-GB"/>
        </w:rPr>
        <w:t xml:space="preserve"> this regard</w:t>
      </w:r>
      <w:r w:rsidR="007423BB">
        <w:rPr>
          <w:lang w:val="en-GB"/>
        </w:rPr>
        <w:t xml:space="preserve">, it is more and more important to understand </w:t>
      </w:r>
      <w:r w:rsidR="00181B72">
        <w:rPr>
          <w:lang w:val="en-GB"/>
        </w:rPr>
        <w:t xml:space="preserve">and evaluate </w:t>
      </w:r>
      <w:r w:rsidR="007423BB">
        <w:rPr>
          <w:lang w:val="en-GB"/>
        </w:rPr>
        <w:t>the benefits coming from the implementation of AI in risk assessment techniques and management systems</w:t>
      </w:r>
      <w:r>
        <w:rPr>
          <w:lang w:val="en-GB"/>
        </w:rPr>
        <w:t xml:space="preserve">: </w:t>
      </w:r>
      <w:r w:rsidR="009F130E" w:rsidRPr="009F130E">
        <w:rPr>
          <w:lang w:val="en-GB"/>
        </w:rPr>
        <w:t xml:space="preserve">AI streamlines conventional risk management approaches by providing solutions that accelerate, optimize, and modernize the system. </w:t>
      </w:r>
      <w:r w:rsidR="005D758D">
        <w:rPr>
          <w:lang w:val="en-GB"/>
        </w:rPr>
        <w:t xml:space="preserve">DEKRA developed </w:t>
      </w:r>
      <w:r w:rsidR="00E345E4">
        <w:rPr>
          <w:lang w:val="en-GB"/>
        </w:rPr>
        <w:t>AI-based</w:t>
      </w:r>
      <w:r w:rsidR="005D758D">
        <w:rPr>
          <w:lang w:val="en-GB"/>
        </w:rPr>
        <w:t xml:space="preserve"> tools, </w:t>
      </w:r>
      <w:r w:rsidR="00181B72">
        <w:rPr>
          <w:lang w:val="en-GB"/>
        </w:rPr>
        <w:t xml:space="preserve">called </w:t>
      </w:r>
      <w:r w:rsidR="009F130E" w:rsidRPr="009F130E">
        <w:rPr>
          <w:lang w:val="en-GB"/>
        </w:rPr>
        <w:t>Digital PHA and Dynamic Risk Registers</w:t>
      </w:r>
      <w:r w:rsidR="00EA66B0">
        <w:rPr>
          <w:lang w:val="en-GB"/>
        </w:rPr>
        <w:t xml:space="preserve"> (DRR)</w:t>
      </w:r>
      <w:r w:rsidR="005D758D">
        <w:rPr>
          <w:lang w:val="en-GB"/>
        </w:rPr>
        <w:t xml:space="preserve">, that </w:t>
      </w:r>
      <w:r w:rsidR="009F130E" w:rsidRPr="009F130E">
        <w:rPr>
          <w:lang w:val="en-GB"/>
        </w:rPr>
        <w:t>can help</w:t>
      </w:r>
      <w:r w:rsidR="005D758D">
        <w:rPr>
          <w:lang w:val="en-GB"/>
        </w:rPr>
        <w:t xml:space="preserve"> </w:t>
      </w:r>
      <w:r w:rsidR="00F2332F">
        <w:rPr>
          <w:lang w:val="en-GB"/>
        </w:rPr>
        <w:t xml:space="preserve">in </w:t>
      </w:r>
      <w:r w:rsidR="005D758D">
        <w:rPr>
          <w:lang w:val="en-GB"/>
        </w:rPr>
        <w:t xml:space="preserve">having </w:t>
      </w:r>
      <w:r w:rsidR="00187B30">
        <w:rPr>
          <w:lang w:val="en-GB"/>
        </w:rPr>
        <w:t>a continuously updated risk assessment</w:t>
      </w:r>
      <w:r w:rsidR="005D758D">
        <w:t xml:space="preserve">; these tools can </w:t>
      </w:r>
      <w:r w:rsidR="00181B72">
        <w:t>support</w:t>
      </w:r>
      <w:r w:rsidR="005D758D">
        <w:t xml:space="preserve"> the organizations </w:t>
      </w:r>
      <w:r w:rsidR="009F130E" w:rsidRPr="009F130E">
        <w:rPr>
          <w:lang w:val="en-GB"/>
        </w:rPr>
        <w:t xml:space="preserve">not just </w:t>
      </w:r>
      <w:r w:rsidR="005D758D">
        <w:rPr>
          <w:lang w:val="en-GB"/>
        </w:rPr>
        <w:t xml:space="preserve">in </w:t>
      </w:r>
      <w:r w:rsidR="009F130E" w:rsidRPr="009F130E">
        <w:rPr>
          <w:lang w:val="en-GB"/>
        </w:rPr>
        <w:t xml:space="preserve">mitigating the existing risks but also </w:t>
      </w:r>
      <w:r w:rsidR="00187B30">
        <w:rPr>
          <w:lang w:val="en-GB"/>
        </w:rPr>
        <w:t xml:space="preserve">in </w:t>
      </w:r>
      <w:r w:rsidR="009F130E" w:rsidRPr="009F130E">
        <w:rPr>
          <w:lang w:val="en-GB"/>
        </w:rPr>
        <w:t xml:space="preserve">preparing </w:t>
      </w:r>
      <w:r w:rsidR="005D758D">
        <w:rPr>
          <w:lang w:val="en-GB"/>
        </w:rPr>
        <w:t>them</w:t>
      </w:r>
      <w:r w:rsidR="009F130E" w:rsidRPr="009F130E">
        <w:rPr>
          <w:lang w:val="en-GB"/>
        </w:rPr>
        <w:t xml:space="preserve"> for any new challenge that may arise in </w:t>
      </w:r>
      <w:r w:rsidR="00DC7CAA">
        <w:rPr>
          <w:lang w:val="en-GB"/>
        </w:rPr>
        <w:t xml:space="preserve">the </w:t>
      </w:r>
      <w:r w:rsidR="009F130E" w:rsidRPr="009F130E">
        <w:rPr>
          <w:lang w:val="en-GB"/>
        </w:rPr>
        <w:t>near or long term</w:t>
      </w:r>
      <w:r w:rsidR="00DC7CAA">
        <w:rPr>
          <w:lang w:val="en-GB"/>
        </w:rPr>
        <w:t>.</w:t>
      </w:r>
    </w:p>
    <w:p w14:paraId="02D06B22" w14:textId="6E1A83A5" w:rsidR="00610DE5" w:rsidRDefault="00610DE5" w:rsidP="00610DE5">
      <w:pPr>
        <w:pStyle w:val="CETheadingx"/>
        <w:rPr>
          <w:lang w:val="en-GB"/>
        </w:rPr>
      </w:pPr>
      <w:bookmarkStart w:id="8" w:name="_Ref184889146"/>
      <w:r w:rsidRPr="007546C3">
        <w:rPr>
          <w:lang w:val="en-GB"/>
        </w:rPr>
        <w:t>Cultural and Leadership Deficiencies</w:t>
      </w:r>
      <w:bookmarkEnd w:id="8"/>
      <w:r w:rsidRPr="007546C3">
        <w:rPr>
          <w:lang w:val="en-GB"/>
        </w:rPr>
        <w:t xml:space="preserve"> </w:t>
      </w:r>
    </w:p>
    <w:p w14:paraId="3467E9CE" w14:textId="404021E5" w:rsidR="009C334A" w:rsidRPr="009C334A" w:rsidRDefault="009C334A" w:rsidP="009C334A">
      <w:pPr>
        <w:pStyle w:val="CETBodytext"/>
        <w:rPr>
          <w:lang w:val="en-GB"/>
        </w:rPr>
      </w:pPr>
      <w:r w:rsidRPr="009C334A">
        <w:rPr>
          <w:lang w:val="en-GB"/>
        </w:rPr>
        <w:t>Culture within an organization reflects its shared beliefs, norms, and assumptions, and leadership plays a critical role in shaping and sustaining it. In organizations that prioritize safety, leadership is at the forefront because it drives culture. When leadership and cultural issues arise, they often lead to systemic problems that compromise safety, hinder operational efficiency, and lower employee morale. Supporting employees on the front lines isn’t just about training—it’s about creating an environment where culture, leadership, and systems work together seamlessly.</w:t>
      </w:r>
      <w:r w:rsidR="00597BFF">
        <w:rPr>
          <w:lang w:val="en-GB"/>
        </w:rPr>
        <w:t xml:space="preserve"> </w:t>
      </w:r>
      <w:r w:rsidRPr="009C334A">
        <w:rPr>
          <w:lang w:val="en-GB"/>
        </w:rPr>
        <w:t xml:space="preserve">To truly enable people to work safely, they must be at the </w:t>
      </w:r>
      <w:proofErr w:type="spellStart"/>
      <w:r w:rsidRPr="009C334A">
        <w:rPr>
          <w:lang w:val="en-GB"/>
        </w:rPr>
        <w:t>center</w:t>
      </w:r>
      <w:proofErr w:type="spellEnd"/>
      <w:r w:rsidRPr="009C334A">
        <w:rPr>
          <w:lang w:val="en-GB"/>
        </w:rPr>
        <w:t xml:space="preserve"> of the safety strategy, but this also requires aligning other elements like processes and communication. Poor management—characterized by unclear roles, lack of accountability, and </w:t>
      </w:r>
      <w:r w:rsidRPr="009C334A">
        <w:rPr>
          <w:lang w:val="en-GB"/>
        </w:rPr>
        <w:lastRenderedPageBreak/>
        <w:t>rigid hierarchies—blocks collaboration and prevents important safety issues from being addressed. Employees often stay silent about hazards when they fear retaliation or get bogged down by excessive bureaucracy.</w:t>
      </w:r>
      <w:r w:rsidR="00597BFF">
        <w:rPr>
          <w:lang w:val="en-GB"/>
        </w:rPr>
        <w:t xml:space="preserve"> </w:t>
      </w:r>
      <w:proofErr w:type="gramStart"/>
      <w:r w:rsidRPr="009C334A">
        <w:rPr>
          <w:lang w:val="en-GB"/>
        </w:rPr>
        <w:t>Safety</w:t>
      </w:r>
      <w:proofErr w:type="gramEnd"/>
      <w:r w:rsidRPr="009C334A">
        <w:rPr>
          <w:lang w:val="en-GB"/>
        </w:rPr>
        <w:t>-focused organizations go beyond compliance. Meeting regulatory requirements is just the starting point, not the goal. A culture driven by compliance alone risks neglecting proactive safety efforts, which are critical for reducing risks and fostering engagement. Employees who feel undervalued or unsupported are less likely to follow safety protocols, report hazards, or contribute to improvements. This disengagement weakens the organization’s ability to maintain a safe environment.</w:t>
      </w:r>
    </w:p>
    <w:p w14:paraId="57D406E2" w14:textId="0AC8575F" w:rsidR="009C334A" w:rsidRDefault="009C334A" w:rsidP="009C334A">
      <w:pPr>
        <w:pStyle w:val="CETBodytext"/>
        <w:rPr>
          <w:lang w:val="en-GB"/>
        </w:rPr>
      </w:pPr>
      <w:r w:rsidRPr="009C334A">
        <w:rPr>
          <w:lang w:val="en-GB"/>
        </w:rPr>
        <w:t>Delays in risk assessments or safety planning can lead to significant problems. For example, conducting a safety assessment after purchasing equipment often results in costly retrofits and compromises safety. A culture of blame only makes matters worse, discouraging openness, hiding mistakes, and preventing learning from past incidents. Without understanding the root causes, organizations are bound to repeat errors.</w:t>
      </w:r>
      <w:r w:rsidR="00597BFF">
        <w:rPr>
          <w:lang w:val="en-GB"/>
        </w:rPr>
        <w:t xml:space="preserve"> </w:t>
      </w:r>
      <w:r w:rsidRPr="009C334A">
        <w:rPr>
          <w:lang w:val="en-GB"/>
        </w:rPr>
        <w:t>Knowledge is another critical factor. When leaders or employees lack the skills to identify and manage risks, small issues can escalate into major crises. Specialized knowledge, whether it’s technical, safety-related, or human-focused, is essential for making informed decisions that protect both people and productivity.</w:t>
      </w:r>
      <w:r w:rsidR="00597BFF">
        <w:rPr>
          <w:lang w:val="en-GB"/>
        </w:rPr>
        <w:t xml:space="preserve"> </w:t>
      </w:r>
      <w:r w:rsidR="00CB71C1" w:rsidRPr="00EB742E">
        <w:t xml:space="preserve">Research highlights that leadership commitment and safety culture are fundamental for effective </w:t>
      </w:r>
      <w:r w:rsidR="00574553" w:rsidRPr="00EB742E">
        <w:t>P</w:t>
      </w:r>
      <w:r w:rsidR="00CB71C1" w:rsidRPr="00EB742E">
        <w:t xml:space="preserve">rocess </w:t>
      </w:r>
      <w:r w:rsidR="00574553" w:rsidRPr="00EB742E">
        <w:t>S</w:t>
      </w:r>
      <w:r w:rsidR="00CB71C1" w:rsidRPr="00EB742E">
        <w:t xml:space="preserve">afety </w:t>
      </w:r>
      <w:r w:rsidR="00574553" w:rsidRPr="00EB742E">
        <w:t>M</w:t>
      </w:r>
      <w:r w:rsidR="00CB71C1" w:rsidRPr="00EB742E">
        <w:t xml:space="preserve">anagement (PSM). A study on industrial corporations emphasizes that leadership must actively support safety initiatives by fostering an open communication culture, investing in employee training, and integrating safety into decision-making processes. By utilizing self-evaluation checklists and quantitative tools like the Relative </w:t>
      </w:r>
      <w:r w:rsidR="00CB71C1" w:rsidRPr="00EB742E">
        <w:lastRenderedPageBreak/>
        <w:t xml:space="preserve">Efficiency Indicator, organizations can assess and improve their PSM </w:t>
      </w:r>
      <w:r w:rsidR="00CB71C1" w:rsidRPr="00EB742E">
        <w:rPr>
          <w:lang w:val="en-GB"/>
        </w:rPr>
        <w:t>effectiveness</w:t>
      </w:r>
      <w:r w:rsidR="00E17465">
        <w:rPr>
          <w:lang w:val="en-GB"/>
        </w:rPr>
        <w:t xml:space="preserve"> </w:t>
      </w:r>
      <w:r w:rsidR="00896A7C" w:rsidRPr="00EB742E">
        <w:rPr>
          <w:lang w:val="en-GB"/>
        </w:rPr>
        <w:t>(</w:t>
      </w:r>
      <w:proofErr w:type="spellStart"/>
      <w:r w:rsidR="0062592E" w:rsidRPr="00EB742E">
        <w:rPr>
          <w:lang w:val="en-GB"/>
        </w:rPr>
        <w:t>Markowski</w:t>
      </w:r>
      <w:proofErr w:type="spellEnd"/>
      <w:r w:rsidR="0062592E" w:rsidRPr="00EB742E">
        <w:rPr>
          <w:lang w:val="en-GB"/>
        </w:rPr>
        <w:t xml:space="preserve"> et al</w:t>
      </w:r>
      <w:r w:rsidR="00EB742E" w:rsidRPr="00EB742E">
        <w:rPr>
          <w:lang w:val="en-GB"/>
        </w:rPr>
        <w:t>.,</w:t>
      </w:r>
      <w:r w:rsidR="0062592E" w:rsidRPr="00EB742E">
        <w:rPr>
          <w:lang w:val="en-GB"/>
        </w:rPr>
        <w:t xml:space="preserve"> 2021</w:t>
      </w:r>
      <w:r w:rsidR="00896A7C" w:rsidRPr="00EB742E">
        <w:rPr>
          <w:lang w:val="en-GB"/>
        </w:rPr>
        <w:t>)</w:t>
      </w:r>
      <w:r w:rsidR="00E17465">
        <w:rPr>
          <w:lang w:val="en-GB"/>
        </w:rPr>
        <w:t>.</w:t>
      </w:r>
      <w:r w:rsidR="00597BFF" w:rsidRPr="00EB742E">
        <w:rPr>
          <w:lang w:val="en-GB"/>
        </w:rPr>
        <w:t xml:space="preserve"> </w:t>
      </w:r>
      <w:r w:rsidRPr="00EB742E">
        <w:rPr>
          <w:lang w:val="en-GB"/>
        </w:rPr>
        <w:t>A proactive</w:t>
      </w:r>
      <w:r w:rsidRPr="009C334A">
        <w:rPr>
          <w:lang w:val="en-GB"/>
        </w:rPr>
        <w:t xml:space="preserve"> approach to safety requires strategic planning. Without a clear plan, organizations waste resources reacting to problems instead of preventing them. Anticipating risks early and integrating safety into every step of a project leads to better outcomes and avoids costly last-minute fixes.</w:t>
      </w:r>
      <w:r w:rsidR="00597BFF">
        <w:rPr>
          <w:lang w:val="en-GB"/>
        </w:rPr>
        <w:t xml:space="preserve"> </w:t>
      </w:r>
      <w:r w:rsidRPr="009C334A">
        <w:rPr>
          <w:lang w:val="en-GB"/>
        </w:rPr>
        <w:t xml:space="preserve">Safety must be a core value embedded in every decision and process. Everyone in the organization, from leaders to employees, should be empowered to recognize hazards, assess risks, and take effective action. Instead of focusing solely on avoiding accidents, efforts should shift to reducing exposure to </w:t>
      </w:r>
      <w:r w:rsidR="00904D0D" w:rsidRPr="009C334A">
        <w:rPr>
          <w:lang w:val="en-GB"/>
        </w:rPr>
        <w:t>risks and</w:t>
      </w:r>
      <w:r w:rsidR="0062609B">
        <w:rPr>
          <w:lang w:val="en-GB"/>
        </w:rPr>
        <w:t xml:space="preserve"> </w:t>
      </w:r>
      <w:r w:rsidRPr="009C334A">
        <w:rPr>
          <w:lang w:val="en-GB"/>
        </w:rPr>
        <w:t>addressing the conditions that lead to incidents before they occur.</w:t>
      </w:r>
      <w:r w:rsidR="00455992">
        <w:rPr>
          <w:lang w:val="en-GB"/>
        </w:rPr>
        <w:t xml:space="preserve"> </w:t>
      </w:r>
      <w:r w:rsidRPr="009C334A">
        <w:rPr>
          <w:lang w:val="en-GB"/>
        </w:rPr>
        <w:t>When employees feel safe to speak up about risks, near misses, or concerns without fear of punishment, organizations can learn and improve. Building a culture that values collaboration, trust, and continuous learning unites teams under a shared commitment to safety. With strong leadership and the right systems in place, organizations can create a workplace where safety isn’t just a priority—it’s a way of life.</w:t>
      </w:r>
    </w:p>
    <w:p w14:paraId="10C1EA50" w14:textId="0D113D42" w:rsidR="00BC55AC" w:rsidRPr="0078138E" w:rsidRDefault="00BC55AC" w:rsidP="0078138E">
      <w:pPr>
        <w:pStyle w:val="CETheadingx"/>
        <w:rPr>
          <w:lang w:val="en-GB"/>
        </w:rPr>
      </w:pPr>
      <w:bookmarkStart w:id="9" w:name="_Ref184889083"/>
      <w:r w:rsidRPr="00BC55AC">
        <w:rPr>
          <w:lang w:val="en-GB"/>
        </w:rPr>
        <w:t>Ineffective Key Performance Indicators (KPIs)</w:t>
      </w:r>
      <w:bookmarkEnd w:id="9"/>
      <w:r w:rsidRPr="0078138E">
        <w:rPr>
          <w:lang w:val="en-GB"/>
        </w:rPr>
        <w:t xml:space="preserve"> </w:t>
      </w:r>
    </w:p>
    <w:p w14:paraId="7A46C3EB" w14:textId="5B1ED34A" w:rsidR="00BC55AC" w:rsidRDefault="00BC55AC" w:rsidP="00BC55AC">
      <w:pPr>
        <w:pStyle w:val="CETBodytext"/>
      </w:pPr>
      <w:r>
        <w:t xml:space="preserve">KPIs in PSM can measure, monitor, and improve safety performance effectively. KPIs should ideally provide clear insights into safety conditions and help drive the right behaviors. However, organizations frequently encounter issues with their KPIs, which can undermine safety efforts in several ways, since they rely heavily on lagging indicators, which measure incidents that have already occurred, such as injury rates or incident counts. </w:t>
      </w:r>
    </w:p>
    <w:p w14:paraId="5F8C6A4B" w14:textId="19B42484" w:rsidR="00BC55AC" w:rsidRPr="00B11A2B" w:rsidRDefault="00BC55AC" w:rsidP="00BC55AC">
      <w:pPr>
        <w:pStyle w:val="CETBodytext"/>
        <w:rPr>
          <w:lang w:val="en-GB"/>
        </w:rPr>
      </w:pPr>
      <w:r>
        <w:lastRenderedPageBreak/>
        <w:t xml:space="preserve">Traditional safety metrics, which focus on historical data, predominantly rely on what are known as lagging indicators. These indicators provide retrospective insights into past events and performance but offer limited predictive value for future safety outcomes. Common examples of lagging indicators in industrial settings include recordable injuries, lost time incidents (LTIs), days without accidents, and mean time between failures. While these metrics are critical for compliance and post-event analysis—organizations are often legally required to track and report them—they do not proactively address potential hazards or risks. Consequently, relying solely on lagging indicators can be likened to navigating a vehicle by only looking in the rearview mirror: it provides no foresight into future dangers or risks. In contrast, leading indicators are proactive measures that provide foresight by identifying potential issues before they result in negative outcomes, such as accidents or injuries. Among the most vital leading indicators in the context of safety management is the concept of exposure. Exposure measures the degree to which an organization or its workforce is vulnerable to potential hazards. This concept can be analogized to the idea of an individual being exposed to a disease: just as exposure to pathogenic agents increases the likelihood of contracting the disease, exposure to workplace hazards heightens the risk of an accident or injury. By monitoring exposure levels, organizations gain insight into the conditions that could lead to an incident, even before one occurs. </w:t>
      </w:r>
      <w:r w:rsidR="00706947" w:rsidRPr="0062609B">
        <w:rPr>
          <w:lang w:val="en-GB"/>
        </w:rPr>
        <w:t>Several major safety investigations highlight the importance of focusing on exposure and not just historical incident data</w:t>
      </w:r>
      <w:r w:rsidRPr="004B4EBD">
        <w:rPr>
          <w:lang w:val="en-GB"/>
        </w:rPr>
        <w:t>. The Baker Report, which</w:t>
      </w:r>
      <w:r w:rsidRPr="0062609B">
        <w:rPr>
          <w:lang w:val="en-GB"/>
        </w:rPr>
        <w:t xml:space="preserve"> analysed the 2005 BP Texas City refinery explosion</w:t>
      </w:r>
      <w:r w:rsidR="005254C1">
        <w:rPr>
          <w:lang w:val="en-GB"/>
        </w:rPr>
        <w:t xml:space="preserve"> </w:t>
      </w:r>
      <w:sdt>
        <w:sdtPr>
          <w:rPr>
            <w:lang w:val="en-GB"/>
          </w:rPr>
          <w:id w:val="-1656226779"/>
          <w:citation/>
        </w:sdtPr>
        <w:sdtEndPr/>
        <w:sdtContent>
          <w:r w:rsidR="004B4EBD">
            <w:rPr>
              <w:lang w:val="en-GB"/>
            </w:rPr>
            <w:fldChar w:fldCharType="begin"/>
          </w:r>
          <w:r w:rsidR="004B4EBD" w:rsidRPr="004C3C91">
            <w:instrText xml:space="preserve"> CITATION Bak07 \l 1040 </w:instrText>
          </w:r>
          <w:r w:rsidR="004B4EBD">
            <w:rPr>
              <w:lang w:val="en-GB"/>
            </w:rPr>
            <w:fldChar w:fldCharType="separate"/>
          </w:r>
          <w:r w:rsidR="000D08AD" w:rsidRPr="000D08AD">
            <w:rPr>
              <w:noProof/>
            </w:rPr>
            <w:t>(Baker, 2007)</w:t>
          </w:r>
          <w:r w:rsidR="004B4EBD">
            <w:rPr>
              <w:lang w:val="en-GB"/>
            </w:rPr>
            <w:fldChar w:fldCharType="end"/>
          </w:r>
        </w:sdtContent>
      </w:sdt>
      <w:r w:rsidRPr="0062609B">
        <w:rPr>
          <w:lang w:val="en-GB"/>
        </w:rPr>
        <w:t>, illustrated the dangers of focusing on a single safety metric, such as the OSHA recordable injury rate. The over</w:t>
      </w:r>
      <w:r w:rsidRPr="0062609B">
        <w:rPr>
          <w:lang w:val="en-GB"/>
        </w:rPr>
        <w:lastRenderedPageBreak/>
        <w:t xml:space="preserve">emphasis on reducing this </w:t>
      </w:r>
      <w:r w:rsidR="00706947" w:rsidRPr="0062609B">
        <w:rPr>
          <w:lang w:val="en-GB"/>
        </w:rPr>
        <w:t>lagging</w:t>
      </w:r>
      <w:r w:rsidRPr="0062609B">
        <w:rPr>
          <w:lang w:val="en-GB"/>
        </w:rPr>
        <w:t xml:space="preserve"> indicator</w:t>
      </w:r>
      <w:r>
        <w:t xml:space="preserve"> led to a false sense of safety, masking underlying systemic issues in the organization’s safety culture and operational procedures. This single-minded approach failed to address the </w:t>
      </w:r>
      <w:r w:rsidR="00706947">
        <w:t>organization's broader, more complex safety dynamics</w:t>
      </w:r>
      <w:r>
        <w:t>.</w:t>
      </w:r>
      <w:r w:rsidR="00D55299">
        <w:t xml:space="preserve"> </w:t>
      </w:r>
      <w:r>
        <w:t xml:space="preserve">Similarly, the </w:t>
      </w:r>
      <w:r w:rsidRPr="004B4EBD">
        <w:t>investigation into the Deepwater Horizon</w:t>
      </w:r>
      <w:r w:rsidR="004B4EBD" w:rsidRPr="004B4EBD">
        <w:t xml:space="preserve"> </w:t>
      </w:r>
      <w:r w:rsidR="00904D0D" w:rsidRPr="00904D0D">
        <w:t>(BP national Commission, 2011)</w:t>
      </w:r>
      <w:r w:rsidRPr="004B4EBD">
        <w:t xml:space="preserve"> oil spill uncovered a similar trend, where the company’s safety practices were dominated by a focus on lagging indicators, with insufficient attention paid to the real-time safety conditions</w:t>
      </w:r>
      <w:r>
        <w:t xml:space="preserve"> and the actual state of exposure in high-risk activities. In both cases, the organizations did not fully appreciate that to build </w:t>
      </w:r>
      <w:r w:rsidR="00706947">
        <w:t>a truly effective safety culture</w:t>
      </w:r>
      <w:r>
        <w:t>, the focus must shift from simply tracking outcomes (like injuries) to actively managing and mitigating risk factors before they result in harm.</w:t>
      </w:r>
      <w:r w:rsidR="00B11A2B">
        <w:t xml:space="preserve"> </w:t>
      </w:r>
      <w:r>
        <w:t xml:space="preserve">For safety efforts to be truly transformative and impactful, they must move away from merely reacting to accidents and towards reducing exposure to hazards. The goal should not be </w:t>
      </w:r>
      <w:r w:rsidR="00706947">
        <w:t>simply to</w:t>
      </w:r>
      <w:r>
        <w:t xml:space="preserve"> avoid incidents (which are the consequences of unsafe conditions) but to reduce the very conditions that enable these incidents to occur in the first place. In other words, the key to improving safety performance is not only in examining past incidents but also in proactively identifying and reducing the factors that increase vulnerability to future risks.</w:t>
      </w:r>
    </w:p>
    <w:p w14:paraId="677EBFF0" w14:textId="31ADBBAE" w:rsidR="00600535" w:rsidRDefault="000D5D4D" w:rsidP="00600535">
      <w:pPr>
        <w:pStyle w:val="CETHeading1"/>
        <w:tabs>
          <w:tab w:val="clear" w:pos="360"/>
          <w:tab w:val="right" w:pos="7100"/>
        </w:tabs>
        <w:jc w:val="both"/>
        <w:rPr>
          <w:lang w:val="en-GB"/>
        </w:rPr>
      </w:pPr>
      <w:r>
        <w:rPr>
          <w:lang w:val="en-GB"/>
        </w:rPr>
        <w:t>Conclusions and Lessons Learned</w:t>
      </w:r>
    </w:p>
    <w:p w14:paraId="6752E478" w14:textId="294A3EE2" w:rsidR="004C0F25" w:rsidRDefault="00B51BED" w:rsidP="004C0F25">
      <w:pPr>
        <w:pStyle w:val="CETBodytext"/>
        <w:rPr>
          <w:lang w:val="en-GB"/>
        </w:rPr>
      </w:pPr>
      <w:r>
        <w:rPr>
          <w:lang w:val="en-GB"/>
        </w:rPr>
        <w:t xml:space="preserve">From the different case studies analysed, </w:t>
      </w:r>
      <w:r w:rsidR="00904D0D">
        <w:rPr>
          <w:lang w:val="en-GB"/>
        </w:rPr>
        <w:t>to</w:t>
      </w:r>
      <w:r w:rsidR="00C667FF" w:rsidRPr="00C667FF">
        <w:rPr>
          <w:lang w:val="en-GB"/>
        </w:rPr>
        <w:t xml:space="preserve"> truly understand both the quality and completeness of PSM activities, any evaluation must consider three </w:t>
      </w:r>
      <w:r>
        <w:rPr>
          <w:lang w:val="en-GB"/>
        </w:rPr>
        <w:t>categories</w:t>
      </w:r>
      <w:r w:rsidR="00C667FF" w:rsidRPr="00C667FF">
        <w:rPr>
          <w:lang w:val="en-GB"/>
        </w:rPr>
        <w:t xml:space="preserve">: Procedural, Technical, and Cultural aspects. These are broadly outlined as </w:t>
      </w:r>
      <w:r w:rsidR="00C667FF">
        <w:rPr>
          <w:lang w:val="en-GB"/>
        </w:rPr>
        <w:t>follows</w:t>
      </w:r>
      <w:r w:rsidR="00C667FF" w:rsidRPr="00C667FF">
        <w:rPr>
          <w:lang w:val="en-GB"/>
        </w:rPr>
        <w:t>:</w:t>
      </w:r>
    </w:p>
    <w:p w14:paraId="0E6AF29A" w14:textId="00760332" w:rsidR="001D47C3" w:rsidRDefault="00997D5F" w:rsidP="00314970">
      <w:pPr>
        <w:pStyle w:val="CETBodytext"/>
        <w:numPr>
          <w:ilvl w:val="0"/>
          <w:numId w:val="36"/>
        </w:numPr>
        <w:ind w:left="360"/>
        <w:rPr>
          <w:lang w:val="en-GB"/>
        </w:rPr>
      </w:pPr>
      <w:r w:rsidRPr="00997D5F">
        <w:rPr>
          <w:lang w:val="en-GB"/>
        </w:rPr>
        <w:lastRenderedPageBreak/>
        <w:t xml:space="preserve">Technical aspects refer to the quality of the activity that occurs. </w:t>
      </w:r>
      <w:r w:rsidR="00B51BED">
        <w:rPr>
          <w:lang w:val="en-GB"/>
        </w:rPr>
        <w:t xml:space="preserve">It is important to assess </w:t>
      </w:r>
      <w:r w:rsidRPr="00997D5F">
        <w:rPr>
          <w:lang w:val="en-GB"/>
        </w:rPr>
        <w:t>the quality of the hazard analysis to ascertain how well the PHA identified hazards and mitigation measures, whether the mitigation measures are appropriate to the identified hazards, and whether those measures were implemented</w:t>
      </w:r>
      <w:r w:rsidR="00A74227">
        <w:rPr>
          <w:lang w:val="en-GB"/>
        </w:rPr>
        <w:t>.</w:t>
      </w:r>
      <w:r w:rsidR="000A156B">
        <w:rPr>
          <w:lang w:val="en-GB"/>
        </w:rPr>
        <w:t xml:space="preserve"> </w:t>
      </w:r>
      <w:r w:rsidR="006E24CE" w:rsidRPr="006E24CE">
        <w:rPr>
          <w:lang w:val="en-GB"/>
        </w:rPr>
        <w:t>Moreover, the Management of Change (MOC) process has revealed critical gaps, particularly in addressing even minor modifications</w:t>
      </w:r>
      <w:r w:rsidR="00527ED7">
        <w:rPr>
          <w:lang w:val="en-GB"/>
        </w:rPr>
        <w:t xml:space="preserve"> </w:t>
      </w:r>
      <w:r w:rsidR="009F69E1">
        <w:rPr>
          <w:lang w:val="en-GB"/>
        </w:rPr>
        <w:t xml:space="preserve">(see </w:t>
      </w:r>
      <w:proofErr w:type="gramStart"/>
      <w:r w:rsidR="009F69E1">
        <w:rPr>
          <w:lang w:val="en-GB"/>
        </w:rPr>
        <w:fldChar w:fldCharType="begin"/>
      </w:r>
      <w:r w:rsidR="009F69E1">
        <w:rPr>
          <w:lang w:val="en-GB"/>
        </w:rPr>
        <w:instrText xml:space="preserve"> REF _Ref184889115 \r \h </w:instrText>
      </w:r>
      <w:r w:rsidR="009F69E1">
        <w:rPr>
          <w:lang w:val="en-GB"/>
        </w:rPr>
      </w:r>
      <w:r w:rsidR="009F69E1">
        <w:rPr>
          <w:lang w:val="en-GB"/>
        </w:rPr>
        <w:fldChar w:fldCharType="separate"/>
      </w:r>
      <w:r w:rsidR="00527ED7">
        <w:rPr>
          <w:lang w:val="en-GB"/>
        </w:rPr>
        <w:t>2.1</w:t>
      </w:r>
      <w:r w:rsidR="009F69E1">
        <w:rPr>
          <w:lang w:val="en-GB"/>
        </w:rPr>
        <w:fldChar w:fldCharType="end"/>
      </w:r>
      <w:r w:rsidR="009F69E1">
        <w:rPr>
          <w:lang w:val="en-GB"/>
        </w:rPr>
        <w:t>)</w:t>
      </w:r>
      <w:r w:rsidR="00527ED7">
        <w:rPr>
          <w:lang w:val="en-GB"/>
        </w:rPr>
        <w:t>;</w:t>
      </w:r>
      <w:proofErr w:type="gramEnd"/>
    </w:p>
    <w:p w14:paraId="44E5F9A6" w14:textId="287E65D3" w:rsidR="00997D5F" w:rsidRDefault="00DD20E5" w:rsidP="00314970">
      <w:pPr>
        <w:pStyle w:val="CETBodytext"/>
        <w:numPr>
          <w:ilvl w:val="0"/>
          <w:numId w:val="36"/>
        </w:numPr>
        <w:ind w:left="360"/>
        <w:rPr>
          <w:lang w:val="en-GB"/>
        </w:rPr>
      </w:pPr>
      <w:r w:rsidRPr="00DD20E5">
        <w:rPr>
          <w:lang w:val="en-GB"/>
        </w:rPr>
        <w:t xml:space="preserve">Cultural aspects refer to how well the organizational culture supports </w:t>
      </w:r>
      <w:r w:rsidR="00D14DE8">
        <w:rPr>
          <w:lang w:val="en-GB"/>
        </w:rPr>
        <w:t xml:space="preserve">the </w:t>
      </w:r>
      <w:r w:rsidRPr="00DD20E5">
        <w:rPr>
          <w:lang w:val="en-GB"/>
        </w:rPr>
        <w:t xml:space="preserve">reliable and consistent use of PSM systems and </w:t>
      </w:r>
      <w:r w:rsidR="00B13D9B">
        <w:rPr>
          <w:lang w:val="en-GB"/>
        </w:rPr>
        <w:t xml:space="preserve">the </w:t>
      </w:r>
      <w:r w:rsidRPr="00DD20E5">
        <w:rPr>
          <w:lang w:val="en-GB"/>
        </w:rPr>
        <w:t xml:space="preserve">engagement of employees at all levels in process safety. Both of these things are critical to </w:t>
      </w:r>
      <w:r w:rsidR="00D14DE8">
        <w:rPr>
          <w:lang w:val="en-GB"/>
        </w:rPr>
        <w:t>achieving</w:t>
      </w:r>
      <w:r w:rsidRPr="00DD20E5">
        <w:rPr>
          <w:lang w:val="en-GB"/>
        </w:rPr>
        <w:t xml:space="preserve"> the desired results</w:t>
      </w:r>
      <w:r w:rsidR="00515A05">
        <w:rPr>
          <w:lang w:val="en-GB"/>
        </w:rPr>
        <w:t xml:space="preserve"> and</w:t>
      </w:r>
      <w:r w:rsidRPr="00DD20E5">
        <w:rPr>
          <w:lang w:val="en-GB"/>
        </w:rPr>
        <w:t xml:space="preserve"> </w:t>
      </w:r>
      <w:r w:rsidR="00515A05">
        <w:rPr>
          <w:lang w:val="en-GB"/>
        </w:rPr>
        <w:t xml:space="preserve">need to be </w:t>
      </w:r>
      <w:r w:rsidRPr="00DD20E5">
        <w:rPr>
          <w:lang w:val="en-GB"/>
        </w:rPr>
        <w:t>evaluated thoroughly in PSM audits</w:t>
      </w:r>
      <w:r w:rsidR="009F69E1">
        <w:rPr>
          <w:lang w:val="en-GB"/>
        </w:rPr>
        <w:t xml:space="preserve"> (see </w:t>
      </w:r>
      <w:proofErr w:type="gramStart"/>
      <w:r w:rsidR="009F69E1">
        <w:rPr>
          <w:lang w:val="en-GB"/>
        </w:rPr>
        <w:fldChar w:fldCharType="begin"/>
      </w:r>
      <w:r w:rsidR="009F69E1">
        <w:rPr>
          <w:lang w:val="en-GB"/>
        </w:rPr>
        <w:instrText xml:space="preserve"> REF _Ref184889146 \r \h </w:instrText>
      </w:r>
      <w:r w:rsidR="009F69E1">
        <w:rPr>
          <w:lang w:val="en-GB"/>
        </w:rPr>
      </w:r>
      <w:r w:rsidR="009F69E1">
        <w:rPr>
          <w:lang w:val="en-GB"/>
        </w:rPr>
        <w:fldChar w:fldCharType="separate"/>
      </w:r>
      <w:r w:rsidR="00527ED7">
        <w:rPr>
          <w:lang w:val="en-GB"/>
        </w:rPr>
        <w:t>2.2</w:t>
      </w:r>
      <w:r w:rsidR="009F69E1">
        <w:rPr>
          <w:lang w:val="en-GB"/>
        </w:rPr>
        <w:fldChar w:fldCharType="end"/>
      </w:r>
      <w:r w:rsidR="009F69E1">
        <w:rPr>
          <w:lang w:val="en-GB"/>
        </w:rPr>
        <w:t>)</w:t>
      </w:r>
      <w:r w:rsidR="00515A05">
        <w:rPr>
          <w:lang w:val="en-GB"/>
        </w:rPr>
        <w:t>;</w:t>
      </w:r>
      <w:proofErr w:type="gramEnd"/>
    </w:p>
    <w:p w14:paraId="23F7793B" w14:textId="56A145F7" w:rsidR="009F69E1" w:rsidRDefault="009F69E1" w:rsidP="00314970">
      <w:pPr>
        <w:pStyle w:val="CETBodytext"/>
        <w:numPr>
          <w:ilvl w:val="0"/>
          <w:numId w:val="36"/>
        </w:numPr>
        <w:ind w:left="360"/>
        <w:rPr>
          <w:lang w:val="en-GB"/>
        </w:rPr>
      </w:pPr>
      <w:r w:rsidRPr="001D47C3">
        <w:rPr>
          <w:lang w:val="en-GB"/>
        </w:rPr>
        <w:t>Procedural aspects refer to the examination of the procedures that have been established for their adequacy and using sampling to ascertain the extent to which they are reliably followed. This is where many process safety management audits and assessments stop</w:t>
      </w:r>
      <w:r>
        <w:rPr>
          <w:lang w:val="en-GB"/>
        </w:rPr>
        <w:t xml:space="preserve"> (see </w:t>
      </w:r>
      <w:r>
        <w:rPr>
          <w:lang w:val="en-GB"/>
        </w:rPr>
        <w:fldChar w:fldCharType="begin"/>
      </w:r>
      <w:r>
        <w:rPr>
          <w:lang w:val="en-GB"/>
        </w:rPr>
        <w:instrText xml:space="preserve"> REF _Ref184889083 \r \h </w:instrText>
      </w:r>
      <w:r>
        <w:rPr>
          <w:lang w:val="en-GB"/>
        </w:rPr>
      </w:r>
      <w:r>
        <w:rPr>
          <w:lang w:val="en-GB"/>
        </w:rPr>
        <w:fldChar w:fldCharType="separate"/>
      </w:r>
      <w:r w:rsidR="00527ED7">
        <w:rPr>
          <w:lang w:val="en-GB"/>
        </w:rPr>
        <w:t>2.3</w:t>
      </w:r>
      <w:r>
        <w:rPr>
          <w:lang w:val="en-GB"/>
        </w:rPr>
        <w:fldChar w:fldCharType="end"/>
      </w:r>
      <w:r>
        <w:rPr>
          <w:lang w:val="en-GB"/>
        </w:rPr>
        <w:t>)</w:t>
      </w:r>
      <w:r w:rsidR="00527ED7">
        <w:rPr>
          <w:lang w:val="en-GB"/>
        </w:rPr>
        <w:t>.</w:t>
      </w:r>
    </w:p>
    <w:p w14:paraId="29D8461C" w14:textId="6D805DD6" w:rsidR="00211F01" w:rsidRDefault="008C599E" w:rsidP="003E7B09">
      <w:pPr>
        <w:pStyle w:val="CETBodytext"/>
        <w:rPr>
          <w:lang w:val="en-GB"/>
        </w:rPr>
      </w:pPr>
      <w:r>
        <w:rPr>
          <w:lang w:val="en-GB"/>
        </w:rPr>
        <w:t>From the analysis of the three common pitfalls reported in this paper</w:t>
      </w:r>
      <w:r w:rsidR="009905E2">
        <w:rPr>
          <w:lang w:val="en-GB"/>
        </w:rPr>
        <w:t xml:space="preserve"> and from DEKRA PSM experience, </w:t>
      </w:r>
      <w:r w:rsidR="00DB48B5">
        <w:rPr>
          <w:lang w:val="en-GB"/>
        </w:rPr>
        <w:t xml:space="preserve">it is known that </w:t>
      </w:r>
      <w:r w:rsidR="008E747C">
        <w:rPr>
          <w:lang w:val="en-GB"/>
        </w:rPr>
        <w:t>poor</w:t>
      </w:r>
      <w:r w:rsidR="00DB48B5">
        <w:rPr>
          <w:lang w:val="en-GB"/>
        </w:rPr>
        <w:t xml:space="preserve"> management on these three </w:t>
      </w:r>
      <w:r w:rsidR="009C17BC">
        <w:rPr>
          <w:lang w:val="en-GB"/>
        </w:rPr>
        <w:t xml:space="preserve">highlighted </w:t>
      </w:r>
      <w:r w:rsidR="00265D0A">
        <w:rPr>
          <w:lang w:val="en-GB"/>
        </w:rPr>
        <w:t>topics</w:t>
      </w:r>
      <w:r w:rsidR="00DB48B5">
        <w:rPr>
          <w:lang w:val="en-GB"/>
        </w:rPr>
        <w:t xml:space="preserve"> could have a </w:t>
      </w:r>
      <w:r w:rsidR="00265D0A">
        <w:rPr>
          <w:lang w:val="en-GB"/>
        </w:rPr>
        <w:t xml:space="preserve">huge impact on the safety level of a </w:t>
      </w:r>
      <w:r w:rsidR="009C17BC">
        <w:rPr>
          <w:lang w:val="en-GB"/>
        </w:rPr>
        <w:t xml:space="preserve">company. Nevertheless, </w:t>
      </w:r>
      <w:r w:rsidR="0033383D">
        <w:rPr>
          <w:lang w:val="en-GB"/>
        </w:rPr>
        <w:t>b</w:t>
      </w:r>
      <w:r w:rsidR="00211F01">
        <w:rPr>
          <w:lang w:val="en-GB"/>
        </w:rPr>
        <w:t xml:space="preserve">y having proper </w:t>
      </w:r>
      <w:r w:rsidR="0033383D">
        <w:rPr>
          <w:lang w:val="en-GB"/>
        </w:rPr>
        <w:t xml:space="preserve">and comprehensive </w:t>
      </w:r>
      <w:r w:rsidR="00211F01">
        <w:rPr>
          <w:lang w:val="en-GB"/>
        </w:rPr>
        <w:t>PSM</w:t>
      </w:r>
      <w:r w:rsidR="0033383D">
        <w:rPr>
          <w:lang w:val="en-GB"/>
        </w:rPr>
        <w:t xml:space="preserve"> (including the 7 DEKRA’s pillars)</w:t>
      </w:r>
      <w:r w:rsidR="00211F01">
        <w:rPr>
          <w:lang w:val="en-GB"/>
        </w:rPr>
        <w:t xml:space="preserve"> it is possible to </w:t>
      </w:r>
      <w:r w:rsidR="00580807">
        <w:rPr>
          <w:lang w:val="en-GB"/>
        </w:rPr>
        <w:t xml:space="preserve">define and issue applicable guidelines to be adopted according to the company characterization and </w:t>
      </w:r>
      <w:r w:rsidR="00211F01">
        <w:rPr>
          <w:lang w:val="en-GB"/>
        </w:rPr>
        <w:t xml:space="preserve">prevent </w:t>
      </w:r>
      <w:r w:rsidR="00580807">
        <w:rPr>
          <w:lang w:val="en-GB"/>
        </w:rPr>
        <w:t>serious</w:t>
      </w:r>
      <w:r w:rsidR="00211F01">
        <w:rPr>
          <w:lang w:val="en-GB"/>
        </w:rPr>
        <w:t xml:space="preserve"> incidents, so the result can be to have SMART recommendations</w:t>
      </w:r>
      <w:r w:rsidR="00580807">
        <w:rPr>
          <w:lang w:val="en-GB"/>
        </w:rPr>
        <w:t xml:space="preserve"> and </w:t>
      </w:r>
      <w:r w:rsidR="00107D99">
        <w:rPr>
          <w:lang w:val="en-GB"/>
        </w:rPr>
        <w:t xml:space="preserve">a </w:t>
      </w:r>
      <w:r w:rsidR="00580807">
        <w:rPr>
          <w:lang w:val="en-GB"/>
        </w:rPr>
        <w:t>robust culture to enhance safety levels at all levels of the organization</w:t>
      </w:r>
      <w:r w:rsidR="00527ED7">
        <w:rPr>
          <w:lang w:val="en-GB"/>
        </w:rPr>
        <w:t xml:space="preserve"> (</w:t>
      </w:r>
      <w:r w:rsidR="00527ED7">
        <w:rPr>
          <w:lang w:val="en-GB"/>
        </w:rPr>
        <w:fldChar w:fldCharType="begin"/>
      </w:r>
      <w:r w:rsidR="00527ED7">
        <w:rPr>
          <w:lang w:val="en-GB"/>
        </w:rPr>
        <w:instrText xml:space="preserve"> REF _Ref191286374 \h </w:instrText>
      </w:r>
      <w:r w:rsidR="00527ED7">
        <w:rPr>
          <w:lang w:val="en-GB"/>
        </w:rPr>
      </w:r>
      <w:r w:rsidR="00527ED7">
        <w:rPr>
          <w:lang w:val="en-GB"/>
        </w:rPr>
        <w:fldChar w:fldCharType="separate"/>
      </w:r>
      <w:r w:rsidR="00527ED7">
        <w:t xml:space="preserve">Table </w:t>
      </w:r>
      <w:r w:rsidR="00527ED7">
        <w:rPr>
          <w:noProof/>
        </w:rPr>
        <w:t>3</w:t>
      </w:r>
      <w:r w:rsidR="00527ED7">
        <w:rPr>
          <w:lang w:val="en-GB"/>
        </w:rPr>
        <w:fldChar w:fldCharType="end"/>
      </w:r>
      <w:r w:rsidR="00527ED7">
        <w:rPr>
          <w:lang w:val="en-GB"/>
        </w:rPr>
        <w:t>)</w:t>
      </w:r>
      <w:r w:rsidR="00580807">
        <w:rPr>
          <w:lang w:val="en-GB"/>
        </w:rPr>
        <w:t>. Moreover, adopting AI could lead to tremendous im</w:t>
      </w:r>
      <w:r w:rsidR="00580807">
        <w:rPr>
          <w:lang w:val="en-GB"/>
        </w:rPr>
        <w:lastRenderedPageBreak/>
        <w:t xml:space="preserve">provements in terms of predictive analysis in </w:t>
      </w:r>
      <w:r w:rsidR="00BF28D6">
        <w:rPr>
          <w:lang w:val="en-GB"/>
        </w:rPr>
        <w:t>real-time</w:t>
      </w:r>
      <w:r w:rsidR="00FD15F1">
        <w:rPr>
          <w:lang w:val="en-GB"/>
        </w:rPr>
        <w:t xml:space="preserve"> (e.g., using Dynamic Risk Register – DRR)</w:t>
      </w:r>
      <w:r w:rsidR="00580807">
        <w:rPr>
          <w:lang w:val="en-GB"/>
        </w:rPr>
        <w:t xml:space="preserve">. </w:t>
      </w:r>
    </w:p>
    <w:p w14:paraId="77FE2CF7" w14:textId="5B256427" w:rsidR="001B3649" w:rsidRDefault="001B3649" w:rsidP="003E7B09">
      <w:pPr>
        <w:pStyle w:val="CETTabletitle"/>
        <w:spacing w:before="0"/>
      </w:pPr>
      <w:bookmarkStart w:id="10" w:name="_Ref191286374"/>
      <w:r>
        <w:t xml:space="preserve">Table </w:t>
      </w:r>
      <w:r>
        <w:fldChar w:fldCharType="begin"/>
      </w:r>
      <w:r>
        <w:instrText xml:space="preserve"> SEQ Table \* ARABIC </w:instrText>
      </w:r>
      <w:r>
        <w:fldChar w:fldCharType="separate"/>
      </w:r>
      <w:r w:rsidR="00527ED7">
        <w:rPr>
          <w:noProof/>
        </w:rPr>
        <w:t>3</w:t>
      </w:r>
      <w:r>
        <w:fldChar w:fldCharType="end"/>
      </w:r>
      <w:bookmarkEnd w:id="10"/>
      <w:r>
        <w:t xml:space="preserve">: </w:t>
      </w:r>
      <w:r w:rsidR="004D1D8B">
        <w:t>Common</w:t>
      </w:r>
      <w:r>
        <w:t xml:space="preserve"> pitfalls and suggested actions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7369"/>
      </w:tblGrid>
      <w:tr w:rsidR="004D1D8B" w:rsidRPr="00B57B36" w14:paraId="7C2D9BA6" w14:textId="77777777" w:rsidTr="00904D0D">
        <w:tc>
          <w:tcPr>
            <w:tcW w:w="807" w:type="pct"/>
            <w:tcBorders>
              <w:top w:val="single" w:sz="12" w:space="0" w:color="008000"/>
              <w:bottom w:val="single" w:sz="6" w:space="0" w:color="008000"/>
            </w:tcBorders>
            <w:shd w:val="clear" w:color="auto" w:fill="FFFFFF"/>
          </w:tcPr>
          <w:p w14:paraId="468DBE86" w14:textId="24502E8B" w:rsidR="004D1D8B" w:rsidRPr="00B57B36" w:rsidRDefault="004D1D8B" w:rsidP="00D20319">
            <w:pPr>
              <w:pStyle w:val="CETBodytext"/>
              <w:rPr>
                <w:lang w:val="en-GB"/>
              </w:rPr>
            </w:pPr>
            <w:r>
              <w:rPr>
                <w:lang w:val="en-GB"/>
              </w:rPr>
              <w:t>Common Pitfalls</w:t>
            </w:r>
            <w:r w:rsidRPr="00B57B36">
              <w:rPr>
                <w:lang w:val="en-GB"/>
              </w:rPr>
              <w:t xml:space="preserve"> </w:t>
            </w:r>
          </w:p>
        </w:tc>
        <w:tc>
          <w:tcPr>
            <w:tcW w:w="4193" w:type="pct"/>
            <w:tcBorders>
              <w:top w:val="single" w:sz="12" w:space="0" w:color="008000"/>
              <w:bottom w:val="single" w:sz="6" w:space="0" w:color="008000"/>
            </w:tcBorders>
            <w:shd w:val="clear" w:color="auto" w:fill="FFFFFF"/>
          </w:tcPr>
          <w:p w14:paraId="38FDD052" w14:textId="1E57EFA7" w:rsidR="004D1D8B" w:rsidRPr="00B57B36" w:rsidRDefault="004D1D8B" w:rsidP="00D20319">
            <w:pPr>
              <w:pStyle w:val="CETBodytext"/>
              <w:ind w:right="-1"/>
              <w:rPr>
                <w:rFonts w:cs="Arial"/>
                <w:szCs w:val="18"/>
                <w:lang w:val="en-GB"/>
              </w:rPr>
            </w:pPr>
            <w:r>
              <w:rPr>
                <w:rFonts w:cs="Arial"/>
                <w:szCs w:val="18"/>
                <w:lang w:val="en-GB"/>
              </w:rPr>
              <w:t>Suggested Actions</w:t>
            </w:r>
          </w:p>
        </w:tc>
      </w:tr>
      <w:tr w:rsidR="004D1D8B" w:rsidRPr="00B57B36" w14:paraId="4384F039" w14:textId="77777777" w:rsidTr="00904D0D">
        <w:tc>
          <w:tcPr>
            <w:tcW w:w="807" w:type="pct"/>
            <w:shd w:val="clear" w:color="auto" w:fill="FFFFFF"/>
          </w:tcPr>
          <w:p w14:paraId="7CB9228B" w14:textId="33869A42" w:rsidR="004D1D8B" w:rsidRPr="00B57B36" w:rsidRDefault="004D1D8B" w:rsidP="00D20319">
            <w:pPr>
              <w:pStyle w:val="CETBodytext"/>
              <w:rPr>
                <w:lang w:val="en-GB"/>
              </w:rPr>
            </w:pPr>
            <w:r>
              <w:rPr>
                <w:lang w:val="en-GB"/>
              </w:rPr>
              <w:t xml:space="preserve">Technical </w:t>
            </w:r>
          </w:p>
        </w:tc>
        <w:tc>
          <w:tcPr>
            <w:tcW w:w="4193" w:type="pct"/>
            <w:shd w:val="clear" w:color="auto" w:fill="FFFFFF"/>
          </w:tcPr>
          <w:p w14:paraId="510EE571" w14:textId="063880DF" w:rsidR="004D1D8B" w:rsidRPr="00B57B36" w:rsidRDefault="004D1D8B" w:rsidP="00D20319">
            <w:pPr>
              <w:pStyle w:val="CETBodytext"/>
              <w:ind w:right="-1"/>
              <w:rPr>
                <w:rFonts w:cs="Arial"/>
                <w:szCs w:val="18"/>
                <w:lang w:val="en-GB"/>
              </w:rPr>
            </w:pPr>
            <w:r>
              <w:rPr>
                <w:rFonts w:cs="Arial"/>
                <w:szCs w:val="18"/>
                <w:lang w:val="en-GB"/>
              </w:rPr>
              <w:t>D</w:t>
            </w:r>
            <w:r w:rsidRPr="004D1D8B">
              <w:rPr>
                <w:rFonts w:cs="Arial"/>
                <w:szCs w:val="18"/>
                <w:lang w:val="en-GB"/>
              </w:rPr>
              <w:t>evelop a comprehensive methodology that not only facilitates the integration of changes but also ensures the necessary updates to critical documentation in response to modifications. This approach is essential for maintaining accuracy and consistency in documentation, thereby supporting operational safety and efficiency</w:t>
            </w:r>
          </w:p>
        </w:tc>
      </w:tr>
      <w:tr w:rsidR="004D1D8B" w:rsidRPr="00B57B36" w14:paraId="3FF94E38" w14:textId="77777777" w:rsidTr="00904D0D">
        <w:tc>
          <w:tcPr>
            <w:tcW w:w="807" w:type="pct"/>
            <w:shd w:val="clear" w:color="auto" w:fill="FFFFFF"/>
          </w:tcPr>
          <w:p w14:paraId="0757E9E9" w14:textId="0E90CFCB" w:rsidR="004D1D8B" w:rsidRPr="00B57B36" w:rsidRDefault="004D1D8B" w:rsidP="00D20319">
            <w:pPr>
              <w:pStyle w:val="CETBodytext"/>
              <w:rPr>
                <w:lang w:val="en-GB"/>
              </w:rPr>
            </w:pPr>
            <w:r>
              <w:rPr>
                <w:lang w:val="en-GB"/>
              </w:rPr>
              <w:t>Cultural</w:t>
            </w:r>
          </w:p>
        </w:tc>
        <w:tc>
          <w:tcPr>
            <w:tcW w:w="4193" w:type="pct"/>
            <w:shd w:val="clear" w:color="auto" w:fill="FFFFFF"/>
          </w:tcPr>
          <w:p w14:paraId="01C00E82" w14:textId="3F4834AC" w:rsidR="004D1D8B" w:rsidRPr="00B57B36" w:rsidRDefault="00527ED7" w:rsidP="00D20319">
            <w:pPr>
              <w:pStyle w:val="CETBodytext"/>
              <w:ind w:right="-1"/>
              <w:rPr>
                <w:rFonts w:cs="Arial"/>
                <w:szCs w:val="18"/>
                <w:lang w:val="en-GB"/>
              </w:rPr>
            </w:pPr>
            <w:r>
              <w:rPr>
                <w:lang w:val="en-GB"/>
              </w:rPr>
              <w:t>C</w:t>
            </w:r>
            <w:r w:rsidR="004D1D8B">
              <w:rPr>
                <w:lang w:val="en-GB"/>
              </w:rPr>
              <w:t xml:space="preserve">onduct surveys within all the shareholders (from the management to the operators), creating promoting campaigns and ensuring specific trainings for the personnel, promoting a virtuous circle in which Safety is considered a benefit instead of a </w:t>
            </w:r>
            <w:r w:rsidR="00240EAE">
              <w:rPr>
                <w:lang w:val="en-GB"/>
              </w:rPr>
              <w:t>cost/compliance</w:t>
            </w:r>
            <w:r w:rsidR="004D1D8B">
              <w:rPr>
                <w:lang w:val="en-GB"/>
              </w:rPr>
              <w:t xml:space="preserve"> to be fulfilled</w:t>
            </w:r>
          </w:p>
        </w:tc>
      </w:tr>
      <w:tr w:rsidR="004D1D8B" w:rsidRPr="00B57B36" w14:paraId="4CD7DBA9" w14:textId="77777777" w:rsidTr="00904D0D">
        <w:tc>
          <w:tcPr>
            <w:tcW w:w="807" w:type="pct"/>
            <w:shd w:val="clear" w:color="auto" w:fill="FFFFFF"/>
          </w:tcPr>
          <w:p w14:paraId="5E00A22E" w14:textId="25C11B54" w:rsidR="004D1D8B" w:rsidRPr="00B57B36" w:rsidRDefault="004D1D8B" w:rsidP="00D20319">
            <w:pPr>
              <w:pStyle w:val="CETBodytext"/>
              <w:ind w:right="-1"/>
              <w:rPr>
                <w:rFonts w:cs="Arial"/>
                <w:szCs w:val="18"/>
                <w:lang w:val="en-GB"/>
              </w:rPr>
            </w:pPr>
            <w:r>
              <w:rPr>
                <w:rFonts w:cs="Arial"/>
                <w:szCs w:val="18"/>
                <w:lang w:val="en-GB"/>
              </w:rPr>
              <w:t>Procedural</w:t>
            </w:r>
          </w:p>
        </w:tc>
        <w:tc>
          <w:tcPr>
            <w:tcW w:w="4193" w:type="pct"/>
            <w:shd w:val="clear" w:color="auto" w:fill="FFFFFF"/>
          </w:tcPr>
          <w:p w14:paraId="7BB05880" w14:textId="77777777" w:rsidR="00527ED7" w:rsidRPr="00527ED7" w:rsidRDefault="00527ED7" w:rsidP="00527ED7">
            <w:pPr>
              <w:pStyle w:val="CETBodytext"/>
              <w:ind w:right="-1"/>
              <w:rPr>
                <w:rFonts w:cs="Arial"/>
                <w:szCs w:val="18"/>
                <w:lang w:val="en-GB"/>
              </w:rPr>
            </w:pPr>
            <w:r w:rsidRPr="00527ED7">
              <w:rPr>
                <w:rFonts w:cs="Arial"/>
                <w:szCs w:val="18"/>
                <w:lang w:val="en-GB"/>
              </w:rPr>
              <w:t xml:space="preserve">The drafting of procedures must aim at their effectiveness, always including safety aspects. </w:t>
            </w:r>
          </w:p>
          <w:p w14:paraId="486B0627" w14:textId="7BCE4EA7" w:rsidR="004D1D8B" w:rsidRPr="00B57B36" w:rsidRDefault="00527ED7" w:rsidP="00527ED7">
            <w:pPr>
              <w:pStyle w:val="CETBodytext"/>
              <w:ind w:right="-1"/>
              <w:rPr>
                <w:rFonts w:cs="Arial"/>
                <w:szCs w:val="18"/>
                <w:lang w:val="en-GB"/>
              </w:rPr>
            </w:pPr>
            <w:r w:rsidRPr="00527ED7">
              <w:rPr>
                <w:rFonts w:cs="Arial"/>
                <w:szCs w:val="18"/>
                <w:lang w:val="en-GB"/>
              </w:rPr>
              <w:t xml:space="preserve">The relation between the procedures issuing process and their implementation should be strengthened, ensuring to exploit their potential </w:t>
            </w:r>
            <w:r w:rsidR="00240EAE">
              <w:rPr>
                <w:rFonts w:cs="Arial"/>
                <w:szCs w:val="18"/>
                <w:lang w:val="en-GB"/>
              </w:rPr>
              <w:t>as</w:t>
            </w:r>
            <w:r w:rsidRPr="00527ED7">
              <w:rPr>
                <w:rFonts w:cs="Arial"/>
                <w:szCs w:val="18"/>
                <w:lang w:val="en-GB"/>
              </w:rPr>
              <w:t xml:space="preserve"> a practical tool that enhances both operational efficiency and plant safety.</w:t>
            </w:r>
          </w:p>
        </w:tc>
      </w:tr>
    </w:tbl>
    <w:p w14:paraId="07A6D20F" w14:textId="0ECF229E" w:rsidR="00280FAF" w:rsidRPr="00280FAF" w:rsidRDefault="00280FAF" w:rsidP="00280FAF">
      <w:pPr>
        <w:pStyle w:val="CETHeadingxx"/>
        <w:rPr>
          <w:lang w:val="en-GB"/>
        </w:rPr>
        <w:sectPr w:rsidR="00280FAF" w:rsidRPr="00280FAF" w:rsidSect="00DC73EE">
          <w:type w:val="continuous"/>
          <w:pgSz w:w="11906" w:h="16838" w:code="9"/>
          <w:pgMar w:top="1701" w:right="1418" w:bottom="1701" w:left="1701" w:header="1701" w:footer="0" w:gutter="0"/>
          <w:cols w:space="708"/>
          <w:formProt w:val="0"/>
          <w:titlePg/>
          <w:docGrid w:linePitch="360"/>
        </w:sectPr>
      </w:pPr>
      <w:r w:rsidRPr="007546C3">
        <w:rPr>
          <w:lang w:val="en-GB"/>
        </w:rPr>
        <w:t>Nomenclature</w:t>
      </w:r>
    </w:p>
    <w:p w14:paraId="1B0DD4E1" w14:textId="77777777" w:rsidR="005B0ADB" w:rsidRDefault="005B0ADB" w:rsidP="005B0ADB">
      <w:pPr>
        <w:pStyle w:val="CETBodytext"/>
        <w:jc w:val="left"/>
        <w:rPr>
          <w:rFonts w:eastAsia="SimSun"/>
          <w:lang w:val="en-GB"/>
        </w:rPr>
      </w:pPr>
      <w:r>
        <w:rPr>
          <w:rFonts w:eastAsia="SimSun"/>
          <w:lang w:val="en-GB"/>
        </w:rPr>
        <w:t>AI – Artificial Intelligence</w:t>
      </w:r>
    </w:p>
    <w:p w14:paraId="67FDF72F" w14:textId="77777777" w:rsidR="005B0ADB" w:rsidRDefault="005B0ADB" w:rsidP="005B0ADB">
      <w:pPr>
        <w:pStyle w:val="CETBodytext"/>
        <w:jc w:val="left"/>
        <w:rPr>
          <w:rFonts w:eastAsia="SimSun"/>
          <w:lang w:val="en-GB"/>
        </w:rPr>
      </w:pPr>
      <w:r>
        <w:rPr>
          <w:rFonts w:eastAsia="SimSun"/>
          <w:lang w:val="en-GB"/>
        </w:rPr>
        <w:t>CCPS – Center for Chemical Process Safety</w:t>
      </w:r>
    </w:p>
    <w:p w14:paraId="36E725DF" w14:textId="2CAF317D" w:rsidR="005B0ADB" w:rsidRDefault="005B0ADB" w:rsidP="005B0ADB">
      <w:pPr>
        <w:pStyle w:val="CETBodytext"/>
        <w:jc w:val="left"/>
        <w:rPr>
          <w:rFonts w:eastAsia="SimSun"/>
          <w:lang w:val="en-GB"/>
        </w:rPr>
      </w:pPr>
      <w:r>
        <w:rPr>
          <w:rFonts w:eastAsia="SimSun"/>
          <w:lang w:val="en-GB"/>
        </w:rPr>
        <w:t>D</w:t>
      </w:r>
      <w:r w:rsidR="00FD15F1">
        <w:rPr>
          <w:rFonts w:eastAsia="SimSun"/>
          <w:lang w:val="en-GB"/>
        </w:rPr>
        <w:t>R</w:t>
      </w:r>
      <w:r>
        <w:rPr>
          <w:rFonts w:eastAsia="SimSun"/>
          <w:lang w:val="en-GB"/>
        </w:rPr>
        <w:t>R – Dynamic Risk Register</w:t>
      </w:r>
    </w:p>
    <w:p w14:paraId="70640AA9" w14:textId="77777777" w:rsidR="005B0ADB" w:rsidRPr="00753CA0" w:rsidRDefault="005B0ADB" w:rsidP="005B0ADB">
      <w:pPr>
        <w:pStyle w:val="CETBodytext"/>
        <w:jc w:val="left"/>
        <w:rPr>
          <w:rFonts w:eastAsia="SimSun"/>
          <w:lang w:val="en-GB"/>
        </w:rPr>
      </w:pPr>
      <w:r w:rsidRPr="00753CA0">
        <w:rPr>
          <w:lang w:val="en-GB"/>
        </w:rPr>
        <w:t>HazId – Hazard Identification analysis</w:t>
      </w:r>
    </w:p>
    <w:p w14:paraId="124C38F9" w14:textId="77777777" w:rsidR="005B0ADB" w:rsidRDefault="005B0ADB" w:rsidP="005B0ADB">
      <w:pPr>
        <w:pStyle w:val="CETBodytext"/>
        <w:jc w:val="left"/>
        <w:rPr>
          <w:rFonts w:eastAsia="SimSun"/>
          <w:lang w:val="en-GB"/>
        </w:rPr>
      </w:pPr>
      <w:r w:rsidRPr="00753CA0">
        <w:rPr>
          <w:rFonts w:eastAsia="SimSun"/>
          <w:lang w:val="en-GB"/>
        </w:rPr>
        <w:t>HazOp – Hazard and Operability analysis</w:t>
      </w:r>
    </w:p>
    <w:p w14:paraId="50A84186" w14:textId="77777777" w:rsidR="005B0ADB" w:rsidRDefault="005B0ADB" w:rsidP="005B0ADB">
      <w:pPr>
        <w:pStyle w:val="CETBodytext"/>
        <w:jc w:val="left"/>
        <w:rPr>
          <w:rFonts w:eastAsia="SimSun"/>
          <w:lang w:val="en-GB"/>
        </w:rPr>
      </w:pPr>
      <w:r>
        <w:rPr>
          <w:rFonts w:eastAsia="SimSun"/>
          <w:lang w:val="en-GB"/>
        </w:rPr>
        <w:t>KPIs – Key Performance Indicators</w:t>
      </w:r>
    </w:p>
    <w:p w14:paraId="7AFE31D5" w14:textId="77777777" w:rsidR="005B0ADB" w:rsidRDefault="005B0ADB" w:rsidP="005B0ADB">
      <w:pPr>
        <w:pStyle w:val="CETBodytext"/>
        <w:jc w:val="left"/>
        <w:rPr>
          <w:rFonts w:eastAsia="SimSun"/>
          <w:lang w:val="en-GB"/>
        </w:rPr>
      </w:pPr>
      <w:r>
        <w:rPr>
          <w:rFonts w:eastAsia="SimSun"/>
          <w:lang w:val="en-GB"/>
        </w:rPr>
        <w:t>LTIs – Lost Time Incidents</w:t>
      </w:r>
    </w:p>
    <w:p w14:paraId="2DFBF5DD" w14:textId="3495C874" w:rsidR="00181B72" w:rsidRDefault="00181B72" w:rsidP="005B0ADB">
      <w:pPr>
        <w:pStyle w:val="CETBodytext"/>
        <w:jc w:val="left"/>
        <w:rPr>
          <w:rFonts w:eastAsia="SimSun"/>
          <w:lang w:val="en-GB"/>
        </w:rPr>
      </w:pPr>
      <w:r>
        <w:rPr>
          <w:rFonts w:eastAsia="SimSun"/>
          <w:lang w:val="en-GB"/>
        </w:rPr>
        <w:t xml:space="preserve">MOC – Management </w:t>
      </w:r>
      <w:proofErr w:type="gramStart"/>
      <w:r w:rsidR="00F836E5">
        <w:rPr>
          <w:rFonts w:eastAsia="SimSun"/>
          <w:lang w:val="en-GB"/>
        </w:rPr>
        <w:t>O</w:t>
      </w:r>
      <w:r>
        <w:rPr>
          <w:rFonts w:eastAsia="SimSun"/>
          <w:lang w:val="en-GB"/>
        </w:rPr>
        <w:t>f</w:t>
      </w:r>
      <w:proofErr w:type="gramEnd"/>
      <w:r>
        <w:rPr>
          <w:rFonts w:eastAsia="SimSun"/>
          <w:lang w:val="en-GB"/>
        </w:rPr>
        <w:t xml:space="preserve"> Change</w:t>
      </w:r>
    </w:p>
    <w:p w14:paraId="69A80E1A" w14:textId="5586C337" w:rsidR="005B0ADB" w:rsidRDefault="005B0ADB" w:rsidP="005B0ADB">
      <w:pPr>
        <w:pStyle w:val="CETBodytext"/>
        <w:jc w:val="left"/>
        <w:rPr>
          <w:rFonts w:eastAsia="SimSun"/>
          <w:lang w:val="en-GB"/>
        </w:rPr>
      </w:pPr>
      <w:r>
        <w:rPr>
          <w:rFonts w:eastAsia="SimSun"/>
          <w:lang w:val="en-GB"/>
        </w:rPr>
        <w:t>OPS – Organizational Process Safety</w:t>
      </w:r>
    </w:p>
    <w:p w14:paraId="6C6A2F69" w14:textId="4E3DC8E1" w:rsidR="005B0ADB" w:rsidRDefault="005B0ADB" w:rsidP="00280FAF">
      <w:pPr>
        <w:pStyle w:val="CETBodytext"/>
        <w:jc w:val="left"/>
        <w:rPr>
          <w:rFonts w:eastAsia="SimSun"/>
          <w:lang w:val="en-GB"/>
        </w:rPr>
      </w:pPr>
      <w:r>
        <w:rPr>
          <w:rFonts w:eastAsia="SimSun"/>
          <w:lang w:val="en-GB"/>
        </w:rPr>
        <w:t>OSHA – Occupational Safety and Health Administration</w:t>
      </w:r>
    </w:p>
    <w:p w14:paraId="7BE90840" w14:textId="43F87D83" w:rsidR="00E84704" w:rsidRDefault="00E84704" w:rsidP="00E84704">
      <w:pPr>
        <w:pStyle w:val="CETBodytext"/>
        <w:jc w:val="left"/>
        <w:rPr>
          <w:rFonts w:eastAsia="SimSun"/>
          <w:lang w:val="en-GB"/>
        </w:rPr>
      </w:pPr>
      <w:r>
        <w:rPr>
          <w:rFonts w:eastAsia="SimSun"/>
          <w:lang w:val="en-GB"/>
        </w:rPr>
        <w:t xml:space="preserve">P&amp;ID – Piping and </w:t>
      </w:r>
      <w:r w:rsidR="00F836E5">
        <w:rPr>
          <w:rFonts w:eastAsia="SimSun"/>
          <w:lang w:val="en-GB"/>
        </w:rPr>
        <w:t>I</w:t>
      </w:r>
      <w:r>
        <w:rPr>
          <w:rFonts w:eastAsia="SimSun"/>
          <w:lang w:val="en-GB"/>
        </w:rPr>
        <w:t xml:space="preserve">nstrumentation </w:t>
      </w:r>
      <w:r w:rsidR="00F836E5">
        <w:rPr>
          <w:rFonts w:eastAsia="SimSun"/>
          <w:lang w:val="en-GB"/>
        </w:rPr>
        <w:t>D</w:t>
      </w:r>
      <w:r>
        <w:rPr>
          <w:rFonts w:eastAsia="SimSun"/>
          <w:lang w:val="en-GB"/>
        </w:rPr>
        <w:t>iagram</w:t>
      </w:r>
    </w:p>
    <w:p w14:paraId="18266F4B" w14:textId="77777777" w:rsidR="00B51BED" w:rsidRDefault="00B51BED" w:rsidP="005B0ADB">
      <w:pPr>
        <w:pStyle w:val="CETBodytext"/>
        <w:jc w:val="left"/>
        <w:rPr>
          <w:rFonts w:eastAsia="SimSun"/>
          <w:lang w:val="en-GB"/>
        </w:rPr>
      </w:pPr>
      <w:r>
        <w:rPr>
          <w:rFonts w:eastAsia="SimSun"/>
          <w:lang w:val="en-GB"/>
        </w:rPr>
        <w:t>PHA – Process Hazard Analysis</w:t>
      </w:r>
    </w:p>
    <w:p w14:paraId="2721D07B" w14:textId="3BB48A32" w:rsidR="005B0ADB" w:rsidRDefault="005B0ADB" w:rsidP="005B0ADB">
      <w:pPr>
        <w:pStyle w:val="CETBodytext"/>
        <w:jc w:val="left"/>
        <w:rPr>
          <w:rFonts w:eastAsia="SimSun"/>
          <w:lang w:val="en-GB"/>
        </w:rPr>
      </w:pPr>
      <w:r>
        <w:rPr>
          <w:rFonts w:eastAsia="SimSun"/>
          <w:lang w:val="en-GB"/>
        </w:rPr>
        <w:t>PSI – Process Safety Information</w:t>
      </w:r>
    </w:p>
    <w:p w14:paraId="4DFF875D" w14:textId="528F1CC0" w:rsidR="00FE7001" w:rsidRDefault="005B0ADB" w:rsidP="005B0ADB">
      <w:pPr>
        <w:pStyle w:val="CETBodytext"/>
        <w:jc w:val="left"/>
        <w:rPr>
          <w:rFonts w:eastAsia="SimSun"/>
          <w:lang w:val="en-GB"/>
        </w:rPr>
      </w:pPr>
      <w:r>
        <w:rPr>
          <w:rFonts w:eastAsia="SimSun"/>
          <w:lang w:val="en-GB"/>
        </w:rPr>
        <w:t>PSM – Process Safety Management</w:t>
      </w:r>
    </w:p>
    <w:p w14:paraId="5F897EBE" w14:textId="38D0224E" w:rsidR="004D4E60" w:rsidRDefault="004D4E60" w:rsidP="00280FAF">
      <w:pPr>
        <w:pStyle w:val="CETBodytext"/>
        <w:jc w:val="left"/>
        <w:rPr>
          <w:lang w:val="en-GB"/>
        </w:rPr>
      </w:pPr>
      <w:r>
        <w:rPr>
          <w:lang w:val="en-GB"/>
        </w:rPr>
        <w:t>SIL – Safety Integrity Level</w:t>
      </w:r>
    </w:p>
    <w:p w14:paraId="4973C9E5" w14:textId="73C9AD36" w:rsidR="005B0ADB" w:rsidRDefault="007423BB" w:rsidP="00280FAF">
      <w:pPr>
        <w:pStyle w:val="CETBodytext"/>
        <w:jc w:val="left"/>
        <w:rPr>
          <w:lang w:val="en-GB"/>
        </w:rPr>
      </w:pPr>
      <w:r w:rsidRPr="009F130E">
        <w:rPr>
          <w:lang w:val="en-GB"/>
        </w:rPr>
        <w:t xml:space="preserve">SMART </w:t>
      </w:r>
      <w:r w:rsidR="00B47E39">
        <w:rPr>
          <w:lang w:val="en-GB"/>
        </w:rPr>
        <w:t>–</w:t>
      </w:r>
      <w:r>
        <w:rPr>
          <w:lang w:val="en-GB"/>
        </w:rPr>
        <w:t xml:space="preserve"> </w:t>
      </w:r>
      <w:r w:rsidRPr="009F130E">
        <w:rPr>
          <w:lang w:val="en-GB"/>
        </w:rPr>
        <w:t>Specific, Measurable, Achievable, Relevant and Time-bound</w:t>
      </w:r>
    </w:p>
    <w:p w14:paraId="38BFE636" w14:textId="5E4D2921" w:rsidR="00280FAF" w:rsidRPr="00904D0D" w:rsidRDefault="00280FAF" w:rsidP="00280FAF">
      <w:pPr>
        <w:pStyle w:val="CETBodytext"/>
        <w:jc w:val="left"/>
        <w:rPr>
          <w:rFonts w:eastAsia="SimSun"/>
        </w:rPr>
        <w:sectPr w:rsidR="00280FAF" w:rsidRPr="00904D0D" w:rsidSect="00DC73EE">
          <w:type w:val="continuous"/>
          <w:pgSz w:w="11906" w:h="16838" w:code="9"/>
          <w:pgMar w:top="1701" w:right="1418" w:bottom="1701" w:left="1701" w:header="1701" w:footer="0" w:gutter="0"/>
          <w:cols w:num="2" w:space="708"/>
          <w:formProt w:val="0"/>
          <w:titlePg/>
          <w:docGrid w:linePitch="360"/>
        </w:sectPr>
      </w:pPr>
    </w:p>
    <w:p w14:paraId="33A8DE07" w14:textId="77777777" w:rsidR="00904D0D" w:rsidRPr="00B57B36" w:rsidRDefault="00904D0D" w:rsidP="00904D0D">
      <w:pPr>
        <w:pStyle w:val="CETReference"/>
      </w:pPr>
      <w:r w:rsidRPr="00B57B36">
        <w:lastRenderedPageBreak/>
        <w:t>References</w:t>
      </w:r>
    </w:p>
    <w:p w14:paraId="4B79A6D5" w14:textId="77777777" w:rsidR="00904D0D" w:rsidRPr="00904D0D" w:rsidRDefault="00904D0D" w:rsidP="00904D0D">
      <w:pPr>
        <w:pStyle w:val="Bibliography"/>
        <w:rPr>
          <w:bCs/>
          <w:noProof/>
        </w:rPr>
      </w:pPr>
      <w:r w:rsidRPr="00904D0D">
        <w:rPr>
          <w:bCs/>
          <w:noProof/>
        </w:rPr>
        <w:t>Baker J. A., III, et al. The Report of the BP U.S. Refineries Independent Safety Review Panel - Washington, D.C.: BP U.S. Refineries Independent Safety Review Panel, 2007.</w:t>
      </w:r>
    </w:p>
    <w:p w14:paraId="15021E03" w14:textId="77777777" w:rsidR="00904D0D" w:rsidRPr="00904D0D" w:rsidRDefault="00904D0D" w:rsidP="00904D0D">
      <w:pPr>
        <w:pStyle w:val="Bibliography"/>
        <w:rPr>
          <w:bCs/>
          <w:noProof/>
        </w:rPr>
      </w:pPr>
      <w:r w:rsidRPr="00904D0D">
        <w:rPr>
          <w:bCs/>
          <w:noProof/>
        </w:rPr>
        <w:t>BP national Commission Deep Water: The Gulf Oil Disaster and the Future of Offshore Drilling – Report to the President - Washington, D.C., 2011.</w:t>
      </w:r>
    </w:p>
    <w:p w14:paraId="0D460A65" w14:textId="3F2A4745" w:rsidR="00904D0D" w:rsidRPr="00904D0D" w:rsidRDefault="00904D0D" w:rsidP="00904D0D">
      <w:pPr>
        <w:pStyle w:val="Bibliography"/>
        <w:rPr>
          <w:bCs/>
          <w:noProof/>
        </w:rPr>
      </w:pPr>
      <w:r w:rsidRPr="00904D0D">
        <w:rPr>
          <w:bCs/>
          <w:noProof/>
        </w:rPr>
        <w:t>Center for Chemical Process Safety Guidelines for Risk-Based Process Safety - Hoboken, NJ: Wiley, 2007.</w:t>
      </w:r>
    </w:p>
    <w:p w14:paraId="53098C19" w14:textId="77777777" w:rsidR="00904D0D" w:rsidRPr="00904D0D" w:rsidRDefault="00904D0D" w:rsidP="00904D0D">
      <w:pPr>
        <w:pStyle w:val="Bibliography"/>
        <w:rPr>
          <w:bCs/>
          <w:noProof/>
        </w:rPr>
      </w:pPr>
      <w:r w:rsidRPr="00904D0D">
        <w:rPr>
          <w:bCs/>
          <w:noProof/>
        </w:rPr>
        <w:t>Department of Labor Occupational Safety and Health Administration (OSHA) Process Safety Management of Highly Hazardous Chemicals (29 CFR 1910.119) - Washington, D.C. U.S., 1992.</w:t>
      </w:r>
    </w:p>
    <w:p w14:paraId="305078E5" w14:textId="77777777" w:rsidR="00904D0D" w:rsidRPr="00904D0D" w:rsidRDefault="00904D0D" w:rsidP="00904D0D">
      <w:pPr>
        <w:pStyle w:val="Bibliography"/>
        <w:rPr>
          <w:bCs/>
          <w:noProof/>
        </w:rPr>
      </w:pPr>
      <w:r w:rsidRPr="00904D0D">
        <w:rPr>
          <w:bCs/>
          <w:noProof/>
        </w:rPr>
        <w:t>Energy Institute Process Safety Management Framework - London: Energy Institute, 2010.- 2nd Edition.</w:t>
      </w:r>
    </w:p>
    <w:p w14:paraId="1A3AAC8E" w14:textId="77777777" w:rsidR="00904D0D" w:rsidRPr="00904D0D" w:rsidRDefault="00904D0D" w:rsidP="00904D0D">
      <w:pPr>
        <w:pStyle w:val="Bibliography"/>
        <w:rPr>
          <w:bCs/>
          <w:noProof/>
        </w:rPr>
      </w:pPr>
      <w:r w:rsidRPr="00904D0D">
        <w:rPr>
          <w:bCs/>
          <w:noProof/>
        </w:rPr>
        <w:t>European Union Directive 2012/18/EU on the Control of Major-Accident Hazards Involving Dangerous Substances (Seveso III Directive) - Brussels: Official Journal of the European Union, 2012.</w:t>
      </w:r>
    </w:p>
    <w:p w14:paraId="57FA8260" w14:textId="77777777" w:rsidR="00904D0D" w:rsidRPr="00904D0D" w:rsidRDefault="00904D0D" w:rsidP="00904D0D">
      <w:pPr>
        <w:pStyle w:val="Bibliography"/>
        <w:rPr>
          <w:bCs/>
          <w:noProof/>
        </w:rPr>
      </w:pPr>
      <w:r w:rsidRPr="00904D0D">
        <w:rPr>
          <w:bCs/>
          <w:noProof/>
        </w:rPr>
        <w:t>Health and Safety Executive Reducing Risks, Protecting People: HSE's Decision-Making Process: Health and Safety Executive., 2001.</w:t>
      </w:r>
    </w:p>
    <w:p w14:paraId="40687EF5" w14:textId="30919787" w:rsidR="00904D0D" w:rsidRPr="00904D0D" w:rsidRDefault="00904D0D" w:rsidP="00904D0D">
      <w:pPr>
        <w:pStyle w:val="Bibliography"/>
        <w:rPr>
          <w:bCs/>
          <w:noProof/>
        </w:rPr>
      </w:pPr>
      <w:r w:rsidRPr="00904D0D">
        <w:rPr>
          <w:bCs/>
          <w:noProof/>
        </w:rPr>
        <w:t>International Electrotechnical Commission Hazard and Operability Studies (HAZOP Studies) – Application Guide (IEC 61882) - Geneva, Switzerland: International Electrotechnical Commission, 2016.</w:t>
      </w:r>
    </w:p>
    <w:p w14:paraId="03DB4DEE" w14:textId="08DE6AAC" w:rsidR="00904D0D" w:rsidRDefault="00904D0D" w:rsidP="00904D0D">
      <w:pPr>
        <w:pStyle w:val="Bibliography"/>
        <w:rPr>
          <w:bCs/>
          <w:noProof/>
        </w:rPr>
      </w:pPr>
      <w:r w:rsidRPr="00904D0D">
        <w:rPr>
          <w:bCs/>
          <w:noProof/>
        </w:rPr>
        <w:t xml:space="preserve">International Organization for </w:t>
      </w:r>
      <w:r w:rsidRPr="003A1D4B">
        <w:rPr>
          <w:bCs/>
          <w:noProof/>
        </w:rPr>
        <w:t>Standardization (ISO) and International Electrotechnical Commission Risk Management – Risk Assessment Techniques (IEC/ISO 31010) - Geneva, Switzerland, 2019.</w:t>
      </w:r>
    </w:p>
    <w:p w14:paraId="323EFAD7" w14:textId="77777777" w:rsidR="00335ED7" w:rsidRPr="000D08AD" w:rsidRDefault="00335ED7" w:rsidP="00335ED7">
      <w:pPr>
        <w:pStyle w:val="Bibliography"/>
        <w:rPr>
          <w:bCs/>
          <w:noProof/>
        </w:rPr>
      </w:pPr>
      <w:r w:rsidRPr="0007233F">
        <w:rPr>
          <w:bCs/>
          <w:noProof/>
        </w:rPr>
        <w:t>Markowski, A. S., Krasławski, A., Vairo, T., &amp; Fabiano, B. (2021). Process Safety Management Quality in Industrial Corporation for Sustainable Development. Sustainability, 13(16), 9001.</w:t>
      </w:r>
    </w:p>
    <w:p w14:paraId="38C1DA08" w14:textId="1570D8AF" w:rsidR="00904D0D" w:rsidRDefault="00904D0D" w:rsidP="00904D0D">
      <w:pPr>
        <w:pStyle w:val="Bibliography"/>
        <w:rPr>
          <w:bCs/>
          <w:noProof/>
        </w:rPr>
      </w:pPr>
      <w:r w:rsidRPr="003A1D4B">
        <w:rPr>
          <w:bCs/>
          <w:noProof/>
        </w:rPr>
        <w:lastRenderedPageBreak/>
        <w:t>Netherlands Organization for Applied Scientific Resea</w:t>
      </w:r>
      <w:r w:rsidR="00E35025" w:rsidRPr="003A1D4B">
        <w:rPr>
          <w:bCs/>
          <w:noProof/>
        </w:rPr>
        <w:t>rch</w:t>
      </w:r>
      <w:r w:rsidRPr="00904D0D">
        <w:rPr>
          <w:bCs/>
          <w:noProof/>
        </w:rPr>
        <w:t xml:space="preserve"> </w:t>
      </w:r>
      <w:r w:rsidR="00E35025">
        <w:rPr>
          <w:bCs/>
          <w:noProof/>
        </w:rPr>
        <w:t>Guidelines</w:t>
      </w:r>
      <w:r w:rsidRPr="00904D0D">
        <w:rPr>
          <w:bCs/>
          <w:noProof/>
        </w:rPr>
        <w:t xml:space="preserve"> for </w:t>
      </w:r>
      <w:r w:rsidR="00E35025">
        <w:rPr>
          <w:bCs/>
          <w:noProof/>
        </w:rPr>
        <w:t>quantitative</w:t>
      </w:r>
      <w:r w:rsidRPr="00904D0D">
        <w:rPr>
          <w:bCs/>
          <w:noProof/>
        </w:rPr>
        <w:t xml:space="preserve"> risk assessment - The Hague, Netherlands: Netherlands Organization for Applied Scientific Research, 2019.</w:t>
      </w:r>
    </w:p>
    <w:sectPr w:rsidR="00904D0D" w:rsidSect="00DC73EE">
      <w:type w:val="continuous"/>
      <w:pgSz w:w="11906" w:h="16838" w:code="9"/>
      <w:pgMar w:top="1701" w:right="1418" w:bottom="1701" w:left="1701" w:header="1701" w:footer="0"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Leonardo Michele CARLUCCIO" w:date="2025-02-24T10:21:00Z" w:initials="LC">
    <w:p w14:paraId="44998A8E" w14:textId="77777777" w:rsidR="00CD4B69" w:rsidRDefault="00CD4B69" w:rsidP="00CD4B69">
      <w:pPr>
        <w:pStyle w:val="CommentText"/>
        <w:jc w:val="left"/>
      </w:pPr>
      <w:r>
        <w:rPr>
          <w:rStyle w:val="CommentReference"/>
        </w:rPr>
        <w:annotationRef/>
      </w:r>
      <w:hyperlink r:id="rId1" w:history="1">
        <w:r w:rsidRPr="00215A2E">
          <w:rPr>
            <w:rStyle w:val="Hyperlink"/>
          </w:rPr>
          <w:t>Process Safety Management Quality in Industrial Corporation for Sustainable Development</w:t>
        </w:r>
      </w:hyperlink>
      <w:r>
        <w:t xml:space="preserve"> </w:t>
      </w:r>
    </w:p>
  </w:comment>
  <w:comment w:id="6" w:author="Leonardo Michele CARLUCCIO" w:date="2025-02-24T10:21:00Z" w:initials="LC">
    <w:p w14:paraId="0C62D748" w14:textId="77777777" w:rsidR="00CD4B69" w:rsidRDefault="00CD4B69" w:rsidP="00CD4B69">
      <w:pPr>
        <w:pStyle w:val="CommentText"/>
        <w:jc w:val="left"/>
      </w:pPr>
      <w:r>
        <w:rPr>
          <w:rStyle w:val="CommentReference"/>
        </w:rPr>
        <w:annotationRef/>
      </w:r>
      <w:r>
        <w:t>Integrare / citare questo articolo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998A8E" w15:done="0"/>
  <w15:commentEx w15:paraId="0C62D748" w15:paraIdParent="44998A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7B7A92" w16cex:dateUtc="2025-02-24T09:21:00Z"/>
  <w16cex:commentExtensible w16cex:durableId="6A989F2F" w16cex:dateUtc="2025-02-24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998A8E" w16cid:durableId="3E7B7A92"/>
  <w16cid:commentId w16cid:paraId="0C62D748" w16cid:durableId="6A989F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56ED0" w14:textId="77777777" w:rsidR="008C7B6B" w:rsidRDefault="008C7B6B" w:rsidP="004F5E36">
      <w:r>
        <w:separator/>
      </w:r>
    </w:p>
  </w:endnote>
  <w:endnote w:type="continuationSeparator" w:id="0">
    <w:p w14:paraId="1DDB5B3B" w14:textId="77777777" w:rsidR="008C7B6B" w:rsidRDefault="008C7B6B" w:rsidP="004F5E36">
      <w:r>
        <w:continuationSeparator/>
      </w:r>
    </w:p>
  </w:endnote>
  <w:endnote w:type="continuationNotice" w:id="1">
    <w:p w14:paraId="6F3596CD" w14:textId="77777777" w:rsidR="008C7B6B" w:rsidRDefault="008C7B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09E6" w14:textId="77777777" w:rsidR="008C7B6B" w:rsidRDefault="008C7B6B" w:rsidP="004F5E36">
      <w:r>
        <w:separator/>
      </w:r>
    </w:p>
  </w:footnote>
  <w:footnote w:type="continuationSeparator" w:id="0">
    <w:p w14:paraId="73FE9E1D" w14:textId="77777777" w:rsidR="008C7B6B" w:rsidRDefault="008C7B6B" w:rsidP="004F5E36">
      <w:r>
        <w:continuationSeparator/>
      </w:r>
    </w:p>
  </w:footnote>
  <w:footnote w:type="continuationNotice" w:id="1">
    <w:p w14:paraId="73D6C1D0" w14:textId="77777777" w:rsidR="008C7B6B" w:rsidRDefault="008C7B6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E0B38"/>
    <w:multiLevelType w:val="hybridMultilevel"/>
    <w:tmpl w:val="094AD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59F5DBC"/>
    <w:multiLevelType w:val="hybridMultilevel"/>
    <w:tmpl w:val="7DD61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91520DA"/>
    <w:multiLevelType w:val="hybridMultilevel"/>
    <w:tmpl w:val="F000D2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F2F4302"/>
    <w:multiLevelType w:val="hybridMultilevel"/>
    <w:tmpl w:val="B6E02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2E8E2F68"/>
    <w:multiLevelType w:val="hybridMultilevel"/>
    <w:tmpl w:val="B518C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143E81"/>
    <w:multiLevelType w:val="hybridMultilevel"/>
    <w:tmpl w:val="3CDE9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E45A0"/>
    <w:multiLevelType w:val="hybridMultilevel"/>
    <w:tmpl w:val="A606B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DCB4D75"/>
    <w:multiLevelType w:val="hybridMultilevel"/>
    <w:tmpl w:val="4184E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BD57B0"/>
    <w:multiLevelType w:val="hybridMultilevel"/>
    <w:tmpl w:val="70D2C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4520A1"/>
    <w:multiLevelType w:val="hybridMultilevel"/>
    <w:tmpl w:val="0C22F1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9" w15:restartNumberingAfterBreak="0">
    <w:nsid w:val="572F6319"/>
    <w:multiLevelType w:val="hybridMultilevel"/>
    <w:tmpl w:val="F982A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F0846BC"/>
    <w:multiLevelType w:val="hybridMultilevel"/>
    <w:tmpl w:val="9CC82FB4"/>
    <w:lvl w:ilvl="0" w:tplc="74F43FE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3067D4F"/>
    <w:multiLevelType w:val="hybridMultilevel"/>
    <w:tmpl w:val="F2FA0E9C"/>
    <w:lvl w:ilvl="0" w:tplc="CCD6B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253D3"/>
    <w:multiLevelType w:val="hybridMultilevel"/>
    <w:tmpl w:val="38C67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5"/>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8"/>
  </w:num>
  <w:num w:numId="13" w16cid:durableId="695733619">
    <w:abstractNumId w:val="19"/>
  </w:num>
  <w:num w:numId="14" w16cid:durableId="145903400">
    <w:abstractNumId w:val="30"/>
  </w:num>
  <w:num w:numId="15" w16cid:durableId="19162326">
    <w:abstractNumId w:val="32"/>
  </w:num>
  <w:num w:numId="16" w16cid:durableId="1977102699">
    <w:abstractNumId w:val="31"/>
  </w:num>
  <w:num w:numId="17" w16cid:durableId="860774865">
    <w:abstractNumId w:val="18"/>
  </w:num>
  <w:num w:numId="18" w16cid:durableId="313221457">
    <w:abstractNumId w:val="19"/>
    <w:lvlOverride w:ilvl="0">
      <w:startOverride w:val="1"/>
    </w:lvlOverride>
  </w:num>
  <w:num w:numId="19" w16cid:durableId="534971577">
    <w:abstractNumId w:val="27"/>
  </w:num>
  <w:num w:numId="20" w16cid:durableId="1150947773">
    <w:abstractNumId w:val="26"/>
  </w:num>
  <w:num w:numId="21" w16cid:durableId="124660497">
    <w:abstractNumId w:val="22"/>
  </w:num>
  <w:num w:numId="22" w16cid:durableId="2099861471">
    <w:abstractNumId w:val="20"/>
  </w:num>
  <w:num w:numId="23" w16cid:durableId="84351335">
    <w:abstractNumId w:val="14"/>
  </w:num>
  <w:num w:numId="24" w16cid:durableId="1573277302">
    <w:abstractNumId w:val="25"/>
  </w:num>
  <w:num w:numId="25" w16cid:durableId="1286156081">
    <w:abstractNumId w:val="16"/>
  </w:num>
  <w:num w:numId="26" w16cid:durableId="1494562817">
    <w:abstractNumId w:val="21"/>
  </w:num>
  <w:num w:numId="27" w16cid:durableId="344021115">
    <w:abstractNumId w:val="17"/>
  </w:num>
  <w:num w:numId="28" w16cid:durableId="571085134">
    <w:abstractNumId w:val="10"/>
  </w:num>
  <w:num w:numId="29" w16cid:durableId="2080250916">
    <w:abstractNumId w:val="23"/>
  </w:num>
  <w:num w:numId="30" w16cid:durableId="2132242335">
    <w:abstractNumId w:val="11"/>
  </w:num>
  <w:num w:numId="31" w16cid:durableId="2143233252">
    <w:abstractNumId w:val="12"/>
  </w:num>
  <w:num w:numId="32" w16cid:durableId="898712578">
    <w:abstractNumId w:val="24"/>
  </w:num>
  <w:num w:numId="33" w16cid:durableId="1547568809">
    <w:abstractNumId w:val="33"/>
  </w:num>
  <w:num w:numId="34" w16cid:durableId="565268124">
    <w:abstractNumId w:val="35"/>
  </w:num>
  <w:num w:numId="35" w16cid:durableId="662590434">
    <w:abstractNumId w:val="29"/>
  </w:num>
  <w:num w:numId="36" w16cid:durableId="2056393055">
    <w:abstractNumId w:val="13"/>
  </w:num>
  <w:num w:numId="37" w16cid:durableId="694888509">
    <w:abstractNumId w:val="34"/>
  </w:num>
  <w:num w:numId="38" w16cid:durableId="1755391881">
    <w:abstractNumId w:val="15"/>
  </w:num>
  <w:num w:numId="39" w16cid:durableId="168166368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onardo Michele CARLUCCIO">
    <w15:presenceInfo w15:providerId="AD" w15:userId="S::A416525@dekra.org::081d16cb-1778-4bb8-92d4-afa091ecf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200A1"/>
    <w:rsid w:val="0003148D"/>
    <w:rsid w:val="00031EEC"/>
    <w:rsid w:val="00033863"/>
    <w:rsid w:val="00034BCD"/>
    <w:rsid w:val="00035A71"/>
    <w:rsid w:val="00040B3A"/>
    <w:rsid w:val="00041438"/>
    <w:rsid w:val="00051566"/>
    <w:rsid w:val="000545FC"/>
    <w:rsid w:val="000562A9"/>
    <w:rsid w:val="00062A9A"/>
    <w:rsid w:val="00062C2D"/>
    <w:rsid w:val="00062E51"/>
    <w:rsid w:val="00065058"/>
    <w:rsid w:val="00066E8A"/>
    <w:rsid w:val="00071E77"/>
    <w:rsid w:val="0007233F"/>
    <w:rsid w:val="00073BB4"/>
    <w:rsid w:val="000803DA"/>
    <w:rsid w:val="000848E8"/>
    <w:rsid w:val="00086696"/>
    <w:rsid w:val="00086C39"/>
    <w:rsid w:val="00091AFB"/>
    <w:rsid w:val="00092642"/>
    <w:rsid w:val="00097FEE"/>
    <w:rsid w:val="000A03B2"/>
    <w:rsid w:val="000A0A15"/>
    <w:rsid w:val="000A156B"/>
    <w:rsid w:val="000A55BC"/>
    <w:rsid w:val="000B0C79"/>
    <w:rsid w:val="000C6910"/>
    <w:rsid w:val="000D0268"/>
    <w:rsid w:val="000D08AD"/>
    <w:rsid w:val="000D34BE"/>
    <w:rsid w:val="000D5D4D"/>
    <w:rsid w:val="000D6A84"/>
    <w:rsid w:val="000E0B3C"/>
    <w:rsid w:val="000E102F"/>
    <w:rsid w:val="000E2455"/>
    <w:rsid w:val="000E36F1"/>
    <w:rsid w:val="000E3A73"/>
    <w:rsid w:val="000E414A"/>
    <w:rsid w:val="000E75FD"/>
    <w:rsid w:val="000F093C"/>
    <w:rsid w:val="000F09DB"/>
    <w:rsid w:val="000F1C69"/>
    <w:rsid w:val="000F4373"/>
    <w:rsid w:val="000F43B8"/>
    <w:rsid w:val="000F5E9A"/>
    <w:rsid w:val="000F787B"/>
    <w:rsid w:val="00100EC9"/>
    <w:rsid w:val="00101C48"/>
    <w:rsid w:val="001026DC"/>
    <w:rsid w:val="00107D99"/>
    <w:rsid w:val="00111632"/>
    <w:rsid w:val="00115275"/>
    <w:rsid w:val="00116DA6"/>
    <w:rsid w:val="0012091F"/>
    <w:rsid w:val="0012258C"/>
    <w:rsid w:val="00126BC2"/>
    <w:rsid w:val="001308B6"/>
    <w:rsid w:val="0013121F"/>
    <w:rsid w:val="00131FE6"/>
    <w:rsid w:val="0013263F"/>
    <w:rsid w:val="001331DF"/>
    <w:rsid w:val="00134DE4"/>
    <w:rsid w:val="0014034D"/>
    <w:rsid w:val="00140FE3"/>
    <w:rsid w:val="00144BF4"/>
    <w:rsid w:val="00144D16"/>
    <w:rsid w:val="00147DEE"/>
    <w:rsid w:val="00150E59"/>
    <w:rsid w:val="00152DE3"/>
    <w:rsid w:val="00154AEE"/>
    <w:rsid w:val="001550A2"/>
    <w:rsid w:val="0015720B"/>
    <w:rsid w:val="001604A2"/>
    <w:rsid w:val="00164CF9"/>
    <w:rsid w:val="00165C85"/>
    <w:rsid w:val="001667A6"/>
    <w:rsid w:val="00171F2D"/>
    <w:rsid w:val="00177A35"/>
    <w:rsid w:val="001807B9"/>
    <w:rsid w:val="0018118A"/>
    <w:rsid w:val="0018171E"/>
    <w:rsid w:val="00181B72"/>
    <w:rsid w:val="00183435"/>
    <w:rsid w:val="00184AD6"/>
    <w:rsid w:val="00187B30"/>
    <w:rsid w:val="00191EBE"/>
    <w:rsid w:val="00193CA2"/>
    <w:rsid w:val="001A2A3B"/>
    <w:rsid w:val="001A4AF7"/>
    <w:rsid w:val="001B0349"/>
    <w:rsid w:val="001B1E93"/>
    <w:rsid w:val="001B3158"/>
    <w:rsid w:val="001B3649"/>
    <w:rsid w:val="001B65C1"/>
    <w:rsid w:val="001C260F"/>
    <w:rsid w:val="001C5C3A"/>
    <w:rsid w:val="001C6130"/>
    <w:rsid w:val="001C62A9"/>
    <w:rsid w:val="001C67E1"/>
    <w:rsid w:val="001C684B"/>
    <w:rsid w:val="001D0C96"/>
    <w:rsid w:val="001D0CFB"/>
    <w:rsid w:val="001D21AF"/>
    <w:rsid w:val="001D407C"/>
    <w:rsid w:val="001D47C3"/>
    <w:rsid w:val="001D5138"/>
    <w:rsid w:val="001D53FC"/>
    <w:rsid w:val="001D5C11"/>
    <w:rsid w:val="001E3380"/>
    <w:rsid w:val="001E6B12"/>
    <w:rsid w:val="001F42A5"/>
    <w:rsid w:val="001F7B9D"/>
    <w:rsid w:val="001F7C0C"/>
    <w:rsid w:val="00201C93"/>
    <w:rsid w:val="00202A68"/>
    <w:rsid w:val="002057EB"/>
    <w:rsid w:val="002064D3"/>
    <w:rsid w:val="00211F01"/>
    <w:rsid w:val="002153D2"/>
    <w:rsid w:val="002224B4"/>
    <w:rsid w:val="0022704E"/>
    <w:rsid w:val="00230418"/>
    <w:rsid w:val="00236835"/>
    <w:rsid w:val="00240EAE"/>
    <w:rsid w:val="0024312D"/>
    <w:rsid w:val="002447EF"/>
    <w:rsid w:val="00245733"/>
    <w:rsid w:val="00251550"/>
    <w:rsid w:val="00252853"/>
    <w:rsid w:val="00253F1E"/>
    <w:rsid w:val="00257A5F"/>
    <w:rsid w:val="00263B05"/>
    <w:rsid w:val="00264185"/>
    <w:rsid w:val="00265D0A"/>
    <w:rsid w:val="00267EB2"/>
    <w:rsid w:val="0027221A"/>
    <w:rsid w:val="0027437D"/>
    <w:rsid w:val="00275B61"/>
    <w:rsid w:val="00280FAF"/>
    <w:rsid w:val="00282656"/>
    <w:rsid w:val="00282C59"/>
    <w:rsid w:val="0028736E"/>
    <w:rsid w:val="002912B9"/>
    <w:rsid w:val="002959F7"/>
    <w:rsid w:val="00296B83"/>
    <w:rsid w:val="002A2503"/>
    <w:rsid w:val="002B4015"/>
    <w:rsid w:val="002B6832"/>
    <w:rsid w:val="002B78CE"/>
    <w:rsid w:val="002C2FB6"/>
    <w:rsid w:val="002D63F0"/>
    <w:rsid w:val="002E5B47"/>
    <w:rsid w:val="002E5FA7"/>
    <w:rsid w:val="002E7FD1"/>
    <w:rsid w:val="002F3309"/>
    <w:rsid w:val="003008CE"/>
    <w:rsid w:val="003009B7"/>
    <w:rsid w:val="00300E56"/>
    <w:rsid w:val="0030152C"/>
    <w:rsid w:val="0030190D"/>
    <w:rsid w:val="0030469C"/>
    <w:rsid w:val="00304ECA"/>
    <w:rsid w:val="0031122D"/>
    <w:rsid w:val="0031214F"/>
    <w:rsid w:val="00314970"/>
    <w:rsid w:val="003200F8"/>
    <w:rsid w:val="0032016A"/>
    <w:rsid w:val="0032156A"/>
    <w:rsid w:val="00321CA6"/>
    <w:rsid w:val="00323763"/>
    <w:rsid w:val="00323C5F"/>
    <w:rsid w:val="0033271E"/>
    <w:rsid w:val="0033383D"/>
    <w:rsid w:val="00334C09"/>
    <w:rsid w:val="00335ED7"/>
    <w:rsid w:val="0034022B"/>
    <w:rsid w:val="00343EE1"/>
    <w:rsid w:val="00353FFD"/>
    <w:rsid w:val="00355545"/>
    <w:rsid w:val="00361648"/>
    <w:rsid w:val="00361DD7"/>
    <w:rsid w:val="003723D4"/>
    <w:rsid w:val="00374903"/>
    <w:rsid w:val="003764A5"/>
    <w:rsid w:val="00381905"/>
    <w:rsid w:val="003848AB"/>
    <w:rsid w:val="00384CC8"/>
    <w:rsid w:val="00386067"/>
    <w:rsid w:val="003871FD"/>
    <w:rsid w:val="00387564"/>
    <w:rsid w:val="003A1D4B"/>
    <w:rsid w:val="003A1E30"/>
    <w:rsid w:val="003A2829"/>
    <w:rsid w:val="003A4A69"/>
    <w:rsid w:val="003A7D1C"/>
    <w:rsid w:val="003B304B"/>
    <w:rsid w:val="003B3146"/>
    <w:rsid w:val="003B49CD"/>
    <w:rsid w:val="003B5B0D"/>
    <w:rsid w:val="003B7FD2"/>
    <w:rsid w:val="003C58B5"/>
    <w:rsid w:val="003D10C8"/>
    <w:rsid w:val="003D1E02"/>
    <w:rsid w:val="003E26C7"/>
    <w:rsid w:val="003E51DC"/>
    <w:rsid w:val="003E7B09"/>
    <w:rsid w:val="003F015E"/>
    <w:rsid w:val="003F286B"/>
    <w:rsid w:val="003F5608"/>
    <w:rsid w:val="003F5D3E"/>
    <w:rsid w:val="00400414"/>
    <w:rsid w:val="00404B2C"/>
    <w:rsid w:val="0041446B"/>
    <w:rsid w:val="004154AF"/>
    <w:rsid w:val="00424AA8"/>
    <w:rsid w:val="00433125"/>
    <w:rsid w:val="0044071E"/>
    <w:rsid w:val="0044329C"/>
    <w:rsid w:val="004516BE"/>
    <w:rsid w:val="00453414"/>
    <w:rsid w:val="00453E24"/>
    <w:rsid w:val="004556BB"/>
    <w:rsid w:val="00455992"/>
    <w:rsid w:val="00457456"/>
    <w:rsid w:val="004577FE"/>
    <w:rsid w:val="00457B9C"/>
    <w:rsid w:val="0046164A"/>
    <w:rsid w:val="004628D2"/>
    <w:rsid w:val="00462DCD"/>
    <w:rsid w:val="004648AD"/>
    <w:rsid w:val="004664EE"/>
    <w:rsid w:val="004703A9"/>
    <w:rsid w:val="004760DE"/>
    <w:rsid w:val="004763D7"/>
    <w:rsid w:val="004771EA"/>
    <w:rsid w:val="004807BC"/>
    <w:rsid w:val="004905C4"/>
    <w:rsid w:val="004932DF"/>
    <w:rsid w:val="00495D20"/>
    <w:rsid w:val="004A004E"/>
    <w:rsid w:val="004A24CF"/>
    <w:rsid w:val="004A3899"/>
    <w:rsid w:val="004B27A5"/>
    <w:rsid w:val="004B4EBD"/>
    <w:rsid w:val="004B7D8E"/>
    <w:rsid w:val="004C0F25"/>
    <w:rsid w:val="004C3C91"/>
    <w:rsid w:val="004C3D1D"/>
    <w:rsid w:val="004C3D84"/>
    <w:rsid w:val="004C6A96"/>
    <w:rsid w:val="004C7913"/>
    <w:rsid w:val="004C7943"/>
    <w:rsid w:val="004D033C"/>
    <w:rsid w:val="004D1D8B"/>
    <w:rsid w:val="004D4E60"/>
    <w:rsid w:val="004D540B"/>
    <w:rsid w:val="004E09C8"/>
    <w:rsid w:val="004E4DD6"/>
    <w:rsid w:val="004F3DF8"/>
    <w:rsid w:val="004F4C29"/>
    <w:rsid w:val="004F5E36"/>
    <w:rsid w:val="004F7525"/>
    <w:rsid w:val="0050632B"/>
    <w:rsid w:val="00507B47"/>
    <w:rsid w:val="00507BEF"/>
    <w:rsid w:val="00507CC9"/>
    <w:rsid w:val="00511669"/>
    <w:rsid w:val="005119A5"/>
    <w:rsid w:val="0051429D"/>
    <w:rsid w:val="00514DCE"/>
    <w:rsid w:val="00515A05"/>
    <w:rsid w:val="005254C1"/>
    <w:rsid w:val="005278B7"/>
    <w:rsid w:val="00527ED7"/>
    <w:rsid w:val="00530E96"/>
    <w:rsid w:val="00532016"/>
    <w:rsid w:val="005346C8"/>
    <w:rsid w:val="0053473C"/>
    <w:rsid w:val="005424FC"/>
    <w:rsid w:val="00543E7D"/>
    <w:rsid w:val="00545ED4"/>
    <w:rsid w:val="00546ED0"/>
    <w:rsid w:val="005472D1"/>
    <w:rsid w:val="00547A68"/>
    <w:rsid w:val="00551F51"/>
    <w:rsid w:val="005531C9"/>
    <w:rsid w:val="00554879"/>
    <w:rsid w:val="00562555"/>
    <w:rsid w:val="005641BF"/>
    <w:rsid w:val="00570C43"/>
    <w:rsid w:val="00571289"/>
    <w:rsid w:val="005738BF"/>
    <w:rsid w:val="00574553"/>
    <w:rsid w:val="00574A27"/>
    <w:rsid w:val="00580807"/>
    <w:rsid w:val="00592274"/>
    <w:rsid w:val="00594048"/>
    <w:rsid w:val="005943FF"/>
    <w:rsid w:val="00597646"/>
    <w:rsid w:val="00597BFF"/>
    <w:rsid w:val="005A0BCC"/>
    <w:rsid w:val="005B0ADB"/>
    <w:rsid w:val="005B15C2"/>
    <w:rsid w:val="005B2110"/>
    <w:rsid w:val="005B350B"/>
    <w:rsid w:val="005B61E6"/>
    <w:rsid w:val="005C77E1"/>
    <w:rsid w:val="005D1842"/>
    <w:rsid w:val="005D4EFA"/>
    <w:rsid w:val="005D5162"/>
    <w:rsid w:val="005D668A"/>
    <w:rsid w:val="005D6A2F"/>
    <w:rsid w:val="005D758D"/>
    <w:rsid w:val="005D7835"/>
    <w:rsid w:val="005D7F08"/>
    <w:rsid w:val="005E0592"/>
    <w:rsid w:val="005E1A82"/>
    <w:rsid w:val="005E3972"/>
    <w:rsid w:val="005E51BA"/>
    <w:rsid w:val="005E794C"/>
    <w:rsid w:val="005F0A28"/>
    <w:rsid w:val="005F0A2C"/>
    <w:rsid w:val="005F0E5E"/>
    <w:rsid w:val="005F1F96"/>
    <w:rsid w:val="005F39CF"/>
    <w:rsid w:val="005F3A7F"/>
    <w:rsid w:val="00600479"/>
    <w:rsid w:val="00600535"/>
    <w:rsid w:val="00610CD6"/>
    <w:rsid w:val="00610DE5"/>
    <w:rsid w:val="00613F4A"/>
    <w:rsid w:val="00620DEE"/>
    <w:rsid w:val="00621542"/>
    <w:rsid w:val="00621895"/>
    <w:rsid w:val="00621F92"/>
    <w:rsid w:val="0062280A"/>
    <w:rsid w:val="006231E1"/>
    <w:rsid w:val="00625639"/>
    <w:rsid w:val="0062592E"/>
    <w:rsid w:val="0062609B"/>
    <w:rsid w:val="00627B41"/>
    <w:rsid w:val="00631B33"/>
    <w:rsid w:val="0064184D"/>
    <w:rsid w:val="006422CC"/>
    <w:rsid w:val="00642BC1"/>
    <w:rsid w:val="00645DA6"/>
    <w:rsid w:val="00651D18"/>
    <w:rsid w:val="006551D2"/>
    <w:rsid w:val="00660526"/>
    <w:rsid w:val="00660E3E"/>
    <w:rsid w:val="00662E74"/>
    <w:rsid w:val="0066344D"/>
    <w:rsid w:val="00664AA5"/>
    <w:rsid w:val="00667A9E"/>
    <w:rsid w:val="00674CAB"/>
    <w:rsid w:val="00680C23"/>
    <w:rsid w:val="00683E23"/>
    <w:rsid w:val="00683FC9"/>
    <w:rsid w:val="00693766"/>
    <w:rsid w:val="00696403"/>
    <w:rsid w:val="00697BA4"/>
    <w:rsid w:val="006A16D4"/>
    <w:rsid w:val="006A27CF"/>
    <w:rsid w:val="006A3281"/>
    <w:rsid w:val="006A6DE5"/>
    <w:rsid w:val="006B4888"/>
    <w:rsid w:val="006B489D"/>
    <w:rsid w:val="006B55C0"/>
    <w:rsid w:val="006C23E0"/>
    <w:rsid w:val="006C2E45"/>
    <w:rsid w:val="006C359C"/>
    <w:rsid w:val="006C422B"/>
    <w:rsid w:val="006C450C"/>
    <w:rsid w:val="006C47A4"/>
    <w:rsid w:val="006C5579"/>
    <w:rsid w:val="006D0DC4"/>
    <w:rsid w:val="006D130E"/>
    <w:rsid w:val="006D6E8B"/>
    <w:rsid w:val="006D7209"/>
    <w:rsid w:val="006E24CE"/>
    <w:rsid w:val="006E6748"/>
    <w:rsid w:val="006E6DAB"/>
    <w:rsid w:val="006E737D"/>
    <w:rsid w:val="006F4746"/>
    <w:rsid w:val="006F4BC6"/>
    <w:rsid w:val="006F5AB2"/>
    <w:rsid w:val="006F6839"/>
    <w:rsid w:val="006F6864"/>
    <w:rsid w:val="00705581"/>
    <w:rsid w:val="00706947"/>
    <w:rsid w:val="00707DD1"/>
    <w:rsid w:val="00713973"/>
    <w:rsid w:val="00720A24"/>
    <w:rsid w:val="00732386"/>
    <w:rsid w:val="00733963"/>
    <w:rsid w:val="0073514D"/>
    <w:rsid w:val="00736F64"/>
    <w:rsid w:val="007423BB"/>
    <w:rsid w:val="007425BA"/>
    <w:rsid w:val="00742CF1"/>
    <w:rsid w:val="007447F3"/>
    <w:rsid w:val="007545F8"/>
    <w:rsid w:val="007546C3"/>
    <w:rsid w:val="0075499F"/>
    <w:rsid w:val="007661C8"/>
    <w:rsid w:val="00766E34"/>
    <w:rsid w:val="0076713A"/>
    <w:rsid w:val="0077098D"/>
    <w:rsid w:val="0077401E"/>
    <w:rsid w:val="0078138E"/>
    <w:rsid w:val="00785BF9"/>
    <w:rsid w:val="00787A3E"/>
    <w:rsid w:val="007931FA"/>
    <w:rsid w:val="007A0279"/>
    <w:rsid w:val="007A0864"/>
    <w:rsid w:val="007A1382"/>
    <w:rsid w:val="007A4861"/>
    <w:rsid w:val="007A5CCB"/>
    <w:rsid w:val="007A7BBA"/>
    <w:rsid w:val="007B0C50"/>
    <w:rsid w:val="007B48F9"/>
    <w:rsid w:val="007B545A"/>
    <w:rsid w:val="007C1A43"/>
    <w:rsid w:val="007D0951"/>
    <w:rsid w:val="007D10AC"/>
    <w:rsid w:val="007D610D"/>
    <w:rsid w:val="007E0638"/>
    <w:rsid w:val="007E4505"/>
    <w:rsid w:val="007E5426"/>
    <w:rsid w:val="007E6693"/>
    <w:rsid w:val="007E6C35"/>
    <w:rsid w:val="007E7217"/>
    <w:rsid w:val="007E7BE2"/>
    <w:rsid w:val="007F7DE1"/>
    <w:rsid w:val="0080013E"/>
    <w:rsid w:val="008009C6"/>
    <w:rsid w:val="00801759"/>
    <w:rsid w:val="008023BE"/>
    <w:rsid w:val="00803B09"/>
    <w:rsid w:val="008059AA"/>
    <w:rsid w:val="00813288"/>
    <w:rsid w:val="00813720"/>
    <w:rsid w:val="008168FC"/>
    <w:rsid w:val="00821E59"/>
    <w:rsid w:val="00825624"/>
    <w:rsid w:val="00830996"/>
    <w:rsid w:val="008345F1"/>
    <w:rsid w:val="00841371"/>
    <w:rsid w:val="0084460F"/>
    <w:rsid w:val="008470F8"/>
    <w:rsid w:val="00865B07"/>
    <w:rsid w:val="008667EA"/>
    <w:rsid w:val="008706E9"/>
    <w:rsid w:val="0087637F"/>
    <w:rsid w:val="00877C23"/>
    <w:rsid w:val="00881A02"/>
    <w:rsid w:val="00882EC5"/>
    <w:rsid w:val="00892AD5"/>
    <w:rsid w:val="00895673"/>
    <w:rsid w:val="00896A7C"/>
    <w:rsid w:val="008A1512"/>
    <w:rsid w:val="008A16BC"/>
    <w:rsid w:val="008B24A2"/>
    <w:rsid w:val="008B58FB"/>
    <w:rsid w:val="008C4BF8"/>
    <w:rsid w:val="008C599E"/>
    <w:rsid w:val="008C7B6B"/>
    <w:rsid w:val="008D1D19"/>
    <w:rsid w:val="008D32B9"/>
    <w:rsid w:val="008D433B"/>
    <w:rsid w:val="008D4A16"/>
    <w:rsid w:val="008E2B16"/>
    <w:rsid w:val="008E3CA2"/>
    <w:rsid w:val="008E5401"/>
    <w:rsid w:val="008E566E"/>
    <w:rsid w:val="008E747C"/>
    <w:rsid w:val="008F139D"/>
    <w:rsid w:val="0090161A"/>
    <w:rsid w:val="00901EB6"/>
    <w:rsid w:val="009041F8"/>
    <w:rsid w:val="00904C62"/>
    <w:rsid w:val="00904D0D"/>
    <w:rsid w:val="00916706"/>
    <w:rsid w:val="009170A7"/>
    <w:rsid w:val="00922BA8"/>
    <w:rsid w:val="00924DAC"/>
    <w:rsid w:val="00926190"/>
    <w:rsid w:val="00926EF8"/>
    <w:rsid w:val="00927058"/>
    <w:rsid w:val="00930CD6"/>
    <w:rsid w:val="00935A1C"/>
    <w:rsid w:val="00937E27"/>
    <w:rsid w:val="00940746"/>
    <w:rsid w:val="00942750"/>
    <w:rsid w:val="0094375F"/>
    <w:rsid w:val="00944D77"/>
    <w:rsid w:val="009450CE"/>
    <w:rsid w:val="009459BB"/>
    <w:rsid w:val="00947179"/>
    <w:rsid w:val="0095164B"/>
    <w:rsid w:val="00953C7C"/>
    <w:rsid w:val="0095402B"/>
    <w:rsid w:val="00954090"/>
    <w:rsid w:val="00954D02"/>
    <w:rsid w:val="00955538"/>
    <w:rsid w:val="009573E7"/>
    <w:rsid w:val="00957829"/>
    <w:rsid w:val="00963E05"/>
    <w:rsid w:val="00964A45"/>
    <w:rsid w:val="00967843"/>
    <w:rsid w:val="00967D54"/>
    <w:rsid w:val="00971028"/>
    <w:rsid w:val="009739E9"/>
    <w:rsid w:val="0098384D"/>
    <w:rsid w:val="009905E2"/>
    <w:rsid w:val="0099155C"/>
    <w:rsid w:val="009923A7"/>
    <w:rsid w:val="00993B84"/>
    <w:rsid w:val="00994C6A"/>
    <w:rsid w:val="00996483"/>
    <w:rsid w:val="00996F5A"/>
    <w:rsid w:val="00997D5F"/>
    <w:rsid w:val="009A6929"/>
    <w:rsid w:val="009B041A"/>
    <w:rsid w:val="009C17BC"/>
    <w:rsid w:val="009C334A"/>
    <w:rsid w:val="009C37C3"/>
    <w:rsid w:val="009C6165"/>
    <w:rsid w:val="009C7C86"/>
    <w:rsid w:val="009D1BC1"/>
    <w:rsid w:val="009D2FF7"/>
    <w:rsid w:val="009D5F20"/>
    <w:rsid w:val="009E4197"/>
    <w:rsid w:val="009E6972"/>
    <w:rsid w:val="009E7884"/>
    <w:rsid w:val="009E788A"/>
    <w:rsid w:val="009F0E08"/>
    <w:rsid w:val="009F130E"/>
    <w:rsid w:val="009F6001"/>
    <w:rsid w:val="009F69E1"/>
    <w:rsid w:val="009F7E76"/>
    <w:rsid w:val="00A05B60"/>
    <w:rsid w:val="00A079AE"/>
    <w:rsid w:val="00A154D9"/>
    <w:rsid w:val="00A16976"/>
    <w:rsid w:val="00A1763D"/>
    <w:rsid w:val="00A17CEC"/>
    <w:rsid w:val="00A22431"/>
    <w:rsid w:val="00A25AF2"/>
    <w:rsid w:val="00A26604"/>
    <w:rsid w:val="00A27EF0"/>
    <w:rsid w:val="00A41711"/>
    <w:rsid w:val="00A42361"/>
    <w:rsid w:val="00A42951"/>
    <w:rsid w:val="00A50B20"/>
    <w:rsid w:val="00A51390"/>
    <w:rsid w:val="00A60D13"/>
    <w:rsid w:val="00A62DA4"/>
    <w:rsid w:val="00A7223D"/>
    <w:rsid w:val="00A72745"/>
    <w:rsid w:val="00A73571"/>
    <w:rsid w:val="00A74227"/>
    <w:rsid w:val="00A76EFC"/>
    <w:rsid w:val="00A87D50"/>
    <w:rsid w:val="00A90CD9"/>
    <w:rsid w:val="00A90F27"/>
    <w:rsid w:val="00A91010"/>
    <w:rsid w:val="00A97F29"/>
    <w:rsid w:val="00AA702E"/>
    <w:rsid w:val="00AA7D26"/>
    <w:rsid w:val="00AB0964"/>
    <w:rsid w:val="00AB3BD5"/>
    <w:rsid w:val="00AB3F7E"/>
    <w:rsid w:val="00AB5011"/>
    <w:rsid w:val="00AC0100"/>
    <w:rsid w:val="00AC01DA"/>
    <w:rsid w:val="00AC179D"/>
    <w:rsid w:val="00AC3EAB"/>
    <w:rsid w:val="00AC7368"/>
    <w:rsid w:val="00AD16B9"/>
    <w:rsid w:val="00AE00CA"/>
    <w:rsid w:val="00AE377D"/>
    <w:rsid w:val="00AF02F8"/>
    <w:rsid w:val="00AF0EBA"/>
    <w:rsid w:val="00AF2463"/>
    <w:rsid w:val="00AF36D6"/>
    <w:rsid w:val="00AF4B07"/>
    <w:rsid w:val="00B0149B"/>
    <w:rsid w:val="00B01F0E"/>
    <w:rsid w:val="00B02C8A"/>
    <w:rsid w:val="00B05E01"/>
    <w:rsid w:val="00B11A2B"/>
    <w:rsid w:val="00B13D9B"/>
    <w:rsid w:val="00B1615A"/>
    <w:rsid w:val="00B17FBD"/>
    <w:rsid w:val="00B20165"/>
    <w:rsid w:val="00B2207A"/>
    <w:rsid w:val="00B30E30"/>
    <w:rsid w:val="00B315A6"/>
    <w:rsid w:val="00B31813"/>
    <w:rsid w:val="00B31BB0"/>
    <w:rsid w:val="00B33365"/>
    <w:rsid w:val="00B4233D"/>
    <w:rsid w:val="00B47E39"/>
    <w:rsid w:val="00B51BED"/>
    <w:rsid w:val="00B54B09"/>
    <w:rsid w:val="00B57B36"/>
    <w:rsid w:val="00B57E6F"/>
    <w:rsid w:val="00B6216C"/>
    <w:rsid w:val="00B6294A"/>
    <w:rsid w:val="00B64DBD"/>
    <w:rsid w:val="00B64E6E"/>
    <w:rsid w:val="00B71A73"/>
    <w:rsid w:val="00B76329"/>
    <w:rsid w:val="00B7670E"/>
    <w:rsid w:val="00B77B17"/>
    <w:rsid w:val="00B8686D"/>
    <w:rsid w:val="00B93F69"/>
    <w:rsid w:val="00BA259D"/>
    <w:rsid w:val="00BB1DDC"/>
    <w:rsid w:val="00BC236C"/>
    <w:rsid w:val="00BC30C9"/>
    <w:rsid w:val="00BC55AC"/>
    <w:rsid w:val="00BC6909"/>
    <w:rsid w:val="00BD077D"/>
    <w:rsid w:val="00BD353B"/>
    <w:rsid w:val="00BD4DA2"/>
    <w:rsid w:val="00BE3E58"/>
    <w:rsid w:val="00BE5727"/>
    <w:rsid w:val="00BF0F13"/>
    <w:rsid w:val="00BF13CE"/>
    <w:rsid w:val="00BF1EEE"/>
    <w:rsid w:val="00BF28D6"/>
    <w:rsid w:val="00C01616"/>
    <w:rsid w:val="00C0162B"/>
    <w:rsid w:val="00C04BD9"/>
    <w:rsid w:val="00C068ED"/>
    <w:rsid w:val="00C12516"/>
    <w:rsid w:val="00C21DA0"/>
    <w:rsid w:val="00C22E0C"/>
    <w:rsid w:val="00C30F68"/>
    <w:rsid w:val="00C345B1"/>
    <w:rsid w:val="00C40142"/>
    <w:rsid w:val="00C52C3C"/>
    <w:rsid w:val="00C57182"/>
    <w:rsid w:val="00C57863"/>
    <w:rsid w:val="00C637BF"/>
    <w:rsid w:val="00C640AF"/>
    <w:rsid w:val="00C64B63"/>
    <w:rsid w:val="00C655FD"/>
    <w:rsid w:val="00C667FF"/>
    <w:rsid w:val="00C66B80"/>
    <w:rsid w:val="00C72D80"/>
    <w:rsid w:val="00C75407"/>
    <w:rsid w:val="00C817E8"/>
    <w:rsid w:val="00C81E22"/>
    <w:rsid w:val="00C841C6"/>
    <w:rsid w:val="00C870A8"/>
    <w:rsid w:val="00C929F0"/>
    <w:rsid w:val="00C94434"/>
    <w:rsid w:val="00CA0D75"/>
    <w:rsid w:val="00CA1C95"/>
    <w:rsid w:val="00CA5A9C"/>
    <w:rsid w:val="00CB0A68"/>
    <w:rsid w:val="00CB71C1"/>
    <w:rsid w:val="00CC14F1"/>
    <w:rsid w:val="00CC21AE"/>
    <w:rsid w:val="00CC4C20"/>
    <w:rsid w:val="00CD1173"/>
    <w:rsid w:val="00CD3517"/>
    <w:rsid w:val="00CD4B69"/>
    <w:rsid w:val="00CD4D16"/>
    <w:rsid w:val="00CD5FE2"/>
    <w:rsid w:val="00CD62E8"/>
    <w:rsid w:val="00CD6EC6"/>
    <w:rsid w:val="00CD7232"/>
    <w:rsid w:val="00CE2AAA"/>
    <w:rsid w:val="00CE7C68"/>
    <w:rsid w:val="00CF514A"/>
    <w:rsid w:val="00CF7347"/>
    <w:rsid w:val="00CF78B3"/>
    <w:rsid w:val="00D02B4C"/>
    <w:rsid w:val="00D040C4"/>
    <w:rsid w:val="00D14DE8"/>
    <w:rsid w:val="00D170E3"/>
    <w:rsid w:val="00D20AD1"/>
    <w:rsid w:val="00D2582C"/>
    <w:rsid w:val="00D34D2E"/>
    <w:rsid w:val="00D34F12"/>
    <w:rsid w:val="00D35F42"/>
    <w:rsid w:val="00D41401"/>
    <w:rsid w:val="00D45B55"/>
    <w:rsid w:val="00D46B7E"/>
    <w:rsid w:val="00D50064"/>
    <w:rsid w:val="00D55299"/>
    <w:rsid w:val="00D56552"/>
    <w:rsid w:val="00D57C84"/>
    <w:rsid w:val="00D6057D"/>
    <w:rsid w:val="00D6267E"/>
    <w:rsid w:val="00D626F3"/>
    <w:rsid w:val="00D64F3B"/>
    <w:rsid w:val="00D705E1"/>
    <w:rsid w:val="00D71640"/>
    <w:rsid w:val="00D81AED"/>
    <w:rsid w:val="00D81C69"/>
    <w:rsid w:val="00D827EA"/>
    <w:rsid w:val="00D836C5"/>
    <w:rsid w:val="00D84576"/>
    <w:rsid w:val="00D9591E"/>
    <w:rsid w:val="00D97A2D"/>
    <w:rsid w:val="00DA1399"/>
    <w:rsid w:val="00DA24C6"/>
    <w:rsid w:val="00DA4D7B"/>
    <w:rsid w:val="00DA7681"/>
    <w:rsid w:val="00DA7C9F"/>
    <w:rsid w:val="00DA7EA6"/>
    <w:rsid w:val="00DB4841"/>
    <w:rsid w:val="00DB48B5"/>
    <w:rsid w:val="00DB4AC4"/>
    <w:rsid w:val="00DC01E2"/>
    <w:rsid w:val="00DC0F0E"/>
    <w:rsid w:val="00DC2183"/>
    <w:rsid w:val="00DC22D4"/>
    <w:rsid w:val="00DC2840"/>
    <w:rsid w:val="00DC72D1"/>
    <w:rsid w:val="00DC73EE"/>
    <w:rsid w:val="00DC7CAA"/>
    <w:rsid w:val="00DD20E5"/>
    <w:rsid w:val="00DD271C"/>
    <w:rsid w:val="00DD5101"/>
    <w:rsid w:val="00DD5E10"/>
    <w:rsid w:val="00DE05B9"/>
    <w:rsid w:val="00DE2398"/>
    <w:rsid w:val="00DE264A"/>
    <w:rsid w:val="00DF5072"/>
    <w:rsid w:val="00E02D18"/>
    <w:rsid w:val="00E041E7"/>
    <w:rsid w:val="00E07B3E"/>
    <w:rsid w:val="00E11613"/>
    <w:rsid w:val="00E17465"/>
    <w:rsid w:val="00E204D1"/>
    <w:rsid w:val="00E23CA1"/>
    <w:rsid w:val="00E27838"/>
    <w:rsid w:val="00E345E4"/>
    <w:rsid w:val="00E35025"/>
    <w:rsid w:val="00E409A8"/>
    <w:rsid w:val="00E41F9C"/>
    <w:rsid w:val="00E4233A"/>
    <w:rsid w:val="00E44BC3"/>
    <w:rsid w:val="00E50C12"/>
    <w:rsid w:val="00E53F96"/>
    <w:rsid w:val="00E54350"/>
    <w:rsid w:val="00E627E4"/>
    <w:rsid w:val="00E62A48"/>
    <w:rsid w:val="00E6311E"/>
    <w:rsid w:val="00E649C9"/>
    <w:rsid w:val="00E65B91"/>
    <w:rsid w:val="00E661E8"/>
    <w:rsid w:val="00E7209D"/>
    <w:rsid w:val="00E72EAD"/>
    <w:rsid w:val="00E7512C"/>
    <w:rsid w:val="00E760C1"/>
    <w:rsid w:val="00E77223"/>
    <w:rsid w:val="00E82E5E"/>
    <w:rsid w:val="00E839ED"/>
    <w:rsid w:val="00E84704"/>
    <w:rsid w:val="00E8528B"/>
    <w:rsid w:val="00E85B94"/>
    <w:rsid w:val="00E978D0"/>
    <w:rsid w:val="00EA4331"/>
    <w:rsid w:val="00EA4613"/>
    <w:rsid w:val="00EA66B0"/>
    <w:rsid w:val="00EA7F91"/>
    <w:rsid w:val="00EB1523"/>
    <w:rsid w:val="00EB1657"/>
    <w:rsid w:val="00EB1E2F"/>
    <w:rsid w:val="00EB6FBB"/>
    <w:rsid w:val="00EB702A"/>
    <w:rsid w:val="00EB742E"/>
    <w:rsid w:val="00EC0E49"/>
    <w:rsid w:val="00EC101F"/>
    <w:rsid w:val="00EC1D9F"/>
    <w:rsid w:val="00EC69BE"/>
    <w:rsid w:val="00ED043B"/>
    <w:rsid w:val="00ED5702"/>
    <w:rsid w:val="00ED5D2A"/>
    <w:rsid w:val="00EE0131"/>
    <w:rsid w:val="00EE17B0"/>
    <w:rsid w:val="00EE6179"/>
    <w:rsid w:val="00EF0075"/>
    <w:rsid w:val="00EF06D9"/>
    <w:rsid w:val="00EF1AFE"/>
    <w:rsid w:val="00EF4EEA"/>
    <w:rsid w:val="00F030D1"/>
    <w:rsid w:val="00F11473"/>
    <w:rsid w:val="00F1638C"/>
    <w:rsid w:val="00F208AF"/>
    <w:rsid w:val="00F2332F"/>
    <w:rsid w:val="00F23A1B"/>
    <w:rsid w:val="00F27EE4"/>
    <w:rsid w:val="00F3049E"/>
    <w:rsid w:val="00F30C64"/>
    <w:rsid w:val="00F32BA2"/>
    <w:rsid w:val="00F32CDB"/>
    <w:rsid w:val="00F418BF"/>
    <w:rsid w:val="00F41EE4"/>
    <w:rsid w:val="00F43975"/>
    <w:rsid w:val="00F53039"/>
    <w:rsid w:val="00F565FE"/>
    <w:rsid w:val="00F600D2"/>
    <w:rsid w:val="00F62A56"/>
    <w:rsid w:val="00F63A70"/>
    <w:rsid w:val="00F63D8C"/>
    <w:rsid w:val="00F67F4F"/>
    <w:rsid w:val="00F7534E"/>
    <w:rsid w:val="00F75B7B"/>
    <w:rsid w:val="00F76BE9"/>
    <w:rsid w:val="00F80CA0"/>
    <w:rsid w:val="00F836E5"/>
    <w:rsid w:val="00F91BBF"/>
    <w:rsid w:val="00F92270"/>
    <w:rsid w:val="00F92AB7"/>
    <w:rsid w:val="00F93EDF"/>
    <w:rsid w:val="00F94F81"/>
    <w:rsid w:val="00F964A8"/>
    <w:rsid w:val="00FA02D1"/>
    <w:rsid w:val="00FA1802"/>
    <w:rsid w:val="00FA21D0"/>
    <w:rsid w:val="00FA5F5F"/>
    <w:rsid w:val="00FA658C"/>
    <w:rsid w:val="00FB730C"/>
    <w:rsid w:val="00FC2695"/>
    <w:rsid w:val="00FC3E03"/>
    <w:rsid w:val="00FC3FC1"/>
    <w:rsid w:val="00FD15F1"/>
    <w:rsid w:val="00FD35F0"/>
    <w:rsid w:val="00FD52D9"/>
    <w:rsid w:val="00FE6F28"/>
    <w:rsid w:val="00FE7001"/>
    <w:rsid w:val="00FF22F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5:docId w15:val="{47AB9D18-45CF-4A34-8C68-4CDD3D20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F208AF"/>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qFormat/>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Strong">
    <w:name w:val="Strong"/>
    <w:basedOn w:val="DefaultParagraphFont"/>
    <w:uiPriority w:val="22"/>
    <w:qFormat/>
    <w:rsid w:val="00092642"/>
    <w:rPr>
      <w:b/>
      <w:bCs/>
    </w:rPr>
  </w:style>
  <w:style w:type="character" w:styleId="UnresolvedMention">
    <w:name w:val="Unresolved Mention"/>
    <w:basedOn w:val="DefaultParagraphFont"/>
    <w:uiPriority w:val="99"/>
    <w:semiHidden/>
    <w:unhideWhenUsed/>
    <w:rsid w:val="00CD4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523">
      <w:bodyDiv w:val="1"/>
      <w:marLeft w:val="0"/>
      <w:marRight w:val="0"/>
      <w:marTop w:val="0"/>
      <w:marBottom w:val="0"/>
      <w:divBdr>
        <w:top w:val="none" w:sz="0" w:space="0" w:color="auto"/>
        <w:left w:val="none" w:sz="0" w:space="0" w:color="auto"/>
        <w:bottom w:val="none" w:sz="0" w:space="0" w:color="auto"/>
        <w:right w:val="none" w:sz="0" w:space="0" w:color="auto"/>
      </w:divBdr>
    </w:div>
    <w:div w:id="8610047">
      <w:bodyDiv w:val="1"/>
      <w:marLeft w:val="0"/>
      <w:marRight w:val="0"/>
      <w:marTop w:val="0"/>
      <w:marBottom w:val="0"/>
      <w:divBdr>
        <w:top w:val="none" w:sz="0" w:space="0" w:color="auto"/>
        <w:left w:val="none" w:sz="0" w:space="0" w:color="auto"/>
        <w:bottom w:val="none" w:sz="0" w:space="0" w:color="auto"/>
        <w:right w:val="none" w:sz="0" w:space="0" w:color="auto"/>
      </w:divBdr>
    </w:div>
    <w:div w:id="19204759">
      <w:bodyDiv w:val="1"/>
      <w:marLeft w:val="0"/>
      <w:marRight w:val="0"/>
      <w:marTop w:val="0"/>
      <w:marBottom w:val="0"/>
      <w:divBdr>
        <w:top w:val="none" w:sz="0" w:space="0" w:color="auto"/>
        <w:left w:val="none" w:sz="0" w:space="0" w:color="auto"/>
        <w:bottom w:val="none" w:sz="0" w:space="0" w:color="auto"/>
        <w:right w:val="none" w:sz="0" w:space="0" w:color="auto"/>
      </w:divBdr>
    </w:div>
    <w:div w:id="22563046">
      <w:bodyDiv w:val="1"/>
      <w:marLeft w:val="0"/>
      <w:marRight w:val="0"/>
      <w:marTop w:val="0"/>
      <w:marBottom w:val="0"/>
      <w:divBdr>
        <w:top w:val="none" w:sz="0" w:space="0" w:color="auto"/>
        <w:left w:val="none" w:sz="0" w:space="0" w:color="auto"/>
        <w:bottom w:val="none" w:sz="0" w:space="0" w:color="auto"/>
        <w:right w:val="none" w:sz="0" w:space="0" w:color="auto"/>
      </w:divBdr>
    </w:div>
    <w:div w:id="27536154">
      <w:bodyDiv w:val="1"/>
      <w:marLeft w:val="0"/>
      <w:marRight w:val="0"/>
      <w:marTop w:val="0"/>
      <w:marBottom w:val="0"/>
      <w:divBdr>
        <w:top w:val="none" w:sz="0" w:space="0" w:color="auto"/>
        <w:left w:val="none" w:sz="0" w:space="0" w:color="auto"/>
        <w:bottom w:val="none" w:sz="0" w:space="0" w:color="auto"/>
        <w:right w:val="none" w:sz="0" w:space="0" w:color="auto"/>
      </w:divBdr>
    </w:div>
    <w:div w:id="46030791">
      <w:bodyDiv w:val="1"/>
      <w:marLeft w:val="0"/>
      <w:marRight w:val="0"/>
      <w:marTop w:val="0"/>
      <w:marBottom w:val="0"/>
      <w:divBdr>
        <w:top w:val="none" w:sz="0" w:space="0" w:color="auto"/>
        <w:left w:val="none" w:sz="0" w:space="0" w:color="auto"/>
        <w:bottom w:val="none" w:sz="0" w:space="0" w:color="auto"/>
        <w:right w:val="none" w:sz="0" w:space="0" w:color="auto"/>
      </w:divBdr>
    </w:div>
    <w:div w:id="48309139">
      <w:bodyDiv w:val="1"/>
      <w:marLeft w:val="0"/>
      <w:marRight w:val="0"/>
      <w:marTop w:val="0"/>
      <w:marBottom w:val="0"/>
      <w:divBdr>
        <w:top w:val="none" w:sz="0" w:space="0" w:color="auto"/>
        <w:left w:val="none" w:sz="0" w:space="0" w:color="auto"/>
        <w:bottom w:val="none" w:sz="0" w:space="0" w:color="auto"/>
        <w:right w:val="none" w:sz="0" w:space="0" w:color="auto"/>
      </w:divBdr>
    </w:div>
    <w:div w:id="49153125">
      <w:bodyDiv w:val="1"/>
      <w:marLeft w:val="0"/>
      <w:marRight w:val="0"/>
      <w:marTop w:val="0"/>
      <w:marBottom w:val="0"/>
      <w:divBdr>
        <w:top w:val="none" w:sz="0" w:space="0" w:color="auto"/>
        <w:left w:val="none" w:sz="0" w:space="0" w:color="auto"/>
        <w:bottom w:val="none" w:sz="0" w:space="0" w:color="auto"/>
        <w:right w:val="none" w:sz="0" w:space="0" w:color="auto"/>
      </w:divBdr>
    </w:div>
    <w:div w:id="59716999">
      <w:bodyDiv w:val="1"/>
      <w:marLeft w:val="0"/>
      <w:marRight w:val="0"/>
      <w:marTop w:val="0"/>
      <w:marBottom w:val="0"/>
      <w:divBdr>
        <w:top w:val="none" w:sz="0" w:space="0" w:color="auto"/>
        <w:left w:val="none" w:sz="0" w:space="0" w:color="auto"/>
        <w:bottom w:val="none" w:sz="0" w:space="0" w:color="auto"/>
        <w:right w:val="none" w:sz="0" w:space="0" w:color="auto"/>
      </w:divBdr>
    </w:div>
    <w:div w:id="60448986">
      <w:bodyDiv w:val="1"/>
      <w:marLeft w:val="0"/>
      <w:marRight w:val="0"/>
      <w:marTop w:val="0"/>
      <w:marBottom w:val="0"/>
      <w:divBdr>
        <w:top w:val="none" w:sz="0" w:space="0" w:color="auto"/>
        <w:left w:val="none" w:sz="0" w:space="0" w:color="auto"/>
        <w:bottom w:val="none" w:sz="0" w:space="0" w:color="auto"/>
        <w:right w:val="none" w:sz="0" w:space="0" w:color="auto"/>
      </w:divBdr>
    </w:div>
    <w:div w:id="61563936">
      <w:bodyDiv w:val="1"/>
      <w:marLeft w:val="0"/>
      <w:marRight w:val="0"/>
      <w:marTop w:val="0"/>
      <w:marBottom w:val="0"/>
      <w:divBdr>
        <w:top w:val="none" w:sz="0" w:space="0" w:color="auto"/>
        <w:left w:val="none" w:sz="0" w:space="0" w:color="auto"/>
        <w:bottom w:val="none" w:sz="0" w:space="0" w:color="auto"/>
        <w:right w:val="none" w:sz="0" w:space="0" w:color="auto"/>
      </w:divBdr>
    </w:div>
    <w:div w:id="63651311">
      <w:bodyDiv w:val="1"/>
      <w:marLeft w:val="0"/>
      <w:marRight w:val="0"/>
      <w:marTop w:val="0"/>
      <w:marBottom w:val="0"/>
      <w:divBdr>
        <w:top w:val="none" w:sz="0" w:space="0" w:color="auto"/>
        <w:left w:val="none" w:sz="0" w:space="0" w:color="auto"/>
        <w:bottom w:val="none" w:sz="0" w:space="0" w:color="auto"/>
        <w:right w:val="none" w:sz="0" w:space="0" w:color="auto"/>
      </w:divBdr>
    </w:div>
    <w:div w:id="84420073">
      <w:bodyDiv w:val="1"/>
      <w:marLeft w:val="0"/>
      <w:marRight w:val="0"/>
      <w:marTop w:val="0"/>
      <w:marBottom w:val="0"/>
      <w:divBdr>
        <w:top w:val="none" w:sz="0" w:space="0" w:color="auto"/>
        <w:left w:val="none" w:sz="0" w:space="0" w:color="auto"/>
        <w:bottom w:val="none" w:sz="0" w:space="0" w:color="auto"/>
        <w:right w:val="none" w:sz="0" w:space="0" w:color="auto"/>
      </w:divBdr>
    </w:div>
    <w:div w:id="100802262">
      <w:bodyDiv w:val="1"/>
      <w:marLeft w:val="0"/>
      <w:marRight w:val="0"/>
      <w:marTop w:val="0"/>
      <w:marBottom w:val="0"/>
      <w:divBdr>
        <w:top w:val="none" w:sz="0" w:space="0" w:color="auto"/>
        <w:left w:val="none" w:sz="0" w:space="0" w:color="auto"/>
        <w:bottom w:val="none" w:sz="0" w:space="0" w:color="auto"/>
        <w:right w:val="none" w:sz="0" w:space="0" w:color="auto"/>
      </w:divBdr>
    </w:div>
    <w:div w:id="100809331">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19038856">
      <w:bodyDiv w:val="1"/>
      <w:marLeft w:val="0"/>
      <w:marRight w:val="0"/>
      <w:marTop w:val="0"/>
      <w:marBottom w:val="0"/>
      <w:divBdr>
        <w:top w:val="none" w:sz="0" w:space="0" w:color="auto"/>
        <w:left w:val="none" w:sz="0" w:space="0" w:color="auto"/>
        <w:bottom w:val="none" w:sz="0" w:space="0" w:color="auto"/>
        <w:right w:val="none" w:sz="0" w:space="0" w:color="auto"/>
      </w:divBdr>
    </w:div>
    <w:div w:id="129522131">
      <w:bodyDiv w:val="1"/>
      <w:marLeft w:val="0"/>
      <w:marRight w:val="0"/>
      <w:marTop w:val="0"/>
      <w:marBottom w:val="0"/>
      <w:divBdr>
        <w:top w:val="none" w:sz="0" w:space="0" w:color="auto"/>
        <w:left w:val="none" w:sz="0" w:space="0" w:color="auto"/>
        <w:bottom w:val="none" w:sz="0" w:space="0" w:color="auto"/>
        <w:right w:val="none" w:sz="0" w:space="0" w:color="auto"/>
      </w:divBdr>
    </w:div>
    <w:div w:id="132338074">
      <w:bodyDiv w:val="1"/>
      <w:marLeft w:val="0"/>
      <w:marRight w:val="0"/>
      <w:marTop w:val="0"/>
      <w:marBottom w:val="0"/>
      <w:divBdr>
        <w:top w:val="none" w:sz="0" w:space="0" w:color="auto"/>
        <w:left w:val="none" w:sz="0" w:space="0" w:color="auto"/>
        <w:bottom w:val="none" w:sz="0" w:space="0" w:color="auto"/>
        <w:right w:val="none" w:sz="0" w:space="0" w:color="auto"/>
      </w:divBdr>
    </w:div>
    <w:div w:id="134688116">
      <w:bodyDiv w:val="1"/>
      <w:marLeft w:val="0"/>
      <w:marRight w:val="0"/>
      <w:marTop w:val="0"/>
      <w:marBottom w:val="0"/>
      <w:divBdr>
        <w:top w:val="none" w:sz="0" w:space="0" w:color="auto"/>
        <w:left w:val="none" w:sz="0" w:space="0" w:color="auto"/>
        <w:bottom w:val="none" w:sz="0" w:space="0" w:color="auto"/>
        <w:right w:val="none" w:sz="0" w:space="0" w:color="auto"/>
      </w:divBdr>
    </w:div>
    <w:div w:id="135807479">
      <w:bodyDiv w:val="1"/>
      <w:marLeft w:val="0"/>
      <w:marRight w:val="0"/>
      <w:marTop w:val="0"/>
      <w:marBottom w:val="0"/>
      <w:divBdr>
        <w:top w:val="none" w:sz="0" w:space="0" w:color="auto"/>
        <w:left w:val="none" w:sz="0" w:space="0" w:color="auto"/>
        <w:bottom w:val="none" w:sz="0" w:space="0" w:color="auto"/>
        <w:right w:val="none" w:sz="0" w:space="0" w:color="auto"/>
      </w:divBdr>
    </w:div>
    <w:div w:id="141851706">
      <w:bodyDiv w:val="1"/>
      <w:marLeft w:val="0"/>
      <w:marRight w:val="0"/>
      <w:marTop w:val="0"/>
      <w:marBottom w:val="0"/>
      <w:divBdr>
        <w:top w:val="none" w:sz="0" w:space="0" w:color="auto"/>
        <w:left w:val="none" w:sz="0" w:space="0" w:color="auto"/>
        <w:bottom w:val="none" w:sz="0" w:space="0" w:color="auto"/>
        <w:right w:val="none" w:sz="0" w:space="0" w:color="auto"/>
      </w:divBdr>
    </w:div>
    <w:div w:id="150029797">
      <w:bodyDiv w:val="1"/>
      <w:marLeft w:val="0"/>
      <w:marRight w:val="0"/>
      <w:marTop w:val="0"/>
      <w:marBottom w:val="0"/>
      <w:divBdr>
        <w:top w:val="none" w:sz="0" w:space="0" w:color="auto"/>
        <w:left w:val="none" w:sz="0" w:space="0" w:color="auto"/>
        <w:bottom w:val="none" w:sz="0" w:space="0" w:color="auto"/>
        <w:right w:val="none" w:sz="0" w:space="0" w:color="auto"/>
      </w:divBdr>
    </w:div>
    <w:div w:id="164516309">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9829325">
      <w:bodyDiv w:val="1"/>
      <w:marLeft w:val="0"/>
      <w:marRight w:val="0"/>
      <w:marTop w:val="0"/>
      <w:marBottom w:val="0"/>
      <w:divBdr>
        <w:top w:val="none" w:sz="0" w:space="0" w:color="auto"/>
        <w:left w:val="none" w:sz="0" w:space="0" w:color="auto"/>
        <w:bottom w:val="none" w:sz="0" w:space="0" w:color="auto"/>
        <w:right w:val="none" w:sz="0" w:space="0" w:color="auto"/>
      </w:divBdr>
    </w:div>
    <w:div w:id="200746142">
      <w:bodyDiv w:val="1"/>
      <w:marLeft w:val="0"/>
      <w:marRight w:val="0"/>
      <w:marTop w:val="0"/>
      <w:marBottom w:val="0"/>
      <w:divBdr>
        <w:top w:val="none" w:sz="0" w:space="0" w:color="auto"/>
        <w:left w:val="none" w:sz="0" w:space="0" w:color="auto"/>
        <w:bottom w:val="none" w:sz="0" w:space="0" w:color="auto"/>
        <w:right w:val="none" w:sz="0" w:space="0" w:color="auto"/>
      </w:divBdr>
    </w:div>
    <w:div w:id="201677107">
      <w:bodyDiv w:val="1"/>
      <w:marLeft w:val="0"/>
      <w:marRight w:val="0"/>
      <w:marTop w:val="0"/>
      <w:marBottom w:val="0"/>
      <w:divBdr>
        <w:top w:val="none" w:sz="0" w:space="0" w:color="auto"/>
        <w:left w:val="none" w:sz="0" w:space="0" w:color="auto"/>
        <w:bottom w:val="none" w:sz="0" w:space="0" w:color="auto"/>
        <w:right w:val="none" w:sz="0" w:space="0" w:color="auto"/>
      </w:divBdr>
    </w:div>
    <w:div w:id="206526275">
      <w:bodyDiv w:val="1"/>
      <w:marLeft w:val="0"/>
      <w:marRight w:val="0"/>
      <w:marTop w:val="0"/>
      <w:marBottom w:val="0"/>
      <w:divBdr>
        <w:top w:val="none" w:sz="0" w:space="0" w:color="auto"/>
        <w:left w:val="none" w:sz="0" w:space="0" w:color="auto"/>
        <w:bottom w:val="none" w:sz="0" w:space="0" w:color="auto"/>
        <w:right w:val="none" w:sz="0" w:space="0" w:color="auto"/>
      </w:divBdr>
    </w:div>
    <w:div w:id="234976646">
      <w:bodyDiv w:val="1"/>
      <w:marLeft w:val="0"/>
      <w:marRight w:val="0"/>
      <w:marTop w:val="0"/>
      <w:marBottom w:val="0"/>
      <w:divBdr>
        <w:top w:val="none" w:sz="0" w:space="0" w:color="auto"/>
        <w:left w:val="none" w:sz="0" w:space="0" w:color="auto"/>
        <w:bottom w:val="none" w:sz="0" w:space="0" w:color="auto"/>
        <w:right w:val="none" w:sz="0" w:space="0" w:color="auto"/>
      </w:divBdr>
    </w:div>
    <w:div w:id="242180853">
      <w:bodyDiv w:val="1"/>
      <w:marLeft w:val="0"/>
      <w:marRight w:val="0"/>
      <w:marTop w:val="0"/>
      <w:marBottom w:val="0"/>
      <w:divBdr>
        <w:top w:val="none" w:sz="0" w:space="0" w:color="auto"/>
        <w:left w:val="none" w:sz="0" w:space="0" w:color="auto"/>
        <w:bottom w:val="none" w:sz="0" w:space="0" w:color="auto"/>
        <w:right w:val="none" w:sz="0" w:space="0" w:color="auto"/>
      </w:divBdr>
    </w:div>
    <w:div w:id="252934969">
      <w:bodyDiv w:val="1"/>
      <w:marLeft w:val="0"/>
      <w:marRight w:val="0"/>
      <w:marTop w:val="0"/>
      <w:marBottom w:val="0"/>
      <w:divBdr>
        <w:top w:val="none" w:sz="0" w:space="0" w:color="auto"/>
        <w:left w:val="none" w:sz="0" w:space="0" w:color="auto"/>
        <w:bottom w:val="none" w:sz="0" w:space="0" w:color="auto"/>
        <w:right w:val="none" w:sz="0" w:space="0" w:color="auto"/>
      </w:divBdr>
    </w:div>
    <w:div w:id="257838655">
      <w:bodyDiv w:val="1"/>
      <w:marLeft w:val="0"/>
      <w:marRight w:val="0"/>
      <w:marTop w:val="0"/>
      <w:marBottom w:val="0"/>
      <w:divBdr>
        <w:top w:val="none" w:sz="0" w:space="0" w:color="auto"/>
        <w:left w:val="none" w:sz="0" w:space="0" w:color="auto"/>
        <w:bottom w:val="none" w:sz="0" w:space="0" w:color="auto"/>
        <w:right w:val="none" w:sz="0" w:space="0" w:color="auto"/>
      </w:divBdr>
    </w:div>
    <w:div w:id="260063704">
      <w:bodyDiv w:val="1"/>
      <w:marLeft w:val="0"/>
      <w:marRight w:val="0"/>
      <w:marTop w:val="0"/>
      <w:marBottom w:val="0"/>
      <w:divBdr>
        <w:top w:val="none" w:sz="0" w:space="0" w:color="auto"/>
        <w:left w:val="none" w:sz="0" w:space="0" w:color="auto"/>
        <w:bottom w:val="none" w:sz="0" w:space="0" w:color="auto"/>
        <w:right w:val="none" w:sz="0" w:space="0" w:color="auto"/>
      </w:divBdr>
    </w:div>
    <w:div w:id="290088366">
      <w:bodyDiv w:val="1"/>
      <w:marLeft w:val="0"/>
      <w:marRight w:val="0"/>
      <w:marTop w:val="0"/>
      <w:marBottom w:val="0"/>
      <w:divBdr>
        <w:top w:val="none" w:sz="0" w:space="0" w:color="auto"/>
        <w:left w:val="none" w:sz="0" w:space="0" w:color="auto"/>
        <w:bottom w:val="none" w:sz="0" w:space="0" w:color="auto"/>
        <w:right w:val="none" w:sz="0" w:space="0" w:color="auto"/>
      </w:divBdr>
    </w:div>
    <w:div w:id="296565703">
      <w:bodyDiv w:val="1"/>
      <w:marLeft w:val="0"/>
      <w:marRight w:val="0"/>
      <w:marTop w:val="0"/>
      <w:marBottom w:val="0"/>
      <w:divBdr>
        <w:top w:val="none" w:sz="0" w:space="0" w:color="auto"/>
        <w:left w:val="none" w:sz="0" w:space="0" w:color="auto"/>
        <w:bottom w:val="none" w:sz="0" w:space="0" w:color="auto"/>
        <w:right w:val="none" w:sz="0" w:space="0" w:color="auto"/>
      </w:divBdr>
    </w:div>
    <w:div w:id="346099606">
      <w:bodyDiv w:val="1"/>
      <w:marLeft w:val="0"/>
      <w:marRight w:val="0"/>
      <w:marTop w:val="0"/>
      <w:marBottom w:val="0"/>
      <w:divBdr>
        <w:top w:val="none" w:sz="0" w:space="0" w:color="auto"/>
        <w:left w:val="none" w:sz="0" w:space="0" w:color="auto"/>
        <w:bottom w:val="none" w:sz="0" w:space="0" w:color="auto"/>
        <w:right w:val="none" w:sz="0" w:space="0" w:color="auto"/>
      </w:divBdr>
    </w:div>
    <w:div w:id="348603962">
      <w:bodyDiv w:val="1"/>
      <w:marLeft w:val="0"/>
      <w:marRight w:val="0"/>
      <w:marTop w:val="0"/>
      <w:marBottom w:val="0"/>
      <w:divBdr>
        <w:top w:val="none" w:sz="0" w:space="0" w:color="auto"/>
        <w:left w:val="none" w:sz="0" w:space="0" w:color="auto"/>
        <w:bottom w:val="none" w:sz="0" w:space="0" w:color="auto"/>
        <w:right w:val="none" w:sz="0" w:space="0" w:color="auto"/>
      </w:divBdr>
    </w:div>
    <w:div w:id="363989669">
      <w:bodyDiv w:val="1"/>
      <w:marLeft w:val="0"/>
      <w:marRight w:val="0"/>
      <w:marTop w:val="0"/>
      <w:marBottom w:val="0"/>
      <w:divBdr>
        <w:top w:val="none" w:sz="0" w:space="0" w:color="auto"/>
        <w:left w:val="none" w:sz="0" w:space="0" w:color="auto"/>
        <w:bottom w:val="none" w:sz="0" w:space="0" w:color="auto"/>
        <w:right w:val="none" w:sz="0" w:space="0" w:color="auto"/>
      </w:divBdr>
    </w:div>
    <w:div w:id="373583218">
      <w:bodyDiv w:val="1"/>
      <w:marLeft w:val="0"/>
      <w:marRight w:val="0"/>
      <w:marTop w:val="0"/>
      <w:marBottom w:val="0"/>
      <w:divBdr>
        <w:top w:val="none" w:sz="0" w:space="0" w:color="auto"/>
        <w:left w:val="none" w:sz="0" w:space="0" w:color="auto"/>
        <w:bottom w:val="none" w:sz="0" w:space="0" w:color="auto"/>
        <w:right w:val="none" w:sz="0" w:space="0" w:color="auto"/>
      </w:divBdr>
    </w:div>
    <w:div w:id="381757486">
      <w:bodyDiv w:val="1"/>
      <w:marLeft w:val="0"/>
      <w:marRight w:val="0"/>
      <w:marTop w:val="0"/>
      <w:marBottom w:val="0"/>
      <w:divBdr>
        <w:top w:val="none" w:sz="0" w:space="0" w:color="auto"/>
        <w:left w:val="none" w:sz="0" w:space="0" w:color="auto"/>
        <w:bottom w:val="none" w:sz="0" w:space="0" w:color="auto"/>
        <w:right w:val="none" w:sz="0" w:space="0" w:color="auto"/>
      </w:divBdr>
    </w:div>
    <w:div w:id="384986771">
      <w:bodyDiv w:val="1"/>
      <w:marLeft w:val="0"/>
      <w:marRight w:val="0"/>
      <w:marTop w:val="0"/>
      <w:marBottom w:val="0"/>
      <w:divBdr>
        <w:top w:val="none" w:sz="0" w:space="0" w:color="auto"/>
        <w:left w:val="none" w:sz="0" w:space="0" w:color="auto"/>
        <w:bottom w:val="none" w:sz="0" w:space="0" w:color="auto"/>
        <w:right w:val="none" w:sz="0" w:space="0" w:color="auto"/>
      </w:divBdr>
    </w:div>
    <w:div w:id="386996552">
      <w:bodyDiv w:val="1"/>
      <w:marLeft w:val="0"/>
      <w:marRight w:val="0"/>
      <w:marTop w:val="0"/>
      <w:marBottom w:val="0"/>
      <w:divBdr>
        <w:top w:val="none" w:sz="0" w:space="0" w:color="auto"/>
        <w:left w:val="none" w:sz="0" w:space="0" w:color="auto"/>
        <w:bottom w:val="none" w:sz="0" w:space="0" w:color="auto"/>
        <w:right w:val="none" w:sz="0" w:space="0" w:color="auto"/>
      </w:divBdr>
    </w:div>
    <w:div w:id="408356830">
      <w:bodyDiv w:val="1"/>
      <w:marLeft w:val="0"/>
      <w:marRight w:val="0"/>
      <w:marTop w:val="0"/>
      <w:marBottom w:val="0"/>
      <w:divBdr>
        <w:top w:val="none" w:sz="0" w:space="0" w:color="auto"/>
        <w:left w:val="none" w:sz="0" w:space="0" w:color="auto"/>
        <w:bottom w:val="none" w:sz="0" w:space="0" w:color="auto"/>
        <w:right w:val="none" w:sz="0" w:space="0" w:color="auto"/>
      </w:divBdr>
    </w:div>
    <w:div w:id="408960537">
      <w:bodyDiv w:val="1"/>
      <w:marLeft w:val="0"/>
      <w:marRight w:val="0"/>
      <w:marTop w:val="0"/>
      <w:marBottom w:val="0"/>
      <w:divBdr>
        <w:top w:val="none" w:sz="0" w:space="0" w:color="auto"/>
        <w:left w:val="none" w:sz="0" w:space="0" w:color="auto"/>
        <w:bottom w:val="none" w:sz="0" w:space="0" w:color="auto"/>
        <w:right w:val="none" w:sz="0" w:space="0" w:color="auto"/>
      </w:divBdr>
    </w:div>
    <w:div w:id="409277684">
      <w:bodyDiv w:val="1"/>
      <w:marLeft w:val="0"/>
      <w:marRight w:val="0"/>
      <w:marTop w:val="0"/>
      <w:marBottom w:val="0"/>
      <w:divBdr>
        <w:top w:val="none" w:sz="0" w:space="0" w:color="auto"/>
        <w:left w:val="none" w:sz="0" w:space="0" w:color="auto"/>
        <w:bottom w:val="none" w:sz="0" w:space="0" w:color="auto"/>
        <w:right w:val="none" w:sz="0" w:space="0" w:color="auto"/>
      </w:divBdr>
    </w:div>
    <w:div w:id="409886399">
      <w:bodyDiv w:val="1"/>
      <w:marLeft w:val="0"/>
      <w:marRight w:val="0"/>
      <w:marTop w:val="0"/>
      <w:marBottom w:val="0"/>
      <w:divBdr>
        <w:top w:val="none" w:sz="0" w:space="0" w:color="auto"/>
        <w:left w:val="none" w:sz="0" w:space="0" w:color="auto"/>
        <w:bottom w:val="none" w:sz="0" w:space="0" w:color="auto"/>
        <w:right w:val="none" w:sz="0" w:space="0" w:color="auto"/>
      </w:divBdr>
    </w:div>
    <w:div w:id="416875244">
      <w:bodyDiv w:val="1"/>
      <w:marLeft w:val="0"/>
      <w:marRight w:val="0"/>
      <w:marTop w:val="0"/>
      <w:marBottom w:val="0"/>
      <w:divBdr>
        <w:top w:val="none" w:sz="0" w:space="0" w:color="auto"/>
        <w:left w:val="none" w:sz="0" w:space="0" w:color="auto"/>
        <w:bottom w:val="none" w:sz="0" w:space="0" w:color="auto"/>
        <w:right w:val="none" w:sz="0" w:space="0" w:color="auto"/>
      </w:divBdr>
    </w:div>
    <w:div w:id="451629586">
      <w:bodyDiv w:val="1"/>
      <w:marLeft w:val="0"/>
      <w:marRight w:val="0"/>
      <w:marTop w:val="0"/>
      <w:marBottom w:val="0"/>
      <w:divBdr>
        <w:top w:val="none" w:sz="0" w:space="0" w:color="auto"/>
        <w:left w:val="none" w:sz="0" w:space="0" w:color="auto"/>
        <w:bottom w:val="none" w:sz="0" w:space="0" w:color="auto"/>
        <w:right w:val="none" w:sz="0" w:space="0" w:color="auto"/>
      </w:divBdr>
    </w:div>
    <w:div w:id="461846977">
      <w:bodyDiv w:val="1"/>
      <w:marLeft w:val="0"/>
      <w:marRight w:val="0"/>
      <w:marTop w:val="0"/>
      <w:marBottom w:val="0"/>
      <w:divBdr>
        <w:top w:val="none" w:sz="0" w:space="0" w:color="auto"/>
        <w:left w:val="none" w:sz="0" w:space="0" w:color="auto"/>
        <w:bottom w:val="none" w:sz="0" w:space="0" w:color="auto"/>
        <w:right w:val="none" w:sz="0" w:space="0" w:color="auto"/>
      </w:divBdr>
    </w:div>
    <w:div w:id="472217464">
      <w:bodyDiv w:val="1"/>
      <w:marLeft w:val="0"/>
      <w:marRight w:val="0"/>
      <w:marTop w:val="0"/>
      <w:marBottom w:val="0"/>
      <w:divBdr>
        <w:top w:val="none" w:sz="0" w:space="0" w:color="auto"/>
        <w:left w:val="none" w:sz="0" w:space="0" w:color="auto"/>
        <w:bottom w:val="none" w:sz="0" w:space="0" w:color="auto"/>
        <w:right w:val="none" w:sz="0" w:space="0" w:color="auto"/>
      </w:divBdr>
    </w:div>
    <w:div w:id="474880470">
      <w:bodyDiv w:val="1"/>
      <w:marLeft w:val="0"/>
      <w:marRight w:val="0"/>
      <w:marTop w:val="0"/>
      <w:marBottom w:val="0"/>
      <w:divBdr>
        <w:top w:val="none" w:sz="0" w:space="0" w:color="auto"/>
        <w:left w:val="none" w:sz="0" w:space="0" w:color="auto"/>
        <w:bottom w:val="none" w:sz="0" w:space="0" w:color="auto"/>
        <w:right w:val="none" w:sz="0" w:space="0" w:color="auto"/>
      </w:divBdr>
    </w:div>
    <w:div w:id="479735352">
      <w:bodyDiv w:val="1"/>
      <w:marLeft w:val="0"/>
      <w:marRight w:val="0"/>
      <w:marTop w:val="0"/>
      <w:marBottom w:val="0"/>
      <w:divBdr>
        <w:top w:val="none" w:sz="0" w:space="0" w:color="auto"/>
        <w:left w:val="none" w:sz="0" w:space="0" w:color="auto"/>
        <w:bottom w:val="none" w:sz="0" w:space="0" w:color="auto"/>
        <w:right w:val="none" w:sz="0" w:space="0" w:color="auto"/>
      </w:divBdr>
    </w:div>
    <w:div w:id="483477063">
      <w:bodyDiv w:val="1"/>
      <w:marLeft w:val="0"/>
      <w:marRight w:val="0"/>
      <w:marTop w:val="0"/>
      <w:marBottom w:val="0"/>
      <w:divBdr>
        <w:top w:val="none" w:sz="0" w:space="0" w:color="auto"/>
        <w:left w:val="none" w:sz="0" w:space="0" w:color="auto"/>
        <w:bottom w:val="none" w:sz="0" w:space="0" w:color="auto"/>
        <w:right w:val="none" w:sz="0" w:space="0" w:color="auto"/>
      </w:divBdr>
    </w:div>
    <w:div w:id="485824371">
      <w:bodyDiv w:val="1"/>
      <w:marLeft w:val="0"/>
      <w:marRight w:val="0"/>
      <w:marTop w:val="0"/>
      <w:marBottom w:val="0"/>
      <w:divBdr>
        <w:top w:val="none" w:sz="0" w:space="0" w:color="auto"/>
        <w:left w:val="none" w:sz="0" w:space="0" w:color="auto"/>
        <w:bottom w:val="none" w:sz="0" w:space="0" w:color="auto"/>
        <w:right w:val="none" w:sz="0" w:space="0" w:color="auto"/>
      </w:divBdr>
    </w:div>
    <w:div w:id="487211468">
      <w:bodyDiv w:val="1"/>
      <w:marLeft w:val="0"/>
      <w:marRight w:val="0"/>
      <w:marTop w:val="0"/>
      <w:marBottom w:val="0"/>
      <w:divBdr>
        <w:top w:val="none" w:sz="0" w:space="0" w:color="auto"/>
        <w:left w:val="none" w:sz="0" w:space="0" w:color="auto"/>
        <w:bottom w:val="none" w:sz="0" w:space="0" w:color="auto"/>
        <w:right w:val="none" w:sz="0" w:space="0" w:color="auto"/>
      </w:divBdr>
    </w:div>
    <w:div w:id="506213410">
      <w:bodyDiv w:val="1"/>
      <w:marLeft w:val="0"/>
      <w:marRight w:val="0"/>
      <w:marTop w:val="0"/>
      <w:marBottom w:val="0"/>
      <w:divBdr>
        <w:top w:val="none" w:sz="0" w:space="0" w:color="auto"/>
        <w:left w:val="none" w:sz="0" w:space="0" w:color="auto"/>
        <w:bottom w:val="none" w:sz="0" w:space="0" w:color="auto"/>
        <w:right w:val="none" w:sz="0" w:space="0" w:color="auto"/>
      </w:divBdr>
    </w:div>
    <w:div w:id="509831539">
      <w:bodyDiv w:val="1"/>
      <w:marLeft w:val="0"/>
      <w:marRight w:val="0"/>
      <w:marTop w:val="0"/>
      <w:marBottom w:val="0"/>
      <w:divBdr>
        <w:top w:val="none" w:sz="0" w:space="0" w:color="auto"/>
        <w:left w:val="none" w:sz="0" w:space="0" w:color="auto"/>
        <w:bottom w:val="none" w:sz="0" w:space="0" w:color="auto"/>
        <w:right w:val="none" w:sz="0" w:space="0" w:color="auto"/>
      </w:divBdr>
    </w:div>
    <w:div w:id="510609001">
      <w:bodyDiv w:val="1"/>
      <w:marLeft w:val="0"/>
      <w:marRight w:val="0"/>
      <w:marTop w:val="0"/>
      <w:marBottom w:val="0"/>
      <w:divBdr>
        <w:top w:val="none" w:sz="0" w:space="0" w:color="auto"/>
        <w:left w:val="none" w:sz="0" w:space="0" w:color="auto"/>
        <w:bottom w:val="none" w:sz="0" w:space="0" w:color="auto"/>
        <w:right w:val="none" w:sz="0" w:space="0" w:color="auto"/>
      </w:divBdr>
    </w:div>
    <w:div w:id="521864595">
      <w:bodyDiv w:val="1"/>
      <w:marLeft w:val="0"/>
      <w:marRight w:val="0"/>
      <w:marTop w:val="0"/>
      <w:marBottom w:val="0"/>
      <w:divBdr>
        <w:top w:val="none" w:sz="0" w:space="0" w:color="auto"/>
        <w:left w:val="none" w:sz="0" w:space="0" w:color="auto"/>
        <w:bottom w:val="none" w:sz="0" w:space="0" w:color="auto"/>
        <w:right w:val="none" w:sz="0" w:space="0" w:color="auto"/>
      </w:divBdr>
    </w:div>
    <w:div w:id="557327841">
      <w:bodyDiv w:val="1"/>
      <w:marLeft w:val="0"/>
      <w:marRight w:val="0"/>
      <w:marTop w:val="0"/>
      <w:marBottom w:val="0"/>
      <w:divBdr>
        <w:top w:val="none" w:sz="0" w:space="0" w:color="auto"/>
        <w:left w:val="none" w:sz="0" w:space="0" w:color="auto"/>
        <w:bottom w:val="none" w:sz="0" w:space="0" w:color="auto"/>
        <w:right w:val="none" w:sz="0" w:space="0" w:color="auto"/>
      </w:divBdr>
    </w:div>
    <w:div w:id="564340446">
      <w:bodyDiv w:val="1"/>
      <w:marLeft w:val="0"/>
      <w:marRight w:val="0"/>
      <w:marTop w:val="0"/>
      <w:marBottom w:val="0"/>
      <w:divBdr>
        <w:top w:val="none" w:sz="0" w:space="0" w:color="auto"/>
        <w:left w:val="none" w:sz="0" w:space="0" w:color="auto"/>
        <w:bottom w:val="none" w:sz="0" w:space="0" w:color="auto"/>
        <w:right w:val="none" w:sz="0" w:space="0" w:color="auto"/>
      </w:divBdr>
    </w:div>
    <w:div w:id="580334152">
      <w:bodyDiv w:val="1"/>
      <w:marLeft w:val="0"/>
      <w:marRight w:val="0"/>
      <w:marTop w:val="0"/>
      <w:marBottom w:val="0"/>
      <w:divBdr>
        <w:top w:val="none" w:sz="0" w:space="0" w:color="auto"/>
        <w:left w:val="none" w:sz="0" w:space="0" w:color="auto"/>
        <w:bottom w:val="none" w:sz="0" w:space="0" w:color="auto"/>
        <w:right w:val="none" w:sz="0" w:space="0" w:color="auto"/>
      </w:divBdr>
    </w:div>
    <w:div w:id="585578207">
      <w:bodyDiv w:val="1"/>
      <w:marLeft w:val="0"/>
      <w:marRight w:val="0"/>
      <w:marTop w:val="0"/>
      <w:marBottom w:val="0"/>
      <w:divBdr>
        <w:top w:val="none" w:sz="0" w:space="0" w:color="auto"/>
        <w:left w:val="none" w:sz="0" w:space="0" w:color="auto"/>
        <w:bottom w:val="none" w:sz="0" w:space="0" w:color="auto"/>
        <w:right w:val="none" w:sz="0" w:space="0" w:color="auto"/>
      </w:divBdr>
    </w:div>
    <w:div w:id="586810875">
      <w:bodyDiv w:val="1"/>
      <w:marLeft w:val="0"/>
      <w:marRight w:val="0"/>
      <w:marTop w:val="0"/>
      <w:marBottom w:val="0"/>
      <w:divBdr>
        <w:top w:val="none" w:sz="0" w:space="0" w:color="auto"/>
        <w:left w:val="none" w:sz="0" w:space="0" w:color="auto"/>
        <w:bottom w:val="none" w:sz="0" w:space="0" w:color="auto"/>
        <w:right w:val="none" w:sz="0" w:space="0" w:color="auto"/>
      </w:divBdr>
    </w:div>
    <w:div w:id="598299897">
      <w:bodyDiv w:val="1"/>
      <w:marLeft w:val="0"/>
      <w:marRight w:val="0"/>
      <w:marTop w:val="0"/>
      <w:marBottom w:val="0"/>
      <w:divBdr>
        <w:top w:val="none" w:sz="0" w:space="0" w:color="auto"/>
        <w:left w:val="none" w:sz="0" w:space="0" w:color="auto"/>
        <w:bottom w:val="none" w:sz="0" w:space="0" w:color="auto"/>
        <w:right w:val="none" w:sz="0" w:space="0" w:color="auto"/>
      </w:divBdr>
    </w:div>
    <w:div w:id="598677575">
      <w:bodyDiv w:val="1"/>
      <w:marLeft w:val="0"/>
      <w:marRight w:val="0"/>
      <w:marTop w:val="0"/>
      <w:marBottom w:val="0"/>
      <w:divBdr>
        <w:top w:val="none" w:sz="0" w:space="0" w:color="auto"/>
        <w:left w:val="none" w:sz="0" w:space="0" w:color="auto"/>
        <w:bottom w:val="none" w:sz="0" w:space="0" w:color="auto"/>
        <w:right w:val="none" w:sz="0" w:space="0" w:color="auto"/>
      </w:divBdr>
    </w:div>
    <w:div w:id="612131174">
      <w:bodyDiv w:val="1"/>
      <w:marLeft w:val="0"/>
      <w:marRight w:val="0"/>
      <w:marTop w:val="0"/>
      <w:marBottom w:val="0"/>
      <w:divBdr>
        <w:top w:val="none" w:sz="0" w:space="0" w:color="auto"/>
        <w:left w:val="none" w:sz="0" w:space="0" w:color="auto"/>
        <w:bottom w:val="none" w:sz="0" w:space="0" w:color="auto"/>
        <w:right w:val="none" w:sz="0" w:space="0" w:color="auto"/>
      </w:divBdr>
    </w:div>
    <w:div w:id="614219721">
      <w:bodyDiv w:val="1"/>
      <w:marLeft w:val="0"/>
      <w:marRight w:val="0"/>
      <w:marTop w:val="0"/>
      <w:marBottom w:val="0"/>
      <w:divBdr>
        <w:top w:val="none" w:sz="0" w:space="0" w:color="auto"/>
        <w:left w:val="none" w:sz="0" w:space="0" w:color="auto"/>
        <w:bottom w:val="none" w:sz="0" w:space="0" w:color="auto"/>
        <w:right w:val="none" w:sz="0" w:space="0" w:color="auto"/>
      </w:divBdr>
    </w:div>
    <w:div w:id="621037227">
      <w:bodyDiv w:val="1"/>
      <w:marLeft w:val="0"/>
      <w:marRight w:val="0"/>
      <w:marTop w:val="0"/>
      <w:marBottom w:val="0"/>
      <w:divBdr>
        <w:top w:val="none" w:sz="0" w:space="0" w:color="auto"/>
        <w:left w:val="none" w:sz="0" w:space="0" w:color="auto"/>
        <w:bottom w:val="none" w:sz="0" w:space="0" w:color="auto"/>
        <w:right w:val="none" w:sz="0" w:space="0" w:color="auto"/>
      </w:divBdr>
    </w:div>
    <w:div w:id="631330335">
      <w:bodyDiv w:val="1"/>
      <w:marLeft w:val="0"/>
      <w:marRight w:val="0"/>
      <w:marTop w:val="0"/>
      <w:marBottom w:val="0"/>
      <w:divBdr>
        <w:top w:val="none" w:sz="0" w:space="0" w:color="auto"/>
        <w:left w:val="none" w:sz="0" w:space="0" w:color="auto"/>
        <w:bottom w:val="none" w:sz="0" w:space="0" w:color="auto"/>
        <w:right w:val="none" w:sz="0" w:space="0" w:color="auto"/>
      </w:divBdr>
    </w:div>
    <w:div w:id="641692980">
      <w:bodyDiv w:val="1"/>
      <w:marLeft w:val="0"/>
      <w:marRight w:val="0"/>
      <w:marTop w:val="0"/>
      <w:marBottom w:val="0"/>
      <w:divBdr>
        <w:top w:val="none" w:sz="0" w:space="0" w:color="auto"/>
        <w:left w:val="none" w:sz="0" w:space="0" w:color="auto"/>
        <w:bottom w:val="none" w:sz="0" w:space="0" w:color="auto"/>
        <w:right w:val="none" w:sz="0" w:space="0" w:color="auto"/>
      </w:divBdr>
    </w:div>
    <w:div w:id="652562039">
      <w:bodyDiv w:val="1"/>
      <w:marLeft w:val="0"/>
      <w:marRight w:val="0"/>
      <w:marTop w:val="0"/>
      <w:marBottom w:val="0"/>
      <w:divBdr>
        <w:top w:val="none" w:sz="0" w:space="0" w:color="auto"/>
        <w:left w:val="none" w:sz="0" w:space="0" w:color="auto"/>
        <w:bottom w:val="none" w:sz="0" w:space="0" w:color="auto"/>
        <w:right w:val="none" w:sz="0" w:space="0" w:color="auto"/>
      </w:divBdr>
    </w:div>
    <w:div w:id="656499223">
      <w:bodyDiv w:val="1"/>
      <w:marLeft w:val="0"/>
      <w:marRight w:val="0"/>
      <w:marTop w:val="0"/>
      <w:marBottom w:val="0"/>
      <w:divBdr>
        <w:top w:val="none" w:sz="0" w:space="0" w:color="auto"/>
        <w:left w:val="none" w:sz="0" w:space="0" w:color="auto"/>
        <w:bottom w:val="none" w:sz="0" w:space="0" w:color="auto"/>
        <w:right w:val="none" w:sz="0" w:space="0" w:color="auto"/>
      </w:divBdr>
    </w:div>
    <w:div w:id="659234598">
      <w:bodyDiv w:val="1"/>
      <w:marLeft w:val="0"/>
      <w:marRight w:val="0"/>
      <w:marTop w:val="0"/>
      <w:marBottom w:val="0"/>
      <w:divBdr>
        <w:top w:val="none" w:sz="0" w:space="0" w:color="auto"/>
        <w:left w:val="none" w:sz="0" w:space="0" w:color="auto"/>
        <w:bottom w:val="none" w:sz="0" w:space="0" w:color="auto"/>
        <w:right w:val="none" w:sz="0" w:space="0" w:color="auto"/>
      </w:divBdr>
    </w:div>
    <w:div w:id="660931852">
      <w:bodyDiv w:val="1"/>
      <w:marLeft w:val="0"/>
      <w:marRight w:val="0"/>
      <w:marTop w:val="0"/>
      <w:marBottom w:val="0"/>
      <w:divBdr>
        <w:top w:val="none" w:sz="0" w:space="0" w:color="auto"/>
        <w:left w:val="none" w:sz="0" w:space="0" w:color="auto"/>
        <w:bottom w:val="none" w:sz="0" w:space="0" w:color="auto"/>
        <w:right w:val="none" w:sz="0" w:space="0" w:color="auto"/>
      </w:divBdr>
    </w:div>
    <w:div w:id="669335359">
      <w:bodyDiv w:val="1"/>
      <w:marLeft w:val="0"/>
      <w:marRight w:val="0"/>
      <w:marTop w:val="0"/>
      <w:marBottom w:val="0"/>
      <w:divBdr>
        <w:top w:val="none" w:sz="0" w:space="0" w:color="auto"/>
        <w:left w:val="none" w:sz="0" w:space="0" w:color="auto"/>
        <w:bottom w:val="none" w:sz="0" w:space="0" w:color="auto"/>
        <w:right w:val="none" w:sz="0" w:space="0" w:color="auto"/>
      </w:divBdr>
    </w:div>
    <w:div w:id="699207734">
      <w:bodyDiv w:val="1"/>
      <w:marLeft w:val="0"/>
      <w:marRight w:val="0"/>
      <w:marTop w:val="0"/>
      <w:marBottom w:val="0"/>
      <w:divBdr>
        <w:top w:val="none" w:sz="0" w:space="0" w:color="auto"/>
        <w:left w:val="none" w:sz="0" w:space="0" w:color="auto"/>
        <w:bottom w:val="none" w:sz="0" w:space="0" w:color="auto"/>
        <w:right w:val="none" w:sz="0" w:space="0" w:color="auto"/>
      </w:divBdr>
    </w:div>
    <w:div w:id="705905302">
      <w:bodyDiv w:val="1"/>
      <w:marLeft w:val="0"/>
      <w:marRight w:val="0"/>
      <w:marTop w:val="0"/>
      <w:marBottom w:val="0"/>
      <w:divBdr>
        <w:top w:val="none" w:sz="0" w:space="0" w:color="auto"/>
        <w:left w:val="none" w:sz="0" w:space="0" w:color="auto"/>
        <w:bottom w:val="none" w:sz="0" w:space="0" w:color="auto"/>
        <w:right w:val="none" w:sz="0" w:space="0" w:color="auto"/>
      </w:divBdr>
    </w:div>
    <w:div w:id="713238158">
      <w:bodyDiv w:val="1"/>
      <w:marLeft w:val="0"/>
      <w:marRight w:val="0"/>
      <w:marTop w:val="0"/>
      <w:marBottom w:val="0"/>
      <w:divBdr>
        <w:top w:val="none" w:sz="0" w:space="0" w:color="auto"/>
        <w:left w:val="none" w:sz="0" w:space="0" w:color="auto"/>
        <w:bottom w:val="none" w:sz="0" w:space="0" w:color="auto"/>
        <w:right w:val="none" w:sz="0" w:space="0" w:color="auto"/>
      </w:divBdr>
    </w:div>
    <w:div w:id="739862559">
      <w:bodyDiv w:val="1"/>
      <w:marLeft w:val="0"/>
      <w:marRight w:val="0"/>
      <w:marTop w:val="0"/>
      <w:marBottom w:val="0"/>
      <w:divBdr>
        <w:top w:val="none" w:sz="0" w:space="0" w:color="auto"/>
        <w:left w:val="none" w:sz="0" w:space="0" w:color="auto"/>
        <w:bottom w:val="none" w:sz="0" w:space="0" w:color="auto"/>
        <w:right w:val="none" w:sz="0" w:space="0" w:color="auto"/>
      </w:divBdr>
    </w:div>
    <w:div w:id="771634482">
      <w:bodyDiv w:val="1"/>
      <w:marLeft w:val="0"/>
      <w:marRight w:val="0"/>
      <w:marTop w:val="0"/>
      <w:marBottom w:val="0"/>
      <w:divBdr>
        <w:top w:val="none" w:sz="0" w:space="0" w:color="auto"/>
        <w:left w:val="none" w:sz="0" w:space="0" w:color="auto"/>
        <w:bottom w:val="none" w:sz="0" w:space="0" w:color="auto"/>
        <w:right w:val="none" w:sz="0" w:space="0" w:color="auto"/>
      </w:divBdr>
    </w:div>
    <w:div w:id="776170862">
      <w:bodyDiv w:val="1"/>
      <w:marLeft w:val="0"/>
      <w:marRight w:val="0"/>
      <w:marTop w:val="0"/>
      <w:marBottom w:val="0"/>
      <w:divBdr>
        <w:top w:val="none" w:sz="0" w:space="0" w:color="auto"/>
        <w:left w:val="none" w:sz="0" w:space="0" w:color="auto"/>
        <w:bottom w:val="none" w:sz="0" w:space="0" w:color="auto"/>
        <w:right w:val="none" w:sz="0" w:space="0" w:color="auto"/>
      </w:divBdr>
    </w:div>
    <w:div w:id="777867568">
      <w:bodyDiv w:val="1"/>
      <w:marLeft w:val="0"/>
      <w:marRight w:val="0"/>
      <w:marTop w:val="0"/>
      <w:marBottom w:val="0"/>
      <w:divBdr>
        <w:top w:val="none" w:sz="0" w:space="0" w:color="auto"/>
        <w:left w:val="none" w:sz="0" w:space="0" w:color="auto"/>
        <w:bottom w:val="none" w:sz="0" w:space="0" w:color="auto"/>
        <w:right w:val="none" w:sz="0" w:space="0" w:color="auto"/>
      </w:divBdr>
    </w:div>
    <w:div w:id="77837580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8069">
      <w:bodyDiv w:val="1"/>
      <w:marLeft w:val="0"/>
      <w:marRight w:val="0"/>
      <w:marTop w:val="0"/>
      <w:marBottom w:val="0"/>
      <w:divBdr>
        <w:top w:val="none" w:sz="0" w:space="0" w:color="auto"/>
        <w:left w:val="none" w:sz="0" w:space="0" w:color="auto"/>
        <w:bottom w:val="none" w:sz="0" w:space="0" w:color="auto"/>
        <w:right w:val="none" w:sz="0" w:space="0" w:color="auto"/>
      </w:divBdr>
    </w:div>
    <w:div w:id="786049225">
      <w:bodyDiv w:val="1"/>
      <w:marLeft w:val="0"/>
      <w:marRight w:val="0"/>
      <w:marTop w:val="0"/>
      <w:marBottom w:val="0"/>
      <w:divBdr>
        <w:top w:val="none" w:sz="0" w:space="0" w:color="auto"/>
        <w:left w:val="none" w:sz="0" w:space="0" w:color="auto"/>
        <w:bottom w:val="none" w:sz="0" w:space="0" w:color="auto"/>
        <w:right w:val="none" w:sz="0" w:space="0" w:color="auto"/>
      </w:divBdr>
    </w:div>
    <w:div w:id="797988039">
      <w:bodyDiv w:val="1"/>
      <w:marLeft w:val="0"/>
      <w:marRight w:val="0"/>
      <w:marTop w:val="0"/>
      <w:marBottom w:val="0"/>
      <w:divBdr>
        <w:top w:val="none" w:sz="0" w:space="0" w:color="auto"/>
        <w:left w:val="none" w:sz="0" w:space="0" w:color="auto"/>
        <w:bottom w:val="none" w:sz="0" w:space="0" w:color="auto"/>
        <w:right w:val="none" w:sz="0" w:space="0" w:color="auto"/>
      </w:divBdr>
    </w:div>
    <w:div w:id="804084229">
      <w:bodyDiv w:val="1"/>
      <w:marLeft w:val="0"/>
      <w:marRight w:val="0"/>
      <w:marTop w:val="0"/>
      <w:marBottom w:val="0"/>
      <w:divBdr>
        <w:top w:val="none" w:sz="0" w:space="0" w:color="auto"/>
        <w:left w:val="none" w:sz="0" w:space="0" w:color="auto"/>
        <w:bottom w:val="none" w:sz="0" w:space="0" w:color="auto"/>
        <w:right w:val="none" w:sz="0" w:space="0" w:color="auto"/>
      </w:divBdr>
    </w:div>
    <w:div w:id="806825722">
      <w:bodyDiv w:val="1"/>
      <w:marLeft w:val="0"/>
      <w:marRight w:val="0"/>
      <w:marTop w:val="0"/>
      <w:marBottom w:val="0"/>
      <w:divBdr>
        <w:top w:val="none" w:sz="0" w:space="0" w:color="auto"/>
        <w:left w:val="none" w:sz="0" w:space="0" w:color="auto"/>
        <w:bottom w:val="none" w:sz="0" w:space="0" w:color="auto"/>
        <w:right w:val="none" w:sz="0" w:space="0" w:color="auto"/>
      </w:divBdr>
    </w:div>
    <w:div w:id="816340730">
      <w:bodyDiv w:val="1"/>
      <w:marLeft w:val="0"/>
      <w:marRight w:val="0"/>
      <w:marTop w:val="0"/>
      <w:marBottom w:val="0"/>
      <w:divBdr>
        <w:top w:val="none" w:sz="0" w:space="0" w:color="auto"/>
        <w:left w:val="none" w:sz="0" w:space="0" w:color="auto"/>
        <w:bottom w:val="none" w:sz="0" w:space="0" w:color="auto"/>
        <w:right w:val="none" w:sz="0" w:space="0" w:color="auto"/>
      </w:divBdr>
    </w:div>
    <w:div w:id="817500885">
      <w:bodyDiv w:val="1"/>
      <w:marLeft w:val="0"/>
      <w:marRight w:val="0"/>
      <w:marTop w:val="0"/>
      <w:marBottom w:val="0"/>
      <w:divBdr>
        <w:top w:val="none" w:sz="0" w:space="0" w:color="auto"/>
        <w:left w:val="none" w:sz="0" w:space="0" w:color="auto"/>
        <w:bottom w:val="none" w:sz="0" w:space="0" w:color="auto"/>
        <w:right w:val="none" w:sz="0" w:space="0" w:color="auto"/>
      </w:divBdr>
    </w:div>
    <w:div w:id="818884074">
      <w:bodyDiv w:val="1"/>
      <w:marLeft w:val="0"/>
      <w:marRight w:val="0"/>
      <w:marTop w:val="0"/>
      <w:marBottom w:val="0"/>
      <w:divBdr>
        <w:top w:val="none" w:sz="0" w:space="0" w:color="auto"/>
        <w:left w:val="none" w:sz="0" w:space="0" w:color="auto"/>
        <w:bottom w:val="none" w:sz="0" w:space="0" w:color="auto"/>
        <w:right w:val="none" w:sz="0" w:space="0" w:color="auto"/>
      </w:divBdr>
    </w:div>
    <w:div w:id="833568101">
      <w:bodyDiv w:val="1"/>
      <w:marLeft w:val="0"/>
      <w:marRight w:val="0"/>
      <w:marTop w:val="0"/>
      <w:marBottom w:val="0"/>
      <w:divBdr>
        <w:top w:val="none" w:sz="0" w:space="0" w:color="auto"/>
        <w:left w:val="none" w:sz="0" w:space="0" w:color="auto"/>
        <w:bottom w:val="none" w:sz="0" w:space="0" w:color="auto"/>
        <w:right w:val="none" w:sz="0" w:space="0" w:color="auto"/>
      </w:divBdr>
    </w:div>
    <w:div w:id="835806381">
      <w:bodyDiv w:val="1"/>
      <w:marLeft w:val="0"/>
      <w:marRight w:val="0"/>
      <w:marTop w:val="0"/>
      <w:marBottom w:val="0"/>
      <w:divBdr>
        <w:top w:val="none" w:sz="0" w:space="0" w:color="auto"/>
        <w:left w:val="none" w:sz="0" w:space="0" w:color="auto"/>
        <w:bottom w:val="none" w:sz="0" w:space="0" w:color="auto"/>
        <w:right w:val="none" w:sz="0" w:space="0" w:color="auto"/>
      </w:divBdr>
    </w:div>
    <w:div w:id="836529918">
      <w:bodyDiv w:val="1"/>
      <w:marLeft w:val="0"/>
      <w:marRight w:val="0"/>
      <w:marTop w:val="0"/>
      <w:marBottom w:val="0"/>
      <w:divBdr>
        <w:top w:val="none" w:sz="0" w:space="0" w:color="auto"/>
        <w:left w:val="none" w:sz="0" w:space="0" w:color="auto"/>
        <w:bottom w:val="none" w:sz="0" w:space="0" w:color="auto"/>
        <w:right w:val="none" w:sz="0" w:space="0" w:color="auto"/>
      </w:divBdr>
    </w:div>
    <w:div w:id="836580782">
      <w:bodyDiv w:val="1"/>
      <w:marLeft w:val="0"/>
      <w:marRight w:val="0"/>
      <w:marTop w:val="0"/>
      <w:marBottom w:val="0"/>
      <w:divBdr>
        <w:top w:val="none" w:sz="0" w:space="0" w:color="auto"/>
        <w:left w:val="none" w:sz="0" w:space="0" w:color="auto"/>
        <w:bottom w:val="none" w:sz="0" w:space="0" w:color="auto"/>
        <w:right w:val="none" w:sz="0" w:space="0" w:color="auto"/>
      </w:divBdr>
    </w:div>
    <w:div w:id="844636391">
      <w:bodyDiv w:val="1"/>
      <w:marLeft w:val="0"/>
      <w:marRight w:val="0"/>
      <w:marTop w:val="0"/>
      <w:marBottom w:val="0"/>
      <w:divBdr>
        <w:top w:val="none" w:sz="0" w:space="0" w:color="auto"/>
        <w:left w:val="none" w:sz="0" w:space="0" w:color="auto"/>
        <w:bottom w:val="none" w:sz="0" w:space="0" w:color="auto"/>
        <w:right w:val="none" w:sz="0" w:space="0" w:color="auto"/>
      </w:divBdr>
    </w:div>
    <w:div w:id="852306442">
      <w:bodyDiv w:val="1"/>
      <w:marLeft w:val="0"/>
      <w:marRight w:val="0"/>
      <w:marTop w:val="0"/>
      <w:marBottom w:val="0"/>
      <w:divBdr>
        <w:top w:val="none" w:sz="0" w:space="0" w:color="auto"/>
        <w:left w:val="none" w:sz="0" w:space="0" w:color="auto"/>
        <w:bottom w:val="none" w:sz="0" w:space="0" w:color="auto"/>
        <w:right w:val="none" w:sz="0" w:space="0" w:color="auto"/>
      </w:divBdr>
    </w:div>
    <w:div w:id="861818698">
      <w:bodyDiv w:val="1"/>
      <w:marLeft w:val="0"/>
      <w:marRight w:val="0"/>
      <w:marTop w:val="0"/>
      <w:marBottom w:val="0"/>
      <w:divBdr>
        <w:top w:val="none" w:sz="0" w:space="0" w:color="auto"/>
        <w:left w:val="none" w:sz="0" w:space="0" w:color="auto"/>
        <w:bottom w:val="none" w:sz="0" w:space="0" w:color="auto"/>
        <w:right w:val="none" w:sz="0" w:space="0" w:color="auto"/>
      </w:divBdr>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453666">
      <w:bodyDiv w:val="1"/>
      <w:marLeft w:val="0"/>
      <w:marRight w:val="0"/>
      <w:marTop w:val="0"/>
      <w:marBottom w:val="0"/>
      <w:divBdr>
        <w:top w:val="none" w:sz="0" w:space="0" w:color="auto"/>
        <w:left w:val="none" w:sz="0" w:space="0" w:color="auto"/>
        <w:bottom w:val="none" w:sz="0" w:space="0" w:color="auto"/>
        <w:right w:val="none" w:sz="0" w:space="0" w:color="auto"/>
      </w:divBdr>
    </w:div>
    <w:div w:id="867912397">
      <w:bodyDiv w:val="1"/>
      <w:marLeft w:val="0"/>
      <w:marRight w:val="0"/>
      <w:marTop w:val="0"/>
      <w:marBottom w:val="0"/>
      <w:divBdr>
        <w:top w:val="none" w:sz="0" w:space="0" w:color="auto"/>
        <w:left w:val="none" w:sz="0" w:space="0" w:color="auto"/>
        <w:bottom w:val="none" w:sz="0" w:space="0" w:color="auto"/>
        <w:right w:val="none" w:sz="0" w:space="0" w:color="auto"/>
      </w:divBdr>
    </w:div>
    <w:div w:id="872108632">
      <w:bodyDiv w:val="1"/>
      <w:marLeft w:val="0"/>
      <w:marRight w:val="0"/>
      <w:marTop w:val="0"/>
      <w:marBottom w:val="0"/>
      <w:divBdr>
        <w:top w:val="none" w:sz="0" w:space="0" w:color="auto"/>
        <w:left w:val="none" w:sz="0" w:space="0" w:color="auto"/>
        <w:bottom w:val="none" w:sz="0" w:space="0" w:color="auto"/>
        <w:right w:val="none" w:sz="0" w:space="0" w:color="auto"/>
      </w:divBdr>
    </w:div>
    <w:div w:id="878012472">
      <w:bodyDiv w:val="1"/>
      <w:marLeft w:val="0"/>
      <w:marRight w:val="0"/>
      <w:marTop w:val="0"/>
      <w:marBottom w:val="0"/>
      <w:divBdr>
        <w:top w:val="none" w:sz="0" w:space="0" w:color="auto"/>
        <w:left w:val="none" w:sz="0" w:space="0" w:color="auto"/>
        <w:bottom w:val="none" w:sz="0" w:space="0" w:color="auto"/>
        <w:right w:val="none" w:sz="0" w:space="0" w:color="auto"/>
      </w:divBdr>
    </w:div>
    <w:div w:id="882596653">
      <w:bodyDiv w:val="1"/>
      <w:marLeft w:val="0"/>
      <w:marRight w:val="0"/>
      <w:marTop w:val="0"/>
      <w:marBottom w:val="0"/>
      <w:divBdr>
        <w:top w:val="none" w:sz="0" w:space="0" w:color="auto"/>
        <w:left w:val="none" w:sz="0" w:space="0" w:color="auto"/>
        <w:bottom w:val="none" w:sz="0" w:space="0" w:color="auto"/>
        <w:right w:val="none" w:sz="0" w:space="0" w:color="auto"/>
      </w:divBdr>
    </w:div>
    <w:div w:id="884096344">
      <w:bodyDiv w:val="1"/>
      <w:marLeft w:val="0"/>
      <w:marRight w:val="0"/>
      <w:marTop w:val="0"/>
      <w:marBottom w:val="0"/>
      <w:divBdr>
        <w:top w:val="none" w:sz="0" w:space="0" w:color="auto"/>
        <w:left w:val="none" w:sz="0" w:space="0" w:color="auto"/>
        <w:bottom w:val="none" w:sz="0" w:space="0" w:color="auto"/>
        <w:right w:val="none" w:sz="0" w:space="0" w:color="auto"/>
      </w:divBdr>
    </w:div>
    <w:div w:id="889421749">
      <w:bodyDiv w:val="1"/>
      <w:marLeft w:val="0"/>
      <w:marRight w:val="0"/>
      <w:marTop w:val="0"/>
      <w:marBottom w:val="0"/>
      <w:divBdr>
        <w:top w:val="none" w:sz="0" w:space="0" w:color="auto"/>
        <w:left w:val="none" w:sz="0" w:space="0" w:color="auto"/>
        <w:bottom w:val="none" w:sz="0" w:space="0" w:color="auto"/>
        <w:right w:val="none" w:sz="0" w:space="0" w:color="auto"/>
      </w:divBdr>
    </w:div>
    <w:div w:id="903370220">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5660">
      <w:bodyDiv w:val="1"/>
      <w:marLeft w:val="0"/>
      <w:marRight w:val="0"/>
      <w:marTop w:val="0"/>
      <w:marBottom w:val="0"/>
      <w:divBdr>
        <w:top w:val="none" w:sz="0" w:space="0" w:color="auto"/>
        <w:left w:val="none" w:sz="0" w:space="0" w:color="auto"/>
        <w:bottom w:val="none" w:sz="0" w:space="0" w:color="auto"/>
        <w:right w:val="none" w:sz="0" w:space="0" w:color="auto"/>
      </w:divBdr>
    </w:div>
    <w:div w:id="942802457">
      <w:bodyDiv w:val="1"/>
      <w:marLeft w:val="0"/>
      <w:marRight w:val="0"/>
      <w:marTop w:val="0"/>
      <w:marBottom w:val="0"/>
      <w:divBdr>
        <w:top w:val="none" w:sz="0" w:space="0" w:color="auto"/>
        <w:left w:val="none" w:sz="0" w:space="0" w:color="auto"/>
        <w:bottom w:val="none" w:sz="0" w:space="0" w:color="auto"/>
        <w:right w:val="none" w:sz="0" w:space="0" w:color="auto"/>
      </w:divBdr>
    </w:div>
    <w:div w:id="956452677">
      <w:bodyDiv w:val="1"/>
      <w:marLeft w:val="0"/>
      <w:marRight w:val="0"/>
      <w:marTop w:val="0"/>
      <w:marBottom w:val="0"/>
      <w:divBdr>
        <w:top w:val="none" w:sz="0" w:space="0" w:color="auto"/>
        <w:left w:val="none" w:sz="0" w:space="0" w:color="auto"/>
        <w:bottom w:val="none" w:sz="0" w:space="0" w:color="auto"/>
        <w:right w:val="none" w:sz="0" w:space="0" w:color="auto"/>
      </w:divBdr>
    </w:div>
    <w:div w:id="974288295">
      <w:bodyDiv w:val="1"/>
      <w:marLeft w:val="0"/>
      <w:marRight w:val="0"/>
      <w:marTop w:val="0"/>
      <w:marBottom w:val="0"/>
      <w:divBdr>
        <w:top w:val="none" w:sz="0" w:space="0" w:color="auto"/>
        <w:left w:val="none" w:sz="0" w:space="0" w:color="auto"/>
        <w:bottom w:val="none" w:sz="0" w:space="0" w:color="auto"/>
        <w:right w:val="none" w:sz="0" w:space="0" w:color="auto"/>
      </w:divBdr>
    </w:div>
    <w:div w:id="975526386">
      <w:bodyDiv w:val="1"/>
      <w:marLeft w:val="0"/>
      <w:marRight w:val="0"/>
      <w:marTop w:val="0"/>
      <w:marBottom w:val="0"/>
      <w:divBdr>
        <w:top w:val="none" w:sz="0" w:space="0" w:color="auto"/>
        <w:left w:val="none" w:sz="0" w:space="0" w:color="auto"/>
        <w:bottom w:val="none" w:sz="0" w:space="0" w:color="auto"/>
        <w:right w:val="none" w:sz="0" w:space="0" w:color="auto"/>
      </w:divBdr>
    </w:div>
    <w:div w:id="1001353839">
      <w:bodyDiv w:val="1"/>
      <w:marLeft w:val="0"/>
      <w:marRight w:val="0"/>
      <w:marTop w:val="0"/>
      <w:marBottom w:val="0"/>
      <w:divBdr>
        <w:top w:val="none" w:sz="0" w:space="0" w:color="auto"/>
        <w:left w:val="none" w:sz="0" w:space="0" w:color="auto"/>
        <w:bottom w:val="none" w:sz="0" w:space="0" w:color="auto"/>
        <w:right w:val="none" w:sz="0" w:space="0" w:color="auto"/>
      </w:divBdr>
    </w:div>
    <w:div w:id="1024331751">
      <w:bodyDiv w:val="1"/>
      <w:marLeft w:val="0"/>
      <w:marRight w:val="0"/>
      <w:marTop w:val="0"/>
      <w:marBottom w:val="0"/>
      <w:divBdr>
        <w:top w:val="none" w:sz="0" w:space="0" w:color="auto"/>
        <w:left w:val="none" w:sz="0" w:space="0" w:color="auto"/>
        <w:bottom w:val="none" w:sz="0" w:space="0" w:color="auto"/>
        <w:right w:val="none" w:sz="0" w:space="0" w:color="auto"/>
      </w:divBdr>
    </w:div>
    <w:div w:id="1027635606">
      <w:bodyDiv w:val="1"/>
      <w:marLeft w:val="0"/>
      <w:marRight w:val="0"/>
      <w:marTop w:val="0"/>
      <w:marBottom w:val="0"/>
      <w:divBdr>
        <w:top w:val="none" w:sz="0" w:space="0" w:color="auto"/>
        <w:left w:val="none" w:sz="0" w:space="0" w:color="auto"/>
        <w:bottom w:val="none" w:sz="0" w:space="0" w:color="auto"/>
        <w:right w:val="none" w:sz="0" w:space="0" w:color="auto"/>
      </w:divBdr>
    </w:div>
    <w:div w:id="1033383805">
      <w:bodyDiv w:val="1"/>
      <w:marLeft w:val="0"/>
      <w:marRight w:val="0"/>
      <w:marTop w:val="0"/>
      <w:marBottom w:val="0"/>
      <w:divBdr>
        <w:top w:val="none" w:sz="0" w:space="0" w:color="auto"/>
        <w:left w:val="none" w:sz="0" w:space="0" w:color="auto"/>
        <w:bottom w:val="none" w:sz="0" w:space="0" w:color="auto"/>
        <w:right w:val="none" w:sz="0" w:space="0" w:color="auto"/>
      </w:divBdr>
    </w:div>
    <w:div w:id="1046488733">
      <w:bodyDiv w:val="1"/>
      <w:marLeft w:val="0"/>
      <w:marRight w:val="0"/>
      <w:marTop w:val="0"/>
      <w:marBottom w:val="0"/>
      <w:divBdr>
        <w:top w:val="none" w:sz="0" w:space="0" w:color="auto"/>
        <w:left w:val="none" w:sz="0" w:space="0" w:color="auto"/>
        <w:bottom w:val="none" w:sz="0" w:space="0" w:color="auto"/>
        <w:right w:val="none" w:sz="0" w:space="0" w:color="auto"/>
      </w:divBdr>
    </w:div>
    <w:div w:id="1055935943">
      <w:bodyDiv w:val="1"/>
      <w:marLeft w:val="0"/>
      <w:marRight w:val="0"/>
      <w:marTop w:val="0"/>
      <w:marBottom w:val="0"/>
      <w:divBdr>
        <w:top w:val="none" w:sz="0" w:space="0" w:color="auto"/>
        <w:left w:val="none" w:sz="0" w:space="0" w:color="auto"/>
        <w:bottom w:val="none" w:sz="0" w:space="0" w:color="auto"/>
        <w:right w:val="none" w:sz="0" w:space="0" w:color="auto"/>
      </w:divBdr>
    </w:div>
    <w:div w:id="1062946508">
      <w:bodyDiv w:val="1"/>
      <w:marLeft w:val="0"/>
      <w:marRight w:val="0"/>
      <w:marTop w:val="0"/>
      <w:marBottom w:val="0"/>
      <w:divBdr>
        <w:top w:val="none" w:sz="0" w:space="0" w:color="auto"/>
        <w:left w:val="none" w:sz="0" w:space="0" w:color="auto"/>
        <w:bottom w:val="none" w:sz="0" w:space="0" w:color="auto"/>
        <w:right w:val="none" w:sz="0" w:space="0" w:color="auto"/>
      </w:divBdr>
    </w:div>
    <w:div w:id="1069352439">
      <w:bodyDiv w:val="1"/>
      <w:marLeft w:val="0"/>
      <w:marRight w:val="0"/>
      <w:marTop w:val="0"/>
      <w:marBottom w:val="0"/>
      <w:divBdr>
        <w:top w:val="none" w:sz="0" w:space="0" w:color="auto"/>
        <w:left w:val="none" w:sz="0" w:space="0" w:color="auto"/>
        <w:bottom w:val="none" w:sz="0" w:space="0" w:color="auto"/>
        <w:right w:val="none" w:sz="0" w:space="0" w:color="auto"/>
      </w:divBdr>
    </w:div>
    <w:div w:id="1076828644">
      <w:bodyDiv w:val="1"/>
      <w:marLeft w:val="0"/>
      <w:marRight w:val="0"/>
      <w:marTop w:val="0"/>
      <w:marBottom w:val="0"/>
      <w:divBdr>
        <w:top w:val="none" w:sz="0" w:space="0" w:color="auto"/>
        <w:left w:val="none" w:sz="0" w:space="0" w:color="auto"/>
        <w:bottom w:val="none" w:sz="0" w:space="0" w:color="auto"/>
        <w:right w:val="none" w:sz="0" w:space="0" w:color="auto"/>
      </w:divBdr>
    </w:div>
    <w:div w:id="1077358819">
      <w:bodyDiv w:val="1"/>
      <w:marLeft w:val="0"/>
      <w:marRight w:val="0"/>
      <w:marTop w:val="0"/>
      <w:marBottom w:val="0"/>
      <w:divBdr>
        <w:top w:val="none" w:sz="0" w:space="0" w:color="auto"/>
        <w:left w:val="none" w:sz="0" w:space="0" w:color="auto"/>
        <w:bottom w:val="none" w:sz="0" w:space="0" w:color="auto"/>
        <w:right w:val="none" w:sz="0" w:space="0" w:color="auto"/>
      </w:divBdr>
    </w:div>
    <w:div w:id="1086150019">
      <w:bodyDiv w:val="1"/>
      <w:marLeft w:val="0"/>
      <w:marRight w:val="0"/>
      <w:marTop w:val="0"/>
      <w:marBottom w:val="0"/>
      <w:divBdr>
        <w:top w:val="none" w:sz="0" w:space="0" w:color="auto"/>
        <w:left w:val="none" w:sz="0" w:space="0" w:color="auto"/>
        <w:bottom w:val="none" w:sz="0" w:space="0" w:color="auto"/>
        <w:right w:val="none" w:sz="0" w:space="0" w:color="auto"/>
      </w:divBdr>
    </w:div>
    <w:div w:id="1096243353">
      <w:bodyDiv w:val="1"/>
      <w:marLeft w:val="0"/>
      <w:marRight w:val="0"/>
      <w:marTop w:val="0"/>
      <w:marBottom w:val="0"/>
      <w:divBdr>
        <w:top w:val="none" w:sz="0" w:space="0" w:color="auto"/>
        <w:left w:val="none" w:sz="0" w:space="0" w:color="auto"/>
        <w:bottom w:val="none" w:sz="0" w:space="0" w:color="auto"/>
        <w:right w:val="none" w:sz="0" w:space="0" w:color="auto"/>
      </w:divBdr>
    </w:div>
    <w:div w:id="1097869813">
      <w:bodyDiv w:val="1"/>
      <w:marLeft w:val="0"/>
      <w:marRight w:val="0"/>
      <w:marTop w:val="0"/>
      <w:marBottom w:val="0"/>
      <w:divBdr>
        <w:top w:val="none" w:sz="0" w:space="0" w:color="auto"/>
        <w:left w:val="none" w:sz="0" w:space="0" w:color="auto"/>
        <w:bottom w:val="none" w:sz="0" w:space="0" w:color="auto"/>
        <w:right w:val="none" w:sz="0" w:space="0" w:color="auto"/>
      </w:divBdr>
    </w:div>
    <w:div w:id="1122576462">
      <w:bodyDiv w:val="1"/>
      <w:marLeft w:val="0"/>
      <w:marRight w:val="0"/>
      <w:marTop w:val="0"/>
      <w:marBottom w:val="0"/>
      <w:divBdr>
        <w:top w:val="none" w:sz="0" w:space="0" w:color="auto"/>
        <w:left w:val="none" w:sz="0" w:space="0" w:color="auto"/>
        <w:bottom w:val="none" w:sz="0" w:space="0" w:color="auto"/>
        <w:right w:val="none" w:sz="0" w:space="0" w:color="auto"/>
      </w:divBdr>
    </w:div>
    <w:div w:id="1148016361">
      <w:bodyDiv w:val="1"/>
      <w:marLeft w:val="0"/>
      <w:marRight w:val="0"/>
      <w:marTop w:val="0"/>
      <w:marBottom w:val="0"/>
      <w:divBdr>
        <w:top w:val="none" w:sz="0" w:space="0" w:color="auto"/>
        <w:left w:val="none" w:sz="0" w:space="0" w:color="auto"/>
        <w:bottom w:val="none" w:sz="0" w:space="0" w:color="auto"/>
        <w:right w:val="none" w:sz="0" w:space="0" w:color="auto"/>
      </w:divBdr>
    </w:div>
    <w:div w:id="1149174269">
      <w:bodyDiv w:val="1"/>
      <w:marLeft w:val="0"/>
      <w:marRight w:val="0"/>
      <w:marTop w:val="0"/>
      <w:marBottom w:val="0"/>
      <w:divBdr>
        <w:top w:val="none" w:sz="0" w:space="0" w:color="auto"/>
        <w:left w:val="none" w:sz="0" w:space="0" w:color="auto"/>
        <w:bottom w:val="none" w:sz="0" w:space="0" w:color="auto"/>
        <w:right w:val="none" w:sz="0" w:space="0" w:color="auto"/>
      </w:divBdr>
    </w:div>
    <w:div w:id="1154030907">
      <w:bodyDiv w:val="1"/>
      <w:marLeft w:val="0"/>
      <w:marRight w:val="0"/>
      <w:marTop w:val="0"/>
      <w:marBottom w:val="0"/>
      <w:divBdr>
        <w:top w:val="none" w:sz="0" w:space="0" w:color="auto"/>
        <w:left w:val="none" w:sz="0" w:space="0" w:color="auto"/>
        <w:bottom w:val="none" w:sz="0" w:space="0" w:color="auto"/>
        <w:right w:val="none" w:sz="0" w:space="0" w:color="auto"/>
      </w:divBdr>
    </w:div>
    <w:div w:id="1179856126">
      <w:bodyDiv w:val="1"/>
      <w:marLeft w:val="0"/>
      <w:marRight w:val="0"/>
      <w:marTop w:val="0"/>
      <w:marBottom w:val="0"/>
      <w:divBdr>
        <w:top w:val="none" w:sz="0" w:space="0" w:color="auto"/>
        <w:left w:val="none" w:sz="0" w:space="0" w:color="auto"/>
        <w:bottom w:val="none" w:sz="0" w:space="0" w:color="auto"/>
        <w:right w:val="none" w:sz="0" w:space="0" w:color="auto"/>
      </w:divBdr>
    </w:div>
    <w:div w:id="1180007111">
      <w:bodyDiv w:val="1"/>
      <w:marLeft w:val="0"/>
      <w:marRight w:val="0"/>
      <w:marTop w:val="0"/>
      <w:marBottom w:val="0"/>
      <w:divBdr>
        <w:top w:val="none" w:sz="0" w:space="0" w:color="auto"/>
        <w:left w:val="none" w:sz="0" w:space="0" w:color="auto"/>
        <w:bottom w:val="none" w:sz="0" w:space="0" w:color="auto"/>
        <w:right w:val="none" w:sz="0" w:space="0" w:color="auto"/>
      </w:divBdr>
    </w:div>
    <w:div w:id="1186020398">
      <w:bodyDiv w:val="1"/>
      <w:marLeft w:val="0"/>
      <w:marRight w:val="0"/>
      <w:marTop w:val="0"/>
      <w:marBottom w:val="0"/>
      <w:divBdr>
        <w:top w:val="none" w:sz="0" w:space="0" w:color="auto"/>
        <w:left w:val="none" w:sz="0" w:space="0" w:color="auto"/>
        <w:bottom w:val="none" w:sz="0" w:space="0" w:color="auto"/>
        <w:right w:val="none" w:sz="0" w:space="0" w:color="auto"/>
      </w:divBdr>
    </w:div>
    <w:div w:id="1197162943">
      <w:bodyDiv w:val="1"/>
      <w:marLeft w:val="0"/>
      <w:marRight w:val="0"/>
      <w:marTop w:val="0"/>
      <w:marBottom w:val="0"/>
      <w:divBdr>
        <w:top w:val="none" w:sz="0" w:space="0" w:color="auto"/>
        <w:left w:val="none" w:sz="0" w:space="0" w:color="auto"/>
        <w:bottom w:val="none" w:sz="0" w:space="0" w:color="auto"/>
        <w:right w:val="none" w:sz="0" w:space="0" w:color="auto"/>
      </w:divBdr>
    </w:div>
    <w:div w:id="1200239304">
      <w:bodyDiv w:val="1"/>
      <w:marLeft w:val="0"/>
      <w:marRight w:val="0"/>
      <w:marTop w:val="0"/>
      <w:marBottom w:val="0"/>
      <w:divBdr>
        <w:top w:val="none" w:sz="0" w:space="0" w:color="auto"/>
        <w:left w:val="none" w:sz="0" w:space="0" w:color="auto"/>
        <w:bottom w:val="none" w:sz="0" w:space="0" w:color="auto"/>
        <w:right w:val="none" w:sz="0" w:space="0" w:color="auto"/>
      </w:divBdr>
    </w:div>
    <w:div w:id="1202086340">
      <w:bodyDiv w:val="1"/>
      <w:marLeft w:val="0"/>
      <w:marRight w:val="0"/>
      <w:marTop w:val="0"/>
      <w:marBottom w:val="0"/>
      <w:divBdr>
        <w:top w:val="none" w:sz="0" w:space="0" w:color="auto"/>
        <w:left w:val="none" w:sz="0" w:space="0" w:color="auto"/>
        <w:bottom w:val="none" w:sz="0" w:space="0" w:color="auto"/>
        <w:right w:val="none" w:sz="0" w:space="0" w:color="auto"/>
      </w:divBdr>
    </w:div>
    <w:div w:id="1227256403">
      <w:bodyDiv w:val="1"/>
      <w:marLeft w:val="0"/>
      <w:marRight w:val="0"/>
      <w:marTop w:val="0"/>
      <w:marBottom w:val="0"/>
      <w:divBdr>
        <w:top w:val="none" w:sz="0" w:space="0" w:color="auto"/>
        <w:left w:val="none" w:sz="0" w:space="0" w:color="auto"/>
        <w:bottom w:val="none" w:sz="0" w:space="0" w:color="auto"/>
        <w:right w:val="none" w:sz="0" w:space="0" w:color="auto"/>
      </w:divBdr>
    </w:div>
    <w:div w:id="1241523538">
      <w:bodyDiv w:val="1"/>
      <w:marLeft w:val="0"/>
      <w:marRight w:val="0"/>
      <w:marTop w:val="0"/>
      <w:marBottom w:val="0"/>
      <w:divBdr>
        <w:top w:val="none" w:sz="0" w:space="0" w:color="auto"/>
        <w:left w:val="none" w:sz="0" w:space="0" w:color="auto"/>
        <w:bottom w:val="none" w:sz="0" w:space="0" w:color="auto"/>
        <w:right w:val="none" w:sz="0" w:space="0" w:color="auto"/>
      </w:divBdr>
    </w:div>
    <w:div w:id="1248612074">
      <w:bodyDiv w:val="1"/>
      <w:marLeft w:val="0"/>
      <w:marRight w:val="0"/>
      <w:marTop w:val="0"/>
      <w:marBottom w:val="0"/>
      <w:divBdr>
        <w:top w:val="none" w:sz="0" w:space="0" w:color="auto"/>
        <w:left w:val="none" w:sz="0" w:space="0" w:color="auto"/>
        <w:bottom w:val="none" w:sz="0" w:space="0" w:color="auto"/>
        <w:right w:val="none" w:sz="0" w:space="0" w:color="auto"/>
      </w:divBdr>
    </w:div>
    <w:div w:id="1251037136">
      <w:bodyDiv w:val="1"/>
      <w:marLeft w:val="0"/>
      <w:marRight w:val="0"/>
      <w:marTop w:val="0"/>
      <w:marBottom w:val="0"/>
      <w:divBdr>
        <w:top w:val="none" w:sz="0" w:space="0" w:color="auto"/>
        <w:left w:val="none" w:sz="0" w:space="0" w:color="auto"/>
        <w:bottom w:val="none" w:sz="0" w:space="0" w:color="auto"/>
        <w:right w:val="none" w:sz="0" w:space="0" w:color="auto"/>
      </w:divBdr>
    </w:div>
    <w:div w:id="1259564249">
      <w:bodyDiv w:val="1"/>
      <w:marLeft w:val="0"/>
      <w:marRight w:val="0"/>
      <w:marTop w:val="0"/>
      <w:marBottom w:val="0"/>
      <w:divBdr>
        <w:top w:val="none" w:sz="0" w:space="0" w:color="auto"/>
        <w:left w:val="none" w:sz="0" w:space="0" w:color="auto"/>
        <w:bottom w:val="none" w:sz="0" w:space="0" w:color="auto"/>
        <w:right w:val="none" w:sz="0" w:space="0" w:color="auto"/>
      </w:divBdr>
    </w:div>
    <w:div w:id="1261525127">
      <w:bodyDiv w:val="1"/>
      <w:marLeft w:val="0"/>
      <w:marRight w:val="0"/>
      <w:marTop w:val="0"/>
      <w:marBottom w:val="0"/>
      <w:divBdr>
        <w:top w:val="none" w:sz="0" w:space="0" w:color="auto"/>
        <w:left w:val="none" w:sz="0" w:space="0" w:color="auto"/>
        <w:bottom w:val="none" w:sz="0" w:space="0" w:color="auto"/>
        <w:right w:val="none" w:sz="0" w:space="0" w:color="auto"/>
      </w:divBdr>
    </w:div>
    <w:div w:id="1276904353">
      <w:bodyDiv w:val="1"/>
      <w:marLeft w:val="0"/>
      <w:marRight w:val="0"/>
      <w:marTop w:val="0"/>
      <w:marBottom w:val="0"/>
      <w:divBdr>
        <w:top w:val="none" w:sz="0" w:space="0" w:color="auto"/>
        <w:left w:val="none" w:sz="0" w:space="0" w:color="auto"/>
        <w:bottom w:val="none" w:sz="0" w:space="0" w:color="auto"/>
        <w:right w:val="none" w:sz="0" w:space="0" w:color="auto"/>
      </w:divBdr>
    </w:div>
    <w:div w:id="1282804272">
      <w:bodyDiv w:val="1"/>
      <w:marLeft w:val="0"/>
      <w:marRight w:val="0"/>
      <w:marTop w:val="0"/>
      <w:marBottom w:val="0"/>
      <w:divBdr>
        <w:top w:val="none" w:sz="0" w:space="0" w:color="auto"/>
        <w:left w:val="none" w:sz="0" w:space="0" w:color="auto"/>
        <w:bottom w:val="none" w:sz="0" w:space="0" w:color="auto"/>
        <w:right w:val="none" w:sz="0" w:space="0" w:color="auto"/>
      </w:divBdr>
    </w:div>
    <w:div w:id="1285161618">
      <w:bodyDiv w:val="1"/>
      <w:marLeft w:val="0"/>
      <w:marRight w:val="0"/>
      <w:marTop w:val="0"/>
      <w:marBottom w:val="0"/>
      <w:divBdr>
        <w:top w:val="none" w:sz="0" w:space="0" w:color="auto"/>
        <w:left w:val="none" w:sz="0" w:space="0" w:color="auto"/>
        <w:bottom w:val="none" w:sz="0" w:space="0" w:color="auto"/>
        <w:right w:val="none" w:sz="0" w:space="0" w:color="auto"/>
      </w:divBdr>
    </w:div>
    <w:div w:id="1292134083">
      <w:bodyDiv w:val="1"/>
      <w:marLeft w:val="0"/>
      <w:marRight w:val="0"/>
      <w:marTop w:val="0"/>
      <w:marBottom w:val="0"/>
      <w:divBdr>
        <w:top w:val="none" w:sz="0" w:space="0" w:color="auto"/>
        <w:left w:val="none" w:sz="0" w:space="0" w:color="auto"/>
        <w:bottom w:val="none" w:sz="0" w:space="0" w:color="auto"/>
        <w:right w:val="none" w:sz="0" w:space="0" w:color="auto"/>
      </w:divBdr>
    </w:div>
    <w:div w:id="1292903295">
      <w:bodyDiv w:val="1"/>
      <w:marLeft w:val="0"/>
      <w:marRight w:val="0"/>
      <w:marTop w:val="0"/>
      <w:marBottom w:val="0"/>
      <w:divBdr>
        <w:top w:val="none" w:sz="0" w:space="0" w:color="auto"/>
        <w:left w:val="none" w:sz="0" w:space="0" w:color="auto"/>
        <w:bottom w:val="none" w:sz="0" w:space="0" w:color="auto"/>
        <w:right w:val="none" w:sz="0" w:space="0" w:color="auto"/>
      </w:divBdr>
    </w:div>
    <w:div w:id="1293947305">
      <w:bodyDiv w:val="1"/>
      <w:marLeft w:val="0"/>
      <w:marRight w:val="0"/>
      <w:marTop w:val="0"/>
      <w:marBottom w:val="0"/>
      <w:divBdr>
        <w:top w:val="none" w:sz="0" w:space="0" w:color="auto"/>
        <w:left w:val="none" w:sz="0" w:space="0" w:color="auto"/>
        <w:bottom w:val="none" w:sz="0" w:space="0" w:color="auto"/>
        <w:right w:val="none" w:sz="0" w:space="0" w:color="auto"/>
      </w:divBdr>
    </w:div>
    <w:div w:id="1319309628">
      <w:bodyDiv w:val="1"/>
      <w:marLeft w:val="0"/>
      <w:marRight w:val="0"/>
      <w:marTop w:val="0"/>
      <w:marBottom w:val="0"/>
      <w:divBdr>
        <w:top w:val="none" w:sz="0" w:space="0" w:color="auto"/>
        <w:left w:val="none" w:sz="0" w:space="0" w:color="auto"/>
        <w:bottom w:val="none" w:sz="0" w:space="0" w:color="auto"/>
        <w:right w:val="none" w:sz="0" w:space="0" w:color="auto"/>
      </w:divBdr>
    </w:div>
    <w:div w:id="1325863422">
      <w:bodyDiv w:val="1"/>
      <w:marLeft w:val="0"/>
      <w:marRight w:val="0"/>
      <w:marTop w:val="0"/>
      <w:marBottom w:val="0"/>
      <w:divBdr>
        <w:top w:val="none" w:sz="0" w:space="0" w:color="auto"/>
        <w:left w:val="none" w:sz="0" w:space="0" w:color="auto"/>
        <w:bottom w:val="none" w:sz="0" w:space="0" w:color="auto"/>
        <w:right w:val="none" w:sz="0" w:space="0" w:color="auto"/>
      </w:divBdr>
    </w:div>
    <w:div w:id="1343122327">
      <w:bodyDiv w:val="1"/>
      <w:marLeft w:val="0"/>
      <w:marRight w:val="0"/>
      <w:marTop w:val="0"/>
      <w:marBottom w:val="0"/>
      <w:divBdr>
        <w:top w:val="none" w:sz="0" w:space="0" w:color="auto"/>
        <w:left w:val="none" w:sz="0" w:space="0" w:color="auto"/>
        <w:bottom w:val="none" w:sz="0" w:space="0" w:color="auto"/>
        <w:right w:val="none" w:sz="0" w:space="0" w:color="auto"/>
      </w:divBdr>
    </w:div>
    <w:div w:id="1349259181">
      <w:bodyDiv w:val="1"/>
      <w:marLeft w:val="0"/>
      <w:marRight w:val="0"/>
      <w:marTop w:val="0"/>
      <w:marBottom w:val="0"/>
      <w:divBdr>
        <w:top w:val="none" w:sz="0" w:space="0" w:color="auto"/>
        <w:left w:val="none" w:sz="0" w:space="0" w:color="auto"/>
        <w:bottom w:val="none" w:sz="0" w:space="0" w:color="auto"/>
        <w:right w:val="none" w:sz="0" w:space="0" w:color="auto"/>
      </w:divBdr>
    </w:div>
    <w:div w:id="1352031736">
      <w:bodyDiv w:val="1"/>
      <w:marLeft w:val="0"/>
      <w:marRight w:val="0"/>
      <w:marTop w:val="0"/>
      <w:marBottom w:val="0"/>
      <w:divBdr>
        <w:top w:val="none" w:sz="0" w:space="0" w:color="auto"/>
        <w:left w:val="none" w:sz="0" w:space="0" w:color="auto"/>
        <w:bottom w:val="none" w:sz="0" w:space="0" w:color="auto"/>
        <w:right w:val="none" w:sz="0" w:space="0" w:color="auto"/>
      </w:divBdr>
    </w:div>
    <w:div w:id="1359507614">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68604015">
      <w:bodyDiv w:val="1"/>
      <w:marLeft w:val="0"/>
      <w:marRight w:val="0"/>
      <w:marTop w:val="0"/>
      <w:marBottom w:val="0"/>
      <w:divBdr>
        <w:top w:val="none" w:sz="0" w:space="0" w:color="auto"/>
        <w:left w:val="none" w:sz="0" w:space="0" w:color="auto"/>
        <w:bottom w:val="none" w:sz="0" w:space="0" w:color="auto"/>
        <w:right w:val="none" w:sz="0" w:space="0" w:color="auto"/>
      </w:divBdr>
    </w:div>
    <w:div w:id="1373113946">
      <w:bodyDiv w:val="1"/>
      <w:marLeft w:val="0"/>
      <w:marRight w:val="0"/>
      <w:marTop w:val="0"/>
      <w:marBottom w:val="0"/>
      <w:divBdr>
        <w:top w:val="none" w:sz="0" w:space="0" w:color="auto"/>
        <w:left w:val="none" w:sz="0" w:space="0" w:color="auto"/>
        <w:bottom w:val="none" w:sz="0" w:space="0" w:color="auto"/>
        <w:right w:val="none" w:sz="0" w:space="0" w:color="auto"/>
      </w:divBdr>
    </w:div>
    <w:div w:id="1376853851">
      <w:bodyDiv w:val="1"/>
      <w:marLeft w:val="0"/>
      <w:marRight w:val="0"/>
      <w:marTop w:val="0"/>
      <w:marBottom w:val="0"/>
      <w:divBdr>
        <w:top w:val="none" w:sz="0" w:space="0" w:color="auto"/>
        <w:left w:val="none" w:sz="0" w:space="0" w:color="auto"/>
        <w:bottom w:val="none" w:sz="0" w:space="0" w:color="auto"/>
        <w:right w:val="none" w:sz="0" w:space="0" w:color="auto"/>
      </w:divBdr>
    </w:div>
    <w:div w:id="1378433415">
      <w:bodyDiv w:val="1"/>
      <w:marLeft w:val="0"/>
      <w:marRight w:val="0"/>
      <w:marTop w:val="0"/>
      <w:marBottom w:val="0"/>
      <w:divBdr>
        <w:top w:val="none" w:sz="0" w:space="0" w:color="auto"/>
        <w:left w:val="none" w:sz="0" w:space="0" w:color="auto"/>
        <w:bottom w:val="none" w:sz="0" w:space="0" w:color="auto"/>
        <w:right w:val="none" w:sz="0" w:space="0" w:color="auto"/>
      </w:divBdr>
    </w:div>
    <w:div w:id="1387535028">
      <w:bodyDiv w:val="1"/>
      <w:marLeft w:val="0"/>
      <w:marRight w:val="0"/>
      <w:marTop w:val="0"/>
      <w:marBottom w:val="0"/>
      <w:divBdr>
        <w:top w:val="none" w:sz="0" w:space="0" w:color="auto"/>
        <w:left w:val="none" w:sz="0" w:space="0" w:color="auto"/>
        <w:bottom w:val="none" w:sz="0" w:space="0" w:color="auto"/>
        <w:right w:val="none" w:sz="0" w:space="0" w:color="auto"/>
      </w:divBdr>
    </w:div>
    <w:div w:id="1392384103">
      <w:bodyDiv w:val="1"/>
      <w:marLeft w:val="0"/>
      <w:marRight w:val="0"/>
      <w:marTop w:val="0"/>
      <w:marBottom w:val="0"/>
      <w:divBdr>
        <w:top w:val="none" w:sz="0" w:space="0" w:color="auto"/>
        <w:left w:val="none" w:sz="0" w:space="0" w:color="auto"/>
        <w:bottom w:val="none" w:sz="0" w:space="0" w:color="auto"/>
        <w:right w:val="none" w:sz="0" w:space="0" w:color="auto"/>
      </w:divBdr>
    </w:div>
    <w:div w:id="1395543233">
      <w:bodyDiv w:val="1"/>
      <w:marLeft w:val="0"/>
      <w:marRight w:val="0"/>
      <w:marTop w:val="0"/>
      <w:marBottom w:val="0"/>
      <w:divBdr>
        <w:top w:val="none" w:sz="0" w:space="0" w:color="auto"/>
        <w:left w:val="none" w:sz="0" w:space="0" w:color="auto"/>
        <w:bottom w:val="none" w:sz="0" w:space="0" w:color="auto"/>
        <w:right w:val="none" w:sz="0" w:space="0" w:color="auto"/>
      </w:divBdr>
    </w:div>
    <w:div w:id="1399667203">
      <w:bodyDiv w:val="1"/>
      <w:marLeft w:val="0"/>
      <w:marRight w:val="0"/>
      <w:marTop w:val="0"/>
      <w:marBottom w:val="0"/>
      <w:divBdr>
        <w:top w:val="none" w:sz="0" w:space="0" w:color="auto"/>
        <w:left w:val="none" w:sz="0" w:space="0" w:color="auto"/>
        <w:bottom w:val="none" w:sz="0" w:space="0" w:color="auto"/>
        <w:right w:val="none" w:sz="0" w:space="0" w:color="auto"/>
      </w:divBdr>
    </w:div>
    <w:div w:id="1401637408">
      <w:bodyDiv w:val="1"/>
      <w:marLeft w:val="0"/>
      <w:marRight w:val="0"/>
      <w:marTop w:val="0"/>
      <w:marBottom w:val="0"/>
      <w:divBdr>
        <w:top w:val="none" w:sz="0" w:space="0" w:color="auto"/>
        <w:left w:val="none" w:sz="0" w:space="0" w:color="auto"/>
        <w:bottom w:val="none" w:sz="0" w:space="0" w:color="auto"/>
        <w:right w:val="none" w:sz="0" w:space="0" w:color="auto"/>
      </w:divBdr>
    </w:div>
    <w:div w:id="1423212495">
      <w:bodyDiv w:val="1"/>
      <w:marLeft w:val="0"/>
      <w:marRight w:val="0"/>
      <w:marTop w:val="0"/>
      <w:marBottom w:val="0"/>
      <w:divBdr>
        <w:top w:val="none" w:sz="0" w:space="0" w:color="auto"/>
        <w:left w:val="none" w:sz="0" w:space="0" w:color="auto"/>
        <w:bottom w:val="none" w:sz="0" w:space="0" w:color="auto"/>
        <w:right w:val="none" w:sz="0" w:space="0" w:color="auto"/>
      </w:divBdr>
    </w:div>
    <w:div w:id="142680570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0508670">
      <w:bodyDiv w:val="1"/>
      <w:marLeft w:val="0"/>
      <w:marRight w:val="0"/>
      <w:marTop w:val="0"/>
      <w:marBottom w:val="0"/>
      <w:divBdr>
        <w:top w:val="none" w:sz="0" w:space="0" w:color="auto"/>
        <w:left w:val="none" w:sz="0" w:space="0" w:color="auto"/>
        <w:bottom w:val="none" w:sz="0" w:space="0" w:color="auto"/>
        <w:right w:val="none" w:sz="0" w:space="0" w:color="auto"/>
      </w:divBdr>
    </w:div>
    <w:div w:id="1451902571">
      <w:bodyDiv w:val="1"/>
      <w:marLeft w:val="0"/>
      <w:marRight w:val="0"/>
      <w:marTop w:val="0"/>
      <w:marBottom w:val="0"/>
      <w:divBdr>
        <w:top w:val="none" w:sz="0" w:space="0" w:color="auto"/>
        <w:left w:val="none" w:sz="0" w:space="0" w:color="auto"/>
        <w:bottom w:val="none" w:sz="0" w:space="0" w:color="auto"/>
        <w:right w:val="none" w:sz="0" w:space="0" w:color="auto"/>
      </w:divBdr>
    </w:div>
    <w:div w:id="1454861378">
      <w:bodyDiv w:val="1"/>
      <w:marLeft w:val="0"/>
      <w:marRight w:val="0"/>
      <w:marTop w:val="0"/>
      <w:marBottom w:val="0"/>
      <w:divBdr>
        <w:top w:val="none" w:sz="0" w:space="0" w:color="auto"/>
        <w:left w:val="none" w:sz="0" w:space="0" w:color="auto"/>
        <w:bottom w:val="none" w:sz="0" w:space="0" w:color="auto"/>
        <w:right w:val="none" w:sz="0" w:space="0" w:color="auto"/>
      </w:divBdr>
    </w:div>
    <w:div w:id="1486319027">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2910993">
      <w:bodyDiv w:val="1"/>
      <w:marLeft w:val="0"/>
      <w:marRight w:val="0"/>
      <w:marTop w:val="0"/>
      <w:marBottom w:val="0"/>
      <w:divBdr>
        <w:top w:val="none" w:sz="0" w:space="0" w:color="auto"/>
        <w:left w:val="none" w:sz="0" w:space="0" w:color="auto"/>
        <w:bottom w:val="none" w:sz="0" w:space="0" w:color="auto"/>
        <w:right w:val="none" w:sz="0" w:space="0" w:color="auto"/>
      </w:divBdr>
    </w:div>
    <w:div w:id="1497765862">
      <w:bodyDiv w:val="1"/>
      <w:marLeft w:val="0"/>
      <w:marRight w:val="0"/>
      <w:marTop w:val="0"/>
      <w:marBottom w:val="0"/>
      <w:divBdr>
        <w:top w:val="none" w:sz="0" w:space="0" w:color="auto"/>
        <w:left w:val="none" w:sz="0" w:space="0" w:color="auto"/>
        <w:bottom w:val="none" w:sz="0" w:space="0" w:color="auto"/>
        <w:right w:val="none" w:sz="0" w:space="0" w:color="auto"/>
      </w:divBdr>
    </w:div>
    <w:div w:id="1509522661">
      <w:bodyDiv w:val="1"/>
      <w:marLeft w:val="0"/>
      <w:marRight w:val="0"/>
      <w:marTop w:val="0"/>
      <w:marBottom w:val="0"/>
      <w:divBdr>
        <w:top w:val="none" w:sz="0" w:space="0" w:color="auto"/>
        <w:left w:val="none" w:sz="0" w:space="0" w:color="auto"/>
        <w:bottom w:val="none" w:sz="0" w:space="0" w:color="auto"/>
        <w:right w:val="none" w:sz="0" w:space="0" w:color="auto"/>
      </w:divBdr>
    </w:div>
    <w:div w:id="1510490395">
      <w:bodyDiv w:val="1"/>
      <w:marLeft w:val="0"/>
      <w:marRight w:val="0"/>
      <w:marTop w:val="0"/>
      <w:marBottom w:val="0"/>
      <w:divBdr>
        <w:top w:val="none" w:sz="0" w:space="0" w:color="auto"/>
        <w:left w:val="none" w:sz="0" w:space="0" w:color="auto"/>
        <w:bottom w:val="none" w:sz="0" w:space="0" w:color="auto"/>
        <w:right w:val="none" w:sz="0" w:space="0" w:color="auto"/>
      </w:divBdr>
    </w:div>
    <w:div w:id="1513570504">
      <w:bodyDiv w:val="1"/>
      <w:marLeft w:val="0"/>
      <w:marRight w:val="0"/>
      <w:marTop w:val="0"/>
      <w:marBottom w:val="0"/>
      <w:divBdr>
        <w:top w:val="none" w:sz="0" w:space="0" w:color="auto"/>
        <w:left w:val="none" w:sz="0" w:space="0" w:color="auto"/>
        <w:bottom w:val="none" w:sz="0" w:space="0" w:color="auto"/>
        <w:right w:val="none" w:sz="0" w:space="0" w:color="auto"/>
      </w:divBdr>
    </w:div>
    <w:div w:id="1518732048">
      <w:bodyDiv w:val="1"/>
      <w:marLeft w:val="0"/>
      <w:marRight w:val="0"/>
      <w:marTop w:val="0"/>
      <w:marBottom w:val="0"/>
      <w:divBdr>
        <w:top w:val="none" w:sz="0" w:space="0" w:color="auto"/>
        <w:left w:val="none" w:sz="0" w:space="0" w:color="auto"/>
        <w:bottom w:val="none" w:sz="0" w:space="0" w:color="auto"/>
        <w:right w:val="none" w:sz="0" w:space="0" w:color="auto"/>
      </w:divBdr>
    </w:div>
    <w:div w:id="1533180142">
      <w:bodyDiv w:val="1"/>
      <w:marLeft w:val="0"/>
      <w:marRight w:val="0"/>
      <w:marTop w:val="0"/>
      <w:marBottom w:val="0"/>
      <w:divBdr>
        <w:top w:val="none" w:sz="0" w:space="0" w:color="auto"/>
        <w:left w:val="none" w:sz="0" w:space="0" w:color="auto"/>
        <w:bottom w:val="none" w:sz="0" w:space="0" w:color="auto"/>
        <w:right w:val="none" w:sz="0" w:space="0" w:color="auto"/>
      </w:divBdr>
    </w:div>
    <w:div w:id="1550995955">
      <w:bodyDiv w:val="1"/>
      <w:marLeft w:val="0"/>
      <w:marRight w:val="0"/>
      <w:marTop w:val="0"/>
      <w:marBottom w:val="0"/>
      <w:divBdr>
        <w:top w:val="none" w:sz="0" w:space="0" w:color="auto"/>
        <w:left w:val="none" w:sz="0" w:space="0" w:color="auto"/>
        <w:bottom w:val="none" w:sz="0" w:space="0" w:color="auto"/>
        <w:right w:val="none" w:sz="0" w:space="0" w:color="auto"/>
      </w:divBdr>
    </w:div>
    <w:div w:id="1551964385">
      <w:bodyDiv w:val="1"/>
      <w:marLeft w:val="0"/>
      <w:marRight w:val="0"/>
      <w:marTop w:val="0"/>
      <w:marBottom w:val="0"/>
      <w:divBdr>
        <w:top w:val="none" w:sz="0" w:space="0" w:color="auto"/>
        <w:left w:val="none" w:sz="0" w:space="0" w:color="auto"/>
        <w:bottom w:val="none" w:sz="0" w:space="0" w:color="auto"/>
        <w:right w:val="none" w:sz="0" w:space="0" w:color="auto"/>
      </w:divBdr>
    </w:div>
    <w:div w:id="1557546569">
      <w:bodyDiv w:val="1"/>
      <w:marLeft w:val="0"/>
      <w:marRight w:val="0"/>
      <w:marTop w:val="0"/>
      <w:marBottom w:val="0"/>
      <w:divBdr>
        <w:top w:val="none" w:sz="0" w:space="0" w:color="auto"/>
        <w:left w:val="none" w:sz="0" w:space="0" w:color="auto"/>
        <w:bottom w:val="none" w:sz="0" w:space="0" w:color="auto"/>
        <w:right w:val="none" w:sz="0" w:space="0" w:color="auto"/>
      </w:divBdr>
    </w:div>
    <w:div w:id="1557860807">
      <w:bodyDiv w:val="1"/>
      <w:marLeft w:val="0"/>
      <w:marRight w:val="0"/>
      <w:marTop w:val="0"/>
      <w:marBottom w:val="0"/>
      <w:divBdr>
        <w:top w:val="none" w:sz="0" w:space="0" w:color="auto"/>
        <w:left w:val="none" w:sz="0" w:space="0" w:color="auto"/>
        <w:bottom w:val="none" w:sz="0" w:space="0" w:color="auto"/>
        <w:right w:val="none" w:sz="0" w:space="0" w:color="auto"/>
      </w:divBdr>
    </w:div>
    <w:div w:id="1586766982">
      <w:bodyDiv w:val="1"/>
      <w:marLeft w:val="0"/>
      <w:marRight w:val="0"/>
      <w:marTop w:val="0"/>
      <w:marBottom w:val="0"/>
      <w:divBdr>
        <w:top w:val="none" w:sz="0" w:space="0" w:color="auto"/>
        <w:left w:val="none" w:sz="0" w:space="0" w:color="auto"/>
        <w:bottom w:val="none" w:sz="0" w:space="0" w:color="auto"/>
        <w:right w:val="none" w:sz="0" w:space="0" w:color="auto"/>
      </w:divBdr>
    </w:div>
    <w:div w:id="1622296537">
      <w:bodyDiv w:val="1"/>
      <w:marLeft w:val="0"/>
      <w:marRight w:val="0"/>
      <w:marTop w:val="0"/>
      <w:marBottom w:val="0"/>
      <w:divBdr>
        <w:top w:val="none" w:sz="0" w:space="0" w:color="auto"/>
        <w:left w:val="none" w:sz="0" w:space="0" w:color="auto"/>
        <w:bottom w:val="none" w:sz="0" w:space="0" w:color="auto"/>
        <w:right w:val="none" w:sz="0" w:space="0" w:color="auto"/>
      </w:divBdr>
    </w:div>
    <w:div w:id="1622685973">
      <w:bodyDiv w:val="1"/>
      <w:marLeft w:val="0"/>
      <w:marRight w:val="0"/>
      <w:marTop w:val="0"/>
      <w:marBottom w:val="0"/>
      <w:divBdr>
        <w:top w:val="none" w:sz="0" w:space="0" w:color="auto"/>
        <w:left w:val="none" w:sz="0" w:space="0" w:color="auto"/>
        <w:bottom w:val="none" w:sz="0" w:space="0" w:color="auto"/>
        <w:right w:val="none" w:sz="0" w:space="0" w:color="auto"/>
      </w:divBdr>
    </w:div>
    <w:div w:id="1632395479">
      <w:bodyDiv w:val="1"/>
      <w:marLeft w:val="0"/>
      <w:marRight w:val="0"/>
      <w:marTop w:val="0"/>
      <w:marBottom w:val="0"/>
      <w:divBdr>
        <w:top w:val="none" w:sz="0" w:space="0" w:color="auto"/>
        <w:left w:val="none" w:sz="0" w:space="0" w:color="auto"/>
        <w:bottom w:val="none" w:sz="0" w:space="0" w:color="auto"/>
        <w:right w:val="none" w:sz="0" w:space="0" w:color="auto"/>
      </w:divBdr>
    </w:div>
    <w:div w:id="1655721084">
      <w:bodyDiv w:val="1"/>
      <w:marLeft w:val="0"/>
      <w:marRight w:val="0"/>
      <w:marTop w:val="0"/>
      <w:marBottom w:val="0"/>
      <w:divBdr>
        <w:top w:val="none" w:sz="0" w:space="0" w:color="auto"/>
        <w:left w:val="none" w:sz="0" w:space="0" w:color="auto"/>
        <w:bottom w:val="none" w:sz="0" w:space="0" w:color="auto"/>
        <w:right w:val="none" w:sz="0" w:space="0" w:color="auto"/>
      </w:divBdr>
    </w:div>
    <w:div w:id="1665084996">
      <w:bodyDiv w:val="1"/>
      <w:marLeft w:val="0"/>
      <w:marRight w:val="0"/>
      <w:marTop w:val="0"/>
      <w:marBottom w:val="0"/>
      <w:divBdr>
        <w:top w:val="none" w:sz="0" w:space="0" w:color="auto"/>
        <w:left w:val="none" w:sz="0" w:space="0" w:color="auto"/>
        <w:bottom w:val="none" w:sz="0" w:space="0" w:color="auto"/>
        <w:right w:val="none" w:sz="0" w:space="0" w:color="auto"/>
      </w:divBdr>
    </w:div>
    <w:div w:id="1666931819">
      <w:bodyDiv w:val="1"/>
      <w:marLeft w:val="0"/>
      <w:marRight w:val="0"/>
      <w:marTop w:val="0"/>
      <w:marBottom w:val="0"/>
      <w:divBdr>
        <w:top w:val="none" w:sz="0" w:space="0" w:color="auto"/>
        <w:left w:val="none" w:sz="0" w:space="0" w:color="auto"/>
        <w:bottom w:val="none" w:sz="0" w:space="0" w:color="auto"/>
        <w:right w:val="none" w:sz="0" w:space="0" w:color="auto"/>
      </w:divBdr>
    </w:div>
    <w:div w:id="1667320741">
      <w:bodyDiv w:val="1"/>
      <w:marLeft w:val="0"/>
      <w:marRight w:val="0"/>
      <w:marTop w:val="0"/>
      <w:marBottom w:val="0"/>
      <w:divBdr>
        <w:top w:val="none" w:sz="0" w:space="0" w:color="auto"/>
        <w:left w:val="none" w:sz="0" w:space="0" w:color="auto"/>
        <w:bottom w:val="none" w:sz="0" w:space="0" w:color="auto"/>
        <w:right w:val="none" w:sz="0" w:space="0" w:color="auto"/>
      </w:divBdr>
    </w:div>
    <w:div w:id="1668943347">
      <w:bodyDiv w:val="1"/>
      <w:marLeft w:val="0"/>
      <w:marRight w:val="0"/>
      <w:marTop w:val="0"/>
      <w:marBottom w:val="0"/>
      <w:divBdr>
        <w:top w:val="none" w:sz="0" w:space="0" w:color="auto"/>
        <w:left w:val="none" w:sz="0" w:space="0" w:color="auto"/>
        <w:bottom w:val="none" w:sz="0" w:space="0" w:color="auto"/>
        <w:right w:val="none" w:sz="0" w:space="0" w:color="auto"/>
      </w:divBdr>
    </w:div>
    <w:div w:id="1674064542">
      <w:bodyDiv w:val="1"/>
      <w:marLeft w:val="0"/>
      <w:marRight w:val="0"/>
      <w:marTop w:val="0"/>
      <w:marBottom w:val="0"/>
      <w:divBdr>
        <w:top w:val="none" w:sz="0" w:space="0" w:color="auto"/>
        <w:left w:val="none" w:sz="0" w:space="0" w:color="auto"/>
        <w:bottom w:val="none" w:sz="0" w:space="0" w:color="auto"/>
        <w:right w:val="none" w:sz="0" w:space="0" w:color="auto"/>
      </w:divBdr>
    </w:div>
    <w:div w:id="168146887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4302">
      <w:bodyDiv w:val="1"/>
      <w:marLeft w:val="0"/>
      <w:marRight w:val="0"/>
      <w:marTop w:val="0"/>
      <w:marBottom w:val="0"/>
      <w:divBdr>
        <w:top w:val="none" w:sz="0" w:space="0" w:color="auto"/>
        <w:left w:val="none" w:sz="0" w:space="0" w:color="auto"/>
        <w:bottom w:val="none" w:sz="0" w:space="0" w:color="auto"/>
        <w:right w:val="none" w:sz="0" w:space="0" w:color="auto"/>
      </w:divBdr>
    </w:div>
    <w:div w:id="1700083744">
      <w:bodyDiv w:val="1"/>
      <w:marLeft w:val="0"/>
      <w:marRight w:val="0"/>
      <w:marTop w:val="0"/>
      <w:marBottom w:val="0"/>
      <w:divBdr>
        <w:top w:val="none" w:sz="0" w:space="0" w:color="auto"/>
        <w:left w:val="none" w:sz="0" w:space="0" w:color="auto"/>
        <w:bottom w:val="none" w:sz="0" w:space="0" w:color="auto"/>
        <w:right w:val="none" w:sz="0" w:space="0" w:color="auto"/>
      </w:divBdr>
    </w:div>
    <w:div w:id="1700815572">
      <w:bodyDiv w:val="1"/>
      <w:marLeft w:val="0"/>
      <w:marRight w:val="0"/>
      <w:marTop w:val="0"/>
      <w:marBottom w:val="0"/>
      <w:divBdr>
        <w:top w:val="none" w:sz="0" w:space="0" w:color="auto"/>
        <w:left w:val="none" w:sz="0" w:space="0" w:color="auto"/>
        <w:bottom w:val="none" w:sz="0" w:space="0" w:color="auto"/>
        <w:right w:val="none" w:sz="0" w:space="0" w:color="auto"/>
      </w:divBdr>
    </w:div>
    <w:div w:id="1702588617">
      <w:bodyDiv w:val="1"/>
      <w:marLeft w:val="0"/>
      <w:marRight w:val="0"/>
      <w:marTop w:val="0"/>
      <w:marBottom w:val="0"/>
      <w:divBdr>
        <w:top w:val="none" w:sz="0" w:space="0" w:color="auto"/>
        <w:left w:val="none" w:sz="0" w:space="0" w:color="auto"/>
        <w:bottom w:val="none" w:sz="0" w:space="0" w:color="auto"/>
        <w:right w:val="none" w:sz="0" w:space="0" w:color="auto"/>
      </w:divBdr>
    </w:div>
    <w:div w:id="1703557882">
      <w:bodyDiv w:val="1"/>
      <w:marLeft w:val="0"/>
      <w:marRight w:val="0"/>
      <w:marTop w:val="0"/>
      <w:marBottom w:val="0"/>
      <w:divBdr>
        <w:top w:val="none" w:sz="0" w:space="0" w:color="auto"/>
        <w:left w:val="none" w:sz="0" w:space="0" w:color="auto"/>
        <w:bottom w:val="none" w:sz="0" w:space="0" w:color="auto"/>
        <w:right w:val="none" w:sz="0" w:space="0" w:color="auto"/>
      </w:divBdr>
    </w:div>
    <w:div w:id="1717200418">
      <w:bodyDiv w:val="1"/>
      <w:marLeft w:val="0"/>
      <w:marRight w:val="0"/>
      <w:marTop w:val="0"/>
      <w:marBottom w:val="0"/>
      <w:divBdr>
        <w:top w:val="none" w:sz="0" w:space="0" w:color="auto"/>
        <w:left w:val="none" w:sz="0" w:space="0" w:color="auto"/>
        <w:bottom w:val="none" w:sz="0" w:space="0" w:color="auto"/>
        <w:right w:val="none" w:sz="0" w:space="0" w:color="auto"/>
      </w:divBdr>
    </w:div>
    <w:div w:id="1722484294">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31538616">
      <w:bodyDiv w:val="1"/>
      <w:marLeft w:val="0"/>
      <w:marRight w:val="0"/>
      <w:marTop w:val="0"/>
      <w:marBottom w:val="0"/>
      <w:divBdr>
        <w:top w:val="none" w:sz="0" w:space="0" w:color="auto"/>
        <w:left w:val="none" w:sz="0" w:space="0" w:color="auto"/>
        <w:bottom w:val="none" w:sz="0" w:space="0" w:color="auto"/>
        <w:right w:val="none" w:sz="0" w:space="0" w:color="auto"/>
      </w:divBdr>
    </w:div>
    <w:div w:id="1740664750">
      <w:bodyDiv w:val="1"/>
      <w:marLeft w:val="0"/>
      <w:marRight w:val="0"/>
      <w:marTop w:val="0"/>
      <w:marBottom w:val="0"/>
      <w:divBdr>
        <w:top w:val="none" w:sz="0" w:space="0" w:color="auto"/>
        <w:left w:val="none" w:sz="0" w:space="0" w:color="auto"/>
        <w:bottom w:val="none" w:sz="0" w:space="0" w:color="auto"/>
        <w:right w:val="none" w:sz="0" w:space="0" w:color="auto"/>
      </w:divBdr>
    </w:div>
    <w:div w:id="1756390491">
      <w:bodyDiv w:val="1"/>
      <w:marLeft w:val="0"/>
      <w:marRight w:val="0"/>
      <w:marTop w:val="0"/>
      <w:marBottom w:val="0"/>
      <w:divBdr>
        <w:top w:val="none" w:sz="0" w:space="0" w:color="auto"/>
        <w:left w:val="none" w:sz="0" w:space="0" w:color="auto"/>
        <w:bottom w:val="none" w:sz="0" w:space="0" w:color="auto"/>
        <w:right w:val="none" w:sz="0" w:space="0" w:color="auto"/>
      </w:divBdr>
    </w:div>
    <w:div w:id="1772387748">
      <w:bodyDiv w:val="1"/>
      <w:marLeft w:val="0"/>
      <w:marRight w:val="0"/>
      <w:marTop w:val="0"/>
      <w:marBottom w:val="0"/>
      <w:divBdr>
        <w:top w:val="none" w:sz="0" w:space="0" w:color="auto"/>
        <w:left w:val="none" w:sz="0" w:space="0" w:color="auto"/>
        <w:bottom w:val="none" w:sz="0" w:space="0" w:color="auto"/>
        <w:right w:val="none" w:sz="0" w:space="0" w:color="auto"/>
      </w:divBdr>
    </w:div>
    <w:div w:id="1779373431">
      <w:bodyDiv w:val="1"/>
      <w:marLeft w:val="0"/>
      <w:marRight w:val="0"/>
      <w:marTop w:val="0"/>
      <w:marBottom w:val="0"/>
      <w:divBdr>
        <w:top w:val="none" w:sz="0" w:space="0" w:color="auto"/>
        <w:left w:val="none" w:sz="0" w:space="0" w:color="auto"/>
        <w:bottom w:val="none" w:sz="0" w:space="0" w:color="auto"/>
        <w:right w:val="none" w:sz="0" w:space="0" w:color="auto"/>
      </w:divBdr>
    </w:div>
    <w:div w:id="1779788516">
      <w:bodyDiv w:val="1"/>
      <w:marLeft w:val="0"/>
      <w:marRight w:val="0"/>
      <w:marTop w:val="0"/>
      <w:marBottom w:val="0"/>
      <w:divBdr>
        <w:top w:val="none" w:sz="0" w:space="0" w:color="auto"/>
        <w:left w:val="none" w:sz="0" w:space="0" w:color="auto"/>
        <w:bottom w:val="none" w:sz="0" w:space="0" w:color="auto"/>
        <w:right w:val="none" w:sz="0" w:space="0" w:color="auto"/>
      </w:divBdr>
    </w:div>
    <w:div w:id="1791633513">
      <w:bodyDiv w:val="1"/>
      <w:marLeft w:val="0"/>
      <w:marRight w:val="0"/>
      <w:marTop w:val="0"/>
      <w:marBottom w:val="0"/>
      <w:divBdr>
        <w:top w:val="none" w:sz="0" w:space="0" w:color="auto"/>
        <w:left w:val="none" w:sz="0" w:space="0" w:color="auto"/>
        <w:bottom w:val="none" w:sz="0" w:space="0" w:color="auto"/>
        <w:right w:val="none" w:sz="0" w:space="0" w:color="auto"/>
      </w:divBdr>
    </w:div>
    <w:div w:id="1801341699">
      <w:bodyDiv w:val="1"/>
      <w:marLeft w:val="0"/>
      <w:marRight w:val="0"/>
      <w:marTop w:val="0"/>
      <w:marBottom w:val="0"/>
      <w:divBdr>
        <w:top w:val="none" w:sz="0" w:space="0" w:color="auto"/>
        <w:left w:val="none" w:sz="0" w:space="0" w:color="auto"/>
        <w:bottom w:val="none" w:sz="0" w:space="0" w:color="auto"/>
        <w:right w:val="none" w:sz="0" w:space="0" w:color="auto"/>
      </w:divBdr>
    </w:div>
    <w:div w:id="1801804367">
      <w:bodyDiv w:val="1"/>
      <w:marLeft w:val="0"/>
      <w:marRight w:val="0"/>
      <w:marTop w:val="0"/>
      <w:marBottom w:val="0"/>
      <w:divBdr>
        <w:top w:val="none" w:sz="0" w:space="0" w:color="auto"/>
        <w:left w:val="none" w:sz="0" w:space="0" w:color="auto"/>
        <w:bottom w:val="none" w:sz="0" w:space="0" w:color="auto"/>
        <w:right w:val="none" w:sz="0" w:space="0" w:color="auto"/>
      </w:divBdr>
    </w:div>
    <w:div w:id="1827549622">
      <w:bodyDiv w:val="1"/>
      <w:marLeft w:val="0"/>
      <w:marRight w:val="0"/>
      <w:marTop w:val="0"/>
      <w:marBottom w:val="0"/>
      <w:divBdr>
        <w:top w:val="none" w:sz="0" w:space="0" w:color="auto"/>
        <w:left w:val="none" w:sz="0" w:space="0" w:color="auto"/>
        <w:bottom w:val="none" w:sz="0" w:space="0" w:color="auto"/>
        <w:right w:val="none" w:sz="0" w:space="0" w:color="auto"/>
      </w:divBdr>
    </w:div>
    <w:div w:id="1854685302">
      <w:bodyDiv w:val="1"/>
      <w:marLeft w:val="0"/>
      <w:marRight w:val="0"/>
      <w:marTop w:val="0"/>
      <w:marBottom w:val="0"/>
      <w:divBdr>
        <w:top w:val="none" w:sz="0" w:space="0" w:color="auto"/>
        <w:left w:val="none" w:sz="0" w:space="0" w:color="auto"/>
        <w:bottom w:val="none" w:sz="0" w:space="0" w:color="auto"/>
        <w:right w:val="none" w:sz="0" w:space="0" w:color="auto"/>
      </w:divBdr>
    </w:div>
    <w:div w:id="1857109207">
      <w:bodyDiv w:val="1"/>
      <w:marLeft w:val="0"/>
      <w:marRight w:val="0"/>
      <w:marTop w:val="0"/>
      <w:marBottom w:val="0"/>
      <w:divBdr>
        <w:top w:val="none" w:sz="0" w:space="0" w:color="auto"/>
        <w:left w:val="none" w:sz="0" w:space="0" w:color="auto"/>
        <w:bottom w:val="none" w:sz="0" w:space="0" w:color="auto"/>
        <w:right w:val="none" w:sz="0" w:space="0" w:color="auto"/>
      </w:divBdr>
    </w:div>
    <w:div w:id="1887448477">
      <w:bodyDiv w:val="1"/>
      <w:marLeft w:val="0"/>
      <w:marRight w:val="0"/>
      <w:marTop w:val="0"/>
      <w:marBottom w:val="0"/>
      <w:divBdr>
        <w:top w:val="none" w:sz="0" w:space="0" w:color="auto"/>
        <w:left w:val="none" w:sz="0" w:space="0" w:color="auto"/>
        <w:bottom w:val="none" w:sz="0" w:space="0" w:color="auto"/>
        <w:right w:val="none" w:sz="0" w:space="0" w:color="auto"/>
      </w:divBdr>
    </w:div>
    <w:div w:id="1888295648">
      <w:bodyDiv w:val="1"/>
      <w:marLeft w:val="0"/>
      <w:marRight w:val="0"/>
      <w:marTop w:val="0"/>
      <w:marBottom w:val="0"/>
      <w:divBdr>
        <w:top w:val="none" w:sz="0" w:space="0" w:color="auto"/>
        <w:left w:val="none" w:sz="0" w:space="0" w:color="auto"/>
        <w:bottom w:val="none" w:sz="0" w:space="0" w:color="auto"/>
        <w:right w:val="none" w:sz="0" w:space="0" w:color="auto"/>
      </w:divBdr>
    </w:div>
    <w:div w:id="1888568043">
      <w:bodyDiv w:val="1"/>
      <w:marLeft w:val="0"/>
      <w:marRight w:val="0"/>
      <w:marTop w:val="0"/>
      <w:marBottom w:val="0"/>
      <w:divBdr>
        <w:top w:val="none" w:sz="0" w:space="0" w:color="auto"/>
        <w:left w:val="none" w:sz="0" w:space="0" w:color="auto"/>
        <w:bottom w:val="none" w:sz="0" w:space="0" w:color="auto"/>
        <w:right w:val="none" w:sz="0" w:space="0" w:color="auto"/>
      </w:divBdr>
    </w:div>
    <w:div w:id="1919366003">
      <w:bodyDiv w:val="1"/>
      <w:marLeft w:val="0"/>
      <w:marRight w:val="0"/>
      <w:marTop w:val="0"/>
      <w:marBottom w:val="0"/>
      <w:divBdr>
        <w:top w:val="none" w:sz="0" w:space="0" w:color="auto"/>
        <w:left w:val="none" w:sz="0" w:space="0" w:color="auto"/>
        <w:bottom w:val="none" w:sz="0" w:space="0" w:color="auto"/>
        <w:right w:val="none" w:sz="0" w:space="0" w:color="auto"/>
      </w:divBdr>
    </w:div>
    <w:div w:id="1919903084">
      <w:bodyDiv w:val="1"/>
      <w:marLeft w:val="0"/>
      <w:marRight w:val="0"/>
      <w:marTop w:val="0"/>
      <w:marBottom w:val="0"/>
      <w:divBdr>
        <w:top w:val="none" w:sz="0" w:space="0" w:color="auto"/>
        <w:left w:val="none" w:sz="0" w:space="0" w:color="auto"/>
        <w:bottom w:val="none" w:sz="0" w:space="0" w:color="auto"/>
        <w:right w:val="none" w:sz="0" w:space="0" w:color="auto"/>
      </w:divBdr>
    </w:div>
    <w:div w:id="1925527312">
      <w:bodyDiv w:val="1"/>
      <w:marLeft w:val="0"/>
      <w:marRight w:val="0"/>
      <w:marTop w:val="0"/>
      <w:marBottom w:val="0"/>
      <w:divBdr>
        <w:top w:val="none" w:sz="0" w:space="0" w:color="auto"/>
        <w:left w:val="none" w:sz="0" w:space="0" w:color="auto"/>
        <w:bottom w:val="none" w:sz="0" w:space="0" w:color="auto"/>
        <w:right w:val="none" w:sz="0" w:space="0" w:color="auto"/>
      </w:divBdr>
    </w:div>
    <w:div w:id="1949041960">
      <w:bodyDiv w:val="1"/>
      <w:marLeft w:val="0"/>
      <w:marRight w:val="0"/>
      <w:marTop w:val="0"/>
      <w:marBottom w:val="0"/>
      <w:divBdr>
        <w:top w:val="none" w:sz="0" w:space="0" w:color="auto"/>
        <w:left w:val="none" w:sz="0" w:space="0" w:color="auto"/>
        <w:bottom w:val="none" w:sz="0" w:space="0" w:color="auto"/>
        <w:right w:val="none" w:sz="0" w:space="0" w:color="auto"/>
      </w:divBdr>
    </w:div>
    <w:div w:id="1954510071">
      <w:bodyDiv w:val="1"/>
      <w:marLeft w:val="0"/>
      <w:marRight w:val="0"/>
      <w:marTop w:val="0"/>
      <w:marBottom w:val="0"/>
      <w:divBdr>
        <w:top w:val="none" w:sz="0" w:space="0" w:color="auto"/>
        <w:left w:val="none" w:sz="0" w:space="0" w:color="auto"/>
        <w:bottom w:val="none" w:sz="0" w:space="0" w:color="auto"/>
        <w:right w:val="none" w:sz="0" w:space="0" w:color="auto"/>
      </w:divBdr>
    </w:div>
    <w:div w:id="1958175472">
      <w:bodyDiv w:val="1"/>
      <w:marLeft w:val="0"/>
      <w:marRight w:val="0"/>
      <w:marTop w:val="0"/>
      <w:marBottom w:val="0"/>
      <w:divBdr>
        <w:top w:val="none" w:sz="0" w:space="0" w:color="auto"/>
        <w:left w:val="none" w:sz="0" w:space="0" w:color="auto"/>
        <w:bottom w:val="none" w:sz="0" w:space="0" w:color="auto"/>
        <w:right w:val="none" w:sz="0" w:space="0" w:color="auto"/>
      </w:divBdr>
    </w:div>
    <w:div w:id="1961257812">
      <w:bodyDiv w:val="1"/>
      <w:marLeft w:val="0"/>
      <w:marRight w:val="0"/>
      <w:marTop w:val="0"/>
      <w:marBottom w:val="0"/>
      <w:divBdr>
        <w:top w:val="none" w:sz="0" w:space="0" w:color="auto"/>
        <w:left w:val="none" w:sz="0" w:space="0" w:color="auto"/>
        <w:bottom w:val="none" w:sz="0" w:space="0" w:color="auto"/>
        <w:right w:val="none" w:sz="0" w:space="0" w:color="auto"/>
      </w:divBdr>
    </w:div>
    <w:div w:id="1968270600">
      <w:bodyDiv w:val="1"/>
      <w:marLeft w:val="0"/>
      <w:marRight w:val="0"/>
      <w:marTop w:val="0"/>
      <w:marBottom w:val="0"/>
      <w:divBdr>
        <w:top w:val="none" w:sz="0" w:space="0" w:color="auto"/>
        <w:left w:val="none" w:sz="0" w:space="0" w:color="auto"/>
        <w:bottom w:val="none" w:sz="0" w:space="0" w:color="auto"/>
        <w:right w:val="none" w:sz="0" w:space="0" w:color="auto"/>
      </w:divBdr>
    </w:div>
    <w:div w:id="1981229290">
      <w:bodyDiv w:val="1"/>
      <w:marLeft w:val="0"/>
      <w:marRight w:val="0"/>
      <w:marTop w:val="0"/>
      <w:marBottom w:val="0"/>
      <w:divBdr>
        <w:top w:val="none" w:sz="0" w:space="0" w:color="auto"/>
        <w:left w:val="none" w:sz="0" w:space="0" w:color="auto"/>
        <w:bottom w:val="none" w:sz="0" w:space="0" w:color="auto"/>
        <w:right w:val="none" w:sz="0" w:space="0" w:color="auto"/>
      </w:divBdr>
    </w:div>
    <w:div w:id="1985349652">
      <w:bodyDiv w:val="1"/>
      <w:marLeft w:val="0"/>
      <w:marRight w:val="0"/>
      <w:marTop w:val="0"/>
      <w:marBottom w:val="0"/>
      <w:divBdr>
        <w:top w:val="none" w:sz="0" w:space="0" w:color="auto"/>
        <w:left w:val="none" w:sz="0" w:space="0" w:color="auto"/>
        <w:bottom w:val="none" w:sz="0" w:space="0" w:color="auto"/>
        <w:right w:val="none" w:sz="0" w:space="0" w:color="auto"/>
      </w:divBdr>
    </w:div>
    <w:div w:id="1996687323">
      <w:bodyDiv w:val="1"/>
      <w:marLeft w:val="0"/>
      <w:marRight w:val="0"/>
      <w:marTop w:val="0"/>
      <w:marBottom w:val="0"/>
      <w:divBdr>
        <w:top w:val="none" w:sz="0" w:space="0" w:color="auto"/>
        <w:left w:val="none" w:sz="0" w:space="0" w:color="auto"/>
        <w:bottom w:val="none" w:sz="0" w:space="0" w:color="auto"/>
        <w:right w:val="none" w:sz="0" w:space="0" w:color="auto"/>
      </w:divBdr>
    </w:div>
    <w:div w:id="2021660927">
      <w:bodyDiv w:val="1"/>
      <w:marLeft w:val="0"/>
      <w:marRight w:val="0"/>
      <w:marTop w:val="0"/>
      <w:marBottom w:val="0"/>
      <w:divBdr>
        <w:top w:val="none" w:sz="0" w:space="0" w:color="auto"/>
        <w:left w:val="none" w:sz="0" w:space="0" w:color="auto"/>
        <w:bottom w:val="none" w:sz="0" w:space="0" w:color="auto"/>
        <w:right w:val="none" w:sz="0" w:space="0" w:color="auto"/>
      </w:divBdr>
    </w:div>
    <w:div w:id="2034186318">
      <w:bodyDiv w:val="1"/>
      <w:marLeft w:val="0"/>
      <w:marRight w:val="0"/>
      <w:marTop w:val="0"/>
      <w:marBottom w:val="0"/>
      <w:divBdr>
        <w:top w:val="none" w:sz="0" w:space="0" w:color="auto"/>
        <w:left w:val="none" w:sz="0" w:space="0" w:color="auto"/>
        <w:bottom w:val="none" w:sz="0" w:space="0" w:color="auto"/>
        <w:right w:val="none" w:sz="0" w:space="0" w:color="auto"/>
      </w:divBdr>
    </w:div>
    <w:div w:id="2058699002">
      <w:bodyDiv w:val="1"/>
      <w:marLeft w:val="0"/>
      <w:marRight w:val="0"/>
      <w:marTop w:val="0"/>
      <w:marBottom w:val="0"/>
      <w:divBdr>
        <w:top w:val="none" w:sz="0" w:space="0" w:color="auto"/>
        <w:left w:val="none" w:sz="0" w:space="0" w:color="auto"/>
        <w:bottom w:val="none" w:sz="0" w:space="0" w:color="auto"/>
        <w:right w:val="none" w:sz="0" w:space="0" w:color="auto"/>
      </w:divBdr>
    </w:div>
    <w:div w:id="2073040380">
      <w:bodyDiv w:val="1"/>
      <w:marLeft w:val="0"/>
      <w:marRight w:val="0"/>
      <w:marTop w:val="0"/>
      <w:marBottom w:val="0"/>
      <w:divBdr>
        <w:top w:val="none" w:sz="0" w:space="0" w:color="auto"/>
        <w:left w:val="none" w:sz="0" w:space="0" w:color="auto"/>
        <w:bottom w:val="none" w:sz="0" w:space="0" w:color="auto"/>
        <w:right w:val="none" w:sz="0" w:space="0" w:color="auto"/>
      </w:divBdr>
    </w:div>
    <w:div w:id="2083794516">
      <w:bodyDiv w:val="1"/>
      <w:marLeft w:val="0"/>
      <w:marRight w:val="0"/>
      <w:marTop w:val="0"/>
      <w:marBottom w:val="0"/>
      <w:divBdr>
        <w:top w:val="none" w:sz="0" w:space="0" w:color="auto"/>
        <w:left w:val="none" w:sz="0" w:space="0" w:color="auto"/>
        <w:bottom w:val="none" w:sz="0" w:space="0" w:color="auto"/>
        <w:right w:val="none" w:sz="0" w:space="0" w:color="auto"/>
      </w:divBdr>
    </w:div>
    <w:div w:id="2087611205">
      <w:bodyDiv w:val="1"/>
      <w:marLeft w:val="0"/>
      <w:marRight w:val="0"/>
      <w:marTop w:val="0"/>
      <w:marBottom w:val="0"/>
      <w:divBdr>
        <w:top w:val="none" w:sz="0" w:space="0" w:color="auto"/>
        <w:left w:val="none" w:sz="0" w:space="0" w:color="auto"/>
        <w:bottom w:val="none" w:sz="0" w:space="0" w:color="auto"/>
        <w:right w:val="none" w:sz="0" w:space="0" w:color="auto"/>
      </w:divBdr>
    </w:div>
    <w:div w:id="2103182125">
      <w:bodyDiv w:val="1"/>
      <w:marLeft w:val="0"/>
      <w:marRight w:val="0"/>
      <w:marTop w:val="0"/>
      <w:marBottom w:val="0"/>
      <w:divBdr>
        <w:top w:val="none" w:sz="0" w:space="0" w:color="auto"/>
        <w:left w:val="none" w:sz="0" w:space="0" w:color="auto"/>
        <w:bottom w:val="none" w:sz="0" w:space="0" w:color="auto"/>
        <w:right w:val="none" w:sz="0" w:space="0" w:color="auto"/>
      </w:divBdr>
    </w:div>
    <w:div w:id="212568527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mdpi.com/2071-1050/13/16/9001"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61464b-37cf-44ea-8d18-14153ca159e9">
      <Terms xmlns="http://schemas.microsoft.com/office/infopath/2007/PartnerControls"/>
    </lcf76f155ced4ddcb4097134ff3c332f>
    <TaxCatchAll xmlns="7344bc78-a3c5-48e7-879b-23dae01f99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3AF8F0278B2354D871DAEF0B807ECB9" ma:contentTypeVersion="13" ma:contentTypeDescription="Creare un nuovo documento." ma:contentTypeScope="" ma:versionID="de7434dbb2508aebe457661c9c014cb1">
  <xsd:schema xmlns:xsd="http://www.w3.org/2001/XMLSchema" xmlns:xs="http://www.w3.org/2001/XMLSchema" xmlns:p="http://schemas.microsoft.com/office/2006/metadata/properties" xmlns:ns2="a861464b-37cf-44ea-8d18-14153ca159e9" xmlns:ns3="7344bc78-a3c5-48e7-879b-23dae01f9991" targetNamespace="http://schemas.microsoft.com/office/2006/metadata/properties" ma:root="true" ma:fieldsID="ac4825e34f5b5e6faf346dc01f2be33a" ns2:_="" ns3:_="">
    <xsd:import namespace="a861464b-37cf-44ea-8d18-14153ca159e9"/>
    <xsd:import namespace="7344bc78-a3c5-48e7-879b-23dae01f9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464b-37cf-44ea-8d18-14153ca15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f43bf995-fbfa-44ea-8187-e0b9c3bf97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44bc78-a3c5-48e7-879b-23dae01f999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1ddccec-1ca0-4f23-9ea9-f01a15cea4a1}" ma:internalName="TaxCatchAll" ma:showField="CatchAllData" ma:web="7344bc78-a3c5-48e7-879b-23dae01f9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Name Sort" Version="2003">
  <b:Source>
    <b:Tag>Cen07</b:Tag>
    <b:SourceType>Book</b:SourceType>
    <b:Guid>{BF9298D3-20AA-48B6-8DA7-87ED6CB339B3}</b:Guid>
    <b:Author>
      <b:Author>
        <b:NameList>
          <b:Person>
            <b:Last>(CCPS)</b:Last>
            <b:First>Center</b:First>
            <b:Middle>for Chemical Process Safety</b:Middle>
          </b:Person>
        </b:NameList>
      </b:Author>
    </b:Author>
    <b:Title>Guidelines for Risk-Based Process Safety</b:Title>
    <b:Year>2007</b:Year>
    <b:City>Hoboken, NJ</b:City>
    <b:Publisher>Wiley</b:Publisher>
    <b:RefOrder>4</b:RefOrder>
  </b:Source>
  <b:Source>
    <b:Tag>USD</b:Tag>
    <b:SourceType>Book</b:SourceType>
    <b:Guid>{77FA4A32-D87E-4A46-A5DA-AF3F054E1D5E}</b:Guid>
    <b:Author>
      <b:Author>
        <b:NameList>
          <b:Person>
            <b:Last>U.S. Department of Labor</b:Last>
            <b:First>Occupational</b:First>
            <b:Middle>Safety and Health Administration (OSHA)</b:Middle>
          </b:Person>
        </b:NameList>
      </b:Author>
    </b:Author>
    <b:Title>Process Safety Management of Highly Hazardous Chemicals (29 CFR 1910.119)</b:Title>
    <b:Publisher>U.S. Government Printing Office</b:Publisher>
    <b:Year>1992</b:Year>
    <b:City>Washington, D.C.</b:City>
    <b:RefOrder>1</b:RefOrder>
  </b:Source>
  <b:Source>
    <b:Tag>Hea01</b:Tag>
    <b:SourceType>Book</b:SourceType>
    <b:Guid>{336E9C1D-8D51-4ECA-AE32-957ACB0E1267}</b:Guid>
    <b:Author>
      <b:Author>
        <b:NameList>
          <b:Person>
            <b:Last>(HSE).</b:Last>
            <b:First>Health</b:First>
            <b:Middle>and Safety Executive</b:Middle>
          </b:Person>
        </b:NameList>
      </b:Author>
    </b:Author>
    <b:Title>Reducing Risks, Protecting People: HSE's Decision-Making Process</b:Title>
    <b:Year>2001</b:Year>
    <b:City>London</b:City>
    <b:Publisher>Health and Safety Executive.</b:Publisher>
    <b:RefOrder>7</b:RefOrder>
  </b:Source>
  <b:Source>
    <b:Tag>Eur12</b:Tag>
    <b:SourceType>Book</b:SourceType>
    <b:Guid>{4666DB1B-99A7-46A3-B68D-2FA9DB42D461}</b:Guid>
    <b:Author>
      <b:Author>
        <b:NameList>
          <b:Person>
            <b:Last>(Seveso)</b:Last>
            <b:First>European</b:First>
            <b:Middle>Union</b:Middle>
          </b:Person>
        </b:NameList>
      </b:Author>
    </b:Author>
    <b:Title>Directive 2012/18/EU on the Control of Major-Accident Hazards Involving Dangerous Substances (Seveso III Directive)</b:Title>
    <b:Year>2012</b:Year>
    <b:City>Brussels</b:City>
    <b:Publisher>Official Journal of the European Union</b:Publisher>
    <b:RefOrder>2</b:RefOrder>
  </b:Source>
  <b:Source>
    <b:Tag>Int16</b:Tag>
    <b:SourceType>Book</b:SourceType>
    <b:Guid>{209283FF-FF42-4F2F-B0EE-37206329D680}</b:Guid>
    <b:Author>
      <b:Author>
        <b:NameList>
          <b:Person>
            <b:Last>(IEC)</b:Last>
            <b:First>International</b:First>
            <b:Middle>Electrotechnical Commission</b:Middle>
          </b:Person>
        </b:NameList>
      </b:Author>
    </b:Author>
    <b:Title>Hazard and Operability Studies (HAZOP Studies) – Application Guide (IEC 61882)</b:Title>
    <b:Year>2016</b:Year>
    <b:City>Geneva, Switzerland</b:City>
    <b:Publisher>International Electrotechnical Commission</b:Publisher>
    <b:RefOrder>8</b:RefOrder>
  </b:Source>
  <b:Source>
    <b:Tag>IEC19</b:Tag>
    <b:SourceType>Book</b:SourceType>
    <b:Guid>{E5C0C79F-20C3-48C1-95E0-51CD01C57461}</b:Guid>
    <b:Author>
      <b:Author>
        <b:NameList>
          <b:Person>
            <b:Last>(IEC)</b:Last>
            <b:First>International</b:First>
            <b:Middle>Organization for Standardization (ISO) and International Electrotechnical Commission</b:Middle>
          </b:Person>
        </b:NameList>
      </b:Author>
      <b:Editor>
        <b:NameList>
          <b:Person>
            <b:Last>Edition</b:Last>
            <b:First>Second</b:First>
          </b:Person>
        </b:NameList>
      </b:Editor>
    </b:Author>
    <b:Title>Risk Management – Risk Assessment Techniques (IEC/ISO 31010)</b:Title>
    <b:Year>2019</b:Year>
    <b:City>Geneva, Switzerland</b:City>
    <b:Publisher>International Organization for Standardization and International Electrotechnical Commission</b:Publisher>
    <b:RefOrder>9</b:RefOrder>
  </b:Source>
  <b:Source>
    <b:Tag>TNO</b:Tag>
    <b:SourceType>Book</b:SourceType>
    <b:Guid>{5A214268-6CB1-4C32-9608-1AF51915DF08}</b:Guid>
    <b:Author>
      <b:Author>
        <b:NameList>
          <b:Person>
            <b:Last>(TNO)</b:Last>
            <b:First>Netherlands</b:First>
            <b:Middle>Organization for Applied Scientific Research</b:Middle>
          </b:Person>
        </b:NameList>
      </b:Author>
    </b:Author>
    <b:Title>Guidlines for uqantitave risk assessment</b:Title>
    <b:Year>2019</b:Year>
    <b:City>The Hague, Netherlands</b:City>
    <b:Publisher>Netherlands Organization for Applied Scientific Research</b:Publisher>
    <b:RefOrder>10</b:RefOrder>
  </b:Source>
  <b:Source>
    <b:Tag>Ins10</b:Tag>
    <b:SourceType>Book</b:SourceType>
    <b:Guid>{D8A52A05-995C-4466-A08F-EBA0E059D8DA}</b:Guid>
    <b:Author>
      <b:Author>
        <b:NameList>
          <b:Person>
            <b:Last>Energy Institute</b:Last>
          </b:Person>
        </b:NameList>
      </b:Author>
    </b:Author>
    <b:Title>Process Safety Management Framework</b:Title>
    <b:Year>2010</b:Year>
    <b:City>London</b:City>
    <b:Publisher>Energy Institute</b:Publisher>
    <b:Edition>2nd Edition</b:Edition>
    <b:RefOrder>3</b:RefOrder>
  </b:Source>
  <b:Source>
    <b:Tag>Bak07</b:Tag>
    <b:SourceType>Book</b:SourceType>
    <b:Guid>{98B0DE92-B6D2-425A-B551-3831A2FE3A96}</b:Guid>
    <b:Author>
      <b:Author>
        <b:NameList>
          <b:Person>
            <b:Last>Baker</b:Last>
            <b:First>J.</b:First>
            <b:Middle>A., III, et al.</b:Middle>
          </b:Person>
        </b:NameList>
      </b:Author>
    </b:Author>
    <b:Title>The Report of the BP U.S. Refineries Independent Safety Review Panel</b:Title>
    <b:Year>2007</b:Year>
    <b:City>Washington, D.C.</b:City>
    <b:Publisher>BP U.S. Refineries Independent Safety Review Panel</b:Publisher>
    <b:RefOrder>5</b:RefOrder>
  </b:Source>
  <b:Source>
    <b:Tag>Nat11</b:Tag>
    <b:SourceType>Book</b:SourceType>
    <b:Guid>{A8D78343-7297-4594-93DD-289AE7D89FBE}</b:Guid>
    <b:Author>
      <b:Author>
        <b:NameList>
          <b:Person>
            <b:Last>BP national Commission</b:Last>
          </b:Person>
        </b:NameList>
      </b:Author>
    </b:Author>
    <b:Title>Deep Water: The Gulf Oil Disaster and the Future of Offshore Drilling – Report to the President</b:Title>
    <b:Year>2011</b:Year>
    <b:City>Washington, D.C.</b:City>
    <b:Publisher>U.S. Government Printing Office</b:Publisher>
    <b:RefOrder>11</b:RefOrder>
  </b:Source>
  <b:Source>
    <b:Tag>Ada21</b:Tag>
    <b:SourceType>JournalArticle</b:SourceType>
    <b:Guid>{F327BFA7-B1BB-45F4-B3C4-1C5600815D71}</b:Guid>
    <b:Title>Process Safety Management Quality in Industrial Corporation for Sustainable Development</b:Title>
    <b:Year>2021</b:Year>
    <b:Publisher>Sustainability</b:Publisher>
    <b:Author>
      <b:Author>
        <b:NameList>
          <b:Person>
            <b:Last>Adam S. Markowski</b:Last>
            <b:First>Andrzej</b:First>
            <b:Middle>Krasławski, Tomaso Vairo, Bruno Fabiano</b:Middle>
          </b:Person>
        </b:NameList>
      </b:Author>
    </b:Author>
    <b:RefOrder>6</b:RefOrder>
  </b:Source>
</b:Sources>
</file>

<file path=customXml/itemProps1.xml><?xml version="1.0" encoding="utf-8"?>
<ds:datastoreItem xmlns:ds="http://schemas.openxmlformats.org/officeDocument/2006/customXml" ds:itemID="{92B41293-C335-4D46-80E5-766DD915148F}">
  <ds:schemaRefs>
    <ds:schemaRef ds:uri="http://schemas.microsoft.com/sharepoint/v3/contenttype/forms"/>
  </ds:schemaRefs>
</ds:datastoreItem>
</file>

<file path=customXml/itemProps2.xml><?xml version="1.0" encoding="utf-8"?>
<ds:datastoreItem xmlns:ds="http://schemas.openxmlformats.org/officeDocument/2006/customXml" ds:itemID="{506016FE-E0F1-411D-9424-DAEB96BC24C5}">
  <ds:schemaRefs>
    <ds:schemaRef ds:uri="http://schemas.openxmlformats.org/package/2006/metadata/core-properties"/>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7344bc78-a3c5-48e7-879b-23dae01f9991"/>
    <ds:schemaRef ds:uri="a861464b-37cf-44ea-8d18-14153ca159e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F6AC444-6FE5-4F2A-95E7-5A6AA9DF3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464b-37cf-44ea-8d18-14153ca159e9"/>
    <ds:schemaRef ds:uri="7344bc78-a3c5-48e7-879b-23dae01f9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8B60C-47E3-447D-B613-A7D9676D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3740</Words>
  <Characters>23368</Characters>
  <Application>Microsoft Office Word</Application>
  <DocSecurity>0</DocSecurity>
  <Lines>497</Lines>
  <Paragraphs>205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GRITTI</dc:creator>
  <cp:keywords/>
  <dc:description/>
  <cp:lastModifiedBy>ZAHRA BASIRI</cp:lastModifiedBy>
  <cp:revision>30</cp:revision>
  <cp:lastPrinted>2015-05-12T18:31:00Z</cp:lastPrinted>
  <dcterms:created xsi:type="dcterms:W3CDTF">2025-02-25T13:48:00Z</dcterms:created>
  <dcterms:modified xsi:type="dcterms:W3CDTF">2025-02-28T16:22:00Z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ca87a947a24ee6b149c267c61e056a42d71414f6567a160935daaba8ae47737d</vt:lpwstr>
  </property>
  <property fmtid="{D5CDD505-2E9C-101B-9397-08002B2CF9AE}" pid="5" name="ContentTypeId">
    <vt:lpwstr>0x01010023AF8F0278B2354D871DAEF0B807ECB9</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