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A09F2" w14:paraId="2A131A54" w14:textId="77777777" w:rsidTr="00A71855">
        <w:trPr>
          <w:trHeight w:val="852"/>
          <w:jc w:val="center"/>
        </w:trPr>
        <w:tc>
          <w:tcPr>
            <w:tcW w:w="6940" w:type="dxa"/>
            <w:vMerge w:val="restart"/>
            <w:tcBorders>
              <w:right w:val="single" w:sz="4" w:space="0" w:color="auto"/>
            </w:tcBorders>
          </w:tcPr>
          <w:p w14:paraId="38C3D2BA" w14:textId="77777777" w:rsidR="000A03B2" w:rsidRPr="001A09F2" w:rsidRDefault="000A03B2" w:rsidP="00DE264A">
            <w:pPr>
              <w:tabs>
                <w:tab w:val="left" w:pos="-108"/>
              </w:tabs>
              <w:ind w:left="-108"/>
              <w:jc w:val="left"/>
              <w:rPr>
                <w:rFonts w:cs="Arial"/>
                <w:b/>
                <w:bCs/>
                <w:i/>
                <w:iCs/>
                <w:color w:val="000066"/>
                <w:sz w:val="12"/>
                <w:szCs w:val="12"/>
                <w:lang w:val="en-US" w:eastAsia="it-IT"/>
              </w:rPr>
            </w:pPr>
            <w:bookmarkStart w:id="0" w:name="_Hlk145068772"/>
            <w:r w:rsidRPr="001A09F2">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A09F2">
              <w:rPr>
                <w:rFonts w:ascii="AdvP6960" w:hAnsi="AdvP6960" w:cs="AdvP6960"/>
                <w:color w:val="241F20"/>
                <w:szCs w:val="18"/>
                <w:lang w:val="en-US" w:eastAsia="it-IT"/>
              </w:rPr>
              <w:t xml:space="preserve"> </w:t>
            </w:r>
            <w:r w:rsidRPr="001A09F2">
              <w:rPr>
                <w:rFonts w:cs="Arial"/>
                <w:b/>
                <w:bCs/>
                <w:i/>
                <w:iCs/>
                <w:color w:val="000066"/>
                <w:sz w:val="24"/>
                <w:szCs w:val="24"/>
                <w:lang w:val="en-US" w:eastAsia="it-IT"/>
              </w:rPr>
              <w:t>CHEMICAL ENGINEERING</w:t>
            </w:r>
            <w:r w:rsidRPr="001A09F2">
              <w:rPr>
                <w:rFonts w:cs="Arial"/>
                <w:b/>
                <w:bCs/>
                <w:i/>
                <w:iCs/>
                <w:color w:val="0033FF"/>
                <w:sz w:val="24"/>
                <w:szCs w:val="24"/>
                <w:lang w:val="en-US" w:eastAsia="it-IT"/>
              </w:rPr>
              <w:t xml:space="preserve"> </w:t>
            </w:r>
            <w:r w:rsidRPr="001A09F2">
              <w:rPr>
                <w:rFonts w:cs="Arial"/>
                <w:b/>
                <w:bCs/>
                <w:i/>
                <w:iCs/>
                <w:color w:val="666666"/>
                <w:sz w:val="24"/>
                <w:szCs w:val="24"/>
                <w:lang w:val="en-US" w:eastAsia="it-IT"/>
              </w:rPr>
              <w:t>TRANSACTIONS</w:t>
            </w:r>
            <w:r w:rsidRPr="001A09F2">
              <w:rPr>
                <w:color w:val="333333"/>
                <w:sz w:val="24"/>
                <w:szCs w:val="24"/>
                <w:lang w:val="en-US" w:eastAsia="it-IT"/>
              </w:rPr>
              <w:t xml:space="preserve"> </w:t>
            </w:r>
            <w:r w:rsidRPr="001A09F2">
              <w:rPr>
                <w:rFonts w:cs="Arial"/>
                <w:b/>
                <w:bCs/>
                <w:i/>
                <w:iCs/>
                <w:color w:val="000066"/>
                <w:sz w:val="27"/>
                <w:szCs w:val="27"/>
                <w:lang w:val="en-US" w:eastAsia="it-IT"/>
              </w:rPr>
              <w:br/>
            </w:r>
          </w:p>
          <w:p w14:paraId="4B780582" w14:textId="47EF826C" w:rsidR="000A03B2" w:rsidRPr="001A09F2" w:rsidRDefault="00A76EFC" w:rsidP="001D21AF">
            <w:pPr>
              <w:tabs>
                <w:tab w:val="left" w:pos="-108"/>
              </w:tabs>
              <w:ind w:left="-108"/>
              <w:rPr>
                <w:rFonts w:cs="Arial"/>
                <w:b/>
                <w:bCs/>
                <w:i/>
                <w:iCs/>
                <w:color w:val="000066"/>
                <w:sz w:val="22"/>
                <w:szCs w:val="22"/>
                <w:lang w:val="en-US" w:eastAsia="it-IT"/>
              </w:rPr>
            </w:pPr>
            <w:r w:rsidRPr="001A09F2">
              <w:rPr>
                <w:rFonts w:cs="Arial"/>
                <w:b/>
                <w:bCs/>
                <w:i/>
                <w:iCs/>
                <w:color w:val="000066"/>
                <w:sz w:val="22"/>
                <w:szCs w:val="22"/>
                <w:lang w:val="en-US" w:eastAsia="it-IT"/>
              </w:rPr>
              <w:t>VOL.</w:t>
            </w:r>
            <w:r w:rsidR="00785BF9" w:rsidRPr="001A09F2">
              <w:rPr>
                <w:rFonts w:cs="Arial"/>
                <w:b/>
                <w:bCs/>
                <w:i/>
                <w:iCs/>
                <w:color w:val="000066"/>
                <w:sz w:val="22"/>
                <w:szCs w:val="22"/>
                <w:lang w:val="en-US" w:eastAsia="it-IT"/>
              </w:rPr>
              <w:t xml:space="preserve"> </w:t>
            </w:r>
            <w:r w:rsidR="00994C6A" w:rsidRPr="001A09F2">
              <w:rPr>
                <w:rFonts w:cs="Arial"/>
                <w:b/>
                <w:bCs/>
                <w:i/>
                <w:iCs/>
                <w:color w:val="000066"/>
                <w:sz w:val="22"/>
                <w:szCs w:val="22"/>
                <w:lang w:val="en-US" w:eastAsia="it-IT"/>
              </w:rPr>
              <w:t>xxx</w:t>
            </w:r>
            <w:r w:rsidR="007B48F9" w:rsidRPr="001A09F2">
              <w:rPr>
                <w:rFonts w:cs="Arial"/>
                <w:b/>
                <w:bCs/>
                <w:i/>
                <w:iCs/>
                <w:color w:val="000066"/>
                <w:sz w:val="22"/>
                <w:szCs w:val="22"/>
                <w:lang w:val="en-US" w:eastAsia="it-IT"/>
              </w:rPr>
              <w:t>,</w:t>
            </w:r>
            <w:r w:rsidR="00FA5F5F" w:rsidRPr="001A09F2">
              <w:rPr>
                <w:rFonts w:cs="Arial"/>
                <w:b/>
                <w:bCs/>
                <w:i/>
                <w:iCs/>
                <w:color w:val="000066"/>
                <w:sz w:val="22"/>
                <w:szCs w:val="22"/>
                <w:lang w:val="en-US" w:eastAsia="it-IT"/>
              </w:rPr>
              <w:t xml:space="preserve"> </w:t>
            </w:r>
            <w:r w:rsidR="0030152C" w:rsidRPr="001A09F2">
              <w:rPr>
                <w:rFonts w:cs="Arial"/>
                <w:b/>
                <w:bCs/>
                <w:i/>
                <w:iCs/>
                <w:color w:val="000066"/>
                <w:sz w:val="22"/>
                <w:szCs w:val="22"/>
                <w:lang w:val="en-US" w:eastAsia="it-IT"/>
              </w:rPr>
              <w:t>202</w:t>
            </w:r>
            <w:r w:rsidR="00994C6A" w:rsidRPr="001A09F2">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1A09F2" w:rsidRDefault="000A03B2" w:rsidP="00CD5FE2">
            <w:pPr>
              <w:spacing w:line="140" w:lineRule="atLeast"/>
              <w:jc w:val="right"/>
              <w:rPr>
                <w:rFonts w:cs="Arial"/>
                <w:sz w:val="14"/>
                <w:szCs w:val="14"/>
                <w:lang w:val="en-US"/>
              </w:rPr>
            </w:pPr>
            <w:r w:rsidRPr="001A09F2">
              <w:rPr>
                <w:rFonts w:cs="Arial"/>
                <w:sz w:val="14"/>
                <w:szCs w:val="14"/>
                <w:lang w:val="en-US"/>
              </w:rPr>
              <w:t>A publication of</w:t>
            </w:r>
          </w:p>
          <w:p w14:paraId="599E5441" w14:textId="77777777" w:rsidR="000A03B2" w:rsidRPr="001A09F2" w:rsidRDefault="000A03B2" w:rsidP="00CD5FE2">
            <w:pPr>
              <w:jc w:val="right"/>
              <w:rPr>
                <w:lang w:val="en-US"/>
              </w:rPr>
            </w:pPr>
            <w:r w:rsidRPr="001A09F2">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A09F2" w14:paraId="380FA3CD" w14:textId="77777777" w:rsidTr="00A71855">
        <w:trPr>
          <w:trHeight w:val="567"/>
          <w:jc w:val="center"/>
        </w:trPr>
        <w:tc>
          <w:tcPr>
            <w:tcW w:w="6940" w:type="dxa"/>
            <w:vMerge/>
            <w:tcBorders>
              <w:right w:val="single" w:sz="4" w:space="0" w:color="auto"/>
            </w:tcBorders>
          </w:tcPr>
          <w:p w14:paraId="39E5E4C1" w14:textId="77777777" w:rsidR="000A03B2" w:rsidRPr="001A09F2"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1A09F2" w:rsidRDefault="000A03B2" w:rsidP="00CD5FE2">
            <w:pPr>
              <w:spacing w:line="140" w:lineRule="atLeast"/>
              <w:jc w:val="right"/>
              <w:rPr>
                <w:rFonts w:cs="Arial"/>
                <w:sz w:val="14"/>
                <w:szCs w:val="14"/>
                <w:lang w:val="en-US"/>
              </w:rPr>
            </w:pPr>
            <w:r w:rsidRPr="001A09F2">
              <w:rPr>
                <w:rFonts w:cs="Arial"/>
                <w:sz w:val="14"/>
                <w:szCs w:val="14"/>
                <w:lang w:val="en-US"/>
              </w:rPr>
              <w:t>The Italian Association</w:t>
            </w:r>
          </w:p>
          <w:p w14:paraId="7522B1D2" w14:textId="77777777" w:rsidR="000A03B2" w:rsidRPr="001A09F2" w:rsidRDefault="000A03B2" w:rsidP="00CD5FE2">
            <w:pPr>
              <w:spacing w:line="140" w:lineRule="atLeast"/>
              <w:jc w:val="right"/>
              <w:rPr>
                <w:rFonts w:cs="Arial"/>
                <w:sz w:val="14"/>
                <w:szCs w:val="14"/>
                <w:lang w:val="en-US"/>
              </w:rPr>
            </w:pPr>
            <w:r w:rsidRPr="001A09F2">
              <w:rPr>
                <w:rFonts w:cs="Arial"/>
                <w:sz w:val="14"/>
                <w:szCs w:val="14"/>
                <w:lang w:val="en-US"/>
              </w:rPr>
              <w:t>of Chemical Engineering</w:t>
            </w:r>
          </w:p>
          <w:p w14:paraId="4F0CC5DE" w14:textId="47FDB2FC" w:rsidR="000A03B2" w:rsidRPr="001A09F2" w:rsidRDefault="000D0268" w:rsidP="00CD5FE2">
            <w:pPr>
              <w:spacing w:line="140" w:lineRule="atLeast"/>
              <w:jc w:val="right"/>
              <w:rPr>
                <w:rFonts w:cs="Arial"/>
                <w:sz w:val="13"/>
                <w:szCs w:val="13"/>
                <w:lang w:val="en-US"/>
              </w:rPr>
            </w:pPr>
            <w:r w:rsidRPr="001A09F2">
              <w:rPr>
                <w:rFonts w:cs="Arial"/>
                <w:sz w:val="13"/>
                <w:szCs w:val="13"/>
                <w:lang w:val="en-US"/>
              </w:rPr>
              <w:t>Online at www.cetjournal.it</w:t>
            </w:r>
          </w:p>
        </w:tc>
      </w:tr>
      <w:tr w:rsidR="000A03B2" w:rsidRPr="001A09F2" w14:paraId="2D1B7169" w14:textId="77777777" w:rsidTr="00A71855">
        <w:trPr>
          <w:trHeight w:val="68"/>
          <w:jc w:val="center"/>
        </w:trPr>
        <w:tc>
          <w:tcPr>
            <w:tcW w:w="8782" w:type="dxa"/>
            <w:gridSpan w:val="2"/>
          </w:tcPr>
          <w:p w14:paraId="30F07041" w14:textId="11182ABA" w:rsidR="00F27EE4" w:rsidRPr="005A17E9" w:rsidRDefault="00AA7D26" w:rsidP="00F27EE4">
            <w:pPr>
              <w:ind w:left="-107"/>
              <w:rPr>
                <w:rFonts w:ascii="Tahoma" w:hAnsi="Tahoma" w:cs="Tahoma"/>
                <w:b/>
                <w:bCs/>
                <w:color w:val="000000"/>
                <w:sz w:val="14"/>
                <w:szCs w:val="14"/>
                <w:shd w:val="clear" w:color="auto" w:fill="FFFFFF"/>
                <w:lang w:val="it-IT"/>
              </w:rPr>
            </w:pPr>
            <w:r w:rsidRPr="005A17E9">
              <w:rPr>
                <w:rFonts w:ascii="Tahoma" w:hAnsi="Tahoma" w:cs="Tahoma"/>
                <w:iCs/>
                <w:color w:val="333333"/>
                <w:sz w:val="14"/>
                <w:szCs w:val="14"/>
                <w:lang w:val="it-IT" w:eastAsia="it-IT"/>
              </w:rPr>
              <w:t>Guest Editors:</w:t>
            </w:r>
            <w:r w:rsidR="007D610D" w:rsidRPr="005A17E9">
              <w:rPr>
                <w:rFonts w:ascii="Aptos" w:eastAsiaTheme="minorHAnsi" w:hAnsi="Aptos" w:cs="Aptos"/>
                <w:sz w:val="22"/>
                <w:szCs w:val="22"/>
                <w:lang w:val="it-IT"/>
                <w14:ligatures w14:val="standardContextual"/>
              </w:rPr>
              <w:t xml:space="preserve"> </w:t>
            </w:r>
            <w:r w:rsidR="00F27EE4" w:rsidRPr="005A17E9">
              <w:rPr>
                <w:rFonts w:ascii="Tahoma" w:hAnsi="Tahoma" w:cs="Tahoma"/>
                <w:color w:val="000000"/>
                <w:sz w:val="14"/>
                <w:szCs w:val="14"/>
                <w:shd w:val="clear" w:color="auto" w:fill="FFFFFF"/>
                <w:lang w:val="it-IT"/>
              </w:rPr>
              <w:t>Bruno Fabiano, Valerio Cozzani</w:t>
            </w:r>
          </w:p>
          <w:p w14:paraId="1B0F1814" w14:textId="2DB8A072" w:rsidR="000A03B2" w:rsidRPr="001A09F2" w:rsidRDefault="00AA7D26" w:rsidP="00AA7D26">
            <w:pPr>
              <w:tabs>
                <w:tab w:val="left" w:pos="-108"/>
              </w:tabs>
              <w:spacing w:line="140" w:lineRule="atLeast"/>
              <w:ind w:left="-107"/>
              <w:jc w:val="left"/>
              <w:rPr>
                <w:lang w:val="en-US"/>
              </w:rPr>
            </w:pPr>
            <w:r w:rsidRPr="001A09F2">
              <w:rPr>
                <w:rFonts w:ascii="Tahoma" w:hAnsi="Tahoma" w:cs="Tahoma"/>
                <w:iCs/>
                <w:color w:val="333333"/>
                <w:sz w:val="14"/>
                <w:szCs w:val="14"/>
                <w:lang w:val="en-US" w:eastAsia="it-IT"/>
              </w:rPr>
              <w:t>Copyright © 202</w:t>
            </w:r>
            <w:r w:rsidR="00994C6A" w:rsidRPr="001A09F2">
              <w:rPr>
                <w:rFonts w:ascii="Tahoma" w:hAnsi="Tahoma" w:cs="Tahoma"/>
                <w:iCs/>
                <w:color w:val="333333"/>
                <w:sz w:val="14"/>
                <w:szCs w:val="14"/>
                <w:lang w:val="en-US" w:eastAsia="it-IT"/>
              </w:rPr>
              <w:t>5</w:t>
            </w:r>
            <w:r w:rsidRPr="001A09F2">
              <w:rPr>
                <w:rFonts w:ascii="Tahoma" w:hAnsi="Tahoma" w:cs="Tahoma"/>
                <w:iCs/>
                <w:color w:val="333333"/>
                <w:sz w:val="14"/>
                <w:szCs w:val="14"/>
                <w:lang w:val="en-US" w:eastAsia="it-IT"/>
              </w:rPr>
              <w:t>, AIDIC Servizi S.r.l.</w:t>
            </w:r>
            <w:r w:rsidRPr="001A09F2">
              <w:rPr>
                <w:rFonts w:ascii="Tahoma" w:hAnsi="Tahoma" w:cs="Tahoma"/>
                <w:iCs/>
                <w:color w:val="333333"/>
                <w:sz w:val="14"/>
                <w:szCs w:val="14"/>
                <w:lang w:val="en-US" w:eastAsia="it-IT"/>
              </w:rPr>
              <w:br/>
            </w:r>
            <w:r w:rsidRPr="001A09F2">
              <w:rPr>
                <w:rFonts w:ascii="Tahoma" w:hAnsi="Tahoma" w:cs="Tahoma"/>
                <w:b/>
                <w:iCs/>
                <w:color w:val="000000"/>
                <w:sz w:val="14"/>
                <w:szCs w:val="14"/>
                <w:lang w:val="en-US" w:eastAsia="it-IT"/>
              </w:rPr>
              <w:t>ISBN</w:t>
            </w:r>
            <w:r w:rsidRPr="001A09F2">
              <w:rPr>
                <w:rFonts w:ascii="Tahoma" w:hAnsi="Tahoma" w:cs="Tahoma"/>
                <w:iCs/>
                <w:color w:val="000000"/>
                <w:sz w:val="14"/>
                <w:szCs w:val="14"/>
                <w:lang w:val="en-US" w:eastAsia="it-IT"/>
              </w:rPr>
              <w:t xml:space="preserve"> </w:t>
            </w:r>
            <w:r w:rsidR="003B49CD" w:rsidRPr="001A09F2">
              <w:rPr>
                <w:rFonts w:ascii="Tahoma" w:hAnsi="Tahoma" w:cs="Tahoma"/>
                <w:sz w:val="14"/>
                <w:szCs w:val="14"/>
                <w:lang w:val="en-US"/>
              </w:rPr>
              <w:t>979-12-81206-</w:t>
            </w:r>
            <w:r w:rsidR="00F27EE4" w:rsidRPr="001A09F2">
              <w:rPr>
                <w:rFonts w:ascii="Tahoma" w:hAnsi="Tahoma" w:cs="Tahoma"/>
                <w:sz w:val="14"/>
                <w:szCs w:val="14"/>
                <w:lang w:val="en-US"/>
              </w:rPr>
              <w:t>xx-y</w:t>
            </w:r>
            <w:r w:rsidRPr="001A09F2">
              <w:rPr>
                <w:rFonts w:ascii="Tahoma" w:hAnsi="Tahoma" w:cs="Tahoma"/>
                <w:iCs/>
                <w:color w:val="333333"/>
                <w:sz w:val="14"/>
                <w:szCs w:val="14"/>
                <w:lang w:val="en-US" w:eastAsia="it-IT"/>
              </w:rPr>
              <w:t xml:space="preserve">; </w:t>
            </w:r>
            <w:r w:rsidRPr="001A09F2">
              <w:rPr>
                <w:rFonts w:ascii="Tahoma" w:hAnsi="Tahoma" w:cs="Tahoma"/>
                <w:b/>
                <w:iCs/>
                <w:color w:val="333333"/>
                <w:sz w:val="14"/>
                <w:szCs w:val="14"/>
                <w:lang w:val="en-US" w:eastAsia="it-IT"/>
              </w:rPr>
              <w:t>ISSN</w:t>
            </w:r>
            <w:r w:rsidRPr="001A09F2">
              <w:rPr>
                <w:rFonts w:ascii="Tahoma" w:hAnsi="Tahoma" w:cs="Tahoma"/>
                <w:iCs/>
                <w:color w:val="333333"/>
                <w:sz w:val="14"/>
                <w:szCs w:val="14"/>
                <w:lang w:val="en-US" w:eastAsia="it-IT"/>
              </w:rPr>
              <w:t xml:space="preserve"> 2283-9216</w:t>
            </w:r>
          </w:p>
        </w:tc>
      </w:tr>
      <w:bookmarkEnd w:id="0"/>
    </w:tbl>
    <w:p w14:paraId="5D68E0E0" w14:textId="77777777" w:rsidR="00A71855" w:rsidRPr="001A09F2" w:rsidRDefault="00A71855" w:rsidP="00B57E6F">
      <w:pPr>
        <w:pStyle w:val="CETAuthors"/>
        <w:rPr>
          <w:noProof w:val="0"/>
          <w:sz w:val="32"/>
          <w:lang w:val="en-US"/>
        </w:rPr>
      </w:pPr>
    </w:p>
    <w:p w14:paraId="708CD0C8" w14:textId="04E47FEB" w:rsidR="00A71855" w:rsidRPr="001A09F2" w:rsidRDefault="00A71855" w:rsidP="00B57E6F">
      <w:pPr>
        <w:pStyle w:val="CETAuthors"/>
        <w:rPr>
          <w:noProof w:val="0"/>
          <w:sz w:val="32"/>
          <w:lang w:val="en-US"/>
        </w:rPr>
      </w:pPr>
      <w:r w:rsidRPr="001A09F2">
        <w:rPr>
          <w:noProof w:val="0"/>
          <w:sz w:val="32"/>
          <w:lang w:val="en-US"/>
        </w:rPr>
        <w:t xml:space="preserve">Interaction </w:t>
      </w:r>
      <w:r w:rsidR="007E0882" w:rsidRPr="001A09F2">
        <w:rPr>
          <w:noProof w:val="0"/>
          <w:sz w:val="32"/>
          <w:lang w:val="en-US"/>
        </w:rPr>
        <w:t>Between High Pressure Releases From Small Holes And The Ground Surface</w:t>
      </w:r>
    </w:p>
    <w:p w14:paraId="0488FED2" w14:textId="5CE30FB7" w:rsidR="00B57E6F" w:rsidRPr="005A17E9" w:rsidRDefault="002E4A32" w:rsidP="00B57E6F">
      <w:pPr>
        <w:pStyle w:val="CETAuthors"/>
        <w:rPr>
          <w:lang w:val="it-IT"/>
        </w:rPr>
      </w:pPr>
      <w:r w:rsidRPr="005A17E9">
        <w:rPr>
          <w:lang w:val="it-IT"/>
        </w:rPr>
        <w:t>Alessandro Pinciroli, Renato Rota, Valentina Busini*</w:t>
      </w:r>
    </w:p>
    <w:p w14:paraId="73F1267A" w14:textId="77FD6FFA" w:rsidR="00B57E6F" w:rsidRDefault="008550FE" w:rsidP="0011744E">
      <w:pPr>
        <w:pStyle w:val="CETAddress"/>
        <w:rPr>
          <w:lang w:val="en-US"/>
        </w:rPr>
      </w:pPr>
      <w:hyperlink r:id="rId13" w:history="1">
        <w:r w:rsidRPr="001E1F18">
          <w:rPr>
            <w:rStyle w:val="Collegamentoipertestuale"/>
            <w:lang w:val="en-US"/>
          </w:rPr>
          <w:t>valentina.busini@polimi.it</w:t>
        </w:r>
      </w:hyperlink>
    </w:p>
    <w:p w14:paraId="7BB86F11" w14:textId="77777777" w:rsidR="00101F10" w:rsidRDefault="00101F10" w:rsidP="0011744E">
      <w:pPr>
        <w:pStyle w:val="CETAddress"/>
        <w:rPr>
          <w:lang w:val="en-US"/>
        </w:rPr>
      </w:pPr>
    </w:p>
    <w:p w14:paraId="6083CB81" w14:textId="6358B3B2" w:rsidR="00693BBA" w:rsidRPr="00693BBA" w:rsidRDefault="00693BBA" w:rsidP="00693BBA">
      <w:pPr>
        <w:pStyle w:val="CETBodytext"/>
        <w:rPr>
          <w:lang w:eastAsia="it-IT"/>
        </w:rPr>
      </w:pPr>
      <w:r w:rsidRPr="00693BBA">
        <w:rPr>
          <w:lang w:eastAsia="it-IT"/>
        </w:rPr>
        <w:t>High-pressure releases are a significant concern in industrial safety, particularly when they involve flammable gases, as these can have severe consequences for both workers and the environment. Common flammable compounds include methane, propane, and hydrogen</w:t>
      </w:r>
      <w:r>
        <w:rPr>
          <w:lang w:eastAsia="it-IT"/>
        </w:rPr>
        <w:t xml:space="preserve"> </w:t>
      </w:r>
      <w:r w:rsidRPr="00693BBA">
        <w:rPr>
          <w:lang w:eastAsia="it-IT"/>
        </w:rPr>
        <w:t>—</w:t>
      </w:r>
      <w:r>
        <w:rPr>
          <w:lang w:eastAsia="it-IT"/>
        </w:rPr>
        <w:t xml:space="preserve"> </w:t>
      </w:r>
      <w:r w:rsidRPr="00693BBA">
        <w:rPr>
          <w:lang w:eastAsia="it-IT"/>
        </w:rPr>
        <w:t xml:space="preserve">the latter being a relatively recent energy </w:t>
      </w:r>
      <w:r w:rsidR="00AF2084">
        <w:rPr>
          <w:lang w:eastAsia="it-IT"/>
        </w:rPr>
        <w:t>carrier</w:t>
      </w:r>
      <w:r w:rsidRPr="00693BBA">
        <w:rPr>
          <w:lang w:eastAsia="it-IT"/>
        </w:rPr>
        <w:t xml:space="preserve"> gaining traction in various applications. High-pressure releases are notable for their high momentum, which can extend the flammable cloud over considerable distances and potentially cause damage to vulnerable structures.</w:t>
      </w:r>
    </w:p>
    <w:p w14:paraId="3B230B13" w14:textId="2E4BC9C4" w:rsidR="00693BBA" w:rsidRPr="00693BBA" w:rsidRDefault="00693BBA" w:rsidP="00693BBA">
      <w:pPr>
        <w:pStyle w:val="CETBodytext"/>
        <w:rPr>
          <w:lang w:eastAsia="it-IT"/>
        </w:rPr>
      </w:pPr>
      <w:r w:rsidRPr="00693BBA">
        <w:rPr>
          <w:lang w:eastAsia="it-IT"/>
        </w:rPr>
        <w:t xml:space="preserve">One well-known fluid behavior is the Coanda effect, which occurs near flat surfaces such as the ground. In the event of a high-pressure release, this effect can further expand the flammable area. Previous studies have explored the </w:t>
      </w:r>
      <w:r>
        <w:rPr>
          <w:lang w:eastAsia="it-IT"/>
        </w:rPr>
        <w:t>influence</w:t>
      </w:r>
      <w:r w:rsidRPr="00693BBA">
        <w:rPr>
          <w:lang w:eastAsia="it-IT"/>
        </w:rPr>
        <w:t xml:space="preserve"> of the ground on the extension of high-pressure jets from large orifices. This work aims to investigate releases from small orifices to understand their behavior near the ground and determine whether</w:t>
      </w:r>
      <w:r w:rsidR="00DE38E2">
        <w:rPr>
          <w:lang w:eastAsia="it-IT"/>
        </w:rPr>
        <w:t xml:space="preserve"> </w:t>
      </w:r>
      <w:r w:rsidRPr="00693BBA">
        <w:rPr>
          <w:lang w:eastAsia="it-IT"/>
        </w:rPr>
        <w:t>they can be treated similarly to larger releases. Further investigation is also focused on</w:t>
      </w:r>
      <w:r w:rsidR="007E5B93">
        <w:rPr>
          <w:lang w:eastAsia="it-IT"/>
        </w:rPr>
        <w:t xml:space="preserve"> </w:t>
      </w:r>
      <w:r w:rsidR="005C163E">
        <w:rPr>
          <w:lang w:eastAsia="it-IT"/>
        </w:rPr>
        <w:t xml:space="preserve">determining whether the low release height allows the jet to hit the ground due to its </w:t>
      </w:r>
      <w:r w:rsidR="00E370DA">
        <w:rPr>
          <w:lang w:eastAsia="it-IT"/>
        </w:rPr>
        <w:t xml:space="preserve">natural opening angle </w:t>
      </w:r>
      <w:r w:rsidR="00A46FE0">
        <w:rPr>
          <w:lang w:eastAsia="it-IT"/>
        </w:rPr>
        <w:t xml:space="preserve">and the </w:t>
      </w:r>
      <w:r w:rsidR="00CF7BB6">
        <w:rPr>
          <w:lang w:eastAsia="it-IT"/>
        </w:rPr>
        <w:t>possible</w:t>
      </w:r>
      <w:r w:rsidR="00A46FE0">
        <w:rPr>
          <w:lang w:eastAsia="it-IT"/>
        </w:rPr>
        <w:t xml:space="preserve"> incidence of this phenomenon in relation to the Coanda effect.</w:t>
      </w:r>
    </w:p>
    <w:p w14:paraId="476B2F2E" w14:textId="52B36035" w:rsidR="00600535" w:rsidRPr="001A09F2" w:rsidRDefault="00600535" w:rsidP="00600535">
      <w:pPr>
        <w:pStyle w:val="CETHeading1"/>
      </w:pPr>
      <w:r w:rsidRPr="001A09F2">
        <w:t>Introduction</w:t>
      </w:r>
    </w:p>
    <w:p w14:paraId="318B0601" w14:textId="557C29C0" w:rsidR="00A71855" w:rsidRPr="001A09F2" w:rsidRDefault="00A71855" w:rsidP="00A71855">
      <w:pPr>
        <w:pStyle w:val="CETBodytext"/>
      </w:pPr>
      <w:r w:rsidRPr="001A09F2">
        <w:t>Future energy systems could rely on hydrogen (H2) to achieve decarbonization and net-zero goals because one approach is to use hydrogen instead of natural gas, or in blend with it, in the gas grid to provide a source of low-carbon heat in the future. Gaseous compounds are largely used among various process industries in all sectors. The transport and storage of gases are done under high pressure conditions which span from a few times the atmospheric pressure to hundreds of bars. The main advantage is the reduced space occupied and consequently</w:t>
      </w:r>
      <w:r w:rsidR="006A70A5">
        <w:t>,</w:t>
      </w:r>
      <w:r w:rsidRPr="001A09F2">
        <w:t xml:space="preserve"> the higher efficiency of transportation and storage. Furthermore, many processes and chemical reactions require pressurized gases to work correctly. Accidental releases of pressurized gases, in particular flammable ones, are characterized by a high momentum and can lead to catastrophic consequences due to many reasons; the possibl</w:t>
      </w:r>
      <w:r w:rsidR="00B15106">
        <w:t>e</w:t>
      </w:r>
      <w:r w:rsidRPr="001A09F2">
        <w:t xml:space="preserve"> scenarios include explosions and fires, among which are jet fires and flash fires depending on the ignition time. Furthermore, in </w:t>
      </w:r>
      <w:r w:rsidR="006454A1">
        <w:t>congested area</w:t>
      </w:r>
      <w:r w:rsidR="00792C7A">
        <w:t>s</w:t>
      </w:r>
      <w:r w:rsidRPr="001A09F2">
        <w:t xml:space="preserve"> the consequences magnitude can be even worse due to the </w:t>
      </w:r>
      <w:r w:rsidR="00792C7A">
        <w:t>possibilities of</w:t>
      </w:r>
      <w:r w:rsidRPr="001A09F2">
        <w:t xml:space="preserve"> domino effects. High pressure unignited releases can reach significant distances from the jet source thanks to the high initial velocity, so it is common practice during the risk assessment to evaluate the jet length in terms of maximum distance reached by the lower flammable limit concentration </w:t>
      </w:r>
      <w:r w:rsidR="00031BE8" w:rsidRPr="001A09F2">
        <w:fldChar w:fldCharType="begin"/>
      </w:r>
      <w:r w:rsidR="00031BE8" w:rsidRPr="001A09F2">
        <w:instrText xml:space="preserve"> ADDIN ZOTERO_ITEM CSL_CITATION {"citationID":"NKoFyEve","properties":{"formattedCitation":"(Woodward and Pitbaldo, 2010)","plainCitation":"(Woodward and Pitbaldo, 2010)","noteIndex":0},"citationItems":[{"id":114,"uris":["http://zotero.org/users/12493459/items/L77Y7ASK"],"itemData":{"id":114,"type":"book","abstract":"The expert, all-inclusive guide on LNG risk based safety Liquefied Natural Gas (LNG) is the condensed form of natural gas achieved by cryogenic chilling. This process reduces gas to a liquid 600 times smaller in volume than it is in its original state, making it suitable for economical global transportation. LNG has been traded internationally and used with a good safety record since the 1960s. However, with some accidents occurring with the storage and liquefaction of LNG, a good understanding of its mechanisms, and its potential ramifications to facilities and to the nearby public, is becoming critically important. With an unbiased eye, this book leans on the expertise of its authors and LNG professionals worldwide to examine these serious safety issues, while addressing many false assumptions surrounding this volatile energy source. LNG Risk Based Safety: Summarizes the findings of the Governmental Accountability Offices (GAO) survey of nineteen LNG experts from across North America and Europe Reviews the history of LNG technology developments Systematically reviews the various consequences from LNG releases— discharge, evaporation, dispersion, fire, and other impacts, and identifies best current approaches to model possible consequence zones Includes discussion of case studies and LNG-related accidents over the past fifty years Covering every aspect of this controversial topic, LNG Risk Based Safety informs the reader with firm conclusions based on highly credible investigation, and offers practical recommendations that researchers and developers can apply to reduce hazards and extend LNG technology.","ISBN":"978-0-470-59023-2","language":"en","note":"_eprint: https://onlinelibrary.wiley.com/doi/pdf/10.1002/9780470590232.fmatter\nDOI: 10.1002/9780470590232.fmatter","publisher":"John Wiley &amp; Sons, Ltd","source":"Wiley Online Library","title":"LNG Risk Based Safety: Modeling and Consequence Analysis","URL":"https://onlinelibrary.wiley.com/doi/abs/10.1002/9780470590232.fmatter","author":[{"family":"Woodward","given":"John L."},{"family":"Pitbaldo","given":"Robin M."}],"accessed":{"date-parts":[["2023",9,21]]},"issued":{"date-parts":[["2010"]]}}}],"schema":"https://github.com/citation-style-language/schema/raw/master/csl-citation.json"} </w:instrText>
      </w:r>
      <w:r w:rsidR="00031BE8" w:rsidRPr="001A09F2">
        <w:fldChar w:fldCharType="separate"/>
      </w:r>
      <w:r w:rsidR="00031BE8" w:rsidRPr="001A09F2">
        <w:rPr>
          <w:rFonts w:cs="Arial"/>
        </w:rPr>
        <w:t>(Woodward and Pitbaldo, 2010)</w:t>
      </w:r>
      <w:r w:rsidR="00031BE8" w:rsidRPr="001A09F2">
        <w:fldChar w:fldCharType="end"/>
      </w:r>
      <w:r w:rsidRPr="001A09F2">
        <w:t>. Many models are available to predict the velocity and concentration decay of jets. Integral models are the most used ones since they are reliable and do</w:t>
      </w:r>
      <w:r w:rsidR="008825EC">
        <w:t xml:space="preserve"> </w:t>
      </w:r>
      <w:r w:rsidRPr="001A09F2">
        <w:t>n</w:t>
      </w:r>
      <w:r w:rsidR="008825EC">
        <w:t>o</w:t>
      </w:r>
      <w:r w:rsidRPr="001A09F2">
        <w:t xml:space="preserve">t require high resources to obtain valuable data considering that they can be done by hand. The main drawback of integral models is the impossibility to consider the interaction of the jet with obstacles and surfaces which could significantly change the shape, direction and area of influence of releases, so they are only reliable in a free-jet scenario. CFD models are therefore the only way to take into account complex geometries and obstacles and the interaction of the jet with them but require high computational costs as well as a strong understanding of simulation software, which is often complex and requires specialized training. The application of CFD models is therefore limited although the last technology progresses </w:t>
      </w:r>
      <w:r w:rsidR="000C3EFB">
        <w:t>let</w:t>
      </w:r>
      <w:r w:rsidRPr="001A09F2">
        <w:t xml:space="preserve"> to have better computational resources, faster calculation times and lower overall costs. </w:t>
      </w:r>
    </w:p>
    <w:p w14:paraId="71E232BF" w14:textId="71F51C12" w:rsidR="00A71855" w:rsidRPr="001A09F2" w:rsidRDefault="00A71855" w:rsidP="00A71855">
      <w:pPr>
        <w:pStyle w:val="CETBodytext"/>
      </w:pPr>
      <w:r w:rsidRPr="001A09F2">
        <w:t xml:space="preserve">An interaction between the jet and a flat surface is relevant to safety because a surface, such as the ground, can significantly elongate the maximum distance thanks to the Coanda effect and consequently the portion of </w:t>
      </w:r>
      <w:r w:rsidRPr="001A09F2">
        <w:lastRenderedPageBreak/>
        <w:t xml:space="preserve">jet between the flammable limits that could ignite. Many works studied the interaction between high pressure jet and </w:t>
      </w:r>
      <w:r w:rsidR="00FB3AC4" w:rsidRPr="001A09F2">
        <w:t xml:space="preserve">obstacles </w:t>
      </w:r>
      <w:r w:rsidR="00FB3AC4" w:rsidRPr="001A09F2">
        <w:fldChar w:fldCharType="begin"/>
      </w:r>
      <w:r w:rsidR="00A5392E" w:rsidRPr="001A09F2">
        <w:instrText xml:space="preserve"> ADDIN ZOTERO_ITEM CSL_CITATION {"citationID":"EEm9UkeZ","properties":{"formattedCitation":"(Colombini et al., 2020c, 2022a, 2022b; Colombini and Busini, 2019a, 2019b; Moscatello et al., 2021; Pinciroli et al., 2024; Pontiggia et al., 2014; Romano et al., 2022)","plainCitation":"(Colombini et al., 2020c, 2022a, 2022b; Colombini and Busini, 2019a, 2019b; Moscatello et al., 2021; Pinciroli et al., 2024; Pontiggia et al., 2014; Romano et al., 2022)","noteIndex":0},"citationItems":[{"id":2,"uris":["http://zotero.org/users/12493459/items/ZP79FT5K"],"itemData":{"id":2,"type":"article-journal","abstract":"Nowadays methane is a fossil fuel widely used both in industries and in civil appliances. From the safety point of view, due to its flammability, its use implies hazards for people and assets. The hazardous area related to a high-pressure jet of methane arising from an accidental loss of containment requires the estimation of the distance at which the methane concentration falls below the Lower Flammability limit. Such a topic is well covered in the literature when considering free jet conditions, i.e., jets that do not interact with any equipment or surface. The same cannot be said for high pressure jets impacting an obstacle. In this context, the present work focuses on studying high pressure methane jets impacting spherical obstacles by means of Computational Fluid Dynamics with the aim of giving some insights about such a jet-obstacle interaction, possibly providing a brief by-hand procedure that, only based on known scenario information, allows to estimate the maximum extent of the unignited high-pressure jet when interacting with a spherical obstacle.","container-title":"Journal of Loss Prevention in the Process Industries","DOI":"10.1016/j.jlp.2021.104631","ISSN":"0950-4230","journalAbbreviation":"Journal of Loss Prevention in the Process Industries","page":"104631","source":"ScienceDirect","title":"Safety evaluations on unignited high-pressure methane jets impacting a spherical obstacle","volume":"74","author":[{"family":"Colombini","given":"Cristian"},{"family":"Carminati","given":"Edoardo"},{"family":"Parisi","given":"Andrea"},{"family":"Rota","given":"Renato"},{"family":"Busini","given":"Valentina"}],"issued":{"date-parts":[["2022",1,1]]}}},{"id":72,"uris":["http://zotero.org/users/12493459/items/6G3SUZQ9"],"itemData":{"id":72,"type":"article-journal","abstract":"In the Oil &amp; Gas sector, the use of flammable substances stored and transported in gaseous form and under pressure conditions is quite common. In the field of industrial safety, high-pressure gaseous releases of a flammable material impacting an obstacle are of paramount importance, as possible accidental scenarios, due to their catastrophic consequences. Although hot release (i.e., jet fire scenarios) is a topic that has been largely covered in literature, cold releases (i.e., unignited flammable releases) did not. This gap increases when considering high-pressure cold releases interacting with an obstacle. Being a probable situation when an accidental high-pressure loss of containment occurs, the need of reliable as well as quick tools for prompt safety evaluations of the hazardous area of this kind of scenario is of primary importance. To this aim, the present work proposes such a consequences assessment tool derived from an extensive CFD analysis of several possible situations of a cylindrical obstacle impinged by an unignited high-pressure gaseous methane jet.","container-title":"Journal of Loss Prevention in the Process Industries","DOI":"10.1016/j.jlp.2021.104593","ISSN":"0950-4230","journalAbbreviation":"Journal of Loss Prevention in the Process Industries","page":"104593","source":"ScienceDirect","title":"Unignited high-pressure methane jet impacting a cylindrical obstacle: An assessment tool for consequences analysis","title-short":"Unignited high-pressure methane jet impacting a cylindrical obstacle","volume":"76","author":[{"family":"Colombini","given":"Cristian"},{"family":"Iannantuoni","given":"Clara"},{"family":"Rota","given":"Renato"},{"family":"Busini","given":"Valentina"}],"issued":{"date-parts":[["2022",5,1]]}}},{"id":78,"uris":["http://zotero.org/users/12493459/items/KRF4EM45"],"itemData":{"id":78,"type":"article-journal","abstract":"Although the diffusion of its storage and transport under liquefied conditions, nowadays it is common to have methane in gaseous form in several industrial applications. This leads to safety implications to be considered: hazards are linked to both the high-pressure at which the gas is kept and to its flammability. Scenarios where flammable jets impact an obstacle are of paramount importance because of their possible occurrence. Following a numerical approach, literature shows up that their assessment can be reliably performed by means of only Computational Fluid Dynamics tools. However, despite the improvements of computing power, Computational Fluid Dynamics costs still limit its use in daily risk analysts’ activities. Therefore, considering an accidental jet-obstacle scenario of industrial interest, the present work investigates how a pipe rack can influence the development of a high-pressure methane jet. Based on a Computational Fluid Dynamics analysis, main achievements of this work are a simple criterion able to identify the situations where the pipe rack does not influence the high-pressure methane jet behavior, therefore allowing to identify the scenarios where simpler models can be used (i.e., analytical correlations known for the free jet situation), and, if present, a simple analytical relationship that roughly predicts the influence of the pipe rack without the need of performing complex Computational Fluid Dynamics simulations.","container-title":"Journal of Loss Prevention in the Process Industries","DOI":"10.1016/j.jlp.2020.104378","journalAbbreviation":"Journal of Loss Prevention in the Process Industries","page":"104378","source":"ResearchGate","title":"Unignited High-Pressure Methane Jet Impinging a Pipe Rack: Practical Tools for Risk Assessment","title-short":"Unignited High-Pressure Methane Jet Impinging a Pipe Rack","volume":"69","author":[{"family":"Colombini","given":"Cristian"},{"family":"Maugeri","given":"Giuliana"},{"family":"Zanon","given":"Gianluca"},{"family":"Rota","given":"Renato"},{"family":"Busini","given":"Valentina"}],"issued":{"date-parts":[["2020",12,1]]}}},{"id":63,"uris":["http://zotero.org/users/12493459/items/DSQDAZ6A"],"itemData":{"id":63,"type":"paper-conference","DOI":"10.3850/978-981-11-2724-3_0467-cd","page":"75-82","source":"ResearchGate","title":"High-Pressure Methane Jet: Analysis of the Jet-Obstacle Interaction","title-short":"High-Pressure Methane Jet","author":[{"family":"Colombini","given":"Cristian"},{"family":"Busini","given":"Valentina"}],"issued":{"date-parts":[["2019",1,1]]}}},{"id":552,"uris":["http://zotero.org/users/12493459/items/YRGLZF9E"],"itemData":{"id":552,"type":"article-journal","abstract":"In the industrial safety framework, high-pressure jets involving toxic or flammable substances represent one of the major risks. The presence of one or more obstacles affects the extent of the plume, normally to higher dimensions, which means that an open field modeling would not be conservative and that it is necessary to explicitly consider the obstacles effects. Thus, to study this kind of scenario, only a computational fluid dynamic model allows a complete and proper description of the obstacles influence on the jet behavior.In this work, we deal with a realistic case-study of industrial interest which involves a high-pressure methane jet impinging a nearby cylindrical tank positioned in front of the jet release.The aims of this work are to define the geometrical parameters of the scenario, to quantify their influence on the jet-obstacle interaction, with respect to the free jet case, and then to find which of them are the most relevant. Therefore, the effect of the cylindrical tank on the lower flammability limit area extent is systematically studied using computational fluid dynamics simulations, performed with ANSYS FLUENT.","container-title":"Chemical Engineering Transactions","DOI":"10.3303/CET1977136","ISSN":"2283-9216","language":"en","license":"Copyright (c) 2019 AIDIC Servizi Srl","page":"811-816","source":"www.cetjournal.it","title":"Obstacle Influence on High-Pressure Jets based on Computational Fluid Dynamics Simulations","volume":"77","author":[{"family":"Colombini","given":"Cristian"},{"family":"Busini","given":"Valentina"}],"issued":{"date-parts":[["2019",9,30]]}}},{"id":565,"uris":["http://zotero.org/users/12493459/items/7PTYHHSC"],"itemData":{"id":565,"type":"article-journal","abstract":"Risk-relevant plants like Oil &amp; Gas (O&amp;G) or nuclear ones are subjected to strict safety regulations. Risk Assessment is mandatory for these plants, and the damage quantification is a crucial step which has to be carefully addressed. Nowadays the state of practice for consequences estimation entails the use of semi-empirical methods which permit a fast evaluation of the large number of accidental scenarios needed for a Quantitative Risk Assessment (QRA). However, in case of large and congested industrial environments like offshore platforms or equipment inside nuclear primary containment buildings, the aforementioned methods usually lead to an overestimation of the damage areas, for example because they neglect the space congestion which highly affects the accident evolution. A more accurate analysis can be performed using the Computational Fluid Dynamics (CFD), nonetheless its high computational cost represents an important drawback. In this work a CFD approach, called Source Box Accident Model (SBAM), is presented. It models high-pressure gas releases (&gt;10 bar) in congested environments guaranteeing a good computational cost-accuracy compromise. The aim of SBAM is to permit a fast consequences estimation (evaluation of flammable/toxic areas, etc.) via CFD, in order to have a simulations time compatible with the plants design schedule. The long-term objective is to integrate the CFD contribution in a safety driven design process. SBAM is based on the splitting of the multi-physics and multiscale phenomena characterizing the accident: the initial supersonic compressible release and the successive low speed dispersion. The first one is simulated in a small domain called Source Box (SB) and the second one in the case study domain. The two simulations are coupled in a suitable way, through proper parameters which are extensively discussed. This work presents a detailed description of SBAM and two different analyses: a sensitivity study on the coupling parameters and a numerical benchmark which uses a standard CFD simulation as reference. The sensitivity analysis shows that the coupling is a crucial step of the method and the coupling parameters must be treated in the most accurate way. The numerical benchmark shows that SBAM is not introducing significant errors with respect to a standard CFD simulation and, in addition, permits a relevant simplification in the simulation setup and computational cost reduction.","container-title":"Journal of Loss Prevention in the Process Industries","DOI":"10.1016/j.jlp.2021.104531","ISSN":"0950-4230","journalAbbreviation":"Journal of Loss Prevention in the Process Industries","page":"104531","source":"ScienceDirect","title":"A novel approach to high-pressure gas releases simulations","volume":"72","author":[{"family":"Moscatello","given":"Alberto"},{"family":"Uggenti","given":"Anna Chiara"},{"family":"Gerboni","given":"Raffaella"},{"family":"Carpignano","given":"Andrea"}],"issued":{"date-parts":[["2021",9,1]]}}},{"id":656,"uris":["http://zotero.org/users/12493459/items/RCYDQGK5"],"itemData":{"id":656,"type":"article-journal","abstract":"In the context of the process industry safety, one of the main accidental scenarios is the release of high-pressure gaseous material. Since natural gas is highly flammable, the likelihood of ignition increases as the jet develops, with a maximum area of effect related to its lower flammability limit (LFL). This work aims at simulating and evaluating the interaction between high-pressure natural gas jets and cuboid obstacles, which were selected due to their prevalence in the process industry as storage units or buildings present in industrial parks. The maximum extent of the cloud at the LFL of natural gas is often influenced by the jet-obstacle interactions, necessitating complex numerical methods like computational fluid dynamics (CFD) for accurate estimation. Therefore, this study provides pivotal insights that challenge traditional modelling approaches, like integral ones, offering cost-effective alternatives where needed without compromising on safety. The findings indicate that using a CFD approach is not always necessary, as it largely depends on the storage pressure, diameter size, and the release height of the jet. At storage pressures of 65–130 bar with an orifice diameter of 2.54 cm, and a release height above 2.75 m, simpler methods like integral models are applicable without any substantial reliability loss. This is especially true when the cuboid obstacle is farther away from the release source. At lower release heights, especially if coupled with a larger orifice diameter, the CFD approach should be utilised as jet-cuboid interactions become highly relevant to the development of the jet.","container-title":"Journal of Loss Prevention in the Process Industries","DOI":"10.1016/j.jlp.2024.105416","ISSN":"0950-4230","journalAbbreviation":"Journal of Loss Prevention in the Process Industries","page":"105416","source":"ScienceDirect","title":"Cuboid obstacle influence on high-pressure jet dispersion: A CFD study","title-short":"Cuboid obstacle influence on high-pressure jet dispersion","volume":"91","author":[{"family":"Pinciroli","given":"Alessandro"},{"family":"Ferrario","given":"Fabio"},{"family":"Rubbuano","given":"Laura"},{"family":"Rota","given":"Renato"},{"family":"Busini","given":"Valentina"}],"issued":{"date-parts":[["2024",10,1]]}}},{"id":550,"uris":["http://zotero.org/users/12493459/items/Q5A8FZSA"],"itemData":{"id":550,"type":"article-journal","abstract":"Dispersion of toxic and flammable materials from Chemical industries represents a major issue in Risk Analysis; presently, integral models are generally used to assess dispersion consequences, due to the low CPU and time requirements connected to the use of these tools. Nevertheless, they are mainly developed and tuned for releases in open field (open spaces without relevant obstacles), and therefore they cannot properly account for the geometrical features of the dispersion domain. Computational Fluid Dynamic, on the other hand, allows a full 3D analysis, thus accounting for all the obstacles influence on the flow field, but it involves large computational requirements. In case of gas discharge directed towards nearby large obstacles, an impinged jet is expected: if the jet hits a nearby obstacle, the gas velocity suddenly drops, minimizing the inertial dispersion phase, thus reducing the relevant air entrainment and generally increasing the damages distances. Impinged release models are included in some commercial integral models for consequences assessment even if a clear method to decide when to use them is often missing. T</w:instrText>
      </w:r>
      <w:r w:rsidR="00A5392E" w:rsidRPr="005A17E9">
        <w:rPr>
          <w:lang w:val="it-IT"/>
        </w:rPr>
        <w:instrText xml:space="preserve">he aim of this work is to provide a comparison between the two approaches (CFDs vs. integral tools) in predicting damage thresholds for both impinged and non impinged jets. A realistic case-study of industrial interest was set-up and the fine tuning of all the involved models and parameters (turbulence modeling, geometry description, mesh independence, etc.) was finalized.","container-title":"Chemical Engineering Transactions","DOI":"10.3303/CET1436088","journalAbbreviation":"Chemical Engineering Transactions","page":"523-528","source":"ResearchGate","title":"Effect of Large Obstacles on High Momentum Jets Dispersion","volume":"36","author":[{"family":"Pontiggia","given":"Marco"},{"family":"Busini","given":"V."},{"family":"Ronzoni","given":"M."},{"family":"Uguccioni","given":"Giovanni"},{"family":"Rota","given":"R."}],"issued":{"date-parts":[["2014",1,1]]}}},{"id":108,"uris":["http://zotero.org/users/12493459/items/APB6QHPZ"],"itemData":{"id":108,"type":"paper-conference","DOI":"10.3850/978-981-18-5183-4_R04-03-475","page":"150-157","source":"ResearchGate","title":"High-Pressure Jet and Cylindrical Obstacles in Series; A CFD Study","author":[{"family":"Romano","given":"Giovanni"},{"family":"Tombini","given":"Paolo"},{"family":"Ferrario","given":"Fabio"},{"family":"Mormile","given":"Anna"},{"family":"Busini","given":"Valentina"}],"issued":{"date-parts":[["2022",1,1]]}},"label":"page"}],"schema":"https://github.com/citation-style-language/schema/raw/master/csl-citation.json"} </w:instrText>
      </w:r>
      <w:r w:rsidR="00FB3AC4" w:rsidRPr="001A09F2">
        <w:fldChar w:fldCharType="separate"/>
      </w:r>
      <w:r w:rsidR="00A5392E" w:rsidRPr="005A17E9">
        <w:rPr>
          <w:rFonts w:cs="Arial"/>
          <w:lang w:val="it-IT"/>
        </w:rPr>
        <w:t>(Colombini et al., 2020c, 2022; Colombini and Busini, 2019; Moscatello et al., 2021; Pinciroli et al., 2024;)</w:t>
      </w:r>
      <w:r w:rsidR="00FB3AC4" w:rsidRPr="001A09F2">
        <w:fldChar w:fldCharType="end"/>
      </w:r>
      <w:r w:rsidR="00FB3AC4" w:rsidRPr="005A17E9">
        <w:rPr>
          <w:lang w:val="it-IT"/>
        </w:rPr>
        <w:t xml:space="preserve"> </w:t>
      </w:r>
      <w:r w:rsidRPr="005A17E9">
        <w:rPr>
          <w:lang w:val="it-IT"/>
        </w:rPr>
        <w:t xml:space="preserve">or </w:t>
      </w:r>
      <w:proofErr w:type="spellStart"/>
      <w:r w:rsidRPr="005A17E9">
        <w:rPr>
          <w:lang w:val="it-IT"/>
        </w:rPr>
        <w:t>flat</w:t>
      </w:r>
      <w:proofErr w:type="spellEnd"/>
      <w:r w:rsidRPr="005A17E9">
        <w:rPr>
          <w:lang w:val="it-IT"/>
        </w:rPr>
        <w:t xml:space="preserve"> </w:t>
      </w:r>
      <w:proofErr w:type="spellStart"/>
      <w:r w:rsidRPr="005A17E9">
        <w:rPr>
          <w:lang w:val="it-IT"/>
        </w:rPr>
        <w:t>surfaces</w:t>
      </w:r>
      <w:proofErr w:type="spellEnd"/>
      <w:r w:rsidR="00FB3AC4" w:rsidRPr="005A17E9">
        <w:rPr>
          <w:lang w:val="it-IT"/>
        </w:rPr>
        <w:t xml:space="preserve"> </w:t>
      </w:r>
      <w:r w:rsidR="00FB3AC4" w:rsidRPr="001A09F2">
        <w:fldChar w:fldCharType="begin"/>
      </w:r>
      <w:r w:rsidR="00FB3AC4" w:rsidRPr="005A17E9">
        <w:rPr>
          <w:lang w:val="it-IT"/>
        </w:rPr>
        <w:instrText xml:space="preserve"> ADDIN ZOTERO_ITEM CSL_CITATION {"citationID":"vhZ5PzlN","properties":{"formattedCitation":"(B\\uc0\\u233{}nard et al., 2016; Colombini et al., 2020a, 2020b; Hourri et al., 2009)","plainCitation":"(Bénard et al., 2016; Colombini et al., 2020a, 2020b; Hourri et al., 2009)","noteIndex":0},"citationItems":[{"id":130,"uris":["http://zotero.org/users/12493459/items/HCD2GGB9"],"itemData":{"id":130,"type":"article-journal","abstract":"The effect of an adjacent surface on the lower flammability limit cloud extents of high pressure horizontal and vertical unignited jets of both hydrogen and methane is studied using Computational Fluid Dynamics (CFD) simulations performed with FLACS Hydrogen. Two jet directions (horizontal and vertical) and two surface positions (horizontal or ground, vertical or side wall) were studied: horizontal jets along a horizontal surface, vertical and horizontal jets along a vertical surface or side wall. Results for constant flow rate through a 6.35 mm round leak orifice from 101 bar, 251 bar, 401 bar, 551 bar and 701 bar compressed gas systems are presented. The effect of the surface on the flammable extents is studied systematically by positioning the jet exit release at various distances from the surface ranging from 0.029 m to 10 m. Free jets simulations were performed </w:instrText>
      </w:r>
      <w:r w:rsidR="00FB3AC4" w:rsidRPr="001F0C24">
        <w:rPr>
          <w:lang w:val="it-IT"/>
        </w:rPr>
        <w:instrText xml:space="preserve">for comparison purposes. Our results were quantified by establishing engineering correlations that could be used to predict the flammable extent of hydrogen and </w:instrText>
      </w:r>
      <w:r w:rsidR="00FB3AC4" w:rsidRPr="001A09F2">
        <w:instrText>methane jet releases in the presence of surfaces. These correlations were validated using experiments conducted for horizontal hydrogen jets in the vicinity of horizontal surfaces, carried out at the facilities of Defence Research and Development Canada (DRDC) in Val-Belair, Québec.","container-title":"International Journal of Hydrogen Energy","DOI":"10.1016/j.ijhydene.2016.08.173","ISSN":"0360-3199","issue":"41","journalAbbreviation":"International Journal of Hydrogen Energy","page":"18654-18662","source":"ScienceDirect","title":"Adjacent surface effect on the flammable cloud of hydrogen and methane jets: Numerical investigation and engineering correlations","title-short":"Adjacent surface effect on the flammable cloud of hydrogen and methane jets","volume":"41","author":[{"family":"Bénard","given":"Pierre"},{"family":"Hourri","given":"Ahmed"},{"family":"Angers","given":"Benjamin"},{"family":"Tchouvelev","given":"Andrei"}],"issued":{"date-parts":[["2016",11,2]]}}},{"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id":134,"uris":["http://zotero.org/users/12493459/items/SABW7CTN"],"itemData":{"id":134,"type":"article-journal","abstract":"High-pressure gaseous methane release is a relevant safety-related problem mainly in the Oil and Gas industry. As well documented, the reason for these safety concerns is connected with the severe consequences of the domino effect subsequent to the possible ignition. In risk assessment activities, estimation of the damage area is of primary importance in order to draw up proper safety guidelines. To do this, loss prevention specialists use quick and well-established numerical tools (i.e., integral models) in their daily activities. However, the presence of an obstacle in the flow field of the jet (e.g., the ground) is a more probable situation to deal with. It is known that integral models fail in this kind of scenario, leading to unreliable predictions. Hence, the present work investigates how an industrial ground surface influences the LFL cloud size of a horizontal high-pressure methane jet. An innovative quick procedure is proposed allowing to determine the height below which the ground begins to influence the LFL cloud size and the extent of such influence. Therefore, this procedure allows practitioners to establish when integral models can be used and when not to use them, and also provides a simple and reliable alternative to their use. These analytical instruments are derived from an extensive computational fluid dynamics analysis performed with Ansys Fluent 19.0.","container-title":"Journal of Loss Prevention in the Process Industries","DOI":"10.1016/j.jlp.2020.104240","ISSN":"0950-4230","journalAbbreviation":"Journal of Loss Prevention in the Process Industries","page":"104240","source":"ScienceDirect","title":"Ground influence on high-pressure methane jets: Practical tools for risk assessment","title-short":"Ground influence on high-pressure methane jets","volume":"67","author":[{"family":"Colombini","given":"Cristian"},{"family":"Martani","given":"Andrea"},{"family":"Rota","given":"Renato"},{"family":"Busini","given":"Valentina"}],"issued":{"date-parts":[["2020",9,1]]}}},{"id":137,"uris":["http://zotero.org/users/12493459/items/A7CZYQSX"],"itemData":{"id":137,"type":"article-journal","abstract":"Studies on the effect o</w:instrText>
      </w:r>
      <w:r w:rsidR="00FB3AC4" w:rsidRPr="005A17E9">
        <w:rPr>
          <w:lang w:val="it-IT"/>
        </w:rPr>
        <w:instrText xml:space="preserve">f surfaces on the extent of the flammable cloud of high-pressure horizontal and vertical jets of hydrogen and methane are performed using CFD numerical simulations. For the horizontal jets, two scenarios pertaining to the location of the surface are studied: horizontal surface (the ground), and vertical surface (side wall). For a constant flow rate release, the extent of the flammable cloud is determined as a function of time. Effects of the proximity of the surface on the flammable extent along the axis of the jet and its impact on the maximum extent of the flammable cloud is explored and compared for both hydrogen and methane. The results are also compared to the predictions of the Birch correlations for flammable extents. It is found that the presence of a surface and its proximity to the jet centerline result in a pronounced increase in the extent of the flammable cloud compared to a free jet.","container-title":"International Journal of Hydrogen Energy","DOI":"10.1016/j.ijhydene.2008.11.088","ISSN":"0360-3199","issue":"3","journalAbbreviation":"International Journal of Hydrogen Energy","page":"1569-1577","source":"ScienceDirect","title":"Surface effects on flammable extent of hydrogen and methane jets","volume":"34","author":[{"family":"Hourri","given":"A."},{"family":"Angers","given":"B."},{"family":"Bénard","given":"P."}],"issued":{"date-parts":[["2009",2,1]]}},"label":"page"}],"schema":"https://github.com/citation-style-language/schema/raw/master/csl-citation.json"} </w:instrText>
      </w:r>
      <w:r w:rsidR="00FB3AC4" w:rsidRPr="001A09F2">
        <w:fldChar w:fldCharType="separate"/>
      </w:r>
      <w:r w:rsidR="00FB3AC4" w:rsidRPr="005A17E9">
        <w:rPr>
          <w:rFonts w:cs="Arial"/>
          <w:lang w:val="it-IT"/>
        </w:rPr>
        <w:t>(</w:t>
      </w:r>
      <w:proofErr w:type="spellStart"/>
      <w:r w:rsidR="00FB3AC4" w:rsidRPr="005A17E9">
        <w:rPr>
          <w:rFonts w:cs="Arial"/>
          <w:lang w:val="it-IT"/>
        </w:rPr>
        <w:t>Bénard</w:t>
      </w:r>
      <w:proofErr w:type="spellEnd"/>
      <w:r w:rsidR="00FB3AC4" w:rsidRPr="005A17E9">
        <w:rPr>
          <w:rFonts w:cs="Arial"/>
          <w:lang w:val="it-IT"/>
        </w:rPr>
        <w:t xml:space="preserve"> et al., 2016; Colombini et al., 2020a, 2020b; Hourri et al., 2009)</w:t>
      </w:r>
      <w:r w:rsidR="00FB3AC4" w:rsidRPr="001A09F2">
        <w:fldChar w:fldCharType="end"/>
      </w:r>
      <w:r w:rsidRPr="005A17E9">
        <w:rPr>
          <w:lang w:val="it-IT"/>
        </w:rPr>
        <w:t xml:space="preserve">. </w:t>
      </w:r>
      <w:r w:rsidRPr="001A09F2">
        <w:t xml:space="preserve">In this work, we studied the interaction between the ground and horizontal jets of methane, propane and hydrogen discharged from </w:t>
      </w:r>
      <w:r w:rsidR="00633399">
        <w:t xml:space="preserve">small </w:t>
      </w:r>
      <w:r w:rsidRPr="001A09F2">
        <w:t>orifices with a 1</w:t>
      </w:r>
      <w:r w:rsidR="00662510">
        <w:t>0</w:t>
      </w:r>
      <w:r w:rsidRPr="001A09F2">
        <w:t xml:space="preserve"> mm and 5 mm diameter at various heights from the ground. </w:t>
      </w:r>
      <w:r w:rsidR="001723D3" w:rsidRPr="001723D3">
        <w:t xml:space="preserve">Small orifices are the loss normally considered for a gas distribution line and the aim is to obtain an empirical correlation, dependent on the substance type and the release height, that can predict the maximum jet distance when an interaction between the jet released from a small orifice and a flat horizontal surface happens. In particular, the simulations are aimed </w:t>
      </w:r>
      <w:r w:rsidR="007E0882" w:rsidRPr="001723D3">
        <w:t>at</w:t>
      </w:r>
      <w:r w:rsidR="001723D3" w:rsidRPr="001723D3">
        <w:t xml:space="preserve"> verify whether the dominant phenomenon with small orifice, which must be very close to a wall to be deflected by the Coanda effect, is the Coanda effect itself or vice versa the impingement of the jet due to the natural opening of the jet.</w:t>
      </w:r>
    </w:p>
    <w:p w14:paraId="5741900F" w14:textId="4840FC69" w:rsidR="00453E24" w:rsidRPr="001A09F2" w:rsidRDefault="00A71855" w:rsidP="00453E24">
      <w:pPr>
        <w:pStyle w:val="CETHeading1"/>
      </w:pPr>
      <w:r w:rsidRPr="001A09F2">
        <w:t>Materials and methods</w:t>
      </w:r>
    </w:p>
    <w:p w14:paraId="0636B784" w14:textId="3DD6ED64" w:rsidR="00453E24" w:rsidRPr="001A09F2" w:rsidRDefault="00A71855" w:rsidP="00453E24">
      <w:pPr>
        <w:pStyle w:val="CETheadingx"/>
      </w:pPr>
      <w:r w:rsidRPr="001A09F2">
        <w:t>Software</w:t>
      </w:r>
    </w:p>
    <w:p w14:paraId="235C99EB" w14:textId="479CC0AC" w:rsidR="00A71855" w:rsidRPr="001A09F2" w:rsidRDefault="00A71855" w:rsidP="00A71855">
      <w:pPr>
        <w:pStyle w:val="CETBodytext"/>
      </w:pPr>
      <w:r w:rsidRPr="001A09F2">
        <w:t xml:space="preserve">The software used to perform the simulations, from the geometry definition to the solution, is part of the Ansys package.  Both Ansys Design Modeler and Ansys Mesher were used for domain creation and mesh generation respectively with the parameters reported in the next sections. Finally, the numerical simulations were conducted using Ansys Fluent 21 </w:t>
      </w:r>
      <w:r w:rsidR="00ED661E" w:rsidRPr="001A09F2">
        <w:fldChar w:fldCharType="begin"/>
      </w:r>
      <w:r w:rsidR="00ED661E" w:rsidRPr="001A09F2">
        <w:instrText xml:space="preserve"> ADDIN ZOTERO_ITEM CSL_CITATION {"citationID":"iM06nPsC","properties":{"formattedCitation":"(ANSYS Inc., 2021)","plainCitation":"(ANSYS Inc., 2021)","noteIndex":0},"citationItems":[{"id":567,"uris":["http://zotero.org/users/12493459/items/2RCHXL6Q"],"itemData":{"id":567,"type":"software","event-place":"Canonsburg, PA","publisher":"ANSYS Inc.","publisher-place":"Canonsburg, PA","title":"ANSYS Fluent 21 User's guide","author":[{"literal":"ANSYS Inc."}],"issued":{"date-parts":[["2021"]]}}}],"schema":"https://github.com/citation-style-language/schema/raw/master/csl-citation.json"} </w:instrText>
      </w:r>
      <w:r w:rsidR="00ED661E" w:rsidRPr="001A09F2">
        <w:fldChar w:fldCharType="separate"/>
      </w:r>
      <w:r w:rsidR="00ED661E" w:rsidRPr="001A09F2">
        <w:rPr>
          <w:rFonts w:cs="Arial"/>
        </w:rPr>
        <w:t>(ANSYS Inc., 2021)</w:t>
      </w:r>
      <w:r w:rsidR="00ED661E" w:rsidRPr="001A09F2">
        <w:fldChar w:fldCharType="end"/>
      </w:r>
      <w:r w:rsidRPr="001A09F2">
        <w:t xml:space="preserve"> with steady state conditions. The Workbench environment allowed a parametric study of all the cases described in the results section.</w:t>
      </w:r>
    </w:p>
    <w:p w14:paraId="18BAFA6F" w14:textId="2C04E5B6" w:rsidR="00453E24" w:rsidRPr="001A09F2" w:rsidRDefault="00A71855" w:rsidP="00453E24">
      <w:pPr>
        <w:pStyle w:val="CETheadingx"/>
      </w:pPr>
      <w:r w:rsidRPr="001A09F2">
        <w:t>Pseudo – source</w:t>
      </w:r>
    </w:p>
    <w:p w14:paraId="1657D570" w14:textId="12EF2917" w:rsidR="00A71855" w:rsidRPr="001A09F2" w:rsidRDefault="00A71855" w:rsidP="00A71855">
      <w:pPr>
        <w:pStyle w:val="CETBodytext"/>
      </w:pPr>
      <w:r w:rsidRPr="001A09F2">
        <w:t>A supersonic jet is characterized by complex phenomena during the expanding phase in the vicinity of the release source. This portion of the jet, generally referred to as near field zone, was modelled using the Birch pseudo source approach</w:t>
      </w:r>
      <w:r w:rsidR="00ED661E" w:rsidRPr="001A09F2">
        <w:t xml:space="preserve"> </w:t>
      </w:r>
      <w:r w:rsidR="00ED661E" w:rsidRPr="001A09F2">
        <w:fldChar w:fldCharType="begin"/>
      </w:r>
      <w:r w:rsidR="00ED661E" w:rsidRPr="001A09F2">
        <w:instrText xml:space="preserve"> ADDIN ZOTERO_ITEM CSL_CITATION {"citationID":"qY6ezIz6","properties":{"formattedCitation":"(Birch et al., 1984)","plainCitation":"(Birch et al., 1984)","noteIndex":0},"citationItems":[{"id":12,"uris":["http://zotero.org/users/12493459/items/35HHT5GH"],"itemData":{"id":12,"type":"article-journal","abstract":"The concentration field in compressible sonic jets of natural gas over the pressure range from 2 to 70 bar has been studied using gas chromatography. At these pressures the jet expands immediately downstream of the nozzle in order to equilibriate with ambient conditions. The behaviour of such underexpanded jets is shown to be similar to classical free jets provided that an appropriate scaling factor is employed to describe the effective size of the jet source. This notional source is referred to as the pseudo-diameter and a theroretical analysis for its derivation is presented. The experimental data support this approach, and the decay constants for the jet concentration field agree with previous measurements in incompressible jets. Comparison with results obtained from a high pressure jet of ethylene at 8 bar indicate that the effect of jet fluid density in concentration decay is the same as in classical free jets.","container-title":"Combustion Science and Technology","DOI":"10.1080/00102208408923739","ISSN":"0010-2202","issue":"5-6","note":"publisher: Taylor &amp; Francis\n_eprint: https://doi.org/10.1080/00102208408923739","page":"249-261","source":"Taylor and Francis+NEJM","title":"The Structure and Concentration Decay of High Pressure Jets of Natural Gas","volume":"36","author":[{"family":"Birch","given":"A. D."},{"family":"Brown","given":"D. R."},{"family":"Dodson","given":"M. G."},{"family":"Swaffield","given":"F."}],"issued":{"date-parts":[["1984",4,1]]}}}],"schema":"https://github.com/citation-style-language/schema/raw/master/csl-citation.json"} </w:instrText>
      </w:r>
      <w:r w:rsidR="00ED661E" w:rsidRPr="001A09F2">
        <w:fldChar w:fldCharType="separate"/>
      </w:r>
      <w:r w:rsidR="00ED661E" w:rsidRPr="001A09F2">
        <w:rPr>
          <w:rFonts w:cs="Arial"/>
        </w:rPr>
        <w:t>(Birch et al., 1984)</w:t>
      </w:r>
      <w:r w:rsidR="00ED661E" w:rsidRPr="001A09F2">
        <w:fldChar w:fldCharType="end"/>
      </w:r>
      <w:r w:rsidRPr="001A09F2">
        <w:t xml:space="preserve"> which has been widely used in similar works</w:t>
      </w:r>
      <w:r w:rsidR="00637561" w:rsidRPr="001A09F2">
        <w:t xml:space="preserve"> </w:t>
      </w:r>
      <w:r w:rsidR="00637561" w:rsidRPr="001A09F2">
        <w:fldChar w:fldCharType="begin"/>
      </w:r>
      <w:r w:rsidR="00637561" w:rsidRPr="001A09F2">
        <w:instrText xml:space="preserve"> ADDIN ZOTERO_ITEM CSL_CITATION {"citationID":"CKCF1aAu","properties":{"formattedCitation":"(B\\uc0\\u233{}nard et al., 2016; Colombini et al., 2022a, 2022b, 2020a, 2020b; Colombini and Busini, 2019a, 2019b; Romano et al., 2022)","plainCitation":"(Bénard et al., 2016; Colombini et al., 2022a, 2022b, 2020a, 2020b; Colombini and Busini, 2019a, 2019b; Romano et al., 2022)","noteIndex":0},"citationItems":[{"id":130,"uris":["http://zotero.org/users/12493459/items/HCD2GGB9"],"itemData":{"id":130,"type":"article-journal","abstract":"The effect of an adjacent surface on the lower flammability limit cloud extents of high pressure horizontal and vertical unignited jets of both hydrogen and methane is studied using Computational Fluid Dynamics (CFD) simulations performed with FLACS Hydrogen. Two jet directions (horizontal and vertical) and two surface positions (horizontal or ground, vertical or side wall) were studied: horizontal jets along a horizontal surface, vertical and horizontal jets along a vertical surface or side wall. Results for constant flow rate through a 6.35 mm round leak orifice from 101 bar, 251 bar, 401 bar, 551 bar and 701 bar compressed gas systems are presented. The effect of the surface on the flammable extents is studied systematically by positioning the jet exit release at various distances from the surface ranging from 0.029 m to 10 m. Free jets simulations were performed for comparison purposes. Our results were quantified by establishing engineering correlations that could be used to predict the flammable extent of hydrogen and methane jet releases in the presence of surfaces. These correlations were validated using experiments conducted for horizontal hydrogen jets in the vicinity of horizontal surfaces, carried out at the facilities of Defence Research and Development Canada (DRDC) in Val-Belair, Québec.","container-title":"International Journal of Hydrogen Energy","DOI":"10.1016/j.ijhydene.2016.08.173","ISSN":"0360-3199","issue":"41","journalAbbreviation":"International Journal of Hydrogen Energy","page":"18654-18662","source":"ScienceDirect","title":"Adjacent surface effect on the flammable cloud of hydrogen and methane jets: Numerical investigation and engineering correlations","title-short":"Adjacent surface effect on the flammable cloud of hydrogen and methane jets","volume":"41","author":[{"family":"Bénard","given":"Pierre"},{"family":"Hourri","given":"Ahmed"},{"family":"Angers","given":"Benjamin"},{"family":"Tchouvelev","given":"Andrei"}],"issued":{"date-parts":[["2016",11,2]]}}},{"id":2,"uris":["http://zotero.org/users/12493459/items/ZP79FT5K"],"itemData":{"id":2,"type":"article-journal","abstract":"Nowadays methane is a fossil fuel widely used both in industries and in civil appliances. From the safety point of view, due to its flammability, its use implies hazards for people and assets. The hazardous area related to a high-pressure jet of methane arising from an accidental loss of containment requires the estimation of the distance at which the methane concentration falls below the Lower Flammability limit. Such a topic is well covered in the literature when considering free jet conditions, i.e., jets that do not interact with any equipment or surface. The same cannot be said for high pressure jets impacting an obstacle. In this context, the present work focuses on studying high pressure methane jets impacting spherical obstacles by means of Computational Fluid Dynamics with the aim of giving some insights about such a jet-obstacle interaction, possibly providing a brief by-hand procedure that, only based on known scenario information, allows to estimate the maximum extent of the unignited high-pressure jet when interacting with a spherical obstacle.","container-title":"Journal of Loss Prevention in the Process Industries","DOI":"10.1016/j.jlp.2021.104631","ISSN":"0950-4230","journalAbbreviation":"Journal of Loss Prevention in the Process Industries","page":"104631","source":"ScienceDirect","title":"Safety evaluations on unignited high-pressure methane jets impacting a spherical obstacle","volume":"74","author":[{"family":"Colombini","given":"Cristian"},{"family":"Carminati","given":"Edoardo"},{"family":"Parisi","given":"Andrea"},{"family":"Rota","given":"Renato"},{"family":"Busini","given":"Valentina"}],"issued":{"date-parts":[["2022",1,1]]}}},{"id":72,"uris":["http://zotero.org/users/12493459/items/6G3SUZQ9"],"itemData":{"id":72,"type":"article-journal","abstract":"In the Oil &amp; Gas sector, the use of flammable substances stored and transported in gaseous form and under pressure conditions is quite common. In the field of industrial safety, high-pressure gaseous releases of a flammable material impacting an obstacle are of paramount importance, as possible accidental scenarios, due to their catastrophic consequences. Although hot release (i.e., jet fire scenarios) is a topic that has been largely covered in literature, cold releases (i.e., unignited flammable releases) did not. This gap increases when considering high-pressure cold releases interacting with an obstacle. Being a probable situation when an accidental high-pressure loss of containment occurs, the need of reliable as well as quick tools for prompt safety evaluations of the hazardous area of this kind of scenario is of primary importance. To this aim, the present work proposes such a consequences assessment tool derived from an extensive CFD analysis of several possible situations of a cylindrical obstacle impinged by an unignited high-pressure gaseous methane jet.","container-title":"Journal of Loss Prevention in the Process Industries","DOI":"10.1016/j.jlp.2021.104593","ISSN":"0950-4230","journalAbbreviation":"Journal of Loss Prevention in the Process Industries","page":"104593","source":"ScienceDirect","title":"Unignited high-pressure methane jet impacting a cylindrical obstacle: An assessment tool for consequences analysis","title-short":"Unignited high-pressure methane jet impacting a cylindrical obstacle","volume":"76","author":[{"family":"Colombini","given":"Cristian"},{"family":"Iannantuoni","given":"Clara"},{"family":"Rota","given":"Renato"},{"family":"Busini","given":"Valentina"}],"issued":{"date-parts":[["2022",5,1]]}}},{"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id":134,"uris":["http://zotero.org/users/12493459/items/SABW7CTN"],"itemData":{"id":134,"type":"article-journal","abstract":"High-pressure gaseous methane release is a relevant safety-related problem mainly in the Oil and Gas industry. As well documented, the reason for these safety concerns is connected with the severe consequences of the domino effect subsequent to the possible ignition. In risk assessment activities, estimation of the damage area is of primary importance in order to draw up proper safety guidelines. To do this, loss prevention specialists use quick and well-established numerical tools (i.e., integral models) in their daily activities. However, the presence of an obstacle in the flow field of the jet (e.g., the ground) is a more probable situation to deal with. It is known that integral models fail in this kind of scenario, leading to unreliable predictions. Hence, the present work investigates how an industrial ground surface influences the LFL cloud size of a horizontal high-pressure methane jet. An innovative quick procedure is proposed allowing to determine the height below which the ground begins to influence the LFL cloud size and the extent of such influence. Therefore, this procedure allows practitioners to establish when integral models can be used and when not to use them, and also provides a simple and reliable alternative to their use. These analytical instruments are derived from an extensive computational fluid dynamics analysis performed with Ansys Fluent 19.0.","container-title":"Journal of Loss Prevention in the Process Industries","DOI":"10.1016/j.jlp.2020.104240","ISSN":"0950-4230","journalAbbreviation":"Journal of Loss Prevention in the Process Industries","page":"104240","source":"ScienceDirect","title":"Ground influence on high-pressure methane jets: Practical tools for risk assessment","title-short":"Ground influence on high-pressure methane jets","volume":"67","author":[{"family":"Colombini","given":"Cristian"},{"family":"Martani","given":"Andrea"},{"family":"Rota","given":"Renato"},{"family":"Busini","given":"Valentina"}],"issued":{"date-parts":[["2020",9,1]]}}},{"id":63,"uris":["http://zotero.org/users/12493459/items/DSQDAZ6A"],"itemData":{"id":63,"type":"paper-conference","DOI":"10.3850/978-981-11-2724-3_0467-cd","page":"75-82","source":"ResearchGate","title":"High-Pressure Methane Jet: Analysis of the Jet-Obstacle Interaction","title-short":"High-Pressure Methane Jet","author":[{"family":"Colombini","given":"Cristian"},{"family":"Busini","given":"Valentina"}],"issued":{"date-parts":[["2019",1,1]]}}},{"id":552,"uris":["http://zotero.org/users/12493459/items/YRGLZF9E"],"itemData":{"id":552,"type":"article-journal","abstract":"In the industrial safety framework, high-pressure jets involving toxic or flammable substances represent one of the major risks. The presence of one or more obstacles affects the extent of the plume, normally to higher dimensions, which means that an open field modeling would not be conservative and that it is necessary to explicitly consider the obstacles effects. Thus, to study this kind of scenario, only a computational fluid dynamic model allows a complete and proper description of the obstacles influence on the jet behavior.In this work, we deal with a realistic case-study of industrial interest which involves a high-pressure methane jet impinging a nearby cylindrical tank positioned in front of the jet release</w:instrText>
      </w:r>
      <w:r w:rsidR="00637561" w:rsidRPr="005A17E9">
        <w:rPr>
          <w:lang w:val="it-IT"/>
        </w:rPr>
        <w:instrText xml:space="preserve">.The aims of this work are to define the geometrical parameters of the scenario, to quantify their influence on the jet-obstacle interaction, with respect to the free jet case, and then to find which of them are the most relevant. Therefore, the effect of the cylindrical tank on the lower flammability limit area extent is systematically studied using computational fluid dynamics simulations, performed with ANSYS FLUENT.","container-title":"Chemical Engineering Transactions","DOI":"10.3303/CET1977136","ISSN":"2283-9216","language":"en","license":"Copyright (c) 2019 AIDIC Servizi Srl","page":"811-816","source":"www.cetjournal.it","title":"Obstacle Influence on High-Pressure Jets based on Computational Fluid Dynamics Simulations","volume":"77","author":[{"family":"Colombini","given":"Cristian"},{"family":"Busini","given":"Valentina"}],"issued":{"date-parts":[["2019",9,30]]}}},{"id":108,"uris":["http://zotero.org/users/12493459/items/APB6QHPZ"],"itemData":{"id":108,"type":"paper-conference","DOI":"10.3850/978-981-18-5183-4_R04-03-475","page":"150-157","source":"ResearchGate","title":"High-Pressure Jet and Cylindrical Obstacles in Series; A CFD Study","author":[{"family":"Romano","given":"Giovanni"},{"family":"Tombini","given":"Paolo"},{"family":"Ferrario","given":"Fabio"},{"family":"Mormile","given":"Anna"},{"family":"Busini","given":"Valentina"}],"issued":{"date-parts":[["2022",1,1]]}}}],"schema":"https://github.com/citation-style-language/schema/raw/master/csl-citation.json"} </w:instrText>
      </w:r>
      <w:r w:rsidR="00637561" w:rsidRPr="001A09F2">
        <w:fldChar w:fldCharType="separate"/>
      </w:r>
      <w:r w:rsidR="00637561" w:rsidRPr="005A17E9">
        <w:rPr>
          <w:rFonts w:cs="Arial"/>
          <w:lang w:val="it-IT"/>
        </w:rPr>
        <w:t>(Bénard et al., 2016; Colombini et al., 2022, 2020a, 2020b; Colombini and Busini, 2019;)</w:t>
      </w:r>
      <w:r w:rsidR="00637561" w:rsidRPr="001A09F2">
        <w:fldChar w:fldCharType="end"/>
      </w:r>
      <w:r w:rsidR="003B219B" w:rsidRPr="005A17E9">
        <w:rPr>
          <w:lang w:val="it-IT"/>
        </w:rPr>
        <w:t>.</w:t>
      </w:r>
      <w:r w:rsidRPr="005A17E9">
        <w:rPr>
          <w:lang w:val="it-IT"/>
        </w:rPr>
        <w:t xml:space="preserve"> </w:t>
      </w:r>
      <w:r w:rsidRPr="001A09F2">
        <w:t>The aim of this method is to avoid the numerical simulation of the near field zone which would be computationally expensive, keeping the reliability of the results with an overall lower simulation time.</w:t>
      </w:r>
    </w:p>
    <w:p w14:paraId="4D6F41A0" w14:textId="40A8A8D1" w:rsidR="00A71855" w:rsidRPr="001A09F2" w:rsidRDefault="00410955" w:rsidP="00A71855">
      <w:pPr>
        <w:pStyle w:val="CETheadingx"/>
      </w:pPr>
      <w:r w:rsidRPr="001A09F2">
        <w:t xml:space="preserve">Wind profile </w:t>
      </w:r>
    </w:p>
    <w:p w14:paraId="24AE7E09" w14:textId="0F199B7B" w:rsidR="00410955" w:rsidRPr="001A09F2" w:rsidRDefault="00410955" w:rsidP="00410955">
      <w:pPr>
        <w:pStyle w:val="CETBodytext"/>
      </w:pPr>
      <w:r w:rsidRPr="001A09F2">
        <w:t xml:space="preserve">To achieve realistic outdoor scenario conditions, this work was modelled using the 5D atmospheric stability class with the same flow direction as the jet. Even though the release is under sonic conditions, the wind presence is a valid assumption since it could elongate the maximum extent of the LFL cloud. To input the wind velocity to the domain the power law reported in eq. 1 was used and implemented in the software with a user defined function: </w:t>
      </w:r>
    </w:p>
    <w:p w14:paraId="438E828A" w14:textId="1C8A01EB" w:rsidR="00410955" w:rsidRPr="001A09F2" w:rsidRDefault="007E0882" w:rsidP="00410955">
      <w:pPr>
        <w:pStyle w:val="CETBodytext"/>
      </w:pPr>
      <m:oMathPara>
        <m:oMath>
          <m:eqArr>
            <m:eqArrPr>
              <m:maxDist m:val="1"/>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ref</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10</m:t>
                              </m:r>
                            </m:den>
                          </m:f>
                        </m:e>
                      </m:d>
                    </m:e>
                    <m:sup>
                      <m:r>
                        <w:rPr>
                          <w:rFonts w:ascii="Cambria Math" w:hAnsi="Cambria Math"/>
                        </w:rPr>
                        <m:t>β</m:t>
                      </m:r>
                    </m:sup>
                  </m:sSup>
                  <m:r>
                    <w:rPr>
                      <w:rFonts w:ascii="Cambria Math" w:hAnsi="Cambria Math"/>
                    </w:rPr>
                    <m:t xml:space="preserve"> ##########</m:t>
                  </m:r>
                </m:e>
              </m:eqArr>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41DEBDDA" w14:textId="77777777" w:rsidR="00410955" w:rsidRPr="001A09F2" w:rsidRDefault="00410955" w:rsidP="00410955">
      <w:pPr>
        <w:pStyle w:val="CETBodytext"/>
      </w:pPr>
    </w:p>
    <w:p w14:paraId="33C956C7" w14:textId="4E12ED94" w:rsidR="00410955" w:rsidRPr="001A09F2" w:rsidRDefault="00410955" w:rsidP="00410955">
      <w:pPr>
        <w:pStyle w:val="CETBodytext"/>
      </w:pPr>
      <w:r w:rsidRPr="001A09F2">
        <w:t>Where:</w:t>
      </w:r>
    </w:p>
    <w:p w14:paraId="41FE1492" w14:textId="51FB2631" w:rsidR="00410955" w:rsidRPr="001A09F2" w:rsidRDefault="007E0882" w:rsidP="00410955">
      <w:pPr>
        <w:pStyle w:val="CETBodytext"/>
        <w:numPr>
          <w:ilvl w:val="0"/>
          <w:numId w:val="25"/>
        </w:numPr>
      </w:pPr>
      <m:oMath>
        <m:sSub>
          <m:sSubPr>
            <m:ctrlPr>
              <w:rPr>
                <w:rFonts w:ascii="Cambria Math" w:hAnsi="Cambria Math"/>
                <w:i/>
              </w:rPr>
            </m:ctrlPr>
          </m:sSubPr>
          <m:e>
            <m:r>
              <w:rPr>
                <w:rFonts w:ascii="Cambria Math" w:hAnsi="Cambria Math"/>
              </w:rPr>
              <m:t>u</m:t>
            </m:r>
          </m:e>
          <m:sub>
            <m:r>
              <w:rPr>
                <w:rFonts w:ascii="Cambria Math" w:hAnsi="Cambria Math"/>
              </w:rPr>
              <m:t>ref</m:t>
            </m:r>
          </m:sub>
        </m:sSub>
      </m:oMath>
      <w:r w:rsidR="00410955" w:rsidRPr="001A09F2">
        <w:t xml:space="preserve"> is the wind velocity at 10 m above ground</w:t>
      </w:r>
    </w:p>
    <w:p w14:paraId="4B67F30A" w14:textId="3374F375" w:rsidR="00410955" w:rsidRPr="001A09F2" w:rsidRDefault="00410955" w:rsidP="00410955">
      <w:pPr>
        <w:pStyle w:val="CETBodytext"/>
        <w:numPr>
          <w:ilvl w:val="0"/>
          <w:numId w:val="25"/>
        </w:numPr>
      </w:pPr>
      <w:r w:rsidRPr="001A09F2">
        <w:t>y is the height above the ground</w:t>
      </w:r>
    </w:p>
    <w:p w14:paraId="292E3653" w14:textId="35F18F77" w:rsidR="00410955" w:rsidRPr="001A09F2" w:rsidRDefault="00410955" w:rsidP="00410955">
      <w:pPr>
        <w:pStyle w:val="CETBodytext"/>
        <w:numPr>
          <w:ilvl w:val="0"/>
          <w:numId w:val="25"/>
        </w:numPr>
      </w:pPr>
      <m:oMath>
        <m:r>
          <w:rPr>
            <w:rFonts w:ascii="Cambria Math" w:hAnsi="Cambria Math"/>
          </w:rPr>
          <m:t>β=0.25</m:t>
        </m:r>
      </m:oMath>
      <w:r w:rsidRPr="001A09F2">
        <w:t xml:space="preserve"> is a factor that accounts for atmospheric stability and the type of ground surface (Crowl and Louvar, 2019).</w:t>
      </w:r>
    </w:p>
    <w:p w14:paraId="377E3771" w14:textId="36B0D836" w:rsidR="00410955" w:rsidRPr="001A09F2" w:rsidRDefault="00410955" w:rsidP="00410955">
      <w:pPr>
        <w:pStyle w:val="CETheadingx"/>
      </w:pPr>
      <w:r w:rsidRPr="001A09F2">
        <w:t>Computational domain</w:t>
      </w:r>
    </w:p>
    <w:p w14:paraId="66E3449B" w14:textId="380BC3B3" w:rsidR="006209CC" w:rsidRPr="001A09F2" w:rsidRDefault="006209CC" w:rsidP="006209CC">
      <w:pPr>
        <w:pStyle w:val="CETBodytext"/>
        <w:rPr>
          <w:noProof/>
        </w:rPr>
      </w:pPr>
      <w:r w:rsidRPr="001A09F2">
        <w:t xml:space="preserve">The computational domain was designed to guarantee reliable results while minimizing simulation times. Therefore, a similar approach as </w:t>
      </w:r>
      <w:r w:rsidRPr="001A09F2">
        <w:fldChar w:fldCharType="begin"/>
      </w:r>
      <w:r w:rsidRPr="001A09F2">
        <w:instrText xml:space="preserve"> ADDIN ZOTERO_ITEM CSL_CITATION {"citationID":"Rp8hWQDk","properties":{"formattedCitation":"(Hourri et al., 2009)","plainCitation":"(Hourri et al., 2009)","noteIndex":0},"citationItems":[{"id":137,"uris":["http://zotero.org/users/12493459/items/A7CZYQSX"],"itemData":{"id":137,"type":"article-journal","abstract":"Studies on the effect of surfaces on the extent of the flammable cloud of high-pressure horizontal and vertical jets of hydrogen and methane are performed using CFD numerical simulations. For the horizontal jets, two scenarios pertaining to the location of the surface are studied: horizontal surface (the ground), and vertical surface (side wall). For a constant flow rate release, the extent of the flammable cloud is determined as a function of time. Effects of the proximity of the surface on the flammable extent along the axis of the jet and its impact on the maximum extent of the flammable cloud is explored and compared for both hydrogen and methane. The results are also compared to the predictions of the Birch correlations for flammable extents. It is found that the presence of a surface and its proximity to the jet centerline result in a pronounced increase in the extent of the flammable cloud compared to a free jet.","container-title":"International Journal of Hydrogen Energy","DOI":"10.1016/j.ijhydene.2008.11.088","ISSN":"0360-3199","issue":"3","journalAbbreviation":"International Journal of Hydrogen Energy","page":"1569-1577","source":"ScienceDirect","title":"Surface effects on flammable extent of hydrogen and methane jets","volume":"34","author":[{"family":"Hourri","given":"A."},{"family":"Angers","given":"B."},{"family":"Bénard","given":"P."}],"issued":{"date-parts":[["2009",2,1]]}}}],"schema":"https://github.com/citation-style-language/schema/raw/master/csl-citation.json"} </w:instrText>
      </w:r>
      <w:r w:rsidRPr="001A09F2">
        <w:fldChar w:fldCharType="separate"/>
      </w:r>
      <w:r w:rsidRPr="001A09F2">
        <w:rPr>
          <w:rFonts w:ascii="Aptos" w:hAnsi="Aptos"/>
        </w:rPr>
        <w:t>(Hourri et al., 2009)</w:t>
      </w:r>
      <w:r w:rsidRPr="001A09F2">
        <w:fldChar w:fldCharType="end"/>
      </w:r>
      <w:r w:rsidRPr="001A09F2">
        <w:t xml:space="preserve"> and </w:t>
      </w:r>
      <w:r w:rsidRPr="001A09F2">
        <w:fldChar w:fldCharType="begin"/>
      </w:r>
      <w:r w:rsidRPr="001A09F2">
        <w:instrText xml:space="preserve"> ADDIN ZOTERO_ITEM CSL_CITATION {"citationID":"ILWfotGH","properties":{"formattedCitation":"(B\\uc0\\u233{}nard et al., 2016)","plainCitation":"(Bénard et al., 2016)","noteIndex":0},"citationItems":[{"id":130,"uris":["http://zotero.org/users/12493459/items/HCD2GGB9"],"itemData":{"id":130,"type":"article-journal","abstract":"The effect of an adjacent surface on the lower flammability limit cloud extents of high pressure horizontal and vertical unignited jets of both hydrogen and methane is studied using Computational Fluid Dynamics (CFD) simulations performed with FLACS Hydrogen. Two jet directions (horizontal and vertical) and two surface positions (horizontal or ground, vertical or side wall) were studied: horizontal jets along a horizontal surface, vertical and horizontal jets along a vertical surface or side wall. Results for constant flow rate through a 6.35 mm round leak orifice from 101 bar, 251 bar, 401 bar, 551 bar and 701 bar compressed gas systems are presented. The effect of the surface on the flammable extents is studied systematically by positioning the jet exit release at various distances from the surface ranging from 0.029 m to 10 m. Free jets simulations were performed for comparison purposes. Our results were quantified by establishing engineering correlations that could be used to predict the flammable extent of hydrogen and methane jet releases in the presence of surfaces. These correlations were validated using experiments conducted for horizontal hydrogen jets in the vicinity of horizontal surfaces, carried out at the facilities of Defence Research and Development Canada (DRDC) in Val-Belair, Québec.","container-title":"International Journal of Hydrogen Energy","DOI":"10.1016/j.ijhydene.2016.08.173","ISSN":"0360-3199","issue":"41","journalAbbreviation":"International Journal of Hydrogen Energy","page":"18654-18662","source":"ScienceDirect","title":"Adjacent surface effect on the flammable cloud of hydrogen and methane jets: Numerical investigation and engineering correlations","title-short":"Adjacent surface effect on the flammable cloud of hydrogen and methane jets","volume":"41","author":[{"family":"Bénard","given":"Pierre"},{"family":"Hourri","given":"Ahmed"},{"family":"Angers","given":"Benjamin"},{"family":"Tchouvelev","given":"Andrei"}],"issued":{"date-parts":[["2016",11,2]]}}}],"schema":"https://github.com/citation-style-language/schema/raw/master/csl-citation.json"} </w:instrText>
      </w:r>
      <w:r w:rsidRPr="001A09F2">
        <w:fldChar w:fldCharType="separate"/>
      </w:r>
      <w:r w:rsidRPr="001A09F2">
        <w:rPr>
          <w:rFonts w:ascii="Aptos" w:hAnsi="Aptos"/>
        </w:rPr>
        <w:t>(Bénard et al., 2016)</w:t>
      </w:r>
      <w:r w:rsidRPr="001A09F2">
        <w:fldChar w:fldCharType="end"/>
      </w:r>
      <w:r w:rsidRPr="001A09F2">
        <w:t xml:space="preserve"> was used to define the overall dimensions, following the theory discussed in </w:t>
      </w:r>
      <w:r w:rsidRPr="001A09F2">
        <w:fldChar w:fldCharType="begin"/>
      </w:r>
      <w:r w:rsidRPr="001A09F2">
        <w:instrText xml:space="preserve"> ADDIN ZOTERO_ITEM CSL_CITATION {"citationID":"UQ6AdiHb","properties":{"formattedCitation":"(Franke and Baklanov, 2007)","plainCitation":"(Franke and Baklanov, 2007)","noteIndex":0},"citationItems":[{"id":84,"uris":["http://zotero.org/users/12493459/items/T2MMEJ5P"],"itemData":{"id":84,"type":"book","source":"ResearchGate","title":"Best Practice Guideline for the CFD Simulation of Flows in the Urban Environment: COST Action 732 Quality Assurance and Improvement of Microscale Meteorological Models","title-short":"Best Practice Guideline for the CFD Simulation of Flows in the Urban Environment","author":[{"family":"Franke","given":"Jörg"},{"family":"Baklanov","given":"Alexander"}],"issued":{"date-parts":[["2007",1,1]]}}}],"schema":"https://github.com/citation-style-language/schema/raw/master/csl-citation.json"} </w:instrText>
      </w:r>
      <w:r w:rsidRPr="001A09F2">
        <w:fldChar w:fldCharType="separate"/>
      </w:r>
      <w:r w:rsidRPr="001A09F2">
        <w:rPr>
          <w:rFonts w:ascii="Aptos" w:hAnsi="Aptos"/>
        </w:rPr>
        <w:t>(Franke and Baklanov, 2007)</w:t>
      </w:r>
      <w:r w:rsidRPr="001A09F2">
        <w:fldChar w:fldCharType="end"/>
      </w:r>
      <w:r w:rsidRPr="001A09F2">
        <w:t xml:space="preserve">. Hence, the domain consists of a rectangular box 20 m </w:t>
      </w:r>
      <w:r w:rsidR="0044462F" w:rsidRPr="001A09F2">
        <w:t>wide,</w:t>
      </w:r>
      <w:r w:rsidRPr="001A09F2">
        <w:t xml:space="preserve"> and 100 m long as shown in </w:t>
      </w:r>
      <w:fldSimple w:instr=" REF _Ref171602361  \* MERGEFORMAT ">
        <w:r w:rsidR="00094DCF" w:rsidRPr="001A09F2">
          <w:rPr>
            <w:noProof/>
          </w:rPr>
          <w:t>Figure</w:t>
        </w:r>
        <w:r w:rsidR="00094DCF" w:rsidRPr="001A09F2">
          <w:t xml:space="preserve"> </w:t>
        </w:r>
        <w:r w:rsidR="00094DCF">
          <w:rPr>
            <w:noProof/>
          </w:rPr>
          <w:t>1</w:t>
        </w:r>
      </w:fldSimple>
      <w:r w:rsidRPr="001A09F2">
        <w:t>. The total height is 15 m for methane and propane and 50 m for hydrogen releases due to its natural buoyancy. The pseudo source is positioned on the front face of a 7</w:t>
      </w:r>
      <w:r w:rsidR="00FF0684">
        <w:t xml:space="preserve"> </w:t>
      </w:r>
      <w:r w:rsidRPr="001A09F2">
        <w:t>m nozzle to ensure enough separation from the domain inlet to avoid boundary effects</w:t>
      </w:r>
      <w:r w:rsidR="0030379E">
        <w:t xml:space="preserve"> (i.e., convergence problems related to the high velocity gradient between the wind inlet and the jet inlet)</w:t>
      </w:r>
      <w:r w:rsidRPr="001A09F2">
        <w:t>. The release height from the ground is not constant as it is defined by the case study.</w:t>
      </w:r>
      <w:r w:rsidR="000E45E8">
        <w:t xml:space="preserve"> Domain boundaries</w:t>
      </w:r>
      <w:r w:rsidR="005B440F">
        <w:t xml:space="preserve"> showed in </w:t>
      </w:r>
      <w:r w:rsidR="005B440F">
        <w:fldChar w:fldCharType="begin"/>
      </w:r>
      <w:r w:rsidR="005B440F">
        <w:instrText xml:space="preserve"> REF _Ref184863852 \h </w:instrText>
      </w:r>
      <w:r w:rsidR="005B440F">
        <w:fldChar w:fldCharType="separate"/>
      </w:r>
      <w:r w:rsidR="00094DCF" w:rsidRPr="001A09F2">
        <w:t xml:space="preserve">Figure </w:t>
      </w:r>
      <w:r w:rsidR="00094DCF">
        <w:rPr>
          <w:noProof/>
        </w:rPr>
        <w:t>1</w:t>
      </w:r>
      <w:r w:rsidR="005B440F">
        <w:fldChar w:fldCharType="end"/>
      </w:r>
      <w:r w:rsidR="000E45E8">
        <w:t xml:space="preserve"> are defined as velocity inlets</w:t>
      </w:r>
      <w:r w:rsidR="00096871">
        <w:t xml:space="preserve"> for the wind</w:t>
      </w:r>
      <w:r w:rsidR="000E45E8">
        <w:t xml:space="preserve">, </w:t>
      </w:r>
      <w:r w:rsidR="00096871">
        <w:t xml:space="preserve">pressure outlet on the face opposite to the </w:t>
      </w:r>
      <w:r w:rsidR="005B440F">
        <w:t>jet inlet</w:t>
      </w:r>
      <w:r w:rsidR="00096871">
        <w:t xml:space="preserve">, wall for the ground and a symmetry </w:t>
      </w:r>
      <w:r w:rsidR="002F5DE1">
        <w:t xml:space="preserve">plane </w:t>
      </w:r>
      <w:r w:rsidR="00096871">
        <w:t xml:space="preserve">which </w:t>
      </w:r>
      <w:r w:rsidR="00206C50">
        <w:t>let</w:t>
      </w:r>
      <w:r w:rsidR="00096871">
        <w:t>s to hal</w:t>
      </w:r>
      <w:r w:rsidR="007F07B1">
        <w:t>ve</w:t>
      </w:r>
      <w:r w:rsidR="00096871">
        <w:t xml:space="preserve"> the computational cost of the simulations. </w:t>
      </w:r>
    </w:p>
    <w:p w14:paraId="37CBD14A" w14:textId="77777777" w:rsidR="006209CC" w:rsidRPr="001A09F2" w:rsidRDefault="006209CC" w:rsidP="006209CC">
      <w:pPr>
        <w:pStyle w:val="Paragrafoelenco"/>
        <w:ind w:left="0"/>
        <w:rPr>
          <w:lang w:val="en-US"/>
        </w:rPr>
      </w:pPr>
    </w:p>
    <w:p w14:paraId="26C6C5AF" w14:textId="12DD091D" w:rsidR="00696D13" w:rsidRPr="002F5DE1" w:rsidRDefault="00696D13" w:rsidP="006209CC">
      <w:pPr>
        <w:jc w:val="center"/>
        <w:rPr>
          <w:noProof/>
          <w:lang w:val="en-US" w:eastAsia="it-IT"/>
        </w:rPr>
      </w:pPr>
      <w:bookmarkStart w:id="1" w:name="_Ref171602361"/>
    </w:p>
    <w:tbl>
      <w:tblPr>
        <w:tblStyle w:val="Grigliatabella"/>
        <w:tblW w:w="0" w:type="auto"/>
        <w:tblLook w:val="04A0" w:firstRow="1" w:lastRow="0" w:firstColumn="1" w:lastColumn="0" w:noHBand="0" w:noVBand="1"/>
      </w:tblPr>
      <w:tblGrid>
        <w:gridCol w:w="4332"/>
        <w:gridCol w:w="4445"/>
      </w:tblGrid>
      <w:tr w:rsidR="00696D13" w14:paraId="1EE89142" w14:textId="77777777" w:rsidTr="00394BDB">
        <w:tc>
          <w:tcPr>
            <w:tcW w:w="4271" w:type="dxa"/>
          </w:tcPr>
          <w:p w14:paraId="1D4A2F6E" w14:textId="57E97051" w:rsidR="00696D13" w:rsidRDefault="00541682" w:rsidP="006209CC">
            <w:pPr>
              <w:jc w:val="center"/>
              <w:rPr>
                <w:lang w:val="en-US"/>
              </w:rPr>
            </w:pPr>
            <w:r w:rsidRPr="00541682">
              <w:rPr>
                <w:noProof/>
                <w:lang w:val="en-US"/>
              </w:rPr>
              <w:lastRenderedPageBreak/>
              <w:drawing>
                <wp:inline distT="0" distB="0" distL="0" distR="0" wp14:anchorId="3186A865" wp14:editId="03E6F269">
                  <wp:extent cx="2651682" cy="2017230"/>
                  <wp:effectExtent l="0" t="0" r="0" b="2540"/>
                  <wp:docPr id="9525734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73442" name="Immagine 1"/>
                          <pic:cNvPicPr/>
                        </pic:nvPicPr>
                        <pic:blipFill>
                          <a:blip r:embed="rId14">
                            <a:extLst>
                              <a:ext uri="{96DAC541-7B7A-43D3-8B79-37D633B846F1}">
                                <asvg:svgBlip xmlns:asvg="http://schemas.microsoft.com/office/drawing/2016/SVG/main" r:embed="rId15"/>
                              </a:ext>
                            </a:extLst>
                          </a:blip>
                          <a:stretch>
                            <a:fillRect/>
                          </a:stretch>
                        </pic:blipFill>
                        <pic:spPr>
                          <a:xfrm>
                            <a:off x="0" y="0"/>
                            <a:ext cx="2651682" cy="2017230"/>
                          </a:xfrm>
                          <a:prstGeom prst="rect">
                            <a:avLst/>
                          </a:prstGeom>
                        </pic:spPr>
                      </pic:pic>
                    </a:graphicData>
                  </a:graphic>
                </wp:inline>
              </w:drawing>
            </w:r>
          </w:p>
        </w:tc>
        <w:tc>
          <w:tcPr>
            <w:tcW w:w="4506" w:type="dxa"/>
          </w:tcPr>
          <w:p w14:paraId="420A443C" w14:textId="088DE1E8" w:rsidR="00696D13" w:rsidRDefault="007373F8" w:rsidP="006209CC">
            <w:pPr>
              <w:jc w:val="center"/>
              <w:rPr>
                <w:lang w:val="en-US"/>
              </w:rPr>
            </w:pPr>
            <w:r w:rsidRPr="007373F8">
              <w:rPr>
                <w:noProof/>
                <w:lang w:val="en-US"/>
              </w:rPr>
              <w:drawing>
                <wp:inline distT="0" distB="0" distL="0" distR="0" wp14:anchorId="74207654" wp14:editId="6F21CDEA">
                  <wp:extent cx="2719836" cy="2009775"/>
                  <wp:effectExtent l="0" t="0" r="4445" b="0"/>
                  <wp:docPr id="18694507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50770" name=""/>
                          <pic:cNvPicPr/>
                        </pic:nvPicPr>
                        <pic:blipFill>
                          <a:blip r:embed="rId16"/>
                          <a:stretch>
                            <a:fillRect/>
                          </a:stretch>
                        </pic:blipFill>
                        <pic:spPr>
                          <a:xfrm>
                            <a:off x="0" y="0"/>
                            <a:ext cx="2719967" cy="2009872"/>
                          </a:xfrm>
                          <a:prstGeom prst="rect">
                            <a:avLst/>
                          </a:prstGeom>
                        </pic:spPr>
                      </pic:pic>
                    </a:graphicData>
                  </a:graphic>
                </wp:inline>
              </w:drawing>
            </w:r>
          </w:p>
        </w:tc>
      </w:tr>
    </w:tbl>
    <w:p w14:paraId="2128DBB3" w14:textId="5CB46690" w:rsidR="006209CC" w:rsidRPr="001A09F2" w:rsidRDefault="006209CC" w:rsidP="006209CC">
      <w:pPr>
        <w:jc w:val="center"/>
        <w:rPr>
          <w:lang w:val="en-US"/>
        </w:rPr>
      </w:pPr>
    </w:p>
    <w:p w14:paraId="150D1C7C" w14:textId="4B82729F" w:rsidR="006209CC" w:rsidRPr="001A09F2" w:rsidRDefault="006209CC" w:rsidP="00B259E6">
      <w:pPr>
        <w:pStyle w:val="CETCaption"/>
        <w:jc w:val="center"/>
        <w:rPr>
          <w:noProof/>
          <w:lang w:val="en-US"/>
        </w:rPr>
      </w:pPr>
      <w:bookmarkStart w:id="2" w:name="_Ref184863852"/>
      <w:r w:rsidRPr="001A09F2">
        <w:rPr>
          <w:lang w:val="en-US"/>
        </w:rPr>
        <w:t xml:space="preserve">Figure </w:t>
      </w:r>
      <w:r w:rsidRPr="001A09F2">
        <w:rPr>
          <w:lang w:val="en-US"/>
        </w:rPr>
        <w:fldChar w:fldCharType="begin"/>
      </w:r>
      <w:r w:rsidRPr="001A09F2">
        <w:rPr>
          <w:lang w:val="en-US"/>
        </w:rPr>
        <w:instrText xml:space="preserve"> SEQ Figure \* ARABIC </w:instrText>
      </w:r>
      <w:r w:rsidRPr="001A09F2">
        <w:rPr>
          <w:lang w:val="en-US"/>
        </w:rPr>
        <w:fldChar w:fldCharType="separate"/>
      </w:r>
      <w:r w:rsidR="002A3C82">
        <w:rPr>
          <w:noProof/>
          <w:lang w:val="en-US"/>
        </w:rPr>
        <w:t>1</w:t>
      </w:r>
      <w:r w:rsidRPr="001A09F2">
        <w:rPr>
          <w:lang w:val="en-US"/>
        </w:rPr>
        <w:fldChar w:fldCharType="end"/>
      </w:r>
      <w:bookmarkEnd w:id="1"/>
      <w:bookmarkEnd w:id="2"/>
      <w:r w:rsidRPr="001A09F2">
        <w:rPr>
          <w:lang w:val="en-US"/>
        </w:rPr>
        <w:t>: computational domain</w:t>
      </w:r>
      <w:r w:rsidR="002F5DE1">
        <w:rPr>
          <w:lang w:val="en-US"/>
        </w:rPr>
        <w:t xml:space="preserve"> and mesh</w:t>
      </w:r>
    </w:p>
    <w:p w14:paraId="73360D14" w14:textId="7C080788" w:rsidR="006209CC" w:rsidRPr="001A09F2" w:rsidRDefault="006209CC" w:rsidP="006209CC">
      <w:pPr>
        <w:pStyle w:val="CETBodytext"/>
      </w:pPr>
      <w:r w:rsidRPr="001A09F2">
        <w:t xml:space="preserve">The grid consists of a tetrahedral mesh built similarly to </w:t>
      </w:r>
      <w:r w:rsidRPr="001A09F2">
        <w:fldChar w:fldCharType="begin"/>
      </w:r>
      <w:r w:rsidR="003B219B" w:rsidRPr="001A09F2">
        <w:instrText xml:space="preserve"> ADDIN ZOTERO_ITEM CSL_CITATION {"citationID":"ghbYEoSf","properties":{"formattedCitation":"(Colombini et al., 2022b, 2022a, 2020c; Colombini and Busini, 2019a, 2019b)","plainCitation":"(Colombini et al., 2022b, 2022a, 2020c; Colombini and Busini, 2019a, 2019b)","noteIndex":0},"citationItems":[{"id":78,"uris":["http://zotero.org/users/12493459/items/KRF4EM45"],"itemData":{"id":78,"type":"article-journal","abstract":"Although the diffusion of its storage and transport under liquefied conditions, nowadays it is common to have methane in gaseous form in several industrial applications. This leads to safety implications to be considered: hazards are linked to both the high-pressure at which the gas is kept and to its flammability. Scenarios where flammable jets impact an obstacle are of paramount importance because of their possible occurrence. Following a numerical approach, literature shows up that their assessment can be reliably performed by means of only Computational Fluid Dynamics tools. However, despite the improvements of computing power, Computational Fluid Dynamics costs still limit its use in daily risk analysts’ activities. Therefore, considering an accidental jet-obstacle scenario of industrial interest, the present work investigates how a pipe rack can influence the development of a high-pressure methane jet. Based on a Computational Fluid Dynamics analysis, main achievements of this work are a simple criterion able to identify the situations where the pipe rack does not influence the high-pressure methane jet behavior, therefore allowing to identify the scenarios where simpler models can be used (i.e., analytical correlations known for the free jet situation), and, if present, a simple analytical relationship that roughly predicts the influence of the pipe rack without the need of performing complex Computational Fluid Dynamics simulations.","container-title":"Journal of Loss Prevention in the Process Industries","DOI":"10.1016/j.jlp.2020.104378","journalAbbreviation":"Journal of Loss Prevention in the Process Industries","page":"104378","source":"ResearchGate","title":"Unignited High-Pressure Methane Jet Impinging a Pipe Rack: Practical Tools for Risk Assessment","title-short":"Unignited High-Pressure Methane Jet Impinging a Pipe Rack","volume":"69","author":[{"family":"Colombini","given":"Cristian"},{"family":"Maugeri","given":"Giuliana"},{"family":"Zanon","given":"Gianluca"},{"family":"Rota","given":"Renato"},{"family":"Busini","given":"Valentina"}],"issued":{"date-parts":[["2020",12,1]]}}},{"id":72,"uris":["http://zotero.org/users/12493459/items/6G3SUZQ9"],"itemData":{"id":72,"type":"article-journal","abstract":"In the Oil &amp; Gas sector, the use of flammable substances stored and transported in gaseous form and under pressure conditions is quite common. In the field of industrial safety, high-pressure gaseous releases of a flammable material impacting an obstacle are of paramount importance, as possible accidental scenarios, due to their catastrophic consequences. Although hot release (i.e., jet fire scenarios) is a topic that has been largely covered in literature, cold releases (i.e., unignited flammable releases) did not. This gap increases when considering high-pressure cold releases interacting with an obstacle. Being a probable situation when an accidental high-pressure loss of containment occurs, the need of reliable as well as quick tools for prompt safety evaluations of the hazardous area of this kind of scenario is of primary importance. To this aim, the present work proposes such a consequences assessment tool derived from an extensive CFD analysis of several possible situations of a cylindrical obstacle impinged by an unignited high-pressure gaseous methane jet.","container-title":"Journal of Loss Prevention in the Process Industries","DOI":"10.1016/j.jlp.2021.104593","ISSN":"0950-4230","journalAbbreviation":"Journal of Loss Prevention in the Process Industries","page":"104593","source":"ScienceDirect","title":"Unignited high-pressure methane jet impacting a cylindrical obstacle: An assessment tool for consequences analysis","title-short":"Unignited high-pressure methane jet impacting a cylindrical obstacle","volume":"76","author":[{"family":"Colombini","given":"Cristian"},{"family":"Iannantuoni","given":"Clara"},{"family":"Rota","given":"Renato"},{"family":"Busini","given":"Valentina"}],"issued":{"date-parts":[["2022",5,1]]}}},{"id":63,"uris":["http://zotero.org/users/12493459/items/DSQDAZ6A"],"itemData":{"id":63,"type":"paper-conference","DOI":"10.3850/978-981-11-2724-3_0467-cd","page":"75-82","source":"ResearchGate","title":"High-Pressure Methane Jet: Analysis of the Jet-Obstacle Interaction","title-short":"High-Pressure Methane Jet","author":[{"family":"Colombini","given":"Cristian"},{"family":"Busini","given":"Valentina"}],"issued":{"date-parts":[["2019",1,1]]}}},{"id":2,"uris":["http://zotero.org/users/12493459/items/ZP79FT5K"],"itemData":{"id":2,"type":"article-journal","abstract":"Nowadays methane is a fossil fuel widely used both in industries and in civil appliances. From the safety point of view, due to its flammability, its use implies hazards for people and assets. The hazardous area related to a high-pressure jet of methane arising from an accidental loss of containment requires the estimation of the distance at which the methane concentration falls below the Lower Flammability limit. Such a topic is well covered in the literature when considering free jet conditions, i.e., jets that do not interact with any equipment or surface. The same cannot be said for high pressure jets impacting an obstacle. In this context, the present work focuses on studying high pressure methane jets impacting spherical obstacles by means of Computational Fluid Dynamics with the aim of giving some insights about such a jet-obstacle interaction, possibly providing a brief by-hand procedure that, only based on known scenario information, allows to estimate the maximum extent of the unignited high-pressure jet when interacting with a spherical obstacle.","container-title":"Journal of Loss Prevention in the Process Industries","DOI":"10.1016/j.jlp.2021.104631","ISSN":"0950-4230","journalAbbreviation":"Journal of Loss Prevention in the Process Industries","page":"104631","source":"ScienceDirect","title":"Safety evaluations on unignited high-pressure methane jets impacting a spherical obstacle","volume":"74","author":[{"family":"Colombini","given":"Cristian"},{"family":"Carminati","given":"Edoardo"},{"family":"Parisi","given":"Andrea"},{"family":"Rota","given":"Renato"},{"family":"Busini","given":"Valentina"}],"issued":{"date-parts":[["2022",1,1]]}}},{"id":552,"uris":["http://zotero.org/users/12493459/items/YRGLZF9E"],"itemData":{"id":552,"type":"article-journal","abstract":"In the industrial safety framework, high-pressure jets involving toxic or flammable substances represent one of the major risks. The presence of one or more obstacles affects the extent of the plume, normally to higher </w:instrText>
      </w:r>
      <w:r w:rsidR="003B219B" w:rsidRPr="005A17E9">
        <w:rPr>
          <w:lang w:val="it-IT"/>
        </w:rPr>
        <w:instrText xml:space="preserve">dimensions, which means that an open field modeling would not be conservative and that it is necessary to explicitly consider the obstacles effects. Thus, to study this kind of scenario, only a computational fluid dynamic model allows a complete and proper description of the obstacles influence on the jet behavior.In this work, we deal with a realistic case-study of industrial interest which involves a high-pressure methane jet impinging a nearby cylindrical tank positioned in front of the jet release.The aims of this work are to define the geometrical parameters of the scenario, to quantify their influence on the jet-obstacle interaction, with respect to the free jet case, and then to find which of them are the most relevant. Therefore, the effect of the cylindrical tank on the lower flammability limit area extent is systematically studied using computational fluid dynamics simulations, performed with ANSYS FLUENT.","container-title":"Chemical Engineering Transactions","DOI":"10.3303/CET1977136","ISSN":"2283-9216","language":"en","license":"Copyright (c) 2019 AIDIC Servizi Srl","page":"811-816","source":"www.cetjournal.it","title":"Obstacle Influence on High-Pressure Jets based on Computational Fluid Dynamics Simulations","volume":"77","author":[{"family":"Colombini","given":"Cristian"},{"family":"Busini","given":"Valentina"}],"issued":{"date-parts":[["2019",9,30]]}},"label":"page"}],"schema":"https://github.com/citation-style-language/schema/raw/master/csl-citation.json"} </w:instrText>
      </w:r>
      <w:r w:rsidRPr="001A09F2">
        <w:fldChar w:fldCharType="separate"/>
      </w:r>
      <w:r w:rsidR="003B219B" w:rsidRPr="005A17E9">
        <w:rPr>
          <w:rFonts w:cs="Arial"/>
          <w:lang w:val="it-IT"/>
        </w:rPr>
        <w:t>(Colombini et al., 2022, 2020c; Colombini and Busini, 2019)</w:t>
      </w:r>
      <w:r w:rsidRPr="001A09F2">
        <w:fldChar w:fldCharType="end"/>
      </w:r>
      <w:r w:rsidRPr="005A17E9">
        <w:rPr>
          <w:lang w:val="it-IT"/>
        </w:rPr>
        <w:t xml:space="preserve">. </w:t>
      </w:r>
      <w:r w:rsidRPr="001A09F2">
        <w:t xml:space="preserve">On the jet axis, a series of lines, Core, Far 1, Far 2, Far 3 and Far 4, were used to define five edges local sizing so that near the orifice the mesh is finer and becomes coarser as it gets further away. A proximity sizing of 10 was adopted on the nozzle as well as other boundaries. The overall volume meshing has a size of 3 m except for the local sizing parts. In </w:t>
      </w:r>
      <w:fldSimple w:instr=" REF _Ref171603999  \* MERGEFORMAT ">
        <w:r w:rsidR="00094DCF" w:rsidRPr="001A09F2">
          <w:t xml:space="preserve">Table </w:t>
        </w:r>
        <w:r w:rsidR="00094DCF">
          <w:t>1</w:t>
        </w:r>
      </w:fldSimple>
      <w:r w:rsidRPr="001A09F2">
        <w:t xml:space="preserve"> the mesh size and growth rate are reported for the bodylines and for the nozzle. </w:t>
      </w:r>
    </w:p>
    <w:p w14:paraId="61A3CC02" w14:textId="247D53DA" w:rsidR="006209CC" w:rsidRPr="001A09F2" w:rsidRDefault="006209CC" w:rsidP="006209CC">
      <w:pPr>
        <w:pStyle w:val="CETTabletitle"/>
        <w:rPr>
          <w:lang w:val="en-US"/>
        </w:rPr>
      </w:pPr>
      <w:bookmarkStart w:id="3" w:name="_Ref171603999"/>
      <w:r w:rsidRPr="001A09F2">
        <w:rPr>
          <w:lang w:val="en-US"/>
        </w:rPr>
        <w:t xml:space="preserve">Table </w:t>
      </w:r>
      <w:r w:rsidRPr="001A09F2">
        <w:rPr>
          <w:lang w:val="en-US"/>
        </w:rPr>
        <w:fldChar w:fldCharType="begin"/>
      </w:r>
      <w:r w:rsidRPr="001A09F2">
        <w:rPr>
          <w:lang w:val="en-US"/>
        </w:rPr>
        <w:instrText xml:space="preserve"> SEQ Table \* ARABIC </w:instrText>
      </w:r>
      <w:r w:rsidRPr="001A09F2">
        <w:rPr>
          <w:lang w:val="en-US"/>
        </w:rPr>
        <w:fldChar w:fldCharType="separate"/>
      </w:r>
      <w:r w:rsidR="00094DCF">
        <w:rPr>
          <w:noProof/>
          <w:lang w:val="en-US"/>
        </w:rPr>
        <w:t>1</w:t>
      </w:r>
      <w:r w:rsidRPr="001A09F2">
        <w:rPr>
          <w:noProof/>
          <w:lang w:val="en-US"/>
        </w:rPr>
        <w:fldChar w:fldCharType="end"/>
      </w:r>
      <w:bookmarkEnd w:id="3"/>
      <w:r w:rsidRPr="001A09F2">
        <w:rPr>
          <w:lang w:val="en-US"/>
        </w:rPr>
        <w:t>: mesh sizing parameters</w:t>
      </w:r>
      <w:bookmarkStart w:id="4" w:name="_Ref180504891"/>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0"/>
        <w:gridCol w:w="1134"/>
        <w:gridCol w:w="1134"/>
        <w:gridCol w:w="1134"/>
        <w:gridCol w:w="1134"/>
        <w:gridCol w:w="1134"/>
        <w:gridCol w:w="1134"/>
      </w:tblGrid>
      <w:tr w:rsidR="006209CC" w:rsidRPr="001A09F2" w14:paraId="407ADD7E" w14:textId="6F499CF1" w:rsidTr="006209CC">
        <w:tc>
          <w:tcPr>
            <w:tcW w:w="1410" w:type="dxa"/>
            <w:tcBorders>
              <w:top w:val="single" w:sz="12" w:space="0" w:color="008000"/>
              <w:bottom w:val="single" w:sz="6" w:space="0" w:color="008000"/>
            </w:tcBorders>
            <w:shd w:val="clear" w:color="auto" w:fill="FFFFFF"/>
            <w:vAlign w:val="center"/>
          </w:tcPr>
          <w:p w14:paraId="1FFCECFB" w14:textId="1DEE10FC" w:rsidR="006209CC" w:rsidRPr="001A09F2" w:rsidRDefault="006209CC" w:rsidP="006209CC">
            <w:pPr>
              <w:pStyle w:val="CETBodytext"/>
              <w:jc w:val="center"/>
            </w:pPr>
          </w:p>
        </w:tc>
        <w:tc>
          <w:tcPr>
            <w:tcW w:w="1134" w:type="dxa"/>
            <w:tcBorders>
              <w:top w:val="single" w:sz="12" w:space="0" w:color="008000"/>
              <w:bottom w:val="single" w:sz="6" w:space="0" w:color="008000"/>
            </w:tcBorders>
            <w:shd w:val="clear" w:color="auto" w:fill="FFFFFF"/>
            <w:vAlign w:val="center"/>
          </w:tcPr>
          <w:p w14:paraId="451C1E7E" w14:textId="2DC44BF6" w:rsidR="006209CC" w:rsidRPr="001A09F2" w:rsidRDefault="006209CC" w:rsidP="006209CC">
            <w:pPr>
              <w:pStyle w:val="CETBodytext"/>
              <w:jc w:val="center"/>
            </w:pPr>
            <w:r w:rsidRPr="001A09F2">
              <w:t>Nozzle</w:t>
            </w:r>
          </w:p>
        </w:tc>
        <w:tc>
          <w:tcPr>
            <w:tcW w:w="1134" w:type="dxa"/>
            <w:tcBorders>
              <w:top w:val="single" w:sz="12" w:space="0" w:color="008000"/>
              <w:bottom w:val="single" w:sz="6" w:space="0" w:color="008000"/>
            </w:tcBorders>
            <w:shd w:val="clear" w:color="auto" w:fill="FFFFFF"/>
            <w:vAlign w:val="center"/>
          </w:tcPr>
          <w:p w14:paraId="62CAA249" w14:textId="2CA6C29C" w:rsidR="006209CC" w:rsidRPr="001A09F2" w:rsidRDefault="006209CC" w:rsidP="006209CC">
            <w:pPr>
              <w:pStyle w:val="CETBodytext"/>
              <w:jc w:val="center"/>
            </w:pPr>
            <w:r w:rsidRPr="001A09F2">
              <w:t>Core</w:t>
            </w:r>
          </w:p>
        </w:tc>
        <w:tc>
          <w:tcPr>
            <w:tcW w:w="1134" w:type="dxa"/>
            <w:tcBorders>
              <w:top w:val="single" w:sz="12" w:space="0" w:color="008000"/>
              <w:bottom w:val="single" w:sz="6" w:space="0" w:color="008000"/>
            </w:tcBorders>
            <w:shd w:val="clear" w:color="auto" w:fill="FFFFFF"/>
            <w:vAlign w:val="center"/>
          </w:tcPr>
          <w:p w14:paraId="12C0B48C" w14:textId="14849CE9" w:rsidR="006209CC" w:rsidRPr="001A09F2" w:rsidRDefault="006209CC" w:rsidP="006209CC">
            <w:pPr>
              <w:pStyle w:val="CETBodytext"/>
              <w:ind w:right="-1"/>
              <w:jc w:val="center"/>
              <w:rPr>
                <w:rFonts w:cs="Arial"/>
                <w:szCs w:val="18"/>
              </w:rPr>
            </w:pPr>
            <w:r w:rsidRPr="001A09F2">
              <w:t>Far 1</w:t>
            </w:r>
          </w:p>
        </w:tc>
        <w:tc>
          <w:tcPr>
            <w:tcW w:w="1134" w:type="dxa"/>
            <w:tcBorders>
              <w:top w:val="single" w:sz="12" w:space="0" w:color="008000"/>
              <w:bottom w:val="single" w:sz="6" w:space="0" w:color="008000"/>
            </w:tcBorders>
            <w:shd w:val="clear" w:color="auto" w:fill="FFFFFF"/>
            <w:vAlign w:val="center"/>
          </w:tcPr>
          <w:p w14:paraId="05DB132A" w14:textId="3E846000" w:rsidR="006209CC" w:rsidRPr="001A09F2" w:rsidRDefault="006209CC" w:rsidP="006209CC">
            <w:pPr>
              <w:pStyle w:val="CETBodytext"/>
              <w:ind w:right="-1"/>
              <w:jc w:val="center"/>
              <w:rPr>
                <w:rFonts w:cs="Arial"/>
                <w:szCs w:val="18"/>
              </w:rPr>
            </w:pPr>
            <w:r w:rsidRPr="001A09F2">
              <w:t>Far 2</w:t>
            </w:r>
          </w:p>
        </w:tc>
        <w:tc>
          <w:tcPr>
            <w:tcW w:w="1134" w:type="dxa"/>
            <w:tcBorders>
              <w:top w:val="single" w:sz="12" w:space="0" w:color="008000"/>
              <w:bottom w:val="single" w:sz="6" w:space="0" w:color="008000"/>
            </w:tcBorders>
            <w:shd w:val="clear" w:color="auto" w:fill="FFFFFF"/>
            <w:vAlign w:val="center"/>
          </w:tcPr>
          <w:p w14:paraId="5BCF6816" w14:textId="7763B32B" w:rsidR="006209CC" w:rsidRPr="001A09F2" w:rsidRDefault="006209CC" w:rsidP="006209CC">
            <w:pPr>
              <w:pStyle w:val="CETBodytext"/>
              <w:ind w:right="-1"/>
              <w:jc w:val="center"/>
              <w:rPr>
                <w:rFonts w:cs="Arial"/>
                <w:szCs w:val="18"/>
              </w:rPr>
            </w:pPr>
            <w:r w:rsidRPr="001A09F2">
              <w:t>Far 3</w:t>
            </w:r>
          </w:p>
        </w:tc>
        <w:tc>
          <w:tcPr>
            <w:tcW w:w="1134" w:type="dxa"/>
            <w:tcBorders>
              <w:top w:val="single" w:sz="12" w:space="0" w:color="008000"/>
              <w:bottom w:val="single" w:sz="6" w:space="0" w:color="008000"/>
            </w:tcBorders>
            <w:shd w:val="clear" w:color="auto" w:fill="FFFFFF"/>
            <w:vAlign w:val="center"/>
          </w:tcPr>
          <w:p w14:paraId="7616A9C1" w14:textId="46DD6A4A" w:rsidR="006209CC" w:rsidRPr="001A09F2" w:rsidRDefault="006209CC" w:rsidP="006209CC">
            <w:pPr>
              <w:pStyle w:val="CETBodytext"/>
              <w:ind w:right="-1"/>
              <w:jc w:val="center"/>
              <w:rPr>
                <w:rFonts w:cs="Arial"/>
                <w:szCs w:val="18"/>
              </w:rPr>
            </w:pPr>
            <w:r w:rsidRPr="001A09F2">
              <w:t>Far 4</w:t>
            </w:r>
          </w:p>
        </w:tc>
      </w:tr>
      <w:tr w:rsidR="006209CC" w:rsidRPr="001A09F2" w14:paraId="1A3DA69E" w14:textId="5E7B5A01" w:rsidTr="006209CC">
        <w:tc>
          <w:tcPr>
            <w:tcW w:w="1410" w:type="dxa"/>
            <w:shd w:val="clear" w:color="auto" w:fill="FFFFFF"/>
            <w:vAlign w:val="center"/>
          </w:tcPr>
          <w:p w14:paraId="448FFD32" w14:textId="638D53DF" w:rsidR="006209CC" w:rsidRPr="001A09F2" w:rsidRDefault="007E0882" w:rsidP="006209CC">
            <w:pPr>
              <w:pStyle w:val="CETBodytext"/>
              <w:jc w:val="center"/>
              <w:rPr>
                <w:rFonts w:cs="Arial"/>
              </w:rPr>
            </w:pPr>
            <m:oMathPara>
              <m:oMath>
                <m:f>
                  <m:fPr>
                    <m:ctrlPr>
                      <w:rPr>
                        <w:rFonts w:ascii="Cambria Math" w:hAnsi="Cambria Math" w:cs="Arial"/>
                      </w:rPr>
                    </m:ctrlPr>
                  </m:fPr>
                  <m:num>
                    <m:r>
                      <m:rPr>
                        <m:sty m:val="p"/>
                      </m:rPr>
                      <w:rPr>
                        <w:rFonts w:ascii="Cambria Math" w:hAnsi="Cambria Math" w:cs="Arial"/>
                      </w:rPr>
                      <m:t>Cell size [m]</m:t>
                    </m:r>
                  </m:num>
                  <m:den>
                    <m:r>
                      <m:rPr>
                        <m:sty m:val="p"/>
                      </m:rPr>
                      <w:rPr>
                        <w:rFonts w:ascii="Cambria Math" w:hAnsi="Cambria Math" w:cs="Arial"/>
                      </w:rPr>
                      <m:t>line lenght [m]</m:t>
                    </m:r>
                  </m:den>
                </m:f>
              </m:oMath>
            </m:oMathPara>
          </w:p>
        </w:tc>
        <w:tc>
          <w:tcPr>
            <w:tcW w:w="1134" w:type="dxa"/>
            <w:shd w:val="clear" w:color="auto" w:fill="FFFFFF"/>
            <w:vAlign w:val="center"/>
          </w:tcPr>
          <w:p w14:paraId="62F13982" w14:textId="5821437F" w:rsidR="006209CC" w:rsidRPr="001A09F2" w:rsidRDefault="006209CC" w:rsidP="006209CC">
            <w:pPr>
              <w:pStyle w:val="CETBodytext"/>
              <w:jc w:val="center"/>
            </w:pPr>
            <w:r w:rsidRPr="001A09F2">
              <w:t>-</w:t>
            </w:r>
          </w:p>
        </w:tc>
        <w:tc>
          <w:tcPr>
            <w:tcW w:w="1134" w:type="dxa"/>
            <w:shd w:val="clear" w:color="auto" w:fill="FFFFFF"/>
            <w:vAlign w:val="center"/>
          </w:tcPr>
          <w:p w14:paraId="5B3821F7" w14:textId="0F274544" w:rsidR="006209CC" w:rsidRPr="001A09F2" w:rsidRDefault="006209CC" w:rsidP="006209CC">
            <w:pPr>
              <w:pStyle w:val="CETBodytext"/>
              <w:jc w:val="center"/>
            </w:pPr>
            <w:r w:rsidRPr="001A09F2">
              <w:t>35</w:t>
            </w:r>
          </w:p>
        </w:tc>
        <w:tc>
          <w:tcPr>
            <w:tcW w:w="1134" w:type="dxa"/>
            <w:shd w:val="clear" w:color="auto" w:fill="FFFFFF"/>
            <w:vAlign w:val="center"/>
          </w:tcPr>
          <w:p w14:paraId="137BF699" w14:textId="70990B48" w:rsidR="006209CC" w:rsidRPr="001A09F2" w:rsidRDefault="006209CC" w:rsidP="006209CC">
            <w:pPr>
              <w:pStyle w:val="CETBodytext"/>
              <w:ind w:right="-1"/>
              <w:jc w:val="center"/>
              <w:rPr>
                <w:rFonts w:cs="Arial"/>
                <w:szCs w:val="18"/>
              </w:rPr>
            </w:pPr>
            <w:r w:rsidRPr="001A09F2">
              <w:t>35</w:t>
            </w:r>
          </w:p>
        </w:tc>
        <w:tc>
          <w:tcPr>
            <w:tcW w:w="1134" w:type="dxa"/>
            <w:shd w:val="clear" w:color="auto" w:fill="FFFFFF"/>
            <w:vAlign w:val="center"/>
          </w:tcPr>
          <w:p w14:paraId="15AFF459" w14:textId="3A52B13B" w:rsidR="006209CC" w:rsidRPr="001A09F2" w:rsidRDefault="006209CC" w:rsidP="006209CC">
            <w:pPr>
              <w:pStyle w:val="CETBodytext"/>
              <w:ind w:right="-1"/>
              <w:jc w:val="center"/>
              <w:rPr>
                <w:rFonts w:cs="Arial"/>
                <w:szCs w:val="18"/>
              </w:rPr>
            </w:pPr>
            <w:r w:rsidRPr="001A09F2">
              <w:t>70</w:t>
            </w:r>
          </w:p>
        </w:tc>
        <w:tc>
          <w:tcPr>
            <w:tcW w:w="1134" w:type="dxa"/>
            <w:shd w:val="clear" w:color="auto" w:fill="FFFFFF"/>
            <w:vAlign w:val="center"/>
          </w:tcPr>
          <w:p w14:paraId="242E6A49" w14:textId="116609D1" w:rsidR="006209CC" w:rsidRPr="001A09F2" w:rsidRDefault="006209CC" w:rsidP="006209CC">
            <w:pPr>
              <w:pStyle w:val="CETBodytext"/>
              <w:ind w:right="-1"/>
              <w:jc w:val="center"/>
              <w:rPr>
                <w:rFonts w:cs="Arial"/>
                <w:szCs w:val="18"/>
              </w:rPr>
            </w:pPr>
            <w:r w:rsidRPr="001A09F2">
              <w:t>140</w:t>
            </w:r>
          </w:p>
        </w:tc>
        <w:tc>
          <w:tcPr>
            <w:tcW w:w="1134" w:type="dxa"/>
            <w:shd w:val="clear" w:color="auto" w:fill="FFFFFF"/>
            <w:vAlign w:val="center"/>
          </w:tcPr>
          <w:p w14:paraId="3D38D32C" w14:textId="12934130" w:rsidR="006209CC" w:rsidRPr="001A09F2" w:rsidRDefault="006209CC" w:rsidP="006209CC">
            <w:pPr>
              <w:pStyle w:val="CETBodytext"/>
              <w:ind w:right="-1"/>
              <w:jc w:val="center"/>
              <w:rPr>
                <w:rFonts w:cs="Arial"/>
                <w:szCs w:val="18"/>
              </w:rPr>
            </w:pPr>
            <w:r w:rsidRPr="001A09F2">
              <w:t>390</w:t>
            </w:r>
          </w:p>
        </w:tc>
      </w:tr>
      <w:tr w:rsidR="006209CC" w:rsidRPr="001A09F2" w14:paraId="71D422A1" w14:textId="480A0DA9" w:rsidTr="006209CC">
        <w:tc>
          <w:tcPr>
            <w:tcW w:w="1410" w:type="dxa"/>
            <w:shd w:val="clear" w:color="auto" w:fill="FFFFFF"/>
            <w:vAlign w:val="center"/>
          </w:tcPr>
          <w:p w14:paraId="4A2DBC49" w14:textId="515C16C0" w:rsidR="006209CC" w:rsidRPr="001A09F2" w:rsidRDefault="007E0882" w:rsidP="006209CC">
            <w:pPr>
              <w:pStyle w:val="CETBodytext"/>
              <w:jc w:val="center"/>
              <w:rPr>
                <w:rFonts w:cs="Arial"/>
              </w:rPr>
            </w:pPr>
            <m:oMathPara>
              <m:oMath>
                <m:f>
                  <m:fPr>
                    <m:ctrlPr>
                      <w:rPr>
                        <w:rFonts w:ascii="Cambria Math" w:hAnsi="Cambria Math" w:cs="Arial"/>
                      </w:rPr>
                    </m:ctrlPr>
                  </m:fPr>
                  <m:num>
                    <m:r>
                      <m:rPr>
                        <m:sty m:val="p"/>
                      </m:rPr>
                      <w:rPr>
                        <w:rFonts w:ascii="Cambria Math" w:hAnsi="Cambria Math" w:cs="Arial"/>
                      </w:rPr>
                      <m:t>Inlet diameter [m]</m:t>
                    </m:r>
                  </m:num>
                  <m:den>
                    <m:r>
                      <m:rPr>
                        <m:sty m:val="p"/>
                      </m:rPr>
                      <w:rPr>
                        <w:rFonts w:ascii="Cambria Math" w:hAnsi="Cambria Math" w:cs="Arial"/>
                      </w:rPr>
                      <m:t>Cell size [m]</m:t>
                    </m:r>
                  </m:den>
                </m:f>
              </m:oMath>
            </m:oMathPara>
          </w:p>
        </w:tc>
        <w:tc>
          <w:tcPr>
            <w:tcW w:w="1134" w:type="dxa"/>
            <w:shd w:val="clear" w:color="auto" w:fill="FFFFFF"/>
            <w:vAlign w:val="center"/>
          </w:tcPr>
          <w:p w14:paraId="579D21E5" w14:textId="363892FF" w:rsidR="006209CC" w:rsidRPr="001A09F2" w:rsidRDefault="006209CC" w:rsidP="006209CC">
            <w:pPr>
              <w:pStyle w:val="CETBodytext"/>
              <w:ind w:right="-1"/>
              <w:jc w:val="center"/>
              <w:rPr>
                <w:rFonts w:cs="Arial"/>
                <w:szCs w:val="18"/>
              </w:rPr>
            </w:pPr>
            <w:r w:rsidRPr="001A09F2">
              <w:t>10</w:t>
            </w:r>
          </w:p>
        </w:tc>
        <w:tc>
          <w:tcPr>
            <w:tcW w:w="1134" w:type="dxa"/>
            <w:shd w:val="clear" w:color="auto" w:fill="FFFFFF"/>
            <w:vAlign w:val="center"/>
          </w:tcPr>
          <w:p w14:paraId="422A452D" w14:textId="336C2232" w:rsidR="006209CC" w:rsidRPr="001A09F2" w:rsidRDefault="006209CC" w:rsidP="006209CC">
            <w:pPr>
              <w:pStyle w:val="CETBodytext"/>
              <w:ind w:right="-1"/>
              <w:jc w:val="center"/>
              <w:rPr>
                <w:rFonts w:cs="Arial"/>
                <w:szCs w:val="18"/>
              </w:rPr>
            </w:pPr>
            <w:r w:rsidRPr="001A09F2">
              <w:t>73</w:t>
            </w:r>
          </w:p>
        </w:tc>
        <w:tc>
          <w:tcPr>
            <w:tcW w:w="1134" w:type="dxa"/>
            <w:shd w:val="clear" w:color="auto" w:fill="FFFFFF"/>
            <w:vAlign w:val="center"/>
          </w:tcPr>
          <w:p w14:paraId="6AACBA45" w14:textId="56689EAC" w:rsidR="006209CC" w:rsidRPr="001A09F2" w:rsidRDefault="006209CC" w:rsidP="006209CC">
            <w:pPr>
              <w:pStyle w:val="CETBodytext"/>
              <w:ind w:right="-1"/>
              <w:jc w:val="center"/>
              <w:rPr>
                <w:rFonts w:cs="Arial"/>
                <w:szCs w:val="18"/>
              </w:rPr>
            </w:pPr>
            <w:r w:rsidRPr="001A09F2">
              <w:t>18</w:t>
            </w:r>
          </w:p>
        </w:tc>
        <w:tc>
          <w:tcPr>
            <w:tcW w:w="1134" w:type="dxa"/>
            <w:shd w:val="clear" w:color="auto" w:fill="FFFFFF"/>
            <w:vAlign w:val="center"/>
          </w:tcPr>
          <w:p w14:paraId="7F72CA9F" w14:textId="069C0368" w:rsidR="006209CC" w:rsidRPr="001A09F2" w:rsidRDefault="006209CC" w:rsidP="006209CC">
            <w:pPr>
              <w:pStyle w:val="CETBodytext"/>
              <w:ind w:right="-1"/>
              <w:jc w:val="center"/>
              <w:rPr>
                <w:rFonts w:cs="Arial"/>
                <w:szCs w:val="18"/>
              </w:rPr>
            </w:pPr>
            <w:r w:rsidRPr="001A09F2">
              <w:t>10</w:t>
            </w:r>
          </w:p>
        </w:tc>
        <w:tc>
          <w:tcPr>
            <w:tcW w:w="1134" w:type="dxa"/>
            <w:shd w:val="clear" w:color="auto" w:fill="FFFFFF"/>
            <w:vAlign w:val="center"/>
          </w:tcPr>
          <w:p w14:paraId="38E7CB36" w14:textId="2A3B54DF" w:rsidR="006209CC" w:rsidRPr="001A09F2" w:rsidRDefault="006209CC" w:rsidP="006209CC">
            <w:pPr>
              <w:pStyle w:val="CETBodytext"/>
              <w:ind w:right="-1"/>
              <w:jc w:val="center"/>
              <w:rPr>
                <w:rFonts w:cs="Arial"/>
                <w:szCs w:val="18"/>
              </w:rPr>
            </w:pPr>
            <w:r w:rsidRPr="001A09F2">
              <w:t>3</w:t>
            </w:r>
          </w:p>
        </w:tc>
        <w:tc>
          <w:tcPr>
            <w:tcW w:w="1134" w:type="dxa"/>
            <w:shd w:val="clear" w:color="auto" w:fill="FFFFFF"/>
            <w:vAlign w:val="center"/>
          </w:tcPr>
          <w:p w14:paraId="44BADB98" w14:textId="4133A94E" w:rsidR="006209CC" w:rsidRPr="001A09F2" w:rsidRDefault="006209CC" w:rsidP="006209CC">
            <w:pPr>
              <w:pStyle w:val="CETBodytext"/>
              <w:ind w:right="-1"/>
              <w:jc w:val="center"/>
              <w:rPr>
                <w:rFonts w:cs="Arial"/>
                <w:szCs w:val="18"/>
              </w:rPr>
            </w:pPr>
            <w:r w:rsidRPr="001A09F2">
              <w:t>1</w:t>
            </w:r>
          </w:p>
        </w:tc>
      </w:tr>
      <w:tr w:rsidR="006209CC" w:rsidRPr="001A09F2" w14:paraId="4480BF4A" w14:textId="77777777" w:rsidTr="006209CC">
        <w:tc>
          <w:tcPr>
            <w:tcW w:w="1410" w:type="dxa"/>
            <w:shd w:val="clear" w:color="auto" w:fill="FFFFFF"/>
            <w:vAlign w:val="center"/>
          </w:tcPr>
          <w:p w14:paraId="28790912" w14:textId="206A1CFD" w:rsidR="006209CC" w:rsidRPr="001A09F2" w:rsidRDefault="006209CC" w:rsidP="006209CC">
            <w:pPr>
              <w:pStyle w:val="CETBodytext"/>
              <w:jc w:val="center"/>
            </w:pPr>
            <w:r w:rsidRPr="001A09F2">
              <w:t>Growth Rate</w:t>
            </w:r>
          </w:p>
        </w:tc>
        <w:tc>
          <w:tcPr>
            <w:tcW w:w="1134" w:type="dxa"/>
            <w:shd w:val="clear" w:color="auto" w:fill="FFFFFF"/>
            <w:vAlign w:val="center"/>
          </w:tcPr>
          <w:p w14:paraId="465DCBD5" w14:textId="75F2FB4F" w:rsidR="006209CC" w:rsidRPr="001A09F2" w:rsidRDefault="006209CC" w:rsidP="006209CC">
            <w:pPr>
              <w:pStyle w:val="CETBodytext"/>
              <w:ind w:right="-1"/>
              <w:jc w:val="center"/>
              <w:rPr>
                <w:rFonts w:cs="Arial"/>
                <w:szCs w:val="18"/>
              </w:rPr>
            </w:pPr>
            <w:r w:rsidRPr="001A09F2">
              <w:t>1.2</w:t>
            </w:r>
          </w:p>
        </w:tc>
        <w:tc>
          <w:tcPr>
            <w:tcW w:w="1134" w:type="dxa"/>
            <w:shd w:val="clear" w:color="auto" w:fill="FFFFFF"/>
            <w:vAlign w:val="center"/>
          </w:tcPr>
          <w:p w14:paraId="1761917C" w14:textId="05A00E13" w:rsidR="006209CC" w:rsidRPr="001A09F2" w:rsidRDefault="006209CC" w:rsidP="006209CC">
            <w:pPr>
              <w:pStyle w:val="CETBodytext"/>
              <w:ind w:right="-1"/>
              <w:jc w:val="center"/>
              <w:rPr>
                <w:rFonts w:cs="Arial"/>
                <w:szCs w:val="18"/>
              </w:rPr>
            </w:pPr>
            <w:r w:rsidRPr="001A09F2">
              <w:t>1.075</w:t>
            </w:r>
          </w:p>
        </w:tc>
        <w:tc>
          <w:tcPr>
            <w:tcW w:w="1134" w:type="dxa"/>
            <w:shd w:val="clear" w:color="auto" w:fill="FFFFFF"/>
            <w:vAlign w:val="center"/>
          </w:tcPr>
          <w:p w14:paraId="1516F321" w14:textId="6848927E" w:rsidR="006209CC" w:rsidRPr="001A09F2" w:rsidRDefault="006209CC" w:rsidP="006209CC">
            <w:pPr>
              <w:pStyle w:val="CETBodytext"/>
              <w:ind w:right="-1"/>
              <w:jc w:val="center"/>
              <w:rPr>
                <w:rFonts w:cs="Arial"/>
                <w:szCs w:val="18"/>
              </w:rPr>
            </w:pPr>
            <w:r w:rsidRPr="001A09F2">
              <w:t>1.1</w:t>
            </w:r>
          </w:p>
        </w:tc>
        <w:tc>
          <w:tcPr>
            <w:tcW w:w="1134" w:type="dxa"/>
            <w:shd w:val="clear" w:color="auto" w:fill="FFFFFF"/>
            <w:vAlign w:val="center"/>
          </w:tcPr>
          <w:p w14:paraId="2C79EB7E" w14:textId="4328D054" w:rsidR="006209CC" w:rsidRPr="001A09F2" w:rsidRDefault="006209CC" w:rsidP="006209CC">
            <w:pPr>
              <w:pStyle w:val="CETBodytext"/>
              <w:ind w:right="-1"/>
              <w:jc w:val="center"/>
              <w:rPr>
                <w:rFonts w:cs="Arial"/>
                <w:szCs w:val="18"/>
              </w:rPr>
            </w:pPr>
            <w:r w:rsidRPr="001A09F2">
              <w:t>1.15</w:t>
            </w:r>
          </w:p>
        </w:tc>
        <w:tc>
          <w:tcPr>
            <w:tcW w:w="1134" w:type="dxa"/>
            <w:shd w:val="clear" w:color="auto" w:fill="FFFFFF"/>
            <w:vAlign w:val="center"/>
          </w:tcPr>
          <w:p w14:paraId="5C4C0495" w14:textId="0FCCF737" w:rsidR="006209CC" w:rsidRPr="001A09F2" w:rsidRDefault="006209CC" w:rsidP="006209CC">
            <w:pPr>
              <w:pStyle w:val="CETBodytext"/>
              <w:ind w:right="-1"/>
              <w:jc w:val="center"/>
              <w:rPr>
                <w:rFonts w:cs="Arial"/>
                <w:szCs w:val="18"/>
              </w:rPr>
            </w:pPr>
            <w:r w:rsidRPr="001A09F2">
              <w:t>1.175</w:t>
            </w:r>
          </w:p>
        </w:tc>
        <w:tc>
          <w:tcPr>
            <w:tcW w:w="1134" w:type="dxa"/>
            <w:shd w:val="clear" w:color="auto" w:fill="FFFFFF"/>
            <w:vAlign w:val="center"/>
          </w:tcPr>
          <w:p w14:paraId="6B58B0BA" w14:textId="4534C482" w:rsidR="006209CC" w:rsidRPr="001A09F2" w:rsidRDefault="006209CC" w:rsidP="006209CC">
            <w:pPr>
              <w:pStyle w:val="CETBodytext"/>
              <w:ind w:right="-1"/>
              <w:jc w:val="center"/>
              <w:rPr>
                <w:rFonts w:cs="Arial"/>
                <w:szCs w:val="18"/>
              </w:rPr>
            </w:pPr>
            <w:r w:rsidRPr="001A09F2">
              <w:t>1.2</w:t>
            </w:r>
          </w:p>
        </w:tc>
      </w:tr>
    </w:tbl>
    <w:p w14:paraId="3386002B" w14:textId="77777777" w:rsidR="006209CC" w:rsidRPr="001A09F2" w:rsidRDefault="006209CC" w:rsidP="006209CC">
      <w:pPr>
        <w:pStyle w:val="CETBodytext"/>
      </w:pPr>
    </w:p>
    <w:p w14:paraId="31E08C92" w14:textId="207AF59C" w:rsidR="00410955" w:rsidRPr="001A09F2" w:rsidRDefault="006209CC" w:rsidP="006209CC">
      <w:pPr>
        <w:pStyle w:val="CETBodytext"/>
      </w:pPr>
      <w:r w:rsidRPr="001A09F2">
        <w:t xml:space="preserve">For the solver setup, a coupled pseudo-transient formulation was </w:t>
      </w:r>
      <w:r w:rsidR="00A50085" w:rsidRPr="001A09F2">
        <w:t>chosen</w:t>
      </w:r>
      <w:r w:rsidRPr="001A09F2">
        <w:t xml:space="preserve"> for the pressure-velocity solution method. A second-order spatial discretization scheme was employed for all variables to enhance accuracy.</w:t>
      </w:r>
      <w:bookmarkEnd w:id="4"/>
      <w:r w:rsidRPr="001A09F2">
        <w:t xml:space="preserve"> The convergence criteria are the ones suggested in the software manual, a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1A09F2">
        <w:t xml:space="preserve"> residual value for all the variables except the energy equation </w:t>
      </w:r>
      <w:r w:rsidR="00AF2084">
        <w:t xml:space="preserve">that has </w:t>
      </w:r>
      <w:r w:rsidRPr="001A09F2">
        <w:t xml:space="preserve">a smaller residual criterion of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Pr="001A09F2">
        <w:t>.</w:t>
      </w:r>
    </w:p>
    <w:p w14:paraId="723BD0AC" w14:textId="3705CD22" w:rsidR="00410955" w:rsidRPr="001A09F2" w:rsidRDefault="006209CC" w:rsidP="00410955">
      <w:pPr>
        <w:pStyle w:val="CETHeading1"/>
        <w:tabs>
          <w:tab w:val="clear" w:pos="360"/>
          <w:tab w:val="right" w:pos="7100"/>
        </w:tabs>
        <w:jc w:val="both"/>
      </w:pPr>
      <w:r w:rsidRPr="001A09F2">
        <w:t>Results</w:t>
      </w:r>
    </w:p>
    <w:p w14:paraId="04963A06" w14:textId="04271CBE" w:rsidR="00600535" w:rsidRPr="001A09F2" w:rsidRDefault="006209CC" w:rsidP="00FA5F5F">
      <w:pPr>
        <w:pStyle w:val="CETheadingx"/>
      </w:pPr>
      <w:r w:rsidRPr="001A09F2">
        <w:t>Case studies</w:t>
      </w:r>
    </w:p>
    <w:p w14:paraId="1960364F" w14:textId="6887D6D3" w:rsidR="006209CC" w:rsidRPr="001A09F2" w:rsidRDefault="006209CC" w:rsidP="006209CC">
      <w:pPr>
        <w:pStyle w:val="CETBodytext"/>
      </w:pPr>
      <w:r w:rsidRPr="001A09F2">
        <w:t xml:space="preserve">The main aim of the work is to study the interaction between horizontal </w:t>
      </w:r>
      <w:r w:rsidR="0009083D" w:rsidRPr="001A09F2">
        <w:t>high-pressure</w:t>
      </w:r>
      <w:r w:rsidRPr="001A09F2">
        <w:t xml:space="preserve"> jets released from small orifices and the ground surface. To have a comparison case, for all three substances a free jet case was simulated to obtain the overall dimension of a jet which does not interact with the ground. Then, a series of releases were simulated varying the height from the ground starting from </w:t>
      </w:r>
      <m:oMath>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eq</m:t>
            </m:r>
          </m:sub>
        </m:sSub>
      </m:oMath>
      <w:r w:rsidRPr="001A09F2">
        <w:t xml:space="preserve"> and increasing the height until the free</w:t>
      </w:r>
      <w:r w:rsidR="005B18A0" w:rsidRPr="001A09F2">
        <w:t xml:space="preserve"> - </w:t>
      </w:r>
      <w:r w:rsidRPr="001A09F2">
        <w:t xml:space="preserve">jet was reached. Release conditions were chosen to consent to a comparison with a previous work </w:t>
      </w:r>
      <w:r w:rsidR="00A5392E" w:rsidRPr="001A09F2">
        <w:fldChar w:fldCharType="begin"/>
      </w:r>
      <w:r w:rsidR="00A5392E" w:rsidRPr="001A09F2">
        <w:instrText xml:space="preserve"> ADDIN ZOTERO_ITEM CSL_CITATION {"citationID":"Km67CDwH","properties":{"formattedCitation":"(Colombini et al., 2020a)","plainCitation":"(Colombini et al., 2020a)","noteIndex":0},"citationItems":[{"id":128,"uris":["http://zotero.org/users/12493459/items/4JZZTZ82"],"itemData":{"id":128,"type":"article-journal","abstract":"Due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schema":"https://github.com/citation-style-language/schema/raw/master/csl-citation.json"} </w:instrText>
      </w:r>
      <w:r w:rsidR="00A5392E" w:rsidRPr="001A09F2">
        <w:fldChar w:fldCharType="separate"/>
      </w:r>
      <w:r w:rsidR="00A5392E" w:rsidRPr="001A09F2">
        <w:rPr>
          <w:rFonts w:cs="Arial"/>
        </w:rPr>
        <w:t>(Colombini et al., 2020a)</w:t>
      </w:r>
      <w:r w:rsidR="00A5392E" w:rsidRPr="001A09F2">
        <w:fldChar w:fldCharType="end"/>
      </w:r>
      <w:r w:rsidRPr="001A09F2">
        <w:t>. Storages are kept at ambient temperature of 300 K and the internal pressure is 65 bar for Methane, 8 bar for Propane and 101 bar for Hydrogen.</w:t>
      </w:r>
    </w:p>
    <w:p w14:paraId="1F96CA21" w14:textId="6FF7C745" w:rsidR="00600535" w:rsidRPr="001A09F2" w:rsidRDefault="000A7A6B" w:rsidP="00FA5F5F">
      <w:pPr>
        <w:pStyle w:val="CETheadingx"/>
      </w:pPr>
      <w:r w:rsidRPr="001A09F2">
        <w:t>Hole with 5 mm diameter</w:t>
      </w:r>
    </w:p>
    <w:p w14:paraId="59A6DB6A" w14:textId="6B74FF63" w:rsidR="0067638B" w:rsidRDefault="006209CC" w:rsidP="006209CC">
      <w:pPr>
        <w:pStyle w:val="CETBodytext"/>
      </w:pPr>
      <w:r w:rsidRPr="001A09F2">
        <w:t>For the smaller leak, a 5 mm hole was chosen.</w:t>
      </w:r>
      <w:r w:rsidR="0067638B" w:rsidRPr="001A09F2">
        <w:t xml:space="preserve"> The main release parameters for the three substances are reported in </w:t>
      </w:r>
      <w:r w:rsidR="0067638B" w:rsidRPr="001A09F2">
        <w:fldChar w:fldCharType="begin"/>
      </w:r>
      <w:r w:rsidR="0067638B" w:rsidRPr="001A09F2">
        <w:instrText xml:space="preserve"> REF _Ref184396883 \h </w:instrText>
      </w:r>
      <w:r w:rsidR="0067638B" w:rsidRPr="001A09F2">
        <w:fldChar w:fldCharType="separate"/>
      </w:r>
      <w:r w:rsidR="00094DCF" w:rsidRPr="001A09F2">
        <w:t xml:space="preserve">Table </w:t>
      </w:r>
      <w:r w:rsidR="00094DCF">
        <w:rPr>
          <w:noProof/>
        </w:rPr>
        <w:t>2</w:t>
      </w:r>
      <w:r w:rsidR="0067638B" w:rsidRPr="001A09F2">
        <w:fldChar w:fldCharType="end"/>
      </w:r>
      <w:r w:rsidR="0067638B" w:rsidRPr="001A09F2">
        <w:t xml:space="preserve"> along with the free – jet case maximum extension</w:t>
      </w:r>
      <w:r w:rsidR="00BC4525">
        <w:t xml:space="preserve"> (</w:t>
      </w:r>
      <w:proofErr w:type="spellStart"/>
      <w:r w:rsidR="00BC4525">
        <w:t>ME</w:t>
      </w:r>
      <w:r w:rsidR="00BC4525">
        <w:rPr>
          <w:vertAlign w:val="subscript"/>
        </w:rPr>
        <w:t>fj</w:t>
      </w:r>
      <w:proofErr w:type="spellEnd"/>
      <w:r w:rsidR="00BC4525">
        <w:t>)</w:t>
      </w:r>
      <w:r w:rsidR="0067638B" w:rsidRPr="001A09F2">
        <w:t>.</w:t>
      </w:r>
    </w:p>
    <w:p w14:paraId="49E388DC" w14:textId="77777777" w:rsidR="00C97FEA" w:rsidRPr="001A09F2" w:rsidRDefault="00C97FEA" w:rsidP="006209CC">
      <w:pPr>
        <w:pStyle w:val="CETBodytext"/>
      </w:pPr>
    </w:p>
    <w:p w14:paraId="2A193BA7" w14:textId="4EA3B58A" w:rsidR="0067638B" w:rsidRPr="001A09F2" w:rsidRDefault="0067638B" w:rsidP="00293DC2">
      <w:pPr>
        <w:pStyle w:val="CETTabletitle"/>
        <w:jc w:val="center"/>
        <w:rPr>
          <w:lang w:val="en-US"/>
        </w:rPr>
      </w:pPr>
      <w:bookmarkStart w:id="5" w:name="_Ref184396883"/>
      <w:r w:rsidRPr="001A09F2">
        <w:rPr>
          <w:lang w:val="en-US"/>
        </w:rPr>
        <w:lastRenderedPageBreak/>
        <w:t xml:space="preserve">Table </w:t>
      </w:r>
      <w:r w:rsidRPr="001A09F2">
        <w:rPr>
          <w:lang w:val="en-US"/>
        </w:rPr>
        <w:fldChar w:fldCharType="begin"/>
      </w:r>
      <w:r w:rsidRPr="001A09F2">
        <w:rPr>
          <w:lang w:val="en-US"/>
        </w:rPr>
        <w:instrText xml:space="preserve"> SEQ Table \* ARABIC </w:instrText>
      </w:r>
      <w:r w:rsidRPr="001A09F2">
        <w:rPr>
          <w:lang w:val="en-US"/>
        </w:rPr>
        <w:fldChar w:fldCharType="separate"/>
      </w:r>
      <w:r w:rsidR="00094DCF">
        <w:rPr>
          <w:noProof/>
          <w:lang w:val="en-US"/>
        </w:rPr>
        <w:t>2</w:t>
      </w:r>
      <w:r w:rsidRPr="001A09F2">
        <w:rPr>
          <w:lang w:val="en-US"/>
        </w:rPr>
        <w:fldChar w:fldCharType="end"/>
      </w:r>
      <w:bookmarkEnd w:id="5"/>
      <w:r w:rsidR="00293DC2">
        <w:rPr>
          <w:lang w:val="en-US"/>
        </w:rPr>
        <w:t xml:space="preserve"> R</w:t>
      </w:r>
      <w:r w:rsidR="00293DC2" w:rsidRPr="00293DC2">
        <w:rPr>
          <w:lang w:val="en-US"/>
        </w:rPr>
        <w:t>elease parameters</w:t>
      </w:r>
      <w:r w:rsidR="00293DC2">
        <w:rPr>
          <w:lang w:val="en-US"/>
        </w:rPr>
        <w: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0"/>
        <w:gridCol w:w="1134"/>
        <w:gridCol w:w="1134"/>
        <w:gridCol w:w="1134"/>
      </w:tblGrid>
      <w:tr w:rsidR="0067638B" w:rsidRPr="001A09F2" w14:paraId="3F35DF94" w14:textId="1BC3BFCF" w:rsidTr="00293DC2">
        <w:trPr>
          <w:jc w:val="center"/>
        </w:trPr>
        <w:tc>
          <w:tcPr>
            <w:tcW w:w="1410" w:type="dxa"/>
            <w:tcBorders>
              <w:top w:val="single" w:sz="12" w:space="0" w:color="008000"/>
              <w:bottom w:val="single" w:sz="6" w:space="0" w:color="008000"/>
            </w:tcBorders>
            <w:shd w:val="clear" w:color="auto" w:fill="FFFFFF"/>
            <w:vAlign w:val="center"/>
          </w:tcPr>
          <w:p w14:paraId="3C479236" w14:textId="77777777" w:rsidR="0067638B" w:rsidRPr="001A09F2" w:rsidRDefault="0067638B">
            <w:pPr>
              <w:pStyle w:val="CETBodytext"/>
              <w:jc w:val="center"/>
            </w:pPr>
          </w:p>
        </w:tc>
        <w:tc>
          <w:tcPr>
            <w:tcW w:w="1134" w:type="dxa"/>
            <w:tcBorders>
              <w:top w:val="single" w:sz="12" w:space="0" w:color="008000"/>
              <w:bottom w:val="single" w:sz="6" w:space="0" w:color="008000"/>
            </w:tcBorders>
            <w:shd w:val="clear" w:color="auto" w:fill="FFFFFF"/>
            <w:vAlign w:val="center"/>
          </w:tcPr>
          <w:p w14:paraId="20C0EE6C" w14:textId="6989464D" w:rsidR="0067638B" w:rsidRPr="001A09F2" w:rsidRDefault="0067638B">
            <w:pPr>
              <w:pStyle w:val="CETBodytext"/>
              <w:jc w:val="center"/>
            </w:pPr>
            <w:proofErr w:type="spellStart"/>
            <w:r w:rsidRPr="001A09F2">
              <w:t>D</w:t>
            </w:r>
            <w:r w:rsidRPr="001A09F2">
              <w:rPr>
                <w:vertAlign w:val="subscript"/>
              </w:rPr>
              <w:t>eq</w:t>
            </w:r>
            <w:proofErr w:type="spellEnd"/>
            <w:r w:rsidRPr="001A09F2">
              <w:rPr>
                <w:vertAlign w:val="subscript"/>
              </w:rPr>
              <w:t xml:space="preserve"> </w:t>
            </w:r>
            <w:r w:rsidRPr="001A09F2">
              <w:t>[m]</w:t>
            </w:r>
          </w:p>
        </w:tc>
        <w:tc>
          <w:tcPr>
            <w:tcW w:w="1134" w:type="dxa"/>
            <w:tcBorders>
              <w:top w:val="single" w:sz="12" w:space="0" w:color="008000"/>
              <w:bottom w:val="single" w:sz="6" w:space="0" w:color="008000"/>
            </w:tcBorders>
            <w:shd w:val="clear" w:color="auto" w:fill="FFFFFF"/>
            <w:vAlign w:val="center"/>
          </w:tcPr>
          <w:p w14:paraId="24875FAE" w14:textId="4B7DE841" w:rsidR="0067638B" w:rsidRPr="001A09F2" w:rsidRDefault="0067638B">
            <w:pPr>
              <w:pStyle w:val="CETBodytext"/>
              <w:jc w:val="center"/>
            </w:pPr>
            <w:r w:rsidRPr="001A09F2">
              <w:t>Mass flow rate [kg/s]</w:t>
            </w:r>
          </w:p>
        </w:tc>
        <w:tc>
          <w:tcPr>
            <w:tcW w:w="1134" w:type="dxa"/>
            <w:tcBorders>
              <w:top w:val="single" w:sz="12" w:space="0" w:color="008000"/>
              <w:bottom w:val="single" w:sz="6" w:space="0" w:color="008000"/>
            </w:tcBorders>
            <w:shd w:val="clear" w:color="auto" w:fill="FFFFFF"/>
          </w:tcPr>
          <w:p w14:paraId="3FA2366D" w14:textId="031E4346" w:rsidR="0067638B" w:rsidRPr="001A09F2" w:rsidRDefault="0067638B">
            <w:pPr>
              <w:pStyle w:val="CETBodytext"/>
              <w:jc w:val="center"/>
            </w:pPr>
            <w:proofErr w:type="spellStart"/>
            <w:r w:rsidRPr="001A09F2">
              <w:t>ME</w:t>
            </w:r>
            <w:r w:rsidRPr="001A09F2">
              <w:rPr>
                <w:vertAlign w:val="subscript"/>
              </w:rPr>
              <w:t>fj</w:t>
            </w:r>
            <w:proofErr w:type="spellEnd"/>
            <w:r w:rsidRPr="001A09F2">
              <w:t xml:space="preserve"> [m]</w:t>
            </w:r>
          </w:p>
        </w:tc>
      </w:tr>
      <w:tr w:rsidR="0067638B" w:rsidRPr="001A09F2" w14:paraId="63F0F2CD" w14:textId="4D0EBF5A" w:rsidTr="00293DC2">
        <w:trPr>
          <w:jc w:val="center"/>
        </w:trPr>
        <w:tc>
          <w:tcPr>
            <w:tcW w:w="1410" w:type="dxa"/>
            <w:shd w:val="clear" w:color="auto" w:fill="FFFFFF"/>
            <w:vAlign w:val="center"/>
          </w:tcPr>
          <w:p w14:paraId="10CF00CB" w14:textId="1EA7CAE7" w:rsidR="0067638B" w:rsidRPr="001A09F2" w:rsidRDefault="0067638B">
            <w:pPr>
              <w:pStyle w:val="CETBodytext"/>
              <w:jc w:val="center"/>
              <w:rPr>
                <w:rFonts w:cs="Arial"/>
              </w:rPr>
            </w:pPr>
            <w:r w:rsidRPr="001A09F2">
              <w:rPr>
                <w:rFonts w:cs="Arial"/>
              </w:rPr>
              <w:t>Methane</w:t>
            </w:r>
          </w:p>
        </w:tc>
        <w:tc>
          <w:tcPr>
            <w:tcW w:w="1134" w:type="dxa"/>
            <w:shd w:val="clear" w:color="auto" w:fill="FFFFFF"/>
            <w:vAlign w:val="center"/>
          </w:tcPr>
          <w:p w14:paraId="705E1EEB" w14:textId="529CC470" w:rsidR="0067638B" w:rsidRPr="001A09F2" w:rsidRDefault="0067638B">
            <w:pPr>
              <w:pStyle w:val="CETBodytext"/>
              <w:jc w:val="center"/>
            </w:pPr>
            <w:r w:rsidRPr="001A09F2">
              <w:t>0.0287</w:t>
            </w:r>
          </w:p>
        </w:tc>
        <w:tc>
          <w:tcPr>
            <w:tcW w:w="1134" w:type="dxa"/>
            <w:shd w:val="clear" w:color="auto" w:fill="FFFFFF"/>
            <w:vAlign w:val="center"/>
          </w:tcPr>
          <w:p w14:paraId="65D51FE5" w14:textId="139020AD" w:rsidR="0067638B" w:rsidRPr="001A09F2" w:rsidRDefault="0067638B">
            <w:pPr>
              <w:pStyle w:val="CETBodytext"/>
              <w:jc w:val="center"/>
            </w:pPr>
            <w:r w:rsidRPr="001A09F2">
              <w:t>0.1773</w:t>
            </w:r>
          </w:p>
        </w:tc>
        <w:tc>
          <w:tcPr>
            <w:tcW w:w="1134" w:type="dxa"/>
            <w:shd w:val="clear" w:color="auto" w:fill="FFFFFF"/>
          </w:tcPr>
          <w:p w14:paraId="49CFABAC" w14:textId="6BBAC67B" w:rsidR="0067638B" w:rsidRPr="001A09F2" w:rsidRDefault="0067638B">
            <w:pPr>
              <w:pStyle w:val="CETBodytext"/>
              <w:jc w:val="center"/>
            </w:pPr>
            <w:r w:rsidRPr="001A09F2">
              <w:t>3.33</w:t>
            </w:r>
          </w:p>
        </w:tc>
      </w:tr>
      <w:tr w:rsidR="0067638B" w:rsidRPr="001A09F2" w14:paraId="7D73E7F3" w14:textId="3EF9C65E" w:rsidTr="00293DC2">
        <w:trPr>
          <w:jc w:val="center"/>
        </w:trPr>
        <w:tc>
          <w:tcPr>
            <w:tcW w:w="1410" w:type="dxa"/>
            <w:shd w:val="clear" w:color="auto" w:fill="FFFFFF"/>
            <w:vAlign w:val="center"/>
          </w:tcPr>
          <w:p w14:paraId="065CE046" w14:textId="7C2626A8" w:rsidR="0067638B" w:rsidRPr="001A09F2" w:rsidRDefault="0067638B">
            <w:pPr>
              <w:pStyle w:val="CETBodytext"/>
              <w:jc w:val="center"/>
            </w:pPr>
            <w:r w:rsidRPr="001A09F2">
              <w:t>Propane</w:t>
            </w:r>
          </w:p>
        </w:tc>
        <w:tc>
          <w:tcPr>
            <w:tcW w:w="1134" w:type="dxa"/>
            <w:shd w:val="clear" w:color="auto" w:fill="FFFFFF"/>
            <w:vAlign w:val="center"/>
          </w:tcPr>
          <w:p w14:paraId="34148D89" w14:textId="6414E87E" w:rsidR="0067638B" w:rsidRPr="001A09F2" w:rsidRDefault="0067638B">
            <w:pPr>
              <w:pStyle w:val="CETBodytext"/>
              <w:jc w:val="center"/>
            </w:pPr>
            <w:r w:rsidRPr="001A09F2">
              <w:t>0.0102</w:t>
            </w:r>
          </w:p>
        </w:tc>
        <w:tc>
          <w:tcPr>
            <w:tcW w:w="1134" w:type="dxa"/>
            <w:shd w:val="clear" w:color="auto" w:fill="FFFFFF"/>
            <w:vAlign w:val="center"/>
          </w:tcPr>
          <w:p w14:paraId="13868BC7" w14:textId="065AA4A6" w:rsidR="0067638B" w:rsidRPr="001A09F2" w:rsidRDefault="0067638B">
            <w:pPr>
              <w:pStyle w:val="CETBodytext"/>
              <w:jc w:val="center"/>
            </w:pPr>
            <w:r w:rsidRPr="001A09F2">
              <w:t>0.037</w:t>
            </w:r>
          </w:p>
        </w:tc>
        <w:tc>
          <w:tcPr>
            <w:tcW w:w="1134" w:type="dxa"/>
            <w:shd w:val="clear" w:color="auto" w:fill="FFFFFF"/>
          </w:tcPr>
          <w:p w14:paraId="0F3BD8AC" w14:textId="5DAE3C8B" w:rsidR="0067638B" w:rsidRPr="001A09F2" w:rsidRDefault="0067638B">
            <w:pPr>
              <w:pStyle w:val="CETBodytext"/>
              <w:jc w:val="center"/>
            </w:pPr>
            <w:r w:rsidRPr="001A09F2">
              <w:t>1.7</w:t>
            </w:r>
          </w:p>
        </w:tc>
      </w:tr>
      <w:tr w:rsidR="0067638B" w:rsidRPr="001A09F2" w14:paraId="6B3258DC" w14:textId="05F3EDC5" w:rsidTr="00293DC2">
        <w:trPr>
          <w:jc w:val="center"/>
        </w:trPr>
        <w:tc>
          <w:tcPr>
            <w:tcW w:w="1410" w:type="dxa"/>
            <w:shd w:val="clear" w:color="auto" w:fill="FFFFFF"/>
            <w:vAlign w:val="center"/>
          </w:tcPr>
          <w:p w14:paraId="090B60B9" w14:textId="32ACA619" w:rsidR="0067638B" w:rsidRPr="001A09F2" w:rsidRDefault="0067638B">
            <w:pPr>
              <w:pStyle w:val="CETBodytext"/>
              <w:jc w:val="center"/>
            </w:pPr>
            <w:r w:rsidRPr="001A09F2">
              <w:t>Hydrogen</w:t>
            </w:r>
          </w:p>
        </w:tc>
        <w:tc>
          <w:tcPr>
            <w:tcW w:w="1134" w:type="dxa"/>
            <w:shd w:val="clear" w:color="auto" w:fill="FFFFFF"/>
            <w:vAlign w:val="center"/>
          </w:tcPr>
          <w:p w14:paraId="148A5DEB" w14:textId="7A5CA5F3" w:rsidR="0067638B" w:rsidRPr="001A09F2" w:rsidRDefault="0067638B">
            <w:pPr>
              <w:pStyle w:val="CETBodytext"/>
              <w:jc w:val="center"/>
            </w:pPr>
            <w:r w:rsidRPr="001A09F2">
              <w:t>0.038</w:t>
            </w:r>
          </w:p>
        </w:tc>
        <w:tc>
          <w:tcPr>
            <w:tcW w:w="1134" w:type="dxa"/>
            <w:shd w:val="clear" w:color="auto" w:fill="FFFFFF"/>
            <w:vAlign w:val="center"/>
          </w:tcPr>
          <w:p w14:paraId="1B41C981" w14:textId="4812860D" w:rsidR="0067638B" w:rsidRPr="001A09F2" w:rsidRDefault="0067638B">
            <w:pPr>
              <w:pStyle w:val="CETBodytext"/>
              <w:jc w:val="center"/>
            </w:pPr>
            <w:r w:rsidRPr="001A09F2">
              <w:t>0.1233</w:t>
            </w:r>
          </w:p>
        </w:tc>
        <w:tc>
          <w:tcPr>
            <w:tcW w:w="1134" w:type="dxa"/>
            <w:shd w:val="clear" w:color="auto" w:fill="FFFFFF"/>
          </w:tcPr>
          <w:p w14:paraId="79F54347" w14:textId="6084EAA3" w:rsidR="0067638B" w:rsidRPr="001A09F2" w:rsidRDefault="0067638B">
            <w:pPr>
              <w:pStyle w:val="CETBodytext"/>
              <w:jc w:val="center"/>
            </w:pPr>
            <w:r w:rsidRPr="001A09F2">
              <w:t>15.84</w:t>
            </w:r>
          </w:p>
        </w:tc>
      </w:tr>
    </w:tbl>
    <w:p w14:paraId="6935493D" w14:textId="77777777" w:rsidR="0067638B" w:rsidRPr="001A09F2" w:rsidRDefault="0067638B" w:rsidP="006209CC">
      <w:pPr>
        <w:pStyle w:val="CETBodytext"/>
      </w:pPr>
    </w:p>
    <w:p w14:paraId="014BD50D" w14:textId="571EAD25" w:rsidR="0067638B" w:rsidRPr="001A09F2" w:rsidRDefault="0083680A" w:rsidP="006209CC">
      <w:pPr>
        <w:pStyle w:val="CETBodytext"/>
      </w:pPr>
      <w:r w:rsidRPr="001A09F2">
        <w:t xml:space="preserve">Release heights were taken as multiple of the equivalent diameter, starting from </w:t>
      </w: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D</m:t>
                </m:r>
              </m:e>
              <m:sub>
                <m:r>
                  <w:rPr>
                    <w:rFonts w:ascii="Cambria Math" w:hAnsi="Cambria Math"/>
                  </w:rPr>
                  <m:t>eq</m:t>
                </m:r>
              </m:sub>
            </m:sSub>
          </m:den>
        </m:f>
        <m:r>
          <w:rPr>
            <w:rFonts w:ascii="Cambria Math" w:hAnsi="Cambria Math"/>
          </w:rPr>
          <m:t>=1</m:t>
        </m:r>
      </m:oMath>
      <w:r w:rsidRPr="001A09F2">
        <w:t xml:space="preserve"> until reaching the free – jet</w:t>
      </w:r>
      <w:r w:rsidR="00A51A59">
        <w:t xml:space="preserve"> conditions</w:t>
      </w:r>
      <w:r w:rsidRPr="001A09F2">
        <w:t>.</w:t>
      </w:r>
      <w:r w:rsidR="008939BB" w:rsidRPr="001A09F2">
        <w:t xml:space="preserve"> </w:t>
      </w:r>
      <w:r w:rsidR="006F4865" w:rsidRPr="001A09F2">
        <w:t xml:space="preserve">The primary phenomenon observed, consistent with previous studies </w:t>
      </w:r>
      <w:r w:rsidR="009D6A10" w:rsidRPr="001A09F2">
        <w:fldChar w:fldCharType="begin"/>
      </w:r>
      <w:r w:rsidR="009D6A10" w:rsidRPr="001A09F2">
        <w:instrText xml:space="preserve"> ADDIN ZOTERO_ITEM CSL_CITATION {"citationID":"3ySgmbIS","properties":{"formattedCitation":"(B\\uc0\\u233{}nard et al., 2016; Colombini et al., 2020a, 2020b; Hourri et al., 2009)","plainCitation":"(Bénard et al., 2016; Colombini et al., 2020a, 2020b; Hourri et al., 2009)","noteIndex":0},"citationItems":[{"id":130,"uris":["http://zotero.org/users/12493459/items/HCD2GGB9"],"itemData":{"id":130,"type":"article-journal","abstract":"The effect of an adjacent surface on the lower flammability limit cloud extents of high pressure horizontal and vertical unignited jets of both hydrogen and methane is studied using Computational Fluid Dynamics (CFD) simulations performed with FLACS Hydrogen. Two jet directions (horizontal and vertical) and two surface positions (horizontal or ground, vertical or side wall) were studied: horizontal jets along a horizontal surface, vertical and horizontal jets along a vertical surface or side wall. Results for constant flow rate through a 6.35 mm round leak orifice from 101 bar, 251 bar, 401 bar, 551 bar and 701 bar compressed gas systems are presented. The effect of the surface on the flammable extents is studied systematically by positioning the jet exit release at various distances from the surface ranging from 0.029 m to 10 m. Free jets simulations were performed for comparison purposes. Our results were quantified by establishing engineering correlations that could be used to predict the flammable extent of hydrogen and methane jet releases in the presence of surfaces. These correlations were validated using experiments conducted for horizontal hydrogen jets in the vicinity of horizontal surfaces, carried out at the facilities of Defence Research and Development Canada (DRDC) in Val-Belair, Québec.","container-title":"International Journal of Hydrogen Energy","DOI":"10.1016/j.ijhydene.2016.08.173","ISSN":"0360-3199","issue":"41","journalAbbreviation":"International Journal of Hydrogen Energy","page":"18654-18662","source":"ScienceDirect","title":"Adjacent surface effect on the flammable cloud of hydrogen and methane jets: Numerical investigation and engineering correlations","title-short":"Adjacent surface effect on the flammable cloud of hydrogen and methane jets","volume":"41","author":[{"family":"Bénard","given":"Pierre"},{"family":"Hourri","given":"Ahmed"},{"family":"Angers","given":"Benjamin"},{"family":"Tchouvelev","given":"Andrei"}],"issued":{"date-parts":[["2016",11,2]]}}},{"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id":134,"uris":["http://zotero.org/users/12493459/items/SABW7CTN"],"itemData":{"id":134,"type":"article-journal","abstract":"High-pressure gaseous methane release is a relevant safety-related problem mainly in the Oil and Gas industry. As well documented, the reason for these safety concerns is connected with the severe consequences of the domino effect subsequent to the possible ignition. In risk assessment activities, estimation of the damage area is of primary importance in order to draw up proper safety guidelines. To do this, loss prevention specialists use quick and well-established numerical tools (i.e., integral models) in their daily activities. However, the presence of an obstacle in the flow field of the jet (e.g., the ground) is a more probable situation to deal with. It is known that integral models fail in this kind of scenario, leading to unreliable predictions. Hence, the present work investigates how an industrial ground surface influences the LFL cloud size of a horizontal high-pressure methane jet. An innovative quick procedure is proposed allowing to determine the height below which the ground begins to influence the LFL cloud size and the extent of such influence. Therefore, this procedure allows practitioners to establish when integral models can be used and when not to use them, and also provides a simple and reliable alternative to their use. These analytical instruments are derived from an extensive computational fluid dynamics analysis performed with Ansys Fluent 19.0.","container-title":"Journal of Loss Prevention in the Process Industries","DOI":"10.1016/j.jlp.2020.104240","ISSN":"0950-4230","journalAbbreviation":"Journal of Loss Prevention in the Process Industries","page":"104240","source":"ScienceDirect","title":"Ground influence on high-pressure methane jets: Practical tools for risk assessment","title-short":"Ground influence on high-pressure methane jets","volume":"67","author":[{"family":"Colombini","given":"Cristian"},{"family":"Martani","given":"Andrea"},{"family":"Rota","given":"Renato"},{"family":"Busini","given":"Valentina"}],"issued":{"date-parts":[["2020",9,1]]}}},{"id":137,"uris":["http://zotero.org/users/12493459/items/A7CZYQSX"],"itemData":{"id":137,"type":"article-journal","abstract":"Studies on the effect of surfaces on the extent of the flammable cloud of high-pressure horizontal and vertical jets of hydrogen and methane are performed using CFD numerical simulations. For the horizontal jets, two scenarios pertaining to the location of the surface are studied: horizontal surface (the ground), and vertical surface (side wall). For a constant flow rate release, the extent of the flammable cloud is determined as a function of time. Effects of the proximity of the surface on the flammable extent along the axis of the jet and its impact on the maximum extent of the flammable cloud is explored and compared for both hydrogen and methane. The results are also compared to the predictions of the Birch correlations for flammable extents. It is found that the presence of a surface and its proximity to the jet centerline result in a pronounced increase in the extent of the flammable cloud compared to a free jet.","container-title":"International Journal of Hydrogen Energy","DOI":"10.1016/j.ijhydene.2008.11.088","ISSN":"0360-3199","issue":"3","journalAbbreviation":"International Journal of Hydrogen Energy","page":"1569-1577","source":"ScienceDirect","title":"Surface effects on flammable extent of hydrogen and methane jets","volume":"34","author":[{"family":"Hourri","given":"A."},{"family":"Angers","given":"B."},{"family":"Bénard","given":"P."}],"issued":{"date-parts":[["2009",2,1]]}},"label":"page"}],"schema":"https://github.com/citation-style-language/schema/raw/master/csl-citation.json"} </w:instrText>
      </w:r>
      <w:r w:rsidR="009D6A10" w:rsidRPr="001A09F2">
        <w:fldChar w:fldCharType="separate"/>
      </w:r>
      <w:r w:rsidR="009D6A10" w:rsidRPr="001A09F2">
        <w:rPr>
          <w:rFonts w:cs="Arial"/>
        </w:rPr>
        <w:t>(Bénard et al., 2016; Colombini et al., 2020a, 2020b; Hourri et al., 2009)</w:t>
      </w:r>
      <w:r w:rsidR="009D6A10" w:rsidRPr="001A09F2">
        <w:fldChar w:fldCharType="end"/>
      </w:r>
      <w:r w:rsidR="0057364B" w:rsidRPr="001A09F2">
        <w:t xml:space="preserve"> </w:t>
      </w:r>
      <w:r w:rsidR="00D568CB" w:rsidRPr="001A09F2">
        <w:t>is the Coanda effect. This effect, resulting from a pressure differential between the air above and below the jet, causes the jet to adhere to the ground, thereby extending its travel distance compared to the free-jet scenario. Additionally, due to the low release height, the jet naturally contacts the ground during the expansion phase</w:t>
      </w:r>
      <w:r w:rsidR="0041623F" w:rsidRPr="001A09F2">
        <w:t xml:space="preserve">, a phenomenon </w:t>
      </w:r>
      <w:r w:rsidR="006128E2" w:rsidRPr="001A09F2">
        <w:t xml:space="preserve">that </w:t>
      </w:r>
      <w:r w:rsidR="008A5373">
        <w:t>can possibly</w:t>
      </w:r>
      <w:r w:rsidR="006128E2" w:rsidRPr="001A09F2">
        <w:t xml:space="preserve"> increase the contribution of the terrain to the </w:t>
      </w:r>
      <w:r w:rsidR="00F502EC" w:rsidRPr="001A09F2">
        <w:t xml:space="preserve">jet total length. </w:t>
      </w:r>
      <w:r w:rsidR="007B0E0F" w:rsidRPr="001A09F2">
        <w:t xml:space="preserve">In </w:t>
      </w:r>
      <w:r w:rsidR="00DF25FC" w:rsidRPr="001A09F2">
        <w:fldChar w:fldCharType="begin"/>
      </w:r>
      <w:r w:rsidR="00DF25FC" w:rsidRPr="001A09F2">
        <w:instrText xml:space="preserve"> REF _Ref184749053 \h </w:instrText>
      </w:r>
      <w:r w:rsidR="00DF25FC" w:rsidRPr="001A09F2">
        <w:fldChar w:fldCharType="separate"/>
      </w:r>
      <w:r w:rsidR="00094DCF" w:rsidRPr="001A09F2">
        <w:t xml:space="preserve">Figure </w:t>
      </w:r>
      <w:r w:rsidR="00094DCF">
        <w:rPr>
          <w:noProof/>
        </w:rPr>
        <w:t>2</w:t>
      </w:r>
      <w:r w:rsidR="00DF25FC" w:rsidRPr="001A09F2">
        <w:fldChar w:fldCharType="end"/>
      </w:r>
      <w:r w:rsidR="001D7C72" w:rsidRPr="001A09F2">
        <w:t xml:space="preserve"> the results </w:t>
      </w:r>
      <w:r w:rsidR="002C6D75">
        <w:t>are</w:t>
      </w:r>
      <w:r w:rsidR="001D7C72" w:rsidRPr="001A09F2">
        <w:t xml:space="preserve"> plotted </w:t>
      </w:r>
      <w:r w:rsidR="005A6306">
        <w:t>in the same space of</w:t>
      </w:r>
      <w:r w:rsidR="009F5776">
        <w:t xml:space="preserve"> </w:t>
      </w:r>
      <w:r w:rsidR="009F5776" w:rsidRPr="001A09F2">
        <w:fldChar w:fldCharType="begin"/>
      </w:r>
      <w:r w:rsidR="009F5776" w:rsidRPr="001A09F2">
        <w:instrText xml:space="preserve"> ADDIN ZOTERO_ITEM CSL_CITATION {"citationID":"Km67CDwH","properties":{"formattedCitation":"(Colombini et al., 2020a)","plainCitation":"(Colombini et al., 2020a)","noteIndex":0},"citationItems":[{"id":128,"uris":["http://zotero.org/users/12493459/items/4JZZTZ82"],"itemData":{"id":128,"type":"article-journal","abstract":"Due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schema":"https://github.com/citation-style-language/schema/raw/master/csl-citation.json"} </w:instrText>
      </w:r>
      <w:r w:rsidR="009F5776" w:rsidRPr="001A09F2">
        <w:fldChar w:fldCharType="separate"/>
      </w:r>
      <w:r w:rsidR="009F5776" w:rsidRPr="001A09F2">
        <w:rPr>
          <w:rFonts w:cs="Arial"/>
        </w:rPr>
        <w:t>(Colombini et al., 2020a)</w:t>
      </w:r>
      <w:r w:rsidR="009F5776" w:rsidRPr="001A09F2">
        <w:fldChar w:fldCharType="end"/>
      </w:r>
      <w:r w:rsidR="005A6306">
        <w:t xml:space="preserve"> </w:t>
      </w:r>
      <w:r w:rsidR="00415DA3" w:rsidRPr="001A09F2">
        <w:t xml:space="preserve">to visualize the correlation between the release height and </w:t>
      </w:r>
      <w:r w:rsidR="006547C6" w:rsidRPr="001A09F2">
        <w:t xml:space="preserve">the ground influence. </w:t>
      </w:r>
    </w:p>
    <w:p w14:paraId="5AFFADC0" w14:textId="77777777" w:rsidR="007B0E0F" w:rsidRPr="001A09F2" w:rsidRDefault="007B0E0F" w:rsidP="006209CC">
      <w:pPr>
        <w:pStyle w:val="CETBodytext"/>
      </w:pPr>
    </w:p>
    <w:p w14:paraId="2918A112" w14:textId="77777777" w:rsidR="00DF25FC" w:rsidRPr="001A09F2" w:rsidRDefault="00DF25FC" w:rsidP="00DB7378">
      <w:pPr>
        <w:pStyle w:val="CETBodytext"/>
        <w:keepNext/>
        <w:jc w:val="left"/>
      </w:pPr>
      <w:r w:rsidRPr="001A09F2">
        <w:rPr>
          <w:noProof/>
          <w:lang w:val="it-IT" w:eastAsia="it-IT"/>
        </w:rPr>
        <w:drawing>
          <wp:inline distT="0" distB="0" distL="0" distR="0" wp14:anchorId="5E70E430" wp14:editId="78049586">
            <wp:extent cx="3177568" cy="2118379"/>
            <wp:effectExtent l="0" t="0" r="3810" b="0"/>
            <wp:docPr id="16065922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2242" name="Immagine 2"/>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177568" cy="2118379"/>
                    </a:xfrm>
                    <a:prstGeom prst="rect">
                      <a:avLst/>
                    </a:prstGeom>
                  </pic:spPr>
                </pic:pic>
              </a:graphicData>
            </a:graphic>
          </wp:inline>
        </w:drawing>
      </w:r>
    </w:p>
    <w:p w14:paraId="718A510C" w14:textId="61B529CA" w:rsidR="007B0E0F" w:rsidRPr="001A09F2" w:rsidRDefault="00DF25FC" w:rsidP="00DB7378">
      <w:pPr>
        <w:pStyle w:val="CETCaption"/>
        <w:jc w:val="left"/>
        <w:rPr>
          <w:lang w:val="en-US"/>
        </w:rPr>
      </w:pPr>
      <w:bookmarkStart w:id="6" w:name="_Ref184749053"/>
      <w:r w:rsidRPr="001A09F2">
        <w:rPr>
          <w:lang w:val="en-US"/>
        </w:rPr>
        <w:t xml:space="preserve">Figure </w:t>
      </w:r>
      <w:r w:rsidRPr="001A09F2">
        <w:rPr>
          <w:lang w:val="en-US"/>
        </w:rPr>
        <w:fldChar w:fldCharType="begin"/>
      </w:r>
      <w:r w:rsidRPr="001A09F2">
        <w:rPr>
          <w:lang w:val="en-US"/>
        </w:rPr>
        <w:instrText xml:space="preserve"> SEQ Figure \* ARABIC </w:instrText>
      </w:r>
      <w:r w:rsidRPr="001A09F2">
        <w:rPr>
          <w:lang w:val="en-US"/>
        </w:rPr>
        <w:fldChar w:fldCharType="separate"/>
      </w:r>
      <w:r w:rsidR="002A3C82">
        <w:rPr>
          <w:noProof/>
          <w:lang w:val="en-US"/>
        </w:rPr>
        <w:t>2</w:t>
      </w:r>
      <w:r w:rsidRPr="001A09F2">
        <w:rPr>
          <w:lang w:val="en-US"/>
        </w:rPr>
        <w:fldChar w:fldCharType="end"/>
      </w:r>
      <w:bookmarkEnd w:id="6"/>
      <w:r w:rsidR="00870762" w:rsidRPr="001A09F2">
        <w:rPr>
          <w:lang w:val="en-US"/>
        </w:rPr>
        <w:t xml:space="preserve">: plot of </w:t>
      </w:r>
      <w:r w:rsidR="000A7A6B" w:rsidRPr="001A09F2">
        <w:rPr>
          <w:lang w:val="en-US"/>
        </w:rPr>
        <w:t xml:space="preserve">the jet ME in relation to the </w:t>
      </w:r>
      <w:r w:rsidR="002E2A05">
        <w:rPr>
          <w:lang w:val="en-US"/>
        </w:rPr>
        <w:t>scaled</w:t>
      </w:r>
      <w:r w:rsidR="000A7A6B" w:rsidRPr="001A09F2">
        <w:rPr>
          <w:lang w:val="en-US"/>
        </w:rPr>
        <w:t xml:space="preserve"> release height</w:t>
      </w:r>
      <w:r w:rsidR="002E2A05">
        <w:rPr>
          <w:lang w:val="en-US"/>
        </w:rPr>
        <w:t xml:space="preserve"> for the 5 mm release case</w:t>
      </w:r>
    </w:p>
    <w:p w14:paraId="7543687D" w14:textId="66BA637A" w:rsidR="00674919" w:rsidRDefault="004501A3" w:rsidP="00674919">
      <w:pPr>
        <w:pStyle w:val="CETBodytext"/>
      </w:pPr>
      <w:r>
        <w:t>For every substance there is a threshold value beyond which the jet is not influenced by the terrain, and it behaves as a free – jet.</w:t>
      </w:r>
      <w:r w:rsidRPr="001A09F2">
        <w:t xml:space="preserve"> </w:t>
      </w:r>
      <w:r w:rsidR="007B003C">
        <w:t>Threshold value</w:t>
      </w:r>
      <w:r w:rsidR="0073534D">
        <w:t>s</w:t>
      </w:r>
      <w:r w:rsidR="007B003C">
        <w:t xml:space="preserve"> for each substance </w:t>
      </w:r>
      <w:r w:rsidR="00A3378E">
        <w:t>are</w:t>
      </w:r>
      <w:r w:rsidR="00E915CE">
        <w:t xml:space="preserve"> </w:t>
      </w:r>
      <w:r w:rsidR="00CE09D3" w:rsidRPr="00CE09D3">
        <w:t xml:space="preserve">slightly </w:t>
      </w:r>
      <w:r w:rsidR="00E915CE">
        <w:t>lower but</w:t>
      </w:r>
      <w:r w:rsidR="00A3378E">
        <w:t xml:space="preserve"> </w:t>
      </w:r>
      <w:r w:rsidR="00CE09D3">
        <w:t xml:space="preserve">remain </w:t>
      </w:r>
      <w:r w:rsidR="00A3378E">
        <w:t xml:space="preserve">comparable with the ones reported by </w:t>
      </w:r>
      <w:r w:rsidR="006E0C72">
        <w:fldChar w:fldCharType="begin"/>
      </w:r>
      <w:r w:rsidR="006E0C72">
        <w:instrText xml:space="preserve"> ADDIN ZOTERO_ITEM CSL_CITATION {"citationID":"c9nziIok","properties":{"formattedCitation":"(Colombini et al., 2020a)","plainCitation":"(Colombini et al., 2020a)","noteIndex":0},"citationItems":[{"id":128,"uris":["http://zotero.org/users/12493459/items/4JZZTZ82"],"itemData":{"id":128,"type":"article-journal","abstract":"Due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schema":"https://github.com/citation-style-language/schema/raw/master/csl-citation.json"} </w:instrText>
      </w:r>
      <w:r w:rsidR="006E0C72">
        <w:fldChar w:fldCharType="separate"/>
      </w:r>
      <w:r w:rsidR="006E0C72" w:rsidRPr="006E0C72">
        <w:rPr>
          <w:rFonts w:cs="Arial"/>
        </w:rPr>
        <w:t>(Colombini et al., 2020a)</w:t>
      </w:r>
      <w:r w:rsidR="006E0C72">
        <w:fldChar w:fldCharType="end"/>
      </w:r>
      <w:r w:rsidR="003B1F35">
        <w:t xml:space="preserve"> </w:t>
      </w:r>
      <w:r w:rsidR="00CA0616">
        <w:t xml:space="preserve">meaning that </w:t>
      </w:r>
      <w:r w:rsidR="00DC5EEA">
        <w:t xml:space="preserve">even for </w:t>
      </w:r>
      <w:r w:rsidR="00CA0616">
        <w:t xml:space="preserve">a </w:t>
      </w:r>
      <w:r w:rsidR="00F531A2">
        <w:t xml:space="preserve">smaller </w:t>
      </w:r>
      <w:r w:rsidR="008004B9">
        <w:t xml:space="preserve">release diameter </w:t>
      </w:r>
      <w:r w:rsidR="00DC5EEA">
        <w:t xml:space="preserve">the Coanda effect is predominant </w:t>
      </w:r>
      <w:r w:rsidR="00C4026D">
        <w:t xml:space="preserve">even if its </w:t>
      </w:r>
      <w:r w:rsidR="001B45CF">
        <w:t xml:space="preserve">release point is </w:t>
      </w:r>
      <w:r w:rsidR="003F30B9">
        <w:t>near the ground</w:t>
      </w:r>
      <w:r w:rsidR="00B42176">
        <w:t xml:space="preserve"> and </w:t>
      </w:r>
      <w:r w:rsidR="00AF6915">
        <w:t xml:space="preserve">that </w:t>
      </w:r>
      <w:r w:rsidR="00B42176">
        <w:t>the jet impacts the terrain due to its opening angle</w:t>
      </w:r>
      <w:r w:rsidR="00DB2075">
        <w:t xml:space="preserve"> in a point that is </w:t>
      </w:r>
      <w:r w:rsidR="004A3857">
        <w:t>beyond the point of adherence due to the Coanda effect</w:t>
      </w:r>
      <w:r w:rsidR="00790472">
        <w:t xml:space="preserve"> as shown in </w:t>
      </w:r>
      <w:r w:rsidR="00790472">
        <w:fldChar w:fldCharType="begin"/>
      </w:r>
      <w:r w:rsidR="00790472">
        <w:instrText xml:space="preserve"> REF _Ref184922599 \h </w:instrText>
      </w:r>
      <w:r w:rsidR="00790472">
        <w:fldChar w:fldCharType="separate"/>
      </w:r>
      <w:r w:rsidR="00790472">
        <w:t xml:space="preserve">Figure </w:t>
      </w:r>
      <w:r w:rsidR="00790472">
        <w:rPr>
          <w:noProof/>
        </w:rPr>
        <w:t>3</w:t>
      </w:r>
      <w:r w:rsidR="00790472">
        <w:fldChar w:fldCharType="end"/>
      </w:r>
      <w:r w:rsidR="00790472">
        <w:t>.</w:t>
      </w:r>
    </w:p>
    <w:p w14:paraId="025CA6E0" w14:textId="77777777" w:rsidR="002A3C82" w:rsidRDefault="00234F7E" w:rsidP="00DB7378">
      <w:pPr>
        <w:pStyle w:val="CETBodytext"/>
        <w:keepNext/>
        <w:jc w:val="left"/>
      </w:pPr>
      <w:r>
        <w:rPr>
          <w:noProof/>
        </w:rPr>
        <w:drawing>
          <wp:inline distT="0" distB="0" distL="0" distR="0" wp14:anchorId="6C859932" wp14:editId="44CF77B2">
            <wp:extent cx="3144320" cy="1203649"/>
            <wp:effectExtent l="0" t="0" r="0" b="0"/>
            <wp:docPr id="359427520" name="Immagine 1" descr="Immagine che contiene Blu elettrico, schermata, blu,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7520" name="Immagine 1" descr="Immagine che contiene Blu elettrico, schermata, blu, Policromia&#10;&#10;Descrizione generata automa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t="15115" b="15232"/>
                    <a:stretch/>
                  </pic:blipFill>
                  <pic:spPr bwMode="auto">
                    <a:xfrm>
                      <a:off x="0" y="0"/>
                      <a:ext cx="3288219" cy="1258734"/>
                    </a:xfrm>
                    <a:prstGeom prst="rect">
                      <a:avLst/>
                    </a:prstGeom>
                    <a:noFill/>
                    <a:ln>
                      <a:noFill/>
                    </a:ln>
                    <a:extLst>
                      <a:ext uri="{53640926-AAD7-44D8-BBD7-CCE9431645EC}">
                        <a14:shadowObscured xmlns:a14="http://schemas.microsoft.com/office/drawing/2010/main"/>
                      </a:ext>
                    </a:extLst>
                  </pic:spPr>
                </pic:pic>
              </a:graphicData>
            </a:graphic>
          </wp:inline>
        </w:drawing>
      </w:r>
    </w:p>
    <w:p w14:paraId="50F2F82D" w14:textId="3392ED11" w:rsidR="001B22C7" w:rsidRDefault="002A3C82" w:rsidP="00DB7378">
      <w:pPr>
        <w:pStyle w:val="CETCaption"/>
        <w:jc w:val="left"/>
      </w:pPr>
      <w:bookmarkStart w:id="7" w:name="_Ref184922599"/>
      <w:r>
        <w:t xml:space="preserve">Figure </w:t>
      </w:r>
      <w:r>
        <w:fldChar w:fldCharType="begin"/>
      </w:r>
      <w:r>
        <w:instrText xml:space="preserve"> SEQ Figure \* ARABIC </w:instrText>
      </w:r>
      <w:r>
        <w:fldChar w:fldCharType="separate"/>
      </w:r>
      <w:r>
        <w:rPr>
          <w:noProof/>
        </w:rPr>
        <w:t>3</w:t>
      </w:r>
      <w:r>
        <w:fldChar w:fldCharType="end"/>
      </w:r>
      <w:bookmarkEnd w:id="7"/>
      <w:r>
        <w:t>:</w:t>
      </w:r>
      <w:r w:rsidR="006A5C5A">
        <w:t xml:space="preserve"> LFL contour showing the </w:t>
      </w:r>
      <w:r w:rsidR="00EC2972">
        <w:t>Coanda effect overcoming the jet opening angle</w:t>
      </w:r>
    </w:p>
    <w:p w14:paraId="0700D8A7" w14:textId="77D9B00A" w:rsidR="000A7A6B" w:rsidRPr="001A09F2" w:rsidRDefault="000A7A6B" w:rsidP="000A7A6B">
      <w:pPr>
        <w:pStyle w:val="CETheadingx"/>
      </w:pPr>
      <w:r w:rsidRPr="001A09F2">
        <w:t>Hole with 10 mm diameter</w:t>
      </w:r>
      <w:r w:rsidR="00FF5C97">
        <w:t xml:space="preserve"> </w:t>
      </w:r>
    </w:p>
    <w:p w14:paraId="37D2BB55" w14:textId="723A43F8" w:rsidR="000A7A6B" w:rsidRDefault="002C36B2" w:rsidP="000A7A6B">
      <w:pPr>
        <w:pStyle w:val="CETBodytext"/>
      </w:pPr>
      <w:r w:rsidRPr="001A09F2">
        <w:t xml:space="preserve">The same procedure as </w:t>
      </w:r>
      <w:r w:rsidR="00D30399" w:rsidRPr="001A09F2">
        <w:t xml:space="preserve">for </w:t>
      </w:r>
      <w:r w:rsidRPr="001A09F2">
        <w:t xml:space="preserve">the 5 mm diameter </w:t>
      </w:r>
      <w:r w:rsidR="00A15051" w:rsidRPr="001A09F2">
        <w:t xml:space="preserve">scenario </w:t>
      </w:r>
      <w:r w:rsidRPr="001A09F2">
        <w:t>was followed,</w:t>
      </w:r>
      <w:r w:rsidR="00A15051" w:rsidRPr="001A09F2">
        <w:t xml:space="preserve"> with the main release characteristics reported in </w:t>
      </w:r>
      <w:r w:rsidR="00D30399" w:rsidRPr="001A09F2">
        <w:fldChar w:fldCharType="begin"/>
      </w:r>
      <w:r w:rsidR="00D30399" w:rsidRPr="001A09F2">
        <w:instrText xml:space="preserve"> REF _Ref184749799 \h </w:instrText>
      </w:r>
      <w:r w:rsidR="00D30399" w:rsidRPr="001A09F2">
        <w:fldChar w:fldCharType="separate"/>
      </w:r>
      <w:r w:rsidR="00EC2972" w:rsidRPr="001A09F2">
        <w:t xml:space="preserve">Table </w:t>
      </w:r>
      <w:r w:rsidR="00EC2972">
        <w:rPr>
          <w:noProof/>
        </w:rPr>
        <w:t>3</w:t>
      </w:r>
      <w:r w:rsidR="00D30399" w:rsidRPr="001A09F2">
        <w:fldChar w:fldCharType="end"/>
      </w:r>
      <w:r w:rsidR="00D30399" w:rsidRPr="001A09F2">
        <w:t xml:space="preserve">. </w:t>
      </w:r>
    </w:p>
    <w:p w14:paraId="477A08FC" w14:textId="47AB6763" w:rsidR="00D30399" w:rsidRPr="001A09F2" w:rsidRDefault="00D30399" w:rsidP="00AD6A2D">
      <w:pPr>
        <w:pStyle w:val="CETTabletitle"/>
        <w:jc w:val="center"/>
        <w:rPr>
          <w:lang w:val="en-US"/>
        </w:rPr>
      </w:pPr>
      <w:bookmarkStart w:id="8" w:name="_Ref184749799"/>
      <w:r w:rsidRPr="001A09F2">
        <w:rPr>
          <w:lang w:val="en-US"/>
        </w:rPr>
        <w:lastRenderedPageBreak/>
        <w:t xml:space="preserve">Table </w:t>
      </w:r>
      <w:r w:rsidRPr="001A09F2">
        <w:rPr>
          <w:lang w:val="en-US"/>
        </w:rPr>
        <w:fldChar w:fldCharType="begin"/>
      </w:r>
      <w:r w:rsidRPr="001A09F2">
        <w:rPr>
          <w:lang w:val="en-US"/>
        </w:rPr>
        <w:instrText xml:space="preserve"> SEQ Table \* ARABIC </w:instrText>
      </w:r>
      <w:r w:rsidRPr="001A09F2">
        <w:rPr>
          <w:lang w:val="en-US"/>
        </w:rPr>
        <w:fldChar w:fldCharType="separate"/>
      </w:r>
      <w:r w:rsidR="00094DCF">
        <w:rPr>
          <w:noProof/>
          <w:lang w:val="en-US"/>
        </w:rPr>
        <w:t>3</w:t>
      </w:r>
      <w:r w:rsidRPr="001A09F2">
        <w:rPr>
          <w:lang w:val="en-US"/>
        </w:rPr>
        <w:fldChar w:fldCharType="end"/>
      </w:r>
      <w:bookmarkEnd w:id="8"/>
      <w:r w:rsidR="00AD6A2D">
        <w:rPr>
          <w:lang w:val="en-US"/>
        </w:rPr>
        <w:t xml:space="preserve"> R</w:t>
      </w:r>
      <w:r w:rsidR="00AD6A2D" w:rsidRPr="00AD6A2D">
        <w:rPr>
          <w:lang w:val="en-US"/>
        </w:rPr>
        <w:t>elease characteristics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0"/>
        <w:gridCol w:w="1134"/>
        <w:gridCol w:w="1134"/>
        <w:gridCol w:w="1134"/>
      </w:tblGrid>
      <w:tr w:rsidR="00A15051" w:rsidRPr="001A09F2" w14:paraId="6CACAE1F" w14:textId="77777777" w:rsidTr="002765BF">
        <w:trPr>
          <w:cantSplit/>
          <w:jc w:val="center"/>
        </w:trPr>
        <w:tc>
          <w:tcPr>
            <w:tcW w:w="1410" w:type="dxa"/>
            <w:tcBorders>
              <w:top w:val="single" w:sz="12" w:space="0" w:color="008000"/>
              <w:bottom w:val="single" w:sz="6" w:space="0" w:color="008000"/>
            </w:tcBorders>
            <w:shd w:val="clear" w:color="auto" w:fill="FFFFFF"/>
            <w:vAlign w:val="center"/>
          </w:tcPr>
          <w:p w14:paraId="5354F0C4" w14:textId="77777777" w:rsidR="00A15051" w:rsidRPr="001A09F2" w:rsidRDefault="00A15051" w:rsidP="00AD6A2D">
            <w:pPr>
              <w:pStyle w:val="CETBodytext"/>
              <w:jc w:val="center"/>
            </w:pPr>
          </w:p>
        </w:tc>
        <w:tc>
          <w:tcPr>
            <w:tcW w:w="1134" w:type="dxa"/>
            <w:tcBorders>
              <w:top w:val="single" w:sz="12" w:space="0" w:color="008000"/>
              <w:bottom w:val="single" w:sz="6" w:space="0" w:color="008000"/>
            </w:tcBorders>
            <w:shd w:val="clear" w:color="auto" w:fill="FFFFFF"/>
            <w:vAlign w:val="center"/>
          </w:tcPr>
          <w:p w14:paraId="7CA56811" w14:textId="77777777" w:rsidR="00A15051" w:rsidRPr="001A09F2" w:rsidRDefault="00A15051" w:rsidP="00AD6A2D">
            <w:pPr>
              <w:pStyle w:val="CETBodytext"/>
              <w:jc w:val="center"/>
            </w:pPr>
            <w:proofErr w:type="spellStart"/>
            <w:r w:rsidRPr="001A09F2">
              <w:t>D</w:t>
            </w:r>
            <w:r w:rsidRPr="001A09F2">
              <w:rPr>
                <w:vertAlign w:val="subscript"/>
              </w:rPr>
              <w:t>eq</w:t>
            </w:r>
            <w:proofErr w:type="spellEnd"/>
            <w:r w:rsidRPr="001A09F2">
              <w:rPr>
                <w:vertAlign w:val="subscript"/>
              </w:rPr>
              <w:t xml:space="preserve"> </w:t>
            </w:r>
            <w:r w:rsidRPr="001A09F2">
              <w:t>[m]</w:t>
            </w:r>
          </w:p>
        </w:tc>
        <w:tc>
          <w:tcPr>
            <w:tcW w:w="1134" w:type="dxa"/>
            <w:tcBorders>
              <w:top w:val="single" w:sz="12" w:space="0" w:color="008000"/>
              <w:bottom w:val="single" w:sz="6" w:space="0" w:color="008000"/>
            </w:tcBorders>
            <w:shd w:val="clear" w:color="auto" w:fill="FFFFFF"/>
            <w:vAlign w:val="center"/>
          </w:tcPr>
          <w:p w14:paraId="70963E59" w14:textId="77777777" w:rsidR="00A15051" w:rsidRPr="001A09F2" w:rsidRDefault="00A15051" w:rsidP="00AD6A2D">
            <w:pPr>
              <w:pStyle w:val="CETBodytext"/>
              <w:jc w:val="center"/>
            </w:pPr>
            <w:r w:rsidRPr="001A09F2">
              <w:t>Mass flow rate [kg/s]</w:t>
            </w:r>
          </w:p>
        </w:tc>
        <w:tc>
          <w:tcPr>
            <w:tcW w:w="1134" w:type="dxa"/>
            <w:tcBorders>
              <w:top w:val="single" w:sz="12" w:space="0" w:color="008000"/>
              <w:bottom w:val="single" w:sz="6" w:space="0" w:color="008000"/>
            </w:tcBorders>
            <w:shd w:val="clear" w:color="auto" w:fill="FFFFFF"/>
            <w:vAlign w:val="center"/>
          </w:tcPr>
          <w:p w14:paraId="4EE2C502" w14:textId="77777777" w:rsidR="00A15051" w:rsidRPr="001A09F2" w:rsidRDefault="00A15051" w:rsidP="00AD6A2D">
            <w:pPr>
              <w:pStyle w:val="CETBodytext"/>
              <w:jc w:val="center"/>
            </w:pPr>
            <w:proofErr w:type="spellStart"/>
            <w:r w:rsidRPr="001A09F2">
              <w:t>ME</w:t>
            </w:r>
            <w:r w:rsidRPr="001A09F2">
              <w:rPr>
                <w:vertAlign w:val="subscript"/>
              </w:rPr>
              <w:t>fj</w:t>
            </w:r>
            <w:proofErr w:type="spellEnd"/>
            <w:r w:rsidRPr="001A09F2">
              <w:t xml:space="preserve"> [m]</w:t>
            </w:r>
          </w:p>
        </w:tc>
      </w:tr>
      <w:tr w:rsidR="00A15051" w:rsidRPr="001A09F2" w14:paraId="43497408" w14:textId="77777777" w:rsidTr="002765BF">
        <w:trPr>
          <w:cantSplit/>
          <w:jc w:val="center"/>
        </w:trPr>
        <w:tc>
          <w:tcPr>
            <w:tcW w:w="1410" w:type="dxa"/>
            <w:shd w:val="clear" w:color="auto" w:fill="FFFFFF"/>
            <w:vAlign w:val="center"/>
          </w:tcPr>
          <w:p w14:paraId="37A0D7A5" w14:textId="77777777" w:rsidR="00A15051" w:rsidRPr="001A09F2" w:rsidRDefault="00A15051" w:rsidP="00AD6A2D">
            <w:pPr>
              <w:pStyle w:val="CETBodytext"/>
              <w:jc w:val="center"/>
              <w:rPr>
                <w:rFonts w:cs="Arial"/>
              </w:rPr>
            </w:pPr>
            <w:r w:rsidRPr="001A09F2">
              <w:rPr>
                <w:rFonts w:cs="Arial"/>
              </w:rPr>
              <w:t>Methane</w:t>
            </w:r>
          </w:p>
        </w:tc>
        <w:tc>
          <w:tcPr>
            <w:tcW w:w="1134" w:type="dxa"/>
            <w:shd w:val="clear" w:color="auto" w:fill="FFFFFF"/>
            <w:vAlign w:val="center"/>
          </w:tcPr>
          <w:p w14:paraId="307D9C80" w14:textId="7DC0627D" w:rsidR="00A15051" w:rsidRPr="001A09F2" w:rsidRDefault="00A15051" w:rsidP="00AD6A2D">
            <w:pPr>
              <w:pStyle w:val="CETBodytext"/>
              <w:jc w:val="center"/>
            </w:pPr>
            <w:r w:rsidRPr="001A09F2">
              <w:t>0.0</w:t>
            </w:r>
            <w:r w:rsidR="006F11E2" w:rsidRPr="001A09F2">
              <w:t>574</w:t>
            </w:r>
          </w:p>
        </w:tc>
        <w:tc>
          <w:tcPr>
            <w:tcW w:w="1134" w:type="dxa"/>
            <w:shd w:val="clear" w:color="auto" w:fill="FFFFFF"/>
            <w:vAlign w:val="center"/>
          </w:tcPr>
          <w:p w14:paraId="5DE99FE2" w14:textId="0325ABA5" w:rsidR="00A15051" w:rsidRPr="001A09F2" w:rsidRDefault="00A15051" w:rsidP="00AD6A2D">
            <w:pPr>
              <w:pStyle w:val="CETBodytext"/>
              <w:jc w:val="center"/>
            </w:pPr>
            <w:r w:rsidRPr="001A09F2">
              <w:t>0.</w:t>
            </w:r>
            <w:r w:rsidR="006F11E2" w:rsidRPr="001A09F2">
              <w:t>7639</w:t>
            </w:r>
          </w:p>
        </w:tc>
        <w:tc>
          <w:tcPr>
            <w:tcW w:w="1134" w:type="dxa"/>
            <w:shd w:val="clear" w:color="auto" w:fill="FFFFFF"/>
          </w:tcPr>
          <w:p w14:paraId="66A78295" w14:textId="404B4B58" w:rsidR="00A15051" w:rsidRPr="001A09F2" w:rsidRDefault="00332EA4" w:rsidP="00AD6A2D">
            <w:pPr>
              <w:pStyle w:val="CETBodytext"/>
              <w:jc w:val="center"/>
            </w:pPr>
            <w:r w:rsidRPr="001A09F2">
              <w:t>6.67</w:t>
            </w:r>
          </w:p>
        </w:tc>
      </w:tr>
      <w:tr w:rsidR="00A15051" w:rsidRPr="001A09F2" w14:paraId="18183D52" w14:textId="77777777" w:rsidTr="002765BF">
        <w:trPr>
          <w:cantSplit/>
          <w:jc w:val="center"/>
        </w:trPr>
        <w:tc>
          <w:tcPr>
            <w:tcW w:w="1410" w:type="dxa"/>
            <w:shd w:val="clear" w:color="auto" w:fill="FFFFFF"/>
            <w:vAlign w:val="center"/>
          </w:tcPr>
          <w:p w14:paraId="73F531F1" w14:textId="77777777" w:rsidR="00A15051" w:rsidRPr="001A09F2" w:rsidRDefault="00A15051" w:rsidP="00AD6A2D">
            <w:pPr>
              <w:pStyle w:val="CETBodytext"/>
              <w:jc w:val="center"/>
            </w:pPr>
            <w:r w:rsidRPr="001A09F2">
              <w:t>Propane</w:t>
            </w:r>
          </w:p>
        </w:tc>
        <w:tc>
          <w:tcPr>
            <w:tcW w:w="1134" w:type="dxa"/>
            <w:shd w:val="clear" w:color="auto" w:fill="FFFFFF"/>
            <w:vAlign w:val="center"/>
          </w:tcPr>
          <w:p w14:paraId="2089DEFE" w14:textId="1E317A4E" w:rsidR="00A15051" w:rsidRPr="001A09F2" w:rsidRDefault="00A15051" w:rsidP="00AD6A2D">
            <w:pPr>
              <w:pStyle w:val="CETBodytext"/>
              <w:jc w:val="center"/>
            </w:pPr>
            <w:r w:rsidRPr="001A09F2">
              <w:t>0.</w:t>
            </w:r>
            <w:r w:rsidR="006F11E2" w:rsidRPr="001A09F2">
              <w:t>2034</w:t>
            </w:r>
          </w:p>
        </w:tc>
        <w:tc>
          <w:tcPr>
            <w:tcW w:w="1134" w:type="dxa"/>
            <w:shd w:val="clear" w:color="auto" w:fill="FFFFFF"/>
            <w:vAlign w:val="center"/>
          </w:tcPr>
          <w:p w14:paraId="643C743D" w14:textId="775D27DF" w:rsidR="00A15051" w:rsidRPr="001A09F2" w:rsidRDefault="00A15051" w:rsidP="00AD6A2D">
            <w:pPr>
              <w:pStyle w:val="CETBodytext"/>
              <w:jc w:val="center"/>
            </w:pPr>
            <w:r w:rsidRPr="001A09F2">
              <w:t>0.</w:t>
            </w:r>
            <w:r w:rsidR="00332EA4" w:rsidRPr="001A09F2">
              <w:t>1489</w:t>
            </w:r>
          </w:p>
        </w:tc>
        <w:tc>
          <w:tcPr>
            <w:tcW w:w="1134" w:type="dxa"/>
            <w:shd w:val="clear" w:color="auto" w:fill="FFFFFF"/>
          </w:tcPr>
          <w:p w14:paraId="7E442A50" w14:textId="4386B816" w:rsidR="00A15051" w:rsidRPr="001A09F2" w:rsidRDefault="00332EA4" w:rsidP="00AD6A2D">
            <w:pPr>
              <w:pStyle w:val="CETBodytext"/>
              <w:jc w:val="center"/>
            </w:pPr>
            <w:r w:rsidRPr="001A09F2">
              <w:t>3.5</w:t>
            </w:r>
          </w:p>
        </w:tc>
      </w:tr>
      <w:tr w:rsidR="00A15051" w:rsidRPr="001A09F2" w14:paraId="6ABD62A1" w14:textId="77777777" w:rsidTr="002765BF">
        <w:trPr>
          <w:cantSplit/>
          <w:jc w:val="center"/>
        </w:trPr>
        <w:tc>
          <w:tcPr>
            <w:tcW w:w="1410" w:type="dxa"/>
            <w:tcBorders>
              <w:bottom w:val="single" w:sz="12" w:space="0" w:color="008000"/>
            </w:tcBorders>
            <w:shd w:val="clear" w:color="auto" w:fill="FFFFFF"/>
            <w:vAlign w:val="center"/>
          </w:tcPr>
          <w:p w14:paraId="74F528CF" w14:textId="77777777" w:rsidR="00A15051" w:rsidRPr="001A09F2" w:rsidRDefault="00A15051" w:rsidP="00AD6A2D">
            <w:pPr>
              <w:pStyle w:val="CETBodytext"/>
              <w:jc w:val="center"/>
            </w:pPr>
            <w:r w:rsidRPr="001A09F2">
              <w:t>Hydrogen</w:t>
            </w:r>
          </w:p>
        </w:tc>
        <w:tc>
          <w:tcPr>
            <w:tcW w:w="1134" w:type="dxa"/>
            <w:tcBorders>
              <w:bottom w:val="single" w:sz="12" w:space="0" w:color="008000"/>
            </w:tcBorders>
            <w:shd w:val="clear" w:color="auto" w:fill="FFFFFF"/>
            <w:vAlign w:val="center"/>
          </w:tcPr>
          <w:p w14:paraId="7C2B8BF9" w14:textId="749C4EFC" w:rsidR="00A15051" w:rsidRPr="001A09F2" w:rsidRDefault="00A15051" w:rsidP="00AD6A2D">
            <w:pPr>
              <w:pStyle w:val="CETBodytext"/>
              <w:jc w:val="center"/>
            </w:pPr>
            <w:r w:rsidRPr="001A09F2">
              <w:t>0.0</w:t>
            </w:r>
            <w:r w:rsidR="006F11E2" w:rsidRPr="001A09F2">
              <w:t>7624</w:t>
            </w:r>
          </w:p>
        </w:tc>
        <w:tc>
          <w:tcPr>
            <w:tcW w:w="1134" w:type="dxa"/>
            <w:tcBorders>
              <w:bottom w:val="single" w:sz="12" w:space="0" w:color="008000"/>
            </w:tcBorders>
            <w:shd w:val="clear" w:color="auto" w:fill="FFFFFF"/>
            <w:vAlign w:val="center"/>
          </w:tcPr>
          <w:p w14:paraId="2DA5DC8C" w14:textId="1F42DDF7" w:rsidR="00A15051" w:rsidRPr="001A09F2" w:rsidRDefault="00A15051" w:rsidP="00AD6A2D">
            <w:pPr>
              <w:pStyle w:val="CETBodytext"/>
              <w:jc w:val="center"/>
            </w:pPr>
            <w:r w:rsidRPr="001A09F2">
              <w:t>0.</w:t>
            </w:r>
            <w:r w:rsidR="00332EA4" w:rsidRPr="001A09F2">
              <w:t>4953</w:t>
            </w:r>
          </w:p>
        </w:tc>
        <w:tc>
          <w:tcPr>
            <w:tcW w:w="1134" w:type="dxa"/>
            <w:tcBorders>
              <w:bottom w:val="single" w:sz="12" w:space="0" w:color="008000"/>
            </w:tcBorders>
            <w:shd w:val="clear" w:color="auto" w:fill="FFFFFF"/>
          </w:tcPr>
          <w:p w14:paraId="4F0AC1E6" w14:textId="52965B1D" w:rsidR="00A15051" w:rsidRPr="001A09F2" w:rsidRDefault="00D30399" w:rsidP="00AD6A2D">
            <w:pPr>
              <w:pStyle w:val="CETBodytext"/>
              <w:jc w:val="center"/>
            </w:pPr>
            <w:r w:rsidRPr="001A09F2">
              <w:t>31.3</w:t>
            </w:r>
          </w:p>
        </w:tc>
      </w:tr>
    </w:tbl>
    <w:p w14:paraId="45CFE36F" w14:textId="5DB696EE" w:rsidR="00A15051" w:rsidRPr="001A09F2" w:rsidRDefault="00A15051" w:rsidP="000A7A6B">
      <w:pPr>
        <w:pStyle w:val="CETBodytext"/>
      </w:pPr>
    </w:p>
    <w:p w14:paraId="0EC31C28" w14:textId="29E34AF5" w:rsidR="00E40DA9" w:rsidRPr="001A09F2" w:rsidRDefault="00E40DA9" w:rsidP="000A7A6B">
      <w:pPr>
        <w:pStyle w:val="CETBodytext"/>
      </w:pPr>
      <w:r w:rsidRPr="001A09F2">
        <w:t>Results</w:t>
      </w:r>
      <w:r w:rsidR="00D446FC" w:rsidRPr="001A09F2">
        <w:t xml:space="preserve"> plotted in </w:t>
      </w:r>
      <w:r w:rsidR="00B75ED7" w:rsidRPr="001A09F2">
        <w:fldChar w:fldCharType="begin"/>
      </w:r>
      <w:r w:rsidR="00B75ED7" w:rsidRPr="001A09F2">
        <w:instrText xml:space="preserve"> REF _Ref184750460 \h </w:instrText>
      </w:r>
      <w:r w:rsidR="00B75ED7" w:rsidRPr="001A09F2">
        <w:fldChar w:fldCharType="separate"/>
      </w:r>
      <w:r w:rsidR="004322AB" w:rsidRPr="001A09F2">
        <w:t xml:space="preserve">Figure </w:t>
      </w:r>
      <w:r w:rsidR="004322AB">
        <w:rPr>
          <w:noProof/>
        </w:rPr>
        <w:t>4</w:t>
      </w:r>
      <w:r w:rsidR="00B75ED7" w:rsidRPr="001A09F2">
        <w:fldChar w:fldCharType="end"/>
      </w:r>
      <w:r w:rsidR="00D446FC" w:rsidRPr="001A09F2">
        <w:t xml:space="preserve"> </w:t>
      </w:r>
      <w:r w:rsidRPr="001A09F2">
        <w:t>showed a</w:t>
      </w:r>
      <w:r w:rsidR="00B17C09" w:rsidRPr="001A09F2">
        <w:t xml:space="preserve"> comparable behavior</w:t>
      </w:r>
      <w:r w:rsidR="006E6CF8" w:rsidRPr="001A09F2">
        <w:t xml:space="preserve"> between the two scenarios, with a threshold value of</w:t>
      </w:r>
      <w:r w:rsidR="009B0511" w:rsidRPr="009B0511">
        <w:t xml:space="preserve"> (h/</w:t>
      </w:r>
      <w:proofErr w:type="spellStart"/>
      <w:r w:rsidR="009B0511" w:rsidRPr="009B0511">
        <w:t>D</w:t>
      </w:r>
      <w:r w:rsidR="009B0511" w:rsidRPr="009B0511">
        <w:rPr>
          <w:vertAlign w:val="subscript"/>
        </w:rPr>
        <w:t>eq</w:t>
      </w:r>
      <w:proofErr w:type="spellEnd"/>
      <w:r w:rsidR="009B0511" w:rsidRPr="009B0511">
        <w:t>)(C</w:t>
      </w:r>
      <w:r w:rsidR="009B0511" w:rsidRPr="009B0511">
        <w:rPr>
          <w:vertAlign w:val="subscript"/>
        </w:rPr>
        <w:t>i</w:t>
      </w:r>
      <w:r w:rsidR="009B0511" w:rsidRPr="009B0511">
        <w:t>/</w:t>
      </w:r>
      <w:proofErr w:type="spellStart"/>
      <w:r w:rsidR="009B0511" w:rsidRPr="009B0511">
        <w:t>C</w:t>
      </w:r>
      <w:r w:rsidR="009B0511" w:rsidRPr="009B0511">
        <w:rPr>
          <w:vertAlign w:val="subscript"/>
        </w:rPr>
        <w:t>ref</w:t>
      </w:r>
      <w:proofErr w:type="spellEnd"/>
      <w:r w:rsidR="009B0511">
        <w:t>) b</w:t>
      </w:r>
      <w:r w:rsidR="00BD5DA6" w:rsidRPr="001A09F2">
        <w:t xml:space="preserve">eyond which the ground does not influence anymore the jet. </w:t>
      </w:r>
      <w:r w:rsidR="00A96A19" w:rsidRPr="001A09F2">
        <w:t xml:space="preserve">In this scenario, the threshold value for methane and propane </w:t>
      </w:r>
      <w:r w:rsidR="00731074" w:rsidRPr="001A09F2">
        <w:t>is</w:t>
      </w:r>
      <w:r w:rsidR="00A96A19" w:rsidRPr="001A09F2">
        <w:t xml:space="preserve"> </w:t>
      </w:r>
      <w:r w:rsidR="00A85E5C">
        <w:t>respect</w:t>
      </w:r>
      <w:r w:rsidR="009C4990">
        <w:t>ive</w:t>
      </w:r>
      <w:r w:rsidR="00A85E5C">
        <w:t>ly</w:t>
      </w:r>
      <w:r w:rsidR="00C23E8F" w:rsidRPr="001A09F2">
        <w:t xml:space="preserve"> </w:t>
      </w:r>
      <w:r w:rsidR="00E8108E" w:rsidRPr="001A09F2">
        <w:t>13</w:t>
      </w:r>
      <w:r w:rsidR="00C23E8F" w:rsidRPr="001A09F2">
        <w:t xml:space="preserve"> and </w:t>
      </w:r>
      <w:r w:rsidR="00B53EF2">
        <w:t>7</w:t>
      </w:r>
      <w:r w:rsidR="00C23E8F" w:rsidRPr="001A09F2">
        <w:t xml:space="preserve">, while for hydrogen </w:t>
      </w:r>
      <w:r w:rsidR="00731074" w:rsidRPr="001A09F2">
        <w:t>is</w:t>
      </w:r>
      <w:r w:rsidR="00C23E8F" w:rsidRPr="001A09F2">
        <w:t xml:space="preserve"> </w:t>
      </w:r>
      <w:r w:rsidR="00DB3692" w:rsidRPr="001A09F2">
        <w:t xml:space="preserve">25. </w:t>
      </w:r>
      <w:r w:rsidR="00EE4969" w:rsidRPr="001A09F2">
        <w:t xml:space="preserve">Comparing it with the results of the 5 mm diameter release and the ones obtained in </w:t>
      </w:r>
      <w:r w:rsidR="005276A2" w:rsidRPr="001A09F2">
        <w:t>previous works</w:t>
      </w:r>
      <w:r w:rsidR="00D315B3" w:rsidRPr="001A09F2">
        <w:t xml:space="preserve"> with large discharging holes</w:t>
      </w:r>
      <w:r w:rsidR="005276A2" w:rsidRPr="001A09F2">
        <w:t xml:space="preserve"> </w:t>
      </w:r>
      <w:r w:rsidR="005276A2" w:rsidRPr="001A09F2">
        <w:fldChar w:fldCharType="begin"/>
      </w:r>
      <w:r w:rsidR="005276A2" w:rsidRPr="001A09F2">
        <w:instrText xml:space="preserve"> ADDIN ZOTERO_ITEM CSL_CITATION {"citationID":"A0zah8m1","properties":{"formattedCitation":"(B\\uc0\\u233{}nard et al., 2016; Colombini et al., 2020a)","plainCitation":"(Bénard et al., 2016; Colombini et al., 2020a)","noteIndex":0},"citationItems":[{"id":130,"uris":["http://zotero.org/users/12493459/items/HCD2GGB9"],"itemData":{"id":130,"type":"article-journal","abstract":"The effect of an adjacent surface on the lower flammability limit cloud extents of high pressure horizontal and vertical unignited jets of both hydrogen and methane is studied using Computational Fluid Dynamics (CFD) simulations performed with FLACS Hydrogen. Two jet directions (horizontal and vertical) and two surface positions (horizontal or ground, vertical or side wall) were studied: horizontal jets along a horizontal surface, vertical and horizontal jets along a vertical surface or side wall. Results for constant flow rate through a 6.35 mm round leak orifice from 101 bar, 251 bar, 401 bar, 551 bar and 701 bar compressed gas systems are presented. The effect of the surface on the flammable extents is studied systematically by positioning the jet exit release at various distances from the surface ranging from 0.029 m to 10 m. Free jets simulations were performed for comparison purposes. Our results were quantified by establishing engineering correlations that could be used to predict the flammable extent of hydrogen and methane jet releases in the presence of surfaces. These correlations were validated using experiments conducted for horizontal hydrogen jets in the vicinity of horizontal surfaces, carried out at the facilities of Defence Research and Development Canada (DRDC) in Val-Belair, Québec.","container-title":"International Journal of Hydrogen Energy","DOI":"10.1016/j.ijhydene.2016.08.173","ISSN":"0360-3199","issue":"41","journalAbbreviation":"International Journal of Hydrogen Energy","page":"18654-18662","source":"ScienceDirect","title":"Adjacent surface effect on the flammable cloud of hydrogen and methane jets: Numerical investigation and engineering correlations","title-short":"Adjacent surface effect on the flammable cloud of hydrogen and methane jets","volume":"41","author":[{"family":"Bénard","given":"Pierre"},{"family":"Hourri","given":"Ahmed"},{"family":"Angers","given":"Benjamin"},{"family":"Tchouvelev","given":"Andrei"}],"issued":{"date-parts":[["2016",11,2]]}}},{"id":128,"uris":["http://zotero.org/users/12493459/items/4JZZTZ82"],"itemData":{"id":128,"type":"article-journal","abstract":"Due to the severity of their consequences, accidental high-pressure flammable gas releases are relevant hazards in the process safety. In the recent decades, several are the efforts spent on the study of high-pressure jets in open field (i.e., free jets). In particular, easy-to-use mathematical models have been developed. These, by hand calculations, allow to quickly assess various physical variables that are of paramount importance in safety evaluations.However, it is easily as possible that, in a realistic accidental scenario, the unwanted leak may involve either the ground or an equipment placed in its vicinity. As demonstrated by recent works, when a jet interacts with an obstacle, its behavior can significantly change. Hence, in the safety assessment of this situation, the mathematical models derived for the free jet scenario can lead to incorrect predictions. Focusing on the scenario of an accidental high-pressure unignited flammable jet, this work shows how the proximity to the ground can influence the lower flammability limit cloud extent of different substances. Varying the height above the ground of the source term, the effect of the ground was systematically studied through a Computational Fluid Dynamics analysis considering high-pressure unignited methane, propane and hydrogen jets. The main achievement is the demonstration that releases of compounds with similar or larger molecular weight than that of air are similarly affected by the ground while, releases of compounds lighter than air interact with the ground in a sensibly different way.","container-title":"Chemical Engineering Transactions","DOI":"10.3303/CET2082062","ISSN":"2283-9216","language":"en","license":"Copyright (c) 2020 AIDIC Servizi Srl","page":"367-372","source":"www.cetjournal.it","title":"Ground Interaction on High-pressure Jets: Effect on Different Substances","title-short":"Ground Interaction on High-pressure Jets","volume":"82","author":[{"family":"Colombini","given":"Cristian"},{"family":"Carlini","given":"Luca"},{"family":"Rota","given":"Renato"},{"family":"Busini","given":"Valentina"}],"issued":{"date-parts":[["2020",10,1]]}}}],"schema":"https://github.com/citation-style-language/schema/raw/master/csl-citation.json"} </w:instrText>
      </w:r>
      <w:r w:rsidR="005276A2" w:rsidRPr="001A09F2">
        <w:fldChar w:fldCharType="separate"/>
      </w:r>
      <w:r w:rsidR="005276A2" w:rsidRPr="001A09F2">
        <w:rPr>
          <w:rFonts w:cs="Arial"/>
        </w:rPr>
        <w:t>(Bénard et al., 2016; Colombini et al., 2020a)</w:t>
      </w:r>
      <w:r w:rsidR="005276A2" w:rsidRPr="001A09F2">
        <w:fldChar w:fldCharType="end"/>
      </w:r>
      <w:r w:rsidR="005276A2" w:rsidRPr="001A09F2">
        <w:t>, the</w:t>
      </w:r>
      <w:r w:rsidR="00D828DD">
        <w:t xml:space="preserve">y are </w:t>
      </w:r>
      <w:r w:rsidR="004E7F03">
        <w:t xml:space="preserve">similar, </w:t>
      </w:r>
      <w:r w:rsidR="002646D8">
        <w:t xml:space="preserve">confirming that also in this case the </w:t>
      </w:r>
      <w:r w:rsidR="000B645B">
        <w:t xml:space="preserve">Coanda effect is still the </w:t>
      </w:r>
      <w:r w:rsidR="0025606A">
        <w:t xml:space="preserve">most </w:t>
      </w:r>
      <w:r w:rsidR="001003F3">
        <w:t xml:space="preserve">influencing </w:t>
      </w:r>
      <w:r w:rsidR="003E176E">
        <w:t xml:space="preserve">phenomenon while the </w:t>
      </w:r>
      <w:r w:rsidR="00D83C64">
        <w:t xml:space="preserve">impact with the ground due to the </w:t>
      </w:r>
      <w:r w:rsidR="00F03094">
        <w:t xml:space="preserve">jet expanding phase does not </w:t>
      </w:r>
      <w:r w:rsidR="006F5642">
        <w:t xml:space="preserve">affect </w:t>
      </w:r>
      <w:r w:rsidR="007A4976">
        <w:t xml:space="preserve">the overall </w:t>
      </w:r>
      <w:r w:rsidR="0024060C">
        <w:t>behavior</w:t>
      </w:r>
      <w:r w:rsidR="007A4976">
        <w:t>.</w:t>
      </w:r>
    </w:p>
    <w:p w14:paraId="1D488193" w14:textId="77777777" w:rsidR="00B75ED7" w:rsidRPr="001A09F2" w:rsidRDefault="00B75ED7" w:rsidP="00DB7378">
      <w:pPr>
        <w:pStyle w:val="CETBodytext"/>
        <w:keepNext/>
        <w:jc w:val="left"/>
      </w:pPr>
      <w:r w:rsidRPr="001A09F2">
        <w:rPr>
          <w:noProof/>
          <w:lang w:val="it-IT" w:eastAsia="it-IT"/>
        </w:rPr>
        <w:drawing>
          <wp:inline distT="0" distB="0" distL="0" distR="0" wp14:anchorId="7FB09E58" wp14:editId="540CF18E">
            <wp:extent cx="3200400" cy="2402020"/>
            <wp:effectExtent l="0" t="0" r="0" b="0"/>
            <wp:docPr id="3482331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3197" name="Immagine 3"/>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3205187" cy="2405613"/>
                    </a:xfrm>
                    <a:prstGeom prst="rect">
                      <a:avLst/>
                    </a:prstGeom>
                  </pic:spPr>
                </pic:pic>
              </a:graphicData>
            </a:graphic>
          </wp:inline>
        </w:drawing>
      </w:r>
    </w:p>
    <w:p w14:paraId="465A91F7" w14:textId="736D0CE6" w:rsidR="00D446FC" w:rsidRPr="001A09F2" w:rsidRDefault="00B75ED7" w:rsidP="00DB7378">
      <w:pPr>
        <w:pStyle w:val="CETCaption"/>
        <w:jc w:val="left"/>
        <w:rPr>
          <w:lang w:val="en-US"/>
        </w:rPr>
      </w:pPr>
      <w:bookmarkStart w:id="9" w:name="_Ref184750460"/>
      <w:r w:rsidRPr="001A09F2">
        <w:rPr>
          <w:lang w:val="en-US"/>
        </w:rPr>
        <w:t xml:space="preserve">Figure </w:t>
      </w:r>
      <w:r w:rsidRPr="001A09F2">
        <w:rPr>
          <w:lang w:val="en-US"/>
        </w:rPr>
        <w:fldChar w:fldCharType="begin"/>
      </w:r>
      <w:r w:rsidRPr="001A09F2">
        <w:rPr>
          <w:lang w:val="en-US"/>
        </w:rPr>
        <w:instrText xml:space="preserve"> SEQ Figure \* ARABIC </w:instrText>
      </w:r>
      <w:r w:rsidRPr="001A09F2">
        <w:rPr>
          <w:lang w:val="en-US"/>
        </w:rPr>
        <w:fldChar w:fldCharType="separate"/>
      </w:r>
      <w:r w:rsidR="002A3C82">
        <w:rPr>
          <w:noProof/>
          <w:lang w:val="en-US"/>
        </w:rPr>
        <w:t>4</w:t>
      </w:r>
      <w:r w:rsidRPr="001A09F2">
        <w:rPr>
          <w:lang w:val="en-US"/>
        </w:rPr>
        <w:fldChar w:fldCharType="end"/>
      </w:r>
      <w:bookmarkEnd w:id="9"/>
      <w:r w:rsidR="00790472">
        <w:rPr>
          <w:lang w:val="en-US"/>
        </w:rPr>
        <w:t>:</w:t>
      </w:r>
      <w:r w:rsidR="00680AD3">
        <w:rPr>
          <w:lang w:val="en-US"/>
        </w:rPr>
        <w:t xml:space="preserve"> </w:t>
      </w:r>
      <w:r w:rsidR="00680AD3" w:rsidRPr="001A09F2">
        <w:rPr>
          <w:lang w:val="en-US"/>
        </w:rPr>
        <w:t xml:space="preserve">plot of the jet ME in relation to the </w:t>
      </w:r>
      <w:r w:rsidR="00680AD3">
        <w:rPr>
          <w:lang w:val="en-US"/>
        </w:rPr>
        <w:t>scaled</w:t>
      </w:r>
      <w:r w:rsidR="00680AD3" w:rsidRPr="001A09F2">
        <w:rPr>
          <w:lang w:val="en-US"/>
        </w:rPr>
        <w:t xml:space="preserve"> release height</w:t>
      </w:r>
      <w:r w:rsidR="00680AD3">
        <w:rPr>
          <w:lang w:val="en-US"/>
        </w:rPr>
        <w:t xml:space="preserve"> for the 10 mm release case</w:t>
      </w:r>
      <w:r w:rsidR="00790472">
        <w:rPr>
          <w:lang w:val="en-US"/>
        </w:rPr>
        <w:t xml:space="preserve"> </w:t>
      </w:r>
    </w:p>
    <w:p w14:paraId="68D26B83" w14:textId="77777777" w:rsidR="00600535" w:rsidRPr="001A09F2" w:rsidRDefault="00600535" w:rsidP="00600535">
      <w:pPr>
        <w:pStyle w:val="CETHeading1"/>
      </w:pPr>
      <w:r w:rsidRPr="001A09F2">
        <w:t>Conclusions</w:t>
      </w:r>
    </w:p>
    <w:p w14:paraId="52DAFDE0" w14:textId="672BFF0B" w:rsidR="001D0CFB" w:rsidRPr="008131E3" w:rsidRDefault="005644EA" w:rsidP="00600535">
      <w:pPr>
        <w:pStyle w:val="CETBodytext"/>
        <w:rPr>
          <w:lang w:val="en-GB"/>
        </w:rPr>
      </w:pPr>
      <w:r w:rsidRPr="001A09F2">
        <w:t>In this work</w:t>
      </w:r>
      <w:r w:rsidR="00854BE9" w:rsidRPr="001A09F2">
        <w:t>,</w:t>
      </w:r>
      <w:r w:rsidRPr="001A09F2">
        <w:t xml:space="preserve"> high – pressure release</w:t>
      </w:r>
      <w:r w:rsidR="00854BE9" w:rsidRPr="001A09F2">
        <w:t>s</w:t>
      </w:r>
      <w:r w:rsidRPr="001A09F2">
        <w:t xml:space="preserve"> </w:t>
      </w:r>
      <w:r w:rsidR="002D5C6E" w:rsidRPr="001A09F2">
        <w:t>of methane, propane and hydrogen through small holes w</w:t>
      </w:r>
      <w:r w:rsidR="00854BE9" w:rsidRPr="001A09F2">
        <w:t>ere</w:t>
      </w:r>
      <w:r w:rsidR="002D5C6E" w:rsidRPr="001A09F2">
        <w:t xml:space="preserve"> studied to </w:t>
      </w:r>
      <w:r w:rsidR="00893294" w:rsidRPr="001A09F2">
        <w:t xml:space="preserve">investigate </w:t>
      </w:r>
      <w:r w:rsidR="004865EC">
        <w:t>if</w:t>
      </w:r>
      <w:r w:rsidR="00893294" w:rsidRPr="001A09F2">
        <w:t xml:space="preserve"> the </w:t>
      </w:r>
      <w:r w:rsidR="00874E83" w:rsidRPr="001A09F2">
        <w:t>behavior</w:t>
      </w:r>
      <w:r w:rsidR="00893294" w:rsidRPr="001A09F2">
        <w:t xml:space="preserve"> of </w:t>
      </w:r>
      <w:r w:rsidR="00D74789" w:rsidRPr="001A09F2">
        <w:t>the jet impinging the ground</w:t>
      </w:r>
      <w:r w:rsidR="004865EC">
        <w:t xml:space="preserve"> </w:t>
      </w:r>
      <w:r w:rsidR="001B38D1">
        <w:t xml:space="preserve">could be affected by the </w:t>
      </w:r>
      <w:r w:rsidR="00F6278C">
        <w:t xml:space="preserve">discharging hole diameter or </w:t>
      </w:r>
      <w:r w:rsidR="00E76481">
        <w:t xml:space="preserve">by the </w:t>
      </w:r>
      <w:r w:rsidR="00BC2A3E">
        <w:t>direct impact with the terrain due to the low release height</w:t>
      </w:r>
      <w:r w:rsidR="00D74789" w:rsidRPr="001A09F2">
        <w:t xml:space="preserve">. The </w:t>
      </w:r>
      <w:r w:rsidR="006E4B8B" w:rsidRPr="001A09F2">
        <w:t xml:space="preserve">source was </w:t>
      </w:r>
      <w:r w:rsidR="004E3CD0" w:rsidRPr="001A09F2">
        <w:t>an</w:t>
      </w:r>
      <w:r w:rsidR="006E4B8B" w:rsidRPr="001A09F2">
        <w:t xml:space="preserve"> orifice of 5 mm in the first case and 10 mm in the second one</w:t>
      </w:r>
      <w:r w:rsidR="00E27898" w:rsidRPr="001A09F2">
        <w:t>, with a variable release height starting from h/</w:t>
      </w:r>
      <w:proofErr w:type="spellStart"/>
      <w:r w:rsidR="00E27898" w:rsidRPr="001A09F2">
        <w:t>D</w:t>
      </w:r>
      <w:r w:rsidR="00E27898" w:rsidRPr="001A09F2">
        <w:rPr>
          <w:vertAlign w:val="subscript"/>
        </w:rPr>
        <w:t>eq</w:t>
      </w:r>
      <w:proofErr w:type="spellEnd"/>
      <w:r w:rsidR="00E27898" w:rsidRPr="001A09F2">
        <w:rPr>
          <w:vertAlign w:val="subscript"/>
        </w:rPr>
        <w:t xml:space="preserve"> </w:t>
      </w:r>
      <w:r w:rsidR="00E27898" w:rsidRPr="001A09F2">
        <w:t>= 1</w:t>
      </w:r>
      <w:r w:rsidR="001A09F2" w:rsidRPr="001A09F2">
        <w:t xml:space="preserve"> until reaching the free – jet</w:t>
      </w:r>
      <w:r w:rsidR="00B55853">
        <w:t xml:space="preserve"> conditions</w:t>
      </w:r>
      <w:r w:rsidR="001A09F2" w:rsidRPr="001A09F2">
        <w:t>.</w:t>
      </w:r>
      <w:r w:rsidR="004E3CD0">
        <w:t xml:space="preserve"> Results </w:t>
      </w:r>
      <w:r w:rsidR="00B55853">
        <w:t>are</w:t>
      </w:r>
      <w:r w:rsidR="004578FC">
        <w:t xml:space="preserve"> consistent with previous similar works</w:t>
      </w:r>
      <w:r w:rsidR="00D5381B">
        <w:t xml:space="preserve"> showing that the Coanda effect </w:t>
      </w:r>
      <w:r w:rsidR="00D45B46">
        <w:t>is still the predominant phenomenon</w:t>
      </w:r>
      <w:r w:rsidR="00636FDF">
        <w:t xml:space="preserve">, although a </w:t>
      </w:r>
      <w:r w:rsidR="00A97E50">
        <w:t xml:space="preserve">slightly </w:t>
      </w:r>
      <w:r w:rsidR="00636FDF">
        <w:t>difference</w:t>
      </w:r>
      <w:r w:rsidR="002438A6">
        <w:t xml:space="preserve"> was noted in the value of the </w:t>
      </w:r>
      <w:r w:rsidR="00A71F27" w:rsidRPr="001A09F2">
        <w:t>h/</w:t>
      </w:r>
      <w:proofErr w:type="spellStart"/>
      <w:r w:rsidR="00A71F27" w:rsidRPr="001A09F2">
        <w:t>D</w:t>
      </w:r>
      <w:r w:rsidR="00A71F27" w:rsidRPr="001A09F2">
        <w:rPr>
          <w:vertAlign w:val="subscript"/>
        </w:rPr>
        <w:t>eq</w:t>
      </w:r>
      <w:proofErr w:type="spellEnd"/>
      <w:r w:rsidR="00A71F27">
        <w:rPr>
          <w:vertAlign w:val="subscript"/>
        </w:rPr>
        <w:t xml:space="preserve"> </w:t>
      </w:r>
      <w:r w:rsidR="00A71F27">
        <w:t xml:space="preserve">threshold that separates the </w:t>
      </w:r>
      <w:r w:rsidR="001C2D06">
        <w:t xml:space="preserve">jet – ground interaction behavior </w:t>
      </w:r>
      <w:r w:rsidR="00874E83">
        <w:t xml:space="preserve">and the free – jet </w:t>
      </w:r>
      <w:r w:rsidR="00142EA4">
        <w:t>behavior</w:t>
      </w:r>
      <w:r w:rsidR="00874E83">
        <w:t>.</w:t>
      </w:r>
      <w:r w:rsidR="000673B9">
        <w:t xml:space="preserve"> </w:t>
      </w:r>
      <w:r w:rsidR="00DB4FD7">
        <w:t>Future works may</w:t>
      </w:r>
      <w:r w:rsidR="006612BD">
        <w:t xml:space="preserve"> take into consideration different storage </w:t>
      </w:r>
      <w:r w:rsidR="00713C8A">
        <w:t xml:space="preserve">conditions as well as </w:t>
      </w:r>
      <w:r w:rsidR="007C2C78">
        <w:t>parametric studies about the correlation between release height and mas flow rate discharged</w:t>
      </w:r>
      <w:r w:rsidR="00F24B08">
        <w:t>.</w:t>
      </w:r>
      <w:r w:rsidR="00C61764">
        <w:t xml:space="preserve"> </w:t>
      </w:r>
    </w:p>
    <w:p w14:paraId="07A6D20F" w14:textId="0ECF229E" w:rsidR="00280FAF" w:rsidRPr="00137637" w:rsidRDefault="00280FAF" w:rsidP="00137637">
      <w:pPr>
        <w:pStyle w:val="CETHeading1"/>
        <w:sectPr w:rsidR="00280FAF" w:rsidRPr="00137637" w:rsidSect="00DC73EE">
          <w:type w:val="continuous"/>
          <w:pgSz w:w="11906" w:h="16838" w:code="9"/>
          <w:pgMar w:top="1701" w:right="1418" w:bottom="1701" w:left="1701" w:header="1701" w:footer="0" w:gutter="0"/>
          <w:cols w:space="708"/>
          <w:formProt w:val="0"/>
          <w:titlePg/>
          <w:docGrid w:linePitch="360"/>
        </w:sectPr>
      </w:pPr>
      <w:r w:rsidRPr="00137637">
        <w:t>Nomenclature</w:t>
      </w:r>
    </w:p>
    <w:p w14:paraId="286555BC" w14:textId="77777777" w:rsidR="00A32D97" w:rsidRPr="00137637" w:rsidRDefault="00A32D97" w:rsidP="00A32D97">
      <w:pPr>
        <w:pStyle w:val="CETBodytext"/>
        <w:jc w:val="left"/>
        <w:rPr>
          <w:rFonts w:eastAsia="SimSun"/>
        </w:rPr>
      </w:pPr>
      <w:r w:rsidRPr="00137637">
        <w:rPr>
          <w:rFonts w:eastAsia="SimSun"/>
        </w:rPr>
        <w:t>C</w:t>
      </w:r>
      <w:r w:rsidRPr="00137637">
        <w:rPr>
          <w:rFonts w:eastAsia="SimSun"/>
          <w:vertAlign w:val="subscript"/>
        </w:rPr>
        <w:t>i</w:t>
      </w:r>
      <w:r w:rsidRPr="00137637">
        <w:rPr>
          <w:rFonts w:eastAsia="SimSun"/>
        </w:rPr>
        <w:t xml:space="preserve"> – LFL concentration of the </w:t>
      </w:r>
      <w:proofErr w:type="spellStart"/>
      <w:r w:rsidRPr="00137637">
        <w:rPr>
          <w:rFonts w:eastAsia="SimSun"/>
        </w:rPr>
        <w:t>i</w:t>
      </w:r>
      <w:proofErr w:type="spellEnd"/>
      <w:r w:rsidRPr="00137637">
        <w:rPr>
          <w:rFonts w:eastAsia="SimSun"/>
        </w:rPr>
        <w:t xml:space="preserve"> substance, -</w:t>
      </w:r>
    </w:p>
    <w:p w14:paraId="703C8D45" w14:textId="77777777" w:rsidR="00A32D97" w:rsidRPr="00137637" w:rsidRDefault="00A32D97" w:rsidP="00A32D97">
      <w:pPr>
        <w:pStyle w:val="CETBodytext"/>
        <w:jc w:val="left"/>
        <w:rPr>
          <w:rFonts w:eastAsia="SimSun"/>
        </w:rPr>
        <w:sectPr w:rsidR="00A32D97" w:rsidRPr="00137637" w:rsidSect="00142EA4">
          <w:type w:val="continuous"/>
          <w:pgSz w:w="11906" w:h="16838" w:code="9"/>
          <w:pgMar w:top="1701" w:right="1418" w:bottom="1701" w:left="1701" w:header="1701" w:footer="0" w:gutter="0"/>
          <w:cols w:space="708"/>
          <w:formProt w:val="0"/>
          <w:titlePg/>
          <w:docGrid w:linePitch="360"/>
        </w:sectPr>
      </w:pPr>
      <w:proofErr w:type="spellStart"/>
      <w:r w:rsidRPr="00137637">
        <w:rPr>
          <w:rFonts w:eastAsia="SimSun"/>
        </w:rPr>
        <w:t>C</w:t>
      </w:r>
      <w:r w:rsidRPr="00137637">
        <w:rPr>
          <w:rFonts w:eastAsia="SimSun"/>
          <w:vertAlign w:val="subscript"/>
        </w:rPr>
        <w:t>ref</w:t>
      </w:r>
      <w:proofErr w:type="spellEnd"/>
      <w:r w:rsidRPr="00137637">
        <w:rPr>
          <w:rFonts w:eastAsia="SimSun"/>
        </w:rPr>
        <w:t xml:space="preserve"> – LFL concentration of methane, - </w:t>
      </w:r>
    </w:p>
    <w:p w14:paraId="130505D9" w14:textId="77777777" w:rsidR="00A32D97" w:rsidRPr="00137637" w:rsidRDefault="00A32D97" w:rsidP="00A32D97">
      <w:pPr>
        <w:pStyle w:val="CETBodytext"/>
        <w:jc w:val="left"/>
        <w:rPr>
          <w:rFonts w:eastAsia="SimSun"/>
        </w:rPr>
      </w:pPr>
      <w:proofErr w:type="spellStart"/>
      <w:r w:rsidRPr="00137637">
        <w:rPr>
          <w:rFonts w:eastAsia="SimSun"/>
        </w:rPr>
        <w:t>D</w:t>
      </w:r>
      <w:r w:rsidRPr="00137637">
        <w:rPr>
          <w:rFonts w:eastAsia="SimSun"/>
          <w:vertAlign w:val="subscript"/>
        </w:rPr>
        <w:t>eq</w:t>
      </w:r>
      <w:proofErr w:type="spellEnd"/>
      <w:r w:rsidRPr="00137637">
        <w:rPr>
          <w:rFonts w:eastAsia="SimSun"/>
        </w:rPr>
        <w:t xml:space="preserve"> – equivalent source diameter, m</w:t>
      </w:r>
    </w:p>
    <w:p w14:paraId="5EDBB1AF" w14:textId="77777777" w:rsidR="00A32D97" w:rsidRPr="00137637" w:rsidRDefault="00A32D97" w:rsidP="00A32D97">
      <w:pPr>
        <w:pStyle w:val="CETBodytext"/>
        <w:jc w:val="left"/>
        <w:rPr>
          <w:rFonts w:eastAsia="SimSun"/>
        </w:rPr>
      </w:pPr>
      <w:r w:rsidRPr="00137637">
        <w:rPr>
          <w:rFonts w:eastAsia="SimSun"/>
        </w:rPr>
        <w:t>h – release height above ground, m</w:t>
      </w:r>
    </w:p>
    <w:p w14:paraId="7280DFE5" w14:textId="10F8DB51" w:rsidR="00A32D97" w:rsidRPr="00137637" w:rsidRDefault="00A32D97" w:rsidP="00A32D97">
      <w:pPr>
        <w:pStyle w:val="CETBodytext"/>
        <w:jc w:val="left"/>
        <w:rPr>
          <w:rFonts w:eastAsia="SimSun"/>
        </w:rPr>
      </w:pPr>
      <w:proofErr w:type="spellStart"/>
      <w:r w:rsidRPr="00137637">
        <w:rPr>
          <w:rFonts w:eastAsia="SimSun"/>
        </w:rPr>
        <w:t>ME</w:t>
      </w:r>
      <w:r w:rsidR="00A65ACD">
        <w:rPr>
          <w:rFonts w:eastAsia="SimSun"/>
          <w:vertAlign w:val="subscript"/>
        </w:rPr>
        <w:t>i</w:t>
      </w:r>
      <w:proofErr w:type="spellEnd"/>
      <w:r w:rsidRPr="00137637">
        <w:rPr>
          <w:rFonts w:eastAsia="SimSun"/>
        </w:rPr>
        <w:t xml:space="preserve"> – jet maximum extension</w:t>
      </w:r>
      <w:r w:rsidR="00B560D0">
        <w:rPr>
          <w:rFonts w:eastAsia="SimSun"/>
        </w:rPr>
        <w:t xml:space="preserve"> of </w:t>
      </w:r>
      <w:proofErr w:type="spellStart"/>
      <w:r w:rsidR="00B560D0">
        <w:rPr>
          <w:rFonts w:eastAsia="SimSun"/>
        </w:rPr>
        <w:t>i</w:t>
      </w:r>
      <w:proofErr w:type="spellEnd"/>
      <w:r w:rsidR="00B560D0">
        <w:rPr>
          <w:rFonts w:eastAsia="SimSun"/>
        </w:rPr>
        <w:t xml:space="preserve"> substance</w:t>
      </w:r>
      <w:r w:rsidRPr="00137637">
        <w:rPr>
          <w:rFonts w:eastAsia="SimSun"/>
        </w:rPr>
        <w:t>, m</w:t>
      </w:r>
    </w:p>
    <w:p w14:paraId="48F1B912" w14:textId="77777777" w:rsidR="00A32D97" w:rsidRPr="00137637" w:rsidRDefault="00A32D97" w:rsidP="00A32D97">
      <w:pPr>
        <w:pStyle w:val="CETBodytext"/>
        <w:jc w:val="left"/>
        <w:rPr>
          <w:rFonts w:eastAsia="SimSun"/>
        </w:rPr>
      </w:pPr>
      <w:proofErr w:type="spellStart"/>
      <w:r w:rsidRPr="00137637">
        <w:rPr>
          <w:rFonts w:eastAsia="SimSun"/>
        </w:rPr>
        <w:t>ME</w:t>
      </w:r>
      <w:r w:rsidRPr="00137637">
        <w:rPr>
          <w:rFonts w:eastAsia="SimSun"/>
          <w:vertAlign w:val="subscript"/>
        </w:rPr>
        <w:t>fj</w:t>
      </w:r>
      <w:proofErr w:type="spellEnd"/>
      <w:r w:rsidRPr="00137637">
        <w:rPr>
          <w:rFonts w:eastAsia="SimSun"/>
          <w:vertAlign w:val="subscript"/>
        </w:rPr>
        <w:t xml:space="preserve"> </w:t>
      </w:r>
      <w:r w:rsidRPr="00137637">
        <w:rPr>
          <w:rFonts w:eastAsia="SimSun"/>
        </w:rPr>
        <w:t>– free – jet maximum extension, m</w:t>
      </w:r>
    </w:p>
    <w:p w14:paraId="22A68DB7" w14:textId="3F52DB35" w:rsidR="00137637" w:rsidRPr="002F6605" w:rsidRDefault="00142EA4" w:rsidP="00137637">
      <w:pPr>
        <w:pStyle w:val="CETBodytext"/>
        <w:jc w:val="left"/>
        <w:rPr>
          <w:rFonts w:eastAsia="SimSun"/>
        </w:rPr>
      </w:pPr>
      <w:r>
        <w:rPr>
          <w:rFonts w:eastAsia="SimSun"/>
        </w:rPr>
        <w:t>y</w:t>
      </w:r>
      <w:r w:rsidR="00137637" w:rsidRPr="002F6605">
        <w:rPr>
          <w:rFonts w:eastAsia="SimSun"/>
        </w:rPr>
        <w:t xml:space="preserve"> – vertical coordinate, m</w:t>
      </w:r>
    </w:p>
    <w:p w14:paraId="619292F5" w14:textId="4ED68F67" w:rsidR="00A32D97" w:rsidRPr="002F6605" w:rsidRDefault="00142EA4" w:rsidP="00A32D97">
      <w:pPr>
        <w:pStyle w:val="CETBodytext"/>
        <w:jc w:val="left"/>
        <w:rPr>
          <w:rFonts w:eastAsia="SimSun"/>
        </w:rPr>
      </w:pPr>
      <w:proofErr w:type="spellStart"/>
      <w:r>
        <w:rPr>
          <w:rFonts w:eastAsia="SimSun"/>
        </w:rPr>
        <w:t>u</w:t>
      </w:r>
      <w:r w:rsidR="00A32D97" w:rsidRPr="002F6605">
        <w:rPr>
          <w:rFonts w:eastAsia="SimSun"/>
          <w:vertAlign w:val="subscript"/>
        </w:rPr>
        <w:t>ref</w:t>
      </w:r>
      <w:proofErr w:type="spellEnd"/>
      <w:r w:rsidR="00A32D97" w:rsidRPr="002F6605">
        <w:rPr>
          <w:rFonts w:eastAsia="SimSun"/>
          <w:vertAlign w:val="subscript"/>
        </w:rPr>
        <w:t xml:space="preserve"> </w:t>
      </w:r>
      <w:r w:rsidR="00A32D97" w:rsidRPr="002F6605">
        <w:rPr>
          <w:rFonts w:eastAsia="SimSun"/>
        </w:rPr>
        <w:t>– wind velocity at 10 m above the ground, m/s</w:t>
      </w:r>
    </w:p>
    <w:p w14:paraId="25D52BD8" w14:textId="24F7B044" w:rsidR="00280FAF" w:rsidRPr="002F6605" w:rsidRDefault="00142EA4" w:rsidP="00280FAF">
      <w:pPr>
        <w:pStyle w:val="CETBodytext"/>
        <w:jc w:val="left"/>
        <w:rPr>
          <w:rFonts w:eastAsia="SimSun"/>
        </w:rPr>
      </w:pPr>
      <w:proofErr w:type="spellStart"/>
      <w:r>
        <w:rPr>
          <w:rFonts w:eastAsia="SimSun"/>
        </w:rPr>
        <w:t>u</w:t>
      </w:r>
      <w:r w:rsidR="000215D5" w:rsidRPr="002F6605">
        <w:rPr>
          <w:rFonts w:eastAsia="SimSun"/>
          <w:vertAlign w:val="subscript"/>
        </w:rPr>
        <w:t>y</w:t>
      </w:r>
      <w:proofErr w:type="spellEnd"/>
      <w:r w:rsidR="00280FAF" w:rsidRPr="002F6605">
        <w:rPr>
          <w:rFonts w:eastAsia="SimSun"/>
        </w:rPr>
        <w:t xml:space="preserve"> – </w:t>
      </w:r>
      <w:r w:rsidR="00A5420F" w:rsidRPr="002F6605">
        <w:rPr>
          <w:rFonts w:eastAsia="SimSun"/>
        </w:rPr>
        <w:t>wind velocity along vertical direction, m</w:t>
      </w:r>
      <w:r w:rsidR="00720800" w:rsidRPr="002F6605">
        <w:rPr>
          <w:rFonts w:eastAsia="SimSun"/>
        </w:rPr>
        <w:t>/s</w:t>
      </w:r>
    </w:p>
    <w:p w14:paraId="6E4BC147" w14:textId="4B753672" w:rsidR="00137637" w:rsidRPr="00142EA4" w:rsidRDefault="00137637" w:rsidP="00142EA4">
      <w:pPr>
        <w:pStyle w:val="CETBodytext"/>
        <w:jc w:val="left"/>
        <w:rPr>
          <w:rFonts w:eastAsia="SimSun"/>
        </w:rPr>
        <w:sectPr w:rsidR="00137637" w:rsidRPr="00142EA4" w:rsidSect="00142EA4">
          <w:type w:val="continuous"/>
          <w:pgSz w:w="11906" w:h="16838" w:code="9"/>
          <w:pgMar w:top="1701" w:right="1418" w:bottom="1701" w:left="1701" w:header="1701" w:footer="0" w:gutter="0"/>
          <w:cols w:space="708"/>
          <w:formProt w:val="0"/>
          <w:titlePg/>
          <w:docGrid w:linePitch="360"/>
        </w:sectPr>
      </w:pPr>
      <w:r w:rsidRPr="002F6605">
        <w:rPr>
          <w:rFonts w:eastAsia="SimSun" w:cs="Arial"/>
        </w:rPr>
        <w:t>β</w:t>
      </w:r>
      <w:r w:rsidRPr="002F6605">
        <w:rPr>
          <w:rFonts w:eastAsia="SimSun"/>
        </w:rPr>
        <w:t xml:space="preserve"> –</w:t>
      </w:r>
      <w:r w:rsidR="009B5B5D" w:rsidRPr="002F6605">
        <w:rPr>
          <w:rFonts w:eastAsia="SimSun"/>
        </w:rPr>
        <w:t xml:space="preserve"> exponential factor, </w:t>
      </w:r>
      <w:r w:rsidR="00142EA4">
        <w:rPr>
          <w:rFonts w:eastAsia="SimSun"/>
        </w:rPr>
        <w:t xml:space="preserve"> -</w:t>
      </w:r>
    </w:p>
    <w:p w14:paraId="23B06EFC" w14:textId="77777777" w:rsidR="00142EA4" w:rsidRDefault="00142EA4" w:rsidP="00142EA4">
      <w:pPr>
        <w:pStyle w:val="CETHeading1"/>
        <w:numPr>
          <w:ilvl w:val="0"/>
          <w:numId w:val="0"/>
        </w:numPr>
        <w:sectPr w:rsidR="00142EA4" w:rsidSect="00142EA4">
          <w:type w:val="continuous"/>
          <w:pgSz w:w="11906" w:h="16838" w:code="9"/>
          <w:pgMar w:top="1701" w:right="1418" w:bottom="1701" w:left="1701" w:header="1701" w:footer="0" w:gutter="0"/>
          <w:cols w:space="708"/>
          <w:formProt w:val="0"/>
          <w:titlePg/>
          <w:docGrid w:linePitch="360"/>
        </w:sectPr>
      </w:pPr>
    </w:p>
    <w:p w14:paraId="00BA3D4F" w14:textId="43E23792" w:rsidR="00C52C3C" w:rsidRPr="001A09F2" w:rsidRDefault="00600535" w:rsidP="00137637">
      <w:pPr>
        <w:pStyle w:val="CETHeading1"/>
      </w:pPr>
      <w:r w:rsidRPr="001A09F2">
        <w:lastRenderedPageBreak/>
        <w:t>References</w:t>
      </w:r>
    </w:p>
    <w:p w14:paraId="3DD37CAB" w14:textId="77777777" w:rsidR="00A5392E" w:rsidRPr="006E0C72" w:rsidRDefault="002E4A32" w:rsidP="00A5392E">
      <w:pPr>
        <w:pStyle w:val="Bibliografia"/>
        <w:rPr>
          <w:rFonts w:cs="Arial"/>
        </w:rPr>
      </w:pPr>
      <w:r w:rsidRPr="001A09F2">
        <w:rPr>
          <w:lang w:val="en-US"/>
        </w:rPr>
        <w:fldChar w:fldCharType="begin"/>
      </w:r>
      <w:r w:rsidR="003B219B" w:rsidRPr="001A09F2">
        <w:rPr>
          <w:lang w:val="en-US"/>
        </w:rPr>
        <w:instrText xml:space="preserve"> ADDIN ZOTERO_BIBL {"uncited":[],"omitted":[],"custom":[]} CSL_BIBLIOGRAPHY </w:instrText>
      </w:r>
      <w:r w:rsidRPr="001A09F2">
        <w:rPr>
          <w:lang w:val="en-US"/>
        </w:rPr>
        <w:fldChar w:fldCharType="separate"/>
      </w:r>
      <w:r w:rsidR="00A5392E" w:rsidRPr="006E0C72">
        <w:rPr>
          <w:rFonts w:cs="Arial"/>
        </w:rPr>
        <w:t>ANSYS Inc., 2021. ANSYS Fluent 21 User’s guide.</w:t>
      </w:r>
    </w:p>
    <w:p w14:paraId="75627D0A" w14:textId="77777777" w:rsidR="00A5392E" w:rsidRPr="006E0C72" w:rsidRDefault="00A5392E" w:rsidP="00A5392E">
      <w:pPr>
        <w:pStyle w:val="Bibliografia"/>
        <w:rPr>
          <w:rFonts w:cs="Arial"/>
        </w:rPr>
      </w:pPr>
      <w:r w:rsidRPr="006E0C72">
        <w:rPr>
          <w:rFonts w:cs="Arial"/>
        </w:rPr>
        <w:t>Bénard, P., Hourri, A., Angers, B., Tchouvelev, A., 2016. Adjacent surface effect on the flammable cloud of hydrogen and methane jets: Numerical investigation and engineering correlations. International Journal of Hydrogen Energy 41, 18654–18662. https://doi.org/10.1016/j.ijhydene.2016.08.173</w:t>
      </w:r>
    </w:p>
    <w:p w14:paraId="5E63EF6D" w14:textId="77777777" w:rsidR="00A5392E" w:rsidRPr="006E0C72" w:rsidRDefault="00A5392E" w:rsidP="00A5392E">
      <w:pPr>
        <w:pStyle w:val="Bibliografia"/>
        <w:rPr>
          <w:rFonts w:cs="Arial"/>
        </w:rPr>
      </w:pPr>
      <w:r w:rsidRPr="006E0C72">
        <w:rPr>
          <w:rFonts w:cs="Arial"/>
        </w:rPr>
        <w:t>Birch, A.D., Brown, D.R., Dodson, M.G., Swaffield, F., 1984. The Structure and Concentration Decay of High Pressure Jets of Natural Gas. Combustion Science and Technology 36, 249–261. https://doi.org/10.1080/00102208408923739</w:t>
      </w:r>
    </w:p>
    <w:p w14:paraId="030DA126" w14:textId="6ECAF298" w:rsidR="00A5392E" w:rsidRPr="006E0C72" w:rsidRDefault="00A5392E" w:rsidP="00A5392E">
      <w:pPr>
        <w:pStyle w:val="Bibliografia"/>
        <w:rPr>
          <w:rFonts w:cs="Arial"/>
        </w:rPr>
      </w:pPr>
      <w:r w:rsidRPr="00696D13">
        <w:rPr>
          <w:rFonts w:cs="Arial"/>
          <w:lang w:val="it-IT"/>
        </w:rPr>
        <w:t xml:space="preserve">Colombini, C., Busini, V., 2019. </w:t>
      </w:r>
      <w:r w:rsidRPr="006E0C72">
        <w:rPr>
          <w:rFonts w:cs="Arial"/>
        </w:rPr>
        <w:t>Obstacle Influence on High-Pressure Jets based on Computational Fluid Dynamics Simulations. Chemical Engineering Transactions 77, 811–816. https://doi.org/10.3303/CET1977136</w:t>
      </w:r>
    </w:p>
    <w:p w14:paraId="3CEBF384" w14:textId="77777777" w:rsidR="00A5392E" w:rsidRPr="006E0C72" w:rsidRDefault="00A5392E" w:rsidP="00A5392E">
      <w:pPr>
        <w:pStyle w:val="Bibliografia"/>
        <w:rPr>
          <w:rFonts w:cs="Arial"/>
        </w:rPr>
      </w:pPr>
      <w:r w:rsidRPr="006E0C72">
        <w:rPr>
          <w:rFonts w:cs="Arial"/>
        </w:rPr>
        <w:t>Colombini, C., Carlini, L., Rota, R., Busini, V., 2020a. Ground Interaction on High-pressure Jets: Effect on Different Substances. Chemical Engineering Transactions 82, 367–372. https://doi.org/10.3303/CET2082062</w:t>
      </w:r>
    </w:p>
    <w:p w14:paraId="2AEB6DF1" w14:textId="77777777" w:rsidR="00A5392E" w:rsidRPr="006E0C72" w:rsidRDefault="00A5392E" w:rsidP="00A5392E">
      <w:pPr>
        <w:pStyle w:val="Bibliografia"/>
        <w:rPr>
          <w:rFonts w:cs="Arial"/>
        </w:rPr>
      </w:pPr>
      <w:r w:rsidRPr="00696D13">
        <w:rPr>
          <w:rFonts w:cs="Arial"/>
          <w:lang w:val="it-IT"/>
        </w:rPr>
        <w:t xml:space="preserve">Colombini, C., Martani, A., Rota, R., Busini, V., 2020b. </w:t>
      </w:r>
      <w:r w:rsidRPr="006E0C72">
        <w:rPr>
          <w:rFonts w:cs="Arial"/>
        </w:rPr>
        <w:t>Ground influence on high-pressure methane jets: Practical tools for risk assessment. Journal of Loss Prevention in the Process Industries 67, 104240. https://doi.org/10.1016/j.jlp.2020.104240</w:t>
      </w:r>
    </w:p>
    <w:p w14:paraId="24E57EC9" w14:textId="77777777" w:rsidR="00A5392E" w:rsidRPr="006E0C72" w:rsidRDefault="00A5392E" w:rsidP="00A5392E">
      <w:pPr>
        <w:pStyle w:val="Bibliografia"/>
        <w:rPr>
          <w:rFonts w:cs="Arial"/>
        </w:rPr>
      </w:pPr>
      <w:r w:rsidRPr="00696D13">
        <w:rPr>
          <w:rFonts w:cs="Arial"/>
          <w:lang w:val="it-IT"/>
        </w:rPr>
        <w:t xml:space="preserve">Colombini, C., Maugeri, G., Zanon, G., Rota, R., Busini, V., 2020c. </w:t>
      </w:r>
      <w:r w:rsidRPr="006E0C72">
        <w:rPr>
          <w:rFonts w:cs="Arial"/>
        </w:rPr>
        <w:t>Unignited High-Pressure Methane Jet Impinging a Pipe Rack: Practical Tools for Risk Assessment. Journal of Loss Prevention in the Process Industries 69, 104378. https://doi.org/10.1016/j.jlp.2020.104378</w:t>
      </w:r>
    </w:p>
    <w:p w14:paraId="1B0466F9" w14:textId="77777777" w:rsidR="007E0882" w:rsidRPr="006E0C72" w:rsidRDefault="007E0882" w:rsidP="007E0882">
      <w:pPr>
        <w:pStyle w:val="Bibliografia"/>
        <w:rPr>
          <w:rFonts w:cs="Arial"/>
        </w:rPr>
      </w:pPr>
      <w:r w:rsidRPr="00696D13">
        <w:rPr>
          <w:rFonts w:cs="Arial"/>
          <w:lang w:val="it-IT"/>
        </w:rPr>
        <w:t xml:space="preserve">Colombini, C., Iannantuoni, C., Rota, R., Busini, V., 2022. </w:t>
      </w:r>
      <w:r w:rsidRPr="006E0C72">
        <w:rPr>
          <w:rFonts w:cs="Arial"/>
        </w:rPr>
        <w:t>Unignited high-pressure methane jet impacting a cylindrical obstacle: An assessment tool for consequences analysis. Journal of Loss Prevention in the Process Industries 76, 104593. https://doi.org/10.1016/j.jlp.2021.104593</w:t>
      </w:r>
    </w:p>
    <w:p w14:paraId="133D9C65" w14:textId="77777777" w:rsidR="00A5392E" w:rsidRPr="006E0C72" w:rsidRDefault="00A5392E" w:rsidP="00A5392E">
      <w:pPr>
        <w:pStyle w:val="Bibliografia"/>
        <w:rPr>
          <w:rFonts w:cs="Arial"/>
        </w:rPr>
      </w:pPr>
      <w:r w:rsidRPr="006E0C72">
        <w:rPr>
          <w:rFonts w:cs="Arial"/>
        </w:rPr>
        <w:t>Franke, J., Baklanov, A., 2007. Best Practice Guideline for the CFD Simulation of Flows in the Urban Environment: COST Action 732 Quality Assurance and Improvement of Microscale Meteorological Models.</w:t>
      </w:r>
    </w:p>
    <w:p w14:paraId="3DA58B16" w14:textId="77777777" w:rsidR="00A5392E" w:rsidRPr="006E0C72" w:rsidRDefault="00A5392E" w:rsidP="00A5392E">
      <w:pPr>
        <w:pStyle w:val="Bibliografia"/>
        <w:rPr>
          <w:rFonts w:cs="Arial"/>
        </w:rPr>
      </w:pPr>
      <w:r w:rsidRPr="006E0C72">
        <w:rPr>
          <w:rFonts w:cs="Arial"/>
        </w:rPr>
        <w:t>Hourri, A., Angers, B., Bénard, P., 2009. Surface effects on flammable extent of hydrogen and methane jets. International Journal of Hydrogen Energy 34, 1569–1577. https://doi.org/10.1016/j.ijhydene.2008.11.088</w:t>
      </w:r>
    </w:p>
    <w:p w14:paraId="12D58DE8" w14:textId="77777777" w:rsidR="00A5392E" w:rsidRPr="006E0C72" w:rsidRDefault="00A5392E" w:rsidP="00A5392E">
      <w:pPr>
        <w:pStyle w:val="Bibliografia"/>
        <w:rPr>
          <w:rFonts w:cs="Arial"/>
        </w:rPr>
      </w:pPr>
      <w:r w:rsidRPr="00696D13">
        <w:rPr>
          <w:rFonts w:cs="Arial"/>
          <w:lang w:val="it-IT"/>
        </w:rPr>
        <w:t xml:space="preserve">Moscatello, A., Uggenti, A.C., Gerboni, R., Carpignano, A., 2021. </w:t>
      </w:r>
      <w:r w:rsidRPr="006E0C72">
        <w:rPr>
          <w:rFonts w:cs="Arial"/>
        </w:rPr>
        <w:t>A novel approach to high-pressure gas releases simulations. Journal of Loss Prevention in the Process Industries 72, 104531. https://doi.org/10.1016/j.jlp.2021.104531</w:t>
      </w:r>
    </w:p>
    <w:p w14:paraId="25B1B8A0" w14:textId="77777777" w:rsidR="00A5392E" w:rsidRPr="006E0C72" w:rsidRDefault="00A5392E" w:rsidP="00A5392E">
      <w:pPr>
        <w:pStyle w:val="Bibliografia"/>
        <w:rPr>
          <w:rFonts w:cs="Arial"/>
        </w:rPr>
      </w:pPr>
      <w:r w:rsidRPr="00696D13">
        <w:rPr>
          <w:rFonts w:cs="Arial"/>
          <w:lang w:val="it-IT"/>
        </w:rPr>
        <w:t xml:space="preserve">Pinciroli, A., Ferrario, F., Rubbuano, L., Rota, R., Busini, V., 2024. </w:t>
      </w:r>
      <w:r w:rsidRPr="006E0C72">
        <w:rPr>
          <w:rFonts w:cs="Arial"/>
        </w:rPr>
        <w:t>Cuboid obstacle influence on high-pressure jet dispersion: A CFD study. Journal of Loss Prevention in the Process Industries 91, 105416. https://doi.org/10.1016/j.jlp.2024.105416</w:t>
      </w:r>
    </w:p>
    <w:p w14:paraId="06F024AF" w14:textId="77777777" w:rsidR="00A5392E" w:rsidRPr="006E0C72" w:rsidRDefault="00A5392E" w:rsidP="00A5392E">
      <w:pPr>
        <w:pStyle w:val="Bibliografia"/>
        <w:rPr>
          <w:rFonts w:cs="Arial"/>
        </w:rPr>
      </w:pPr>
      <w:r w:rsidRPr="006E0C72">
        <w:rPr>
          <w:rFonts w:cs="Arial"/>
        </w:rPr>
        <w:t xml:space="preserve">Woodward, J.L., </w:t>
      </w:r>
      <w:proofErr w:type="spellStart"/>
      <w:r w:rsidRPr="006E0C72">
        <w:rPr>
          <w:rFonts w:cs="Arial"/>
        </w:rPr>
        <w:t>Pitbaldo</w:t>
      </w:r>
      <w:proofErr w:type="spellEnd"/>
      <w:r w:rsidRPr="006E0C72">
        <w:rPr>
          <w:rFonts w:cs="Arial"/>
        </w:rPr>
        <w:t>, R.M., 2010. LNG Risk Based Safety: Modeling and Consequence Analysis. John Wiley &amp; Sons, Ltd. https://doi.org/10.1002/9780470590232.fmatter</w:t>
      </w:r>
    </w:p>
    <w:p w14:paraId="19C4FC68" w14:textId="6D1128C7" w:rsidR="004628D2" w:rsidRPr="00137637" w:rsidRDefault="002E4A32" w:rsidP="00137637">
      <w:pPr>
        <w:pStyle w:val="CETReferencetext"/>
        <w:ind w:left="0" w:firstLine="0"/>
        <w:rPr>
          <w:lang w:val="en-US"/>
        </w:rPr>
      </w:pPr>
      <w:r w:rsidRPr="001A09F2">
        <w:rPr>
          <w:lang w:val="en-US"/>
        </w:rPr>
        <w:fldChar w:fldCharType="end"/>
      </w:r>
    </w:p>
    <w:sectPr w:rsidR="004628D2" w:rsidRPr="00137637"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8841A" w14:textId="77777777" w:rsidR="003333C3" w:rsidRDefault="003333C3" w:rsidP="004F5E36">
      <w:r>
        <w:separator/>
      </w:r>
    </w:p>
  </w:endnote>
  <w:endnote w:type="continuationSeparator" w:id="0">
    <w:p w14:paraId="26A9901F" w14:textId="77777777" w:rsidR="003333C3" w:rsidRDefault="003333C3" w:rsidP="004F5E36">
      <w:r>
        <w:continuationSeparator/>
      </w:r>
    </w:p>
  </w:endnote>
  <w:endnote w:type="continuationNotice" w:id="1">
    <w:p w14:paraId="7FD276FD" w14:textId="77777777" w:rsidR="003333C3" w:rsidRDefault="003333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C934E" w14:textId="77777777" w:rsidR="003333C3" w:rsidRDefault="003333C3" w:rsidP="004F5E36">
      <w:r>
        <w:separator/>
      </w:r>
    </w:p>
  </w:footnote>
  <w:footnote w:type="continuationSeparator" w:id="0">
    <w:p w14:paraId="01A71BFD" w14:textId="77777777" w:rsidR="003333C3" w:rsidRDefault="003333C3" w:rsidP="004F5E36">
      <w:r>
        <w:continuationSeparator/>
      </w:r>
    </w:p>
  </w:footnote>
  <w:footnote w:type="continuationNotice" w:id="1">
    <w:p w14:paraId="50AD9B1A" w14:textId="77777777" w:rsidR="003333C3" w:rsidRDefault="003333C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B35661A"/>
    <w:multiLevelType w:val="hybridMultilevel"/>
    <w:tmpl w:val="89A4BC0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CBF249C"/>
    <w:multiLevelType w:val="hybridMultilevel"/>
    <w:tmpl w:val="6A026D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442576408">
    <w:abstractNumId w:val="11"/>
  </w:num>
  <w:num w:numId="2" w16cid:durableId="890003058">
    <w:abstractNumId w:val="8"/>
  </w:num>
  <w:num w:numId="3" w16cid:durableId="1096635511">
    <w:abstractNumId w:val="3"/>
  </w:num>
  <w:num w:numId="4" w16cid:durableId="1915771096">
    <w:abstractNumId w:val="2"/>
  </w:num>
  <w:num w:numId="5" w16cid:durableId="1550611680">
    <w:abstractNumId w:val="1"/>
  </w:num>
  <w:num w:numId="6" w16cid:durableId="1132291172">
    <w:abstractNumId w:val="0"/>
  </w:num>
  <w:num w:numId="7" w16cid:durableId="379863647">
    <w:abstractNumId w:val="9"/>
  </w:num>
  <w:num w:numId="8" w16cid:durableId="785150826">
    <w:abstractNumId w:val="7"/>
  </w:num>
  <w:num w:numId="9" w16cid:durableId="12584430">
    <w:abstractNumId w:val="6"/>
  </w:num>
  <w:num w:numId="10" w16cid:durableId="27797863">
    <w:abstractNumId w:val="5"/>
  </w:num>
  <w:num w:numId="11" w16cid:durableId="1282108489">
    <w:abstractNumId w:val="4"/>
  </w:num>
  <w:num w:numId="12" w16cid:durableId="1082024126">
    <w:abstractNumId w:val="19"/>
  </w:num>
  <w:num w:numId="13" w16cid:durableId="954216514">
    <w:abstractNumId w:val="13"/>
  </w:num>
  <w:num w:numId="14" w16cid:durableId="808207936">
    <w:abstractNumId w:val="20"/>
  </w:num>
  <w:num w:numId="15" w16cid:durableId="2056200434">
    <w:abstractNumId w:val="22"/>
  </w:num>
  <w:num w:numId="16" w16cid:durableId="1741638258">
    <w:abstractNumId w:val="21"/>
  </w:num>
  <w:num w:numId="17" w16cid:durableId="2052221592">
    <w:abstractNumId w:val="12"/>
  </w:num>
  <w:num w:numId="18" w16cid:durableId="1523013892">
    <w:abstractNumId w:val="13"/>
    <w:lvlOverride w:ilvl="0">
      <w:startOverride w:val="1"/>
    </w:lvlOverride>
  </w:num>
  <w:num w:numId="19" w16cid:durableId="1855531562">
    <w:abstractNumId w:val="18"/>
  </w:num>
  <w:num w:numId="20" w16cid:durableId="304433416">
    <w:abstractNumId w:val="17"/>
  </w:num>
  <w:num w:numId="21" w16cid:durableId="499007885">
    <w:abstractNumId w:val="15"/>
  </w:num>
  <w:num w:numId="22" w16cid:durableId="275600396">
    <w:abstractNumId w:val="14"/>
  </w:num>
  <w:num w:numId="23" w16cid:durableId="1791625903">
    <w:abstractNumId w:val="10"/>
  </w:num>
  <w:num w:numId="24" w16cid:durableId="664356930">
    <w:abstractNumId w:val="16"/>
  </w:num>
  <w:num w:numId="25" w16cid:durableId="11957722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15D5"/>
    <w:rsid w:val="0002343D"/>
    <w:rsid w:val="0003148D"/>
    <w:rsid w:val="00031BE8"/>
    <w:rsid w:val="00031EEC"/>
    <w:rsid w:val="00033DA1"/>
    <w:rsid w:val="00041A35"/>
    <w:rsid w:val="00051566"/>
    <w:rsid w:val="000562A9"/>
    <w:rsid w:val="00060BAE"/>
    <w:rsid w:val="00062A9A"/>
    <w:rsid w:val="00062E51"/>
    <w:rsid w:val="00065058"/>
    <w:rsid w:val="0006671A"/>
    <w:rsid w:val="000673B9"/>
    <w:rsid w:val="00073719"/>
    <w:rsid w:val="00076B0A"/>
    <w:rsid w:val="00086C39"/>
    <w:rsid w:val="0009083D"/>
    <w:rsid w:val="00093972"/>
    <w:rsid w:val="00094DCF"/>
    <w:rsid w:val="00095CEF"/>
    <w:rsid w:val="00096871"/>
    <w:rsid w:val="000A03B2"/>
    <w:rsid w:val="000A706F"/>
    <w:rsid w:val="000A7A6B"/>
    <w:rsid w:val="000B3002"/>
    <w:rsid w:val="000B645B"/>
    <w:rsid w:val="000C3EFB"/>
    <w:rsid w:val="000D0268"/>
    <w:rsid w:val="000D34BE"/>
    <w:rsid w:val="000D5581"/>
    <w:rsid w:val="000E0B3C"/>
    <w:rsid w:val="000E102F"/>
    <w:rsid w:val="000E36F1"/>
    <w:rsid w:val="000E3A73"/>
    <w:rsid w:val="000E414A"/>
    <w:rsid w:val="000E45E8"/>
    <w:rsid w:val="000E75FD"/>
    <w:rsid w:val="000F093C"/>
    <w:rsid w:val="000F14CD"/>
    <w:rsid w:val="000F366E"/>
    <w:rsid w:val="000F787B"/>
    <w:rsid w:val="001003F3"/>
    <w:rsid w:val="00101F10"/>
    <w:rsid w:val="0011744E"/>
    <w:rsid w:val="0012091F"/>
    <w:rsid w:val="00126BC2"/>
    <w:rsid w:val="001308B6"/>
    <w:rsid w:val="0013121F"/>
    <w:rsid w:val="00131FE6"/>
    <w:rsid w:val="0013263F"/>
    <w:rsid w:val="001331DF"/>
    <w:rsid w:val="00134DE4"/>
    <w:rsid w:val="00137637"/>
    <w:rsid w:val="0014034D"/>
    <w:rsid w:val="00140FE3"/>
    <w:rsid w:val="00142EA4"/>
    <w:rsid w:val="00144D16"/>
    <w:rsid w:val="00150E59"/>
    <w:rsid w:val="00152DE3"/>
    <w:rsid w:val="00156498"/>
    <w:rsid w:val="00160BC8"/>
    <w:rsid w:val="00163D16"/>
    <w:rsid w:val="00164CF9"/>
    <w:rsid w:val="001667A6"/>
    <w:rsid w:val="001723D3"/>
    <w:rsid w:val="0018171E"/>
    <w:rsid w:val="00184AD6"/>
    <w:rsid w:val="001A09F2"/>
    <w:rsid w:val="001A42ED"/>
    <w:rsid w:val="001A4AF7"/>
    <w:rsid w:val="001B0349"/>
    <w:rsid w:val="001B1E93"/>
    <w:rsid w:val="001B22C7"/>
    <w:rsid w:val="001B38D1"/>
    <w:rsid w:val="001B45CF"/>
    <w:rsid w:val="001B65C1"/>
    <w:rsid w:val="001C260F"/>
    <w:rsid w:val="001C2D06"/>
    <w:rsid w:val="001C5C3A"/>
    <w:rsid w:val="001C684B"/>
    <w:rsid w:val="001C75E5"/>
    <w:rsid w:val="001D0CFB"/>
    <w:rsid w:val="001D21AF"/>
    <w:rsid w:val="001D3AEF"/>
    <w:rsid w:val="001D53FC"/>
    <w:rsid w:val="001D7C72"/>
    <w:rsid w:val="001F0C24"/>
    <w:rsid w:val="001F2499"/>
    <w:rsid w:val="001F42A5"/>
    <w:rsid w:val="001F7B9D"/>
    <w:rsid w:val="00201C93"/>
    <w:rsid w:val="0020506E"/>
    <w:rsid w:val="00206C50"/>
    <w:rsid w:val="002164D2"/>
    <w:rsid w:val="00220BCB"/>
    <w:rsid w:val="00221139"/>
    <w:rsid w:val="00221A27"/>
    <w:rsid w:val="002224B4"/>
    <w:rsid w:val="00226D41"/>
    <w:rsid w:val="00234F7E"/>
    <w:rsid w:val="0024060C"/>
    <w:rsid w:val="002431F3"/>
    <w:rsid w:val="002438A6"/>
    <w:rsid w:val="002447EF"/>
    <w:rsid w:val="00251550"/>
    <w:rsid w:val="002552C5"/>
    <w:rsid w:val="0025606A"/>
    <w:rsid w:val="00263B05"/>
    <w:rsid w:val="002646D8"/>
    <w:rsid w:val="00266995"/>
    <w:rsid w:val="0027221A"/>
    <w:rsid w:val="00275B61"/>
    <w:rsid w:val="002765BF"/>
    <w:rsid w:val="00280FAF"/>
    <w:rsid w:val="00282656"/>
    <w:rsid w:val="002850AC"/>
    <w:rsid w:val="00293C8E"/>
    <w:rsid w:val="00293DC2"/>
    <w:rsid w:val="00296B83"/>
    <w:rsid w:val="002A3C82"/>
    <w:rsid w:val="002B0906"/>
    <w:rsid w:val="002B3BA4"/>
    <w:rsid w:val="002B4015"/>
    <w:rsid w:val="002B72F1"/>
    <w:rsid w:val="002B78CE"/>
    <w:rsid w:val="002C2FB6"/>
    <w:rsid w:val="002C36B2"/>
    <w:rsid w:val="002C6D75"/>
    <w:rsid w:val="002D4A65"/>
    <w:rsid w:val="002D5263"/>
    <w:rsid w:val="002D5C6E"/>
    <w:rsid w:val="002E0D23"/>
    <w:rsid w:val="002E2A05"/>
    <w:rsid w:val="002E4A32"/>
    <w:rsid w:val="002E5FA7"/>
    <w:rsid w:val="002F3309"/>
    <w:rsid w:val="002F5DE1"/>
    <w:rsid w:val="002F6605"/>
    <w:rsid w:val="003008CE"/>
    <w:rsid w:val="003009B7"/>
    <w:rsid w:val="00300E56"/>
    <w:rsid w:val="0030152C"/>
    <w:rsid w:val="00303620"/>
    <w:rsid w:val="0030379E"/>
    <w:rsid w:val="0030469C"/>
    <w:rsid w:val="00306AC7"/>
    <w:rsid w:val="00307067"/>
    <w:rsid w:val="00321211"/>
    <w:rsid w:val="0032156A"/>
    <w:rsid w:val="00321CA6"/>
    <w:rsid w:val="00323763"/>
    <w:rsid w:val="00323C5F"/>
    <w:rsid w:val="00332EA4"/>
    <w:rsid w:val="003333C3"/>
    <w:rsid w:val="003343E0"/>
    <w:rsid w:val="00334C09"/>
    <w:rsid w:val="003430BE"/>
    <w:rsid w:val="00344590"/>
    <w:rsid w:val="00350808"/>
    <w:rsid w:val="003548C9"/>
    <w:rsid w:val="003723D4"/>
    <w:rsid w:val="00381905"/>
    <w:rsid w:val="00383087"/>
    <w:rsid w:val="00384CC8"/>
    <w:rsid w:val="003871FD"/>
    <w:rsid w:val="00394BDB"/>
    <w:rsid w:val="003A1E30"/>
    <w:rsid w:val="003A2829"/>
    <w:rsid w:val="003A3EAC"/>
    <w:rsid w:val="003A7D1C"/>
    <w:rsid w:val="003B1F35"/>
    <w:rsid w:val="003B219B"/>
    <w:rsid w:val="003B304B"/>
    <w:rsid w:val="003B3146"/>
    <w:rsid w:val="003B49CD"/>
    <w:rsid w:val="003D1E02"/>
    <w:rsid w:val="003E097C"/>
    <w:rsid w:val="003E176E"/>
    <w:rsid w:val="003F015E"/>
    <w:rsid w:val="003F30B9"/>
    <w:rsid w:val="003F7D59"/>
    <w:rsid w:val="00400414"/>
    <w:rsid w:val="00406FF1"/>
    <w:rsid w:val="00410955"/>
    <w:rsid w:val="0041446B"/>
    <w:rsid w:val="00415DA3"/>
    <w:rsid w:val="0041623F"/>
    <w:rsid w:val="00420475"/>
    <w:rsid w:val="00427D5B"/>
    <w:rsid w:val="004322AB"/>
    <w:rsid w:val="00432B94"/>
    <w:rsid w:val="00435E30"/>
    <w:rsid w:val="0044071E"/>
    <w:rsid w:val="0044223D"/>
    <w:rsid w:val="0044329C"/>
    <w:rsid w:val="0044462F"/>
    <w:rsid w:val="004501A3"/>
    <w:rsid w:val="00450BD3"/>
    <w:rsid w:val="00453E24"/>
    <w:rsid w:val="00457456"/>
    <w:rsid w:val="004577FE"/>
    <w:rsid w:val="004578FC"/>
    <w:rsid w:val="00457B9C"/>
    <w:rsid w:val="0046164A"/>
    <w:rsid w:val="004628D2"/>
    <w:rsid w:val="00462DCD"/>
    <w:rsid w:val="004648AD"/>
    <w:rsid w:val="004703A9"/>
    <w:rsid w:val="004728D1"/>
    <w:rsid w:val="004760DE"/>
    <w:rsid w:val="004763D7"/>
    <w:rsid w:val="004807D7"/>
    <w:rsid w:val="004865EC"/>
    <w:rsid w:val="004A004E"/>
    <w:rsid w:val="004A1BB7"/>
    <w:rsid w:val="004A24CF"/>
    <w:rsid w:val="004A34E2"/>
    <w:rsid w:val="004A3857"/>
    <w:rsid w:val="004A5FEF"/>
    <w:rsid w:val="004C3D1D"/>
    <w:rsid w:val="004C3D84"/>
    <w:rsid w:val="004C7913"/>
    <w:rsid w:val="004D194B"/>
    <w:rsid w:val="004D3107"/>
    <w:rsid w:val="004E1152"/>
    <w:rsid w:val="004E3CD0"/>
    <w:rsid w:val="004E4DD6"/>
    <w:rsid w:val="004E5111"/>
    <w:rsid w:val="004E7F03"/>
    <w:rsid w:val="004F4266"/>
    <w:rsid w:val="004F5E36"/>
    <w:rsid w:val="00507B47"/>
    <w:rsid w:val="00507BEF"/>
    <w:rsid w:val="00507CC9"/>
    <w:rsid w:val="005119A5"/>
    <w:rsid w:val="00523AC7"/>
    <w:rsid w:val="005276A2"/>
    <w:rsid w:val="005278B7"/>
    <w:rsid w:val="00532016"/>
    <w:rsid w:val="0053423E"/>
    <w:rsid w:val="005346C8"/>
    <w:rsid w:val="00541682"/>
    <w:rsid w:val="005424FC"/>
    <w:rsid w:val="00543E7D"/>
    <w:rsid w:val="00546945"/>
    <w:rsid w:val="00547A68"/>
    <w:rsid w:val="005531C9"/>
    <w:rsid w:val="00554879"/>
    <w:rsid w:val="00554E54"/>
    <w:rsid w:val="00560FC7"/>
    <w:rsid w:val="00562569"/>
    <w:rsid w:val="005644EA"/>
    <w:rsid w:val="00570C43"/>
    <w:rsid w:val="0057364B"/>
    <w:rsid w:val="00592274"/>
    <w:rsid w:val="005A0BCC"/>
    <w:rsid w:val="005A17E9"/>
    <w:rsid w:val="005A25D8"/>
    <w:rsid w:val="005A6306"/>
    <w:rsid w:val="005A7755"/>
    <w:rsid w:val="005B18A0"/>
    <w:rsid w:val="005B2110"/>
    <w:rsid w:val="005B350B"/>
    <w:rsid w:val="005B440F"/>
    <w:rsid w:val="005B61E6"/>
    <w:rsid w:val="005C163E"/>
    <w:rsid w:val="005C77E1"/>
    <w:rsid w:val="005D668A"/>
    <w:rsid w:val="005D6A2F"/>
    <w:rsid w:val="005E0592"/>
    <w:rsid w:val="005E1A82"/>
    <w:rsid w:val="005E2109"/>
    <w:rsid w:val="005E794C"/>
    <w:rsid w:val="005F0A28"/>
    <w:rsid w:val="005F0E5E"/>
    <w:rsid w:val="00600535"/>
    <w:rsid w:val="006058BA"/>
    <w:rsid w:val="00607440"/>
    <w:rsid w:val="00610CD6"/>
    <w:rsid w:val="006128E2"/>
    <w:rsid w:val="006209CC"/>
    <w:rsid w:val="00620DEE"/>
    <w:rsid w:val="00621F92"/>
    <w:rsid w:val="0062280A"/>
    <w:rsid w:val="00622C47"/>
    <w:rsid w:val="006231E1"/>
    <w:rsid w:val="00625639"/>
    <w:rsid w:val="00627734"/>
    <w:rsid w:val="00631B33"/>
    <w:rsid w:val="00633399"/>
    <w:rsid w:val="00636FDF"/>
    <w:rsid w:val="00637561"/>
    <w:rsid w:val="0064184D"/>
    <w:rsid w:val="006422CC"/>
    <w:rsid w:val="006443D9"/>
    <w:rsid w:val="006454A1"/>
    <w:rsid w:val="00651BE4"/>
    <w:rsid w:val="00651D18"/>
    <w:rsid w:val="006547C6"/>
    <w:rsid w:val="00655EE1"/>
    <w:rsid w:val="00660C21"/>
    <w:rsid w:val="00660E3E"/>
    <w:rsid w:val="006612BD"/>
    <w:rsid w:val="00662510"/>
    <w:rsid w:val="00662E74"/>
    <w:rsid w:val="00663BFC"/>
    <w:rsid w:val="00665719"/>
    <w:rsid w:val="006729FC"/>
    <w:rsid w:val="006748CD"/>
    <w:rsid w:val="00674919"/>
    <w:rsid w:val="00675A8A"/>
    <w:rsid w:val="0067638B"/>
    <w:rsid w:val="00677C2E"/>
    <w:rsid w:val="00680AD3"/>
    <w:rsid w:val="00680C23"/>
    <w:rsid w:val="00683E23"/>
    <w:rsid w:val="006868F1"/>
    <w:rsid w:val="00693766"/>
    <w:rsid w:val="00693BBA"/>
    <w:rsid w:val="00694750"/>
    <w:rsid w:val="00696D13"/>
    <w:rsid w:val="006A3281"/>
    <w:rsid w:val="006A5C5A"/>
    <w:rsid w:val="006A6DE5"/>
    <w:rsid w:val="006A70A5"/>
    <w:rsid w:val="006B0224"/>
    <w:rsid w:val="006B4888"/>
    <w:rsid w:val="006C1508"/>
    <w:rsid w:val="006C2E45"/>
    <w:rsid w:val="006C359C"/>
    <w:rsid w:val="006C5579"/>
    <w:rsid w:val="006D6E8B"/>
    <w:rsid w:val="006D7209"/>
    <w:rsid w:val="006E0C72"/>
    <w:rsid w:val="006E29D1"/>
    <w:rsid w:val="006E4B8B"/>
    <w:rsid w:val="006E4BA2"/>
    <w:rsid w:val="006E6CF8"/>
    <w:rsid w:val="006E737D"/>
    <w:rsid w:val="006F11E2"/>
    <w:rsid w:val="006F3DFA"/>
    <w:rsid w:val="006F4865"/>
    <w:rsid w:val="006F5642"/>
    <w:rsid w:val="00700974"/>
    <w:rsid w:val="00701F15"/>
    <w:rsid w:val="00707DD1"/>
    <w:rsid w:val="00713973"/>
    <w:rsid w:val="00713C8A"/>
    <w:rsid w:val="00720800"/>
    <w:rsid w:val="00720A24"/>
    <w:rsid w:val="00731074"/>
    <w:rsid w:val="00732386"/>
    <w:rsid w:val="00733F3E"/>
    <w:rsid w:val="0073514D"/>
    <w:rsid w:val="0073534D"/>
    <w:rsid w:val="007373F8"/>
    <w:rsid w:val="00742CF1"/>
    <w:rsid w:val="007447F3"/>
    <w:rsid w:val="00753F24"/>
    <w:rsid w:val="007541D9"/>
    <w:rsid w:val="0075499F"/>
    <w:rsid w:val="007661C8"/>
    <w:rsid w:val="00766430"/>
    <w:rsid w:val="0077098D"/>
    <w:rsid w:val="0077160F"/>
    <w:rsid w:val="007720CD"/>
    <w:rsid w:val="00777F1C"/>
    <w:rsid w:val="00785BF9"/>
    <w:rsid w:val="00786E97"/>
    <w:rsid w:val="00790472"/>
    <w:rsid w:val="00790B32"/>
    <w:rsid w:val="00792C7A"/>
    <w:rsid w:val="007931FA"/>
    <w:rsid w:val="00797B43"/>
    <w:rsid w:val="007A4861"/>
    <w:rsid w:val="007A4976"/>
    <w:rsid w:val="007A7BBA"/>
    <w:rsid w:val="007B003C"/>
    <w:rsid w:val="007B0C50"/>
    <w:rsid w:val="007B0E0F"/>
    <w:rsid w:val="007B134A"/>
    <w:rsid w:val="007B48F9"/>
    <w:rsid w:val="007C1A43"/>
    <w:rsid w:val="007C2028"/>
    <w:rsid w:val="007C2C78"/>
    <w:rsid w:val="007C37FC"/>
    <w:rsid w:val="007D0951"/>
    <w:rsid w:val="007D53F4"/>
    <w:rsid w:val="007D610D"/>
    <w:rsid w:val="007E0882"/>
    <w:rsid w:val="007E5B93"/>
    <w:rsid w:val="007F07B1"/>
    <w:rsid w:val="0080013E"/>
    <w:rsid w:val="008004B9"/>
    <w:rsid w:val="00801759"/>
    <w:rsid w:val="008131E3"/>
    <w:rsid w:val="008131F4"/>
    <w:rsid w:val="00813288"/>
    <w:rsid w:val="008168FC"/>
    <w:rsid w:val="00830996"/>
    <w:rsid w:val="008345F1"/>
    <w:rsid w:val="0083680A"/>
    <w:rsid w:val="008406EF"/>
    <w:rsid w:val="008456F9"/>
    <w:rsid w:val="00854BE9"/>
    <w:rsid w:val="008550FE"/>
    <w:rsid w:val="00865B07"/>
    <w:rsid w:val="008667EA"/>
    <w:rsid w:val="00870762"/>
    <w:rsid w:val="008709C3"/>
    <w:rsid w:val="00874E83"/>
    <w:rsid w:val="0087637F"/>
    <w:rsid w:val="008825EC"/>
    <w:rsid w:val="00892AD5"/>
    <w:rsid w:val="00893294"/>
    <w:rsid w:val="008936F4"/>
    <w:rsid w:val="008939BB"/>
    <w:rsid w:val="008A1512"/>
    <w:rsid w:val="008A5373"/>
    <w:rsid w:val="008B4040"/>
    <w:rsid w:val="008D32B9"/>
    <w:rsid w:val="008D433B"/>
    <w:rsid w:val="008D4A16"/>
    <w:rsid w:val="008E5401"/>
    <w:rsid w:val="008E566E"/>
    <w:rsid w:val="008F4AB7"/>
    <w:rsid w:val="008F5F45"/>
    <w:rsid w:val="008F7819"/>
    <w:rsid w:val="0090161A"/>
    <w:rsid w:val="00901EB6"/>
    <w:rsid w:val="009041F8"/>
    <w:rsid w:val="00904C62"/>
    <w:rsid w:val="00921EBE"/>
    <w:rsid w:val="00922BA8"/>
    <w:rsid w:val="00924DAC"/>
    <w:rsid w:val="00927058"/>
    <w:rsid w:val="009307CF"/>
    <w:rsid w:val="00934486"/>
    <w:rsid w:val="00942750"/>
    <w:rsid w:val="009450CE"/>
    <w:rsid w:val="009459BB"/>
    <w:rsid w:val="00947179"/>
    <w:rsid w:val="0095164B"/>
    <w:rsid w:val="00954090"/>
    <w:rsid w:val="009557CB"/>
    <w:rsid w:val="009573E7"/>
    <w:rsid w:val="00962EB3"/>
    <w:rsid w:val="00963E05"/>
    <w:rsid w:val="00964A45"/>
    <w:rsid w:val="00967515"/>
    <w:rsid w:val="00967843"/>
    <w:rsid w:val="00967D54"/>
    <w:rsid w:val="00971028"/>
    <w:rsid w:val="00981BEE"/>
    <w:rsid w:val="0098720D"/>
    <w:rsid w:val="00993B84"/>
    <w:rsid w:val="00994C6A"/>
    <w:rsid w:val="00996483"/>
    <w:rsid w:val="009968E3"/>
    <w:rsid w:val="00996F5A"/>
    <w:rsid w:val="009A4BE5"/>
    <w:rsid w:val="009A7A07"/>
    <w:rsid w:val="009B041A"/>
    <w:rsid w:val="009B0511"/>
    <w:rsid w:val="009B5B5D"/>
    <w:rsid w:val="009B5D9B"/>
    <w:rsid w:val="009C37C3"/>
    <w:rsid w:val="009C4990"/>
    <w:rsid w:val="009C7C86"/>
    <w:rsid w:val="009D2FF7"/>
    <w:rsid w:val="009D6A10"/>
    <w:rsid w:val="009E18F9"/>
    <w:rsid w:val="009E48B1"/>
    <w:rsid w:val="009E7884"/>
    <w:rsid w:val="009E788A"/>
    <w:rsid w:val="009F0E08"/>
    <w:rsid w:val="009F5776"/>
    <w:rsid w:val="00A0166F"/>
    <w:rsid w:val="00A079AE"/>
    <w:rsid w:val="00A15051"/>
    <w:rsid w:val="00A1763D"/>
    <w:rsid w:val="00A17CEC"/>
    <w:rsid w:val="00A22C52"/>
    <w:rsid w:val="00A27EF0"/>
    <w:rsid w:val="00A32D97"/>
    <w:rsid w:val="00A3378E"/>
    <w:rsid w:val="00A42361"/>
    <w:rsid w:val="00A46FE0"/>
    <w:rsid w:val="00A50085"/>
    <w:rsid w:val="00A50B20"/>
    <w:rsid w:val="00A51390"/>
    <w:rsid w:val="00A51A59"/>
    <w:rsid w:val="00A5392E"/>
    <w:rsid w:val="00A5420F"/>
    <w:rsid w:val="00A60D13"/>
    <w:rsid w:val="00A65ACD"/>
    <w:rsid w:val="00A71855"/>
    <w:rsid w:val="00A71F27"/>
    <w:rsid w:val="00A7223D"/>
    <w:rsid w:val="00A72745"/>
    <w:rsid w:val="00A76EFC"/>
    <w:rsid w:val="00A8134D"/>
    <w:rsid w:val="00A84D1C"/>
    <w:rsid w:val="00A85E5C"/>
    <w:rsid w:val="00A87D50"/>
    <w:rsid w:val="00A91010"/>
    <w:rsid w:val="00A96A19"/>
    <w:rsid w:val="00A97E50"/>
    <w:rsid w:val="00A97F29"/>
    <w:rsid w:val="00AA702E"/>
    <w:rsid w:val="00AA7D26"/>
    <w:rsid w:val="00AB0964"/>
    <w:rsid w:val="00AB3F7E"/>
    <w:rsid w:val="00AB5011"/>
    <w:rsid w:val="00AC3AEE"/>
    <w:rsid w:val="00AC5A8B"/>
    <w:rsid w:val="00AC620C"/>
    <w:rsid w:val="00AC7368"/>
    <w:rsid w:val="00AD16B9"/>
    <w:rsid w:val="00AD60F0"/>
    <w:rsid w:val="00AD6A2D"/>
    <w:rsid w:val="00AE377D"/>
    <w:rsid w:val="00AE6434"/>
    <w:rsid w:val="00AF0EBA"/>
    <w:rsid w:val="00AF2084"/>
    <w:rsid w:val="00AF2463"/>
    <w:rsid w:val="00AF58D1"/>
    <w:rsid w:val="00AF5D64"/>
    <w:rsid w:val="00AF6915"/>
    <w:rsid w:val="00B002D2"/>
    <w:rsid w:val="00B02C8A"/>
    <w:rsid w:val="00B15106"/>
    <w:rsid w:val="00B17C09"/>
    <w:rsid w:val="00B17FBD"/>
    <w:rsid w:val="00B259E6"/>
    <w:rsid w:val="00B315A6"/>
    <w:rsid w:val="00B31813"/>
    <w:rsid w:val="00B33365"/>
    <w:rsid w:val="00B4191B"/>
    <w:rsid w:val="00B42176"/>
    <w:rsid w:val="00B46872"/>
    <w:rsid w:val="00B53EF2"/>
    <w:rsid w:val="00B55853"/>
    <w:rsid w:val="00B560D0"/>
    <w:rsid w:val="00B57B36"/>
    <w:rsid w:val="00B57E6F"/>
    <w:rsid w:val="00B72636"/>
    <w:rsid w:val="00B75ED7"/>
    <w:rsid w:val="00B822DC"/>
    <w:rsid w:val="00B8686D"/>
    <w:rsid w:val="00B87978"/>
    <w:rsid w:val="00B920EE"/>
    <w:rsid w:val="00B93F69"/>
    <w:rsid w:val="00BA2B7F"/>
    <w:rsid w:val="00BA39F5"/>
    <w:rsid w:val="00BB177A"/>
    <w:rsid w:val="00BB1DDC"/>
    <w:rsid w:val="00BB2759"/>
    <w:rsid w:val="00BC2A3E"/>
    <w:rsid w:val="00BC30C9"/>
    <w:rsid w:val="00BC4525"/>
    <w:rsid w:val="00BD077D"/>
    <w:rsid w:val="00BD0F18"/>
    <w:rsid w:val="00BD5DA6"/>
    <w:rsid w:val="00BD6800"/>
    <w:rsid w:val="00BD6EFB"/>
    <w:rsid w:val="00BE3E58"/>
    <w:rsid w:val="00BF0CE0"/>
    <w:rsid w:val="00BF13CE"/>
    <w:rsid w:val="00BF58A0"/>
    <w:rsid w:val="00C01616"/>
    <w:rsid w:val="00C0162B"/>
    <w:rsid w:val="00C068ED"/>
    <w:rsid w:val="00C11854"/>
    <w:rsid w:val="00C11C4B"/>
    <w:rsid w:val="00C22E0C"/>
    <w:rsid w:val="00C23E8F"/>
    <w:rsid w:val="00C345B1"/>
    <w:rsid w:val="00C40142"/>
    <w:rsid w:val="00C4026D"/>
    <w:rsid w:val="00C508C2"/>
    <w:rsid w:val="00C52ACE"/>
    <w:rsid w:val="00C52C3C"/>
    <w:rsid w:val="00C549AA"/>
    <w:rsid w:val="00C56071"/>
    <w:rsid w:val="00C57182"/>
    <w:rsid w:val="00C5760B"/>
    <w:rsid w:val="00C57863"/>
    <w:rsid w:val="00C60BFB"/>
    <w:rsid w:val="00C61764"/>
    <w:rsid w:val="00C640AF"/>
    <w:rsid w:val="00C64B63"/>
    <w:rsid w:val="00C655FD"/>
    <w:rsid w:val="00C719B5"/>
    <w:rsid w:val="00C74015"/>
    <w:rsid w:val="00C75407"/>
    <w:rsid w:val="00C841C6"/>
    <w:rsid w:val="00C870A8"/>
    <w:rsid w:val="00C9243E"/>
    <w:rsid w:val="00C942CE"/>
    <w:rsid w:val="00C94434"/>
    <w:rsid w:val="00C97FEA"/>
    <w:rsid w:val="00CA0616"/>
    <w:rsid w:val="00CA0D75"/>
    <w:rsid w:val="00CA0D90"/>
    <w:rsid w:val="00CA1C95"/>
    <w:rsid w:val="00CA39F2"/>
    <w:rsid w:val="00CA5A9C"/>
    <w:rsid w:val="00CB47C3"/>
    <w:rsid w:val="00CC3280"/>
    <w:rsid w:val="00CC4C20"/>
    <w:rsid w:val="00CD322C"/>
    <w:rsid w:val="00CD3517"/>
    <w:rsid w:val="00CD3A6E"/>
    <w:rsid w:val="00CD4508"/>
    <w:rsid w:val="00CD5B79"/>
    <w:rsid w:val="00CD5FE2"/>
    <w:rsid w:val="00CE09D3"/>
    <w:rsid w:val="00CE7C68"/>
    <w:rsid w:val="00CF7BB6"/>
    <w:rsid w:val="00CF7DCC"/>
    <w:rsid w:val="00D02B4C"/>
    <w:rsid w:val="00D040C4"/>
    <w:rsid w:val="00D146D6"/>
    <w:rsid w:val="00D16AF5"/>
    <w:rsid w:val="00D16FDD"/>
    <w:rsid w:val="00D20AD1"/>
    <w:rsid w:val="00D2582C"/>
    <w:rsid w:val="00D30399"/>
    <w:rsid w:val="00D313FB"/>
    <w:rsid w:val="00D315B3"/>
    <w:rsid w:val="00D31739"/>
    <w:rsid w:val="00D423CD"/>
    <w:rsid w:val="00D446FC"/>
    <w:rsid w:val="00D45B46"/>
    <w:rsid w:val="00D46B7E"/>
    <w:rsid w:val="00D523FE"/>
    <w:rsid w:val="00D5381B"/>
    <w:rsid w:val="00D53B7E"/>
    <w:rsid w:val="00D568CB"/>
    <w:rsid w:val="00D57C84"/>
    <w:rsid w:val="00D6057D"/>
    <w:rsid w:val="00D62D7A"/>
    <w:rsid w:val="00D71640"/>
    <w:rsid w:val="00D74789"/>
    <w:rsid w:val="00D80C02"/>
    <w:rsid w:val="00D828DD"/>
    <w:rsid w:val="00D836C5"/>
    <w:rsid w:val="00D83C64"/>
    <w:rsid w:val="00D84576"/>
    <w:rsid w:val="00DA1399"/>
    <w:rsid w:val="00DA140C"/>
    <w:rsid w:val="00DA24C6"/>
    <w:rsid w:val="00DA3F36"/>
    <w:rsid w:val="00DA4D7B"/>
    <w:rsid w:val="00DB2075"/>
    <w:rsid w:val="00DB3692"/>
    <w:rsid w:val="00DB4FD7"/>
    <w:rsid w:val="00DB7378"/>
    <w:rsid w:val="00DB76A0"/>
    <w:rsid w:val="00DC2840"/>
    <w:rsid w:val="00DC5EEA"/>
    <w:rsid w:val="00DC73EE"/>
    <w:rsid w:val="00DD271C"/>
    <w:rsid w:val="00DE264A"/>
    <w:rsid w:val="00DE38C3"/>
    <w:rsid w:val="00DE38E2"/>
    <w:rsid w:val="00DE5798"/>
    <w:rsid w:val="00DF25FC"/>
    <w:rsid w:val="00DF5072"/>
    <w:rsid w:val="00DF7D35"/>
    <w:rsid w:val="00E00C56"/>
    <w:rsid w:val="00E02D18"/>
    <w:rsid w:val="00E040BA"/>
    <w:rsid w:val="00E041E7"/>
    <w:rsid w:val="00E06B41"/>
    <w:rsid w:val="00E06B78"/>
    <w:rsid w:val="00E23689"/>
    <w:rsid w:val="00E23CA1"/>
    <w:rsid w:val="00E27898"/>
    <w:rsid w:val="00E370DA"/>
    <w:rsid w:val="00E409A8"/>
    <w:rsid w:val="00E40DA9"/>
    <w:rsid w:val="00E4682B"/>
    <w:rsid w:val="00E50C12"/>
    <w:rsid w:val="00E65B91"/>
    <w:rsid w:val="00E70091"/>
    <w:rsid w:val="00E7209D"/>
    <w:rsid w:val="00E72EAD"/>
    <w:rsid w:val="00E7438E"/>
    <w:rsid w:val="00E76481"/>
    <w:rsid w:val="00E77223"/>
    <w:rsid w:val="00E80CC4"/>
    <w:rsid w:val="00E8108E"/>
    <w:rsid w:val="00E8528B"/>
    <w:rsid w:val="00E85B94"/>
    <w:rsid w:val="00E915CE"/>
    <w:rsid w:val="00E978D0"/>
    <w:rsid w:val="00EA4613"/>
    <w:rsid w:val="00EA7F91"/>
    <w:rsid w:val="00EB1523"/>
    <w:rsid w:val="00EC0E49"/>
    <w:rsid w:val="00EC101F"/>
    <w:rsid w:val="00EC15A6"/>
    <w:rsid w:val="00EC1D9F"/>
    <w:rsid w:val="00EC2972"/>
    <w:rsid w:val="00ED2BA2"/>
    <w:rsid w:val="00ED579F"/>
    <w:rsid w:val="00ED661E"/>
    <w:rsid w:val="00EE0131"/>
    <w:rsid w:val="00EE17B0"/>
    <w:rsid w:val="00EE242B"/>
    <w:rsid w:val="00EE4969"/>
    <w:rsid w:val="00EF06D9"/>
    <w:rsid w:val="00EF37D7"/>
    <w:rsid w:val="00F03094"/>
    <w:rsid w:val="00F074F0"/>
    <w:rsid w:val="00F11DBF"/>
    <w:rsid w:val="00F21EB3"/>
    <w:rsid w:val="00F24B08"/>
    <w:rsid w:val="00F27EE4"/>
    <w:rsid w:val="00F3049E"/>
    <w:rsid w:val="00F30C64"/>
    <w:rsid w:val="00F32BA2"/>
    <w:rsid w:val="00F32CDB"/>
    <w:rsid w:val="00F361A4"/>
    <w:rsid w:val="00F36D27"/>
    <w:rsid w:val="00F41EE4"/>
    <w:rsid w:val="00F4295C"/>
    <w:rsid w:val="00F4731F"/>
    <w:rsid w:val="00F502EC"/>
    <w:rsid w:val="00F531A2"/>
    <w:rsid w:val="00F5472A"/>
    <w:rsid w:val="00F565FE"/>
    <w:rsid w:val="00F6278C"/>
    <w:rsid w:val="00F63A70"/>
    <w:rsid w:val="00F63D8C"/>
    <w:rsid w:val="00F73D17"/>
    <w:rsid w:val="00F7534E"/>
    <w:rsid w:val="00F844AC"/>
    <w:rsid w:val="00F85491"/>
    <w:rsid w:val="00F90252"/>
    <w:rsid w:val="00F93CCD"/>
    <w:rsid w:val="00F93EDF"/>
    <w:rsid w:val="00FA1389"/>
    <w:rsid w:val="00FA1802"/>
    <w:rsid w:val="00FA21D0"/>
    <w:rsid w:val="00FA5F5F"/>
    <w:rsid w:val="00FB3AC4"/>
    <w:rsid w:val="00FB730C"/>
    <w:rsid w:val="00FC0D54"/>
    <w:rsid w:val="00FC132B"/>
    <w:rsid w:val="00FC2695"/>
    <w:rsid w:val="00FC3E03"/>
    <w:rsid w:val="00FC3FC1"/>
    <w:rsid w:val="00FD164B"/>
    <w:rsid w:val="00FD2627"/>
    <w:rsid w:val="00FD5C2C"/>
    <w:rsid w:val="00FD5FBF"/>
    <w:rsid w:val="00FE3973"/>
    <w:rsid w:val="00FF0684"/>
    <w:rsid w:val="00FF2788"/>
    <w:rsid w:val="00FF3FD6"/>
    <w:rsid w:val="00FF5C97"/>
    <w:rsid w:val="00FF7CB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551098C-172A-436B-8C02-F8E755E1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410955"/>
    <w:rPr>
      <w:color w:val="666666"/>
    </w:rPr>
  </w:style>
  <w:style w:type="table" w:styleId="Tabellasemplice-2">
    <w:name w:val="Plain Table 2"/>
    <w:basedOn w:val="Tabellanormale"/>
    <w:uiPriority w:val="42"/>
    <w:rsid w:val="006209CC"/>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zionenonrisolta1">
    <w:name w:val="Menzione non risolta1"/>
    <w:basedOn w:val="Carpredefinitoparagrafo"/>
    <w:uiPriority w:val="99"/>
    <w:semiHidden/>
    <w:unhideWhenUsed/>
    <w:rsid w:val="00041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90220238">
      <w:bodyDiv w:val="1"/>
      <w:marLeft w:val="0"/>
      <w:marRight w:val="0"/>
      <w:marTop w:val="0"/>
      <w:marBottom w:val="0"/>
      <w:divBdr>
        <w:top w:val="none" w:sz="0" w:space="0" w:color="auto"/>
        <w:left w:val="none" w:sz="0" w:space="0" w:color="auto"/>
        <w:bottom w:val="none" w:sz="0" w:space="0" w:color="auto"/>
        <w:right w:val="none" w:sz="0" w:space="0" w:color="auto"/>
      </w:divBdr>
    </w:div>
    <w:div w:id="1984920061">
      <w:bodyDiv w:val="1"/>
      <w:marLeft w:val="0"/>
      <w:marRight w:val="0"/>
      <w:marTop w:val="0"/>
      <w:marBottom w:val="0"/>
      <w:divBdr>
        <w:top w:val="none" w:sz="0" w:space="0" w:color="auto"/>
        <w:left w:val="none" w:sz="0" w:space="0" w:color="auto"/>
        <w:bottom w:val="none" w:sz="0" w:space="0" w:color="auto"/>
        <w:right w:val="none" w:sz="0" w:space="0" w:color="auto"/>
      </w:divBdr>
    </w:div>
    <w:div w:id="205896552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lentina.busini@polimi.it" TargetMode="External"/><Relationship Id="rId18" Type="http://schemas.openxmlformats.org/officeDocument/2006/relationships/image" Target="media/image7.sv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55C5507E714C48937709EDB0DFB052" ma:contentTypeVersion="16" ma:contentTypeDescription="Creare un nuovo documento." ma:contentTypeScope="" ma:versionID="3c91acaf9c4657c05532936d12cd6479">
  <xsd:schema xmlns:xsd="http://www.w3.org/2001/XMLSchema" xmlns:xs="http://www.w3.org/2001/XMLSchema" xmlns:p="http://schemas.microsoft.com/office/2006/metadata/properties" xmlns:ns3="68f14a89-5ccd-4d49-ad62-26850b52acdb" xmlns:ns4="eb5f89f8-4c61-401c-8856-07797176a2d9" targetNamespace="http://schemas.microsoft.com/office/2006/metadata/properties" ma:root="true" ma:fieldsID="56bd7b44ad200ab35478fae49efe84da" ns3:_="" ns4:_="">
    <xsd:import namespace="68f14a89-5ccd-4d49-ad62-26850b52acdb"/>
    <xsd:import namespace="eb5f89f8-4c61-401c-8856-07797176a2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14a89-5ccd-4d49-ad62-26850b52ac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5f89f8-4c61-401c-8856-07797176a2d9"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SharingHintHash" ma:index="18"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8f14a89-5ccd-4d49-ad62-26850b52acd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F6BAFD-6BF6-4924-A42B-485A2487A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14a89-5ccd-4d49-ad62-26850b52acdb"/>
    <ds:schemaRef ds:uri="eb5f89f8-4c61-401c-8856-07797176a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193B9-600E-4FBA-88D1-E1DE0DD49F65}">
  <ds:schemaRefs>
    <ds:schemaRef ds:uri="http://schemas.openxmlformats.org/package/2006/metadata/core-properties"/>
    <ds:schemaRef ds:uri="http://purl.org/dc/dcmitype/"/>
    <ds:schemaRef ds:uri="http://schemas.microsoft.com/office/2006/metadata/properties"/>
    <ds:schemaRef ds:uri="http://www.w3.org/XML/1998/namespace"/>
    <ds:schemaRef ds:uri="http://purl.org/dc/elements/1.1/"/>
    <ds:schemaRef ds:uri="68f14a89-5ccd-4d49-ad62-26850b52acdb"/>
    <ds:schemaRef ds:uri="http://schemas.microsoft.com/office/2006/documentManagement/types"/>
    <ds:schemaRef ds:uri="http://purl.org/dc/terms/"/>
    <ds:schemaRef ds:uri="http://schemas.microsoft.com/office/infopath/2007/PartnerControls"/>
    <ds:schemaRef ds:uri="eb5f89f8-4c61-401c-8856-07797176a2d9"/>
  </ds:schemaRefs>
</ds:datastoreItem>
</file>

<file path=customXml/itemProps3.xml><?xml version="1.0" encoding="utf-8"?>
<ds:datastoreItem xmlns:ds="http://schemas.openxmlformats.org/officeDocument/2006/customXml" ds:itemID="{6588A0FD-8BDF-463C-B003-0838D565C48A}">
  <ds:schemaRefs>
    <ds:schemaRef ds:uri="http://schemas.openxmlformats.org/officeDocument/2006/bibliography"/>
  </ds:schemaRefs>
</ds:datastoreItem>
</file>

<file path=customXml/itemProps4.xml><?xml version="1.0" encoding="utf-8"?>
<ds:datastoreItem xmlns:ds="http://schemas.openxmlformats.org/officeDocument/2006/customXml" ds:itemID="{FCE2ABD6-202A-42CB-85D1-103979B909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14464</Words>
  <Characters>82451</Characters>
  <Application>Microsoft Office Word</Application>
  <DocSecurity>0</DocSecurity>
  <Lines>687</Lines>
  <Paragraphs>193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96722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Valentina Busini</cp:lastModifiedBy>
  <cp:revision>4</cp:revision>
  <cp:lastPrinted>2024-12-12T12:58:00Z</cp:lastPrinted>
  <dcterms:created xsi:type="dcterms:W3CDTF">2024-12-14T17:38:00Z</dcterms:created>
  <dcterms:modified xsi:type="dcterms:W3CDTF">2025-02-10T16:32:00Z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 value="true"/&gt;&lt;/prefs&gt;&lt;/data&gt;</vt:lpwstr>
  </property>
  <property fmtid="{D5CDD505-2E9C-101B-9397-08002B2CF9AE}" pid="3" name="ZOTERO_PREF_1">
    <vt:lpwstr>&lt;data data-version="3" zotero-version="6.0.36"&gt;&lt;session id="VwhDTRoY"/&gt;&lt;style id="http://www.zotero.org/styles/elsevier-harvard" hasBibliography="1" bibliographyStyleHasBeenSet="1"/&gt;&lt;prefs&gt;&lt;pref name="fieldType" value="Field"/&gt;&lt;pref name="storeReferences"</vt:lpwstr>
  </property>
  <property fmtid="{D5CDD505-2E9C-101B-9397-08002B2CF9AE}" pid="4" name="ContentTypeId">
    <vt:lpwstr>0x010100A755C5507E714C48937709EDB0DFB052</vt:lpwstr>
  </property>
</Properties>
</file>