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32197A73" w:rsidR="005C1A57" w:rsidRPr="005C1A57" w:rsidRDefault="00AB7251" w:rsidP="00591C6C">
      <w:pPr>
        <w:pStyle w:val="BOATitle"/>
        <w:rPr>
          <w:rFonts w:eastAsia="MS PGothic"/>
        </w:rPr>
      </w:pPr>
      <w:r w:rsidRPr="00AB7251">
        <w:rPr>
          <w:rFonts w:eastAsia="MS PGothic"/>
        </w:rPr>
        <w:t>Apparatus effects on calorimetric safety parameters and their impact on operation limits</w:t>
      </w:r>
    </w:p>
    <w:p w14:paraId="29E2E91E" w14:textId="086C6846" w:rsidR="005C1A57" w:rsidRPr="00591C6C" w:rsidRDefault="00DE3345" w:rsidP="00591C6C">
      <w:pPr>
        <w:pStyle w:val="BOAAuthors"/>
        <w:rPr>
          <w:rFonts w:eastAsia="MS PGothic"/>
        </w:rPr>
      </w:pPr>
      <w:r w:rsidRPr="004445C6">
        <w:rPr>
          <w:rFonts w:eastAsia="SimSun"/>
          <w:lang w:val="en-US"/>
        </w:rPr>
        <w:t>Adrian Zentel</w:t>
      </w:r>
      <w:r w:rsidRPr="00DE3345">
        <w:rPr>
          <w:rFonts w:eastAsia="SimSun"/>
          <w:vertAlign w:val="superscript"/>
          <w:lang w:val="en-US"/>
        </w:rPr>
        <w:t>a)</w:t>
      </w:r>
      <w:r w:rsidRPr="00DE3345">
        <w:rPr>
          <w:rFonts w:eastAsia="SimSun"/>
          <w:lang w:val="en-US"/>
        </w:rPr>
        <w:t>,</w:t>
      </w:r>
      <w:r w:rsidR="004445C6">
        <w:rPr>
          <w:rFonts w:eastAsia="SimSun"/>
          <w:lang w:val="en-US"/>
        </w:rPr>
        <w:t xml:space="preserve"> Dominik Ohlig, Jana Sartorius,</w:t>
      </w:r>
      <w:r w:rsidRPr="00DE3345">
        <w:rPr>
          <w:rFonts w:eastAsia="SimSun"/>
          <w:lang w:val="en-US"/>
        </w:rPr>
        <w:t xml:space="preserve"> </w:t>
      </w:r>
      <w:r w:rsidR="004445C6" w:rsidRPr="00DE3345">
        <w:rPr>
          <w:rFonts w:eastAsia="SimSun"/>
          <w:lang w:val="en-US"/>
        </w:rPr>
        <w:t>Johannes Schröder</w:t>
      </w:r>
      <w:r w:rsidR="004445C6" w:rsidRPr="00DE3345">
        <w:rPr>
          <w:rFonts w:eastAsia="SimSun"/>
          <w:vertAlign w:val="superscript"/>
          <w:lang w:val="en-US"/>
        </w:rPr>
        <w:t>a)</w:t>
      </w:r>
      <w:r w:rsidR="004445C6" w:rsidRPr="00DE3345">
        <w:rPr>
          <w:rFonts w:eastAsia="SimSun"/>
          <w:lang w:val="en-US"/>
        </w:rPr>
        <w:t xml:space="preserve">, </w:t>
      </w:r>
      <w:r w:rsidRPr="004445C6">
        <w:rPr>
          <w:rFonts w:eastAsia="SimSun"/>
          <w:u w:val="single"/>
          <w:lang w:val="en-US"/>
        </w:rPr>
        <w:t>Marc-André Serrer</w:t>
      </w:r>
      <w:r w:rsidR="00020BAF">
        <w:rPr>
          <w:rFonts w:eastAsia="SimSun"/>
          <w:u w:val="single"/>
          <w:lang w:val="en-US"/>
        </w:rPr>
        <w:t>*</w:t>
      </w:r>
      <w:r w:rsidRPr="004445C6">
        <w:rPr>
          <w:rFonts w:eastAsia="SimSun"/>
          <w:u w:val="single"/>
          <w:vertAlign w:val="superscript"/>
          <w:lang w:val="en-US"/>
        </w:rPr>
        <w:t>a)</w:t>
      </w:r>
      <w:r w:rsidRPr="00DE3345">
        <w:rPr>
          <w:rFonts w:eastAsia="SimSun"/>
          <w:lang w:val="en-US"/>
        </w:rPr>
        <w:t>, Markus Gödde</w:t>
      </w:r>
      <w:r w:rsidR="00020BAF">
        <w:rPr>
          <w:rFonts w:eastAsia="SimSun"/>
          <w:vertAlign w:val="superscript"/>
          <w:lang w:val="en-US"/>
        </w:rPr>
        <w:t>b</w:t>
      </w:r>
      <w:r w:rsidRPr="00DE3345">
        <w:rPr>
          <w:rFonts w:eastAsia="SimSun"/>
          <w:vertAlign w:val="superscript"/>
          <w:lang w:val="en-US"/>
        </w:rPr>
        <w:t>)</w:t>
      </w:r>
      <w:r w:rsidRPr="00DE3345">
        <w:rPr>
          <w:rFonts w:eastAsia="SimSun"/>
          <w:lang w:val="en-US"/>
        </w:rPr>
        <w:t>, Robert John Blanchard</w:t>
      </w:r>
      <w:r w:rsidRPr="00DE3345">
        <w:rPr>
          <w:rFonts w:eastAsia="SimSun"/>
          <w:vertAlign w:val="superscript"/>
          <w:lang w:val="en-US"/>
        </w:rPr>
        <w:t>a</w:t>
      </w:r>
    </w:p>
    <w:p w14:paraId="6C277B48" w14:textId="77777777" w:rsidR="00EA7DE6" w:rsidRPr="00EA7DE6" w:rsidRDefault="00EA7DE6" w:rsidP="00EA7DE6">
      <w:pPr>
        <w:pStyle w:val="BOAAddress"/>
        <w:rPr>
          <w:rFonts w:eastAsia="MS PGothic"/>
        </w:rPr>
      </w:pPr>
      <w:r w:rsidRPr="00EA7DE6">
        <w:rPr>
          <w:rFonts w:eastAsia="MS PGothic"/>
          <w:vertAlign w:val="superscript"/>
        </w:rPr>
        <w:t>a</w:t>
      </w:r>
      <w:r w:rsidRPr="00EA7DE6">
        <w:rPr>
          <w:rFonts w:eastAsia="MS PGothic"/>
        </w:rPr>
        <w:t xml:space="preserve"> </w:t>
      </w:r>
      <w:r w:rsidRPr="00EA7DE6">
        <w:rPr>
          <w:rFonts w:eastAsia="MS PGothic"/>
          <w:iCs/>
          <w:lang w:val="en-US"/>
        </w:rPr>
        <w:t xml:space="preserve">Safety Assessment &amp; Testing </w:t>
      </w:r>
      <w:r w:rsidRPr="00EA7DE6">
        <w:rPr>
          <w:rFonts w:eastAsia="MS PGothic"/>
          <w:lang w:val="en-US"/>
        </w:rPr>
        <w:t>(</w:t>
      </w:r>
      <w:r w:rsidRPr="00EA7DE6">
        <w:rPr>
          <w:rFonts w:eastAsia="MS PGothic"/>
          <w:iCs/>
          <w:lang w:val="en-US"/>
        </w:rPr>
        <w:t>BASF SE</w:t>
      </w:r>
      <w:r w:rsidRPr="00EA7DE6">
        <w:rPr>
          <w:rFonts w:eastAsia="MS PGothic"/>
          <w:lang w:val="en-US"/>
        </w:rPr>
        <w:t>, Carl-Bosch-Straße 38, 67056 Ludwigshafen, Germany)</w:t>
      </w:r>
    </w:p>
    <w:p w14:paraId="0115F7AC" w14:textId="4E30B3F2" w:rsidR="005C1A57" w:rsidRPr="00591C6C" w:rsidRDefault="00EA7DE6" w:rsidP="00EA7DE6">
      <w:pPr>
        <w:pStyle w:val="BOAAddress"/>
        <w:rPr>
          <w:rFonts w:eastAsia="MS PGothic"/>
          <w:i w:val="0"/>
        </w:rPr>
      </w:pPr>
      <w:r>
        <w:rPr>
          <w:rFonts w:eastAsia="MS PGothic"/>
          <w:vertAlign w:val="superscript"/>
        </w:rPr>
        <w:t>b</w:t>
      </w:r>
      <w:r w:rsidRPr="00EA7DE6">
        <w:rPr>
          <w:rFonts w:eastAsia="MS PGothic"/>
        </w:rPr>
        <w:t xml:space="preserve"> </w:t>
      </w:r>
      <w:r w:rsidRPr="00EA7DE6">
        <w:rPr>
          <w:rFonts w:eastAsia="MS PGothic"/>
          <w:iCs/>
          <w:lang w:val="en-US"/>
        </w:rPr>
        <w:t>Process Safety (BASF SE</w:t>
      </w:r>
      <w:r w:rsidRPr="00EA7DE6">
        <w:rPr>
          <w:rFonts w:eastAsia="MS PGothic"/>
          <w:lang w:val="en-US"/>
        </w:rPr>
        <w:t>, Carl-Bosch-Straße 38, 67056 Ludwigshafen, Germany)</w:t>
      </w:r>
    </w:p>
    <w:p w14:paraId="42CB37CF" w14:textId="35370E18"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4179E3" w:rsidRPr="004179E3">
        <w:rPr>
          <w:rFonts w:eastAsia="MS PGothic"/>
        </w:rPr>
        <w:t>marc-andre.serrer@basf.com</w:t>
      </w:r>
    </w:p>
    <w:p w14:paraId="7D788354" w14:textId="77777777" w:rsidR="005C1A57" w:rsidRPr="00621A1B" w:rsidRDefault="005C1A57" w:rsidP="00F879FE">
      <w:pPr>
        <w:pStyle w:val="BOAHeading"/>
      </w:pPr>
      <w:r w:rsidRPr="00621A1B">
        <w:t>1. Introduction</w:t>
      </w:r>
    </w:p>
    <w:p w14:paraId="76DF2EC9" w14:textId="5A7C7BCF" w:rsidR="0080535A" w:rsidRDefault="0080535A" w:rsidP="00F879FE">
      <w:pPr>
        <w:pStyle w:val="BOAAbstractBody"/>
        <w:rPr>
          <w:rFonts w:eastAsia="MS PGothic"/>
          <w:lang w:val="en-GB"/>
        </w:rPr>
      </w:pPr>
      <w:r w:rsidRPr="0080535A">
        <w:rPr>
          <w:rFonts w:eastAsia="MS PGothic"/>
          <w:lang w:val="en-GB"/>
        </w:rPr>
        <w:t xml:space="preserve">In the chemical process industry, it is essential to minimize accident risks to protect human life, the environment, and assets. Process safety experts advocate for a balanced approach between economic efficiency and necessary </w:t>
      </w:r>
      <w:r w:rsidR="00BF43B3">
        <w:rPr>
          <w:rFonts w:eastAsia="MS PGothic"/>
          <w:lang w:val="en-GB"/>
        </w:rPr>
        <w:t>risk reduction</w:t>
      </w:r>
      <w:r w:rsidR="00BF43B3" w:rsidRPr="0080535A">
        <w:rPr>
          <w:rFonts w:eastAsia="MS PGothic"/>
          <w:lang w:val="en-GB"/>
        </w:rPr>
        <w:t xml:space="preserve"> </w:t>
      </w:r>
      <w:r w:rsidRPr="0080535A">
        <w:rPr>
          <w:rFonts w:eastAsia="MS PGothic"/>
          <w:lang w:val="en-GB"/>
        </w:rPr>
        <w:t xml:space="preserve">measures. Conservative safety characteristics can negatively impact overall process economics, as they are closely linked to data quality and the sensitivity of the chosen characterization methods. A comprehensive understanding of these methods, including their sensitivities and uncertainties, is essential for reducing </w:t>
      </w:r>
      <w:r w:rsidR="00BF43B3">
        <w:rPr>
          <w:rFonts w:eastAsia="MS PGothic"/>
          <w:lang w:val="en-GB"/>
        </w:rPr>
        <w:t xml:space="preserve">potentially </w:t>
      </w:r>
      <w:r w:rsidRPr="0080535A">
        <w:rPr>
          <w:rFonts w:eastAsia="MS PGothic"/>
          <w:lang w:val="en-GB"/>
        </w:rPr>
        <w:t xml:space="preserve">overly conservative safety margins, thereby allowing for increased process temperatures and enhanced production capabilities. For instance, </w:t>
      </w:r>
      <w:r w:rsidR="007E2325">
        <w:rPr>
          <w:rFonts w:eastAsia="MS PGothic"/>
          <w:lang w:val="en-GB"/>
        </w:rPr>
        <w:t xml:space="preserve">even a small </w:t>
      </w:r>
      <w:r w:rsidRPr="0080535A">
        <w:rPr>
          <w:rFonts w:eastAsia="MS PGothic"/>
          <w:lang w:val="en-GB"/>
        </w:rPr>
        <w:t xml:space="preserve">rise in the maximum allowable process temperature can yield </w:t>
      </w:r>
      <w:r w:rsidR="007E2325">
        <w:rPr>
          <w:rFonts w:eastAsia="MS PGothic"/>
          <w:lang w:val="en-GB"/>
        </w:rPr>
        <w:t xml:space="preserve">significant </w:t>
      </w:r>
      <w:r w:rsidRPr="0080535A">
        <w:rPr>
          <w:rFonts w:eastAsia="MS PGothic"/>
          <w:lang w:val="en-GB"/>
        </w:rPr>
        <w:t xml:space="preserve">benefits </w:t>
      </w:r>
      <w:r w:rsidR="007E2325">
        <w:rPr>
          <w:rFonts w:eastAsia="MS PGothic"/>
          <w:lang w:val="en-GB"/>
        </w:rPr>
        <w:t xml:space="preserve">for a production plant. </w:t>
      </w:r>
    </w:p>
    <w:p w14:paraId="3690CD84" w14:textId="4E7289A7" w:rsidR="00143C58" w:rsidRPr="0055125E" w:rsidRDefault="00143C58" w:rsidP="00F879FE">
      <w:pPr>
        <w:pStyle w:val="BOAAbstractBody"/>
        <w:rPr>
          <w:rFonts w:eastAsia="MS PGothic"/>
          <w:lang w:val="en-GB"/>
        </w:rPr>
      </w:pPr>
      <w:r w:rsidRPr="00143C58">
        <w:rPr>
          <w:rFonts w:eastAsia="MS PGothic"/>
          <w:lang w:val="en-GB"/>
        </w:rPr>
        <w:t>One of the key safety characteristics is the TMR</w:t>
      </w:r>
      <w:r w:rsidRPr="00143C58">
        <w:rPr>
          <w:rFonts w:eastAsia="MS PGothic"/>
          <w:vertAlign w:val="subscript"/>
          <w:lang w:val="en-GB"/>
        </w:rPr>
        <w:t>24</w:t>
      </w:r>
      <w:r w:rsidRPr="00143C58">
        <w:rPr>
          <w:rFonts w:eastAsia="MS PGothic"/>
          <w:lang w:val="en-GB"/>
        </w:rPr>
        <w:t>, the temperature at which the time to the maximum decomposition rate is 24</w:t>
      </w:r>
      <w:r w:rsidR="00A35312">
        <w:rPr>
          <w:rFonts w:eastAsia="MS PGothic"/>
          <w:lang w:val="en-GB"/>
        </w:rPr>
        <w:t> </w:t>
      </w:r>
      <w:r w:rsidRPr="00143C58">
        <w:rPr>
          <w:rFonts w:eastAsia="MS PGothic"/>
          <w:lang w:val="en-GB"/>
        </w:rPr>
        <w:t>hours</w:t>
      </w:r>
      <w:r w:rsidR="007E2325">
        <w:rPr>
          <w:rFonts w:eastAsia="MS PGothic"/>
          <w:lang w:val="en-GB"/>
        </w:rPr>
        <w:t xml:space="preserve"> under adiabatic conditions</w:t>
      </w:r>
      <w:r w:rsidRPr="00143C58">
        <w:rPr>
          <w:rFonts w:eastAsia="MS PGothic"/>
          <w:lang w:val="en-GB"/>
        </w:rPr>
        <w:t>. The TMR</w:t>
      </w:r>
      <w:r w:rsidRPr="00143C58">
        <w:rPr>
          <w:rFonts w:eastAsia="MS PGothic"/>
          <w:vertAlign w:val="subscript"/>
          <w:lang w:val="en-GB"/>
        </w:rPr>
        <w:t>24</w:t>
      </w:r>
      <w:r w:rsidRPr="00143C58">
        <w:rPr>
          <w:rFonts w:eastAsia="MS PGothic"/>
          <w:lang w:val="en-GB"/>
        </w:rPr>
        <w:t xml:space="preserve"> can be </w:t>
      </w:r>
      <w:r w:rsidR="00A37638">
        <w:rPr>
          <w:rFonts w:eastAsia="MS PGothic"/>
          <w:lang w:val="en-GB"/>
        </w:rPr>
        <w:t>derived from</w:t>
      </w:r>
      <w:r w:rsidRPr="00143C58">
        <w:rPr>
          <w:rFonts w:eastAsia="MS PGothic"/>
          <w:lang w:val="en-GB"/>
        </w:rPr>
        <w:t xml:space="preserve"> differential scanning calorimetry (DSC)</w:t>
      </w:r>
      <w:r w:rsidR="00FB07A1">
        <w:rPr>
          <w:rFonts w:eastAsia="MS PGothic"/>
          <w:lang w:val="en-GB"/>
        </w:rPr>
        <w:t xml:space="preserve"> by distance rules or kinetic evaluation</w:t>
      </w:r>
      <w:r w:rsidRPr="00143C58">
        <w:rPr>
          <w:rFonts w:eastAsia="MS PGothic"/>
          <w:lang w:val="en-GB"/>
        </w:rPr>
        <w:t xml:space="preserve"> or </w:t>
      </w:r>
      <w:r w:rsidR="00A35312">
        <w:rPr>
          <w:rFonts w:eastAsia="MS PGothic"/>
          <w:lang w:val="en-GB"/>
        </w:rPr>
        <w:t xml:space="preserve">directly measured by </w:t>
      </w:r>
      <w:r w:rsidRPr="00143C58">
        <w:rPr>
          <w:rFonts w:eastAsia="MS PGothic"/>
          <w:lang w:val="en-GB"/>
        </w:rPr>
        <w:t>adiabatic calorimetry. The maximum allowable process temperature T</w:t>
      </w:r>
      <w:r w:rsidRPr="00143C58">
        <w:rPr>
          <w:rFonts w:eastAsia="MS PGothic"/>
          <w:vertAlign w:val="subscript"/>
          <w:lang w:val="en-GB"/>
        </w:rPr>
        <w:t>exo</w:t>
      </w:r>
      <w:r w:rsidRPr="00143C58">
        <w:rPr>
          <w:rFonts w:eastAsia="MS PGothic"/>
          <w:lang w:val="en-GB"/>
        </w:rPr>
        <w:t xml:space="preserve"> </w:t>
      </w:r>
      <w:r w:rsidR="00F17F7F">
        <w:rPr>
          <w:rFonts w:eastAsia="MS PGothic"/>
          <w:lang w:val="en-GB"/>
        </w:rPr>
        <w:t>correlates directly</w:t>
      </w:r>
      <w:r w:rsidRPr="00143C58">
        <w:rPr>
          <w:rFonts w:eastAsia="MS PGothic"/>
          <w:lang w:val="en-GB"/>
        </w:rPr>
        <w:t xml:space="preserve"> with the TMR</w:t>
      </w:r>
      <w:r w:rsidRPr="00143C58">
        <w:rPr>
          <w:rFonts w:eastAsia="MS PGothic"/>
          <w:vertAlign w:val="subscript"/>
          <w:lang w:val="en-GB"/>
        </w:rPr>
        <w:t>24</w:t>
      </w:r>
      <w:r w:rsidRPr="00143C58">
        <w:rPr>
          <w:rFonts w:eastAsia="MS PGothic"/>
          <w:lang w:val="en-GB"/>
        </w:rPr>
        <w:t xml:space="preserve"> by T</w:t>
      </w:r>
      <w:r w:rsidRPr="00143C58">
        <w:rPr>
          <w:rFonts w:eastAsia="MS PGothic"/>
          <w:vertAlign w:val="subscript"/>
          <w:lang w:val="en-GB"/>
        </w:rPr>
        <w:t>exo</w:t>
      </w:r>
      <w:r w:rsidRPr="00143C58">
        <w:rPr>
          <w:rFonts w:eastAsia="MS PGothic"/>
          <w:lang w:val="en-GB"/>
        </w:rPr>
        <w:t> = TMR</w:t>
      </w:r>
      <w:r w:rsidRPr="00143C58">
        <w:rPr>
          <w:rFonts w:eastAsia="MS PGothic"/>
          <w:vertAlign w:val="subscript"/>
          <w:lang w:val="en-GB"/>
        </w:rPr>
        <w:t>24</w:t>
      </w:r>
      <w:r w:rsidRPr="000E3531">
        <w:rPr>
          <w:rFonts w:eastAsia="MS PGothic"/>
          <w:lang w:val="en-GB"/>
        </w:rPr>
        <w:t xml:space="preserve"> </w:t>
      </w:r>
      <w:r w:rsidRPr="00143C58">
        <w:rPr>
          <w:rFonts w:eastAsia="MS PGothic"/>
          <w:lang w:val="en-GB"/>
        </w:rPr>
        <w:t>-</w:t>
      </w:r>
      <w:r w:rsidR="000E3531">
        <w:rPr>
          <w:rFonts w:eastAsia="MS PGothic"/>
          <w:lang w:val="en-GB"/>
        </w:rPr>
        <w:t> </w:t>
      </w:r>
      <w:r w:rsidRPr="00143C58">
        <w:rPr>
          <w:rFonts w:eastAsia="MS PGothic"/>
          <w:lang w:val="en-GB"/>
        </w:rPr>
        <w:t>10 K</w:t>
      </w:r>
      <w:r w:rsidR="00390789">
        <w:rPr>
          <w:rFonts w:eastAsia="MS PGothic"/>
          <w:lang w:val="en-GB"/>
        </w:rPr>
        <w:t>.</w:t>
      </w:r>
      <w:r w:rsidR="000E3531" w:rsidRPr="000E3531">
        <w:rPr>
          <w:rFonts w:eastAsia="MS PGothic"/>
          <w:vertAlign w:val="superscript"/>
          <w:lang w:val="en-GB"/>
        </w:rPr>
        <w:t>[1]</w:t>
      </w:r>
      <w:r w:rsidR="00FB07A1">
        <w:rPr>
          <w:rFonts w:eastAsia="MS PGothic"/>
          <w:vertAlign w:val="superscript"/>
          <w:lang w:val="en-GB"/>
        </w:rPr>
        <w:t xml:space="preserve"> </w:t>
      </w:r>
      <w:r w:rsidRPr="00143C58">
        <w:rPr>
          <w:rFonts w:eastAsia="MS PGothic"/>
          <w:lang w:val="en-GB"/>
        </w:rPr>
        <w:t>The correlation between TMR</w:t>
      </w:r>
      <w:r w:rsidRPr="00143C58">
        <w:rPr>
          <w:rFonts w:eastAsia="MS PGothic"/>
          <w:vertAlign w:val="subscript"/>
          <w:lang w:val="en-GB"/>
        </w:rPr>
        <w:t>24</w:t>
      </w:r>
      <w:r w:rsidRPr="00143C58">
        <w:rPr>
          <w:rFonts w:eastAsia="MS PGothic"/>
          <w:lang w:val="en-GB"/>
        </w:rPr>
        <w:t xml:space="preserve"> and the onset temperature (T</w:t>
      </w:r>
      <w:r w:rsidRPr="00143C58">
        <w:rPr>
          <w:rFonts w:eastAsia="MS PGothic"/>
          <w:vertAlign w:val="subscript"/>
          <w:lang w:val="en-GB"/>
        </w:rPr>
        <w:t>Onset</w:t>
      </w:r>
      <w:r w:rsidRPr="00143C58">
        <w:rPr>
          <w:rFonts w:eastAsia="MS PGothic"/>
          <w:lang w:val="en-GB"/>
        </w:rPr>
        <w:t>)</w:t>
      </w:r>
      <w:r w:rsidR="00F17F7F">
        <w:rPr>
          <w:rFonts w:eastAsia="MS PGothic"/>
          <w:lang w:val="en-GB"/>
        </w:rPr>
        <w:t xml:space="preserve"> for non-autocatalytic thermal decomposition reactions</w:t>
      </w:r>
      <w:r w:rsidRPr="00143C58">
        <w:rPr>
          <w:rFonts w:eastAsia="MS PGothic"/>
          <w:lang w:val="en-GB"/>
        </w:rPr>
        <w:t xml:space="preserve"> is defined as TMR</w:t>
      </w:r>
      <w:r w:rsidRPr="00143C58">
        <w:rPr>
          <w:rFonts w:eastAsia="MS PGothic"/>
          <w:vertAlign w:val="subscript"/>
          <w:lang w:val="en-GB"/>
        </w:rPr>
        <w:t>24</w:t>
      </w:r>
      <w:r w:rsidR="00B52421">
        <w:rPr>
          <w:rFonts w:eastAsia="MS PGothic"/>
          <w:lang w:val="en-GB"/>
        </w:rPr>
        <w:t> </w:t>
      </w:r>
      <w:r w:rsidRPr="00143C58">
        <w:rPr>
          <w:rFonts w:eastAsia="MS PGothic"/>
          <w:lang w:val="en-GB"/>
        </w:rPr>
        <w:t>=</w:t>
      </w:r>
      <w:r w:rsidR="00B52421">
        <w:rPr>
          <w:rFonts w:eastAsia="MS PGothic"/>
          <w:lang w:val="en-GB"/>
        </w:rPr>
        <w:t> </w:t>
      </w:r>
      <w:r w:rsidRPr="00143C58">
        <w:rPr>
          <w:rFonts w:eastAsia="MS PGothic"/>
          <w:lang w:val="en-GB"/>
        </w:rPr>
        <w:t>T</w:t>
      </w:r>
      <w:r w:rsidRPr="00143C58">
        <w:rPr>
          <w:rFonts w:eastAsia="MS PGothic"/>
          <w:vertAlign w:val="subscript"/>
          <w:lang w:val="en-GB"/>
        </w:rPr>
        <w:t>Onset,</w:t>
      </w:r>
      <w:r w:rsidR="000E3531">
        <w:rPr>
          <w:rFonts w:eastAsia="MS PGothic"/>
          <w:vertAlign w:val="subscript"/>
          <w:lang w:val="en-GB"/>
        </w:rPr>
        <w:t> </w:t>
      </w:r>
      <w:r w:rsidRPr="00143C58">
        <w:rPr>
          <w:rFonts w:eastAsia="MS PGothic"/>
          <w:vertAlign w:val="subscript"/>
          <w:lang w:val="en-GB"/>
        </w:rPr>
        <w:t>DSC</w:t>
      </w:r>
      <w:r w:rsidR="000E3531">
        <w:rPr>
          <w:rFonts w:eastAsia="MS PGothic"/>
          <w:lang w:val="en-GB"/>
        </w:rPr>
        <w:t> - </w:t>
      </w:r>
      <w:r w:rsidRPr="00143C58">
        <w:rPr>
          <w:rFonts w:eastAsia="MS PGothic"/>
          <w:lang w:val="en-GB"/>
        </w:rPr>
        <w:t>100</w:t>
      </w:r>
      <w:r w:rsidR="008037AF">
        <w:rPr>
          <w:rFonts w:eastAsia="MS PGothic"/>
          <w:lang w:val="en-GB"/>
        </w:rPr>
        <w:t> </w:t>
      </w:r>
      <w:r w:rsidRPr="00143C58">
        <w:rPr>
          <w:rFonts w:eastAsia="MS PGothic"/>
          <w:lang w:val="en-GB"/>
        </w:rPr>
        <w:t xml:space="preserve">K for DSC </w:t>
      </w:r>
      <w:r w:rsidR="008037AF">
        <w:rPr>
          <w:rFonts w:eastAsia="MS PGothic"/>
          <w:lang w:val="en-GB"/>
        </w:rPr>
        <w:t>or</w:t>
      </w:r>
      <w:r w:rsidRPr="00143C58">
        <w:rPr>
          <w:rFonts w:eastAsia="MS PGothic"/>
          <w:lang w:val="en-GB"/>
        </w:rPr>
        <w:t xml:space="preserve"> TMR</w:t>
      </w:r>
      <w:r w:rsidRPr="00143C58">
        <w:rPr>
          <w:rFonts w:eastAsia="MS PGothic"/>
          <w:vertAlign w:val="subscript"/>
          <w:lang w:val="en-GB"/>
        </w:rPr>
        <w:t>24</w:t>
      </w:r>
      <w:r w:rsidR="000E3531">
        <w:rPr>
          <w:rFonts w:eastAsia="MS PGothic"/>
          <w:lang w:val="en-GB"/>
        </w:rPr>
        <w:t> </w:t>
      </w:r>
      <w:r w:rsidRPr="00143C58">
        <w:rPr>
          <w:rFonts w:eastAsia="MS PGothic"/>
          <w:lang w:val="en-GB"/>
        </w:rPr>
        <w:t>=</w:t>
      </w:r>
      <w:r w:rsidR="000E3531">
        <w:rPr>
          <w:rFonts w:eastAsia="MS PGothic"/>
          <w:lang w:val="en-GB"/>
        </w:rPr>
        <w:t> </w:t>
      </w:r>
      <w:r w:rsidRPr="00143C58">
        <w:rPr>
          <w:rFonts w:eastAsia="MS PGothic"/>
          <w:lang w:val="en-GB"/>
        </w:rPr>
        <w:t>T</w:t>
      </w:r>
      <w:r w:rsidRPr="00143C58">
        <w:rPr>
          <w:rFonts w:eastAsia="MS PGothic"/>
          <w:vertAlign w:val="subscript"/>
          <w:lang w:val="en-GB"/>
        </w:rPr>
        <w:t>0,1W/kg</w:t>
      </w:r>
      <w:r w:rsidR="000E3531">
        <w:rPr>
          <w:rFonts w:eastAsia="MS PGothic"/>
          <w:lang w:val="en-GB"/>
        </w:rPr>
        <w:t> - </w:t>
      </w:r>
      <w:r w:rsidRPr="00143C58">
        <w:rPr>
          <w:rFonts w:eastAsia="MS PGothic"/>
          <w:lang w:val="en-GB"/>
        </w:rPr>
        <w:t>10</w:t>
      </w:r>
      <w:r w:rsidR="008037AF">
        <w:rPr>
          <w:rFonts w:eastAsia="MS PGothic"/>
          <w:lang w:val="en-GB"/>
        </w:rPr>
        <w:t> </w:t>
      </w:r>
      <w:r w:rsidRPr="00143C58">
        <w:rPr>
          <w:rFonts w:eastAsia="MS PGothic"/>
          <w:lang w:val="en-GB"/>
        </w:rPr>
        <w:t>K. Therefore, both characteristics are influenced by the uncertainties of the respective calorimetric method.</w:t>
      </w:r>
      <w:r w:rsidR="002D0B3A">
        <w:rPr>
          <w:rFonts w:eastAsia="MS PGothic"/>
          <w:lang w:val="en-GB"/>
        </w:rPr>
        <w:t xml:space="preserve"> </w:t>
      </w:r>
      <w:r w:rsidR="00F17F7F">
        <w:rPr>
          <w:rFonts w:eastAsia="MS PGothic"/>
          <w:lang w:val="en-GB"/>
        </w:rPr>
        <w:t>To determine</w:t>
      </w:r>
      <w:r w:rsidR="00FB07A1">
        <w:rPr>
          <w:rFonts w:eastAsia="MS PGothic"/>
          <w:lang w:val="en-GB"/>
        </w:rPr>
        <w:t xml:space="preserve"> the TMR</w:t>
      </w:r>
      <w:r w:rsidR="00FB07A1" w:rsidRPr="00F17F7F">
        <w:rPr>
          <w:rFonts w:eastAsia="MS PGothic"/>
          <w:vertAlign w:val="subscript"/>
          <w:lang w:val="en-GB"/>
        </w:rPr>
        <w:t>24</w:t>
      </w:r>
      <w:r w:rsidR="00FB07A1">
        <w:rPr>
          <w:rFonts w:eastAsia="MS PGothic"/>
          <w:lang w:val="en-GB"/>
        </w:rPr>
        <w:t xml:space="preserve"> by kinetic </w:t>
      </w:r>
      <w:r w:rsidR="007E2325">
        <w:rPr>
          <w:rFonts w:eastAsia="MS PGothic"/>
          <w:lang w:val="en-GB"/>
        </w:rPr>
        <w:t>evaluation</w:t>
      </w:r>
      <w:r w:rsidR="00FB07A1">
        <w:rPr>
          <w:rFonts w:eastAsia="MS PGothic"/>
          <w:lang w:val="en-GB"/>
        </w:rPr>
        <w:t xml:space="preserve"> of dynamic DSC scans especially the </w:t>
      </w:r>
      <w:r w:rsidR="008A7A94" w:rsidRPr="00680A05">
        <w:rPr>
          <w:rFonts w:eastAsia="MS PGothic"/>
          <w:lang w:val="en-GB"/>
        </w:rPr>
        <w:t>tau lag</w:t>
      </w:r>
      <w:r w:rsidR="00FB07A1">
        <w:rPr>
          <w:rFonts w:eastAsia="MS PGothic"/>
          <w:lang w:val="en-GB"/>
        </w:rPr>
        <w:t xml:space="preserve"> and the time constants of the DSC device are the critical apparatus effects which </w:t>
      </w:r>
      <w:r w:rsidR="00923DE4">
        <w:rPr>
          <w:rFonts w:eastAsia="MS PGothic"/>
          <w:lang w:val="en-GB"/>
        </w:rPr>
        <w:t>must</w:t>
      </w:r>
      <w:r w:rsidR="00FB07A1">
        <w:rPr>
          <w:rFonts w:eastAsia="MS PGothic"/>
          <w:lang w:val="en-GB"/>
        </w:rPr>
        <w:t xml:space="preserve"> be </w:t>
      </w:r>
      <w:r w:rsidR="00D625B0">
        <w:rPr>
          <w:rFonts w:eastAsia="MS PGothic"/>
          <w:lang w:val="en-GB"/>
        </w:rPr>
        <w:t>considered</w:t>
      </w:r>
      <w:r w:rsidR="00FB07A1">
        <w:rPr>
          <w:rFonts w:eastAsia="MS PGothic"/>
          <w:lang w:val="en-GB"/>
        </w:rPr>
        <w:t>.</w:t>
      </w:r>
      <w:r w:rsidR="00F17F7F">
        <w:rPr>
          <w:rFonts w:eastAsia="MS PGothic"/>
          <w:lang w:val="en-GB"/>
        </w:rPr>
        <w:t xml:space="preserve"> </w:t>
      </w:r>
      <w:r w:rsidR="00F17F7F">
        <w:rPr>
          <w:rFonts w:eastAsia="MS PGothic"/>
        </w:rPr>
        <w:t xml:space="preserve">Tau lag comprises the heating rate dependent temperature offset between the oven temperature and the respective temperature inside the reference cell. </w:t>
      </w:r>
      <w:r w:rsidR="00F17F7F" w:rsidRPr="00CC5CE9">
        <w:rPr>
          <w:rFonts w:eastAsia="MS PGothic"/>
        </w:rPr>
        <w:t>The</w:t>
      </w:r>
      <w:r w:rsidR="00F17F7F">
        <w:rPr>
          <w:rFonts w:eastAsia="MS PGothic"/>
        </w:rPr>
        <w:t xml:space="preserve"> time constants describe the</w:t>
      </w:r>
      <w:r w:rsidR="00F17F7F" w:rsidRPr="00CC5CE9">
        <w:rPr>
          <w:rFonts w:eastAsia="MS PGothic"/>
        </w:rPr>
        <w:t xml:space="preserve"> </w:t>
      </w:r>
      <w:r w:rsidR="00F17F7F">
        <w:rPr>
          <w:rFonts w:eastAsia="MS PGothic"/>
        </w:rPr>
        <w:t xml:space="preserve">thermal relaxation of the </w:t>
      </w:r>
      <w:r w:rsidR="00F17F7F" w:rsidRPr="00CC5CE9">
        <w:rPr>
          <w:rFonts w:eastAsia="MS PGothic"/>
        </w:rPr>
        <w:t>crucible</w:t>
      </w:r>
      <w:r w:rsidR="00F17F7F">
        <w:rPr>
          <w:rFonts w:eastAsia="MS PGothic"/>
        </w:rPr>
        <w:t xml:space="preserve"> and </w:t>
      </w:r>
      <w:r w:rsidR="00F17F7F" w:rsidRPr="00CC5CE9">
        <w:rPr>
          <w:rFonts w:eastAsia="MS PGothic"/>
        </w:rPr>
        <w:t>sensor as well as the sample</w:t>
      </w:r>
      <w:r w:rsidR="00F17F7F">
        <w:rPr>
          <w:rFonts w:eastAsia="MS PGothic"/>
        </w:rPr>
        <w:t xml:space="preserve"> and </w:t>
      </w:r>
      <w:r w:rsidR="00F17F7F" w:rsidRPr="00CC5CE9">
        <w:rPr>
          <w:rFonts w:eastAsia="MS PGothic"/>
        </w:rPr>
        <w:t xml:space="preserve">crucible. </w:t>
      </w:r>
      <w:r w:rsidR="00FB07A1">
        <w:rPr>
          <w:rFonts w:eastAsia="MS PGothic"/>
          <w:lang w:val="en-GB"/>
        </w:rPr>
        <w:t>If the TMR</w:t>
      </w:r>
      <w:r w:rsidR="00FB07A1" w:rsidRPr="00E24BB1">
        <w:rPr>
          <w:rFonts w:eastAsia="MS PGothic"/>
          <w:vertAlign w:val="subscript"/>
          <w:lang w:val="en-GB"/>
        </w:rPr>
        <w:t>24</w:t>
      </w:r>
      <w:r w:rsidR="00FB07A1">
        <w:rPr>
          <w:rFonts w:eastAsia="MS PGothic"/>
          <w:lang w:val="en-GB"/>
        </w:rPr>
        <w:t xml:space="preserve"> is directly measured</w:t>
      </w:r>
      <w:r w:rsidR="00923DE4">
        <w:rPr>
          <w:rFonts w:eastAsia="MS PGothic"/>
          <w:lang w:val="en-GB"/>
        </w:rPr>
        <w:t xml:space="preserve"> by adiabatic calorimetry</w:t>
      </w:r>
      <w:r w:rsidR="00FB07A1">
        <w:rPr>
          <w:rFonts w:eastAsia="MS PGothic"/>
          <w:lang w:val="en-GB"/>
        </w:rPr>
        <w:t xml:space="preserve"> the critical apparatus effects are the phi-factor and the detection limit of the </w:t>
      </w:r>
      <w:r w:rsidR="00923DE4">
        <w:rPr>
          <w:rFonts w:eastAsia="MS PGothic"/>
          <w:lang w:val="en-GB"/>
        </w:rPr>
        <w:t>measuring</w:t>
      </w:r>
      <w:r w:rsidR="00FB07A1">
        <w:rPr>
          <w:rFonts w:eastAsia="MS PGothic"/>
          <w:lang w:val="en-GB"/>
        </w:rPr>
        <w:t xml:space="preserve"> system. </w:t>
      </w:r>
    </w:p>
    <w:p w14:paraId="683C9C79" w14:textId="79349BDB" w:rsidR="0080535A" w:rsidRDefault="00CC5CE9" w:rsidP="00F879FE">
      <w:pPr>
        <w:pStyle w:val="BOAAbstractBody"/>
        <w:rPr>
          <w:rFonts w:eastAsia="MS PGothic"/>
          <w:bCs/>
          <w:lang w:val="en-GB"/>
        </w:rPr>
      </w:pPr>
      <w:r w:rsidRPr="00CC5CE9">
        <w:rPr>
          <w:rFonts w:eastAsia="MS PGothic"/>
          <w:bCs/>
          <w:lang w:val="en-GB"/>
        </w:rPr>
        <w:t>To explore and mitigate these uncertainties, a detailed study on apparatus effects impacting TMR</w:t>
      </w:r>
      <w:r w:rsidRPr="00CC5CE9">
        <w:rPr>
          <w:rFonts w:eastAsia="MS PGothic"/>
          <w:bCs/>
          <w:vertAlign w:val="subscript"/>
          <w:lang w:val="en-GB"/>
        </w:rPr>
        <w:t>24</w:t>
      </w:r>
      <w:r w:rsidRPr="00CC5CE9">
        <w:rPr>
          <w:rFonts w:eastAsia="MS PGothic"/>
          <w:bCs/>
          <w:lang w:val="en-GB"/>
        </w:rPr>
        <w:t xml:space="preserve"> determination </w:t>
      </w:r>
      <w:r w:rsidR="007E2325">
        <w:rPr>
          <w:rFonts w:eastAsia="MS PGothic"/>
          <w:bCs/>
          <w:lang w:val="en-GB"/>
        </w:rPr>
        <w:t>was</w:t>
      </w:r>
      <w:r w:rsidRPr="00CC5CE9">
        <w:rPr>
          <w:rFonts w:eastAsia="MS PGothic"/>
          <w:bCs/>
          <w:lang w:val="en-GB"/>
        </w:rPr>
        <w:t xml:space="preserve"> conducted using a known model system of 40 wt.% dicumyl peroxide (DCP) in ethylbenzene.</w:t>
      </w:r>
      <w:r w:rsidR="000E3531" w:rsidRPr="000E3531">
        <w:rPr>
          <w:rFonts w:eastAsia="MS PGothic"/>
          <w:bCs/>
          <w:vertAlign w:val="superscript"/>
          <w:lang w:val="en-GB"/>
        </w:rPr>
        <w:t>[2]</w:t>
      </w:r>
    </w:p>
    <w:p w14:paraId="2D880AA2" w14:textId="77777777" w:rsidR="00CC5CE9" w:rsidRPr="00F879FE" w:rsidRDefault="00CC5CE9" w:rsidP="00F879FE">
      <w:pPr>
        <w:pStyle w:val="BOAAbstractBody"/>
        <w:rPr>
          <w:rFonts w:eastAsia="MS PGothic"/>
          <w:bCs/>
        </w:rPr>
      </w:pPr>
    </w:p>
    <w:p w14:paraId="783EC6E6" w14:textId="77777777" w:rsidR="005C1A57" w:rsidRPr="00B17681" w:rsidRDefault="005C1A57" w:rsidP="00B17681">
      <w:pPr>
        <w:pStyle w:val="BOAHeading"/>
      </w:pPr>
      <w:r w:rsidRPr="00B17681">
        <w:t>2. Methods</w:t>
      </w:r>
    </w:p>
    <w:p w14:paraId="46A4BB6A" w14:textId="53539C28" w:rsidR="00E26898" w:rsidRDefault="00AA3569" w:rsidP="00F879FE">
      <w:pPr>
        <w:pStyle w:val="BOAAbstractBody"/>
        <w:rPr>
          <w:rFonts w:eastAsia="MS PGothic"/>
          <w:lang w:val="en-GB"/>
        </w:rPr>
      </w:pPr>
      <w:r>
        <w:rPr>
          <w:rFonts w:eastAsia="MS PGothic"/>
          <w:lang w:val="en-GB"/>
        </w:rPr>
        <w:t>T</w:t>
      </w:r>
      <w:r w:rsidR="00D24696" w:rsidRPr="00356CBC">
        <w:rPr>
          <w:rFonts w:eastAsia="MS PGothic"/>
          <w:lang w:val="en-GB"/>
        </w:rPr>
        <w:t>o assess the apparatus effects</w:t>
      </w:r>
      <w:r w:rsidR="00403D56">
        <w:rPr>
          <w:rFonts w:eastAsia="MS PGothic"/>
          <w:lang w:val="en-GB"/>
        </w:rPr>
        <w:t xml:space="preserve"> of differential scanning calorimetr</w:t>
      </w:r>
      <w:r w:rsidR="00E25092">
        <w:rPr>
          <w:rFonts w:eastAsia="MS PGothic"/>
          <w:lang w:val="en-GB"/>
        </w:rPr>
        <w:t xml:space="preserve">y </w:t>
      </w:r>
      <w:r w:rsidR="00E25092" w:rsidRPr="00153ECE">
        <w:rPr>
          <w:rFonts w:eastAsia="MS PGothic"/>
        </w:rPr>
        <w:t>(DSC)</w:t>
      </w:r>
      <w:r w:rsidR="00E25092">
        <w:rPr>
          <w:rFonts w:eastAsia="MS PGothic"/>
          <w:lang w:val="en-GB"/>
        </w:rPr>
        <w:t xml:space="preserve"> and adiabatic calorimetry</w:t>
      </w:r>
      <w:r w:rsidR="00D24696" w:rsidRPr="00356CBC">
        <w:rPr>
          <w:rFonts w:eastAsia="MS PGothic"/>
          <w:lang w:val="en-GB"/>
        </w:rPr>
        <w:t xml:space="preserve"> impacting the determination of TMR</w:t>
      </w:r>
      <w:r w:rsidR="00D24696" w:rsidRPr="002749D8">
        <w:rPr>
          <w:rFonts w:eastAsia="MS PGothic"/>
          <w:vertAlign w:val="subscript"/>
          <w:lang w:val="en-GB"/>
        </w:rPr>
        <w:t>24</w:t>
      </w:r>
      <w:r>
        <w:rPr>
          <w:rFonts w:eastAsia="MS PGothic"/>
          <w:lang w:val="en-GB"/>
        </w:rPr>
        <w:t>,</w:t>
      </w:r>
      <w:r w:rsidRPr="00AA3569">
        <w:rPr>
          <w:rFonts w:eastAsia="MS PGothic"/>
          <w:lang w:val="en-GB"/>
        </w:rPr>
        <w:t xml:space="preserve"> </w:t>
      </w:r>
      <w:r w:rsidRPr="00356CBC">
        <w:rPr>
          <w:rFonts w:eastAsia="MS PGothic"/>
          <w:lang w:val="en-GB"/>
        </w:rPr>
        <w:t xml:space="preserve">a comprehensive study was conducted </w:t>
      </w:r>
      <w:r>
        <w:rPr>
          <w:rFonts w:eastAsia="MS PGothic"/>
          <w:lang w:val="en-GB"/>
        </w:rPr>
        <w:t xml:space="preserve">based on </w:t>
      </w:r>
      <w:r w:rsidR="00356CBC" w:rsidRPr="00356CBC">
        <w:rPr>
          <w:rFonts w:eastAsia="MS PGothic"/>
          <w:lang w:val="en-GB"/>
        </w:rPr>
        <w:t xml:space="preserve">the thermal </w:t>
      </w:r>
      <w:r w:rsidR="002D0B3A" w:rsidRPr="00356CBC">
        <w:rPr>
          <w:rFonts w:eastAsia="MS PGothic"/>
          <w:lang w:val="en-GB"/>
        </w:rPr>
        <w:t>behaviour</w:t>
      </w:r>
      <w:r w:rsidR="00356CBC" w:rsidRPr="00356CBC">
        <w:rPr>
          <w:rFonts w:eastAsia="MS PGothic"/>
          <w:lang w:val="en-GB"/>
        </w:rPr>
        <w:t xml:space="preserve"> of </w:t>
      </w:r>
      <w:r w:rsidRPr="00356CBC">
        <w:rPr>
          <w:rFonts w:eastAsia="MS PGothic"/>
          <w:lang w:val="en-GB"/>
        </w:rPr>
        <w:t xml:space="preserve">40 wt.% </w:t>
      </w:r>
      <w:r w:rsidR="00356CBC" w:rsidRPr="00356CBC">
        <w:rPr>
          <w:rFonts w:eastAsia="MS PGothic"/>
          <w:lang w:val="en-GB"/>
        </w:rPr>
        <w:t>dicumyl peroxide (DCP) in ethylbenzene</w:t>
      </w:r>
      <w:r w:rsidR="00923DE4">
        <w:rPr>
          <w:rFonts w:eastAsia="MS PGothic"/>
          <w:lang w:val="en-GB"/>
        </w:rPr>
        <w:t xml:space="preserve"> (EB)</w:t>
      </w:r>
      <w:r w:rsidR="00356CBC" w:rsidRPr="00356CBC">
        <w:rPr>
          <w:rFonts w:eastAsia="MS PGothic"/>
          <w:lang w:val="en-GB"/>
        </w:rPr>
        <w:t xml:space="preserve">. </w:t>
      </w:r>
    </w:p>
    <w:p w14:paraId="5CA04025" w14:textId="06D66720" w:rsidR="000E1707" w:rsidRPr="00881323" w:rsidRDefault="00153ECE" w:rsidP="000E1707">
      <w:pPr>
        <w:rPr>
          <w:sz w:val="22"/>
          <w:szCs w:val="22"/>
        </w:rPr>
      </w:pPr>
      <w:r w:rsidRPr="00153ECE">
        <w:rPr>
          <w:rFonts w:eastAsia="MS PGothic"/>
          <w:sz w:val="22"/>
        </w:rPr>
        <w:lastRenderedPageBreak/>
        <w:t xml:space="preserve">DSC </w:t>
      </w:r>
      <w:r w:rsidR="00E25092">
        <w:rPr>
          <w:rFonts w:eastAsia="MS PGothic"/>
          <w:sz w:val="22"/>
        </w:rPr>
        <w:t>m</w:t>
      </w:r>
      <w:r w:rsidRPr="00153ECE">
        <w:rPr>
          <w:rFonts w:eastAsia="MS PGothic"/>
          <w:sz w:val="22"/>
        </w:rPr>
        <w:t xml:space="preserve">easurements were performed </w:t>
      </w:r>
      <w:r w:rsidR="0033640B" w:rsidRPr="00153ECE">
        <w:rPr>
          <w:rFonts w:eastAsia="MS PGothic"/>
          <w:sz w:val="22"/>
        </w:rPr>
        <w:t>on Mettler Toledo DSC</w:t>
      </w:r>
      <w:r w:rsidR="0033640B">
        <w:rPr>
          <w:rFonts w:eastAsia="MS PGothic"/>
          <w:sz w:val="22"/>
        </w:rPr>
        <w:t>-</w:t>
      </w:r>
      <w:r w:rsidR="0033640B" w:rsidRPr="00153ECE">
        <w:rPr>
          <w:rFonts w:eastAsia="MS PGothic"/>
          <w:sz w:val="22"/>
        </w:rPr>
        <w:t>1 and DSC-3 instruments</w:t>
      </w:r>
      <w:r w:rsidR="00923DE4">
        <w:rPr>
          <w:rFonts w:eastAsia="MS PGothic"/>
          <w:sz w:val="22"/>
        </w:rPr>
        <w:t xml:space="preserve">. To determine the </w:t>
      </w:r>
      <w:r w:rsidR="008A7A94">
        <w:rPr>
          <w:rFonts w:eastAsia="MS PGothic"/>
          <w:sz w:val="22"/>
        </w:rPr>
        <w:t>tau lag</w:t>
      </w:r>
      <w:r w:rsidR="00923DE4">
        <w:rPr>
          <w:rFonts w:eastAsia="MS PGothic"/>
          <w:sz w:val="22"/>
        </w:rPr>
        <w:t xml:space="preserve"> and time constants melting peaks of </w:t>
      </w:r>
      <w:r w:rsidR="00E24BB1">
        <w:rPr>
          <w:rFonts w:eastAsia="MS PGothic"/>
          <w:sz w:val="22"/>
        </w:rPr>
        <w:t>i</w:t>
      </w:r>
      <w:r w:rsidR="00923DE4">
        <w:rPr>
          <w:rFonts w:eastAsia="MS PGothic"/>
          <w:sz w:val="22"/>
        </w:rPr>
        <w:t xml:space="preserve">ndium and </w:t>
      </w:r>
      <w:r w:rsidR="00D625B0">
        <w:rPr>
          <w:rFonts w:eastAsia="MS PGothic"/>
          <w:sz w:val="22"/>
        </w:rPr>
        <w:t>z</w:t>
      </w:r>
      <w:r w:rsidR="00923DE4">
        <w:rPr>
          <w:rFonts w:eastAsia="MS PGothic"/>
          <w:sz w:val="22"/>
        </w:rPr>
        <w:t>inc were measured</w:t>
      </w:r>
      <w:r w:rsidR="0033640B">
        <w:rPr>
          <w:rFonts w:eastAsia="MS PGothic"/>
          <w:sz w:val="22"/>
        </w:rPr>
        <w:t xml:space="preserve"> </w:t>
      </w:r>
      <w:r w:rsidR="00E25092">
        <w:rPr>
          <w:rFonts w:eastAsia="MS PGothic"/>
          <w:sz w:val="22"/>
        </w:rPr>
        <w:t>in</w:t>
      </w:r>
      <w:r w:rsidRPr="00153ECE">
        <w:rPr>
          <w:rFonts w:eastAsia="MS PGothic"/>
          <w:sz w:val="22"/>
        </w:rPr>
        <w:t xml:space="preserve"> V4A, V2A, HC, gold, and glass</w:t>
      </w:r>
      <w:r w:rsidR="0033640B">
        <w:rPr>
          <w:rFonts w:eastAsia="MS PGothic"/>
          <w:sz w:val="22"/>
        </w:rPr>
        <w:t xml:space="preserve"> crucibles (in-house)</w:t>
      </w:r>
      <w:r w:rsidRPr="00153ECE">
        <w:rPr>
          <w:rFonts w:eastAsia="MS PGothic"/>
          <w:sz w:val="22"/>
        </w:rPr>
        <w:t xml:space="preserve">. </w:t>
      </w:r>
      <w:r w:rsidR="00923DE4">
        <w:rPr>
          <w:rFonts w:eastAsia="MS PGothic"/>
          <w:sz w:val="22"/>
        </w:rPr>
        <w:t>The heating rate depend</w:t>
      </w:r>
      <w:r w:rsidR="00E24BB1">
        <w:rPr>
          <w:rFonts w:eastAsia="MS PGothic"/>
          <w:sz w:val="22"/>
        </w:rPr>
        <w:t>ent</w:t>
      </w:r>
      <w:r w:rsidR="00923DE4">
        <w:rPr>
          <w:rFonts w:eastAsia="MS PGothic"/>
          <w:sz w:val="22"/>
        </w:rPr>
        <w:t xml:space="preserve"> shift of the melting point was used to calibrate for </w:t>
      </w:r>
      <w:r w:rsidR="008A7A94">
        <w:rPr>
          <w:rFonts w:eastAsia="MS PGothic"/>
          <w:sz w:val="22"/>
        </w:rPr>
        <w:t>tau lag</w:t>
      </w:r>
      <w:r w:rsidR="00E24BB1">
        <w:rPr>
          <w:rFonts w:eastAsia="MS PGothic"/>
          <w:sz w:val="22"/>
        </w:rPr>
        <w:t>.</w:t>
      </w:r>
      <w:r w:rsidR="00923DE4">
        <w:rPr>
          <w:rFonts w:eastAsia="MS PGothic"/>
          <w:sz w:val="22"/>
        </w:rPr>
        <w:t xml:space="preserve"> </w:t>
      </w:r>
      <w:r w:rsidR="00E24BB1">
        <w:rPr>
          <w:rFonts w:eastAsia="MS PGothic"/>
          <w:sz w:val="22"/>
        </w:rPr>
        <w:t>T</w:t>
      </w:r>
      <w:r w:rsidR="00923DE4">
        <w:rPr>
          <w:rFonts w:eastAsia="MS PGothic"/>
          <w:sz w:val="22"/>
        </w:rPr>
        <w:t xml:space="preserve">he time </w:t>
      </w:r>
      <w:r w:rsidR="00D625B0">
        <w:rPr>
          <w:rFonts w:eastAsia="MS PGothic"/>
          <w:sz w:val="22"/>
        </w:rPr>
        <w:t>constants</w:t>
      </w:r>
      <w:r w:rsidR="00923DE4">
        <w:rPr>
          <w:rFonts w:eastAsia="MS PGothic"/>
          <w:sz w:val="22"/>
        </w:rPr>
        <w:t xml:space="preserve"> were derived f</w:t>
      </w:r>
      <w:r w:rsidR="00E24BB1">
        <w:rPr>
          <w:rFonts w:eastAsia="MS PGothic"/>
          <w:sz w:val="22"/>
        </w:rPr>
        <w:t>r</w:t>
      </w:r>
      <w:r w:rsidR="00923DE4">
        <w:rPr>
          <w:rFonts w:eastAsia="MS PGothic"/>
          <w:sz w:val="22"/>
        </w:rPr>
        <w:t xml:space="preserve">om the relaxation curve of the heat signal after melting was completed. </w:t>
      </w:r>
      <w:r w:rsidRPr="00153ECE">
        <w:rPr>
          <w:rFonts w:eastAsia="MS PGothic"/>
          <w:sz w:val="22"/>
        </w:rPr>
        <w:t>Measurements</w:t>
      </w:r>
      <w:r w:rsidR="00923DE4">
        <w:rPr>
          <w:rFonts w:eastAsia="MS PGothic"/>
          <w:sz w:val="22"/>
        </w:rPr>
        <w:t xml:space="preserve"> of DCP/EB</w:t>
      </w:r>
      <w:r w:rsidRPr="00153ECE">
        <w:rPr>
          <w:rFonts w:eastAsia="MS PGothic"/>
          <w:sz w:val="22"/>
        </w:rPr>
        <w:t xml:space="preserve"> </w:t>
      </w:r>
      <w:r w:rsidR="00923DE4">
        <w:rPr>
          <w:rFonts w:eastAsia="MS PGothic"/>
          <w:sz w:val="22"/>
        </w:rPr>
        <w:t xml:space="preserve">in V4A and Glass crucibles </w:t>
      </w:r>
      <w:r w:rsidRPr="00153ECE">
        <w:rPr>
          <w:rFonts w:eastAsia="MS PGothic"/>
          <w:sz w:val="22"/>
        </w:rPr>
        <w:t xml:space="preserve">were conducted with devices calibrated for </w:t>
      </w:r>
      <w:r w:rsidR="00C848DD">
        <w:rPr>
          <w:rFonts w:eastAsia="MS PGothic"/>
          <w:sz w:val="22"/>
        </w:rPr>
        <w:t>the respective</w:t>
      </w:r>
      <w:r w:rsidRPr="00153ECE">
        <w:rPr>
          <w:rFonts w:eastAsia="MS PGothic"/>
          <w:sz w:val="22"/>
        </w:rPr>
        <w:t xml:space="preserve"> crucible types and compared to those calibrated solely with V4A crucibles. Subsequently, a formal kinetic model was developed utilizing the software </w:t>
      </w:r>
      <w:r w:rsidRPr="00153ECE">
        <w:rPr>
          <w:rFonts w:eastAsia="MS PGothic"/>
          <w:i/>
          <w:iCs/>
          <w:sz w:val="22"/>
        </w:rPr>
        <w:t>"Thermal Safety Series-Advanced Reaction Kinetics Simulation (TSS-ARKS)"</w:t>
      </w:r>
      <w:r w:rsidRPr="00153ECE">
        <w:rPr>
          <w:rFonts w:eastAsia="MS PGothic"/>
          <w:sz w:val="22"/>
        </w:rPr>
        <w:t xml:space="preserve"> from </w:t>
      </w:r>
      <w:r w:rsidRPr="00153ECE">
        <w:rPr>
          <w:rFonts w:eastAsia="MS PGothic"/>
          <w:i/>
          <w:iCs/>
          <w:sz w:val="22"/>
        </w:rPr>
        <w:t>Cheminform St. Petersburg Ltd</w:t>
      </w:r>
      <w:r w:rsidRPr="00153ECE">
        <w:rPr>
          <w:rFonts w:eastAsia="MS PGothic"/>
          <w:sz w:val="22"/>
        </w:rPr>
        <w:t>. The DSC data</w:t>
      </w:r>
      <w:r w:rsidR="004639FD">
        <w:rPr>
          <w:rFonts w:eastAsia="MS PGothic"/>
          <w:sz w:val="22"/>
        </w:rPr>
        <w:t xml:space="preserve"> of runs conducted at 1-5 K/min</w:t>
      </w:r>
      <w:r w:rsidRPr="00153ECE">
        <w:rPr>
          <w:rFonts w:eastAsia="MS PGothic"/>
          <w:sz w:val="22"/>
        </w:rPr>
        <w:t xml:space="preserve"> underwent several corrections, including adjustments for thermal resistance of the measurement cell, normalization, smoothing, background subtraction, and data thinning. The heat capacity was conservatively estimated at</w:t>
      </w:r>
      <w:r w:rsidR="000E1707" w:rsidRPr="00153ECE">
        <w:rPr>
          <w:sz w:val="22"/>
          <w:szCs w:val="22"/>
        </w:rPr>
        <w:t xml:space="preserve"> 2</w:t>
      </w:r>
      <w:r w:rsidR="008E5A65">
        <w:rPr>
          <w:sz w:val="22"/>
          <w:szCs w:val="22"/>
        </w:rPr>
        <w:t>.</w:t>
      </w:r>
      <w:r w:rsidR="000E1707" w:rsidRPr="00153ECE">
        <w:rPr>
          <w:sz w:val="22"/>
          <w:szCs w:val="22"/>
        </w:rPr>
        <w:t>00 J g</w:t>
      </w:r>
      <w:r w:rsidR="000E1707" w:rsidRPr="00153ECE">
        <w:rPr>
          <w:sz w:val="22"/>
          <w:szCs w:val="22"/>
          <w:vertAlign w:val="superscript"/>
        </w:rPr>
        <w:t>-1</w:t>
      </w:r>
      <w:r w:rsidR="000E1707" w:rsidRPr="00153ECE">
        <w:rPr>
          <w:sz w:val="22"/>
          <w:szCs w:val="22"/>
        </w:rPr>
        <w:t xml:space="preserve"> K</w:t>
      </w:r>
      <w:r w:rsidR="000E1707" w:rsidRPr="00153ECE">
        <w:rPr>
          <w:sz w:val="22"/>
          <w:szCs w:val="22"/>
          <w:vertAlign w:val="superscript"/>
        </w:rPr>
        <w:t>-1</w:t>
      </w:r>
      <w:r>
        <w:rPr>
          <w:sz w:val="22"/>
          <w:szCs w:val="22"/>
        </w:rPr>
        <w:t xml:space="preserve">. </w:t>
      </w:r>
      <w:r w:rsidR="00881323" w:rsidRPr="00881323">
        <w:rPr>
          <w:sz w:val="22"/>
          <w:szCs w:val="22"/>
        </w:rPr>
        <w:t xml:space="preserve">The optimal model was derived from a reaction of n-th order (A → B), characterized by the equation </w:t>
      </w:r>
      <w:r w:rsidR="000E1707" w:rsidRPr="00881323">
        <w:rPr>
          <w:sz w:val="22"/>
          <w:szCs w:val="22"/>
        </w:rPr>
        <w:t>r</w:t>
      </w:r>
      <w:r w:rsidR="000E1707" w:rsidRPr="00881323">
        <w:rPr>
          <w:sz w:val="22"/>
          <w:szCs w:val="22"/>
          <w:vertAlign w:val="subscript"/>
        </w:rPr>
        <w:t>i</w:t>
      </w:r>
      <w:r w:rsidR="000E1707" w:rsidRPr="00881323">
        <w:rPr>
          <w:sz w:val="22"/>
          <w:szCs w:val="22"/>
        </w:rPr>
        <w:t> = k</w:t>
      </w:r>
      <w:r w:rsidR="000E1707" w:rsidRPr="00881323">
        <w:rPr>
          <w:sz w:val="22"/>
          <w:szCs w:val="22"/>
          <w:vertAlign w:val="subscript"/>
        </w:rPr>
        <w:t>0</w:t>
      </w:r>
      <w:r w:rsidR="000E1707" w:rsidRPr="00881323">
        <w:rPr>
          <w:sz w:val="22"/>
          <w:szCs w:val="22"/>
        </w:rPr>
        <w:t>e</w:t>
      </w:r>
      <w:r w:rsidR="000E1707" w:rsidRPr="00881323">
        <w:rPr>
          <w:sz w:val="22"/>
          <w:szCs w:val="22"/>
          <w:vertAlign w:val="superscript"/>
        </w:rPr>
        <w:t>-E/RT</w:t>
      </w:r>
      <w:r w:rsidR="000E1707" w:rsidRPr="00881323">
        <w:rPr>
          <w:sz w:val="22"/>
          <w:szCs w:val="22"/>
        </w:rPr>
        <w:t xml:space="preserve"> (1-</w:t>
      </w:r>
      <w:r w:rsidR="000E1707" w:rsidRPr="000E1707">
        <w:rPr>
          <w:sz w:val="22"/>
          <w:szCs w:val="22"/>
          <w:lang w:val="de-DE"/>
        </w:rPr>
        <w:t>α</w:t>
      </w:r>
      <w:r w:rsidR="000E1707" w:rsidRPr="00881323">
        <w:rPr>
          <w:sz w:val="22"/>
          <w:szCs w:val="22"/>
        </w:rPr>
        <w:t>)</w:t>
      </w:r>
      <w:r w:rsidR="000E1707" w:rsidRPr="00881323">
        <w:rPr>
          <w:sz w:val="22"/>
          <w:szCs w:val="22"/>
          <w:vertAlign w:val="superscript"/>
        </w:rPr>
        <w:t>n</w:t>
      </w:r>
      <w:r w:rsidR="000E1707" w:rsidRPr="00881323">
        <w:rPr>
          <w:sz w:val="22"/>
          <w:szCs w:val="22"/>
        </w:rPr>
        <w:t xml:space="preserve">. </w:t>
      </w:r>
      <w:r w:rsidR="00881323" w:rsidRPr="00881323">
        <w:rPr>
          <w:sz w:val="22"/>
          <w:szCs w:val="22"/>
        </w:rPr>
        <w:t>An example of the kinetics derived from the corrected measurements will be presented</w:t>
      </w:r>
      <w:r w:rsidR="00881323">
        <w:rPr>
          <w:sz w:val="22"/>
          <w:szCs w:val="22"/>
        </w:rPr>
        <w:t xml:space="preserve"> </w:t>
      </w:r>
      <w:r w:rsidR="00BD3C6F">
        <w:rPr>
          <w:sz w:val="22"/>
          <w:szCs w:val="22"/>
        </w:rPr>
        <w:t>in the following</w:t>
      </w:r>
      <w:r w:rsidR="00881323" w:rsidRPr="00881323">
        <w:rPr>
          <w:sz w:val="22"/>
          <w:szCs w:val="22"/>
        </w:rPr>
        <w:t xml:space="preserve">. </w:t>
      </w:r>
      <w:r w:rsidR="00BD3C6F">
        <w:rPr>
          <w:sz w:val="22"/>
          <w:szCs w:val="22"/>
        </w:rPr>
        <w:t>However, a</w:t>
      </w:r>
      <w:r w:rsidR="00881323" w:rsidRPr="00881323">
        <w:rPr>
          <w:sz w:val="22"/>
          <w:szCs w:val="22"/>
        </w:rPr>
        <w:t>ll</w:t>
      </w:r>
      <w:r w:rsidR="00BD3C6F">
        <w:rPr>
          <w:sz w:val="22"/>
          <w:szCs w:val="22"/>
        </w:rPr>
        <w:t xml:space="preserve"> conducted</w:t>
      </w:r>
      <w:r w:rsidR="00881323" w:rsidRPr="00881323">
        <w:rPr>
          <w:sz w:val="22"/>
          <w:szCs w:val="22"/>
        </w:rPr>
        <w:t xml:space="preserve"> measurements were evaluated analogously to determine the overall influence</w:t>
      </w:r>
      <w:r w:rsidR="00BD3C6F">
        <w:rPr>
          <w:sz w:val="22"/>
          <w:szCs w:val="22"/>
        </w:rPr>
        <w:t xml:space="preserve"> of the mentioned parameters</w:t>
      </w:r>
      <w:r w:rsidR="00881323" w:rsidRPr="00881323">
        <w:rPr>
          <w:sz w:val="22"/>
          <w:szCs w:val="22"/>
        </w:rPr>
        <w:t>.</w:t>
      </w:r>
    </w:p>
    <w:p w14:paraId="28B2AA9C" w14:textId="5DE58059" w:rsidR="000E1707" w:rsidRPr="003F572A" w:rsidRDefault="000E1707" w:rsidP="004D277F">
      <w:pPr>
        <w:pStyle w:val="BOACaption"/>
      </w:pPr>
      <w:r w:rsidRPr="003F572A">
        <w:t xml:space="preserve">Table 1: </w:t>
      </w:r>
      <w:r w:rsidR="003F572A" w:rsidRPr="003F572A">
        <w:t>Formal Kinetics derived from DSC measurements of the 40 wt.% dicumyl peroxide (DCP) in ethylbenzene.</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C52305" w:rsidRPr="00B57B36" w14:paraId="021E5FEE" w14:textId="77777777" w:rsidTr="008672D7">
        <w:trPr>
          <w:jc w:val="center"/>
        </w:trPr>
        <w:tc>
          <w:tcPr>
            <w:tcW w:w="1134" w:type="dxa"/>
            <w:tcBorders>
              <w:top w:val="single" w:sz="12" w:space="0" w:color="008000"/>
              <w:bottom w:val="single" w:sz="6" w:space="0" w:color="008000"/>
            </w:tcBorders>
            <w:shd w:val="clear" w:color="auto" w:fill="FFFFFF"/>
          </w:tcPr>
          <w:p w14:paraId="266F2CAD" w14:textId="77777777" w:rsidR="003C3DC7" w:rsidRDefault="00C52305" w:rsidP="008672D7">
            <w:r>
              <w:t>ln(k</w:t>
            </w:r>
            <w:r w:rsidRPr="00D47D6B">
              <w:rPr>
                <w:vertAlign w:val="subscript"/>
              </w:rPr>
              <w:t>0</w:t>
            </w:r>
            <w:r>
              <w:t>)</w:t>
            </w:r>
          </w:p>
          <w:p w14:paraId="6947F730" w14:textId="47D32ABC" w:rsidR="00C52305" w:rsidRPr="00B57B36" w:rsidRDefault="003C3DC7" w:rsidP="008672D7">
            <w:r>
              <w:t>[ln(s</w:t>
            </w:r>
            <w:r w:rsidR="00174806" w:rsidRPr="00174806">
              <w:rPr>
                <w:vertAlign w:val="superscript"/>
              </w:rPr>
              <w:t>-1</w:t>
            </w:r>
            <w:r>
              <w:t>)]</w:t>
            </w:r>
            <w:r w:rsidR="00C52305" w:rsidRPr="00B57B36">
              <w:t xml:space="preserve"> </w:t>
            </w:r>
          </w:p>
        </w:tc>
        <w:tc>
          <w:tcPr>
            <w:tcW w:w="1134" w:type="dxa"/>
            <w:tcBorders>
              <w:top w:val="single" w:sz="12" w:space="0" w:color="008000"/>
              <w:bottom w:val="single" w:sz="6" w:space="0" w:color="008000"/>
            </w:tcBorders>
            <w:shd w:val="clear" w:color="auto" w:fill="FFFFFF"/>
          </w:tcPr>
          <w:p w14:paraId="08E2E873" w14:textId="782A6C19" w:rsidR="00C52305" w:rsidRPr="00B57B36" w:rsidRDefault="00C52305" w:rsidP="008672D7">
            <w:r>
              <w:t>E</w:t>
            </w:r>
            <w:r w:rsidRPr="00D47D6B">
              <w:rPr>
                <w:vertAlign w:val="subscript"/>
              </w:rPr>
              <w:t>a</w:t>
            </w:r>
            <w:r w:rsidR="003C3DC7">
              <w:br/>
              <w:t>[kJ</w:t>
            </w:r>
            <w:r w:rsidR="00174806">
              <w:t xml:space="preserve"> </w:t>
            </w:r>
            <w:r w:rsidR="003C3DC7">
              <w:t>mol</w:t>
            </w:r>
            <w:r w:rsidR="00174806" w:rsidRPr="00174806">
              <w:rPr>
                <w:vertAlign w:val="superscript"/>
              </w:rPr>
              <w:t>-1</w:t>
            </w:r>
            <w:r w:rsidR="003C3DC7">
              <w:t>]</w:t>
            </w:r>
          </w:p>
        </w:tc>
        <w:tc>
          <w:tcPr>
            <w:tcW w:w="1134" w:type="dxa"/>
            <w:tcBorders>
              <w:top w:val="single" w:sz="12" w:space="0" w:color="008000"/>
              <w:bottom w:val="single" w:sz="6" w:space="0" w:color="008000"/>
            </w:tcBorders>
            <w:shd w:val="clear" w:color="auto" w:fill="FFFFFF"/>
          </w:tcPr>
          <w:p w14:paraId="03FC287F" w14:textId="1C4DB41E" w:rsidR="00C52305" w:rsidRPr="00B57B36" w:rsidRDefault="00C52305" w:rsidP="008672D7">
            <w:r>
              <w:t>n</w:t>
            </w:r>
            <w:r w:rsidR="003C3DC7">
              <w:br/>
            </w:r>
            <w:r w:rsidR="00476694">
              <w:t>[-]</w:t>
            </w:r>
          </w:p>
        </w:tc>
        <w:tc>
          <w:tcPr>
            <w:tcW w:w="1134" w:type="dxa"/>
            <w:tcBorders>
              <w:top w:val="single" w:sz="12" w:space="0" w:color="008000"/>
              <w:bottom w:val="single" w:sz="6" w:space="0" w:color="008000"/>
            </w:tcBorders>
            <w:shd w:val="clear" w:color="auto" w:fill="FFFFFF"/>
          </w:tcPr>
          <w:p w14:paraId="7BAA43C2" w14:textId="27FCFF2C" w:rsidR="00C52305" w:rsidRPr="00B57B36" w:rsidRDefault="00C52305" w:rsidP="008672D7">
            <w:pPr>
              <w:ind w:right="-1"/>
              <w:rPr>
                <w:rFonts w:cs="Arial"/>
                <w:szCs w:val="18"/>
              </w:rPr>
            </w:pPr>
            <w:r>
              <w:rPr>
                <w:rFonts w:cs="Arial"/>
                <w:szCs w:val="18"/>
              </w:rPr>
              <w:t>Q</w:t>
            </w:r>
            <w:r w:rsidR="00476694">
              <w:rPr>
                <w:rFonts w:cs="Arial"/>
                <w:szCs w:val="18"/>
              </w:rPr>
              <w:br/>
              <w:t>[kJ</w:t>
            </w:r>
            <w:r w:rsidR="00174806">
              <w:rPr>
                <w:rFonts w:cs="Arial"/>
                <w:szCs w:val="18"/>
              </w:rPr>
              <w:t xml:space="preserve"> </w:t>
            </w:r>
            <w:r w:rsidR="00476694">
              <w:rPr>
                <w:rFonts w:cs="Arial"/>
                <w:szCs w:val="18"/>
              </w:rPr>
              <w:t>kg</w:t>
            </w:r>
            <w:r w:rsidR="00174806" w:rsidRPr="00174806">
              <w:rPr>
                <w:rFonts w:cs="Arial"/>
                <w:szCs w:val="18"/>
                <w:vertAlign w:val="superscript"/>
              </w:rPr>
              <w:t>-1</w:t>
            </w:r>
            <w:r w:rsidR="00476694">
              <w:rPr>
                <w:rFonts w:cs="Arial"/>
                <w:szCs w:val="18"/>
              </w:rPr>
              <w:t>]</w:t>
            </w:r>
          </w:p>
        </w:tc>
      </w:tr>
      <w:tr w:rsidR="00C52305" w:rsidRPr="00B57B36" w14:paraId="06FEBC03" w14:textId="77777777" w:rsidTr="008672D7">
        <w:trPr>
          <w:jc w:val="center"/>
        </w:trPr>
        <w:tc>
          <w:tcPr>
            <w:tcW w:w="1134" w:type="dxa"/>
            <w:shd w:val="clear" w:color="auto" w:fill="FFFFFF"/>
          </w:tcPr>
          <w:p w14:paraId="6252D612" w14:textId="1A3A91CF" w:rsidR="00C52305" w:rsidRPr="00B57B36" w:rsidRDefault="00476694" w:rsidP="008672D7">
            <w:r>
              <w:t>36</w:t>
            </w:r>
            <w:r w:rsidR="000F69A7">
              <w:t>.</w:t>
            </w:r>
            <w:r>
              <w:t>7</w:t>
            </w:r>
          </w:p>
        </w:tc>
        <w:tc>
          <w:tcPr>
            <w:tcW w:w="1134" w:type="dxa"/>
            <w:shd w:val="clear" w:color="auto" w:fill="FFFFFF"/>
          </w:tcPr>
          <w:p w14:paraId="1EEB5B9E" w14:textId="7A86F958" w:rsidR="00C52305" w:rsidRPr="00B57B36" w:rsidRDefault="00F904AA" w:rsidP="008672D7">
            <w:r>
              <w:t>153</w:t>
            </w:r>
            <w:r w:rsidR="000F69A7">
              <w:t>.</w:t>
            </w:r>
            <w:r>
              <w:t>30</w:t>
            </w:r>
          </w:p>
        </w:tc>
        <w:tc>
          <w:tcPr>
            <w:tcW w:w="1134" w:type="dxa"/>
            <w:shd w:val="clear" w:color="auto" w:fill="FFFFFF"/>
          </w:tcPr>
          <w:p w14:paraId="4626762B" w14:textId="786590A4" w:rsidR="00C52305" w:rsidRPr="00B57B36" w:rsidRDefault="00F904AA" w:rsidP="008672D7">
            <w:r>
              <w:t>1</w:t>
            </w:r>
            <w:r w:rsidR="000F69A7">
              <w:t>.</w:t>
            </w:r>
            <w:r>
              <w:t>03</w:t>
            </w:r>
          </w:p>
        </w:tc>
        <w:tc>
          <w:tcPr>
            <w:tcW w:w="1134" w:type="dxa"/>
            <w:shd w:val="clear" w:color="auto" w:fill="FFFFFF"/>
          </w:tcPr>
          <w:p w14:paraId="4C902B2F" w14:textId="7D7DAF2A" w:rsidR="00C52305" w:rsidRPr="00B57B36" w:rsidRDefault="00F904AA" w:rsidP="008672D7">
            <w:pPr>
              <w:ind w:right="-1"/>
              <w:rPr>
                <w:rFonts w:cs="Arial"/>
                <w:szCs w:val="18"/>
              </w:rPr>
            </w:pPr>
            <w:r>
              <w:rPr>
                <w:rFonts w:cs="Arial"/>
                <w:szCs w:val="18"/>
              </w:rPr>
              <w:t>356</w:t>
            </w:r>
            <w:r w:rsidR="000F69A7">
              <w:rPr>
                <w:rFonts w:cs="Arial"/>
                <w:szCs w:val="18"/>
              </w:rPr>
              <w:t>.</w:t>
            </w:r>
            <w:r>
              <w:rPr>
                <w:rFonts w:cs="Arial"/>
                <w:szCs w:val="18"/>
              </w:rPr>
              <w:t>60</w:t>
            </w:r>
          </w:p>
        </w:tc>
      </w:tr>
    </w:tbl>
    <w:p w14:paraId="15B3B0F8" w14:textId="77777777" w:rsidR="000E1707" w:rsidRDefault="000E1707" w:rsidP="000E1707">
      <w:pPr>
        <w:pStyle w:val="BOAAbstractBody"/>
        <w:rPr>
          <w:rFonts w:eastAsia="MS PGothic"/>
        </w:rPr>
      </w:pPr>
    </w:p>
    <w:p w14:paraId="379C906B" w14:textId="57429CD7" w:rsidR="005F02ED" w:rsidRPr="00BB3825" w:rsidRDefault="003F572A" w:rsidP="005F02ED">
      <w:pPr>
        <w:pStyle w:val="Text"/>
        <w:spacing w:before="240"/>
      </w:pPr>
      <w:r w:rsidRPr="003F572A">
        <w:rPr>
          <w:lang w:val="en-GB"/>
        </w:rPr>
        <w:t>The determined parameters are presented in Table 1, with a comparison between model predictions and experimental results illustrated in Figure 1.</w:t>
      </w:r>
    </w:p>
    <w:p w14:paraId="4286A159" w14:textId="77777777" w:rsidR="00DB0831" w:rsidRDefault="00BC3829" w:rsidP="00DB0831">
      <w:pPr>
        <w:pStyle w:val="Text"/>
        <w:keepNext/>
        <w:spacing w:before="240"/>
        <w:jc w:val="center"/>
      </w:pPr>
      <w:r w:rsidRPr="00BC3829">
        <w:rPr>
          <w:noProof/>
        </w:rPr>
        <w:lastRenderedPageBreak/>
        <w:drawing>
          <wp:inline distT="0" distB="0" distL="0" distR="0" wp14:anchorId="412489D0" wp14:editId="51DF4D7A">
            <wp:extent cx="3204000" cy="3219685"/>
            <wp:effectExtent l="0" t="0" r="0" b="0"/>
            <wp:docPr id="1095791458" name="Grafik 1"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91458" name="Grafik 1" descr="Ein Bild, das Text, Diagramm, Reihe, Schrift enthält.&#10;&#10;Automatisch generierte Beschreibung"/>
                    <pic:cNvPicPr/>
                  </pic:nvPicPr>
                  <pic:blipFill>
                    <a:blip r:embed="rId8"/>
                    <a:stretch>
                      <a:fillRect/>
                    </a:stretch>
                  </pic:blipFill>
                  <pic:spPr>
                    <a:xfrm>
                      <a:off x="0" y="0"/>
                      <a:ext cx="3204000" cy="3219685"/>
                    </a:xfrm>
                    <a:prstGeom prst="rect">
                      <a:avLst/>
                    </a:prstGeom>
                  </pic:spPr>
                </pic:pic>
              </a:graphicData>
            </a:graphic>
          </wp:inline>
        </w:drawing>
      </w:r>
    </w:p>
    <w:p w14:paraId="6BA381FD" w14:textId="10159E92" w:rsidR="005F02ED" w:rsidRPr="003F572A" w:rsidRDefault="00DB0831" w:rsidP="004D277F">
      <w:pPr>
        <w:pStyle w:val="BOACaption"/>
      </w:pPr>
      <w:bookmarkStart w:id="0" w:name="_Ref187395335"/>
      <w:r w:rsidRPr="003F572A">
        <w:t xml:space="preserve">Figure </w:t>
      </w:r>
      <w:r>
        <w:fldChar w:fldCharType="begin"/>
      </w:r>
      <w:r w:rsidRPr="003F572A">
        <w:instrText xml:space="preserve"> SEQ Figure \* ARABIC </w:instrText>
      </w:r>
      <w:r>
        <w:fldChar w:fldCharType="separate"/>
      </w:r>
      <w:r w:rsidR="00F06F88">
        <w:rPr>
          <w:noProof/>
        </w:rPr>
        <w:t>1</w:t>
      </w:r>
      <w:r>
        <w:fldChar w:fldCharType="end"/>
      </w:r>
      <w:bookmarkEnd w:id="0"/>
      <w:r w:rsidR="005F02ED" w:rsidRPr="003F572A">
        <w:t xml:space="preserve">: </w:t>
      </w:r>
      <w:r w:rsidR="003F572A" w:rsidRPr="003F572A">
        <w:t>Comparison of experimental DSC data (points) of the 40 wt.% dicumyl peroxide (DCP) in ethylbenzene with the fit of the formal kinetic model (line).</w:t>
      </w:r>
    </w:p>
    <w:p w14:paraId="5CFE28A4" w14:textId="77777777" w:rsidR="00D93040" w:rsidRPr="00D93040" w:rsidRDefault="00D93040" w:rsidP="00D93040">
      <w:pPr>
        <w:rPr>
          <w:rFonts w:cs="Arial"/>
          <w:sz w:val="22"/>
          <w:szCs w:val="22"/>
        </w:rPr>
      </w:pPr>
      <w:r w:rsidRPr="00D93040">
        <w:rPr>
          <w:rFonts w:cs="Arial"/>
          <w:sz w:val="22"/>
          <w:szCs w:val="22"/>
        </w:rPr>
        <w:t>The comparison depicted in Figure 1 reveals a satisfactory alignment between the experimental DSC data (points) and the model (line), indicating the model's applicability for calculating temperature-dependent heat flows and TMR.</w:t>
      </w:r>
    </w:p>
    <w:p w14:paraId="08A7FDAC" w14:textId="77777777" w:rsidR="000E1707" w:rsidRPr="00D93040" w:rsidRDefault="000E1707" w:rsidP="000E1707">
      <w:pPr>
        <w:rPr>
          <w:sz w:val="22"/>
          <w:szCs w:val="22"/>
        </w:rPr>
      </w:pPr>
    </w:p>
    <w:p w14:paraId="6216194B" w14:textId="2569CB63" w:rsidR="00091D3E" w:rsidRDefault="00E66DCE" w:rsidP="00DB0831">
      <w:pPr>
        <w:pStyle w:val="BOAheadingx1"/>
        <w:numPr>
          <w:ilvl w:val="1"/>
          <w:numId w:val="26"/>
        </w:numPr>
      </w:pPr>
      <w:r>
        <w:t>Heat accumulation pressure vessel test</w:t>
      </w:r>
    </w:p>
    <w:p w14:paraId="6691C210" w14:textId="0E2B5E97" w:rsidR="001231FF" w:rsidRPr="00551984" w:rsidRDefault="00672F90" w:rsidP="00360D8D">
      <w:pPr>
        <w:pStyle w:val="BOAAbstractBody"/>
        <w:rPr>
          <w:rFonts w:eastAsia="MS PGothic"/>
          <w:lang w:val="en-GB"/>
        </w:rPr>
      </w:pPr>
      <w:r>
        <w:rPr>
          <w:rFonts w:eastAsia="MS PGothic"/>
          <w:lang w:val="en-GB"/>
        </w:rPr>
        <w:t>T</w:t>
      </w:r>
      <w:r w:rsidR="00D93040" w:rsidRPr="00D93040">
        <w:rPr>
          <w:rFonts w:eastAsia="MS PGothic"/>
          <w:lang w:val="en-GB"/>
        </w:rPr>
        <w:t xml:space="preserve">he apparatus employed for these investigations was developed in-house by BASF. </w:t>
      </w:r>
      <w:r w:rsidR="008E5A65">
        <w:rPr>
          <w:rFonts w:eastAsia="MS PGothic"/>
          <w:lang w:val="en-GB"/>
        </w:rPr>
        <w:t>T</w:t>
      </w:r>
      <w:r w:rsidR="00D93040" w:rsidRPr="00D93040">
        <w:rPr>
          <w:rFonts w:eastAsia="MS PGothic"/>
          <w:lang w:val="en-GB"/>
        </w:rPr>
        <w:t xml:space="preserve">he temperature-dependent detection limit of the apparatus was </w:t>
      </w:r>
      <w:r w:rsidR="008E5A65">
        <w:rPr>
          <w:rFonts w:eastAsia="MS PGothic"/>
          <w:lang w:val="en-GB"/>
        </w:rPr>
        <w:t>determined as follows:</w:t>
      </w:r>
      <w:r w:rsidR="00D93040" w:rsidRPr="00D93040">
        <w:rPr>
          <w:rFonts w:eastAsia="MS PGothic"/>
          <w:lang w:val="en-GB"/>
        </w:rPr>
        <w:t xml:space="preserve"> An inert heating oil with a known heat capacity was utilized, and a defined power input was applied to the system through electrical impulses. This established a measurement curve, as illustrated in Figure 2.</w:t>
      </w:r>
    </w:p>
    <w:p w14:paraId="6DE751C6" w14:textId="77777777" w:rsidR="00333268" w:rsidRDefault="001C36BC" w:rsidP="005E61DE">
      <w:pPr>
        <w:pStyle w:val="BOAAbstractBody"/>
        <w:keepNext/>
        <w:spacing w:before="360"/>
        <w:ind w:right="0"/>
        <w:jc w:val="center"/>
      </w:pPr>
      <w:r w:rsidRPr="001C36BC">
        <w:rPr>
          <w:rFonts w:eastAsia="MS PGothic"/>
          <w:noProof/>
          <w:lang w:val="de-DE"/>
        </w:rPr>
        <w:drawing>
          <wp:inline distT="0" distB="0" distL="0" distR="0" wp14:anchorId="0B0D72EB" wp14:editId="3FE6A29F">
            <wp:extent cx="5364000" cy="1907648"/>
            <wp:effectExtent l="0" t="0" r="8255" b="0"/>
            <wp:docPr id="2124644426" name="Grafik 1"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44426" name="Grafik 1" descr="Ein Bild, das Text, Diagramm, Screenshot, Reihe enthält.&#10;&#10;Automatisch generierte Beschreibung"/>
                    <pic:cNvPicPr/>
                  </pic:nvPicPr>
                  <pic:blipFill>
                    <a:blip r:embed="rId9"/>
                    <a:stretch>
                      <a:fillRect/>
                    </a:stretch>
                  </pic:blipFill>
                  <pic:spPr>
                    <a:xfrm>
                      <a:off x="0" y="0"/>
                      <a:ext cx="5364000" cy="1907648"/>
                    </a:xfrm>
                    <a:prstGeom prst="rect">
                      <a:avLst/>
                    </a:prstGeom>
                  </pic:spPr>
                </pic:pic>
              </a:graphicData>
            </a:graphic>
          </wp:inline>
        </w:drawing>
      </w:r>
    </w:p>
    <w:p w14:paraId="66386E3E" w14:textId="2283E8BC" w:rsidR="00333268" w:rsidRPr="00D93040" w:rsidRDefault="00333268" w:rsidP="004D277F">
      <w:pPr>
        <w:pStyle w:val="BOACaption"/>
      </w:pPr>
      <w:r w:rsidRPr="00D93040">
        <w:t xml:space="preserve">Figure </w:t>
      </w:r>
      <w:r>
        <w:fldChar w:fldCharType="begin"/>
      </w:r>
      <w:r w:rsidRPr="00D93040">
        <w:instrText xml:space="preserve"> SEQ Figure \* ARABIC </w:instrText>
      </w:r>
      <w:r>
        <w:fldChar w:fldCharType="separate"/>
      </w:r>
      <w:r w:rsidR="00F06F88">
        <w:rPr>
          <w:noProof/>
        </w:rPr>
        <w:t>2</w:t>
      </w:r>
      <w:r>
        <w:fldChar w:fldCharType="end"/>
      </w:r>
      <w:r w:rsidRPr="00D93040">
        <w:t>:</w:t>
      </w:r>
      <w:r w:rsidR="00D93040" w:rsidRPr="00D93040">
        <w:t xml:space="preserve"> </w:t>
      </w:r>
      <w:r w:rsidR="00D93040">
        <w:t>Temperature depende</w:t>
      </w:r>
      <w:r w:rsidR="00034FC2">
        <w:t>nt detection limit of the in-house heat accumulation pressure vessel test</w:t>
      </w:r>
      <w:r w:rsidR="00D93040" w:rsidRPr="00D93040">
        <w:t>.</w:t>
      </w:r>
      <w:r w:rsidRPr="00D93040">
        <w:t xml:space="preserve"> </w:t>
      </w:r>
    </w:p>
    <w:p w14:paraId="1825C420" w14:textId="2C61D272" w:rsidR="00F26457" w:rsidRDefault="003B618D" w:rsidP="00F879FE">
      <w:pPr>
        <w:pStyle w:val="BOAAbstractBody"/>
        <w:rPr>
          <w:rFonts w:eastAsia="MS PGothic"/>
          <w:lang w:val="en-GB"/>
        </w:rPr>
      </w:pPr>
      <w:r w:rsidRPr="003B618D">
        <w:rPr>
          <w:rFonts w:eastAsia="MS PGothic"/>
          <w:lang w:val="en-GB"/>
        </w:rPr>
        <w:lastRenderedPageBreak/>
        <w:t xml:space="preserve">Based on the determined detection limit, two measurements were conducted </w:t>
      </w:r>
      <w:r>
        <w:rPr>
          <w:rFonts w:eastAsia="MS PGothic"/>
          <w:lang w:val="en-GB"/>
        </w:rPr>
        <w:t>using</w:t>
      </w:r>
      <w:r w:rsidRPr="003B618D">
        <w:rPr>
          <w:rFonts w:eastAsia="MS PGothic"/>
          <w:lang w:val="en-GB"/>
        </w:rPr>
        <w:t xml:space="preserve"> the model system</w:t>
      </w:r>
      <w:r>
        <w:rPr>
          <w:rFonts w:eastAsia="MS PGothic"/>
          <w:lang w:val="en-GB"/>
        </w:rPr>
        <w:t>:</w:t>
      </w:r>
      <w:r w:rsidRPr="003B618D">
        <w:rPr>
          <w:rFonts w:eastAsia="MS PGothic"/>
          <w:lang w:val="en-GB"/>
        </w:rPr>
        <w:t xml:space="preserve"> The first measurement was performed at 75 °C for three days, remaining below the detection </w:t>
      </w:r>
      <w:r>
        <w:rPr>
          <w:rFonts w:eastAsia="MS PGothic"/>
          <w:lang w:val="en-GB"/>
        </w:rPr>
        <w:t>limit</w:t>
      </w:r>
      <w:r w:rsidRPr="003B618D">
        <w:rPr>
          <w:rFonts w:eastAsia="MS PGothic"/>
          <w:lang w:val="en-GB"/>
        </w:rPr>
        <w:t>, followed by a temperature increase to 87 °C, just above the detection limit. The second measurement commenced directly at 90 °C, above the detection limit. Subsequently, the TMR</w:t>
      </w:r>
      <w:r w:rsidR="00551984" w:rsidRPr="00551984">
        <w:rPr>
          <w:rFonts w:eastAsia="MS PGothic"/>
          <w:vertAlign w:val="subscript"/>
          <w:lang w:val="en-GB"/>
        </w:rPr>
        <w:t>24</w:t>
      </w:r>
      <w:r w:rsidRPr="003B618D">
        <w:rPr>
          <w:rFonts w:eastAsia="MS PGothic"/>
          <w:lang w:val="en-GB"/>
        </w:rPr>
        <w:t xml:space="preserve"> for the conducted experiments was calculated using the aforementioned methodology and the software code from </w:t>
      </w:r>
      <w:r w:rsidRPr="003B618D">
        <w:rPr>
          <w:rFonts w:eastAsia="MS PGothic"/>
          <w:i/>
          <w:iCs/>
          <w:lang w:val="en-GB"/>
        </w:rPr>
        <w:t>Cheminform St. Petersburg</w:t>
      </w:r>
      <w:r w:rsidRPr="003B618D">
        <w:rPr>
          <w:rFonts w:eastAsia="MS PGothic"/>
          <w:lang w:val="en-GB"/>
        </w:rPr>
        <w:t>.</w:t>
      </w:r>
    </w:p>
    <w:p w14:paraId="02B41658" w14:textId="7EAC2499" w:rsidR="00F26457" w:rsidRDefault="00F26457">
      <w:pPr>
        <w:tabs>
          <w:tab w:val="clear" w:pos="7100"/>
        </w:tabs>
        <w:spacing w:after="200" w:line="276" w:lineRule="auto"/>
        <w:jc w:val="left"/>
        <w:rPr>
          <w:rFonts w:eastAsia="MS PGothic"/>
          <w:sz w:val="22"/>
        </w:rPr>
      </w:pPr>
    </w:p>
    <w:p w14:paraId="01FCBBA4" w14:textId="77777777" w:rsidR="005C1A57" w:rsidRPr="00591C6C" w:rsidRDefault="005C1A57" w:rsidP="00F879FE">
      <w:pPr>
        <w:pStyle w:val="BOAHeading"/>
      </w:pPr>
      <w:r w:rsidRPr="00591C6C">
        <w:t>3. Results and discussion</w:t>
      </w:r>
    </w:p>
    <w:p w14:paraId="7BA7EB4A" w14:textId="1E623791" w:rsidR="00CC5CE9" w:rsidRDefault="00FB4F21" w:rsidP="00CC5CE9">
      <w:pPr>
        <w:pStyle w:val="BOAAbstractBody"/>
        <w:rPr>
          <w:rFonts w:eastAsia="MS PGothic"/>
        </w:rPr>
      </w:pPr>
      <w:r>
        <w:rPr>
          <w:rFonts w:eastAsia="MS PGothic"/>
        </w:rPr>
        <w:t xml:space="preserve">First, the impact of the crucible material on the </w:t>
      </w:r>
      <w:r w:rsidR="00CC5CE9" w:rsidRPr="00CC5CE9">
        <w:rPr>
          <w:rFonts w:eastAsia="MS PGothic"/>
        </w:rPr>
        <w:t>tau lag of the DSC device</w:t>
      </w:r>
      <w:r w:rsidR="0076474E">
        <w:rPr>
          <w:rFonts w:eastAsia="MS PGothic"/>
        </w:rPr>
        <w:t xml:space="preserve"> was investigated. </w:t>
      </w:r>
    </w:p>
    <w:p w14:paraId="4AC814B7" w14:textId="77777777" w:rsidR="00343071" w:rsidRDefault="00343071" w:rsidP="00CC5CE9">
      <w:pPr>
        <w:pStyle w:val="BOAAbstractBody"/>
        <w:rPr>
          <w:rFonts w:eastAsia="MS PGothic"/>
        </w:rPr>
      </w:pPr>
    </w:p>
    <w:p w14:paraId="74C2C8AF" w14:textId="77777777" w:rsidR="00744D63" w:rsidRDefault="00343071" w:rsidP="00744D63">
      <w:pPr>
        <w:pStyle w:val="BOAAbstractBody"/>
        <w:keepNext/>
        <w:jc w:val="center"/>
      </w:pPr>
      <w:r w:rsidRPr="00343071">
        <w:rPr>
          <w:rFonts w:eastAsia="MS PGothic"/>
          <w:noProof/>
        </w:rPr>
        <w:drawing>
          <wp:inline distT="0" distB="0" distL="0" distR="0" wp14:anchorId="6FFA69D8" wp14:editId="3E379C39">
            <wp:extent cx="2880000" cy="2016040"/>
            <wp:effectExtent l="0" t="0" r="0" b="3810"/>
            <wp:docPr id="885309631" name="Grafik 1"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09631" name="Grafik 1" descr="Ein Bild, das Text, Screenshot, Diagramm, Zahl enthält.&#10;&#10;Automatisch generierte Beschreibung"/>
                    <pic:cNvPicPr/>
                  </pic:nvPicPr>
                  <pic:blipFill>
                    <a:blip r:embed="rId10"/>
                    <a:stretch>
                      <a:fillRect/>
                    </a:stretch>
                  </pic:blipFill>
                  <pic:spPr>
                    <a:xfrm>
                      <a:off x="0" y="0"/>
                      <a:ext cx="2880000" cy="2016040"/>
                    </a:xfrm>
                    <a:prstGeom prst="rect">
                      <a:avLst/>
                    </a:prstGeom>
                  </pic:spPr>
                </pic:pic>
              </a:graphicData>
            </a:graphic>
          </wp:inline>
        </w:drawing>
      </w:r>
    </w:p>
    <w:p w14:paraId="41851A6D" w14:textId="12C28EDC" w:rsidR="004D277F" w:rsidRPr="004D277F" w:rsidRDefault="00744D63" w:rsidP="004D277F">
      <w:pPr>
        <w:pStyle w:val="BOACaption"/>
      </w:pPr>
      <w:bookmarkStart w:id="1" w:name="_Ref187242358"/>
      <w:r w:rsidRPr="004D277F">
        <w:t xml:space="preserve">Figure </w:t>
      </w:r>
      <w:r>
        <w:fldChar w:fldCharType="begin"/>
      </w:r>
      <w:r>
        <w:instrText xml:space="preserve"> SEQ Figure \* ARABIC </w:instrText>
      </w:r>
      <w:r>
        <w:fldChar w:fldCharType="separate"/>
      </w:r>
      <w:r w:rsidR="00F06F88">
        <w:rPr>
          <w:noProof/>
        </w:rPr>
        <w:t>3</w:t>
      </w:r>
      <w:r>
        <w:rPr>
          <w:noProof/>
        </w:rPr>
        <w:fldChar w:fldCharType="end"/>
      </w:r>
      <w:bookmarkEnd w:id="1"/>
      <w:r w:rsidRPr="004D277F">
        <w:t xml:space="preserve">: </w:t>
      </w:r>
      <w:r w:rsidR="00881BDC" w:rsidRPr="004D277F">
        <w:t>Impact of different crucible materials</w:t>
      </w:r>
      <w:r w:rsidR="0069277B" w:rsidRPr="004D277F">
        <w:t xml:space="preserve"> (V4A, V2A, HC, Gold and Glass)</w:t>
      </w:r>
      <w:r w:rsidR="00881BDC" w:rsidRPr="004D277F">
        <w:t xml:space="preserve"> on the tau lag</w:t>
      </w:r>
      <w:r w:rsidR="0069277B" w:rsidRPr="004D277F">
        <w:t>.</w:t>
      </w:r>
    </w:p>
    <w:p w14:paraId="04241F71" w14:textId="0D1F2201" w:rsidR="00F30839" w:rsidRDefault="00C226DD" w:rsidP="004B1BFD">
      <w:pPr>
        <w:pStyle w:val="BOAAbstractBody"/>
        <w:rPr>
          <w:rFonts w:eastAsia="MS PGothic"/>
        </w:rPr>
      </w:pPr>
      <w:r w:rsidRPr="004D277F">
        <w:t xml:space="preserve">The results in </w:t>
      </w:r>
      <w:r w:rsidRPr="004D277F">
        <w:fldChar w:fldCharType="begin"/>
      </w:r>
      <w:r w:rsidRPr="004D277F">
        <w:instrText xml:space="preserve"> REF _Ref187242358 \h </w:instrText>
      </w:r>
      <w:r w:rsidR="00E06D17" w:rsidRPr="004D277F">
        <w:instrText xml:space="preserve"> \* MERGEFORMAT </w:instrText>
      </w:r>
      <w:r w:rsidRPr="004D277F">
        <w:fldChar w:fldCharType="separate"/>
      </w:r>
      <w:r w:rsidR="00F06F88" w:rsidRPr="004D277F">
        <w:t xml:space="preserve">Figure </w:t>
      </w:r>
      <w:r w:rsidR="00F06F88">
        <w:rPr>
          <w:noProof/>
        </w:rPr>
        <w:t>3</w:t>
      </w:r>
      <w:r w:rsidRPr="004D277F">
        <w:fldChar w:fldCharType="end"/>
      </w:r>
      <w:r w:rsidRPr="004D277F">
        <w:t xml:space="preserve"> </w:t>
      </w:r>
      <w:r w:rsidR="00E06D17" w:rsidRPr="004D277F">
        <w:t>show for both reference materials</w:t>
      </w:r>
      <w:r w:rsidR="000537DE" w:rsidRPr="004D277F">
        <w:t xml:space="preserve">, </w:t>
      </w:r>
      <w:r w:rsidR="000537DE" w:rsidRPr="004D277F">
        <w:rPr>
          <w:i/>
          <w:iCs/>
        </w:rPr>
        <w:t>i.e.</w:t>
      </w:r>
      <w:r w:rsidR="000537DE" w:rsidRPr="004D277F">
        <w:t xml:space="preserve"> indium and zinc</w:t>
      </w:r>
      <w:r w:rsidR="00140EFE">
        <w:t>,</w:t>
      </w:r>
      <w:r w:rsidR="00E06D17" w:rsidRPr="004D277F">
        <w:t xml:space="preserve"> </w:t>
      </w:r>
      <w:r w:rsidR="00140EFE" w:rsidRPr="004D277F">
        <w:t xml:space="preserve">that </w:t>
      </w:r>
      <w:r w:rsidR="00E06D17" w:rsidRPr="004D277F">
        <w:t xml:space="preserve">the </w:t>
      </w:r>
      <w:r w:rsidR="004C23B1" w:rsidRPr="004D277F">
        <w:t xml:space="preserve">metal crucibles resulted in similar tau lag values while </w:t>
      </w:r>
      <w:r w:rsidR="00140EFE" w:rsidRPr="004D277F">
        <w:t>for the glass crucibles</w:t>
      </w:r>
      <w:r w:rsidR="00140EFE" w:rsidRPr="004D277F">
        <w:rPr>
          <w:rFonts w:eastAsia="MS PGothic"/>
        </w:rPr>
        <w:t xml:space="preserve"> </w:t>
      </w:r>
      <w:r w:rsidR="00E01B20" w:rsidRPr="004D277F">
        <w:rPr>
          <w:rFonts w:eastAsia="MS PGothic"/>
        </w:rPr>
        <w:t xml:space="preserve">a </w:t>
      </w:r>
      <w:r w:rsidR="00E01B20" w:rsidRPr="00680A05">
        <w:rPr>
          <w:rFonts w:eastAsia="MS PGothic"/>
        </w:rPr>
        <w:t>tau lag</w:t>
      </w:r>
      <w:r w:rsidR="00E01B20" w:rsidRPr="004D277F">
        <w:rPr>
          <w:rFonts w:eastAsia="MS PGothic"/>
        </w:rPr>
        <w:t xml:space="preserve"> of approximately 30 seconds higher </w:t>
      </w:r>
      <w:r w:rsidR="00727BE9" w:rsidRPr="004D277F">
        <w:t xml:space="preserve">was </w:t>
      </w:r>
      <w:r w:rsidR="00140EFE">
        <w:t>obtained</w:t>
      </w:r>
      <w:r w:rsidR="00727BE9" w:rsidRPr="004D277F">
        <w:t>.</w:t>
      </w:r>
      <w:r w:rsidR="00ED2439" w:rsidRPr="004D277F">
        <w:t xml:space="preserve"> </w:t>
      </w:r>
      <w:r w:rsidR="00E01B20">
        <w:rPr>
          <w:rFonts w:eastAsia="MS PGothic"/>
        </w:rPr>
        <w:t>Using</w:t>
      </w:r>
      <w:r w:rsidR="00AB4BC5">
        <w:rPr>
          <w:rFonts w:eastAsia="MS PGothic"/>
        </w:rPr>
        <w:t xml:space="preserve"> a </w:t>
      </w:r>
      <w:r w:rsidR="00E01B20">
        <w:rPr>
          <w:rFonts w:eastAsia="MS PGothic"/>
        </w:rPr>
        <w:t>DSC</w:t>
      </w:r>
      <w:r w:rsidR="00205EE5">
        <w:rPr>
          <w:rFonts w:eastAsia="MS PGothic"/>
        </w:rPr>
        <w:t xml:space="preserve"> device </w:t>
      </w:r>
      <w:r w:rsidR="00140EFE">
        <w:rPr>
          <w:rFonts w:eastAsia="MS PGothic"/>
        </w:rPr>
        <w:t xml:space="preserve">calibrated </w:t>
      </w:r>
      <w:r w:rsidR="00205EE5">
        <w:rPr>
          <w:rFonts w:eastAsia="MS PGothic"/>
        </w:rPr>
        <w:t>with a</w:t>
      </w:r>
      <w:r w:rsidR="00AB4BC5">
        <w:rPr>
          <w:rFonts w:eastAsia="MS PGothic"/>
        </w:rPr>
        <w:t xml:space="preserve"> tau lag of a metal crucible </w:t>
      </w:r>
      <w:r w:rsidR="00140EFE">
        <w:rPr>
          <w:rFonts w:eastAsia="MS PGothic"/>
        </w:rPr>
        <w:t>with</w:t>
      </w:r>
      <w:r w:rsidR="00AB4BC5">
        <w:rPr>
          <w:rFonts w:eastAsia="MS PGothic"/>
        </w:rPr>
        <w:t xml:space="preserve"> a glass </w:t>
      </w:r>
      <w:r w:rsidR="00140EFE">
        <w:rPr>
          <w:rFonts w:eastAsia="MS PGothic"/>
        </w:rPr>
        <w:t>crucible</w:t>
      </w:r>
      <w:r w:rsidR="00AB4BC5">
        <w:rPr>
          <w:rFonts w:eastAsia="MS PGothic"/>
        </w:rPr>
        <w:t xml:space="preserve"> </w:t>
      </w:r>
      <w:r w:rsidR="00140EFE">
        <w:rPr>
          <w:rFonts w:eastAsia="MS PGothic"/>
        </w:rPr>
        <w:t>l</w:t>
      </w:r>
      <w:r w:rsidR="00EE7071" w:rsidRPr="004D277F">
        <w:rPr>
          <w:rFonts w:eastAsia="MS PGothic"/>
        </w:rPr>
        <w:t xml:space="preserve">ed </w:t>
      </w:r>
      <w:r w:rsidR="00140EFE">
        <w:rPr>
          <w:rFonts w:eastAsia="MS PGothic"/>
        </w:rPr>
        <w:t>to</w:t>
      </w:r>
      <w:r w:rsidR="00EE7071" w:rsidRPr="004D277F">
        <w:rPr>
          <w:rFonts w:eastAsia="MS PGothic"/>
        </w:rPr>
        <w:t xml:space="preserve"> an onset temperature shift of up to 5</w:t>
      </w:r>
      <w:r w:rsidR="00140EFE">
        <w:rPr>
          <w:rFonts w:eastAsia="MS PGothic"/>
        </w:rPr>
        <w:t> </w:t>
      </w:r>
      <w:r w:rsidR="00EE7071" w:rsidRPr="004D277F">
        <w:rPr>
          <w:rFonts w:eastAsia="MS PGothic"/>
        </w:rPr>
        <w:t>K (at a heating rate of 10 K/mi</w:t>
      </w:r>
      <w:r w:rsidR="00AB4BC5">
        <w:rPr>
          <w:rFonts w:eastAsia="MS PGothic"/>
        </w:rPr>
        <w:t>n</w:t>
      </w:r>
      <w:r w:rsidR="00874FA9">
        <w:rPr>
          <w:rFonts w:eastAsia="MS PGothic"/>
        </w:rPr>
        <w:t>)</w:t>
      </w:r>
      <w:r w:rsidR="00AB4BC5">
        <w:rPr>
          <w:rFonts w:eastAsia="MS PGothic"/>
        </w:rPr>
        <w:t xml:space="preserve"> </w:t>
      </w:r>
      <w:r w:rsidR="00874FA9">
        <w:rPr>
          <w:rFonts w:eastAsia="MS PGothic"/>
        </w:rPr>
        <w:t>as well as</w:t>
      </w:r>
      <w:r w:rsidR="00BD0940">
        <w:rPr>
          <w:rFonts w:eastAsia="MS PGothic"/>
        </w:rPr>
        <w:t xml:space="preserve"> a </w:t>
      </w:r>
      <w:r w:rsidR="00BD0940" w:rsidRPr="004D277F">
        <w:rPr>
          <w:rFonts w:eastAsia="MS PGothic"/>
        </w:rPr>
        <w:t>loss of about 9% in the detected enthalpy</w:t>
      </w:r>
      <w:r w:rsidR="00923DE4">
        <w:rPr>
          <w:rFonts w:eastAsia="MS PGothic"/>
        </w:rPr>
        <w:t xml:space="preserve"> </w:t>
      </w:r>
      <w:r w:rsidR="00E24BB1">
        <w:rPr>
          <w:rFonts w:eastAsia="MS PGothic"/>
        </w:rPr>
        <w:t>due to</w:t>
      </w:r>
      <w:r w:rsidR="00874FA9">
        <w:rPr>
          <w:rFonts w:eastAsia="MS PGothic"/>
        </w:rPr>
        <w:t xml:space="preserve"> wrong enthalpy calibration</w:t>
      </w:r>
      <w:r w:rsidR="00E01B20">
        <w:rPr>
          <w:rFonts w:eastAsia="MS PGothic"/>
        </w:rPr>
        <w:t>.</w:t>
      </w:r>
      <w:r w:rsidR="00BD0940" w:rsidRPr="004D277F">
        <w:rPr>
          <w:rFonts w:eastAsia="MS PGothic"/>
        </w:rPr>
        <w:t xml:space="preserve"> </w:t>
      </w:r>
      <w:r w:rsidR="00205EE5">
        <w:t xml:space="preserve">Hence, it can be concluded that when applying new </w:t>
      </w:r>
      <w:r w:rsidR="006F69E3">
        <w:t xml:space="preserve">measurement </w:t>
      </w:r>
      <w:r w:rsidR="00807E2B">
        <w:t>crucibles,</w:t>
      </w:r>
      <w:r w:rsidR="00ED2439" w:rsidRPr="004D277F">
        <w:t xml:space="preserve"> the </w:t>
      </w:r>
      <w:r w:rsidR="006F69E3" w:rsidRPr="00680A05">
        <w:t>tau lag</w:t>
      </w:r>
      <w:r w:rsidR="006F69E3">
        <w:t xml:space="preserve"> needs to be determined to check whether the </w:t>
      </w:r>
      <w:r w:rsidR="00ED2439" w:rsidRPr="004D277F">
        <w:t xml:space="preserve">use of </w:t>
      </w:r>
      <w:r w:rsidR="00807E2B">
        <w:t>the same</w:t>
      </w:r>
      <w:r w:rsidR="00ED2439" w:rsidRPr="004D277F">
        <w:t xml:space="preserve"> </w:t>
      </w:r>
      <w:r w:rsidR="00ED2439" w:rsidRPr="00680A05">
        <w:t>tau lag</w:t>
      </w:r>
      <w:r w:rsidR="00ED2439" w:rsidRPr="004D277F">
        <w:t xml:space="preserve"> for all </w:t>
      </w:r>
      <w:r w:rsidR="00031709" w:rsidRPr="004D277F">
        <w:t xml:space="preserve">crucibles is sufficient, </w:t>
      </w:r>
      <w:r w:rsidR="006F69E3">
        <w:t>or</w:t>
      </w:r>
      <w:r w:rsidR="00031709" w:rsidRPr="004D277F">
        <w:t xml:space="preserve"> a separate tau lag</w:t>
      </w:r>
      <w:r w:rsidR="00874FA9">
        <w:t xml:space="preserve"> calibration</w:t>
      </w:r>
      <w:r w:rsidR="00031709" w:rsidRPr="004D277F">
        <w:t xml:space="preserve"> must be applied.</w:t>
      </w:r>
      <w:r w:rsidR="00F30839" w:rsidRPr="00F30839">
        <w:rPr>
          <w:rFonts w:eastAsia="MS PGothic"/>
        </w:rPr>
        <w:t xml:space="preserve"> </w:t>
      </w:r>
    </w:p>
    <w:p w14:paraId="08AE3DF3" w14:textId="77777777" w:rsidR="001B2BFC" w:rsidRDefault="002C416B" w:rsidP="001B2BFC">
      <w:pPr>
        <w:pStyle w:val="BOACaption"/>
        <w:keepNext/>
        <w:jc w:val="center"/>
      </w:pPr>
      <w:r w:rsidRPr="002C416B">
        <w:rPr>
          <w:noProof/>
        </w:rPr>
        <w:drawing>
          <wp:inline distT="0" distB="0" distL="0" distR="0" wp14:anchorId="4EA7AB25" wp14:editId="2CF60A4E">
            <wp:extent cx="4500000" cy="2060259"/>
            <wp:effectExtent l="0" t="0" r="0" b="0"/>
            <wp:docPr id="1576717040" name="Grafik 1" descr="Ein Bild, das Text, Reihe,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17040" name="Grafik 1" descr="Ein Bild, das Text, Reihe, Diagramm, Schrift enthält.&#10;&#10;Automatisch generierte Beschreibung"/>
                    <pic:cNvPicPr/>
                  </pic:nvPicPr>
                  <pic:blipFill>
                    <a:blip r:embed="rId11"/>
                    <a:stretch>
                      <a:fillRect/>
                    </a:stretch>
                  </pic:blipFill>
                  <pic:spPr>
                    <a:xfrm>
                      <a:off x="0" y="0"/>
                      <a:ext cx="4500000" cy="2060259"/>
                    </a:xfrm>
                    <a:prstGeom prst="rect">
                      <a:avLst/>
                    </a:prstGeom>
                  </pic:spPr>
                </pic:pic>
              </a:graphicData>
            </a:graphic>
          </wp:inline>
        </w:drawing>
      </w:r>
    </w:p>
    <w:p w14:paraId="64E2F83A" w14:textId="4739E94D" w:rsidR="00F30839" w:rsidRDefault="001B2BFC" w:rsidP="001B2BFC">
      <w:pPr>
        <w:pStyle w:val="BOACaption"/>
      </w:pPr>
      <w:bookmarkStart w:id="2" w:name="_Ref187397694"/>
      <w:r>
        <w:t xml:space="preserve">Figure </w:t>
      </w:r>
      <w:r>
        <w:fldChar w:fldCharType="begin"/>
      </w:r>
      <w:r>
        <w:instrText xml:space="preserve"> SEQ Figure \* ARABIC </w:instrText>
      </w:r>
      <w:r>
        <w:fldChar w:fldCharType="separate"/>
      </w:r>
      <w:r w:rsidR="00F06F88">
        <w:rPr>
          <w:noProof/>
        </w:rPr>
        <w:t>4</w:t>
      </w:r>
      <w:r>
        <w:fldChar w:fldCharType="end"/>
      </w:r>
      <w:bookmarkEnd w:id="2"/>
      <w:r>
        <w:t xml:space="preserve">: Effect of deconvolution on </w:t>
      </w:r>
      <w:r w:rsidR="0057280D">
        <w:t>a DSC Peak.</w:t>
      </w:r>
    </w:p>
    <w:p w14:paraId="6B3EA2D9" w14:textId="75EBA00D" w:rsidR="00343071" w:rsidRPr="004D277F" w:rsidRDefault="00E24BB1" w:rsidP="004B1BFD">
      <w:pPr>
        <w:pStyle w:val="BOAAbstractBody"/>
        <w:rPr>
          <w:rFonts w:eastAsia="MS PGothic"/>
        </w:rPr>
      </w:pPr>
      <w:r>
        <w:rPr>
          <w:rFonts w:eastAsia="MS PGothic"/>
        </w:rPr>
        <w:lastRenderedPageBreak/>
        <w:t>Other</w:t>
      </w:r>
      <w:r w:rsidR="00F30839">
        <w:rPr>
          <w:rFonts w:eastAsia="MS PGothic"/>
        </w:rPr>
        <w:t xml:space="preserve"> parameters that impact the TMR are time constants. </w:t>
      </w:r>
      <w:r w:rsidR="00F30839" w:rsidRPr="00CC5CE9">
        <w:rPr>
          <w:rFonts w:eastAsia="MS PGothic"/>
        </w:rPr>
        <w:t xml:space="preserve">To </w:t>
      </w:r>
      <w:r w:rsidR="00F30839">
        <w:rPr>
          <w:rFonts w:eastAsia="MS PGothic"/>
        </w:rPr>
        <w:t>investigate their impact on the activation energy (that significantly impacts the determination of the TMR)</w:t>
      </w:r>
      <w:r w:rsidR="00F30839" w:rsidRPr="00CC5CE9">
        <w:rPr>
          <w:rFonts w:eastAsia="MS PGothic"/>
        </w:rPr>
        <w:t>, the data</w:t>
      </w:r>
      <w:r w:rsidR="00F30839">
        <w:rPr>
          <w:rFonts w:eastAsia="MS PGothic"/>
        </w:rPr>
        <w:t xml:space="preserve"> was</w:t>
      </w:r>
      <w:r w:rsidR="00F30839" w:rsidRPr="00CC5CE9">
        <w:rPr>
          <w:rFonts w:eastAsia="MS PGothic"/>
        </w:rPr>
        <w:t xml:space="preserve"> deconvolut</w:t>
      </w:r>
      <w:r w:rsidR="00F30839">
        <w:rPr>
          <w:rFonts w:eastAsia="MS PGothic"/>
        </w:rPr>
        <w:t xml:space="preserve">ed, </w:t>
      </w:r>
      <w:r w:rsidR="00F30839" w:rsidRPr="00B84D45">
        <w:rPr>
          <w:rFonts w:eastAsia="MS PGothic"/>
          <w:i/>
          <w:iCs/>
        </w:rPr>
        <w:t>i.e.</w:t>
      </w:r>
      <w:r w:rsidR="00F30839">
        <w:rPr>
          <w:rFonts w:eastAsia="MS PGothic"/>
        </w:rPr>
        <w:t xml:space="preserve"> corrected by these time constants.</w:t>
      </w:r>
      <w:r w:rsidR="0057280D">
        <w:rPr>
          <w:rFonts w:eastAsia="MS PGothic"/>
        </w:rPr>
        <w:t xml:space="preserve"> The impact of the deconvolution is </w:t>
      </w:r>
      <w:r w:rsidR="00387A29">
        <w:rPr>
          <w:rFonts w:eastAsia="MS PGothic"/>
        </w:rPr>
        <w:t xml:space="preserve">shown in </w:t>
      </w:r>
      <w:r w:rsidR="00387A29">
        <w:rPr>
          <w:rFonts w:eastAsia="MS PGothic"/>
        </w:rPr>
        <w:fldChar w:fldCharType="begin"/>
      </w:r>
      <w:r w:rsidR="00387A29">
        <w:rPr>
          <w:rFonts w:eastAsia="MS PGothic"/>
        </w:rPr>
        <w:instrText xml:space="preserve"> REF _Ref187397694 \h </w:instrText>
      </w:r>
      <w:r w:rsidR="00387A29">
        <w:rPr>
          <w:rFonts w:eastAsia="MS PGothic"/>
        </w:rPr>
      </w:r>
      <w:r w:rsidR="00387A29">
        <w:rPr>
          <w:rFonts w:eastAsia="MS PGothic"/>
        </w:rPr>
        <w:fldChar w:fldCharType="separate"/>
      </w:r>
      <w:r w:rsidR="00F06F88">
        <w:t xml:space="preserve">Figure </w:t>
      </w:r>
      <w:r w:rsidR="00F06F88">
        <w:rPr>
          <w:noProof/>
        </w:rPr>
        <w:t>4</w:t>
      </w:r>
      <w:r w:rsidR="00387A29">
        <w:rPr>
          <w:rFonts w:eastAsia="MS PGothic"/>
        </w:rPr>
        <w:fldChar w:fldCharType="end"/>
      </w:r>
      <w:r w:rsidR="00387A29">
        <w:rPr>
          <w:rFonts w:eastAsia="MS PGothic"/>
        </w:rPr>
        <w:t xml:space="preserve">: The slope </w:t>
      </w:r>
      <w:r w:rsidR="008A04B0">
        <w:rPr>
          <w:rFonts w:eastAsia="MS PGothic"/>
        </w:rPr>
        <w:t xml:space="preserve">of the peak </w:t>
      </w:r>
      <w:r w:rsidR="00FF3E1B">
        <w:rPr>
          <w:rFonts w:eastAsia="MS PGothic"/>
        </w:rPr>
        <w:t>is corrected</w:t>
      </w:r>
      <w:r w:rsidR="008A04B0">
        <w:rPr>
          <w:rFonts w:eastAsia="MS PGothic"/>
        </w:rPr>
        <w:t>. As the activation energy of the thermal decomposition is derived from the slope</w:t>
      </w:r>
      <w:r w:rsidR="009600EA">
        <w:rPr>
          <w:rFonts w:eastAsia="MS PGothic"/>
        </w:rPr>
        <w:t xml:space="preserve"> of the peak, the deconvolution has a direct impact </w:t>
      </w:r>
      <w:r w:rsidR="00FF3E1B">
        <w:rPr>
          <w:rFonts w:eastAsia="MS PGothic"/>
        </w:rPr>
        <w:t>thereon.</w:t>
      </w:r>
    </w:p>
    <w:p w14:paraId="40E37828" w14:textId="77777777" w:rsidR="00CC5CE9" w:rsidRPr="00CC5CE9" w:rsidRDefault="00CC5CE9" w:rsidP="00EE7071">
      <w:pPr>
        <w:pStyle w:val="BOAAbstractBody"/>
        <w:spacing w:before="360"/>
        <w:ind w:right="0"/>
        <w:rPr>
          <w:rFonts w:eastAsia="MS PGothic"/>
          <w:lang w:val="de-DE"/>
        </w:rPr>
      </w:pPr>
      <w:r w:rsidRPr="00CC5CE9">
        <w:rPr>
          <w:rFonts w:eastAsia="MS PGothic"/>
          <w:noProof/>
          <w:lang w:val="de-DE"/>
        </w:rPr>
        <w:drawing>
          <wp:inline distT="0" distB="0" distL="0" distR="0" wp14:anchorId="26548846" wp14:editId="13FCA6FF">
            <wp:extent cx="5760720" cy="1640840"/>
            <wp:effectExtent l="0" t="0" r="0" b="0"/>
            <wp:docPr id="663416061" name="Grafik 1"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6061" name="Grafik 1" descr="Ein Bild, das Text, Screenshot, Diagramm, Reihe enthält.&#10;&#10;Automatisch generierte Beschreibung"/>
                    <pic:cNvPicPr/>
                  </pic:nvPicPr>
                  <pic:blipFill>
                    <a:blip r:embed="rId12"/>
                    <a:stretch>
                      <a:fillRect/>
                    </a:stretch>
                  </pic:blipFill>
                  <pic:spPr>
                    <a:xfrm>
                      <a:off x="0" y="0"/>
                      <a:ext cx="5760720" cy="1640840"/>
                    </a:xfrm>
                    <a:prstGeom prst="rect">
                      <a:avLst/>
                    </a:prstGeom>
                  </pic:spPr>
                </pic:pic>
              </a:graphicData>
            </a:graphic>
          </wp:inline>
        </w:drawing>
      </w:r>
    </w:p>
    <w:p w14:paraId="71856A86" w14:textId="1B824565" w:rsidR="00CC5CE9" w:rsidRPr="00CC5CE9" w:rsidRDefault="00CC5CE9" w:rsidP="004D277F">
      <w:pPr>
        <w:pStyle w:val="BOACaption"/>
      </w:pPr>
      <w:bookmarkStart w:id="3" w:name="_Ref185325388"/>
      <w:r w:rsidRPr="00CC5CE9">
        <w:t xml:space="preserve">Figure </w:t>
      </w:r>
      <w:r w:rsidRPr="00CC5CE9">
        <w:rPr>
          <w:lang w:val="de-DE"/>
        </w:rPr>
        <w:fldChar w:fldCharType="begin"/>
      </w:r>
      <w:r w:rsidRPr="00CC5CE9">
        <w:instrText xml:space="preserve"> SEQ Figure \* ARABIC </w:instrText>
      </w:r>
      <w:r w:rsidRPr="00CC5CE9">
        <w:rPr>
          <w:lang w:val="de-DE"/>
        </w:rPr>
        <w:fldChar w:fldCharType="separate"/>
      </w:r>
      <w:r w:rsidR="00F06F88">
        <w:rPr>
          <w:noProof/>
        </w:rPr>
        <w:t>5</w:t>
      </w:r>
      <w:r w:rsidRPr="00CC5CE9">
        <w:fldChar w:fldCharType="end"/>
      </w:r>
      <w:bookmarkEnd w:id="3"/>
      <w:r w:rsidRPr="00CC5CE9">
        <w:t>: Influence of the deconvolution of DSC data on the activation energy (left) and the TMR</w:t>
      </w:r>
      <w:r w:rsidRPr="00CC5CE9">
        <w:rPr>
          <w:vertAlign w:val="subscript"/>
        </w:rPr>
        <w:t>24</w:t>
      </w:r>
      <w:r w:rsidRPr="00CC5CE9">
        <w:t xml:space="preserve"> (right) for</w:t>
      </w:r>
      <w:r w:rsidR="00CE4659">
        <w:t xml:space="preserve"> </w:t>
      </w:r>
      <w:r w:rsidR="00874FA9">
        <w:t>metal and glass crucibles</w:t>
      </w:r>
      <w:r w:rsidRPr="00CC5CE9">
        <w:t xml:space="preserve">. The original data is depicted in grey, the corresponding deconvoluted data in green. Tau </w:t>
      </w:r>
      <w:r w:rsidR="00752B37">
        <w:t>l</w:t>
      </w:r>
      <w:r w:rsidRPr="00CC5CE9">
        <w:t>ag + ~30 s depicts a glass vial on a DSC device calibrated with a metal vessel and without deconvolution.</w:t>
      </w:r>
    </w:p>
    <w:p w14:paraId="267CF221" w14:textId="68715AF8" w:rsidR="0079526C" w:rsidRDefault="00B84D45" w:rsidP="00CC5CE9">
      <w:pPr>
        <w:pStyle w:val="BOAAbstractBody"/>
        <w:rPr>
          <w:rFonts w:eastAsia="MS PGothic"/>
        </w:rPr>
      </w:pPr>
      <w:r>
        <w:rPr>
          <w:rFonts w:eastAsia="MS PGothic"/>
        </w:rPr>
        <w:t xml:space="preserve">According to the results shown in </w:t>
      </w:r>
      <w:r w:rsidR="00AF34E2">
        <w:rPr>
          <w:rFonts w:eastAsia="MS PGothic"/>
        </w:rPr>
        <w:fldChar w:fldCharType="begin"/>
      </w:r>
      <w:r w:rsidR="00AF34E2">
        <w:rPr>
          <w:rFonts w:eastAsia="MS PGothic"/>
        </w:rPr>
        <w:instrText xml:space="preserve"> REF _Ref185325388 \h </w:instrText>
      </w:r>
      <w:r w:rsidR="00AF34E2">
        <w:rPr>
          <w:rFonts w:eastAsia="MS PGothic"/>
        </w:rPr>
      </w:r>
      <w:r w:rsidR="00AF34E2">
        <w:rPr>
          <w:rFonts w:eastAsia="MS PGothic"/>
        </w:rPr>
        <w:fldChar w:fldCharType="separate"/>
      </w:r>
      <w:r w:rsidR="00F06F88" w:rsidRPr="00CC5CE9">
        <w:t xml:space="preserve">Figure </w:t>
      </w:r>
      <w:r w:rsidR="00AF34E2">
        <w:rPr>
          <w:rFonts w:eastAsia="MS PGothic"/>
        </w:rPr>
        <w:fldChar w:fldCharType="end"/>
      </w:r>
      <w:r w:rsidR="00CC5CE9" w:rsidRPr="00CC5CE9">
        <w:rPr>
          <w:rFonts w:eastAsia="MS PGothic"/>
        </w:rPr>
        <w:t xml:space="preserve">, </w:t>
      </w:r>
      <w:r>
        <w:rPr>
          <w:rFonts w:eastAsia="MS PGothic"/>
        </w:rPr>
        <w:t xml:space="preserve">the deconvolution </w:t>
      </w:r>
      <w:r w:rsidR="00CC5CE9" w:rsidRPr="00CC5CE9">
        <w:rPr>
          <w:rFonts w:eastAsia="MS PGothic"/>
        </w:rPr>
        <w:t>result</w:t>
      </w:r>
      <w:r>
        <w:rPr>
          <w:rFonts w:eastAsia="MS PGothic"/>
        </w:rPr>
        <w:t>ed</w:t>
      </w:r>
      <w:r w:rsidR="00CC5CE9" w:rsidRPr="00CC5CE9">
        <w:rPr>
          <w:rFonts w:eastAsia="MS PGothic"/>
        </w:rPr>
        <w:t xml:space="preserve"> in an increase in activation energy by approximately 10 kJ/mol</w:t>
      </w:r>
      <w:r>
        <w:rPr>
          <w:rFonts w:eastAsia="MS PGothic"/>
        </w:rPr>
        <w:t xml:space="preserve">, </w:t>
      </w:r>
      <w:r w:rsidR="00CE4659">
        <w:rPr>
          <w:rFonts w:eastAsia="MS PGothic"/>
        </w:rPr>
        <w:t xml:space="preserve">which </w:t>
      </w:r>
      <w:r w:rsidR="003257C3">
        <w:rPr>
          <w:rFonts w:eastAsia="MS PGothic"/>
        </w:rPr>
        <w:t>c</w:t>
      </w:r>
      <w:r w:rsidR="00CC5CE9" w:rsidRPr="00CC5CE9">
        <w:rPr>
          <w:rFonts w:eastAsia="MS PGothic"/>
        </w:rPr>
        <w:t>orrespond</w:t>
      </w:r>
      <w:r w:rsidR="003257C3">
        <w:rPr>
          <w:rFonts w:eastAsia="MS PGothic"/>
        </w:rPr>
        <w:t>s to an</w:t>
      </w:r>
      <w:r w:rsidR="00CC5CE9" w:rsidRPr="00CC5CE9">
        <w:rPr>
          <w:rFonts w:eastAsia="MS PGothic"/>
        </w:rPr>
        <w:t xml:space="preserve"> increase in TMR</w:t>
      </w:r>
      <w:r w:rsidR="00CC5CE9" w:rsidRPr="00CC5CE9">
        <w:rPr>
          <w:rFonts w:eastAsia="MS PGothic"/>
          <w:vertAlign w:val="subscript"/>
        </w:rPr>
        <w:t>24</w:t>
      </w:r>
      <w:r w:rsidR="00CC5CE9" w:rsidRPr="00CC5CE9">
        <w:rPr>
          <w:rFonts w:eastAsia="MS PGothic"/>
        </w:rPr>
        <w:t xml:space="preserve"> of 2 to 5 K. Conversely, uncorrected DSC data from inadequately calibrated instruments (</w:t>
      </w:r>
      <w:r w:rsidR="00CC5CE9" w:rsidRPr="00CC5CE9">
        <w:rPr>
          <w:rFonts w:eastAsia="MS PGothic"/>
          <w:i/>
          <w:iCs/>
        </w:rPr>
        <w:t>e.g.</w:t>
      </w:r>
      <w:r w:rsidR="00CC5CE9" w:rsidRPr="00CC5CE9">
        <w:rPr>
          <w:rFonts w:eastAsia="MS PGothic"/>
        </w:rPr>
        <w:t xml:space="preserve"> glass </w:t>
      </w:r>
      <w:r w:rsidR="003257C3">
        <w:rPr>
          <w:rFonts w:eastAsia="MS PGothic"/>
        </w:rPr>
        <w:t>crucibles</w:t>
      </w:r>
      <w:r w:rsidR="00CC5CE9" w:rsidRPr="00CC5CE9">
        <w:rPr>
          <w:rFonts w:eastAsia="MS PGothic"/>
        </w:rPr>
        <w:t xml:space="preserve"> measured on a device calibrated for metal </w:t>
      </w:r>
      <w:r w:rsidR="003257C3">
        <w:rPr>
          <w:rFonts w:eastAsia="MS PGothic"/>
        </w:rPr>
        <w:t>crucibles</w:t>
      </w:r>
      <w:r w:rsidR="00CC5CE9" w:rsidRPr="00CC5CE9">
        <w:rPr>
          <w:rFonts w:eastAsia="MS PGothic"/>
        </w:rPr>
        <w:t>) significantly underestimated the TMR</w:t>
      </w:r>
      <w:r w:rsidR="00CC5CE9" w:rsidRPr="00CC5CE9">
        <w:rPr>
          <w:rFonts w:eastAsia="MS PGothic"/>
          <w:vertAlign w:val="subscript"/>
        </w:rPr>
        <w:t>24</w:t>
      </w:r>
      <w:r w:rsidR="00CC5CE9" w:rsidRPr="00CC5CE9">
        <w:rPr>
          <w:rFonts w:eastAsia="MS PGothic"/>
        </w:rPr>
        <w:t xml:space="preserve">, compromising </w:t>
      </w:r>
      <w:r w:rsidR="00E24BB1">
        <w:rPr>
          <w:rFonts w:eastAsia="MS PGothic"/>
        </w:rPr>
        <w:t>economic potential</w:t>
      </w:r>
      <w:r w:rsidR="00E24BB1" w:rsidRPr="00CC5CE9">
        <w:rPr>
          <w:rFonts w:eastAsia="MS PGothic"/>
        </w:rPr>
        <w:t xml:space="preserve"> </w:t>
      </w:r>
      <w:r w:rsidR="00CC5CE9" w:rsidRPr="00CC5CE9">
        <w:rPr>
          <w:rFonts w:eastAsia="MS PGothic"/>
        </w:rPr>
        <w:t>(</w:t>
      </w:r>
      <w:r w:rsidR="00CC5CE9" w:rsidRPr="00CC5CE9">
        <w:rPr>
          <w:rFonts w:eastAsia="MS PGothic"/>
          <w:i/>
          <w:iCs/>
        </w:rPr>
        <w:t>cf.</w:t>
      </w:r>
      <w:r w:rsidR="0079526C">
        <w:rPr>
          <w:rFonts w:eastAsia="MS PGothic"/>
          <w:i/>
          <w:iCs/>
        </w:rPr>
        <w:t xml:space="preserve"> </w:t>
      </w:r>
      <w:r w:rsidR="0079526C">
        <w:rPr>
          <w:rFonts w:eastAsia="MS PGothic"/>
        </w:rPr>
        <w:fldChar w:fldCharType="begin"/>
      </w:r>
      <w:r w:rsidR="0079526C">
        <w:rPr>
          <w:rFonts w:eastAsia="MS PGothic"/>
          <w:i/>
          <w:iCs/>
        </w:rPr>
        <w:instrText xml:space="preserve"> REF _Ref185325388 \h </w:instrText>
      </w:r>
      <w:r w:rsidR="0079526C">
        <w:rPr>
          <w:rFonts w:eastAsia="MS PGothic"/>
        </w:rPr>
      </w:r>
      <w:r w:rsidR="0079526C">
        <w:rPr>
          <w:rFonts w:eastAsia="MS PGothic"/>
        </w:rPr>
        <w:fldChar w:fldCharType="separate"/>
      </w:r>
      <w:r w:rsidR="00F06F88" w:rsidRPr="00CC5CE9">
        <w:t xml:space="preserve">Figure </w:t>
      </w:r>
      <w:r w:rsidR="0079526C">
        <w:rPr>
          <w:rFonts w:eastAsia="MS PGothic"/>
        </w:rPr>
        <w:fldChar w:fldCharType="end"/>
      </w:r>
      <w:r w:rsidR="00CC5CE9" w:rsidRPr="00CC5CE9">
        <w:rPr>
          <w:rFonts w:eastAsia="MS PGothic"/>
        </w:rPr>
        <w:t xml:space="preserve">, Tau Lag + ~30 s). </w:t>
      </w:r>
    </w:p>
    <w:p w14:paraId="5D842F47" w14:textId="7FBDC91C" w:rsidR="00CC5CE9" w:rsidRPr="00CC5CE9" w:rsidRDefault="00CC5CE9" w:rsidP="00CC5CE9">
      <w:pPr>
        <w:pStyle w:val="BOAAbstractBody"/>
        <w:rPr>
          <w:rFonts w:eastAsia="MS PGothic"/>
        </w:rPr>
      </w:pPr>
      <w:r w:rsidRPr="00CC5CE9">
        <w:rPr>
          <w:rFonts w:eastAsia="MS PGothic"/>
        </w:rPr>
        <w:t xml:space="preserve">Hence, the </w:t>
      </w:r>
      <w:r w:rsidRPr="00680A05">
        <w:rPr>
          <w:rFonts w:eastAsia="MS PGothic"/>
        </w:rPr>
        <w:t>tau lag</w:t>
      </w:r>
      <w:r w:rsidR="00A50962">
        <w:rPr>
          <w:rFonts w:eastAsia="MS PGothic"/>
          <w:i/>
          <w:iCs/>
        </w:rPr>
        <w:t xml:space="preserve"> </w:t>
      </w:r>
      <w:r w:rsidR="00A50962" w:rsidRPr="00A50962">
        <w:rPr>
          <w:rFonts w:eastAsia="MS PGothic"/>
        </w:rPr>
        <w:t>as well</w:t>
      </w:r>
      <w:r w:rsidR="00A50962">
        <w:rPr>
          <w:rFonts w:eastAsia="MS PGothic"/>
        </w:rPr>
        <w:t xml:space="preserve"> as the time constants tau for the relaxation of </w:t>
      </w:r>
      <w:r w:rsidR="00947A35" w:rsidRPr="00CC5CE9">
        <w:rPr>
          <w:rFonts w:eastAsia="MS PGothic"/>
        </w:rPr>
        <w:t xml:space="preserve">crucible/sensor relaxation </w:t>
      </w:r>
      <w:r w:rsidR="00947A35">
        <w:rPr>
          <w:rFonts w:eastAsia="MS PGothic"/>
        </w:rPr>
        <w:t>and</w:t>
      </w:r>
      <w:r w:rsidR="00947A35" w:rsidRPr="00CC5CE9">
        <w:rPr>
          <w:rFonts w:eastAsia="MS PGothic"/>
        </w:rPr>
        <w:t xml:space="preserve"> sample/crucible</w:t>
      </w:r>
      <w:r w:rsidRPr="00CC5CE9">
        <w:rPr>
          <w:rFonts w:eastAsia="MS PGothic"/>
        </w:rPr>
        <w:t xml:space="preserve">, </w:t>
      </w:r>
      <w:r w:rsidR="00947A35">
        <w:rPr>
          <w:rFonts w:eastAsia="MS PGothic"/>
        </w:rPr>
        <w:t>have</w:t>
      </w:r>
      <w:r w:rsidRPr="00CC5CE9">
        <w:rPr>
          <w:rFonts w:eastAsia="MS PGothic"/>
        </w:rPr>
        <w:t xml:space="preserve"> a significant influence on the </w:t>
      </w:r>
      <w:r w:rsidR="00947A35">
        <w:rPr>
          <w:rFonts w:eastAsia="MS PGothic"/>
        </w:rPr>
        <w:t xml:space="preserve">measurement </w:t>
      </w:r>
      <w:r w:rsidRPr="00CC5CE9">
        <w:rPr>
          <w:rFonts w:eastAsia="MS PGothic"/>
        </w:rPr>
        <w:t xml:space="preserve">results and </w:t>
      </w:r>
      <w:r w:rsidR="00947A35">
        <w:rPr>
          <w:rFonts w:eastAsia="MS PGothic"/>
        </w:rPr>
        <w:t>the</w:t>
      </w:r>
      <w:r w:rsidRPr="00CC5CE9">
        <w:rPr>
          <w:rFonts w:eastAsia="MS PGothic"/>
        </w:rPr>
        <w:t xml:space="preserve"> uncertainties</w:t>
      </w:r>
      <w:r w:rsidR="00947A35">
        <w:rPr>
          <w:rFonts w:eastAsia="MS PGothic"/>
        </w:rPr>
        <w:t xml:space="preserve"> in the thereof derived TMR</w:t>
      </w:r>
      <w:r w:rsidR="00020E8D" w:rsidRPr="00020E8D">
        <w:rPr>
          <w:rFonts w:eastAsia="MS PGothic"/>
          <w:vertAlign w:val="subscript"/>
        </w:rPr>
        <w:t>24</w:t>
      </w:r>
      <w:r w:rsidRPr="00CC5CE9">
        <w:rPr>
          <w:rFonts w:eastAsia="MS PGothic"/>
        </w:rPr>
        <w:t>.</w:t>
      </w:r>
    </w:p>
    <w:p w14:paraId="3316A17E" w14:textId="77777777" w:rsidR="00CC5CE9" w:rsidRPr="00CC5CE9" w:rsidRDefault="00CC5CE9" w:rsidP="00CC5CE9">
      <w:pPr>
        <w:pStyle w:val="BOAAbstractBody"/>
        <w:spacing w:before="360"/>
        <w:ind w:right="0"/>
        <w:rPr>
          <w:rFonts w:eastAsia="MS PGothic"/>
          <w:lang w:val="de-DE"/>
        </w:rPr>
      </w:pPr>
      <w:r w:rsidRPr="00CC5CE9">
        <w:rPr>
          <w:rFonts w:eastAsia="MS PGothic"/>
          <w:noProof/>
        </w:rPr>
        <w:drawing>
          <wp:inline distT="0" distB="0" distL="0" distR="0" wp14:anchorId="67F1AAD1" wp14:editId="3D330465">
            <wp:extent cx="5731757" cy="1797685"/>
            <wp:effectExtent l="0" t="0" r="2540" b="0"/>
            <wp:docPr id="1230697274" name="Grafik 1" descr="Ein Bild, das Text, Reihe,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97274" name="Grafik 1" descr="Ein Bild, das Text, Reihe, Diagramm, Schrift enthält.&#10;&#10;Automatisch generierte Beschreibung"/>
                    <pic:cNvPicPr/>
                  </pic:nvPicPr>
                  <pic:blipFill rotWithShape="1">
                    <a:blip r:embed="rId13"/>
                    <a:srcRect l="503"/>
                    <a:stretch/>
                  </pic:blipFill>
                  <pic:spPr bwMode="auto">
                    <a:xfrm>
                      <a:off x="0" y="0"/>
                      <a:ext cx="5731757" cy="1797685"/>
                    </a:xfrm>
                    <a:prstGeom prst="rect">
                      <a:avLst/>
                    </a:prstGeom>
                    <a:ln>
                      <a:noFill/>
                    </a:ln>
                    <a:extLst>
                      <a:ext uri="{53640926-AAD7-44D8-BBD7-CCE9431645EC}">
                        <a14:shadowObscured xmlns:a14="http://schemas.microsoft.com/office/drawing/2010/main"/>
                      </a:ext>
                    </a:extLst>
                  </pic:spPr>
                </pic:pic>
              </a:graphicData>
            </a:graphic>
          </wp:inline>
        </w:drawing>
      </w:r>
    </w:p>
    <w:p w14:paraId="063E2B6E" w14:textId="7372A4A7" w:rsidR="00CC5CE9" w:rsidRPr="00CC5CE9" w:rsidRDefault="00CC5CE9" w:rsidP="004D277F">
      <w:pPr>
        <w:pStyle w:val="BOACaption"/>
      </w:pPr>
      <w:bookmarkStart w:id="4" w:name="_Ref185323931"/>
      <w:r w:rsidRPr="00CC5CE9">
        <w:t xml:space="preserve">Figure </w:t>
      </w:r>
      <w:r w:rsidRPr="00CC5CE9">
        <w:rPr>
          <w:lang w:val="de-DE"/>
        </w:rPr>
        <w:fldChar w:fldCharType="begin"/>
      </w:r>
      <w:r w:rsidRPr="00CC5CE9">
        <w:instrText xml:space="preserve"> SEQ Figure \* ARABIC </w:instrText>
      </w:r>
      <w:r w:rsidRPr="00CC5CE9">
        <w:rPr>
          <w:lang w:val="de-DE"/>
        </w:rPr>
        <w:fldChar w:fldCharType="separate"/>
      </w:r>
      <w:r w:rsidR="00F06F88">
        <w:rPr>
          <w:noProof/>
        </w:rPr>
        <w:t>6</w:t>
      </w:r>
      <w:r w:rsidRPr="00CC5CE9">
        <w:fldChar w:fldCharType="end"/>
      </w:r>
      <w:bookmarkEnd w:id="4"/>
      <w:r w:rsidRPr="00CC5CE9">
        <w:t>: Comparison of a non-optimized experimental run (left) started at 75 °C with a model-based optimized experimental design (right) started at 87 °C of an adiabatic measurement of 40 wt.% dicumyl peroxide (DCP) in ethylbenzene.</w:t>
      </w:r>
    </w:p>
    <w:p w14:paraId="01D99D99" w14:textId="1E4A40E0" w:rsidR="00BA4D69" w:rsidRPr="00BA4D69" w:rsidRDefault="00BA4D69" w:rsidP="00BA4D69">
      <w:pPr>
        <w:pStyle w:val="BOAAbstractBody"/>
        <w:rPr>
          <w:rFonts w:eastAsia="MS PGothic"/>
          <w:lang w:val="en-GB"/>
        </w:rPr>
      </w:pPr>
      <w:r w:rsidRPr="00BA4D69">
        <w:rPr>
          <w:rFonts w:eastAsia="MS PGothic"/>
          <w:lang w:val="en-GB"/>
        </w:rPr>
        <w:lastRenderedPageBreak/>
        <w:t>Adiabatic calorimetry is a technique employed to directly measure</w:t>
      </w:r>
      <w:r w:rsidR="00CC5CE9" w:rsidRPr="00CC5CE9">
        <w:rPr>
          <w:rFonts w:eastAsia="MS PGothic"/>
        </w:rPr>
        <w:t xml:space="preserve"> TMR</w:t>
      </w:r>
      <w:r w:rsidR="00CC5CE9" w:rsidRPr="00CC5CE9">
        <w:rPr>
          <w:rFonts w:eastAsia="MS PGothic"/>
          <w:vertAlign w:val="subscript"/>
        </w:rPr>
        <w:t>24</w:t>
      </w:r>
      <w:r w:rsidR="00CC5CE9" w:rsidRPr="00CC5CE9">
        <w:rPr>
          <w:rFonts w:eastAsia="MS PGothic"/>
        </w:rPr>
        <w:t xml:space="preserve">. </w:t>
      </w:r>
      <w:r w:rsidRPr="00BA4D69">
        <w:rPr>
          <w:rFonts w:eastAsia="MS PGothic"/>
          <w:lang w:val="en-GB"/>
        </w:rPr>
        <w:t>This requires a precise sensitivity calibration, which can be achieved using an external heat source and/or known reference materials, as elaborated in section</w:t>
      </w:r>
      <w:r w:rsidR="00544A44">
        <w:rPr>
          <w:rFonts w:eastAsia="MS PGothic"/>
        </w:rPr>
        <w:t xml:space="preserve"> 2.2</w:t>
      </w:r>
      <w:r w:rsidR="00CC5CE9" w:rsidRPr="00CC5CE9">
        <w:rPr>
          <w:rFonts w:eastAsia="MS PGothic"/>
        </w:rPr>
        <w:t xml:space="preserve">. </w:t>
      </w:r>
      <w:r w:rsidRPr="00BA4D69">
        <w:rPr>
          <w:rFonts w:eastAsia="MS PGothic"/>
          <w:lang w:val="en-GB"/>
        </w:rPr>
        <w:t xml:space="preserve">To analyse the effects of detection limits and experimental design on results, a kinetic model derived from differential scanning calorimetry (DSC) was utilized to simulate the adiabatic behaviour of a 40 wt.% DCP in an ethylbenzene solution across various initial temperatures. This simulation aimed to identify the temperature at which the heat release during the onset of thermal decomposition reaches the sensitivity threshold of the </w:t>
      </w:r>
      <w:r>
        <w:rPr>
          <w:rFonts w:eastAsia="MS PGothic"/>
          <w:lang w:val="en-GB"/>
        </w:rPr>
        <w:t>adiabatic calorimeter</w:t>
      </w:r>
      <w:r w:rsidRPr="00BA4D69">
        <w:rPr>
          <w:rFonts w:eastAsia="MS PGothic"/>
          <w:lang w:val="en-GB"/>
        </w:rPr>
        <w:t>.</w:t>
      </w:r>
    </w:p>
    <w:p w14:paraId="595FB0A1" w14:textId="5FBBB99A" w:rsidR="00BA4D69" w:rsidRPr="00BA4D69" w:rsidRDefault="00BA4D69" w:rsidP="00BA4D69">
      <w:pPr>
        <w:pStyle w:val="BOAAbstractBody"/>
        <w:rPr>
          <w:rFonts w:eastAsia="MS PGothic"/>
          <w:lang w:val="en-GB"/>
        </w:rPr>
      </w:pPr>
      <w:r w:rsidRPr="00BA4D69">
        <w:rPr>
          <w:rFonts w:eastAsia="MS PGothic"/>
          <w:lang w:val="en-GB"/>
        </w:rPr>
        <w:t>Adiabatic experiments were subsequently performed at temperatures both below and above this detection limit. At 75 °C, which is beneath the detection threshold of 0.1 W/kg</w:t>
      </w:r>
      <w:r w:rsidR="00930801">
        <w:rPr>
          <w:rFonts w:eastAsia="MS PGothic"/>
        </w:rPr>
        <w:t xml:space="preserve"> (</w:t>
      </w:r>
      <w:r w:rsidR="00930801" w:rsidRPr="00930801">
        <w:rPr>
          <w:rFonts w:eastAsia="MS PGothic"/>
          <w:i/>
          <w:iCs/>
        </w:rPr>
        <w:t>cf.</w:t>
      </w:r>
      <w:r w:rsidR="00930801">
        <w:rPr>
          <w:rFonts w:eastAsia="MS PGothic"/>
        </w:rPr>
        <w:t xml:space="preserve"> </w:t>
      </w:r>
      <w:r w:rsidR="00930801">
        <w:rPr>
          <w:rFonts w:eastAsia="MS PGothic"/>
        </w:rPr>
        <w:fldChar w:fldCharType="begin"/>
      </w:r>
      <w:r w:rsidR="00930801">
        <w:rPr>
          <w:rFonts w:eastAsia="MS PGothic"/>
        </w:rPr>
        <w:instrText xml:space="preserve"> REF _Ref185323931 \h </w:instrText>
      </w:r>
      <w:r w:rsidR="00930801">
        <w:rPr>
          <w:rFonts w:eastAsia="MS PGothic"/>
        </w:rPr>
      </w:r>
      <w:r w:rsidR="00930801">
        <w:rPr>
          <w:rFonts w:eastAsia="MS PGothic"/>
        </w:rPr>
        <w:fldChar w:fldCharType="separate"/>
      </w:r>
      <w:r w:rsidR="00F06F88" w:rsidRPr="00CC5CE9">
        <w:t xml:space="preserve">Figure </w:t>
      </w:r>
      <w:r w:rsidR="00930801">
        <w:rPr>
          <w:rFonts w:eastAsia="MS PGothic"/>
        </w:rPr>
        <w:fldChar w:fldCharType="end"/>
      </w:r>
      <w:r w:rsidR="00930801">
        <w:rPr>
          <w:rFonts w:eastAsia="MS PGothic"/>
        </w:rPr>
        <w:t>, left)</w:t>
      </w:r>
      <w:r w:rsidR="00CC5CE9" w:rsidRPr="00CC5CE9">
        <w:rPr>
          <w:rFonts w:eastAsia="MS PGothic"/>
        </w:rPr>
        <w:t xml:space="preserve">, </w:t>
      </w:r>
      <w:r w:rsidRPr="00BA4D69">
        <w:rPr>
          <w:rFonts w:eastAsia="MS PGothic"/>
          <w:lang w:val="en-GB"/>
        </w:rPr>
        <w:t xml:space="preserve">the simulated initial heat generation rate was lower than this limit, suggesting that heat loss surpassed the heat generated by thermal decomposition (dQ/dt). Consequently, no </w:t>
      </w:r>
      <w:r w:rsidR="00223CF4">
        <w:rPr>
          <w:rFonts w:eastAsia="MS PGothic"/>
          <w:lang w:val="en-GB"/>
        </w:rPr>
        <w:t xml:space="preserve">measurable </w:t>
      </w:r>
      <w:r w:rsidRPr="00BA4D69">
        <w:rPr>
          <w:rFonts w:eastAsia="MS PGothic"/>
          <w:lang w:val="en-GB"/>
        </w:rPr>
        <w:t xml:space="preserve">temperature increase was observed, indicating a </w:t>
      </w:r>
      <w:r>
        <w:rPr>
          <w:rFonts w:eastAsia="MS PGothic"/>
          <w:lang w:val="en-GB"/>
        </w:rPr>
        <w:t>no</w:t>
      </w:r>
      <w:r w:rsidRPr="00BA4D69">
        <w:rPr>
          <w:rFonts w:eastAsia="MS PGothic"/>
          <w:lang w:val="en-GB"/>
        </w:rPr>
        <w:t xml:space="preserve"> exothermic reaction. The dotted curves in the results illustrate the temperature profiles that would have been observed if the calorimetric setup had a detection limit of 0 W/kg (pale green dotted curve) and if the phi-factor were 1 (dark green dotted curve), implying no heat loss to the reactor walls. These findings demonstrate that measuring a sample with </w:t>
      </w:r>
      <w:r>
        <w:rPr>
          <w:rFonts w:eastAsia="MS PGothic"/>
          <w:lang w:val="en-GB"/>
        </w:rPr>
        <w:t>unknown</w:t>
      </w:r>
      <w:r w:rsidRPr="00BA4D69">
        <w:rPr>
          <w:rFonts w:eastAsia="MS PGothic"/>
          <w:lang w:val="en-GB"/>
        </w:rPr>
        <w:t xml:space="preserve"> thermal kinetics may lead to an underestimation of its energetic potential, particularly critical when </w:t>
      </w:r>
      <w:r>
        <w:rPr>
          <w:rFonts w:eastAsia="MS PGothic"/>
          <w:lang w:val="en-GB"/>
        </w:rPr>
        <w:t>used for scale-up</w:t>
      </w:r>
      <w:r w:rsidRPr="00BA4D69">
        <w:rPr>
          <w:rFonts w:eastAsia="MS PGothic"/>
          <w:lang w:val="en-GB"/>
        </w:rPr>
        <w:t xml:space="preserve"> </w:t>
      </w:r>
      <w:r>
        <w:rPr>
          <w:rFonts w:eastAsia="MS PGothic"/>
          <w:lang w:val="en-GB"/>
        </w:rPr>
        <w:t>where</w:t>
      </w:r>
      <w:r w:rsidRPr="00BA4D69">
        <w:rPr>
          <w:rFonts w:eastAsia="MS PGothic"/>
          <w:lang w:val="en-GB"/>
        </w:rPr>
        <w:t xml:space="preserve"> low surface-to-volume ratios</w:t>
      </w:r>
      <w:r>
        <w:rPr>
          <w:rFonts w:eastAsia="MS PGothic"/>
          <w:lang w:val="en-GB"/>
        </w:rPr>
        <w:t xml:space="preserve"> of reactors</w:t>
      </w:r>
      <w:r w:rsidRPr="00BA4D69">
        <w:rPr>
          <w:rFonts w:eastAsia="MS PGothic"/>
          <w:lang w:val="en-GB"/>
        </w:rPr>
        <w:t xml:space="preserve"> approach </w:t>
      </w:r>
      <w:r>
        <w:rPr>
          <w:rFonts w:eastAsia="MS PGothic"/>
          <w:lang w:val="en-GB"/>
        </w:rPr>
        <w:t xml:space="preserve">almost </w:t>
      </w:r>
      <w:r w:rsidRPr="00BA4D69">
        <w:rPr>
          <w:rFonts w:eastAsia="MS PGothic"/>
          <w:lang w:val="en-GB"/>
        </w:rPr>
        <w:t>adiabatic conditions.</w:t>
      </w:r>
    </w:p>
    <w:p w14:paraId="1C6D37C3" w14:textId="3FCC3D29" w:rsidR="00BA4D69" w:rsidRDefault="00BA4D69" w:rsidP="00BA4D69">
      <w:pPr>
        <w:pStyle w:val="BOAAbstractBody"/>
        <w:rPr>
          <w:rFonts w:eastAsia="MS PGothic"/>
        </w:rPr>
      </w:pPr>
      <w:r w:rsidRPr="00BA4D69">
        <w:rPr>
          <w:rFonts w:eastAsia="MS PGothic"/>
          <w:lang w:val="en-GB"/>
        </w:rPr>
        <w:t xml:space="preserve">In the next phase, the aged sample was heated to 87 °C, a temperature predicted by the simulation to yield heat generation exceeding the detection limit </w:t>
      </w:r>
      <w:r w:rsidR="00A45607">
        <w:rPr>
          <w:rFonts w:eastAsia="MS PGothic"/>
        </w:rPr>
        <w:t>(</w:t>
      </w:r>
      <w:r w:rsidR="004D4153" w:rsidRPr="00930801">
        <w:rPr>
          <w:rFonts w:eastAsia="MS PGothic"/>
          <w:i/>
          <w:iCs/>
        </w:rPr>
        <w:t>cf.</w:t>
      </w:r>
      <w:r w:rsidR="004D4153">
        <w:rPr>
          <w:rFonts w:eastAsia="MS PGothic"/>
        </w:rPr>
        <w:t xml:space="preserve"> </w:t>
      </w:r>
      <w:r w:rsidR="004D4153">
        <w:rPr>
          <w:rFonts w:eastAsia="MS PGothic"/>
        </w:rPr>
        <w:fldChar w:fldCharType="begin"/>
      </w:r>
      <w:r w:rsidR="004D4153">
        <w:rPr>
          <w:rFonts w:eastAsia="MS PGothic"/>
        </w:rPr>
        <w:instrText xml:space="preserve"> REF _Ref185323931 \h </w:instrText>
      </w:r>
      <w:r w:rsidR="004D4153">
        <w:rPr>
          <w:rFonts w:eastAsia="MS PGothic"/>
        </w:rPr>
      </w:r>
      <w:r w:rsidR="004D4153">
        <w:rPr>
          <w:rFonts w:eastAsia="MS PGothic"/>
        </w:rPr>
        <w:fldChar w:fldCharType="separate"/>
      </w:r>
      <w:r w:rsidR="00F06F88" w:rsidRPr="00CC5CE9">
        <w:t xml:space="preserve">Figure </w:t>
      </w:r>
      <w:r w:rsidR="004D4153">
        <w:rPr>
          <w:rFonts w:eastAsia="MS PGothic"/>
        </w:rPr>
        <w:fldChar w:fldCharType="end"/>
      </w:r>
      <w:r w:rsidR="004D4153">
        <w:rPr>
          <w:rFonts w:eastAsia="MS PGothic"/>
        </w:rPr>
        <w:t>, right</w:t>
      </w:r>
      <w:r w:rsidR="00A45607">
        <w:rPr>
          <w:rFonts w:eastAsia="MS PGothic"/>
        </w:rPr>
        <w:t>)</w:t>
      </w:r>
      <w:r w:rsidR="00E1470A">
        <w:rPr>
          <w:rFonts w:eastAsia="MS PGothic"/>
        </w:rPr>
        <w:t>.</w:t>
      </w:r>
      <w:r w:rsidR="004D4153">
        <w:rPr>
          <w:rFonts w:eastAsia="MS PGothic"/>
        </w:rPr>
        <w:t xml:space="preserve"> </w:t>
      </w:r>
      <w:r w:rsidR="00223CF4">
        <w:rPr>
          <w:rFonts w:eastAsia="MS PGothic"/>
        </w:rPr>
        <w:t>Hence, t</w:t>
      </w:r>
      <w:r w:rsidRPr="00BA4D69">
        <w:rPr>
          <w:rFonts w:eastAsia="MS PGothic"/>
          <w:lang w:val="en-GB"/>
        </w:rPr>
        <w:t>he measurement pro</w:t>
      </w:r>
      <w:r w:rsidR="00223CF4">
        <w:rPr>
          <w:rFonts w:eastAsia="MS PGothic"/>
          <w:lang w:val="en-GB"/>
        </w:rPr>
        <w:t>gram</w:t>
      </w:r>
      <w:r w:rsidRPr="00BA4D69">
        <w:rPr>
          <w:rFonts w:eastAsia="MS PGothic"/>
          <w:lang w:val="en-GB"/>
        </w:rPr>
        <w:t xml:space="preserve"> follows the widely </w:t>
      </w:r>
      <w:r w:rsidR="00223CF4">
        <w:rPr>
          <w:rFonts w:eastAsia="MS PGothic"/>
          <w:lang w:val="en-GB"/>
        </w:rPr>
        <w:t>known</w:t>
      </w:r>
      <w:r w:rsidRPr="00BA4D69">
        <w:rPr>
          <w:rFonts w:eastAsia="MS PGothic"/>
          <w:lang w:val="en-GB"/>
        </w:rPr>
        <w:t xml:space="preserve"> heat-wait-search method.</w:t>
      </w:r>
      <w:r>
        <w:rPr>
          <w:rFonts w:eastAsia="MS PGothic"/>
          <w:lang w:val="en-GB"/>
        </w:rPr>
        <w:t xml:space="preserve"> </w:t>
      </w:r>
      <w:r w:rsidRPr="00BA4D69">
        <w:rPr>
          <w:rFonts w:eastAsia="MS PGothic"/>
          <w:lang w:val="en-GB"/>
        </w:rPr>
        <w:t xml:space="preserve">It is essential to note that the simulation did not </w:t>
      </w:r>
      <w:r>
        <w:rPr>
          <w:rFonts w:eastAsia="MS PGothic"/>
          <w:lang w:val="en-GB"/>
        </w:rPr>
        <w:t>comprise</w:t>
      </w:r>
      <w:r w:rsidRPr="00BA4D69">
        <w:rPr>
          <w:rFonts w:eastAsia="MS PGothic"/>
          <w:lang w:val="en-GB"/>
        </w:rPr>
        <w:t xml:space="preserve"> the thermal history of the sample, thus neglecting the energy losses </w:t>
      </w:r>
      <w:r>
        <w:rPr>
          <w:rFonts w:eastAsia="MS PGothic"/>
          <w:lang w:val="en-GB"/>
        </w:rPr>
        <w:t>due to previous</w:t>
      </w:r>
      <w:r w:rsidRPr="00BA4D69">
        <w:rPr>
          <w:rFonts w:eastAsia="MS PGothic"/>
          <w:lang w:val="en-GB"/>
        </w:rPr>
        <w:t xml:space="preserve"> storage at 75 °C</w:t>
      </w:r>
      <w:r w:rsidR="00223CF4">
        <w:rPr>
          <w:rFonts w:eastAsia="MS PGothic"/>
          <w:lang w:val="en-GB"/>
        </w:rPr>
        <w:t xml:space="preserve"> during heat-wait-search</w:t>
      </w:r>
      <w:r w:rsidRPr="00BA4D69">
        <w:rPr>
          <w:rFonts w:eastAsia="MS PGothic"/>
          <w:lang w:val="en-GB"/>
        </w:rPr>
        <w:t xml:space="preserve">. This results in artificially elevated temperature and energy generation curves in the simulated data. </w:t>
      </w:r>
      <w:r w:rsidR="00223CF4">
        <w:rPr>
          <w:rFonts w:eastAsia="MS PGothic"/>
          <w:lang w:val="en-GB"/>
        </w:rPr>
        <w:t xml:space="preserve">This </w:t>
      </w:r>
      <w:r w:rsidR="00F42DF7">
        <w:rPr>
          <w:rFonts w:eastAsia="MS PGothic"/>
          <w:lang w:val="en-GB"/>
        </w:rPr>
        <w:t>demonstrates</w:t>
      </w:r>
      <w:r w:rsidR="00223CF4">
        <w:rPr>
          <w:rFonts w:eastAsia="MS PGothic"/>
          <w:lang w:val="en-GB"/>
        </w:rPr>
        <w:t xml:space="preserve"> that</w:t>
      </w:r>
      <w:r w:rsidRPr="00BA4D69">
        <w:rPr>
          <w:rFonts w:eastAsia="MS PGothic"/>
          <w:lang w:val="en-GB"/>
        </w:rPr>
        <w:t xml:space="preserve"> the implications of thermal aging on samples, particularly regarding heat generation below detection limits, </w:t>
      </w:r>
      <w:r w:rsidR="00223CF4">
        <w:rPr>
          <w:rFonts w:eastAsia="MS PGothic"/>
          <w:lang w:val="en-GB"/>
        </w:rPr>
        <w:t>necessitates</w:t>
      </w:r>
      <w:r w:rsidRPr="00BA4D69">
        <w:rPr>
          <w:rFonts w:eastAsia="MS PGothic"/>
          <w:lang w:val="en-GB"/>
        </w:rPr>
        <w:t xml:space="preserve"> further investigation concerning </w:t>
      </w:r>
      <w:r w:rsidR="00223CF4">
        <w:rPr>
          <w:rFonts w:eastAsia="MS PGothic"/>
          <w:lang w:val="en-GB"/>
        </w:rPr>
        <w:t xml:space="preserve">their impact on </w:t>
      </w:r>
      <w:r w:rsidRPr="00BA4D69">
        <w:rPr>
          <w:rFonts w:eastAsia="MS PGothic"/>
          <w:lang w:val="en-GB"/>
        </w:rPr>
        <w:t>the final TMR</w:t>
      </w:r>
      <w:r w:rsidRPr="00BA4D69">
        <w:rPr>
          <w:rFonts w:eastAsia="MS PGothic"/>
          <w:vertAlign w:val="subscript"/>
          <w:lang w:val="en-GB"/>
        </w:rPr>
        <w:t>24</w:t>
      </w:r>
      <w:r w:rsidRPr="00BA4D69">
        <w:rPr>
          <w:rFonts w:eastAsia="MS PGothic"/>
          <w:lang w:val="en-GB"/>
        </w:rPr>
        <w:t>. To achieve this, the phi-corrected TMR</w:t>
      </w:r>
      <w:r w:rsidRPr="00BA4D69">
        <w:rPr>
          <w:rFonts w:eastAsia="MS PGothic"/>
          <w:vertAlign w:val="subscript"/>
          <w:lang w:val="en-GB"/>
        </w:rPr>
        <w:t>24</w:t>
      </w:r>
      <w:r w:rsidRPr="00BA4D69">
        <w:rPr>
          <w:rFonts w:eastAsia="MS PGothic"/>
          <w:lang w:val="en-GB"/>
        </w:rPr>
        <w:t xml:space="preserve"> was </w:t>
      </w:r>
      <w:r w:rsidR="00B321FC">
        <w:rPr>
          <w:rFonts w:eastAsia="MS PGothic"/>
          <w:lang w:val="en-GB"/>
        </w:rPr>
        <w:t>calculated</w:t>
      </w:r>
      <w:r w:rsidRPr="00BA4D69">
        <w:rPr>
          <w:rFonts w:eastAsia="MS PGothic"/>
          <w:lang w:val="en-GB"/>
        </w:rPr>
        <w:t xml:space="preserve"> using three methodologies.</w:t>
      </w:r>
    </w:p>
    <w:p w14:paraId="7EB1C796" w14:textId="141611F5" w:rsidR="00250780" w:rsidRPr="003F572A" w:rsidRDefault="00250780" w:rsidP="00250780">
      <w:pPr>
        <w:pStyle w:val="BOACaption"/>
      </w:pPr>
      <w:r w:rsidRPr="003F572A">
        <w:t xml:space="preserve">Table </w:t>
      </w:r>
      <w:r w:rsidR="00C64765">
        <w:t>2</w:t>
      </w:r>
      <w:r w:rsidRPr="003F572A">
        <w:t>: Formal Kinetics derived from DSC measurements of the 40 wt.% dicumyl peroxide (DCP) in ethylbenzene.</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C712AC" w:rsidRPr="00B57B36" w14:paraId="118823D2" w14:textId="0A8D5E01" w:rsidTr="00E36993">
        <w:trPr>
          <w:jc w:val="center"/>
        </w:trPr>
        <w:tc>
          <w:tcPr>
            <w:tcW w:w="1134" w:type="dxa"/>
            <w:tcBorders>
              <w:top w:val="single" w:sz="12" w:space="0" w:color="008000"/>
              <w:bottom w:val="single" w:sz="6" w:space="0" w:color="008000"/>
            </w:tcBorders>
            <w:shd w:val="clear" w:color="auto" w:fill="FFFFFF"/>
          </w:tcPr>
          <w:p w14:paraId="6D6D91FF" w14:textId="4E000F28" w:rsidR="00C712AC" w:rsidRPr="00B57B36" w:rsidRDefault="008F4027" w:rsidP="003B1FC5">
            <w:r>
              <w:t>Kinetic</w:t>
            </w:r>
          </w:p>
        </w:tc>
        <w:tc>
          <w:tcPr>
            <w:tcW w:w="1134" w:type="dxa"/>
            <w:tcBorders>
              <w:top w:val="single" w:sz="12" w:space="0" w:color="008000"/>
              <w:bottom w:val="single" w:sz="6" w:space="0" w:color="008000"/>
            </w:tcBorders>
            <w:shd w:val="clear" w:color="auto" w:fill="FFFFFF"/>
          </w:tcPr>
          <w:p w14:paraId="1F86C9B1" w14:textId="5E913BBD" w:rsidR="00C712AC" w:rsidRPr="00B57B36" w:rsidRDefault="00C712AC" w:rsidP="003B1FC5">
            <w:r>
              <w:t>DSC</w:t>
            </w:r>
          </w:p>
        </w:tc>
        <w:tc>
          <w:tcPr>
            <w:tcW w:w="1134" w:type="dxa"/>
            <w:tcBorders>
              <w:top w:val="single" w:sz="12" w:space="0" w:color="008000"/>
              <w:bottom w:val="single" w:sz="6" w:space="0" w:color="008000"/>
            </w:tcBorders>
            <w:shd w:val="clear" w:color="auto" w:fill="FFFFFF"/>
          </w:tcPr>
          <w:p w14:paraId="10F44E11" w14:textId="3FA5FC4A" w:rsidR="00C712AC" w:rsidRPr="00B57B36" w:rsidRDefault="00C712AC" w:rsidP="003B1FC5">
            <w:r>
              <w:t>Adiabatic Calorimetry</w:t>
            </w:r>
          </w:p>
        </w:tc>
        <w:tc>
          <w:tcPr>
            <w:tcW w:w="1134" w:type="dxa"/>
            <w:tcBorders>
              <w:top w:val="single" w:sz="12" w:space="0" w:color="008000"/>
              <w:bottom w:val="single" w:sz="6" w:space="0" w:color="008000"/>
            </w:tcBorders>
            <w:shd w:val="clear" w:color="auto" w:fill="FFFFFF"/>
          </w:tcPr>
          <w:p w14:paraId="07638F96" w14:textId="0A76777D" w:rsidR="00C712AC" w:rsidRPr="00B57B36" w:rsidRDefault="00C712AC" w:rsidP="003B1FC5">
            <w:pPr>
              <w:ind w:right="-1"/>
              <w:rPr>
                <w:rFonts w:cs="Arial"/>
                <w:szCs w:val="18"/>
              </w:rPr>
            </w:pPr>
            <w:r>
              <w:rPr>
                <w:rFonts w:cs="Arial"/>
                <w:szCs w:val="18"/>
              </w:rPr>
              <w:t>Method</w:t>
            </w:r>
          </w:p>
        </w:tc>
        <w:tc>
          <w:tcPr>
            <w:tcW w:w="1134" w:type="dxa"/>
            <w:tcBorders>
              <w:top w:val="single" w:sz="12" w:space="0" w:color="008000"/>
              <w:bottom w:val="single" w:sz="6" w:space="0" w:color="008000"/>
            </w:tcBorders>
            <w:shd w:val="clear" w:color="auto" w:fill="FFFFFF"/>
          </w:tcPr>
          <w:p w14:paraId="6C5C0EBF" w14:textId="1E5C150A" w:rsidR="00C712AC" w:rsidRDefault="00C712AC" w:rsidP="003B1FC5">
            <w:pPr>
              <w:ind w:right="-1"/>
              <w:rPr>
                <w:rFonts w:cs="Arial"/>
                <w:szCs w:val="18"/>
              </w:rPr>
            </w:pPr>
            <w:r>
              <w:rPr>
                <w:rFonts w:cs="Arial"/>
                <w:szCs w:val="18"/>
              </w:rPr>
              <w:t>TMR</w:t>
            </w:r>
            <w:r w:rsidRPr="00C712AC">
              <w:rPr>
                <w:rFonts w:cs="Arial"/>
                <w:szCs w:val="18"/>
                <w:vertAlign w:val="subscript"/>
              </w:rPr>
              <w:t>24</w:t>
            </w:r>
          </w:p>
        </w:tc>
      </w:tr>
      <w:tr w:rsidR="00C712AC" w:rsidRPr="00B57B36" w14:paraId="3056890B" w14:textId="56636B05" w:rsidTr="00E36993">
        <w:trPr>
          <w:jc w:val="center"/>
        </w:trPr>
        <w:tc>
          <w:tcPr>
            <w:tcW w:w="1134" w:type="dxa"/>
            <w:shd w:val="clear" w:color="auto" w:fill="FFFFFF"/>
          </w:tcPr>
          <w:p w14:paraId="2ED2D6DA" w14:textId="03652353" w:rsidR="00C712AC" w:rsidRPr="00B57B36" w:rsidRDefault="00C712AC" w:rsidP="003B1FC5">
            <w:r>
              <w:t>Kinetic 1</w:t>
            </w:r>
          </w:p>
        </w:tc>
        <w:tc>
          <w:tcPr>
            <w:tcW w:w="1134" w:type="dxa"/>
            <w:shd w:val="clear" w:color="auto" w:fill="FFFFFF"/>
          </w:tcPr>
          <w:p w14:paraId="69893F70" w14:textId="45072BA7" w:rsidR="00C712AC" w:rsidRPr="00B57B36" w:rsidRDefault="0057064F" w:rsidP="003B1FC5">
            <w:r>
              <w:t>X</w:t>
            </w:r>
          </w:p>
        </w:tc>
        <w:tc>
          <w:tcPr>
            <w:tcW w:w="1134" w:type="dxa"/>
            <w:shd w:val="clear" w:color="auto" w:fill="FFFFFF"/>
          </w:tcPr>
          <w:p w14:paraId="51538826" w14:textId="2A5CE612" w:rsidR="00C712AC" w:rsidRPr="00B57B36" w:rsidRDefault="00C712AC" w:rsidP="003B1FC5"/>
        </w:tc>
        <w:tc>
          <w:tcPr>
            <w:tcW w:w="1134" w:type="dxa"/>
            <w:shd w:val="clear" w:color="auto" w:fill="FFFFFF"/>
          </w:tcPr>
          <w:p w14:paraId="0C9AF931" w14:textId="0C18DDD2" w:rsidR="00C712AC" w:rsidRPr="00B57B36" w:rsidRDefault="0057064F" w:rsidP="003B1FC5">
            <w:pPr>
              <w:ind w:right="-1"/>
              <w:rPr>
                <w:rFonts w:cs="Arial"/>
                <w:szCs w:val="18"/>
              </w:rPr>
            </w:pPr>
            <w:r>
              <w:rPr>
                <w:rFonts w:cs="Arial"/>
                <w:szCs w:val="18"/>
              </w:rPr>
              <w:t>Dynamic</w:t>
            </w:r>
          </w:p>
        </w:tc>
        <w:tc>
          <w:tcPr>
            <w:tcW w:w="1134" w:type="dxa"/>
            <w:shd w:val="clear" w:color="auto" w:fill="FFFFFF"/>
          </w:tcPr>
          <w:p w14:paraId="3F0D828C" w14:textId="21D0FCD3" w:rsidR="00C712AC" w:rsidRPr="00B57B36" w:rsidRDefault="0057064F" w:rsidP="003B1FC5">
            <w:pPr>
              <w:ind w:right="-1"/>
              <w:rPr>
                <w:rFonts w:cs="Arial"/>
                <w:szCs w:val="18"/>
              </w:rPr>
            </w:pPr>
            <w:r>
              <w:rPr>
                <w:rFonts w:cs="Arial"/>
                <w:szCs w:val="18"/>
              </w:rPr>
              <w:t>86,1 °C</w:t>
            </w:r>
          </w:p>
        </w:tc>
      </w:tr>
      <w:tr w:rsidR="0057064F" w:rsidRPr="00B57B36" w14:paraId="26278552" w14:textId="77777777" w:rsidTr="00E36993">
        <w:trPr>
          <w:jc w:val="center"/>
        </w:trPr>
        <w:tc>
          <w:tcPr>
            <w:tcW w:w="1134" w:type="dxa"/>
            <w:shd w:val="clear" w:color="auto" w:fill="FFFFFF"/>
          </w:tcPr>
          <w:p w14:paraId="57B886C8" w14:textId="77791886" w:rsidR="0057064F" w:rsidRDefault="0057064F" w:rsidP="003B1FC5">
            <w:r>
              <w:t>Kinetic 2</w:t>
            </w:r>
          </w:p>
        </w:tc>
        <w:tc>
          <w:tcPr>
            <w:tcW w:w="1134" w:type="dxa"/>
            <w:shd w:val="clear" w:color="auto" w:fill="FFFFFF"/>
          </w:tcPr>
          <w:p w14:paraId="5D178D15" w14:textId="7BAEB760" w:rsidR="0057064F" w:rsidRDefault="0057064F" w:rsidP="003B1FC5">
            <w:r>
              <w:t>X</w:t>
            </w:r>
          </w:p>
        </w:tc>
        <w:tc>
          <w:tcPr>
            <w:tcW w:w="1134" w:type="dxa"/>
            <w:shd w:val="clear" w:color="auto" w:fill="FFFFFF"/>
          </w:tcPr>
          <w:p w14:paraId="6B8C4414" w14:textId="78BDD0E3" w:rsidR="0057064F" w:rsidRPr="00B57B36" w:rsidRDefault="0057064F" w:rsidP="003B1FC5">
            <w:r>
              <w:t>X</w:t>
            </w:r>
          </w:p>
        </w:tc>
        <w:tc>
          <w:tcPr>
            <w:tcW w:w="1134" w:type="dxa"/>
            <w:shd w:val="clear" w:color="auto" w:fill="FFFFFF"/>
          </w:tcPr>
          <w:p w14:paraId="7F1CB137" w14:textId="3C115878" w:rsidR="0057064F" w:rsidRDefault="00BF4E38" w:rsidP="003B1FC5">
            <w:pPr>
              <w:ind w:right="-1"/>
              <w:rPr>
                <w:rFonts w:cs="Arial"/>
                <w:szCs w:val="18"/>
              </w:rPr>
            </w:pPr>
            <w:r>
              <w:rPr>
                <w:rFonts w:cs="Arial"/>
                <w:szCs w:val="18"/>
              </w:rPr>
              <w:t>One Step</w:t>
            </w:r>
          </w:p>
        </w:tc>
        <w:tc>
          <w:tcPr>
            <w:tcW w:w="1134" w:type="dxa"/>
            <w:shd w:val="clear" w:color="auto" w:fill="FFFFFF"/>
          </w:tcPr>
          <w:p w14:paraId="0AC79839" w14:textId="2758D0AD" w:rsidR="0057064F" w:rsidRDefault="00BF4E38" w:rsidP="003B1FC5">
            <w:pPr>
              <w:ind w:right="-1"/>
              <w:rPr>
                <w:rFonts w:cs="Arial"/>
                <w:szCs w:val="18"/>
              </w:rPr>
            </w:pPr>
            <w:r>
              <w:rPr>
                <w:rFonts w:cs="Arial"/>
                <w:szCs w:val="18"/>
              </w:rPr>
              <w:t>86,3 °C</w:t>
            </w:r>
          </w:p>
        </w:tc>
      </w:tr>
      <w:tr w:rsidR="00BF4E38" w:rsidRPr="00B57B36" w14:paraId="28DC9E79" w14:textId="77777777" w:rsidTr="00E36993">
        <w:trPr>
          <w:jc w:val="center"/>
        </w:trPr>
        <w:tc>
          <w:tcPr>
            <w:tcW w:w="1134" w:type="dxa"/>
            <w:shd w:val="clear" w:color="auto" w:fill="FFFFFF"/>
          </w:tcPr>
          <w:p w14:paraId="5283F05D" w14:textId="0A93A33D" w:rsidR="00BF4E38" w:rsidRDefault="00BF4E38" w:rsidP="003B1FC5">
            <w:r>
              <w:t xml:space="preserve">Kinetic 3 </w:t>
            </w:r>
          </w:p>
        </w:tc>
        <w:tc>
          <w:tcPr>
            <w:tcW w:w="1134" w:type="dxa"/>
            <w:shd w:val="clear" w:color="auto" w:fill="FFFFFF"/>
          </w:tcPr>
          <w:p w14:paraId="2AA8F189" w14:textId="5CEA1D65" w:rsidR="00BF4E38" w:rsidRDefault="00BF4E38" w:rsidP="003B1FC5">
            <w:r>
              <w:t>X</w:t>
            </w:r>
          </w:p>
        </w:tc>
        <w:tc>
          <w:tcPr>
            <w:tcW w:w="1134" w:type="dxa"/>
            <w:shd w:val="clear" w:color="auto" w:fill="FFFFFF"/>
          </w:tcPr>
          <w:p w14:paraId="2E46CEC4" w14:textId="1C769B69" w:rsidR="00BF4E38" w:rsidRDefault="00BF4E38" w:rsidP="003B1FC5">
            <w:r>
              <w:t>X</w:t>
            </w:r>
          </w:p>
        </w:tc>
        <w:tc>
          <w:tcPr>
            <w:tcW w:w="1134" w:type="dxa"/>
            <w:shd w:val="clear" w:color="auto" w:fill="FFFFFF"/>
          </w:tcPr>
          <w:p w14:paraId="6D76FF4E" w14:textId="62B23F58" w:rsidR="00BF4E38" w:rsidRDefault="00BF4E38" w:rsidP="003B1FC5">
            <w:pPr>
              <w:ind w:right="-1"/>
              <w:rPr>
                <w:rFonts w:cs="Arial"/>
                <w:szCs w:val="18"/>
              </w:rPr>
            </w:pPr>
            <w:r>
              <w:rPr>
                <w:rFonts w:cs="Arial"/>
                <w:szCs w:val="18"/>
              </w:rPr>
              <w:t>H</w:t>
            </w:r>
            <w:r w:rsidR="00AB6F6F">
              <w:rPr>
                <w:rFonts w:cs="Arial"/>
                <w:szCs w:val="18"/>
              </w:rPr>
              <w:t>WS</w:t>
            </w:r>
          </w:p>
        </w:tc>
        <w:tc>
          <w:tcPr>
            <w:tcW w:w="1134" w:type="dxa"/>
            <w:shd w:val="clear" w:color="auto" w:fill="FFFFFF"/>
          </w:tcPr>
          <w:p w14:paraId="092D45D4" w14:textId="1CB97CD0" w:rsidR="00BF4E38" w:rsidRDefault="00AB6F6F" w:rsidP="003B1FC5">
            <w:pPr>
              <w:ind w:right="-1"/>
              <w:rPr>
                <w:rFonts w:cs="Arial"/>
                <w:szCs w:val="18"/>
              </w:rPr>
            </w:pPr>
            <w:r>
              <w:rPr>
                <w:rFonts w:cs="Arial"/>
                <w:szCs w:val="18"/>
              </w:rPr>
              <w:t>88,6 °C</w:t>
            </w:r>
          </w:p>
        </w:tc>
      </w:tr>
    </w:tbl>
    <w:p w14:paraId="080C72FC" w14:textId="77777777" w:rsidR="00250780" w:rsidRDefault="00250780" w:rsidP="00CC5CE9">
      <w:pPr>
        <w:pStyle w:val="BOAAbstractBody"/>
        <w:rPr>
          <w:rFonts w:eastAsia="MS PGothic"/>
        </w:rPr>
      </w:pPr>
    </w:p>
    <w:p w14:paraId="08D4622D" w14:textId="19531D2C" w:rsidR="00250780" w:rsidRDefault="00485F45" w:rsidP="00CC5CE9">
      <w:pPr>
        <w:pStyle w:val="BOAAbstractBody"/>
        <w:rPr>
          <w:rFonts w:eastAsia="MS PGothic"/>
        </w:rPr>
      </w:pPr>
      <w:r>
        <w:rPr>
          <w:rFonts w:eastAsia="MS PGothic"/>
        </w:rPr>
        <w:t>Kinetic 1 is derived from data generated on a well</w:t>
      </w:r>
      <w:r w:rsidR="001349DF">
        <w:rPr>
          <w:rFonts w:eastAsia="MS PGothic"/>
        </w:rPr>
        <w:t xml:space="preserve"> calibrated DSC device including all </w:t>
      </w:r>
      <w:r w:rsidR="00FB7058">
        <w:rPr>
          <w:rFonts w:eastAsia="MS PGothic"/>
        </w:rPr>
        <w:t>afore</w:t>
      </w:r>
      <w:r w:rsidR="001349DF">
        <w:rPr>
          <w:rFonts w:eastAsia="MS PGothic"/>
        </w:rPr>
        <w:t xml:space="preserve">mentioned </w:t>
      </w:r>
      <w:r w:rsidR="00777F1C">
        <w:rPr>
          <w:rFonts w:eastAsia="MS PGothic"/>
        </w:rPr>
        <w:t>corrections</w:t>
      </w:r>
      <w:r w:rsidR="00EE3FAA">
        <w:rPr>
          <w:rFonts w:eastAsia="MS PGothic"/>
        </w:rPr>
        <w:t xml:space="preserve"> (</w:t>
      </w:r>
      <w:r w:rsidR="00EE3FAA" w:rsidRPr="00EE3FAA">
        <w:rPr>
          <w:rFonts w:eastAsia="MS PGothic"/>
          <w:i/>
          <w:iCs/>
        </w:rPr>
        <w:t>cf.</w:t>
      </w:r>
      <w:r w:rsidR="00EE3FAA">
        <w:rPr>
          <w:rFonts w:eastAsia="MS PGothic"/>
        </w:rPr>
        <w:t xml:space="preserve"> </w:t>
      </w:r>
      <w:r w:rsidR="00EE3FAA">
        <w:rPr>
          <w:rFonts w:eastAsia="MS PGothic"/>
        </w:rPr>
        <w:fldChar w:fldCharType="begin"/>
      </w:r>
      <w:r w:rsidR="00EE3FAA">
        <w:rPr>
          <w:rFonts w:eastAsia="MS PGothic"/>
        </w:rPr>
        <w:instrText xml:space="preserve"> REF _Ref187395335 \h </w:instrText>
      </w:r>
      <w:r w:rsidR="00EE3FAA">
        <w:rPr>
          <w:rFonts w:eastAsia="MS PGothic"/>
        </w:rPr>
      </w:r>
      <w:r w:rsidR="00EE3FAA">
        <w:rPr>
          <w:rFonts w:eastAsia="MS PGothic"/>
        </w:rPr>
        <w:fldChar w:fldCharType="separate"/>
      </w:r>
      <w:r w:rsidR="00F06F88" w:rsidRPr="003F572A">
        <w:t xml:space="preserve">Figure </w:t>
      </w:r>
      <w:r w:rsidR="00F06F88">
        <w:rPr>
          <w:noProof/>
        </w:rPr>
        <w:t>1</w:t>
      </w:r>
      <w:r w:rsidR="00EE3FAA">
        <w:rPr>
          <w:rFonts w:eastAsia="MS PGothic"/>
        </w:rPr>
        <w:fldChar w:fldCharType="end"/>
      </w:r>
      <w:r w:rsidR="00EE3FAA">
        <w:rPr>
          <w:rFonts w:eastAsia="MS PGothic"/>
        </w:rPr>
        <w:t>)</w:t>
      </w:r>
      <w:r w:rsidR="00777F1C">
        <w:rPr>
          <w:rFonts w:eastAsia="MS PGothic"/>
        </w:rPr>
        <w:t>.</w:t>
      </w:r>
      <w:r w:rsidR="008F4027">
        <w:rPr>
          <w:rFonts w:eastAsia="MS PGothic"/>
        </w:rPr>
        <w:t xml:space="preserve"> Kinetic 2 is </w:t>
      </w:r>
      <w:r w:rsidR="00B75B9C">
        <w:rPr>
          <w:rFonts w:eastAsia="MS PGothic"/>
        </w:rPr>
        <w:t xml:space="preserve">based on the DSC data from Kinetic 1 and further supplemented by </w:t>
      </w:r>
      <w:r w:rsidR="00215FA9">
        <w:rPr>
          <w:rFonts w:eastAsia="MS PGothic"/>
        </w:rPr>
        <w:t>an adiabatic experiment that was directly started with a fresh sample above the detection limit of the setup</w:t>
      </w:r>
      <w:r w:rsidR="0013032C">
        <w:rPr>
          <w:rFonts w:eastAsia="MS PGothic"/>
        </w:rPr>
        <w:t xml:space="preserve"> (not shown)</w:t>
      </w:r>
      <w:r w:rsidR="00215FA9">
        <w:rPr>
          <w:rFonts w:eastAsia="MS PGothic"/>
        </w:rPr>
        <w:t xml:space="preserve">. </w:t>
      </w:r>
      <w:r w:rsidR="00215FA9">
        <w:t xml:space="preserve">Kinetic 3 is based on the DSC data from Kinetic 1 </w:t>
      </w:r>
      <w:r w:rsidR="0013032C">
        <w:t xml:space="preserve">and further supplemented with the adiabatic experiment from the heat-wait search experiment shown in </w:t>
      </w:r>
      <w:r w:rsidR="0013032C">
        <w:fldChar w:fldCharType="begin"/>
      </w:r>
      <w:r w:rsidR="0013032C">
        <w:instrText xml:space="preserve"> REF _Ref185323931 \h </w:instrText>
      </w:r>
      <w:r w:rsidR="0013032C">
        <w:fldChar w:fldCharType="separate"/>
      </w:r>
      <w:r w:rsidR="00F06F88" w:rsidRPr="00CC5CE9">
        <w:t xml:space="preserve">Figure </w:t>
      </w:r>
      <w:r w:rsidR="0013032C">
        <w:fldChar w:fldCharType="end"/>
      </w:r>
      <w:r w:rsidR="0013032C">
        <w:t>.</w:t>
      </w:r>
      <w:r w:rsidR="00245FF9">
        <w:t xml:space="preserve"> The results are summarized in Table 2. It is shown that </w:t>
      </w:r>
      <w:r w:rsidR="001D2BA0">
        <w:t xml:space="preserve">using the data from an adiabatic calorimetry with thermal history below the detection limit of the setup, </w:t>
      </w:r>
      <w:r w:rsidR="001D2BA0" w:rsidRPr="000A6504">
        <w:rPr>
          <w:i/>
          <w:iCs/>
        </w:rPr>
        <w:t>e.g.</w:t>
      </w:r>
      <w:r w:rsidR="001D2BA0">
        <w:t xml:space="preserve"> due to heat-wait search</w:t>
      </w:r>
      <w:r w:rsidR="002B22BA">
        <w:t xml:space="preserve"> method</w:t>
      </w:r>
      <w:r w:rsidR="000917C6">
        <w:t xml:space="preserve"> or due to long heat up phases</w:t>
      </w:r>
      <w:r w:rsidR="002B22BA">
        <w:t xml:space="preserve">, </w:t>
      </w:r>
      <w:r w:rsidR="000A6504">
        <w:t xml:space="preserve">might </w:t>
      </w:r>
      <w:r w:rsidR="002B22BA">
        <w:t>result in a TMR</w:t>
      </w:r>
      <w:r w:rsidR="000A6504" w:rsidRPr="000A6504">
        <w:rPr>
          <w:vertAlign w:val="subscript"/>
        </w:rPr>
        <w:t>24</w:t>
      </w:r>
      <w:r w:rsidR="002B22BA">
        <w:t xml:space="preserve"> that is </w:t>
      </w:r>
      <w:r w:rsidR="000917C6">
        <w:t>not</w:t>
      </w:r>
      <w:r w:rsidR="002B22BA">
        <w:t xml:space="preserve"> conservative.</w:t>
      </w:r>
    </w:p>
    <w:p w14:paraId="2D6B0BD5" w14:textId="77777777" w:rsidR="00250780" w:rsidRDefault="00250780" w:rsidP="00CC5CE9">
      <w:pPr>
        <w:pStyle w:val="BOAAbstractBody"/>
        <w:rPr>
          <w:rFonts w:eastAsia="MS PGothic"/>
        </w:rPr>
      </w:pPr>
    </w:p>
    <w:p w14:paraId="10704D06" w14:textId="77777777" w:rsidR="00CC5CE9" w:rsidRPr="00CC5CE9" w:rsidRDefault="00CC5CE9" w:rsidP="00F879FE">
      <w:pPr>
        <w:pStyle w:val="BOAAbstractBody"/>
        <w:rPr>
          <w:rFonts w:eastAsia="MS PGothic"/>
        </w:rPr>
      </w:pPr>
    </w:p>
    <w:p w14:paraId="3A7BC548" w14:textId="3263C811" w:rsidR="00707A3D" w:rsidRDefault="005C1A57" w:rsidP="00707A3D">
      <w:pPr>
        <w:pStyle w:val="BOAHeading"/>
        <w:rPr>
          <w:lang w:eastAsia="ko-KR"/>
        </w:rPr>
      </w:pPr>
      <w:r w:rsidRPr="00591C6C">
        <w:lastRenderedPageBreak/>
        <w:t>4. Conclusion</w:t>
      </w:r>
      <w:r w:rsidRPr="00591C6C">
        <w:rPr>
          <w:lang w:eastAsia="ko-KR"/>
        </w:rPr>
        <w:t>s</w:t>
      </w:r>
    </w:p>
    <w:p w14:paraId="6AC06AF4" w14:textId="4854AC55" w:rsidR="00707A3D" w:rsidRPr="00707A3D" w:rsidRDefault="00707A3D" w:rsidP="00707A3D">
      <w:pPr>
        <w:pStyle w:val="BOAAbstractBody"/>
        <w:rPr>
          <w:rFonts w:eastAsia="MS PGothic"/>
          <w:lang w:val="en-GB"/>
        </w:rPr>
      </w:pPr>
      <w:r w:rsidRPr="00707A3D">
        <w:rPr>
          <w:rFonts w:eastAsia="MS PGothic"/>
          <w:lang w:val="en-GB"/>
        </w:rPr>
        <w:t xml:space="preserve">In conclusion, precise characterization of calorimetric measurement devices is </w:t>
      </w:r>
      <w:r w:rsidR="00223CF4">
        <w:rPr>
          <w:rFonts w:eastAsia="MS PGothic"/>
          <w:lang w:val="en-GB"/>
        </w:rPr>
        <w:t>essential</w:t>
      </w:r>
      <w:r w:rsidRPr="00707A3D">
        <w:rPr>
          <w:rFonts w:eastAsia="MS PGothic"/>
          <w:lang w:val="en-GB"/>
        </w:rPr>
        <w:t xml:space="preserve"> for accurately determining safety-relevant characteristics in thermal process safety. The study underscores that uncorrected data from poorly calibrated instruments</w:t>
      </w:r>
      <w:r w:rsidR="00322313">
        <w:rPr>
          <w:rFonts w:eastAsia="MS PGothic"/>
          <w:lang w:val="en-GB"/>
        </w:rPr>
        <w:t xml:space="preserve"> (DSC)</w:t>
      </w:r>
      <w:r w:rsidR="00750808">
        <w:rPr>
          <w:rFonts w:eastAsia="MS PGothic"/>
          <w:lang w:val="en-GB"/>
        </w:rPr>
        <w:t xml:space="preserve"> or</w:t>
      </w:r>
      <w:r w:rsidR="008E46B9">
        <w:rPr>
          <w:rFonts w:eastAsia="MS PGothic"/>
          <w:lang w:val="en-GB"/>
        </w:rPr>
        <w:t xml:space="preserve"> prolonged measuring times close to the </w:t>
      </w:r>
      <w:r w:rsidR="00161FE7">
        <w:rPr>
          <w:rFonts w:eastAsia="MS PGothic"/>
          <w:lang w:val="en-GB"/>
        </w:rPr>
        <w:t>detection limit</w:t>
      </w:r>
      <w:r w:rsidR="00322313">
        <w:rPr>
          <w:rFonts w:eastAsia="MS PGothic"/>
          <w:lang w:val="en-GB"/>
        </w:rPr>
        <w:t xml:space="preserve"> (adiabatic calorimetry)</w:t>
      </w:r>
      <w:r w:rsidRPr="00707A3D">
        <w:rPr>
          <w:rFonts w:eastAsia="MS PGothic"/>
          <w:lang w:val="en-GB"/>
        </w:rPr>
        <w:t xml:space="preserve"> can lead to significant </w:t>
      </w:r>
      <w:r w:rsidR="00161FE7">
        <w:rPr>
          <w:rFonts w:eastAsia="MS PGothic"/>
          <w:lang w:val="en-GB"/>
        </w:rPr>
        <w:t>variation</w:t>
      </w:r>
      <w:r w:rsidRPr="00707A3D">
        <w:rPr>
          <w:rFonts w:eastAsia="MS PGothic"/>
          <w:lang w:val="en-GB"/>
        </w:rPr>
        <w:t xml:space="preserve"> in TMR</w:t>
      </w:r>
      <w:r w:rsidRPr="00707A3D">
        <w:rPr>
          <w:rFonts w:eastAsia="MS PGothic"/>
          <w:vertAlign w:val="subscript"/>
          <w:lang w:val="en-GB"/>
        </w:rPr>
        <w:t>24</w:t>
      </w:r>
      <w:r w:rsidRPr="00707A3D">
        <w:rPr>
          <w:rFonts w:eastAsia="MS PGothic"/>
          <w:lang w:val="en-GB"/>
        </w:rPr>
        <w:t xml:space="preserve">, </w:t>
      </w:r>
      <w:r w:rsidR="001801B2">
        <w:rPr>
          <w:rFonts w:eastAsia="MS PGothic"/>
          <w:lang w:val="en-GB"/>
        </w:rPr>
        <w:t xml:space="preserve">resulting </w:t>
      </w:r>
      <w:r w:rsidR="000019D0">
        <w:rPr>
          <w:rFonts w:eastAsia="MS PGothic"/>
          <w:lang w:val="en-GB"/>
        </w:rPr>
        <w:t>in overly</w:t>
      </w:r>
      <w:r w:rsidR="001801B2">
        <w:rPr>
          <w:rFonts w:eastAsia="MS PGothic"/>
          <w:lang w:val="en-GB"/>
        </w:rPr>
        <w:t xml:space="preserve"> conservative and uneconomic </w:t>
      </w:r>
      <w:r w:rsidR="000019D0">
        <w:rPr>
          <w:rFonts w:eastAsia="MS PGothic"/>
          <w:lang w:val="en-GB"/>
        </w:rPr>
        <w:t>or</w:t>
      </w:r>
      <w:r w:rsidR="00661E0D">
        <w:rPr>
          <w:rFonts w:eastAsia="MS PGothic"/>
          <w:lang w:val="en-GB"/>
        </w:rPr>
        <w:t xml:space="preserve"> </w:t>
      </w:r>
      <w:r w:rsidR="0074783A">
        <w:rPr>
          <w:rFonts w:eastAsia="MS PGothic"/>
          <w:lang w:val="en-GB"/>
        </w:rPr>
        <w:t xml:space="preserve">even </w:t>
      </w:r>
      <w:r w:rsidR="00661E0D">
        <w:rPr>
          <w:rFonts w:eastAsia="MS PGothic"/>
          <w:lang w:val="en-GB"/>
        </w:rPr>
        <w:t xml:space="preserve">underestimated </w:t>
      </w:r>
      <w:r w:rsidR="00A30DCB">
        <w:rPr>
          <w:rFonts w:eastAsia="MS PGothic"/>
          <w:lang w:val="en-GB"/>
        </w:rPr>
        <w:t>safety margins</w:t>
      </w:r>
      <w:r w:rsidR="00661E0D">
        <w:rPr>
          <w:rFonts w:eastAsia="MS PGothic"/>
          <w:lang w:val="en-GB"/>
        </w:rPr>
        <w:t>.</w:t>
      </w:r>
      <w:r w:rsidR="0074783A">
        <w:rPr>
          <w:rFonts w:eastAsia="MS PGothic"/>
          <w:lang w:val="en-GB"/>
        </w:rPr>
        <w:t xml:space="preserve"> </w:t>
      </w:r>
      <w:r w:rsidRPr="00707A3D">
        <w:rPr>
          <w:rFonts w:eastAsia="MS PGothic"/>
          <w:lang w:val="en-GB"/>
        </w:rPr>
        <w:t>Integrating kinetic modelling supports accurate and cost-efficient experimental planning while simultaneously reducing experimental uncertainties. This study demonstrates that a careful attention to apparatus effects and data processing might significantly influence the quality of derived safety characteristics. Further</w:t>
      </w:r>
      <w:r w:rsidR="00FB7058">
        <w:rPr>
          <w:rFonts w:eastAsia="MS PGothic"/>
          <w:lang w:val="en-GB"/>
        </w:rPr>
        <w:t>more</w:t>
      </w:r>
      <w:r w:rsidRPr="00707A3D">
        <w:rPr>
          <w:rFonts w:eastAsia="MS PGothic"/>
          <w:lang w:val="en-GB"/>
        </w:rPr>
        <w:t xml:space="preserve">, an optimization and </w:t>
      </w:r>
      <w:r w:rsidR="00E26898">
        <w:rPr>
          <w:rFonts w:eastAsia="MS PGothic"/>
          <w:lang w:val="en-GB"/>
        </w:rPr>
        <w:t>minimization</w:t>
      </w:r>
      <w:r w:rsidRPr="00707A3D">
        <w:rPr>
          <w:rFonts w:eastAsia="MS PGothic"/>
          <w:lang w:val="en-GB"/>
        </w:rPr>
        <w:t xml:space="preserve"> of such uncertainties facilitate</w:t>
      </w:r>
      <w:r w:rsidR="00FB7058">
        <w:rPr>
          <w:rFonts w:eastAsia="MS PGothic"/>
          <w:lang w:val="en-GB"/>
        </w:rPr>
        <w:t>s</w:t>
      </w:r>
      <w:r w:rsidRPr="00707A3D">
        <w:rPr>
          <w:rFonts w:eastAsia="MS PGothic"/>
          <w:lang w:val="en-GB"/>
        </w:rPr>
        <w:t xml:space="preserve"> the reduction of conservative safety margins and provide</w:t>
      </w:r>
      <w:r w:rsidR="00FB7058">
        <w:rPr>
          <w:rFonts w:eastAsia="MS PGothic"/>
          <w:lang w:val="en-GB"/>
        </w:rPr>
        <w:t>s</w:t>
      </w:r>
      <w:r w:rsidRPr="00707A3D">
        <w:rPr>
          <w:rFonts w:eastAsia="MS PGothic"/>
          <w:lang w:val="en-GB"/>
        </w:rPr>
        <w:t xml:space="preserve"> economic benefits in the operation of exothermic chemical processes while ensuring consistent safety levels.</w:t>
      </w:r>
    </w:p>
    <w:p w14:paraId="744932CA" w14:textId="77777777" w:rsidR="00707A3D" w:rsidRPr="00707A3D" w:rsidRDefault="00707A3D" w:rsidP="00F879FE">
      <w:pPr>
        <w:pStyle w:val="BOAAbstractBody"/>
        <w:rPr>
          <w:rFonts w:eastAsia="MS PGothic"/>
          <w:lang w:val="en-GB"/>
        </w:rPr>
      </w:pPr>
    </w:p>
    <w:p w14:paraId="11D31778" w14:textId="77777777" w:rsidR="005C1A57" w:rsidRPr="004C2084" w:rsidRDefault="005C1A57" w:rsidP="00302C82">
      <w:pPr>
        <w:pStyle w:val="BOAReference"/>
        <w:rPr>
          <w:rFonts w:eastAsia="SimSun"/>
          <w:lang w:val="fr-FR" w:eastAsia="zh-CN"/>
        </w:rPr>
      </w:pPr>
      <w:r w:rsidRPr="004C2084">
        <w:rPr>
          <w:rFonts w:eastAsia="MS PGothic"/>
          <w:lang w:val="fr-FR"/>
        </w:rPr>
        <w:t xml:space="preserve">References </w:t>
      </w:r>
    </w:p>
    <w:p w14:paraId="32C939A6" w14:textId="6CB48CBB" w:rsidR="00C55649" w:rsidRDefault="00C55649" w:rsidP="00C55649">
      <w:pPr>
        <w:pStyle w:val="BOAReference-text"/>
        <w:numPr>
          <w:ilvl w:val="0"/>
          <w:numId w:val="23"/>
        </w:numPr>
        <w:rPr>
          <w:lang w:val="de-DE"/>
        </w:rPr>
      </w:pPr>
      <w:r w:rsidRPr="00D57830">
        <w:rPr>
          <w:lang w:val="de-DE"/>
        </w:rPr>
        <w:t>Bundesministerium für Umwelt, Naturschutz und Reaktorsicherheit,</w:t>
      </w:r>
      <w:r>
        <w:rPr>
          <w:lang w:val="de-DE"/>
        </w:rPr>
        <w:t xml:space="preserve"> </w:t>
      </w:r>
      <w:r w:rsidRPr="000F2508">
        <w:rPr>
          <w:b/>
          <w:bCs/>
          <w:lang w:val="de-DE"/>
        </w:rPr>
        <w:t>2021</w:t>
      </w:r>
      <w:r>
        <w:rPr>
          <w:lang w:val="de-DE"/>
        </w:rPr>
        <w:t>.</w:t>
      </w:r>
      <w:r w:rsidRPr="00D57830">
        <w:rPr>
          <w:lang w:val="de-DE"/>
        </w:rPr>
        <w:t xml:space="preserve"> </w:t>
      </w:r>
      <w:r w:rsidRPr="000F2508">
        <w:rPr>
          <w:i/>
          <w:iCs/>
          <w:lang w:val="de-DE"/>
        </w:rPr>
        <w:t>Technische Regel für Anlagensicherheit (TRAS) 410</w:t>
      </w:r>
      <w:r w:rsidR="000F2508">
        <w:rPr>
          <w:lang w:val="de-DE"/>
        </w:rPr>
        <w:t>,</w:t>
      </w:r>
      <w:r w:rsidRPr="00D57830">
        <w:rPr>
          <w:lang w:val="de-DE"/>
        </w:rPr>
        <w:t xml:space="preserve"> Kommission für Anlagensicherheit, Bundesanzeiger.</w:t>
      </w:r>
    </w:p>
    <w:p w14:paraId="0C5C820E" w14:textId="7170E144" w:rsidR="009047CF" w:rsidRPr="00E12F47" w:rsidRDefault="003A1B08" w:rsidP="0035147B">
      <w:pPr>
        <w:pStyle w:val="BOAReference-text"/>
        <w:numPr>
          <w:ilvl w:val="0"/>
          <w:numId w:val="23"/>
        </w:numPr>
        <w:rPr>
          <w:rFonts w:eastAsia="SimSun"/>
        </w:rPr>
      </w:pPr>
      <w:r w:rsidRPr="00BC0AD1">
        <w:rPr>
          <w:lang w:val="de-DE"/>
        </w:rPr>
        <w:t xml:space="preserve">Duerrstein S. H., Kappler C., Neuhaus I., Malow M., Michael-Schulz H., Goedde M., </w:t>
      </w:r>
      <w:r w:rsidRPr="00E12F47">
        <w:rPr>
          <w:b/>
          <w:bCs/>
          <w:lang w:val="de-DE"/>
        </w:rPr>
        <w:t>2016</w:t>
      </w:r>
      <w:r w:rsidRPr="00BC0AD1">
        <w:rPr>
          <w:lang w:val="de-DE"/>
        </w:rPr>
        <w:t xml:space="preserve">. </w:t>
      </w:r>
      <w:r w:rsidRPr="00E12F47">
        <w:rPr>
          <w:i/>
          <w:iCs/>
        </w:rPr>
        <w:t>Model-Based Prediction of the Adiabatic Induction Period and SADT of Dicumyl Peroxide Solution and Comparison to Large-Scale Experiments Performed Using 216.5-Liter Steel Drums in the UN-Test H.1</w:t>
      </w:r>
      <w:r w:rsidR="00E12F47">
        <w:t>,</w:t>
      </w:r>
      <w:r>
        <w:t xml:space="preserve"> Chemical Engineering Transactions, </w:t>
      </w:r>
      <w:r w:rsidRPr="00E12F47">
        <w:rPr>
          <w:i/>
          <w:iCs/>
        </w:rPr>
        <w:t>48</w:t>
      </w:r>
      <w:r>
        <w:t xml:space="preserve">, </w:t>
      </w:r>
      <w:r w:rsidRPr="00355EB5">
        <w:t>475-480</w:t>
      </w:r>
      <w:r>
        <w:t>.</w:t>
      </w:r>
      <w:r w:rsidRPr="00355EB5">
        <w:t xml:space="preserve"> DOI:10.3303/CET1648080</w:t>
      </w:r>
      <w:r>
        <w:t>.</w:t>
      </w:r>
    </w:p>
    <w:sectPr w:rsidR="009047CF" w:rsidRPr="00E12F47" w:rsidSect="00F879FE">
      <w:headerReference w:type="default" r:id="rId14"/>
      <w:footerReference w:type="even" r:id="rId15"/>
      <w:footerReference w:type="default" r:id="rId16"/>
      <w:headerReference w:type="first" r:id="rId17"/>
      <w:footerReference w:type="first" r:id="rId18"/>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BAEA" w14:textId="77777777" w:rsidR="00C22196" w:rsidRDefault="00C22196" w:rsidP="004F5E36">
      <w:r>
        <w:separator/>
      </w:r>
    </w:p>
  </w:endnote>
  <w:endnote w:type="continuationSeparator" w:id="0">
    <w:p w14:paraId="4B2FD890" w14:textId="77777777" w:rsidR="00C22196" w:rsidRDefault="00C22196" w:rsidP="004F5E36">
      <w:r>
        <w:continuationSeparator/>
      </w:r>
    </w:p>
  </w:endnote>
  <w:endnote w:type="continuationNotice" w:id="1">
    <w:p w14:paraId="15503F16" w14:textId="77777777" w:rsidR="00C22196" w:rsidRDefault="00C221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748E" w14:textId="18E0BAA2" w:rsidR="00AB7251" w:rsidRDefault="00AB72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9CBD" w14:textId="0B4FC3C9" w:rsidR="00AB7251" w:rsidRDefault="00AB725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BB97" w14:textId="5C579D6A" w:rsidR="00AB7251" w:rsidRDefault="00AB72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7FABD" w14:textId="77777777" w:rsidR="00C22196" w:rsidRDefault="00C22196" w:rsidP="004F5E36">
      <w:r>
        <w:separator/>
      </w:r>
    </w:p>
  </w:footnote>
  <w:footnote w:type="continuationSeparator" w:id="0">
    <w:p w14:paraId="2B158D9E" w14:textId="77777777" w:rsidR="00C22196" w:rsidRDefault="00C22196" w:rsidP="004F5E36">
      <w:r>
        <w:continuationSeparator/>
      </w:r>
    </w:p>
  </w:footnote>
  <w:footnote w:type="continuationNotice" w:id="1">
    <w:p w14:paraId="51FCA641" w14:textId="77777777" w:rsidR="00C22196" w:rsidRDefault="00C221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58240"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81A06B9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7AD542C"/>
    <w:multiLevelType w:val="hybridMultilevel"/>
    <w:tmpl w:val="4D9EF8A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DC358E"/>
    <w:multiLevelType w:val="hybridMultilevel"/>
    <w:tmpl w:val="02A61744"/>
    <w:lvl w:ilvl="0" w:tplc="2E9CA3CA">
      <w:start w:val="2"/>
      <w:numFmt w:val="bullet"/>
      <w:lvlText w:val="-"/>
      <w:lvlJc w:val="left"/>
      <w:pPr>
        <w:ind w:left="720" w:hanging="360"/>
      </w:pPr>
      <w:rPr>
        <w:rFonts w:ascii="Arial" w:eastAsia="MS PGothic"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8A16910"/>
    <w:multiLevelType w:val="hybridMultilevel"/>
    <w:tmpl w:val="F2566F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D4745B"/>
    <w:multiLevelType w:val="hybridMultilevel"/>
    <w:tmpl w:val="5394CE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DB736A"/>
    <w:multiLevelType w:val="multilevel"/>
    <w:tmpl w:val="E6ACF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3"/>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8"/>
  </w:num>
  <w:num w:numId="13" w16cid:durableId="634725585">
    <w:abstractNumId w:val="15"/>
  </w:num>
  <w:num w:numId="14" w16cid:durableId="191119089">
    <w:abstractNumId w:val="20"/>
  </w:num>
  <w:num w:numId="15" w16cid:durableId="1966620109">
    <w:abstractNumId w:val="22"/>
  </w:num>
  <w:num w:numId="16" w16cid:durableId="695279686">
    <w:abstractNumId w:val="26"/>
  </w:num>
  <w:num w:numId="17" w16cid:durableId="158927901">
    <w:abstractNumId w:val="10"/>
  </w:num>
  <w:num w:numId="18" w16cid:durableId="119997729">
    <w:abstractNumId w:val="23"/>
  </w:num>
  <w:num w:numId="19" w16cid:durableId="79841364">
    <w:abstractNumId w:val="16"/>
  </w:num>
  <w:num w:numId="20" w16cid:durableId="1843427198">
    <w:abstractNumId w:val="11"/>
  </w:num>
  <w:num w:numId="21" w16cid:durableId="1378311685">
    <w:abstractNumId w:val="12"/>
  </w:num>
  <w:num w:numId="22" w16cid:durableId="1977102699">
    <w:abstractNumId w:val="21"/>
  </w:num>
  <w:num w:numId="23" w16cid:durableId="1674071207">
    <w:abstractNumId w:val="24"/>
  </w:num>
  <w:num w:numId="24" w16cid:durableId="1702826475">
    <w:abstractNumId w:val="17"/>
  </w:num>
  <w:num w:numId="25" w16cid:durableId="1784230976">
    <w:abstractNumId w:val="14"/>
  </w:num>
  <w:num w:numId="26" w16cid:durableId="631137549">
    <w:abstractNumId w:val="25"/>
  </w:num>
  <w:num w:numId="27" w16cid:durableId="1306930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19D0"/>
    <w:rsid w:val="000027C0"/>
    <w:rsid w:val="000117CB"/>
    <w:rsid w:val="00020486"/>
    <w:rsid w:val="00020BAF"/>
    <w:rsid w:val="00020E8D"/>
    <w:rsid w:val="00024DEB"/>
    <w:rsid w:val="00030C05"/>
    <w:rsid w:val="0003148D"/>
    <w:rsid w:val="00031709"/>
    <w:rsid w:val="00034FC2"/>
    <w:rsid w:val="000537DE"/>
    <w:rsid w:val="00062A9A"/>
    <w:rsid w:val="000843DD"/>
    <w:rsid w:val="000917C6"/>
    <w:rsid w:val="00091D3E"/>
    <w:rsid w:val="000A03B2"/>
    <w:rsid w:val="000A6504"/>
    <w:rsid w:val="000B49D9"/>
    <w:rsid w:val="000B5119"/>
    <w:rsid w:val="000B6C73"/>
    <w:rsid w:val="000B782C"/>
    <w:rsid w:val="000C2165"/>
    <w:rsid w:val="000D34BE"/>
    <w:rsid w:val="000D642F"/>
    <w:rsid w:val="000E1707"/>
    <w:rsid w:val="000E3531"/>
    <w:rsid w:val="000E36F1"/>
    <w:rsid w:val="000E3A73"/>
    <w:rsid w:val="000E414A"/>
    <w:rsid w:val="000F2508"/>
    <w:rsid w:val="000F69A7"/>
    <w:rsid w:val="00100CDB"/>
    <w:rsid w:val="00105DF6"/>
    <w:rsid w:val="001144D6"/>
    <w:rsid w:val="001231FF"/>
    <w:rsid w:val="0013032C"/>
    <w:rsid w:val="0013091B"/>
    <w:rsid w:val="00131153"/>
    <w:rsid w:val="0013121F"/>
    <w:rsid w:val="001349DF"/>
    <w:rsid w:val="00134DE4"/>
    <w:rsid w:val="001372DA"/>
    <w:rsid w:val="00140EFE"/>
    <w:rsid w:val="00143C58"/>
    <w:rsid w:val="00150E59"/>
    <w:rsid w:val="00153ECE"/>
    <w:rsid w:val="00155336"/>
    <w:rsid w:val="00161FE7"/>
    <w:rsid w:val="001710BB"/>
    <w:rsid w:val="00174806"/>
    <w:rsid w:val="001801B2"/>
    <w:rsid w:val="00184AD6"/>
    <w:rsid w:val="0018712B"/>
    <w:rsid w:val="00190150"/>
    <w:rsid w:val="001A34C6"/>
    <w:rsid w:val="001B2BFC"/>
    <w:rsid w:val="001B65C1"/>
    <w:rsid w:val="001C36BC"/>
    <w:rsid w:val="001C684B"/>
    <w:rsid w:val="001D2BA0"/>
    <w:rsid w:val="001D53FC"/>
    <w:rsid w:val="001E374B"/>
    <w:rsid w:val="001F2EC7"/>
    <w:rsid w:val="001F7C7F"/>
    <w:rsid w:val="0020477F"/>
    <w:rsid w:val="00205EE5"/>
    <w:rsid w:val="002065DB"/>
    <w:rsid w:val="00215FA9"/>
    <w:rsid w:val="00223CF4"/>
    <w:rsid w:val="00225FB8"/>
    <w:rsid w:val="00227A53"/>
    <w:rsid w:val="00237657"/>
    <w:rsid w:val="002447EF"/>
    <w:rsid w:val="00245FF9"/>
    <w:rsid w:val="00250780"/>
    <w:rsid w:val="0025113F"/>
    <w:rsid w:val="00251550"/>
    <w:rsid w:val="002626FE"/>
    <w:rsid w:val="0027221A"/>
    <w:rsid w:val="002749D8"/>
    <w:rsid w:val="00274E1E"/>
    <w:rsid w:val="00275B61"/>
    <w:rsid w:val="002770DC"/>
    <w:rsid w:val="00283A67"/>
    <w:rsid w:val="00285C5C"/>
    <w:rsid w:val="00295FFD"/>
    <w:rsid w:val="002B22BA"/>
    <w:rsid w:val="002C416B"/>
    <w:rsid w:val="002C633D"/>
    <w:rsid w:val="002D0B3A"/>
    <w:rsid w:val="002D1F12"/>
    <w:rsid w:val="002F027B"/>
    <w:rsid w:val="002F0633"/>
    <w:rsid w:val="002F46D0"/>
    <w:rsid w:val="003009B7"/>
    <w:rsid w:val="00302C82"/>
    <w:rsid w:val="0030469C"/>
    <w:rsid w:val="00322313"/>
    <w:rsid w:val="003257C3"/>
    <w:rsid w:val="00333268"/>
    <w:rsid w:val="0033640B"/>
    <w:rsid w:val="00343071"/>
    <w:rsid w:val="00356CBC"/>
    <w:rsid w:val="00360D8D"/>
    <w:rsid w:val="003721D7"/>
    <w:rsid w:val="003723D4"/>
    <w:rsid w:val="00380824"/>
    <w:rsid w:val="00387A29"/>
    <w:rsid w:val="0039063E"/>
    <w:rsid w:val="00390789"/>
    <w:rsid w:val="003955FB"/>
    <w:rsid w:val="003A1B08"/>
    <w:rsid w:val="003A34C7"/>
    <w:rsid w:val="003A7D1C"/>
    <w:rsid w:val="003B3FFD"/>
    <w:rsid w:val="003B618D"/>
    <w:rsid w:val="003B61C3"/>
    <w:rsid w:val="003C30F0"/>
    <w:rsid w:val="003C3DC7"/>
    <w:rsid w:val="003C697D"/>
    <w:rsid w:val="003D4694"/>
    <w:rsid w:val="003E3F4E"/>
    <w:rsid w:val="003E75EB"/>
    <w:rsid w:val="003F572A"/>
    <w:rsid w:val="0040382F"/>
    <w:rsid w:val="00403D56"/>
    <w:rsid w:val="00415FBA"/>
    <w:rsid w:val="004179E3"/>
    <w:rsid w:val="0042639A"/>
    <w:rsid w:val="00426BD4"/>
    <w:rsid w:val="00435501"/>
    <w:rsid w:val="004445C6"/>
    <w:rsid w:val="0046164A"/>
    <w:rsid w:val="00462DCD"/>
    <w:rsid w:val="004639FD"/>
    <w:rsid w:val="00463BEF"/>
    <w:rsid w:val="0046419A"/>
    <w:rsid w:val="00470D48"/>
    <w:rsid w:val="00476694"/>
    <w:rsid w:val="00483DA6"/>
    <w:rsid w:val="00485F45"/>
    <w:rsid w:val="0049386D"/>
    <w:rsid w:val="004B1BFD"/>
    <w:rsid w:val="004C2084"/>
    <w:rsid w:val="004C23B1"/>
    <w:rsid w:val="004C30D8"/>
    <w:rsid w:val="004C7B21"/>
    <w:rsid w:val="004D1162"/>
    <w:rsid w:val="004D277F"/>
    <w:rsid w:val="004D4153"/>
    <w:rsid w:val="004D729F"/>
    <w:rsid w:val="004E0FFD"/>
    <w:rsid w:val="004E4DD6"/>
    <w:rsid w:val="004E5120"/>
    <w:rsid w:val="004E787D"/>
    <w:rsid w:val="004F5280"/>
    <w:rsid w:val="004F5E36"/>
    <w:rsid w:val="00504B47"/>
    <w:rsid w:val="005119A5"/>
    <w:rsid w:val="00517D08"/>
    <w:rsid w:val="00521456"/>
    <w:rsid w:val="005278B7"/>
    <w:rsid w:val="005346C8"/>
    <w:rsid w:val="00537CCB"/>
    <w:rsid w:val="00544A44"/>
    <w:rsid w:val="0055125E"/>
    <w:rsid w:val="00551984"/>
    <w:rsid w:val="0057064F"/>
    <w:rsid w:val="00571634"/>
    <w:rsid w:val="0057280D"/>
    <w:rsid w:val="005745FD"/>
    <w:rsid w:val="00581815"/>
    <w:rsid w:val="00591C6C"/>
    <w:rsid w:val="00594E9F"/>
    <w:rsid w:val="00596198"/>
    <w:rsid w:val="005B4855"/>
    <w:rsid w:val="005B61E6"/>
    <w:rsid w:val="005C1A57"/>
    <w:rsid w:val="005C2ADA"/>
    <w:rsid w:val="005C648D"/>
    <w:rsid w:val="005C77E1"/>
    <w:rsid w:val="005D6A2F"/>
    <w:rsid w:val="005E1A82"/>
    <w:rsid w:val="005E61DE"/>
    <w:rsid w:val="005F02ED"/>
    <w:rsid w:val="005F0759"/>
    <w:rsid w:val="005F0A28"/>
    <w:rsid w:val="005F0E5E"/>
    <w:rsid w:val="005F2709"/>
    <w:rsid w:val="00620DEE"/>
    <w:rsid w:val="00621A1B"/>
    <w:rsid w:val="00623D69"/>
    <w:rsid w:val="00625639"/>
    <w:rsid w:val="006274EB"/>
    <w:rsid w:val="0064184D"/>
    <w:rsid w:val="00644143"/>
    <w:rsid w:val="0065496F"/>
    <w:rsid w:val="00657FEB"/>
    <w:rsid w:val="00660E3E"/>
    <w:rsid w:val="00661E0D"/>
    <w:rsid w:val="00662E74"/>
    <w:rsid w:val="00672F90"/>
    <w:rsid w:val="00680A05"/>
    <w:rsid w:val="0069277B"/>
    <w:rsid w:val="006A58D2"/>
    <w:rsid w:val="006C1EF6"/>
    <w:rsid w:val="006C5579"/>
    <w:rsid w:val="006F341F"/>
    <w:rsid w:val="006F69E3"/>
    <w:rsid w:val="00704BDF"/>
    <w:rsid w:val="00707A3D"/>
    <w:rsid w:val="00720C17"/>
    <w:rsid w:val="007248A8"/>
    <w:rsid w:val="00727BE9"/>
    <w:rsid w:val="00736B13"/>
    <w:rsid w:val="007447F3"/>
    <w:rsid w:val="00744D63"/>
    <w:rsid w:val="0074783A"/>
    <w:rsid w:val="00750808"/>
    <w:rsid w:val="00752B37"/>
    <w:rsid w:val="0076474E"/>
    <w:rsid w:val="007661C8"/>
    <w:rsid w:val="00767323"/>
    <w:rsid w:val="00777F1C"/>
    <w:rsid w:val="007839A2"/>
    <w:rsid w:val="00786A70"/>
    <w:rsid w:val="0079526C"/>
    <w:rsid w:val="007B0F15"/>
    <w:rsid w:val="007B2A27"/>
    <w:rsid w:val="007B6D54"/>
    <w:rsid w:val="007D52CD"/>
    <w:rsid w:val="007D7B52"/>
    <w:rsid w:val="007E2325"/>
    <w:rsid w:val="007F3802"/>
    <w:rsid w:val="008037AF"/>
    <w:rsid w:val="0080535A"/>
    <w:rsid w:val="00807E2B"/>
    <w:rsid w:val="00813288"/>
    <w:rsid w:val="008168FC"/>
    <w:rsid w:val="00817E79"/>
    <w:rsid w:val="00820F8A"/>
    <w:rsid w:val="00821F6A"/>
    <w:rsid w:val="00822EB5"/>
    <w:rsid w:val="00840E48"/>
    <w:rsid w:val="008479A2"/>
    <w:rsid w:val="0087267F"/>
    <w:rsid w:val="00874FA9"/>
    <w:rsid w:val="0087637F"/>
    <w:rsid w:val="00881323"/>
    <w:rsid w:val="00881BDC"/>
    <w:rsid w:val="00882945"/>
    <w:rsid w:val="00887453"/>
    <w:rsid w:val="008A04B0"/>
    <w:rsid w:val="008A1512"/>
    <w:rsid w:val="008A5E5F"/>
    <w:rsid w:val="008A7A94"/>
    <w:rsid w:val="008C779C"/>
    <w:rsid w:val="008C77B7"/>
    <w:rsid w:val="008D0BEB"/>
    <w:rsid w:val="008E46B9"/>
    <w:rsid w:val="008E566E"/>
    <w:rsid w:val="008E5A65"/>
    <w:rsid w:val="008F2825"/>
    <w:rsid w:val="008F4027"/>
    <w:rsid w:val="00901EB6"/>
    <w:rsid w:val="009047CF"/>
    <w:rsid w:val="00905D71"/>
    <w:rsid w:val="00907766"/>
    <w:rsid w:val="009116DA"/>
    <w:rsid w:val="00923DE4"/>
    <w:rsid w:val="00926D18"/>
    <w:rsid w:val="00930801"/>
    <w:rsid w:val="009425B4"/>
    <w:rsid w:val="009450CE"/>
    <w:rsid w:val="009471A6"/>
    <w:rsid w:val="00947A35"/>
    <w:rsid w:val="0095164B"/>
    <w:rsid w:val="009600EA"/>
    <w:rsid w:val="009714FE"/>
    <w:rsid w:val="00983654"/>
    <w:rsid w:val="00994808"/>
    <w:rsid w:val="00996483"/>
    <w:rsid w:val="009C139E"/>
    <w:rsid w:val="009C32E4"/>
    <w:rsid w:val="009C497F"/>
    <w:rsid w:val="009D54B0"/>
    <w:rsid w:val="009D72C6"/>
    <w:rsid w:val="009E788A"/>
    <w:rsid w:val="00A01369"/>
    <w:rsid w:val="00A05A15"/>
    <w:rsid w:val="00A07E93"/>
    <w:rsid w:val="00A12134"/>
    <w:rsid w:val="00A1763D"/>
    <w:rsid w:val="00A17CEC"/>
    <w:rsid w:val="00A27EF0"/>
    <w:rsid w:val="00A30DCB"/>
    <w:rsid w:val="00A35312"/>
    <w:rsid w:val="00A37638"/>
    <w:rsid w:val="00A45607"/>
    <w:rsid w:val="00A50962"/>
    <w:rsid w:val="00A5764F"/>
    <w:rsid w:val="00A62090"/>
    <w:rsid w:val="00A6255A"/>
    <w:rsid w:val="00A65CBB"/>
    <w:rsid w:val="00A66B9C"/>
    <w:rsid w:val="00A72D56"/>
    <w:rsid w:val="00A76EFC"/>
    <w:rsid w:val="00A9626B"/>
    <w:rsid w:val="00A97F29"/>
    <w:rsid w:val="00AA3569"/>
    <w:rsid w:val="00AB0838"/>
    <w:rsid w:val="00AB0964"/>
    <w:rsid w:val="00AB2C05"/>
    <w:rsid w:val="00AB4075"/>
    <w:rsid w:val="00AB4BC5"/>
    <w:rsid w:val="00AB6F6F"/>
    <w:rsid w:val="00AB7251"/>
    <w:rsid w:val="00AC5F71"/>
    <w:rsid w:val="00AE377D"/>
    <w:rsid w:val="00AE43D8"/>
    <w:rsid w:val="00AF099E"/>
    <w:rsid w:val="00AF34E2"/>
    <w:rsid w:val="00AF4242"/>
    <w:rsid w:val="00B01981"/>
    <w:rsid w:val="00B077E2"/>
    <w:rsid w:val="00B10DFF"/>
    <w:rsid w:val="00B14E08"/>
    <w:rsid w:val="00B17681"/>
    <w:rsid w:val="00B21AA8"/>
    <w:rsid w:val="00B31173"/>
    <w:rsid w:val="00B321FC"/>
    <w:rsid w:val="00B40CEE"/>
    <w:rsid w:val="00B421EF"/>
    <w:rsid w:val="00B42E5B"/>
    <w:rsid w:val="00B430A4"/>
    <w:rsid w:val="00B52421"/>
    <w:rsid w:val="00B61DBF"/>
    <w:rsid w:val="00B75B9C"/>
    <w:rsid w:val="00B84D45"/>
    <w:rsid w:val="00B925ED"/>
    <w:rsid w:val="00B93D5A"/>
    <w:rsid w:val="00BA4D69"/>
    <w:rsid w:val="00BA5EC2"/>
    <w:rsid w:val="00BB3825"/>
    <w:rsid w:val="00BB6185"/>
    <w:rsid w:val="00BB6F9B"/>
    <w:rsid w:val="00BB7A34"/>
    <w:rsid w:val="00BC0AD1"/>
    <w:rsid w:val="00BC30C9"/>
    <w:rsid w:val="00BC3829"/>
    <w:rsid w:val="00BD0940"/>
    <w:rsid w:val="00BD3C6F"/>
    <w:rsid w:val="00BE0842"/>
    <w:rsid w:val="00BE1A97"/>
    <w:rsid w:val="00BE3E58"/>
    <w:rsid w:val="00BE4762"/>
    <w:rsid w:val="00BF20E3"/>
    <w:rsid w:val="00BF43B3"/>
    <w:rsid w:val="00BF4E38"/>
    <w:rsid w:val="00BF673E"/>
    <w:rsid w:val="00C01616"/>
    <w:rsid w:val="00C0162B"/>
    <w:rsid w:val="00C17FAB"/>
    <w:rsid w:val="00C22196"/>
    <w:rsid w:val="00C226DD"/>
    <w:rsid w:val="00C248EC"/>
    <w:rsid w:val="00C345B1"/>
    <w:rsid w:val="00C40142"/>
    <w:rsid w:val="00C52305"/>
    <w:rsid w:val="00C55649"/>
    <w:rsid w:val="00C57182"/>
    <w:rsid w:val="00C60EAC"/>
    <w:rsid w:val="00C64765"/>
    <w:rsid w:val="00C655FD"/>
    <w:rsid w:val="00C712AC"/>
    <w:rsid w:val="00C848DD"/>
    <w:rsid w:val="00C867B1"/>
    <w:rsid w:val="00C93BD8"/>
    <w:rsid w:val="00C94434"/>
    <w:rsid w:val="00CA1C95"/>
    <w:rsid w:val="00CA54AA"/>
    <w:rsid w:val="00CA5A9C"/>
    <w:rsid w:val="00CB2589"/>
    <w:rsid w:val="00CC5CE9"/>
    <w:rsid w:val="00CD3B28"/>
    <w:rsid w:val="00CD5FE2"/>
    <w:rsid w:val="00CE19FB"/>
    <w:rsid w:val="00CE4659"/>
    <w:rsid w:val="00CE501F"/>
    <w:rsid w:val="00CE7E11"/>
    <w:rsid w:val="00D02B4C"/>
    <w:rsid w:val="00D05B20"/>
    <w:rsid w:val="00D12D20"/>
    <w:rsid w:val="00D21DAB"/>
    <w:rsid w:val="00D24696"/>
    <w:rsid w:val="00D352C5"/>
    <w:rsid w:val="00D40012"/>
    <w:rsid w:val="00D47D6B"/>
    <w:rsid w:val="00D625B0"/>
    <w:rsid w:val="00D6520E"/>
    <w:rsid w:val="00D801F0"/>
    <w:rsid w:val="00D84576"/>
    <w:rsid w:val="00D93040"/>
    <w:rsid w:val="00D948AD"/>
    <w:rsid w:val="00DA3633"/>
    <w:rsid w:val="00DB0831"/>
    <w:rsid w:val="00DB7095"/>
    <w:rsid w:val="00DC0C23"/>
    <w:rsid w:val="00DC5E3D"/>
    <w:rsid w:val="00DE0019"/>
    <w:rsid w:val="00DE264A"/>
    <w:rsid w:val="00DE3345"/>
    <w:rsid w:val="00DF21ED"/>
    <w:rsid w:val="00DF5B6F"/>
    <w:rsid w:val="00E01B20"/>
    <w:rsid w:val="00E041E7"/>
    <w:rsid w:val="00E06D17"/>
    <w:rsid w:val="00E1280C"/>
    <w:rsid w:val="00E12F47"/>
    <w:rsid w:val="00E1470A"/>
    <w:rsid w:val="00E23CA1"/>
    <w:rsid w:val="00E24BB1"/>
    <w:rsid w:val="00E25092"/>
    <w:rsid w:val="00E26898"/>
    <w:rsid w:val="00E409A8"/>
    <w:rsid w:val="00E431A8"/>
    <w:rsid w:val="00E448C0"/>
    <w:rsid w:val="00E466CB"/>
    <w:rsid w:val="00E52372"/>
    <w:rsid w:val="00E66DCE"/>
    <w:rsid w:val="00E7209D"/>
    <w:rsid w:val="00E73EAE"/>
    <w:rsid w:val="00E908BD"/>
    <w:rsid w:val="00E90CBB"/>
    <w:rsid w:val="00E921A0"/>
    <w:rsid w:val="00EA4C22"/>
    <w:rsid w:val="00EA50E1"/>
    <w:rsid w:val="00EA7DE6"/>
    <w:rsid w:val="00EB5B1E"/>
    <w:rsid w:val="00ED2042"/>
    <w:rsid w:val="00ED2439"/>
    <w:rsid w:val="00EE0131"/>
    <w:rsid w:val="00EE3FAA"/>
    <w:rsid w:val="00EE7071"/>
    <w:rsid w:val="00EF3557"/>
    <w:rsid w:val="00EF4B13"/>
    <w:rsid w:val="00EF7A07"/>
    <w:rsid w:val="00F04EFB"/>
    <w:rsid w:val="00F06F88"/>
    <w:rsid w:val="00F17F7F"/>
    <w:rsid w:val="00F21D59"/>
    <w:rsid w:val="00F2594C"/>
    <w:rsid w:val="00F26457"/>
    <w:rsid w:val="00F30839"/>
    <w:rsid w:val="00F30C64"/>
    <w:rsid w:val="00F42DF7"/>
    <w:rsid w:val="00F4576D"/>
    <w:rsid w:val="00F64FC4"/>
    <w:rsid w:val="00F72C4F"/>
    <w:rsid w:val="00F879FE"/>
    <w:rsid w:val="00F904AA"/>
    <w:rsid w:val="00FB07A1"/>
    <w:rsid w:val="00FB4F21"/>
    <w:rsid w:val="00FB7058"/>
    <w:rsid w:val="00FB730C"/>
    <w:rsid w:val="00FC2171"/>
    <w:rsid w:val="00FC2695"/>
    <w:rsid w:val="00FC3E03"/>
    <w:rsid w:val="00FC6D2C"/>
    <w:rsid w:val="00FD57E8"/>
    <w:rsid w:val="00FD63E4"/>
    <w:rsid w:val="00FE6A2D"/>
    <w:rsid w:val="00FF3E1B"/>
    <w:rsid w:val="00FF6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B17681"/>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4D277F"/>
    <w:pPr>
      <w:spacing w:before="240" w:after="240" w:line="264" w:lineRule="auto"/>
      <w:jc w:val="both"/>
    </w:pPr>
    <w:rPr>
      <w:rFonts w:ascii="Arial" w:eastAsia="MS PGothic" w:hAnsi="Arial" w:cs="Times New Roman"/>
      <w:bCs/>
      <w:sz w:val="20"/>
      <w:szCs w:val="20"/>
      <w:lang w:val="en-GB"/>
    </w:rPr>
  </w:style>
  <w:style w:type="character" w:customStyle="1" w:styleId="BOACaptionCarattere">
    <w:name w:val="BOA Caption Carattere"/>
    <w:link w:val="BOACaption"/>
    <w:rsid w:val="004D277F"/>
    <w:rPr>
      <w:rFonts w:ascii="Arial" w:eastAsia="MS PGothic" w:hAnsi="Arial" w:cs="Times New Roman"/>
      <w:bCs/>
      <w:sz w:val="20"/>
      <w:szCs w:val="20"/>
      <w:lang w:val="en-GB"/>
    </w:rPr>
  </w:style>
  <w:style w:type="paragraph" w:customStyle="1" w:styleId="BOAheadingx1">
    <w:name w:val="BOA headingx 1"/>
    <w:next w:val="BOAAbstractBody"/>
    <w:link w:val="BOAheadingx1Carattere"/>
    <w:autoRedefine/>
    <w:qFormat/>
    <w:rsid w:val="00AB2C05"/>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AB2C05"/>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styleId="Pidipagina">
    <w:name w:val="footer"/>
    <w:basedOn w:val="Normale"/>
    <w:link w:val="PidipaginaCarattere"/>
    <w:uiPriority w:val="99"/>
    <w:unhideWhenUsed/>
    <w:rsid w:val="00AB7251"/>
    <w:pPr>
      <w:tabs>
        <w:tab w:val="clear" w:pos="7100"/>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AB7251"/>
    <w:rPr>
      <w:rFonts w:ascii="Arial" w:eastAsia="Times New Roman" w:hAnsi="Arial" w:cs="Times New Roman"/>
      <w:sz w:val="18"/>
      <w:szCs w:val="20"/>
      <w:lang w:val="en-GB"/>
    </w:rPr>
  </w:style>
  <w:style w:type="paragraph" w:styleId="Intestazione">
    <w:name w:val="header"/>
    <w:basedOn w:val="Normale"/>
    <w:link w:val="IntestazioneCarattere"/>
    <w:semiHidden/>
    <w:unhideWhenUsed/>
    <w:rsid w:val="00DE3345"/>
    <w:pPr>
      <w:tabs>
        <w:tab w:val="clear" w:pos="7100"/>
        <w:tab w:val="center" w:pos="4536"/>
        <w:tab w:val="right" w:pos="9072"/>
      </w:tabs>
      <w:spacing w:line="240" w:lineRule="auto"/>
    </w:pPr>
  </w:style>
  <w:style w:type="character" w:customStyle="1" w:styleId="IntestazioneCarattere">
    <w:name w:val="Intestazione Carattere"/>
    <w:basedOn w:val="Carpredefinitoparagrafo"/>
    <w:link w:val="Intestazione"/>
    <w:semiHidden/>
    <w:rsid w:val="00DE3345"/>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80535A"/>
    <w:rPr>
      <w:sz w:val="16"/>
      <w:szCs w:val="16"/>
    </w:rPr>
  </w:style>
  <w:style w:type="paragraph" w:styleId="Paragrafoelenco">
    <w:name w:val="List Paragraph"/>
    <w:basedOn w:val="Normale"/>
    <w:uiPriority w:val="34"/>
    <w:qFormat/>
    <w:locked/>
    <w:rsid w:val="000E1707"/>
    <w:pPr>
      <w:ind w:left="720"/>
      <w:contextualSpacing/>
    </w:pPr>
  </w:style>
  <w:style w:type="character" w:customStyle="1" w:styleId="TextChar">
    <w:name w:val="Text Char"/>
    <w:basedOn w:val="Carpredefinitoparagrafo"/>
    <w:link w:val="Text"/>
    <w:locked/>
    <w:rsid w:val="005F02ED"/>
    <w:rPr>
      <w:rFonts w:ascii="Arial" w:hAnsi="Arial" w:cs="Arial"/>
    </w:rPr>
  </w:style>
  <w:style w:type="paragraph" w:customStyle="1" w:styleId="Text">
    <w:name w:val="Text"/>
    <w:basedOn w:val="Normale"/>
    <w:link w:val="TextChar"/>
    <w:qFormat/>
    <w:rsid w:val="005F02ED"/>
    <w:pPr>
      <w:tabs>
        <w:tab w:val="clear" w:pos="7100"/>
      </w:tabs>
      <w:suppressAutoHyphens/>
      <w:spacing w:before="120" w:after="120" w:line="240" w:lineRule="auto"/>
    </w:pPr>
    <w:rPr>
      <w:rFonts w:eastAsiaTheme="minorHAnsi" w:cs="Arial"/>
      <w:sz w:val="22"/>
      <w:szCs w:val="22"/>
      <w:lang w:val="it-IT"/>
    </w:rPr>
  </w:style>
  <w:style w:type="paragraph" w:customStyle="1" w:styleId="BeschriftungAbbildung">
    <w:name w:val="Beschriftung Abbildung"/>
    <w:basedOn w:val="Normale"/>
    <w:next w:val="Text"/>
    <w:qFormat/>
    <w:rsid w:val="005F02ED"/>
    <w:pPr>
      <w:keepLines/>
      <w:tabs>
        <w:tab w:val="clear" w:pos="7100"/>
      </w:tabs>
      <w:suppressAutoHyphens/>
      <w:spacing w:before="120" w:after="360" w:line="240" w:lineRule="auto"/>
      <w:ind w:left="454" w:right="454"/>
    </w:pPr>
    <w:rPr>
      <w:rFonts w:eastAsia="SimSun"/>
      <w:i/>
      <w:szCs w:val="24"/>
      <w:lang w:eastAsia="zh-CN"/>
    </w:rPr>
  </w:style>
  <w:style w:type="paragraph" w:styleId="Revisione">
    <w:name w:val="Revision"/>
    <w:hidden/>
    <w:uiPriority w:val="99"/>
    <w:semiHidden/>
    <w:rsid w:val="002D0B3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699358">
      <w:bodyDiv w:val="1"/>
      <w:marLeft w:val="0"/>
      <w:marRight w:val="0"/>
      <w:marTop w:val="0"/>
      <w:marBottom w:val="0"/>
      <w:divBdr>
        <w:top w:val="none" w:sz="0" w:space="0" w:color="auto"/>
        <w:left w:val="none" w:sz="0" w:space="0" w:color="auto"/>
        <w:bottom w:val="none" w:sz="0" w:space="0" w:color="auto"/>
        <w:right w:val="none" w:sz="0" w:space="0" w:color="auto"/>
      </w:divBdr>
    </w:div>
    <w:div w:id="1143698638">
      <w:bodyDiv w:val="1"/>
      <w:marLeft w:val="0"/>
      <w:marRight w:val="0"/>
      <w:marTop w:val="0"/>
      <w:marBottom w:val="0"/>
      <w:divBdr>
        <w:top w:val="none" w:sz="0" w:space="0" w:color="auto"/>
        <w:left w:val="none" w:sz="0" w:space="0" w:color="auto"/>
        <w:bottom w:val="none" w:sz="0" w:space="0" w:color="auto"/>
        <w:right w:val="none" w:sz="0" w:space="0" w:color="auto"/>
      </w:divBdr>
    </w:div>
    <w:div w:id="1172524971">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
    <w:div w:id="1241872713">
      <w:bodyDiv w:val="1"/>
      <w:marLeft w:val="0"/>
      <w:marRight w:val="0"/>
      <w:marTop w:val="0"/>
      <w:marBottom w:val="0"/>
      <w:divBdr>
        <w:top w:val="none" w:sz="0" w:space="0" w:color="auto"/>
        <w:left w:val="none" w:sz="0" w:space="0" w:color="auto"/>
        <w:bottom w:val="none" w:sz="0" w:space="0" w:color="auto"/>
        <w:right w:val="none" w:sz="0" w:space="0" w:color="auto"/>
      </w:divBdr>
    </w:div>
    <w:div w:id="20869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Metadata/LabelInfo.xml><?xml version="1.0" encoding="utf-8"?>
<clbl:labelList xmlns:clbl="http://schemas.microsoft.com/office/2020/mipLabelMetadata">
  <clbl:label id="{fd8f657c-1b5d-4225-9de5-62d9d25afec8}" enabled="1" method="Privilege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12364</Characters>
  <Application>Microsoft Office Word</Application>
  <DocSecurity>0</DocSecurity>
  <Lines>103</Lines>
  <Paragraphs>29</Paragraphs>
  <ScaleCrop>false</ScaleCrop>
  <HeadingPairs>
    <vt:vector size="8" baseType="variant">
      <vt:variant>
        <vt:lpstr>Titel</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Dipartimento CMIC - Politecnico di Milano</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2025-01-14T09:39:00Z</cp:lastPrinted>
  <dcterms:created xsi:type="dcterms:W3CDTF">2025-01-14T13:55:00Z</dcterms:created>
  <dcterms:modified xsi:type="dcterms:W3CDTF">2025-01-14T13:55:00Z</dcterms:modified>
</cp:coreProperties>
</file>