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30F07041" w14:textId="11182ABA" w:rsidR="00F27EE4" w:rsidRPr="00F27EE4" w:rsidRDefault="00AA7D26" w:rsidP="00F27EE4">
            <w:pPr>
              <w:ind w:left="-107"/>
              <w:rPr>
                <w:rFonts w:ascii="Tahoma" w:hAnsi="Tahoma" w:cs="Tahoma"/>
                <w:b/>
                <w:bCs/>
                <w:color w:val="000000"/>
                <w:sz w:val="14"/>
                <w:szCs w:val="14"/>
                <w:shd w:val="clear" w:color="auto" w:fill="FFFFFF"/>
                <w:lang w:val="it-IT"/>
              </w:rPr>
            </w:pPr>
            <w:r w:rsidRPr="00F27EE4">
              <w:rPr>
                <w:rFonts w:ascii="Tahoma" w:hAnsi="Tahoma" w:cs="Tahoma"/>
                <w:iCs/>
                <w:color w:val="333333"/>
                <w:sz w:val="14"/>
                <w:szCs w:val="14"/>
                <w:lang w:val="it-IT" w:eastAsia="it-IT"/>
              </w:rPr>
              <w:t>Guest Editors:</w:t>
            </w:r>
            <w:r w:rsidR="007D610D" w:rsidRPr="00F27EE4">
              <w:rPr>
                <w:rFonts w:ascii="Aptos" w:eastAsiaTheme="minorHAnsi" w:hAnsi="Aptos" w:cs="Aptos"/>
                <w:sz w:val="22"/>
                <w:szCs w:val="22"/>
                <w:lang w:val="it-IT"/>
                <w14:ligatures w14:val="standardContextual"/>
              </w:rPr>
              <w:t xml:space="preserve"> </w:t>
            </w:r>
            <w:r w:rsidR="00F27EE4" w:rsidRPr="00F27EE4">
              <w:rPr>
                <w:rFonts w:ascii="Tahoma" w:hAnsi="Tahoma" w:cs="Tahoma"/>
                <w:color w:val="000000"/>
                <w:sz w:val="14"/>
                <w:szCs w:val="14"/>
                <w:shd w:val="clear" w:color="auto" w:fill="FFFFFF"/>
                <w:lang w:val="it-IT"/>
              </w:rPr>
              <w:t>Bruno Fabiano, Va</w:t>
            </w:r>
            <w:r w:rsidR="00F27EE4">
              <w:rPr>
                <w:rFonts w:ascii="Tahoma" w:hAnsi="Tahoma" w:cs="Tahoma"/>
                <w:color w:val="000000"/>
                <w:sz w:val="14"/>
                <w:szCs w:val="14"/>
                <w:shd w:val="clear" w:color="auto" w:fill="FFFFFF"/>
                <w:lang w:val="it-IT"/>
              </w:rPr>
              <w:t>lerio Cozzani</w:t>
            </w:r>
          </w:p>
          <w:p w14:paraId="1B0F1814" w14:textId="2DB8A072"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w:t>
            </w:r>
            <w:r w:rsidR="00F27EE4">
              <w:rPr>
                <w:rFonts w:ascii="Tahoma" w:hAnsi="Tahoma" w:cs="Tahoma"/>
                <w:sz w:val="14"/>
                <w:szCs w:val="14"/>
              </w:rPr>
              <w:t>xx-y</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0C3D1403" w:rsidR="00E978D0" w:rsidRPr="00B57B36" w:rsidRDefault="004E2C41" w:rsidP="00E978D0">
      <w:pPr>
        <w:pStyle w:val="CETTitle"/>
      </w:pPr>
      <w:r w:rsidRPr="004E2C41">
        <w:t xml:space="preserve">Hydrogen-air combustion limits </w:t>
      </w:r>
      <w:r w:rsidR="00ED6B21">
        <w:br/>
      </w:r>
      <w:r w:rsidRPr="004E2C41">
        <w:t>at low and cryogenic temperatures</w:t>
      </w:r>
      <w:r>
        <w:t xml:space="preserve"> </w:t>
      </w:r>
    </w:p>
    <w:p w14:paraId="0488FED2" w14:textId="514066FA" w:rsidR="00B57E6F" w:rsidRPr="00B57B36" w:rsidRDefault="00B57E6F" w:rsidP="00B57E6F">
      <w:pPr>
        <w:pStyle w:val="CETAuthors"/>
      </w:pPr>
      <w:r w:rsidRPr="00B57B36">
        <w:t>I</w:t>
      </w:r>
      <w:r w:rsidR="00F7383E">
        <w:t>gor A. Kirillov</w:t>
      </w:r>
      <w:r w:rsidR="00CB0F57">
        <w:rPr>
          <w:vertAlign w:val="superscript"/>
        </w:rPr>
        <w:t xml:space="preserve"> </w:t>
      </w:r>
      <w:r w:rsidR="00F0196F" w:rsidRPr="00B57B36">
        <w:t>*</w:t>
      </w:r>
      <w:r w:rsidRPr="00B57B36">
        <w:t xml:space="preserve">, </w:t>
      </w:r>
      <w:r w:rsidR="00F7383E">
        <w:t>Vadim Yu. Plaksin</w:t>
      </w:r>
    </w:p>
    <w:p w14:paraId="3D72B0B0" w14:textId="565DF951" w:rsidR="00B57E6F" w:rsidRPr="00B57B36" w:rsidRDefault="0019533F" w:rsidP="00B57E6F">
      <w:pPr>
        <w:pStyle w:val="CETAddress"/>
      </w:pPr>
      <w:r>
        <w:t xml:space="preserve">KinTech Lab Ltd, </w:t>
      </w:r>
      <w:r w:rsidR="005001F2">
        <w:t xml:space="preserve">121087 </w:t>
      </w:r>
      <w:r w:rsidR="00986009">
        <w:t>Moscow, Russia</w:t>
      </w:r>
      <w:r w:rsidR="00B57E6F" w:rsidRPr="00B57B36">
        <w:t xml:space="preserve"> </w:t>
      </w:r>
    </w:p>
    <w:p w14:paraId="73F1267A" w14:textId="5063D76D" w:rsidR="00B57E6F" w:rsidRPr="00B57B36" w:rsidRDefault="005001F2" w:rsidP="00B57E6F">
      <w:pPr>
        <w:pStyle w:val="CETemail"/>
      </w:pPr>
      <w:r>
        <w:t>kirillov</w:t>
      </w:r>
      <w:r w:rsidR="00B57E6F" w:rsidRPr="00B57B36">
        <w:t>@</w:t>
      </w:r>
      <w:r w:rsidR="008B0C63">
        <w:t>ki</w:t>
      </w:r>
      <w:r w:rsidR="00811061">
        <w:t>n</w:t>
      </w:r>
      <w:r w:rsidR="008B0C63">
        <w:t>techlabs</w:t>
      </w:r>
      <w:r>
        <w:t>.com</w:t>
      </w:r>
      <w:r w:rsidR="00B57E6F" w:rsidRPr="00B57B36">
        <w:t xml:space="preserve"> </w:t>
      </w:r>
    </w:p>
    <w:p w14:paraId="72B28363" w14:textId="6A1AB3C6" w:rsidR="003C3A43" w:rsidRPr="00C0357D" w:rsidRDefault="003C3A43" w:rsidP="00C0357D">
      <w:pPr>
        <w:pStyle w:val="CETBodytext"/>
        <w:rPr>
          <w:lang w:val="en-GB"/>
        </w:rPr>
      </w:pPr>
      <w:r w:rsidRPr="003C3A43">
        <w:rPr>
          <w:lang w:val="en-GB"/>
        </w:rPr>
        <w:t>The effective advancement and societal acceptance of new LH</w:t>
      </w:r>
      <w:r w:rsidRPr="00D81753">
        <w:rPr>
          <w:vertAlign w:val="subscript"/>
          <w:lang w:val="en-GB"/>
        </w:rPr>
        <w:t>2</w:t>
      </w:r>
      <w:r w:rsidRPr="003C3A43">
        <w:rPr>
          <w:lang w:val="en-GB"/>
        </w:rPr>
        <w:t xml:space="preserve"> systems and technologies depend on a comprehensive understanding of their safety levels. Beyond the general safety principles associated with LH2 solutions, it is essential to have detailed knowledge of their safety attributes, including concentration, pressure, and temperature </w:t>
      </w:r>
      <w:r w:rsidR="00B84404">
        <w:rPr>
          <w:lang w:val="en-GB"/>
        </w:rPr>
        <w:t>limit</w:t>
      </w:r>
      <w:r w:rsidRPr="003C3A43">
        <w:rPr>
          <w:lang w:val="en-GB"/>
        </w:rPr>
        <w:t>s. While well-established data exists for hydrogen-air combustion concentration limits at standard and elevated temperatures, there is a notable lack of information regarding these limits at low and cryogenic temperatures. This report aims to provide an exhaustive review of two categories of hydrogen-air combustion limits: concentration and temperature. It first highlights the existing gaps and deficiencies in the available empirical concentration limits for temperatures ranging from 90 K to 850 K. Following this, it introduces fundamental limits for detonation flames, deflagration flames, and flame balls, which are consistent regardless of the testing facility, methodology, or measurement standards. These fundamental limits help clarify some previously recorded experimental findings and shed light on the relationship between empirical and theoretical concentration</w:t>
      </w:r>
      <w:r w:rsidR="00613CFC">
        <w:rPr>
          <w:lang w:val="en-GB"/>
        </w:rPr>
        <w:t xml:space="preserve"> limit</w:t>
      </w:r>
      <w:r w:rsidRPr="003C3A43">
        <w:rPr>
          <w:lang w:val="en-GB"/>
        </w:rPr>
        <w:t>s. Additionally, the report makes a qualitative prediction of a newly identified combustion phenomenon referred to by the authors as the "cryogenic temperature limit for hydrogen combustion." Lastly, it offers practical suggestions for conservatively estimating the concentration limits of flames that could trigger fast turbulent or detonating flames at low and cryogenic temperatures, presented through an analytical correlation.</w:t>
      </w:r>
    </w:p>
    <w:p w14:paraId="476B2F2E" w14:textId="52B36035" w:rsidR="00600535" w:rsidRPr="00B57B36" w:rsidRDefault="00600535" w:rsidP="00600535">
      <w:pPr>
        <w:pStyle w:val="CETHeading1"/>
        <w:rPr>
          <w:lang w:val="en-GB"/>
        </w:rPr>
      </w:pPr>
      <w:r w:rsidRPr="00B57B36">
        <w:rPr>
          <w:lang w:val="en-GB"/>
        </w:rPr>
        <w:t>Introduction</w:t>
      </w:r>
    </w:p>
    <w:p w14:paraId="5FFD0360" w14:textId="2B32AE82" w:rsidR="00CD47D6" w:rsidRPr="00CD47D6" w:rsidRDefault="000910CA" w:rsidP="00EF6BFE">
      <w:pPr>
        <w:pStyle w:val="CETBodytext"/>
        <w:rPr>
          <w:lang w:val="en-GB"/>
        </w:rPr>
      </w:pPr>
      <w:r w:rsidRPr="000910CA">
        <w:rPr>
          <w:lang w:val="en-GB"/>
        </w:rPr>
        <w:t>Understanding and precise quantification of the concentration limits for hydrogen-air combustion is crucial for the design of hydrogen systems, as it helps to establish adequate requirements for alarms, explosion protection measures, and mitigation systems. It also contributes to the effective standardization and regulatory support of hydrogen systems</w:t>
      </w:r>
      <w:r w:rsidR="00191678">
        <w:rPr>
          <w:lang w:val="en-GB"/>
        </w:rPr>
        <w:t xml:space="preserve"> and sites</w:t>
      </w:r>
      <w:r w:rsidRPr="000910CA">
        <w:rPr>
          <w:lang w:val="en-GB"/>
        </w:rPr>
        <w:t>.</w:t>
      </w:r>
      <w:r w:rsidR="00485BF8">
        <w:rPr>
          <w:lang w:val="en-GB"/>
        </w:rPr>
        <w:t xml:space="preserve"> </w:t>
      </w:r>
      <w:r w:rsidR="00CD47D6" w:rsidRPr="00CD47D6">
        <w:t xml:space="preserve">Starting with Coward's pioneering article in 1914, </w:t>
      </w:r>
      <w:r w:rsidR="00CD47D6">
        <w:t xml:space="preserve">the concentration limits for </w:t>
      </w:r>
      <w:r w:rsidR="00CD47D6" w:rsidRPr="00CD47D6">
        <w:t xml:space="preserve">numerous types of flames capable of traveling indefinitely through combustible mixtures have been explored, primarily through experimental research. For slow flames (those with speeds lower than the sound speed </w:t>
      </w:r>
      <m:oMath>
        <m:sSub>
          <m:sSubPr>
            <m:ctrlPr>
              <w:rPr>
                <w:rFonts w:ascii="Cambria Math" w:hAnsi="Cambria Math"/>
                <w:i/>
              </w:rPr>
            </m:ctrlPr>
          </m:sSubPr>
          <m:e>
            <m:r>
              <w:rPr>
                <w:rFonts w:ascii="Cambria Math" w:hAnsi="Cambria Math"/>
              </w:rPr>
              <m:t>c</m:t>
            </m:r>
          </m:e>
          <m:sub>
            <m:r>
              <w:rPr>
                <w:rFonts w:ascii="Cambria Math" w:hAnsi="Cambria Math"/>
              </w:rPr>
              <m:t>s</m:t>
            </m:r>
          </m:sub>
        </m:sSub>
      </m:oMath>
      <w:r w:rsidR="00CD47D6" w:rsidRPr="00CD47D6">
        <w:t xml:space="preserve"> in the reaction products), studies have focused on the concentration limits of flammability as well as the thresholds for both ascending and descending flames. In the case of fast flames, researchers have investigated the concentration limits associated with choked turbulent flames and detonation waves. Most prior studies have largely concentrated on the concentration limits at normal and elevated temperatures, reaching up to 650 K.</w:t>
      </w:r>
    </w:p>
    <w:p w14:paraId="3EB1CB5A" w14:textId="170E7310" w:rsidR="00A53E1B" w:rsidRDefault="00A53E1B" w:rsidP="0007765A">
      <w:pPr>
        <w:pStyle w:val="CETBodytext"/>
        <w:rPr>
          <w:lang w:val="en-GB"/>
        </w:rPr>
      </w:pPr>
      <w:r w:rsidRPr="00A53E1B">
        <w:rPr>
          <w:lang w:val="en-GB"/>
        </w:rPr>
        <w:t xml:space="preserve">This study has the following objectives: 1. to pinpoint deficiencies in current knowledge and incomplete data related to empirical concentration limits of combustion at low and cryogenic temperatures; 2. to show that theoretical estimates of the fundamental concentration limits for plane deflagration and detonation waves have predictive value and can serve as a conservative estimate for hydrogen-air explosions; 3. </w:t>
      </w:r>
      <w:r w:rsidR="008C34D7">
        <w:rPr>
          <w:lang w:val="en-GB"/>
        </w:rPr>
        <w:t>t</w:t>
      </w:r>
      <w:r w:rsidR="008C34D7">
        <w:t>o e</w:t>
      </w:r>
      <w:proofErr w:type="spellStart"/>
      <w:r w:rsidR="004E6AD1" w:rsidRPr="004E6AD1">
        <w:rPr>
          <w:lang w:val="en-GB"/>
        </w:rPr>
        <w:t>xamine</w:t>
      </w:r>
      <w:proofErr w:type="spellEnd"/>
      <w:r w:rsidR="004E6AD1" w:rsidRPr="004E6AD1">
        <w:rPr>
          <w:lang w:val="en-GB"/>
        </w:rPr>
        <w:t xml:space="preserve"> and offer a qualitative explanation for a novel combustion limit, </w:t>
      </w:r>
      <w:r w:rsidR="006F2789">
        <w:rPr>
          <w:lang w:val="en-GB"/>
        </w:rPr>
        <w:t>referr</w:t>
      </w:r>
      <w:r w:rsidR="004E6AD1" w:rsidRPr="004E6AD1">
        <w:rPr>
          <w:lang w:val="en-GB"/>
        </w:rPr>
        <w:t>ed to by the authors as the “cryogenic temperature limit</w:t>
      </w:r>
      <w:r w:rsidR="002129B6">
        <w:rPr>
          <w:lang w:val="en-GB"/>
        </w:rPr>
        <w:t xml:space="preserve"> for hydrogen combustion</w:t>
      </w:r>
      <w:r w:rsidR="004E6AD1" w:rsidRPr="004E6AD1">
        <w:rPr>
          <w:lang w:val="en-GB"/>
        </w:rPr>
        <w:t>” that has yet to be explored experimentally.</w:t>
      </w:r>
    </w:p>
    <w:p w14:paraId="138220B6" w14:textId="77777777" w:rsidR="00CF53B7" w:rsidRDefault="00922AB1" w:rsidP="00453E24">
      <w:pPr>
        <w:pStyle w:val="CETHeading1"/>
      </w:pPr>
      <w:r>
        <w:t>Gaps and limitations</w:t>
      </w:r>
      <w:r w:rsidR="00EF5317">
        <w:t xml:space="preserve"> of empirical</w:t>
      </w:r>
      <w:r w:rsidR="000E0668">
        <w:t xml:space="preserve"> concentration limits </w:t>
      </w:r>
    </w:p>
    <w:p w14:paraId="4192392F" w14:textId="705ED592" w:rsidR="009B6AE7" w:rsidRDefault="00146DAB" w:rsidP="0007765A">
      <w:pPr>
        <w:pStyle w:val="CETBodytext"/>
      </w:pPr>
      <w:r w:rsidRPr="00146DAB">
        <w:rPr>
          <w:lang w:val="en-GB"/>
        </w:rPr>
        <w:t xml:space="preserve">To offer informed recommendations to engineers, safety experts, and regulatory agencies concerning the concentration limits for both slow and fast flames, a systematic analysis of the </w:t>
      </w:r>
      <w:r w:rsidR="003D1DD8">
        <w:rPr>
          <w:lang w:val="en-GB"/>
        </w:rPr>
        <w:t>publish</w:t>
      </w:r>
      <w:r w:rsidRPr="00146DAB">
        <w:rPr>
          <w:lang w:val="en-GB"/>
        </w:rPr>
        <w:t>ed data is essential. This analysis must prioritize the evaluation of the data's completeness, accuracy, and consistency.</w:t>
      </w:r>
      <w:r w:rsidR="0006565E">
        <w:t xml:space="preserve"> </w:t>
      </w:r>
      <w:r w:rsidR="00EE4FB8" w:rsidRPr="00EE4FB8">
        <w:t xml:space="preserve">The development </w:t>
      </w:r>
      <w:r w:rsidR="00EE4FB8" w:rsidRPr="00EE4FB8">
        <w:lastRenderedPageBreak/>
        <w:t xml:space="preserve">of recommendations is complicated </w:t>
      </w:r>
      <w:r w:rsidR="003D1DD8" w:rsidRPr="00EE4FB8">
        <w:t>because</w:t>
      </w:r>
      <w:r w:rsidR="00EE4FB8" w:rsidRPr="00EE4FB8">
        <w:t xml:space="preserve"> the experimental results on concentration limits depend significantly on the type, scale, volume, and material of the experimental setup, as well as the measurement procedure and criteria used.</w:t>
      </w:r>
    </w:p>
    <w:p w14:paraId="5F692C1C" w14:textId="535B6D69" w:rsidR="009902A3" w:rsidRDefault="00501607" w:rsidP="009902A3">
      <w:pPr>
        <w:pStyle w:val="CETBodytext"/>
      </w:pPr>
      <w:r w:rsidRPr="00501607">
        <w:rPr>
          <w:rFonts w:eastAsiaTheme="minorEastAsia"/>
          <w:color w:val="000000"/>
          <w:kern w:val="2"/>
          <w:szCs w:val="24"/>
          <w:lang w:val="en-GB" w:eastAsia="ru-RU"/>
          <w14:ligatures w14:val="standardContextual"/>
        </w:rPr>
        <w:t>Figure 1 displays the primary sets of experimental data alongside semi-empirical correlations concerning concentration limits, represented by symbols and lines, respectively.</w:t>
      </w:r>
      <w:r>
        <w:rPr>
          <w:rFonts w:eastAsiaTheme="minorEastAsia"/>
          <w:color w:val="000000"/>
          <w:kern w:val="2"/>
          <w:szCs w:val="24"/>
          <w:lang w:val="en-GB" w:eastAsia="ru-RU"/>
          <w14:ligatures w14:val="standardContextual"/>
        </w:rPr>
        <w:t xml:space="preserve"> </w:t>
      </w:r>
      <w:r w:rsidR="00B844AB">
        <w:rPr>
          <w:rFonts w:eastAsiaTheme="minorEastAsia"/>
          <w:color w:val="000000"/>
          <w:kern w:val="2"/>
          <w:szCs w:val="24"/>
          <w:lang w:val="en-GB" w:eastAsia="ru-RU"/>
          <w14:ligatures w14:val="standardContextual"/>
        </w:rPr>
        <w:t xml:space="preserve">Datasets were compiled from published papers on </w:t>
      </w:r>
      <w:r w:rsidR="008D1170">
        <w:rPr>
          <w:rFonts w:eastAsiaTheme="minorEastAsia"/>
          <w:color w:val="000000"/>
          <w:kern w:val="2"/>
          <w:szCs w:val="24"/>
          <w:lang w:val="en-GB" w:eastAsia="ru-RU"/>
          <w14:ligatures w14:val="standardContextual"/>
        </w:rPr>
        <w:t xml:space="preserve">slow </w:t>
      </w:r>
      <w:r w:rsidR="00B844AB">
        <w:rPr>
          <w:rFonts w:eastAsiaTheme="minorEastAsia"/>
          <w:color w:val="000000"/>
          <w:kern w:val="2"/>
          <w:szCs w:val="24"/>
          <w:lang w:val="en-GB" w:eastAsia="ru-RU"/>
          <w14:ligatures w14:val="standardContextual"/>
        </w:rPr>
        <w:t>(</w:t>
      </w:r>
      <w:r w:rsidR="00DB3639">
        <w:rPr>
          <w:rFonts w:eastAsiaTheme="minorEastAsia"/>
          <w:color w:val="000000"/>
          <w:kern w:val="2"/>
          <w:szCs w:val="24"/>
          <w:lang w:val="en-GB" w:eastAsia="ru-RU"/>
          <w14:ligatures w14:val="standardContextual"/>
        </w:rPr>
        <w:t>White, 1</w:t>
      </w:r>
      <w:r w:rsidR="007770AA">
        <w:rPr>
          <w:rFonts w:eastAsiaTheme="minorEastAsia"/>
          <w:color w:val="000000"/>
          <w:kern w:val="2"/>
          <w:szCs w:val="24"/>
          <w:lang w:val="en-GB" w:eastAsia="ru-RU"/>
          <w14:ligatures w14:val="standardContextual"/>
        </w:rPr>
        <w:t>925;</w:t>
      </w:r>
      <w:r w:rsidR="0091420C">
        <w:rPr>
          <w:rFonts w:eastAsiaTheme="minorEastAsia"/>
          <w:color w:val="000000"/>
          <w:kern w:val="2"/>
          <w:szCs w:val="24"/>
          <w:lang w:val="en-GB" w:eastAsia="ru-RU"/>
          <w14:ligatures w14:val="standardContextual"/>
        </w:rPr>
        <w:t xml:space="preserve"> </w:t>
      </w:r>
      <w:r w:rsidR="0091420C" w:rsidRPr="00DD776B">
        <w:t>Coward and Jones 1952</w:t>
      </w:r>
      <w:r w:rsidR="001C4298">
        <w:t>;</w:t>
      </w:r>
      <w:r w:rsidR="007770AA">
        <w:rPr>
          <w:rFonts w:eastAsiaTheme="minorEastAsia"/>
          <w:color w:val="000000"/>
          <w:kern w:val="2"/>
          <w:szCs w:val="24"/>
          <w:lang w:val="en-GB" w:eastAsia="ru-RU"/>
          <w14:ligatures w14:val="standardContextual"/>
        </w:rPr>
        <w:t xml:space="preserve"> </w:t>
      </w:r>
      <w:r w:rsidR="00DB3639">
        <w:rPr>
          <w:rFonts w:eastAsiaTheme="minorEastAsia"/>
          <w:color w:val="000000"/>
          <w:kern w:val="2"/>
          <w:szCs w:val="24"/>
          <w:lang w:val="en-GB" w:eastAsia="ru-RU"/>
          <w14:ligatures w14:val="standardContextual"/>
        </w:rPr>
        <w:t xml:space="preserve">Karim et al., 1984; Hustad, 1988; Wierzba, et al., 1992; </w:t>
      </w:r>
      <w:proofErr w:type="spellStart"/>
      <w:r w:rsidR="00DB3639">
        <w:rPr>
          <w:rFonts w:eastAsiaTheme="minorEastAsia"/>
          <w:color w:val="000000"/>
          <w:kern w:val="2"/>
          <w:szCs w:val="24"/>
          <w:lang w:val="en-GB" w:eastAsia="ru-RU"/>
          <w14:ligatures w14:val="standardContextual"/>
        </w:rPr>
        <w:t>Wierzba&amp;Ale</w:t>
      </w:r>
      <w:proofErr w:type="spellEnd"/>
      <w:r w:rsidR="00DB3639">
        <w:rPr>
          <w:rFonts w:eastAsiaTheme="minorEastAsia"/>
          <w:color w:val="000000"/>
          <w:kern w:val="2"/>
          <w:szCs w:val="24"/>
          <w:lang w:val="en-GB" w:eastAsia="ru-RU"/>
          <w14:ligatures w14:val="standardContextual"/>
        </w:rPr>
        <w:t xml:space="preserve">, 1998; </w:t>
      </w:r>
      <w:proofErr w:type="spellStart"/>
      <w:r w:rsidR="00DB3639">
        <w:rPr>
          <w:rFonts w:eastAsiaTheme="minorEastAsia"/>
          <w:color w:val="000000"/>
          <w:kern w:val="2"/>
          <w:szCs w:val="24"/>
          <w:lang w:val="en-GB" w:eastAsia="ru-RU"/>
          <w14:ligatures w14:val="standardContextual"/>
        </w:rPr>
        <w:t>Terpsta&amp;Wang</w:t>
      </w:r>
      <w:proofErr w:type="spellEnd"/>
      <w:r w:rsidR="00DB3639">
        <w:rPr>
          <w:rFonts w:eastAsiaTheme="minorEastAsia"/>
          <w:color w:val="000000"/>
          <w:kern w:val="2"/>
          <w:szCs w:val="24"/>
          <w:lang w:val="en-GB" w:eastAsia="ru-RU"/>
          <w14:ligatures w14:val="standardContextual"/>
        </w:rPr>
        <w:t xml:space="preserve">, 2004; </w:t>
      </w:r>
      <w:proofErr w:type="spellStart"/>
      <w:r w:rsidR="00DB3639">
        <w:rPr>
          <w:rFonts w:eastAsiaTheme="minorEastAsia"/>
          <w:color w:val="000000"/>
          <w:kern w:val="2"/>
          <w:szCs w:val="24"/>
          <w:lang w:val="en-GB" w:eastAsia="ru-RU"/>
          <w14:ligatures w14:val="standardContextual"/>
        </w:rPr>
        <w:t>Wierzba&amp;Wang</w:t>
      </w:r>
      <w:proofErr w:type="spellEnd"/>
      <w:r w:rsidR="00DB3639">
        <w:rPr>
          <w:rFonts w:eastAsiaTheme="minorEastAsia"/>
          <w:color w:val="000000"/>
          <w:kern w:val="2"/>
          <w:szCs w:val="24"/>
          <w:lang w:val="en-GB" w:eastAsia="ru-RU"/>
          <w14:ligatures w14:val="standardContextual"/>
        </w:rPr>
        <w:t>, 2006;</w:t>
      </w:r>
      <w:r w:rsidR="004D69CF">
        <w:rPr>
          <w:rFonts w:eastAsiaTheme="minorEastAsia"/>
          <w:color w:val="000000"/>
          <w:kern w:val="2"/>
          <w:szCs w:val="24"/>
          <w:lang w:val="en-GB" w:eastAsia="ru-RU"/>
          <w14:ligatures w14:val="standardContextual"/>
        </w:rPr>
        <w:t xml:space="preserve"> Kuznetsov et al., 20</w:t>
      </w:r>
      <w:r w:rsidR="00E4424F">
        <w:rPr>
          <w:rFonts w:eastAsiaTheme="minorEastAsia"/>
          <w:color w:val="000000"/>
          <w:kern w:val="2"/>
          <w:szCs w:val="24"/>
          <w:lang w:val="en-GB" w:eastAsia="ru-RU"/>
          <w14:ligatures w14:val="standardContextual"/>
        </w:rPr>
        <w:t>13;</w:t>
      </w:r>
      <w:r w:rsidR="00DB3639">
        <w:rPr>
          <w:rFonts w:eastAsiaTheme="minorEastAsia"/>
          <w:color w:val="000000"/>
          <w:kern w:val="2"/>
          <w:szCs w:val="24"/>
          <w:lang w:val="en-GB" w:eastAsia="ru-RU"/>
          <w14:ligatures w14:val="standardContextual"/>
        </w:rPr>
        <w:t xml:space="preserve"> Liaw, 2016;</w:t>
      </w:r>
      <w:r w:rsidR="003C7B43">
        <w:rPr>
          <w:rFonts w:eastAsiaTheme="minorEastAsia"/>
          <w:color w:val="000000"/>
          <w:kern w:val="2"/>
          <w:szCs w:val="24"/>
          <w:lang w:val="en-GB" w:eastAsia="ru-RU"/>
          <w14:ligatures w14:val="standardContextual"/>
        </w:rPr>
        <w:t xml:space="preserve"> </w:t>
      </w:r>
      <w:r w:rsidR="00C3333A">
        <w:rPr>
          <w:rFonts w:eastAsiaTheme="minorEastAsia"/>
          <w:color w:val="000000"/>
          <w:kern w:val="2"/>
          <w:szCs w:val="24"/>
          <w:lang w:val="en-GB" w:eastAsia="ru-RU"/>
          <w14:ligatures w14:val="standardContextual"/>
        </w:rPr>
        <w:t xml:space="preserve">Pio and </w:t>
      </w:r>
      <w:r w:rsidR="003C7B43">
        <w:rPr>
          <w:rFonts w:eastAsiaTheme="minorEastAsia"/>
          <w:color w:val="000000"/>
          <w:kern w:val="2"/>
          <w:szCs w:val="24"/>
          <w:lang w:val="en-GB" w:eastAsia="ru-RU"/>
          <w14:ligatures w14:val="standardContextual"/>
        </w:rPr>
        <w:t>Salzano</w:t>
      </w:r>
      <w:r w:rsidR="00C3333A">
        <w:rPr>
          <w:rFonts w:eastAsiaTheme="minorEastAsia"/>
          <w:color w:val="000000"/>
          <w:kern w:val="2"/>
          <w:szCs w:val="24"/>
          <w:lang w:val="en-GB" w:eastAsia="ru-RU"/>
          <w14:ligatures w14:val="standardContextual"/>
        </w:rPr>
        <w:t>, 2019;</w:t>
      </w:r>
      <w:r w:rsidR="00DB3639">
        <w:rPr>
          <w:rFonts w:eastAsiaTheme="minorEastAsia"/>
          <w:color w:val="000000"/>
          <w:kern w:val="2"/>
          <w:szCs w:val="24"/>
          <w:lang w:val="en-GB" w:eastAsia="ru-RU"/>
          <w14:ligatures w14:val="standardContextual"/>
        </w:rPr>
        <w:t xml:space="preserve"> Proust</w:t>
      </w:r>
      <w:r w:rsidR="00C3333A">
        <w:rPr>
          <w:rFonts w:eastAsiaTheme="minorEastAsia"/>
          <w:color w:val="000000"/>
          <w:kern w:val="2"/>
          <w:szCs w:val="24"/>
          <w:lang w:val="en-GB" w:eastAsia="ru-RU"/>
          <w14:ligatures w14:val="standardContextual"/>
        </w:rPr>
        <w:t xml:space="preserve"> and </w:t>
      </w:r>
      <w:proofErr w:type="spellStart"/>
      <w:r w:rsidR="00DB3639">
        <w:rPr>
          <w:rFonts w:eastAsiaTheme="minorEastAsia"/>
          <w:color w:val="000000"/>
          <w:kern w:val="2"/>
          <w:szCs w:val="24"/>
          <w:lang w:val="en-GB" w:eastAsia="ru-RU"/>
          <w14:ligatures w14:val="standardContextual"/>
        </w:rPr>
        <w:t>Jamois</w:t>
      </w:r>
      <w:proofErr w:type="spellEnd"/>
      <w:r w:rsidR="00DB3639">
        <w:rPr>
          <w:rFonts w:eastAsiaTheme="minorEastAsia"/>
          <w:color w:val="000000"/>
          <w:kern w:val="2"/>
          <w:szCs w:val="24"/>
          <w:lang w:val="en-GB" w:eastAsia="ru-RU"/>
          <w14:ligatures w14:val="standardContextual"/>
        </w:rPr>
        <w:t>, 2021</w:t>
      </w:r>
      <w:r w:rsidR="00B844AB">
        <w:rPr>
          <w:rFonts w:eastAsiaTheme="minorEastAsia"/>
          <w:color w:val="000000"/>
          <w:kern w:val="2"/>
          <w:szCs w:val="24"/>
          <w:lang w:val="en-GB" w:eastAsia="ru-RU"/>
          <w14:ligatures w14:val="standardContextual"/>
        </w:rPr>
        <w:t>)</w:t>
      </w:r>
      <w:r w:rsidR="008D1170">
        <w:rPr>
          <w:rFonts w:eastAsiaTheme="minorEastAsia"/>
          <w:color w:val="000000"/>
          <w:kern w:val="2"/>
          <w:szCs w:val="24"/>
          <w:lang w:val="en-GB" w:eastAsia="ru-RU"/>
          <w14:ligatures w14:val="standardContextual"/>
        </w:rPr>
        <w:t xml:space="preserve"> and fast (</w:t>
      </w:r>
      <w:r w:rsidR="00C20A01">
        <w:rPr>
          <w:rFonts w:eastAsiaTheme="minorEastAsia"/>
          <w:color w:val="000000"/>
          <w:kern w:val="2"/>
          <w:szCs w:val="24"/>
          <w:lang w:val="en-GB" w:eastAsia="ru-RU"/>
          <w14:ligatures w14:val="standardContextual"/>
        </w:rPr>
        <w:t>Cicarelli et al.</w:t>
      </w:r>
      <w:r w:rsidR="00704037">
        <w:rPr>
          <w:rFonts w:eastAsiaTheme="minorEastAsia"/>
          <w:color w:val="000000"/>
          <w:kern w:val="2"/>
          <w:szCs w:val="24"/>
          <w:lang w:val="en-GB" w:eastAsia="ru-RU"/>
          <w14:ligatures w14:val="standardContextual"/>
        </w:rPr>
        <w:t>,</w:t>
      </w:r>
      <w:r w:rsidR="00C20A01">
        <w:rPr>
          <w:rFonts w:eastAsiaTheme="minorEastAsia"/>
          <w:color w:val="000000"/>
          <w:kern w:val="2"/>
          <w:szCs w:val="24"/>
          <w:lang w:val="en-GB" w:eastAsia="ru-RU"/>
          <w14:ligatures w14:val="standardContextual"/>
        </w:rPr>
        <w:t xml:space="preserve"> 1994; Cicarelli et al.</w:t>
      </w:r>
      <w:r w:rsidR="00704037">
        <w:rPr>
          <w:rFonts w:eastAsiaTheme="minorEastAsia"/>
          <w:color w:val="000000"/>
          <w:kern w:val="2"/>
          <w:szCs w:val="24"/>
          <w:lang w:val="en-GB" w:eastAsia="ru-RU"/>
          <w14:ligatures w14:val="standardContextual"/>
        </w:rPr>
        <w:t>,</w:t>
      </w:r>
      <w:r w:rsidR="00C20A01">
        <w:rPr>
          <w:rFonts w:eastAsiaTheme="minorEastAsia"/>
          <w:color w:val="000000"/>
          <w:kern w:val="2"/>
          <w:szCs w:val="24"/>
          <w:lang w:val="en-GB" w:eastAsia="ru-RU"/>
          <w14:ligatures w14:val="standardContextual"/>
        </w:rPr>
        <w:t xml:space="preserve"> 1996;</w:t>
      </w:r>
      <w:r w:rsidR="001C4298">
        <w:rPr>
          <w:rFonts w:eastAsiaTheme="minorEastAsia"/>
          <w:color w:val="000000"/>
          <w:kern w:val="2"/>
          <w:szCs w:val="24"/>
          <w:lang w:val="en-GB" w:eastAsia="ru-RU"/>
          <w14:ligatures w14:val="standardContextual"/>
        </w:rPr>
        <w:t xml:space="preserve"> </w:t>
      </w:r>
      <w:proofErr w:type="spellStart"/>
      <w:r w:rsidR="001C4298" w:rsidRPr="00F832AB">
        <w:rPr>
          <w:rFonts w:eastAsiaTheme="minorEastAsia"/>
          <w:color w:val="000000"/>
          <w:kern w:val="2"/>
          <w:szCs w:val="24"/>
          <w:lang w:val="en-GB" w:eastAsia="ru-RU"/>
          <w14:ligatures w14:val="standardContextual"/>
        </w:rPr>
        <w:t>Dorefeev</w:t>
      </w:r>
      <w:proofErr w:type="spellEnd"/>
      <w:r w:rsidR="001C4298" w:rsidRPr="00F832AB">
        <w:rPr>
          <w:rFonts w:eastAsiaTheme="minorEastAsia"/>
          <w:color w:val="000000"/>
          <w:kern w:val="2"/>
          <w:szCs w:val="24"/>
          <w:lang w:val="en-GB" w:eastAsia="ru-RU"/>
          <w14:ligatures w14:val="standardContextual"/>
        </w:rPr>
        <w:t xml:space="preserve"> et al.</w:t>
      </w:r>
      <w:r w:rsidR="001C4298">
        <w:rPr>
          <w:rFonts w:eastAsiaTheme="minorEastAsia"/>
          <w:color w:val="000000"/>
          <w:kern w:val="2"/>
          <w:szCs w:val="24"/>
          <w:lang w:val="en-GB" w:eastAsia="ru-RU"/>
          <w14:ligatures w14:val="standardContextual"/>
        </w:rPr>
        <w:t>,</w:t>
      </w:r>
      <w:r w:rsidR="001C4298" w:rsidRPr="00F832AB">
        <w:rPr>
          <w:rFonts w:eastAsiaTheme="minorEastAsia"/>
          <w:color w:val="000000"/>
          <w:kern w:val="2"/>
          <w:szCs w:val="24"/>
          <w:lang w:val="en-GB" w:eastAsia="ru-RU"/>
          <w14:ligatures w14:val="standardContextual"/>
        </w:rPr>
        <w:t xml:space="preserve"> </w:t>
      </w:r>
      <w:r w:rsidR="00BA01C1">
        <w:rPr>
          <w:rFonts w:eastAsiaTheme="minorEastAsia"/>
          <w:color w:val="000000"/>
          <w:kern w:val="2"/>
          <w:szCs w:val="24"/>
          <w:lang w:val="en-GB" w:eastAsia="ru-RU"/>
          <w14:ligatures w14:val="standardContextual"/>
        </w:rPr>
        <w:t>199;</w:t>
      </w:r>
      <w:r w:rsidR="00C20A01">
        <w:rPr>
          <w:rFonts w:eastAsiaTheme="minorEastAsia"/>
          <w:color w:val="000000"/>
          <w:kern w:val="2"/>
          <w:szCs w:val="24"/>
          <w:lang w:val="en-GB" w:eastAsia="ru-RU"/>
          <w14:ligatures w14:val="standardContextual"/>
        </w:rPr>
        <w:t xml:space="preserve"> Cicarelli et al. </w:t>
      </w:r>
      <w:r w:rsidR="001C4298">
        <w:rPr>
          <w:rFonts w:eastAsiaTheme="minorEastAsia"/>
          <w:color w:val="000000"/>
          <w:kern w:val="2"/>
          <w:szCs w:val="24"/>
          <w:lang w:val="en-GB" w:eastAsia="ru-RU"/>
          <w14:ligatures w14:val="standardContextual"/>
        </w:rPr>
        <w:t>2019</w:t>
      </w:r>
      <w:r w:rsidR="00C20A01">
        <w:rPr>
          <w:rFonts w:eastAsiaTheme="minorEastAsia"/>
          <w:color w:val="000000"/>
          <w:kern w:val="2"/>
          <w:szCs w:val="24"/>
          <w:lang w:val="en-GB" w:eastAsia="ru-RU"/>
          <w14:ligatures w14:val="standardContextual"/>
        </w:rPr>
        <w:t>;</w:t>
      </w:r>
      <w:r w:rsidR="004D69CF">
        <w:rPr>
          <w:rFonts w:eastAsiaTheme="minorEastAsia"/>
          <w:color w:val="000000"/>
          <w:kern w:val="2"/>
          <w:szCs w:val="24"/>
          <w:lang w:val="en-GB" w:eastAsia="ru-RU"/>
          <w14:ligatures w14:val="standardContextual"/>
        </w:rPr>
        <w:t xml:space="preserve"> Kuznetsov et al., 2022</w:t>
      </w:r>
      <w:r w:rsidR="008D1170">
        <w:rPr>
          <w:rFonts w:eastAsiaTheme="minorEastAsia"/>
          <w:color w:val="000000"/>
          <w:kern w:val="2"/>
          <w:szCs w:val="24"/>
          <w:lang w:val="en-GB" w:eastAsia="ru-RU"/>
          <w14:ligatures w14:val="standardContextual"/>
        </w:rPr>
        <w:t>) flames.</w:t>
      </w:r>
    </w:p>
    <w:p w14:paraId="02653D63" w14:textId="34843F2B" w:rsidR="009902A3" w:rsidRPr="00B57B36" w:rsidRDefault="00F96059" w:rsidP="009902A3">
      <w:pPr>
        <w:pStyle w:val="CETCaption"/>
      </w:pPr>
      <w:r>
        <w:rPr>
          <w:noProof/>
        </w:rPr>
        <w:drawing>
          <wp:inline distT="0" distB="0" distL="0" distR="0" wp14:anchorId="507833DB" wp14:editId="733934CE">
            <wp:extent cx="3514812" cy="2357613"/>
            <wp:effectExtent l="0" t="0" r="3175" b="5080"/>
            <wp:docPr id="912970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70646" name="Рисунок 1"/>
                    <pic:cNvPicPr/>
                  </pic:nvPicPr>
                  <pic:blipFill>
                    <a:blip r:embed="rId10"/>
                    <a:stretch>
                      <a:fillRect/>
                    </a:stretch>
                  </pic:blipFill>
                  <pic:spPr>
                    <a:xfrm>
                      <a:off x="0" y="0"/>
                      <a:ext cx="3514812" cy="2357613"/>
                    </a:xfrm>
                    <a:prstGeom prst="rect">
                      <a:avLst/>
                    </a:prstGeom>
                  </pic:spPr>
                </pic:pic>
              </a:graphicData>
            </a:graphic>
          </wp:inline>
        </w:drawing>
      </w:r>
    </w:p>
    <w:p w14:paraId="5CE7D7CF" w14:textId="5DA63E2D" w:rsidR="009902A3" w:rsidRPr="00B023AE" w:rsidRDefault="009902A3" w:rsidP="00B023AE">
      <w:pPr>
        <w:pStyle w:val="CETCaption"/>
        <w:rPr>
          <w:i w:val="0"/>
        </w:rPr>
      </w:pPr>
      <w:r w:rsidRPr="00B023AE">
        <w:t xml:space="preserve">Figure 1: </w:t>
      </w:r>
      <w:r w:rsidR="001E3C80" w:rsidRPr="00B023AE">
        <w:t>The temperature dependence</w:t>
      </w:r>
      <w:r w:rsidR="00BA01C1" w:rsidRPr="00B023AE">
        <w:t>s</w:t>
      </w:r>
      <w:r w:rsidR="001E3C80" w:rsidRPr="00B023AE">
        <w:t xml:space="preserve"> of the empirical concentration limits for slow and fast flames </w:t>
      </w:r>
      <w:r w:rsidR="007461FA" w:rsidRPr="00B023AE">
        <w:t xml:space="preserve">at 1 </w:t>
      </w:r>
      <w:proofErr w:type="spellStart"/>
      <w:r w:rsidR="007461FA" w:rsidRPr="00B023AE">
        <w:t>atm</w:t>
      </w:r>
      <w:proofErr w:type="spellEnd"/>
      <w:r w:rsidR="007461FA" w:rsidRPr="00B023AE">
        <w:t xml:space="preserve"> </w:t>
      </w:r>
      <w:r w:rsidR="007038CD">
        <w:t>(</w:t>
      </w:r>
      <w:r w:rsidR="00053E4B">
        <w:t xml:space="preserve">Plaksin </w:t>
      </w:r>
      <w:r w:rsidR="00DE0F2F">
        <w:t>and</w:t>
      </w:r>
      <w:r w:rsidR="00053E4B">
        <w:t xml:space="preserve"> Kirillov 2025</w:t>
      </w:r>
      <w:r w:rsidR="007038CD">
        <w:t>)</w:t>
      </w:r>
    </w:p>
    <w:p w14:paraId="19400E70" w14:textId="7A5112F0" w:rsidR="005B6342" w:rsidRPr="00806B2D" w:rsidRDefault="005B6342" w:rsidP="00806B2D">
      <w:pPr>
        <w:autoSpaceDE w:val="0"/>
        <w:autoSpaceDN w:val="0"/>
        <w:adjustRightInd w:val="0"/>
        <w:spacing w:after="120" w:line="240" w:lineRule="auto"/>
      </w:pPr>
      <w:r>
        <w:t>Analysis of the published e</w:t>
      </w:r>
      <w:r w:rsidR="005F3B06">
        <w:t>mpirical and phenomenology-based data</w:t>
      </w:r>
      <w:r w:rsidR="00806B2D">
        <w:t xml:space="preserve"> results in the following findings.</w:t>
      </w:r>
    </w:p>
    <w:p w14:paraId="0F0FDF9D" w14:textId="416DE74F" w:rsidR="000C67DA" w:rsidRDefault="00ED6D6A" w:rsidP="00132DC6">
      <w:pPr>
        <w:pStyle w:val="CETheadingx"/>
      </w:pPr>
      <w:r>
        <w:t>Incompleteness of datasets for rich limits</w:t>
      </w:r>
      <w:r w:rsidR="00D83CA7">
        <w:t xml:space="preserve"> of the fast flames</w:t>
      </w:r>
      <w:r w:rsidR="000C67DA">
        <w:t xml:space="preserve"> </w:t>
      </w:r>
    </w:p>
    <w:p w14:paraId="169C8858" w14:textId="598C7E37" w:rsidR="00D264C1" w:rsidRPr="005B6342" w:rsidRDefault="005B6342" w:rsidP="00806B2D">
      <w:pPr>
        <w:pStyle w:val="afffd"/>
        <w:autoSpaceDE w:val="0"/>
        <w:autoSpaceDN w:val="0"/>
        <w:adjustRightInd w:val="0"/>
        <w:spacing w:after="120" w:line="240" w:lineRule="auto"/>
        <w:ind w:left="0"/>
      </w:pPr>
      <w:r>
        <w:t>Currently, there is no reliable experimental data available on the rich concentration limits for effective flame acceleration, choked flame, DDT, and detonation waves.</w:t>
      </w:r>
    </w:p>
    <w:p w14:paraId="440FDB7C" w14:textId="453C4286" w:rsidR="000C67DA" w:rsidRDefault="000C67DA" w:rsidP="00132DC6">
      <w:pPr>
        <w:pStyle w:val="CETheadingx"/>
      </w:pPr>
      <w:r>
        <w:t>Contradiction</w:t>
      </w:r>
      <w:r w:rsidR="00D520CB">
        <w:t>s</w:t>
      </w:r>
      <w:r>
        <w:t xml:space="preserve"> in temperature dependence behavior </w:t>
      </w:r>
    </w:p>
    <w:p w14:paraId="112BDA76" w14:textId="04D9B39E" w:rsidR="004306C7" w:rsidRPr="00132DC6" w:rsidRDefault="00D264C1" w:rsidP="001C0815">
      <w:pPr>
        <w:pStyle w:val="afffd"/>
        <w:autoSpaceDE w:val="0"/>
        <w:autoSpaceDN w:val="0"/>
        <w:adjustRightInd w:val="0"/>
        <w:spacing w:after="120" w:line="240" w:lineRule="auto"/>
        <w:ind w:left="0"/>
      </w:pPr>
      <w:r w:rsidRPr="00ED504B">
        <w:t>The temperature dependences of the experimental datasets for the choked flame limit (Ciccarelli</w:t>
      </w:r>
      <w:r>
        <w:t xml:space="preserve"> et al.</w:t>
      </w:r>
      <w:r w:rsidRPr="00ED504B">
        <w:t>, 1996), the DDT (Ciccarelli</w:t>
      </w:r>
      <w:r>
        <w:t xml:space="preserve"> et al.</w:t>
      </w:r>
      <w:r w:rsidRPr="00ED504B">
        <w:t>, 1996), the fast flame limit (Ciccarelli</w:t>
      </w:r>
      <w:r>
        <w:t xml:space="preserve"> et al.</w:t>
      </w:r>
      <w:r w:rsidRPr="00ED504B">
        <w:t>, 2019)</w:t>
      </w:r>
      <w:r>
        <w:t>, and the flame acceleration limits (Kuznetsov, et al. 2022)</w:t>
      </w:r>
      <w:r w:rsidRPr="00ED504B">
        <w:t xml:space="preserve"> show different </w:t>
      </w:r>
      <w:proofErr w:type="spellStart"/>
      <w:r w:rsidRPr="00ED504B">
        <w:t>behavior</w:t>
      </w:r>
      <w:proofErr w:type="spellEnd"/>
      <w:r w:rsidRPr="00ED504B">
        <w:t xml:space="preserve"> compared to the temperature dependence of the </w:t>
      </w:r>
      <w:proofErr w:type="spellStart"/>
      <w:r w:rsidRPr="00ED504B">
        <w:t>detonability</w:t>
      </w:r>
      <w:proofErr w:type="spellEnd"/>
      <w:r w:rsidRPr="00ED504B">
        <w:t xml:space="preserve"> limit (Ciccarelli, 1994).</w:t>
      </w:r>
      <w:r>
        <w:t xml:space="preserve"> </w:t>
      </w:r>
      <w:r w:rsidRPr="00A72A6B">
        <w:t>The causes of these temperature</w:t>
      </w:r>
      <w:r>
        <w:t>-</w:t>
      </w:r>
      <w:r w:rsidRPr="00A72A6B">
        <w:t xml:space="preserve">dependent patterns </w:t>
      </w:r>
      <w:r>
        <w:t xml:space="preserve">would </w:t>
      </w:r>
      <w:r w:rsidRPr="00A72A6B">
        <w:t>be investigated.</w:t>
      </w:r>
    </w:p>
    <w:p w14:paraId="26B5E070" w14:textId="77777777" w:rsidR="00345ECF" w:rsidRDefault="00922AB1" w:rsidP="00453E24">
      <w:pPr>
        <w:pStyle w:val="CETHeading1"/>
      </w:pPr>
      <w:r>
        <w:t xml:space="preserve">Fundamental </w:t>
      </w:r>
      <w:r w:rsidR="00CF53B7">
        <w:t>concentration limits</w:t>
      </w:r>
    </w:p>
    <w:p w14:paraId="38064146" w14:textId="6375F07B" w:rsidR="00BE7804" w:rsidRPr="003D54DF" w:rsidRDefault="00BE7804" w:rsidP="0007765A">
      <w:pPr>
        <w:pStyle w:val="CETBodytext"/>
        <w:rPr>
          <w:color w:val="000000"/>
        </w:rPr>
      </w:pPr>
      <w:r w:rsidRPr="00BE7804">
        <w:rPr>
          <w:color w:val="000000"/>
        </w:rPr>
        <w:t xml:space="preserve">The </w:t>
      </w:r>
      <w:r w:rsidR="003D54DF" w:rsidRPr="00E74F39">
        <w:rPr>
          <w:color w:val="000000"/>
        </w:rPr>
        <w:t xml:space="preserve">conservativeness </w:t>
      </w:r>
      <w:r w:rsidR="003D54DF">
        <w:rPr>
          <w:color w:val="000000"/>
        </w:rPr>
        <w:t xml:space="preserve">and consistency </w:t>
      </w:r>
      <w:r w:rsidRPr="00BE7804">
        <w:rPr>
          <w:color w:val="000000"/>
        </w:rPr>
        <w:t xml:space="preserve">of empirical estimates cannot be evaluated using only the empirical approach (without additional observations and interpretations from </w:t>
      </w:r>
      <w:r w:rsidR="00DE0F2F">
        <w:rPr>
          <w:color w:val="000000"/>
        </w:rPr>
        <w:t>theoretical side</w:t>
      </w:r>
      <w:r w:rsidRPr="00BE7804">
        <w:rPr>
          <w:color w:val="000000"/>
        </w:rPr>
        <w:t>).</w:t>
      </w:r>
    </w:p>
    <w:p w14:paraId="092D196E" w14:textId="536D45B5" w:rsidR="00AF36BD" w:rsidRDefault="00557112" w:rsidP="00225AB6">
      <w:pPr>
        <w:pStyle w:val="CETBodytext"/>
        <w:rPr>
          <w:color w:val="000000"/>
        </w:rPr>
      </w:pPr>
      <w:r w:rsidRPr="005D12F7">
        <w:rPr>
          <w:color w:val="000000"/>
        </w:rPr>
        <w:t>To</w:t>
      </w:r>
      <w:r w:rsidR="005D12F7" w:rsidRPr="005D12F7">
        <w:rPr>
          <w:color w:val="000000"/>
        </w:rPr>
        <w:t xml:space="preserve"> enhance our understanding of flammability and explosive limits across varying temperatures and environmental conditions, a </w:t>
      </w:r>
      <w:r w:rsidR="00DE0F2F">
        <w:rPr>
          <w:color w:val="000000"/>
        </w:rPr>
        <w:t xml:space="preserve">unified </w:t>
      </w:r>
      <w:r w:rsidR="005D12F7" w:rsidRPr="005D12F7">
        <w:rPr>
          <w:color w:val="000000"/>
        </w:rPr>
        <w:t>theoretical framework for assessing fundamental concentration limits</w:t>
      </w:r>
      <w:r w:rsidR="00DE0F2F">
        <w:rPr>
          <w:color w:val="000000"/>
        </w:rPr>
        <w:t xml:space="preserve"> for different flame types (deflagration, detonation, flame balls)</w:t>
      </w:r>
      <w:r w:rsidR="005D12F7" w:rsidRPr="005D12F7">
        <w:rPr>
          <w:color w:val="000000"/>
        </w:rPr>
        <w:t xml:space="preserve"> has been introduced (Plaksin and Kirillov, 2023). This non-empirical </w:t>
      </w:r>
      <w:r w:rsidR="00DE0F2F">
        <w:rPr>
          <w:color w:val="000000"/>
        </w:rPr>
        <w:t>framework</w:t>
      </w:r>
      <w:r w:rsidR="005D12F7" w:rsidRPr="005D12F7">
        <w:rPr>
          <w:color w:val="000000"/>
        </w:rPr>
        <w:t xml:space="preserve"> builds on Belles' concept </w:t>
      </w:r>
      <w:r w:rsidR="00DE0F2F">
        <w:rPr>
          <w:color w:val="000000"/>
        </w:rPr>
        <w:t>(</w:t>
      </w:r>
      <w:r w:rsidR="00DE0F2F" w:rsidRPr="003E6F23">
        <w:t>Belles, 1958</w:t>
      </w:r>
      <w:r w:rsidR="00DE0F2F">
        <w:rPr>
          <w:color w:val="000000"/>
        </w:rPr>
        <w:t xml:space="preserve">) </w:t>
      </w:r>
      <w:r w:rsidR="005D12F7" w:rsidRPr="005D12F7">
        <w:rPr>
          <w:color w:val="000000"/>
        </w:rPr>
        <w:t xml:space="preserve">of the kinetic </w:t>
      </w:r>
      <w:r w:rsidR="00DE0F2F">
        <w:rPr>
          <w:color w:val="000000"/>
        </w:rPr>
        <w:t>nature</w:t>
      </w:r>
      <w:r w:rsidR="005D12F7" w:rsidRPr="005D12F7">
        <w:rPr>
          <w:color w:val="000000"/>
        </w:rPr>
        <w:t xml:space="preserve"> of concentration limits related to combustion.</w:t>
      </w:r>
      <w:r w:rsidR="005D12F7">
        <w:rPr>
          <w:color w:val="000000"/>
        </w:rPr>
        <w:t xml:space="preserve"> </w:t>
      </w:r>
    </w:p>
    <w:p w14:paraId="05F49B56" w14:textId="329E9D49" w:rsidR="00225AB6" w:rsidRPr="00914829" w:rsidRDefault="002147FE" w:rsidP="00225AB6">
      <w:pPr>
        <w:pStyle w:val="CETBodytext"/>
      </w:pPr>
      <w:r w:rsidRPr="005D12F7">
        <w:rPr>
          <w:color w:val="000000"/>
        </w:rPr>
        <w:t>The</w:t>
      </w:r>
      <w:r w:rsidRPr="002147FE">
        <w:t xml:space="preserve"> term "fundamental"</w:t>
      </w:r>
      <w:r w:rsidR="00C4757E">
        <w:t xml:space="preserve"> (</w:t>
      </w:r>
      <w:r w:rsidR="00C4757E" w:rsidRPr="006D7DC9">
        <w:t xml:space="preserve">Law and </w:t>
      </w:r>
      <w:proofErr w:type="spellStart"/>
      <w:r w:rsidR="00C4757E" w:rsidRPr="006D7DC9">
        <w:t>Egolfopoulos</w:t>
      </w:r>
      <w:proofErr w:type="spellEnd"/>
      <w:r w:rsidR="00C4757E" w:rsidRPr="006D7DC9">
        <w:t>, 1990</w:t>
      </w:r>
      <w:r w:rsidR="00C4757E">
        <w:t>)</w:t>
      </w:r>
      <w:r w:rsidRPr="002147FE">
        <w:t xml:space="preserve"> here refers to the intrinsic </w:t>
      </w:r>
      <w:proofErr w:type="spellStart"/>
      <w:r w:rsidRPr="002147FE">
        <w:t>physico</w:t>
      </w:r>
      <w:proofErr w:type="spellEnd"/>
      <w:r w:rsidRPr="002147FE">
        <w:t>-chemical characteristics of gas mixtures that do not depend on the testing facility, procedures, or measurement criteria.</w:t>
      </w:r>
      <w:r w:rsidR="001852C0">
        <w:t xml:space="preserve"> </w:t>
      </w:r>
      <w:r w:rsidR="00397899">
        <w:t>Usefulness</w:t>
      </w:r>
      <w:r w:rsidR="001852C0">
        <w:t xml:space="preserve"> and validity of the </w:t>
      </w:r>
      <w:r w:rsidR="00C10BC8">
        <w:t xml:space="preserve">non-empirical estimates of the </w:t>
      </w:r>
      <w:r w:rsidR="00C3260C">
        <w:t>concentration</w:t>
      </w:r>
      <w:r w:rsidR="00C10BC8">
        <w:t xml:space="preserve"> limits are given</w:t>
      </w:r>
      <w:r w:rsidR="00DE0F2F">
        <w:t xml:space="preserve"> below</w:t>
      </w:r>
      <w:r w:rsidR="00C10BC8">
        <w:t xml:space="preserve"> for two </w:t>
      </w:r>
      <w:r w:rsidR="00C3260C">
        <w:t>cases – 1) analysis of the structure of the ternary diagram for the hydrogen</w:t>
      </w:r>
      <w:r w:rsidR="00003C31">
        <w:t>-air-water steam mixtures at 1 atm and 373K, 2)</w:t>
      </w:r>
      <w:r w:rsidR="009565CC">
        <w:t xml:space="preserve"> </w:t>
      </w:r>
      <w:r w:rsidR="00624D50">
        <w:t xml:space="preserve">“blind” </w:t>
      </w:r>
      <w:r w:rsidR="009565CC">
        <w:t>predictions</w:t>
      </w:r>
      <w:r w:rsidR="008E7BCD">
        <w:t xml:space="preserve"> (without any relying on experimental measurements)</w:t>
      </w:r>
      <w:r w:rsidR="009565CC">
        <w:t xml:space="preserve"> </w:t>
      </w:r>
      <w:r w:rsidR="008E7BCD">
        <w:t>of t</w:t>
      </w:r>
      <w:r w:rsidR="009565CC">
        <w:t xml:space="preserve">emperature dependencies </w:t>
      </w:r>
      <w:r w:rsidR="009565CC" w:rsidRPr="00466B7B">
        <w:t xml:space="preserve">of the fundamental concentration limits for </w:t>
      </w:r>
      <w:r w:rsidR="009565CC">
        <w:t xml:space="preserve">the </w:t>
      </w:r>
      <w:r w:rsidR="009565CC" w:rsidRPr="00466B7B">
        <w:t>basic combustion modes</w:t>
      </w:r>
      <w:r w:rsidR="009565CC">
        <w:t xml:space="preserve"> – </w:t>
      </w:r>
      <w:r w:rsidR="00EE6D08">
        <w:t>a</w:t>
      </w:r>
      <w:r w:rsidR="009565CC">
        <w:t>)</w:t>
      </w:r>
      <w:r w:rsidR="00624D50" w:rsidRPr="00624D50">
        <w:t xml:space="preserve"> </w:t>
      </w:r>
      <w:r w:rsidR="00624D50">
        <w:t>1-dim detonation flame</w:t>
      </w:r>
      <w:r w:rsidR="009F5487">
        <w:t xml:space="preserve"> (Belles, 1958), </w:t>
      </w:r>
      <w:r w:rsidR="00EE6D08">
        <w:t>b</w:t>
      </w:r>
      <w:r w:rsidR="009F5487">
        <w:t>)</w:t>
      </w:r>
      <w:r w:rsidR="009565CC">
        <w:t xml:space="preserve"> plane deflagration flames</w:t>
      </w:r>
      <w:r w:rsidR="00624D50">
        <w:t xml:space="preserve"> (Kirillov, 2017)</w:t>
      </w:r>
      <w:r w:rsidR="009565CC">
        <w:t xml:space="preserve">, </w:t>
      </w:r>
      <w:r w:rsidR="00EE6D08">
        <w:t>c</w:t>
      </w:r>
      <w:r w:rsidR="009565CC">
        <w:t>) adiabatic spherical flame balls (</w:t>
      </w:r>
      <w:r w:rsidR="00624D50">
        <w:t>Plaksin and Kirillov, 2023</w:t>
      </w:r>
      <w:r w:rsidR="009565CC">
        <w:t>)</w:t>
      </w:r>
      <w:r w:rsidR="00003C31">
        <w:t xml:space="preserve"> </w:t>
      </w:r>
    </w:p>
    <w:p w14:paraId="13F7DAA2" w14:textId="327C164D" w:rsidR="00225AB6" w:rsidRPr="00B57B36" w:rsidRDefault="00225AB6" w:rsidP="00225AB6">
      <w:pPr>
        <w:pStyle w:val="CETheadingx"/>
      </w:pPr>
      <w:r w:rsidRPr="00914829">
        <w:lastRenderedPageBreak/>
        <w:t>Fundamental concentration limits as a conservative estimate of empirical limits</w:t>
      </w:r>
      <w:r w:rsidR="00A4355B">
        <w:t xml:space="preserve"> for slow flames</w:t>
      </w:r>
    </w:p>
    <w:p w14:paraId="2206A1FB" w14:textId="459470BA" w:rsidR="00694A77" w:rsidRPr="00745DAF" w:rsidRDefault="00355EAE" w:rsidP="00694A77">
      <w:pPr>
        <w:pStyle w:val="afffd"/>
        <w:autoSpaceDE w:val="0"/>
        <w:autoSpaceDN w:val="0"/>
        <w:adjustRightInd w:val="0"/>
        <w:spacing w:after="120" w:line="240" w:lineRule="auto"/>
        <w:ind w:left="0"/>
      </w:pPr>
      <w:r w:rsidRPr="00355EAE">
        <w:t xml:space="preserve">In Figure 2, the fundamental concentration limits, determined using a proposed non-empirical </w:t>
      </w:r>
      <w:r w:rsidR="00DE0F2F">
        <w:t>framework</w:t>
      </w:r>
      <w:r w:rsidRPr="00355EAE">
        <w:t xml:space="preserve">, are compared with the empirical data from </w:t>
      </w:r>
      <w:proofErr w:type="spellStart"/>
      <w:r w:rsidRPr="00355EAE">
        <w:t>Cheikhravat</w:t>
      </w:r>
      <w:proofErr w:type="spellEnd"/>
      <w:r w:rsidRPr="00355EAE">
        <w:t xml:space="preserve"> et al. (2015) and Kumar (1985).</w:t>
      </w:r>
    </w:p>
    <w:p w14:paraId="74061A2E" w14:textId="77777777" w:rsidR="00225AB6" w:rsidRDefault="00225AB6" w:rsidP="00225AB6">
      <w:pPr>
        <w:pStyle w:val="CETBodytext"/>
      </w:pPr>
      <w:r>
        <w:rPr>
          <w:noProof/>
        </w:rPr>
        <w:drawing>
          <wp:inline distT="0" distB="0" distL="0" distR="0" wp14:anchorId="66801245" wp14:editId="560C81D4">
            <wp:extent cx="2793600" cy="2116800"/>
            <wp:effectExtent l="0" t="0" r="635" b="4445"/>
            <wp:docPr id="11201498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49816" name="Рисунок 5"/>
                    <pic:cNvPicPr/>
                  </pic:nvPicPr>
                  <pic:blipFill>
                    <a:blip r:embed="rId11"/>
                    <a:stretch>
                      <a:fillRect/>
                    </a:stretch>
                  </pic:blipFill>
                  <pic:spPr>
                    <a:xfrm>
                      <a:off x="0" y="0"/>
                      <a:ext cx="2793600" cy="2116800"/>
                    </a:xfrm>
                    <a:prstGeom prst="rect">
                      <a:avLst/>
                    </a:prstGeom>
                  </pic:spPr>
                </pic:pic>
              </a:graphicData>
            </a:graphic>
          </wp:inline>
        </w:drawing>
      </w:r>
    </w:p>
    <w:p w14:paraId="29275F4F" w14:textId="4A632585" w:rsidR="00225AB6" w:rsidRPr="00B77810" w:rsidRDefault="00225AB6" w:rsidP="00B023AE">
      <w:pPr>
        <w:pStyle w:val="CETCaption"/>
        <w:rPr>
          <w:rStyle w:val="CETCaptionCarattere"/>
          <w:i/>
        </w:rPr>
      </w:pPr>
      <w:r w:rsidRPr="00B77810">
        <w:rPr>
          <w:rStyle w:val="CETCaptionCarattere"/>
          <w:i/>
        </w:rPr>
        <w:t xml:space="preserve">Figure </w:t>
      </w:r>
      <w:r w:rsidR="0081793C" w:rsidRPr="00B77810">
        <w:rPr>
          <w:rStyle w:val="CETCaptionCarattere"/>
          <w:i/>
        </w:rPr>
        <w:t>2</w:t>
      </w:r>
      <w:r w:rsidRPr="00B77810">
        <w:rPr>
          <w:rStyle w:val="CETCaptionCarattere"/>
          <w:i/>
        </w:rPr>
        <w:t xml:space="preserve">: </w:t>
      </w:r>
      <w:r w:rsidR="007A5399" w:rsidRPr="00B77810">
        <w:rPr>
          <w:rStyle w:val="CETCaptionCarattere"/>
          <w:i/>
        </w:rPr>
        <w:t xml:space="preserve">Ternary </w:t>
      </w:r>
      <w:r w:rsidRPr="00B77810">
        <w:rPr>
          <w:rStyle w:val="CETCaptionCarattere"/>
          <w:i/>
        </w:rPr>
        <w:t>diagram for</w:t>
      </w:r>
      <w:r w:rsidR="007A5399" w:rsidRPr="00B77810">
        <w:rPr>
          <w:rStyle w:val="CETCaptionCarattere"/>
          <w:i/>
        </w:rPr>
        <w:t xml:space="preserve"> flammability of the</w:t>
      </w:r>
      <w:r w:rsidRPr="00B77810">
        <w:rPr>
          <w:rStyle w:val="CETCaptionCarattere"/>
          <w:i/>
        </w:rPr>
        <w:t xml:space="preserve"> hydrogen-air-steam mixtures at 1 atm and 373K: non-empiric model</w:t>
      </w:r>
      <w:r w:rsidR="005265F9" w:rsidRPr="00B77810">
        <w:rPr>
          <w:rStyle w:val="CETCaptionCarattere"/>
          <w:i/>
        </w:rPr>
        <w:t>s</w:t>
      </w:r>
      <w:r w:rsidR="00117F3A" w:rsidRPr="00B77810">
        <w:rPr>
          <w:rStyle w:val="CETCaptionCarattere"/>
          <w:i/>
        </w:rPr>
        <w:t xml:space="preserve"> (Plaksin &amp; Kirillov 2025)</w:t>
      </w:r>
      <w:r w:rsidR="001E5A11" w:rsidRPr="00B77810">
        <w:rPr>
          <w:rStyle w:val="CETCaptionCarattere"/>
          <w:i/>
        </w:rPr>
        <w:t xml:space="preserve"> -</w:t>
      </w:r>
      <w:r w:rsidRPr="00B77810">
        <w:rPr>
          <w:rStyle w:val="CETCaptionCarattere"/>
          <w:i/>
        </w:rPr>
        <w:t xml:space="preserve"> for plane deflagrations (red) and </w:t>
      </w:r>
      <w:r w:rsidR="006B7FD9">
        <w:rPr>
          <w:rStyle w:val="CETCaptionCarattere"/>
          <w:i/>
        </w:rPr>
        <w:t xml:space="preserve">adiabatic </w:t>
      </w:r>
      <w:r w:rsidR="005265F9" w:rsidRPr="00B77810">
        <w:rPr>
          <w:rStyle w:val="CETCaptionCarattere"/>
          <w:i/>
        </w:rPr>
        <w:t xml:space="preserve">spherical </w:t>
      </w:r>
      <w:r w:rsidRPr="00B77810">
        <w:rPr>
          <w:rStyle w:val="CETCaptionCarattere"/>
          <w:i/>
        </w:rPr>
        <w:t xml:space="preserve">flame balls (blue); experiments </w:t>
      </w:r>
      <w:r w:rsidR="001E5A11" w:rsidRPr="00B77810">
        <w:rPr>
          <w:rStyle w:val="CETCaptionCarattere"/>
          <w:i/>
        </w:rPr>
        <w:t xml:space="preserve">- </w:t>
      </w:r>
      <w:proofErr w:type="spellStart"/>
      <w:r w:rsidRPr="00B77810">
        <w:rPr>
          <w:rStyle w:val="CETCaptionCarattere"/>
          <w:i/>
        </w:rPr>
        <w:t>Cheikhravat</w:t>
      </w:r>
      <w:proofErr w:type="spellEnd"/>
      <w:r w:rsidRPr="00B77810">
        <w:rPr>
          <w:rStyle w:val="CETCaptionCarattere"/>
          <w:i/>
        </w:rPr>
        <w:t xml:space="preserve"> et al., </w:t>
      </w:r>
      <w:r w:rsidR="00EB7ED8" w:rsidRPr="00B77810">
        <w:rPr>
          <w:rStyle w:val="CETCaptionCarattere"/>
          <w:i/>
        </w:rPr>
        <w:t>(</w:t>
      </w:r>
      <w:r w:rsidRPr="00B77810">
        <w:rPr>
          <w:rStyle w:val="CETCaptionCarattere"/>
          <w:i/>
        </w:rPr>
        <w:t>2015</w:t>
      </w:r>
      <w:r w:rsidR="00EB7ED8" w:rsidRPr="00B77810">
        <w:rPr>
          <w:rStyle w:val="CETCaptionCarattere"/>
          <w:i/>
        </w:rPr>
        <w:t>)</w:t>
      </w:r>
      <w:r w:rsidRPr="00B77810">
        <w:rPr>
          <w:rStyle w:val="CETCaptionCarattere"/>
          <w:i/>
        </w:rPr>
        <w:t xml:space="preserve"> (squares and triangles)</w:t>
      </w:r>
      <w:r w:rsidR="001E5A11" w:rsidRPr="00B77810">
        <w:rPr>
          <w:rStyle w:val="CETCaptionCarattere"/>
          <w:i/>
        </w:rPr>
        <w:t xml:space="preserve">, Kumar </w:t>
      </w:r>
      <w:r w:rsidR="00EB7ED8" w:rsidRPr="00B77810">
        <w:rPr>
          <w:rStyle w:val="CETCaptionCarattere"/>
          <w:i/>
        </w:rPr>
        <w:t>(</w:t>
      </w:r>
      <w:r w:rsidR="001E5A11" w:rsidRPr="00B77810">
        <w:rPr>
          <w:rStyle w:val="CETCaptionCarattere"/>
          <w:i/>
        </w:rPr>
        <w:t>1985</w:t>
      </w:r>
      <w:r w:rsidR="00EB7ED8" w:rsidRPr="00B77810">
        <w:rPr>
          <w:rStyle w:val="CETCaptionCarattere"/>
          <w:i/>
        </w:rPr>
        <w:t>)</w:t>
      </w:r>
      <w:r w:rsidR="001E5A11" w:rsidRPr="00B77810">
        <w:rPr>
          <w:rStyle w:val="CETCaptionCarattere"/>
          <w:i/>
        </w:rPr>
        <w:t xml:space="preserve"> </w:t>
      </w:r>
      <w:r w:rsidR="004856FF" w:rsidRPr="00B77810">
        <w:rPr>
          <w:rStyle w:val="CETCaptionCarattere"/>
          <w:i/>
        </w:rPr>
        <w:t>(black</w:t>
      </w:r>
      <w:r w:rsidR="00071F4B" w:rsidRPr="00B77810">
        <w:rPr>
          <w:rStyle w:val="CETCaptionCarattere"/>
          <w:i/>
        </w:rPr>
        <w:t xml:space="preserve"> </w:t>
      </w:r>
      <w:r w:rsidR="00066EB8" w:rsidRPr="00B77810">
        <w:rPr>
          <w:rStyle w:val="CETCaptionCarattere"/>
          <w:i/>
        </w:rPr>
        <w:t>continuous</w:t>
      </w:r>
      <w:r w:rsidR="00071F4B" w:rsidRPr="00B77810">
        <w:rPr>
          <w:rStyle w:val="CETCaptionCarattere"/>
          <w:i/>
        </w:rPr>
        <w:t xml:space="preserve"> and dashed lines</w:t>
      </w:r>
      <w:r w:rsidR="00066EB8" w:rsidRPr="00B77810">
        <w:rPr>
          <w:rStyle w:val="CETCaptionCarattere"/>
          <w:i/>
        </w:rPr>
        <w:t>)</w:t>
      </w:r>
    </w:p>
    <w:p w14:paraId="7D087E8F" w14:textId="3E25454E" w:rsidR="003026A5" w:rsidRDefault="00F06A63" w:rsidP="00F06A63">
      <w:pPr>
        <w:autoSpaceDE w:val="0"/>
        <w:autoSpaceDN w:val="0"/>
        <w:adjustRightInd w:val="0"/>
        <w:spacing w:after="120" w:line="240" w:lineRule="auto"/>
      </w:pPr>
      <w:r w:rsidRPr="006025F7">
        <w:t xml:space="preserve">In Figure </w:t>
      </w:r>
      <w:r w:rsidR="0081793C">
        <w:t>2</w:t>
      </w:r>
      <w:r w:rsidRPr="006025F7">
        <w:t>, all the experimental points for lean upward propagating flames are located above the lean fundamental limit for flame balls (blue line DE), and all the experimental data for rich downward and upward propagating flames is located below the rich fundamental limit for plane deflagration flames (red dotted line BC).</w:t>
      </w:r>
      <w:r w:rsidR="00155EB6">
        <w:t xml:space="preserve"> </w:t>
      </w:r>
      <w:r w:rsidRPr="00BB7DD8">
        <w:t>These two facts can be interpreted from two perspectives. From a geometrical perspective, lines, representing fundamental limits, act as an "envelope" or "ultimate or absolute boundary" for empirical points.</w:t>
      </w:r>
      <w:r w:rsidR="00862697">
        <w:t xml:space="preserve"> </w:t>
      </w:r>
      <w:r w:rsidR="00862697" w:rsidRPr="00862697">
        <w:t>From a safety standpoint, the fundamental concentration limits offer a more cautious estimate than empirical values</w:t>
      </w:r>
      <w:r w:rsidRPr="00BB7DD8">
        <w:t>.</w:t>
      </w:r>
      <w:r w:rsidR="00155EB6">
        <w:t xml:space="preserve"> </w:t>
      </w:r>
      <w:r>
        <w:t>So, rich</w:t>
      </w:r>
      <w:r w:rsidRPr="005B4FED">
        <w:t xml:space="preserve"> fundamental concentration limits for deflagration flames can be </w:t>
      </w:r>
      <w:r>
        <w:t>consider</w:t>
      </w:r>
      <w:r w:rsidRPr="005B4FED">
        <w:t>ed as</w:t>
      </w:r>
      <w:r>
        <w:t xml:space="preserve"> a</w:t>
      </w:r>
      <w:r w:rsidRPr="005B4FED">
        <w:t xml:space="preserve"> “conservative”</w:t>
      </w:r>
      <w:r>
        <w:t xml:space="preserve"> estimate</w:t>
      </w:r>
      <w:r w:rsidRPr="005B4FED">
        <w:t xml:space="preserve"> </w:t>
      </w:r>
      <w:r>
        <w:t>and</w:t>
      </w:r>
      <w:r w:rsidRPr="005B4FED">
        <w:t xml:space="preserve"> </w:t>
      </w:r>
      <w:r>
        <w:t xml:space="preserve">geometrical </w:t>
      </w:r>
      <w:r w:rsidRPr="005B4FED">
        <w:t>“envelope</w:t>
      </w:r>
      <w:r>
        <w:t>” (or “absolute limit”)</w:t>
      </w:r>
      <w:r w:rsidRPr="005B4FED">
        <w:t xml:space="preserve"> for</w:t>
      </w:r>
      <w:r>
        <w:t xml:space="preserve"> both</w:t>
      </w:r>
      <w:r w:rsidRPr="005B4FED">
        <w:t xml:space="preserve"> </w:t>
      </w:r>
      <w:r>
        <w:t>rich</w:t>
      </w:r>
      <w:r w:rsidRPr="005B4FED">
        <w:t xml:space="preserve"> empirical limits of the </w:t>
      </w:r>
      <w:r>
        <w:t>upward</w:t>
      </w:r>
      <w:r w:rsidRPr="005B4FED">
        <w:t xml:space="preserve"> </w:t>
      </w:r>
      <w:r>
        <w:t xml:space="preserve">and downward </w:t>
      </w:r>
      <w:r w:rsidRPr="005B4FED">
        <w:t>propagating flames.</w:t>
      </w:r>
      <w:r>
        <w:t xml:space="preserve"> </w:t>
      </w:r>
      <w:r w:rsidRPr="005B4FED">
        <w:t>Lean fundamental concentration limits for stationary flame balls can</w:t>
      </w:r>
      <w:r>
        <w:t xml:space="preserve"> also</w:t>
      </w:r>
      <w:r w:rsidRPr="005B4FED">
        <w:t xml:space="preserve"> be regarded as “conservative” </w:t>
      </w:r>
      <w:r>
        <w:t>and geometrical</w:t>
      </w:r>
      <w:r w:rsidRPr="005B4FED">
        <w:t xml:space="preserve"> </w:t>
      </w:r>
      <w:r>
        <w:t>“</w:t>
      </w:r>
      <w:r w:rsidRPr="005B4FED">
        <w:t>envelope</w:t>
      </w:r>
      <w:r>
        <w:t>”</w:t>
      </w:r>
      <w:r w:rsidRPr="005B4FED">
        <w:t xml:space="preserve"> for the lean empirical limits of upward propagating flames.</w:t>
      </w:r>
    </w:p>
    <w:p w14:paraId="1AF47631" w14:textId="1DE26A8A" w:rsidR="008E0766" w:rsidRPr="00B57B36" w:rsidRDefault="008E0766" w:rsidP="008E0766">
      <w:pPr>
        <w:pStyle w:val="CETheadingx"/>
      </w:pPr>
      <w:r w:rsidRPr="00914829">
        <w:t>Fundamental concentration limits as a conservative estimate of empirical limits</w:t>
      </w:r>
      <w:r>
        <w:t xml:space="preserve"> for fast flames</w:t>
      </w:r>
    </w:p>
    <w:p w14:paraId="19494603" w14:textId="73EC437A" w:rsidR="00914829" w:rsidRPr="00855529" w:rsidRDefault="00F95525" w:rsidP="00B65063">
      <w:pPr>
        <w:pStyle w:val="afffd"/>
        <w:autoSpaceDE w:val="0"/>
        <w:autoSpaceDN w:val="0"/>
        <w:adjustRightInd w:val="0"/>
        <w:spacing w:after="120" w:line="240" w:lineRule="auto"/>
        <w:ind w:left="0"/>
      </w:pPr>
      <w:r w:rsidRPr="00F95525">
        <w:t xml:space="preserve">Figure 3 depicts how temperature influences the </w:t>
      </w:r>
      <w:r w:rsidR="00DE0F2F">
        <w:t>fundamental</w:t>
      </w:r>
      <w:r w:rsidRPr="00F95525">
        <w:t xml:space="preserve"> concentration limits for two </w:t>
      </w:r>
      <w:r w:rsidR="007A41CA">
        <w:t>basic flame families</w:t>
      </w:r>
      <w:r w:rsidRPr="00F95525">
        <w:t>: 1) slow flames (such as plane deflagration flames and spherical flame balls) and 2) fast flames (detonation waves) in dry hydrogen-air mixtures at normal pressure, across a broad range of initial temperatures</w:t>
      </w:r>
      <w:r>
        <w:t xml:space="preserve"> (90 – 850 K)</w:t>
      </w:r>
      <w:r w:rsidRPr="00F95525">
        <w:t>.</w:t>
      </w:r>
    </w:p>
    <w:p w14:paraId="619C5AAB" w14:textId="6040B2B7" w:rsidR="00A047D2" w:rsidRDefault="00660D5B" w:rsidP="00914829">
      <w:pPr>
        <w:pStyle w:val="CETBodytext"/>
      </w:pPr>
      <w:r>
        <w:rPr>
          <w:noProof/>
        </w:rPr>
        <w:drawing>
          <wp:inline distT="0" distB="0" distL="0" distR="0" wp14:anchorId="2D151350" wp14:editId="38DD7377">
            <wp:extent cx="2793600" cy="2145600"/>
            <wp:effectExtent l="0" t="0" r="635" b="1270"/>
            <wp:docPr id="9884380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38084" name="Рисунок 3"/>
                    <pic:cNvPicPr/>
                  </pic:nvPicPr>
                  <pic:blipFill>
                    <a:blip r:embed="rId12"/>
                    <a:stretch>
                      <a:fillRect/>
                    </a:stretch>
                  </pic:blipFill>
                  <pic:spPr>
                    <a:xfrm>
                      <a:off x="0" y="0"/>
                      <a:ext cx="2793600" cy="2145600"/>
                    </a:xfrm>
                    <a:prstGeom prst="rect">
                      <a:avLst/>
                    </a:prstGeom>
                  </pic:spPr>
                </pic:pic>
              </a:graphicData>
            </a:graphic>
          </wp:inline>
        </w:drawing>
      </w:r>
    </w:p>
    <w:p w14:paraId="3013F0F9" w14:textId="2D84D406" w:rsidR="006C4A7F" w:rsidRDefault="00E97CD2" w:rsidP="00B023AE">
      <w:pPr>
        <w:pStyle w:val="CETCaption"/>
      </w:pPr>
      <w:r w:rsidRPr="00B023AE">
        <w:t xml:space="preserve">Figure 3: </w:t>
      </w:r>
      <w:r w:rsidR="00812795" w:rsidRPr="00466B7B">
        <w:t xml:space="preserve">Temperature </w:t>
      </w:r>
      <w:proofErr w:type="spellStart"/>
      <w:r w:rsidR="00812795" w:rsidRPr="00466B7B">
        <w:t>dependen</w:t>
      </w:r>
      <w:proofErr w:type="spellEnd"/>
      <w:r w:rsidR="00812795">
        <w:rPr>
          <w:lang w:val="ru-RU"/>
        </w:rPr>
        <w:t>с</w:t>
      </w:r>
      <w:r w:rsidR="00812795" w:rsidRPr="00466B7B">
        <w:t xml:space="preserve">es of the fundamental concentration limits in </w:t>
      </w:r>
      <w:r w:rsidR="00812795">
        <w:t xml:space="preserve">dry </w:t>
      </w:r>
      <w:r w:rsidR="00812795" w:rsidRPr="00466B7B">
        <w:t xml:space="preserve">hydrogen-air mixtures </w:t>
      </w:r>
      <w:r w:rsidR="00812795">
        <w:t>at</w:t>
      </w:r>
      <w:r w:rsidR="00812795" w:rsidRPr="00466B7B">
        <w:t xml:space="preserve"> normal pressure: </w:t>
      </w:r>
      <w:r w:rsidR="00812795">
        <w:t>purple</w:t>
      </w:r>
      <w:r w:rsidR="00812795" w:rsidRPr="00466B7B">
        <w:t xml:space="preserve"> </w:t>
      </w:r>
      <w:r w:rsidR="00812795">
        <w:t>–</w:t>
      </w:r>
      <w:r w:rsidR="00812795" w:rsidRPr="00466B7B">
        <w:t xml:space="preserve"> 1dim detonation (Belles, 1959), red - plane deflagration (Kirillov, 2017), blue lines - adiabatic spherical flame balls (Plaksin</w:t>
      </w:r>
      <w:r w:rsidR="0026784F">
        <w:t xml:space="preserve"> </w:t>
      </w:r>
      <w:r w:rsidR="00DE0F2F">
        <w:t>and</w:t>
      </w:r>
      <w:r w:rsidR="0026784F">
        <w:t xml:space="preserve"> </w:t>
      </w:r>
      <w:r w:rsidR="00812795" w:rsidRPr="00466B7B">
        <w:t xml:space="preserve">Kirillov, </w:t>
      </w:r>
      <w:r w:rsidR="0026784F">
        <w:t>202</w:t>
      </w:r>
      <w:r w:rsidR="00053E4B">
        <w:t>5</w:t>
      </w:r>
      <w:r w:rsidR="00812795" w:rsidRPr="00466B7B">
        <w:t>).</w:t>
      </w:r>
    </w:p>
    <w:p w14:paraId="4A958CB0" w14:textId="43DC339D" w:rsidR="00625DA9" w:rsidRDefault="00BC4E91" w:rsidP="00132DC6">
      <w:pPr>
        <w:pStyle w:val="CETBodytext"/>
      </w:pPr>
      <w:r w:rsidRPr="00BC4E91">
        <w:rPr>
          <w:lang w:val="en-GB"/>
        </w:rPr>
        <w:lastRenderedPageBreak/>
        <w:t>Figure 4 illustrates a comparison of how temperature affects the empirical and fundamental concentration limits in hydrogen-air mixtures at normal pressure, with temperatures varying from 90K to 850K.</w:t>
      </w:r>
    </w:p>
    <w:p w14:paraId="3EDC1D85" w14:textId="4C5C6BC5" w:rsidR="00660D5B" w:rsidRDefault="003D1E7E" w:rsidP="00132DC6">
      <w:pPr>
        <w:pStyle w:val="CETBodytext"/>
      </w:pPr>
      <w:r>
        <w:rPr>
          <w:noProof/>
        </w:rPr>
        <w:drawing>
          <wp:inline distT="0" distB="0" distL="0" distR="0" wp14:anchorId="109F4EE5" wp14:editId="58A91354">
            <wp:extent cx="3423600" cy="2325600"/>
            <wp:effectExtent l="0" t="0" r="5715" b="0"/>
            <wp:docPr id="16923818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81834" name="Рисунок 4"/>
                    <pic:cNvPicPr/>
                  </pic:nvPicPr>
                  <pic:blipFill>
                    <a:blip r:embed="rId13"/>
                    <a:stretch>
                      <a:fillRect/>
                    </a:stretch>
                  </pic:blipFill>
                  <pic:spPr>
                    <a:xfrm>
                      <a:off x="0" y="0"/>
                      <a:ext cx="3423600" cy="2325600"/>
                    </a:xfrm>
                    <a:prstGeom prst="rect">
                      <a:avLst/>
                    </a:prstGeom>
                  </pic:spPr>
                </pic:pic>
              </a:graphicData>
            </a:graphic>
          </wp:inline>
        </w:drawing>
      </w:r>
    </w:p>
    <w:p w14:paraId="51888CFB" w14:textId="3CF8EB91" w:rsidR="00660D5B" w:rsidRDefault="00912651" w:rsidP="00B023AE">
      <w:pPr>
        <w:pStyle w:val="CETCaption"/>
      </w:pPr>
      <w:r w:rsidRPr="00B023AE">
        <w:t xml:space="preserve">Figure </w:t>
      </w:r>
      <w:r w:rsidR="00A16440" w:rsidRPr="00B023AE">
        <w:t>4</w:t>
      </w:r>
      <w:r w:rsidRPr="00B023AE">
        <w:t xml:space="preserve">: </w:t>
      </w:r>
      <w:r w:rsidR="00781281">
        <w:t>Comparison of the temperature dependencies for the empirical and fundamental concentration limits in hydrogen-air mixtures at normal pressure and temperatures from 90 to 850K</w:t>
      </w:r>
    </w:p>
    <w:p w14:paraId="4D722E86" w14:textId="0E481C8A" w:rsidR="0081793C" w:rsidRDefault="006953E5" w:rsidP="00132DC6">
      <w:pPr>
        <w:pStyle w:val="CETBodytext"/>
        <w:rPr>
          <w:lang w:val="en-GB"/>
        </w:rPr>
      </w:pPr>
      <w:r w:rsidRPr="006953E5">
        <w:rPr>
          <w:lang w:val="en-GB"/>
        </w:rPr>
        <w:t>The analysis of Figure 4 leads to the following conclusion</w:t>
      </w:r>
      <w:r>
        <w:rPr>
          <w:lang w:val="en-GB"/>
        </w:rPr>
        <w:t>.</w:t>
      </w:r>
      <w:r w:rsidRPr="006953E5">
        <w:rPr>
          <w:lang w:val="en-GB"/>
        </w:rPr>
        <w:t xml:space="preserve"> The temperature dependence of the fundamental concentration limits for all primary types of flames (flame balls, deflagration, and detonation) can be effectively represented by linear relationships within the temperature range of 300 to 400 K</w:t>
      </w:r>
      <w:r>
        <w:rPr>
          <w:lang w:val="en-GB"/>
        </w:rPr>
        <w:t>.</w:t>
      </w:r>
      <w:r w:rsidRPr="006953E5">
        <w:rPr>
          <w:lang w:val="en-GB"/>
        </w:rPr>
        <w:t xml:space="preserve"> </w:t>
      </w:r>
      <w:r w:rsidR="005E1465" w:rsidRPr="005E1465">
        <w:rPr>
          <w:lang w:val="en-GB"/>
        </w:rPr>
        <w:t>These fundamental limits can be viewed as conservative safety boundaries for both slow and fast flame empirical datasets across the entire temperature range of 90 to 850 K.</w:t>
      </w:r>
    </w:p>
    <w:p w14:paraId="5741900F" w14:textId="009443E9" w:rsidR="00453E24" w:rsidRDefault="00132DC6" w:rsidP="00610576">
      <w:pPr>
        <w:pStyle w:val="CETHeading1"/>
        <w:tabs>
          <w:tab w:val="num" w:pos="360"/>
        </w:tabs>
      </w:pPr>
      <w:r>
        <w:t>Cryo-temperature limit phenomenon</w:t>
      </w:r>
    </w:p>
    <w:p w14:paraId="582F28E5" w14:textId="1CE07624" w:rsidR="00482A9E" w:rsidRPr="00AC3305" w:rsidRDefault="00884E44" w:rsidP="00F02A46">
      <w:pPr>
        <w:pStyle w:val="CETBodytext"/>
      </w:pPr>
      <w:r w:rsidRPr="00884E44">
        <w:t>All proposed linear correlations regarding the temperature dependence of empirical (</w:t>
      </w:r>
      <w:proofErr w:type="spellStart"/>
      <w:r w:rsidRPr="00884E44">
        <w:t>Zabetakis</w:t>
      </w:r>
      <w:proofErr w:type="spellEnd"/>
      <w:r w:rsidRPr="00884E44">
        <w:t xml:space="preserve">, 1967; Eichert and Fischer, 1999; Schroeder and </w:t>
      </w:r>
      <w:proofErr w:type="spellStart"/>
      <w:r w:rsidRPr="00884E44">
        <w:t>Holtappel</w:t>
      </w:r>
      <w:proofErr w:type="spellEnd"/>
      <w:r w:rsidRPr="00884E44">
        <w:t>, 2005; Kuznetsov et al., 2013; Kuznetsov et al., 2022) and fundamental (Belles, 1958; Kirillov, 2017; Plaksin and Kirillov, 2023) concentration limits exhibit a similar trend in the cryogenic temperature range: as the temperature of the mixture decreases, the concentration limits become narrower.</w:t>
      </w:r>
    </w:p>
    <w:p w14:paraId="40D6419E" w14:textId="359A3C08" w:rsidR="00026234" w:rsidRDefault="005F26DB" w:rsidP="00453E24">
      <w:pPr>
        <w:pStyle w:val="CETBodytext"/>
      </w:pPr>
      <w:r>
        <w:rPr>
          <w:noProof/>
        </w:rPr>
        <w:drawing>
          <wp:inline distT="0" distB="0" distL="0" distR="0" wp14:anchorId="5E0383F7" wp14:editId="69575DCC">
            <wp:extent cx="3412800" cy="2343600"/>
            <wp:effectExtent l="0" t="0" r="3810" b="6350"/>
            <wp:docPr id="19153269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26997" name="Рисунок 6"/>
                    <pic:cNvPicPr/>
                  </pic:nvPicPr>
                  <pic:blipFill>
                    <a:blip r:embed="rId14"/>
                    <a:stretch>
                      <a:fillRect/>
                    </a:stretch>
                  </pic:blipFill>
                  <pic:spPr>
                    <a:xfrm>
                      <a:off x="0" y="0"/>
                      <a:ext cx="3412800" cy="2343600"/>
                    </a:xfrm>
                    <a:prstGeom prst="rect">
                      <a:avLst/>
                    </a:prstGeom>
                  </pic:spPr>
                </pic:pic>
              </a:graphicData>
            </a:graphic>
          </wp:inline>
        </w:drawing>
      </w:r>
    </w:p>
    <w:p w14:paraId="795C487C" w14:textId="1B244F01" w:rsidR="006B039A" w:rsidRPr="00634AF9" w:rsidRDefault="005F26DB" w:rsidP="00B023AE">
      <w:pPr>
        <w:pStyle w:val="CETCaption"/>
      </w:pPr>
      <w:r w:rsidRPr="00634AF9">
        <w:t>Figure 5</w:t>
      </w:r>
      <w:r w:rsidR="00C37A40" w:rsidRPr="00634AF9">
        <w:t>:</w:t>
      </w:r>
      <w:r w:rsidRPr="00634AF9">
        <w:t xml:space="preserve"> A comparison of empirical correlations with </w:t>
      </w:r>
      <w:r w:rsidR="005C6B46" w:rsidRPr="00634AF9">
        <w:t>non-empirical</w:t>
      </w:r>
      <w:r w:rsidRPr="00634AF9">
        <w:t xml:space="preserve"> </w:t>
      </w:r>
      <w:r w:rsidR="00237B27" w:rsidRPr="00634AF9">
        <w:t xml:space="preserve">ones </w:t>
      </w:r>
      <w:r w:rsidRPr="00634AF9">
        <w:t xml:space="preserve">from </w:t>
      </w:r>
      <w:proofErr w:type="spellStart"/>
      <w:r w:rsidRPr="00634AF9">
        <w:t>KinTech</w:t>
      </w:r>
      <w:proofErr w:type="spellEnd"/>
      <w:r w:rsidR="008D45AC" w:rsidRPr="00634AF9">
        <w:t xml:space="preserve"> Lab</w:t>
      </w:r>
      <w:r w:rsidRPr="00634AF9">
        <w:t xml:space="preserve"> for the temperature dependence</w:t>
      </w:r>
      <w:r w:rsidR="0050155C" w:rsidRPr="00634AF9">
        <w:t>s</w:t>
      </w:r>
      <w:r w:rsidRPr="00634AF9">
        <w:t xml:space="preserve"> of the</w:t>
      </w:r>
      <w:r w:rsidR="005C6B46" w:rsidRPr="00634AF9">
        <w:t xml:space="preserve"> flammability and</w:t>
      </w:r>
      <w:r w:rsidRPr="00634AF9">
        <w:t xml:space="preserve"> explosion limit</w:t>
      </w:r>
      <w:r w:rsidR="005C6B46" w:rsidRPr="00634AF9">
        <w:t>s</w:t>
      </w:r>
      <w:r w:rsidRPr="00634AF9">
        <w:t xml:space="preserve"> concentration in low-</w:t>
      </w:r>
      <w:r w:rsidR="00EA6B68" w:rsidRPr="00634AF9">
        <w:t xml:space="preserve"> and cryo-temperature</w:t>
      </w:r>
      <w:r w:rsidRPr="00634AF9">
        <w:t xml:space="preserve"> ranges</w:t>
      </w:r>
    </w:p>
    <w:p w14:paraId="3B42F271" w14:textId="5BA3AC7D" w:rsidR="00F02A46" w:rsidRDefault="00F02A46" w:rsidP="00F02A46">
      <w:pPr>
        <w:pStyle w:val="CETBodytext"/>
      </w:pPr>
      <w:proofErr w:type="spellStart"/>
      <w:r w:rsidRPr="00CB5688">
        <w:t>Kinetch</w:t>
      </w:r>
      <w:proofErr w:type="spellEnd"/>
      <w:r w:rsidR="00D50EAE">
        <w:t xml:space="preserve"> </w:t>
      </w:r>
      <w:r w:rsidRPr="00CB5688">
        <w:t>Lab's non-empirical linear correlation</w:t>
      </w:r>
      <w:r w:rsidR="00E55114">
        <w:t>s</w:t>
      </w:r>
      <w:r w:rsidRPr="00CB5688">
        <w:t xml:space="preserve"> </w:t>
      </w:r>
      <w:r w:rsidR="00FA1F5B">
        <w:t>for t</w:t>
      </w:r>
      <w:r w:rsidRPr="00CB5688">
        <w:t xml:space="preserve">he </w:t>
      </w:r>
      <w:r w:rsidR="00E55114">
        <w:t xml:space="preserve">lower and upper </w:t>
      </w:r>
      <w:r w:rsidRPr="00CB5688">
        <w:t xml:space="preserve">concentration limits </w:t>
      </w:r>
      <w:r w:rsidR="00C50E92">
        <w:t>o</w:t>
      </w:r>
      <w:r w:rsidRPr="00CB5688">
        <w:t xml:space="preserve">f </w:t>
      </w:r>
      <w:r>
        <w:t>plane</w:t>
      </w:r>
      <w:r w:rsidRPr="00CB5688">
        <w:t xml:space="preserve"> deflagration flames</w:t>
      </w:r>
      <w:r w:rsidR="00612159">
        <w:t xml:space="preserve"> (DF)</w:t>
      </w:r>
      <w:r w:rsidR="00D50EAE">
        <w:t xml:space="preserve"> (shown at Figure 5 by thick red lines)</w:t>
      </w:r>
      <w:r w:rsidR="008137C5">
        <w:t xml:space="preserve"> within 90</w:t>
      </w:r>
      <w:r w:rsidR="00884E44">
        <w:t>,19 K</w:t>
      </w:r>
      <w:r w:rsidR="008137C5">
        <w:t xml:space="preserve"> – </w:t>
      </w:r>
      <w:r w:rsidR="00816B83" w:rsidRPr="00816B83">
        <w:t>40</w:t>
      </w:r>
      <w:r w:rsidR="008137C5">
        <w:t>0 K temperature range</w:t>
      </w:r>
      <w:r w:rsidRPr="00CB5688">
        <w:t xml:space="preserve"> can be written as:</w:t>
      </w:r>
    </w:p>
    <w:p w14:paraId="66789FEB" w14:textId="77777777" w:rsidR="00C06029" w:rsidRDefault="00C06029" w:rsidP="00F02A46">
      <w:pPr>
        <w:pStyle w:val="CETBodytext"/>
      </w:pPr>
    </w:p>
    <w:p w14:paraId="421A626D" w14:textId="77777777" w:rsidR="00C06029" w:rsidRDefault="00083BD0" w:rsidP="006B039A">
      <w:pPr>
        <w:pStyle w:val="CETBodytext"/>
      </w:pPr>
      <m:oMath>
        <m:m>
          <m:mPr>
            <m:mcs>
              <m:mc>
                <m:mcPr>
                  <m:count m:val="1"/>
                  <m:mcJc m:val="center"/>
                </m:mcPr>
              </m:mc>
            </m:mcs>
            <m:ctrlPr>
              <w:rPr>
                <w:rFonts w:ascii="Cambria Math" w:hAnsi="Cambria Math"/>
                <w:i/>
              </w:rPr>
            </m:ctrlPr>
          </m:mPr>
          <m:mr>
            <m:e>
              <m:sSubSup>
                <m:sSubSupPr>
                  <m:ctrlPr>
                    <w:rPr>
                      <w:rFonts w:ascii="Cambria Math" w:hAnsi="Cambria Math"/>
                      <w:i/>
                      <w:lang w:val="en-GB"/>
                    </w:rPr>
                  </m:ctrlPr>
                </m:sSubSupPr>
                <m:e>
                  <m:r>
                    <w:rPr>
                      <w:rFonts w:ascii="Cambria Math" w:hAnsi="Cambria Math"/>
                      <w:lang w:val="en-GB"/>
                    </w:rPr>
                    <m:t>c</m:t>
                  </m:r>
                </m:e>
                <m:sub>
                  <m:r>
                    <w:rPr>
                      <w:rFonts w:ascii="Cambria Math" w:hAnsi="Cambria Math"/>
                      <w:lang w:val="en-GB"/>
                    </w:rPr>
                    <m:t>lower</m:t>
                  </m:r>
                </m:sub>
                <m:sup>
                  <m:r>
                    <w:rPr>
                      <w:rFonts w:ascii="Cambria Math" w:hAnsi="Cambria Math"/>
                      <w:lang w:val="en-GB"/>
                    </w:rPr>
                    <m:t>DF</m:t>
                  </m:r>
                </m:sup>
              </m:sSubSup>
              <m:d>
                <m:dPr>
                  <m:ctrlPr>
                    <w:rPr>
                      <w:rFonts w:ascii="Cambria Math" w:hAnsi="Cambria Math"/>
                      <w:i/>
                      <w:lang w:val="en-GB"/>
                    </w:rPr>
                  </m:ctrlPr>
                </m:dPr>
                <m:e>
                  <m:r>
                    <w:rPr>
                      <w:rFonts w:ascii="Cambria Math" w:hAnsi="Cambria Math"/>
                      <w:lang w:val="en-GB"/>
                    </w:rPr>
                    <m:t>T</m:t>
                  </m:r>
                </m:e>
              </m:d>
              <m:r>
                <w:rPr>
                  <w:rFonts w:ascii="Cambria Math" w:hAnsi="Cambria Math"/>
                  <w:lang w:val="en-GB"/>
                </w:rPr>
                <m:t>=13,38-0,01288∙</m:t>
              </m:r>
              <m:r>
                <w:rPr>
                  <w:rFonts w:ascii="Cambria Math" w:hAnsi="Cambria Math"/>
                  <w:lang w:val="en-GB"/>
                </w:rPr>
                <m:t>T</m:t>
              </m:r>
            </m:e>
          </m:mr>
          <m:mr>
            <m:e>
              <m:sSubSup>
                <m:sSubSupPr>
                  <m:ctrlPr>
                    <w:rPr>
                      <w:rFonts w:ascii="Cambria Math" w:hAnsi="Cambria Math"/>
                      <w:i/>
                      <w:lang w:val="en-GB"/>
                    </w:rPr>
                  </m:ctrlPr>
                </m:sSubSupPr>
                <m:e>
                  <m:r>
                    <w:rPr>
                      <w:rFonts w:ascii="Cambria Math" w:hAnsi="Cambria Math"/>
                      <w:lang w:val="en-GB"/>
                    </w:rPr>
                    <m:t>c</m:t>
                  </m:r>
                </m:e>
                <m:sub>
                  <m:r>
                    <w:rPr>
                      <w:rFonts w:ascii="Cambria Math" w:hAnsi="Cambria Math"/>
                      <w:lang w:val="en-GB"/>
                    </w:rPr>
                    <m:t>upper</m:t>
                  </m:r>
                </m:sub>
                <m:sup>
                  <m:r>
                    <w:rPr>
                      <w:rFonts w:ascii="Cambria Math" w:hAnsi="Cambria Math"/>
                      <w:lang w:val="en-GB"/>
                    </w:rPr>
                    <m:t>DF</m:t>
                  </m:r>
                </m:sup>
              </m:sSubSup>
              <m:d>
                <m:dPr>
                  <m:ctrlPr>
                    <w:rPr>
                      <w:rFonts w:ascii="Cambria Math" w:hAnsi="Cambria Math"/>
                      <w:i/>
                      <w:lang w:val="en-GB"/>
                    </w:rPr>
                  </m:ctrlPr>
                </m:dPr>
                <m:e>
                  <m:r>
                    <w:rPr>
                      <w:rFonts w:ascii="Cambria Math" w:hAnsi="Cambria Math"/>
                      <w:lang w:val="en-GB"/>
                    </w:rPr>
                    <m:t>T</m:t>
                  </m:r>
                </m:e>
              </m:d>
              <m:r>
                <w:rPr>
                  <w:rFonts w:ascii="Cambria Math" w:hAnsi="Cambria Math"/>
                  <w:lang w:val="en-GB"/>
                </w:rPr>
                <m:t>=73,79+0,02843∙</m:t>
              </m:r>
              <m:r>
                <w:rPr>
                  <w:rFonts w:ascii="Cambria Math" w:hAnsi="Cambria Math"/>
                  <w:lang w:val="en-GB"/>
                </w:rPr>
                <m:t>T</m:t>
              </m:r>
            </m:e>
          </m:mr>
        </m:m>
        <m:r>
          <w:rPr>
            <w:rFonts w:ascii="Cambria Math" w:hAnsi="Cambria Math"/>
            <w:lang w:val="en-GB"/>
          </w:rPr>
          <m:t xml:space="preserve">   </m:t>
        </m:r>
      </m:oMath>
      <w:r w:rsidR="00F02A46">
        <w:rPr>
          <w:lang w:val="en-GB"/>
        </w:rPr>
        <w:t xml:space="preserve"> </w:t>
      </w:r>
      <w:r w:rsidR="00F02A46" w:rsidRPr="00482A9E">
        <w:rPr>
          <w:rFonts w:ascii="Cambria Math" w:hAnsi="Cambria Math"/>
          <w:i/>
          <w:lang w:val="en-GB"/>
        </w:rPr>
        <w:br/>
      </w:r>
    </w:p>
    <w:p w14:paraId="7AE14BCE" w14:textId="4C39D845" w:rsidR="00CB5688" w:rsidRDefault="00F02A46" w:rsidP="006B039A">
      <w:pPr>
        <w:pStyle w:val="CETBodytext"/>
      </w:pPr>
      <w:r>
        <w:t xml:space="preserve">where </w:t>
      </w:r>
      <m:oMath>
        <m:sSubSup>
          <m:sSubSupPr>
            <m:ctrlPr>
              <w:rPr>
                <w:rFonts w:ascii="Cambria Math" w:hAnsi="Cambria Math"/>
                <w:i/>
                <w:lang w:val="en-GB"/>
              </w:rPr>
            </m:ctrlPr>
          </m:sSubSupPr>
          <m:e>
            <m:r>
              <w:rPr>
                <w:rFonts w:ascii="Cambria Math" w:hAnsi="Cambria Math"/>
                <w:lang w:val="en-GB"/>
              </w:rPr>
              <m:t>c</m:t>
            </m:r>
          </m:e>
          <m:sub>
            <m:r>
              <w:rPr>
                <w:rFonts w:ascii="Cambria Math" w:hAnsi="Cambria Math"/>
                <w:lang w:val="en-GB"/>
              </w:rPr>
              <m:t>lower</m:t>
            </m:r>
          </m:sub>
          <m:sup>
            <m:r>
              <w:rPr>
                <w:rFonts w:ascii="Cambria Math" w:hAnsi="Cambria Math"/>
                <w:lang w:val="en-GB"/>
              </w:rPr>
              <m:t>DF</m:t>
            </m:r>
          </m:sup>
        </m:sSubSup>
        <m:d>
          <m:dPr>
            <m:ctrlPr>
              <w:rPr>
                <w:rFonts w:ascii="Cambria Math" w:hAnsi="Cambria Math"/>
                <w:i/>
                <w:lang w:val="en-GB"/>
              </w:rPr>
            </m:ctrlPr>
          </m:dPr>
          <m:e>
            <m:r>
              <w:rPr>
                <w:rFonts w:ascii="Cambria Math" w:hAnsi="Cambria Math"/>
                <w:lang w:val="en-GB"/>
              </w:rPr>
              <m:t>T</m:t>
            </m:r>
          </m:e>
        </m:d>
      </m:oMath>
      <w:r>
        <w:rPr>
          <w:lang w:val="en-GB"/>
        </w:rPr>
        <w:t xml:space="preserve"> – concentration limits in lean dry hydrogen-air mixtures, </w:t>
      </w:r>
      <m:oMath>
        <m:sSubSup>
          <m:sSubSupPr>
            <m:ctrlPr>
              <w:rPr>
                <w:rFonts w:ascii="Cambria Math" w:hAnsi="Cambria Math"/>
                <w:i/>
                <w:lang w:val="en-GB"/>
              </w:rPr>
            </m:ctrlPr>
          </m:sSubSupPr>
          <m:e>
            <m:r>
              <w:rPr>
                <w:rFonts w:ascii="Cambria Math" w:hAnsi="Cambria Math"/>
                <w:lang w:val="en-GB"/>
              </w:rPr>
              <m:t>c</m:t>
            </m:r>
          </m:e>
          <m:sub>
            <m:r>
              <w:rPr>
                <w:rFonts w:ascii="Cambria Math" w:hAnsi="Cambria Math"/>
                <w:lang w:val="en-GB"/>
              </w:rPr>
              <m:t>upper</m:t>
            </m:r>
          </m:sub>
          <m:sup>
            <m:r>
              <w:rPr>
                <w:rFonts w:ascii="Cambria Math" w:hAnsi="Cambria Math"/>
                <w:lang w:val="en-GB"/>
              </w:rPr>
              <m:t>DF</m:t>
            </m:r>
          </m:sup>
        </m:sSubSup>
        <m:d>
          <m:dPr>
            <m:ctrlPr>
              <w:rPr>
                <w:rFonts w:ascii="Cambria Math" w:hAnsi="Cambria Math"/>
                <w:i/>
                <w:lang w:val="en-GB"/>
              </w:rPr>
            </m:ctrlPr>
          </m:dPr>
          <m:e>
            <m:r>
              <w:rPr>
                <w:rFonts w:ascii="Cambria Math" w:hAnsi="Cambria Math"/>
                <w:lang w:val="en-GB"/>
              </w:rPr>
              <m:t>T</m:t>
            </m:r>
          </m:e>
        </m:d>
      </m:oMath>
      <w:r>
        <w:rPr>
          <w:lang w:val="en-GB"/>
        </w:rPr>
        <w:t xml:space="preserve"> – concentration limits in rich</w:t>
      </w:r>
      <w:r w:rsidR="009C0599">
        <w:rPr>
          <w:lang w:val="en-GB"/>
        </w:rPr>
        <w:t xml:space="preserve"> dry</w:t>
      </w:r>
      <w:r>
        <w:rPr>
          <w:lang w:val="en-GB"/>
        </w:rPr>
        <w:t xml:space="preserve"> </w:t>
      </w:r>
      <w:r w:rsidR="009C0599">
        <w:rPr>
          <w:lang w:val="en-GB"/>
        </w:rPr>
        <w:t xml:space="preserve">hydrogen-air </w:t>
      </w:r>
      <w:r>
        <w:rPr>
          <w:lang w:val="en-GB"/>
        </w:rPr>
        <w:t>mixtures, T – initial temperature of mixture in Kelvins.</w:t>
      </w:r>
    </w:p>
    <w:p w14:paraId="7B963A65" w14:textId="77777777" w:rsidR="00C327E5" w:rsidRDefault="006B039A" w:rsidP="00453E24">
      <w:pPr>
        <w:pStyle w:val="CETBodytext"/>
        <w:rPr>
          <w:lang w:val="en-GB"/>
        </w:rPr>
      </w:pPr>
      <w:r>
        <w:t xml:space="preserve">For hydrogen-air mixtures, </w:t>
      </w:r>
      <w:r w:rsidR="002F2096">
        <w:t xml:space="preserve">term </w:t>
      </w:r>
      <w:r>
        <w:t xml:space="preserve">“cryogenic temperature” means temperature </w:t>
      </w:r>
      <w:r w:rsidR="0074555B">
        <w:t xml:space="preserve">lower </w:t>
      </w:r>
      <w:proofErr w:type="spellStart"/>
      <w:r w:rsidR="0074555B">
        <w:t>then</w:t>
      </w:r>
      <w:proofErr w:type="spellEnd"/>
      <w:r>
        <w:t xml:space="preserve"> </w:t>
      </w:r>
      <w:r w:rsidRPr="005515B0">
        <w:t>90.</w:t>
      </w:r>
      <w:r w:rsidR="00884E44">
        <w:t>19</w:t>
      </w:r>
      <w:r w:rsidRPr="005515B0">
        <w:t xml:space="preserve"> K</w:t>
      </w:r>
      <w:r>
        <w:t xml:space="preserve"> (boiling point of oxygen). </w:t>
      </w:r>
      <w:r w:rsidRPr="001A1726">
        <w:rPr>
          <w:lang w:val="en-GB"/>
        </w:rPr>
        <w:t xml:space="preserve">When extrapolated to cryogenic temperatures, all the </w:t>
      </w:r>
      <w:r w:rsidR="00884E44">
        <w:rPr>
          <w:lang w:val="en-GB"/>
        </w:rPr>
        <w:t>above</w:t>
      </w:r>
      <w:r w:rsidR="00884E44" w:rsidRPr="001A1726">
        <w:rPr>
          <w:lang w:val="en-GB"/>
        </w:rPr>
        <w:t xml:space="preserve">mentioned </w:t>
      </w:r>
      <w:r w:rsidRPr="001A1726">
        <w:rPr>
          <w:lang w:val="en-GB"/>
        </w:rPr>
        <w:t>correlations result in a non-zero range of limiting concentrations (</w:t>
      </w:r>
      <w:r>
        <w:rPr>
          <w:lang w:val="en-GB"/>
        </w:rPr>
        <w:t>see</w:t>
      </w:r>
      <w:r w:rsidRPr="001A1726">
        <w:rPr>
          <w:lang w:val="en-GB"/>
        </w:rPr>
        <w:t xml:space="preserve"> Figure 5).</w:t>
      </w:r>
      <w:r w:rsidR="0019382F">
        <w:rPr>
          <w:lang w:val="en-GB"/>
        </w:rPr>
        <w:t xml:space="preserve"> </w:t>
      </w:r>
    </w:p>
    <w:p w14:paraId="55A0E883" w14:textId="77777777" w:rsidR="00B7462C" w:rsidRDefault="005C6B46" w:rsidP="00453E24">
      <w:pPr>
        <w:pStyle w:val="CETBodytext"/>
        <w:rPr>
          <w:lang w:val="en-GB"/>
        </w:rPr>
      </w:pPr>
      <w:r>
        <w:t>Certainly, that th</w:t>
      </w:r>
      <w:r w:rsidR="00AB0BBE">
        <w:t>e</w:t>
      </w:r>
      <w:r>
        <w:t>s</w:t>
      </w:r>
      <w:r w:rsidR="00AB0BBE">
        <w:t>e</w:t>
      </w:r>
      <w:r>
        <w:t xml:space="preserve"> </w:t>
      </w:r>
      <w:r w:rsidR="003D5461">
        <w:t>extrapolation</w:t>
      </w:r>
      <w:r w:rsidR="00AB0BBE">
        <w:t>s</w:t>
      </w:r>
      <w:r w:rsidR="003D5461">
        <w:t xml:space="preserve"> </w:t>
      </w:r>
      <w:r w:rsidR="00AB0BBE">
        <w:t>are</w:t>
      </w:r>
      <w:r w:rsidR="003D5461">
        <w:t xml:space="preserve"> not valid</w:t>
      </w:r>
      <w:r w:rsidR="00AB0BBE">
        <w:t xml:space="preserve"> due to</w:t>
      </w:r>
      <w:r w:rsidR="004142D0">
        <w:t xml:space="preserve"> following reason. </w:t>
      </w:r>
      <w:r w:rsidR="00592724" w:rsidRPr="00592724">
        <w:rPr>
          <w:lang w:val="en-GB"/>
        </w:rPr>
        <w:t xml:space="preserve">As the temperature of hydrogen-oxygen mixtures </w:t>
      </w:r>
      <w:r w:rsidR="00167152">
        <w:rPr>
          <w:lang w:val="en-GB"/>
        </w:rPr>
        <w:t>graduall</w:t>
      </w:r>
      <w:r w:rsidR="00592724" w:rsidRPr="00592724">
        <w:rPr>
          <w:lang w:val="en-GB"/>
        </w:rPr>
        <w:t>y drops from 90.</w:t>
      </w:r>
      <w:r w:rsidR="00884E44">
        <w:rPr>
          <w:lang w:val="en-GB"/>
        </w:rPr>
        <w:t>19</w:t>
      </w:r>
      <w:r w:rsidR="00592724" w:rsidRPr="00592724">
        <w:rPr>
          <w:lang w:val="en-GB"/>
        </w:rPr>
        <w:t xml:space="preserve"> K, oxygen starts to "freeze," leading to a decrease in its molar fraction within the remaining gas phase.</w:t>
      </w:r>
      <w:r w:rsidR="00294D56">
        <w:rPr>
          <w:lang w:val="en-GB"/>
        </w:rPr>
        <w:t xml:space="preserve"> </w:t>
      </w:r>
      <w:r w:rsidR="003F77CC" w:rsidRPr="003F77CC">
        <w:rPr>
          <w:lang w:val="en-GB"/>
        </w:rPr>
        <w:t xml:space="preserve">At a specific temperature, </w:t>
      </w:r>
      <w:r w:rsidR="00BC05C3">
        <w:rPr>
          <w:lang w:val="en-GB"/>
        </w:rPr>
        <w:t xml:space="preserve">which </w:t>
      </w:r>
      <w:r w:rsidR="00FC7867">
        <w:rPr>
          <w:lang w:val="en-GB"/>
        </w:rPr>
        <w:t xml:space="preserve">we </w:t>
      </w:r>
      <w:r w:rsidR="008D5F63">
        <w:rPr>
          <w:lang w:val="en-GB"/>
        </w:rPr>
        <w:t xml:space="preserve">have </w:t>
      </w:r>
      <w:r w:rsidR="000A1499">
        <w:rPr>
          <w:lang w:val="en-GB"/>
        </w:rPr>
        <w:t xml:space="preserve">called </w:t>
      </w:r>
      <w:r w:rsidR="003F77CC" w:rsidRPr="003F77CC">
        <w:rPr>
          <w:lang w:val="en-GB"/>
        </w:rPr>
        <w:t xml:space="preserve">the "cryo-temperature limit," the concentration of oxygen will </w:t>
      </w:r>
      <w:r w:rsidR="00BC05C3">
        <w:rPr>
          <w:lang w:val="en-GB"/>
        </w:rPr>
        <w:t>drop</w:t>
      </w:r>
      <w:r w:rsidR="003F77CC" w:rsidRPr="003F77CC">
        <w:rPr>
          <w:lang w:val="en-GB"/>
        </w:rPr>
        <w:t xml:space="preserve"> below the Limiting Oxygen Concentration (LOC) for the </w:t>
      </w:r>
      <w:r w:rsidR="00614D6B">
        <w:rPr>
          <w:lang w:val="en-GB"/>
        </w:rPr>
        <w:t>corresponding</w:t>
      </w:r>
      <w:r w:rsidR="00A96F33">
        <w:rPr>
          <w:lang w:val="en-GB"/>
        </w:rPr>
        <w:t xml:space="preserve"> mixture</w:t>
      </w:r>
      <w:r w:rsidR="003F77CC" w:rsidRPr="003F77CC">
        <w:rPr>
          <w:lang w:val="en-GB"/>
        </w:rPr>
        <w:t xml:space="preserve"> stoichiometry and temperature. </w:t>
      </w:r>
      <w:r w:rsidR="0014133D" w:rsidRPr="0014133D">
        <w:rPr>
          <w:lang w:val="en-GB"/>
        </w:rPr>
        <w:t>The core of this phenomenon refers to the lowest initial temperature at which combustion waves can travel through a hydrogen and air mixture.</w:t>
      </w:r>
      <w:r w:rsidR="00B734E8">
        <w:rPr>
          <w:lang w:val="en-GB"/>
        </w:rPr>
        <w:t xml:space="preserve"> </w:t>
      </w:r>
    </w:p>
    <w:p w14:paraId="68EF2BEE" w14:textId="07017A3F" w:rsidR="00B7462C" w:rsidRDefault="005F06FD" w:rsidP="00453E24">
      <w:pPr>
        <w:pStyle w:val="CETBodytext"/>
        <w:rPr>
          <w:lang w:val="en-GB"/>
        </w:rPr>
      </w:pPr>
      <w:r>
        <w:rPr>
          <w:lang w:val="en-GB"/>
        </w:rPr>
        <w:t>On the</w:t>
      </w:r>
      <w:r w:rsidR="00B734E8">
        <w:rPr>
          <w:lang w:val="en-GB"/>
        </w:rPr>
        <w:t xml:space="preserve"> temperature scale</w:t>
      </w:r>
      <w:r w:rsidR="00BA43EE">
        <w:rPr>
          <w:lang w:val="en-GB"/>
        </w:rPr>
        <w:t>, the</w:t>
      </w:r>
      <w:r w:rsidR="00B734E8">
        <w:rPr>
          <w:lang w:val="en-GB"/>
        </w:rPr>
        <w:t xml:space="preserve"> </w:t>
      </w:r>
      <w:r w:rsidR="00406C8D">
        <w:rPr>
          <w:lang w:val="en-GB"/>
        </w:rPr>
        <w:t>phenomenon</w:t>
      </w:r>
      <w:r w:rsidR="00B734E8">
        <w:rPr>
          <w:lang w:val="en-GB"/>
        </w:rPr>
        <w:t xml:space="preserve"> </w:t>
      </w:r>
      <w:r w:rsidR="00BA43EE">
        <w:rPr>
          <w:lang w:val="en-GB"/>
        </w:rPr>
        <w:t xml:space="preserve">of “cryo-temperature limit” </w:t>
      </w:r>
      <w:r w:rsidR="00B734E8">
        <w:rPr>
          <w:lang w:val="en-GB"/>
        </w:rPr>
        <w:t xml:space="preserve">is </w:t>
      </w:r>
      <w:r w:rsidR="00BA43EE">
        <w:rPr>
          <w:lang w:val="en-GB"/>
        </w:rPr>
        <w:t xml:space="preserve">the </w:t>
      </w:r>
      <w:r w:rsidR="00B734E8">
        <w:rPr>
          <w:lang w:val="en-GB"/>
        </w:rPr>
        <w:t>opposite</w:t>
      </w:r>
      <w:r w:rsidR="005176BE">
        <w:rPr>
          <w:lang w:val="en-GB"/>
        </w:rPr>
        <w:t xml:space="preserve"> of</w:t>
      </w:r>
      <w:r w:rsidR="00B734E8">
        <w:rPr>
          <w:lang w:val="en-GB"/>
        </w:rPr>
        <w:t xml:space="preserve"> the </w:t>
      </w:r>
      <w:r w:rsidR="00213944">
        <w:rPr>
          <w:lang w:val="en-GB"/>
        </w:rPr>
        <w:t>well-known</w:t>
      </w:r>
      <w:r w:rsidR="00B734E8">
        <w:rPr>
          <w:lang w:val="en-GB"/>
        </w:rPr>
        <w:t xml:space="preserve"> “</w:t>
      </w:r>
      <w:r w:rsidR="005176BE">
        <w:rPr>
          <w:lang w:val="en-GB"/>
        </w:rPr>
        <w:t xml:space="preserve">thermal (or spontaneous) </w:t>
      </w:r>
      <w:r w:rsidR="00B734E8">
        <w:rPr>
          <w:lang w:val="en-GB"/>
        </w:rPr>
        <w:t>autoignition” phenomenon.</w:t>
      </w:r>
      <w:r w:rsidR="00213944">
        <w:rPr>
          <w:lang w:val="en-GB"/>
        </w:rPr>
        <w:t xml:space="preserve"> </w:t>
      </w:r>
      <w:r w:rsidR="00201104">
        <w:rPr>
          <w:lang w:val="en-GB"/>
        </w:rPr>
        <w:t>It should be stressed, that each</w:t>
      </w:r>
      <w:r w:rsidR="00A331BB">
        <w:rPr>
          <w:lang w:val="en-GB"/>
        </w:rPr>
        <w:t xml:space="preserve"> </w:t>
      </w:r>
      <w:r w:rsidR="00F611B2">
        <w:rPr>
          <w:lang w:val="en-GB"/>
        </w:rPr>
        <w:t xml:space="preserve">of the </w:t>
      </w:r>
      <w:r w:rsidR="00A331BB">
        <w:rPr>
          <w:lang w:val="en-GB"/>
        </w:rPr>
        <w:t xml:space="preserve">basic combustion mode – flame balls, deflagrations and detonations </w:t>
      </w:r>
      <w:r w:rsidR="00BA362F">
        <w:rPr>
          <w:lang w:val="en-GB"/>
        </w:rPr>
        <w:t>–</w:t>
      </w:r>
      <w:r w:rsidR="00A331BB">
        <w:rPr>
          <w:lang w:val="en-GB"/>
        </w:rPr>
        <w:t xml:space="preserve"> </w:t>
      </w:r>
      <w:r w:rsidR="00BA362F">
        <w:rPr>
          <w:lang w:val="en-GB"/>
        </w:rPr>
        <w:t>can be characterized by different numerical values f</w:t>
      </w:r>
      <w:r w:rsidR="008012A3">
        <w:rPr>
          <w:lang w:val="en-GB"/>
        </w:rPr>
        <w:t>or the</w:t>
      </w:r>
      <w:r w:rsidR="00BA362F">
        <w:rPr>
          <w:lang w:val="en-GB"/>
        </w:rPr>
        <w:t xml:space="preserve"> respective </w:t>
      </w:r>
      <w:r w:rsidR="00DF400A" w:rsidRPr="001B55EF">
        <w:rPr>
          <w:lang w:val="en-GB"/>
        </w:rPr>
        <w:t>cryo-temperature limit</w:t>
      </w:r>
      <w:r w:rsidR="00406C8D">
        <w:rPr>
          <w:lang w:val="en-GB"/>
        </w:rPr>
        <w:t>s</w:t>
      </w:r>
      <w:r w:rsidR="00BA362F">
        <w:rPr>
          <w:lang w:val="en-GB"/>
        </w:rPr>
        <w:t xml:space="preserve">. </w:t>
      </w:r>
    </w:p>
    <w:p w14:paraId="2E4EEA4B" w14:textId="1904D1BE" w:rsidR="00DF7217" w:rsidRDefault="008E2B4E" w:rsidP="00453E24">
      <w:pPr>
        <w:pStyle w:val="CETBodytext"/>
        <w:rPr>
          <w:lang w:val="en-GB"/>
        </w:rPr>
      </w:pPr>
      <w:r w:rsidRPr="008E2B4E">
        <w:rPr>
          <w:lang w:val="en-GB"/>
        </w:rPr>
        <w:t xml:space="preserve">As for the deflagration flame specifically, at a qualitative level, its concentration limits near the cryo-temperature limit can be graphically represented in Figure 5 by </w:t>
      </w:r>
      <w:r w:rsidR="00884E44">
        <w:rPr>
          <w:lang w:val="en-GB"/>
        </w:rPr>
        <w:t>dash-</w:t>
      </w:r>
      <w:r w:rsidRPr="008E2B4E">
        <w:rPr>
          <w:lang w:val="en-GB"/>
        </w:rPr>
        <w:t>dotted red line.</w:t>
      </w:r>
      <w:r>
        <w:rPr>
          <w:lang w:val="en-GB"/>
        </w:rPr>
        <w:t xml:space="preserve"> </w:t>
      </w:r>
      <w:r w:rsidR="00E43F01" w:rsidRPr="00E43F01">
        <w:rPr>
          <w:lang w:val="en-GB"/>
        </w:rPr>
        <w:t xml:space="preserve">To the best of </w:t>
      </w:r>
      <w:r w:rsidR="00D94DB8">
        <w:rPr>
          <w:lang w:val="en-GB"/>
        </w:rPr>
        <w:t xml:space="preserve">the </w:t>
      </w:r>
      <w:r w:rsidR="00E43F01">
        <w:rPr>
          <w:lang w:val="en-GB"/>
        </w:rPr>
        <w:t>authors</w:t>
      </w:r>
      <w:r w:rsidR="00E43F01" w:rsidRPr="00E43F01">
        <w:rPr>
          <w:lang w:val="en-GB"/>
        </w:rPr>
        <w:t xml:space="preserve"> knowledge, this work is the first to propose the hypothesis regarding the "cryo-temperature limit".</w:t>
      </w:r>
      <w:r w:rsidR="00223D7D">
        <w:rPr>
          <w:lang w:val="en-GB"/>
        </w:rPr>
        <w:t xml:space="preserve"> </w:t>
      </w:r>
      <w:r w:rsidR="00B82E7E" w:rsidRPr="00B82E7E">
        <w:rPr>
          <w:lang w:val="en-GB"/>
        </w:rPr>
        <w:t>Details regarding the specific characteristics for visually observing this phenomenon, which could aid in experimental planning,</w:t>
      </w:r>
      <w:r w:rsidR="00112C39">
        <w:rPr>
          <w:lang w:val="en-GB"/>
        </w:rPr>
        <w:t xml:space="preserve"> and</w:t>
      </w:r>
      <w:r w:rsidR="00B535BA">
        <w:rPr>
          <w:lang w:val="en-GB"/>
        </w:rPr>
        <w:t xml:space="preserve"> quantitative estimations</w:t>
      </w:r>
      <w:r w:rsidR="00B82E7E" w:rsidRPr="00B82E7E">
        <w:rPr>
          <w:lang w:val="en-GB"/>
        </w:rPr>
        <w:t xml:space="preserve"> will be addressed in another </w:t>
      </w:r>
      <w:r w:rsidR="00B82E7E">
        <w:rPr>
          <w:lang w:val="en-GB"/>
        </w:rPr>
        <w:t>paper</w:t>
      </w:r>
      <w:r w:rsidR="00B82E7E" w:rsidRPr="00B82E7E">
        <w:rPr>
          <w:lang w:val="en-GB"/>
        </w:rPr>
        <w:t>.</w:t>
      </w:r>
    </w:p>
    <w:p w14:paraId="6F933E0D" w14:textId="01C94185" w:rsidR="0023088C" w:rsidRPr="00A13667" w:rsidRDefault="00600535" w:rsidP="00600535">
      <w:pPr>
        <w:pStyle w:val="CETHeading1"/>
        <w:rPr>
          <w:lang w:val="en-GB"/>
        </w:rPr>
      </w:pPr>
      <w:r w:rsidRPr="00B57B36">
        <w:rPr>
          <w:lang w:val="en-GB"/>
        </w:rPr>
        <w:t>Conclusions</w:t>
      </w:r>
    </w:p>
    <w:p w14:paraId="3DA389C4" w14:textId="0F24B478" w:rsidR="00EF6159" w:rsidRDefault="0023088C" w:rsidP="00600535">
      <w:pPr>
        <w:pStyle w:val="CETBodytext"/>
        <w:rPr>
          <w:lang w:val="en-GB"/>
        </w:rPr>
      </w:pPr>
      <w:r w:rsidRPr="006712D4">
        <w:rPr>
          <w:lang w:val="en-GB"/>
        </w:rPr>
        <w:t>The concentration limits for hydrogen-air combustion, encompassing both slow and fast flames at low temperatures (from 300 K to 90 K) and cryogenic temperatures (below 90 K), remain significantly under-explored. Current empirical correlations and theoretical estimates require improvements in completeness, precision, and consistency. Re</w:t>
      </w:r>
      <w:r w:rsidR="00943924">
        <w:rPr>
          <w:lang w:val="en-GB"/>
        </w:rPr>
        <w:t>view</w:t>
      </w:r>
      <w:r w:rsidRPr="006712D4">
        <w:rPr>
          <w:lang w:val="en-GB"/>
        </w:rPr>
        <w:t xml:space="preserve"> </w:t>
      </w:r>
      <w:r w:rsidR="008B1166">
        <w:rPr>
          <w:lang w:val="en-GB"/>
        </w:rPr>
        <w:t xml:space="preserve">of relevant studies </w:t>
      </w:r>
      <w:r w:rsidR="00A413FC">
        <w:rPr>
          <w:lang w:val="en-GB"/>
        </w:rPr>
        <w:t>indicates</w:t>
      </w:r>
      <w:r w:rsidRPr="006712D4">
        <w:rPr>
          <w:lang w:val="en-GB"/>
        </w:rPr>
        <w:t xml:space="preserve"> that the experimental data on how temperature impacts concentration limits for specific fast flame scenarios—such as choked flame limits, deflagration-to-detonation transition (DDT), fast flame limits, and flame acceleration limits—exhibit unexpected trends when compared to the temperature dependence of </w:t>
      </w:r>
      <w:proofErr w:type="spellStart"/>
      <w:r w:rsidRPr="006712D4">
        <w:rPr>
          <w:lang w:val="en-GB"/>
        </w:rPr>
        <w:t>detonability</w:t>
      </w:r>
      <w:proofErr w:type="spellEnd"/>
      <w:r w:rsidRPr="006712D4">
        <w:rPr>
          <w:lang w:val="en-GB"/>
        </w:rPr>
        <w:t xml:space="preserve"> limits. </w:t>
      </w:r>
      <w:r w:rsidR="00EF6159" w:rsidRPr="00EF6159">
        <w:rPr>
          <w:lang w:val="en-GB"/>
        </w:rPr>
        <w:t>This inconsistency highlights a significant gap in understanding, pointing to the necessity for further theoretical and experimental research.</w:t>
      </w:r>
    </w:p>
    <w:p w14:paraId="0BAF01C6" w14:textId="36E00198" w:rsidR="00A6093F" w:rsidRDefault="0023088C" w:rsidP="00600535">
      <w:pPr>
        <w:pStyle w:val="CETBodytext"/>
        <w:rPr>
          <w:lang w:val="en-GB"/>
        </w:rPr>
      </w:pPr>
      <w:r w:rsidRPr="006712D4">
        <w:rPr>
          <w:lang w:val="en-GB"/>
        </w:rPr>
        <w:t xml:space="preserve">To </w:t>
      </w:r>
      <w:r w:rsidR="00314491">
        <w:rPr>
          <w:lang w:val="en-GB"/>
        </w:rPr>
        <w:t>enhance</w:t>
      </w:r>
      <w:r w:rsidRPr="006712D4">
        <w:rPr>
          <w:lang w:val="en-GB"/>
        </w:rPr>
        <w:t xml:space="preserve"> the predictive capabilities of comput</w:t>
      </w:r>
      <w:r w:rsidR="00EF6159">
        <w:rPr>
          <w:lang w:val="en-GB"/>
        </w:rPr>
        <w:t>ational</w:t>
      </w:r>
      <w:r w:rsidRPr="006712D4">
        <w:rPr>
          <w:lang w:val="en-GB"/>
        </w:rPr>
        <w:t xml:space="preserve"> models used in safety assessments and to provide more accurate</w:t>
      </w:r>
      <w:r w:rsidR="00A30026">
        <w:rPr>
          <w:lang w:val="en-GB"/>
        </w:rPr>
        <w:t xml:space="preserve"> and reliable</w:t>
      </w:r>
      <w:r w:rsidRPr="006712D4">
        <w:rPr>
          <w:lang w:val="en-GB"/>
        </w:rPr>
        <w:t xml:space="preserve"> technical and regulatory guidance on hydrogen safety—especially at cryogenic temperatures—it's crucial to validate the precision of existing non-empirical models that estimate combustion concentration limits across a wide temperature range. This </w:t>
      </w:r>
      <w:r w:rsidR="00350DAD">
        <w:rPr>
          <w:lang w:val="en-GB"/>
        </w:rPr>
        <w:t>task</w:t>
      </w:r>
      <w:r w:rsidRPr="006712D4">
        <w:rPr>
          <w:lang w:val="en-GB"/>
        </w:rPr>
        <w:t xml:space="preserve"> </w:t>
      </w:r>
      <w:r w:rsidR="00350DAD">
        <w:rPr>
          <w:lang w:val="en-GB"/>
        </w:rPr>
        <w:t>requires</w:t>
      </w:r>
      <w:r w:rsidRPr="006712D4">
        <w:rPr>
          <w:lang w:val="en-GB"/>
        </w:rPr>
        <w:t xml:space="preserve"> a </w:t>
      </w:r>
      <w:r w:rsidR="008E055F">
        <w:rPr>
          <w:lang w:val="en-GB"/>
        </w:rPr>
        <w:t>detailed examination</w:t>
      </w:r>
      <w:r w:rsidRPr="006712D4">
        <w:rPr>
          <w:lang w:val="en-GB"/>
        </w:rPr>
        <w:t xml:space="preserve"> of at least three specific cases. The first case involves examining the temperature dependence of detonation limits and choked flame concentration limits in both dry and wet rich and near-stoichiometric hydrogen-air mixtures. The second case seeks to explore how temperature influences the critical concentrations of water vapor, which can entirely prevent flame acceleration, choked flame formation, and detonation propagation. Lastly, the third case will compare the concentration limits for flame acceleration in standard horizontal tubes against those in vertical tubes, evaluating both upward and downward flame acceleration in relation to gravity. </w:t>
      </w:r>
    </w:p>
    <w:p w14:paraId="6D905B53" w14:textId="6140179F" w:rsidR="007666FA" w:rsidRDefault="0023088C" w:rsidP="00600535">
      <w:pPr>
        <w:pStyle w:val="CETBodytext"/>
        <w:rPr>
          <w:lang w:val="en-GB"/>
        </w:rPr>
      </w:pPr>
      <w:r w:rsidRPr="006712D4">
        <w:rPr>
          <w:lang w:val="en-GB"/>
        </w:rPr>
        <w:t xml:space="preserve">A review of existing literature indicates that the current empirical and theoretical correlations regarding the combustion concentration limits of hydrogen predominantly focus on temperatures ranging from 300 K to 90 K. This report demonstrates that theoretical calculations of fundamental concentration limits for planar deflagration flames yield more conservative estimates than the empirical limits associated with flame acceleration. As a result, it is recommended to use this theoretical correlation for planar deflagration limits in safety applications within the temperature range of 90 </w:t>
      </w:r>
      <w:r w:rsidR="00917E75">
        <w:rPr>
          <w:lang w:val="en-GB"/>
        </w:rPr>
        <w:t xml:space="preserve">K </w:t>
      </w:r>
      <w:r w:rsidRPr="006712D4">
        <w:rPr>
          <w:lang w:val="en-GB"/>
        </w:rPr>
        <w:t xml:space="preserve">to 400 K. </w:t>
      </w:r>
    </w:p>
    <w:p w14:paraId="2655BF60" w14:textId="140C33F3" w:rsidR="0023088C" w:rsidRPr="00B57B36" w:rsidRDefault="0023088C" w:rsidP="00600535">
      <w:pPr>
        <w:pStyle w:val="CETBodytext"/>
        <w:rPr>
          <w:lang w:val="en-GB"/>
        </w:rPr>
      </w:pPr>
      <w:r w:rsidRPr="006712D4">
        <w:rPr>
          <w:lang w:val="en-GB"/>
        </w:rPr>
        <w:t>Additionally, this article introduces a new concept termed the "cryogenic flame propagation limit." To the authors' knowledge, this concept has not been previously defined or discussed. This phenomenon expands upon existing combustion concepts related to "concentration limits" for both slow and fast flames, and qualitative reasoning supporting this hypothesis is presented, warranting experimental validation.</w:t>
      </w:r>
    </w:p>
    <w:p w14:paraId="4F1327F8" w14:textId="77777777" w:rsidR="00600535" w:rsidRPr="00B57B36" w:rsidRDefault="00600535" w:rsidP="00600535">
      <w:pPr>
        <w:pStyle w:val="CETReference"/>
      </w:pPr>
      <w:r w:rsidRPr="00B57B36">
        <w:t>References</w:t>
      </w:r>
    </w:p>
    <w:p w14:paraId="093435B8" w14:textId="6A71201D" w:rsidR="009F5487" w:rsidRDefault="003E6F23" w:rsidP="003E6F23">
      <w:pPr>
        <w:pStyle w:val="CETReferencetext"/>
      </w:pPr>
      <w:r w:rsidRPr="003E6F23">
        <w:t>Belles F.E., 1958</w:t>
      </w:r>
      <w:r>
        <w:t>,</w:t>
      </w:r>
      <w:r w:rsidRPr="003E6F23">
        <w:t xml:space="preserve"> </w:t>
      </w:r>
      <w:proofErr w:type="spellStart"/>
      <w:r w:rsidRPr="003E6F23">
        <w:t>Detonability</w:t>
      </w:r>
      <w:proofErr w:type="spellEnd"/>
      <w:r w:rsidRPr="003E6F23">
        <w:t xml:space="preserve"> and Chemical Kinetics: Prediction of Limits of Detonability of Hydrogen. 7th Symp. Int. on Combustion</w:t>
      </w:r>
      <w:r>
        <w:t>,</w:t>
      </w:r>
      <w:r w:rsidRPr="003E6F23">
        <w:t xml:space="preserve"> 745-751.</w:t>
      </w:r>
    </w:p>
    <w:p w14:paraId="074992D0" w14:textId="25206844" w:rsidR="00AC1950" w:rsidRDefault="00AC1950" w:rsidP="00AC1950">
      <w:pPr>
        <w:pStyle w:val="CETReferencetext"/>
      </w:pPr>
      <w:proofErr w:type="spellStart"/>
      <w:r w:rsidRPr="00AC1950">
        <w:lastRenderedPageBreak/>
        <w:t>Cheikhravat</w:t>
      </w:r>
      <w:proofErr w:type="spellEnd"/>
      <w:r w:rsidRPr="00AC1950">
        <w:t xml:space="preserve"> H.,</w:t>
      </w:r>
      <w:r w:rsidR="00C91F44">
        <w:t xml:space="preserve"> </w:t>
      </w:r>
      <w:proofErr w:type="spellStart"/>
      <w:r w:rsidR="00C91F44">
        <w:t>Gaulier</w:t>
      </w:r>
      <w:proofErr w:type="spellEnd"/>
      <w:r w:rsidR="00C91F44">
        <w:t xml:space="preserve"> J., </w:t>
      </w:r>
      <w:proofErr w:type="spellStart"/>
      <w:r w:rsidR="00C91F44">
        <w:t>Bentaib</w:t>
      </w:r>
      <w:proofErr w:type="spellEnd"/>
      <w:r w:rsidR="00C91F44">
        <w:t xml:space="preserve"> A., </w:t>
      </w:r>
      <w:proofErr w:type="spellStart"/>
      <w:r w:rsidR="00C91F44">
        <w:t>Meynet</w:t>
      </w:r>
      <w:proofErr w:type="spellEnd"/>
      <w:r w:rsidR="00C91F44">
        <w:t xml:space="preserve"> N., </w:t>
      </w:r>
      <w:proofErr w:type="spellStart"/>
      <w:r w:rsidR="00C91F44">
        <w:t>Chaumex</w:t>
      </w:r>
      <w:proofErr w:type="spellEnd"/>
      <w:r w:rsidR="00C91F44">
        <w:t>, N.,</w:t>
      </w:r>
      <w:r w:rsidR="00347447">
        <w:t xml:space="preserve"> Paillard, C.E.,</w:t>
      </w:r>
      <w:r w:rsidRPr="00AC1950">
        <w:t xml:space="preserve"> 2015</w:t>
      </w:r>
      <w:r w:rsidR="00511375">
        <w:t>,</w:t>
      </w:r>
      <w:r w:rsidRPr="00AC1950">
        <w:t xml:space="preserve"> Effects of water sprays on flame propagation in hydrogen/air/steam mixtures. Proc. Comb. Institute 35, 2715-2722.</w:t>
      </w:r>
    </w:p>
    <w:p w14:paraId="1C175233" w14:textId="0F88BAFD" w:rsidR="000F397A" w:rsidRPr="00DD776B" w:rsidRDefault="000F397A" w:rsidP="00B31293">
      <w:pPr>
        <w:pStyle w:val="CETReferencetext"/>
      </w:pPr>
      <w:r w:rsidRPr="00DD776B">
        <w:t>Ciccarelli G.</w:t>
      </w:r>
      <w:r w:rsidR="00A00D17">
        <w:t>,</w:t>
      </w:r>
      <w:r w:rsidRPr="00DD776B">
        <w:t> </w:t>
      </w:r>
      <w:r w:rsidR="0075318C" w:rsidRPr="0075318C">
        <w:t xml:space="preserve"> </w:t>
      </w:r>
      <w:hyperlink r:id="rId15" w:history="1">
        <w:r w:rsidR="0075318C" w:rsidRPr="00B31293">
          <w:t>Ginsburg T.</w:t>
        </w:r>
      </w:hyperlink>
      <w:r w:rsidR="0075318C">
        <w:t>,</w:t>
      </w:r>
      <w:r w:rsidR="0075318C" w:rsidRPr="0075318C">
        <w:t xml:space="preserve"> </w:t>
      </w:r>
      <w:hyperlink r:id="rId16" w:history="1">
        <w:r w:rsidR="0075318C" w:rsidRPr="00B31293">
          <w:t>Boccio J.</w:t>
        </w:r>
      </w:hyperlink>
      <w:r w:rsidR="0075318C">
        <w:t xml:space="preserve">, </w:t>
      </w:r>
      <w:hyperlink r:id="rId17" w:history="1">
        <w:r w:rsidR="0075318C" w:rsidRPr="00B31293">
          <w:t>Finfrock C.</w:t>
        </w:r>
      </w:hyperlink>
      <w:r w:rsidR="0075318C">
        <w:t>,</w:t>
      </w:r>
      <w:r w:rsidR="00B31293">
        <w:t xml:space="preserve"> </w:t>
      </w:r>
      <w:hyperlink r:id="rId18" w:history="1">
        <w:r w:rsidR="0075318C" w:rsidRPr="00B31293">
          <w:t>Gerlach L.</w:t>
        </w:r>
      </w:hyperlink>
      <w:r w:rsidR="00B31293">
        <w:t xml:space="preserve">, </w:t>
      </w:r>
      <w:hyperlink r:id="rId19" w:history="1">
        <w:r w:rsidR="0075318C" w:rsidRPr="00B31293">
          <w:t>Sato K.</w:t>
        </w:r>
      </w:hyperlink>
      <w:r w:rsidR="00B31293">
        <w:t xml:space="preserve">, </w:t>
      </w:r>
      <w:hyperlink r:id="rId20" w:history="1">
        <w:r w:rsidR="0075318C" w:rsidRPr="00B31293">
          <w:t>Kinoshita M.</w:t>
        </w:r>
      </w:hyperlink>
      <w:r w:rsidR="00B31293">
        <w:t xml:space="preserve">, </w:t>
      </w:r>
      <w:r w:rsidRPr="00DD776B">
        <w:t>1994</w:t>
      </w:r>
      <w:r w:rsidR="003634F5" w:rsidRPr="00DD776B">
        <w:t>,</w:t>
      </w:r>
      <w:r w:rsidRPr="00DD776B">
        <w:t xml:space="preserve"> High-Temperature Hydrogen-Air-Steam Detonation Experiments in the BNL Small-Scale Development Apparatus</w:t>
      </w:r>
      <w:r w:rsidR="003634F5" w:rsidRPr="00DD776B">
        <w:t>,</w:t>
      </w:r>
      <w:r w:rsidRPr="00DD776B">
        <w:t xml:space="preserve"> NUREG/CR-6213, BNL-NUREG -52414.</w:t>
      </w:r>
    </w:p>
    <w:p w14:paraId="45B93B2E" w14:textId="0B7A3D7A" w:rsidR="000F397A" w:rsidRPr="00DD776B" w:rsidRDefault="000E217C" w:rsidP="000F397A">
      <w:pPr>
        <w:pStyle w:val="CETReferencetext"/>
      </w:pPr>
      <w:r w:rsidRPr="00DD776B">
        <w:t>Ciccarelli G.</w:t>
      </w:r>
      <w:r w:rsidR="00A00D17">
        <w:t>,</w:t>
      </w:r>
      <w:r w:rsidRPr="00DD776B">
        <w:t> </w:t>
      </w:r>
      <w:r w:rsidRPr="0075318C">
        <w:t xml:space="preserve"> </w:t>
      </w:r>
      <w:hyperlink r:id="rId21" w:history="1">
        <w:r w:rsidRPr="00B31293">
          <w:t>Ginsburg T.</w:t>
        </w:r>
      </w:hyperlink>
      <w:r w:rsidRPr="0075318C">
        <w:t> </w:t>
      </w:r>
      <w:r>
        <w:t>,</w:t>
      </w:r>
      <w:r w:rsidRPr="0075318C">
        <w:t xml:space="preserve"> </w:t>
      </w:r>
      <w:hyperlink r:id="rId22" w:history="1">
        <w:r w:rsidRPr="00B31293">
          <w:t>Boccio J.</w:t>
        </w:r>
      </w:hyperlink>
      <w:r>
        <w:t xml:space="preserve">, </w:t>
      </w:r>
      <w:hyperlink r:id="rId23" w:history="1">
        <w:r w:rsidRPr="00B31293">
          <w:t>Finfrock C.</w:t>
        </w:r>
      </w:hyperlink>
      <w:r>
        <w:t xml:space="preserve">, </w:t>
      </w:r>
      <w:hyperlink r:id="rId24" w:history="1">
        <w:r w:rsidRPr="00B31293">
          <w:t>Gerlach L.</w:t>
        </w:r>
      </w:hyperlink>
      <w:r>
        <w:t xml:space="preserve">, </w:t>
      </w:r>
      <w:hyperlink r:id="rId25" w:history="1">
        <w:r w:rsidRPr="00B31293">
          <w:t>Sato K.</w:t>
        </w:r>
      </w:hyperlink>
      <w:r>
        <w:t xml:space="preserve">, </w:t>
      </w:r>
      <w:hyperlink r:id="rId26" w:history="1">
        <w:r w:rsidRPr="00B31293">
          <w:t>Kinoshita M.</w:t>
        </w:r>
      </w:hyperlink>
      <w:r>
        <w:t xml:space="preserve">, </w:t>
      </w:r>
      <w:r w:rsidR="000F397A" w:rsidRPr="00DD776B">
        <w:t>1996</w:t>
      </w:r>
      <w:r w:rsidR="00DD776B">
        <w:t>,</w:t>
      </w:r>
      <w:r w:rsidR="000F397A" w:rsidRPr="00DD776B">
        <w:t xml:space="preserve"> The Influence of Initial Temperature on Flame Acceleration and Deflagration-to-Detonation-Transition</w:t>
      </w:r>
      <w:r w:rsidR="00DD776B">
        <w:t>,</w:t>
      </w:r>
      <w:r w:rsidR="000F397A" w:rsidRPr="00DD776B">
        <w:t xml:space="preserve"> 26th Symp. Int. on Combustion</w:t>
      </w:r>
      <w:r w:rsidR="00DD776B">
        <w:t>,</w:t>
      </w:r>
      <w:r w:rsidR="000F397A" w:rsidRPr="00DD776B">
        <w:t xml:space="preserve"> 2973-2979. </w:t>
      </w:r>
    </w:p>
    <w:p w14:paraId="6E202694" w14:textId="6C26DCC3" w:rsidR="000F397A" w:rsidRPr="00DD776B" w:rsidRDefault="000F397A" w:rsidP="000F397A">
      <w:pPr>
        <w:pStyle w:val="CETReferencetext"/>
      </w:pPr>
      <w:r w:rsidRPr="00DD776B">
        <w:t>Ciccarelli G.,</w:t>
      </w:r>
      <w:r w:rsidR="007B594A">
        <w:t xml:space="preserve"> </w:t>
      </w:r>
      <w:proofErr w:type="spellStart"/>
      <w:r w:rsidR="004C14EE">
        <w:t>C</w:t>
      </w:r>
      <w:r w:rsidR="007B594A">
        <w:t>haumeix</w:t>
      </w:r>
      <w:proofErr w:type="spellEnd"/>
      <w:r w:rsidR="007B594A">
        <w:t xml:space="preserve"> N., </w:t>
      </w:r>
      <w:proofErr w:type="spellStart"/>
      <w:r w:rsidR="007B594A">
        <w:t>Mendiburu</w:t>
      </w:r>
      <w:proofErr w:type="spellEnd"/>
      <w:r w:rsidR="007B594A">
        <w:t xml:space="preserve"> A.Z., N</w:t>
      </w:r>
      <w:r w:rsidR="004C14EE">
        <w:t>’</w:t>
      </w:r>
      <w:r w:rsidR="007B594A">
        <w:t>Guessan K.,</w:t>
      </w:r>
      <w:r w:rsidRPr="00DD776B">
        <w:t xml:space="preserve"> 2019</w:t>
      </w:r>
      <w:r w:rsidR="00DD776B">
        <w:t>,</w:t>
      </w:r>
      <w:r w:rsidRPr="00DD776B">
        <w:t xml:space="preserve"> Fast-flame limit for hydrogen/methane-air mixtures</w:t>
      </w:r>
      <w:r w:rsidR="00DD776B">
        <w:t>,</w:t>
      </w:r>
      <w:r w:rsidRPr="00DD776B">
        <w:t xml:space="preserve"> Proc. Combustion Institute. 37(3), 3661-3668. </w:t>
      </w:r>
    </w:p>
    <w:p w14:paraId="6274F7EC" w14:textId="5B31A2A1" w:rsidR="000F397A" w:rsidRPr="00862697" w:rsidRDefault="000F397A" w:rsidP="000F397A">
      <w:pPr>
        <w:pStyle w:val="CETReferencetext"/>
        <w:rPr>
          <w:lang w:val="en-US"/>
        </w:rPr>
      </w:pPr>
      <w:r w:rsidRPr="00DD776B">
        <w:t>Coward H. F., and Brinsley F.</w:t>
      </w:r>
      <w:r w:rsidR="004A2CD1">
        <w:t>,</w:t>
      </w:r>
      <w:r w:rsidRPr="00DD776B">
        <w:t xml:space="preserve"> 1914</w:t>
      </w:r>
      <w:r w:rsidR="00DD776B">
        <w:t>,</w:t>
      </w:r>
      <w:r w:rsidRPr="00DD776B">
        <w:t xml:space="preserve"> Dilution limits of inflammability of gaseous mixtures. I. Determination of dilution limits. II. Lower limits for hydrogen, methane, and carbon monoxide in air</w:t>
      </w:r>
      <w:r w:rsidR="00DD776B">
        <w:t>,</w:t>
      </w:r>
      <w:r w:rsidRPr="00DD776B">
        <w:t xml:space="preserve"> J. Chem. Soc. 105, 1859-1885.</w:t>
      </w:r>
    </w:p>
    <w:p w14:paraId="14E5045F" w14:textId="1D40D4D5" w:rsidR="000F397A" w:rsidRPr="00DD776B" w:rsidRDefault="000F397A" w:rsidP="000F397A">
      <w:pPr>
        <w:pStyle w:val="CETReferencetext"/>
      </w:pPr>
      <w:r w:rsidRPr="00DD776B">
        <w:t>Coward H.F. and Jones, G.W., 1952</w:t>
      </w:r>
      <w:r w:rsidR="00DD776B">
        <w:t>,</w:t>
      </w:r>
      <w:r w:rsidRPr="00DD776B">
        <w:t xml:space="preserve"> Limits of flammability of gases and vapors. Bureau of Mines, US government printing office, Washington.</w:t>
      </w:r>
    </w:p>
    <w:p w14:paraId="30E56663" w14:textId="3FBC1015" w:rsidR="000F397A" w:rsidRDefault="000F397A" w:rsidP="000F397A">
      <w:pPr>
        <w:pStyle w:val="CETReferencetext"/>
      </w:pPr>
      <w:r w:rsidRPr="00DD776B">
        <w:t>Dorofeev. S.V., et. al, 1999</w:t>
      </w:r>
      <w:r w:rsidR="00DD776B">
        <w:t>,</w:t>
      </w:r>
      <w:r w:rsidRPr="00DD776B">
        <w:t xml:space="preserve"> Effect of Scale and Mixture Properties on Behaviour of Turbulent Flames in Obstructed Areas</w:t>
      </w:r>
      <w:r w:rsidR="00DD776B">
        <w:t>,</w:t>
      </w:r>
      <w:r w:rsidRPr="00DD776B">
        <w:t xml:space="preserve"> IAE-6137/3 or FZKA-6268.</w:t>
      </w:r>
    </w:p>
    <w:p w14:paraId="479804E4" w14:textId="74F8BC8A" w:rsidR="00197F43" w:rsidRPr="00DD776B" w:rsidRDefault="001D2B2B" w:rsidP="000F397A">
      <w:pPr>
        <w:pStyle w:val="CETReferencetext"/>
      </w:pPr>
      <w:r w:rsidRPr="004065F1">
        <w:rPr>
          <w:noProof/>
          <w:szCs w:val="24"/>
        </w:rPr>
        <w:t xml:space="preserve">Eichert H., </w:t>
      </w:r>
      <w:r>
        <w:rPr>
          <w:noProof/>
          <w:szCs w:val="24"/>
        </w:rPr>
        <w:t>Fischer M.</w:t>
      </w:r>
      <w:r w:rsidRPr="004065F1">
        <w:rPr>
          <w:noProof/>
          <w:szCs w:val="24"/>
        </w:rPr>
        <w:t>, 1992</w:t>
      </w:r>
      <w:r>
        <w:rPr>
          <w:noProof/>
          <w:szCs w:val="24"/>
        </w:rPr>
        <w:t>,</w:t>
      </w:r>
      <w:r w:rsidRPr="004065F1">
        <w:rPr>
          <w:noProof/>
          <w:szCs w:val="24"/>
        </w:rPr>
        <w:t xml:space="preserve"> Gefährdungspotential bei einem verstärkten Wasserstoffeinsatz</w:t>
      </w:r>
      <w:r>
        <w:rPr>
          <w:noProof/>
          <w:szCs w:val="24"/>
        </w:rPr>
        <w:t>,</w:t>
      </w:r>
      <w:r w:rsidRPr="004065F1">
        <w:rPr>
          <w:noProof/>
          <w:szCs w:val="24"/>
        </w:rPr>
        <w:t xml:space="preserve"> Deutsches Zentrum für Luft- und Raumfahrt (DLR), Stuttgart</w:t>
      </w:r>
      <w:r w:rsidR="00EA6FA6">
        <w:rPr>
          <w:noProof/>
          <w:szCs w:val="24"/>
        </w:rPr>
        <w:t>.</w:t>
      </w:r>
    </w:p>
    <w:p w14:paraId="2D6A08DB" w14:textId="129ADC27" w:rsidR="00513CB8" w:rsidRPr="00DD776B" w:rsidRDefault="00513CB8" w:rsidP="00513CB8">
      <w:pPr>
        <w:pStyle w:val="CETReferencetext"/>
      </w:pPr>
      <w:r w:rsidRPr="00DD776B">
        <w:t>Gasse A., 1992</w:t>
      </w:r>
      <w:r w:rsidR="0074734E">
        <w:t>,</w:t>
      </w:r>
      <w:r w:rsidRPr="00DD776B">
        <w:t xml:space="preserve"> Experimentelle Bestimmung and Simulation von </w:t>
      </w:r>
      <w:proofErr w:type="spellStart"/>
      <w:r w:rsidRPr="00DD776B">
        <w:t>Explosionsgrenzen</w:t>
      </w:r>
      <w:proofErr w:type="spellEnd"/>
      <w:r w:rsidRPr="00DD776B">
        <w:t xml:space="preserve">, </w:t>
      </w:r>
      <w:proofErr w:type="spellStart"/>
      <w:r w:rsidRPr="00DD776B">
        <w:t>untersuch</w:t>
      </w:r>
      <w:proofErr w:type="spellEnd"/>
      <w:r w:rsidRPr="00DD776B">
        <w:t xml:space="preserve"> </w:t>
      </w:r>
      <w:proofErr w:type="spellStart"/>
      <w:r w:rsidRPr="00DD776B">
        <w:t>an</w:t>
      </w:r>
      <w:proofErr w:type="spellEnd"/>
      <w:r w:rsidRPr="00DD776B">
        <w:t xml:space="preserve"> </w:t>
      </w:r>
      <w:proofErr w:type="spellStart"/>
      <w:r w:rsidRPr="00DD776B">
        <w:t>wasserstoff</w:t>
      </w:r>
      <w:proofErr w:type="spellEnd"/>
      <w:r w:rsidRPr="00DD776B">
        <w:t xml:space="preserve"> </w:t>
      </w:r>
      <w:proofErr w:type="spellStart"/>
      <w:r w:rsidRPr="00DD776B">
        <w:t>Brenngasgemishen</w:t>
      </w:r>
      <w:proofErr w:type="spellEnd"/>
      <w:r w:rsidR="0074734E">
        <w:t>,</w:t>
      </w:r>
      <w:r w:rsidRPr="00DD776B">
        <w:t xml:space="preserve"> Dissertation, Uni-GH Paderborn, Germany.</w:t>
      </w:r>
    </w:p>
    <w:p w14:paraId="69360368" w14:textId="4091DF39" w:rsidR="00FA51CD" w:rsidRPr="00DD776B" w:rsidRDefault="00FA51CD" w:rsidP="00CC317D">
      <w:pPr>
        <w:pStyle w:val="CETReferencetext"/>
      </w:pPr>
      <w:r w:rsidRPr="00DD776B">
        <w:t>Hustad J.E. and Sonju O., 1988</w:t>
      </w:r>
      <w:r w:rsidR="0074734E">
        <w:t>,</w:t>
      </w:r>
      <w:r w:rsidRPr="00DD776B">
        <w:t xml:space="preserve"> Experimental Studies of Lower Flammability Limits of Gases and Mixtures of Gases at Elevated Temperatures</w:t>
      </w:r>
      <w:r w:rsidR="0074734E">
        <w:t>,</w:t>
      </w:r>
      <w:r w:rsidRPr="00DD776B">
        <w:t xml:space="preserve"> Combustion and Flame</w:t>
      </w:r>
      <w:r w:rsidR="0074734E">
        <w:t>,</w:t>
      </w:r>
      <w:r w:rsidRPr="00DD776B">
        <w:t xml:space="preserve"> 71: 283-294. </w:t>
      </w:r>
    </w:p>
    <w:p w14:paraId="27486FC0" w14:textId="372D5304" w:rsidR="00187223" w:rsidRPr="00187223" w:rsidRDefault="00187223" w:rsidP="00187223">
      <w:pPr>
        <w:pStyle w:val="CETReferencetext"/>
      </w:pPr>
      <w:r w:rsidRPr="00187223">
        <w:t>Kirillov I.A., 2017. Non-empirical method for quantitative estimation of the concentration limits for deflagration flame propagation in hydrogen-air gaseous mixtures. Proc. XXIX Int. Scientific and practical conference dedicated to the 80th anniversary of VNIIPO, Russian Ministry of Emergency, part 2, 5-8 (in Russian).</w:t>
      </w:r>
    </w:p>
    <w:p w14:paraId="5BCE6B09" w14:textId="60D69AF7" w:rsidR="002A361A" w:rsidRDefault="002A361A" w:rsidP="00CC317D">
      <w:pPr>
        <w:pStyle w:val="CETReferencetext"/>
      </w:pPr>
      <w:r w:rsidRPr="00DD776B">
        <w:t>Kumar R., 1985</w:t>
      </w:r>
      <w:r w:rsidR="0074734E">
        <w:t>,</w:t>
      </w:r>
      <w:r w:rsidRPr="00DD776B">
        <w:t xml:space="preserve"> Flammability limits of hydrogen-oxygen-diluent mixtures</w:t>
      </w:r>
      <w:r w:rsidR="0074734E">
        <w:t>,</w:t>
      </w:r>
      <w:r w:rsidRPr="00DD776B">
        <w:t xml:space="preserve"> J. Fire Sci. 3, 245-262.</w:t>
      </w:r>
    </w:p>
    <w:p w14:paraId="2708F734" w14:textId="059ECD12" w:rsidR="00AD5670" w:rsidRPr="00DD776B" w:rsidRDefault="00AD5670" w:rsidP="00AD5670">
      <w:pPr>
        <w:pStyle w:val="CETReferencetext"/>
      </w:pPr>
      <w:r w:rsidRPr="00AD5670">
        <w:t>Kuznetsov M., Czerniak M., Grune J., Jordan T., 2013</w:t>
      </w:r>
      <w:r>
        <w:t xml:space="preserve">, </w:t>
      </w:r>
      <w:r w:rsidRPr="00AD5670">
        <w:t>Effect of temperature on laminar flame velocity for hydrogen-air mixtures at reduced pressures. Proc. 5th Int Conf Hydrogen Safety, Brussel</w:t>
      </w:r>
      <w:r>
        <w:t>s</w:t>
      </w:r>
      <w:r w:rsidRPr="00AD5670">
        <w:t xml:space="preserve">, paper 231. </w:t>
      </w:r>
    </w:p>
    <w:p w14:paraId="18ED0E37" w14:textId="46864D26" w:rsidR="002A361A" w:rsidRPr="00DD776B" w:rsidRDefault="002A361A" w:rsidP="00CC317D">
      <w:pPr>
        <w:pStyle w:val="CETReferencetext"/>
      </w:pPr>
      <w:r w:rsidRPr="00DD776B">
        <w:t xml:space="preserve">Kuznetsov M., </w:t>
      </w:r>
      <w:proofErr w:type="spellStart"/>
      <w:r w:rsidR="00296185">
        <w:t>Denkevitz</w:t>
      </w:r>
      <w:proofErr w:type="spellEnd"/>
      <w:r w:rsidR="00296185">
        <w:t xml:space="preserve"> A., Veser</w:t>
      </w:r>
      <w:r w:rsidR="003C3128">
        <w:t xml:space="preserve"> </w:t>
      </w:r>
      <w:r w:rsidR="00296185">
        <w:t>A., Friedrich A</w:t>
      </w:r>
      <w:r w:rsidRPr="00DD776B">
        <w:t>., 2022</w:t>
      </w:r>
      <w:r w:rsidR="0074734E">
        <w:t>,</w:t>
      </w:r>
      <w:r w:rsidRPr="00DD776B">
        <w:t xml:space="preserve"> Flame propagation regimes and critical conditions for flame acceleration and detonation transition for hydrogen-air mixtures at cryogenic temperatures</w:t>
      </w:r>
      <w:r w:rsidR="0074734E">
        <w:t>,</w:t>
      </w:r>
      <w:r w:rsidRPr="00DD776B">
        <w:t xml:space="preserve"> J. Hydrogen Energy. 47(71), 30743-30756.</w:t>
      </w:r>
    </w:p>
    <w:p w14:paraId="29478AA1" w14:textId="614CBCDB" w:rsidR="006D7DC9" w:rsidRPr="00DD776B" w:rsidRDefault="006D7DC9" w:rsidP="006D7DC9">
      <w:pPr>
        <w:pStyle w:val="CETReferencetext"/>
      </w:pPr>
      <w:r w:rsidRPr="006D7DC9">
        <w:t xml:space="preserve">Law C.K. and </w:t>
      </w:r>
      <w:proofErr w:type="spellStart"/>
      <w:r w:rsidRPr="006D7DC9">
        <w:t>Egolfopoulos</w:t>
      </w:r>
      <w:proofErr w:type="spellEnd"/>
      <w:r w:rsidRPr="006D7DC9">
        <w:t xml:space="preserve"> F.N., 1990. A kinetic criterion of flammability limits: the C-H-O-inert system. 23rd Symp. Int. Comb. 413-421.</w:t>
      </w:r>
    </w:p>
    <w:p w14:paraId="0345494F" w14:textId="123AB491" w:rsidR="001645A4" w:rsidRDefault="00983EE6" w:rsidP="00CC317D">
      <w:pPr>
        <w:pStyle w:val="CETReferencetext"/>
      </w:pPr>
      <w:r w:rsidRPr="00DD776B">
        <w:t>Pio G., Salzano E., 2019</w:t>
      </w:r>
      <w:r w:rsidR="0074734E">
        <w:t>,</w:t>
      </w:r>
      <w:r w:rsidRPr="00DD776B">
        <w:t xml:space="preserve"> Flammability Limits of Methane (LNG) and Hydrogen (LH2) at Extreme Conditions. Chem. Eng. Trans. 77, 601-606.</w:t>
      </w:r>
    </w:p>
    <w:p w14:paraId="43CE252A" w14:textId="284F5749" w:rsidR="001645A4" w:rsidRDefault="001645A4" w:rsidP="008C5925">
      <w:pPr>
        <w:pStyle w:val="CETReferencetext"/>
      </w:pPr>
      <w:r w:rsidRPr="001645A4">
        <w:t xml:space="preserve">Plaksin </w:t>
      </w:r>
      <w:proofErr w:type="spellStart"/>
      <w:r w:rsidRPr="001645A4">
        <w:t>V.Yu</w:t>
      </w:r>
      <w:proofErr w:type="spellEnd"/>
      <w:r w:rsidRPr="001645A4">
        <w:t>.</w:t>
      </w:r>
      <w:r w:rsidR="00411CF0">
        <w:t xml:space="preserve"> and</w:t>
      </w:r>
      <w:r w:rsidRPr="001645A4">
        <w:t xml:space="preserve"> Kirillov, I.A., 2023</w:t>
      </w:r>
      <w:r>
        <w:t>,</w:t>
      </w:r>
      <w:r w:rsidRPr="001645A4">
        <w:t xml:space="preserve"> “Lean” Unified Non-Empiric Model for Fundamental Concentration Limits of Spherical Flame Balls and Plane Deflagration Flames in the Hydrogen-Containing Mixtures</w:t>
      </w:r>
      <w:r w:rsidR="008C5925">
        <w:t>,</w:t>
      </w:r>
      <w:r w:rsidRPr="001645A4">
        <w:t xml:space="preserve"> 29th ICDERS, July 23-28, 2023, paper 225. </w:t>
      </w:r>
    </w:p>
    <w:p w14:paraId="37E6AFCB" w14:textId="45C58B85" w:rsidR="00805ABF" w:rsidRPr="005C3B08" w:rsidRDefault="00805ABF" w:rsidP="008C5925">
      <w:pPr>
        <w:pStyle w:val="CETReferencetext"/>
        <w:rPr>
          <w:lang w:val="en-US"/>
        </w:rPr>
      </w:pPr>
      <w:r w:rsidRPr="001645A4">
        <w:t xml:space="preserve">Plaksin </w:t>
      </w:r>
      <w:proofErr w:type="spellStart"/>
      <w:r w:rsidRPr="001645A4">
        <w:t>V.Yu</w:t>
      </w:r>
      <w:proofErr w:type="spellEnd"/>
      <w:r w:rsidRPr="001645A4">
        <w:t>.</w:t>
      </w:r>
      <w:r>
        <w:t xml:space="preserve"> and</w:t>
      </w:r>
      <w:r w:rsidRPr="001645A4">
        <w:t xml:space="preserve"> Kirillov I.A., 202</w:t>
      </w:r>
      <w:r>
        <w:t xml:space="preserve">5, </w:t>
      </w:r>
      <w:r w:rsidR="005C3B08">
        <w:rPr>
          <w:lang w:val="en-US"/>
        </w:rPr>
        <w:t>Hydrogen flammability</w:t>
      </w:r>
      <w:r w:rsidR="004B0B37">
        <w:rPr>
          <w:lang w:val="en-US"/>
        </w:rPr>
        <w:t xml:space="preserve"> and explosion concentration limits for a wide temperature range, J. Loss Prevention</w:t>
      </w:r>
      <w:r w:rsidR="006D5341">
        <w:rPr>
          <w:lang w:val="en-US"/>
        </w:rPr>
        <w:t xml:space="preserve"> in the Process I</w:t>
      </w:r>
      <w:r w:rsidR="00DD7879">
        <w:rPr>
          <w:lang w:val="en-US"/>
        </w:rPr>
        <w:t>n</w:t>
      </w:r>
      <w:r w:rsidR="006D5341">
        <w:rPr>
          <w:lang w:val="en-US"/>
        </w:rPr>
        <w:t>dustries</w:t>
      </w:r>
      <w:r w:rsidR="004B0B37">
        <w:rPr>
          <w:lang w:val="en-US"/>
        </w:rPr>
        <w:t>, 94, 105</w:t>
      </w:r>
      <w:r w:rsidR="00266A8F">
        <w:rPr>
          <w:lang w:val="en-US"/>
        </w:rPr>
        <w:t>554.</w:t>
      </w:r>
    </w:p>
    <w:p w14:paraId="2A31F4FE" w14:textId="1B1F24AB" w:rsidR="00037742" w:rsidRPr="001F4A50" w:rsidRDefault="00037742" w:rsidP="008C5925">
      <w:pPr>
        <w:pStyle w:val="CETReferencetext"/>
        <w:rPr>
          <w:lang w:val="en-US"/>
        </w:rPr>
      </w:pPr>
      <w:r>
        <w:t xml:space="preserve">Schroeder V., </w:t>
      </w:r>
      <w:proofErr w:type="spellStart"/>
      <w:r>
        <w:t>Holtappel</w:t>
      </w:r>
      <w:proofErr w:type="spellEnd"/>
      <w:r>
        <w:t xml:space="preserve"> K., 2005, Explosion Characteristics of Hydrogen-Air and Hydrogen-Oxygen Mixtures</w:t>
      </w:r>
      <w:r w:rsidR="004820C0">
        <w:t xml:space="preserve"> at elevated Pressures, </w:t>
      </w:r>
      <w:r w:rsidR="001F4A50" w:rsidRPr="00BC5B59">
        <w:rPr>
          <w:lang w:val="en-US"/>
        </w:rPr>
        <w:t xml:space="preserve">Proc. </w:t>
      </w:r>
      <w:r w:rsidR="001F0A56">
        <w:rPr>
          <w:lang w:val="en-US"/>
        </w:rPr>
        <w:t>1</w:t>
      </w:r>
      <w:r w:rsidR="001F0A56" w:rsidRPr="001F0A56">
        <w:rPr>
          <w:vertAlign w:val="superscript"/>
          <w:lang w:val="en-US"/>
        </w:rPr>
        <w:t>st</w:t>
      </w:r>
      <w:r w:rsidR="001F4A50" w:rsidRPr="00BC5B59">
        <w:rPr>
          <w:lang w:val="en-US"/>
        </w:rPr>
        <w:t xml:space="preserve"> Int</w:t>
      </w:r>
      <w:r w:rsidR="001F0A56">
        <w:rPr>
          <w:lang w:val="en-US"/>
        </w:rPr>
        <w:t>.</w:t>
      </w:r>
      <w:r w:rsidR="001F4A50" w:rsidRPr="00BC5B59">
        <w:rPr>
          <w:lang w:val="en-US"/>
        </w:rPr>
        <w:t xml:space="preserve"> Conf</w:t>
      </w:r>
      <w:r w:rsidR="001F0A56">
        <w:rPr>
          <w:lang w:val="en-US"/>
        </w:rPr>
        <w:t>.</w:t>
      </w:r>
      <w:r w:rsidR="001F4A50" w:rsidRPr="00BC5B59">
        <w:rPr>
          <w:lang w:val="en-US"/>
        </w:rPr>
        <w:t xml:space="preserve"> Hydrogen Safety (ICHS), </w:t>
      </w:r>
      <w:r w:rsidR="002710A0">
        <w:rPr>
          <w:lang w:val="en-US"/>
        </w:rPr>
        <w:t>Pisa</w:t>
      </w:r>
      <w:r w:rsidR="001F4A50" w:rsidRPr="00BC5B59">
        <w:rPr>
          <w:lang w:val="en-US"/>
        </w:rPr>
        <w:t>,</w:t>
      </w:r>
      <w:r w:rsidR="003557BD">
        <w:rPr>
          <w:lang w:val="en-US"/>
        </w:rPr>
        <w:t xml:space="preserve"> September 8-10,</w:t>
      </w:r>
      <w:r w:rsidR="001F4A50" w:rsidRPr="00BC5B59">
        <w:rPr>
          <w:lang w:val="en-US"/>
        </w:rPr>
        <w:t xml:space="preserve"> paper </w:t>
      </w:r>
      <w:r w:rsidR="0090767E">
        <w:rPr>
          <w:lang w:val="en-US"/>
        </w:rPr>
        <w:t>12000</w:t>
      </w:r>
      <w:r w:rsidR="001F4A50" w:rsidRPr="00BC5B59">
        <w:rPr>
          <w:lang w:val="en-US"/>
        </w:rPr>
        <w:t>1</w:t>
      </w:r>
      <w:r w:rsidR="0090767E">
        <w:rPr>
          <w:lang w:val="en-US"/>
        </w:rPr>
        <w:t>.</w:t>
      </w:r>
    </w:p>
    <w:p w14:paraId="1D282D69" w14:textId="5ED4B045" w:rsidR="002C0F7D" w:rsidRPr="00DD776B" w:rsidRDefault="002C0F7D" w:rsidP="00CC317D">
      <w:pPr>
        <w:pStyle w:val="CETReferencetext"/>
      </w:pPr>
      <w:proofErr w:type="spellStart"/>
      <w:r w:rsidRPr="00DD776B">
        <w:t>Terpsta</w:t>
      </w:r>
      <w:proofErr w:type="spellEnd"/>
      <w:r w:rsidRPr="00DD776B">
        <w:t xml:space="preserve"> M., 2012</w:t>
      </w:r>
      <w:r w:rsidR="0074734E">
        <w:t>,</w:t>
      </w:r>
      <w:r w:rsidRPr="00DD776B">
        <w:t xml:space="preserve"> Flammability limits of hydrogen-diluted mixtures in air</w:t>
      </w:r>
      <w:r w:rsidR="0074734E">
        <w:t>,</w:t>
      </w:r>
      <w:r w:rsidRPr="00DD776B">
        <w:t xml:space="preserve"> MSc thesis, Uni. Calgary.</w:t>
      </w:r>
    </w:p>
    <w:p w14:paraId="192C3E9B" w14:textId="207B2268" w:rsidR="00E73D41" w:rsidRPr="00DD776B" w:rsidRDefault="00E73D41" w:rsidP="00CC317D">
      <w:pPr>
        <w:pStyle w:val="CETReferencetext"/>
      </w:pPr>
      <w:r w:rsidRPr="00DD776B">
        <w:t>White A.G., 1925</w:t>
      </w:r>
      <w:r w:rsidR="0074734E">
        <w:t>,</w:t>
      </w:r>
      <w:r w:rsidRPr="00DD776B">
        <w:t xml:space="preserve"> Limits for the propagation of flame in inflammable gas-air mixtures. III. The effects of temperature on the limits</w:t>
      </w:r>
      <w:r w:rsidR="00014F6E">
        <w:t>,</w:t>
      </w:r>
      <w:r w:rsidRPr="00DD776B">
        <w:t xml:space="preserve"> J. Chem. Soc. 127, 672-684 </w:t>
      </w:r>
    </w:p>
    <w:p w14:paraId="516A81B8" w14:textId="2EE3B35E" w:rsidR="00E73D41" w:rsidRPr="00DD776B" w:rsidRDefault="00E73D41" w:rsidP="00CC317D">
      <w:pPr>
        <w:pStyle w:val="CETReferencetext"/>
      </w:pPr>
      <w:r w:rsidRPr="00DD776B">
        <w:t>Wierzba I., et al., 1992</w:t>
      </w:r>
      <w:r w:rsidR="00014F6E">
        <w:t>,</w:t>
      </w:r>
      <w:r w:rsidRPr="00DD776B">
        <w:t xml:space="preserve"> Effect of low temperature on the rich flammability limits in air of hydrogen and some fuel mixtures containing hydrogen</w:t>
      </w:r>
      <w:r w:rsidR="00014F6E">
        <w:t>,</w:t>
      </w:r>
      <w:r w:rsidRPr="00DD776B">
        <w:t xml:space="preserve"> Int. J. Hydrogen Energy</w:t>
      </w:r>
      <w:r w:rsidR="00014F6E">
        <w:t>,</w:t>
      </w:r>
      <w:r w:rsidRPr="00DD776B">
        <w:t xml:space="preserve"> 17(2), 149-152. </w:t>
      </w:r>
    </w:p>
    <w:p w14:paraId="7DFF5FA2" w14:textId="398ED6B5" w:rsidR="00E73D41" w:rsidRPr="00DD776B" w:rsidRDefault="00E73D41" w:rsidP="00CC317D">
      <w:pPr>
        <w:pStyle w:val="CETReferencetext"/>
      </w:pPr>
      <w:r w:rsidRPr="00DD776B">
        <w:t>Wierzba I., Shrestha S. B., Karim G. A., 1994</w:t>
      </w:r>
      <w:r w:rsidR="00014F6E">
        <w:t>,</w:t>
      </w:r>
      <w:r w:rsidRPr="00DD776B">
        <w:t xml:space="preserve"> A Thermodynamic Analysis of the Lean Flammability Limits of Fuel-Diluent Mixtures in Air</w:t>
      </w:r>
      <w:r w:rsidR="00014F6E">
        <w:t>,</w:t>
      </w:r>
      <w:r w:rsidRPr="00DD776B">
        <w:t xml:space="preserve"> ASME J. Energy Resources Technology, 116, 181-185.</w:t>
      </w:r>
    </w:p>
    <w:p w14:paraId="4904CA5A" w14:textId="5A929F62" w:rsidR="00E73D41" w:rsidRPr="00DD776B" w:rsidRDefault="00E73D41" w:rsidP="00CC317D">
      <w:pPr>
        <w:pStyle w:val="CETReferencetext"/>
      </w:pPr>
      <w:proofErr w:type="spellStart"/>
      <w:r w:rsidRPr="00DD776B">
        <w:t>Wirzba</w:t>
      </w:r>
      <w:proofErr w:type="spellEnd"/>
      <w:r w:rsidRPr="00DD776B">
        <w:t xml:space="preserve"> I.</w:t>
      </w:r>
      <w:r w:rsidR="0024130E">
        <w:t xml:space="preserve"> and</w:t>
      </w:r>
      <w:r w:rsidRPr="00DD776B">
        <w:t xml:space="preserve"> Ale B. B., 1998</w:t>
      </w:r>
      <w:r w:rsidR="00014F6E">
        <w:t>,</w:t>
      </w:r>
      <w:r w:rsidRPr="00DD776B">
        <w:t xml:space="preserve"> Effects of temperature and time of exposure on the flammability limits of hydrogen-air mixtures</w:t>
      </w:r>
      <w:r w:rsidR="00014F6E">
        <w:t>,</w:t>
      </w:r>
      <w:r w:rsidRPr="00DD776B">
        <w:t xml:space="preserve"> Int. J. Hydrogen Energy. 23(1), 1197-1998. </w:t>
      </w:r>
    </w:p>
    <w:p w14:paraId="57D3CC50" w14:textId="05456EB3" w:rsidR="00E73D41" w:rsidRPr="00DD776B" w:rsidRDefault="00E73D41" w:rsidP="00CC317D">
      <w:pPr>
        <w:pStyle w:val="CETReferencetext"/>
      </w:pPr>
      <w:r w:rsidRPr="00DD776B">
        <w:t>Wierzba I.</w:t>
      </w:r>
      <w:r w:rsidR="0024130E">
        <w:t xml:space="preserve"> and</w:t>
      </w:r>
      <w:r w:rsidRPr="00DD776B">
        <w:t xml:space="preserve"> Wang, Q., 2006</w:t>
      </w:r>
      <w:r w:rsidR="00014F6E">
        <w:t>,</w:t>
      </w:r>
      <w:r w:rsidRPr="00DD776B">
        <w:t xml:space="preserve"> The flammability limits of H2-CO-CH4 mixtures in air at elevated temperatures. Int. J. Hydrogen Energy</w:t>
      </w:r>
      <w:r w:rsidR="00014F6E">
        <w:t>,</w:t>
      </w:r>
      <w:r w:rsidRPr="00DD776B">
        <w:t xml:space="preserve"> 31</w:t>
      </w:r>
      <w:r w:rsidR="00014F6E">
        <w:t>,</w:t>
      </w:r>
      <w:r w:rsidRPr="00DD776B">
        <w:t xml:space="preserve"> 485-489. </w:t>
      </w:r>
    </w:p>
    <w:p w14:paraId="7FFE391E" w14:textId="53B48F89" w:rsidR="00E4424F" w:rsidRDefault="00CC317D" w:rsidP="0050155C">
      <w:pPr>
        <w:pStyle w:val="CETReferencetext"/>
      </w:pPr>
      <w:proofErr w:type="spellStart"/>
      <w:r w:rsidRPr="00DD776B">
        <w:t>Zabetakis</w:t>
      </w:r>
      <w:proofErr w:type="spellEnd"/>
      <w:r w:rsidRPr="00DD776B">
        <w:t xml:space="preserve"> M.G., 1967</w:t>
      </w:r>
      <w:r w:rsidR="00014F6E">
        <w:t>,</w:t>
      </w:r>
      <w:r w:rsidRPr="00DD776B">
        <w:t xml:space="preserve"> Safety with cryogenic fluids</w:t>
      </w:r>
      <w:r w:rsidR="00014F6E">
        <w:t>,</w:t>
      </w:r>
      <w:r w:rsidRPr="00DD776B">
        <w:t xml:space="preserve"> Plenum Press, New York.</w:t>
      </w:r>
      <w:r w:rsidRPr="00CC317D">
        <w:t xml:space="preserve"> </w:t>
      </w:r>
    </w:p>
    <w:sectPr w:rsidR="00E4424F"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7D69FE" w14:textId="77777777" w:rsidR="001D6B10" w:rsidRDefault="001D6B10" w:rsidP="004F5E36">
      <w:r>
        <w:separator/>
      </w:r>
    </w:p>
  </w:endnote>
  <w:endnote w:type="continuationSeparator" w:id="0">
    <w:p w14:paraId="6009091B" w14:textId="77777777" w:rsidR="001D6B10" w:rsidRDefault="001D6B10"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AdvP6960">
    <w:altName w:val="Cambria"/>
    <w:panose1 w:val="020B0604020202020204"/>
    <w:charset w:val="4D"/>
    <w:family w:val="roman"/>
    <w:notTrueType/>
    <w:pitch w:val="default"/>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8EA9EF" w14:textId="77777777" w:rsidR="001D6B10" w:rsidRDefault="001D6B10" w:rsidP="004F5E36">
      <w:r>
        <w:separator/>
      </w:r>
    </w:p>
  </w:footnote>
  <w:footnote w:type="continuationSeparator" w:id="0">
    <w:p w14:paraId="50A505D1" w14:textId="77777777" w:rsidR="001D6B10" w:rsidRDefault="001D6B10"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7E170BD"/>
    <w:multiLevelType w:val="multilevel"/>
    <w:tmpl w:val="AD58A4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AC10BA7"/>
    <w:multiLevelType w:val="multilevel"/>
    <w:tmpl w:val="80B8884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6882765">
    <w:abstractNumId w:val="11"/>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9"/>
  </w:num>
  <w:num w:numId="13" w16cid:durableId="695733619">
    <w:abstractNumId w:val="13"/>
  </w:num>
  <w:num w:numId="14" w16cid:durableId="145903400">
    <w:abstractNumId w:val="20"/>
  </w:num>
  <w:num w:numId="15" w16cid:durableId="19162326">
    <w:abstractNumId w:val="22"/>
  </w:num>
  <w:num w:numId="16" w16cid:durableId="1977102699">
    <w:abstractNumId w:val="21"/>
  </w:num>
  <w:num w:numId="17" w16cid:durableId="860774865">
    <w:abstractNumId w:val="12"/>
  </w:num>
  <w:num w:numId="18" w16cid:durableId="313221457">
    <w:abstractNumId w:val="13"/>
    <w:lvlOverride w:ilvl="0">
      <w:startOverride w:val="1"/>
    </w:lvlOverride>
  </w:num>
  <w:num w:numId="19" w16cid:durableId="534971577">
    <w:abstractNumId w:val="18"/>
  </w:num>
  <w:num w:numId="20" w16cid:durableId="1150947773">
    <w:abstractNumId w:val="17"/>
  </w:num>
  <w:num w:numId="21" w16cid:durableId="124660497">
    <w:abstractNumId w:val="16"/>
  </w:num>
  <w:num w:numId="22" w16cid:durableId="2099861471">
    <w:abstractNumId w:val="15"/>
  </w:num>
  <w:num w:numId="23" w16cid:durableId="84351335">
    <w:abstractNumId w:val="10"/>
  </w:num>
  <w:num w:numId="24" w16cid:durableId="2137798825">
    <w:abstractNumId w:val="23"/>
  </w:num>
  <w:num w:numId="25" w16cid:durableId="899828088">
    <w:abstractNumId w:val="11"/>
  </w:num>
  <w:num w:numId="26" w16cid:durableId="1612472448">
    <w:abstractNumId w:val="14"/>
  </w:num>
  <w:num w:numId="27" w16cid:durableId="16803479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3C31"/>
    <w:rsid w:val="000052FB"/>
    <w:rsid w:val="00005A19"/>
    <w:rsid w:val="00006E30"/>
    <w:rsid w:val="00007916"/>
    <w:rsid w:val="00007CA9"/>
    <w:rsid w:val="000117CB"/>
    <w:rsid w:val="00014F6E"/>
    <w:rsid w:val="00025800"/>
    <w:rsid w:val="00025E5F"/>
    <w:rsid w:val="00026234"/>
    <w:rsid w:val="0003148D"/>
    <w:rsid w:val="00031EEC"/>
    <w:rsid w:val="000332D9"/>
    <w:rsid w:val="000353CF"/>
    <w:rsid w:val="00037742"/>
    <w:rsid w:val="000444B1"/>
    <w:rsid w:val="00045D2C"/>
    <w:rsid w:val="00051566"/>
    <w:rsid w:val="00053E4B"/>
    <w:rsid w:val="000562A9"/>
    <w:rsid w:val="00062A9A"/>
    <w:rsid w:val="00062E51"/>
    <w:rsid w:val="00065058"/>
    <w:rsid w:val="0006565E"/>
    <w:rsid w:val="00066EB8"/>
    <w:rsid w:val="00067DD0"/>
    <w:rsid w:val="00071F4B"/>
    <w:rsid w:val="0007376B"/>
    <w:rsid w:val="000748B5"/>
    <w:rsid w:val="0007765A"/>
    <w:rsid w:val="00080FB8"/>
    <w:rsid w:val="00083BD0"/>
    <w:rsid w:val="00086C39"/>
    <w:rsid w:val="00087E36"/>
    <w:rsid w:val="000910CA"/>
    <w:rsid w:val="00096949"/>
    <w:rsid w:val="0009741F"/>
    <w:rsid w:val="000A03B2"/>
    <w:rsid w:val="000A1499"/>
    <w:rsid w:val="000A1D25"/>
    <w:rsid w:val="000A4B14"/>
    <w:rsid w:val="000C3841"/>
    <w:rsid w:val="000C67DA"/>
    <w:rsid w:val="000C6AD3"/>
    <w:rsid w:val="000D0268"/>
    <w:rsid w:val="000D34BE"/>
    <w:rsid w:val="000E0668"/>
    <w:rsid w:val="000E0B3C"/>
    <w:rsid w:val="000E102F"/>
    <w:rsid w:val="000E217C"/>
    <w:rsid w:val="000E36F1"/>
    <w:rsid w:val="000E3A73"/>
    <w:rsid w:val="000E3A80"/>
    <w:rsid w:val="000E414A"/>
    <w:rsid w:val="000E75FD"/>
    <w:rsid w:val="000F093C"/>
    <w:rsid w:val="000F397A"/>
    <w:rsid w:val="000F784E"/>
    <w:rsid w:val="000F787B"/>
    <w:rsid w:val="00102516"/>
    <w:rsid w:val="00104537"/>
    <w:rsid w:val="00105961"/>
    <w:rsid w:val="00112C22"/>
    <w:rsid w:val="00112C39"/>
    <w:rsid w:val="00117F3A"/>
    <w:rsid w:val="0012091F"/>
    <w:rsid w:val="00122336"/>
    <w:rsid w:val="00126BC2"/>
    <w:rsid w:val="001308B6"/>
    <w:rsid w:val="0013121F"/>
    <w:rsid w:val="00131FE6"/>
    <w:rsid w:val="0013263F"/>
    <w:rsid w:val="00132DC6"/>
    <w:rsid w:val="001331DF"/>
    <w:rsid w:val="00133FD5"/>
    <w:rsid w:val="00134DE4"/>
    <w:rsid w:val="0014034D"/>
    <w:rsid w:val="00140FE3"/>
    <w:rsid w:val="0014133D"/>
    <w:rsid w:val="00144D16"/>
    <w:rsid w:val="00146DAB"/>
    <w:rsid w:val="001502DB"/>
    <w:rsid w:val="00150E59"/>
    <w:rsid w:val="00152DE3"/>
    <w:rsid w:val="00155EB6"/>
    <w:rsid w:val="001645A4"/>
    <w:rsid w:val="00164CF9"/>
    <w:rsid w:val="001667A6"/>
    <w:rsid w:val="00167152"/>
    <w:rsid w:val="00170FA8"/>
    <w:rsid w:val="0018171E"/>
    <w:rsid w:val="00182A53"/>
    <w:rsid w:val="00184AD6"/>
    <w:rsid w:val="001852C0"/>
    <w:rsid w:val="00185883"/>
    <w:rsid w:val="00186059"/>
    <w:rsid w:val="001860AB"/>
    <w:rsid w:val="00187223"/>
    <w:rsid w:val="00191678"/>
    <w:rsid w:val="00191835"/>
    <w:rsid w:val="0019382F"/>
    <w:rsid w:val="0019533F"/>
    <w:rsid w:val="0019597A"/>
    <w:rsid w:val="00197F43"/>
    <w:rsid w:val="001A1726"/>
    <w:rsid w:val="001A3126"/>
    <w:rsid w:val="001A4A45"/>
    <w:rsid w:val="001A4AF7"/>
    <w:rsid w:val="001B0349"/>
    <w:rsid w:val="001B0908"/>
    <w:rsid w:val="001B0EFC"/>
    <w:rsid w:val="001B1E93"/>
    <w:rsid w:val="001B55EF"/>
    <w:rsid w:val="001B65C1"/>
    <w:rsid w:val="001B6621"/>
    <w:rsid w:val="001C0815"/>
    <w:rsid w:val="001C260F"/>
    <w:rsid w:val="001C4298"/>
    <w:rsid w:val="001C50C7"/>
    <w:rsid w:val="001C5616"/>
    <w:rsid w:val="001C5C3A"/>
    <w:rsid w:val="001C684B"/>
    <w:rsid w:val="001C6C21"/>
    <w:rsid w:val="001D0CFB"/>
    <w:rsid w:val="001D21AF"/>
    <w:rsid w:val="001D2B2B"/>
    <w:rsid w:val="001D53FC"/>
    <w:rsid w:val="001D5F60"/>
    <w:rsid w:val="001D6B10"/>
    <w:rsid w:val="001E0EA6"/>
    <w:rsid w:val="001E3C80"/>
    <w:rsid w:val="001E5A11"/>
    <w:rsid w:val="001E7ACB"/>
    <w:rsid w:val="001F0A56"/>
    <w:rsid w:val="001F42A5"/>
    <w:rsid w:val="001F4A50"/>
    <w:rsid w:val="001F7B9D"/>
    <w:rsid w:val="00201104"/>
    <w:rsid w:val="00201C93"/>
    <w:rsid w:val="00203404"/>
    <w:rsid w:val="00206336"/>
    <w:rsid w:val="002129B6"/>
    <w:rsid w:val="00213944"/>
    <w:rsid w:val="002147FE"/>
    <w:rsid w:val="002155F6"/>
    <w:rsid w:val="00216246"/>
    <w:rsid w:val="002177F2"/>
    <w:rsid w:val="002224B4"/>
    <w:rsid w:val="00223D7D"/>
    <w:rsid w:val="00225AB6"/>
    <w:rsid w:val="0022780B"/>
    <w:rsid w:val="0023088C"/>
    <w:rsid w:val="00231892"/>
    <w:rsid w:val="00237B27"/>
    <w:rsid w:val="0024130E"/>
    <w:rsid w:val="00241378"/>
    <w:rsid w:val="002447EF"/>
    <w:rsid w:val="00251550"/>
    <w:rsid w:val="002532D6"/>
    <w:rsid w:val="002537B0"/>
    <w:rsid w:val="00255270"/>
    <w:rsid w:val="00263B05"/>
    <w:rsid w:val="00266A8F"/>
    <w:rsid w:val="0026784F"/>
    <w:rsid w:val="002710A0"/>
    <w:rsid w:val="0027221A"/>
    <w:rsid w:val="002744A4"/>
    <w:rsid w:val="00275B61"/>
    <w:rsid w:val="00275D67"/>
    <w:rsid w:val="00280FAF"/>
    <w:rsid w:val="00282656"/>
    <w:rsid w:val="00283676"/>
    <w:rsid w:val="00285A98"/>
    <w:rsid w:val="00287D4F"/>
    <w:rsid w:val="00290ABD"/>
    <w:rsid w:val="00293E95"/>
    <w:rsid w:val="00294D56"/>
    <w:rsid w:val="00296185"/>
    <w:rsid w:val="00296B83"/>
    <w:rsid w:val="002A07C1"/>
    <w:rsid w:val="002A361A"/>
    <w:rsid w:val="002A5E81"/>
    <w:rsid w:val="002B2168"/>
    <w:rsid w:val="002B3146"/>
    <w:rsid w:val="002B358C"/>
    <w:rsid w:val="002B4015"/>
    <w:rsid w:val="002B6281"/>
    <w:rsid w:val="002B78CE"/>
    <w:rsid w:val="002C0F7D"/>
    <w:rsid w:val="002C2FB6"/>
    <w:rsid w:val="002D15E5"/>
    <w:rsid w:val="002E5FA7"/>
    <w:rsid w:val="002F2096"/>
    <w:rsid w:val="002F3309"/>
    <w:rsid w:val="003008CE"/>
    <w:rsid w:val="003009B7"/>
    <w:rsid w:val="00300E56"/>
    <w:rsid w:val="0030152C"/>
    <w:rsid w:val="003026A5"/>
    <w:rsid w:val="0030469C"/>
    <w:rsid w:val="00304E5E"/>
    <w:rsid w:val="0030530A"/>
    <w:rsid w:val="00311CA5"/>
    <w:rsid w:val="0031293B"/>
    <w:rsid w:val="00314491"/>
    <w:rsid w:val="0031504A"/>
    <w:rsid w:val="003200B6"/>
    <w:rsid w:val="0032156A"/>
    <w:rsid w:val="00321CA6"/>
    <w:rsid w:val="00323763"/>
    <w:rsid w:val="00323C5F"/>
    <w:rsid w:val="00330BAD"/>
    <w:rsid w:val="00331E2D"/>
    <w:rsid w:val="00334C09"/>
    <w:rsid w:val="00345ECF"/>
    <w:rsid w:val="00347447"/>
    <w:rsid w:val="00347AE5"/>
    <w:rsid w:val="00350512"/>
    <w:rsid w:val="00350DAD"/>
    <w:rsid w:val="00353143"/>
    <w:rsid w:val="003557BD"/>
    <w:rsid w:val="00355EAE"/>
    <w:rsid w:val="003634F5"/>
    <w:rsid w:val="003723D4"/>
    <w:rsid w:val="00376F9E"/>
    <w:rsid w:val="0038167F"/>
    <w:rsid w:val="00381905"/>
    <w:rsid w:val="00384CC8"/>
    <w:rsid w:val="003871FD"/>
    <w:rsid w:val="00397899"/>
    <w:rsid w:val="003A1E30"/>
    <w:rsid w:val="003A27B5"/>
    <w:rsid w:val="003A2829"/>
    <w:rsid w:val="003A2898"/>
    <w:rsid w:val="003A7D1C"/>
    <w:rsid w:val="003B0EEB"/>
    <w:rsid w:val="003B304B"/>
    <w:rsid w:val="003B3146"/>
    <w:rsid w:val="003B49CD"/>
    <w:rsid w:val="003B5F3F"/>
    <w:rsid w:val="003C3128"/>
    <w:rsid w:val="003C3596"/>
    <w:rsid w:val="003C3A43"/>
    <w:rsid w:val="003C72A6"/>
    <w:rsid w:val="003C7B43"/>
    <w:rsid w:val="003D097D"/>
    <w:rsid w:val="003D1DD8"/>
    <w:rsid w:val="003D1E02"/>
    <w:rsid w:val="003D1E7E"/>
    <w:rsid w:val="003D1F3C"/>
    <w:rsid w:val="003D237B"/>
    <w:rsid w:val="003D2731"/>
    <w:rsid w:val="003D528D"/>
    <w:rsid w:val="003D5461"/>
    <w:rsid w:val="003D54DF"/>
    <w:rsid w:val="003E6F23"/>
    <w:rsid w:val="003F015E"/>
    <w:rsid w:val="003F77CC"/>
    <w:rsid w:val="00400414"/>
    <w:rsid w:val="004038FC"/>
    <w:rsid w:val="004040B7"/>
    <w:rsid w:val="004062C2"/>
    <w:rsid w:val="00406C8D"/>
    <w:rsid w:val="00407408"/>
    <w:rsid w:val="00407750"/>
    <w:rsid w:val="00410579"/>
    <w:rsid w:val="00411CF0"/>
    <w:rsid w:val="004137EC"/>
    <w:rsid w:val="004142D0"/>
    <w:rsid w:val="0041446B"/>
    <w:rsid w:val="004163D0"/>
    <w:rsid w:val="00427741"/>
    <w:rsid w:val="004306C7"/>
    <w:rsid w:val="00430B16"/>
    <w:rsid w:val="0044071E"/>
    <w:rsid w:val="0044329C"/>
    <w:rsid w:val="004477D1"/>
    <w:rsid w:val="00450F1E"/>
    <w:rsid w:val="00451205"/>
    <w:rsid w:val="00452433"/>
    <w:rsid w:val="00453E24"/>
    <w:rsid w:val="004554DF"/>
    <w:rsid w:val="0045670C"/>
    <w:rsid w:val="00457456"/>
    <w:rsid w:val="004577FE"/>
    <w:rsid w:val="00457B9C"/>
    <w:rsid w:val="00457C90"/>
    <w:rsid w:val="0046164A"/>
    <w:rsid w:val="004628D2"/>
    <w:rsid w:val="00462DCD"/>
    <w:rsid w:val="004648AD"/>
    <w:rsid w:val="004703A9"/>
    <w:rsid w:val="004760DE"/>
    <w:rsid w:val="004763D7"/>
    <w:rsid w:val="004820C0"/>
    <w:rsid w:val="00482A9E"/>
    <w:rsid w:val="004856FF"/>
    <w:rsid w:val="00485BF8"/>
    <w:rsid w:val="00497CFA"/>
    <w:rsid w:val="004A004E"/>
    <w:rsid w:val="004A01CC"/>
    <w:rsid w:val="004A049F"/>
    <w:rsid w:val="004A24CF"/>
    <w:rsid w:val="004A2CD1"/>
    <w:rsid w:val="004A517C"/>
    <w:rsid w:val="004A6DAF"/>
    <w:rsid w:val="004B0298"/>
    <w:rsid w:val="004B0AA7"/>
    <w:rsid w:val="004B0B37"/>
    <w:rsid w:val="004B26B1"/>
    <w:rsid w:val="004B538D"/>
    <w:rsid w:val="004C04A9"/>
    <w:rsid w:val="004C14EE"/>
    <w:rsid w:val="004C3D1D"/>
    <w:rsid w:val="004C3D84"/>
    <w:rsid w:val="004C5562"/>
    <w:rsid w:val="004C598B"/>
    <w:rsid w:val="004C6639"/>
    <w:rsid w:val="004C7913"/>
    <w:rsid w:val="004D1029"/>
    <w:rsid w:val="004D69CF"/>
    <w:rsid w:val="004E2495"/>
    <w:rsid w:val="004E2C41"/>
    <w:rsid w:val="004E4DD6"/>
    <w:rsid w:val="004E6AD1"/>
    <w:rsid w:val="004F2D06"/>
    <w:rsid w:val="004F5E36"/>
    <w:rsid w:val="005001F2"/>
    <w:rsid w:val="0050155C"/>
    <w:rsid w:val="00501607"/>
    <w:rsid w:val="00506C33"/>
    <w:rsid w:val="00507B47"/>
    <w:rsid w:val="00507BEF"/>
    <w:rsid w:val="00507CC9"/>
    <w:rsid w:val="00511375"/>
    <w:rsid w:val="005119A5"/>
    <w:rsid w:val="00513CB8"/>
    <w:rsid w:val="005176BE"/>
    <w:rsid w:val="005265F9"/>
    <w:rsid w:val="005278B7"/>
    <w:rsid w:val="00532016"/>
    <w:rsid w:val="005346C8"/>
    <w:rsid w:val="00540EF1"/>
    <w:rsid w:val="005424FC"/>
    <w:rsid w:val="00543E7D"/>
    <w:rsid w:val="005446E0"/>
    <w:rsid w:val="00547A68"/>
    <w:rsid w:val="005515B0"/>
    <w:rsid w:val="005531C9"/>
    <w:rsid w:val="00554879"/>
    <w:rsid w:val="00557112"/>
    <w:rsid w:val="00570C43"/>
    <w:rsid w:val="0058140A"/>
    <w:rsid w:val="005846DF"/>
    <w:rsid w:val="0058495A"/>
    <w:rsid w:val="00585D89"/>
    <w:rsid w:val="00585E9C"/>
    <w:rsid w:val="00587E4E"/>
    <w:rsid w:val="00591E6A"/>
    <w:rsid w:val="00592274"/>
    <w:rsid w:val="00592724"/>
    <w:rsid w:val="005A0BCC"/>
    <w:rsid w:val="005B2110"/>
    <w:rsid w:val="005B350B"/>
    <w:rsid w:val="005B61E6"/>
    <w:rsid w:val="005B6342"/>
    <w:rsid w:val="005B69C8"/>
    <w:rsid w:val="005C2B3E"/>
    <w:rsid w:val="005C3B08"/>
    <w:rsid w:val="005C66F1"/>
    <w:rsid w:val="005C6B46"/>
    <w:rsid w:val="005C77E1"/>
    <w:rsid w:val="005D01F5"/>
    <w:rsid w:val="005D12F7"/>
    <w:rsid w:val="005D4851"/>
    <w:rsid w:val="005D668A"/>
    <w:rsid w:val="005D6A2F"/>
    <w:rsid w:val="005E0592"/>
    <w:rsid w:val="005E1465"/>
    <w:rsid w:val="005E1A82"/>
    <w:rsid w:val="005E2AEB"/>
    <w:rsid w:val="005E794C"/>
    <w:rsid w:val="005F06FD"/>
    <w:rsid w:val="005F0A28"/>
    <w:rsid w:val="005F0E5E"/>
    <w:rsid w:val="005F26DB"/>
    <w:rsid w:val="005F3B06"/>
    <w:rsid w:val="005F4110"/>
    <w:rsid w:val="005F6CBB"/>
    <w:rsid w:val="005F7134"/>
    <w:rsid w:val="00600535"/>
    <w:rsid w:val="00600ADC"/>
    <w:rsid w:val="00605AEB"/>
    <w:rsid w:val="00610576"/>
    <w:rsid w:val="00610CD6"/>
    <w:rsid w:val="00612159"/>
    <w:rsid w:val="00613CFC"/>
    <w:rsid w:val="00614625"/>
    <w:rsid w:val="00614D6B"/>
    <w:rsid w:val="00615AF0"/>
    <w:rsid w:val="00620DEE"/>
    <w:rsid w:val="00621F92"/>
    <w:rsid w:val="0062280A"/>
    <w:rsid w:val="006231E1"/>
    <w:rsid w:val="00624D50"/>
    <w:rsid w:val="00625639"/>
    <w:rsid w:val="00625DA9"/>
    <w:rsid w:val="00631B33"/>
    <w:rsid w:val="00634AF9"/>
    <w:rsid w:val="006351D6"/>
    <w:rsid w:val="00635766"/>
    <w:rsid w:val="0064184D"/>
    <w:rsid w:val="006422CC"/>
    <w:rsid w:val="00642D63"/>
    <w:rsid w:val="00645B02"/>
    <w:rsid w:val="00651D18"/>
    <w:rsid w:val="00656F64"/>
    <w:rsid w:val="00660D5B"/>
    <w:rsid w:val="00660E1D"/>
    <w:rsid w:val="00660E3E"/>
    <w:rsid w:val="00662E74"/>
    <w:rsid w:val="00667BA7"/>
    <w:rsid w:val="006712D4"/>
    <w:rsid w:val="006722BD"/>
    <w:rsid w:val="0067335D"/>
    <w:rsid w:val="00675FEE"/>
    <w:rsid w:val="00680C23"/>
    <w:rsid w:val="00682B7B"/>
    <w:rsid w:val="00683E23"/>
    <w:rsid w:val="006867B3"/>
    <w:rsid w:val="00690E6A"/>
    <w:rsid w:val="006927BC"/>
    <w:rsid w:val="00693766"/>
    <w:rsid w:val="00694A77"/>
    <w:rsid w:val="006953E5"/>
    <w:rsid w:val="00697908"/>
    <w:rsid w:val="006A3281"/>
    <w:rsid w:val="006A3C96"/>
    <w:rsid w:val="006A498E"/>
    <w:rsid w:val="006A6DE5"/>
    <w:rsid w:val="006B0313"/>
    <w:rsid w:val="006B039A"/>
    <w:rsid w:val="006B2CC5"/>
    <w:rsid w:val="006B3882"/>
    <w:rsid w:val="006B4888"/>
    <w:rsid w:val="006B7FD9"/>
    <w:rsid w:val="006C2E45"/>
    <w:rsid w:val="006C359C"/>
    <w:rsid w:val="006C4A7F"/>
    <w:rsid w:val="006C5579"/>
    <w:rsid w:val="006D00E6"/>
    <w:rsid w:val="006D5341"/>
    <w:rsid w:val="006D6E8B"/>
    <w:rsid w:val="006D7209"/>
    <w:rsid w:val="006D7DC9"/>
    <w:rsid w:val="006E2CAD"/>
    <w:rsid w:val="006E6C23"/>
    <w:rsid w:val="006E737D"/>
    <w:rsid w:val="006E74D3"/>
    <w:rsid w:val="006F2676"/>
    <w:rsid w:val="006F2789"/>
    <w:rsid w:val="006F7945"/>
    <w:rsid w:val="00702021"/>
    <w:rsid w:val="00702EE4"/>
    <w:rsid w:val="007037EC"/>
    <w:rsid w:val="007038CD"/>
    <w:rsid w:val="00704037"/>
    <w:rsid w:val="007040AE"/>
    <w:rsid w:val="00707DD1"/>
    <w:rsid w:val="007112E5"/>
    <w:rsid w:val="00713973"/>
    <w:rsid w:val="00720A24"/>
    <w:rsid w:val="0072265D"/>
    <w:rsid w:val="00732386"/>
    <w:rsid w:val="00733C42"/>
    <w:rsid w:val="0073514D"/>
    <w:rsid w:val="00735EB2"/>
    <w:rsid w:val="00742CF1"/>
    <w:rsid w:val="007447F3"/>
    <w:rsid w:val="0074555B"/>
    <w:rsid w:val="007461FA"/>
    <w:rsid w:val="0074734E"/>
    <w:rsid w:val="0075318C"/>
    <w:rsid w:val="0075499F"/>
    <w:rsid w:val="00754BE3"/>
    <w:rsid w:val="00755939"/>
    <w:rsid w:val="007633B9"/>
    <w:rsid w:val="00765D82"/>
    <w:rsid w:val="00766072"/>
    <w:rsid w:val="007661C8"/>
    <w:rsid w:val="007666FA"/>
    <w:rsid w:val="0077098D"/>
    <w:rsid w:val="00772CBB"/>
    <w:rsid w:val="0077417D"/>
    <w:rsid w:val="007770AA"/>
    <w:rsid w:val="00781281"/>
    <w:rsid w:val="00782F60"/>
    <w:rsid w:val="00784DFF"/>
    <w:rsid w:val="00785BF9"/>
    <w:rsid w:val="00786C6E"/>
    <w:rsid w:val="0079186E"/>
    <w:rsid w:val="007931FA"/>
    <w:rsid w:val="00793F4B"/>
    <w:rsid w:val="007A41CA"/>
    <w:rsid w:val="007A4861"/>
    <w:rsid w:val="007A5399"/>
    <w:rsid w:val="007A6542"/>
    <w:rsid w:val="007A7BBA"/>
    <w:rsid w:val="007B0C50"/>
    <w:rsid w:val="007B2A1E"/>
    <w:rsid w:val="007B3D8A"/>
    <w:rsid w:val="007B48F9"/>
    <w:rsid w:val="007B594A"/>
    <w:rsid w:val="007C1A43"/>
    <w:rsid w:val="007C1D22"/>
    <w:rsid w:val="007C3C08"/>
    <w:rsid w:val="007C5963"/>
    <w:rsid w:val="007C6FCA"/>
    <w:rsid w:val="007D0951"/>
    <w:rsid w:val="007D26B3"/>
    <w:rsid w:val="007D3FB3"/>
    <w:rsid w:val="007D610D"/>
    <w:rsid w:val="007E0423"/>
    <w:rsid w:val="007F026C"/>
    <w:rsid w:val="007F031E"/>
    <w:rsid w:val="007F37C7"/>
    <w:rsid w:val="007F7DF8"/>
    <w:rsid w:val="0080013E"/>
    <w:rsid w:val="008012A3"/>
    <w:rsid w:val="00801759"/>
    <w:rsid w:val="0080460C"/>
    <w:rsid w:val="00805ABF"/>
    <w:rsid w:val="00806B2D"/>
    <w:rsid w:val="00811061"/>
    <w:rsid w:val="00812795"/>
    <w:rsid w:val="00813288"/>
    <w:rsid w:val="008137C5"/>
    <w:rsid w:val="008168FC"/>
    <w:rsid w:val="00816B83"/>
    <w:rsid w:val="0081793C"/>
    <w:rsid w:val="00821E90"/>
    <w:rsid w:val="00822D9E"/>
    <w:rsid w:val="00830996"/>
    <w:rsid w:val="00833FA2"/>
    <w:rsid w:val="008344AE"/>
    <w:rsid w:val="008345F1"/>
    <w:rsid w:val="008361BB"/>
    <w:rsid w:val="00845046"/>
    <w:rsid w:val="00846B13"/>
    <w:rsid w:val="00847CB1"/>
    <w:rsid w:val="00851F88"/>
    <w:rsid w:val="00855529"/>
    <w:rsid w:val="0085594A"/>
    <w:rsid w:val="00856A81"/>
    <w:rsid w:val="008570A5"/>
    <w:rsid w:val="00862697"/>
    <w:rsid w:val="00862F01"/>
    <w:rsid w:val="00865B07"/>
    <w:rsid w:val="008667EA"/>
    <w:rsid w:val="0087637F"/>
    <w:rsid w:val="00884E44"/>
    <w:rsid w:val="00892569"/>
    <w:rsid w:val="00892AD5"/>
    <w:rsid w:val="008A1512"/>
    <w:rsid w:val="008A30BF"/>
    <w:rsid w:val="008A47CA"/>
    <w:rsid w:val="008A5327"/>
    <w:rsid w:val="008A5465"/>
    <w:rsid w:val="008B0C63"/>
    <w:rsid w:val="008B1166"/>
    <w:rsid w:val="008C08E6"/>
    <w:rsid w:val="008C3432"/>
    <w:rsid w:val="008C34D7"/>
    <w:rsid w:val="008C5925"/>
    <w:rsid w:val="008D1170"/>
    <w:rsid w:val="008D32B9"/>
    <w:rsid w:val="008D433B"/>
    <w:rsid w:val="008D4422"/>
    <w:rsid w:val="008D45AC"/>
    <w:rsid w:val="008D4A16"/>
    <w:rsid w:val="008D5413"/>
    <w:rsid w:val="008D5F63"/>
    <w:rsid w:val="008D6E16"/>
    <w:rsid w:val="008E055F"/>
    <w:rsid w:val="008E0766"/>
    <w:rsid w:val="008E0E80"/>
    <w:rsid w:val="008E2B4E"/>
    <w:rsid w:val="008E5401"/>
    <w:rsid w:val="008E566E"/>
    <w:rsid w:val="008E7BCD"/>
    <w:rsid w:val="008F31CC"/>
    <w:rsid w:val="0090161A"/>
    <w:rsid w:val="00901E97"/>
    <w:rsid w:val="00901EB6"/>
    <w:rsid w:val="009041F8"/>
    <w:rsid w:val="00904467"/>
    <w:rsid w:val="00904C62"/>
    <w:rsid w:val="0090767E"/>
    <w:rsid w:val="009079E5"/>
    <w:rsid w:val="00910AA9"/>
    <w:rsid w:val="00912651"/>
    <w:rsid w:val="00912BD4"/>
    <w:rsid w:val="0091420C"/>
    <w:rsid w:val="00914829"/>
    <w:rsid w:val="00915F14"/>
    <w:rsid w:val="00916B46"/>
    <w:rsid w:val="0091754E"/>
    <w:rsid w:val="00917E75"/>
    <w:rsid w:val="009209D5"/>
    <w:rsid w:val="009227F8"/>
    <w:rsid w:val="00922AB1"/>
    <w:rsid w:val="00922BA8"/>
    <w:rsid w:val="00924929"/>
    <w:rsid w:val="00924DAC"/>
    <w:rsid w:val="0092502A"/>
    <w:rsid w:val="00927058"/>
    <w:rsid w:val="009307FB"/>
    <w:rsid w:val="00935784"/>
    <w:rsid w:val="00940761"/>
    <w:rsid w:val="00942750"/>
    <w:rsid w:val="00943924"/>
    <w:rsid w:val="009450CE"/>
    <w:rsid w:val="009459BB"/>
    <w:rsid w:val="00947179"/>
    <w:rsid w:val="0095164B"/>
    <w:rsid w:val="00952227"/>
    <w:rsid w:val="00954090"/>
    <w:rsid w:val="009565CC"/>
    <w:rsid w:val="009573E7"/>
    <w:rsid w:val="00962BA2"/>
    <w:rsid w:val="00963E05"/>
    <w:rsid w:val="009649A2"/>
    <w:rsid w:val="00964A45"/>
    <w:rsid w:val="00967843"/>
    <w:rsid w:val="00967D54"/>
    <w:rsid w:val="00971028"/>
    <w:rsid w:val="0097184C"/>
    <w:rsid w:val="009758B3"/>
    <w:rsid w:val="00983EE6"/>
    <w:rsid w:val="00984862"/>
    <w:rsid w:val="00986009"/>
    <w:rsid w:val="00986FF3"/>
    <w:rsid w:val="009902A3"/>
    <w:rsid w:val="00993B84"/>
    <w:rsid w:val="00994C6A"/>
    <w:rsid w:val="00995E53"/>
    <w:rsid w:val="00996483"/>
    <w:rsid w:val="00996F5A"/>
    <w:rsid w:val="009A3F51"/>
    <w:rsid w:val="009A5805"/>
    <w:rsid w:val="009A5B76"/>
    <w:rsid w:val="009A759C"/>
    <w:rsid w:val="009B041A"/>
    <w:rsid w:val="009B4E3F"/>
    <w:rsid w:val="009B6AE7"/>
    <w:rsid w:val="009C0599"/>
    <w:rsid w:val="009C37C3"/>
    <w:rsid w:val="009C711A"/>
    <w:rsid w:val="009C7C86"/>
    <w:rsid w:val="009D1AC1"/>
    <w:rsid w:val="009D2FF7"/>
    <w:rsid w:val="009D5CFA"/>
    <w:rsid w:val="009E0EAC"/>
    <w:rsid w:val="009E366E"/>
    <w:rsid w:val="009E7884"/>
    <w:rsid w:val="009E788A"/>
    <w:rsid w:val="009F0E08"/>
    <w:rsid w:val="009F5487"/>
    <w:rsid w:val="00A00D17"/>
    <w:rsid w:val="00A047D2"/>
    <w:rsid w:val="00A06553"/>
    <w:rsid w:val="00A072F2"/>
    <w:rsid w:val="00A079AE"/>
    <w:rsid w:val="00A11233"/>
    <w:rsid w:val="00A13667"/>
    <w:rsid w:val="00A16440"/>
    <w:rsid w:val="00A1763D"/>
    <w:rsid w:val="00A17CEC"/>
    <w:rsid w:val="00A265A8"/>
    <w:rsid w:val="00A27EF0"/>
    <w:rsid w:val="00A30026"/>
    <w:rsid w:val="00A31DC3"/>
    <w:rsid w:val="00A331BB"/>
    <w:rsid w:val="00A40512"/>
    <w:rsid w:val="00A413FC"/>
    <w:rsid w:val="00A42361"/>
    <w:rsid w:val="00A429E6"/>
    <w:rsid w:val="00A4355B"/>
    <w:rsid w:val="00A50890"/>
    <w:rsid w:val="00A50B20"/>
    <w:rsid w:val="00A51390"/>
    <w:rsid w:val="00A52016"/>
    <w:rsid w:val="00A53E1B"/>
    <w:rsid w:val="00A54482"/>
    <w:rsid w:val="00A602D6"/>
    <w:rsid w:val="00A6093F"/>
    <w:rsid w:val="00A60D13"/>
    <w:rsid w:val="00A7223D"/>
    <w:rsid w:val="00A72745"/>
    <w:rsid w:val="00A734C1"/>
    <w:rsid w:val="00A743EC"/>
    <w:rsid w:val="00A76EFC"/>
    <w:rsid w:val="00A8313B"/>
    <w:rsid w:val="00A83619"/>
    <w:rsid w:val="00A84550"/>
    <w:rsid w:val="00A87D50"/>
    <w:rsid w:val="00A91010"/>
    <w:rsid w:val="00A91F46"/>
    <w:rsid w:val="00A96F33"/>
    <w:rsid w:val="00A972A2"/>
    <w:rsid w:val="00A97F29"/>
    <w:rsid w:val="00AA702E"/>
    <w:rsid w:val="00AA7D26"/>
    <w:rsid w:val="00AB03E6"/>
    <w:rsid w:val="00AB0964"/>
    <w:rsid w:val="00AB0BBE"/>
    <w:rsid w:val="00AB3F7E"/>
    <w:rsid w:val="00AB5011"/>
    <w:rsid w:val="00AC1950"/>
    <w:rsid w:val="00AC3305"/>
    <w:rsid w:val="00AC57BB"/>
    <w:rsid w:val="00AC7368"/>
    <w:rsid w:val="00AD16B9"/>
    <w:rsid w:val="00AD290C"/>
    <w:rsid w:val="00AD5670"/>
    <w:rsid w:val="00AD721B"/>
    <w:rsid w:val="00AE0CF9"/>
    <w:rsid w:val="00AE377D"/>
    <w:rsid w:val="00AE4D84"/>
    <w:rsid w:val="00AF0EBA"/>
    <w:rsid w:val="00AF17DA"/>
    <w:rsid w:val="00AF2463"/>
    <w:rsid w:val="00AF36BD"/>
    <w:rsid w:val="00AF4D25"/>
    <w:rsid w:val="00B023AE"/>
    <w:rsid w:val="00B02C8A"/>
    <w:rsid w:val="00B0566D"/>
    <w:rsid w:val="00B129E2"/>
    <w:rsid w:val="00B13609"/>
    <w:rsid w:val="00B17FBD"/>
    <w:rsid w:val="00B202FA"/>
    <w:rsid w:val="00B21C8C"/>
    <w:rsid w:val="00B31293"/>
    <w:rsid w:val="00B315A6"/>
    <w:rsid w:val="00B31813"/>
    <w:rsid w:val="00B318F1"/>
    <w:rsid w:val="00B33365"/>
    <w:rsid w:val="00B346F9"/>
    <w:rsid w:val="00B4265C"/>
    <w:rsid w:val="00B435FD"/>
    <w:rsid w:val="00B4398B"/>
    <w:rsid w:val="00B535BA"/>
    <w:rsid w:val="00B57B36"/>
    <w:rsid w:val="00B57E6F"/>
    <w:rsid w:val="00B617C1"/>
    <w:rsid w:val="00B65063"/>
    <w:rsid w:val="00B72BE6"/>
    <w:rsid w:val="00B734E8"/>
    <w:rsid w:val="00B7462C"/>
    <w:rsid w:val="00B76929"/>
    <w:rsid w:val="00B77810"/>
    <w:rsid w:val="00B82E7E"/>
    <w:rsid w:val="00B84404"/>
    <w:rsid w:val="00B844AB"/>
    <w:rsid w:val="00B8686D"/>
    <w:rsid w:val="00B93F69"/>
    <w:rsid w:val="00BA01C1"/>
    <w:rsid w:val="00BA0FEE"/>
    <w:rsid w:val="00BA1CB8"/>
    <w:rsid w:val="00BA362F"/>
    <w:rsid w:val="00BA43EE"/>
    <w:rsid w:val="00BB116C"/>
    <w:rsid w:val="00BB1DDC"/>
    <w:rsid w:val="00BB2B1E"/>
    <w:rsid w:val="00BB2DFA"/>
    <w:rsid w:val="00BC05C3"/>
    <w:rsid w:val="00BC30C9"/>
    <w:rsid w:val="00BC4E91"/>
    <w:rsid w:val="00BC5B59"/>
    <w:rsid w:val="00BD077D"/>
    <w:rsid w:val="00BD369C"/>
    <w:rsid w:val="00BE1D80"/>
    <w:rsid w:val="00BE3E58"/>
    <w:rsid w:val="00BE7804"/>
    <w:rsid w:val="00BF13CE"/>
    <w:rsid w:val="00C01616"/>
    <w:rsid w:val="00C0162B"/>
    <w:rsid w:val="00C0357D"/>
    <w:rsid w:val="00C06029"/>
    <w:rsid w:val="00C068ED"/>
    <w:rsid w:val="00C10BC8"/>
    <w:rsid w:val="00C12789"/>
    <w:rsid w:val="00C16444"/>
    <w:rsid w:val="00C20A01"/>
    <w:rsid w:val="00C22E0C"/>
    <w:rsid w:val="00C23658"/>
    <w:rsid w:val="00C26B57"/>
    <w:rsid w:val="00C3260C"/>
    <w:rsid w:val="00C327E5"/>
    <w:rsid w:val="00C3296C"/>
    <w:rsid w:val="00C3333A"/>
    <w:rsid w:val="00C345B1"/>
    <w:rsid w:val="00C36C21"/>
    <w:rsid w:val="00C37A40"/>
    <w:rsid w:val="00C40142"/>
    <w:rsid w:val="00C4757E"/>
    <w:rsid w:val="00C47D1F"/>
    <w:rsid w:val="00C50E92"/>
    <w:rsid w:val="00C52ABC"/>
    <w:rsid w:val="00C52C3C"/>
    <w:rsid w:val="00C57182"/>
    <w:rsid w:val="00C57817"/>
    <w:rsid w:val="00C57863"/>
    <w:rsid w:val="00C62D54"/>
    <w:rsid w:val="00C640AF"/>
    <w:rsid w:val="00C64B63"/>
    <w:rsid w:val="00C655FD"/>
    <w:rsid w:val="00C7072B"/>
    <w:rsid w:val="00C75407"/>
    <w:rsid w:val="00C804A8"/>
    <w:rsid w:val="00C841C6"/>
    <w:rsid w:val="00C870A8"/>
    <w:rsid w:val="00C8741E"/>
    <w:rsid w:val="00C91F44"/>
    <w:rsid w:val="00C93F0E"/>
    <w:rsid w:val="00C94434"/>
    <w:rsid w:val="00C946EB"/>
    <w:rsid w:val="00C9610B"/>
    <w:rsid w:val="00CA0D75"/>
    <w:rsid w:val="00CA158A"/>
    <w:rsid w:val="00CA1C95"/>
    <w:rsid w:val="00CA49A7"/>
    <w:rsid w:val="00CA5A9C"/>
    <w:rsid w:val="00CB0F57"/>
    <w:rsid w:val="00CB5688"/>
    <w:rsid w:val="00CB6AC7"/>
    <w:rsid w:val="00CC1F53"/>
    <w:rsid w:val="00CC303A"/>
    <w:rsid w:val="00CC317D"/>
    <w:rsid w:val="00CC4C20"/>
    <w:rsid w:val="00CD1900"/>
    <w:rsid w:val="00CD3517"/>
    <w:rsid w:val="00CD47D6"/>
    <w:rsid w:val="00CD5E09"/>
    <w:rsid w:val="00CD5FE2"/>
    <w:rsid w:val="00CD64E0"/>
    <w:rsid w:val="00CE35FA"/>
    <w:rsid w:val="00CE7C68"/>
    <w:rsid w:val="00CF2820"/>
    <w:rsid w:val="00CF482B"/>
    <w:rsid w:val="00CF48E7"/>
    <w:rsid w:val="00CF53B7"/>
    <w:rsid w:val="00CF6B00"/>
    <w:rsid w:val="00D01C87"/>
    <w:rsid w:val="00D02B4C"/>
    <w:rsid w:val="00D02C4B"/>
    <w:rsid w:val="00D040C4"/>
    <w:rsid w:val="00D06A48"/>
    <w:rsid w:val="00D13D21"/>
    <w:rsid w:val="00D15964"/>
    <w:rsid w:val="00D20AD1"/>
    <w:rsid w:val="00D2198B"/>
    <w:rsid w:val="00D24C77"/>
    <w:rsid w:val="00D2582C"/>
    <w:rsid w:val="00D264C1"/>
    <w:rsid w:val="00D43BB1"/>
    <w:rsid w:val="00D46B7E"/>
    <w:rsid w:val="00D50EAE"/>
    <w:rsid w:val="00D520CB"/>
    <w:rsid w:val="00D531F2"/>
    <w:rsid w:val="00D5407B"/>
    <w:rsid w:val="00D57B54"/>
    <w:rsid w:val="00D57C84"/>
    <w:rsid w:val="00D6057D"/>
    <w:rsid w:val="00D71640"/>
    <w:rsid w:val="00D71FB0"/>
    <w:rsid w:val="00D81753"/>
    <w:rsid w:val="00D835AB"/>
    <w:rsid w:val="00D836C5"/>
    <w:rsid w:val="00D83CA7"/>
    <w:rsid w:val="00D84576"/>
    <w:rsid w:val="00D93C59"/>
    <w:rsid w:val="00D94DB8"/>
    <w:rsid w:val="00DA1399"/>
    <w:rsid w:val="00DA24C6"/>
    <w:rsid w:val="00DA2E6A"/>
    <w:rsid w:val="00DA4D7B"/>
    <w:rsid w:val="00DA59D3"/>
    <w:rsid w:val="00DB3639"/>
    <w:rsid w:val="00DC2840"/>
    <w:rsid w:val="00DC73EE"/>
    <w:rsid w:val="00DD12EC"/>
    <w:rsid w:val="00DD271C"/>
    <w:rsid w:val="00DD776B"/>
    <w:rsid w:val="00DD7879"/>
    <w:rsid w:val="00DE0F2F"/>
    <w:rsid w:val="00DE264A"/>
    <w:rsid w:val="00DE3214"/>
    <w:rsid w:val="00DE5C74"/>
    <w:rsid w:val="00DF400A"/>
    <w:rsid w:val="00DF5072"/>
    <w:rsid w:val="00DF53FC"/>
    <w:rsid w:val="00DF7217"/>
    <w:rsid w:val="00E02D18"/>
    <w:rsid w:val="00E041E7"/>
    <w:rsid w:val="00E0476D"/>
    <w:rsid w:val="00E0592F"/>
    <w:rsid w:val="00E12B1E"/>
    <w:rsid w:val="00E142F0"/>
    <w:rsid w:val="00E1746D"/>
    <w:rsid w:val="00E2079D"/>
    <w:rsid w:val="00E21267"/>
    <w:rsid w:val="00E21742"/>
    <w:rsid w:val="00E21B21"/>
    <w:rsid w:val="00E224ED"/>
    <w:rsid w:val="00E23CA1"/>
    <w:rsid w:val="00E23E72"/>
    <w:rsid w:val="00E27C2F"/>
    <w:rsid w:val="00E304C9"/>
    <w:rsid w:val="00E3156A"/>
    <w:rsid w:val="00E31B42"/>
    <w:rsid w:val="00E31D95"/>
    <w:rsid w:val="00E409A8"/>
    <w:rsid w:val="00E40B4A"/>
    <w:rsid w:val="00E41D48"/>
    <w:rsid w:val="00E43F01"/>
    <w:rsid w:val="00E4424F"/>
    <w:rsid w:val="00E44F0A"/>
    <w:rsid w:val="00E50C12"/>
    <w:rsid w:val="00E515FA"/>
    <w:rsid w:val="00E51889"/>
    <w:rsid w:val="00E52155"/>
    <w:rsid w:val="00E55114"/>
    <w:rsid w:val="00E57BDA"/>
    <w:rsid w:val="00E62AF3"/>
    <w:rsid w:val="00E6514D"/>
    <w:rsid w:val="00E65B91"/>
    <w:rsid w:val="00E679FF"/>
    <w:rsid w:val="00E7209D"/>
    <w:rsid w:val="00E72EAD"/>
    <w:rsid w:val="00E737FF"/>
    <w:rsid w:val="00E73D41"/>
    <w:rsid w:val="00E77223"/>
    <w:rsid w:val="00E8528B"/>
    <w:rsid w:val="00E85B94"/>
    <w:rsid w:val="00E87A53"/>
    <w:rsid w:val="00E913E5"/>
    <w:rsid w:val="00E978D0"/>
    <w:rsid w:val="00E97CD2"/>
    <w:rsid w:val="00EA227E"/>
    <w:rsid w:val="00EA4613"/>
    <w:rsid w:val="00EA5A53"/>
    <w:rsid w:val="00EA6B68"/>
    <w:rsid w:val="00EA6FA6"/>
    <w:rsid w:val="00EA7F91"/>
    <w:rsid w:val="00EB1523"/>
    <w:rsid w:val="00EB4CBE"/>
    <w:rsid w:val="00EB66BC"/>
    <w:rsid w:val="00EB7ED8"/>
    <w:rsid w:val="00EC0E49"/>
    <w:rsid w:val="00EC101F"/>
    <w:rsid w:val="00EC185D"/>
    <w:rsid w:val="00EC1D9F"/>
    <w:rsid w:val="00EC38E1"/>
    <w:rsid w:val="00EC4E89"/>
    <w:rsid w:val="00ED343A"/>
    <w:rsid w:val="00ED519E"/>
    <w:rsid w:val="00ED6B21"/>
    <w:rsid w:val="00ED6D6A"/>
    <w:rsid w:val="00EE0131"/>
    <w:rsid w:val="00EE17B0"/>
    <w:rsid w:val="00EE3AC5"/>
    <w:rsid w:val="00EE4FB8"/>
    <w:rsid w:val="00EE6D08"/>
    <w:rsid w:val="00EE76CD"/>
    <w:rsid w:val="00EF06D9"/>
    <w:rsid w:val="00EF5317"/>
    <w:rsid w:val="00EF6159"/>
    <w:rsid w:val="00EF6BFE"/>
    <w:rsid w:val="00EF726F"/>
    <w:rsid w:val="00F0196F"/>
    <w:rsid w:val="00F02969"/>
    <w:rsid w:val="00F02A46"/>
    <w:rsid w:val="00F06A63"/>
    <w:rsid w:val="00F23758"/>
    <w:rsid w:val="00F27EE4"/>
    <w:rsid w:val="00F3049E"/>
    <w:rsid w:val="00F30C64"/>
    <w:rsid w:val="00F326F8"/>
    <w:rsid w:val="00F32BA2"/>
    <w:rsid w:val="00F32CDB"/>
    <w:rsid w:val="00F3558B"/>
    <w:rsid w:val="00F36816"/>
    <w:rsid w:val="00F41EE4"/>
    <w:rsid w:val="00F474C0"/>
    <w:rsid w:val="00F525E3"/>
    <w:rsid w:val="00F536FE"/>
    <w:rsid w:val="00F565FE"/>
    <w:rsid w:val="00F56F21"/>
    <w:rsid w:val="00F611B2"/>
    <w:rsid w:val="00F63A70"/>
    <w:rsid w:val="00F63D8C"/>
    <w:rsid w:val="00F644F6"/>
    <w:rsid w:val="00F650AC"/>
    <w:rsid w:val="00F672FB"/>
    <w:rsid w:val="00F711D6"/>
    <w:rsid w:val="00F7383E"/>
    <w:rsid w:val="00F74579"/>
    <w:rsid w:val="00F7534E"/>
    <w:rsid w:val="00F84159"/>
    <w:rsid w:val="00F90BBD"/>
    <w:rsid w:val="00F911A5"/>
    <w:rsid w:val="00F93EDF"/>
    <w:rsid w:val="00F94DAF"/>
    <w:rsid w:val="00F95525"/>
    <w:rsid w:val="00F96059"/>
    <w:rsid w:val="00FA0990"/>
    <w:rsid w:val="00FA1802"/>
    <w:rsid w:val="00FA1F5B"/>
    <w:rsid w:val="00FA21D0"/>
    <w:rsid w:val="00FA4090"/>
    <w:rsid w:val="00FA51CD"/>
    <w:rsid w:val="00FA5F5F"/>
    <w:rsid w:val="00FB730C"/>
    <w:rsid w:val="00FC2695"/>
    <w:rsid w:val="00FC3E03"/>
    <w:rsid w:val="00FC3FC1"/>
    <w:rsid w:val="00FC6080"/>
    <w:rsid w:val="00FC7867"/>
    <w:rsid w:val="00FD1CD1"/>
    <w:rsid w:val="00FD4B87"/>
    <w:rsid w:val="00FE0A81"/>
    <w:rsid w:val="00FE4D04"/>
    <w:rsid w:val="00FF1734"/>
    <w:rsid w:val="00FF181A"/>
    <w:rsid w:val="00FF7DEC"/>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10">
    <w:name w:val="heading 1"/>
    <w:basedOn w:val="CETHeading1"/>
    <w:next w:val="a1"/>
    <w:link w:val="11"/>
    <w:uiPriority w:val="9"/>
    <w:rsid w:val="004F5E36"/>
    <w:pPr>
      <w:tabs>
        <w:tab w:val="right" w:pos="7100"/>
      </w:tabs>
      <w:jc w:val="both"/>
      <w:outlineLvl w:val="0"/>
    </w:pPr>
    <w:rPr>
      <w:lang w:val="en-GB"/>
    </w:rPr>
  </w:style>
  <w:style w:type="paragraph" w:styleId="21">
    <w:name w:val="heading 2"/>
    <w:basedOn w:val="a1"/>
    <w:next w:val="a1"/>
    <w:link w:val="22"/>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1"/>
    <w:next w:val="a1"/>
    <w:link w:val="90"/>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1">
    <w:name w:val="Table Simple 1"/>
    <w:basedOn w:val="a3"/>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a5">
    <w:name w:val="annotation reference"/>
    <w:basedOn w:val="a2"/>
    <w:uiPriority w:val="99"/>
    <w:semiHidden/>
    <w:unhideWhenUsed/>
    <w:rsid w:val="004577FE"/>
    <w:rPr>
      <w:sz w:val="16"/>
      <w:szCs w:val="16"/>
    </w:rPr>
  </w:style>
  <w:style w:type="paragraph" w:styleId="a6">
    <w:name w:val="Balloon Text"/>
    <w:basedOn w:val="a1"/>
    <w:link w:val="a7"/>
    <w:uiPriority w:val="99"/>
    <w:semiHidden/>
    <w:unhideWhenUsed/>
    <w:rsid w:val="000D34BE"/>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0D34BE"/>
    <w:rPr>
      <w:rFonts w:ascii="Tahoma" w:hAnsi="Tahoma" w:cs="Tahoma"/>
      <w:sz w:val="16"/>
      <w:szCs w:val="16"/>
    </w:rPr>
  </w:style>
  <w:style w:type="paragraph" w:styleId="a8">
    <w:name w:val="Bibliography"/>
    <w:basedOn w:val="CETReferencetext"/>
    <w:uiPriority w:val="37"/>
    <w:unhideWhenUsed/>
    <w:rsid w:val="00631B33"/>
    <w:pPr>
      <w:spacing w:line="240" w:lineRule="auto"/>
      <w:ind w:left="720" w:hanging="720"/>
    </w:pPr>
  </w:style>
  <w:style w:type="paragraph" w:styleId="23">
    <w:name w:val="Body Text 2"/>
    <w:basedOn w:val="a1"/>
    <w:link w:val="24"/>
    <w:uiPriority w:val="99"/>
    <w:semiHidden/>
    <w:unhideWhenUsed/>
    <w:rsid w:val="0003148D"/>
    <w:pPr>
      <w:spacing w:after="120" w:line="480" w:lineRule="auto"/>
    </w:pPr>
  </w:style>
  <w:style w:type="character" w:customStyle="1" w:styleId="24">
    <w:name w:val="Основной текст 2 Знак"/>
    <w:basedOn w:val="a2"/>
    <w:link w:val="23"/>
    <w:uiPriority w:val="99"/>
    <w:semiHidden/>
    <w:rsid w:val="0003148D"/>
  </w:style>
  <w:style w:type="paragraph" w:styleId="33">
    <w:name w:val="Body Text 3"/>
    <w:basedOn w:val="a1"/>
    <w:link w:val="34"/>
    <w:uiPriority w:val="99"/>
    <w:semiHidden/>
    <w:unhideWhenUsed/>
    <w:rsid w:val="0003148D"/>
    <w:pPr>
      <w:spacing w:after="120"/>
    </w:pPr>
    <w:rPr>
      <w:sz w:val="16"/>
      <w:szCs w:val="16"/>
    </w:rPr>
  </w:style>
  <w:style w:type="character" w:customStyle="1" w:styleId="34">
    <w:name w:val="Основной текст 3 Знак"/>
    <w:basedOn w:val="a2"/>
    <w:link w:val="33"/>
    <w:uiPriority w:val="99"/>
    <w:semiHidden/>
    <w:rsid w:val="0003148D"/>
    <w:rPr>
      <w:sz w:val="16"/>
      <w:szCs w:val="16"/>
    </w:rPr>
  </w:style>
  <w:style w:type="paragraph" w:styleId="a9">
    <w:name w:val="Body Text"/>
    <w:basedOn w:val="a1"/>
    <w:link w:val="aa"/>
    <w:uiPriority w:val="99"/>
    <w:semiHidden/>
    <w:unhideWhenUsed/>
    <w:rsid w:val="0003148D"/>
    <w:pPr>
      <w:spacing w:after="120"/>
    </w:pPr>
  </w:style>
  <w:style w:type="character" w:customStyle="1" w:styleId="aa">
    <w:name w:val="Основной текст Знак"/>
    <w:basedOn w:val="a2"/>
    <w:link w:val="a9"/>
    <w:uiPriority w:val="99"/>
    <w:semiHidden/>
    <w:rsid w:val="0003148D"/>
  </w:style>
  <w:style w:type="paragraph" w:styleId="ab">
    <w:name w:val="Date"/>
    <w:basedOn w:val="a1"/>
    <w:next w:val="a1"/>
    <w:link w:val="ac"/>
    <w:uiPriority w:val="99"/>
    <w:semiHidden/>
    <w:unhideWhenUsed/>
    <w:rsid w:val="0003148D"/>
  </w:style>
  <w:style w:type="character" w:customStyle="1" w:styleId="ac">
    <w:name w:val="Дата Знак"/>
    <w:basedOn w:val="a2"/>
    <w:link w:val="ab"/>
    <w:uiPriority w:val="99"/>
    <w:semiHidden/>
    <w:rsid w:val="0003148D"/>
  </w:style>
  <w:style w:type="paragraph" w:styleId="ad">
    <w:name w:val="caption"/>
    <w:basedOn w:val="a1"/>
    <w:next w:val="a1"/>
    <w:uiPriority w:val="35"/>
    <w:semiHidden/>
    <w:unhideWhenUsed/>
    <w:qFormat/>
    <w:rsid w:val="0003148D"/>
    <w:pPr>
      <w:spacing w:line="240" w:lineRule="auto"/>
    </w:pPr>
    <w:rPr>
      <w:b/>
      <w:bCs/>
      <w:color w:val="4F81BD" w:themeColor="accent1"/>
      <w:szCs w:val="18"/>
    </w:rPr>
  </w:style>
  <w:style w:type="paragraph" w:styleId="ae">
    <w:name w:val="List"/>
    <w:basedOn w:val="a1"/>
    <w:uiPriority w:val="99"/>
    <w:semiHidden/>
    <w:unhideWhenUsed/>
    <w:rsid w:val="0003148D"/>
    <w:pPr>
      <w:ind w:left="283" w:hanging="283"/>
      <w:contextualSpacing/>
    </w:pPr>
  </w:style>
  <w:style w:type="paragraph" w:styleId="25">
    <w:name w:val="List 2"/>
    <w:basedOn w:val="a1"/>
    <w:uiPriority w:val="99"/>
    <w:semiHidden/>
    <w:unhideWhenUsed/>
    <w:rsid w:val="0003148D"/>
    <w:pPr>
      <w:ind w:left="566" w:hanging="283"/>
      <w:contextualSpacing/>
    </w:pPr>
  </w:style>
  <w:style w:type="paragraph" w:styleId="35">
    <w:name w:val="List 3"/>
    <w:basedOn w:val="a1"/>
    <w:uiPriority w:val="99"/>
    <w:semiHidden/>
    <w:unhideWhenUsed/>
    <w:rsid w:val="0003148D"/>
    <w:pPr>
      <w:ind w:left="849" w:hanging="283"/>
      <w:contextualSpacing/>
    </w:pPr>
  </w:style>
  <w:style w:type="paragraph" w:styleId="43">
    <w:name w:val="List 4"/>
    <w:basedOn w:val="a1"/>
    <w:uiPriority w:val="99"/>
    <w:semiHidden/>
    <w:unhideWhenUsed/>
    <w:rsid w:val="0003148D"/>
    <w:pPr>
      <w:ind w:left="1132" w:hanging="283"/>
      <w:contextualSpacing/>
    </w:pPr>
  </w:style>
  <w:style w:type="paragraph" w:styleId="53">
    <w:name w:val="List 5"/>
    <w:basedOn w:val="a1"/>
    <w:uiPriority w:val="99"/>
    <w:semiHidden/>
    <w:unhideWhenUsed/>
    <w:rsid w:val="0003148D"/>
    <w:pPr>
      <w:ind w:left="1415" w:hanging="283"/>
      <w:contextualSpacing/>
    </w:pPr>
  </w:style>
  <w:style w:type="paragraph" w:styleId="af">
    <w:name w:val="List Continue"/>
    <w:basedOn w:val="a1"/>
    <w:uiPriority w:val="99"/>
    <w:semiHidden/>
    <w:unhideWhenUsed/>
    <w:rsid w:val="0003148D"/>
    <w:pPr>
      <w:spacing w:after="120"/>
      <w:ind w:left="283"/>
      <w:contextualSpacing/>
    </w:pPr>
  </w:style>
  <w:style w:type="paragraph" w:styleId="26">
    <w:name w:val="List Continue 2"/>
    <w:basedOn w:val="a1"/>
    <w:uiPriority w:val="99"/>
    <w:semiHidden/>
    <w:unhideWhenUsed/>
    <w:rsid w:val="0003148D"/>
    <w:pPr>
      <w:spacing w:after="120"/>
      <w:ind w:left="566"/>
      <w:contextualSpacing/>
    </w:pPr>
  </w:style>
  <w:style w:type="paragraph" w:styleId="36">
    <w:name w:val="List Continue 3"/>
    <w:basedOn w:val="a1"/>
    <w:uiPriority w:val="99"/>
    <w:semiHidden/>
    <w:unhideWhenUsed/>
    <w:rsid w:val="0003148D"/>
    <w:pPr>
      <w:spacing w:after="120"/>
      <w:ind w:left="849"/>
      <w:contextualSpacing/>
    </w:pPr>
  </w:style>
  <w:style w:type="paragraph" w:styleId="44">
    <w:name w:val="List Continue 4"/>
    <w:basedOn w:val="a1"/>
    <w:uiPriority w:val="99"/>
    <w:semiHidden/>
    <w:unhideWhenUsed/>
    <w:rsid w:val="0003148D"/>
    <w:pPr>
      <w:spacing w:after="120"/>
      <w:ind w:left="1132"/>
      <w:contextualSpacing/>
    </w:pPr>
  </w:style>
  <w:style w:type="paragraph" w:styleId="54">
    <w:name w:val="List Continue 5"/>
    <w:basedOn w:val="a1"/>
    <w:uiPriority w:val="99"/>
    <w:semiHidden/>
    <w:unhideWhenUsed/>
    <w:rsid w:val="0003148D"/>
    <w:pPr>
      <w:spacing w:after="120"/>
      <w:ind w:left="1415"/>
      <w:contextualSpacing/>
    </w:pPr>
  </w:style>
  <w:style w:type="paragraph" w:styleId="af0">
    <w:name w:val="Signature"/>
    <w:basedOn w:val="a1"/>
    <w:link w:val="af1"/>
    <w:uiPriority w:val="99"/>
    <w:semiHidden/>
    <w:unhideWhenUsed/>
    <w:rsid w:val="0003148D"/>
    <w:pPr>
      <w:spacing w:line="240" w:lineRule="auto"/>
      <w:ind w:left="4252"/>
    </w:pPr>
  </w:style>
  <w:style w:type="character" w:customStyle="1" w:styleId="af1">
    <w:name w:val="Подпись Знак"/>
    <w:basedOn w:val="a2"/>
    <w:link w:val="af0"/>
    <w:uiPriority w:val="99"/>
    <w:semiHidden/>
    <w:rsid w:val="0003148D"/>
  </w:style>
  <w:style w:type="paragraph" w:styleId="af2">
    <w:name w:val="E-mail Signature"/>
    <w:basedOn w:val="a1"/>
    <w:link w:val="af3"/>
    <w:uiPriority w:val="99"/>
    <w:semiHidden/>
    <w:unhideWhenUsed/>
    <w:rsid w:val="0003148D"/>
    <w:pPr>
      <w:spacing w:line="240" w:lineRule="auto"/>
    </w:pPr>
  </w:style>
  <w:style w:type="character" w:customStyle="1" w:styleId="af3">
    <w:name w:val="Электронная подпись Знак"/>
    <w:basedOn w:val="a2"/>
    <w:link w:val="af2"/>
    <w:uiPriority w:val="99"/>
    <w:semiHidden/>
    <w:rsid w:val="0003148D"/>
  </w:style>
  <w:style w:type="paragraph" w:styleId="af4">
    <w:name w:val="Salutation"/>
    <w:basedOn w:val="a1"/>
    <w:next w:val="a1"/>
    <w:link w:val="af5"/>
    <w:uiPriority w:val="99"/>
    <w:semiHidden/>
    <w:unhideWhenUsed/>
    <w:rsid w:val="0003148D"/>
  </w:style>
  <w:style w:type="character" w:customStyle="1" w:styleId="af5">
    <w:name w:val="Приветствие Знак"/>
    <w:basedOn w:val="a2"/>
    <w:link w:val="af4"/>
    <w:uiPriority w:val="99"/>
    <w:semiHidden/>
    <w:rsid w:val="0003148D"/>
  </w:style>
  <w:style w:type="paragraph" w:styleId="af6">
    <w:name w:val="Closing"/>
    <w:basedOn w:val="a1"/>
    <w:link w:val="af7"/>
    <w:uiPriority w:val="99"/>
    <w:semiHidden/>
    <w:unhideWhenUsed/>
    <w:rsid w:val="0003148D"/>
    <w:pPr>
      <w:spacing w:line="240" w:lineRule="auto"/>
      <w:ind w:left="4252"/>
    </w:pPr>
  </w:style>
  <w:style w:type="character" w:customStyle="1" w:styleId="af7">
    <w:name w:val="Прощание Знак"/>
    <w:basedOn w:val="a2"/>
    <w:link w:val="af6"/>
    <w:uiPriority w:val="99"/>
    <w:semiHidden/>
    <w:rsid w:val="0003148D"/>
  </w:style>
  <w:style w:type="paragraph" w:styleId="12">
    <w:name w:val="index 1"/>
    <w:basedOn w:val="a1"/>
    <w:next w:val="a1"/>
    <w:autoRedefine/>
    <w:uiPriority w:val="99"/>
    <w:semiHidden/>
    <w:unhideWhenUsed/>
    <w:rsid w:val="0003148D"/>
    <w:pPr>
      <w:spacing w:line="240" w:lineRule="auto"/>
      <w:ind w:left="220" w:hanging="220"/>
    </w:pPr>
  </w:style>
  <w:style w:type="paragraph" w:styleId="27">
    <w:name w:val="index 2"/>
    <w:basedOn w:val="a1"/>
    <w:next w:val="a1"/>
    <w:autoRedefine/>
    <w:uiPriority w:val="99"/>
    <w:semiHidden/>
    <w:unhideWhenUsed/>
    <w:rsid w:val="0003148D"/>
    <w:pPr>
      <w:spacing w:line="240" w:lineRule="auto"/>
      <w:ind w:left="440" w:hanging="220"/>
    </w:pPr>
  </w:style>
  <w:style w:type="paragraph" w:styleId="37">
    <w:name w:val="index 3"/>
    <w:basedOn w:val="a1"/>
    <w:next w:val="a1"/>
    <w:autoRedefine/>
    <w:uiPriority w:val="99"/>
    <w:semiHidden/>
    <w:unhideWhenUsed/>
    <w:rsid w:val="0003148D"/>
    <w:pPr>
      <w:spacing w:line="240" w:lineRule="auto"/>
      <w:ind w:left="660" w:hanging="220"/>
    </w:pPr>
  </w:style>
  <w:style w:type="paragraph" w:styleId="45">
    <w:name w:val="index 4"/>
    <w:basedOn w:val="a1"/>
    <w:next w:val="a1"/>
    <w:autoRedefine/>
    <w:uiPriority w:val="99"/>
    <w:semiHidden/>
    <w:unhideWhenUsed/>
    <w:rsid w:val="0003148D"/>
    <w:pPr>
      <w:spacing w:line="240" w:lineRule="auto"/>
      <w:ind w:left="880" w:hanging="220"/>
    </w:pPr>
  </w:style>
  <w:style w:type="paragraph" w:styleId="55">
    <w:name w:val="index 5"/>
    <w:basedOn w:val="a1"/>
    <w:next w:val="a1"/>
    <w:autoRedefine/>
    <w:uiPriority w:val="99"/>
    <w:semiHidden/>
    <w:unhideWhenUsed/>
    <w:rsid w:val="0003148D"/>
    <w:pPr>
      <w:spacing w:line="240" w:lineRule="auto"/>
      <w:ind w:left="1100" w:hanging="220"/>
    </w:pPr>
  </w:style>
  <w:style w:type="paragraph" w:styleId="61">
    <w:name w:val="index 6"/>
    <w:basedOn w:val="a1"/>
    <w:next w:val="a1"/>
    <w:autoRedefine/>
    <w:uiPriority w:val="99"/>
    <w:semiHidden/>
    <w:unhideWhenUsed/>
    <w:rsid w:val="0003148D"/>
    <w:pPr>
      <w:spacing w:line="240" w:lineRule="auto"/>
      <w:ind w:left="1320" w:hanging="220"/>
    </w:pPr>
  </w:style>
  <w:style w:type="paragraph" w:styleId="71">
    <w:name w:val="index 7"/>
    <w:basedOn w:val="a1"/>
    <w:next w:val="a1"/>
    <w:autoRedefine/>
    <w:uiPriority w:val="99"/>
    <w:semiHidden/>
    <w:unhideWhenUsed/>
    <w:rsid w:val="0003148D"/>
    <w:pPr>
      <w:spacing w:line="240" w:lineRule="auto"/>
      <w:ind w:left="1540" w:hanging="220"/>
    </w:pPr>
  </w:style>
  <w:style w:type="paragraph" w:styleId="81">
    <w:name w:val="index 8"/>
    <w:basedOn w:val="a1"/>
    <w:next w:val="a1"/>
    <w:autoRedefine/>
    <w:uiPriority w:val="99"/>
    <w:semiHidden/>
    <w:unhideWhenUsed/>
    <w:rsid w:val="0003148D"/>
    <w:pPr>
      <w:spacing w:line="240" w:lineRule="auto"/>
      <w:ind w:left="1760" w:hanging="220"/>
    </w:pPr>
  </w:style>
  <w:style w:type="paragraph" w:styleId="91">
    <w:name w:val="index 9"/>
    <w:basedOn w:val="a1"/>
    <w:next w:val="a1"/>
    <w:autoRedefine/>
    <w:uiPriority w:val="99"/>
    <w:semiHidden/>
    <w:unhideWhenUsed/>
    <w:rsid w:val="0003148D"/>
    <w:pPr>
      <w:spacing w:line="240" w:lineRule="auto"/>
      <w:ind w:left="1980" w:hanging="220"/>
    </w:pPr>
  </w:style>
  <w:style w:type="paragraph" w:styleId="af8">
    <w:name w:val="table of figures"/>
    <w:basedOn w:val="a1"/>
    <w:next w:val="a1"/>
    <w:uiPriority w:val="99"/>
    <w:semiHidden/>
    <w:unhideWhenUsed/>
    <w:rsid w:val="0003148D"/>
  </w:style>
  <w:style w:type="paragraph" w:styleId="af9">
    <w:name w:val="table of authorities"/>
    <w:basedOn w:val="a1"/>
    <w:next w:val="a1"/>
    <w:uiPriority w:val="99"/>
    <w:semiHidden/>
    <w:unhideWhenUsed/>
    <w:rsid w:val="0003148D"/>
    <w:pPr>
      <w:ind w:left="220" w:hanging="220"/>
    </w:pPr>
  </w:style>
  <w:style w:type="paragraph" w:styleId="afa">
    <w:name w:val="envelope address"/>
    <w:basedOn w:val="a1"/>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
    <w:name w:val="HTML Address"/>
    <w:basedOn w:val="a1"/>
    <w:link w:val="HTML0"/>
    <w:uiPriority w:val="99"/>
    <w:semiHidden/>
    <w:unhideWhenUsed/>
    <w:rsid w:val="0003148D"/>
    <w:pPr>
      <w:spacing w:line="240" w:lineRule="auto"/>
    </w:pPr>
    <w:rPr>
      <w:i/>
      <w:iCs/>
    </w:rPr>
  </w:style>
  <w:style w:type="character" w:customStyle="1" w:styleId="HTML0">
    <w:name w:val="Адрес HTML Знак"/>
    <w:basedOn w:val="a2"/>
    <w:link w:val="HTML"/>
    <w:uiPriority w:val="99"/>
    <w:semiHidden/>
    <w:rsid w:val="0003148D"/>
    <w:rPr>
      <w:i/>
      <w:iCs/>
    </w:rPr>
  </w:style>
  <w:style w:type="paragraph" w:styleId="28">
    <w:name w:val="envelope return"/>
    <w:basedOn w:val="a1"/>
    <w:uiPriority w:val="99"/>
    <w:semiHidden/>
    <w:unhideWhenUsed/>
    <w:rsid w:val="0003148D"/>
    <w:pPr>
      <w:spacing w:line="240" w:lineRule="auto"/>
    </w:pPr>
    <w:rPr>
      <w:rFonts w:asciiTheme="majorHAnsi" w:eastAsiaTheme="majorEastAsia" w:hAnsiTheme="majorHAnsi" w:cstheme="majorBidi"/>
    </w:rPr>
  </w:style>
  <w:style w:type="paragraph" w:styleId="afb">
    <w:name w:val="Message Header"/>
    <w:basedOn w:val="a1"/>
    <w:link w:val="afc"/>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afc">
    <w:name w:val="Шапка Знак"/>
    <w:basedOn w:val="a2"/>
    <w:link w:val="afb"/>
    <w:uiPriority w:val="99"/>
    <w:semiHidden/>
    <w:rsid w:val="0003148D"/>
    <w:rPr>
      <w:rFonts w:asciiTheme="majorHAnsi" w:eastAsiaTheme="majorEastAsia" w:hAnsiTheme="majorHAnsi" w:cstheme="majorBidi"/>
      <w:sz w:val="24"/>
      <w:szCs w:val="24"/>
      <w:shd w:val="pct20" w:color="auto" w:fill="auto"/>
    </w:rPr>
  </w:style>
  <w:style w:type="paragraph" w:styleId="afd">
    <w:name w:val="Note Heading"/>
    <w:basedOn w:val="a1"/>
    <w:next w:val="a1"/>
    <w:link w:val="afe"/>
    <w:uiPriority w:val="99"/>
    <w:semiHidden/>
    <w:unhideWhenUsed/>
    <w:rsid w:val="0003148D"/>
    <w:pPr>
      <w:spacing w:line="240" w:lineRule="auto"/>
    </w:pPr>
  </w:style>
  <w:style w:type="character" w:customStyle="1" w:styleId="afe">
    <w:name w:val="Заголовок записки Знак"/>
    <w:basedOn w:val="a2"/>
    <w:link w:val="afd"/>
    <w:uiPriority w:val="99"/>
    <w:semiHidden/>
    <w:rsid w:val="0003148D"/>
  </w:style>
  <w:style w:type="paragraph" w:styleId="aff">
    <w:name w:val="Document Map"/>
    <w:basedOn w:val="a1"/>
    <w:link w:val="aff0"/>
    <w:uiPriority w:val="99"/>
    <w:semiHidden/>
    <w:unhideWhenUsed/>
    <w:rsid w:val="0003148D"/>
    <w:pPr>
      <w:spacing w:line="240" w:lineRule="auto"/>
    </w:pPr>
    <w:rPr>
      <w:rFonts w:ascii="Tahoma" w:hAnsi="Tahoma" w:cs="Tahoma"/>
      <w:sz w:val="16"/>
      <w:szCs w:val="16"/>
    </w:rPr>
  </w:style>
  <w:style w:type="character" w:customStyle="1" w:styleId="aff0">
    <w:name w:val="Схема документа Знак"/>
    <w:basedOn w:val="a2"/>
    <w:link w:val="aff"/>
    <w:uiPriority w:val="99"/>
    <w:semiHidden/>
    <w:rsid w:val="0003148D"/>
    <w:rPr>
      <w:rFonts w:ascii="Tahoma" w:hAnsi="Tahoma" w:cs="Tahoma"/>
      <w:sz w:val="16"/>
      <w:szCs w:val="16"/>
    </w:rPr>
  </w:style>
  <w:style w:type="paragraph" w:styleId="aff1">
    <w:name w:val="Normal (Web)"/>
    <w:basedOn w:val="a1"/>
    <w:uiPriority w:val="99"/>
    <w:semiHidden/>
    <w:unhideWhenUsed/>
    <w:rsid w:val="0003148D"/>
    <w:rPr>
      <w:sz w:val="24"/>
      <w:szCs w:val="24"/>
    </w:rPr>
  </w:style>
  <w:style w:type="paragraph" w:styleId="a">
    <w:name w:val="List Number"/>
    <w:basedOn w:val="a1"/>
    <w:uiPriority w:val="99"/>
    <w:semiHidden/>
    <w:unhideWhenUsed/>
    <w:rsid w:val="0003148D"/>
    <w:pPr>
      <w:numPr>
        <w:numId w:val="2"/>
      </w:numPr>
      <w:contextualSpacing/>
    </w:pPr>
  </w:style>
  <w:style w:type="paragraph" w:styleId="2">
    <w:name w:val="List Number 2"/>
    <w:basedOn w:val="a1"/>
    <w:uiPriority w:val="99"/>
    <w:semiHidden/>
    <w:unhideWhenUsed/>
    <w:rsid w:val="0003148D"/>
    <w:pPr>
      <w:numPr>
        <w:numId w:val="3"/>
      </w:numPr>
      <w:contextualSpacing/>
    </w:pPr>
  </w:style>
  <w:style w:type="paragraph" w:styleId="3">
    <w:name w:val="List Number 3"/>
    <w:basedOn w:val="a1"/>
    <w:uiPriority w:val="99"/>
    <w:semiHidden/>
    <w:unhideWhenUsed/>
    <w:rsid w:val="0003148D"/>
    <w:pPr>
      <w:numPr>
        <w:numId w:val="4"/>
      </w:numPr>
      <w:contextualSpacing/>
    </w:pPr>
  </w:style>
  <w:style w:type="paragraph" w:styleId="4">
    <w:name w:val="List Number 4"/>
    <w:basedOn w:val="a1"/>
    <w:uiPriority w:val="99"/>
    <w:semiHidden/>
    <w:unhideWhenUsed/>
    <w:rsid w:val="0003148D"/>
    <w:pPr>
      <w:numPr>
        <w:numId w:val="5"/>
      </w:numPr>
      <w:contextualSpacing/>
    </w:pPr>
  </w:style>
  <w:style w:type="paragraph" w:styleId="5">
    <w:name w:val="List Number 5"/>
    <w:basedOn w:val="a1"/>
    <w:uiPriority w:val="99"/>
    <w:semiHidden/>
    <w:unhideWhenUsed/>
    <w:rsid w:val="0003148D"/>
    <w:pPr>
      <w:numPr>
        <w:numId w:val="6"/>
      </w:numPr>
      <w:contextualSpacing/>
    </w:pPr>
  </w:style>
  <w:style w:type="paragraph" w:styleId="HTML1">
    <w:name w:val="HTML Preformatted"/>
    <w:basedOn w:val="a1"/>
    <w:link w:val="HTML2"/>
    <w:uiPriority w:val="99"/>
    <w:semiHidden/>
    <w:unhideWhenUsed/>
    <w:rsid w:val="0003148D"/>
    <w:pPr>
      <w:spacing w:line="240" w:lineRule="auto"/>
    </w:pPr>
    <w:rPr>
      <w:rFonts w:ascii="Consolas" w:hAnsi="Consolas" w:cs="Consolas"/>
    </w:rPr>
  </w:style>
  <w:style w:type="character" w:customStyle="1" w:styleId="HTML2">
    <w:name w:val="Стандартный HTML Знак"/>
    <w:basedOn w:val="a2"/>
    <w:link w:val="HTML1"/>
    <w:uiPriority w:val="99"/>
    <w:semiHidden/>
    <w:rsid w:val="0003148D"/>
    <w:rPr>
      <w:rFonts w:ascii="Consolas" w:hAnsi="Consolas" w:cs="Consolas"/>
      <w:sz w:val="20"/>
      <w:szCs w:val="20"/>
    </w:rPr>
  </w:style>
  <w:style w:type="paragraph" w:styleId="aff2">
    <w:name w:val="Body Text First Indent"/>
    <w:basedOn w:val="a9"/>
    <w:link w:val="aff3"/>
    <w:uiPriority w:val="99"/>
    <w:semiHidden/>
    <w:unhideWhenUsed/>
    <w:rsid w:val="0003148D"/>
    <w:pPr>
      <w:spacing w:after="200"/>
      <w:ind w:firstLine="360"/>
    </w:pPr>
  </w:style>
  <w:style w:type="character" w:customStyle="1" w:styleId="aff3">
    <w:name w:val="Красная строка Знак"/>
    <w:basedOn w:val="aa"/>
    <w:link w:val="aff2"/>
    <w:uiPriority w:val="99"/>
    <w:semiHidden/>
    <w:rsid w:val="0003148D"/>
  </w:style>
  <w:style w:type="paragraph" w:styleId="aff4">
    <w:name w:val="Body Text Indent"/>
    <w:basedOn w:val="a1"/>
    <w:link w:val="aff5"/>
    <w:uiPriority w:val="99"/>
    <w:semiHidden/>
    <w:unhideWhenUsed/>
    <w:rsid w:val="0003148D"/>
    <w:pPr>
      <w:spacing w:after="120"/>
      <w:ind w:left="283"/>
    </w:pPr>
  </w:style>
  <w:style w:type="character" w:customStyle="1" w:styleId="aff5">
    <w:name w:val="Основной текст с отступом Знак"/>
    <w:basedOn w:val="a2"/>
    <w:link w:val="aff4"/>
    <w:uiPriority w:val="99"/>
    <w:semiHidden/>
    <w:rsid w:val="0003148D"/>
  </w:style>
  <w:style w:type="paragraph" w:styleId="29">
    <w:name w:val="Body Text First Indent 2"/>
    <w:basedOn w:val="aff4"/>
    <w:link w:val="2a"/>
    <w:uiPriority w:val="99"/>
    <w:semiHidden/>
    <w:unhideWhenUsed/>
    <w:rsid w:val="0003148D"/>
    <w:pPr>
      <w:spacing w:after="200"/>
      <w:ind w:left="360" w:firstLine="360"/>
    </w:pPr>
  </w:style>
  <w:style w:type="character" w:customStyle="1" w:styleId="2a">
    <w:name w:val="Красная строка 2 Знак"/>
    <w:basedOn w:val="aff5"/>
    <w:link w:val="29"/>
    <w:uiPriority w:val="99"/>
    <w:semiHidden/>
    <w:rsid w:val="0003148D"/>
  </w:style>
  <w:style w:type="paragraph" w:styleId="a0">
    <w:name w:val="List Bullet"/>
    <w:basedOn w:val="a1"/>
    <w:uiPriority w:val="99"/>
    <w:semiHidden/>
    <w:unhideWhenUsed/>
    <w:rsid w:val="0003148D"/>
    <w:pPr>
      <w:numPr>
        <w:numId w:val="7"/>
      </w:numPr>
      <w:contextualSpacing/>
    </w:pPr>
  </w:style>
  <w:style w:type="paragraph" w:styleId="20">
    <w:name w:val="List Bullet 2"/>
    <w:basedOn w:val="a1"/>
    <w:uiPriority w:val="99"/>
    <w:semiHidden/>
    <w:unhideWhenUsed/>
    <w:rsid w:val="0003148D"/>
    <w:pPr>
      <w:numPr>
        <w:numId w:val="8"/>
      </w:numPr>
      <w:contextualSpacing/>
    </w:pPr>
  </w:style>
  <w:style w:type="paragraph" w:styleId="30">
    <w:name w:val="List Bullet 3"/>
    <w:basedOn w:val="a1"/>
    <w:uiPriority w:val="99"/>
    <w:semiHidden/>
    <w:unhideWhenUsed/>
    <w:rsid w:val="0003148D"/>
    <w:pPr>
      <w:numPr>
        <w:numId w:val="9"/>
      </w:numPr>
      <w:contextualSpacing/>
    </w:pPr>
  </w:style>
  <w:style w:type="paragraph" w:styleId="40">
    <w:name w:val="List Bullet 4"/>
    <w:basedOn w:val="a1"/>
    <w:uiPriority w:val="99"/>
    <w:semiHidden/>
    <w:unhideWhenUsed/>
    <w:rsid w:val="0003148D"/>
    <w:pPr>
      <w:numPr>
        <w:numId w:val="10"/>
      </w:numPr>
      <w:contextualSpacing/>
    </w:pPr>
  </w:style>
  <w:style w:type="paragraph" w:styleId="50">
    <w:name w:val="List Bullet 5"/>
    <w:basedOn w:val="a1"/>
    <w:uiPriority w:val="99"/>
    <w:semiHidden/>
    <w:unhideWhenUsed/>
    <w:rsid w:val="0003148D"/>
    <w:pPr>
      <w:numPr>
        <w:numId w:val="11"/>
      </w:numPr>
      <w:contextualSpacing/>
    </w:pPr>
  </w:style>
  <w:style w:type="paragraph" w:styleId="2b">
    <w:name w:val="Body Text Indent 2"/>
    <w:basedOn w:val="a1"/>
    <w:link w:val="2c"/>
    <w:uiPriority w:val="99"/>
    <w:semiHidden/>
    <w:unhideWhenUsed/>
    <w:rsid w:val="0003148D"/>
    <w:pPr>
      <w:spacing w:after="120" w:line="480" w:lineRule="auto"/>
      <w:ind w:left="283"/>
    </w:pPr>
  </w:style>
  <w:style w:type="character" w:customStyle="1" w:styleId="2c">
    <w:name w:val="Основной текст с отступом 2 Знак"/>
    <w:basedOn w:val="a2"/>
    <w:link w:val="2b"/>
    <w:uiPriority w:val="99"/>
    <w:semiHidden/>
    <w:rsid w:val="0003148D"/>
  </w:style>
  <w:style w:type="paragraph" w:styleId="38">
    <w:name w:val="Body Text Indent 3"/>
    <w:basedOn w:val="a1"/>
    <w:link w:val="39"/>
    <w:uiPriority w:val="99"/>
    <w:semiHidden/>
    <w:unhideWhenUsed/>
    <w:rsid w:val="0003148D"/>
    <w:pPr>
      <w:spacing w:after="120"/>
      <w:ind w:left="283"/>
    </w:pPr>
    <w:rPr>
      <w:sz w:val="16"/>
      <w:szCs w:val="16"/>
    </w:rPr>
  </w:style>
  <w:style w:type="character" w:customStyle="1" w:styleId="39">
    <w:name w:val="Основной текст с отступом 3 Знак"/>
    <w:basedOn w:val="a2"/>
    <w:link w:val="38"/>
    <w:uiPriority w:val="99"/>
    <w:semiHidden/>
    <w:rsid w:val="0003148D"/>
    <w:rPr>
      <w:sz w:val="16"/>
      <w:szCs w:val="16"/>
    </w:rPr>
  </w:style>
  <w:style w:type="paragraph" w:styleId="aff6">
    <w:name w:val="Normal Indent"/>
    <w:basedOn w:val="a1"/>
    <w:uiPriority w:val="99"/>
    <w:semiHidden/>
    <w:unhideWhenUsed/>
    <w:rsid w:val="0003148D"/>
    <w:pPr>
      <w:ind w:left="720"/>
    </w:pPr>
  </w:style>
  <w:style w:type="paragraph" w:styleId="aff7">
    <w:name w:val="annotation text"/>
    <w:basedOn w:val="a1"/>
    <w:link w:val="aff8"/>
    <w:uiPriority w:val="99"/>
    <w:unhideWhenUsed/>
    <w:rsid w:val="0003148D"/>
    <w:pPr>
      <w:spacing w:line="240" w:lineRule="auto"/>
    </w:pPr>
  </w:style>
  <w:style w:type="character" w:customStyle="1" w:styleId="aff8">
    <w:name w:val="Текст примечания Знак"/>
    <w:basedOn w:val="a2"/>
    <w:link w:val="aff7"/>
    <w:uiPriority w:val="99"/>
    <w:rsid w:val="0003148D"/>
    <w:rPr>
      <w:sz w:val="20"/>
      <w:szCs w:val="20"/>
    </w:rPr>
  </w:style>
  <w:style w:type="paragraph" w:styleId="aff9">
    <w:name w:val="annotation subject"/>
    <w:basedOn w:val="aff7"/>
    <w:next w:val="aff7"/>
    <w:link w:val="affa"/>
    <w:uiPriority w:val="99"/>
    <w:semiHidden/>
    <w:unhideWhenUsed/>
    <w:rsid w:val="0003148D"/>
    <w:rPr>
      <w:b/>
      <w:bCs/>
    </w:rPr>
  </w:style>
  <w:style w:type="character" w:customStyle="1" w:styleId="affa">
    <w:name w:val="Тема примечания Знак"/>
    <w:basedOn w:val="aff8"/>
    <w:link w:val="aff9"/>
    <w:uiPriority w:val="99"/>
    <w:semiHidden/>
    <w:rsid w:val="0003148D"/>
    <w:rPr>
      <w:b/>
      <w:bCs/>
      <w:sz w:val="20"/>
      <w:szCs w:val="20"/>
    </w:rPr>
  </w:style>
  <w:style w:type="paragraph" w:styleId="13">
    <w:name w:val="toc 1"/>
    <w:basedOn w:val="a1"/>
    <w:next w:val="a1"/>
    <w:autoRedefine/>
    <w:uiPriority w:val="39"/>
    <w:semiHidden/>
    <w:unhideWhenUsed/>
    <w:rsid w:val="0003148D"/>
    <w:pPr>
      <w:spacing w:after="100"/>
    </w:pPr>
  </w:style>
  <w:style w:type="paragraph" w:styleId="2d">
    <w:name w:val="toc 2"/>
    <w:basedOn w:val="a1"/>
    <w:next w:val="a1"/>
    <w:autoRedefine/>
    <w:uiPriority w:val="39"/>
    <w:semiHidden/>
    <w:unhideWhenUsed/>
    <w:rsid w:val="0003148D"/>
    <w:pPr>
      <w:spacing w:after="100"/>
      <w:ind w:left="220"/>
    </w:pPr>
  </w:style>
  <w:style w:type="paragraph" w:styleId="3a">
    <w:name w:val="toc 3"/>
    <w:basedOn w:val="a1"/>
    <w:next w:val="a1"/>
    <w:autoRedefine/>
    <w:uiPriority w:val="39"/>
    <w:semiHidden/>
    <w:unhideWhenUsed/>
    <w:rsid w:val="0003148D"/>
    <w:pPr>
      <w:spacing w:after="100"/>
      <w:ind w:left="440"/>
    </w:pPr>
  </w:style>
  <w:style w:type="paragraph" w:styleId="46">
    <w:name w:val="toc 4"/>
    <w:basedOn w:val="a1"/>
    <w:next w:val="a1"/>
    <w:autoRedefine/>
    <w:uiPriority w:val="39"/>
    <w:semiHidden/>
    <w:unhideWhenUsed/>
    <w:rsid w:val="0003148D"/>
    <w:pPr>
      <w:spacing w:after="100"/>
      <w:ind w:left="660"/>
    </w:pPr>
  </w:style>
  <w:style w:type="paragraph" w:styleId="56">
    <w:name w:val="toc 5"/>
    <w:basedOn w:val="a1"/>
    <w:next w:val="a1"/>
    <w:autoRedefine/>
    <w:uiPriority w:val="39"/>
    <w:semiHidden/>
    <w:unhideWhenUsed/>
    <w:rsid w:val="0003148D"/>
    <w:pPr>
      <w:spacing w:after="100"/>
      <w:ind w:left="880"/>
    </w:pPr>
  </w:style>
  <w:style w:type="paragraph" w:styleId="62">
    <w:name w:val="toc 6"/>
    <w:basedOn w:val="a1"/>
    <w:next w:val="a1"/>
    <w:autoRedefine/>
    <w:uiPriority w:val="39"/>
    <w:semiHidden/>
    <w:unhideWhenUsed/>
    <w:rsid w:val="0003148D"/>
    <w:pPr>
      <w:spacing w:after="100"/>
      <w:ind w:left="1100"/>
    </w:pPr>
  </w:style>
  <w:style w:type="paragraph" w:styleId="72">
    <w:name w:val="toc 7"/>
    <w:basedOn w:val="a1"/>
    <w:next w:val="a1"/>
    <w:autoRedefine/>
    <w:uiPriority w:val="39"/>
    <w:semiHidden/>
    <w:unhideWhenUsed/>
    <w:rsid w:val="0003148D"/>
    <w:pPr>
      <w:spacing w:after="100"/>
      <w:ind w:left="1320"/>
    </w:pPr>
  </w:style>
  <w:style w:type="paragraph" w:styleId="82">
    <w:name w:val="toc 8"/>
    <w:basedOn w:val="a1"/>
    <w:next w:val="a1"/>
    <w:autoRedefine/>
    <w:uiPriority w:val="39"/>
    <w:semiHidden/>
    <w:unhideWhenUsed/>
    <w:rsid w:val="0003148D"/>
    <w:pPr>
      <w:spacing w:after="100"/>
      <w:ind w:left="1540"/>
    </w:pPr>
  </w:style>
  <w:style w:type="paragraph" w:styleId="92">
    <w:name w:val="toc 9"/>
    <w:basedOn w:val="a1"/>
    <w:next w:val="a1"/>
    <w:autoRedefine/>
    <w:uiPriority w:val="39"/>
    <w:semiHidden/>
    <w:unhideWhenUsed/>
    <w:rsid w:val="0003148D"/>
    <w:pPr>
      <w:spacing w:after="100"/>
      <w:ind w:left="1760"/>
    </w:pPr>
  </w:style>
  <w:style w:type="paragraph" w:styleId="affb">
    <w:name w:val="Block Text"/>
    <w:basedOn w:val="a1"/>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affc">
    <w:name w:val="macro"/>
    <w:link w:val="affd"/>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affd">
    <w:name w:val="Текст макроса Знак"/>
    <w:basedOn w:val="a2"/>
    <w:link w:val="affc"/>
    <w:uiPriority w:val="99"/>
    <w:semiHidden/>
    <w:rsid w:val="0003148D"/>
    <w:rPr>
      <w:rFonts w:ascii="Consolas" w:hAnsi="Consolas" w:cs="Consolas"/>
      <w:sz w:val="20"/>
      <w:szCs w:val="20"/>
    </w:rPr>
  </w:style>
  <w:style w:type="paragraph" w:styleId="affe">
    <w:name w:val="Plain Text"/>
    <w:basedOn w:val="a1"/>
    <w:link w:val="afff"/>
    <w:uiPriority w:val="99"/>
    <w:semiHidden/>
    <w:unhideWhenUsed/>
    <w:rsid w:val="0003148D"/>
    <w:pPr>
      <w:spacing w:line="240" w:lineRule="auto"/>
    </w:pPr>
    <w:rPr>
      <w:rFonts w:ascii="Consolas" w:hAnsi="Consolas" w:cs="Consolas"/>
      <w:sz w:val="21"/>
      <w:szCs w:val="21"/>
    </w:rPr>
  </w:style>
  <w:style w:type="character" w:customStyle="1" w:styleId="afff">
    <w:name w:val="Текст Знак"/>
    <w:basedOn w:val="a2"/>
    <w:link w:val="affe"/>
    <w:uiPriority w:val="99"/>
    <w:semiHidden/>
    <w:rsid w:val="0003148D"/>
    <w:rPr>
      <w:rFonts w:ascii="Consolas" w:hAnsi="Consolas" w:cs="Consolas"/>
      <w:sz w:val="21"/>
      <w:szCs w:val="21"/>
    </w:rPr>
  </w:style>
  <w:style w:type="paragraph" w:styleId="afff0">
    <w:name w:val="footnote text"/>
    <w:basedOn w:val="a1"/>
    <w:link w:val="afff1"/>
    <w:uiPriority w:val="99"/>
    <w:semiHidden/>
    <w:unhideWhenUsed/>
    <w:rsid w:val="0003148D"/>
    <w:pPr>
      <w:spacing w:line="240" w:lineRule="auto"/>
    </w:pPr>
  </w:style>
  <w:style w:type="character" w:customStyle="1" w:styleId="afff1">
    <w:name w:val="Текст сноски Знак"/>
    <w:basedOn w:val="a2"/>
    <w:link w:val="afff0"/>
    <w:uiPriority w:val="99"/>
    <w:semiHidden/>
    <w:rsid w:val="0003148D"/>
    <w:rPr>
      <w:sz w:val="20"/>
      <w:szCs w:val="20"/>
    </w:rPr>
  </w:style>
  <w:style w:type="paragraph" w:styleId="afff2">
    <w:name w:val="endnote text"/>
    <w:basedOn w:val="a1"/>
    <w:link w:val="afff3"/>
    <w:uiPriority w:val="99"/>
    <w:semiHidden/>
    <w:unhideWhenUsed/>
    <w:rsid w:val="0003148D"/>
    <w:pPr>
      <w:spacing w:line="240" w:lineRule="auto"/>
    </w:pPr>
  </w:style>
  <w:style w:type="character" w:customStyle="1" w:styleId="afff3">
    <w:name w:val="Текст концевой сноски Знак"/>
    <w:basedOn w:val="a2"/>
    <w:link w:val="afff2"/>
    <w:uiPriority w:val="99"/>
    <w:semiHidden/>
    <w:rsid w:val="0003148D"/>
    <w:rPr>
      <w:sz w:val="20"/>
      <w:szCs w:val="20"/>
    </w:rPr>
  </w:style>
  <w:style w:type="character" w:customStyle="1" w:styleId="11">
    <w:name w:val="Заголовок 1 Знак"/>
    <w:basedOn w:val="a2"/>
    <w:link w:val="10"/>
    <w:uiPriority w:val="9"/>
    <w:rsid w:val="004F5E36"/>
    <w:rPr>
      <w:rFonts w:ascii="Arial" w:eastAsia="Times New Roman" w:hAnsi="Arial" w:cs="Times New Roman"/>
      <w:b/>
      <w:sz w:val="20"/>
      <w:szCs w:val="20"/>
      <w:lang w:val="en-GB"/>
    </w:rPr>
  </w:style>
  <w:style w:type="character" w:customStyle="1" w:styleId="22">
    <w:name w:val="Заголовок 2 Знак"/>
    <w:basedOn w:val="a2"/>
    <w:link w:val="21"/>
    <w:uiPriority w:val="9"/>
    <w:semiHidden/>
    <w:rsid w:val="0003148D"/>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semiHidden/>
    <w:rsid w:val="0003148D"/>
    <w:rPr>
      <w:rFonts w:asciiTheme="majorHAnsi" w:eastAsiaTheme="majorEastAsia" w:hAnsiTheme="majorHAnsi" w:cstheme="majorBidi"/>
      <w:b/>
      <w:bCs/>
      <w:color w:val="4F81BD" w:themeColor="accent1"/>
    </w:rPr>
  </w:style>
  <w:style w:type="character" w:customStyle="1" w:styleId="42">
    <w:name w:val="Заголовок 4 Знак"/>
    <w:basedOn w:val="a2"/>
    <w:link w:val="41"/>
    <w:uiPriority w:val="9"/>
    <w:semiHidden/>
    <w:rsid w:val="0003148D"/>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uiPriority w:val="9"/>
    <w:semiHidden/>
    <w:rsid w:val="0003148D"/>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03148D"/>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03148D"/>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03148D"/>
    <w:rPr>
      <w:rFonts w:asciiTheme="majorHAnsi" w:eastAsiaTheme="majorEastAsia" w:hAnsiTheme="majorHAnsi" w:cstheme="majorBidi"/>
      <w:i/>
      <w:iCs/>
      <w:color w:val="404040" w:themeColor="text1" w:themeTint="BF"/>
      <w:sz w:val="20"/>
      <w:szCs w:val="20"/>
    </w:rPr>
  </w:style>
  <w:style w:type="paragraph" w:styleId="afff4">
    <w:name w:val="index heading"/>
    <w:basedOn w:val="a1"/>
    <w:next w:val="12"/>
    <w:uiPriority w:val="99"/>
    <w:semiHidden/>
    <w:unhideWhenUsed/>
    <w:rsid w:val="0003148D"/>
    <w:rPr>
      <w:rFonts w:asciiTheme="majorHAnsi" w:eastAsiaTheme="majorEastAsia" w:hAnsiTheme="majorHAnsi" w:cstheme="majorBidi"/>
      <w:b/>
      <w:bCs/>
    </w:rPr>
  </w:style>
  <w:style w:type="paragraph" w:styleId="afff5">
    <w:name w:val="toa heading"/>
    <w:basedOn w:val="a1"/>
    <w:next w:val="a1"/>
    <w:uiPriority w:val="99"/>
    <w:semiHidden/>
    <w:unhideWhenUsed/>
    <w:rsid w:val="0003148D"/>
    <w:pPr>
      <w:spacing w:before="120"/>
    </w:pPr>
    <w:rPr>
      <w:rFonts w:asciiTheme="majorHAnsi" w:eastAsiaTheme="majorEastAsia" w:hAnsiTheme="majorHAnsi" w:cstheme="majorBidi"/>
      <w:b/>
      <w:bCs/>
      <w:sz w:val="24"/>
      <w:szCs w:val="24"/>
    </w:rPr>
  </w:style>
  <w:style w:type="paragraph" w:styleId="afff6">
    <w:name w:val="TOC Heading"/>
    <w:basedOn w:val="10"/>
    <w:next w:val="a1"/>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a2"/>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afff7">
    <w:name w:val="header"/>
    <w:basedOn w:val="a1"/>
    <w:link w:val="afff8"/>
    <w:uiPriority w:val="99"/>
    <w:unhideWhenUsed/>
    <w:rsid w:val="005278B7"/>
    <w:pPr>
      <w:tabs>
        <w:tab w:val="clear" w:pos="7100"/>
        <w:tab w:val="center" w:pos="4819"/>
        <w:tab w:val="right" w:pos="9638"/>
      </w:tabs>
      <w:spacing w:line="240" w:lineRule="auto"/>
    </w:pPr>
  </w:style>
  <w:style w:type="character" w:customStyle="1" w:styleId="afff8">
    <w:name w:val="Верхний колонтитул Знак"/>
    <w:basedOn w:val="a2"/>
    <w:link w:val="afff7"/>
    <w:uiPriority w:val="99"/>
    <w:rsid w:val="005278B7"/>
    <w:rPr>
      <w:rFonts w:ascii="Arial" w:eastAsia="Times New Roman" w:hAnsi="Arial" w:cs="Times New Roman"/>
      <w:sz w:val="18"/>
      <w:szCs w:val="20"/>
      <w:lang w:val="en-GB"/>
    </w:rPr>
  </w:style>
  <w:style w:type="paragraph" w:styleId="afff9">
    <w:name w:val="footer"/>
    <w:basedOn w:val="a1"/>
    <w:link w:val="afffa"/>
    <w:uiPriority w:val="99"/>
    <w:unhideWhenUsed/>
    <w:rsid w:val="005278B7"/>
    <w:pPr>
      <w:tabs>
        <w:tab w:val="clear" w:pos="7100"/>
        <w:tab w:val="center" w:pos="4819"/>
        <w:tab w:val="right" w:pos="9638"/>
      </w:tabs>
      <w:spacing w:line="240" w:lineRule="auto"/>
    </w:pPr>
  </w:style>
  <w:style w:type="character" w:customStyle="1" w:styleId="afffa">
    <w:name w:val="Нижний колонтитул Знак"/>
    <w:basedOn w:val="a2"/>
    <w:link w:val="afff9"/>
    <w:uiPriority w:val="99"/>
    <w:rsid w:val="005278B7"/>
    <w:rPr>
      <w:rFonts w:ascii="Arial" w:eastAsia="Times New Roman" w:hAnsi="Arial" w:cs="Times New Roman"/>
      <w:sz w:val="18"/>
      <w:szCs w:val="20"/>
      <w:lang w:val="en-GB"/>
    </w:rPr>
  </w:style>
  <w:style w:type="table" w:styleId="afffb">
    <w:name w:val="Table Grid"/>
    <w:basedOn w:val="a3"/>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c">
    <w:name w:val="Hyperlink"/>
    <w:basedOn w:val="a2"/>
    <w:uiPriority w:val="99"/>
    <w:unhideWhenUsed/>
    <w:rsid w:val="00904C62"/>
    <w:rPr>
      <w:color w:val="0000FF" w:themeColor="hyperlink"/>
      <w:u w:val="single"/>
    </w:rPr>
  </w:style>
  <w:style w:type="character" w:customStyle="1" w:styleId="eudoraheader">
    <w:name w:val="eudoraheader"/>
    <w:basedOn w:val="a2"/>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afffd">
    <w:name w:val="List Paragraph"/>
    <w:basedOn w:val="a1"/>
    <w:uiPriority w:val="34"/>
    <w:rsid w:val="00280FAF"/>
    <w:pPr>
      <w:ind w:left="720"/>
      <w:contextualSpacing/>
    </w:pPr>
  </w:style>
  <w:style w:type="character" w:customStyle="1" w:styleId="gmail-apple-converted-space">
    <w:name w:val="gmail-apple-converted-space"/>
    <w:basedOn w:val="a2"/>
    <w:rsid w:val="00005A19"/>
  </w:style>
  <w:style w:type="character" w:styleId="afffe">
    <w:name w:val="Placeholder Text"/>
    <w:basedOn w:val="a2"/>
    <w:uiPriority w:val="99"/>
    <w:semiHidden/>
    <w:rsid w:val="00FF1734"/>
    <w:rPr>
      <w:color w:val="666666"/>
    </w:rPr>
  </w:style>
  <w:style w:type="character" w:styleId="affff">
    <w:name w:val="Unresolved Mention"/>
    <w:basedOn w:val="a2"/>
    <w:uiPriority w:val="99"/>
    <w:semiHidden/>
    <w:unhideWhenUsed/>
    <w:rsid w:val="007531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580162">
      <w:bodyDiv w:val="1"/>
      <w:marLeft w:val="0"/>
      <w:marRight w:val="0"/>
      <w:marTop w:val="0"/>
      <w:marBottom w:val="0"/>
      <w:divBdr>
        <w:top w:val="none" w:sz="0" w:space="0" w:color="auto"/>
        <w:left w:val="none" w:sz="0" w:space="0" w:color="auto"/>
        <w:bottom w:val="none" w:sz="0" w:space="0" w:color="auto"/>
        <w:right w:val="none" w:sz="0" w:space="0" w:color="auto"/>
      </w:divBdr>
    </w:div>
    <w:div w:id="428475400">
      <w:bodyDiv w:val="1"/>
      <w:marLeft w:val="0"/>
      <w:marRight w:val="0"/>
      <w:marTop w:val="0"/>
      <w:marBottom w:val="0"/>
      <w:divBdr>
        <w:top w:val="none" w:sz="0" w:space="0" w:color="auto"/>
        <w:left w:val="none" w:sz="0" w:space="0" w:color="auto"/>
        <w:bottom w:val="none" w:sz="0" w:space="0" w:color="auto"/>
        <w:right w:val="none" w:sz="0" w:space="0" w:color="auto"/>
      </w:divBdr>
      <w:divsChild>
        <w:div w:id="1394741213">
          <w:marLeft w:val="0"/>
          <w:marRight w:val="0"/>
          <w:marTop w:val="0"/>
          <w:marBottom w:val="0"/>
          <w:divBdr>
            <w:top w:val="none" w:sz="0" w:space="0" w:color="auto"/>
            <w:left w:val="none" w:sz="0" w:space="0" w:color="auto"/>
            <w:bottom w:val="none" w:sz="0" w:space="0" w:color="auto"/>
            <w:right w:val="none" w:sz="0" w:space="0" w:color="auto"/>
          </w:divBdr>
          <w:divsChild>
            <w:div w:id="2004580329">
              <w:marLeft w:val="0"/>
              <w:marRight w:val="0"/>
              <w:marTop w:val="0"/>
              <w:marBottom w:val="0"/>
              <w:divBdr>
                <w:top w:val="none" w:sz="0" w:space="0" w:color="auto"/>
                <w:left w:val="none" w:sz="0" w:space="0" w:color="auto"/>
                <w:bottom w:val="none" w:sz="0" w:space="0" w:color="auto"/>
                <w:right w:val="none" w:sz="0" w:space="0" w:color="auto"/>
              </w:divBdr>
              <w:divsChild>
                <w:div w:id="171365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14188">
      <w:bodyDiv w:val="1"/>
      <w:marLeft w:val="0"/>
      <w:marRight w:val="0"/>
      <w:marTop w:val="0"/>
      <w:marBottom w:val="0"/>
      <w:divBdr>
        <w:top w:val="none" w:sz="0" w:space="0" w:color="auto"/>
        <w:left w:val="none" w:sz="0" w:space="0" w:color="auto"/>
        <w:bottom w:val="none" w:sz="0" w:space="0" w:color="auto"/>
        <w:right w:val="none" w:sz="0" w:space="0" w:color="auto"/>
      </w:divBdr>
      <w:divsChild>
        <w:div w:id="45033322">
          <w:marLeft w:val="0"/>
          <w:marRight w:val="0"/>
          <w:marTop w:val="0"/>
          <w:marBottom w:val="0"/>
          <w:divBdr>
            <w:top w:val="none" w:sz="0" w:space="0" w:color="auto"/>
            <w:left w:val="none" w:sz="0" w:space="0" w:color="auto"/>
            <w:bottom w:val="none" w:sz="0" w:space="0" w:color="auto"/>
            <w:right w:val="none" w:sz="0" w:space="0" w:color="auto"/>
          </w:divBdr>
          <w:divsChild>
            <w:div w:id="1446923640">
              <w:marLeft w:val="0"/>
              <w:marRight w:val="0"/>
              <w:marTop w:val="0"/>
              <w:marBottom w:val="0"/>
              <w:divBdr>
                <w:top w:val="none" w:sz="0" w:space="0" w:color="auto"/>
                <w:left w:val="none" w:sz="0" w:space="0" w:color="auto"/>
                <w:bottom w:val="none" w:sz="0" w:space="0" w:color="auto"/>
                <w:right w:val="none" w:sz="0" w:space="0" w:color="auto"/>
              </w:divBdr>
              <w:divsChild>
                <w:div w:id="161482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867639">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30348908">
      <w:bodyDiv w:val="1"/>
      <w:marLeft w:val="0"/>
      <w:marRight w:val="0"/>
      <w:marTop w:val="0"/>
      <w:marBottom w:val="0"/>
      <w:divBdr>
        <w:top w:val="none" w:sz="0" w:space="0" w:color="auto"/>
        <w:left w:val="none" w:sz="0" w:space="0" w:color="auto"/>
        <w:bottom w:val="none" w:sz="0" w:space="0" w:color="auto"/>
        <w:right w:val="none" w:sz="0" w:space="0" w:color="auto"/>
      </w:divBdr>
      <w:divsChild>
        <w:div w:id="2068987103">
          <w:marLeft w:val="0"/>
          <w:marRight w:val="0"/>
          <w:marTop w:val="0"/>
          <w:marBottom w:val="0"/>
          <w:divBdr>
            <w:top w:val="none" w:sz="0" w:space="0" w:color="auto"/>
            <w:left w:val="none" w:sz="0" w:space="0" w:color="auto"/>
            <w:bottom w:val="none" w:sz="0" w:space="0" w:color="auto"/>
            <w:right w:val="none" w:sz="0" w:space="0" w:color="auto"/>
          </w:divBdr>
          <w:divsChild>
            <w:div w:id="958225321">
              <w:marLeft w:val="0"/>
              <w:marRight w:val="0"/>
              <w:marTop w:val="0"/>
              <w:marBottom w:val="0"/>
              <w:divBdr>
                <w:top w:val="none" w:sz="0" w:space="0" w:color="auto"/>
                <w:left w:val="none" w:sz="0" w:space="0" w:color="auto"/>
                <w:bottom w:val="none" w:sz="0" w:space="0" w:color="auto"/>
                <w:right w:val="none" w:sz="0" w:space="0" w:color="auto"/>
              </w:divBdr>
              <w:divsChild>
                <w:div w:id="125065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04459669">
      <w:bodyDiv w:val="1"/>
      <w:marLeft w:val="0"/>
      <w:marRight w:val="0"/>
      <w:marTop w:val="0"/>
      <w:marBottom w:val="0"/>
      <w:divBdr>
        <w:top w:val="none" w:sz="0" w:space="0" w:color="auto"/>
        <w:left w:val="none" w:sz="0" w:space="0" w:color="auto"/>
        <w:bottom w:val="none" w:sz="0" w:space="0" w:color="auto"/>
        <w:right w:val="none" w:sz="0" w:space="0" w:color="auto"/>
      </w:divBdr>
      <w:divsChild>
        <w:div w:id="1813329095">
          <w:marLeft w:val="0"/>
          <w:marRight w:val="0"/>
          <w:marTop w:val="0"/>
          <w:marBottom w:val="0"/>
          <w:divBdr>
            <w:top w:val="none" w:sz="0" w:space="0" w:color="auto"/>
            <w:left w:val="none" w:sz="0" w:space="0" w:color="auto"/>
            <w:bottom w:val="none" w:sz="0" w:space="0" w:color="auto"/>
            <w:right w:val="none" w:sz="0" w:space="0" w:color="auto"/>
          </w:divBdr>
          <w:divsChild>
            <w:div w:id="394161412">
              <w:marLeft w:val="0"/>
              <w:marRight w:val="0"/>
              <w:marTop w:val="0"/>
              <w:marBottom w:val="0"/>
              <w:divBdr>
                <w:top w:val="none" w:sz="0" w:space="0" w:color="auto"/>
                <w:left w:val="none" w:sz="0" w:space="0" w:color="auto"/>
                <w:bottom w:val="none" w:sz="0" w:space="0" w:color="auto"/>
                <w:right w:val="none" w:sz="0" w:space="0" w:color="auto"/>
              </w:divBdr>
              <w:divsChild>
                <w:div w:id="168882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936264">
      <w:bodyDiv w:val="1"/>
      <w:marLeft w:val="0"/>
      <w:marRight w:val="0"/>
      <w:marTop w:val="0"/>
      <w:marBottom w:val="0"/>
      <w:divBdr>
        <w:top w:val="none" w:sz="0" w:space="0" w:color="auto"/>
        <w:left w:val="none" w:sz="0" w:space="0" w:color="auto"/>
        <w:bottom w:val="none" w:sz="0" w:space="0" w:color="auto"/>
        <w:right w:val="none" w:sz="0" w:space="0" w:color="auto"/>
      </w:divBdr>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1856534373">
      <w:bodyDiv w:val="1"/>
      <w:marLeft w:val="0"/>
      <w:marRight w:val="0"/>
      <w:marTop w:val="0"/>
      <w:marBottom w:val="0"/>
      <w:divBdr>
        <w:top w:val="none" w:sz="0" w:space="0" w:color="auto"/>
        <w:left w:val="none" w:sz="0" w:space="0" w:color="auto"/>
        <w:bottom w:val="none" w:sz="0" w:space="0" w:color="auto"/>
        <w:right w:val="none" w:sz="0" w:space="0" w:color="auto"/>
      </w:divBdr>
      <w:divsChild>
        <w:div w:id="1409110602">
          <w:marLeft w:val="0"/>
          <w:marRight w:val="0"/>
          <w:marTop w:val="0"/>
          <w:marBottom w:val="0"/>
          <w:divBdr>
            <w:top w:val="none" w:sz="0" w:space="0" w:color="auto"/>
            <w:left w:val="none" w:sz="0" w:space="0" w:color="auto"/>
            <w:bottom w:val="none" w:sz="0" w:space="0" w:color="auto"/>
            <w:right w:val="none" w:sz="0" w:space="0" w:color="auto"/>
          </w:divBdr>
          <w:divsChild>
            <w:div w:id="569468077">
              <w:marLeft w:val="0"/>
              <w:marRight w:val="0"/>
              <w:marTop w:val="0"/>
              <w:marBottom w:val="0"/>
              <w:divBdr>
                <w:top w:val="none" w:sz="0" w:space="0" w:color="auto"/>
                <w:left w:val="none" w:sz="0" w:space="0" w:color="auto"/>
                <w:bottom w:val="none" w:sz="0" w:space="0" w:color="auto"/>
                <w:right w:val="none" w:sz="0" w:space="0" w:color="auto"/>
              </w:divBdr>
              <w:divsChild>
                <w:div w:id="42245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098881">
      <w:bodyDiv w:val="1"/>
      <w:marLeft w:val="0"/>
      <w:marRight w:val="0"/>
      <w:marTop w:val="0"/>
      <w:marBottom w:val="0"/>
      <w:divBdr>
        <w:top w:val="none" w:sz="0" w:space="0" w:color="auto"/>
        <w:left w:val="none" w:sz="0" w:space="0" w:color="auto"/>
        <w:bottom w:val="none" w:sz="0" w:space="0" w:color="auto"/>
        <w:right w:val="none" w:sz="0" w:space="0" w:color="auto"/>
      </w:divBdr>
      <w:divsChild>
        <w:div w:id="1660187823">
          <w:marLeft w:val="0"/>
          <w:marRight w:val="0"/>
          <w:marTop w:val="0"/>
          <w:marBottom w:val="0"/>
          <w:divBdr>
            <w:top w:val="none" w:sz="0" w:space="0" w:color="auto"/>
            <w:left w:val="none" w:sz="0" w:space="0" w:color="auto"/>
            <w:bottom w:val="none" w:sz="0" w:space="0" w:color="auto"/>
            <w:right w:val="none" w:sz="0" w:space="0" w:color="auto"/>
          </w:divBdr>
          <w:divsChild>
            <w:div w:id="3439994">
              <w:marLeft w:val="0"/>
              <w:marRight w:val="0"/>
              <w:marTop w:val="0"/>
              <w:marBottom w:val="0"/>
              <w:divBdr>
                <w:top w:val="none" w:sz="0" w:space="0" w:color="auto"/>
                <w:left w:val="none" w:sz="0" w:space="0" w:color="auto"/>
                <w:bottom w:val="none" w:sz="0" w:space="0" w:color="auto"/>
                <w:right w:val="none" w:sz="0" w:space="0" w:color="auto"/>
              </w:divBdr>
              <w:divsChild>
                <w:div w:id="1994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inis.iaea.org/search/search.aspx?orig_q=author:%22Gerlach,%20L.%22" TargetMode="External"/><Relationship Id="rId26" Type="http://schemas.openxmlformats.org/officeDocument/2006/relationships/hyperlink" Target="https://inis.iaea.org/search/search.aspx?orig_q=author:%22Kinoshita,%20M.%22" TargetMode="External"/><Relationship Id="rId3" Type="http://schemas.openxmlformats.org/officeDocument/2006/relationships/styles" Target="styles.xml"/><Relationship Id="rId21" Type="http://schemas.openxmlformats.org/officeDocument/2006/relationships/hyperlink" Target="https://inis.iaea.org/search/search.aspx?orig_q=author:%22Ginsburg,%20T.%22"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inis.iaea.org/search/search.aspx?orig_q=author:%22Finfrock,%20C.%22" TargetMode="External"/><Relationship Id="rId25" Type="http://schemas.openxmlformats.org/officeDocument/2006/relationships/hyperlink" Target="https://inis.iaea.org/search/search.aspx?orig_q=author:%22Sato,%20K.%22" TargetMode="External"/><Relationship Id="rId2" Type="http://schemas.openxmlformats.org/officeDocument/2006/relationships/numbering" Target="numbering.xml"/><Relationship Id="rId16" Type="http://schemas.openxmlformats.org/officeDocument/2006/relationships/hyperlink" Target="https://inis.iaea.org/search/search.aspx?orig_q=author:%22Boccio,%20J.%22" TargetMode="External"/><Relationship Id="rId20" Type="http://schemas.openxmlformats.org/officeDocument/2006/relationships/hyperlink" Target="https://inis.iaea.org/search/search.aspx?orig_q=author:%22Kinoshita,%20M.%2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inis.iaea.org/search/search.aspx?orig_q=author:%22Gerlach,%20L.%22" TargetMode="External"/><Relationship Id="rId5" Type="http://schemas.openxmlformats.org/officeDocument/2006/relationships/webSettings" Target="webSettings.xml"/><Relationship Id="rId15" Type="http://schemas.openxmlformats.org/officeDocument/2006/relationships/hyperlink" Target="https://inis.iaea.org/search/search.aspx?orig_q=author:%22Ginsburg,%20T.%22" TargetMode="External"/><Relationship Id="rId23" Type="http://schemas.openxmlformats.org/officeDocument/2006/relationships/hyperlink" Target="https://inis.iaea.org/search/search.aspx?orig_q=author:%22Finfrock,%20C.%22" TargetMode="Externa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s://inis.iaea.org/search/search.aspx?orig_q=author:%22Sato,%20K.%22"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inis.iaea.org/search/search.aspx?orig_q=author:%22Boccio,%20J.%22" TargetMode="External"/><Relationship Id="rId27"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3375</Words>
  <Characters>19238</Characters>
  <Application>Microsoft Office Word</Application>
  <DocSecurity>0</DocSecurity>
  <Lines>160</Lines>
  <Paragraphs>45</Paragraphs>
  <ScaleCrop>false</ScaleCrop>
  <HeadingPairs>
    <vt:vector size="6" baseType="variant">
      <vt:variant>
        <vt:lpstr>Title</vt:lpstr>
      </vt:variant>
      <vt:variant>
        <vt:i4>1</vt:i4>
      </vt:variant>
      <vt:variant>
        <vt:lpstr>Название</vt:lpstr>
      </vt:variant>
      <vt:variant>
        <vt:i4>1</vt:i4>
      </vt:variant>
      <vt:variant>
        <vt:lpstr>Titolo</vt:lpstr>
      </vt:variant>
      <vt:variant>
        <vt:i4>1</vt:i4>
      </vt:variant>
    </vt:vector>
  </HeadingPairs>
  <TitlesOfParts>
    <vt:vector size="3" baseType="lpstr">
      <vt:lpstr/>
      <vt:lpstr/>
      <vt:lpstr/>
    </vt:vector>
  </TitlesOfParts>
  <Manager/>
  <Company>Dipartimento CMIC - Politecnico di Milano</Company>
  <LinksUpToDate>false</LinksUpToDate>
  <CharactersWithSpaces>22568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Kirillov Igor</cp:lastModifiedBy>
  <cp:revision>2</cp:revision>
  <cp:lastPrinted>2025-04-08T16:27:00Z</cp:lastPrinted>
  <dcterms:created xsi:type="dcterms:W3CDTF">2025-04-08T19:06:00Z</dcterms:created>
  <dcterms:modified xsi:type="dcterms:W3CDTF">2025-04-08T19:06:00Z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