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83088" w14:paraId="2A131A54" w14:textId="77777777" w:rsidTr="00652E7B">
        <w:trPr>
          <w:trHeight w:val="852"/>
          <w:jc w:val="center"/>
        </w:trPr>
        <w:tc>
          <w:tcPr>
            <w:tcW w:w="6940" w:type="dxa"/>
            <w:vMerge w:val="restart"/>
            <w:tcBorders>
              <w:right w:val="single" w:sz="4" w:space="0" w:color="auto"/>
            </w:tcBorders>
          </w:tcPr>
          <w:p w14:paraId="38C3D2BA" w14:textId="77777777" w:rsidR="000A03B2" w:rsidRPr="00E83088" w:rsidRDefault="000A03B2" w:rsidP="00DE264A">
            <w:pPr>
              <w:tabs>
                <w:tab w:val="left" w:pos="-108"/>
              </w:tabs>
              <w:ind w:left="-108"/>
              <w:jc w:val="left"/>
              <w:rPr>
                <w:rFonts w:cs="Arial"/>
                <w:b/>
                <w:bCs/>
                <w:i/>
                <w:iCs/>
                <w:color w:val="000066"/>
                <w:sz w:val="12"/>
                <w:szCs w:val="12"/>
                <w:lang w:val="en-US" w:eastAsia="it-IT"/>
              </w:rPr>
            </w:pPr>
            <w:bookmarkStart w:id="0" w:name="_Hlk145068772"/>
            <w:r w:rsidRPr="00E83088">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83088">
              <w:rPr>
                <w:rFonts w:ascii="AdvP6960" w:hAnsi="AdvP6960" w:cs="AdvP6960"/>
                <w:color w:val="241F20"/>
                <w:szCs w:val="18"/>
                <w:lang w:val="en-US" w:eastAsia="it-IT"/>
              </w:rPr>
              <w:t xml:space="preserve"> </w:t>
            </w:r>
            <w:r w:rsidRPr="00E83088">
              <w:rPr>
                <w:rFonts w:cs="Arial"/>
                <w:b/>
                <w:bCs/>
                <w:i/>
                <w:iCs/>
                <w:color w:val="000066"/>
                <w:sz w:val="24"/>
                <w:szCs w:val="24"/>
                <w:lang w:val="en-US" w:eastAsia="it-IT"/>
              </w:rPr>
              <w:t>CHEMICAL ENGINEERING</w:t>
            </w:r>
            <w:r w:rsidRPr="00E83088">
              <w:rPr>
                <w:rFonts w:cs="Arial"/>
                <w:b/>
                <w:bCs/>
                <w:i/>
                <w:iCs/>
                <w:color w:val="0033FF"/>
                <w:sz w:val="24"/>
                <w:szCs w:val="24"/>
                <w:lang w:val="en-US" w:eastAsia="it-IT"/>
              </w:rPr>
              <w:t xml:space="preserve"> </w:t>
            </w:r>
            <w:r w:rsidRPr="00E83088">
              <w:rPr>
                <w:rFonts w:cs="Arial"/>
                <w:b/>
                <w:bCs/>
                <w:i/>
                <w:iCs/>
                <w:color w:val="666666"/>
                <w:sz w:val="24"/>
                <w:szCs w:val="24"/>
                <w:lang w:val="en-US" w:eastAsia="it-IT"/>
              </w:rPr>
              <w:t>TRANSACTIONS</w:t>
            </w:r>
            <w:r w:rsidRPr="00E83088">
              <w:rPr>
                <w:color w:val="333333"/>
                <w:sz w:val="24"/>
                <w:szCs w:val="24"/>
                <w:lang w:val="en-US" w:eastAsia="it-IT"/>
              </w:rPr>
              <w:t xml:space="preserve"> </w:t>
            </w:r>
            <w:r w:rsidRPr="00E83088">
              <w:rPr>
                <w:rFonts w:cs="Arial"/>
                <w:b/>
                <w:bCs/>
                <w:i/>
                <w:iCs/>
                <w:color w:val="000066"/>
                <w:sz w:val="27"/>
                <w:szCs w:val="27"/>
                <w:lang w:val="en-US" w:eastAsia="it-IT"/>
              </w:rPr>
              <w:br/>
            </w:r>
          </w:p>
          <w:p w14:paraId="4B780582" w14:textId="47EF826C" w:rsidR="000A03B2" w:rsidRPr="00E83088" w:rsidRDefault="00A76EFC" w:rsidP="001D21AF">
            <w:pPr>
              <w:tabs>
                <w:tab w:val="left" w:pos="-108"/>
              </w:tabs>
              <w:ind w:left="-108"/>
              <w:rPr>
                <w:rFonts w:cs="Arial"/>
                <w:b/>
                <w:bCs/>
                <w:i/>
                <w:iCs/>
                <w:color w:val="000066"/>
                <w:sz w:val="22"/>
                <w:szCs w:val="22"/>
                <w:lang w:val="en-US" w:eastAsia="it-IT"/>
              </w:rPr>
            </w:pPr>
            <w:r w:rsidRPr="00E83088">
              <w:rPr>
                <w:rFonts w:cs="Arial"/>
                <w:b/>
                <w:bCs/>
                <w:i/>
                <w:iCs/>
                <w:color w:val="000066"/>
                <w:sz w:val="22"/>
                <w:szCs w:val="22"/>
                <w:lang w:val="en-US" w:eastAsia="it-IT"/>
              </w:rPr>
              <w:t>VOL.</w:t>
            </w:r>
            <w:r w:rsidR="00785BF9" w:rsidRPr="00E83088">
              <w:rPr>
                <w:rFonts w:cs="Arial"/>
                <w:b/>
                <w:bCs/>
                <w:i/>
                <w:iCs/>
                <w:color w:val="000066"/>
                <w:sz w:val="22"/>
                <w:szCs w:val="22"/>
                <w:lang w:val="en-US" w:eastAsia="it-IT"/>
              </w:rPr>
              <w:t xml:space="preserve"> </w:t>
            </w:r>
            <w:r w:rsidR="00994C6A" w:rsidRPr="00E83088">
              <w:rPr>
                <w:rFonts w:cs="Arial"/>
                <w:b/>
                <w:bCs/>
                <w:i/>
                <w:iCs/>
                <w:color w:val="000066"/>
                <w:sz w:val="22"/>
                <w:szCs w:val="22"/>
                <w:lang w:val="en-US" w:eastAsia="it-IT"/>
              </w:rPr>
              <w:t>xxx</w:t>
            </w:r>
            <w:r w:rsidR="007B48F9" w:rsidRPr="00E83088">
              <w:rPr>
                <w:rFonts w:cs="Arial"/>
                <w:b/>
                <w:bCs/>
                <w:i/>
                <w:iCs/>
                <w:color w:val="000066"/>
                <w:sz w:val="22"/>
                <w:szCs w:val="22"/>
                <w:lang w:val="en-US" w:eastAsia="it-IT"/>
              </w:rPr>
              <w:t>,</w:t>
            </w:r>
            <w:r w:rsidR="00FA5F5F" w:rsidRPr="00E83088">
              <w:rPr>
                <w:rFonts w:cs="Arial"/>
                <w:b/>
                <w:bCs/>
                <w:i/>
                <w:iCs/>
                <w:color w:val="000066"/>
                <w:sz w:val="22"/>
                <w:szCs w:val="22"/>
                <w:lang w:val="en-US" w:eastAsia="it-IT"/>
              </w:rPr>
              <w:t xml:space="preserve"> </w:t>
            </w:r>
            <w:r w:rsidR="0030152C" w:rsidRPr="00E83088">
              <w:rPr>
                <w:rFonts w:cs="Arial"/>
                <w:b/>
                <w:bCs/>
                <w:i/>
                <w:iCs/>
                <w:color w:val="000066"/>
                <w:sz w:val="22"/>
                <w:szCs w:val="22"/>
                <w:lang w:val="en-US" w:eastAsia="it-IT"/>
              </w:rPr>
              <w:t>202</w:t>
            </w:r>
            <w:r w:rsidR="00994C6A" w:rsidRPr="00E83088">
              <w:rPr>
                <w:rFonts w:cs="Arial"/>
                <w:b/>
                <w:bCs/>
                <w:i/>
                <w:iCs/>
                <w:color w:val="000066"/>
                <w:sz w:val="22"/>
                <w:szCs w:val="22"/>
                <w:lang w:val="en-US" w:eastAsia="it-IT"/>
              </w:rPr>
              <w:t>5</w:t>
            </w:r>
          </w:p>
        </w:tc>
        <w:tc>
          <w:tcPr>
            <w:tcW w:w="1842" w:type="dxa"/>
            <w:tcBorders>
              <w:left w:val="single" w:sz="4" w:space="0" w:color="auto"/>
              <w:bottom w:val="nil"/>
              <w:right w:val="single" w:sz="4" w:space="0" w:color="auto"/>
            </w:tcBorders>
          </w:tcPr>
          <w:p w14:paraId="56782132" w14:textId="77777777" w:rsidR="000A03B2" w:rsidRPr="00E83088" w:rsidRDefault="000A03B2" w:rsidP="00CD5FE2">
            <w:pPr>
              <w:spacing w:line="140" w:lineRule="atLeast"/>
              <w:jc w:val="right"/>
              <w:rPr>
                <w:rFonts w:cs="Arial"/>
                <w:sz w:val="14"/>
                <w:szCs w:val="14"/>
                <w:lang w:val="en-US"/>
              </w:rPr>
            </w:pPr>
            <w:r w:rsidRPr="00E83088">
              <w:rPr>
                <w:rFonts w:cs="Arial"/>
                <w:sz w:val="14"/>
                <w:szCs w:val="14"/>
                <w:lang w:val="en-US"/>
              </w:rPr>
              <w:t>A publication of</w:t>
            </w:r>
          </w:p>
          <w:p w14:paraId="599E5441" w14:textId="77777777" w:rsidR="000A03B2" w:rsidRPr="00E83088" w:rsidRDefault="000A03B2" w:rsidP="00CD5FE2">
            <w:pPr>
              <w:jc w:val="right"/>
              <w:rPr>
                <w:lang w:val="en-US"/>
              </w:rPr>
            </w:pPr>
            <w:r w:rsidRPr="00E83088">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83088" w14:paraId="380FA3CD" w14:textId="77777777" w:rsidTr="00652E7B">
        <w:trPr>
          <w:trHeight w:val="567"/>
          <w:jc w:val="center"/>
        </w:trPr>
        <w:tc>
          <w:tcPr>
            <w:tcW w:w="6940" w:type="dxa"/>
            <w:vMerge/>
            <w:tcBorders>
              <w:right w:val="single" w:sz="4" w:space="0" w:color="auto"/>
            </w:tcBorders>
          </w:tcPr>
          <w:p w14:paraId="39E5E4C1" w14:textId="77777777" w:rsidR="000A03B2" w:rsidRPr="00E83088"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E83088" w:rsidRDefault="000A03B2" w:rsidP="00CD5FE2">
            <w:pPr>
              <w:spacing w:line="140" w:lineRule="atLeast"/>
              <w:jc w:val="right"/>
              <w:rPr>
                <w:rFonts w:cs="Arial"/>
                <w:sz w:val="14"/>
                <w:szCs w:val="14"/>
                <w:lang w:val="en-US"/>
              </w:rPr>
            </w:pPr>
            <w:r w:rsidRPr="00E83088">
              <w:rPr>
                <w:rFonts w:cs="Arial"/>
                <w:sz w:val="14"/>
                <w:szCs w:val="14"/>
                <w:lang w:val="en-US"/>
              </w:rPr>
              <w:t>The Italian Association</w:t>
            </w:r>
          </w:p>
          <w:p w14:paraId="7522B1D2" w14:textId="77777777" w:rsidR="000A03B2" w:rsidRPr="00E83088" w:rsidRDefault="000A03B2" w:rsidP="00CD5FE2">
            <w:pPr>
              <w:spacing w:line="140" w:lineRule="atLeast"/>
              <w:jc w:val="right"/>
              <w:rPr>
                <w:rFonts w:cs="Arial"/>
                <w:sz w:val="14"/>
                <w:szCs w:val="14"/>
                <w:lang w:val="en-US"/>
              </w:rPr>
            </w:pPr>
            <w:r w:rsidRPr="00E83088">
              <w:rPr>
                <w:rFonts w:cs="Arial"/>
                <w:sz w:val="14"/>
                <w:szCs w:val="14"/>
                <w:lang w:val="en-US"/>
              </w:rPr>
              <w:t>of Chemical Engineering</w:t>
            </w:r>
          </w:p>
          <w:p w14:paraId="4F0CC5DE" w14:textId="47FDB2FC" w:rsidR="000A03B2" w:rsidRPr="00E83088" w:rsidRDefault="000D0268" w:rsidP="00CD5FE2">
            <w:pPr>
              <w:spacing w:line="140" w:lineRule="atLeast"/>
              <w:jc w:val="right"/>
              <w:rPr>
                <w:rFonts w:cs="Arial"/>
                <w:sz w:val="13"/>
                <w:szCs w:val="13"/>
                <w:lang w:val="en-US"/>
              </w:rPr>
            </w:pPr>
            <w:r w:rsidRPr="00E83088">
              <w:rPr>
                <w:rFonts w:cs="Arial"/>
                <w:sz w:val="13"/>
                <w:szCs w:val="13"/>
                <w:lang w:val="en-US"/>
              </w:rPr>
              <w:t>Online at www.cetjournal.it</w:t>
            </w:r>
          </w:p>
        </w:tc>
      </w:tr>
      <w:tr w:rsidR="000A03B2" w:rsidRPr="00E83088" w14:paraId="2D1B7169" w14:textId="77777777" w:rsidTr="00652E7B">
        <w:trPr>
          <w:trHeight w:val="68"/>
          <w:jc w:val="center"/>
        </w:trPr>
        <w:tc>
          <w:tcPr>
            <w:tcW w:w="8782" w:type="dxa"/>
            <w:gridSpan w:val="2"/>
          </w:tcPr>
          <w:p w14:paraId="30F07041" w14:textId="11182ABA" w:rsidR="00F27EE4" w:rsidRPr="00E83088" w:rsidRDefault="00AA7D26" w:rsidP="00F27EE4">
            <w:pPr>
              <w:ind w:left="-107"/>
              <w:rPr>
                <w:rFonts w:ascii="Tahoma" w:hAnsi="Tahoma" w:cs="Tahoma"/>
                <w:b/>
                <w:bCs/>
                <w:color w:val="000000"/>
                <w:sz w:val="14"/>
                <w:szCs w:val="14"/>
                <w:shd w:val="clear" w:color="auto" w:fill="FFFFFF"/>
                <w:lang w:val="en-US"/>
              </w:rPr>
            </w:pPr>
            <w:r w:rsidRPr="00E83088">
              <w:rPr>
                <w:rFonts w:ascii="Tahoma" w:hAnsi="Tahoma" w:cs="Tahoma"/>
                <w:iCs/>
                <w:color w:val="333333"/>
                <w:sz w:val="14"/>
                <w:szCs w:val="14"/>
                <w:lang w:val="en-US" w:eastAsia="it-IT"/>
              </w:rPr>
              <w:t>Guest Editors:</w:t>
            </w:r>
            <w:r w:rsidR="007D610D" w:rsidRPr="00E83088">
              <w:rPr>
                <w:rFonts w:ascii="Aptos" w:eastAsiaTheme="minorHAnsi" w:hAnsi="Aptos" w:cs="Aptos"/>
                <w:sz w:val="22"/>
                <w:szCs w:val="22"/>
                <w:lang w:val="en-US"/>
                <w14:ligatures w14:val="standardContextual"/>
              </w:rPr>
              <w:t xml:space="preserve"> </w:t>
            </w:r>
            <w:r w:rsidR="00F27EE4" w:rsidRPr="00E83088">
              <w:rPr>
                <w:rFonts w:ascii="Tahoma" w:hAnsi="Tahoma" w:cs="Tahoma"/>
                <w:color w:val="000000"/>
                <w:sz w:val="14"/>
                <w:szCs w:val="14"/>
                <w:shd w:val="clear" w:color="auto" w:fill="FFFFFF"/>
                <w:lang w:val="en-US"/>
              </w:rPr>
              <w:t xml:space="preserve">Bruno Fabiano, Valerio </w:t>
            </w:r>
            <w:proofErr w:type="spellStart"/>
            <w:r w:rsidR="00F27EE4" w:rsidRPr="00E83088">
              <w:rPr>
                <w:rFonts w:ascii="Tahoma" w:hAnsi="Tahoma" w:cs="Tahoma"/>
                <w:color w:val="000000"/>
                <w:sz w:val="14"/>
                <w:szCs w:val="14"/>
                <w:shd w:val="clear" w:color="auto" w:fill="FFFFFF"/>
                <w:lang w:val="en-US"/>
              </w:rPr>
              <w:t>Cozzani</w:t>
            </w:r>
            <w:proofErr w:type="spellEnd"/>
          </w:p>
          <w:p w14:paraId="1B0F1814" w14:textId="2DB8A072" w:rsidR="000A03B2" w:rsidRPr="00E83088" w:rsidRDefault="00AA7D26" w:rsidP="00AA7D26">
            <w:pPr>
              <w:tabs>
                <w:tab w:val="left" w:pos="-108"/>
              </w:tabs>
              <w:spacing w:line="140" w:lineRule="atLeast"/>
              <w:ind w:left="-107"/>
              <w:jc w:val="left"/>
              <w:rPr>
                <w:lang w:val="en-US"/>
              </w:rPr>
            </w:pPr>
            <w:r w:rsidRPr="00E83088">
              <w:rPr>
                <w:rFonts w:ascii="Tahoma" w:hAnsi="Tahoma" w:cs="Tahoma"/>
                <w:iCs/>
                <w:color w:val="333333"/>
                <w:sz w:val="14"/>
                <w:szCs w:val="14"/>
                <w:lang w:val="en-US" w:eastAsia="it-IT"/>
              </w:rPr>
              <w:t>Copyright © 202</w:t>
            </w:r>
            <w:r w:rsidR="00994C6A" w:rsidRPr="00E83088">
              <w:rPr>
                <w:rFonts w:ascii="Tahoma" w:hAnsi="Tahoma" w:cs="Tahoma"/>
                <w:iCs/>
                <w:color w:val="333333"/>
                <w:sz w:val="14"/>
                <w:szCs w:val="14"/>
                <w:lang w:val="en-US" w:eastAsia="it-IT"/>
              </w:rPr>
              <w:t>5</w:t>
            </w:r>
            <w:r w:rsidRPr="00E83088">
              <w:rPr>
                <w:rFonts w:ascii="Tahoma" w:hAnsi="Tahoma" w:cs="Tahoma"/>
                <w:iCs/>
                <w:color w:val="333333"/>
                <w:sz w:val="14"/>
                <w:szCs w:val="14"/>
                <w:lang w:val="en-US" w:eastAsia="it-IT"/>
              </w:rPr>
              <w:t xml:space="preserve">, AIDIC </w:t>
            </w:r>
            <w:proofErr w:type="spellStart"/>
            <w:r w:rsidRPr="00E83088">
              <w:rPr>
                <w:rFonts w:ascii="Tahoma" w:hAnsi="Tahoma" w:cs="Tahoma"/>
                <w:iCs/>
                <w:color w:val="333333"/>
                <w:sz w:val="14"/>
                <w:szCs w:val="14"/>
                <w:lang w:val="en-US" w:eastAsia="it-IT"/>
              </w:rPr>
              <w:t>Servizi</w:t>
            </w:r>
            <w:proofErr w:type="spellEnd"/>
            <w:r w:rsidRPr="00E83088">
              <w:rPr>
                <w:rFonts w:ascii="Tahoma" w:hAnsi="Tahoma" w:cs="Tahoma"/>
                <w:iCs/>
                <w:color w:val="333333"/>
                <w:sz w:val="14"/>
                <w:szCs w:val="14"/>
                <w:lang w:val="en-US" w:eastAsia="it-IT"/>
              </w:rPr>
              <w:t xml:space="preserve"> </w:t>
            </w:r>
            <w:proofErr w:type="spellStart"/>
            <w:r w:rsidRPr="00E83088">
              <w:rPr>
                <w:rFonts w:ascii="Tahoma" w:hAnsi="Tahoma" w:cs="Tahoma"/>
                <w:iCs/>
                <w:color w:val="333333"/>
                <w:sz w:val="14"/>
                <w:szCs w:val="14"/>
                <w:lang w:val="en-US" w:eastAsia="it-IT"/>
              </w:rPr>
              <w:t>S.r.l</w:t>
            </w:r>
            <w:proofErr w:type="spellEnd"/>
            <w:r w:rsidRPr="00E83088">
              <w:rPr>
                <w:rFonts w:ascii="Tahoma" w:hAnsi="Tahoma" w:cs="Tahoma"/>
                <w:iCs/>
                <w:color w:val="333333"/>
                <w:sz w:val="14"/>
                <w:szCs w:val="14"/>
                <w:lang w:val="en-US" w:eastAsia="it-IT"/>
              </w:rPr>
              <w:t>.</w:t>
            </w:r>
            <w:r w:rsidRPr="00E83088">
              <w:rPr>
                <w:rFonts w:ascii="Tahoma" w:hAnsi="Tahoma" w:cs="Tahoma"/>
                <w:iCs/>
                <w:color w:val="333333"/>
                <w:sz w:val="14"/>
                <w:szCs w:val="14"/>
                <w:lang w:val="en-US" w:eastAsia="it-IT"/>
              </w:rPr>
              <w:br/>
            </w:r>
            <w:r w:rsidRPr="00E83088">
              <w:rPr>
                <w:rFonts w:ascii="Tahoma" w:hAnsi="Tahoma" w:cs="Tahoma"/>
                <w:b/>
                <w:iCs/>
                <w:color w:val="000000"/>
                <w:sz w:val="14"/>
                <w:szCs w:val="14"/>
                <w:lang w:val="en-US" w:eastAsia="it-IT"/>
              </w:rPr>
              <w:t>ISBN</w:t>
            </w:r>
            <w:r w:rsidRPr="00E83088">
              <w:rPr>
                <w:rFonts w:ascii="Tahoma" w:hAnsi="Tahoma" w:cs="Tahoma"/>
                <w:iCs/>
                <w:color w:val="000000"/>
                <w:sz w:val="14"/>
                <w:szCs w:val="14"/>
                <w:lang w:val="en-US" w:eastAsia="it-IT"/>
              </w:rPr>
              <w:t xml:space="preserve"> </w:t>
            </w:r>
            <w:r w:rsidR="003B49CD" w:rsidRPr="00E83088">
              <w:rPr>
                <w:rFonts w:ascii="Tahoma" w:hAnsi="Tahoma" w:cs="Tahoma"/>
                <w:sz w:val="14"/>
                <w:szCs w:val="14"/>
                <w:lang w:val="en-US"/>
              </w:rPr>
              <w:t>979-12-81206-</w:t>
            </w:r>
            <w:r w:rsidR="00F27EE4" w:rsidRPr="00E83088">
              <w:rPr>
                <w:rFonts w:ascii="Tahoma" w:hAnsi="Tahoma" w:cs="Tahoma"/>
                <w:sz w:val="14"/>
                <w:szCs w:val="14"/>
                <w:lang w:val="en-US"/>
              </w:rPr>
              <w:t>xx-y</w:t>
            </w:r>
            <w:r w:rsidRPr="00E83088">
              <w:rPr>
                <w:rFonts w:ascii="Tahoma" w:hAnsi="Tahoma" w:cs="Tahoma"/>
                <w:iCs/>
                <w:color w:val="333333"/>
                <w:sz w:val="14"/>
                <w:szCs w:val="14"/>
                <w:lang w:val="en-US" w:eastAsia="it-IT"/>
              </w:rPr>
              <w:t xml:space="preserve">; </w:t>
            </w:r>
            <w:r w:rsidRPr="00E83088">
              <w:rPr>
                <w:rFonts w:ascii="Tahoma" w:hAnsi="Tahoma" w:cs="Tahoma"/>
                <w:b/>
                <w:iCs/>
                <w:color w:val="333333"/>
                <w:sz w:val="14"/>
                <w:szCs w:val="14"/>
                <w:lang w:val="en-US" w:eastAsia="it-IT"/>
              </w:rPr>
              <w:t>ISSN</w:t>
            </w:r>
            <w:r w:rsidRPr="00E83088">
              <w:rPr>
                <w:rFonts w:ascii="Tahoma" w:hAnsi="Tahoma" w:cs="Tahoma"/>
                <w:iCs/>
                <w:color w:val="333333"/>
                <w:sz w:val="14"/>
                <w:szCs w:val="14"/>
                <w:lang w:val="en-US" w:eastAsia="it-IT"/>
              </w:rPr>
              <w:t xml:space="preserve"> 2283-9216</w:t>
            </w:r>
          </w:p>
        </w:tc>
      </w:tr>
    </w:tbl>
    <w:bookmarkEnd w:id="0"/>
    <w:p w14:paraId="328DC85A" w14:textId="77777777" w:rsidR="00652E7B" w:rsidRPr="00E83088" w:rsidRDefault="00652E7B" w:rsidP="00652E7B">
      <w:pPr>
        <w:pStyle w:val="CETTitle"/>
        <w:rPr>
          <w:lang w:val="en-US"/>
        </w:rPr>
      </w:pPr>
      <w:r w:rsidRPr="00E83088">
        <w:rPr>
          <w:lang w:val="en-US"/>
        </w:rPr>
        <w:t>Deflagration Pressure Prediction using the NFPA 68 Engineering Model: Sensitivity of Fuel-Air Gas Properties</w:t>
      </w:r>
    </w:p>
    <w:p w14:paraId="044C0582" w14:textId="77777777" w:rsidR="00652E7B" w:rsidRPr="00E83088" w:rsidRDefault="00652E7B" w:rsidP="00652E7B">
      <w:pPr>
        <w:pStyle w:val="CETAuthors"/>
        <w:rPr>
          <w:lang w:val="en-US"/>
        </w:rPr>
      </w:pPr>
      <w:r w:rsidRPr="00E83088">
        <w:rPr>
          <w:lang w:val="en-US"/>
        </w:rPr>
        <w:t>Stefan Kraft</w:t>
      </w:r>
      <w:r w:rsidRPr="00E83088">
        <w:rPr>
          <w:vertAlign w:val="superscript"/>
          <w:lang w:val="en-US"/>
        </w:rPr>
        <w:t>a,</w:t>
      </w:r>
      <w:r w:rsidRPr="00E83088">
        <w:rPr>
          <w:lang w:val="en-US"/>
        </w:rPr>
        <w:t>*, Marius Bloching</w:t>
      </w:r>
      <w:r w:rsidRPr="00E83088">
        <w:rPr>
          <w:vertAlign w:val="superscript"/>
          <w:lang w:val="en-US"/>
        </w:rPr>
        <w:t>b</w:t>
      </w:r>
      <w:r w:rsidRPr="00E83088">
        <w:rPr>
          <w:lang w:val="en-US"/>
        </w:rPr>
        <w:t>, Lorenz R. Boeck</w:t>
      </w:r>
      <w:r w:rsidRPr="00E83088">
        <w:rPr>
          <w:vertAlign w:val="superscript"/>
          <w:lang w:val="en-US"/>
        </w:rPr>
        <w:t>c</w:t>
      </w:r>
    </w:p>
    <w:p w14:paraId="737BF369" w14:textId="77777777" w:rsidR="00652E7B" w:rsidRPr="00E83088" w:rsidRDefault="00652E7B" w:rsidP="00652E7B">
      <w:pPr>
        <w:pStyle w:val="CETAddress"/>
        <w:rPr>
          <w:lang w:val="en-US"/>
        </w:rPr>
      </w:pPr>
      <w:r w:rsidRPr="00E83088">
        <w:rPr>
          <w:vertAlign w:val="superscript"/>
          <w:lang w:val="en-US"/>
        </w:rPr>
        <w:t>a</w:t>
      </w:r>
      <w:r w:rsidRPr="00E83088">
        <w:rPr>
          <w:lang w:val="en-US"/>
        </w:rPr>
        <w:t xml:space="preserve">Jensen Hughes, 2020 Kraft Dr, Blacksburg, Virginia, USA </w:t>
      </w:r>
    </w:p>
    <w:p w14:paraId="75360345" w14:textId="77777777" w:rsidR="00652E7B" w:rsidRPr="00E83088" w:rsidRDefault="00652E7B" w:rsidP="00652E7B">
      <w:pPr>
        <w:pStyle w:val="CETAddress"/>
        <w:rPr>
          <w:lang w:val="en-US"/>
        </w:rPr>
      </w:pPr>
      <w:r w:rsidRPr="00E83088">
        <w:rPr>
          <w:vertAlign w:val="superscript"/>
          <w:lang w:val="en-US"/>
        </w:rPr>
        <w:t>b</w:t>
      </w:r>
      <w:r w:rsidRPr="00E83088">
        <w:rPr>
          <w:lang w:val="en-US"/>
        </w:rPr>
        <w:t>REMBE</w:t>
      </w:r>
      <w:r w:rsidRPr="00E83088">
        <w:rPr>
          <w:vertAlign w:val="superscript"/>
          <w:lang w:val="en-US"/>
        </w:rPr>
        <w:t>®</w:t>
      </w:r>
      <w:r w:rsidRPr="00E83088">
        <w:rPr>
          <w:lang w:val="en-US"/>
        </w:rPr>
        <w:t xml:space="preserve"> GmbH Safety + Control, Zur Heide 35, Brilon, Germany </w:t>
      </w:r>
    </w:p>
    <w:p w14:paraId="34285F49" w14:textId="77777777" w:rsidR="00652E7B" w:rsidRPr="00E83088" w:rsidRDefault="00652E7B" w:rsidP="00652E7B">
      <w:pPr>
        <w:pStyle w:val="CETAddress"/>
        <w:rPr>
          <w:lang w:val="en-US"/>
        </w:rPr>
      </w:pPr>
      <w:r w:rsidRPr="00E83088">
        <w:rPr>
          <w:vertAlign w:val="superscript"/>
          <w:lang w:val="en-US"/>
        </w:rPr>
        <w:t>c</w:t>
      </w:r>
      <w:r w:rsidRPr="00E83088">
        <w:rPr>
          <w:lang w:val="en-US"/>
        </w:rPr>
        <w:t>REMBE</w:t>
      </w:r>
      <w:r w:rsidRPr="00E83088">
        <w:rPr>
          <w:vertAlign w:val="superscript"/>
          <w:lang w:val="en-US"/>
        </w:rPr>
        <w:t>®</w:t>
      </w:r>
      <w:r w:rsidRPr="00E83088">
        <w:rPr>
          <w:lang w:val="en-US"/>
        </w:rPr>
        <w:t xml:space="preserve"> Inc, 9567 Yarborough Rd, Fort Mill, South Carolina, USA </w:t>
      </w:r>
    </w:p>
    <w:p w14:paraId="0BDC38AF" w14:textId="77777777" w:rsidR="00652E7B" w:rsidRPr="00E83088" w:rsidRDefault="00652E7B" w:rsidP="00652E7B">
      <w:pPr>
        <w:pStyle w:val="CETAddress"/>
        <w:rPr>
          <w:lang w:val="en-US"/>
        </w:rPr>
      </w:pPr>
      <w:r w:rsidRPr="00E83088">
        <w:rPr>
          <w:lang w:val="en-US"/>
        </w:rPr>
        <w:t>skraft@jensenhughes.com</w:t>
      </w:r>
    </w:p>
    <w:p w14:paraId="1A7737CA" w14:textId="77777777" w:rsidR="00652E7B" w:rsidRPr="00E83088" w:rsidRDefault="00652E7B" w:rsidP="00652E7B">
      <w:pPr>
        <w:pStyle w:val="CETAddress"/>
        <w:rPr>
          <w:lang w:val="en-US"/>
        </w:rPr>
      </w:pPr>
    </w:p>
    <w:p w14:paraId="68D59805" w14:textId="027EC8A6" w:rsidR="000F4B03" w:rsidRPr="00E83088" w:rsidRDefault="000F4B03" w:rsidP="000F4B03">
      <w:pPr>
        <w:pStyle w:val="CETBodytext"/>
      </w:pPr>
      <w:r w:rsidRPr="00E83088">
        <w:t xml:space="preserve">To calculate pressures resulting from gaseous deflagrations, the NFPA 68 (2023) engineering model requires various </w:t>
      </w:r>
      <w:r w:rsidR="00441BEA" w:rsidRPr="00E83088">
        <w:t>fuel</w:t>
      </w:r>
      <w:r w:rsidRPr="00E83088">
        <w:t>-air mixture properties as input. Key properties include the fundamental burning velocity and maximum explosion pressure, for which NFPA 68 provides worst-case values for common industrial gases. Default values are provided for other properties, but their use is restricted to flammable gases with stoichiometric fuel concentrations of 5% or less. Many gases exceed this threshold (e.g., hydrogen at 29.5%), and obtaining specific mixture properties often requires specialized chemical databases or modeling tools.</w:t>
      </w:r>
    </w:p>
    <w:p w14:paraId="1B650C21" w14:textId="77777777" w:rsidR="000F4B03" w:rsidRPr="00E83088" w:rsidRDefault="000F4B03" w:rsidP="000F4B03">
      <w:pPr>
        <w:pStyle w:val="CETBodytext"/>
      </w:pPr>
    </w:p>
    <w:p w14:paraId="6535D7CC" w14:textId="3228E854" w:rsidR="000F4B03" w:rsidRPr="00E83088" w:rsidRDefault="000F4B03" w:rsidP="000F4B03">
      <w:pPr>
        <w:pStyle w:val="CETBodytext"/>
      </w:pPr>
      <w:r w:rsidRPr="00E83088">
        <w:t xml:space="preserve">This work explores </w:t>
      </w:r>
      <w:r w:rsidR="00631544" w:rsidRPr="00E83088">
        <w:t>three</w:t>
      </w:r>
      <w:r w:rsidRPr="00E83088">
        <w:t xml:space="preserve"> aspects of this problem: summarizing resources </w:t>
      </w:r>
      <w:r w:rsidR="004A4B23" w:rsidRPr="00E83088">
        <w:t xml:space="preserve">and methods </w:t>
      </w:r>
      <w:r w:rsidRPr="00E83088">
        <w:t>for obtaining gas properties</w:t>
      </w:r>
      <w:r w:rsidR="00D71895">
        <w:t>;</w:t>
      </w:r>
      <w:r w:rsidRPr="00E83088">
        <w:t xml:space="preserve"> performing a sensitivity study </w:t>
      </w:r>
      <w:r w:rsidR="00D71895">
        <w:t>for</w:t>
      </w:r>
      <w:r w:rsidRPr="00E83088">
        <w:t xml:space="preserve"> a 20-ft ISO container geometry to determine parameter impacts</w:t>
      </w:r>
      <w:r w:rsidR="00D71895">
        <w:t>;</w:t>
      </w:r>
      <w:r w:rsidRPr="00E83088">
        <w:t xml:space="preserve"> and comparing NFPA 68 pressure predictions against large-scale experimental results using both default and calculated mixture</w:t>
      </w:r>
      <w:r w:rsidR="004A4B23" w:rsidRPr="00E83088">
        <w:t>-specific</w:t>
      </w:r>
      <w:r w:rsidRPr="00E83088">
        <w:t xml:space="preserve"> properties.</w:t>
      </w:r>
    </w:p>
    <w:p w14:paraId="6193E58B" w14:textId="77777777" w:rsidR="005E35C3" w:rsidRDefault="005E35C3" w:rsidP="000F4B03">
      <w:pPr>
        <w:pStyle w:val="CETBodytext"/>
      </w:pPr>
    </w:p>
    <w:p w14:paraId="1C49918C" w14:textId="378356E5" w:rsidR="0053034B" w:rsidRPr="00E83088" w:rsidRDefault="0053034B" w:rsidP="000F4B03">
      <w:pPr>
        <w:pStyle w:val="CETBodytext"/>
      </w:pPr>
      <w:r w:rsidRPr="0053034B">
        <w:rPr>
          <w:lang w:val="en-GB"/>
        </w:rPr>
        <w:t xml:space="preserve">The results demonstrate that using appropriate fuel-air mixture properties can significantly improve prediction accuracy. For the experimental cases investigated in this study, using calculated mixture-specific properties instead of default values reduced predicted deflagration pressures by 15% on average while maintaining conservative predictions in most scenarios. The improvements were most pronounced for hydrogen applications, with pressure reductions up to </w:t>
      </w:r>
      <w:r w:rsidR="00A15985">
        <w:rPr>
          <w:lang w:val="en-GB"/>
        </w:rPr>
        <w:t>65</w:t>
      </w:r>
      <w:r w:rsidRPr="0053034B">
        <w:rPr>
          <w:lang w:val="en-GB"/>
        </w:rPr>
        <w:t>%, reflecting the significant impact of hydrogen's distinct gas properties. These findings suggest that while default properties can serve for preliminary design assessments, calculated mixture-specific properties should be used for final designs to ensure both standard compliance and optimal vent sizing, particularly for applications involving hydrogen.</w:t>
      </w:r>
    </w:p>
    <w:p w14:paraId="476B2F2E" w14:textId="52B36035" w:rsidR="00600535" w:rsidRPr="00E83088" w:rsidRDefault="00600535" w:rsidP="00600535">
      <w:pPr>
        <w:pStyle w:val="CETHeading1"/>
      </w:pPr>
      <w:r w:rsidRPr="00E83088">
        <w:t>Introduction</w:t>
      </w:r>
    </w:p>
    <w:p w14:paraId="49B22E10" w14:textId="6716AA60" w:rsidR="00F26511" w:rsidRPr="00E83088" w:rsidRDefault="00734CB4" w:rsidP="00734CB4">
      <w:pPr>
        <w:pStyle w:val="CETBodytext"/>
      </w:pPr>
      <w:r w:rsidRPr="00E83088">
        <w:t>The accurate prediction of deflagration pressures is crucial for industrial safety design, particularly in the context of explosion venting systems governed by NFPA 68 (2023</w:t>
      </w:r>
      <w:r w:rsidR="006F1DCE">
        <w:t>.</w:t>
      </w:r>
      <w:r w:rsidRPr="00E83088">
        <w:t xml:space="preserve">) This standard provides an engineering model that requires various fuel-air mixture properties as input parameters. While the model is widely used in industry, </w:t>
      </w:r>
      <w:r w:rsidR="003960EF">
        <w:t>challenges can arise</w:t>
      </w:r>
      <w:r w:rsidRPr="00E83088">
        <w:t xml:space="preserve"> in obtaining accurate input parameters. The standard provides worst-case values for fundamental burning velocity</w:t>
      </w:r>
      <w:r w:rsidR="4529B48C" w:rsidRPr="00E83088">
        <w:t xml:space="preserve"> (S</w:t>
      </w:r>
      <w:r w:rsidR="4529B48C" w:rsidRPr="00E83088">
        <w:rPr>
          <w:vertAlign w:val="subscript"/>
        </w:rPr>
        <w:t>u</w:t>
      </w:r>
      <w:r w:rsidR="4529B48C" w:rsidRPr="00E83088">
        <w:t>)</w:t>
      </w:r>
      <w:r w:rsidRPr="00E83088">
        <w:t xml:space="preserve"> and maximum explosion pressure</w:t>
      </w:r>
      <w:r w:rsidR="6FA07C28" w:rsidRPr="00E83088">
        <w:t xml:space="preserve"> (P</w:t>
      </w:r>
      <w:r w:rsidR="6FA07C28" w:rsidRPr="00E83088">
        <w:rPr>
          <w:vertAlign w:val="subscript"/>
        </w:rPr>
        <w:t>max</w:t>
      </w:r>
      <w:r w:rsidR="6FA07C28" w:rsidRPr="00E83088">
        <w:t>)</w:t>
      </w:r>
      <w:r w:rsidRPr="00E83088">
        <w:t xml:space="preserve"> for common industrial gases, along with default values for other parameters. </w:t>
      </w:r>
      <w:r w:rsidR="00E404E7" w:rsidRPr="00E404E7">
        <w:rPr>
          <w:lang w:val="en-GB"/>
        </w:rPr>
        <w:t>However, the applicability of these default values is limited to flammable gases with stoichiometric fuel concentrations of 5% or less, which excludes gases like hydrogen where the stoichiometric concentration (29.5%) far exceeds the 5% threshold.</w:t>
      </w:r>
    </w:p>
    <w:p w14:paraId="13720B25" w14:textId="77777777" w:rsidR="00782959" w:rsidRPr="00E83088" w:rsidRDefault="00782959" w:rsidP="00734CB4">
      <w:pPr>
        <w:pStyle w:val="CETBodytext"/>
      </w:pPr>
    </w:p>
    <w:p w14:paraId="6F16B29F" w14:textId="282BCFBD" w:rsidR="00734CB4" w:rsidRPr="00E83088" w:rsidRDefault="00734CB4" w:rsidP="00734CB4">
      <w:pPr>
        <w:pStyle w:val="CETBodytext"/>
      </w:pPr>
      <w:r w:rsidRPr="00E83088">
        <w:t xml:space="preserve">This study addresses </w:t>
      </w:r>
      <w:r w:rsidR="00631544" w:rsidRPr="00E83088">
        <w:t>three</w:t>
      </w:r>
      <w:r w:rsidRPr="00E83088">
        <w:t xml:space="preserve"> aspects of NFPA 68</w:t>
      </w:r>
      <w:r w:rsidR="00A14F15" w:rsidRPr="00E83088">
        <w:t xml:space="preserve"> (2023)</w:t>
      </w:r>
      <w:r w:rsidRPr="00E83088">
        <w:t xml:space="preserve"> vent sizing applications. First, available resources </w:t>
      </w:r>
      <w:r w:rsidR="00631544" w:rsidRPr="00E83088">
        <w:t xml:space="preserve">and tools </w:t>
      </w:r>
      <w:r w:rsidRPr="00E83088">
        <w:t>for obtaining gas properties</w:t>
      </w:r>
      <w:r w:rsidR="5E9AF66A" w:rsidRPr="00E83088">
        <w:t xml:space="preserve"> </w:t>
      </w:r>
      <w:r w:rsidR="00631544" w:rsidRPr="00E83088">
        <w:t>are</w:t>
      </w:r>
      <w:r w:rsidR="5E9AF66A" w:rsidRPr="00E83088">
        <w:t xml:space="preserve"> </w:t>
      </w:r>
      <w:r w:rsidR="00631544" w:rsidRPr="00E83088">
        <w:t>briefly discussed</w:t>
      </w:r>
      <w:r w:rsidRPr="00E83088">
        <w:t>, including both open-access and commercial databases</w:t>
      </w:r>
      <w:r w:rsidR="00631544" w:rsidRPr="00E83088">
        <w:t xml:space="preserve"> and tools</w:t>
      </w:r>
      <w:r w:rsidRPr="00E83088">
        <w:t xml:space="preserve">. Second, a systematic </w:t>
      </w:r>
      <w:r w:rsidR="00631544" w:rsidRPr="00E83088">
        <w:t xml:space="preserve">sensitivity study is performed for a representative 20-ft ISO container geometry to identify the relative influence of mixture properties. Third, </w:t>
      </w:r>
      <w:r w:rsidRPr="00E83088">
        <w:t>comparison</w:t>
      </w:r>
      <w:r w:rsidR="00631544" w:rsidRPr="00E83088">
        <w:t>s are made</w:t>
      </w:r>
      <w:r w:rsidRPr="00E83088">
        <w:t xml:space="preserve"> between vented deflagration pressure predictions using default properties versus calculated </w:t>
      </w:r>
      <w:r w:rsidR="00CE3E88">
        <w:t>mixture-</w:t>
      </w:r>
      <w:r w:rsidRPr="00E83088">
        <w:t xml:space="preserve">specific properties, </w:t>
      </w:r>
      <w:r w:rsidR="00631544" w:rsidRPr="00E83088">
        <w:t>including validation against</w:t>
      </w:r>
      <w:r w:rsidRPr="00E83088">
        <w:t xml:space="preserve"> large-scale experimental results.</w:t>
      </w:r>
    </w:p>
    <w:p w14:paraId="5741900F" w14:textId="0A1CC4D8" w:rsidR="00453E24" w:rsidRPr="00E83088" w:rsidRDefault="00F26511" w:rsidP="00453E24">
      <w:pPr>
        <w:pStyle w:val="CETHeading1"/>
      </w:pPr>
      <w:r w:rsidRPr="00E83088">
        <w:lastRenderedPageBreak/>
        <w:t>Backgroun</w:t>
      </w:r>
      <w:r w:rsidR="00734CB4" w:rsidRPr="00E83088">
        <w:t>d</w:t>
      </w:r>
    </w:p>
    <w:p w14:paraId="0E637EBA" w14:textId="746D7B95" w:rsidR="00734CB4" w:rsidRPr="00E83088" w:rsidRDefault="00BF7321" w:rsidP="00734CB4">
      <w:pPr>
        <w:pStyle w:val="CETheadingx"/>
      </w:pPr>
      <w:r w:rsidRPr="00E83088">
        <w:t xml:space="preserve">NFPA 68 (2023) Vented </w:t>
      </w:r>
      <w:r w:rsidR="00734CB4" w:rsidRPr="00E83088">
        <w:t>Gas Deflagration Model</w:t>
      </w:r>
    </w:p>
    <w:p w14:paraId="52C159E1" w14:textId="0EDBA5FB" w:rsidR="00E93E09" w:rsidRPr="00E83088" w:rsidRDefault="00E93E09" w:rsidP="00734CB4">
      <w:pPr>
        <w:pStyle w:val="CETBodytext"/>
      </w:pPr>
      <w:r w:rsidRPr="00E83088">
        <w:t xml:space="preserve">The NFPA 68 (2023) vented gas deflagration model provides a comprehensive framework for calculating required vent areas in explosion protection systems. The model, detailed in Chapter 7 of the standard, distinguishes between two types of </w:t>
      </w:r>
      <w:r w:rsidR="00DB64A4">
        <w:t xml:space="preserve">protected </w:t>
      </w:r>
      <w:r w:rsidRPr="00E83088">
        <w:t>enclosures based on their structural strength: weak enclosures (P</w:t>
      </w:r>
      <w:r w:rsidRPr="00E83088">
        <w:rPr>
          <w:vertAlign w:val="subscript"/>
        </w:rPr>
        <w:t>red</w:t>
      </w:r>
      <w:r w:rsidRPr="00E83088">
        <w:t> ≤ 0.5 bar-g, Sec. 7.2.1) and strong enclosures (P</w:t>
      </w:r>
      <w:r w:rsidRPr="00E83088">
        <w:rPr>
          <w:vertAlign w:val="subscript"/>
        </w:rPr>
        <w:t>red</w:t>
      </w:r>
      <w:r w:rsidRPr="00E83088">
        <w:t xml:space="preserve"> &gt; 0.5 bar-g, Sec. 7.2.2). For weak enclosures, the model primarily employs </w:t>
      </w:r>
      <w:r w:rsidR="006F1DCE">
        <w:t xml:space="preserve">equations </w:t>
      </w:r>
      <w:proofErr w:type="gramStart"/>
      <w:r w:rsidR="006F1DCE">
        <w:t>Eq(</w:t>
      </w:r>
      <w:proofErr w:type="gramEnd"/>
      <w:r w:rsidR="006F1DCE">
        <w:t>1) and Eq(2)</w:t>
      </w:r>
      <w:r w:rsidRPr="00E83088">
        <w:t xml:space="preserve"> to determine the required vent area</w:t>
      </w:r>
      <w:r w:rsidR="0036779A" w:rsidRPr="00E83088">
        <w:t xml:space="preserve"> A</w:t>
      </w:r>
      <w:r w:rsidR="0036779A" w:rsidRPr="00E83088">
        <w:rPr>
          <w:vertAlign w:val="subscript"/>
        </w:rPr>
        <w:t>v,0</w:t>
      </w:r>
      <w:r w:rsidR="0036779A" w:rsidRPr="00E83088">
        <w:t xml:space="preserve">, before </w:t>
      </w:r>
      <w:r w:rsidR="00B8446F" w:rsidRPr="00E83088">
        <w:t>taking into account</w:t>
      </w:r>
      <w:r w:rsidR="0036779A" w:rsidRPr="00E83088">
        <w:t xml:space="preserve"> potential partial-volume deflagration effects</w:t>
      </w:r>
      <w:r w:rsidR="00235C41" w:rsidRPr="00E83088">
        <w:t xml:space="preserve"> (not considered in this work)</w:t>
      </w:r>
      <w:r w:rsidRPr="00E8308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551C35" w:rsidRPr="00E83088" w14:paraId="362279A7" w14:textId="77777777" w:rsidTr="00FB5497">
        <w:tc>
          <w:tcPr>
            <w:tcW w:w="8351" w:type="dxa"/>
            <w:vAlign w:val="center"/>
          </w:tcPr>
          <w:p w14:paraId="13C391A9" w14:textId="2DF9A182" w:rsidR="00551C35" w:rsidRPr="006F1DCE" w:rsidRDefault="00000000" w:rsidP="00591A21">
            <w:pPr>
              <w:pStyle w:val="CETEquation"/>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v</m:t>
                    </m:r>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S</m:t>
                        </m:r>
                      </m:sub>
                    </m:sSub>
                    <m:r>
                      <w:rPr>
                        <w:rFonts w:ascii="Cambria Math" w:hAnsi="Cambria Math"/>
                      </w:rPr>
                      <m:t>C</m:t>
                    </m:r>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P</m:t>
                            </m:r>
                          </m:e>
                          <m:sub>
                            <m:r>
                              <w:rPr>
                                <w:rFonts w:ascii="Cambria Math" w:hAnsi="Cambria Math"/>
                              </w:rPr>
                              <m:t>red</m:t>
                            </m:r>
                          </m:sub>
                        </m:sSub>
                      </m:e>
                    </m:rad>
                  </m:den>
                </m:f>
                <m:r>
                  <m:rPr>
                    <m:sty m:val="p"/>
                  </m:rPr>
                  <w:rPr>
                    <w:rFonts w:ascii="Cambria Math" w:hAnsi="Cambria Math"/>
                  </w:rPr>
                  <m:t xml:space="preserve"> ,</m:t>
                </m:r>
              </m:oMath>
            </m:oMathPara>
          </w:p>
        </w:tc>
        <w:tc>
          <w:tcPr>
            <w:tcW w:w="436" w:type="dxa"/>
            <w:vAlign w:val="center"/>
          </w:tcPr>
          <w:p w14:paraId="50B7CC39" w14:textId="77777777" w:rsidR="00551C35" w:rsidRPr="00E83088" w:rsidRDefault="00551C35" w:rsidP="00591A21">
            <w:pPr>
              <w:pStyle w:val="CETEquation"/>
            </w:pPr>
            <w:r w:rsidRPr="00E83088">
              <w:t>(1)</w:t>
            </w:r>
          </w:p>
        </w:tc>
      </w:tr>
      <w:tr w:rsidR="00551C35" w:rsidRPr="00E83088" w14:paraId="076998E5" w14:textId="77777777" w:rsidTr="00FB5497">
        <w:tc>
          <w:tcPr>
            <w:tcW w:w="8351" w:type="dxa"/>
            <w:vAlign w:val="center"/>
          </w:tcPr>
          <w:p w14:paraId="69A697E2" w14:textId="26D9FDC0" w:rsidR="00551C35" w:rsidRPr="006F1DCE" w:rsidRDefault="00551C35" w:rsidP="00591A21">
            <w:pPr>
              <w:pStyle w:val="CETEquation"/>
            </w:pPr>
            <m:oMathPara>
              <m:oMathParaPr>
                <m:jc m:val="left"/>
              </m:oMathParaPr>
              <m:oMath>
                <m:r>
                  <w:rPr>
                    <w:rFonts w:ascii="Cambria Math" w:hAnsi="Cambria Math"/>
                  </w:rPr>
                  <m:t>C</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u</m:t>
                        </m:r>
                      </m:sub>
                    </m:sSub>
                    <m:sSub>
                      <m:sSubPr>
                        <m:ctrlPr>
                          <w:rPr>
                            <w:rFonts w:ascii="Cambria Math" w:hAnsi="Cambria Math"/>
                          </w:rPr>
                        </m:ctrlPr>
                      </m:sSubPr>
                      <m:e>
                        <m:r>
                          <w:rPr>
                            <w:rFonts w:ascii="Cambria Math" w:hAnsi="Cambria Math"/>
                          </w:rPr>
                          <m:t>ρ</m:t>
                        </m:r>
                      </m:e>
                      <m:sub>
                        <m:r>
                          <w:rPr>
                            <w:rFonts w:ascii="Cambria Math" w:hAnsi="Cambria Math"/>
                          </w:rPr>
                          <m:t>u</m:t>
                        </m:r>
                      </m:sub>
                    </m:sSub>
                    <m:r>
                      <w:rPr>
                        <w:rFonts w:ascii="Cambria Math" w:hAnsi="Cambria Math"/>
                      </w:rPr>
                      <m:t>λ</m:t>
                    </m:r>
                  </m:num>
                  <m:den>
                    <m:r>
                      <m:rPr>
                        <m:sty m:val="p"/>
                      </m:rPr>
                      <w:rPr>
                        <w:rFonts w:ascii="Cambria Math" w:hAnsi="Cambria Math"/>
                      </w:rPr>
                      <m:t>2</m:t>
                    </m:r>
                    <m:sSub>
                      <m:sSubPr>
                        <m:ctrlPr>
                          <w:rPr>
                            <w:rFonts w:ascii="Cambria Math" w:hAnsi="Cambria Math"/>
                          </w:rPr>
                        </m:ctrlPr>
                      </m:sSubPr>
                      <m:e>
                        <m:r>
                          <w:rPr>
                            <w:rFonts w:ascii="Cambria Math" w:hAnsi="Cambria Math"/>
                          </w:rPr>
                          <m:t>G</m:t>
                        </m:r>
                      </m:e>
                      <m:sub>
                        <m:r>
                          <w:rPr>
                            <w:rFonts w:ascii="Cambria Math" w:hAnsi="Cambria Math"/>
                          </w:rPr>
                          <m:t>u</m:t>
                        </m:r>
                      </m:sub>
                    </m:sSub>
                    <m:sSub>
                      <m:sSubPr>
                        <m:ctrlPr>
                          <w:rPr>
                            <w:rFonts w:ascii="Cambria Math" w:hAnsi="Cambria Math"/>
                          </w:rPr>
                        </m:ctrlPr>
                      </m:sSubPr>
                      <m:e>
                        <m:r>
                          <w:rPr>
                            <w:rFonts w:ascii="Cambria Math" w:hAnsi="Cambria Math"/>
                          </w:rPr>
                          <m:t>C</m:t>
                        </m:r>
                      </m:e>
                      <m:sub>
                        <m:r>
                          <w:rPr>
                            <w:rFonts w:ascii="Cambria Math" w:hAnsi="Cambria Math"/>
                          </w:rPr>
                          <m:t>d</m:t>
                        </m:r>
                      </m:sub>
                    </m:sSub>
                  </m:den>
                </m:f>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+1</m:t>
                                </m:r>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+1</m:t>
                                </m:r>
                              </m:den>
                            </m:f>
                          </m:e>
                        </m:d>
                      </m:e>
                      <m:sup>
                        <m:r>
                          <m:rPr>
                            <m:sty m:val="p"/>
                          </m:rPr>
                          <w:rPr>
                            <w:rFonts w:ascii="Cambria Math" w:hAnsi="Cambria Math"/>
                          </w:rPr>
                          <m:t>1/</m:t>
                        </m:r>
                        <m:sSub>
                          <m:sSubPr>
                            <m:ctrlPr>
                              <w:rPr>
                                <w:rFonts w:ascii="Cambria Math" w:hAnsi="Cambria Math"/>
                              </w:rPr>
                            </m:ctrlPr>
                          </m:sSubPr>
                          <m:e>
                            <m:r>
                              <w:rPr>
                                <w:rFonts w:ascii="Cambria Math" w:hAnsi="Cambria Math"/>
                              </w:rPr>
                              <m:t>γ</m:t>
                            </m:r>
                          </m:e>
                          <m:sub>
                            <m:r>
                              <w:rPr>
                                <w:rFonts w:ascii="Cambria Math" w:hAnsi="Cambria Math"/>
                              </w:rPr>
                              <m:t>b</m:t>
                            </m:r>
                          </m:sub>
                        </m:sSub>
                      </m:sup>
                    </m:sSup>
                    <m:r>
                      <m:rPr>
                        <m:sty m:val="p"/>
                      </m:rPr>
                      <w:rPr>
                        <w:rFonts w:ascii="Cambria Math" w:hAnsi="Cambria Math"/>
                      </w:rPr>
                      <m:t>-1</m:t>
                    </m:r>
                  </m:e>
                </m:d>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+1</m:t>
                        </m:r>
                      </m:e>
                    </m:d>
                  </m:e>
                  <m:sup>
                    <m:r>
                      <m:rPr>
                        <m:sty m:val="p"/>
                      </m:rPr>
                      <w:rPr>
                        <w:rFonts w:ascii="Cambria Math" w:hAnsi="Cambria Math"/>
                      </w:rPr>
                      <m:t>1/2</m:t>
                    </m:r>
                  </m:sup>
                </m:sSup>
                <m:r>
                  <m:rPr>
                    <m:sty m:val="p"/>
                  </m:rPr>
                  <w:rPr>
                    <w:rFonts w:ascii="Cambria Math" w:hAnsi="Cambria Math"/>
                  </w:rPr>
                  <m:t xml:space="preserve"> .</m:t>
                </m:r>
              </m:oMath>
            </m:oMathPara>
          </w:p>
        </w:tc>
        <w:tc>
          <w:tcPr>
            <w:tcW w:w="436" w:type="dxa"/>
            <w:vAlign w:val="center"/>
          </w:tcPr>
          <w:p w14:paraId="371DA5AC" w14:textId="315916CF" w:rsidR="00551C35" w:rsidRPr="00E83088" w:rsidRDefault="00551C35" w:rsidP="00591A21">
            <w:pPr>
              <w:pStyle w:val="CETEquation"/>
            </w:pPr>
            <w:r w:rsidRPr="00E83088">
              <w:t>(</w:t>
            </w:r>
            <w:r w:rsidR="00C50BE8" w:rsidRPr="00E83088">
              <w:t>2</w:t>
            </w:r>
            <w:r w:rsidRPr="00E83088">
              <w:t>)</w:t>
            </w:r>
          </w:p>
        </w:tc>
      </w:tr>
    </w:tbl>
    <w:p w14:paraId="29596D96" w14:textId="20D45B10" w:rsidR="00C50BE8" w:rsidRPr="00E83088" w:rsidRDefault="00E93E09" w:rsidP="00734CB4">
      <w:pPr>
        <w:pStyle w:val="CETBodytext"/>
      </w:pPr>
      <w:r w:rsidRPr="00E83088">
        <w:t>For strong enclosures, the following equations</w:t>
      </w:r>
      <w:r w:rsidR="006F1DCE">
        <w:t xml:space="preserve">, </w:t>
      </w:r>
      <w:proofErr w:type="gramStart"/>
      <w:r w:rsidR="006F1DCE">
        <w:t>Eq(</w:t>
      </w:r>
      <w:proofErr w:type="gramEnd"/>
      <w:r w:rsidR="006F1DCE">
        <w:t xml:space="preserve">3) and Eq(4) </w:t>
      </w:r>
      <w:r w:rsidRPr="00E83088">
        <w:t>are solved: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C50BE8" w:rsidRPr="00E83088" w14:paraId="6F6A5927" w14:textId="77777777" w:rsidTr="00FB5497">
        <w:tc>
          <w:tcPr>
            <w:tcW w:w="8351" w:type="dxa"/>
            <w:vAlign w:val="center"/>
          </w:tcPr>
          <w:p w14:paraId="531B5CDF" w14:textId="14AF7C28" w:rsidR="00C50BE8" w:rsidRPr="006F1DCE" w:rsidRDefault="00000000" w:rsidP="00591A21">
            <w:pPr>
              <w:pStyle w:val="CETEquation"/>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v</m:t>
                    </m:r>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m:t>
                    </m:r>
                  </m:sub>
                </m:sSub>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red</m:t>
                                        </m:r>
                                      </m:sub>
                                    </m:sSub>
                                    <m:r>
                                      <m:rPr>
                                        <m:sty m:val="p"/>
                                      </m:rPr>
                                      <w:rPr>
                                        <w:rFonts w:ascii="Cambria Math" w:hAnsi="Cambria Math"/>
                                      </w:rPr>
                                      <m:t>+1</m:t>
                                    </m:r>
                                  </m:num>
                                  <m:den>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+1</m:t>
                                    </m:r>
                                  </m:den>
                                </m:f>
                              </m:e>
                            </m:d>
                          </m:e>
                          <m:sup>
                            <m:sSub>
                              <m:sSubPr>
                                <m:ctrlPr>
                                  <w:rPr>
                                    <w:rFonts w:ascii="Cambria Math" w:hAnsi="Cambria Math"/>
                                  </w:rPr>
                                </m:ctrlPr>
                              </m:sSubPr>
                              <m:e>
                                <m:r>
                                  <m:rPr>
                                    <m:sty m:val="p"/>
                                  </m:rPr>
                                  <w:rPr>
                                    <w:rFonts w:ascii="Cambria Math" w:hAnsi="Cambria Math"/>
                                  </w:rPr>
                                  <m:t>1/</m:t>
                                </m:r>
                                <m:r>
                                  <w:rPr>
                                    <w:rFonts w:ascii="Cambria Math" w:hAnsi="Cambria Math"/>
                                  </w:rPr>
                                  <m:t>γ</m:t>
                                </m:r>
                              </m:e>
                              <m:sub>
                                <m:r>
                                  <w:rPr>
                                    <w:rFonts w:ascii="Cambria Math" w:hAnsi="Cambria Math"/>
                                  </w:rPr>
                                  <m:t>b</m:t>
                                </m:r>
                              </m:sub>
                            </m:sSub>
                          </m:sup>
                        </m:sSup>
                      </m:e>
                    </m:d>
                  </m:num>
                  <m:den>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red</m:t>
                                        </m:r>
                                      </m:sub>
                                    </m:sSub>
                                    <m:r>
                                      <m:rPr>
                                        <m:sty m:val="p"/>
                                      </m:rPr>
                                      <w:rPr>
                                        <w:rFonts w:ascii="Cambria Math" w:hAnsi="Cambria Math"/>
                                      </w:rPr>
                                      <m:t>+1</m:t>
                                    </m:r>
                                  </m:num>
                                  <m:den>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+1</m:t>
                                    </m:r>
                                  </m:den>
                                </m:f>
                              </m:e>
                            </m:d>
                          </m:e>
                          <m:sup>
                            <m:sSub>
                              <m:sSubPr>
                                <m:ctrlPr>
                                  <w:rPr>
                                    <w:rFonts w:ascii="Cambria Math" w:hAnsi="Cambria Math"/>
                                  </w:rPr>
                                </m:ctrlPr>
                              </m:sSubPr>
                              <m:e>
                                <m:r>
                                  <m:rPr>
                                    <m:sty m:val="p"/>
                                  </m:rPr>
                                  <w:rPr>
                                    <w:rFonts w:ascii="Cambria Math" w:hAnsi="Cambria Math"/>
                                  </w:rPr>
                                  <m:t>1/</m:t>
                                </m:r>
                                <m:r>
                                  <w:rPr>
                                    <w:rFonts w:ascii="Cambria Math" w:hAnsi="Cambria Math"/>
                                  </w:rPr>
                                  <m:t>γ</m:t>
                                </m:r>
                              </m:e>
                              <m:sub>
                                <m:r>
                                  <w:rPr>
                                    <w:rFonts w:ascii="Cambria Math" w:hAnsi="Cambria Math"/>
                                  </w:rPr>
                                  <m:t>b</m:t>
                                </m:r>
                              </m:sub>
                            </m:sSub>
                          </m:sup>
                        </m:sSup>
                        <m:r>
                          <m:rPr>
                            <m:sty m:val="p"/>
                          </m:rPr>
                          <w:rPr>
                            <w:rFonts w:ascii="Cambria Math" w:hAnsi="Cambria Math"/>
                          </w:rPr>
                          <m:t>-</m:t>
                        </m:r>
                        <m:r>
                          <w:rPr>
                            <w:rFonts w:ascii="Cambria Math" w:hAnsi="Cambria Math"/>
                          </w:rPr>
                          <m:t>δ</m:t>
                        </m:r>
                      </m:e>
                    </m:d>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u</m:t>
                        </m:r>
                      </m:sub>
                    </m:sSub>
                    <m:sSub>
                      <m:sSubPr>
                        <m:ctrlPr>
                          <w:rPr>
                            <w:rFonts w:ascii="Cambria Math" w:hAnsi="Cambria Math"/>
                          </w:rPr>
                        </m:ctrlPr>
                      </m:sSubPr>
                      <m:e>
                        <m:r>
                          <w:rPr>
                            <w:rFonts w:ascii="Cambria Math" w:hAnsi="Cambria Math"/>
                          </w:rPr>
                          <m:t>ρ</m:t>
                        </m:r>
                      </m:e>
                      <m:sub>
                        <m:r>
                          <w:rPr>
                            <w:rFonts w:ascii="Cambria Math" w:hAnsi="Cambria Math"/>
                          </w:rPr>
                          <m:t>u</m:t>
                        </m:r>
                      </m:sub>
                    </m:sSub>
                  </m:num>
                  <m:den>
                    <m:sSub>
                      <m:sSubPr>
                        <m:ctrlPr>
                          <w:rPr>
                            <w:rFonts w:ascii="Cambria Math" w:hAnsi="Cambria Math"/>
                          </w:rPr>
                        </m:ctrlPr>
                      </m:sSubPr>
                      <m:e>
                        <m:r>
                          <w:rPr>
                            <w:rFonts w:ascii="Cambria Math" w:hAnsi="Cambria Math"/>
                          </w:rPr>
                          <m:t>G</m:t>
                        </m:r>
                      </m:e>
                      <m:sub>
                        <m:r>
                          <w:rPr>
                            <w:rFonts w:ascii="Cambria Math" w:hAnsi="Cambria Math"/>
                          </w:rPr>
                          <m:t>u</m:t>
                        </m:r>
                      </m:sub>
                    </m:sSub>
                  </m:den>
                </m:f>
                <m:f>
                  <m:fPr>
                    <m:ctrlPr>
                      <w:rPr>
                        <w:rFonts w:ascii="Cambria Math" w:hAnsi="Cambria Math"/>
                      </w:rPr>
                    </m:ctrlPr>
                  </m:fPr>
                  <m:num>
                    <m:r>
                      <w:rPr>
                        <w:rFonts w:ascii="Cambria Math" w:hAnsi="Cambria Math"/>
                      </w:rPr>
                      <m:t>λ</m:t>
                    </m:r>
                  </m:num>
                  <m:den>
                    <m:sSub>
                      <m:sSubPr>
                        <m:ctrlPr>
                          <w:rPr>
                            <w:rFonts w:ascii="Cambria Math" w:hAnsi="Cambria Math"/>
                          </w:rPr>
                        </m:ctrlPr>
                      </m:sSubPr>
                      <m:e>
                        <m:r>
                          <w:rPr>
                            <w:rFonts w:ascii="Cambria Math" w:hAnsi="Cambria Math"/>
                          </w:rPr>
                          <m:t>C</m:t>
                        </m:r>
                      </m:e>
                      <m:sub>
                        <m:r>
                          <w:rPr>
                            <w:rFonts w:ascii="Cambria Math" w:hAnsi="Cambria Math"/>
                          </w:rPr>
                          <m:t>d</m:t>
                        </m:r>
                      </m:sub>
                    </m:sSub>
                  </m:den>
                </m:f>
                <m:r>
                  <m:rPr>
                    <m:sty m:val="p"/>
                  </m:rPr>
                  <w:rPr>
                    <w:rFonts w:ascii="Cambria Math" w:hAnsi="Cambria Math"/>
                  </w:rPr>
                  <m:t>,</m:t>
                </m:r>
              </m:oMath>
            </m:oMathPara>
          </w:p>
        </w:tc>
        <w:tc>
          <w:tcPr>
            <w:tcW w:w="436" w:type="dxa"/>
            <w:vAlign w:val="center"/>
          </w:tcPr>
          <w:p w14:paraId="5BC6A9BB" w14:textId="105642C0" w:rsidR="00C50BE8" w:rsidRPr="00E83088" w:rsidRDefault="00C50BE8" w:rsidP="00591A21">
            <w:pPr>
              <w:pStyle w:val="CETEquation"/>
            </w:pPr>
            <w:r w:rsidRPr="00E83088">
              <w:t>(3)</w:t>
            </w:r>
          </w:p>
        </w:tc>
      </w:tr>
      <w:tr w:rsidR="00C50BE8" w:rsidRPr="00E83088" w14:paraId="4017F6CF" w14:textId="77777777" w:rsidTr="00FB5497">
        <w:tc>
          <w:tcPr>
            <w:tcW w:w="8351" w:type="dxa"/>
            <w:vAlign w:val="center"/>
          </w:tcPr>
          <w:p w14:paraId="584B7A7E" w14:textId="2AACC52E" w:rsidR="00C50BE8" w:rsidRPr="006F1DCE" w:rsidRDefault="00C50BE8" w:rsidP="00591A21">
            <w:pPr>
              <w:pStyle w:val="CETEquation"/>
            </w:pPr>
            <m:oMathPara>
              <m:oMathParaPr>
                <m:jc m:val="left"/>
              </m:oMathParaPr>
              <m:oMath>
                <m:r>
                  <w:rPr>
                    <w:rFonts w:ascii="Cambria Math" w:hAnsi="Cambria Math"/>
                  </w:rPr>
                  <m:t>δ</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stat</m:t>
                                    </m:r>
                                  </m:sub>
                                </m:sSub>
                                <m:r>
                                  <m:rPr>
                                    <m:sty m:val="p"/>
                                  </m:rPr>
                                  <w:rPr>
                                    <w:rFonts w:ascii="Cambria Math" w:hAnsi="Cambria Math"/>
                                  </w:rPr>
                                  <m:t>+1</m:t>
                                </m:r>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+1</m:t>
                                </m:r>
                              </m:den>
                            </m:f>
                          </m:e>
                        </m:d>
                      </m:e>
                      <m:sup>
                        <m:r>
                          <m:rPr>
                            <m:sty m:val="p"/>
                          </m:rPr>
                          <w:rPr>
                            <w:rFonts w:ascii="Cambria Math" w:hAnsi="Cambria Math"/>
                          </w:rPr>
                          <m:t>1/</m:t>
                        </m:r>
                        <m:sSub>
                          <m:sSubPr>
                            <m:ctrlPr>
                              <w:rPr>
                                <w:rFonts w:ascii="Cambria Math" w:hAnsi="Cambria Math"/>
                              </w:rPr>
                            </m:ctrlPr>
                          </m:sSubPr>
                          <m:e>
                            <m:r>
                              <w:rPr>
                                <w:rFonts w:ascii="Cambria Math" w:hAnsi="Cambria Math"/>
                              </w:rPr>
                              <m:t>γ</m:t>
                            </m:r>
                          </m:e>
                          <m:sub>
                            <m:r>
                              <w:rPr>
                                <w:rFonts w:ascii="Cambria Math" w:hAnsi="Cambria Math"/>
                              </w:rPr>
                              <m:t>b</m:t>
                            </m:r>
                          </m:sub>
                        </m:sSub>
                      </m:sup>
                    </m:sSup>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+1</m:t>
                                </m:r>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+1</m:t>
                                </m:r>
                              </m:den>
                            </m:f>
                          </m:e>
                        </m:d>
                      </m:e>
                      <m:sup>
                        <m:r>
                          <m:rPr>
                            <m:sty m:val="p"/>
                          </m:rPr>
                          <w:rPr>
                            <w:rFonts w:ascii="Cambria Math" w:hAnsi="Cambria Math"/>
                          </w:rPr>
                          <m:t>1/</m:t>
                        </m:r>
                        <m:sSub>
                          <m:sSubPr>
                            <m:ctrlPr>
                              <w:rPr>
                                <w:rFonts w:ascii="Cambria Math" w:hAnsi="Cambria Math"/>
                              </w:rPr>
                            </m:ctrlPr>
                          </m:sSubPr>
                          <m:e>
                            <m:r>
                              <w:rPr>
                                <w:rFonts w:ascii="Cambria Math" w:hAnsi="Cambria Math"/>
                              </w:rPr>
                              <m:t>γ</m:t>
                            </m:r>
                          </m:e>
                          <m:sub>
                            <m:r>
                              <w:rPr>
                                <w:rFonts w:ascii="Cambria Math" w:hAnsi="Cambria Math"/>
                              </w:rPr>
                              <m:t>b</m:t>
                            </m:r>
                          </m:sub>
                        </m:sSub>
                      </m:sup>
                    </m:sSup>
                    <m:r>
                      <m:rPr>
                        <m:sty m:val="p"/>
                      </m:rPr>
                      <w:rPr>
                        <w:rFonts w:ascii="Cambria Math" w:hAnsi="Cambria Math"/>
                      </w:rPr>
                      <m:t>-1</m:t>
                    </m:r>
                  </m:den>
                </m:f>
                <m:r>
                  <m:rPr>
                    <m:sty m:val="p"/>
                  </m:rPr>
                  <w:rPr>
                    <w:rFonts w:ascii="Cambria Math" w:hAnsi="Cambria Math"/>
                  </w:rPr>
                  <m:t>.</m:t>
                </m:r>
              </m:oMath>
            </m:oMathPara>
          </w:p>
        </w:tc>
        <w:tc>
          <w:tcPr>
            <w:tcW w:w="436" w:type="dxa"/>
            <w:vAlign w:val="center"/>
          </w:tcPr>
          <w:p w14:paraId="62A71D32" w14:textId="46DC49F9" w:rsidR="00C50BE8" w:rsidRPr="00E83088" w:rsidRDefault="00C50BE8" w:rsidP="00591A21">
            <w:pPr>
              <w:pStyle w:val="CETEquation"/>
            </w:pPr>
            <w:r w:rsidRPr="00E83088">
              <w:t>(4)</w:t>
            </w:r>
          </w:p>
        </w:tc>
      </w:tr>
    </w:tbl>
    <w:p w14:paraId="0897E487" w14:textId="766285E0" w:rsidR="00820360" w:rsidRPr="00E83088" w:rsidRDefault="00FE2CB7" w:rsidP="20FD7D56">
      <w:pPr>
        <w:pStyle w:val="CETBodytext"/>
      </w:pPr>
      <w:r w:rsidRPr="00E83088">
        <w:t xml:space="preserve">Both models incorporate several key </w:t>
      </w:r>
      <w:r w:rsidR="00DD73A0">
        <w:t xml:space="preserve">mixture </w:t>
      </w:r>
      <w:r w:rsidR="00AB405B">
        <w:t>properties</w:t>
      </w:r>
      <w:r w:rsidRPr="00E83088">
        <w:t xml:space="preserve"> that influence the required vent area. Primary </w:t>
      </w:r>
      <w:r w:rsidR="00D71D96">
        <w:t>properties</w:t>
      </w:r>
      <w:r w:rsidRPr="00E83088">
        <w:t xml:space="preserve"> include the fundamental burning velocity (S</w:t>
      </w:r>
      <w:r w:rsidRPr="00E83088">
        <w:rPr>
          <w:vertAlign w:val="subscript"/>
        </w:rPr>
        <w:t>u</w:t>
      </w:r>
      <w:r w:rsidRPr="00E83088">
        <w:t>), maximum explosion pressure (P</w:t>
      </w:r>
      <w:r w:rsidRPr="00E83088">
        <w:rPr>
          <w:vertAlign w:val="subscript"/>
        </w:rPr>
        <w:t>max</w:t>
      </w:r>
      <w:r w:rsidRPr="00E83088">
        <w:t xml:space="preserve">), </w:t>
      </w:r>
      <w:r w:rsidR="07E454F5" w:rsidRPr="00E83088">
        <w:t>and geometric</w:t>
      </w:r>
      <w:r w:rsidRPr="00E83088">
        <w:t xml:space="preserve"> characteristics. Secondary parameters encompass the unburned mixture density (</w:t>
      </w:r>
      <w:proofErr w:type="spellStart"/>
      <w:r w:rsidRPr="00E83088">
        <w:t>ρ</w:t>
      </w:r>
      <w:r w:rsidRPr="00E83088">
        <w:rPr>
          <w:vertAlign w:val="subscript"/>
        </w:rPr>
        <w:t>u</w:t>
      </w:r>
      <w:proofErr w:type="spellEnd"/>
      <w:r w:rsidRPr="00E83088">
        <w:t>), sonic flow mass flux (G</w:t>
      </w:r>
      <w:r w:rsidRPr="00E83088">
        <w:rPr>
          <w:vertAlign w:val="subscript"/>
        </w:rPr>
        <w:t>u</w:t>
      </w:r>
      <w:r w:rsidRPr="00E83088">
        <w:t>), and ratio of specific heats of the burned mixture (</w:t>
      </w:r>
      <w:proofErr w:type="spellStart"/>
      <w:r w:rsidRPr="00E83088">
        <w:t>γ</w:t>
      </w:r>
      <w:r w:rsidRPr="00E83088">
        <w:rPr>
          <w:vertAlign w:val="subscript"/>
        </w:rPr>
        <w:t>b</w:t>
      </w:r>
      <w:proofErr w:type="spellEnd"/>
      <w:r w:rsidRPr="00E83088">
        <w:t xml:space="preserve">). </w:t>
      </w:r>
      <w:r w:rsidR="00C32E83">
        <w:t>T</w:t>
      </w:r>
      <w:r w:rsidR="00C50BE8" w:rsidRPr="00E83088">
        <w:t>urbulence effects are accounted for</w:t>
      </w:r>
      <w:r w:rsidR="5649722E" w:rsidRPr="00E83088">
        <w:t xml:space="preserve"> </w:t>
      </w:r>
      <w:r w:rsidR="00C50BE8" w:rsidRPr="00E83088">
        <w:t xml:space="preserve">through the </w:t>
      </w:r>
      <w:r w:rsidR="1F270A25" w:rsidRPr="00E83088">
        <w:t xml:space="preserve">turbulent </w:t>
      </w:r>
      <w:r w:rsidR="00493DAE">
        <w:t xml:space="preserve">burning </w:t>
      </w:r>
      <w:r w:rsidR="1F270A25" w:rsidRPr="00E83088">
        <w:t xml:space="preserve">velocity correction </w:t>
      </w:r>
      <w:r w:rsidR="00C50BE8" w:rsidRPr="00E83088">
        <w:t xml:space="preserve">parameter </w:t>
      </w:r>
      <m:oMath>
        <m:r>
          <w:rPr>
            <w:rFonts w:ascii="Cambria Math" w:hAnsi="Cambria Math"/>
          </w:rPr>
          <m:t>λ</m:t>
        </m:r>
      </m:oMath>
      <w:r w:rsidR="00C50BE8" w:rsidRPr="00E83088">
        <w:t xml:space="preserve">, which is a function of geometric parameters and, particularly relevant in this </w:t>
      </w:r>
      <w:r w:rsidR="00EA5A42">
        <w:t>study</w:t>
      </w:r>
      <w:r w:rsidR="00C50BE8" w:rsidRPr="00E83088">
        <w:t>, mixture properties including the unburned mixture dynamic viscosity (</w:t>
      </w:r>
      <w:proofErr w:type="spellStart"/>
      <w:r w:rsidR="00C50BE8" w:rsidRPr="00E83088">
        <w:t>μ</w:t>
      </w:r>
      <w:r w:rsidR="00C50BE8" w:rsidRPr="00E83088">
        <w:rPr>
          <w:vertAlign w:val="subscript"/>
        </w:rPr>
        <w:t>u</w:t>
      </w:r>
      <w:proofErr w:type="spellEnd"/>
      <w:r w:rsidR="00C50BE8" w:rsidRPr="00E83088">
        <w:t>)</w:t>
      </w:r>
      <w:r w:rsidR="000F20B2">
        <w:t xml:space="preserve">, </w:t>
      </w:r>
      <w:r w:rsidR="00C50BE8" w:rsidRPr="00E83088">
        <w:t>speed of sound (a</w:t>
      </w:r>
      <w:r w:rsidR="00C50BE8" w:rsidRPr="00E83088">
        <w:rPr>
          <w:vertAlign w:val="subscript"/>
        </w:rPr>
        <w:t>u</w:t>
      </w:r>
      <w:r w:rsidR="00C50BE8" w:rsidRPr="00E83088">
        <w:t>)</w:t>
      </w:r>
      <w:r w:rsidR="000F20B2">
        <w:t xml:space="preserve">, </w:t>
      </w:r>
      <w:proofErr w:type="spellStart"/>
      <w:r w:rsidR="00EA5A42" w:rsidRPr="00E83088">
        <w:t>ρ</w:t>
      </w:r>
      <w:r w:rsidR="00EA5A42" w:rsidRPr="00E83088">
        <w:rPr>
          <w:vertAlign w:val="subscript"/>
        </w:rPr>
        <w:t>u</w:t>
      </w:r>
      <w:proofErr w:type="spellEnd"/>
      <w:r w:rsidR="00EA5A42">
        <w:t xml:space="preserve">, and </w:t>
      </w:r>
      <w:r w:rsidR="000F20B2">
        <w:t>S</w:t>
      </w:r>
      <w:r w:rsidR="000F20B2" w:rsidRPr="000F20B2">
        <w:rPr>
          <w:vertAlign w:val="subscript"/>
        </w:rPr>
        <w:t>u</w:t>
      </w:r>
      <w:r w:rsidR="00C50BE8" w:rsidRPr="00E83088">
        <w:t>.</w:t>
      </w:r>
      <w:r w:rsidR="009E0EED">
        <w:t xml:space="preserve"> Further details of the complete calculation method are given in the standard.</w:t>
      </w:r>
    </w:p>
    <w:p w14:paraId="1588F05D" w14:textId="5285B2AC" w:rsidR="00734CB4" w:rsidRPr="00E83088" w:rsidRDefault="00C71441" w:rsidP="00734CB4">
      <w:pPr>
        <w:pStyle w:val="CETheadingx"/>
      </w:pPr>
      <w:r w:rsidRPr="00E83088">
        <w:t xml:space="preserve">Mixture </w:t>
      </w:r>
      <w:r w:rsidR="00F26511" w:rsidRPr="00E83088">
        <w:t>Parameter Data Sources</w:t>
      </w:r>
    </w:p>
    <w:p w14:paraId="6867C9CD" w14:textId="5566BA59" w:rsidR="003A2847" w:rsidRPr="00E83088" w:rsidRDefault="00734CB4" w:rsidP="00734CB4">
      <w:pPr>
        <w:pStyle w:val="CETBodytext"/>
      </w:pPr>
      <w:r w:rsidRPr="00E83088">
        <w:t xml:space="preserve">Available sources for </w:t>
      </w:r>
      <w:r w:rsidR="00441BEA" w:rsidRPr="00E83088">
        <w:t>fuel</w:t>
      </w:r>
      <w:r w:rsidR="00054C7C" w:rsidRPr="00E83088">
        <w:t>-air mixture</w:t>
      </w:r>
      <w:r w:rsidRPr="00E83088">
        <w:t xml:space="preserve"> property data can be categorized into three groups: codes &amp; standards </w:t>
      </w:r>
      <w:r w:rsidR="00A14F15" w:rsidRPr="00E83088">
        <w:t>[</w:t>
      </w:r>
      <w:r w:rsidRPr="00E83088">
        <w:t>e.g., NFPA 68</w:t>
      </w:r>
      <w:r w:rsidR="00A14F15" w:rsidRPr="00E83088">
        <w:t xml:space="preserve"> (2023)</w:t>
      </w:r>
      <w:r w:rsidRPr="00E83088">
        <w:t xml:space="preserve"> default values</w:t>
      </w:r>
      <w:r w:rsidR="00A14F15" w:rsidRPr="00E83088">
        <w:t>]</w:t>
      </w:r>
      <w:r w:rsidRPr="00E83088">
        <w:t>, commercial chemical property databases</w:t>
      </w:r>
      <w:r w:rsidR="00054C7C" w:rsidRPr="00E83088">
        <w:t xml:space="preserve"> and tools</w:t>
      </w:r>
      <w:r w:rsidRPr="00E83088">
        <w:t xml:space="preserve"> (e.g., DIPPR</w:t>
      </w:r>
      <w:r w:rsidR="00054C7C" w:rsidRPr="00E83088">
        <w:t xml:space="preserve">, </w:t>
      </w:r>
      <w:proofErr w:type="spellStart"/>
      <w:r w:rsidR="00054C7C" w:rsidRPr="00E83088">
        <w:t>Chemkin</w:t>
      </w:r>
      <w:proofErr w:type="spellEnd"/>
      <w:r w:rsidR="00054C7C" w:rsidRPr="00E83088">
        <w:t>-Pro</w:t>
      </w:r>
      <w:r w:rsidRPr="00E83088">
        <w:t xml:space="preserve">), and open-access </w:t>
      </w:r>
      <w:r w:rsidR="00054C7C" w:rsidRPr="00E83088">
        <w:t>tools (e.g., Cantera</w:t>
      </w:r>
      <w:r w:rsidR="009A6E70" w:rsidRPr="00E83088">
        <w:t xml:space="preserve">, </w:t>
      </w:r>
      <w:r w:rsidR="0072330C" w:rsidRPr="00E83088">
        <w:t>Gaseq, NASA CEA</w:t>
      </w:r>
      <w:r w:rsidR="00054C7C" w:rsidRPr="00E83088">
        <w:t>)</w:t>
      </w:r>
      <w:r w:rsidRPr="00E83088">
        <w:t>. Each source presents different advantages and limitations in terms of accessibility, comprehensiveness, and validation level.</w:t>
      </w:r>
      <w:r w:rsidR="0053214E" w:rsidRPr="00E83088">
        <w:t xml:space="preserve"> </w:t>
      </w:r>
      <w:r w:rsidRPr="00E83088">
        <w:t>While codes &amp; standards offer standardized values intended for conservative design, they often lack specific data for non-standard conditions or specific industrial gases. Commercial databases provide more comprehensive coverage but require investment</w:t>
      </w:r>
      <w:r w:rsidR="003A2847" w:rsidRPr="00E83088">
        <w:t>, while o</w:t>
      </w:r>
      <w:r w:rsidRPr="00E83088">
        <w:t xml:space="preserve">pen-access resources may require </w:t>
      </w:r>
      <w:r w:rsidR="003A2847" w:rsidRPr="00E83088">
        <w:t>additional</w:t>
      </w:r>
      <w:r w:rsidRPr="00E83088">
        <w:t xml:space="preserve"> validation.</w:t>
      </w:r>
      <w:r w:rsidR="003A2847" w:rsidRPr="00E83088">
        <w:t xml:space="preserve"> </w:t>
      </w:r>
    </w:p>
    <w:p w14:paraId="0494060B" w14:textId="77777777" w:rsidR="003A2847" w:rsidRPr="00E83088" w:rsidRDefault="003A2847" w:rsidP="00734CB4">
      <w:pPr>
        <w:pStyle w:val="CETBodytext"/>
      </w:pPr>
    </w:p>
    <w:p w14:paraId="5D346856" w14:textId="73E31F8E" w:rsidR="00C7687C" w:rsidRPr="00E83088" w:rsidRDefault="00054C7C" w:rsidP="00734CB4">
      <w:pPr>
        <w:pStyle w:val="CETBodytext"/>
      </w:pPr>
      <w:r w:rsidRPr="00E83088">
        <w:t>The d</w:t>
      </w:r>
      <w:r w:rsidR="00C7687C" w:rsidRPr="00E83088">
        <w:t xml:space="preserve">efault </w:t>
      </w:r>
      <w:r w:rsidRPr="00E83088">
        <w:t xml:space="preserve">parameter </w:t>
      </w:r>
      <w:r w:rsidR="00C7687C" w:rsidRPr="00E83088">
        <w:t xml:space="preserve">values provided in NFPA 68 (2023) are </w:t>
      </w:r>
      <w:r w:rsidR="003A2847" w:rsidRPr="00E83088">
        <w:t>given</w:t>
      </w:r>
      <w:r w:rsidR="00C7687C" w:rsidRPr="00E83088">
        <w:t xml:space="preserve"> in Table 1. </w:t>
      </w:r>
      <w:r w:rsidRPr="00E83088">
        <w:t xml:space="preserve">The use of default values is limited to mixtures with stoichiometric concentrations of </w:t>
      </w:r>
      <w:proofErr w:type="spellStart"/>
      <w:r w:rsidRPr="00E83088">
        <w:t>X</w:t>
      </w:r>
      <w:r w:rsidRPr="00E83088">
        <w:rPr>
          <w:vertAlign w:val="subscript"/>
        </w:rPr>
        <w:t>St</w:t>
      </w:r>
      <w:proofErr w:type="spellEnd"/>
      <w:r w:rsidRPr="00E83088">
        <w:t xml:space="preserve"> &lt; 5% (</w:t>
      </w:r>
      <w:r w:rsidR="003A2847" w:rsidRPr="00E83088">
        <w:t>except G</w:t>
      </w:r>
      <w:r w:rsidR="003A2847" w:rsidRPr="00E83088">
        <w:rPr>
          <w:vertAlign w:val="subscript"/>
        </w:rPr>
        <w:t>u</w:t>
      </w:r>
      <w:r w:rsidRPr="00E83088">
        <w:t>) and ambient initial temperature</w:t>
      </w:r>
      <w:r w:rsidR="003A2847" w:rsidRPr="00E83088">
        <w:t>.</w:t>
      </w:r>
    </w:p>
    <w:p w14:paraId="23188222" w14:textId="01F6E95F" w:rsidR="00054C7C" w:rsidRPr="00E83088" w:rsidRDefault="00054C7C" w:rsidP="00591A21">
      <w:pPr>
        <w:pStyle w:val="CETTabletitle"/>
        <w:jc w:val="center"/>
        <w:rPr>
          <w:lang w:val="en-US"/>
        </w:rPr>
      </w:pPr>
      <w:r w:rsidRPr="00E83088">
        <w:rPr>
          <w:lang w:val="en-US"/>
        </w:rPr>
        <w:t xml:space="preserve">Table </w:t>
      </w:r>
      <w:r w:rsidRPr="00E83088">
        <w:rPr>
          <w:lang w:val="en-US"/>
        </w:rPr>
        <w:fldChar w:fldCharType="begin"/>
      </w:r>
      <w:r w:rsidRPr="00E83088">
        <w:rPr>
          <w:lang w:val="en-US"/>
        </w:rPr>
        <w:instrText xml:space="preserve"> SEQ Table \* ARABIC </w:instrText>
      </w:r>
      <w:r w:rsidRPr="00E83088">
        <w:rPr>
          <w:lang w:val="en-US"/>
        </w:rPr>
        <w:fldChar w:fldCharType="separate"/>
      </w:r>
      <w:r w:rsidR="008E455C" w:rsidRPr="00E83088">
        <w:rPr>
          <w:noProof/>
          <w:lang w:val="en-US"/>
        </w:rPr>
        <w:t>1</w:t>
      </w:r>
      <w:r w:rsidRPr="00E83088">
        <w:rPr>
          <w:lang w:val="en-US"/>
        </w:rPr>
        <w:fldChar w:fldCharType="end"/>
      </w:r>
      <w:r w:rsidRPr="00E83088">
        <w:rPr>
          <w:lang w:val="en-US"/>
        </w:rPr>
        <w:t xml:space="preserve">: Default </w:t>
      </w:r>
      <w:r w:rsidR="00441BEA" w:rsidRPr="00E83088">
        <w:rPr>
          <w:lang w:val="en-US"/>
        </w:rPr>
        <w:t>fuel</w:t>
      </w:r>
      <w:r w:rsidRPr="00E83088">
        <w:rPr>
          <w:lang w:val="en-US"/>
        </w:rPr>
        <w:t>-air mixture parameters according to NFPA 68 (2023), Sec. 7.2.3.</w:t>
      </w:r>
    </w:p>
    <w:tbl>
      <w:tblPr>
        <w:tblStyle w:val="TableGrid"/>
        <w:tblW w:w="0" w:type="auto"/>
        <w:jc w:val="center"/>
        <w:tblLook w:val="04A0" w:firstRow="1" w:lastRow="0" w:firstColumn="1" w:lastColumn="0" w:noHBand="0" w:noVBand="1"/>
      </w:tblPr>
      <w:tblGrid>
        <w:gridCol w:w="2160"/>
        <w:gridCol w:w="864"/>
        <w:gridCol w:w="864"/>
        <w:gridCol w:w="864"/>
        <w:gridCol w:w="864"/>
        <w:gridCol w:w="864"/>
      </w:tblGrid>
      <w:tr w:rsidR="00E03573" w:rsidRPr="00E83088" w14:paraId="4E5926BA" w14:textId="77777777" w:rsidTr="00054C7C">
        <w:trPr>
          <w:jc w:val="center"/>
        </w:trPr>
        <w:tc>
          <w:tcPr>
            <w:tcW w:w="2160" w:type="dxa"/>
            <w:tcBorders>
              <w:left w:val="nil"/>
              <w:bottom w:val="double" w:sz="4" w:space="0" w:color="auto"/>
            </w:tcBorders>
          </w:tcPr>
          <w:p w14:paraId="4F9C77FA" w14:textId="625CACD7" w:rsidR="00E03573" w:rsidRPr="00E83088" w:rsidRDefault="00E03573" w:rsidP="00734CB4">
            <w:pPr>
              <w:pStyle w:val="CETBodytext"/>
            </w:pPr>
            <w:r w:rsidRPr="00E83088">
              <w:t>Parameter</w:t>
            </w:r>
            <w:r w:rsidR="00054C7C" w:rsidRPr="00E83088">
              <w:t>s</w:t>
            </w:r>
          </w:p>
        </w:tc>
        <w:tc>
          <w:tcPr>
            <w:tcW w:w="864" w:type="dxa"/>
            <w:tcBorders>
              <w:bottom w:val="double" w:sz="4" w:space="0" w:color="auto"/>
            </w:tcBorders>
          </w:tcPr>
          <w:p w14:paraId="1D022813" w14:textId="1B9A6085" w:rsidR="00E03573" w:rsidRPr="00E83088" w:rsidRDefault="00E03573" w:rsidP="00734CB4">
            <w:pPr>
              <w:pStyle w:val="CETBodytext"/>
            </w:pPr>
            <w:proofErr w:type="spellStart"/>
            <w:r w:rsidRPr="00E83088">
              <w:t>ρ</w:t>
            </w:r>
            <w:r w:rsidRPr="00E83088">
              <w:rPr>
                <w:vertAlign w:val="subscript"/>
              </w:rPr>
              <w:t>u</w:t>
            </w:r>
            <w:proofErr w:type="spellEnd"/>
          </w:p>
        </w:tc>
        <w:tc>
          <w:tcPr>
            <w:tcW w:w="864" w:type="dxa"/>
            <w:tcBorders>
              <w:bottom w:val="double" w:sz="4" w:space="0" w:color="auto"/>
            </w:tcBorders>
          </w:tcPr>
          <w:p w14:paraId="76C81E57" w14:textId="7E70CADD" w:rsidR="00E03573" w:rsidRPr="00E83088" w:rsidRDefault="00E03573" w:rsidP="00734CB4">
            <w:pPr>
              <w:pStyle w:val="CETBodytext"/>
            </w:pPr>
            <w:r w:rsidRPr="00E83088">
              <w:t>G</w:t>
            </w:r>
            <w:r w:rsidRPr="00E83088">
              <w:rPr>
                <w:vertAlign w:val="subscript"/>
              </w:rPr>
              <w:t>u</w:t>
            </w:r>
          </w:p>
        </w:tc>
        <w:tc>
          <w:tcPr>
            <w:tcW w:w="864" w:type="dxa"/>
            <w:tcBorders>
              <w:bottom w:val="double" w:sz="4" w:space="0" w:color="auto"/>
            </w:tcBorders>
          </w:tcPr>
          <w:p w14:paraId="7640EDB5" w14:textId="2D0D93F1" w:rsidR="00E03573" w:rsidRPr="00E83088" w:rsidRDefault="00E03573" w:rsidP="00734CB4">
            <w:pPr>
              <w:pStyle w:val="CETBodytext"/>
            </w:pPr>
            <w:proofErr w:type="spellStart"/>
            <w:r w:rsidRPr="00E83088">
              <w:t>γ</w:t>
            </w:r>
            <w:r w:rsidRPr="00E83088">
              <w:rPr>
                <w:vertAlign w:val="subscript"/>
              </w:rPr>
              <w:t>b</w:t>
            </w:r>
            <w:proofErr w:type="spellEnd"/>
          </w:p>
        </w:tc>
        <w:tc>
          <w:tcPr>
            <w:tcW w:w="864" w:type="dxa"/>
            <w:tcBorders>
              <w:bottom w:val="double" w:sz="4" w:space="0" w:color="auto"/>
            </w:tcBorders>
          </w:tcPr>
          <w:p w14:paraId="33EC2D91" w14:textId="2A22ABF4" w:rsidR="00E03573" w:rsidRPr="00E83088" w:rsidRDefault="00E03573" w:rsidP="00734CB4">
            <w:pPr>
              <w:pStyle w:val="CETBodytext"/>
            </w:pPr>
            <w:proofErr w:type="spellStart"/>
            <w:r w:rsidRPr="00E83088">
              <w:t>μ</w:t>
            </w:r>
            <w:r w:rsidRPr="00E83088">
              <w:rPr>
                <w:vertAlign w:val="subscript"/>
              </w:rPr>
              <w:t>u</w:t>
            </w:r>
            <w:proofErr w:type="spellEnd"/>
          </w:p>
        </w:tc>
        <w:tc>
          <w:tcPr>
            <w:tcW w:w="864" w:type="dxa"/>
            <w:tcBorders>
              <w:bottom w:val="double" w:sz="4" w:space="0" w:color="auto"/>
              <w:right w:val="nil"/>
            </w:tcBorders>
          </w:tcPr>
          <w:p w14:paraId="069CF469" w14:textId="5E221932" w:rsidR="00E03573" w:rsidRPr="00E83088" w:rsidRDefault="00E03573" w:rsidP="00734CB4">
            <w:pPr>
              <w:pStyle w:val="CETBodytext"/>
            </w:pPr>
            <w:r w:rsidRPr="00E83088">
              <w:t>a</w:t>
            </w:r>
            <w:r w:rsidRPr="00E83088">
              <w:rPr>
                <w:vertAlign w:val="subscript"/>
              </w:rPr>
              <w:t>u</w:t>
            </w:r>
          </w:p>
        </w:tc>
      </w:tr>
      <w:tr w:rsidR="00E03573" w:rsidRPr="00E83088" w14:paraId="0209D562" w14:textId="77777777" w:rsidTr="00054C7C">
        <w:trPr>
          <w:jc w:val="center"/>
        </w:trPr>
        <w:tc>
          <w:tcPr>
            <w:tcW w:w="2160" w:type="dxa"/>
            <w:tcBorders>
              <w:top w:val="double" w:sz="4" w:space="0" w:color="auto"/>
              <w:left w:val="nil"/>
            </w:tcBorders>
          </w:tcPr>
          <w:p w14:paraId="760C3FFE" w14:textId="064EE9A0" w:rsidR="00E03573" w:rsidRPr="00E83088" w:rsidRDefault="00E03573" w:rsidP="00734CB4">
            <w:pPr>
              <w:pStyle w:val="CETBodytext"/>
            </w:pPr>
            <w:r w:rsidRPr="00E83088">
              <w:t>Units</w:t>
            </w:r>
          </w:p>
        </w:tc>
        <w:tc>
          <w:tcPr>
            <w:tcW w:w="864" w:type="dxa"/>
            <w:tcBorders>
              <w:top w:val="double" w:sz="4" w:space="0" w:color="auto"/>
            </w:tcBorders>
          </w:tcPr>
          <w:p w14:paraId="6BDDCED5" w14:textId="11E57188" w:rsidR="00E03573" w:rsidRPr="00E83088" w:rsidRDefault="00E03573" w:rsidP="00734CB4">
            <w:pPr>
              <w:pStyle w:val="CETBodytext"/>
            </w:pPr>
            <w:r w:rsidRPr="00E83088">
              <w:t>kg/m</w:t>
            </w:r>
            <w:r w:rsidRPr="00E83088">
              <w:rPr>
                <w:vertAlign w:val="superscript"/>
              </w:rPr>
              <w:t>3</w:t>
            </w:r>
          </w:p>
        </w:tc>
        <w:tc>
          <w:tcPr>
            <w:tcW w:w="864" w:type="dxa"/>
            <w:tcBorders>
              <w:top w:val="double" w:sz="4" w:space="0" w:color="auto"/>
            </w:tcBorders>
          </w:tcPr>
          <w:p w14:paraId="3754C088" w14:textId="26AA60AD" w:rsidR="00E03573" w:rsidRPr="00E83088" w:rsidRDefault="00E03573" w:rsidP="00734CB4">
            <w:pPr>
              <w:pStyle w:val="CETBodytext"/>
            </w:pPr>
            <w:r w:rsidRPr="00E83088">
              <w:t>kg/m</w:t>
            </w:r>
            <w:r w:rsidRPr="00E83088">
              <w:rPr>
                <w:vertAlign w:val="superscript"/>
              </w:rPr>
              <w:t>2</w:t>
            </w:r>
            <w:r w:rsidRPr="00E83088">
              <w:t>-s</w:t>
            </w:r>
          </w:p>
        </w:tc>
        <w:tc>
          <w:tcPr>
            <w:tcW w:w="864" w:type="dxa"/>
            <w:tcBorders>
              <w:top w:val="double" w:sz="4" w:space="0" w:color="auto"/>
            </w:tcBorders>
          </w:tcPr>
          <w:p w14:paraId="496B04B0" w14:textId="714B8A23" w:rsidR="00E03573" w:rsidRPr="00E83088" w:rsidRDefault="00E03573" w:rsidP="00734CB4">
            <w:pPr>
              <w:pStyle w:val="CETBodytext"/>
            </w:pPr>
            <w:r w:rsidRPr="00E83088">
              <w:t>-</w:t>
            </w:r>
          </w:p>
        </w:tc>
        <w:tc>
          <w:tcPr>
            <w:tcW w:w="864" w:type="dxa"/>
            <w:tcBorders>
              <w:top w:val="double" w:sz="4" w:space="0" w:color="auto"/>
            </w:tcBorders>
          </w:tcPr>
          <w:p w14:paraId="299FA144" w14:textId="69207C28" w:rsidR="00E03573" w:rsidRPr="00E83088" w:rsidRDefault="00E03573" w:rsidP="00734CB4">
            <w:pPr>
              <w:pStyle w:val="CETBodytext"/>
            </w:pPr>
            <w:r w:rsidRPr="00E83088">
              <w:t>kg/m</w:t>
            </w:r>
            <w:r w:rsidRPr="00E83088">
              <w:rPr>
                <w:rFonts w:cs="Arial"/>
              </w:rPr>
              <w:t>-</w:t>
            </w:r>
            <w:r w:rsidRPr="00E83088">
              <w:t>s</w:t>
            </w:r>
          </w:p>
        </w:tc>
        <w:tc>
          <w:tcPr>
            <w:tcW w:w="864" w:type="dxa"/>
            <w:tcBorders>
              <w:top w:val="double" w:sz="4" w:space="0" w:color="auto"/>
              <w:right w:val="nil"/>
            </w:tcBorders>
          </w:tcPr>
          <w:p w14:paraId="6BFA728F" w14:textId="61607FBA" w:rsidR="00E03573" w:rsidRPr="00E83088" w:rsidRDefault="00E03573" w:rsidP="00734CB4">
            <w:pPr>
              <w:pStyle w:val="CETBodytext"/>
            </w:pPr>
            <w:r w:rsidRPr="00E83088">
              <w:t>m/s</w:t>
            </w:r>
          </w:p>
        </w:tc>
      </w:tr>
      <w:tr w:rsidR="00E03573" w:rsidRPr="00E83088" w14:paraId="36F8D802" w14:textId="77777777" w:rsidTr="00054C7C">
        <w:trPr>
          <w:jc w:val="center"/>
        </w:trPr>
        <w:tc>
          <w:tcPr>
            <w:tcW w:w="2160" w:type="dxa"/>
            <w:tcBorders>
              <w:left w:val="nil"/>
              <w:bottom w:val="single" w:sz="4" w:space="0" w:color="auto"/>
            </w:tcBorders>
          </w:tcPr>
          <w:p w14:paraId="43368825" w14:textId="185FAE3E" w:rsidR="00E03573" w:rsidRPr="00E83088" w:rsidRDefault="00E03573" w:rsidP="00734CB4">
            <w:pPr>
              <w:pStyle w:val="CETBodytext"/>
            </w:pPr>
            <w:r w:rsidRPr="00E83088">
              <w:t>Default value</w:t>
            </w:r>
            <w:r w:rsidR="00054C7C" w:rsidRPr="00E83088">
              <w:t>s</w:t>
            </w:r>
          </w:p>
        </w:tc>
        <w:tc>
          <w:tcPr>
            <w:tcW w:w="864" w:type="dxa"/>
            <w:tcBorders>
              <w:bottom w:val="single" w:sz="4" w:space="0" w:color="auto"/>
            </w:tcBorders>
          </w:tcPr>
          <w:p w14:paraId="600F6CDC" w14:textId="05C98032" w:rsidR="00E03573" w:rsidRPr="00E83088" w:rsidRDefault="00E03573" w:rsidP="00734CB4">
            <w:pPr>
              <w:pStyle w:val="CETBodytext"/>
            </w:pPr>
            <w:r w:rsidRPr="00E83088">
              <w:t>1.2</w:t>
            </w:r>
          </w:p>
        </w:tc>
        <w:tc>
          <w:tcPr>
            <w:tcW w:w="864" w:type="dxa"/>
            <w:tcBorders>
              <w:bottom w:val="single" w:sz="4" w:space="0" w:color="auto"/>
            </w:tcBorders>
          </w:tcPr>
          <w:p w14:paraId="4AD01BFF" w14:textId="4FCDA756" w:rsidR="00E03573" w:rsidRPr="00E83088" w:rsidRDefault="00E03573" w:rsidP="00734CB4">
            <w:pPr>
              <w:pStyle w:val="CETBodytext"/>
            </w:pPr>
            <w:r w:rsidRPr="00E83088">
              <w:t>230.1</w:t>
            </w:r>
          </w:p>
        </w:tc>
        <w:tc>
          <w:tcPr>
            <w:tcW w:w="864" w:type="dxa"/>
            <w:tcBorders>
              <w:bottom w:val="single" w:sz="4" w:space="0" w:color="auto"/>
            </w:tcBorders>
          </w:tcPr>
          <w:p w14:paraId="2CCEEAF1" w14:textId="07A64B97" w:rsidR="00E03573" w:rsidRPr="00E83088" w:rsidRDefault="00E03573" w:rsidP="00734CB4">
            <w:pPr>
              <w:pStyle w:val="CETBodytext"/>
            </w:pPr>
            <w:r w:rsidRPr="00E83088">
              <w:t>1.15</w:t>
            </w:r>
          </w:p>
        </w:tc>
        <w:tc>
          <w:tcPr>
            <w:tcW w:w="864" w:type="dxa"/>
            <w:tcBorders>
              <w:bottom w:val="single" w:sz="4" w:space="0" w:color="auto"/>
            </w:tcBorders>
          </w:tcPr>
          <w:p w14:paraId="1917E935" w14:textId="0EEDEC6D" w:rsidR="00E03573" w:rsidRPr="00E83088" w:rsidRDefault="00E03573" w:rsidP="00734CB4">
            <w:pPr>
              <w:pStyle w:val="CETBodytext"/>
            </w:pPr>
            <w:r w:rsidRPr="00E83088">
              <w:t>1.8e-5</w:t>
            </w:r>
          </w:p>
        </w:tc>
        <w:tc>
          <w:tcPr>
            <w:tcW w:w="864" w:type="dxa"/>
            <w:tcBorders>
              <w:bottom w:val="single" w:sz="4" w:space="0" w:color="auto"/>
              <w:right w:val="nil"/>
            </w:tcBorders>
          </w:tcPr>
          <w:p w14:paraId="455A5EEF" w14:textId="31658FCE" w:rsidR="00E03573" w:rsidRPr="00E83088" w:rsidRDefault="00E03573" w:rsidP="00734CB4">
            <w:pPr>
              <w:pStyle w:val="CETBodytext"/>
            </w:pPr>
            <w:r w:rsidRPr="00E83088">
              <w:t>343</w:t>
            </w:r>
          </w:p>
        </w:tc>
      </w:tr>
      <w:tr w:rsidR="00054C7C" w:rsidRPr="00E83088" w14:paraId="63AE4544" w14:textId="77777777" w:rsidTr="00054C7C">
        <w:trPr>
          <w:jc w:val="center"/>
        </w:trPr>
        <w:tc>
          <w:tcPr>
            <w:tcW w:w="6480" w:type="dxa"/>
            <w:gridSpan w:val="6"/>
            <w:tcBorders>
              <w:left w:val="nil"/>
              <w:bottom w:val="double" w:sz="4" w:space="0" w:color="auto"/>
              <w:right w:val="nil"/>
            </w:tcBorders>
          </w:tcPr>
          <w:p w14:paraId="708CC6A9" w14:textId="48042718" w:rsidR="00054C7C" w:rsidRPr="00E83088" w:rsidRDefault="00054C7C" w:rsidP="00734CB4">
            <w:pPr>
              <w:pStyle w:val="CETBodytext"/>
            </w:pPr>
            <w:r w:rsidRPr="00E83088">
              <w:t>Limits of applicability</w:t>
            </w:r>
          </w:p>
        </w:tc>
      </w:tr>
      <w:tr w:rsidR="00E03573" w:rsidRPr="00E83088" w14:paraId="432E5340" w14:textId="77777777" w:rsidTr="00054C7C">
        <w:trPr>
          <w:jc w:val="center"/>
        </w:trPr>
        <w:tc>
          <w:tcPr>
            <w:tcW w:w="2160" w:type="dxa"/>
            <w:tcBorders>
              <w:top w:val="double" w:sz="4" w:space="0" w:color="auto"/>
              <w:left w:val="nil"/>
            </w:tcBorders>
          </w:tcPr>
          <w:p w14:paraId="7B6D3901" w14:textId="2FB885BA" w:rsidR="00E03573" w:rsidRPr="00E83088" w:rsidRDefault="00E03573" w:rsidP="00734CB4">
            <w:pPr>
              <w:pStyle w:val="CETBodytext"/>
            </w:pPr>
            <w:proofErr w:type="spellStart"/>
            <w:r w:rsidRPr="00E83088">
              <w:t>X</w:t>
            </w:r>
            <w:r w:rsidRPr="00E83088">
              <w:rPr>
                <w:vertAlign w:val="subscript"/>
              </w:rPr>
              <w:t>St</w:t>
            </w:r>
            <w:proofErr w:type="spellEnd"/>
          </w:p>
        </w:tc>
        <w:tc>
          <w:tcPr>
            <w:tcW w:w="864" w:type="dxa"/>
            <w:tcBorders>
              <w:top w:val="double" w:sz="4" w:space="0" w:color="auto"/>
            </w:tcBorders>
          </w:tcPr>
          <w:p w14:paraId="2830E0AA" w14:textId="728AEF25" w:rsidR="00E03573" w:rsidRPr="00E83088" w:rsidRDefault="00E03573" w:rsidP="00734CB4">
            <w:pPr>
              <w:pStyle w:val="CETBodytext"/>
            </w:pPr>
            <w:r w:rsidRPr="00E83088">
              <w:t>&lt; 5%</w:t>
            </w:r>
          </w:p>
        </w:tc>
        <w:tc>
          <w:tcPr>
            <w:tcW w:w="864" w:type="dxa"/>
            <w:tcBorders>
              <w:top w:val="double" w:sz="4" w:space="0" w:color="auto"/>
            </w:tcBorders>
          </w:tcPr>
          <w:p w14:paraId="762792A0" w14:textId="433D4397" w:rsidR="00E03573" w:rsidRPr="00E83088" w:rsidRDefault="00E03573" w:rsidP="00734CB4">
            <w:pPr>
              <w:pStyle w:val="CETBodytext"/>
            </w:pPr>
            <w:r w:rsidRPr="00E83088">
              <w:t>N/A</w:t>
            </w:r>
          </w:p>
        </w:tc>
        <w:tc>
          <w:tcPr>
            <w:tcW w:w="864" w:type="dxa"/>
            <w:tcBorders>
              <w:top w:val="double" w:sz="4" w:space="0" w:color="auto"/>
            </w:tcBorders>
          </w:tcPr>
          <w:p w14:paraId="6730FF28" w14:textId="7C17B367" w:rsidR="00E03573" w:rsidRPr="00E83088" w:rsidRDefault="00E03573" w:rsidP="00734CB4">
            <w:pPr>
              <w:pStyle w:val="CETBodytext"/>
            </w:pPr>
            <w:r w:rsidRPr="00E83088">
              <w:t>&lt; 5%</w:t>
            </w:r>
          </w:p>
        </w:tc>
        <w:tc>
          <w:tcPr>
            <w:tcW w:w="864" w:type="dxa"/>
            <w:tcBorders>
              <w:top w:val="double" w:sz="4" w:space="0" w:color="auto"/>
            </w:tcBorders>
          </w:tcPr>
          <w:p w14:paraId="5DB9851C" w14:textId="2E9CCD81" w:rsidR="00E03573" w:rsidRPr="00E83088" w:rsidRDefault="00E03573" w:rsidP="00734CB4">
            <w:pPr>
              <w:pStyle w:val="CETBodytext"/>
            </w:pPr>
            <w:r w:rsidRPr="00E83088">
              <w:t>&lt; 5%</w:t>
            </w:r>
          </w:p>
        </w:tc>
        <w:tc>
          <w:tcPr>
            <w:tcW w:w="864" w:type="dxa"/>
            <w:tcBorders>
              <w:top w:val="double" w:sz="4" w:space="0" w:color="auto"/>
              <w:right w:val="nil"/>
            </w:tcBorders>
          </w:tcPr>
          <w:p w14:paraId="31346C5F" w14:textId="127C19DC" w:rsidR="00E03573" w:rsidRPr="00E83088" w:rsidRDefault="00E03573" w:rsidP="00734CB4">
            <w:pPr>
              <w:pStyle w:val="CETBodytext"/>
            </w:pPr>
            <w:r w:rsidRPr="00E83088">
              <w:t>&lt; 5%</w:t>
            </w:r>
          </w:p>
        </w:tc>
      </w:tr>
      <w:tr w:rsidR="00E03573" w:rsidRPr="00E83088" w14:paraId="2E78D63F" w14:textId="77777777" w:rsidTr="00054C7C">
        <w:trPr>
          <w:jc w:val="center"/>
        </w:trPr>
        <w:tc>
          <w:tcPr>
            <w:tcW w:w="2160" w:type="dxa"/>
            <w:tcBorders>
              <w:left w:val="nil"/>
            </w:tcBorders>
          </w:tcPr>
          <w:p w14:paraId="43E2CFDE" w14:textId="6D394050" w:rsidR="00E03573" w:rsidRPr="00E83088" w:rsidRDefault="00E03573" w:rsidP="00734CB4">
            <w:pPr>
              <w:pStyle w:val="CETBodytext"/>
            </w:pPr>
            <w:r w:rsidRPr="00E83088">
              <w:t>T</w:t>
            </w:r>
            <w:r w:rsidRPr="00E83088">
              <w:rPr>
                <w:vertAlign w:val="subscript"/>
              </w:rPr>
              <w:t>0</w:t>
            </w:r>
          </w:p>
        </w:tc>
        <w:tc>
          <w:tcPr>
            <w:tcW w:w="864" w:type="dxa"/>
          </w:tcPr>
          <w:p w14:paraId="6F4D4499" w14:textId="0C811FCF" w:rsidR="00E03573" w:rsidRPr="00E83088" w:rsidRDefault="00E03573" w:rsidP="00734CB4">
            <w:pPr>
              <w:pStyle w:val="CETBodytext"/>
            </w:pPr>
            <w:r w:rsidRPr="00E83088">
              <w:t>ambient</w:t>
            </w:r>
          </w:p>
        </w:tc>
        <w:tc>
          <w:tcPr>
            <w:tcW w:w="864" w:type="dxa"/>
          </w:tcPr>
          <w:p w14:paraId="024D9055" w14:textId="7624FADC" w:rsidR="00E03573" w:rsidRPr="00E83088" w:rsidRDefault="00E03573" w:rsidP="00734CB4">
            <w:pPr>
              <w:pStyle w:val="CETBodytext"/>
            </w:pPr>
            <w:r w:rsidRPr="00E83088">
              <w:t>ambient</w:t>
            </w:r>
          </w:p>
        </w:tc>
        <w:tc>
          <w:tcPr>
            <w:tcW w:w="864" w:type="dxa"/>
          </w:tcPr>
          <w:p w14:paraId="74A6ABD2" w14:textId="1E6EE6AB" w:rsidR="00E03573" w:rsidRPr="00E83088" w:rsidRDefault="00E03573" w:rsidP="00734CB4">
            <w:pPr>
              <w:pStyle w:val="CETBodytext"/>
            </w:pPr>
            <w:r w:rsidRPr="00E83088">
              <w:t>ambient</w:t>
            </w:r>
          </w:p>
        </w:tc>
        <w:tc>
          <w:tcPr>
            <w:tcW w:w="864" w:type="dxa"/>
          </w:tcPr>
          <w:p w14:paraId="391A982B" w14:textId="7DE55B97" w:rsidR="00E03573" w:rsidRPr="00E83088" w:rsidRDefault="00E03573" w:rsidP="00734CB4">
            <w:pPr>
              <w:pStyle w:val="CETBodytext"/>
            </w:pPr>
            <w:r w:rsidRPr="00E83088">
              <w:t>ambient</w:t>
            </w:r>
          </w:p>
        </w:tc>
        <w:tc>
          <w:tcPr>
            <w:tcW w:w="864" w:type="dxa"/>
            <w:tcBorders>
              <w:right w:val="nil"/>
            </w:tcBorders>
          </w:tcPr>
          <w:p w14:paraId="4C4C8435" w14:textId="1CB341F7" w:rsidR="00E03573" w:rsidRPr="00E83088" w:rsidRDefault="00E03573" w:rsidP="00734CB4">
            <w:pPr>
              <w:pStyle w:val="CETBodytext"/>
            </w:pPr>
            <w:r w:rsidRPr="00E83088">
              <w:t>ambient</w:t>
            </w:r>
          </w:p>
        </w:tc>
      </w:tr>
    </w:tbl>
    <w:p w14:paraId="3AEA9BBB" w14:textId="7D930B07" w:rsidR="005349ED" w:rsidRPr="00E83088" w:rsidRDefault="002C55BA" w:rsidP="005349ED">
      <w:pPr>
        <w:pStyle w:val="CETHeading1"/>
      </w:pPr>
      <w:r w:rsidRPr="00E83088">
        <w:lastRenderedPageBreak/>
        <w:t xml:space="preserve">Model Implementation and </w:t>
      </w:r>
      <w:r w:rsidR="001102C7" w:rsidRPr="00E83088">
        <w:t>Methodology for Determining Mixture Parameters</w:t>
      </w:r>
    </w:p>
    <w:p w14:paraId="74BEB502" w14:textId="04FE6FBD" w:rsidR="00A37581" w:rsidRPr="00E83088" w:rsidRDefault="009178BB" w:rsidP="005349ED">
      <w:pPr>
        <w:pStyle w:val="CETBodytext"/>
      </w:pPr>
      <w:r w:rsidRPr="00E83088">
        <w:t xml:space="preserve">Within this work, Cantera </w:t>
      </w:r>
      <w:r w:rsidR="00A14F15" w:rsidRPr="00E83088">
        <w:t>(Goodwin et al., 2023)</w:t>
      </w:r>
      <w:r w:rsidRPr="00E83088">
        <w:t xml:space="preserve"> was used uniformly to determine mixture properties</w:t>
      </w:r>
      <w:r w:rsidR="002772D2" w:rsidRPr="00E83088">
        <w:t xml:space="preserve">, incorporating thermochemical data </w:t>
      </w:r>
      <w:r w:rsidR="00576374" w:rsidRPr="00E83088">
        <w:t xml:space="preserve">as </w:t>
      </w:r>
      <w:r w:rsidR="0087148A" w:rsidRPr="00E83088">
        <w:t>described</w:t>
      </w:r>
      <w:r w:rsidR="00576374" w:rsidRPr="00E83088">
        <w:t xml:space="preserve"> in</w:t>
      </w:r>
      <w:r w:rsidR="002772D2" w:rsidRPr="00E83088">
        <w:t xml:space="preserve"> </w:t>
      </w:r>
      <w:r w:rsidR="00A14F15" w:rsidRPr="00E83088">
        <w:t xml:space="preserve">(Blanquart et al., </w:t>
      </w:r>
      <w:r w:rsidR="001B08CB" w:rsidRPr="00E83088">
        <w:t>2009</w:t>
      </w:r>
      <w:r w:rsidR="00A14F15" w:rsidRPr="00E83088">
        <w:t xml:space="preserve">) </w:t>
      </w:r>
      <w:r w:rsidR="00B6274F" w:rsidRPr="00E83088">
        <w:t>and references ther</w:t>
      </w:r>
      <w:r w:rsidR="00215C60" w:rsidRPr="00E83088">
        <w:t>e</w:t>
      </w:r>
      <w:r w:rsidR="00B6274F" w:rsidRPr="00E83088">
        <w:t>in</w:t>
      </w:r>
      <w:r w:rsidR="002772D2" w:rsidRPr="00E83088">
        <w:t>.</w:t>
      </w:r>
      <w:r w:rsidR="00546C6C" w:rsidRPr="00E83088">
        <w:t xml:space="preserve"> </w:t>
      </w:r>
      <w:r w:rsidR="001132F8" w:rsidRPr="00E83088">
        <w:t>U</w:t>
      </w:r>
      <w:r w:rsidR="00546C6C" w:rsidRPr="00E83088">
        <w:t>nburned mixture</w:t>
      </w:r>
      <w:r w:rsidR="001132F8" w:rsidRPr="00E83088">
        <w:t>s</w:t>
      </w:r>
      <w:r w:rsidR="00546C6C" w:rsidRPr="00E83088">
        <w:t xml:space="preserve"> </w:t>
      </w:r>
      <w:r w:rsidR="001132F8" w:rsidRPr="00E83088">
        <w:t>were</w:t>
      </w:r>
      <w:r w:rsidR="00546C6C" w:rsidRPr="00E83088">
        <w:t xml:space="preserve"> defined according to the</w:t>
      </w:r>
      <w:r w:rsidR="001132F8" w:rsidRPr="00E83088">
        <w:t>ir</w:t>
      </w:r>
      <w:r w:rsidR="00546C6C" w:rsidRPr="00E83088">
        <w:t xml:space="preserve"> specific molar gas composition</w:t>
      </w:r>
      <w:r w:rsidR="001132F8" w:rsidRPr="00E83088">
        <w:t>s</w:t>
      </w:r>
      <w:r w:rsidR="00546C6C" w:rsidRPr="00E83088">
        <w:t>, unburned mixture properties</w:t>
      </w:r>
      <w:r w:rsidR="001132F8" w:rsidRPr="00E83088">
        <w:t xml:space="preserve"> (</w:t>
      </w:r>
      <w:proofErr w:type="spellStart"/>
      <w:r w:rsidR="001132F8" w:rsidRPr="00E83088">
        <w:t>ρ</w:t>
      </w:r>
      <w:r w:rsidR="001132F8" w:rsidRPr="00E83088">
        <w:rPr>
          <w:vertAlign w:val="subscript"/>
        </w:rPr>
        <w:t>u</w:t>
      </w:r>
      <w:proofErr w:type="spellEnd"/>
      <w:r w:rsidR="001132F8" w:rsidRPr="00E83088">
        <w:t>, G</w:t>
      </w:r>
      <w:r w:rsidR="001132F8" w:rsidRPr="00E83088">
        <w:rPr>
          <w:vertAlign w:val="subscript"/>
        </w:rPr>
        <w:t>u</w:t>
      </w:r>
      <w:r w:rsidR="001132F8" w:rsidRPr="00E83088">
        <w:t xml:space="preserve">, </w:t>
      </w:r>
      <w:proofErr w:type="spellStart"/>
      <w:r w:rsidR="001132F8" w:rsidRPr="00E83088">
        <w:t>μ</w:t>
      </w:r>
      <w:r w:rsidR="001132F8" w:rsidRPr="00E83088">
        <w:rPr>
          <w:vertAlign w:val="subscript"/>
        </w:rPr>
        <w:t>u</w:t>
      </w:r>
      <w:proofErr w:type="spellEnd"/>
      <w:r w:rsidR="001132F8" w:rsidRPr="00E83088">
        <w:t>, a</w:t>
      </w:r>
      <w:r w:rsidR="001132F8" w:rsidRPr="00E83088">
        <w:rPr>
          <w:vertAlign w:val="subscript"/>
        </w:rPr>
        <w:t>u</w:t>
      </w:r>
      <w:r w:rsidR="001132F8" w:rsidRPr="00E83088">
        <w:t>)</w:t>
      </w:r>
      <w:r w:rsidR="00546C6C" w:rsidRPr="00E83088">
        <w:t xml:space="preserve"> were </w:t>
      </w:r>
      <w:r w:rsidR="001132F8" w:rsidRPr="00E83088">
        <w:t>computed</w:t>
      </w:r>
      <w:r w:rsidR="00546C6C" w:rsidRPr="00E83088">
        <w:t>, followed by calculation</w:t>
      </w:r>
      <w:r w:rsidR="001132F8" w:rsidRPr="00E83088">
        <w:t>s</w:t>
      </w:r>
      <w:r w:rsidR="00546C6C" w:rsidRPr="00E83088">
        <w:t xml:space="preserve"> of burned mixture propert</w:t>
      </w:r>
      <w:r w:rsidR="001132F8" w:rsidRPr="00E83088">
        <w:t xml:space="preserve">y </w:t>
      </w:r>
      <w:proofErr w:type="spellStart"/>
      <w:r w:rsidR="001132F8" w:rsidRPr="00E83088">
        <w:t>γ</w:t>
      </w:r>
      <w:r w:rsidR="001132F8" w:rsidRPr="00E83088">
        <w:rPr>
          <w:vertAlign w:val="subscript"/>
        </w:rPr>
        <w:t>b</w:t>
      </w:r>
      <w:proofErr w:type="spellEnd"/>
      <w:r w:rsidR="00546C6C" w:rsidRPr="00E83088">
        <w:t xml:space="preserve"> using the results of a</w:t>
      </w:r>
      <w:r w:rsidR="00941BE4">
        <w:t>n adiabatic</w:t>
      </w:r>
      <w:r w:rsidR="00546C6C" w:rsidRPr="00E83088">
        <w:t xml:space="preserve"> chemical equilibrium calculation at constant pressure, approximating </w:t>
      </w:r>
      <w:r w:rsidR="000B1598">
        <w:t xml:space="preserve">most common </w:t>
      </w:r>
      <w:r w:rsidR="00546C6C" w:rsidRPr="00E83088">
        <w:t>vented deflagration pressures.</w:t>
      </w:r>
      <w:r w:rsidR="003A2847" w:rsidRPr="00E83088">
        <w:t xml:space="preserve"> </w:t>
      </w:r>
      <w:r w:rsidR="00546C6C" w:rsidRPr="00E83088">
        <w:t>The sonic flow mass flux</w:t>
      </w:r>
      <w:r w:rsidR="00A37581" w:rsidRPr="00E83088">
        <w:t xml:space="preserve"> G</w:t>
      </w:r>
      <w:r w:rsidR="00A37581" w:rsidRPr="00E83088">
        <w:rPr>
          <w:vertAlign w:val="subscript"/>
        </w:rPr>
        <w:t>u</w:t>
      </w:r>
      <w:r w:rsidR="00546C6C" w:rsidRPr="00E83088">
        <w:t xml:space="preserve"> was determined </w:t>
      </w:r>
      <w:r w:rsidR="00496BF0">
        <w:t xml:space="preserve">using </w:t>
      </w:r>
      <w:proofErr w:type="gramStart"/>
      <w:r w:rsidR="00496BF0">
        <w:t>Eq(</w:t>
      </w:r>
      <w:proofErr w:type="gramEnd"/>
      <w:r w:rsidR="00496BF0">
        <w:t xml:space="preserve">5) </w:t>
      </w:r>
      <w:r w:rsidR="00546C6C" w:rsidRPr="00E83088">
        <w:t>for ideal compressible gas at unity Mach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A37581" w:rsidRPr="00E83088" w14:paraId="43CB5124" w14:textId="77777777" w:rsidTr="00EF2D14">
        <w:tc>
          <w:tcPr>
            <w:tcW w:w="8351" w:type="dxa"/>
            <w:vAlign w:val="center"/>
          </w:tcPr>
          <w:p w14:paraId="370705C0" w14:textId="7E743944" w:rsidR="00A37581" w:rsidRPr="00496BF0" w:rsidRDefault="00000000" w:rsidP="00591A21">
            <w:pPr>
              <w:pStyle w:val="CETEquation"/>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u</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m:t>
                        </m:r>
                      </m:sub>
                    </m:sSub>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T</m:t>
                            </m:r>
                          </m:e>
                          <m:sub>
                            <m:r>
                              <w:rPr>
                                <w:rFonts w:ascii="Cambria Math" w:hAnsi="Cambria Math"/>
                              </w:rPr>
                              <m:t>t</m:t>
                            </m:r>
                          </m:sub>
                        </m:sSub>
                      </m:e>
                    </m:rad>
                  </m:den>
                </m:f>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u</m:t>
                            </m:r>
                          </m:sub>
                        </m:sSub>
                        <m:sSub>
                          <m:sSubPr>
                            <m:ctrlPr>
                              <w:rPr>
                                <w:rFonts w:ascii="Cambria Math" w:hAnsi="Cambria Math"/>
                              </w:rPr>
                            </m:ctrlPr>
                          </m:sSubPr>
                          <m:e>
                            <m:r>
                              <w:rPr>
                                <w:rFonts w:ascii="Cambria Math" w:hAnsi="Cambria Math"/>
                              </w:rPr>
                              <m:t>M</m:t>
                            </m:r>
                          </m:e>
                          <m:sub>
                            <m:r>
                              <w:rPr>
                                <w:rFonts w:ascii="Cambria Math" w:hAnsi="Cambria Math"/>
                              </w:rPr>
                              <m:t>u</m:t>
                            </m:r>
                          </m:sub>
                        </m:sSub>
                      </m:num>
                      <m:den>
                        <m:r>
                          <w:rPr>
                            <w:rFonts w:ascii="Cambria Math" w:hAnsi="Cambria Math"/>
                          </w:rPr>
                          <m:t>R</m:t>
                        </m:r>
                      </m:den>
                    </m:f>
                  </m:e>
                </m:rad>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u</m:t>
                                </m:r>
                              </m:sub>
                            </m:sSub>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u</m:t>
                            </m:r>
                          </m:sub>
                        </m:sSub>
                        <m:r>
                          <m:rPr>
                            <m:sty m:val="p"/>
                          </m:rPr>
                          <w:rPr>
                            <w:rFonts w:ascii="Cambria Math" w:hAnsi="Cambria Math"/>
                          </w:rPr>
                          <m:t>+1</m:t>
                        </m:r>
                      </m:num>
                      <m:den>
                        <m:r>
                          <m:rPr>
                            <m:sty m:val="p"/>
                          </m:rPr>
                          <w:rPr>
                            <w:rFonts w:ascii="Cambria Math" w:hAnsi="Cambria Math"/>
                          </w:rPr>
                          <m:t>2(</m:t>
                        </m:r>
                        <m:sSub>
                          <m:sSubPr>
                            <m:ctrlPr>
                              <w:rPr>
                                <w:rFonts w:ascii="Cambria Math" w:hAnsi="Cambria Math"/>
                              </w:rPr>
                            </m:ctrlPr>
                          </m:sSubPr>
                          <m:e>
                            <m:r>
                              <w:rPr>
                                <w:rFonts w:ascii="Cambria Math" w:hAnsi="Cambria Math"/>
                              </w:rPr>
                              <m:t>γ</m:t>
                            </m:r>
                          </m:e>
                          <m:sub>
                            <m:r>
                              <w:rPr>
                                <w:rFonts w:ascii="Cambria Math" w:hAnsi="Cambria Math"/>
                              </w:rPr>
                              <m:t>u</m:t>
                            </m:r>
                          </m:sub>
                        </m:sSub>
                        <m:r>
                          <m:rPr>
                            <m:sty m:val="p"/>
                          </m:rPr>
                          <w:rPr>
                            <w:rFonts w:ascii="Cambria Math" w:hAnsi="Cambria Math"/>
                          </w:rPr>
                          <m:t>-1)</m:t>
                        </m:r>
                      </m:den>
                    </m:f>
                  </m:sup>
                </m:sSup>
                <m:r>
                  <m:rPr>
                    <m:sty m:val="p"/>
                  </m:rPr>
                  <w:rPr>
                    <w:rFonts w:ascii="Cambria Math" w:hAnsi="Cambria Math"/>
                  </w:rPr>
                  <m:t xml:space="preserve"> .</m:t>
                </m:r>
              </m:oMath>
            </m:oMathPara>
          </w:p>
        </w:tc>
        <w:tc>
          <w:tcPr>
            <w:tcW w:w="436" w:type="dxa"/>
            <w:vAlign w:val="center"/>
          </w:tcPr>
          <w:p w14:paraId="23746820" w14:textId="52CCC451" w:rsidR="00A37581" w:rsidRPr="00E83088" w:rsidRDefault="00A37581" w:rsidP="00591A21">
            <w:pPr>
              <w:pStyle w:val="CETEquation"/>
            </w:pPr>
            <w:r w:rsidRPr="00E83088">
              <w:t>(</w:t>
            </w:r>
            <w:r w:rsidR="002D7F83" w:rsidRPr="00E83088">
              <w:t>5</w:t>
            </w:r>
            <w:r w:rsidRPr="00E83088">
              <w:t>)</w:t>
            </w:r>
          </w:p>
        </w:tc>
      </w:tr>
    </w:tbl>
    <w:p w14:paraId="6CC13003" w14:textId="6D288153" w:rsidR="00EF2D14" w:rsidRPr="00E83088" w:rsidRDefault="54983C54" w:rsidP="005349ED">
      <w:pPr>
        <w:pStyle w:val="CETBodytext"/>
      </w:pPr>
      <w:r w:rsidRPr="00E83088">
        <w:t xml:space="preserve">For the unburned mixture viscosity, the equation of Herning and Zipperer was used (Davidson, 1993), </w:t>
      </w:r>
      <w:r w:rsidR="00523752" w:rsidRPr="00E83088">
        <w:t xml:space="preserve">and individual gas component viscosities and their temperature dependencies were calculated from Sutherland’s law (Sutherland, 1893). </w:t>
      </w:r>
      <w:r w:rsidR="00C1392C" w:rsidRPr="00E83088">
        <w:t>M</w:t>
      </w:r>
      <w:r w:rsidR="00546C6C" w:rsidRPr="00E83088">
        <w:t>aximum constant-volume explosion pressures, P</w:t>
      </w:r>
      <w:r w:rsidR="00546C6C" w:rsidRPr="00E83088">
        <w:rPr>
          <w:vertAlign w:val="subscript"/>
        </w:rPr>
        <w:t>max</w:t>
      </w:r>
      <w:r w:rsidR="00546C6C" w:rsidRPr="00E83088">
        <w:t xml:space="preserve">, were taken from the solutions of </w:t>
      </w:r>
      <w:r w:rsidR="00C1392C" w:rsidRPr="00E83088">
        <w:t xml:space="preserve">Cantera </w:t>
      </w:r>
      <w:r w:rsidR="00546C6C" w:rsidRPr="00E83088">
        <w:t xml:space="preserve">constant-volume </w:t>
      </w:r>
      <w:r w:rsidR="005E0423">
        <w:t xml:space="preserve">adiabatic </w:t>
      </w:r>
      <w:r w:rsidR="00546C6C" w:rsidRPr="00E83088">
        <w:t>equilibrium calculations. Finally, fundamental burning velocities S</w:t>
      </w:r>
      <w:r w:rsidR="00546C6C" w:rsidRPr="00E83088">
        <w:rPr>
          <w:vertAlign w:val="subscript"/>
        </w:rPr>
        <w:t>u</w:t>
      </w:r>
      <w:r w:rsidR="00546C6C" w:rsidRPr="00E83088">
        <w:t xml:space="preserve"> were computed using Cantera’s freely propagating 1-D laminar flame model and </w:t>
      </w:r>
      <w:r w:rsidR="000A3833" w:rsidRPr="00E83088">
        <w:t xml:space="preserve">the </w:t>
      </w:r>
      <w:r w:rsidR="008A0CB6" w:rsidRPr="00E83088">
        <w:t xml:space="preserve">detailed </w:t>
      </w:r>
      <w:r w:rsidR="00546C6C" w:rsidRPr="00E83088">
        <w:t xml:space="preserve">chemical kinetic </w:t>
      </w:r>
      <w:r w:rsidR="008A0CB6" w:rsidRPr="00E83088">
        <w:t>model</w:t>
      </w:r>
      <w:r w:rsidR="000A3833" w:rsidRPr="00E83088">
        <w:t xml:space="preserve"> of Blanquart et al. </w:t>
      </w:r>
      <w:r w:rsidR="00A14F15" w:rsidRPr="00E83088">
        <w:t>(</w:t>
      </w:r>
      <w:r w:rsidR="001B08CB" w:rsidRPr="00E83088">
        <w:t>2009</w:t>
      </w:r>
      <w:r w:rsidR="00A14F15" w:rsidRPr="00E83088">
        <w:t>).</w:t>
      </w:r>
    </w:p>
    <w:p w14:paraId="64169420" w14:textId="77777777" w:rsidR="002C55BA" w:rsidRPr="00E83088" w:rsidRDefault="002C55BA" w:rsidP="002C55BA">
      <w:pPr>
        <w:pStyle w:val="CETHeading1"/>
        <w:tabs>
          <w:tab w:val="clear" w:pos="360"/>
          <w:tab w:val="right" w:pos="7100"/>
        </w:tabs>
        <w:jc w:val="both"/>
      </w:pPr>
      <w:r w:rsidRPr="00E83088">
        <w:t>Experimental Data</w:t>
      </w:r>
    </w:p>
    <w:p w14:paraId="7E11E9AB" w14:textId="28802CAB" w:rsidR="7BB35671" w:rsidRPr="00E83088" w:rsidRDefault="4288A267" w:rsidP="7BB35671">
      <w:pPr>
        <w:pStyle w:val="CETBodytext"/>
      </w:pPr>
      <w:r w:rsidRPr="00E83088">
        <w:t xml:space="preserve">In this work, two sets of data </w:t>
      </w:r>
      <w:r w:rsidR="00E40963">
        <w:t>were</w:t>
      </w:r>
      <w:r w:rsidRPr="00E83088">
        <w:t xml:space="preserve"> used as reference </w:t>
      </w:r>
      <w:r w:rsidR="018C7A26" w:rsidRPr="00E83088">
        <w:t xml:space="preserve">to evaluate the relative accuracy of </w:t>
      </w:r>
      <w:r w:rsidR="0F44BE2B" w:rsidRPr="00E83088">
        <w:t xml:space="preserve">the default and calculated </w:t>
      </w:r>
      <w:r w:rsidR="00E40963">
        <w:t xml:space="preserve">mixture-specific </w:t>
      </w:r>
      <w:r w:rsidR="00F626AE">
        <w:t>properties</w:t>
      </w:r>
      <w:r w:rsidR="0F44BE2B" w:rsidRPr="00E83088">
        <w:t xml:space="preserve"> on NFPA 68 </w:t>
      </w:r>
      <w:r w:rsidR="00582074" w:rsidRPr="00E83088">
        <w:t xml:space="preserve">(2023) </w:t>
      </w:r>
      <w:r w:rsidR="00475135">
        <w:t>predictions</w:t>
      </w:r>
      <w:r w:rsidR="0F44BE2B" w:rsidRPr="00E83088">
        <w:t>.</w:t>
      </w:r>
      <w:r w:rsidR="55AAEE55" w:rsidRPr="00E83088">
        <w:t xml:space="preserve"> </w:t>
      </w:r>
    </w:p>
    <w:p w14:paraId="513D7EE5" w14:textId="77777777" w:rsidR="002C55BA" w:rsidRPr="00E83088" w:rsidRDefault="002C55BA" w:rsidP="002C55BA">
      <w:pPr>
        <w:pStyle w:val="CETheadingx"/>
      </w:pPr>
      <w:r w:rsidRPr="00E83088">
        <w:t>Gas Deflagration Venting Literature</w:t>
      </w:r>
    </w:p>
    <w:p w14:paraId="4DAF6771" w14:textId="31A9D7A2" w:rsidR="724201FD" w:rsidRPr="00E83088" w:rsidRDefault="00F7190B" w:rsidP="724201FD">
      <w:pPr>
        <w:pStyle w:val="CETBodytext"/>
      </w:pPr>
      <w:r w:rsidRPr="00E83088">
        <w:t>Table 2</w:t>
      </w:r>
      <w:r w:rsidR="3914B9F3" w:rsidRPr="00E83088">
        <w:t xml:space="preserve"> </w:t>
      </w:r>
      <w:r w:rsidR="00230A11" w:rsidRPr="00E83088">
        <w:t>summarizes</w:t>
      </w:r>
      <w:r w:rsidR="3914B9F3" w:rsidRPr="00E83088">
        <w:t xml:space="preserve"> the </w:t>
      </w:r>
      <w:r w:rsidR="00077079">
        <w:t xml:space="preserve">literature </w:t>
      </w:r>
      <w:r w:rsidR="00582074" w:rsidRPr="00E83088">
        <w:t>data</w:t>
      </w:r>
      <w:r w:rsidR="3914B9F3" w:rsidRPr="00E83088">
        <w:t xml:space="preserve"> </w:t>
      </w:r>
      <w:r w:rsidR="00230A11" w:rsidRPr="00E83088">
        <w:t>included</w:t>
      </w:r>
      <w:r w:rsidR="3914B9F3" w:rsidRPr="00E83088">
        <w:t xml:space="preserve"> in </w:t>
      </w:r>
      <w:r w:rsidRPr="00E83088">
        <w:t>the following</w:t>
      </w:r>
      <w:r w:rsidR="3914B9F3" w:rsidRPr="00E83088">
        <w:t xml:space="preserve"> comparison analysis. The data were chosen for their relative importance to current green energy research </w:t>
      </w:r>
      <w:r w:rsidR="00230A11" w:rsidRPr="00E83088">
        <w:t>and</w:t>
      </w:r>
      <w:r w:rsidR="5EA2815E" w:rsidRPr="00E83088">
        <w:t xml:space="preserve"> to provide a </w:t>
      </w:r>
      <w:r w:rsidR="00582074" w:rsidRPr="00E83088">
        <w:t xml:space="preserve">wide </w:t>
      </w:r>
      <w:r w:rsidR="5EA2815E" w:rsidRPr="00E83088">
        <w:t>range of scenarios.</w:t>
      </w:r>
    </w:p>
    <w:p w14:paraId="45E7175E" w14:textId="1E34D386" w:rsidR="008E455C" w:rsidRPr="00E83088" w:rsidRDefault="008E455C" w:rsidP="00591A21">
      <w:pPr>
        <w:pStyle w:val="CETTabletitle"/>
        <w:jc w:val="center"/>
        <w:rPr>
          <w:lang w:val="en-US"/>
        </w:rPr>
      </w:pPr>
      <w:r w:rsidRPr="00E83088">
        <w:rPr>
          <w:lang w:val="en-US"/>
        </w:rPr>
        <w:t xml:space="preserve">Table </w:t>
      </w:r>
      <w:r w:rsidRPr="00E83088">
        <w:rPr>
          <w:lang w:val="en-US"/>
        </w:rPr>
        <w:fldChar w:fldCharType="begin"/>
      </w:r>
      <w:r w:rsidRPr="00E83088">
        <w:rPr>
          <w:lang w:val="en-US"/>
        </w:rPr>
        <w:instrText xml:space="preserve"> SEQ Table \* ARABIC </w:instrText>
      </w:r>
      <w:r w:rsidRPr="00E83088">
        <w:rPr>
          <w:lang w:val="en-US"/>
        </w:rPr>
        <w:fldChar w:fldCharType="separate"/>
      </w:r>
      <w:r w:rsidRPr="00E83088">
        <w:rPr>
          <w:noProof/>
          <w:lang w:val="en-US"/>
        </w:rPr>
        <w:t>2</w:t>
      </w:r>
      <w:r w:rsidRPr="00E83088">
        <w:rPr>
          <w:lang w:val="en-US"/>
        </w:rPr>
        <w:fldChar w:fldCharType="end"/>
      </w:r>
      <w:r w:rsidRPr="00E83088">
        <w:rPr>
          <w:lang w:val="en-US"/>
        </w:rPr>
        <w:t xml:space="preserve">: Experimental literature studies used for </w:t>
      </w:r>
      <w:r w:rsidR="00FA78D2" w:rsidRPr="00E83088">
        <w:rPr>
          <w:lang w:val="en-US"/>
        </w:rPr>
        <w:t xml:space="preserve">the </w:t>
      </w:r>
      <w:r w:rsidRPr="00E83088">
        <w:rPr>
          <w:lang w:val="en-US"/>
        </w:rPr>
        <w:t xml:space="preserve">evaluation of </w:t>
      </w:r>
      <w:r w:rsidR="00916E78" w:rsidRPr="00E83088">
        <w:rPr>
          <w:lang w:val="en-US"/>
        </w:rPr>
        <w:t xml:space="preserve">mixture </w:t>
      </w:r>
      <w:r w:rsidR="00086DDF">
        <w:rPr>
          <w:lang w:val="en-US"/>
        </w:rPr>
        <w:t>property</w:t>
      </w:r>
      <w:r w:rsidR="00916E78" w:rsidRPr="00E83088">
        <w:rPr>
          <w:lang w:val="en-US"/>
        </w:rPr>
        <w:t xml:space="preserve"> effects</w:t>
      </w:r>
      <w:r w:rsidRPr="00E83088">
        <w:rPr>
          <w:lang w:val="en-US"/>
        </w:rPr>
        <w:t>.</w:t>
      </w:r>
    </w:p>
    <w:tbl>
      <w:tblPr>
        <w:tblStyle w:val="TableGrid"/>
        <w:tblW w:w="0" w:type="auto"/>
        <w:jc w:val="center"/>
        <w:tblLayout w:type="fixed"/>
        <w:tblLook w:val="06A0" w:firstRow="1" w:lastRow="0" w:firstColumn="1" w:lastColumn="0" w:noHBand="1" w:noVBand="1"/>
      </w:tblPr>
      <w:tblGrid>
        <w:gridCol w:w="2194"/>
        <w:gridCol w:w="2194"/>
        <w:gridCol w:w="2447"/>
      </w:tblGrid>
      <w:tr w:rsidR="724201FD" w:rsidRPr="00E83088" w14:paraId="772C0CC0" w14:textId="77777777" w:rsidTr="009B2291">
        <w:trPr>
          <w:trHeight w:val="300"/>
          <w:jc w:val="center"/>
        </w:trPr>
        <w:tc>
          <w:tcPr>
            <w:tcW w:w="2194" w:type="dxa"/>
            <w:tcBorders>
              <w:left w:val="nil"/>
              <w:bottom w:val="double" w:sz="4" w:space="0" w:color="auto"/>
            </w:tcBorders>
          </w:tcPr>
          <w:p w14:paraId="222682A3" w14:textId="584D5631" w:rsidR="35A5F0A8" w:rsidRPr="00E83088" w:rsidRDefault="35A5F0A8" w:rsidP="724201FD">
            <w:pPr>
              <w:pStyle w:val="CETBodytext"/>
            </w:pPr>
            <w:r w:rsidRPr="00E83088">
              <w:t>Reference</w:t>
            </w:r>
          </w:p>
        </w:tc>
        <w:tc>
          <w:tcPr>
            <w:tcW w:w="2194" w:type="dxa"/>
            <w:tcBorders>
              <w:bottom w:val="double" w:sz="4" w:space="0" w:color="auto"/>
            </w:tcBorders>
          </w:tcPr>
          <w:p w14:paraId="365BE821" w14:textId="6C31A607" w:rsidR="35A5F0A8" w:rsidRPr="00E83088" w:rsidRDefault="35A5F0A8" w:rsidP="724201FD">
            <w:pPr>
              <w:pStyle w:val="CETBodytext"/>
            </w:pPr>
            <w:r w:rsidRPr="00E83088">
              <w:t>Gas</w:t>
            </w:r>
          </w:p>
        </w:tc>
        <w:tc>
          <w:tcPr>
            <w:tcW w:w="2447" w:type="dxa"/>
            <w:tcBorders>
              <w:bottom w:val="double" w:sz="4" w:space="0" w:color="auto"/>
              <w:right w:val="nil"/>
            </w:tcBorders>
          </w:tcPr>
          <w:p w14:paraId="0F9FD6FE" w14:textId="44DBA223" w:rsidR="35A5F0A8" w:rsidRPr="00E83088" w:rsidRDefault="35A5F0A8" w:rsidP="724201FD">
            <w:pPr>
              <w:pStyle w:val="CETBodytext"/>
            </w:pPr>
            <w:r w:rsidRPr="00E83088">
              <w:t>Configuration</w:t>
            </w:r>
          </w:p>
        </w:tc>
      </w:tr>
      <w:tr w:rsidR="724201FD" w:rsidRPr="00E83088" w14:paraId="0429326E" w14:textId="77777777" w:rsidTr="009B2291">
        <w:trPr>
          <w:trHeight w:val="300"/>
          <w:jc w:val="center"/>
        </w:trPr>
        <w:tc>
          <w:tcPr>
            <w:tcW w:w="2194" w:type="dxa"/>
            <w:tcBorders>
              <w:top w:val="double" w:sz="4" w:space="0" w:color="auto"/>
              <w:left w:val="nil"/>
            </w:tcBorders>
          </w:tcPr>
          <w:p w14:paraId="6A999000" w14:textId="2BAC6CD5" w:rsidR="35A5F0A8" w:rsidRPr="00E83088" w:rsidRDefault="35A5F0A8" w:rsidP="724201FD">
            <w:pPr>
              <w:pStyle w:val="CETBodytext"/>
            </w:pPr>
            <w:r w:rsidRPr="00E83088">
              <w:t xml:space="preserve">Skjold et al. </w:t>
            </w:r>
            <w:r w:rsidR="00DF115F" w:rsidRPr="00E83088">
              <w:t>(</w:t>
            </w:r>
            <w:r w:rsidRPr="00E83088">
              <w:t>2019</w:t>
            </w:r>
            <w:r w:rsidR="00DF115F" w:rsidRPr="00E83088">
              <w:t>)</w:t>
            </w:r>
          </w:p>
        </w:tc>
        <w:tc>
          <w:tcPr>
            <w:tcW w:w="2194" w:type="dxa"/>
            <w:tcBorders>
              <w:top w:val="double" w:sz="4" w:space="0" w:color="auto"/>
            </w:tcBorders>
          </w:tcPr>
          <w:p w14:paraId="38708570" w14:textId="0BC4D8B7" w:rsidR="35A5F0A8" w:rsidRPr="00E83088" w:rsidRDefault="35A5F0A8" w:rsidP="724201FD">
            <w:pPr>
              <w:pStyle w:val="CETBodytext"/>
            </w:pPr>
            <w:r w:rsidRPr="00E83088">
              <w:t>Hydrogen</w:t>
            </w:r>
          </w:p>
        </w:tc>
        <w:tc>
          <w:tcPr>
            <w:tcW w:w="2447" w:type="dxa"/>
            <w:tcBorders>
              <w:top w:val="double" w:sz="4" w:space="0" w:color="auto"/>
              <w:right w:val="nil"/>
            </w:tcBorders>
          </w:tcPr>
          <w:p w14:paraId="2C1B88FE" w14:textId="5B47016F" w:rsidR="35A5F0A8" w:rsidRPr="00E83088" w:rsidRDefault="35A5F0A8" w:rsidP="724201FD">
            <w:pPr>
              <w:pStyle w:val="CETBodytext"/>
            </w:pPr>
            <w:r w:rsidRPr="00E83088">
              <w:t>20</w:t>
            </w:r>
            <w:r w:rsidR="0062767A">
              <w:t>-</w:t>
            </w:r>
            <w:r w:rsidRPr="00E83088">
              <w:t>ft ISO</w:t>
            </w:r>
          </w:p>
        </w:tc>
      </w:tr>
      <w:tr w:rsidR="724201FD" w:rsidRPr="00E83088" w14:paraId="1F9B9CEC" w14:textId="77777777" w:rsidTr="009B2291">
        <w:trPr>
          <w:trHeight w:val="300"/>
          <w:jc w:val="center"/>
        </w:trPr>
        <w:tc>
          <w:tcPr>
            <w:tcW w:w="2194" w:type="dxa"/>
            <w:tcBorders>
              <w:left w:val="nil"/>
            </w:tcBorders>
          </w:tcPr>
          <w:p w14:paraId="473694AD" w14:textId="22A29B99" w:rsidR="35A5F0A8" w:rsidRPr="00E83088" w:rsidRDefault="35A5F0A8" w:rsidP="724201FD">
            <w:pPr>
              <w:pStyle w:val="CETBodytext"/>
            </w:pPr>
            <w:r w:rsidRPr="00E83088">
              <w:t xml:space="preserve">Lecocq et al. </w:t>
            </w:r>
            <w:r w:rsidR="00DF115F" w:rsidRPr="00E83088">
              <w:t>(</w:t>
            </w:r>
            <w:r w:rsidRPr="00E83088">
              <w:t>2024</w:t>
            </w:r>
            <w:r w:rsidR="00DF115F" w:rsidRPr="00E83088">
              <w:t>)</w:t>
            </w:r>
          </w:p>
        </w:tc>
        <w:tc>
          <w:tcPr>
            <w:tcW w:w="2194" w:type="dxa"/>
          </w:tcPr>
          <w:p w14:paraId="0FF438B2" w14:textId="35433C79" w:rsidR="35A5F0A8" w:rsidRPr="00E83088" w:rsidRDefault="35A5F0A8" w:rsidP="724201FD">
            <w:pPr>
              <w:pStyle w:val="CETBodytext"/>
            </w:pPr>
            <w:r w:rsidRPr="00E83088">
              <w:t>Hydrogen</w:t>
            </w:r>
          </w:p>
        </w:tc>
        <w:tc>
          <w:tcPr>
            <w:tcW w:w="2447" w:type="dxa"/>
            <w:tcBorders>
              <w:right w:val="nil"/>
            </w:tcBorders>
          </w:tcPr>
          <w:p w14:paraId="09D48CA7" w14:textId="2CBBFA44" w:rsidR="35A5F0A8" w:rsidRPr="00E83088" w:rsidRDefault="35A5F0A8" w:rsidP="724201FD">
            <w:pPr>
              <w:pStyle w:val="CETBodytext"/>
            </w:pPr>
            <w:r w:rsidRPr="00E83088">
              <w:t>20</w:t>
            </w:r>
            <w:r w:rsidR="0062767A">
              <w:t>-</w:t>
            </w:r>
            <w:r w:rsidRPr="00E83088">
              <w:t>ft ISO</w:t>
            </w:r>
          </w:p>
        </w:tc>
      </w:tr>
      <w:tr w:rsidR="724201FD" w:rsidRPr="00E83088" w14:paraId="0E96BEB3" w14:textId="77777777" w:rsidTr="009B2291">
        <w:trPr>
          <w:trHeight w:val="300"/>
          <w:jc w:val="center"/>
        </w:trPr>
        <w:tc>
          <w:tcPr>
            <w:tcW w:w="2194" w:type="dxa"/>
            <w:tcBorders>
              <w:left w:val="nil"/>
            </w:tcBorders>
          </w:tcPr>
          <w:p w14:paraId="1903CAEB" w14:textId="4800EB3E" w:rsidR="35A5F0A8" w:rsidRPr="00E83088" w:rsidRDefault="35A5F0A8" w:rsidP="724201FD">
            <w:pPr>
              <w:pStyle w:val="CETBodytext"/>
            </w:pPr>
            <w:r w:rsidRPr="00E83088">
              <w:t xml:space="preserve">Li et al. </w:t>
            </w:r>
            <w:r w:rsidR="00DF115F" w:rsidRPr="00E83088">
              <w:t>(</w:t>
            </w:r>
            <w:r w:rsidRPr="00E83088">
              <w:t>2017</w:t>
            </w:r>
            <w:r w:rsidR="00DF115F" w:rsidRPr="00E83088">
              <w:t>)</w:t>
            </w:r>
          </w:p>
        </w:tc>
        <w:tc>
          <w:tcPr>
            <w:tcW w:w="2194" w:type="dxa"/>
          </w:tcPr>
          <w:p w14:paraId="48C2EE46" w14:textId="527DCEA8" w:rsidR="35A5F0A8" w:rsidRPr="00E83088" w:rsidRDefault="35A5F0A8" w:rsidP="724201FD">
            <w:pPr>
              <w:pStyle w:val="CETBodytext"/>
            </w:pPr>
            <w:r w:rsidRPr="00E83088">
              <w:t>Methane</w:t>
            </w:r>
          </w:p>
        </w:tc>
        <w:tc>
          <w:tcPr>
            <w:tcW w:w="2447" w:type="dxa"/>
            <w:tcBorders>
              <w:right w:val="nil"/>
            </w:tcBorders>
          </w:tcPr>
          <w:p w14:paraId="1FB28985" w14:textId="2EFD4224" w:rsidR="35A5F0A8" w:rsidRPr="00E83088" w:rsidRDefault="35A5F0A8" w:rsidP="724201FD">
            <w:pPr>
              <w:pStyle w:val="CETBodytext"/>
            </w:pPr>
            <w:r w:rsidRPr="00E83088">
              <w:t>LNG Storage Tank</w:t>
            </w:r>
          </w:p>
        </w:tc>
      </w:tr>
      <w:tr w:rsidR="724201FD" w:rsidRPr="00E83088" w14:paraId="4B250A42" w14:textId="77777777" w:rsidTr="009B2291">
        <w:trPr>
          <w:trHeight w:val="300"/>
          <w:jc w:val="center"/>
        </w:trPr>
        <w:tc>
          <w:tcPr>
            <w:tcW w:w="2194" w:type="dxa"/>
            <w:tcBorders>
              <w:left w:val="nil"/>
            </w:tcBorders>
          </w:tcPr>
          <w:p w14:paraId="395EADB9" w14:textId="1FA3BF0D" w:rsidR="35A5F0A8" w:rsidRPr="00E83088" w:rsidRDefault="35A5F0A8" w:rsidP="724201FD">
            <w:pPr>
              <w:pStyle w:val="CETBodytext"/>
            </w:pPr>
            <w:r w:rsidRPr="00E83088">
              <w:t xml:space="preserve">Yoon et al. </w:t>
            </w:r>
            <w:r w:rsidR="00DF115F" w:rsidRPr="00E83088">
              <w:t>(</w:t>
            </w:r>
            <w:r w:rsidRPr="00E83088">
              <w:t>2024</w:t>
            </w:r>
            <w:r w:rsidR="00DF115F" w:rsidRPr="00E83088">
              <w:t>)</w:t>
            </w:r>
          </w:p>
        </w:tc>
        <w:tc>
          <w:tcPr>
            <w:tcW w:w="2194" w:type="dxa"/>
          </w:tcPr>
          <w:p w14:paraId="1DA01578" w14:textId="5F08BD9A" w:rsidR="35A5F0A8" w:rsidRPr="00E83088" w:rsidRDefault="35A5F0A8" w:rsidP="724201FD">
            <w:pPr>
              <w:pStyle w:val="CETBodytext"/>
            </w:pPr>
            <w:r w:rsidRPr="00E83088">
              <w:t>Hydrogen</w:t>
            </w:r>
          </w:p>
        </w:tc>
        <w:tc>
          <w:tcPr>
            <w:tcW w:w="2447" w:type="dxa"/>
            <w:tcBorders>
              <w:right w:val="nil"/>
            </w:tcBorders>
          </w:tcPr>
          <w:p w14:paraId="1A0416B1" w14:textId="2FA9C2AC" w:rsidR="35A5F0A8" w:rsidRPr="00E83088" w:rsidRDefault="35A5F0A8" w:rsidP="724201FD">
            <w:pPr>
              <w:pStyle w:val="CETBodytext"/>
            </w:pPr>
            <w:r w:rsidRPr="00E83088">
              <w:t>Cuboid structure 20.33 m</w:t>
            </w:r>
            <w:r w:rsidRPr="00E83088">
              <w:rPr>
                <w:vertAlign w:val="superscript"/>
              </w:rPr>
              <w:t>3</w:t>
            </w:r>
          </w:p>
        </w:tc>
      </w:tr>
    </w:tbl>
    <w:p w14:paraId="3F39E6EA" w14:textId="3B23891B" w:rsidR="002C55BA" w:rsidRPr="00E83088" w:rsidRDefault="00D874F1" w:rsidP="002C55BA">
      <w:pPr>
        <w:pStyle w:val="CETheadingx"/>
      </w:pPr>
      <w:r w:rsidRPr="00E83088">
        <w:t>REMBE</w:t>
      </w:r>
      <w:r w:rsidRPr="00E83088">
        <w:rPr>
          <w:vertAlign w:val="superscript"/>
        </w:rPr>
        <w:t>®</w:t>
      </w:r>
      <w:r w:rsidR="002C55BA" w:rsidRPr="00E83088">
        <w:t xml:space="preserve"> Data</w:t>
      </w:r>
    </w:p>
    <w:p w14:paraId="680D6990" w14:textId="3A251872" w:rsidR="00D874F1" w:rsidRPr="00E83088" w:rsidRDefault="00FA78D2" w:rsidP="724201FD">
      <w:pPr>
        <w:pStyle w:val="CETBodytext"/>
      </w:pPr>
      <w:r w:rsidRPr="00E83088">
        <w:t>Additional</w:t>
      </w:r>
      <w:r w:rsidR="54DF34BB" w:rsidRPr="00E83088">
        <w:t xml:space="preserve"> </w:t>
      </w:r>
      <w:r w:rsidR="00230A11" w:rsidRPr="00E83088">
        <w:t xml:space="preserve">previously unpublished </w:t>
      </w:r>
      <w:r w:rsidR="54DF34BB" w:rsidRPr="00E83088">
        <w:t xml:space="preserve">data </w:t>
      </w:r>
      <w:r w:rsidR="00DC3D18" w:rsidRPr="00E83088">
        <w:t>were</w:t>
      </w:r>
      <w:r w:rsidRPr="00E83088">
        <w:t xml:space="preserve"> </w:t>
      </w:r>
      <w:r w:rsidR="00230A11" w:rsidRPr="00E83088">
        <w:t>incorporated</w:t>
      </w:r>
      <w:r w:rsidRPr="00E83088">
        <w:t xml:space="preserve"> </w:t>
      </w:r>
      <w:r w:rsidR="54DF34BB" w:rsidRPr="00E83088">
        <w:t>from experiments conducted at the REMBE</w:t>
      </w:r>
      <w:r w:rsidRPr="00E83088">
        <w:rPr>
          <w:vertAlign w:val="superscript"/>
        </w:rPr>
        <w:t>®</w:t>
      </w:r>
      <w:r w:rsidRPr="00E83088">
        <w:t xml:space="preserve"> Research + Technology Center</w:t>
      </w:r>
      <w:r w:rsidR="00230A11" w:rsidRPr="00E83088">
        <w:t xml:space="preserve"> in Brilon, Germany</w:t>
      </w:r>
      <w:r w:rsidR="54DF34BB" w:rsidRPr="00E83088">
        <w:t xml:space="preserve">. These experiments were </w:t>
      </w:r>
      <w:r w:rsidR="00230A11" w:rsidRPr="00E83088">
        <w:t>performed</w:t>
      </w:r>
      <w:r w:rsidR="54DF34BB" w:rsidRPr="00E83088">
        <w:t xml:space="preserve"> in </w:t>
      </w:r>
      <w:r w:rsidRPr="00E83088">
        <w:t>cylindrical vented vessels with volumes</w:t>
      </w:r>
      <w:r w:rsidR="54DF34BB" w:rsidRPr="00E83088">
        <w:t xml:space="preserve"> ranging from 2.7 m</w:t>
      </w:r>
      <w:r w:rsidR="54DF34BB" w:rsidRPr="00E83088">
        <w:rPr>
          <w:vertAlign w:val="superscript"/>
        </w:rPr>
        <w:t>3</w:t>
      </w:r>
      <w:r w:rsidR="54DF34BB" w:rsidRPr="00E83088">
        <w:t xml:space="preserve"> to 13.5 m</w:t>
      </w:r>
      <w:r w:rsidR="54DF34BB" w:rsidRPr="00E83088">
        <w:rPr>
          <w:vertAlign w:val="superscript"/>
        </w:rPr>
        <w:t>3</w:t>
      </w:r>
      <w:r w:rsidR="0036095A" w:rsidRPr="00E83088">
        <w:t xml:space="preserve"> with aluminum foil as a vent cover</w:t>
      </w:r>
      <w:r w:rsidR="00DC3D18" w:rsidRPr="00E83088">
        <w:t xml:space="preserve"> and center ignition, under initially quiescent conditions</w:t>
      </w:r>
      <w:r w:rsidR="0036095A" w:rsidRPr="00E83088">
        <w:t>.</w:t>
      </w:r>
      <w:r w:rsidR="54DF34BB" w:rsidRPr="00E83088">
        <w:t xml:space="preserve"> </w:t>
      </w:r>
      <w:r w:rsidR="00916E78" w:rsidRPr="00E83088">
        <w:t xml:space="preserve">Table 3 summarizes all </w:t>
      </w:r>
      <w:r w:rsidR="0036095A" w:rsidRPr="00E83088">
        <w:t>test</w:t>
      </w:r>
      <w:r w:rsidR="00ED06BB" w:rsidRPr="00E83088">
        <w:t>s</w:t>
      </w:r>
      <w:r w:rsidR="0036095A" w:rsidRPr="00E83088">
        <w:t xml:space="preserve"> </w:t>
      </w:r>
      <w:r w:rsidR="00916E78" w:rsidRPr="00E83088">
        <w:t xml:space="preserve">included in this </w:t>
      </w:r>
      <w:r w:rsidR="004E792C">
        <w:t xml:space="preserve">additional </w:t>
      </w:r>
      <w:r w:rsidR="00916E78" w:rsidRPr="00E83088">
        <w:t>dataset.</w:t>
      </w:r>
    </w:p>
    <w:p w14:paraId="204C4559" w14:textId="07D55C63" w:rsidR="00C23DA8" w:rsidRPr="00E83088" w:rsidRDefault="00D874F1" w:rsidP="00591A21">
      <w:pPr>
        <w:pStyle w:val="CETTabletitle"/>
        <w:jc w:val="center"/>
        <w:rPr>
          <w:lang w:val="en-US"/>
        </w:rPr>
      </w:pPr>
      <w:r w:rsidRPr="00E83088">
        <w:rPr>
          <w:lang w:val="en-US"/>
        </w:rPr>
        <w:t xml:space="preserve">Table </w:t>
      </w:r>
      <w:r w:rsidRPr="00E83088">
        <w:rPr>
          <w:lang w:val="en-US"/>
        </w:rPr>
        <w:fldChar w:fldCharType="begin"/>
      </w:r>
      <w:r w:rsidRPr="00E83088">
        <w:rPr>
          <w:lang w:val="en-US"/>
        </w:rPr>
        <w:instrText xml:space="preserve"> SEQ Table \* ARABIC </w:instrText>
      </w:r>
      <w:r w:rsidRPr="00E83088">
        <w:rPr>
          <w:lang w:val="en-US"/>
        </w:rPr>
        <w:fldChar w:fldCharType="separate"/>
      </w:r>
      <w:r w:rsidR="00916E78" w:rsidRPr="00E83088">
        <w:rPr>
          <w:noProof/>
          <w:lang w:val="en-US"/>
        </w:rPr>
        <w:t>3</w:t>
      </w:r>
      <w:r w:rsidRPr="00E83088">
        <w:rPr>
          <w:lang w:val="en-US"/>
        </w:rPr>
        <w:fldChar w:fldCharType="end"/>
      </w:r>
      <w:r w:rsidRPr="00E83088">
        <w:rPr>
          <w:lang w:val="en-US"/>
        </w:rPr>
        <w:t xml:space="preserve">: </w:t>
      </w:r>
      <w:r w:rsidR="00FA78D2" w:rsidRPr="00E83088">
        <w:rPr>
          <w:lang w:val="en-US"/>
        </w:rPr>
        <w:t>Additional data from REMBE</w:t>
      </w:r>
      <w:r w:rsidR="00FA78D2" w:rsidRPr="00E83088">
        <w:rPr>
          <w:vertAlign w:val="superscript"/>
          <w:lang w:val="en-US"/>
        </w:rPr>
        <w:t>®</w:t>
      </w:r>
      <w:r w:rsidRPr="00E83088">
        <w:rPr>
          <w:lang w:val="en-US"/>
        </w:rPr>
        <w:t xml:space="preserve"> </w:t>
      </w:r>
      <w:r w:rsidR="00FA78D2" w:rsidRPr="00E83088">
        <w:rPr>
          <w:lang w:val="en-US"/>
        </w:rPr>
        <w:t xml:space="preserve">facilities </w:t>
      </w:r>
      <w:r w:rsidRPr="00E83088">
        <w:rPr>
          <w:lang w:val="en-US"/>
        </w:rPr>
        <w:t xml:space="preserve">used for </w:t>
      </w:r>
      <w:r w:rsidR="00FA78D2" w:rsidRPr="00E83088">
        <w:rPr>
          <w:lang w:val="en-US"/>
        </w:rPr>
        <w:t xml:space="preserve">the </w:t>
      </w:r>
      <w:r w:rsidRPr="00E83088">
        <w:rPr>
          <w:lang w:val="en-US"/>
        </w:rPr>
        <w:t xml:space="preserve">evaluation of </w:t>
      </w:r>
      <w:r w:rsidR="00916E78" w:rsidRPr="00E83088">
        <w:rPr>
          <w:lang w:val="en-US"/>
        </w:rPr>
        <w:t xml:space="preserve">mixture </w:t>
      </w:r>
      <w:r w:rsidR="00EF7FD1">
        <w:rPr>
          <w:lang w:val="en-US"/>
        </w:rPr>
        <w:t>property</w:t>
      </w:r>
      <w:r w:rsidR="00916E78" w:rsidRPr="00E83088">
        <w:rPr>
          <w:lang w:val="en-US"/>
        </w:rPr>
        <w:t xml:space="preserve"> effects</w:t>
      </w:r>
      <w:r w:rsidRPr="00E83088">
        <w:rPr>
          <w:lang w:val="en-US"/>
        </w:rPr>
        <w:t>.</w:t>
      </w:r>
    </w:p>
    <w:tbl>
      <w:tblPr>
        <w:tblStyle w:val="TableGrid"/>
        <w:tblW w:w="0" w:type="auto"/>
        <w:jc w:val="center"/>
        <w:tblLayout w:type="fixed"/>
        <w:tblLook w:val="06A0" w:firstRow="1" w:lastRow="0" w:firstColumn="1" w:lastColumn="0" w:noHBand="1" w:noVBand="1"/>
      </w:tblPr>
      <w:tblGrid>
        <w:gridCol w:w="2194"/>
        <w:gridCol w:w="2194"/>
        <w:gridCol w:w="1462"/>
        <w:gridCol w:w="1462"/>
        <w:gridCol w:w="1462"/>
      </w:tblGrid>
      <w:tr w:rsidR="0036095A" w:rsidRPr="00E83088" w14:paraId="27169142" w14:textId="1E2A213B" w:rsidTr="00FB5497">
        <w:trPr>
          <w:trHeight w:val="300"/>
          <w:jc w:val="center"/>
        </w:trPr>
        <w:tc>
          <w:tcPr>
            <w:tcW w:w="2194" w:type="dxa"/>
            <w:tcBorders>
              <w:left w:val="nil"/>
              <w:bottom w:val="double" w:sz="4" w:space="0" w:color="auto"/>
            </w:tcBorders>
          </w:tcPr>
          <w:p w14:paraId="3F0930DA" w14:textId="202431D9" w:rsidR="0036095A" w:rsidRPr="00E83088" w:rsidRDefault="0036095A" w:rsidP="00FB5497">
            <w:pPr>
              <w:pStyle w:val="CETBodytext"/>
            </w:pPr>
            <w:r w:rsidRPr="00E83088">
              <w:t>V (m</w:t>
            </w:r>
            <w:r w:rsidRPr="00E83088">
              <w:rPr>
                <w:vertAlign w:val="superscript"/>
              </w:rPr>
              <w:t>3</w:t>
            </w:r>
            <w:r w:rsidRPr="00E83088">
              <w:t>)</w:t>
            </w:r>
          </w:p>
        </w:tc>
        <w:tc>
          <w:tcPr>
            <w:tcW w:w="2194" w:type="dxa"/>
            <w:tcBorders>
              <w:bottom w:val="double" w:sz="4" w:space="0" w:color="auto"/>
            </w:tcBorders>
          </w:tcPr>
          <w:p w14:paraId="5EA3FDB9" w14:textId="5C780B6F" w:rsidR="0036095A" w:rsidRPr="00E83088" w:rsidRDefault="0036095A" w:rsidP="00FB5497">
            <w:pPr>
              <w:pStyle w:val="CETBodytext"/>
            </w:pPr>
            <w:r w:rsidRPr="00E83088">
              <w:t>Gas mixture</w:t>
            </w:r>
          </w:p>
        </w:tc>
        <w:tc>
          <w:tcPr>
            <w:tcW w:w="1462" w:type="dxa"/>
            <w:tcBorders>
              <w:bottom w:val="double" w:sz="4" w:space="0" w:color="auto"/>
              <w:right w:val="nil"/>
            </w:tcBorders>
          </w:tcPr>
          <w:p w14:paraId="54499CF0" w14:textId="37FD1C33" w:rsidR="0036095A" w:rsidRPr="00E83088" w:rsidRDefault="0036095A" w:rsidP="00FB5497">
            <w:pPr>
              <w:pStyle w:val="CETBodytext"/>
            </w:pPr>
            <w:r w:rsidRPr="00E83088">
              <w:t>A</w:t>
            </w:r>
            <w:r w:rsidRPr="00E83088">
              <w:rPr>
                <w:vertAlign w:val="subscript"/>
              </w:rPr>
              <w:t>v</w:t>
            </w:r>
            <w:r w:rsidRPr="00E83088">
              <w:t xml:space="preserve"> (m</w:t>
            </w:r>
            <w:r w:rsidRPr="00E83088">
              <w:rPr>
                <w:vertAlign w:val="superscript"/>
              </w:rPr>
              <w:t>2</w:t>
            </w:r>
            <w:r w:rsidRPr="00E83088">
              <w:t>)</w:t>
            </w:r>
          </w:p>
        </w:tc>
        <w:tc>
          <w:tcPr>
            <w:tcW w:w="1462" w:type="dxa"/>
            <w:tcBorders>
              <w:bottom w:val="double" w:sz="4" w:space="0" w:color="auto"/>
            </w:tcBorders>
          </w:tcPr>
          <w:p w14:paraId="1420DDFF" w14:textId="016A1257" w:rsidR="0036095A" w:rsidRPr="00E83088" w:rsidRDefault="0036095A" w:rsidP="00FB5497">
            <w:pPr>
              <w:pStyle w:val="CETBodytext"/>
            </w:pPr>
            <w:proofErr w:type="spellStart"/>
            <w:r w:rsidRPr="00E83088">
              <w:t>P</w:t>
            </w:r>
            <w:r w:rsidRPr="00E83088">
              <w:rPr>
                <w:vertAlign w:val="subscript"/>
              </w:rPr>
              <w:t>stat</w:t>
            </w:r>
            <w:proofErr w:type="spellEnd"/>
            <w:r w:rsidRPr="00E83088">
              <w:t xml:space="preserve"> (bar-g)</w:t>
            </w:r>
          </w:p>
        </w:tc>
        <w:tc>
          <w:tcPr>
            <w:tcW w:w="1462" w:type="dxa"/>
            <w:tcBorders>
              <w:bottom w:val="double" w:sz="4" w:space="0" w:color="auto"/>
              <w:right w:val="nil"/>
            </w:tcBorders>
          </w:tcPr>
          <w:p w14:paraId="5149A55B" w14:textId="5DAEC0A2" w:rsidR="0036095A" w:rsidRPr="00E83088" w:rsidRDefault="0036095A" w:rsidP="00FB5497">
            <w:pPr>
              <w:pStyle w:val="CETBodytext"/>
            </w:pPr>
            <w:r w:rsidRPr="00E83088">
              <w:t>P</w:t>
            </w:r>
            <w:r w:rsidRPr="00E83088">
              <w:rPr>
                <w:vertAlign w:val="subscript"/>
              </w:rPr>
              <w:t>red</w:t>
            </w:r>
            <w:r w:rsidRPr="00E83088">
              <w:t xml:space="preserve"> (bar-g)</w:t>
            </w:r>
          </w:p>
        </w:tc>
      </w:tr>
      <w:tr w:rsidR="0036095A" w:rsidRPr="00E83088" w14:paraId="6001580A" w14:textId="1159747F" w:rsidTr="00FB5497">
        <w:trPr>
          <w:trHeight w:val="300"/>
          <w:jc w:val="center"/>
        </w:trPr>
        <w:tc>
          <w:tcPr>
            <w:tcW w:w="2194" w:type="dxa"/>
            <w:tcBorders>
              <w:top w:val="double" w:sz="4" w:space="0" w:color="auto"/>
              <w:left w:val="nil"/>
              <w:bottom w:val="single" w:sz="4" w:space="0" w:color="auto"/>
            </w:tcBorders>
          </w:tcPr>
          <w:p w14:paraId="27CF644C" w14:textId="32D06063" w:rsidR="0036095A" w:rsidRPr="00E83088" w:rsidRDefault="0036095A" w:rsidP="00FB5497">
            <w:pPr>
              <w:pStyle w:val="CETBodytext"/>
            </w:pPr>
            <w:r w:rsidRPr="00E83088">
              <w:t>2.7</w:t>
            </w:r>
          </w:p>
        </w:tc>
        <w:tc>
          <w:tcPr>
            <w:tcW w:w="2194" w:type="dxa"/>
            <w:tcBorders>
              <w:top w:val="double" w:sz="4" w:space="0" w:color="auto"/>
              <w:bottom w:val="single" w:sz="4" w:space="0" w:color="auto"/>
            </w:tcBorders>
          </w:tcPr>
          <w:p w14:paraId="5A4790D9" w14:textId="130D279F" w:rsidR="0036095A" w:rsidRPr="00E83088" w:rsidRDefault="0036095A" w:rsidP="00FB5497">
            <w:pPr>
              <w:pStyle w:val="CETBodytext"/>
            </w:pPr>
            <w:r w:rsidRPr="00E83088">
              <w:t>35 % hydrogen in air</w:t>
            </w:r>
          </w:p>
        </w:tc>
        <w:tc>
          <w:tcPr>
            <w:tcW w:w="1462" w:type="dxa"/>
            <w:tcBorders>
              <w:top w:val="double" w:sz="4" w:space="0" w:color="auto"/>
              <w:bottom w:val="single" w:sz="4" w:space="0" w:color="auto"/>
              <w:right w:val="nil"/>
            </w:tcBorders>
          </w:tcPr>
          <w:p w14:paraId="068CBB7D" w14:textId="6A45E762" w:rsidR="0036095A" w:rsidRPr="00E83088" w:rsidRDefault="0036095A" w:rsidP="00FB5497">
            <w:pPr>
              <w:pStyle w:val="CETBodytext"/>
            </w:pPr>
            <w:r w:rsidRPr="00E83088">
              <w:t>0.28</w:t>
            </w:r>
          </w:p>
        </w:tc>
        <w:tc>
          <w:tcPr>
            <w:tcW w:w="1462" w:type="dxa"/>
            <w:tcBorders>
              <w:top w:val="double" w:sz="4" w:space="0" w:color="auto"/>
              <w:bottom w:val="single" w:sz="4" w:space="0" w:color="auto"/>
            </w:tcBorders>
          </w:tcPr>
          <w:p w14:paraId="00AFC0C9" w14:textId="48C8563B" w:rsidR="0036095A" w:rsidRPr="00E83088" w:rsidRDefault="0036095A" w:rsidP="00FB5497">
            <w:pPr>
              <w:pStyle w:val="CETBodytext"/>
            </w:pPr>
            <w:r w:rsidRPr="00E83088">
              <w:t>0.5</w:t>
            </w:r>
          </w:p>
        </w:tc>
        <w:tc>
          <w:tcPr>
            <w:tcW w:w="1462" w:type="dxa"/>
            <w:tcBorders>
              <w:top w:val="double" w:sz="4" w:space="0" w:color="auto"/>
              <w:bottom w:val="single" w:sz="4" w:space="0" w:color="auto"/>
              <w:right w:val="nil"/>
            </w:tcBorders>
          </w:tcPr>
          <w:p w14:paraId="2FD6D6D9" w14:textId="4EBAF448" w:rsidR="0036095A" w:rsidRPr="00E83088" w:rsidRDefault="0036095A" w:rsidP="00FB5497">
            <w:pPr>
              <w:pStyle w:val="CETBodytext"/>
            </w:pPr>
            <w:r w:rsidRPr="00E83088">
              <w:t>3.52; 3.31</w:t>
            </w:r>
          </w:p>
        </w:tc>
      </w:tr>
      <w:tr w:rsidR="0036095A" w:rsidRPr="00E83088" w14:paraId="60486AA8" w14:textId="5FFD0AD6" w:rsidTr="00FB5497">
        <w:trPr>
          <w:trHeight w:val="300"/>
          <w:jc w:val="center"/>
        </w:trPr>
        <w:tc>
          <w:tcPr>
            <w:tcW w:w="2194" w:type="dxa"/>
            <w:tcBorders>
              <w:top w:val="single" w:sz="4" w:space="0" w:color="auto"/>
              <w:left w:val="nil"/>
            </w:tcBorders>
          </w:tcPr>
          <w:p w14:paraId="58DB6D2D" w14:textId="2512E745" w:rsidR="0036095A" w:rsidRPr="00E83088" w:rsidRDefault="0036095A" w:rsidP="00FB5497">
            <w:pPr>
              <w:pStyle w:val="CETBodytext"/>
            </w:pPr>
            <w:r w:rsidRPr="00E83088">
              <w:t>2.7</w:t>
            </w:r>
          </w:p>
        </w:tc>
        <w:tc>
          <w:tcPr>
            <w:tcW w:w="2194" w:type="dxa"/>
            <w:tcBorders>
              <w:top w:val="single" w:sz="4" w:space="0" w:color="auto"/>
            </w:tcBorders>
          </w:tcPr>
          <w:p w14:paraId="74F83A06" w14:textId="68351E18" w:rsidR="0036095A" w:rsidRPr="00E83088" w:rsidRDefault="0036095A" w:rsidP="00FB5497">
            <w:pPr>
              <w:pStyle w:val="CETBodytext"/>
            </w:pPr>
            <w:r w:rsidRPr="00E83088">
              <w:t>9.5% methane in air</w:t>
            </w:r>
          </w:p>
        </w:tc>
        <w:tc>
          <w:tcPr>
            <w:tcW w:w="1462" w:type="dxa"/>
            <w:tcBorders>
              <w:top w:val="single" w:sz="4" w:space="0" w:color="auto"/>
              <w:right w:val="nil"/>
            </w:tcBorders>
          </w:tcPr>
          <w:p w14:paraId="71D700D9" w14:textId="3477BCF9" w:rsidR="0036095A" w:rsidRPr="00E83088" w:rsidRDefault="0036095A" w:rsidP="00FB5497">
            <w:pPr>
              <w:pStyle w:val="CETBodytext"/>
            </w:pPr>
            <w:r w:rsidRPr="00E83088">
              <w:t>0.19</w:t>
            </w:r>
          </w:p>
        </w:tc>
        <w:tc>
          <w:tcPr>
            <w:tcW w:w="1462" w:type="dxa"/>
            <w:tcBorders>
              <w:top w:val="single" w:sz="4" w:space="0" w:color="auto"/>
            </w:tcBorders>
          </w:tcPr>
          <w:p w14:paraId="6194ACEB" w14:textId="0B7344E9" w:rsidR="0036095A" w:rsidRPr="00E83088" w:rsidRDefault="0036095A" w:rsidP="00FB5497">
            <w:pPr>
              <w:pStyle w:val="CETBodytext"/>
            </w:pPr>
            <w:r w:rsidRPr="00E83088">
              <w:t>0.04</w:t>
            </w:r>
          </w:p>
        </w:tc>
        <w:tc>
          <w:tcPr>
            <w:tcW w:w="1462" w:type="dxa"/>
            <w:tcBorders>
              <w:top w:val="single" w:sz="4" w:space="0" w:color="auto"/>
              <w:right w:val="nil"/>
            </w:tcBorders>
          </w:tcPr>
          <w:p w14:paraId="0995A2F0" w14:textId="6AB5AD59" w:rsidR="0036095A" w:rsidRPr="00E83088" w:rsidRDefault="0036095A" w:rsidP="00FB5497">
            <w:pPr>
              <w:pStyle w:val="CETBodytext"/>
            </w:pPr>
            <w:r w:rsidRPr="00E83088">
              <w:t>0.06</w:t>
            </w:r>
          </w:p>
        </w:tc>
      </w:tr>
      <w:tr w:rsidR="0036095A" w:rsidRPr="00E83088" w14:paraId="2EF188AC" w14:textId="4C9899F1" w:rsidTr="00FB5497">
        <w:trPr>
          <w:trHeight w:val="300"/>
          <w:jc w:val="center"/>
        </w:trPr>
        <w:tc>
          <w:tcPr>
            <w:tcW w:w="2194" w:type="dxa"/>
            <w:tcBorders>
              <w:top w:val="single" w:sz="4" w:space="0" w:color="auto"/>
              <w:left w:val="nil"/>
            </w:tcBorders>
          </w:tcPr>
          <w:p w14:paraId="1494BA82" w14:textId="3A256A09" w:rsidR="0036095A" w:rsidRPr="00E83088" w:rsidRDefault="0036095A" w:rsidP="00FB5497">
            <w:pPr>
              <w:pStyle w:val="CETBodytext"/>
            </w:pPr>
            <w:r w:rsidRPr="00E83088">
              <w:t>2.7</w:t>
            </w:r>
          </w:p>
        </w:tc>
        <w:tc>
          <w:tcPr>
            <w:tcW w:w="2194" w:type="dxa"/>
            <w:tcBorders>
              <w:top w:val="single" w:sz="4" w:space="0" w:color="auto"/>
            </w:tcBorders>
          </w:tcPr>
          <w:p w14:paraId="28C3C1C1" w14:textId="25F5A36E" w:rsidR="0036095A" w:rsidRPr="00E83088" w:rsidRDefault="0036095A" w:rsidP="00FB5497">
            <w:pPr>
              <w:pStyle w:val="CETBodytext"/>
            </w:pPr>
            <w:r w:rsidRPr="00E83088">
              <w:t>16.6% fuel in air; fuel 37% hydrogen and 63% methane</w:t>
            </w:r>
          </w:p>
        </w:tc>
        <w:tc>
          <w:tcPr>
            <w:tcW w:w="1462" w:type="dxa"/>
            <w:tcBorders>
              <w:top w:val="single" w:sz="4" w:space="0" w:color="auto"/>
              <w:right w:val="nil"/>
            </w:tcBorders>
          </w:tcPr>
          <w:p w14:paraId="78ECC940" w14:textId="0EF3BFF0" w:rsidR="0036095A" w:rsidRPr="00E83088" w:rsidRDefault="0036095A" w:rsidP="00FB5497">
            <w:pPr>
              <w:pStyle w:val="CETBodytext"/>
            </w:pPr>
            <w:r w:rsidRPr="00E83088">
              <w:t>0.19</w:t>
            </w:r>
          </w:p>
        </w:tc>
        <w:tc>
          <w:tcPr>
            <w:tcW w:w="1462" w:type="dxa"/>
            <w:tcBorders>
              <w:top w:val="single" w:sz="4" w:space="0" w:color="auto"/>
            </w:tcBorders>
          </w:tcPr>
          <w:p w14:paraId="545A902F" w14:textId="334149B7" w:rsidR="0036095A" w:rsidRPr="00E83088" w:rsidRDefault="0036095A" w:rsidP="00FB5497">
            <w:pPr>
              <w:pStyle w:val="CETBodytext"/>
            </w:pPr>
            <w:r w:rsidRPr="00E83088">
              <w:t>0.04</w:t>
            </w:r>
          </w:p>
        </w:tc>
        <w:tc>
          <w:tcPr>
            <w:tcW w:w="1462" w:type="dxa"/>
            <w:tcBorders>
              <w:top w:val="single" w:sz="4" w:space="0" w:color="auto"/>
              <w:right w:val="nil"/>
            </w:tcBorders>
          </w:tcPr>
          <w:p w14:paraId="15569AB4" w14:textId="4B7CC70B" w:rsidR="0036095A" w:rsidRPr="00E83088" w:rsidRDefault="0036095A" w:rsidP="00FB5497">
            <w:pPr>
              <w:pStyle w:val="CETBodytext"/>
            </w:pPr>
            <w:r w:rsidRPr="00E83088">
              <w:t>0.51</w:t>
            </w:r>
          </w:p>
        </w:tc>
      </w:tr>
      <w:tr w:rsidR="0036095A" w:rsidRPr="00E83088" w14:paraId="7F16AB3D" w14:textId="3679B14D" w:rsidTr="00FB5497">
        <w:trPr>
          <w:trHeight w:val="300"/>
          <w:jc w:val="center"/>
        </w:trPr>
        <w:tc>
          <w:tcPr>
            <w:tcW w:w="2194" w:type="dxa"/>
            <w:tcBorders>
              <w:left w:val="nil"/>
            </w:tcBorders>
          </w:tcPr>
          <w:p w14:paraId="2E9B693A" w14:textId="14788943" w:rsidR="0036095A" w:rsidRPr="00E83088" w:rsidRDefault="0036095A" w:rsidP="00FB5497">
            <w:pPr>
              <w:pStyle w:val="CETBodytext"/>
            </w:pPr>
            <w:r w:rsidRPr="00E83088">
              <w:t>2.86</w:t>
            </w:r>
          </w:p>
        </w:tc>
        <w:tc>
          <w:tcPr>
            <w:tcW w:w="2194" w:type="dxa"/>
          </w:tcPr>
          <w:p w14:paraId="1B2097A3" w14:textId="2E89B43A" w:rsidR="0036095A" w:rsidRPr="00E83088" w:rsidRDefault="0036095A" w:rsidP="00FB5497">
            <w:pPr>
              <w:pStyle w:val="CETBodytext"/>
            </w:pPr>
            <w:r w:rsidRPr="00E83088">
              <w:t>35 % hydrogen in air</w:t>
            </w:r>
          </w:p>
        </w:tc>
        <w:tc>
          <w:tcPr>
            <w:tcW w:w="1462" w:type="dxa"/>
            <w:tcBorders>
              <w:right w:val="nil"/>
            </w:tcBorders>
          </w:tcPr>
          <w:p w14:paraId="4C65F938" w14:textId="4D3560C6" w:rsidR="0036095A" w:rsidRPr="00E83088" w:rsidRDefault="0036095A" w:rsidP="00FB5497">
            <w:pPr>
              <w:pStyle w:val="CETBodytext"/>
            </w:pPr>
            <w:r w:rsidRPr="00E83088">
              <w:t>0.54</w:t>
            </w:r>
          </w:p>
        </w:tc>
        <w:tc>
          <w:tcPr>
            <w:tcW w:w="1462" w:type="dxa"/>
          </w:tcPr>
          <w:p w14:paraId="6C620A0A" w14:textId="3719F7E4" w:rsidR="0036095A" w:rsidRPr="00E83088" w:rsidRDefault="0036095A" w:rsidP="00FB5497">
            <w:pPr>
              <w:pStyle w:val="CETBodytext"/>
            </w:pPr>
            <w:r w:rsidRPr="00E83088">
              <w:t>0.2</w:t>
            </w:r>
          </w:p>
        </w:tc>
        <w:tc>
          <w:tcPr>
            <w:tcW w:w="1462" w:type="dxa"/>
            <w:tcBorders>
              <w:right w:val="nil"/>
            </w:tcBorders>
          </w:tcPr>
          <w:p w14:paraId="75939C81" w14:textId="0DF42BDA" w:rsidR="0036095A" w:rsidRPr="00E83088" w:rsidRDefault="0036095A" w:rsidP="00FB5497">
            <w:pPr>
              <w:pStyle w:val="CETBodytext"/>
            </w:pPr>
            <w:r w:rsidRPr="00E83088">
              <w:t>1.45; 1.2</w:t>
            </w:r>
          </w:p>
        </w:tc>
      </w:tr>
      <w:tr w:rsidR="0036095A" w:rsidRPr="00E83088" w14:paraId="2ABB53F5" w14:textId="3AE7F048" w:rsidTr="00FB5497">
        <w:trPr>
          <w:trHeight w:val="300"/>
          <w:jc w:val="center"/>
        </w:trPr>
        <w:tc>
          <w:tcPr>
            <w:tcW w:w="2194" w:type="dxa"/>
            <w:tcBorders>
              <w:left w:val="nil"/>
            </w:tcBorders>
          </w:tcPr>
          <w:p w14:paraId="23B43175" w14:textId="44F9A8BE" w:rsidR="0036095A" w:rsidRPr="00E83088" w:rsidRDefault="0036095A" w:rsidP="00FB5497">
            <w:pPr>
              <w:pStyle w:val="CETBodytext"/>
            </w:pPr>
            <w:r w:rsidRPr="00E83088">
              <w:t>13.49</w:t>
            </w:r>
          </w:p>
        </w:tc>
        <w:tc>
          <w:tcPr>
            <w:tcW w:w="2194" w:type="dxa"/>
          </w:tcPr>
          <w:p w14:paraId="52DA175D" w14:textId="22818957" w:rsidR="0036095A" w:rsidRPr="00E83088" w:rsidRDefault="0036095A" w:rsidP="00FB5497">
            <w:pPr>
              <w:pStyle w:val="CETBodytext"/>
            </w:pPr>
            <w:r w:rsidRPr="00E83088">
              <w:t>35 % hydrogen in air</w:t>
            </w:r>
          </w:p>
        </w:tc>
        <w:tc>
          <w:tcPr>
            <w:tcW w:w="1462" w:type="dxa"/>
            <w:tcBorders>
              <w:right w:val="nil"/>
            </w:tcBorders>
          </w:tcPr>
          <w:p w14:paraId="13BF3E07" w14:textId="04CD1EF1" w:rsidR="0036095A" w:rsidRPr="00E83088" w:rsidRDefault="0036095A" w:rsidP="00FB5497">
            <w:pPr>
              <w:pStyle w:val="CETBodytext"/>
            </w:pPr>
            <w:r w:rsidRPr="00E83088">
              <w:t>1.04</w:t>
            </w:r>
          </w:p>
        </w:tc>
        <w:tc>
          <w:tcPr>
            <w:tcW w:w="1462" w:type="dxa"/>
          </w:tcPr>
          <w:p w14:paraId="0564EEFA" w14:textId="358B11FD" w:rsidR="0036095A" w:rsidRPr="00E83088" w:rsidRDefault="0036095A" w:rsidP="00FB5497">
            <w:pPr>
              <w:pStyle w:val="CETBodytext"/>
            </w:pPr>
            <w:r w:rsidRPr="00E83088">
              <w:t>0.2</w:t>
            </w:r>
          </w:p>
        </w:tc>
        <w:tc>
          <w:tcPr>
            <w:tcW w:w="1462" w:type="dxa"/>
            <w:tcBorders>
              <w:right w:val="nil"/>
            </w:tcBorders>
          </w:tcPr>
          <w:p w14:paraId="6EF9D7E4" w14:textId="51502FAE" w:rsidR="0036095A" w:rsidRPr="00E83088" w:rsidRDefault="0036095A" w:rsidP="00FB5497">
            <w:pPr>
              <w:pStyle w:val="CETBodytext"/>
            </w:pPr>
            <w:r w:rsidRPr="00E83088">
              <w:t>4.19; 4.40; 4.43</w:t>
            </w:r>
          </w:p>
        </w:tc>
      </w:tr>
    </w:tbl>
    <w:p w14:paraId="52B08861" w14:textId="56E132EB" w:rsidR="005349ED" w:rsidRPr="00E83088" w:rsidRDefault="005349ED" w:rsidP="005349ED">
      <w:pPr>
        <w:pStyle w:val="CETHeading1"/>
      </w:pPr>
      <w:r w:rsidRPr="00E83088">
        <w:lastRenderedPageBreak/>
        <w:t>Results</w:t>
      </w:r>
      <w:r w:rsidR="00B26CC3" w:rsidRPr="00E83088">
        <w:t xml:space="preserve"> and Discussion</w:t>
      </w:r>
    </w:p>
    <w:p w14:paraId="14BFDC38" w14:textId="474B9E87" w:rsidR="007B66AF" w:rsidRPr="00E83088" w:rsidRDefault="007B66AF" w:rsidP="007B66AF">
      <w:pPr>
        <w:pStyle w:val="CETheadingx"/>
      </w:pPr>
      <w:r w:rsidRPr="00E83088">
        <w:t xml:space="preserve">Basic Sensitivity </w:t>
      </w:r>
      <w:r w:rsidR="00F31C2F" w:rsidRPr="00E83088">
        <w:t>Analysis</w:t>
      </w:r>
      <w:r w:rsidRPr="00E83088">
        <w:t xml:space="preserve"> of </w:t>
      </w:r>
      <w:r w:rsidR="00F31C2F" w:rsidRPr="00E83088">
        <w:t xml:space="preserve">Mixture </w:t>
      </w:r>
      <w:r w:rsidR="00596B40" w:rsidRPr="00E83088">
        <w:t>Properties</w:t>
      </w:r>
      <w:r w:rsidRPr="00E83088">
        <w:t xml:space="preserve"> using 20</w:t>
      </w:r>
      <w:r w:rsidR="0062767A">
        <w:t>-</w:t>
      </w:r>
      <w:r w:rsidRPr="00E83088">
        <w:t>ft ISO Container Geometry</w:t>
      </w:r>
    </w:p>
    <w:p w14:paraId="1F700B51" w14:textId="5D65FA7A" w:rsidR="007B66AF" w:rsidRPr="00E83088" w:rsidRDefault="007B66AF" w:rsidP="007B66AF">
      <w:pPr>
        <w:pStyle w:val="CETBodytext"/>
      </w:pPr>
      <w:r w:rsidRPr="00E83088">
        <w:t xml:space="preserve">To evaluate sensitivity, a systematic study </w:t>
      </w:r>
      <w:r w:rsidR="00496BF0">
        <w:t xml:space="preserve">was conducted </w:t>
      </w:r>
      <w:r w:rsidRPr="00E83088">
        <w:t>using a standardized 20</w:t>
      </w:r>
      <w:r w:rsidR="0062767A">
        <w:t>-</w:t>
      </w:r>
      <w:r w:rsidRPr="00E83088">
        <w:t xml:space="preserve">ft ISO container geometry, a common test configuration </w:t>
      </w:r>
      <w:r w:rsidR="23946BE6" w:rsidRPr="00E83088">
        <w:t>and one relevant to various industrial applications</w:t>
      </w:r>
      <w:r w:rsidRPr="00E83088">
        <w:t>. Th</w:t>
      </w:r>
      <w:r w:rsidR="00A11F9B" w:rsidRPr="00E83088">
        <w:t>is</w:t>
      </w:r>
      <w:r w:rsidRPr="00E83088">
        <w:t xml:space="preserve"> theoretical study examined the impact of varying each </w:t>
      </w:r>
      <w:r w:rsidR="00A11F9B" w:rsidRPr="00E83088">
        <w:t xml:space="preserve">mixture </w:t>
      </w:r>
      <w:r w:rsidR="00596B40" w:rsidRPr="00E83088">
        <w:t>property</w:t>
      </w:r>
      <w:r w:rsidRPr="00E83088">
        <w:t xml:space="preserve"> independently while holding others constant at their default values. The NFPA 68 (2023) model for low-strength enclosures (P</w:t>
      </w:r>
      <w:r w:rsidRPr="00E83088">
        <w:rPr>
          <w:vertAlign w:val="subscript"/>
        </w:rPr>
        <w:t>red</w:t>
      </w:r>
      <w:r w:rsidRPr="00E83088">
        <w:t xml:space="preserve"> </w:t>
      </w:r>
      <w:r w:rsidRPr="00E83088">
        <w:rPr>
          <w:rFonts w:ascii="Symbol" w:eastAsia="Symbol" w:hAnsi="Symbol" w:cs="Symbol"/>
        </w:rPr>
        <w:t>£</w:t>
      </w:r>
      <w:r w:rsidRPr="00E83088">
        <w:t xml:space="preserve"> 0.5 bar-g</w:t>
      </w:r>
      <w:r w:rsidR="003E237D" w:rsidRPr="00E83088">
        <w:t>, Sec. 7.2.1</w:t>
      </w:r>
      <w:r w:rsidRPr="00E83088">
        <w:t xml:space="preserve">) was </w:t>
      </w:r>
      <w:r w:rsidR="00A11F9B" w:rsidRPr="00E83088">
        <w:t xml:space="preserve">first </w:t>
      </w:r>
      <w:r w:rsidRPr="00E83088">
        <w:t>solved, both forward (to determine A</w:t>
      </w:r>
      <w:r w:rsidRPr="00E83088">
        <w:rPr>
          <w:vertAlign w:val="subscript"/>
        </w:rPr>
        <w:t>v</w:t>
      </w:r>
      <w:r w:rsidRPr="00E83088">
        <w:t xml:space="preserve"> for a given P</w:t>
      </w:r>
      <w:r w:rsidRPr="00E83088">
        <w:rPr>
          <w:vertAlign w:val="subscript"/>
        </w:rPr>
        <w:t>red</w:t>
      </w:r>
      <w:r w:rsidRPr="00E83088">
        <w:t>) and backward (to determine P</w:t>
      </w:r>
      <w:r w:rsidRPr="00E83088">
        <w:rPr>
          <w:vertAlign w:val="subscript"/>
        </w:rPr>
        <w:t>red</w:t>
      </w:r>
      <w:r w:rsidRPr="00E83088">
        <w:t xml:space="preserve"> for a given A</w:t>
      </w:r>
      <w:r w:rsidRPr="00E83088">
        <w:rPr>
          <w:vertAlign w:val="subscript"/>
        </w:rPr>
        <w:t>v</w:t>
      </w:r>
      <w:r w:rsidRPr="00E83088">
        <w:t xml:space="preserve">). </w:t>
      </w:r>
      <w:r w:rsidR="00A11F9B" w:rsidRPr="00E83088">
        <w:t>Second, the model for high-strength enclosures (</w:t>
      </w:r>
      <w:r w:rsidR="003E237D" w:rsidRPr="00E83088">
        <w:t>P</w:t>
      </w:r>
      <w:r w:rsidR="003E237D" w:rsidRPr="00E83088">
        <w:rPr>
          <w:vertAlign w:val="subscript"/>
        </w:rPr>
        <w:t>red</w:t>
      </w:r>
      <w:r w:rsidR="003E237D" w:rsidRPr="00E83088">
        <w:t xml:space="preserve"> </w:t>
      </w:r>
      <w:r w:rsidR="003E237D" w:rsidRPr="00E83088">
        <w:rPr>
          <w:rFonts w:ascii="Symbol" w:eastAsia="Symbol" w:hAnsi="Symbol" w:cs="Symbol"/>
        </w:rPr>
        <w:t>&gt;</w:t>
      </w:r>
      <w:r w:rsidR="003E237D" w:rsidRPr="00E83088">
        <w:t xml:space="preserve"> 0.5 bar-g, Sec. 7.2.2</w:t>
      </w:r>
      <w:r w:rsidR="00A11F9B" w:rsidRPr="00E83088">
        <w:t>)</w:t>
      </w:r>
      <w:r w:rsidR="003E237D" w:rsidRPr="00E83088">
        <w:t xml:space="preserve"> was also solved for A</w:t>
      </w:r>
      <w:r w:rsidR="003E237D" w:rsidRPr="00E83088">
        <w:rPr>
          <w:vertAlign w:val="subscript"/>
        </w:rPr>
        <w:t>v</w:t>
      </w:r>
      <w:r w:rsidR="003E237D" w:rsidRPr="00E83088">
        <w:t xml:space="preserve"> and P</w:t>
      </w:r>
      <w:r w:rsidR="003E237D" w:rsidRPr="00E83088">
        <w:rPr>
          <w:vertAlign w:val="subscript"/>
        </w:rPr>
        <w:t>red</w:t>
      </w:r>
      <w:r w:rsidR="003E237D" w:rsidRPr="00E83088">
        <w:t>.</w:t>
      </w:r>
      <w:r w:rsidR="00A11F9B" w:rsidRPr="00E83088">
        <w:t xml:space="preserve"> </w:t>
      </w:r>
      <w:r w:rsidRPr="00E83088">
        <w:t xml:space="preserve">Sensitivity was expressed for each </w:t>
      </w:r>
      <w:r w:rsidR="00607D3E" w:rsidRPr="00E83088">
        <w:t xml:space="preserve">mixture </w:t>
      </w:r>
      <w:r w:rsidR="00596B40" w:rsidRPr="00E83088">
        <w:t>property</w:t>
      </w:r>
      <w:r w:rsidRPr="00E83088">
        <w:t xml:space="preserve"> in terms of normalized sensitivity coefficients</w:t>
      </w:r>
      <w:r w:rsidR="00496BF0">
        <w:t xml:space="preserve"> per </w:t>
      </w:r>
      <w:proofErr w:type="gramStart"/>
      <w:r w:rsidR="00496BF0">
        <w:t>Eq(</w:t>
      </w:r>
      <w:proofErr w:type="gramEnd"/>
      <w:r w:rsidR="00496BF0">
        <w:t>6)</w:t>
      </w:r>
      <w:r w:rsidRPr="00E8308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7B66AF" w:rsidRPr="00E83088" w14:paraId="06650C0C" w14:textId="77777777" w:rsidTr="00FB5497">
        <w:tc>
          <w:tcPr>
            <w:tcW w:w="8351" w:type="dxa"/>
            <w:vAlign w:val="center"/>
          </w:tcPr>
          <w:p w14:paraId="3EC8F3D3" w14:textId="77777777" w:rsidR="007B66AF" w:rsidRPr="00496BF0" w:rsidRDefault="00000000" w:rsidP="00591A21">
            <w:pPr>
              <w:pStyle w:val="CETEquation"/>
            </w:pPr>
            <m:oMathPara>
              <m:oMathParaPr>
                <m:jc m:val="left"/>
              </m:oMathParaPr>
              <m:oMath>
                <m:sSub>
                  <m:sSubPr>
                    <m:ctrlPr>
                      <w:rPr>
                        <w:rFonts w:ascii="Cambria Math" w:hAnsi="Cambria Math"/>
                      </w:rPr>
                    </m:ctrlPr>
                  </m:sSubPr>
                  <m:e>
                    <m:r>
                      <w:rPr>
                        <w:rFonts w:ascii="Cambria Math" w:hAnsi="Cambria Math"/>
                      </w:rPr>
                      <m:t>β</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m:t>
                    </m:r>
                    <m:r>
                      <w:rPr>
                        <w:rFonts w:ascii="Cambria Math" w:hAnsi="Cambria Math"/>
                      </w:rPr>
                      <m:t>y</m:t>
                    </m:r>
                  </m:num>
                  <m:den>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r>
                  <m:rPr>
                    <m:sty m:val="p"/>
                  </m:rPr>
                  <w:rPr>
                    <w:rFonts w:ascii="Cambria Math" w:hAnsi="Cambria Math"/>
                  </w:rPr>
                  <m:t xml:space="preserve"> ,</m:t>
                </m:r>
              </m:oMath>
            </m:oMathPara>
          </w:p>
        </w:tc>
        <w:tc>
          <w:tcPr>
            <w:tcW w:w="436" w:type="dxa"/>
            <w:vAlign w:val="center"/>
          </w:tcPr>
          <w:p w14:paraId="3E3EB2FB" w14:textId="33033116" w:rsidR="007B66AF" w:rsidRPr="00E83088" w:rsidRDefault="007B66AF" w:rsidP="00591A21">
            <w:pPr>
              <w:pStyle w:val="CETEquation"/>
            </w:pPr>
            <w:r w:rsidRPr="00E83088">
              <w:t>(</w:t>
            </w:r>
            <w:r w:rsidR="00A8310B" w:rsidRPr="00E83088">
              <w:t>6</w:t>
            </w:r>
            <w:r w:rsidRPr="00E83088">
              <w:t>)</w:t>
            </w:r>
          </w:p>
        </w:tc>
      </w:tr>
    </w:tbl>
    <w:p w14:paraId="29131733" w14:textId="69901FCD" w:rsidR="007B66AF" w:rsidRPr="00E83088" w:rsidRDefault="007B66AF" w:rsidP="007B66AF">
      <w:pPr>
        <w:pStyle w:val="CETBodytext"/>
      </w:pPr>
      <w:r w:rsidRPr="00E83088">
        <w:t xml:space="preserve">where x and y represent the investigated input </w:t>
      </w:r>
      <w:r w:rsidR="003D7CC3" w:rsidRPr="00E83088">
        <w:t>(i.e. mixture</w:t>
      </w:r>
      <w:r w:rsidR="00596B40" w:rsidRPr="00E83088">
        <w:t xml:space="preserve"> properties</w:t>
      </w:r>
      <w:r w:rsidR="003D7CC3" w:rsidRPr="00E83088">
        <w:t xml:space="preserve">) </w:t>
      </w:r>
      <w:r w:rsidRPr="00E83088">
        <w:t>and output</w:t>
      </w:r>
      <w:r w:rsidR="003D7CC3" w:rsidRPr="00E83088">
        <w:t xml:space="preserve"> (i.e., A</w:t>
      </w:r>
      <w:r w:rsidR="003D7CC3" w:rsidRPr="00E83088">
        <w:rPr>
          <w:vertAlign w:val="subscript"/>
        </w:rPr>
        <w:t>v</w:t>
      </w:r>
      <w:r w:rsidR="003D7CC3" w:rsidRPr="00E83088">
        <w:t xml:space="preserve"> or P</w:t>
      </w:r>
      <w:r w:rsidR="003D7CC3" w:rsidRPr="00E83088">
        <w:rPr>
          <w:vertAlign w:val="subscript"/>
        </w:rPr>
        <w:t>red</w:t>
      </w:r>
      <w:r w:rsidR="003D7CC3" w:rsidRPr="00E83088">
        <w:t>)</w:t>
      </w:r>
      <w:r w:rsidRPr="00E83088">
        <w:t xml:space="preserve">, respectively. Each </w:t>
      </w:r>
      <w:r w:rsidR="006E36AC" w:rsidRPr="00E83088">
        <w:t xml:space="preserve">input </w:t>
      </w:r>
      <w:r w:rsidRPr="00E83088">
        <w:t xml:space="preserve">was varied by </w:t>
      </w:r>
      <w:r w:rsidRPr="00E83088">
        <w:rPr>
          <w:rFonts w:ascii="Symbol" w:eastAsia="Symbol" w:hAnsi="Symbol" w:cs="Symbol"/>
        </w:rPr>
        <w:t>±</w:t>
      </w:r>
      <w:r w:rsidRPr="00E83088">
        <w:t xml:space="preserve">1% </w:t>
      </w:r>
      <w:r w:rsidR="00496BF0">
        <w:t>of</w:t>
      </w:r>
      <w:r w:rsidRPr="00E83088">
        <w:t xml:space="preserve"> </w:t>
      </w:r>
      <w:r w:rsidR="00496BF0">
        <w:t>the</w:t>
      </w:r>
      <w:r w:rsidRPr="00E83088">
        <w:t xml:space="preserve"> base value given in Table </w:t>
      </w:r>
      <w:r w:rsidR="00907130" w:rsidRPr="00E83088">
        <w:t>4</w:t>
      </w:r>
      <w:r w:rsidRPr="00E83088">
        <w:t xml:space="preserve">. For parameters </w:t>
      </w:r>
      <w:proofErr w:type="spellStart"/>
      <w:r w:rsidR="009B2291" w:rsidRPr="00E83088">
        <w:t>ρ</w:t>
      </w:r>
      <w:r w:rsidR="009B2291" w:rsidRPr="00E83088">
        <w:rPr>
          <w:vertAlign w:val="subscript"/>
        </w:rPr>
        <w:t>u</w:t>
      </w:r>
      <w:proofErr w:type="spellEnd"/>
      <w:r w:rsidR="009B2291" w:rsidRPr="00E83088">
        <w:t>, G</w:t>
      </w:r>
      <w:r w:rsidR="009B2291" w:rsidRPr="00E83088">
        <w:rPr>
          <w:vertAlign w:val="subscript"/>
        </w:rPr>
        <w:t>u</w:t>
      </w:r>
      <w:r w:rsidR="009B2291" w:rsidRPr="00E83088">
        <w:t xml:space="preserve">, </w:t>
      </w:r>
      <w:proofErr w:type="spellStart"/>
      <w:r w:rsidR="009B2291" w:rsidRPr="00E83088">
        <w:t>γ</w:t>
      </w:r>
      <w:r w:rsidR="009B2291" w:rsidRPr="00E83088">
        <w:rPr>
          <w:vertAlign w:val="subscript"/>
        </w:rPr>
        <w:t>b</w:t>
      </w:r>
      <w:proofErr w:type="spellEnd"/>
      <w:r w:rsidR="009B2291" w:rsidRPr="00E83088">
        <w:t xml:space="preserve">, </w:t>
      </w:r>
      <w:proofErr w:type="spellStart"/>
      <w:r w:rsidR="009B2291" w:rsidRPr="00E83088">
        <w:t>μ</w:t>
      </w:r>
      <w:r w:rsidR="009B2291" w:rsidRPr="00E83088">
        <w:rPr>
          <w:vertAlign w:val="subscript"/>
        </w:rPr>
        <w:t>u</w:t>
      </w:r>
      <w:proofErr w:type="spellEnd"/>
      <w:r w:rsidR="009B2291" w:rsidRPr="00E83088">
        <w:t xml:space="preserve">, </w:t>
      </w:r>
      <w:r w:rsidR="006E36AC" w:rsidRPr="00E83088">
        <w:t xml:space="preserve">and </w:t>
      </w:r>
      <w:r w:rsidR="009B2291" w:rsidRPr="00E83088">
        <w:t>a</w:t>
      </w:r>
      <w:r w:rsidR="009B2291" w:rsidRPr="00E83088">
        <w:rPr>
          <w:vertAlign w:val="subscript"/>
        </w:rPr>
        <w:t>u</w:t>
      </w:r>
      <w:r w:rsidRPr="00E83088">
        <w:t>, the base values given in Table 1 correspond to the default values provided in NFPA 68 (2023</w:t>
      </w:r>
      <w:r w:rsidR="009C6FE4">
        <w:t>.</w:t>
      </w:r>
      <w:r w:rsidRPr="00E83088">
        <w:t>)</w:t>
      </w:r>
      <w:r w:rsidR="00596B40" w:rsidRPr="00E83088">
        <w:t xml:space="preserve"> </w:t>
      </w:r>
      <w:r w:rsidR="009B5EC4" w:rsidRPr="009B5EC4">
        <w:rPr>
          <w:lang w:val="en-GB"/>
        </w:rPr>
        <w:t>The calculations assumed stoichiometric fuel concentrations above 10% (</w:t>
      </w:r>
      <w:proofErr w:type="spellStart"/>
      <w:r w:rsidR="009B5EC4" w:rsidRPr="009B5EC4">
        <w:rPr>
          <w:lang w:val="en-GB"/>
        </w:rPr>
        <w:t>X</w:t>
      </w:r>
      <w:r w:rsidR="009B5EC4" w:rsidRPr="009B5EC4">
        <w:rPr>
          <w:vertAlign w:val="subscript"/>
          <w:lang w:val="en-GB"/>
        </w:rPr>
        <w:t>St</w:t>
      </w:r>
      <w:proofErr w:type="spellEnd"/>
      <w:r w:rsidR="009B5EC4" w:rsidRPr="009B5EC4">
        <w:rPr>
          <w:lang w:val="en-GB"/>
        </w:rPr>
        <w:t xml:space="preserve"> &gt; 10%), precluding the </w:t>
      </w:r>
      <w:r w:rsidR="002572EA">
        <w:rPr>
          <w:lang w:val="en-GB"/>
        </w:rPr>
        <w:t xml:space="preserve">simplified calculation of vent sizing parameter C </w:t>
      </w:r>
      <w:r w:rsidR="009B5EC4" w:rsidRPr="009B5EC4">
        <w:rPr>
          <w:lang w:val="en-GB"/>
        </w:rPr>
        <w:t>that NFPA 68 (2023) permits for lower concentrations.</w:t>
      </w:r>
    </w:p>
    <w:p w14:paraId="3A836DAC" w14:textId="3D05BAB3" w:rsidR="00063138" w:rsidRPr="00E83088" w:rsidRDefault="007B66AF" w:rsidP="00591A21">
      <w:pPr>
        <w:pStyle w:val="CETTabletitle"/>
        <w:jc w:val="center"/>
        <w:rPr>
          <w:lang w:val="en-US"/>
        </w:rPr>
      </w:pPr>
      <w:r w:rsidRPr="00E83088">
        <w:rPr>
          <w:lang w:val="en-US"/>
        </w:rPr>
        <w:t xml:space="preserve">Table </w:t>
      </w:r>
      <w:r w:rsidRPr="00E83088">
        <w:rPr>
          <w:lang w:val="en-US"/>
        </w:rPr>
        <w:fldChar w:fldCharType="begin"/>
      </w:r>
      <w:r w:rsidRPr="00E83088">
        <w:rPr>
          <w:lang w:val="en-US"/>
        </w:rPr>
        <w:instrText xml:space="preserve"> SEQ Table \* ARABIC </w:instrText>
      </w:r>
      <w:r w:rsidRPr="00E83088">
        <w:rPr>
          <w:lang w:val="en-US"/>
        </w:rPr>
        <w:fldChar w:fldCharType="separate"/>
      </w:r>
      <w:r w:rsidR="00907130" w:rsidRPr="00E83088">
        <w:rPr>
          <w:noProof/>
          <w:lang w:val="en-US"/>
        </w:rPr>
        <w:t>4</w:t>
      </w:r>
      <w:r w:rsidRPr="00E83088">
        <w:rPr>
          <w:lang w:val="en-US"/>
        </w:rPr>
        <w:fldChar w:fldCharType="end"/>
      </w:r>
      <w:r w:rsidRPr="00E83088">
        <w:rPr>
          <w:lang w:val="en-US"/>
        </w:rPr>
        <w:t xml:space="preserve">: </w:t>
      </w:r>
      <w:r w:rsidR="00D874F1" w:rsidRPr="00E83088">
        <w:rPr>
          <w:lang w:val="en-US"/>
        </w:rPr>
        <w:t xml:space="preserve">Parameters used </w:t>
      </w:r>
      <w:r w:rsidR="007D1098" w:rsidRPr="00E83088">
        <w:rPr>
          <w:lang w:val="en-US"/>
        </w:rPr>
        <w:t>in</w:t>
      </w:r>
      <w:r w:rsidR="00D874F1" w:rsidRPr="00E83088">
        <w:rPr>
          <w:lang w:val="en-US"/>
        </w:rPr>
        <w:t xml:space="preserve"> the basic sensitivity </w:t>
      </w:r>
      <w:r w:rsidR="000A17C5" w:rsidRPr="00E83088">
        <w:rPr>
          <w:lang w:val="en-US"/>
        </w:rPr>
        <w:t>analysis</w:t>
      </w:r>
      <w:r w:rsidR="00D874F1" w:rsidRPr="00E83088">
        <w:rPr>
          <w:lang w:val="en-US"/>
        </w:rPr>
        <w:t>.</w:t>
      </w:r>
    </w:p>
    <w:tbl>
      <w:tblPr>
        <w:tblStyle w:val="TableGrid"/>
        <w:tblW w:w="0" w:type="auto"/>
        <w:tblLook w:val="04A0" w:firstRow="1" w:lastRow="0" w:firstColumn="1" w:lastColumn="0" w:noHBand="0" w:noVBand="1"/>
      </w:tblPr>
      <w:tblGrid>
        <w:gridCol w:w="1462"/>
        <w:gridCol w:w="1463"/>
        <w:gridCol w:w="1463"/>
        <w:gridCol w:w="1463"/>
        <w:gridCol w:w="1463"/>
        <w:gridCol w:w="1463"/>
      </w:tblGrid>
      <w:tr w:rsidR="00063138" w:rsidRPr="00E83088" w14:paraId="01CCD0BB" w14:textId="77777777" w:rsidTr="20FD7D56">
        <w:tc>
          <w:tcPr>
            <w:tcW w:w="1462" w:type="dxa"/>
            <w:tcBorders>
              <w:left w:val="nil"/>
              <w:bottom w:val="double" w:sz="4" w:space="0" w:color="auto"/>
            </w:tcBorders>
          </w:tcPr>
          <w:p w14:paraId="506E17E2" w14:textId="658A5CE0" w:rsidR="00063138" w:rsidRPr="00E83088" w:rsidRDefault="00063138" w:rsidP="00063138">
            <w:pPr>
              <w:rPr>
                <w:lang w:val="en-US"/>
              </w:rPr>
            </w:pPr>
            <w:r w:rsidRPr="00E83088">
              <w:rPr>
                <w:lang w:val="en-US"/>
              </w:rPr>
              <w:t>Mixture parameters</w:t>
            </w:r>
          </w:p>
        </w:tc>
        <w:tc>
          <w:tcPr>
            <w:tcW w:w="1463" w:type="dxa"/>
            <w:tcBorders>
              <w:bottom w:val="double" w:sz="4" w:space="0" w:color="auto"/>
              <w:right w:val="double" w:sz="4" w:space="0" w:color="auto"/>
            </w:tcBorders>
          </w:tcPr>
          <w:p w14:paraId="2A9725AD" w14:textId="0819D81E" w:rsidR="00063138" w:rsidRPr="00E83088" w:rsidRDefault="00063138" w:rsidP="00063138">
            <w:pPr>
              <w:rPr>
                <w:lang w:val="en-US"/>
              </w:rPr>
            </w:pPr>
            <w:r w:rsidRPr="00E83088">
              <w:rPr>
                <w:lang w:val="en-US"/>
              </w:rPr>
              <w:t>Base values</w:t>
            </w:r>
          </w:p>
        </w:tc>
        <w:tc>
          <w:tcPr>
            <w:tcW w:w="1463" w:type="dxa"/>
            <w:tcBorders>
              <w:left w:val="double" w:sz="4" w:space="0" w:color="auto"/>
              <w:bottom w:val="double" w:sz="4" w:space="0" w:color="auto"/>
            </w:tcBorders>
          </w:tcPr>
          <w:p w14:paraId="038D18E5" w14:textId="5CBA9E3B" w:rsidR="00063138" w:rsidRPr="00E83088" w:rsidRDefault="00063138" w:rsidP="00063138">
            <w:pPr>
              <w:rPr>
                <w:lang w:val="en-US"/>
              </w:rPr>
            </w:pPr>
            <w:r w:rsidRPr="00E83088">
              <w:rPr>
                <w:lang w:val="en-US"/>
              </w:rPr>
              <w:t>Geometric parameters</w:t>
            </w:r>
          </w:p>
        </w:tc>
        <w:tc>
          <w:tcPr>
            <w:tcW w:w="1463" w:type="dxa"/>
            <w:tcBorders>
              <w:bottom w:val="double" w:sz="4" w:space="0" w:color="auto"/>
              <w:right w:val="double" w:sz="4" w:space="0" w:color="auto"/>
            </w:tcBorders>
          </w:tcPr>
          <w:p w14:paraId="5700C1C3" w14:textId="77777777" w:rsidR="00063138" w:rsidRPr="00E83088" w:rsidRDefault="00063138" w:rsidP="00063138">
            <w:pPr>
              <w:rPr>
                <w:lang w:val="en-US"/>
              </w:rPr>
            </w:pPr>
          </w:p>
        </w:tc>
        <w:tc>
          <w:tcPr>
            <w:tcW w:w="1463" w:type="dxa"/>
            <w:tcBorders>
              <w:left w:val="double" w:sz="4" w:space="0" w:color="auto"/>
              <w:bottom w:val="double" w:sz="4" w:space="0" w:color="auto"/>
            </w:tcBorders>
          </w:tcPr>
          <w:p w14:paraId="531634FF" w14:textId="6BD6AA18" w:rsidR="00063138" w:rsidRPr="00E83088" w:rsidRDefault="00063138" w:rsidP="00063138">
            <w:pPr>
              <w:rPr>
                <w:lang w:val="en-US"/>
              </w:rPr>
            </w:pPr>
            <w:r w:rsidRPr="00E83088">
              <w:rPr>
                <w:lang w:val="en-US"/>
              </w:rPr>
              <w:t>Vent parameters</w:t>
            </w:r>
          </w:p>
        </w:tc>
        <w:tc>
          <w:tcPr>
            <w:tcW w:w="1463" w:type="dxa"/>
            <w:tcBorders>
              <w:bottom w:val="double" w:sz="4" w:space="0" w:color="auto"/>
              <w:right w:val="nil"/>
            </w:tcBorders>
          </w:tcPr>
          <w:p w14:paraId="15FC0EB4" w14:textId="77777777" w:rsidR="00063138" w:rsidRPr="00E83088" w:rsidRDefault="00063138" w:rsidP="00063138">
            <w:pPr>
              <w:rPr>
                <w:lang w:val="en-US"/>
              </w:rPr>
            </w:pPr>
          </w:p>
        </w:tc>
      </w:tr>
      <w:tr w:rsidR="00063138" w:rsidRPr="00E83088" w14:paraId="5E14E8AC" w14:textId="77777777" w:rsidTr="20FD7D56">
        <w:tc>
          <w:tcPr>
            <w:tcW w:w="1462" w:type="dxa"/>
            <w:tcBorders>
              <w:top w:val="double" w:sz="4" w:space="0" w:color="auto"/>
              <w:left w:val="nil"/>
            </w:tcBorders>
          </w:tcPr>
          <w:p w14:paraId="29705866" w14:textId="0E022772" w:rsidR="00063138" w:rsidRPr="00E83088" w:rsidRDefault="00063138" w:rsidP="00063138">
            <w:pPr>
              <w:rPr>
                <w:lang w:val="en-US"/>
              </w:rPr>
            </w:pPr>
            <w:r w:rsidRPr="00E83088">
              <w:rPr>
                <w:lang w:val="en-US"/>
              </w:rPr>
              <w:t>S</w:t>
            </w:r>
            <w:r w:rsidRPr="00E83088">
              <w:rPr>
                <w:vertAlign w:val="subscript"/>
                <w:lang w:val="en-US"/>
              </w:rPr>
              <w:t>u</w:t>
            </w:r>
          </w:p>
        </w:tc>
        <w:tc>
          <w:tcPr>
            <w:tcW w:w="1463" w:type="dxa"/>
            <w:tcBorders>
              <w:top w:val="double" w:sz="4" w:space="0" w:color="auto"/>
              <w:right w:val="double" w:sz="4" w:space="0" w:color="auto"/>
            </w:tcBorders>
          </w:tcPr>
          <w:p w14:paraId="55FBF8F4" w14:textId="165818C0" w:rsidR="00063138" w:rsidRPr="00E83088" w:rsidRDefault="00063138" w:rsidP="00063138">
            <w:pPr>
              <w:rPr>
                <w:lang w:val="en-US"/>
              </w:rPr>
            </w:pPr>
            <w:r w:rsidRPr="00E83088">
              <w:rPr>
                <w:lang w:val="en-US"/>
              </w:rPr>
              <w:t>0.4 m/s</w:t>
            </w:r>
          </w:p>
        </w:tc>
        <w:tc>
          <w:tcPr>
            <w:tcW w:w="1463" w:type="dxa"/>
            <w:tcBorders>
              <w:top w:val="double" w:sz="4" w:space="0" w:color="auto"/>
              <w:left w:val="double" w:sz="4" w:space="0" w:color="auto"/>
            </w:tcBorders>
          </w:tcPr>
          <w:p w14:paraId="3E8A8674" w14:textId="5F6D431A" w:rsidR="00063138" w:rsidRPr="00E83088" w:rsidRDefault="00063138" w:rsidP="00063138">
            <w:pPr>
              <w:rPr>
                <w:lang w:val="en-US"/>
              </w:rPr>
            </w:pPr>
            <w:r w:rsidRPr="00E83088">
              <w:rPr>
                <w:lang w:val="en-US"/>
              </w:rPr>
              <w:t>V</w:t>
            </w:r>
          </w:p>
        </w:tc>
        <w:tc>
          <w:tcPr>
            <w:tcW w:w="1463" w:type="dxa"/>
            <w:tcBorders>
              <w:top w:val="double" w:sz="4" w:space="0" w:color="auto"/>
              <w:right w:val="double" w:sz="4" w:space="0" w:color="auto"/>
            </w:tcBorders>
          </w:tcPr>
          <w:p w14:paraId="6354D380" w14:textId="7DB42EB5" w:rsidR="00063138" w:rsidRPr="00E83088" w:rsidRDefault="00063138" w:rsidP="00063138">
            <w:pPr>
              <w:rPr>
                <w:lang w:val="en-US"/>
              </w:rPr>
            </w:pPr>
            <w:r w:rsidRPr="00E83088">
              <w:rPr>
                <w:lang w:val="en-US"/>
              </w:rPr>
              <w:t>33 m</w:t>
            </w:r>
            <w:r w:rsidRPr="00E83088">
              <w:rPr>
                <w:vertAlign w:val="superscript"/>
                <w:lang w:val="en-US"/>
              </w:rPr>
              <w:t>3</w:t>
            </w:r>
          </w:p>
        </w:tc>
        <w:tc>
          <w:tcPr>
            <w:tcW w:w="1463" w:type="dxa"/>
            <w:tcBorders>
              <w:top w:val="double" w:sz="4" w:space="0" w:color="auto"/>
              <w:left w:val="double" w:sz="4" w:space="0" w:color="auto"/>
            </w:tcBorders>
          </w:tcPr>
          <w:p w14:paraId="4842BAA7" w14:textId="25485381" w:rsidR="00063138" w:rsidRPr="00E83088" w:rsidRDefault="00063138" w:rsidP="00063138">
            <w:pPr>
              <w:rPr>
                <w:lang w:val="en-US"/>
              </w:rPr>
            </w:pPr>
            <w:proofErr w:type="spellStart"/>
            <w:r w:rsidRPr="00E83088">
              <w:rPr>
                <w:lang w:val="en-US"/>
              </w:rPr>
              <w:t>P</w:t>
            </w:r>
            <w:r w:rsidRPr="00E83088">
              <w:rPr>
                <w:vertAlign w:val="subscript"/>
                <w:lang w:val="en-US"/>
              </w:rPr>
              <w:t>stat</w:t>
            </w:r>
            <w:proofErr w:type="spellEnd"/>
          </w:p>
        </w:tc>
        <w:tc>
          <w:tcPr>
            <w:tcW w:w="1463" w:type="dxa"/>
            <w:tcBorders>
              <w:top w:val="double" w:sz="4" w:space="0" w:color="auto"/>
              <w:right w:val="nil"/>
            </w:tcBorders>
          </w:tcPr>
          <w:p w14:paraId="42FF7AC0" w14:textId="62B84E35" w:rsidR="00063138" w:rsidRPr="00E83088" w:rsidRDefault="00063138" w:rsidP="00063138">
            <w:pPr>
              <w:rPr>
                <w:lang w:val="en-US"/>
              </w:rPr>
            </w:pPr>
            <w:r w:rsidRPr="00E83088">
              <w:rPr>
                <w:lang w:val="en-US"/>
              </w:rPr>
              <w:t>0.1 bar-g</w:t>
            </w:r>
          </w:p>
        </w:tc>
      </w:tr>
      <w:tr w:rsidR="00063138" w:rsidRPr="00E83088" w14:paraId="1E6F15D1" w14:textId="77777777" w:rsidTr="20FD7D56">
        <w:tc>
          <w:tcPr>
            <w:tcW w:w="1462" w:type="dxa"/>
            <w:tcBorders>
              <w:left w:val="nil"/>
            </w:tcBorders>
          </w:tcPr>
          <w:p w14:paraId="632EEEEA" w14:textId="110C796A" w:rsidR="00063138" w:rsidRPr="00E83088" w:rsidRDefault="00063138" w:rsidP="00063138">
            <w:pPr>
              <w:rPr>
                <w:lang w:val="en-US"/>
              </w:rPr>
            </w:pPr>
            <w:r w:rsidRPr="00E83088">
              <w:rPr>
                <w:lang w:val="en-US"/>
              </w:rPr>
              <w:t>P</w:t>
            </w:r>
            <w:r w:rsidRPr="00E83088">
              <w:rPr>
                <w:vertAlign w:val="subscript"/>
                <w:lang w:val="en-US"/>
              </w:rPr>
              <w:t>max</w:t>
            </w:r>
          </w:p>
        </w:tc>
        <w:tc>
          <w:tcPr>
            <w:tcW w:w="1463" w:type="dxa"/>
            <w:tcBorders>
              <w:right w:val="double" w:sz="4" w:space="0" w:color="auto"/>
            </w:tcBorders>
          </w:tcPr>
          <w:p w14:paraId="1A907E72" w14:textId="1CEE3C08" w:rsidR="00063138" w:rsidRPr="00E83088" w:rsidRDefault="00063138" w:rsidP="00063138">
            <w:pPr>
              <w:rPr>
                <w:lang w:val="en-US"/>
              </w:rPr>
            </w:pPr>
            <w:r w:rsidRPr="00E83088">
              <w:rPr>
                <w:lang w:val="en-US"/>
              </w:rPr>
              <w:t>8 bar-g</w:t>
            </w:r>
          </w:p>
        </w:tc>
        <w:tc>
          <w:tcPr>
            <w:tcW w:w="1463" w:type="dxa"/>
            <w:tcBorders>
              <w:left w:val="double" w:sz="4" w:space="0" w:color="auto"/>
            </w:tcBorders>
          </w:tcPr>
          <w:p w14:paraId="344FA36C" w14:textId="0470D609" w:rsidR="00063138" w:rsidRPr="00E83088" w:rsidRDefault="00063138" w:rsidP="00063138">
            <w:pPr>
              <w:rPr>
                <w:lang w:val="en-US"/>
              </w:rPr>
            </w:pPr>
            <w:r w:rsidRPr="00E83088">
              <w:rPr>
                <w:lang w:val="en-US"/>
              </w:rPr>
              <w:t>A</w:t>
            </w:r>
            <w:r w:rsidRPr="00E83088">
              <w:rPr>
                <w:vertAlign w:val="subscript"/>
                <w:lang w:val="en-US"/>
              </w:rPr>
              <w:t>S</w:t>
            </w:r>
          </w:p>
        </w:tc>
        <w:tc>
          <w:tcPr>
            <w:tcW w:w="1463" w:type="dxa"/>
            <w:tcBorders>
              <w:right w:val="double" w:sz="4" w:space="0" w:color="auto"/>
            </w:tcBorders>
          </w:tcPr>
          <w:p w14:paraId="6E3D2F10" w14:textId="77CFC98B" w:rsidR="00063138" w:rsidRPr="00E83088" w:rsidRDefault="00063138" w:rsidP="00063138">
            <w:pPr>
              <w:rPr>
                <w:lang w:val="en-US"/>
              </w:rPr>
            </w:pPr>
            <w:r w:rsidRPr="00E83088">
              <w:rPr>
                <w:lang w:val="en-US"/>
              </w:rPr>
              <w:t>67 m</w:t>
            </w:r>
            <w:r w:rsidRPr="00E83088">
              <w:rPr>
                <w:vertAlign w:val="superscript"/>
                <w:lang w:val="en-US"/>
              </w:rPr>
              <w:t>2</w:t>
            </w:r>
          </w:p>
        </w:tc>
        <w:tc>
          <w:tcPr>
            <w:tcW w:w="1463" w:type="dxa"/>
            <w:tcBorders>
              <w:left w:val="double" w:sz="4" w:space="0" w:color="auto"/>
            </w:tcBorders>
          </w:tcPr>
          <w:p w14:paraId="3C4367EF" w14:textId="539D38FF" w:rsidR="00063138" w:rsidRPr="00E83088" w:rsidRDefault="00063138" w:rsidP="00063138">
            <w:pPr>
              <w:rPr>
                <w:lang w:val="en-US"/>
              </w:rPr>
            </w:pPr>
            <w:r w:rsidRPr="00E83088">
              <w:rPr>
                <w:lang w:val="en-US"/>
              </w:rPr>
              <w:t>C</w:t>
            </w:r>
            <w:r w:rsidRPr="00E83088">
              <w:rPr>
                <w:vertAlign w:val="subscript"/>
                <w:lang w:val="en-US"/>
              </w:rPr>
              <w:t>d</w:t>
            </w:r>
          </w:p>
        </w:tc>
        <w:tc>
          <w:tcPr>
            <w:tcW w:w="1463" w:type="dxa"/>
            <w:tcBorders>
              <w:right w:val="nil"/>
            </w:tcBorders>
          </w:tcPr>
          <w:p w14:paraId="00F6FDB1" w14:textId="51A05E23" w:rsidR="00063138" w:rsidRPr="00E83088" w:rsidRDefault="00063138" w:rsidP="00063138">
            <w:pPr>
              <w:rPr>
                <w:lang w:val="en-US"/>
              </w:rPr>
            </w:pPr>
            <w:r w:rsidRPr="00E83088">
              <w:rPr>
                <w:lang w:val="en-US"/>
              </w:rPr>
              <w:t>0.7</w:t>
            </w:r>
          </w:p>
        </w:tc>
      </w:tr>
      <w:tr w:rsidR="00063138" w:rsidRPr="00E83088" w14:paraId="1704231C" w14:textId="77777777" w:rsidTr="20FD7D56">
        <w:tc>
          <w:tcPr>
            <w:tcW w:w="1462" w:type="dxa"/>
            <w:tcBorders>
              <w:left w:val="nil"/>
            </w:tcBorders>
          </w:tcPr>
          <w:p w14:paraId="26A4B457" w14:textId="15538EDF" w:rsidR="00063138" w:rsidRPr="00E83088" w:rsidRDefault="00063138" w:rsidP="00063138">
            <w:pPr>
              <w:rPr>
                <w:lang w:val="en-US"/>
              </w:rPr>
            </w:pPr>
            <w:proofErr w:type="spellStart"/>
            <w:r w:rsidRPr="00E83088">
              <w:rPr>
                <w:lang w:val="en-US"/>
              </w:rPr>
              <w:t>ρ</w:t>
            </w:r>
            <w:r w:rsidRPr="00E83088">
              <w:rPr>
                <w:vertAlign w:val="subscript"/>
                <w:lang w:val="en-US"/>
              </w:rPr>
              <w:t>u</w:t>
            </w:r>
            <w:proofErr w:type="spellEnd"/>
          </w:p>
        </w:tc>
        <w:tc>
          <w:tcPr>
            <w:tcW w:w="1463" w:type="dxa"/>
            <w:tcBorders>
              <w:right w:val="double" w:sz="4" w:space="0" w:color="auto"/>
            </w:tcBorders>
          </w:tcPr>
          <w:p w14:paraId="17A7428A" w14:textId="5DC1BE78" w:rsidR="00063138" w:rsidRPr="00E83088" w:rsidRDefault="00063138" w:rsidP="00063138">
            <w:pPr>
              <w:rPr>
                <w:lang w:val="en-US"/>
              </w:rPr>
            </w:pPr>
            <w:r w:rsidRPr="00E83088">
              <w:rPr>
                <w:lang w:val="en-US"/>
              </w:rPr>
              <w:t>1.2 kg/m</w:t>
            </w:r>
            <w:r w:rsidRPr="00E83088">
              <w:rPr>
                <w:vertAlign w:val="superscript"/>
                <w:lang w:val="en-US"/>
              </w:rPr>
              <w:t>3</w:t>
            </w:r>
          </w:p>
        </w:tc>
        <w:tc>
          <w:tcPr>
            <w:tcW w:w="1463" w:type="dxa"/>
            <w:tcBorders>
              <w:left w:val="double" w:sz="4" w:space="0" w:color="auto"/>
            </w:tcBorders>
          </w:tcPr>
          <w:p w14:paraId="06B06A90" w14:textId="7973D520" w:rsidR="00063138" w:rsidRPr="00E83088" w:rsidRDefault="00063138" w:rsidP="00063138">
            <w:pPr>
              <w:rPr>
                <w:lang w:val="en-US"/>
              </w:rPr>
            </w:pPr>
            <w:r w:rsidRPr="00E83088">
              <w:rPr>
                <w:lang w:val="en-US"/>
              </w:rPr>
              <w:t>L/D</w:t>
            </w:r>
          </w:p>
        </w:tc>
        <w:tc>
          <w:tcPr>
            <w:tcW w:w="1463" w:type="dxa"/>
            <w:tcBorders>
              <w:right w:val="double" w:sz="4" w:space="0" w:color="auto"/>
            </w:tcBorders>
          </w:tcPr>
          <w:p w14:paraId="38F4B78B" w14:textId="522FD55D" w:rsidR="00063138" w:rsidRPr="00E83088" w:rsidRDefault="00A8310B" w:rsidP="00063138">
            <w:pPr>
              <w:rPr>
                <w:lang w:val="en-US"/>
              </w:rPr>
            </w:pPr>
            <w:r w:rsidRPr="00E83088">
              <w:rPr>
                <w:lang w:val="en-US"/>
              </w:rPr>
              <w:t>2.5</w:t>
            </w:r>
          </w:p>
        </w:tc>
        <w:tc>
          <w:tcPr>
            <w:tcW w:w="1463" w:type="dxa"/>
            <w:tcBorders>
              <w:left w:val="double" w:sz="4" w:space="0" w:color="auto"/>
            </w:tcBorders>
          </w:tcPr>
          <w:p w14:paraId="1F322B8C" w14:textId="77777777" w:rsidR="00063138" w:rsidRPr="00E83088" w:rsidRDefault="00063138" w:rsidP="00063138">
            <w:pPr>
              <w:rPr>
                <w:lang w:val="en-US"/>
              </w:rPr>
            </w:pPr>
          </w:p>
        </w:tc>
        <w:tc>
          <w:tcPr>
            <w:tcW w:w="1463" w:type="dxa"/>
            <w:tcBorders>
              <w:right w:val="nil"/>
            </w:tcBorders>
          </w:tcPr>
          <w:p w14:paraId="62BD6622" w14:textId="77777777" w:rsidR="00063138" w:rsidRPr="00E83088" w:rsidRDefault="00063138" w:rsidP="00063138">
            <w:pPr>
              <w:rPr>
                <w:lang w:val="en-US"/>
              </w:rPr>
            </w:pPr>
          </w:p>
        </w:tc>
      </w:tr>
      <w:tr w:rsidR="00063138" w:rsidRPr="00E83088" w14:paraId="0D5C16AB" w14:textId="77777777" w:rsidTr="20FD7D56">
        <w:tc>
          <w:tcPr>
            <w:tcW w:w="1462" w:type="dxa"/>
            <w:tcBorders>
              <w:left w:val="nil"/>
            </w:tcBorders>
          </w:tcPr>
          <w:p w14:paraId="14C3AD36" w14:textId="367C91C9" w:rsidR="00063138" w:rsidRPr="00E83088" w:rsidRDefault="00063138" w:rsidP="00063138">
            <w:pPr>
              <w:rPr>
                <w:lang w:val="en-US"/>
              </w:rPr>
            </w:pPr>
            <w:r w:rsidRPr="00E83088">
              <w:rPr>
                <w:lang w:val="en-US"/>
              </w:rPr>
              <w:t>G</w:t>
            </w:r>
            <w:r w:rsidRPr="00E83088">
              <w:rPr>
                <w:vertAlign w:val="subscript"/>
                <w:lang w:val="en-US"/>
              </w:rPr>
              <w:t>u</w:t>
            </w:r>
          </w:p>
        </w:tc>
        <w:tc>
          <w:tcPr>
            <w:tcW w:w="1463" w:type="dxa"/>
            <w:tcBorders>
              <w:right w:val="double" w:sz="4" w:space="0" w:color="auto"/>
            </w:tcBorders>
          </w:tcPr>
          <w:p w14:paraId="31D8A166" w14:textId="735E2B75" w:rsidR="00063138" w:rsidRPr="00E83088" w:rsidRDefault="00063138" w:rsidP="00063138">
            <w:pPr>
              <w:rPr>
                <w:lang w:val="en-US"/>
              </w:rPr>
            </w:pPr>
            <w:r w:rsidRPr="00E83088">
              <w:rPr>
                <w:lang w:val="en-US"/>
              </w:rPr>
              <w:t>230.1 kg/m</w:t>
            </w:r>
            <w:r w:rsidRPr="00E83088">
              <w:rPr>
                <w:vertAlign w:val="superscript"/>
                <w:lang w:val="en-US"/>
              </w:rPr>
              <w:t>2</w:t>
            </w:r>
            <w:r w:rsidRPr="00E83088">
              <w:rPr>
                <w:lang w:val="en-US"/>
              </w:rPr>
              <w:t>-s</w:t>
            </w:r>
          </w:p>
        </w:tc>
        <w:tc>
          <w:tcPr>
            <w:tcW w:w="1463" w:type="dxa"/>
            <w:tcBorders>
              <w:left w:val="double" w:sz="4" w:space="0" w:color="auto"/>
            </w:tcBorders>
          </w:tcPr>
          <w:p w14:paraId="5EB4830B" w14:textId="5E496629" w:rsidR="00063138" w:rsidRPr="00E83088" w:rsidRDefault="00063138" w:rsidP="00063138">
            <w:pPr>
              <w:rPr>
                <w:lang w:val="en-US"/>
              </w:rPr>
            </w:pPr>
            <w:proofErr w:type="spellStart"/>
            <w:r w:rsidRPr="00E83088">
              <w:rPr>
                <w:lang w:val="en-US"/>
              </w:rPr>
              <w:t>D</w:t>
            </w:r>
            <w:r w:rsidRPr="00E83088">
              <w:rPr>
                <w:vertAlign w:val="subscript"/>
                <w:lang w:val="en-US"/>
              </w:rPr>
              <w:t>he</w:t>
            </w:r>
            <w:proofErr w:type="spellEnd"/>
          </w:p>
        </w:tc>
        <w:tc>
          <w:tcPr>
            <w:tcW w:w="1463" w:type="dxa"/>
            <w:tcBorders>
              <w:right w:val="double" w:sz="4" w:space="0" w:color="auto"/>
            </w:tcBorders>
          </w:tcPr>
          <w:p w14:paraId="4E1437A7" w14:textId="40E117AC" w:rsidR="00063138" w:rsidRPr="00E83088" w:rsidRDefault="00063138" w:rsidP="00063138">
            <w:pPr>
              <w:rPr>
                <w:lang w:val="en-US"/>
              </w:rPr>
            </w:pPr>
            <w:r w:rsidRPr="00E83088">
              <w:rPr>
                <w:lang w:val="en-US"/>
              </w:rPr>
              <w:t>2.4 m</w:t>
            </w:r>
          </w:p>
        </w:tc>
        <w:tc>
          <w:tcPr>
            <w:tcW w:w="1463" w:type="dxa"/>
            <w:tcBorders>
              <w:left w:val="double" w:sz="4" w:space="0" w:color="auto"/>
            </w:tcBorders>
          </w:tcPr>
          <w:p w14:paraId="78A7E8C4" w14:textId="77777777" w:rsidR="00063138" w:rsidRPr="00E83088" w:rsidRDefault="00063138" w:rsidP="00063138">
            <w:pPr>
              <w:rPr>
                <w:lang w:val="en-US"/>
              </w:rPr>
            </w:pPr>
          </w:p>
        </w:tc>
        <w:tc>
          <w:tcPr>
            <w:tcW w:w="1463" w:type="dxa"/>
            <w:tcBorders>
              <w:right w:val="nil"/>
            </w:tcBorders>
          </w:tcPr>
          <w:p w14:paraId="5C99A502" w14:textId="77777777" w:rsidR="00063138" w:rsidRPr="00E83088" w:rsidRDefault="00063138" w:rsidP="00063138">
            <w:pPr>
              <w:rPr>
                <w:lang w:val="en-US"/>
              </w:rPr>
            </w:pPr>
          </w:p>
        </w:tc>
      </w:tr>
      <w:tr w:rsidR="00063138" w:rsidRPr="00E83088" w14:paraId="5A87C039" w14:textId="77777777" w:rsidTr="20FD7D56">
        <w:tc>
          <w:tcPr>
            <w:tcW w:w="1462" w:type="dxa"/>
            <w:tcBorders>
              <w:left w:val="nil"/>
            </w:tcBorders>
          </w:tcPr>
          <w:p w14:paraId="20DE68E7" w14:textId="48693B1C" w:rsidR="00063138" w:rsidRPr="00E83088" w:rsidRDefault="00063138" w:rsidP="00063138">
            <w:pPr>
              <w:rPr>
                <w:lang w:val="en-US"/>
              </w:rPr>
            </w:pPr>
            <w:proofErr w:type="spellStart"/>
            <w:r w:rsidRPr="00E83088">
              <w:rPr>
                <w:lang w:val="en-US"/>
              </w:rPr>
              <w:t>γ</w:t>
            </w:r>
            <w:r w:rsidRPr="00E83088">
              <w:rPr>
                <w:vertAlign w:val="subscript"/>
                <w:lang w:val="en-US"/>
              </w:rPr>
              <w:t>b</w:t>
            </w:r>
            <w:proofErr w:type="spellEnd"/>
          </w:p>
        </w:tc>
        <w:tc>
          <w:tcPr>
            <w:tcW w:w="1463" w:type="dxa"/>
            <w:tcBorders>
              <w:right w:val="double" w:sz="4" w:space="0" w:color="auto"/>
            </w:tcBorders>
          </w:tcPr>
          <w:p w14:paraId="0F6B2409" w14:textId="29E241C0" w:rsidR="00063138" w:rsidRPr="00E83088" w:rsidRDefault="00063138" w:rsidP="00063138">
            <w:pPr>
              <w:rPr>
                <w:lang w:val="en-US"/>
              </w:rPr>
            </w:pPr>
            <w:r w:rsidRPr="00E83088">
              <w:rPr>
                <w:lang w:val="en-US"/>
              </w:rPr>
              <w:t>1.15</w:t>
            </w:r>
          </w:p>
        </w:tc>
        <w:tc>
          <w:tcPr>
            <w:tcW w:w="1463" w:type="dxa"/>
            <w:tcBorders>
              <w:left w:val="double" w:sz="4" w:space="0" w:color="auto"/>
            </w:tcBorders>
          </w:tcPr>
          <w:p w14:paraId="1C523700" w14:textId="77777777" w:rsidR="00063138" w:rsidRPr="00E83088" w:rsidRDefault="00063138" w:rsidP="00063138">
            <w:pPr>
              <w:rPr>
                <w:lang w:val="en-US"/>
              </w:rPr>
            </w:pPr>
          </w:p>
        </w:tc>
        <w:tc>
          <w:tcPr>
            <w:tcW w:w="1463" w:type="dxa"/>
            <w:tcBorders>
              <w:right w:val="double" w:sz="4" w:space="0" w:color="auto"/>
            </w:tcBorders>
          </w:tcPr>
          <w:p w14:paraId="1914CAA7" w14:textId="77777777" w:rsidR="00063138" w:rsidRPr="00E83088" w:rsidRDefault="00063138" w:rsidP="00063138">
            <w:pPr>
              <w:rPr>
                <w:lang w:val="en-US"/>
              </w:rPr>
            </w:pPr>
          </w:p>
        </w:tc>
        <w:tc>
          <w:tcPr>
            <w:tcW w:w="1463" w:type="dxa"/>
            <w:tcBorders>
              <w:left w:val="double" w:sz="4" w:space="0" w:color="auto"/>
            </w:tcBorders>
          </w:tcPr>
          <w:p w14:paraId="4DAF1F5D" w14:textId="77777777" w:rsidR="00063138" w:rsidRPr="00E83088" w:rsidRDefault="00063138" w:rsidP="00063138">
            <w:pPr>
              <w:rPr>
                <w:lang w:val="en-US"/>
              </w:rPr>
            </w:pPr>
          </w:p>
        </w:tc>
        <w:tc>
          <w:tcPr>
            <w:tcW w:w="1463" w:type="dxa"/>
            <w:tcBorders>
              <w:right w:val="nil"/>
            </w:tcBorders>
          </w:tcPr>
          <w:p w14:paraId="5253238D" w14:textId="77777777" w:rsidR="00063138" w:rsidRPr="00E83088" w:rsidRDefault="00063138" w:rsidP="00063138">
            <w:pPr>
              <w:rPr>
                <w:lang w:val="en-US"/>
              </w:rPr>
            </w:pPr>
          </w:p>
        </w:tc>
      </w:tr>
      <w:tr w:rsidR="00063138" w:rsidRPr="00E83088" w14:paraId="29976330" w14:textId="77777777" w:rsidTr="20FD7D56">
        <w:tc>
          <w:tcPr>
            <w:tcW w:w="1462" w:type="dxa"/>
            <w:tcBorders>
              <w:left w:val="nil"/>
            </w:tcBorders>
          </w:tcPr>
          <w:p w14:paraId="24E6290B" w14:textId="0A9C1817" w:rsidR="00063138" w:rsidRPr="00E83088" w:rsidRDefault="00063138" w:rsidP="00063138">
            <w:pPr>
              <w:rPr>
                <w:lang w:val="en-US"/>
              </w:rPr>
            </w:pPr>
            <w:r w:rsidRPr="00E83088">
              <w:rPr>
                <w:rFonts w:cs="Arial"/>
                <w:lang w:val="en-US"/>
              </w:rPr>
              <w:t>µ</w:t>
            </w:r>
            <w:r w:rsidRPr="00E83088">
              <w:rPr>
                <w:vertAlign w:val="subscript"/>
                <w:lang w:val="en-US"/>
              </w:rPr>
              <w:t>u</w:t>
            </w:r>
          </w:p>
        </w:tc>
        <w:tc>
          <w:tcPr>
            <w:tcW w:w="1463" w:type="dxa"/>
            <w:tcBorders>
              <w:right w:val="double" w:sz="4" w:space="0" w:color="auto"/>
            </w:tcBorders>
          </w:tcPr>
          <w:p w14:paraId="2CC158C6" w14:textId="0D5F7981" w:rsidR="00063138" w:rsidRPr="00E83088" w:rsidRDefault="00063138" w:rsidP="00063138">
            <w:pPr>
              <w:rPr>
                <w:lang w:val="en-US"/>
              </w:rPr>
            </w:pPr>
            <w:r w:rsidRPr="00E83088">
              <w:rPr>
                <w:lang w:val="en-US"/>
              </w:rPr>
              <w:t>1.8e-5 kg/m</w:t>
            </w:r>
            <w:r w:rsidRPr="00E83088">
              <w:rPr>
                <w:rFonts w:cs="Arial"/>
                <w:lang w:val="en-US"/>
              </w:rPr>
              <w:t>-</w:t>
            </w:r>
            <w:r w:rsidRPr="00E83088">
              <w:rPr>
                <w:lang w:val="en-US"/>
              </w:rPr>
              <w:t>s</w:t>
            </w:r>
          </w:p>
        </w:tc>
        <w:tc>
          <w:tcPr>
            <w:tcW w:w="1463" w:type="dxa"/>
            <w:tcBorders>
              <w:left w:val="double" w:sz="4" w:space="0" w:color="auto"/>
            </w:tcBorders>
          </w:tcPr>
          <w:p w14:paraId="10776C3D" w14:textId="77777777" w:rsidR="00063138" w:rsidRPr="00E83088" w:rsidRDefault="00063138" w:rsidP="00063138">
            <w:pPr>
              <w:rPr>
                <w:lang w:val="en-US"/>
              </w:rPr>
            </w:pPr>
          </w:p>
        </w:tc>
        <w:tc>
          <w:tcPr>
            <w:tcW w:w="1463" w:type="dxa"/>
            <w:tcBorders>
              <w:right w:val="double" w:sz="4" w:space="0" w:color="auto"/>
            </w:tcBorders>
          </w:tcPr>
          <w:p w14:paraId="50801E80" w14:textId="77777777" w:rsidR="00063138" w:rsidRPr="00E83088" w:rsidRDefault="00063138" w:rsidP="00063138">
            <w:pPr>
              <w:rPr>
                <w:lang w:val="en-US"/>
              </w:rPr>
            </w:pPr>
          </w:p>
        </w:tc>
        <w:tc>
          <w:tcPr>
            <w:tcW w:w="1463" w:type="dxa"/>
            <w:tcBorders>
              <w:left w:val="double" w:sz="4" w:space="0" w:color="auto"/>
            </w:tcBorders>
          </w:tcPr>
          <w:p w14:paraId="5E1EF322" w14:textId="77777777" w:rsidR="00063138" w:rsidRPr="00E83088" w:rsidRDefault="00063138" w:rsidP="00063138">
            <w:pPr>
              <w:rPr>
                <w:lang w:val="en-US"/>
              </w:rPr>
            </w:pPr>
          </w:p>
        </w:tc>
        <w:tc>
          <w:tcPr>
            <w:tcW w:w="1463" w:type="dxa"/>
            <w:tcBorders>
              <w:right w:val="nil"/>
            </w:tcBorders>
          </w:tcPr>
          <w:p w14:paraId="64624900" w14:textId="77777777" w:rsidR="00063138" w:rsidRPr="00E83088" w:rsidRDefault="00063138" w:rsidP="00063138">
            <w:pPr>
              <w:rPr>
                <w:lang w:val="en-US"/>
              </w:rPr>
            </w:pPr>
          </w:p>
        </w:tc>
      </w:tr>
      <w:tr w:rsidR="00063138" w:rsidRPr="00E83088" w14:paraId="55AC7BA8" w14:textId="77777777" w:rsidTr="20FD7D56">
        <w:tc>
          <w:tcPr>
            <w:tcW w:w="1462" w:type="dxa"/>
            <w:tcBorders>
              <w:left w:val="nil"/>
            </w:tcBorders>
          </w:tcPr>
          <w:p w14:paraId="2FC4E847" w14:textId="4FCF060D" w:rsidR="00063138" w:rsidRPr="00E83088" w:rsidRDefault="00063138" w:rsidP="00063138">
            <w:pPr>
              <w:rPr>
                <w:lang w:val="en-US"/>
              </w:rPr>
            </w:pPr>
            <w:r w:rsidRPr="00E83088">
              <w:rPr>
                <w:lang w:val="en-US"/>
              </w:rPr>
              <w:t>a</w:t>
            </w:r>
            <w:r w:rsidRPr="00E83088">
              <w:rPr>
                <w:vertAlign w:val="subscript"/>
                <w:lang w:val="en-US"/>
              </w:rPr>
              <w:t>u</w:t>
            </w:r>
          </w:p>
        </w:tc>
        <w:tc>
          <w:tcPr>
            <w:tcW w:w="1463" w:type="dxa"/>
            <w:tcBorders>
              <w:right w:val="double" w:sz="4" w:space="0" w:color="auto"/>
            </w:tcBorders>
          </w:tcPr>
          <w:p w14:paraId="300FBC58" w14:textId="7A0F8616" w:rsidR="00063138" w:rsidRPr="00E83088" w:rsidRDefault="00063138" w:rsidP="00063138">
            <w:pPr>
              <w:rPr>
                <w:lang w:val="en-US"/>
              </w:rPr>
            </w:pPr>
            <w:r w:rsidRPr="00E83088">
              <w:rPr>
                <w:lang w:val="en-US"/>
              </w:rPr>
              <w:t>343 m/s</w:t>
            </w:r>
          </w:p>
        </w:tc>
        <w:tc>
          <w:tcPr>
            <w:tcW w:w="1463" w:type="dxa"/>
            <w:tcBorders>
              <w:left w:val="double" w:sz="4" w:space="0" w:color="auto"/>
            </w:tcBorders>
          </w:tcPr>
          <w:p w14:paraId="66B9398F" w14:textId="77777777" w:rsidR="00063138" w:rsidRPr="00E83088" w:rsidRDefault="00063138" w:rsidP="00063138">
            <w:pPr>
              <w:rPr>
                <w:lang w:val="en-US"/>
              </w:rPr>
            </w:pPr>
          </w:p>
        </w:tc>
        <w:tc>
          <w:tcPr>
            <w:tcW w:w="1463" w:type="dxa"/>
            <w:tcBorders>
              <w:right w:val="double" w:sz="4" w:space="0" w:color="auto"/>
            </w:tcBorders>
          </w:tcPr>
          <w:p w14:paraId="6AE208A0" w14:textId="77777777" w:rsidR="00063138" w:rsidRPr="00E83088" w:rsidRDefault="00063138" w:rsidP="00063138">
            <w:pPr>
              <w:rPr>
                <w:lang w:val="en-US"/>
              </w:rPr>
            </w:pPr>
          </w:p>
        </w:tc>
        <w:tc>
          <w:tcPr>
            <w:tcW w:w="1463" w:type="dxa"/>
            <w:tcBorders>
              <w:left w:val="double" w:sz="4" w:space="0" w:color="auto"/>
            </w:tcBorders>
          </w:tcPr>
          <w:p w14:paraId="7C71CE9E" w14:textId="77777777" w:rsidR="00063138" w:rsidRPr="00E83088" w:rsidRDefault="00063138" w:rsidP="00063138">
            <w:pPr>
              <w:rPr>
                <w:lang w:val="en-US"/>
              </w:rPr>
            </w:pPr>
          </w:p>
        </w:tc>
        <w:tc>
          <w:tcPr>
            <w:tcW w:w="1463" w:type="dxa"/>
            <w:tcBorders>
              <w:right w:val="nil"/>
            </w:tcBorders>
          </w:tcPr>
          <w:p w14:paraId="35108433" w14:textId="77777777" w:rsidR="00063138" w:rsidRPr="00E83088" w:rsidRDefault="00063138" w:rsidP="00063138">
            <w:pPr>
              <w:rPr>
                <w:lang w:val="en-US"/>
              </w:rPr>
            </w:pPr>
          </w:p>
        </w:tc>
      </w:tr>
    </w:tbl>
    <w:p w14:paraId="00E9A70D" w14:textId="77777777" w:rsidR="00063138" w:rsidRPr="00E83088" w:rsidRDefault="00063138" w:rsidP="00063138">
      <w:pPr>
        <w:rPr>
          <w:lang w:val="en-US"/>
        </w:rPr>
      </w:pPr>
    </w:p>
    <w:p w14:paraId="1D3C71C6" w14:textId="2EA8C915" w:rsidR="0081059B" w:rsidRPr="00E83088" w:rsidRDefault="006E36AC" w:rsidP="0081059B">
      <w:pPr>
        <w:pStyle w:val="CETBodytext"/>
      </w:pPr>
      <w:r w:rsidRPr="00E83088">
        <w:t>Figure 1</w:t>
      </w:r>
      <w:r w:rsidR="5A64DA4E" w:rsidRPr="00E83088">
        <w:t>a</w:t>
      </w:r>
      <w:r w:rsidR="5A35676D" w:rsidRPr="00E83088">
        <w:t xml:space="preserve"> </w:t>
      </w:r>
      <w:r w:rsidRPr="00E83088">
        <w:t>shows the results for low-strength enclosures,</w:t>
      </w:r>
      <w:r w:rsidR="009628F3" w:rsidRPr="00E83088">
        <w:t xml:space="preserve"> where P</w:t>
      </w:r>
      <w:r w:rsidR="009628F3" w:rsidRPr="00E83088">
        <w:rPr>
          <w:vertAlign w:val="subscript"/>
        </w:rPr>
        <w:t>red</w:t>
      </w:r>
      <w:r w:rsidR="009628F3" w:rsidRPr="00E83088">
        <w:t xml:space="preserve"> was prescribed at 0.2 </w:t>
      </w:r>
      <w:proofErr w:type="gramStart"/>
      <w:r w:rsidR="009628F3" w:rsidRPr="00E83088">
        <w:t>bar-g</w:t>
      </w:r>
      <w:proofErr w:type="gramEnd"/>
      <w:r w:rsidR="009628F3" w:rsidRPr="00E83088">
        <w:t xml:space="preserve"> for the base case.</w:t>
      </w:r>
      <w:r w:rsidRPr="00E83088">
        <w:t xml:space="preserve"> </w:t>
      </w:r>
      <w:r w:rsidR="00E0529A">
        <w:t>Each</w:t>
      </w:r>
      <w:r w:rsidR="00F658DA" w:rsidRPr="00E83088">
        <w:t xml:space="preserve"> propert</w:t>
      </w:r>
      <w:r w:rsidR="00E0529A">
        <w:t>y</w:t>
      </w:r>
      <w:r w:rsidR="00F658DA" w:rsidRPr="00E83088">
        <w:t xml:space="preserve"> </w:t>
      </w:r>
      <w:r w:rsidR="00E0529A">
        <w:t>is</w:t>
      </w:r>
      <w:r w:rsidRPr="00E83088">
        <w:t xml:space="preserve"> sorted </w:t>
      </w:r>
      <w:r w:rsidR="00E0529A">
        <w:t>on</w:t>
      </w:r>
      <w:r w:rsidRPr="00E83088">
        <w:t xml:space="preserve"> the </w:t>
      </w:r>
      <w:proofErr w:type="gramStart"/>
      <w:r w:rsidRPr="00E83088">
        <w:t>abscissa</w:t>
      </w:r>
      <w:proofErr w:type="gramEnd"/>
      <w:r w:rsidRPr="00E83088">
        <w:t xml:space="preserve"> according to </w:t>
      </w:r>
      <w:r w:rsidR="00E0529A">
        <w:t>its relative</w:t>
      </w:r>
      <w:r w:rsidRPr="00E83088">
        <w:t xml:space="preserve"> </w:t>
      </w:r>
      <w:r w:rsidR="0044067D" w:rsidRPr="00E83088">
        <w:t>normalized</w:t>
      </w:r>
      <w:r w:rsidRPr="00E83088">
        <w:t xml:space="preserve"> </w:t>
      </w:r>
      <w:r w:rsidR="00F658DA" w:rsidRPr="00E83088">
        <w:t>sensitivity</w:t>
      </w:r>
      <w:r w:rsidRPr="00E83088">
        <w:t xml:space="preserve">. </w:t>
      </w:r>
      <w:r w:rsidR="00F658DA" w:rsidRPr="00E83088">
        <w:t>Properties</w:t>
      </w:r>
      <w:r w:rsidRPr="00E83088">
        <w:t xml:space="preserve"> that exhibit positive sensitivity result in an increase in the output (A</w:t>
      </w:r>
      <w:r w:rsidRPr="00E83088">
        <w:rPr>
          <w:vertAlign w:val="subscript"/>
        </w:rPr>
        <w:t>v</w:t>
      </w:r>
      <w:r w:rsidRPr="00E83088">
        <w:t xml:space="preserve"> or P</w:t>
      </w:r>
      <w:r w:rsidRPr="00E83088">
        <w:rPr>
          <w:vertAlign w:val="subscript"/>
        </w:rPr>
        <w:t>red</w:t>
      </w:r>
      <w:r w:rsidRPr="00E83088">
        <w:t xml:space="preserve">) when increased, whereas negative sensitivities </w:t>
      </w:r>
      <w:r w:rsidR="009628F3" w:rsidRPr="00E83088">
        <w:t>indicate</w:t>
      </w:r>
      <w:r w:rsidRPr="00E83088">
        <w:t xml:space="preserve"> the opposite influence. Overall, sensitivities related to A</w:t>
      </w:r>
      <w:r w:rsidRPr="00E83088">
        <w:rPr>
          <w:vertAlign w:val="subscript"/>
        </w:rPr>
        <w:t>v</w:t>
      </w:r>
      <w:r w:rsidRPr="00E83088">
        <w:t xml:space="preserve"> and P</w:t>
      </w:r>
      <w:r w:rsidRPr="00E83088">
        <w:rPr>
          <w:vertAlign w:val="subscript"/>
        </w:rPr>
        <w:t>red</w:t>
      </w:r>
      <w:r w:rsidRPr="00E83088">
        <w:t xml:space="preserve"> show the same relative trend</w:t>
      </w:r>
      <w:r w:rsidR="00F658DA" w:rsidRPr="00E83088">
        <w:t>s</w:t>
      </w:r>
      <w:r w:rsidRPr="00E83088">
        <w:t xml:space="preserve"> across input </w:t>
      </w:r>
      <w:r w:rsidR="00F658DA" w:rsidRPr="00E83088">
        <w:t>properties</w:t>
      </w:r>
      <w:r w:rsidRPr="00E83088">
        <w:t>, as expected based on the model equations. Quantitatively,</w:t>
      </w:r>
      <w:r w:rsidR="00E0529A">
        <w:t xml:space="preserve"> S</w:t>
      </w:r>
      <w:r w:rsidR="00E0529A">
        <w:rPr>
          <w:vertAlign w:val="subscript"/>
        </w:rPr>
        <w:t>u</w:t>
      </w:r>
      <w:r w:rsidR="00E0529A">
        <w:t xml:space="preserve"> and P</w:t>
      </w:r>
      <w:r w:rsidR="00E0529A">
        <w:rPr>
          <w:vertAlign w:val="subscript"/>
        </w:rPr>
        <w:t>max</w:t>
      </w:r>
      <w:r w:rsidR="00E0529A">
        <w:t xml:space="preserve"> </w:t>
      </w:r>
      <w:r w:rsidR="004368AB">
        <w:t>had</w:t>
      </w:r>
      <w:r w:rsidR="00E0529A">
        <w:t xml:space="preserve"> an impact at least 1:1</w:t>
      </w:r>
      <w:r w:rsidR="004368AB">
        <w:t xml:space="preserve"> positive correlation as expected.  Interestingly</w:t>
      </w:r>
      <w:r w:rsidR="00E0529A">
        <w:t xml:space="preserve">, </w:t>
      </w:r>
      <w:proofErr w:type="spellStart"/>
      <w:r w:rsidRPr="00E83088">
        <w:t>γ</w:t>
      </w:r>
      <w:r w:rsidRPr="00E83088">
        <w:rPr>
          <w:vertAlign w:val="subscript"/>
        </w:rPr>
        <w:t>b</w:t>
      </w:r>
      <w:proofErr w:type="spellEnd"/>
      <w:r w:rsidRPr="00E83088">
        <w:t xml:space="preserve"> and </w:t>
      </w:r>
      <w:proofErr w:type="spellStart"/>
      <w:r w:rsidRPr="00E83088">
        <w:t>ρ</w:t>
      </w:r>
      <w:r w:rsidRPr="00E83088">
        <w:rPr>
          <w:vertAlign w:val="subscript"/>
        </w:rPr>
        <w:t>u</w:t>
      </w:r>
      <w:proofErr w:type="spellEnd"/>
      <w:r w:rsidR="00640212" w:rsidRPr="00E83088">
        <w:t xml:space="preserve"> show high</w:t>
      </w:r>
      <w:r w:rsidR="00E0529A">
        <w:t>er</w:t>
      </w:r>
      <w:r w:rsidR="00640212" w:rsidRPr="00E83088">
        <w:t xml:space="preserve"> </w:t>
      </w:r>
      <w:proofErr w:type="gramStart"/>
      <w:r w:rsidR="00640212" w:rsidRPr="00E83088">
        <w:t>sensitivities</w:t>
      </w:r>
      <w:proofErr w:type="gramEnd"/>
      <w:r w:rsidR="00640212" w:rsidRPr="00E83088">
        <w:t xml:space="preserve"> and therefore </w:t>
      </w:r>
      <w:r w:rsidR="00E0529A">
        <w:t xml:space="preserve">also </w:t>
      </w:r>
      <w:r w:rsidR="00640212" w:rsidRPr="00E83088">
        <w:t>have the potential to significantly influence the calculation results</w:t>
      </w:r>
      <w:r w:rsidR="00E0529A">
        <w:t>. The</w:t>
      </w:r>
      <w:r w:rsidR="00640212" w:rsidRPr="00E83088">
        <w:t xml:space="preserve"> </w:t>
      </w:r>
      <w:r w:rsidR="00F658DA" w:rsidRPr="00E83088">
        <w:t>properties</w:t>
      </w:r>
      <w:r w:rsidR="00640212" w:rsidRPr="00E83088">
        <w:t xml:space="preserve"> G</w:t>
      </w:r>
      <w:r w:rsidR="00640212" w:rsidRPr="00E83088">
        <w:rPr>
          <w:vertAlign w:val="subscript"/>
        </w:rPr>
        <w:t>u</w:t>
      </w:r>
      <w:r w:rsidR="00640212" w:rsidRPr="00E83088">
        <w:t xml:space="preserve"> and </w:t>
      </w:r>
      <w:proofErr w:type="spellStart"/>
      <w:r w:rsidR="00640212" w:rsidRPr="00E83088">
        <w:t>μ</w:t>
      </w:r>
      <w:r w:rsidR="00640212" w:rsidRPr="00E83088">
        <w:rPr>
          <w:vertAlign w:val="subscript"/>
        </w:rPr>
        <w:t>u</w:t>
      </w:r>
      <w:proofErr w:type="spellEnd"/>
      <w:r w:rsidR="00640212" w:rsidRPr="00E83088">
        <w:t xml:space="preserve"> exhibit </w:t>
      </w:r>
      <w:r w:rsidR="004368AB">
        <w:t xml:space="preserve">a </w:t>
      </w:r>
      <w:r w:rsidR="00640212" w:rsidRPr="00E83088">
        <w:t>lesser effect. Note that a</w:t>
      </w:r>
      <w:r w:rsidR="00640212" w:rsidRPr="00E83088">
        <w:rPr>
          <w:vertAlign w:val="subscript"/>
        </w:rPr>
        <w:t>u</w:t>
      </w:r>
      <w:r w:rsidR="00640212" w:rsidRPr="00E83088">
        <w:t xml:space="preserve"> shows a sensitivity of zero </w:t>
      </w:r>
      <w:r w:rsidR="0053214E" w:rsidRPr="00E83088">
        <w:t>since the vented flow velocity</w:t>
      </w:r>
      <w:r w:rsidR="00640212" w:rsidRPr="00E83088">
        <w:t xml:space="preserve"> </w:t>
      </w:r>
      <w:r w:rsidR="0053214E" w:rsidRPr="00E83088">
        <w:t>does not reach sonic conditions at low P</w:t>
      </w:r>
      <w:r w:rsidR="0053214E" w:rsidRPr="00E83088">
        <w:rPr>
          <w:vertAlign w:val="subscript"/>
        </w:rPr>
        <w:t>red</w:t>
      </w:r>
      <w:r w:rsidR="0053214E" w:rsidRPr="00E83088">
        <w:t xml:space="preserve"> and the value of a</w:t>
      </w:r>
      <w:r w:rsidR="0053214E" w:rsidRPr="00E83088">
        <w:rPr>
          <w:vertAlign w:val="subscript"/>
        </w:rPr>
        <w:t>u</w:t>
      </w:r>
      <w:r w:rsidR="0053214E" w:rsidRPr="00E83088">
        <w:t xml:space="preserve"> therefore does not affect the calculation.</w:t>
      </w:r>
      <w:r w:rsidR="0081059B" w:rsidRPr="00E83088">
        <w:t xml:space="preserve"> Figure 1b shows the results of an equivalent </w:t>
      </w:r>
      <w:r w:rsidR="00C46246">
        <w:t>analysis</w:t>
      </w:r>
      <w:r w:rsidR="0081059B" w:rsidRPr="00E83088">
        <w:t xml:space="preserve"> for high-strength enclosures. Overall, these results are nearly equivalent to the results for low-strength enclosures, as expected based on the mathematical formulations of each model. Since P</w:t>
      </w:r>
      <w:r w:rsidR="0081059B" w:rsidRPr="00E83088">
        <w:rPr>
          <w:vertAlign w:val="subscript"/>
        </w:rPr>
        <w:t>red</w:t>
      </w:r>
      <w:r w:rsidR="0081059B" w:rsidRPr="00E83088">
        <w:t xml:space="preserve"> was prescribed at 1 bar-g for this base case, a</w:t>
      </w:r>
      <w:r w:rsidR="0081059B" w:rsidRPr="00E83088">
        <w:rPr>
          <w:vertAlign w:val="subscript"/>
        </w:rPr>
        <w:t>u</w:t>
      </w:r>
      <w:r w:rsidR="0081059B" w:rsidRPr="00E83088">
        <w:t xml:space="preserve"> now exhibits a non-zero sensitivity.</w:t>
      </w:r>
    </w:p>
    <w:p w14:paraId="7A239C1C" w14:textId="32E56823" w:rsidR="0081059B" w:rsidRPr="00E83088" w:rsidRDefault="0081059B" w:rsidP="007B66AF">
      <w:pPr>
        <w:pStyle w:val="CETBodytext"/>
      </w:pPr>
    </w:p>
    <w:p w14:paraId="5AF34BF6" w14:textId="77777777" w:rsidR="00AE1241" w:rsidRPr="00E83088" w:rsidRDefault="00AE1241" w:rsidP="00AE1241">
      <w:pPr>
        <w:pStyle w:val="CETBodytext"/>
        <w:keepNext/>
        <w:jc w:val="center"/>
      </w:pPr>
      <w:r w:rsidRPr="00E83088">
        <w:rPr>
          <w:noProof/>
        </w:rPr>
        <w:lastRenderedPageBreak/>
        <w:drawing>
          <wp:inline distT="0" distB="0" distL="0" distR="0" wp14:anchorId="5A319B3C" wp14:editId="55C2A6DC">
            <wp:extent cx="2743199" cy="1837306"/>
            <wp:effectExtent l="0" t="0" r="635" b="4445"/>
            <wp:docPr id="1330445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45621" name="Picture 1"/>
                    <pic:cNvPicPr/>
                  </pic:nvPicPr>
                  <pic:blipFill>
                    <a:blip r:embed="rId13"/>
                    <a:stretch>
                      <a:fillRect/>
                    </a:stretch>
                  </pic:blipFill>
                  <pic:spPr>
                    <a:xfrm>
                      <a:off x="0" y="0"/>
                      <a:ext cx="2743199" cy="1837306"/>
                    </a:xfrm>
                    <a:prstGeom prst="rect">
                      <a:avLst/>
                    </a:prstGeom>
                  </pic:spPr>
                </pic:pic>
              </a:graphicData>
            </a:graphic>
          </wp:inline>
        </w:drawing>
      </w:r>
      <w:r w:rsidRPr="00E83088">
        <w:t xml:space="preserve"> </w:t>
      </w:r>
      <w:r w:rsidRPr="00E83088">
        <w:rPr>
          <w:noProof/>
        </w:rPr>
        <w:drawing>
          <wp:inline distT="0" distB="0" distL="0" distR="0" wp14:anchorId="46E13B8F" wp14:editId="491645FD">
            <wp:extent cx="2743199" cy="1837305"/>
            <wp:effectExtent l="0" t="0" r="635" b="4445"/>
            <wp:docPr id="915568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68937" name="Picture 1"/>
                    <pic:cNvPicPr/>
                  </pic:nvPicPr>
                  <pic:blipFill>
                    <a:blip r:embed="rId14"/>
                    <a:stretch>
                      <a:fillRect/>
                    </a:stretch>
                  </pic:blipFill>
                  <pic:spPr>
                    <a:xfrm>
                      <a:off x="0" y="0"/>
                      <a:ext cx="2743199" cy="1837305"/>
                    </a:xfrm>
                    <a:prstGeom prst="rect">
                      <a:avLst/>
                    </a:prstGeom>
                  </pic:spPr>
                </pic:pic>
              </a:graphicData>
            </a:graphic>
          </wp:inline>
        </w:drawing>
      </w:r>
    </w:p>
    <w:p w14:paraId="25AEF442" w14:textId="2E8AA01B" w:rsidR="6F6774D1" w:rsidRPr="00E83088" w:rsidRDefault="6F6774D1" w:rsidP="20FD7D56">
      <w:pPr>
        <w:pStyle w:val="CETBodytext"/>
        <w:keepNext/>
        <w:ind w:left="1416" w:firstLine="708"/>
        <w:jc w:val="left"/>
      </w:pPr>
      <w:r w:rsidRPr="00E83088">
        <w:t xml:space="preserve">(a)                                                                               </w:t>
      </w:r>
      <w:proofErr w:type="gramStart"/>
      <w:r w:rsidRPr="00E83088">
        <w:t xml:space="preserve"> </w:t>
      </w:r>
      <w:r w:rsidR="00516ACC" w:rsidRPr="00E83088">
        <w:t xml:space="preserve">  </w:t>
      </w:r>
      <w:r w:rsidRPr="00E83088">
        <w:t>(</w:t>
      </w:r>
      <w:proofErr w:type="gramEnd"/>
      <w:r w:rsidRPr="00E83088">
        <w:t>b)</w:t>
      </w:r>
      <w:r w:rsidRPr="00E83088">
        <w:tab/>
      </w:r>
      <w:r w:rsidRPr="00E83088">
        <w:tab/>
      </w:r>
    </w:p>
    <w:p w14:paraId="42B5F981" w14:textId="6FB5F16C" w:rsidR="00AE1241" w:rsidRPr="00E83088" w:rsidRDefault="00AE1241" w:rsidP="004368AB">
      <w:pPr>
        <w:pStyle w:val="CETCaption"/>
        <w:jc w:val="center"/>
        <w:rPr>
          <w:lang w:val="en-US"/>
        </w:rPr>
      </w:pPr>
      <w:r w:rsidRPr="00E83088">
        <w:rPr>
          <w:lang w:val="en-US"/>
        </w:rPr>
        <w:t xml:space="preserve">Figure </w:t>
      </w:r>
      <w:r w:rsidRPr="00E83088">
        <w:rPr>
          <w:lang w:val="en-US"/>
        </w:rPr>
        <w:fldChar w:fldCharType="begin"/>
      </w:r>
      <w:r w:rsidRPr="00E83088">
        <w:rPr>
          <w:lang w:val="en-US"/>
        </w:rPr>
        <w:instrText xml:space="preserve"> SEQ Figure \* ARABIC </w:instrText>
      </w:r>
      <w:r w:rsidRPr="00E83088">
        <w:rPr>
          <w:lang w:val="en-US"/>
        </w:rPr>
        <w:fldChar w:fldCharType="separate"/>
      </w:r>
      <w:r w:rsidRPr="00E83088">
        <w:rPr>
          <w:noProof/>
          <w:lang w:val="en-US"/>
        </w:rPr>
        <w:t>1</w:t>
      </w:r>
      <w:r w:rsidRPr="00E83088">
        <w:rPr>
          <w:lang w:val="en-US"/>
        </w:rPr>
        <w:fldChar w:fldCharType="end"/>
      </w:r>
      <w:r w:rsidRPr="00E83088">
        <w:rPr>
          <w:lang w:val="en-US"/>
        </w:rPr>
        <w:t xml:space="preserve">: Relative parameter sensitivities sorted from high to low, for low-strength enclosures </w:t>
      </w:r>
      <w:r w:rsidR="00A051C4" w:rsidRPr="00E83088">
        <w:rPr>
          <w:lang w:val="en-US"/>
        </w:rPr>
        <w:t>[</w:t>
      </w:r>
      <w:r w:rsidRPr="00E83088">
        <w:rPr>
          <w:lang w:val="en-US"/>
        </w:rPr>
        <w:t>(</w:t>
      </w:r>
      <w:r w:rsidR="00A051C4" w:rsidRPr="00E83088">
        <w:rPr>
          <w:lang w:val="en-US"/>
        </w:rPr>
        <w:t xml:space="preserve">a) </w:t>
      </w:r>
      <w:r w:rsidRPr="00E83088">
        <w:rPr>
          <w:lang w:val="en-US"/>
        </w:rPr>
        <w:t>P</w:t>
      </w:r>
      <w:r w:rsidRPr="00E83088">
        <w:rPr>
          <w:vertAlign w:val="subscript"/>
          <w:lang w:val="en-US"/>
        </w:rPr>
        <w:t>red</w:t>
      </w:r>
      <w:r w:rsidRPr="00E83088">
        <w:rPr>
          <w:lang w:val="en-US"/>
        </w:rPr>
        <w:t xml:space="preserve"> </w:t>
      </w:r>
      <w:r w:rsidRPr="00E83088">
        <w:rPr>
          <w:rFonts w:ascii="Symbol" w:eastAsia="Symbol" w:hAnsi="Symbol" w:cs="Symbol"/>
          <w:lang w:val="en-US"/>
        </w:rPr>
        <w:t>£</w:t>
      </w:r>
      <w:r w:rsidRPr="00E83088">
        <w:rPr>
          <w:lang w:val="en-US"/>
        </w:rPr>
        <w:t xml:space="preserve"> 0.5 bar-g</w:t>
      </w:r>
      <w:r w:rsidR="00A051C4" w:rsidRPr="00E83088">
        <w:rPr>
          <w:lang w:val="en-US"/>
        </w:rPr>
        <w:t>]</w:t>
      </w:r>
      <w:r w:rsidRPr="00E83088">
        <w:rPr>
          <w:lang w:val="en-US"/>
        </w:rPr>
        <w:t xml:space="preserve"> and high-strength enclosures </w:t>
      </w:r>
      <w:r w:rsidR="00A051C4" w:rsidRPr="00E83088">
        <w:rPr>
          <w:lang w:val="en-US"/>
        </w:rPr>
        <w:t>[(b)</w:t>
      </w:r>
      <w:r w:rsidR="00A84E1A" w:rsidRPr="00E83088">
        <w:rPr>
          <w:lang w:val="en-US"/>
        </w:rPr>
        <w:t xml:space="preserve"> </w:t>
      </w:r>
      <w:r w:rsidRPr="00E83088">
        <w:rPr>
          <w:lang w:val="en-US"/>
        </w:rPr>
        <w:t>P</w:t>
      </w:r>
      <w:r w:rsidRPr="00E83088">
        <w:rPr>
          <w:vertAlign w:val="subscript"/>
          <w:lang w:val="en-US"/>
        </w:rPr>
        <w:t>red</w:t>
      </w:r>
      <w:r w:rsidRPr="00E83088">
        <w:rPr>
          <w:lang w:val="en-US"/>
        </w:rPr>
        <w:t xml:space="preserve"> </w:t>
      </w:r>
      <w:r w:rsidRPr="00E83088">
        <w:rPr>
          <w:rFonts w:ascii="Symbol" w:eastAsia="Symbol" w:hAnsi="Symbol" w:cs="Symbol"/>
          <w:lang w:val="en-US"/>
        </w:rPr>
        <w:t>&gt;</w:t>
      </w:r>
      <w:r w:rsidRPr="00E83088">
        <w:rPr>
          <w:lang w:val="en-US"/>
        </w:rPr>
        <w:t xml:space="preserve"> 0.5 bar-g</w:t>
      </w:r>
      <w:r w:rsidR="00A051C4" w:rsidRPr="00E83088">
        <w:rPr>
          <w:lang w:val="en-US"/>
        </w:rPr>
        <w:t>]</w:t>
      </w:r>
      <w:r w:rsidRPr="00E83088">
        <w:rPr>
          <w:lang w:val="en-US"/>
        </w:rPr>
        <w:t>.</w:t>
      </w:r>
    </w:p>
    <w:p w14:paraId="60E2A6CA" w14:textId="15756528" w:rsidR="005349ED" w:rsidRPr="00E83088" w:rsidRDefault="007B66AF" w:rsidP="005349ED">
      <w:pPr>
        <w:pStyle w:val="CETheadingx"/>
      </w:pPr>
      <w:r w:rsidRPr="00E83088">
        <w:t xml:space="preserve">Comparisons </w:t>
      </w:r>
      <w:r w:rsidR="73F0BDEF" w:rsidRPr="00E83088">
        <w:t xml:space="preserve">of Default Properties and Calculated </w:t>
      </w:r>
      <w:r w:rsidR="00EA49B6">
        <w:t xml:space="preserve">Mixture-specific </w:t>
      </w:r>
      <w:r w:rsidR="73F0BDEF" w:rsidRPr="00E83088">
        <w:t>Properties</w:t>
      </w:r>
    </w:p>
    <w:p w14:paraId="4D1C1B2E" w14:textId="4B4ED2CD" w:rsidR="00B833B3" w:rsidRPr="00E83088" w:rsidRDefault="00B833B3" w:rsidP="4C78ED06">
      <w:pPr>
        <w:pStyle w:val="CETBodytext"/>
      </w:pPr>
      <w:r w:rsidRPr="00E83088">
        <w:t xml:space="preserve">To evaluate the impact of using </w:t>
      </w:r>
      <w:r w:rsidR="00D362CD">
        <w:t xml:space="preserve">default properties versus </w:t>
      </w:r>
      <w:r w:rsidRPr="00E83088">
        <w:t xml:space="preserve">calculated </w:t>
      </w:r>
      <w:r w:rsidR="00EA49B6">
        <w:t xml:space="preserve">mixture-specific </w:t>
      </w:r>
      <w:r w:rsidRPr="00E83088">
        <w:t xml:space="preserve">properties, a systematic comparison was performed across all experimental cases </w:t>
      </w:r>
      <w:r w:rsidR="00E0529A">
        <w:t>indicated</w:t>
      </w:r>
      <w:r w:rsidRPr="00E83088">
        <w:t xml:space="preserve"> in </w:t>
      </w:r>
      <w:r w:rsidR="00E15B6C">
        <w:t>Sec.</w:t>
      </w:r>
      <w:r w:rsidRPr="00E83088">
        <w:t xml:space="preserve"> 4. The analysis revealed that NFPA 68</w:t>
      </w:r>
      <w:r w:rsidR="00B61799">
        <w:t xml:space="preserve"> (2023)</w:t>
      </w:r>
      <w:r w:rsidRPr="00E83088">
        <w:t xml:space="preserve"> calculated overpressures were consistently greater when using the default properties compared to calculated mixture-specific properties. As shown in Figure 2(a), the use of calculated properties led to a</w:t>
      </w:r>
      <w:r w:rsidR="00C66636">
        <w:t xml:space="preserve">n </w:t>
      </w:r>
      <w:r w:rsidR="00BA6FBE">
        <w:t>average</w:t>
      </w:r>
      <w:r w:rsidRPr="00E83088">
        <w:t xml:space="preserve"> reduction in predicted P</w:t>
      </w:r>
      <w:r w:rsidRPr="00E83088">
        <w:rPr>
          <w:vertAlign w:val="subscript"/>
        </w:rPr>
        <w:t>red</w:t>
      </w:r>
      <w:r w:rsidR="00EC5EB1">
        <w:t xml:space="preserve"> by 15%</w:t>
      </w:r>
      <w:r w:rsidR="001935CB">
        <w:t xml:space="preserve">, </w:t>
      </w:r>
      <w:r w:rsidRPr="00E83088">
        <w:t xml:space="preserve">with certain cases, particularly </w:t>
      </w:r>
      <w:r w:rsidR="00593620">
        <w:t>HYSEA and INERIS</w:t>
      </w:r>
      <w:r w:rsidRPr="00E83088">
        <w:t xml:space="preserve"> 20</w:t>
      </w:r>
      <w:r w:rsidR="00E83088" w:rsidRPr="00E83088">
        <w:t>-</w:t>
      </w:r>
      <w:r w:rsidRPr="00E83088">
        <w:t xml:space="preserve">ft ISO </w:t>
      </w:r>
      <w:r w:rsidR="00AB0B80">
        <w:t>cases</w:t>
      </w:r>
      <w:r w:rsidRPr="00E83088">
        <w:t xml:space="preserve"> containing </w:t>
      </w:r>
      <w:r w:rsidR="00E83088" w:rsidRPr="00E83088">
        <w:t>hydrogen</w:t>
      </w:r>
      <w:r w:rsidRPr="00E83088">
        <w:t xml:space="preserve">, showing reductions </w:t>
      </w:r>
      <w:r w:rsidR="00E83088" w:rsidRPr="00E83088">
        <w:t>of up to</w:t>
      </w:r>
      <w:r w:rsidRPr="00E83088">
        <w:t xml:space="preserve"> </w:t>
      </w:r>
      <w:r w:rsidR="00BD4C6A">
        <w:t>65</w:t>
      </w:r>
      <w:r w:rsidRPr="00E83088">
        <w:t xml:space="preserve">%. These differences align with the sensitivity study results, </w:t>
      </w:r>
      <w:r w:rsidR="00E83088" w:rsidRPr="00E83088">
        <w:t>with</w:t>
      </w:r>
      <w:r w:rsidRPr="00E83088">
        <w:t xml:space="preserve"> the lower unburned mixture density and the higher ratio of specific </w:t>
      </w:r>
      <w:proofErr w:type="gramStart"/>
      <w:r w:rsidRPr="00E83088">
        <w:t>heats</w:t>
      </w:r>
      <w:proofErr w:type="gramEnd"/>
      <w:r w:rsidRPr="00E83088">
        <w:t xml:space="preserve"> for the burned gas</w:t>
      </w:r>
      <w:r w:rsidR="00C45697">
        <w:t xml:space="preserve"> leading to lower predicted P</w:t>
      </w:r>
      <w:r w:rsidR="00C45697">
        <w:rPr>
          <w:vertAlign w:val="subscript"/>
        </w:rPr>
        <w:t>red</w:t>
      </w:r>
      <w:r w:rsidR="00C45697">
        <w:t xml:space="preserve"> for the calculated mixture-specific properties</w:t>
      </w:r>
      <w:r w:rsidRPr="00E83088">
        <w:t xml:space="preserve">. The density effect is particularly pronounced in </w:t>
      </w:r>
      <w:r w:rsidR="00E83088" w:rsidRPr="00E83088">
        <w:t>hydrogen</w:t>
      </w:r>
      <w:r w:rsidRPr="00E83088">
        <w:t xml:space="preserve"> scenarios</w:t>
      </w:r>
      <w:r w:rsidR="00CE0CE2">
        <w:t>.</w:t>
      </w:r>
    </w:p>
    <w:p w14:paraId="03F23BA1" w14:textId="77777777" w:rsidR="00222AA6" w:rsidRPr="00E83088" w:rsidRDefault="00222AA6" w:rsidP="4C78ED06">
      <w:pPr>
        <w:pStyle w:val="CETBodytext"/>
      </w:pPr>
    </w:p>
    <w:p w14:paraId="7E7E128A" w14:textId="6DA740D4" w:rsidR="00F1529D" w:rsidRPr="00E83088" w:rsidRDefault="53BA7BAE" w:rsidP="00523752">
      <w:pPr>
        <w:pStyle w:val="CETBodytext"/>
        <w:jc w:val="center"/>
      </w:pPr>
      <w:r w:rsidRPr="00E83088">
        <w:rPr>
          <w:noProof/>
        </w:rPr>
        <w:drawing>
          <wp:inline distT="0" distB="0" distL="0" distR="0" wp14:anchorId="5338D704" wp14:editId="535425C0">
            <wp:extent cx="2147316" cy="1690260"/>
            <wp:effectExtent l="0" t="0" r="0" b="0"/>
            <wp:docPr id="2007974332" name="Picture 200797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2149099" cy="1691664"/>
                    </a:xfrm>
                    <a:prstGeom prst="rect">
                      <a:avLst/>
                    </a:prstGeom>
                    <a:ln>
                      <a:noFill/>
                    </a:ln>
                    <a:extLst>
                      <a:ext uri="{53640926-AAD7-44D8-BBD7-CCE9431645EC}">
                        <a14:shadowObscured xmlns:a14="http://schemas.microsoft.com/office/drawing/2010/main"/>
                      </a:ext>
                    </a:extLst>
                  </pic:spPr>
                </pic:pic>
              </a:graphicData>
            </a:graphic>
          </wp:inline>
        </w:drawing>
      </w:r>
      <w:r w:rsidR="005C79EE" w:rsidRPr="00E83088">
        <w:t xml:space="preserve"> </w:t>
      </w:r>
      <w:r w:rsidR="00523752" w:rsidRPr="00E83088">
        <w:rPr>
          <w:noProof/>
        </w:rPr>
        <w:drawing>
          <wp:inline distT="0" distB="0" distL="0" distR="0" wp14:anchorId="05C2892C" wp14:editId="6B358788">
            <wp:extent cx="3347360" cy="1689284"/>
            <wp:effectExtent l="0" t="0" r="5715" b="0"/>
            <wp:docPr id="1412493390" name="Picture 141249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93390" name="Picture 1412493390"/>
                    <pic:cNvPicPr/>
                  </pic:nvPicPr>
                  <pic:blipFill rotWithShape="1">
                    <a:blip r:embed="rId16"/>
                    <a:srcRect/>
                    <a:stretch/>
                  </pic:blipFill>
                  <pic:spPr bwMode="auto">
                    <a:xfrm>
                      <a:off x="0" y="0"/>
                      <a:ext cx="3348507" cy="1689863"/>
                    </a:xfrm>
                    <a:prstGeom prst="rect">
                      <a:avLst/>
                    </a:prstGeom>
                    <a:ln>
                      <a:noFill/>
                    </a:ln>
                    <a:extLst>
                      <a:ext uri="{53640926-AAD7-44D8-BBD7-CCE9431645EC}">
                        <a14:shadowObscured xmlns:a14="http://schemas.microsoft.com/office/drawing/2010/main"/>
                      </a:ext>
                    </a:extLst>
                  </pic:spPr>
                </pic:pic>
              </a:graphicData>
            </a:graphic>
          </wp:inline>
        </w:drawing>
      </w:r>
    </w:p>
    <w:p w14:paraId="222E14D7" w14:textId="0EF4C461" w:rsidR="00D75F9A" w:rsidRPr="00E83088" w:rsidRDefault="00D75F9A" w:rsidP="00D75F9A">
      <w:pPr>
        <w:pStyle w:val="CETBodytext"/>
        <w:keepNext/>
        <w:jc w:val="left"/>
      </w:pPr>
      <w:r w:rsidRPr="00E83088">
        <w:t xml:space="preserve">                                   (a)                                                                </w:t>
      </w:r>
      <w:proofErr w:type="gramStart"/>
      <w:r w:rsidRPr="00E83088">
        <w:t xml:space="preserve">  </w:t>
      </w:r>
      <w:r w:rsidR="001364C8" w:rsidRPr="00E83088">
        <w:t xml:space="preserve"> </w:t>
      </w:r>
      <w:r w:rsidRPr="00E83088">
        <w:t>(</w:t>
      </w:r>
      <w:proofErr w:type="gramEnd"/>
      <w:r w:rsidRPr="00E83088">
        <w:t>b)</w:t>
      </w:r>
      <w:r w:rsidRPr="00E83088">
        <w:tab/>
      </w:r>
      <w:r w:rsidRPr="00E83088">
        <w:tab/>
      </w:r>
    </w:p>
    <w:p w14:paraId="49BEDFC5" w14:textId="170D3699" w:rsidR="003A2847" w:rsidRPr="00E83088" w:rsidRDefault="39CE17F9" w:rsidP="004368AB">
      <w:pPr>
        <w:pStyle w:val="CETCaption"/>
        <w:jc w:val="center"/>
        <w:rPr>
          <w:lang w:val="en-US"/>
        </w:rPr>
      </w:pPr>
      <w:r w:rsidRPr="00E83088">
        <w:rPr>
          <w:lang w:val="en-US"/>
        </w:rPr>
        <w:t>Figure 2: Comparison of</w:t>
      </w:r>
      <w:r w:rsidR="00B271C4">
        <w:rPr>
          <w:lang w:val="en-US"/>
        </w:rPr>
        <w:t xml:space="preserve"> NFPA 68</w:t>
      </w:r>
      <w:r w:rsidRPr="00E83088">
        <w:rPr>
          <w:lang w:val="en-US"/>
        </w:rPr>
        <w:t xml:space="preserve"> </w:t>
      </w:r>
      <w:r w:rsidR="003721AD">
        <w:rPr>
          <w:lang w:val="en-US"/>
        </w:rPr>
        <w:t>(2023)</w:t>
      </w:r>
      <w:r w:rsidRPr="00E83088">
        <w:rPr>
          <w:lang w:val="en-US"/>
        </w:rPr>
        <w:t xml:space="preserve"> </w:t>
      </w:r>
      <w:r w:rsidR="00222AA6" w:rsidRPr="00E83088">
        <w:rPr>
          <w:lang w:val="en-US"/>
        </w:rPr>
        <w:t>predictions</w:t>
      </w:r>
      <w:r w:rsidRPr="00E83088">
        <w:rPr>
          <w:lang w:val="en-US"/>
        </w:rPr>
        <w:t xml:space="preserve"> </w:t>
      </w:r>
      <w:r w:rsidR="00CE44D0" w:rsidRPr="00E83088">
        <w:rPr>
          <w:lang w:val="en-US"/>
        </w:rPr>
        <w:t>for P</w:t>
      </w:r>
      <w:r w:rsidR="00CE44D0" w:rsidRPr="00E83088">
        <w:rPr>
          <w:vertAlign w:val="subscript"/>
          <w:lang w:val="en-US"/>
        </w:rPr>
        <w:t>red</w:t>
      </w:r>
      <w:r w:rsidR="00CE44D0" w:rsidRPr="00E83088">
        <w:rPr>
          <w:lang w:val="en-US"/>
        </w:rPr>
        <w:t xml:space="preserve"> </w:t>
      </w:r>
      <w:r w:rsidR="00222AA6" w:rsidRPr="00E83088">
        <w:rPr>
          <w:lang w:val="en-US"/>
        </w:rPr>
        <w:t>using</w:t>
      </w:r>
      <w:r w:rsidRPr="00E83088">
        <w:rPr>
          <w:lang w:val="en-US"/>
        </w:rPr>
        <w:t xml:space="preserve"> default and calculated properties</w:t>
      </w:r>
      <w:r w:rsidR="00222AA6" w:rsidRPr="00E83088">
        <w:rPr>
          <w:lang w:val="en-US"/>
        </w:rPr>
        <w:t xml:space="preserve"> (</w:t>
      </w:r>
      <w:r w:rsidR="009A77E3" w:rsidRPr="00E83088">
        <w:rPr>
          <w:lang w:val="en-US"/>
        </w:rPr>
        <w:t>a</w:t>
      </w:r>
      <w:r w:rsidR="00222AA6" w:rsidRPr="00E83088">
        <w:rPr>
          <w:lang w:val="en-US"/>
        </w:rPr>
        <w:t xml:space="preserve">); comparison of </w:t>
      </w:r>
      <w:r w:rsidR="00CE44D0" w:rsidRPr="00E83088">
        <w:rPr>
          <w:lang w:val="en-US"/>
        </w:rPr>
        <w:t>P</w:t>
      </w:r>
      <w:r w:rsidR="00CE44D0" w:rsidRPr="00E83088">
        <w:rPr>
          <w:vertAlign w:val="subscript"/>
          <w:lang w:val="en-US"/>
        </w:rPr>
        <w:t>red</w:t>
      </w:r>
      <w:r w:rsidR="00CE44D0" w:rsidRPr="00E83088">
        <w:rPr>
          <w:lang w:val="en-US"/>
        </w:rPr>
        <w:t xml:space="preserve"> </w:t>
      </w:r>
      <w:r w:rsidR="00222AA6" w:rsidRPr="00E83088">
        <w:rPr>
          <w:lang w:val="en-US"/>
        </w:rPr>
        <w:t>predictions with experimental results (</w:t>
      </w:r>
      <w:r w:rsidR="009A77E3" w:rsidRPr="00E83088">
        <w:rPr>
          <w:lang w:val="en-US"/>
        </w:rPr>
        <w:t>b</w:t>
      </w:r>
      <w:r w:rsidR="00222AA6" w:rsidRPr="00E83088">
        <w:rPr>
          <w:lang w:val="en-US"/>
        </w:rPr>
        <w:t>).</w:t>
      </w:r>
    </w:p>
    <w:p w14:paraId="3DFBF18E" w14:textId="77777777" w:rsidR="00222AA6" w:rsidRPr="00E83088" w:rsidRDefault="00222AA6" w:rsidP="00222AA6">
      <w:pPr>
        <w:rPr>
          <w:lang w:val="en-US"/>
        </w:rPr>
      </w:pPr>
    </w:p>
    <w:p w14:paraId="1E9B966D" w14:textId="611B61A0" w:rsidR="00775A94" w:rsidRDefault="005F1A83" w:rsidP="4C78ED06">
      <w:pPr>
        <w:pStyle w:val="CETBodytext"/>
        <w:spacing w:after="200" w:line="276" w:lineRule="auto"/>
      </w:pPr>
      <w:r w:rsidRPr="005F1A83">
        <w:rPr>
          <w:lang w:val="en-GB"/>
        </w:rPr>
        <w:t>A comparison between predicted and experimental P</w:t>
      </w:r>
      <w:r w:rsidRPr="005F1A83">
        <w:rPr>
          <w:vertAlign w:val="subscript"/>
          <w:lang w:val="en-GB"/>
        </w:rPr>
        <w:t>red</w:t>
      </w:r>
      <w:r w:rsidRPr="005F1A83">
        <w:rPr>
          <w:lang w:val="en-GB"/>
        </w:rPr>
        <w:t xml:space="preserve"> values is presented in Figure 2(b), where predictions using default properties are shown as filled symbols or darker </w:t>
      </w:r>
      <w:proofErr w:type="spellStart"/>
      <w:r w:rsidRPr="005F1A83">
        <w:rPr>
          <w:lang w:val="en-GB"/>
        </w:rPr>
        <w:t>colors</w:t>
      </w:r>
      <w:proofErr w:type="spellEnd"/>
      <w:r w:rsidRPr="005F1A83">
        <w:rPr>
          <w:lang w:val="en-GB"/>
        </w:rPr>
        <w:t xml:space="preserve">, while predictions using calculated mixture-specific properties are shown as empty symbols or lighter </w:t>
      </w:r>
      <w:proofErr w:type="spellStart"/>
      <w:r w:rsidRPr="005F1A83">
        <w:rPr>
          <w:lang w:val="en-GB"/>
        </w:rPr>
        <w:t>colors</w:t>
      </w:r>
      <w:proofErr w:type="spellEnd"/>
      <w:r w:rsidRPr="005F1A83">
        <w:rPr>
          <w:lang w:val="en-GB"/>
        </w:rPr>
        <w:t xml:space="preserve"> of the same shape.</w:t>
      </w:r>
      <w:r w:rsidR="006E790E">
        <w:rPr>
          <w:lang w:val="en-GB"/>
        </w:rPr>
        <w:t xml:space="preserve"> </w:t>
      </w:r>
      <w:r w:rsidR="00E83088" w:rsidRPr="00E83088">
        <w:t xml:space="preserve">Both approaches demonstrate predominantly conservative behavior across the dataset, with default properties yielding a larger safety margin and calculated properties providing improved accuracy. </w:t>
      </w:r>
    </w:p>
    <w:p w14:paraId="5F9A3FCC" w14:textId="61799E73" w:rsidR="00055651" w:rsidRDefault="00775A94" w:rsidP="4C78ED06">
      <w:pPr>
        <w:pStyle w:val="CETBodytext"/>
        <w:spacing w:after="200" w:line="276" w:lineRule="auto"/>
        <w:rPr>
          <w:lang w:val="en-GB"/>
        </w:rPr>
      </w:pPr>
      <w:r w:rsidRPr="00775A94">
        <w:rPr>
          <w:lang w:val="en-GB"/>
        </w:rPr>
        <w:t xml:space="preserve">Two </w:t>
      </w:r>
      <w:r>
        <w:rPr>
          <w:lang w:val="en-GB"/>
        </w:rPr>
        <w:t>sets of</w:t>
      </w:r>
      <w:r w:rsidRPr="00775A94">
        <w:rPr>
          <w:lang w:val="en-GB"/>
        </w:rPr>
        <w:t xml:space="preserve"> </w:t>
      </w:r>
      <w:r>
        <w:rPr>
          <w:lang w:val="en-GB"/>
        </w:rPr>
        <w:t>cases</w:t>
      </w:r>
      <w:r w:rsidRPr="00775A94">
        <w:rPr>
          <w:lang w:val="en-GB"/>
        </w:rPr>
        <w:t xml:space="preserve"> deviated from the generally conservative predictions. The first involved the INERIS 20</w:t>
      </w:r>
      <w:r>
        <w:rPr>
          <w:lang w:val="en-GB"/>
        </w:rPr>
        <w:t>-</w:t>
      </w:r>
      <w:r w:rsidRPr="00775A94">
        <w:rPr>
          <w:lang w:val="en-GB"/>
        </w:rPr>
        <w:t xml:space="preserve">ft ISO container experiments, where unexpected structural responses occurred during testing. While the designated </w:t>
      </w:r>
      <w:r w:rsidR="00C80E08">
        <w:rPr>
          <w:lang w:val="en-GB"/>
        </w:rPr>
        <w:t>deflagration</w:t>
      </w:r>
      <w:r w:rsidRPr="00775A94">
        <w:rPr>
          <w:lang w:val="en-GB"/>
        </w:rPr>
        <w:t xml:space="preserve"> vent functioned as designed, the container doors unlatched and opened during the deflagration. Although the door areas were included in calculations as low-inertia vents, this simplification likely underestimated the actual door inertia, contributing to underpredicted P</w:t>
      </w:r>
      <w:r w:rsidRPr="00775A94">
        <w:rPr>
          <w:vertAlign w:val="subscript"/>
          <w:lang w:val="en-GB"/>
        </w:rPr>
        <w:t>red</w:t>
      </w:r>
      <w:r w:rsidRPr="00775A94">
        <w:rPr>
          <w:lang w:val="en-GB"/>
        </w:rPr>
        <w:t xml:space="preserve"> values. Furthermore, the structural </w:t>
      </w:r>
      <w:r>
        <w:rPr>
          <w:lang w:val="en-GB"/>
        </w:rPr>
        <w:lastRenderedPageBreak/>
        <w:t xml:space="preserve">container </w:t>
      </w:r>
      <w:r w:rsidRPr="00775A94">
        <w:rPr>
          <w:lang w:val="en-GB"/>
        </w:rPr>
        <w:t>failure observed in both tests represents a complex phenomenon not accounted for in the model</w:t>
      </w:r>
      <w:r w:rsidR="00811F97">
        <w:rPr>
          <w:lang w:val="en-GB"/>
        </w:rPr>
        <w:t xml:space="preserve"> calculations</w:t>
      </w:r>
      <w:r w:rsidRPr="00775A94">
        <w:rPr>
          <w:lang w:val="en-GB"/>
        </w:rPr>
        <w:t>. The second case involved the LNG tank experiments by Li</w:t>
      </w:r>
      <w:r w:rsidR="00623E36">
        <w:rPr>
          <w:lang w:val="en-GB"/>
        </w:rPr>
        <w:t xml:space="preserve"> et al.</w:t>
      </w:r>
      <w:r w:rsidRPr="00775A94">
        <w:rPr>
          <w:lang w:val="en-GB"/>
        </w:rPr>
        <w:t xml:space="preserve"> (2017), which exhibited relatively low experimental pressures (P</w:t>
      </w:r>
      <w:r w:rsidRPr="00623E36">
        <w:rPr>
          <w:vertAlign w:val="subscript"/>
          <w:lang w:val="en-GB"/>
        </w:rPr>
        <w:t>red</w:t>
      </w:r>
      <w:r w:rsidRPr="00775A94">
        <w:rPr>
          <w:lang w:val="en-GB"/>
        </w:rPr>
        <w:t xml:space="preserve"> = 0.07 bar-g and 0.15 bar-g). In these tests, the higher-pressure case (0.15 bar-g) was not predicted conservatively when using calculated properties, suggesting potential limitations of the model for low-pressure scenarios</w:t>
      </w:r>
      <w:r w:rsidR="00623E36">
        <w:rPr>
          <w:lang w:val="en-GB"/>
        </w:rPr>
        <w:t xml:space="preserve"> or effects of experimental variability</w:t>
      </w:r>
      <w:r w:rsidRPr="00775A94">
        <w:rPr>
          <w:lang w:val="en-GB"/>
        </w:rPr>
        <w:t>.</w:t>
      </w:r>
    </w:p>
    <w:p w14:paraId="5E9FA4A1" w14:textId="08595F7A" w:rsidR="00055651" w:rsidRPr="00E83088" w:rsidRDefault="00055651" w:rsidP="4C78ED06">
      <w:pPr>
        <w:pStyle w:val="CETBodytext"/>
        <w:spacing w:after="200" w:line="276" w:lineRule="auto"/>
      </w:pPr>
      <w:r w:rsidRPr="00055651">
        <w:rPr>
          <w:lang w:val="en-GB"/>
        </w:rPr>
        <w:t xml:space="preserve">The analysis demonstrates that calculated mixture-specific properties yield more accurate predictions of deflagration pressures and required vent areas while maintaining conservative predictions for </w:t>
      </w:r>
      <w:proofErr w:type="gramStart"/>
      <w:r w:rsidRPr="00055651">
        <w:rPr>
          <w:lang w:val="en-GB"/>
        </w:rPr>
        <w:t>the majority of</w:t>
      </w:r>
      <w:proofErr w:type="gramEnd"/>
      <w:r w:rsidRPr="00055651">
        <w:rPr>
          <w:lang w:val="en-GB"/>
        </w:rPr>
        <w:t xml:space="preserve"> investigated scenarios. These findings have direct practical implications: while NFPA 68</w:t>
      </w:r>
      <w:r>
        <w:rPr>
          <w:lang w:val="en-GB"/>
        </w:rPr>
        <w:t xml:space="preserve"> (2023)</w:t>
      </w:r>
      <w:r w:rsidRPr="00055651">
        <w:rPr>
          <w:lang w:val="en-GB"/>
        </w:rPr>
        <w:t xml:space="preserve"> default values provide a conservative basis suitable for preliminary design assessments, the use of calculated mixture-specific properties offers more refined predictions appropriate for detailed engineering design, particularly for applications involving hydrogen</w:t>
      </w:r>
      <w:r w:rsidR="00DF20B1">
        <w:rPr>
          <w:lang w:val="en-GB"/>
        </w:rPr>
        <w:t>, and is required to fully comply with the standard for</w:t>
      </w:r>
      <w:r w:rsidRPr="00055651">
        <w:rPr>
          <w:lang w:val="en-GB"/>
        </w:rPr>
        <w:t xml:space="preserve"> fuel</w:t>
      </w:r>
      <w:r w:rsidR="00DF20B1">
        <w:rPr>
          <w:lang w:val="en-GB"/>
        </w:rPr>
        <w:t>s with stoichiometric</w:t>
      </w:r>
      <w:r w:rsidRPr="00055651">
        <w:rPr>
          <w:lang w:val="en-GB"/>
        </w:rPr>
        <w:t xml:space="preserve"> concentrations exceeding 5%.</w:t>
      </w:r>
    </w:p>
    <w:p w14:paraId="2FA432B1" w14:textId="0AA911F8" w:rsidR="003721AD" w:rsidRDefault="005349ED" w:rsidP="00BC1E72">
      <w:pPr>
        <w:pStyle w:val="CETHeading1"/>
      </w:pPr>
      <w:r w:rsidRPr="00E83088">
        <w:t>Conclusion</w:t>
      </w:r>
    </w:p>
    <w:p w14:paraId="4258A4AF" w14:textId="50F78056" w:rsidR="003721AD" w:rsidRDefault="003721AD" w:rsidP="003721AD">
      <w:pPr>
        <w:pStyle w:val="CETBodytext"/>
      </w:pPr>
      <w:r>
        <w:t>This work evaluated the influence of mixture properties on deflagration pressure predictions and required vent areas using the NFPA 68 (2023) gas</w:t>
      </w:r>
      <w:r w:rsidR="008B5883">
        <w:t>eous</w:t>
      </w:r>
      <w:r>
        <w:t xml:space="preserve"> </w:t>
      </w:r>
      <w:r w:rsidR="00602363">
        <w:t xml:space="preserve">deflagration </w:t>
      </w:r>
      <w:r>
        <w:t xml:space="preserve">venting model. A systematic sensitivity analysis revealed that certain properties, particularly the unburned gas density and burned ratio of specific heats, have greater impact on calculation results than commonly emphasized in practice. Through analysis of experimental data relevant to green energy applications, the study demonstrated that using calculated mixture-specific properties instead of default values yields more accurate predictions while generally maintaining conservative results. Quantitatively, pressure predictions were reduced by </w:t>
      </w:r>
      <w:r w:rsidR="00BD59F0">
        <w:t>15</w:t>
      </w:r>
      <w:r>
        <w:t>%</w:t>
      </w:r>
      <w:r w:rsidR="00BD59F0">
        <w:t xml:space="preserve"> on average</w:t>
      </w:r>
      <w:r>
        <w:t xml:space="preserve"> when using calculated properties, with hydrogen applications showing the most significant </w:t>
      </w:r>
      <w:r w:rsidR="00BD59F0">
        <w:t xml:space="preserve">reductions of up to </w:t>
      </w:r>
      <w:r w:rsidR="00D418AD">
        <w:t>65</w:t>
      </w:r>
      <w:r w:rsidR="00BD59F0">
        <w:t>%</w:t>
      </w:r>
      <w:r>
        <w:t xml:space="preserve"> due to their distinct mixture properties.</w:t>
      </w:r>
    </w:p>
    <w:p w14:paraId="5DB297AD" w14:textId="77777777" w:rsidR="003721AD" w:rsidRDefault="003721AD" w:rsidP="003721AD">
      <w:pPr>
        <w:pStyle w:val="CETBodytext"/>
      </w:pPr>
    </w:p>
    <w:p w14:paraId="3F9AB712" w14:textId="2501AAE1" w:rsidR="003721AD" w:rsidRPr="00E83088" w:rsidRDefault="003721AD" w:rsidP="003721AD">
      <w:pPr>
        <w:pStyle w:val="CETBodytext"/>
      </w:pPr>
      <w:r>
        <w:t>The findings have direct implications for industrial practice. While NFPA 68 (2023) default values provide a conservative basis suitable for preliminary design assessments, they are limited to fuels with stoichiometric concentrations below 5%. For final designs, particularly those involving hydrogen or other fuels exceeding this threshold, calculated mixture-specific properties should be used to ensure compliance with the standard and achieve more realistic yet safe vent area specifications.</w:t>
      </w:r>
    </w:p>
    <w:p w14:paraId="07A6D20F" w14:textId="0ECF229E" w:rsidR="00280FAF" w:rsidRPr="00E83088" w:rsidRDefault="00280FAF" w:rsidP="00280FAF">
      <w:pPr>
        <w:pStyle w:val="CETHeadingxx"/>
        <w:sectPr w:rsidR="00280FAF" w:rsidRPr="00E83088" w:rsidSect="00DC73EE">
          <w:type w:val="continuous"/>
          <w:pgSz w:w="11906" w:h="16838" w:code="9"/>
          <w:pgMar w:top="1701" w:right="1418" w:bottom="1701" w:left="1701" w:header="1701" w:footer="0" w:gutter="0"/>
          <w:cols w:space="708"/>
          <w:formProt w:val="0"/>
          <w:titlePg/>
          <w:docGrid w:linePitch="360"/>
        </w:sectPr>
      </w:pPr>
      <w:r w:rsidRPr="00E83088">
        <w:t>Nomenclature</w:t>
      </w:r>
    </w:p>
    <w:p w14:paraId="7DFFBF41" w14:textId="17F584AB" w:rsidR="00280FAF" w:rsidRPr="00E83088" w:rsidRDefault="00A231F5" w:rsidP="00280FAF">
      <w:pPr>
        <w:pStyle w:val="CETBodytext"/>
        <w:jc w:val="left"/>
        <w:rPr>
          <w:rFonts w:eastAsia="SimSun"/>
          <w:szCs w:val="18"/>
        </w:rPr>
        <w:sectPr w:rsidR="00280FAF" w:rsidRPr="00E83088" w:rsidSect="00DC73EE">
          <w:type w:val="continuous"/>
          <w:pgSz w:w="11906" w:h="16838" w:code="9"/>
          <w:pgMar w:top="1701" w:right="1418" w:bottom="1701" w:left="1701" w:header="1701" w:footer="0" w:gutter="0"/>
          <w:cols w:space="708"/>
          <w:formProt w:val="0"/>
          <w:titlePg/>
          <w:docGrid w:linePitch="360"/>
        </w:sectPr>
      </w:pPr>
      <w:r w:rsidRPr="00E83088">
        <w:rPr>
          <w:rFonts w:eastAsia="SimSun"/>
          <w:szCs w:val="18"/>
        </w:rPr>
        <w:t>A</w:t>
      </w:r>
      <w:r w:rsidRPr="00E83088">
        <w:rPr>
          <w:rFonts w:eastAsia="SimSun"/>
          <w:szCs w:val="18"/>
          <w:vertAlign w:val="subscript"/>
        </w:rPr>
        <w:t>S</w:t>
      </w:r>
      <w:r w:rsidRPr="00E83088">
        <w:rPr>
          <w:rFonts w:eastAsia="SimSun"/>
          <w:szCs w:val="18"/>
        </w:rPr>
        <w:t xml:space="preserve"> </w:t>
      </w:r>
      <w:r w:rsidR="000E3362" w:rsidRPr="00E83088">
        <w:rPr>
          <w:rFonts w:eastAsia="SimSun"/>
          <w:szCs w:val="18"/>
        </w:rPr>
        <w:t>–</w:t>
      </w:r>
      <w:r w:rsidRPr="00E83088">
        <w:rPr>
          <w:rFonts w:eastAsia="SimSun"/>
          <w:szCs w:val="18"/>
        </w:rPr>
        <w:t xml:space="preserve"> Total surface area of vessel (m²)</w:t>
      </w:r>
    </w:p>
    <w:p w14:paraId="57590CE2" w14:textId="5F9473C0" w:rsidR="00280FAF" w:rsidRPr="00E83088" w:rsidRDefault="00A231F5" w:rsidP="00280FAF">
      <w:pPr>
        <w:pStyle w:val="CETBodytext"/>
        <w:jc w:val="left"/>
        <w:rPr>
          <w:rFonts w:eastAsia="SimSun"/>
          <w:szCs w:val="18"/>
        </w:rPr>
      </w:pPr>
      <w:r w:rsidRPr="00E83088">
        <w:rPr>
          <w:rFonts w:eastAsia="SimSun" w:cs="Arial"/>
          <w:szCs w:val="18"/>
        </w:rPr>
        <w:t>A</w:t>
      </w:r>
      <w:r w:rsidRPr="00E83088">
        <w:rPr>
          <w:rFonts w:eastAsia="SimSun" w:cs="Arial"/>
          <w:szCs w:val="18"/>
          <w:vertAlign w:val="subscript"/>
        </w:rPr>
        <w:t>v</w:t>
      </w:r>
      <w:r w:rsidRPr="00E83088">
        <w:rPr>
          <w:rFonts w:eastAsia="SimSun" w:cs="Arial"/>
          <w:szCs w:val="18"/>
        </w:rPr>
        <w:t xml:space="preserve"> </w:t>
      </w:r>
      <w:r w:rsidR="000E3362" w:rsidRPr="00E83088">
        <w:rPr>
          <w:rFonts w:eastAsia="SimSun"/>
          <w:szCs w:val="18"/>
        </w:rPr>
        <w:t>–</w:t>
      </w:r>
      <w:r w:rsidRPr="00E83088">
        <w:rPr>
          <w:rFonts w:eastAsia="SimSun" w:cs="Arial"/>
          <w:szCs w:val="18"/>
        </w:rPr>
        <w:t xml:space="preserve"> Required vent area (m²)</w:t>
      </w:r>
    </w:p>
    <w:p w14:paraId="0E502614" w14:textId="4F1F97AF" w:rsidR="00280FAF" w:rsidRPr="00E83088" w:rsidRDefault="00A231F5" w:rsidP="00280FAF">
      <w:pPr>
        <w:pStyle w:val="CETBodytext"/>
        <w:jc w:val="left"/>
        <w:rPr>
          <w:rFonts w:eastAsia="SimSun"/>
          <w:szCs w:val="18"/>
        </w:rPr>
      </w:pPr>
      <w:r w:rsidRPr="00E83088">
        <w:rPr>
          <w:rFonts w:eastAsia="SimSun"/>
          <w:szCs w:val="18"/>
        </w:rPr>
        <w:t>a</w:t>
      </w:r>
      <w:r w:rsidRPr="00E83088">
        <w:rPr>
          <w:rFonts w:eastAsia="SimSun"/>
          <w:szCs w:val="18"/>
          <w:vertAlign w:val="subscript"/>
        </w:rPr>
        <w:t>u</w:t>
      </w:r>
      <w:r w:rsidRPr="00E83088">
        <w:rPr>
          <w:rFonts w:eastAsia="SimSun"/>
          <w:szCs w:val="18"/>
        </w:rPr>
        <w:t xml:space="preserve"> </w:t>
      </w:r>
      <w:r w:rsidR="000E3362" w:rsidRPr="00E83088">
        <w:rPr>
          <w:rFonts w:eastAsia="SimSun"/>
          <w:szCs w:val="18"/>
        </w:rPr>
        <w:t>–</w:t>
      </w:r>
      <w:r w:rsidRPr="00E83088">
        <w:rPr>
          <w:rFonts w:eastAsia="SimSun"/>
          <w:szCs w:val="18"/>
        </w:rPr>
        <w:t xml:space="preserve"> Speed of sound in unburned mixture (m/s)</w:t>
      </w:r>
    </w:p>
    <w:p w14:paraId="773338F2" w14:textId="3BF4B240" w:rsidR="00A231F5" w:rsidRPr="00E83088" w:rsidRDefault="00A231F5" w:rsidP="00280FAF">
      <w:pPr>
        <w:pStyle w:val="CETBodytext"/>
        <w:jc w:val="left"/>
        <w:rPr>
          <w:rFonts w:eastAsia="SimSun"/>
          <w:szCs w:val="18"/>
        </w:rPr>
      </w:pPr>
      <w:r w:rsidRPr="00E83088">
        <w:rPr>
          <w:rFonts w:eastAsia="SimSun"/>
          <w:szCs w:val="18"/>
        </w:rPr>
        <w:t>β</w:t>
      </w:r>
      <w:proofErr w:type="spellStart"/>
      <w:r w:rsidRPr="00E83088">
        <w:rPr>
          <w:rFonts w:eastAsia="SimSun"/>
          <w:szCs w:val="18"/>
          <w:vertAlign w:val="subscript"/>
        </w:rPr>
        <w:t>i</w:t>
      </w:r>
      <w:proofErr w:type="spellEnd"/>
      <w:r w:rsidRPr="00E83088">
        <w:rPr>
          <w:rFonts w:eastAsia="SimSun"/>
          <w:szCs w:val="18"/>
        </w:rPr>
        <w:t xml:space="preserve"> </w:t>
      </w:r>
      <w:r w:rsidR="000E3362" w:rsidRPr="00E83088">
        <w:rPr>
          <w:rFonts w:eastAsia="SimSun"/>
          <w:szCs w:val="18"/>
        </w:rPr>
        <w:t>–</w:t>
      </w:r>
      <w:r w:rsidRPr="00E83088">
        <w:rPr>
          <w:rFonts w:eastAsia="SimSun"/>
          <w:szCs w:val="18"/>
        </w:rPr>
        <w:t xml:space="preserve"> Normalized sensitivity coefficient (-)</w:t>
      </w:r>
    </w:p>
    <w:p w14:paraId="56F05E7F" w14:textId="29ACEC56" w:rsidR="00A231F5" w:rsidRPr="00E83088" w:rsidRDefault="00A231F5" w:rsidP="00280FAF">
      <w:pPr>
        <w:pStyle w:val="CETBodytext"/>
        <w:jc w:val="left"/>
        <w:rPr>
          <w:rFonts w:eastAsia="SimSun"/>
          <w:szCs w:val="18"/>
        </w:rPr>
      </w:pPr>
      <w:r w:rsidRPr="00E83088">
        <w:rPr>
          <w:rFonts w:eastAsia="SimSun"/>
          <w:szCs w:val="18"/>
        </w:rPr>
        <w:t xml:space="preserve">C </w:t>
      </w:r>
      <w:r w:rsidR="000E3362" w:rsidRPr="00E83088">
        <w:rPr>
          <w:rFonts w:eastAsia="SimSun"/>
          <w:szCs w:val="18"/>
        </w:rPr>
        <w:t>–</w:t>
      </w:r>
      <w:r w:rsidRPr="00E83088">
        <w:rPr>
          <w:rFonts w:eastAsia="SimSun"/>
          <w:szCs w:val="18"/>
        </w:rPr>
        <w:t xml:space="preserve"> Vent sizing parameter (-)</w:t>
      </w:r>
    </w:p>
    <w:p w14:paraId="73C5EFF0" w14:textId="67A5221D" w:rsidR="00A231F5" w:rsidRPr="00E83088" w:rsidRDefault="00A231F5" w:rsidP="00280FAF">
      <w:pPr>
        <w:pStyle w:val="CETBodytext"/>
        <w:jc w:val="left"/>
        <w:rPr>
          <w:rFonts w:eastAsia="SimSun"/>
          <w:szCs w:val="18"/>
        </w:rPr>
      </w:pPr>
      <w:r w:rsidRPr="00E83088">
        <w:rPr>
          <w:rFonts w:eastAsia="SimSun"/>
          <w:szCs w:val="18"/>
        </w:rPr>
        <w:t>C</w:t>
      </w:r>
      <w:r w:rsidRPr="00E83088">
        <w:rPr>
          <w:rFonts w:eastAsia="SimSun"/>
          <w:szCs w:val="18"/>
          <w:vertAlign w:val="subscript"/>
        </w:rPr>
        <w:t>d</w:t>
      </w:r>
      <w:r w:rsidRPr="00E83088">
        <w:rPr>
          <w:rFonts w:eastAsia="SimSun"/>
          <w:szCs w:val="18"/>
        </w:rPr>
        <w:t xml:space="preserve"> </w:t>
      </w:r>
      <w:r w:rsidR="000E3362" w:rsidRPr="00E83088">
        <w:rPr>
          <w:rFonts w:eastAsia="SimSun"/>
          <w:szCs w:val="18"/>
        </w:rPr>
        <w:t>–</w:t>
      </w:r>
      <w:r w:rsidRPr="00E83088">
        <w:rPr>
          <w:rFonts w:eastAsia="SimSun"/>
          <w:szCs w:val="18"/>
        </w:rPr>
        <w:t xml:space="preserve"> Discharge coefficient (-)</w:t>
      </w:r>
    </w:p>
    <w:p w14:paraId="3F3D46FA" w14:textId="398625BE" w:rsidR="00A231F5" w:rsidRPr="00E83088" w:rsidRDefault="00A231F5" w:rsidP="00280FAF">
      <w:pPr>
        <w:pStyle w:val="CETBodytext"/>
        <w:jc w:val="left"/>
        <w:rPr>
          <w:rFonts w:eastAsia="SimSun"/>
          <w:szCs w:val="18"/>
        </w:rPr>
      </w:pPr>
      <w:proofErr w:type="spellStart"/>
      <w:r w:rsidRPr="00E83088">
        <w:rPr>
          <w:rFonts w:eastAsia="SimSun"/>
          <w:szCs w:val="18"/>
        </w:rPr>
        <w:t>D</w:t>
      </w:r>
      <w:r w:rsidRPr="00E83088">
        <w:rPr>
          <w:rFonts w:eastAsia="SimSun"/>
          <w:szCs w:val="18"/>
          <w:vertAlign w:val="subscript"/>
        </w:rPr>
        <w:t>he</w:t>
      </w:r>
      <w:proofErr w:type="spellEnd"/>
      <w:r w:rsidRPr="00E83088">
        <w:rPr>
          <w:rFonts w:eastAsia="SimSun"/>
          <w:szCs w:val="18"/>
        </w:rPr>
        <w:t xml:space="preserve"> </w:t>
      </w:r>
      <w:r w:rsidR="000E3362" w:rsidRPr="00E83088">
        <w:rPr>
          <w:rFonts w:eastAsia="SimSun"/>
          <w:szCs w:val="18"/>
        </w:rPr>
        <w:t>–</w:t>
      </w:r>
      <w:r w:rsidRPr="00E83088">
        <w:rPr>
          <w:rFonts w:eastAsia="SimSun"/>
          <w:szCs w:val="18"/>
        </w:rPr>
        <w:t xml:space="preserve"> Hydraulic equivalent diameter (m)</w:t>
      </w:r>
    </w:p>
    <w:p w14:paraId="390D2E10" w14:textId="7BCABA94" w:rsidR="000E3362" w:rsidRPr="00E83088" w:rsidRDefault="000E3362" w:rsidP="00280FAF">
      <w:pPr>
        <w:pStyle w:val="CETBodytext"/>
        <w:jc w:val="left"/>
        <w:rPr>
          <w:rFonts w:eastAsia="SimSun"/>
          <w:szCs w:val="18"/>
        </w:rPr>
      </w:pPr>
      <w:r w:rsidRPr="00E83088">
        <w:rPr>
          <w:rFonts w:eastAsia="SimSun"/>
          <w:szCs w:val="18"/>
        </w:rPr>
        <w:t>δ – Normalized static activation pressure (-)</w:t>
      </w:r>
    </w:p>
    <w:p w14:paraId="381D7CCC" w14:textId="77790621" w:rsidR="00A231F5" w:rsidRPr="00E83088" w:rsidRDefault="00A231F5" w:rsidP="00280FAF">
      <w:pPr>
        <w:pStyle w:val="CETBodytext"/>
        <w:jc w:val="left"/>
        <w:rPr>
          <w:rFonts w:eastAsia="SimSun"/>
          <w:szCs w:val="18"/>
        </w:rPr>
      </w:pPr>
      <w:r w:rsidRPr="00E83088">
        <w:rPr>
          <w:rFonts w:eastAsia="SimSun"/>
          <w:szCs w:val="18"/>
        </w:rPr>
        <w:t>G</w:t>
      </w:r>
      <w:r w:rsidRPr="00E83088">
        <w:rPr>
          <w:rFonts w:eastAsia="SimSun"/>
          <w:szCs w:val="18"/>
          <w:vertAlign w:val="subscript"/>
        </w:rPr>
        <w:t>u</w:t>
      </w:r>
      <w:r w:rsidRPr="00E83088">
        <w:rPr>
          <w:rFonts w:eastAsia="SimSun"/>
          <w:szCs w:val="18"/>
        </w:rPr>
        <w:t xml:space="preserve"> </w:t>
      </w:r>
      <w:r w:rsidR="000E3362" w:rsidRPr="00E83088">
        <w:rPr>
          <w:rFonts w:eastAsia="SimSun"/>
          <w:szCs w:val="18"/>
        </w:rPr>
        <w:t>–</w:t>
      </w:r>
      <w:r w:rsidRPr="00E83088">
        <w:rPr>
          <w:rFonts w:eastAsia="SimSun"/>
          <w:szCs w:val="18"/>
        </w:rPr>
        <w:t xml:space="preserve"> Sonic flow mass flux (kg/m²-s)</w:t>
      </w:r>
    </w:p>
    <w:p w14:paraId="7B0B4B76" w14:textId="0C56CAA4" w:rsidR="00A231F5" w:rsidRDefault="00A231F5" w:rsidP="00280FAF">
      <w:pPr>
        <w:pStyle w:val="CETBodytext"/>
        <w:jc w:val="left"/>
        <w:rPr>
          <w:rFonts w:eastAsia="SimSun"/>
          <w:szCs w:val="18"/>
        </w:rPr>
      </w:pPr>
      <w:proofErr w:type="spellStart"/>
      <w:r w:rsidRPr="00E83088">
        <w:rPr>
          <w:rFonts w:eastAsia="SimSun"/>
          <w:szCs w:val="18"/>
        </w:rPr>
        <w:t>γ</w:t>
      </w:r>
      <w:r w:rsidRPr="00E83088">
        <w:rPr>
          <w:rFonts w:eastAsia="SimSun"/>
          <w:szCs w:val="18"/>
          <w:vertAlign w:val="subscript"/>
        </w:rPr>
        <w:t>b</w:t>
      </w:r>
      <w:proofErr w:type="spellEnd"/>
      <w:r w:rsidRPr="00E83088">
        <w:rPr>
          <w:rFonts w:eastAsia="SimSun"/>
          <w:szCs w:val="18"/>
        </w:rPr>
        <w:t xml:space="preserve"> </w:t>
      </w:r>
      <w:r w:rsidR="000E3362" w:rsidRPr="00E83088">
        <w:rPr>
          <w:rFonts w:eastAsia="SimSun"/>
          <w:szCs w:val="18"/>
        </w:rPr>
        <w:t>–</w:t>
      </w:r>
      <w:r w:rsidRPr="00E83088">
        <w:rPr>
          <w:rFonts w:eastAsia="SimSun"/>
          <w:szCs w:val="18"/>
        </w:rPr>
        <w:t xml:space="preserve"> Ratio of specific heats of burned mixture (-)</w:t>
      </w:r>
    </w:p>
    <w:p w14:paraId="5CA60E9D" w14:textId="56AC03EE" w:rsidR="00626846" w:rsidRPr="00E83088" w:rsidRDefault="00626846" w:rsidP="00280FAF">
      <w:pPr>
        <w:pStyle w:val="CETBodytext"/>
        <w:jc w:val="left"/>
        <w:rPr>
          <w:rFonts w:eastAsia="SimSun"/>
          <w:szCs w:val="18"/>
        </w:rPr>
      </w:pPr>
      <w:proofErr w:type="spellStart"/>
      <w:r w:rsidRPr="00E83088">
        <w:rPr>
          <w:rFonts w:eastAsia="SimSun"/>
          <w:szCs w:val="18"/>
        </w:rPr>
        <w:t>γ</w:t>
      </w:r>
      <w:r>
        <w:rPr>
          <w:rFonts w:eastAsia="SimSun"/>
          <w:szCs w:val="18"/>
          <w:vertAlign w:val="subscript"/>
        </w:rPr>
        <w:t>u</w:t>
      </w:r>
      <w:proofErr w:type="spellEnd"/>
      <w:r w:rsidRPr="00E83088">
        <w:rPr>
          <w:rFonts w:eastAsia="SimSun"/>
          <w:szCs w:val="18"/>
        </w:rPr>
        <w:t xml:space="preserve"> – Ratio of specific heats of </w:t>
      </w:r>
      <w:r>
        <w:rPr>
          <w:rFonts w:eastAsia="SimSun"/>
          <w:szCs w:val="18"/>
        </w:rPr>
        <w:t>unburned</w:t>
      </w:r>
      <w:r w:rsidRPr="00E83088">
        <w:rPr>
          <w:rFonts w:eastAsia="SimSun"/>
          <w:szCs w:val="18"/>
        </w:rPr>
        <w:t xml:space="preserve"> mixture (-)</w:t>
      </w:r>
    </w:p>
    <w:p w14:paraId="0BA32BFC" w14:textId="514FA54D" w:rsidR="00A231F5" w:rsidRPr="00E83088" w:rsidRDefault="00A231F5" w:rsidP="00280FAF">
      <w:pPr>
        <w:pStyle w:val="CETBodytext"/>
        <w:jc w:val="left"/>
        <w:rPr>
          <w:rFonts w:eastAsia="SimSun"/>
          <w:szCs w:val="18"/>
        </w:rPr>
      </w:pPr>
      <w:r w:rsidRPr="00E83088">
        <w:rPr>
          <w:rFonts w:eastAsia="SimSun"/>
          <w:szCs w:val="18"/>
        </w:rPr>
        <w:t>L/D – Enclosure length-to-diameter ratio (-)</w:t>
      </w:r>
    </w:p>
    <w:p w14:paraId="5421750F" w14:textId="6F86BCD6" w:rsidR="00A231F5" w:rsidRPr="00E83088" w:rsidRDefault="00A231F5" w:rsidP="00280FAF">
      <w:pPr>
        <w:pStyle w:val="CETBodytext"/>
        <w:jc w:val="left"/>
        <w:rPr>
          <w:rFonts w:eastAsia="SimSun"/>
          <w:szCs w:val="18"/>
        </w:rPr>
      </w:pPr>
      <w:r w:rsidRPr="00E83088">
        <w:rPr>
          <w:rFonts w:eastAsia="SimSun"/>
          <w:szCs w:val="18"/>
        </w:rPr>
        <w:t xml:space="preserve">λ </w:t>
      </w:r>
      <w:r w:rsidR="000E3362" w:rsidRPr="00E83088">
        <w:rPr>
          <w:rFonts w:eastAsia="SimSun"/>
          <w:szCs w:val="18"/>
        </w:rPr>
        <w:t>–</w:t>
      </w:r>
      <w:r w:rsidRPr="00E83088">
        <w:rPr>
          <w:rFonts w:eastAsia="SimSun"/>
          <w:szCs w:val="18"/>
        </w:rPr>
        <w:t xml:space="preserve"> Turbulence factor (-)</w:t>
      </w:r>
    </w:p>
    <w:p w14:paraId="184925CD" w14:textId="29B5A030" w:rsidR="00A231F5" w:rsidRPr="00E83088" w:rsidRDefault="00A231F5" w:rsidP="00280FAF">
      <w:pPr>
        <w:pStyle w:val="CETBodytext"/>
        <w:jc w:val="left"/>
        <w:rPr>
          <w:rFonts w:eastAsia="SimSun"/>
          <w:szCs w:val="18"/>
        </w:rPr>
      </w:pPr>
      <w:r w:rsidRPr="00E83088">
        <w:rPr>
          <w:rFonts w:eastAsia="SimSun"/>
          <w:szCs w:val="18"/>
        </w:rPr>
        <w:t>M</w:t>
      </w:r>
      <w:r w:rsidRPr="00E83088">
        <w:rPr>
          <w:rFonts w:eastAsia="SimSun"/>
          <w:szCs w:val="18"/>
          <w:vertAlign w:val="subscript"/>
        </w:rPr>
        <w:t>u</w:t>
      </w:r>
      <w:r w:rsidRPr="00E83088">
        <w:rPr>
          <w:rFonts w:eastAsia="SimSun"/>
          <w:szCs w:val="18"/>
        </w:rPr>
        <w:t xml:space="preserve"> </w:t>
      </w:r>
      <w:r w:rsidR="000E3362" w:rsidRPr="00E83088">
        <w:rPr>
          <w:rFonts w:eastAsia="SimSun"/>
          <w:szCs w:val="18"/>
        </w:rPr>
        <w:t>–</w:t>
      </w:r>
      <w:r w:rsidRPr="00E83088">
        <w:rPr>
          <w:rFonts w:eastAsia="SimSun"/>
          <w:szCs w:val="18"/>
        </w:rPr>
        <w:t xml:space="preserve"> Molecular weight of unb</w:t>
      </w:r>
      <w:r w:rsidR="00AF46FC" w:rsidRPr="00E83088">
        <w:rPr>
          <w:rFonts w:eastAsia="SimSun"/>
          <w:szCs w:val="18"/>
        </w:rPr>
        <w:t>.</w:t>
      </w:r>
      <w:r w:rsidRPr="00E83088">
        <w:rPr>
          <w:rFonts w:eastAsia="SimSun"/>
          <w:szCs w:val="18"/>
        </w:rPr>
        <w:t xml:space="preserve"> mixture (kg/</w:t>
      </w:r>
      <w:proofErr w:type="spellStart"/>
      <w:r w:rsidRPr="00E83088">
        <w:rPr>
          <w:rFonts w:eastAsia="SimSun"/>
          <w:szCs w:val="18"/>
        </w:rPr>
        <w:t>kmol</w:t>
      </w:r>
      <w:proofErr w:type="spellEnd"/>
      <w:r w:rsidRPr="00E83088">
        <w:rPr>
          <w:rFonts w:eastAsia="SimSun"/>
          <w:szCs w:val="18"/>
        </w:rPr>
        <w:t>)</w:t>
      </w:r>
    </w:p>
    <w:p w14:paraId="27E49E52" w14:textId="21EA1266" w:rsidR="00A231F5" w:rsidRPr="00E83088" w:rsidRDefault="00A231F5" w:rsidP="00280FAF">
      <w:pPr>
        <w:pStyle w:val="CETBodytext"/>
        <w:jc w:val="left"/>
        <w:rPr>
          <w:rFonts w:eastAsia="SimSun"/>
          <w:szCs w:val="18"/>
        </w:rPr>
      </w:pPr>
      <w:proofErr w:type="spellStart"/>
      <w:r w:rsidRPr="00E83088">
        <w:rPr>
          <w:rFonts w:eastAsia="SimSun"/>
          <w:szCs w:val="18"/>
        </w:rPr>
        <w:t>μ</w:t>
      </w:r>
      <w:r w:rsidRPr="00E83088">
        <w:rPr>
          <w:rFonts w:eastAsia="SimSun"/>
          <w:szCs w:val="18"/>
          <w:vertAlign w:val="subscript"/>
        </w:rPr>
        <w:t>u</w:t>
      </w:r>
      <w:proofErr w:type="spellEnd"/>
      <w:r w:rsidRPr="00E83088">
        <w:rPr>
          <w:rFonts w:eastAsia="SimSun"/>
          <w:szCs w:val="18"/>
        </w:rPr>
        <w:t xml:space="preserve"> </w:t>
      </w:r>
      <w:r w:rsidR="000E3362" w:rsidRPr="00E83088">
        <w:rPr>
          <w:rFonts w:eastAsia="SimSun"/>
          <w:szCs w:val="18"/>
        </w:rPr>
        <w:t>–</w:t>
      </w:r>
      <w:r w:rsidRPr="00E83088">
        <w:rPr>
          <w:rFonts w:eastAsia="SimSun"/>
          <w:szCs w:val="18"/>
        </w:rPr>
        <w:t xml:space="preserve"> Dynamic viscosity of unb</w:t>
      </w:r>
      <w:r w:rsidR="00AF46FC" w:rsidRPr="00E83088">
        <w:rPr>
          <w:rFonts w:eastAsia="SimSun"/>
          <w:szCs w:val="18"/>
        </w:rPr>
        <w:t>.</w:t>
      </w:r>
      <w:r w:rsidRPr="00E83088">
        <w:rPr>
          <w:rFonts w:eastAsia="SimSun"/>
          <w:szCs w:val="18"/>
        </w:rPr>
        <w:t xml:space="preserve"> mixture (kg/m-s)</w:t>
      </w:r>
    </w:p>
    <w:p w14:paraId="0A83546D" w14:textId="748F5DCE" w:rsidR="00A231F5" w:rsidRPr="00E83088" w:rsidRDefault="00A231F5" w:rsidP="00280FAF">
      <w:pPr>
        <w:pStyle w:val="CETBodytext"/>
        <w:jc w:val="left"/>
        <w:rPr>
          <w:rFonts w:eastAsia="SimSun"/>
          <w:szCs w:val="18"/>
        </w:rPr>
      </w:pPr>
      <w:r w:rsidRPr="00E83088">
        <w:rPr>
          <w:rFonts w:eastAsia="SimSun"/>
          <w:szCs w:val="18"/>
        </w:rPr>
        <w:t>P</w:t>
      </w:r>
      <w:r w:rsidRPr="00E83088">
        <w:rPr>
          <w:rFonts w:eastAsia="SimSun"/>
          <w:szCs w:val="18"/>
          <w:vertAlign w:val="subscript"/>
        </w:rPr>
        <w:t>0</w:t>
      </w:r>
      <w:r w:rsidRPr="00E83088">
        <w:rPr>
          <w:rFonts w:eastAsia="SimSun"/>
          <w:szCs w:val="18"/>
        </w:rPr>
        <w:t xml:space="preserve"> </w:t>
      </w:r>
      <w:r w:rsidR="000E3362" w:rsidRPr="00E83088">
        <w:rPr>
          <w:rFonts w:eastAsia="SimSun"/>
          <w:szCs w:val="18"/>
        </w:rPr>
        <w:t>–</w:t>
      </w:r>
      <w:r w:rsidRPr="00E83088">
        <w:rPr>
          <w:rFonts w:eastAsia="SimSun"/>
          <w:szCs w:val="18"/>
        </w:rPr>
        <w:t xml:space="preserve"> Initial pressure (bar-g)</w:t>
      </w:r>
    </w:p>
    <w:p w14:paraId="14579391" w14:textId="101264D7" w:rsidR="00A231F5" w:rsidRPr="00E83088" w:rsidRDefault="00A231F5" w:rsidP="00280FAF">
      <w:pPr>
        <w:pStyle w:val="CETBodytext"/>
        <w:jc w:val="left"/>
        <w:rPr>
          <w:rFonts w:eastAsia="SimSun"/>
          <w:szCs w:val="18"/>
        </w:rPr>
      </w:pPr>
      <w:r w:rsidRPr="00E83088">
        <w:rPr>
          <w:rFonts w:eastAsia="SimSun"/>
          <w:szCs w:val="18"/>
        </w:rPr>
        <w:t>P</w:t>
      </w:r>
      <w:r w:rsidRPr="00E83088">
        <w:rPr>
          <w:rFonts w:eastAsia="SimSun"/>
          <w:szCs w:val="18"/>
          <w:vertAlign w:val="subscript"/>
        </w:rPr>
        <w:t>max</w:t>
      </w:r>
      <w:r w:rsidRPr="00E83088">
        <w:rPr>
          <w:rFonts w:eastAsia="SimSun"/>
          <w:szCs w:val="18"/>
        </w:rPr>
        <w:t xml:space="preserve"> </w:t>
      </w:r>
      <w:r w:rsidR="000E3362" w:rsidRPr="00E83088">
        <w:rPr>
          <w:rFonts w:eastAsia="SimSun"/>
          <w:szCs w:val="18"/>
        </w:rPr>
        <w:t>–</w:t>
      </w:r>
      <w:r w:rsidRPr="00E83088">
        <w:rPr>
          <w:rFonts w:eastAsia="SimSun"/>
          <w:szCs w:val="18"/>
        </w:rPr>
        <w:t xml:space="preserve"> Maximum explosion pressure (bar-g)</w:t>
      </w:r>
    </w:p>
    <w:p w14:paraId="077850B3" w14:textId="6D78892F" w:rsidR="00A231F5" w:rsidRPr="00E83088" w:rsidRDefault="00A231F5" w:rsidP="00280FAF">
      <w:pPr>
        <w:pStyle w:val="CETBodytext"/>
        <w:jc w:val="left"/>
        <w:rPr>
          <w:rFonts w:eastAsia="SimSun"/>
          <w:szCs w:val="18"/>
        </w:rPr>
      </w:pPr>
      <w:r w:rsidRPr="00E83088">
        <w:rPr>
          <w:rFonts w:eastAsia="SimSun"/>
          <w:szCs w:val="18"/>
        </w:rPr>
        <w:t>P</w:t>
      </w:r>
      <w:r w:rsidRPr="00E83088">
        <w:rPr>
          <w:rFonts w:eastAsia="SimSun"/>
          <w:szCs w:val="18"/>
          <w:vertAlign w:val="subscript"/>
        </w:rPr>
        <w:t>red</w:t>
      </w:r>
      <w:r w:rsidRPr="00E83088">
        <w:rPr>
          <w:rFonts w:eastAsia="SimSun"/>
          <w:szCs w:val="18"/>
        </w:rPr>
        <w:t xml:space="preserve"> </w:t>
      </w:r>
      <w:r w:rsidR="000E3362" w:rsidRPr="00E83088">
        <w:rPr>
          <w:rFonts w:eastAsia="SimSun"/>
          <w:szCs w:val="18"/>
        </w:rPr>
        <w:t>–</w:t>
      </w:r>
      <w:r w:rsidRPr="00E83088">
        <w:rPr>
          <w:rFonts w:eastAsia="SimSun"/>
          <w:szCs w:val="18"/>
        </w:rPr>
        <w:t xml:space="preserve"> Reduced explosion pressure (bar-g)</w:t>
      </w:r>
    </w:p>
    <w:p w14:paraId="1B46B632" w14:textId="5F66EEA1" w:rsidR="00A231F5" w:rsidRPr="00E83088" w:rsidRDefault="00A231F5" w:rsidP="00280FAF">
      <w:pPr>
        <w:pStyle w:val="CETBodytext"/>
        <w:jc w:val="left"/>
        <w:rPr>
          <w:rFonts w:eastAsia="SimSun"/>
          <w:szCs w:val="18"/>
        </w:rPr>
      </w:pPr>
      <w:proofErr w:type="spellStart"/>
      <w:r w:rsidRPr="00E83088">
        <w:rPr>
          <w:rFonts w:eastAsia="SimSun"/>
          <w:szCs w:val="18"/>
        </w:rPr>
        <w:t>P</w:t>
      </w:r>
      <w:r w:rsidRPr="00E83088">
        <w:rPr>
          <w:rFonts w:eastAsia="SimSun"/>
          <w:szCs w:val="18"/>
          <w:vertAlign w:val="subscript"/>
        </w:rPr>
        <w:t>stat</w:t>
      </w:r>
      <w:proofErr w:type="spellEnd"/>
      <w:r w:rsidRPr="00E83088">
        <w:rPr>
          <w:rFonts w:eastAsia="SimSun"/>
          <w:szCs w:val="18"/>
        </w:rPr>
        <w:t xml:space="preserve"> </w:t>
      </w:r>
      <w:r w:rsidR="000E3362" w:rsidRPr="00E83088">
        <w:rPr>
          <w:rFonts w:eastAsia="SimSun"/>
          <w:szCs w:val="18"/>
        </w:rPr>
        <w:t>–</w:t>
      </w:r>
      <w:r w:rsidRPr="00E83088">
        <w:rPr>
          <w:rFonts w:eastAsia="SimSun"/>
          <w:szCs w:val="18"/>
        </w:rPr>
        <w:t xml:space="preserve"> Static activation pressure (bar-g)</w:t>
      </w:r>
    </w:p>
    <w:p w14:paraId="17EF0F33" w14:textId="3E4AE063" w:rsidR="00A231F5" w:rsidRPr="00E83088" w:rsidRDefault="00A231F5" w:rsidP="00280FAF">
      <w:pPr>
        <w:pStyle w:val="CETBodytext"/>
        <w:jc w:val="left"/>
        <w:rPr>
          <w:rFonts w:eastAsia="SimSun"/>
          <w:szCs w:val="18"/>
        </w:rPr>
      </w:pPr>
      <w:r w:rsidRPr="00E83088">
        <w:rPr>
          <w:rFonts w:eastAsia="SimSun"/>
          <w:szCs w:val="18"/>
        </w:rPr>
        <w:t>P</w:t>
      </w:r>
      <w:r w:rsidRPr="00E83088">
        <w:rPr>
          <w:rFonts w:eastAsia="SimSun"/>
          <w:szCs w:val="18"/>
          <w:vertAlign w:val="subscript"/>
        </w:rPr>
        <w:t>t</w:t>
      </w:r>
      <w:r w:rsidRPr="00E83088">
        <w:rPr>
          <w:rFonts w:eastAsia="SimSun"/>
          <w:szCs w:val="18"/>
        </w:rPr>
        <w:t xml:space="preserve"> </w:t>
      </w:r>
      <w:r w:rsidR="000E3362" w:rsidRPr="00E83088">
        <w:rPr>
          <w:rFonts w:eastAsia="SimSun"/>
          <w:szCs w:val="18"/>
        </w:rPr>
        <w:t>–</w:t>
      </w:r>
      <w:r w:rsidRPr="00E83088">
        <w:rPr>
          <w:rFonts w:eastAsia="SimSun"/>
          <w:szCs w:val="18"/>
        </w:rPr>
        <w:t xml:space="preserve"> Total pressure (Pa)</w:t>
      </w:r>
    </w:p>
    <w:p w14:paraId="7F747337" w14:textId="3FA9D053" w:rsidR="00A231F5" w:rsidRPr="00E83088" w:rsidRDefault="00A231F5" w:rsidP="00280FAF">
      <w:pPr>
        <w:pStyle w:val="CETBodytext"/>
        <w:jc w:val="left"/>
        <w:rPr>
          <w:rFonts w:eastAsia="SimSun"/>
          <w:szCs w:val="18"/>
        </w:rPr>
      </w:pPr>
      <w:proofErr w:type="spellStart"/>
      <w:r w:rsidRPr="00E83088">
        <w:rPr>
          <w:rFonts w:eastAsia="SimSun"/>
          <w:szCs w:val="18"/>
        </w:rPr>
        <w:t>ρ</w:t>
      </w:r>
      <w:r w:rsidRPr="00E83088">
        <w:rPr>
          <w:rFonts w:eastAsia="SimSun"/>
          <w:szCs w:val="18"/>
          <w:vertAlign w:val="subscript"/>
        </w:rPr>
        <w:t>u</w:t>
      </w:r>
      <w:proofErr w:type="spellEnd"/>
      <w:r w:rsidRPr="00E83088">
        <w:rPr>
          <w:rFonts w:eastAsia="SimSun"/>
          <w:szCs w:val="18"/>
        </w:rPr>
        <w:t xml:space="preserve"> </w:t>
      </w:r>
      <w:r w:rsidR="000E3362" w:rsidRPr="00E83088">
        <w:rPr>
          <w:rFonts w:eastAsia="SimSun"/>
          <w:szCs w:val="18"/>
        </w:rPr>
        <w:t>–</w:t>
      </w:r>
      <w:r w:rsidRPr="00E83088">
        <w:rPr>
          <w:rFonts w:eastAsia="SimSun"/>
          <w:szCs w:val="18"/>
        </w:rPr>
        <w:t xml:space="preserve"> Density of unburned mixture (kg/m³)</w:t>
      </w:r>
    </w:p>
    <w:p w14:paraId="6CA66175" w14:textId="2E8C353B" w:rsidR="00A231F5" w:rsidRPr="00E83088" w:rsidRDefault="00A231F5" w:rsidP="00280FAF">
      <w:pPr>
        <w:pStyle w:val="CETBodytext"/>
        <w:jc w:val="left"/>
        <w:rPr>
          <w:rFonts w:eastAsia="SimSun"/>
          <w:szCs w:val="18"/>
        </w:rPr>
      </w:pPr>
      <w:r w:rsidRPr="00E83088">
        <w:rPr>
          <w:rFonts w:eastAsia="SimSun"/>
          <w:szCs w:val="18"/>
        </w:rPr>
        <w:t xml:space="preserve">R </w:t>
      </w:r>
      <w:r w:rsidR="000E3362" w:rsidRPr="00E83088">
        <w:rPr>
          <w:rFonts w:eastAsia="SimSun"/>
          <w:szCs w:val="18"/>
        </w:rPr>
        <w:t>–</w:t>
      </w:r>
      <w:r w:rsidRPr="00E83088">
        <w:rPr>
          <w:rFonts w:eastAsia="SimSun"/>
          <w:szCs w:val="18"/>
        </w:rPr>
        <w:t xml:space="preserve"> Universal gas constant (J/</w:t>
      </w:r>
      <w:proofErr w:type="spellStart"/>
      <w:r w:rsidRPr="00E83088">
        <w:rPr>
          <w:rFonts w:eastAsia="SimSun"/>
          <w:szCs w:val="18"/>
        </w:rPr>
        <w:t>kmol</w:t>
      </w:r>
      <w:proofErr w:type="spellEnd"/>
      <w:r w:rsidRPr="00E83088">
        <w:rPr>
          <w:rFonts w:eastAsia="SimSun"/>
          <w:szCs w:val="18"/>
        </w:rPr>
        <w:t>-K)</w:t>
      </w:r>
    </w:p>
    <w:p w14:paraId="5F53C559" w14:textId="12C196A8" w:rsidR="00A231F5" w:rsidRPr="00E83088" w:rsidRDefault="00A231F5" w:rsidP="00280FAF">
      <w:pPr>
        <w:pStyle w:val="CETBodytext"/>
        <w:jc w:val="left"/>
        <w:rPr>
          <w:rFonts w:eastAsia="SimSun"/>
          <w:szCs w:val="18"/>
        </w:rPr>
      </w:pPr>
      <w:r w:rsidRPr="00E83088">
        <w:rPr>
          <w:rFonts w:eastAsia="SimSun"/>
          <w:szCs w:val="18"/>
        </w:rPr>
        <w:t>S</w:t>
      </w:r>
      <w:r w:rsidRPr="00E83088">
        <w:rPr>
          <w:rFonts w:eastAsia="SimSun"/>
          <w:szCs w:val="18"/>
          <w:vertAlign w:val="subscript"/>
        </w:rPr>
        <w:t>u</w:t>
      </w:r>
      <w:r w:rsidRPr="00E83088">
        <w:rPr>
          <w:rFonts w:eastAsia="SimSun"/>
          <w:szCs w:val="18"/>
        </w:rPr>
        <w:t xml:space="preserve"> </w:t>
      </w:r>
      <w:r w:rsidR="000E3362" w:rsidRPr="00E83088">
        <w:rPr>
          <w:rFonts w:eastAsia="SimSun"/>
          <w:szCs w:val="18"/>
        </w:rPr>
        <w:t>–</w:t>
      </w:r>
      <w:r w:rsidRPr="00E83088">
        <w:rPr>
          <w:rFonts w:eastAsia="SimSun"/>
          <w:szCs w:val="18"/>
        </w:rPr>
        <w:t xml:space="preserve"> Fundamental burning velocity (m/s)</w:t>
      </w:r>
    </w:p>
    <w:p w14:paraId="63FBB87E" w14:textId="595E1AE7" w:rsidR="00A231F5" w:rsidRPr="00E83088" w:rsidRDefault="000E3362" w:rsidP="00280FAF">
      <w:pPr>
        <w:pStyle w:val="CETBodytext"/>
        <w:jc w:val="left"/>
        <w:rPr>
          <w:rFonts w:eastAsia="SimSun"/>
          <w:szCs w:val="18"/>
        </w:rPr>
      </w:pPr>
      <w:r w:rsidRPr="00E83088">
        <w:rPr>
          <w:rFonts w:eastAsia="SimSun"/>
          <w:szCs w:val="18"/>
        </w:rPr>
        <w:t>T</w:t>
      </w:r>
      <w:r w:rsidRPr="00E83088">
        <w:rPr>
          <w:rFonts w:eastAsia="SimSun"/>
          <w:szCs w:val="18"/>
          <w:vertAlign w:val="subscript"/>
        </w:rPr>
        <w:t>0</w:t>
      </w:r>
      <w:r w:rsidRPr="00E83088">
        <w:rPr>
          <w:rFonts w:eastAsia="SimSun"/>
          <w:szCs w:val="18"/>
        </w:rPr>
        <w:t xml:space="preserve"> – Initial temperature (K)</w:t>
      </w:r>
    </w:p>
    <w:p w14:paraId="677AE219" w14:textId="21BEA9F8" w:rsidR="000E3362" w:rsidRPr="00E83088" w:rsidRDefault="000E3362" w:rsidP="00280FAF">
      <w:pPr>
        <w:pStyle w:val="CETBodytext"/>
        <w:jc w:val="left"/>
        <w:rPr>
          <w:rFonts w:eastAsia="SimSun"/>
          <w:szCs w:val="18"/>
        </w:rPr>
      </w:pPr>
      <w:r w:rsidRPr="00E83088">
        <w:rPr>
          <w:rFonts w:eastAsia="SimSun"/>
          <w:szCs w:val="18"/>
        </w:rPr>
        <w:t>T</w:t>
      </w:r>
      <w:r w:rsidRPr="00E83088">
        <w:rPr>
          <w:rFonts w:eastAsia="SimSun"/>
          <w:szCs w:val="18"/>
          <w:vertAlign w:val="subscript"/>
        </w:rPr>
        <w:t>t</w:t>
      </w:r>
      <w:r w:rsidRPr="00E83088">
        <w:rPr>
          <w:rFonts w:eastAsia="SimSun"/>
          <w:szCs w:val="18"/>
        </w:rPr>
        <w:t xml:space="preserve"> – Total temperature (K)</w:t>
      </w:r>
    </w:p>
    <w:p w14:paraId="31034D9B" w14:textId="7978E37C" w:rsidR="000E3362" w:rsidRPr="00E83088" w:rsidRDefault="000E3362" w:rsidP="00280FAF">
      <w:pPr>
        <w:pStyle w:val="CETBodytext"/>
        <w:jc w:val="left"/>
        <w:rPr>
          <w:rFonts w:eastAsia="SimSun"/>
          <w:szCs w:val="18"/>
        </w:rPr>
      </w:pPr>
      <w:r w:rsidRPr="00E83088">
        <w:rPr>
          <w:rFonts w:eastAsia="SimSun"/>
          <w:szCs w:val="18"/>
        </w:rPr>
        <w:t>T</w:t>
      </w:r>
      <w:r w:rsidRPr="00E83088">
        <w:rPr>
          <w:rFonts w:eastAsia="SimSun"/>
          <w:szCs w:val="18"/>
          <w:vertAlign w:val="subscript"/>
        </w:rPr>
        <w:t>u</w:t>
      </w:r>
      <w:r w:rsidRPr="00E83088">
        <w:rPr>
          <w:rFonts w:eastAsia="SimSun"/>
          <w:szCs w:val="18"/>
        </w:rPr>
        <w:t xml:space="preserve"> – Temperature of unburned mixture (K)</w:t>
      </w:r>
    </w:p>
    <w:p w14:paraId="0A8A03A0" w14:textId="156ACB4A" w:rsidR="000E3362" w:rsidRPr="00E83088" w:rsidRDefault="000E3362" w:rsidP="00280FAF">
      <w:pPr>
        <w:pStyle w:val="CETBodytext"/>
        <w:jc w:val="left"/>
        <w:rPr>
          <w:rFonts w:eastAsia="SimSun"/>
          <w:szCs w:val="18"/>
        </w:rPr>
      </w:pPr>
      <w:r w:rsidRPr="00E83088">
        <w:rPr>
          <w:rFonts w:eastAsia="SimSun"/>
          <w:szCs w:val="18"/>
        </w:rPr>
        <w:t>V – Enclosure/vessel volume (m³)</w:t>
      </w:r>
    </w:p>
    <w:p w14:paraId="44AEE9B8" w14:textId="3C93C5C8" w:rsidR="000E3362" w:rsidRPr="00E83088" w:rsidRDefault="000E3362" w:rsidP="00280FAF">
      <w:pPr>
        <w:pStyle w:val="CETBodytext"/>
        <w:jc w:val="left"/>
        <w:rPr>
          <w:rFonts w:eastAsia="SimSun"/>
          <w:szCs w:val="18"/>
        </w:rPr>
      </w:pPr>
      <w:proofErr w:type="spellStart"/>
      <w:r w:rsidRPr="00E83088">
        <w:rPr>
          <w:rFonts w:eastAsia="SimSun"/>
          <w:szCs w:val="18"/>
        </w:rPr>
        <w:t>X</w:t>
      </w:r>
      <w:r w:rsidRPr="00E83088">
        <w:rPr>
          <w:rFonts w:eastAsia="SimSun"/>
          <w:szCs w:val="18"/>
          <w:vertAlign w:val="subscript"/>
        </w:rPr>
        <w:t>St</w:t>
      </w:r>
      <w:proofErr w:type="spellEnd"/>
      <w:r w:rsidRPr="00E83088">
        <w:rPr>
          <w:rFonts w:eastAsia="SimSun"/>
          <w:szCs w:val="18"/>
        </w:rPr>
        <w:t xml:space="preserve"> – Stoichiometric fuel concentration (vol%)</w:t>
      </w:r>
    </w:p>
    <w:p w14:paraId="1F5E8D2C" w14:textId="77777777" w:rsidR="00A231F5" w:rsidRPr="00E83088" w:rsidRDefault="00A231F5" w:rsidP="00280FAF">
      <w:pPr>
        <w:pStyle w:val="CETBodytext"/>
        <w:jc w:val="left"/>
        <w:rPr>
          <w:rFonts w:eastAsia="SimSun"/>
          <w:sz w:val="16"/>
          <w:szCs w:val="16"/>
        </w:rPr>
      </w:pPr>
    </w:p>
    <w:p w14:paraId="38BFE636" w14:textId="32E6A12E" w:rsidR="00280FAF" w:rsidRPr="00E83088" w:rsidRDefault="00280FAF" w:rsidP="00D205C8">
      <w:pPr>
        <w:pStyle w:val="CETBodytext"/>
        <w:jc w:val="left"/>
        <w:rPr>
          <w:rFonts w:eastAsia="SimSun"/>
        </w:rPr>
        <w:sectPr w:rsidR="00280FAF" w:rsidRPr="00E83088" w:rsidSect="00DC73EE">
          <w:type w:val="continuous"/>
          <w:pgSz w:w="11906" w:h="16838" w:code="9"/>
          <w:pgMar w:top="1701" w:right="1418" w:bottom="1701" w:left="1701" w:header="1701" w:footer="0" w:gutter="0"/>
          <w:cols w:num="2" w:space="708"/>
          <w:formProt w:val="0"/>
          <w:titlePg/>
          <w:docGrid w:linePitch="360"/>
        </w:sectPr>
      </w:pPr>
    </w:p>
    <w:p w14:paraId="4F1327F8" w14:textId="77777777" w:rsidR="00600535" w:rsidRPr="00C45697" w:rsidRDefault="00600535" w:rsidP="00C45697">
      <w:pPr>
        <w:pStyle w:val="CETReference"/>
      </w:pPr>
      <w:r w:rsidRPr="00C45697">
        <w:t>References</w:t>
      </w:r>
    </w:p>
    <w:p w14:paraId="472EE5D0" w14:textId="54E29559" w:rsidR="00A14F15" w:rsidRPr="00C45697" w:rsidRDefault="00A14F15" w:rsidP="00C45697">
      <w:pPr>
        <w:pStyle w:val="CETReferencetext"/>
      </w:pPr>
      <w:r w:rsidRPr="00C45697">
        <w:t>Blanquart G., Pepiot-Desjardins P., Pitsch H</w:t>
      </w:r>
      <w:r w:rsidR="000B4472" w:rsidRPr="00C45697">
        <w:t>.</w:t>
      </w:r>
      <w:r w:rsidRPr="00C45697">
        <w:t>, 2009, Chemical mechanism for high temperature combustion of engine relevant fuels with emphasis on soot precursors, Combustion and Flame, 156, 588-607.</w:t>
      </w:r>
    </w:p>
    <w:p w14:paraId="33360BA0" w14:textId="0317B7E7" w:rsidR="44BED7F2" w:rsidRPr="00C45697" w:rsidRDefault="44BED7F2" w:rsidP="00C45697">
      <w:pPr>
        <w:pStyle w:val="CETReferencetext"/>
      </w:pPr>
      <w:r w:rsidRPr="00C45697">
        <w:t>Davidson, T.A., 1993. A Simple and Accurate Method for Calculating Viscosity of Gaseous Mixtures (No. RI 9456). United States Department of the Interior.</w:t>
      </w:r>
    </w:p>
    <w:p w14:paraId="61663BB1" w14:textId="799E9C64" w:rsidR="00021495" w:rsidRPr="00C45697" w:rsidRDefault="00021495" w:rsidP="00C45697">
      <w:pPr>
        <w:pStyle w:val="CETReferencetext"/>
      </w:pPr>
      <w:r w:rsidRPr="00C45697">
        <w:t xml:space="preserve">Goodwin D.G., Moffat H.K., </w:t>
      </w:r>
      <w:proofErr w:type="spellStart"/>
      <w:r w:rsidRPr="00C45697">
        <w:t>Schoegl</w:t>
      </w:r>
      <w:proofErr w:type="spellEnd"/>
      <w:r w:rsidRPr="00C45697">
        <w:t xml:space="preserve"> I., Speth R.L., Weber B.W</w:t>
      </w:r>
      <w:r w:rsidR="000B4472" w:rsidRPr="00C45697">
        <w:t>.</w:t>
      </w:r>
      <w:r w:rsidR="00A14F15" w:rsidRPr="00C45697">
        <w:t>, 2023,</w:t>
      </w:r>
      <w:r w:rsidRPr="00C45697">
        <w:t> Cantera: An object-oriented software toolkit for chemical kinetics, thermodynamics, and transport processes. </w:t>
      </w:r>
      <w:hyperlink r:id="rId17" w:history="1">
        <w:r w:rsidRPr="00C45697">
          <w:t>https://www.cantera.org</w:t>
        </w:r>
      </w:hyperlink>
      <w:r w:rsidRPr="00C45697">
        <w:t>. Version 3.0.0. doi:10.5281/zenodo.8137090.</w:t>
      </w:r>
    </w:p>
    <w:p w14:paraId="45B0F416" w14:textId="25925EC6" w:rsidR="000B4472" w:rsidRPr="00C45697" w:rsidRDefault="000B4472" w:rsidP="00C45697">
      <w:pPr>
        <w:pStyle w:val="CETReferencetext"/>
      </w:pPr>
      <w:r w:rsidRPr="00C45697">
        <w:lastRenderedPageBreak/>
        <w:t xml:space="preserve">Lecocq G., Amouzou S., </w:t>
      </w:r>
      <w:proofErr w:type="spellStart"/>
      <w:r w:rsidRPr="00C45697">
        <w:t>Leprette</w:t>
      </w:r>
      <w:proofErr w:type="spellEnd"/>
      <w:r w:rsidRPr="00C45697">
        <w:t xml:space="preserve"> E., Le-Roux B., </w:t>
      </w:r>
      <w:proofErr w:type="spellStart"/>
      <w:r w:rsidRPr="00C45697">
        <w:t>Charrondière</w:t>
      </w:r>
      <w:proofErr w:type="spellEnd"/>
      <w:r w:rsidRPr="00C45697">
        <w:t xml:space="preserve"> S., Mathieu L., 2024, Study of the behaviour of walls and doors of 20 ft ISO containers through real-scale explosion tests. In 15th International Symposium on Hazards, Prevention and Mitigation of Industrial Explosions (ISHPMIE 2024).</w:t>
      </w:r>
    </w:p>
    <w:p w14:paraId="2C042170" w14:textId="1D617200" w:rsidR="000B4472" w:rsidRPr="00C45697" w:rsidRDefault="000B4472" w:rsidP="00C45697">
      <w:pPr>
        <w:pStyle w:val="CETReferencetext"/>
      </w:pPr>
      <w:r w:rsidRPr="00C45697">
        <w:t>Li J., Hernandez F., Hao H., Fang Q., Xiang H., Li Z., et al., 2017, Vented methane-air explosion overpressure calculation—a simplified approach based on CFD. Process safety and environmental protection, 109, 489-508.</w:t>
      </w:r>
    </w:p>
    <w:p w14:paraId="1EAD6291" w14:textId="2F70B756" w:rsidR="000B4472" w:rsidRPr="00C45697" w:rsidRDefault="000B4472" w:rsidP="00C45697">
      <w:pPr>
        <w:pStyle w:val="CETReferencetext"/>
      </w:pPr>
      <w:r w:rsidRPr="00C45697">
        <w:t>NFPA 68, 2023, Standard on explosion protection by deflagration venting. Retrieved from https://link.nfpa.org.</w:t>
      </w:r>
    </w:p>
    <w:p w14:paraId="412225C0" w14:textId="1EDA2EAB" w:rsidR="000B4472" w:rsidRPr="00C45697" w:rsidRDefault="000B4472" w:rsidP="00C45697">
      <w:pPr>
        <w:pStyle w:val="CETReferencetext"/>
      </w:pPr>
      <w:r w:rsidRPr="00C45697">
        <w:t xml:space="preserve">Skjold T., </w:t>
      </w:r>
      <w:proofErr w:type="spellStart"/>
      <w:r w:rsidRPr="00C45697">
        <w:t>Hisken</w:t>
      </w:r>
      <w:proofErr w:type="spellEnd"/>
      <w:r w:rsidRPr="00C45697">
        <w:t xml:space="preserve"> H., Bernard L., Mauri L., Atanga G., </w:t>
      </w:r>
      <w:proofErr w:type="spellStart"/>
      <w:r w:rsidRPr="00C45697">
        <w:t>Lakshmipathy</w:t>
      </w:r>
      <w:proofErr w:type="spellEnd"/>
      <w:r w:rsidRPr="00C45697">
        <w:t xml:space="preserve"> S., et al., 2019, Blind-prediction: estimating the consequences of vented hydrogen deflagrations for inhomogeneous mixtures in 20-foot ISO containers. Journal of Loss Prevention in the Process Industries, 61, 220-236.</w:t>
      </w:r>
    </w:p>
    <w:p w14:paraId="28E8379D" w14:textId="4BC43495" w:rsidR="00C52C3C" w:rsidRPr="00C45697" w:rsidRDefault="00021495" w:rsidP="00C45697">
      <w:pPr>
        <w:pStyle w:val="CETReferencetext"/>
      </w:pPr>
      <w:r w:rsidRPr="00C45697">
        <w:t>Sutherland W.</w:t>
      </w:r>
      <w:r w:rsidR="00A14F15" w:rsidRPr="00C45697">
        <w:t>,</w:t>
      </w:r>
      <w:r w:rsidRPr="00C45697">
        <w:t>1893, The viscosity of gases and molecular force, Philosophical Magazine, 5</w:t>
      </w:r>
      <w:r w:rsidR="00A14F15" w:rsidRPr="00C45697">
        <w:t>-</w:t>
      </w:r>
      <w:r w:rsidRPr="00C45697">
        <w:t>36, 507-531</w:t>
      </w:r>
      <w:r w:rsidR="00A14F15" w:rsidRPr="00C45697">
        <w:t>.</w:t>
      </w:r>
    </w:p>
    <w:p w14:paraId="19C4FC68" w14:textId="29241107" w:rsidR="004628D2" w:rsidRPr="00C45697" w:rsidRDefault="000B4472" w:rsidP="00C45697">
      <w:pPr>
        <w:pStyle w:val="CETReferencetext"/>
      </w:pPr>
      <w:r w:rsidRPr="00C45697">
        <w:t>Yoon U. G., Park B., Kim W., Kim Y., 2024, Large scale experiment of a roof vented deflagration of high-concentration hydrogen-air mixtures. Process Safety and Environmental Protection, 184, 1411-1423.</w:t>
      </w:r>
    </w:p>
    <w:sectPr w:rsidR="004628D2" w:rsidRPr="00C4569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5E02" w14:textId="77777777" w:rsidR="00093807" w:rsidRDefault="00093807" w:rsidP="004F5E36">
      <w:r>
        <w:separator/>
      </w:r>
    </w:p>
  </w:endnote>
  <w:endnote w:type="continuationSeparator" w:id="0">
    <w:p w14:paraId="3B23FCD7" w14:textId="77777777" w:rsidR="00093807" w:rsidRDefault="00093807" w:rsidP="004F5E36">
      <w:r>
        <w:continuationSeparator/>
      </w:r>
    </w:p>
  </w:endnote>
  <w:endnote w:type="continuationNotice" w:id="1">
    <w:p w14:paraId="2C18E47B" w14:textId="77777777" w:rsidR="00093807" w:rsidRDefault="000938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DAB26" w14:textId="77777777" w:rsidR="00093807" w:rsidRDefault="00093807" w:rsidP="004F5E36">
      <w:r>
        <w:separator/>
      </w:r>
    </w:p>
  </w:footnote>
  <w:footnote w:type="continuationSeparator" w:id="0">
    <w:p w14:paraId="7C13C2A2" w14:textId="77777777" w:rsidR="00093807" w:rsidRDefault="00093807" w:rsidP="004F5E36">
      <w:r>
        <w:continuationSeparator/>
      </w:r>
    </w:p>
  </w:footnote>
  <w:footnote w:type="continuationNotice" w:id="1">
    <w:p w14:paraId="400F05C4" w14:textId="77777777" w:rsidR="00093807" w:rsidRDefault="000938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612B3"/>
    <w:multiLevelType w:val="hybridMultilevel"/>
    <w:tmpl w:val="1E400710"/>
    <w:lvl w:ilvl="0" w:tplc="A2F888F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D709CD"/>
    <w:multiLevelType w:val="multilevel"/>
    <w:tmpl w:val="454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971253534">
    <w:abstractNumId w:val="10"/>
  </w:num>
  <w:num w:numId="25" w16cid:durableId="9525158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5D8"/>
    <w:rsid w:val="00005A19"/>
    <w:rsid w:val="000117CB"/>
    <w:rsid w:val="00014732"/>
    <w:rsid w:val="000171CC"/>
    <w:rsid w:val="00021495"/>
    <w:rsid w:val="000228AD"/>
    <w:rsid w:val="000266D5"/>
    <w:rsid w:val="0003148D"/>
    <w:rsid w:val="0003165C"/>
    <w:rsid w:val="00031EEC"/>
    <w:rsid w:val="000400F6"/>
    <w:rsid w:val="00051566"/>
    <w:rsid w:val="00054C7C"/>
    <w:rsid w:val="00055651"/>
    <w:rsid w:val="000562A9"/>
    <w:rsid w:val="0006265F"/>
    <w:rsid w:val="00062A9A"/>
    <w:rsid w:val="00062E51"/>
    <w:rsid w:val="00063138"/>
    <w:rsid w:val="00064C19"/>
    <w:rsid w:val="00065058"/>
    <w:rsid w:val="00075576"/>
    <w:rsid w:val="00077079"/>
    <w:rsid w:val="00081F8E"/>
    <w:rsid w:val="00086C39"/>
    <w:rsid w:val="00086DDF"/>
    <w:rsid w:val="00093807"/>
    <w:rsid w:val="000A03B2"/>
    <w:rsid w:val="000A15F6"/>
    <w:rsid w:val="000A17C5"/>
    <w:rsid w:val="000A3833"/>
    <w:rsid w:val="000A38CE"/>
    <w:rsid w:val="000A5856"/>
    <w:rsid w:val="000A5D7B"/>
    <w:rsid w:val="000B1598"/>
    <w:rsid w:val="000B4472"/>
    <w:rsid w:val="000C3A91"/>
    <w:rsid w:val="000D0268"/>
    <w:rsid w:val="000D34BE"/>
    <w:rsid w:val="000E0B3C"/>
    <w:rsid w:val="000E102F"/>
    <w:rsid w:val="000E3362"/>
    <w:rsid w:val="000E36F1"/>
    <w:rsid w:val="000E3A73"/>
    <w:rsid w:val="000E414A"/>
    <w:rsid w:val="000E7557"/>
    <w:rsid w:val="000E75FD"/>
    <w:rsid w:val="000F03E1"/>
    <w:rsid w:val="000F093C"/>
    <w:rsid w:val="000F20B2"/>
    <w:rsid w:val="000F4B03"/>
    <w:rsid w:val="000F787B"/>
    <w:rsid w:val="00101F32"/>
    <w:rsid w:val="001076CE"/>
    <w:rsid w:val="001102C7"/>
    <w:rsid w:val="001132F8"/>
    <w:rsid w:val="0012091F"/>
    <w:rsid w:val="00126BC2"/>
    <w:rsid w:val="001308B6"/>
    <w:rsid w:val="0013121F"/>
    <w:rsid w:val="00131FE6"/>
    <w:rsid w:val="0013263F"/>
    <w:rsid w:val="001331DF"/>
    <w:rsid w:val="00134DE4"/>
    <w:rsid w:val="00134E4F"/>
    <w:rsid w:val="001364C8"/>
    <w:rsid w:val="0014034D"/>
    <w:rsid w:val="00140FE3"/>
    <w:rsid w:val="00144D16"/>
    <w:rsid w:val="00150E59"/>
    <w:rsid w:val="00152DE3"/>
    <w:rsid w:val="00164CF9"/>
    <w:rsid w:val="001655DA"/>
    <w:rsid w:val="001667A6"/>
    <w:rsid w:val="00171FE0"/>
    <w:rsid w:val="0017760B"/>
    <w:rsid w:val="0018171E"/>
    <w:rsid w:val="00184AD6"/>
    <w:rsid w:val="0018571A"/>
    <w:rsid w:val="001935CB"/>
    <w:rsid w:val="00197D76"/>
    <w:rsid w:val="001A4AF7"/>
    <w:rsid w:val="001AFC16"/>
    <w:rsid w:val="001B0349"/>
    <w:rsid w:val="001B08CB"/>
    <w:rsid w:val="001B1E93"/>
    <w:rsid w:val="001B5AE4"/>
    <w:rsid w:val="001B65C1"/>
    <w:rsid w:val="001C260F"/>
    <w:rsid w:val="001C5C3A"/>
    <w:rsid w:val="001C684B"/>
    <w:rsid w:val="001D0CFB"/>
    <w:rsid w:val="001D21AF"/>
    <w:rsid w:val="001D53FC"/>
    <w:rsid w:val="001E471C"/>
    <w:rsid w:val="001F42A5"/>
    <w:rsid w:val="001F4D39"/>
    <w:rsid w:val="001F5726"/>
    <w:rsid w:val="001F7B9D"/>
    <w:rsid w:val="001FBFF9"/>
    <w:rsid w:val="00201C93"/>
    <w:rsid w:val="00203220"/>
    <w:rsid w:val="00215C60"/>
    <w:rsid w:val="002224B4"/>
    <w:rsid w:val="00222AA6"/>
    <w:rsid w:val="00230A11"/>
    <w:rsid w:val="00232490"/>
    <w:rsid w:val="00235C41"/>
    <w:rsid w:val="002447EF"/>
    <w:rsid w:val="00251550"/>
    <w:rsid w:val="002572EA"/>
    <w:rsid w:val="00263B05"/>
    <w:rsid w:val="0027221A"/>
    <w:rsid w:val="00275B61"/>
    <w:rsid w:val="002772D2"/>
    <w:rsid w:val="00280FAF"/>
    <w:rsid w:val="00281BFD"/>
    <w:rsid w:val="00282656"/>
    <w:rsid w:val="00282C4A"/>
    <w:rsid w:val="00296B83"/>
    <w:rsid w:val="002B2DFA"/>
    <w:rsid w:val="002B4015"/>
    <w:rsid w:val="002B78CE"/>
    <w:rsid w:val="002C2FB6"/>
    <w:rsid w:val="002C55BA"/>
    <w:rsid w:val="002C7F6B"/>
    <w:rsid w:val="002D7F83"/>
    <w:rsid w:val="002E31DD"/>
    <w:rsid w:val="002E5FA7"/>
    <w:rsid w:val="002F08AC"/>
    <w:rsid w:val="002F3309"/>
    <w:rsid w:val="002F3C15"/>
    <w:rsid w:val="003008CE"/>
    <w:rsid w:val="003009B7"/>
    <w:rsid w:val="00300E56"/>
    <w:rsid w:val="0030152C"/>
    <w:rsid w:val="0030207B"/>
    <w:rsid w:val="0030469C"/>
    <w:rsid w:val="003057ED"/>
    <w:rsid w:val="00306BA4"/>
    <w:rsid w:val="00317214"/>
    <w:rsid w:val="0032156A"/>
    <w:rsid w:val="00321CA6"/>
    <w:rsid w:val="00321FBF"/>
    <w:rsid w:val="00323763"/>
    <w:rsid w:val="00323C5F"/>
    <w:rsid w:val="00334C09"/>
    <w:rsid w:val="0036095A"/>
    <w:rsid w:val="0036779A"/>
    <w:rsid w:val="003721AD"/>
    <w:rsid w:val="003723D4"/>
    <w:rsid w:val="00381905"/>
    <w:rsid w:val="00384CC8"/>
    <w:rsid w:val="003871FD"/>
    <w:rsid w:val="003960EF"/>
    <w:rsid w:val="003A125A"/>
    <w:rsid w:val="003A1E30"/>
    <w:rsid w:val="003A2829"/>
    <w:rsid w:val="003A2847"/>
    <w:rsid w:val="003A6880"/>
    <w:rsid w:val="003A7D1C"/>
    <w:rsid w:val="003B304B"/>
    <w:rsid w:val="003B3146"/>
    <w:rsid w:val="003B49CD"/>
    <w:rsid w:val="003D1E02"/>
    <w:rsid w:val="003D57DF"/>
    <w:rsid w:val="003D7CC3"/>
    <w:rsid w:val="003E237D"/>
    <w:rsid w:val="003F015E"/>
    <w:rsid w:val="003F7CAE"/>
    <w:rsid w:val="00400414"/>
    <w:rsid w:val="0041446B"/>
    <w:rsid w:val="00420A62"/>
    <w:rsid w:val="004322EC"/>
    <w:rsid w:val="00436652"/>
    <w:rsid w:val="004368AB"/>
    <w:rsid w:val="0044067D"/>
    <w:rsid w:val="0044071E"/>
    <w:rsid w:val="00441BEA"/>
    <w:rsid w:val="0044305E"/>
    <w:rsid w:val="0044329C"/>
    <w:rsid w:val="00443D98"/>
    <w:rsid w:val="00445830"/>
    <w:rsid w:val="00453E24"/>
    <w:rsid w:val="004540C7"/>
    <w:rsid w:val="0045626A"/>
    <w:rsid w:val="0045695E"/>
    <w:rsid w:val="00457456"/>
    <w:rsid w:val="004577FE"/>
    <w:rsid w:val="00457B9C"/>
    <w:rsid w:val="0046164A"/>
    <w:rsid w:val="004628D2"/>
    <w:rsid w:val="00462DCD"/>
    <w:rsid w:val="004648AD"/>
    <w:rsid w:val="00467B01"/>
    <w:rsid w:val="004703A9"/>
    <w:rsid w:val="00475135"/>
    <w:rsid w:val="00475E7C"/>
    <w:rsid w:val="004760DE"/>
    <w:rsid w:val="004763D7"/>
    <w:rsid w:val="00477BE5"/>
    <w:rsid w:val="00486674"/>
    <w:rsid w:val="00493DAE"/>
    <w:rsid w:val="00494A59"/>
    <w:rsid w:val="00496BF0"/>
    <w:rsid w:val="004A004E"/>
    <w:rsid w:val="004A24CF"/>
    <w:rsid w:val="004A4B23"/>
    <w:rsid w:val="004C3D1D"/>
    <w:rsid w:val="004C3D84"/>
    <w:rsid w:val="004C7913"/>
    <w:rsid w:val="004C7BD3"/>
    <w:rsid w:val="004D06D9"/>
    <w:rsid w:val="004E1FBB"/>
    <w:rsid w:val="004E4DD6"/>
    <w:rsid w:val="004E792C"/>
    <w:rsid w:val="004F34E2"/>
    <w:rsid w:val="004F5E36"/>
    <w:rsid w:val="00507B47"/>
    <w:rsid w:val="00507BEF"/>
    <w:rsid w:val="00507CC9"/>
    <w:rsid w:val="005119A5"/>
    <w:rsid w:val="005147BF"/>
    <w:rsid w:val="0051538E"/>
    <w:rsid w:val="005161CD"/>
    <w:rsid w:val="00516ACC"/>
    <w:rsid w:val="00523752"/>
    <w:rsid w:val="00523E66"/>
    <w:rsid w:val="00524A8B"/>
    <w:rsid w:val="005278B7"/>
    <w:rsid w:val="0053034B"/>
    <w:rsid w:val="00532016"/>
    <w:rsid w:val="0053214E"/>
    <w:rsid w:val="0053436D"/>
    <w:rsid w:val="005346C8"/>
    <w:rsid w:val="005349ED"/>
    <w:rsid w:val="005424FC"/>
    <w:rsid w:val="00543E7D"/>
    <w:rsid w:val="00546C6C"/>
    <w:rsid w:val="00547334"/>
    <w:rsid w:val="00547A68"/>
    <w:rsid w:val="00550906"/>
    <w:rsid w:val="00551C35"/>
    <w:rsid w:val="005531C9"/>
    <w:rsid w:val="00554879"/>
    <w:rsid w:val="00563641"/>
    <w:rsid w:val="00570C43"/>
    <w:rsid w:val="00576374"/>
    <w:rsid w:val="00582074"/>
    <w:rsid w:val="00591A21"/>
    <w:rsid w:val="00592274"/>
    <w:rsid w:val="00593620"/>
    <w:rsid w:val="00593B74"/>
    <w:rsid w:val="00596B40"/>
    <w:rsid w:val="005A0BCC"/>
    <w:rsid w:val="005A46A3"/>
    <w:rsid w:val="005A6461"/>
    <w:rsid w:val="005B18BF"/>
    <w:rsid w:val="005B2110"/>
    <w:rsid w:val="005B350B"/>
    <w:rsid w:val="005B562B"/>
    <w:rsid w:val="005B61E6"/>
    <w:rsid w:val="005C0BC4"/>
    <w:rsid w:val="005C5050"/>
    <w:rsid w:val="005C77E1"/>
    <w:rsid w:val="005C79EE"/>
    <w:rsid w:val="005D668A"/>
    <w:rsid w:val="005D6A2F"/>
    <w:rsid w:val="005E0423"/>
    <w:rsid w:val="005E0592"/>
    <w:rsid w:val="005E0AB9"/>
    <w:rsid w:val="005E1A82"/>
    <w:rsid w:val="005E35C3"/>
    <w:rsid w:val="005E7020"/>
    <w:rsid w:val="005E794C"/>
    <w:rsid w:val="005F0A28"/>
    <w:rsid w:val="005F0E5E"/>
    <w:rsid w:val="005F1A83"/>
    <w:rsid w:val="005F4F70"/>
    <w:rsid w:val="00600535"/>
    <w:rsid w:val="00602363"/>
    <w:rsid w:val="006063E9"/>
    <w:rsid w:val="00607D3E"/>
    <w:rsid w:val="00610CD6"/>
    <w:rsid w:val="00620DEE"/>
    <w:rsid w:val="00621F92"/>
    <w:rsid w:val="0062280A"/>
    <w:rsid w:val="006231E1"/>
    <w:rsid w:val="00623E36"/>
    <w:rsid w:val="00625639"/>
    <w:rsid w:val="00626846"/>
    <w:rsid w:val="0062767A"/>
    <w:rsid w:val="006279C4"/>
    <w:rsid w:val="00630354"/>
    <w:rsid w:val="00631544"/>
    <w:rsid w:val="00631B33"/>
    <w:rsid w:val="00640212"/>
    <w:rsid w:val="0064184D"/>
    <w:rsid w:val="006422CC"/>
    <w:rsid w:val="00651D18"/>
    <w:rsid w:val="00652E7B"/>
    <w:rsid w:val="00654A4A"/>
    <w:rsid w:val="00660E3E"/>
    <w:rsid w:val="00662E74"/>
    <w:rsid w:val="00672B1D"/>
    <w:rsid w:val="00680C23"/>
    <w:rsid w:val="00683E23"/>
    <w:rsid w:val="00693766"/>
    <w:rsid w:val="00697958"/>
    <w:rsid w:val="006A3281"/>
    <w:rsid w:val="006A6DE5"/>
    <w:rsid w:val="006B18DF"/>
    <w:rsid w:val="006B4888"/>
    <w:rsid w:val="006C0632"/>
    <w:rsid w:val="006C2E45"/>
    <w:rsid w:val="006C359C"/>
    <w:rsid w:val="006C5579"/>
    <w:rsid w:val="006D3048"/>
    <w:rsid w:val="006D6E8B"/>
    <w:rsid w:val="006D7209"/>
    <w:rsid w:val="006E2847"/>
    <w:rsid w:val="006E36AC"/>
    <w:rsid w:val="006E6D12"/>
    <w:rsid w:val="006E737D"/>
    <w:rsid w:val="006E790E"/>
    <w:rsid w:val="006F1DCE"/>
    <w:rsid w:val="006F3A15"/>
    <w:rsid w:val="007000BC"/>
    <w:rsid w:val="007010EE"/>
    <w:rsid w:val="00707DD1"/>
    <w:rsid w:val="00713973"/>
    <w:rsid w:val="007147DE"/>
    <w:rsid w:val="00720A24"/>
    <w:rsid w:val="0072330C"/>
    <w:rsid w:val="007255B4"/>
    <w:rsid w:val="00732386"/>
    <w:rsid w:val="00734A45"/>
    <w:rsid w:val="00734CB4"/>
    <w:rsid w:val="0073514D"/>
    <w:rsid w:val="00742CF1"/>
    <w:rsid w:val="007447F3"/>
    <w:rsid w:val="0075499F"/>
    <w:rsid w:val="007661C8"/>
    <w:rsid w:val="0077098D"/>
    <w:rsid w:val="007746AE"/>
    <w:rsid w:val="00775A94"/>
    <w:rsid w:val="00782959"/>
    <w:rsid w:val="00785BF9"/>
    <w:rsid w:val="007912C8"/>
    <w:rsid w:val="007931FA"/>
    <w:rsid w:val="0079512D"/>
    <w:rsid w:val="007A4861"/>
    <w:rsid w:val="007A7BBA"/>
    <w:rsid w:val="007B0C50"/>
    <w:rsid w:val="007B48F9"/>
    <w:rsid w:val="007B66AF"/>
    <w:rsid w:val="007C1A43"/>
    <w:rsid w:val="007C4243"/>
    <w:rsid w:val="007D0951"/>
    <w:rsid w:val="007D1098"/>
    <w:rsid w:val="007D610D"/>
    <w:rsid w:val="007D7215"/>
    <w:rsid w:val="007E1BA8"/>
    <w:rsid w:val="007E39BC"/>
    <w:rsid w:val="007E6B13"/>
    <w:rsid w:val="0080013E"/>
    <w:rsid w:val="00801759"/>
    <w:rsid w:val="00805E42"/>
    <w:rsid w:val="0081059B"/>
    <w:rsid w:val="00811F97"/>
    <w:rsid w:val="00813288"/>
    <w:rsid w:val="008168FC"/>
    <w:rsid w:val="00820360"/>
    <w:rsid w:val="0082350A"/>
    <w:rsid w:val="00825D74"/>
    <w:rsid w:val="00830996"/>
    <w:rsid w:val="00830AF1"/>
    <w:rsid w:val="008345F1"/>
    <w:rsid w:val="008441B6"/>
    <w:rsid w:val="00854BB8"/>
    <w:rsid w:val="00865B07"/>
    <w:rsid w:val="008662DB"/>
    <w:rsid w:val="008667EA"/>
    <w:rsid w:val="0086796B"/>
    <w:rsid w:val="0087148A"/>
    <w:rsid w:val="0087637F"/>
    <w:rsid w:val="00892AD5"/>
    <w:rsid w:val="0089634E"/>
    <w:rsid w:val="008A0CB6"/>
    <w:rsid w:val="008A1512"/>
    <w:rsid w:val="008B2B34"/>
    <w:rsid w:val="008B5883"/>
    <w:rsid w:val="008B5FEB"/>
    <w:rsid w:val="008C1C50"/>
    <w:rsid w:val="008D32B9"/>
    <w:rsid w:val="008D433B"/>
    <w:rsid w:val="008D4A16"/>
    <w:rsid w:val="008E3569"/>
    <w:rsid w:val="008E455C"/>
    <w:rsid w:val="008E5401"/>
    <w:rsid w:val="008E566E"/>
    <w:rsid w:val="0090161A"/>
    <w:rsid w:val="00901EB6"/>
    <w:rsid w:val="00903F44"/>
    <w:rsid w:val="009041F8"/>
    <w:rsid w:val="00904C62"/>
    <w:rsid w:val="00907130"/>
    <w:rsid w:val="00916E78"/>
    <w:rsid w:val="009178BB"/>
    <w:rsid w:val="00922BA8"/>
    <w:rsid w:val="00924DAC"/>
    <w:rsid w:val="00927058"/>
    <w:rsid w:val="00933C20"/>
    <w:rsid w:val="00941BE4"/>
    <w:rsid w:val="00942750"/>
    <w:rsid w:val="009450CE"/>
    <w:rsid w:val="009459BB"/>
    <w:rsid w:val="00947179"/>
    <w:rsid w:val="0095164B"/>
    <w:rsid w:val="00954090"/>
    <w:rsid w:val="0095524B"/>
    <w:rsid w:val="009573E7"/>
    <w:rsid w:val="009627F5"/>
    <w:rsid w:val="009628F3"/>
    <w:rsid w:val="009635EF"/>
    <w:rsid w:val="00963E05"/>
    <w:rsid w:val="009642F7"/>
    <w:rsid w:val="00964A45"/>
    <w:rsid w:val="00967843"/>
    <w:rsid w:val="00967D54"/>
    <w:rsid w:val="00971028"/>
    <w:rsid w:val="009720D7"/>
    <w:rsid w:val="00981617"/>
    <w:rsid w:val="00990982"/>
    <w:rsid w:val="009922D6"/>
    <w:rsid w:val="00993B84"/>
    <w:rsid w:val="00994C6A"/>
    <w:rsid w:val="00996483"/>
    <w:rsid w:val="009966B6"/>
    <w:rsid w:val="00996F5A"/>
    <w:rsid w:val="009A6E70"/>
    <w:rsid w:val="009A77E3"/>
    <w:rsid w:val="009B041A"/>
    <w:rsid w:val="009B2291"/>
    <w:rsid w:val="009B40EF"/>
    <w:rsid w:val="009B5EC4"/>
    <w:rsid w:val="009C37C3"/>
    <w:rsid w:val="009C6FE4"/>
    <w:rsid w:val="009C7C86"/>
    <w:rsid w:val="009D2FF7"/>
    <w:rsid w:val="009E0EED"/>
    <w:rsid w:val="009E3278"/>
    <w:rsid w:val="009E58C9"/>
    <w:rsid w:val="009E7884"/>
    <w:rsid w:val="009E788A"/>
    <w:rsid w:val="009F0E08"/>
    <w:rsid w:val="009F2E60"/>
    <w:rsid w:val="00A051C4"/>
    <w:rsid w:val="00A079AE"/>
    <w:rsid w:val="00A11F9B"/>
    <w:rsid w:val="00A14F15"/>
    <w:rsid w:val="00A15985"/>
    <w:rsid w:val="00A1763D"/>
    <w:rsid w:val="00A17CEC"/>
    <w:rsid w:val="00A231F5"/>
    <w:rsid w:val="00A27EF0"/>
    <w:rsid w:val="00A306A3"/>
    <w:rsid w:val="00A32284"/>
    <w:rsid w:val="00A37581"/>
    <w:rsid w:val="00A42361"/>
    <w:rsid w:val="00A50B20"/>
    <w:rsid w:val="00A51390"/>
    <w:rsid w:val="00A60D13"/>
    <w:rsid w:val="00A7223D"/>
    <w:rsid w:val="00A72745"/>
    <w:rsid w:val="00A76898"/>
    <w:rsid w:val="00A76EFC"/>
    <w:rsid w:val="00A8310B"/>
    <w:rsid w:val="00A84E1A"/>
    <w:rsid w:val="00A87D50"/>
    <w:rsid w:val="00A91010"/>
    <w:rsid w:val="00A94B62"/>
    <w:rsid w:val="00A97F29"/>
    <w:rsid w:val="00AA0E12"/>
    <w:rsid w:val="00AA702E"/>
    <w:rsid w:val="00AA7D26"/>
    <w:rsid w:val="00AB0964"/>
    <w:rsid w:val="00AB0B80"/>
    <w:rsid w:val="00AB3F7E"/>
    <w:rsid w:val="00AB405B"/>
    <w:rsid w:val="00AB5011"/>
    <w:rsid w:val="00AC0DF0"/>
    <w:rsid w:val="00AC7368"/>
    <w:rsid w:val="00AD16B9"/>
    <w:rsid w:val="00AD32DD"/>
    <w:rsid w:val="00AE1241"/>
    <w:rsid w:val="00AE377D"/>
    <w:rsid w:val="00AF0EBA"/>
    <w:rsid w:val="00AF2463"/>
    <w:rsid w:val="00AF46FC"/>
    <w:rsid w:val="00B02C8A"/>
    <w:rsid w:val="00B03C6D"/>
    <w:rsid w:val="00B17FBD"/>
    <w:rsid w:val="00B26CC3"/>
    <w:rsid w:val="00B271C4"/>
    <w:rsid w:val="00B315A6"/>
    <w:rsid w:val="00B31813"/>
    <w:rsid w:val="00B33365"/>
    <w:rsid w:val="00B50244"/>
    <w:rsid w:val="00B505F6"/>
    <w:rsid w:val="00B53B73"/>
    <w:rsid w:val="00B57B36"/>
    <w:rsid w:val="00B57E6F"/>
    <w:rsid w:val="00B61799"/>
    <w:rsid w:val="00B6274F"/>
    <w:rsid w:val="00B75F43"/>
    <w:rsid w:val="00B8124A"/>
    <w:rsid w:val="00B833B3"/>
    <w:rsid w:val="00B8446F"/>
    <w:rsid w:val="00B8686D"/>
    <w:rsid w:val="00B93F69"/>
    <w:rsid w:val="00B93FB3"/>
    <w:rsid w:val="00BA6FBE"/>
    <w:rsid w:val="00BB1DDC"/>
    <w:rsid w:val="00BB6AAA"/>
    <w:rsid w:val="00BC0A22"/>
    <w:rsid w:val="00BC30C9"/>
    <w:rsid w:val="00BD077D"/>
    <w:rsid w:val="00BD389C"/>
    <w:rsid w:val="00BD4C6A"/>
    <w:rsid w:val="00BD59F0"/>
    <w:rsid w:val="00BE3E58"/>
    <w:rsid w:val="00BF13CE"/>
    <w:rsid w:val="00BF6F64"/>
    <w:rsid w:val="00BF7321"/>
    <w:rsid w:val="00C01616"/>
    <w:rsid w:val="00C0162B"/>
    <w:rsid w:val="00C068ED"/>
    <w:rsid w:val="00C06B2A"/>
    <w:rsid w:val="00C1392C"/>
    <w:rsid w:val="00C22E0C"/>
    <w:rsid w:val="00C23DA8"/>
    <w:rsid w:val="00C32E83"/>
    <w:rsid w:val="00C345B1"/>
    <w:rsid w:val="00C40142"/>
    <w:rsid w:val="00C43831"/>
    <w:rsid w:val="00C45472"/>
    <w:rsid w:val="00C45697"/>
    <w:rsid w:val="00C46246"/>
    <w:rsid w:val="00C50BE8"/>
    <w:rsid w:val="00C52C3C"/>
    <w:rsid w:val="00C57182"/>
    <w:rsid w:val="00C57863"/>
    <w:rsid w:val="00C61120"/>
    <w:rsid w:val="00C640AF"/>
    <w:rsid w:val="00C64B63"/>
    <w:rsid w:val="00C65188"/>
    <w:rsid w:val="00C655FD"/>
    <w:rsid w:val="00C66636"/>
    <w:rsid w:val="00C71441"/>
    <w:rsid w:val="00C75407"/>
    <w:rsid w:val="00C7687C"/>
    <w:rsid w:val="00C80E08"/>
    <w:rsid w:val="00C841C6"/>
    <w:rsid w:val="00C870A8"/>
    <w:rsid w:val="00C94434"/>
    <w:rsid w:val="00CA0D75"/>
    <w:rsid w:val="00CA1C95"/>
    <w:rsid w:val="00CA5A9C"/>
    <w:rsid w:val="00CC03E4"/>
    <w:rsid w:val="00CC0D5A"/>
    <w:rsid w:val="00CC4C20"/>
    <w:rsid w:val="00CC5705"/>
    <w:rsid w:val="00CD3517"/>
    <w:rsid w:val="00CD5FE2"/>
    <w:rsid w:val="00CE0CE2"/>
    <w:rsid w:val="00CE3E88"/>
    <w:rsid w:val="00CE44D0"/>
    <w:rsid w:val="00CE7C68"/>
    <w:rsid w:val="00CF1BC9"/>
    <w:rsid w:val="00D028FE"/>
    <w:rsid w:val="00D02B4C"/>
    <w:rsid w:val="00D040C4"/>
    <w:rsid w:val="00D0FF4C"/>
    <w:rsid w:val="00D15727"/>
    <w:rsid w:val="00D205C8"/>
    <w:rsid w:val="00D20AD1"/>
    <w:rsid w:val="00D2582C"/>
    <w:rsid w:val="00D362CD"/>
    <w:rsid w:val="00D418AD"/>
    <w:rsid w:val="00D46B7E"/>
    <w:rsid w:val="00D555CE"/>
    <w:rsid w:val="00D57C84"/>
    <w:rsid w:val="00D6057D"/>
    <w:rsid w:val="00D6222C"/>
    <w:rsid w:val="00D71640"/>
    <w:rsid w:val="00D71895"/>
    <w:rsid w:val="00D71D96"/>
    <w:rsid w:val="00D74DBF"/>
    <w:rsid w:val="00D75F9A"/>
    <w:rsid w:val="00D807FE"/>
    <w:rsid w:val="00D836C5"/>
    <w:rsid w:val="00D84576"/>
    <w:rsid w:val="00D874F1"/>
    <w:rsid w:val="00D91EE2"/>
    <w:rsid w:val="00DA1399"/>
    <w:rsid w:val="00DA24C6"/>
    <w:rsid w:val="00DA4D7B"/>
    <w:rsid w:val="00DB64A4"/>
    <w:rsid w:val="00DC2840"/>
    <w:rsid w:val="00DC3D18"/>
    <w:rsid w:val="00DC73EE"/>
    <w:rsid w:val="00DD271C"/>
    <w:rsid w:val="00DD73A0"/>
    <w:rsid w:val="00DD79EB"/>
    <w:rsid w:val="00DE1B06"/>
    <w:rsid w:val="00DE264A"/>
    <w:rsid w:val="00DE6F52"/>
    <w:rsid w:val="00DF115F"/>
    <w:rsid w:val="00DF20B1"/>
    <w:rsid w:val="00DF5072"/>
    <w:rsid w:val="00E02D18"/>
    <w:rsid w:val="00E03573"/>
    <w:rsid w:val="00E041E7"/>
    <w:rsid w:val="00E0529A"/>
    <w:rsid w:val="00E12038"/>
    <w:rsid w:val="00E15B6C"/>
    <w:rsid w:val="00E2166C"/>
    <w:rsid w:val="00E23CA1"/>
    <w:rsid w:val="00E275CE"/>
    <w:rsid w:val="00E404E7"/>
    <w:rsid w:val="00E40963"/>
    <w:rsid w:val="00E409A8"/>
    <w:rsid w:val="00E5037A"/>
    <w:rsid w:val="00E50C12"/>
    <w:rsid w:val="00E65B91"/>
    <w:rsid w:val="00E7209D"/>
    <w:rsid w:val="00E72EAD"/>
    <w:rsid w:val="00E77223"/>
    <w:rsid w:val="00E83088"/>
    <w:rsid w:val="00E8528B"/>
    <w:rsid w:val="00E85B94"/>
    <w:rsid w:val="00E93E09"/>
    <w:rsid w:val="00E978D0"/>
    <w:rsid w:val="00EA4613"/>
    <w:rsid w:val="00EA49B6"/>
    <w:rsid w:val="00EA5A42"/>
    <w:rsid w:val="00EA7F91"/>
    <w:rsid w:val="00EB1523"/>
    <w:rsid w:val="00EB770A"/>
    <w:rsid w:val="00EC0D55"/>
    <w:rsid w:val="00EC0E49"/>
    <w:rsid w:val="00EC101F"/>
    <w:rsid w:val="00EC1D9F"/>
    <w:rsid w:val="00EC5EB1"/>
    <w:rsid w:val="00ED0410"/>
    <w:rsid w:val="00ED06BB"/>
    <w:rsid w:val="00ED447D"/>
    <w:rsid w:val="00EE0131"/>
    <w:rsid w:val="00EE17B0"/>
    <w:rsid w:val="00EE7997"/>
    <w:rsid w:val="00EF06D9"/>
    <w:rsid w:val="00EF2D14"/>
    <w:rsid w:val="00EF7FD1"/>
    <w:rsid w:val="00F030A9"/>
    <w:rsid w:val="00F1529D"/>
    <w:rsid w:val="00F26511"/>
    <w:rsid w:val="00F27EE4"/>
    <w:rsid w:val="00F3049E"/>
    <w:rsid w:val="00F30C64"/>
    <w:rsid w:val="00F31778"/>
    <w:rsid w:val="00F31C2F"/>
    <w:rsid w:val="00F32BA2"/>
    <w:rsid w:val="00F32CDB"/>
    <w:rsid w:val="00F41EE4"/>
    <w:rsid w:val="00F544D7"/>
    <w:rsid w:val="00F565FE"/>
    <w:rsid w:val="00F626AE"/>
    <w:rsid w:val="00F63A70"/>
    <w:rsid w:val="00F63D8C"/>
    <w:rsid w:val="00F658DA"/>
    <w:rsid w:val="00F7190B"/>
    <w:rsid w:val="00F73F44"/>
    <w:rsid w:val="00F7534E"/>
    <w:rsid w:val="00F87948"/>
    <w:rsid w:val="00F93EDF"/>
    <w:rsid w:val="00FA1802"/>
    <w:rsid w:val="00FA21D0"/>
    <w:rsid w:val="00FA3DFF"/>
    <w:rsid w:val="00FA5A57"/>
    <w:rsid w:val="00FA5F5F"/>
    <w:rsid w:val="00FA78D2"/>
    <w:rsid w:val="00FB12CF"/>
    <w:rsid w:val="00FB5497"/>
    <w:rsid w:val="00FB5701"/>
    <w:rsid w:val="00FB5A9F"/>
    <w:rsid w:val="00FB7077"/>
    <w:rsid w:val="00FB730C"/>
    <w:rsid w:val="00FC2695"/>
    <w:rsid w:val="00FC3E03"/>
    <w:rsid w:val="00FC3FBA"/>
    <w:rsid w:val="00FC3FC1"/>
    <w:rsid w:val="00FC5718"/>
    <w:rsid w:val="00FC709F"/>
    <w:rsid w:val="00FD03E9"/>
    <w:rsid w:val="00FD57B3"/>
    <w:rsid w:val="00FE2CB7"/>
    <w:rsid w:val="00FF4A8B"/>
    <w:rsid w:val="018C7A26"/>
    <w:rsid w:val="04553E05"/>
    <w:rsid w:val="0518E524"/>
    <w:rsid w:val="05A488ED"/>
    <w:rsid w:val="0640DE50"/>
    <w:rsid w:val="06755861"/>
    <w:rsid w:val="067786D2"/>
    <w:rsid w:val="07E454F5"/>
    <w:rsid w:val="08E8312E"/>
    <w:rsid w:val="0C003D10"/>
    <w:rsid w:val="0C844EC4"/>
    <w:rsid w:val="0EA9D534"/>
    <w:rsid w:val="0EC7B5D4"/>
    <w:rsid w:val="0F03A24C"/>
    <w:rsid w:val="0F2E2B44"/>
    <w:rsid w:val="0F44BE2B"/>
    <w:rsid w:val="0FE3DD4E"/>
    <w:rsid w:val="108B35DB"/>
    <w:rsid w:val="116DE3B4"/>
    <w:rsid w:val="1259ECEC"/>
    <w:rsid w:val="12814C9C"/>
    <w:rsid w:val="12B2E987"/>
    <w:rsid w:val="12C50BCB"/>
    <w:rsid w:val="1465E9FC"/>
    <w:rsid w:val="16CF1741"/>
    <w:rsid w:val="18C66B5F"/>
    <w:rsid w:val="1B7113BF"/>
    <w:rsid w:val="1D1ABE22"/>
    <w:rsid w:val="1D6715CD"/>
    <w:rsid w:val="1DDBE04E"/>
    <w:rsid w:val="1F22AE09"/>
    <w:rsid w:val="1F270A25"/>
    <w:rsid w:val="2056022E"/>
    <w:rsid w:val="20FD7D56"/>
    <w:rsid w:val="22365542"/>
    <w:rsid w:val="225EEBC3"/>
    <w:rsid w:val="2266F5FC"/>
    <w:rsid w:val="23946BE6"/>
    <w:rsid w:val="23C4F3D9"/>
    <w:rsid w:val="27452D3C"/>
    <w:rsid w:val="2B4CF597"/>
    <w:rsid w:val="2EA52DAC"/>
    <w:rsid w:val="2EAB5AA4"/>
    <w:rsid w:val="2F3D5759"/>
    <w:rsid w:val="304E56EB"/>
    <w:rsid w:val="307024EA"/>
    <w:rsid w:val="309827CF"/>
    <w:rsid w:val="3099388F"/>
    <w:rsid w:val="30B496F8"/>
    <w:rsid w:val="33F97268"/>
    <w:rsid w:val="349BDD81"/>
    <w:rsid w:val="35A5F0A8"/>
    <w:rsid w:val="35A918E3"/>
    <w:rsid w:val="36C78103"/>
    <w:rsid w:val="37476616"/>
    <w:rsid w:val="3914B9F3"/>
    <w:rsid w:val="39CE17F9"/>
    <w:rsid w:val="3A4E78D1"/>
    <w:rsid w:val="3BA1EB2E"/>
    <w:rsid w:val="3BE98BB7"/>
    <w:rsid w:val="3C3DCD9F"/>
    <w:rsid w:val="3C8EC59F"/>
    <w:rsid w:val="3D5EEDE5"/>
    <w:rsid w:val="3DAED29F"/>
    <w:rsid w:val="3FD28C40"/>
    <w:rsid w:val="415BB45C"/>
    <w:rsid w:val="4178B548"/>
    <w:rsid w:val="41A69F5F"/>
    <w:rsid w:val="424CF9A9"/>
    <w:rsid w:val="4288A267"/>
    <w:rsid w:val="42CDC76A"/>
    <w:rsid w:val="43B82285"/>
    <w:rsid w:val="441306C3"/>
    <w:rsid w:val="44BED7F2"/>
    <w:rsid w:val="4529B48C"/>
    <w:rsid w:val="467C0730"/>
    <w:rsid w:val="47AB19E6"/>
    <w:rsid w:val="480BD904"/>
    <w:rsid w:val="48DCCF05"/>
    <w:rsid w:val="4ADF2B57"/>
    <w:rsid w:val="4B813B44"/>
    <w:rsid w:val="4C78ED06"/>
    <w:rsid w:val="4D1DB593"/>
    <w:rsid w:val="4DB47AFC"/>
    <w:rsid w:val="50922298"/>
    <w:rsid w:val="511E117A"/>
    <w:rsid w:val="52744E3A"/>
    <w:rsid w:val="52C016DC"/>
    <w:rsid w:val="52DE4FB7"/>
    <w:rsid w:val="53BA7BAE"/>
    <w:rsid w:val="54983C54"/>
    <w:rsid w:val="54DF34BB"/>
    <w:rsid w:val="55AAEE55"/>
    <w:rsid w:val="5649722E"/>
    <w:rsid w:val="58315631"/>
    <w:rsid w:val="58679CDC"/>
    <w:rsid w:val="593350DC"/>
    <w:rsid w:val="5963F1EE"/>
    <w:rsid w:val="5A35676D"/>
    <w:rsid w:val="5A64DA4E"/>
    <w:rsid w:val="5B050336"/>
    <w:rsid w:val="5C0429B0"/>
    <w:rsid w:val="5C37ACB6"/>
    <w:rsid w:val="5C8E8F5C"/>
    <w:rsid w:val="5D41479C"/>
    <w:rsid w:val="5D644574"/>
    <w:rsid w:val="5E6EE841"/>
    <w:rsid w:val="5E9AF66A"/>
    <w:rsid w:val="5EA2815E"/>
    <w:rsid w:val="5F1DF103"/>
    <w:rsid w:val="5FC49672"/>
    <w:rsid w:val="5FE612BD"/>
    <w:rsid w:val="5FE73800"/>
    <w:rsid w:val="625421F9"/>
    <w:rsid w:val="6422BBB2"/>
    <w:rsid w:val="668D27EC"/>
    <w:rsid w:val="66AE5142"/>
    <w:rsid w:val="677A2162"/>
    <w:rsid w:val="67F27D95"/>
    <w:rsid w:val="684D209B"/>
    <w:rsid w:val="68843F29"/>
    <w:rsid w:val="68ECA62B"/>
    <w:rsid w:val="6904A821"/>
    <w:rsid w:val="6BEA837B"/>
    <w:rsid w:val="6C92AB47"/>
    <w:rsid w:val="6F61DDB7"/>
    <w:rsid w:val="6F6774D1"/>
    <w:rsid w:val="6F9B783F"/>
    <w:rsid w:val="6FA07C28"/>
    <w:rsid w:val="6FAAD9CE"/>
    <w:rsid w:val="6FE250D3"/>
    <w:rsid w:val="718C2790"/>
    <w:rsid w:val="72187BB8"/>
    <w:rsid w:val="724201FD"/>
    <w:rsid w:val="727BD74B"/>
    <w:rsid w:val="73F0BDEF"/>
    <w:rsid w:val="74743ACC"/>
    <w:rsid w:val="748A0D74"/>
    <w:rsid w:val="7519EBD1"/>
    <w:rsid w:val="75743D2F"/>
    <w:rsid w:val="75DBE231"/>
    <w:rsid w:val="77EA87CE"/>
    <w:rsid w:val="77F18D3F"/>
    <w:rsid w:val="77F8CBD1"/>
    <w:rsid w:val="780ED6D0"/>
    <w:rsid w:val="782141AA"/>
    <w:rsid w:val="783C9945"/>
    <w:rsid w:val="784C26C6"/>
    <w:rsid w:val="79AFAAB6"/>
    <w:rsid w:val="7A5980D3"/>
    <w:rsid w:val="7B2E4AA8"/>
    <w:rsid w:val="7BB35671"/>
    <w:rsid w:val="7C0E376C"/>
    <w:rsid w:val="7CB4B17F"/>
    <w:rsid w:val="7F67F4D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3F31D57-9683-144F-98A4-3A57BC42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aliases w:val="Standard (Web) Char Char"/>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A37581"/>
    <w:rPr>
      <w:color w:val="666666"/>
    </w:rPr>
  </w:style>
  <w:style w:type="character" w:styleId="UnresolvedMention">
    <w:name w:val="Unresolved Mention"/>
    <w:basedOn w:val="DefaultParagraphFont"/>
    <w:uiPriority w:val="99"/>
    <w:semiHidden/>
    <w:unhideWhenUsed/>
    <w:rsid w:val="00021495"/>
    <w:rPr>
      <w:color w:val="605E5C"/>
      <w:shd w:val="clear" w:color="auto" w:fill="E1DFDD"/>
    </w:rPr>
  </w:style>
  <w:style w:type="character" w:styleId="FollowedHyperlink">
    <w:name w:val="FollowedHyperlink"/>
    <w:basedOn w:val="DefaultParagraphFont"/>
    <w:uiPriority w:val="99"/>
    <w:semiHidden/>
    <w:unhideWhenUsed/>
    <w:rsid w:val="000B4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61450522">
      <w:bodyDiv w:val="1"/>
      <w:marLeft w:val="0"/>
      <w:marRight w:val="0"/>
      <w:marTop w:val="0"/>
      <w:marBottom w:val="0"/>
      <w:divBdr>
        <w:top w:val="none" w:sz="0" w:space="0" w:color="auto"/>
        <w:left w:val="none" w:sz="0" w:space="0" w:color="auto"/>
        <w:bottom w:val="none" w:sz="0" w:space="0" w:color="auto"/>
        <w:right w:val="none" w:sz="0" w:space="0" w:color="auto"/>
      </w:divBdr>
    </w:div>
    <w:div w:id="263850124">
      <w:bodyDiv w:val="1"/>
      <w:marLeft w:val="0"/>
      <w:marRight w:val="0"/>
      <w:marTop w:val="0"/>
      <w:marBottom w:val="0"/>
      <w:divBdr>
        <w:top w:val="none" w:sz="0" w:space="0" w:color="auto"/>
        <w:left w:val="none" w:sz="0" w:space="0" w:color="auto"/>
        <w:bottom w:val="none" w:sz="0" w:space="0" w:color="auto"/>
        <w:right w:val="none" w:sz="0" w:space="0" w:color="auto"/>
      </w:divBdr>
    </w:div>
    <w:div w:id="374893490">
      <w:bodyDiv w:val="1"/>
      <w:marLeft w:val="0"/>
      <w:marRight w:val="0"/>
      <w:marTop w:val="0"/>
      <w:marBottom w:val="0"/>
      <w:divBdr>
        <w:top w:val="none" w:sz="0" w:space="0" w:color="auto"/>
        <w:left w:val="none" w:sz="0" w:space="0" w:color="auto"/>
        <w:bottom w:val="none" w:sz="0" w:space="0" w:color="auto"/>
        <w:right w:val="none" w:sz="0" w:space="0" w:color="auto"/>
      </w:divBdr>
    </w:div>
    <w:div w:id="375086196">
      <w:bodyDiv w:val="1"/>
      <w:marLeft w:val="0"/>
      <w:marRight w:val="0"/>
      <w:marTop w:val="0"/>
      <w:marBottom w:val="0"/>
      <w:divBdr>
        <w:top w:val="none" w:sz="0" w:space="0" w:color="auto"/>
        <w:left w:val="none" w:sz="0" w:space="0" w:color="auto"/>
        <w:bottom w:val="none" w:sz="0" w:space="0" w:color="auto"/>
        <w:right w:val="none" w:sz="0" w:space="0" w:color="auto"/>
      </w:divBdr>
    </w:div>
    <w:div w:id="535893241">
      <w:bodyDiv w:val="1"/>
      <w:marLeft w:val="0"/>
      <w:marRight w:val="0"/>
      <w:marTop w:val="0"/>
      <w:marBottom w:val="0"/>
      <w:divBdr>
        <w:top w:val="none" w:sz="0" w:space="0" w:color="auto"/>
        <w:left w:val="none" w:sz="0" w:space="0" w:color="auto"/>
        <w:bottom w:val="none" w:sz="0" w:space="0" w:color="auto"/>
        <w:right w:val="none" w:sz="0" w:space="0" w:color="auto"/>
      </w:divBdr>
    </w:div>
    <w:div w:id="614412334">
      <w:bodyDiv w:val="1"/>
      <w:marLeft w:val="0"/>
      <w:marRight w:val="0"/>
      <w:marTop w:val="0"/>
      <w:marBottom w:val="0"/>
      <w:divBdr>
        <w:top w:val="none" w:sz="0" w:space="0" w:color="auto"/>
        <w:left w:val="none" w:sz="0" w:space="0" w:color="auto"/>
        <w:bottom w:val="none" w:sz="0" w:space="0" w:color="auto"/>
        <w:right w:val="none" w:sz="0" w:space="0" w:color="auto"/>
      </w:divBdr>
    </w:div>
    <w:div w:id="6801646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01897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1784">
      <w:bodyDiv w:val="1"/>
      <w:marLeft w:val="0"/>
      <w:marRight w:val="0"/>
      <w:marTop w:val="0"/>
      <w:marBottom w:val="0"/>
      <w:divBdr>
        <w:top w:val="none" w:sz="0" w:space="0" w:color="auto"/>
        <w:left w:val="none" w:sz="0" w:space="0" w:color="auto"/>
        <w:bottom w:val="none" w:sz="0" w:space="0" w:color="auto"/>
        <w:right w:val="none" w:sz="0" w:space="0" w:color="auto"/>
      </w:divBdr>
    </w:div>
    <w:div w:id="1074861385">
      <w:bodyDiv w:val="1"/>
      <w:marLeft w:val="0"/>
      <w:marRight w:val="0"/>
      <w:marTop w:val="0"/>
      <w:marBottom w:val="0"/>
      <w:divBdr>
        <w:top w:val="none" w:sz="0" w:space="0" w:color="auto"/>
        <w:left w:val="none" w:sz="0" w:space="0" w:color="auto"/>
        <w:bottom w:val="none" w:sz="0" w:space="0" w:color="auto"/>
        <w:right w:val="none" w:sz="0" w:space="0" w:color="auto"/>
      </w:divBdr>
    </w:div>
    <w:div w:id="1203984458">
      <w:bodyDiv w:val="1"/>
      <w:marLeft w:val="0"/>
      <w:marRight w:val="0"/>
      <w:marTop w:val="0"/>
      <w:marBottom w:val="0"/>
      <w:divBdr>
        <w:top w:val="none" w:sz="0" w:space="0" w:color="auto"/>
        <w:left w:val="none" w:sz="0" w:space="0" w:color="auto"/>
        <w:bottom w:val="none" w:sz="0" w:space="0" w:color="auto"/>
        <w:right w:val="none" w:sz="0" w:space="0" w:color="auto"/>
      </w:divBdr>
    </w:div>
    <w:div w:id="130292450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334363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865">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38879371">
      <w:bodyDiv w:val="1"/>
      <w:marLeft w:val="0"/>
      <w:marRight w:val="0"/>
      <w:marTop w:val="0"/>
      <w:marBottom w:val="0"/>
      <w:divBdr>
        <w:top w:val="none" w:sz="0" w:space="0" w:color="auto"/>
        <w:left w:val="none" w:sz="0" w:space="0" w:color="auto"/>
        <w:bottom w:val="none" w:sz="0" w:space="0" w:color="auto"/>
        <w:right w:val="none" w:sz="0" w:space="0" w:color="auto"/>
      </w:divBdr>
    </w:div>
    <w:div w:id="1850289981">
      <w:bodyDiv w:val="1"/>
      <w:marLeft w:val="0"/>
      <w:marRight w:val="0"/>
      <w:marTop w:val="0"/>
      <w:marBottom w:val="0"/>
      <w:divBdr>
        <w:top w:val="none" w:sz="0" w:space="0" w:color="auto"/>
        <w:left w:val="none" w:sz="0" w:space="0" w:color="auto"/>
        <w:bottom w:val="none" w:sz="0" w:space="0" w:color="auto"/>
        <w:right w:val="none" w:sz="0" w:space="0" w:color="auto"/>
      </w:divBdr>
    </w:div>
    <w:div w:id="1851413697">
      <w:bodyDiv w:val="1"/>
      <w:marLeft w:val="0"/>
      <w:marRight w:val="0"/>
      <w:marTop w:val="0"/>
      <w:marBottom w:val="0"/>
      <w:divBdr>
        <w:top w:val="none" w:sz="0" w:space="0" w:color="auto"/>
        <w:left w:val="none" w:sz="0" w:space="0" w:color="auto"/>
        <w:bottom w:val="none" w:sz="0" w:space="0" w:color="auto"/>
        <w:right w:val="none" w:sz="0" w:space="0" w:color="auto"/>
      </w:divBdr>
    </w:div>
    <w:div w:id="18677110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antera.org"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f33b7-fbea-4e49-be01-600d98d52c0c">
      <Terms xmlns="http://schemas.microsoft.com/office/infopath/2007/PartnerControls"/>
    </lcf76f155ced4ddcb4097134ff3c332f>
    <TaxCatchAll xmlns="765db11b-8d21-4d1e-a015-1f8c4d6701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DDD0D0CF9DEF4AA5FA7E54F63CA3A3" ma:contentTypeVersion="12" ma:contentTypeDescription="Ein neues Dokument erstellen." ma:contentTypeScope="" ma:versionID="e0f83f44426329b593562d0e17492591">
  <xsd:schema xmlns:xsd="http://www.w3.org/2001/XMLSchema" xmlns:xs="http://www.w3.org/2001/XMLSchema" xmlns:p="http://schemas.microsoft.com/office/2006/metadata/properties" xmlns:ns2="1b5f33b7-fbea-4e49-be01-600d98d52c0c" xmlns:ns3="765db11b-8d21-4d1e-a015-1f8c4d670112" targetNamespace="http://schemas.microsoft.com/office/2006/metadata/properties" ma:root="true" ma:fieldsID="926bf643a895105adce39025f34eb81e" ns2:_="" ns3:_="">
    <xsd:import namespace="1b5f33b7-fbea-4e49-be01-600d98d52c0c"/>
    <xsd:import namespace="765db11b-8d21-4d1e-a015-1f8c4d6701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33b7-fbea-4e49-be01-600d98d5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2b226b-9e50-4959-af8e-408789827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5db11b-8d21-4d1e-a015-1f8c4d6701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fa3cc7-a3cd-4d43-9dea-e0a2778e9ff8}" ma:internalName="TaxCatchAll" ma:showField="CatchAllData" ma:web="765db11b-8d21-4d1e-a015-1f8c4d670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CD268-29D9-48D5-84B5-DF2054852EB0}">
  <ds:schemaRefs>
    <ds:schemaRef ds:uri="http://schemas.microsoft.com/office/2006/metadata/properties"/>
    <ds:schemaRef ds:uri="http://schemas.microsoft.com/office/infopath/2007/PartnerControls"/>
    <ds:schemaRef ds:uri="1b5f33b7-fbea-4e49-be01-600d98d52c0c"/>
    <ds:schemaRef ds:uri="765db11b-8d21-4d1e-a015-1f8c4d670112"/>
  </ds:schemaRefs>
</ds:datastoreItem>
</file>

<file path=customXml/itemProps2.xml><?xml version="1.0" encoding="utf-8"?>
<ds:datastoreItem xmlns:ds="http://schemas.openxmlformats.org/officeDocument/2006/customXml" ds:itemID="{774F2E22-7472-4D02-9E47-BAEEF1E2A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33b7-fbea-4e49-be01-600d98d52c0c"/>
    <ds:schemaRef ds:uri="765db11b-8d21-4d1e-a015-1f8c4d67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F64A706C-F8DE-46E8-A71D-992CA3B0C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Kraft, Stefan</cp:lastModifiedBy>
  <cp:revision>6</cp:revision>
  <cp:lastPrinted>2015-05-12T18:31:00Z</cp:lastPrinted>
  <dcterms:created xsi:type="dcterms:W3CDTF">2025-02-18T16:06:00Z</dcterms:created>
  <dcterms:modified xsi:type="dcterms:W3CDTF">2025-03-06T17:41:00Z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0x01010093DDD0D0CF9DEF4AA5FA7E54F63CA3A3</vt:lpwstr>
  </property>
  <property fmtid="{D5CDD505-2E9C-101B-9397-08002B2CF9AE}" pid="5" name="MediaServiceImageTags">
    <vt:lpwstr/>
  </property>
</Properties>
</file>