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B09E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A780D" w14:paraId="380FA3CD" w14:textId="77777777" w:rsidTr="005B09E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9E2062" w:rsidRDefault="000D0268" w:rsidP="00CD5FE2">
            <w:pPr>
              <w:spacing w:line="140" w:lineRule="atLeast"/>
              <w:jc w:val="right"/>
              <w:rPr>
                <w:rFonts w:cs="Arial"/>
                <w:sz w:val="13"/>
                <w:szCs w:val="13"/>
                <w:lang w:val="nb-NO"/>
              </w:rPr>
            </w:pPr>
            <w:r w:rsidRPr="009E2062">
              <w:rPr>
                <w:rFonts w:cs="Arial"/>
                <w:sz w:val="13"/>
                <w:szCs w:val="13"/>
                <w:lang w:val="nb-NO"/>
              </w:rPr>
              <w:t>Online at www.cetjournal.it</w:t>
            </w:r>
          </w:p>
        </w:tc>
      </w:tr>
      <w:tr w:rsidR="000A03B2" w:rsidRPr="00B57B36" w14:paraId="2D1B7169" w14:textId="77777777" w:rsidTr="005B09E5">
        <w:trPr>
          <w:trHeight w:val="68"/>
          <w:jc w:val="center"/>
        </w:trPr>
        <w:tc>
          <w:tcPr>
            <w:tcW w:w="8782" w:type="dxa"/>
            <w:gridSpan w:val="2"/>
          </w:tcPr>
          <w:p w14:paraId="30F07041" w14:textId="11182ABA"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40C3AD51" w14:textId="77777777" w:rsidR="005B09E5" w:rsidRPr="00665323" w:rsidRDefault="005B09E5" w:rsidP="005B09E5">
      <w:pPr>
        <w:pStyle w:val="CETTitle"/>
      </w:pPr>
      <w:r>
        <w:t xml:space="preserve">Safety Barriers Failures in Cold Wave-Triggered Events: </w:t>
      </w:r>
      <w:proofErr w:type="gramStart"/>
      <w:r>
        <w:t>a</w:t>
      </w:r>
      <w:proofErr w:type="gramEnd"/>
      <w:r>
        <w:t xml:space="preserve"> Data-Driven Approach</w:t>
      </w:r>
    </w:p>
    <w:p w14:paraId="2DDCC3E9" w14:textId="77777777" w:rsidR="005B09E5" w:rsidRPr="008F56C0" w:rsidRDefault="005B09E5" w:rsidP="005B09E5">
      <w:pPr>
        <w:pStyle w:val="CETAuthors"/>
        <w:rPr>
          <w:lang w:val="it-IT"/>
        </w:rPr>
      </w:pPr>
      <w:r>
        <w:rPr>
          <w:lang w:val="it-IT"/>
        </w:rPr>
        <w:t>Giulia Collina</w:t>
      </w:r>
      <w:r w:rsidRPr="00020F36">
        <w:rPr>
          <w:vertAlign w:val="superscript"/>
          <w:lang w:val="it-IT"/>
        </w:rPr>
        <w:t>a</w:t>
      </w:r>
      <w:r w:rsidRPr="008F56C0">
        <w:rPr>
          <w:lang w:val="it-IT"/>
        </w:rPr>
        <w:t>, Federica Ricci</w:t>
      </w:r>
      <w:r w:rsidRPr="008F56C0">
        <w:rPr>
          <w:vertAlign w:val="superscript"/>
          <w:lang w:val="it-IT"/>
        </w:rPr>
        <w:t>b</w:t>
      </w:r>
      <w:r w:rsidRPr="008F56C0">
        <w:rPr>
          <w:lang w:val="it-IT"/>
        </w:rPr>
        <w:t xml:space="preserve">, </w:t>
      </w:r>
      <w:r>
        <w:rPr>
          <w:lang w:val="it-IT"/>
        </w:rPr>
        <w:t>Alessia Bortoluzzi</w:t>
      </w:r>
      <w:r w:rsidRPr="00D515FB">
        <w:rPr>
          <w:vertAlign w:val="superscript"/>
          <w:lang w:val="it-IT"/>
        </w:rPr>
        <w:t>a,b</w:t>
      </w:r>
      <w:r w:rsidRPr="008F56C0">
        <w:rPr>
          <w:lang w:val="it-IT"/>
        </w:rPr>
        <w:t>, Dimitrios Tzioutzios</w:t>
      </w:r>
      <w:r w:rsidRPr="008F56C0">
        <w:rPr>
          <w:vertAlign w:val="superscript"/>
          <w:lang w:val="it-IT"/>
        </w:rPr>
        <w:t>a</w:t>
      </w:r>
      <w:r w:rsidRPr="008F56C0">
        <w:rPr>
          <w:lang w:val="it-IT"/>
        </w:rPr>
        <w:t>, Nicola Paltrinieri</w:t>
      </w:r>
      <w:r w:rsidRPr="008F56C0">
        <w:rPr>
          <w:vertAlign w:val="superscript"/>
          <w:lang w:val="it-IT"/>
        </w:rPr>
        <w:t>a*</w:t>
      </w:r>
    </w:p>
    <w:p w14:paraId="09548010" w14:textId="77777777" w:rsidR="005B09E5" w:rsidRPr="00B57B36" w:rsidRDefault="005B09E5" w:rsidP="005B09E5">
      <w:pPr>
        <w:pStyle w:val="CETAddress"/>
      </w:pPr>
      <w:r w:rsidRPr="00B57B36">
        <w:rPr>
          <w:vertAlign w:val="superscript"/>
        </w:rPr>
        <w:t>a</w:t>
      </w:r>
      <w:r>
        <w:t>Department of Mechanical and Industrial Engineering, Norwegian University of Science and Technology NTNU, Richard Birkelands vei 2B, 7034 Trondheim, Norway</w:t>
      </w:r>
      <w:r w:rsidRPr="00B57B36">
        <w:t xml:space="preserve"> </w:t>
      </w:r>
    </w:p>
    <w:p w14:paraId="09C1A50E" w14:textId="77777777" w:rsidR="005B09E5" w:rsidRPr="008F56C0" w:rsidRDefault="005B09E5" w:rsidP="005B09E5">
      <w:pPr>
        <w:pStyle w:val="CETAddress"/>
        <w:rPr>
          <w:lang w:val="it-IT"/>
        </w:rPr>
      </w:pPr>
      <w:r w:rsidRPr="008F56C0">
        <w:rPr>
          <w:vertAlign w:val="superscript"/>
          <w:lang w:val="it-IT"/>
        </w:rPr>
        <w:t xml:space="preserve">b </w:t>
      </w:r>
      <w:r w:rsidRPr="008F56C0">
        <w:rPr>
          <w:lang w:val="it-IT"/>
        </w:rPr>
        <w:t xml:space="preserve">LISES - Dipartimento di Ingegneria Civile, Chimica, Ambientale e dei materiali, Università degli studi di Bologna, via Terracini 28, 40131 Bologna </w:t>
      </w:r>
    </w:p>
    <w:p w14:paraId="64E5C940" w14:textId="1539A916" w:rsidR="005B09E5" w:rsidRPr="00B57B36" w:rsidRDefault="007566C7" w:rsidP="005B09E5">
      <w:pPr>
        <w:pStyle w:val="CETemail"/>
      </w:pPr>
      <w:r>
        <w:t>giulia.collina</w:t>
      </w:r>
      <w:r w:rsidR="005B09E5" w:rsidRPr="00B57B36">
        <w:t>@</w:t>
      </w:r>
      <w:r w:rsidR="005B09E5">
        <w:t>ntnu.no</w:t>
      </w:r>
    </w:p>
    <w:p w14:paraId="1C8239E2" w14:textId="77777777" w:rsidR="005B09E5" w:rsidRPr="00045218" w:rsidRDefault="005B09E5" w:rsidP="005B09E5">
      <w:pPr>
        <w:pStyle w:val="CETBodytext"/>
        <w:rPr>
          <w:lang w:val="en-GB"/>
        </w:rPr>
      </w:pPr>
      <w:r w:rsidRPr="00045218">
        <w:rPr>
          <w:lang w:val="en-GB"/>
        </w:rPr>
        <w:tab/>
      </w:r>
      <w:r>
        <w:rPr>
          <w:lang w:val="en-GB"/>
        </w:rPr>
        <w:t>N</w:t>
      </w:r>
      <w:r w:rsidRPr="00045218">
        <w:rPr>
          <w:lang w:val="en-GB"/>
        </w:rPr>
        <w:t>atural hazard</w:t>
      </w:r>
      <w:r>
        <w:rPr>
          <w:lang w:val="en-GB"/>
        </w:rPr>
        <w:t>-</w:t>
      </w:r>
      <w:r w:rsidRPr="00045218">
        <w:rPr>
          <w:lang w:val="en-GB"/>
        </w:rPr>
        <w:t>triggered technological accidents</w:t>
      </w:r>
      <w:r>
        <w:rPr>
          <w:lang w:val="en-GB"/>
        </w:rPr>
        <w:t xml:space="preserve"> (Natech) </w:t>
      </w:r>
      <w:r w:rsidRPr="00045218">
        <w:rPr>
          <w:lang w:val="en-GB"/>
        </w:rPr>
        <w:t xml:space="preserve">add a layer of complexity to disaster risk management. They involve the combination of both natural and anthropogenic hazards. Noticeably, there is an uneven distribution in the extent of research dedicated to </w:t>
      </w:r>
      <w:r>
        <w:rPr>
          <w:lang w:val="en-GB"/>
        </w:rPr>
        <w:t xml:space="preserve">the different </w:t>
      </w:r>
      <w:r w:rsidRPr="00045218">
        <w:rPr>
          <w:lang w:val="en-GB"/>
        </w:rPr>
        <w:t>natural hazards</w:t>
      </w:r>
      <w:r>
        <w:rPr>
          <w:lang w:val="en-GB"/>
        </w:rPr>
        <w:t xml:space="preserve"> as causes of accidents</w:t>
      </w:r>
      <w:r w:rsidRPr="00045218">
        <w:rPr>
          <w:lang w:val="en-GB"/>
        </w:rPr>
        <w:t xml:space="preserve">. </w:t>
      </w:r>
      <w:r>
        <w:rPr>
          <w:lang w:val="en-GB"/>
        </w:rPr>
        <w:t>Extreme</w:t>
      </w:r>
      <w:r w:rsidRPr="00045218">
        <w:rPr>
          <w:lang w:val="en-GB"/>
        </w:rPr>
        <w:t xml:space="preserve"> weather events have been overshadowed, despite low temperatures </w:t>
      </w:r>
      <w:r>
        <w:rPr>
          <w:lang w:val="en-GB"/>
        </w:rPr>
        <w:t>being</w:t>
      </w:r>
      <w:r w:rsidRPr="00045218">
        <w:rPr>
          <w:lang w:val="en-GB"/>
        </w:rPr>
        <w:t xml:space="preserve"> the third cause of Natech accidents in Europe, ranking only behind lightning and floods.</w:t>
      </w:r>
    </w:p>
    <w:p w14:paraId="4AF34F0B" w14:textId="77777777" w:rsidR="005B09E5" w:rsidRPr="00045218" w:rsidRDefault="005B09E5" w:rsidP="005B09E5">
      <w:pPr>
        <w:pStyle w:val="CETBodytext"/>
        <w:rPr>
          <w:lang w:val="en-GB"/>
        </w:rPr>
      </w:pPr>
      <w:r w:rsidRPr="00045218">
        <w:rPr>
          <w:lang w:val="en-GB"/>
        </w:rPr>
        <w:tab/>
        <w:t xml:space="preserve">The present study aims to </w:t>
      </w:r>
      <w:r>
        <w:rPr>
          <w:lang w:val="en-GB"/>
        </w:rPr>
        <w:t>comprehensively analyse</w:t>
      </w:r>
      <w:r w:rsidRPr="00045218">
        <w:rPr>
          <w:lang w:val="en-GB"/>
        </w:rPr>
        <w:t xml:space="preserve"> the role of safety barriers within the context of Natech events triggered by cold waves. </w:t>
      </w:r>
      <w:r>
        <w:rPr>
          <w:lang w:val="en-GB"/>
        </w:rPr>
        <w:t>D</w:t>
      </w:r>
      <w:r w:rsidRPr="00045218">
        <w:rPr>
          <w:lang w:val="en-GB"/>
        </w:rPr>
        <w:t xml:space="preserve">ata selected from established databases are </w:t>
      </w:r>
      <w:r>
        <w:rPr>
          <w:lang w:val="en-GB"/>
        </w:rPr>
        <w:t xml:space="preserve">investigated through </w:t>
      </w:r>
      <w:r w:rsidRPr="00045218">
        <w:rPr>
          <w:lang w:val="en-GB"/>
        </w:rPr>
        <w:t xml:space="preserve">Unsupervised Machine Learning and Bayesian </w:t>
      </w:r>
      <w:r>
        <w:rPr>
          <w:lang w:val="en-GB"/>
        </w:rPr>
        <w:t>N</w:t>
      </w:r>
      <w:r w:rsidRPr="00045218">
        <w:rPr>
          <w:lang w:val="en-GB"/>
        </w:rPr>
        <w:t xml:space="preserve">etworks. This approach facilitates </w:t>
      </w:r>
      <w:r>
        <w:rPr>
          <w:lang w:val="en-GB"/>
        </w:rPr>
        <w:t>identifying and quantifying</w:t>
      </w:r>
      <w:r w:rsidRPr="00045218">
        <w:rPr>
          <w:lang w:val="en-GB"/>
        </w:rPr>
        <w:t xml:space="preserve"> the relationships between </w:t>
      </w:r>
      <w:r>
        <w:rPr>
          <w:lang w:val="en-GB"/>
        </w:rPr>
        <w:t>undesired event</w:t>
      </w:r>
      <w:r w:rsidRPr="00045218">
        <w:rPr>
          <w:lang w:val="en-GB"/>
        </w:rPr>
        <w:t xml:space="preserve"> features and safety barrier failures. The model obtained is designed to predict the </w:t>
      </w:r>
      <w:r>
        <w:rPr>
          <w:lang w:val="en-GB"/>
        </w:rPr>
        <w:t>behaviour</w:t>
      </w:r>
      <w:r w:rsidRPr="00045218">
        <w:rPr>
          <w:lang w:val="en-GB"/>
        </w:rPr>
        <w:t xml:space="preserve"> of safety barriers, providing a dynamic and updatable structure adaptable to future developments and integrable with additional available information.</w:t>
      </w:r>
    </w:p>
    <w:p w14:paraId="732C3ED2" w14:textId="77777777" w:rsidR="005B09E5" w:rsidRPr="00B57B36" w:rsidRDefault="005B09E5" w:rsidP="005B09E5">
      <w:pPr>
        <w:pStyle w:val="CETBodytext"/>
        <w:rPr>
          <w:lang w:val="en-GB"/>
        </w:rPr>
      </w:pPr>
      <w:r w:rsidRPr="00045218">
        <w:rPr>
          <w:lang w:val="en-GB"/>
        </w:rPr>
        <w:tab/>
        <w:t>Th</w:t>
      </w:r>
      <w:r>
        <w:rPr>
          <w:lang w:val="en-GB"/>
        </w:rPr>
        <w:t>is analysis provides</w:t>
      </w:r>
      <w:r w:rsidRPr="00045218">
        <w:rPr>
          <w:lang w:val="en-GB"/>
        </w:rPr>
        <w:t xml:space="preserve"> valuable lessons </w:t>
      </w:r>
      <w:r>
        <w:rPr>
          <w:lang w:val="en-GB"/>
        </w:rPr>
        <w:t>to prevent</w:t>
      </w:r>
      <w:r w:rsidRPr="00045218">
        <w:rPr>
          <w:lang w:val="en-GB"/>
        </w:rPr>
        <w:t xml:space="preserve"> the recurrence of similar events in the future</w:t>
      </w:r>
      <w:r>
        <w:rPr>
          <w:lang w:val="en-GB"/>
        </w:rPr>
        <w:t xml:space="preserve"> and </w:t>
      </w:r>
      <w:r w:rsidRPr="00045218">
        <w:rPr>
          <w:lang w:val="en-GB"/>
        </w:rPr>
        <w:t>a robust foundation for the proposition of targeted safety barrier protection programs.</w:t>
      </w:r>
    </w:p>
    <w:p w14:paraId="0372F8BA" w14:textId="77777777" w:rsidR="005B09E5" w:rsidRPr="00B57B36" w:rsidRDefault="005B09E5" w:rsidP="005B09E5">
      <w:pPr>
        <w:pStyle w:val="CETHeading1"/>
        <w:rPr>
          <w:lang w:val="en-GB"/>
        </w:rPr>
      </w:pPr>
      <w:bookmarkStart w:id="1" w:name="_Hlk495475023"/>
      <w:bookmarkEnd w:id="1"/>
      <w:r w:rsidRPr="0034B4F5">
        <w:rPr>
          <w:lang w:val="en-GB"/>
        </w:rPr>
        <w:t>Introduction</w:t>
      </w:r>
    </w:p>
    <w:p w14:paraId="6CBCA38D" w14:textId="0649B25B" w:rsidR="005B09E5" w:rsidRPr="008E6472" w:rsidRDefault="005B09E5" w:rsidP="005B09E5">
      <w:pPr>
        <w:pStyle w:val="CETBodytext"/>
        <w:rPr>
          <w:rFonts w:eastAsia="MS Mincho"/>
          <w:lang w:eastAsia="ja-JP"/>
        </w:rPr>
      </w:pPr>
      <w:r w:rsidRPr="001E4A0B">
        <w:rPr>
          <w:rFonts w:eastAsia="Segoe UI"/>
        </w:rPr>
        <w:t xml:space="preserve">Natech, which stands for natural hazard-triggered technological accidents, describes incidents where natural hazards lead to </w:t>
      </w:r>
      <w:r>
        <w:rPr>
          <w:rFonts w:eastAsia="Segoe UI"/>
        </w:rPr>
        <w:t>the release of</w:t>
      </w:r>
      <w:r w:rsidRPr="001E4A0B">
        <w:rPr>
          <w:rFonts w:eastAsia="Segoe UI"/>
        </w:rPr>
        <w:t xml:space="preserve"> hazardous materials in industrial settings (</w:t>
      </w:r>
      <w:r w:rsidR="00697BD4" w:rsidRPr="00697BD4">
        <w:rPr>
          <w:rFonts w:eastAsia="Segoe UI"/>
        </w:rPr>
        <w:t>Krausmann</w:t>
      </w:r>
      <w:r w:rsidRPr="001E4A0B">
        <w:rPr>
          <w:rFonts w:eastAsia="Segoe UI"/>
        </w:rPr>
        <w:t xml:space="preserve"> et al., 20</w:t>
      </w:r>
      <w:r w:rsidR="00697BD4">
        <w:rPr>
          <w:rFonts w:eastAsia="Segoe UI"/>
        </w:rPr>
        <w:t>17</w:t>
      </w:r>
      <w:r w:rsidRPr="001E4A0B">
        <w:rPr>
          <w:rFonts w:eastAsia="Segoe UI"/>
        </w:rPr>
        <w:t>).</w:t>
      </w:r>
    </w:p>
    <w:p w14:paraId="1BDB49F7" w14:textId="544BF9DD" w:rsidR="005B09E5" w:rsidRPr="008E6472" w:rsidRDefault="005B09E5" w:rsidP="005B09E5">
      <w:pPr>
        <w:pStyle w:val="CETBodytext"/>
        <w:rPr>
          <w:rFonts w:eastAsia="MS Mincho"/>
          <w:lang w:eastAsia="ja-JP"/>
        </w:rPr>
      </w:pPr>
      <w:r w:rsidRPr="0034B4F5">
        <w:rPr>
          <w:rFonts w:eastAsia="Segoe UI"/>
        </w:rPr>
        <w:t>The increased frequency of meteorological events, intensified by climate change, has brought wider attention to Natech incidents. However, a noticeable imbalance</w:t>
      </w:r>
      <w:r w:rsidRPr="00D96B37">
        <w:rPr>
          <w:rFonts w:eastAsia="Segoe UI"/>
        </w:rPr>
        <w:t xml:space="preserve"> </w:t>
      </w:r>
      <w:r w:rsidRPr="0034B4F5">
        <w:rPr>
          <w:rFonts w:eastAsia="Segoe UI"/>
        </w:rPr>
        <w:t>remains in addressing various natural hazard categories</w:t>
      </w:r>
      <w:r>
        <w:rPr>
          <w:rFonts w:eastAsia="Segoe UI"/>
        </w:rPr>
        <w:t>: extreme temperature events, for instance, are relatively overlooked</w:t>
      </w:r>
      <w:r w:rsidRPr="0034B4F5">
        <w:rPr>
          <w:rFonts w:eastAsia="Segoe UI"/>
        </w:rPr>
        <w:t xml:space="preserve"> (Suarez-Paba et al., 2019)</w:t>
      </w:r>
      <w:r>
        <w:rPr>
          <w:rFonts w:eastAsia="Segoe UI"/>
        </w:rPr>
        <w:t>.</w:t>
      </w:r>
    </w:p>
    <w:p w14:paraId="1C985E4D" w14:textId="7CA415BE" w:rsidR="005B09E5" w:rsidRPr="008E6472" w:rsidRDefault="005B09E5" w:rsidP="005B09E5">
      <w:pPr>
        <w:pStyle w:val="CETBodytext"/>
        <w:rPr>
          <w:rFonts w:eastAsia="MS Mincho"/>
          <w:lang w:eastAsia="ja-JP"/>
        </w:rPr>
      </w:pPr>
      <w:r w:rsidRPr="0034B4F5">
        <w:rPr>
          <w:rFonts w:eastAsia="Segoe UI"/>
        </w:rPr>
        <w:t>In January 2024, Northern Europe experienced a severe cold wave</w:t>
      </w:r>
      <w:r>
        <w:rPr>
          <w:rFonts w:eastAsia="Segoe UI"/>
        </w:rPr>
        <w:t>. In Sweden, temperatures dropped</w:t>
      </w:r>
      <w:r w:rsidRPr="0034B4F5">
        <w:rPr>
          <w:rFonts w:eastAsia="Segoe UI"/>
        </w:rPr>
        <w:t xml:space="preserve"> to </w:t>
      </w:r>
      <w:r>
        <w:rPr>
          <w:rFonts w:eastAsia="Segoe UI"/>
        </w:rPr>
        <w:br/>
      </w:r>
      <w:r w:rsidRPr="0034B4F5">
        <w:rPr>
          <w:rFonts w:eastAsia="Segoe UI"/>
        </w:rPr>
        <w:t>-43.6 °C, marking the coldest January temperature in 25 years</w:t>
      </w:r>
      <w:r>
        <w:rPr>
          <w:rFonts w:eastAsia="Segoe UI"/>
        </w:rPr>
        <w:t xml:space="preserve">, and </w:t>
      </w:r>
      <w:r w:rsidRPr="0034B4F5">
        <w:rPr>
          <w:rFonts w:eastAsia="Segoe UI"/>
        </w:rPr>
        <w:t>Oslo</w:t>
      </w:r>
      <w:r>
        <w:rPr>
          <w:rFonts w:eastAsia="Segoe UI"/>
        </w:rPr>
        <w:t xml:space="preserve"> </w:t>
      </w:r>
      <w:r w:rsidRPr="0034B4F5">
        <w:rPr>
          <w:rFonts w:eastAsia="Segoe UI"/>
        </w:rPr>
        <w:t xml:space="preserve">recorded temperatures as low as </w:t>
      </w:r>
      <w:r>
        <w:rPr>
          <w:rFonts w:eastAsia="Segoe UI"/>
        </w:rPr>
        <w:br/>
      </w:r>
      <w:r w:rsidRPr="0034B4F5">
        <w:rPr>
          <w:rFonts w:eastAsia="Segoe UI"/>
        </w:rPr>
        <w:t>-30 °C (Earth Observatory NASA, 2024). The immediate and tangible impact of extreme</w:t>
      </w:r>
      <w:r>
        <w:rPr>
          <w:rFonts w:eastAsia="Segoe UI"/>
        </w:rPr>
        <w:t>ly</w:t>
      </w:r>
      <w:r w:rsidRPr="0034B4F5">
        <w:rPr>
          <w:rFonts w:eastAsia="Segoe UI"/>
        </w:rPr>
        <w:t xml:space="preserve"> cold weather on critical infrastructure became evident, making electricity supply limitations a significant influencing factor for </w:t>
      </w:r>
      <w:proofErr w:type="spellStart"/>
      <w:r w:rsidRPr="0034B4F5">
        <w:rPr>
          <w:rFonts w:eastAsia="Segoe UI"/>
        </w:rPr>
        <w:t>Natech</w:t>
      </w:r>
      <w:proofErr w:type="spellEnd"/>
      <w:r w:rsidRPr="0034B4F5">
        <w:rPr>
          <w:rFonts w:eastAsia="Segoe UI"/>
        </w:rPr>
        <w:t xml:space="preserve"> events.</w:t>
      </w:r>
      <w:r w:rsidR="008E6472">
        <w:rPr>
          <w:rFonts w:eastAsia="MS Mincho" w:hint="eastAsia"/>
          <w:lang w:eastAsia="ja-JP"/>
        </w:rPr>
        <w:t xml:space="preserve"> </w:t>
      </w:r>
      <w:r w:rsidRPr="0034B4F5">
        <w:rPr>
          <w:rFonts w:eastAsia="Segoe UI"/>
        </w:rPr>
        <w:t xml:space="preserve">These occurrences align with studies by Krausmann and </w:t>
      </w:r>
      <w:proofErr w:type="spellStart"/>
      <w:r w:rsidRPr="0034B4F5">
        <w:rPr>
          <w:rFonts w:eastAsia="Segoe UI"/>
        </w:rPr>
        <w:t>Baranzini</w:t>
      </w:r>
      <w:proofErr w:type="spellEnd"/>
      <w:r>
        <w:rPr>
          <w:rFonts w:eastAsia="Segoe UI"/>
        </w:rPr>
        <w:t xml:space="preserve"> (2012)</w:t>
      </w:r>
      <w:r w:rsidRPr="0034B4F5">
        <w:rPr>
          <w:rFonts w:eastAsia="Segoe UI"/>
        </w:rPr>
        <w:t>, highlighting low-temperature events as the third leading cause of Natech accidents in Europe</w:t>
      </w:r>
      <w:r>
        <w:rPr>
          <w:rFonts w:eastAsia="Segoe UI"/>
        </w:rPr>
        <w:t>.</w:t>
      </w:r>
    </w:p>
    <w:p w14:paraId="22719CE1" w14:textId="7FFEF4EC" w:rsidR="005B09E5" w:rsidRPr="008E6472" w:rsidRDefault="005B09E5" w:rsidP="005B09E5">
      <w:pPr>
        <w:pStyle w:val="CETBodytext"/>
        <w:rPr>
          <w:rFonts w:eastAsia="MS Mincho"/>
          <w:lang w:eastAsia="ja-JP"/>
        </w:rPr>
      </w:pPr>
      <w:r>
        <w:rPr>
          <w:rFonts w:eastAsia="Segoe UI"/>
        </w:rPr>
        <w:t>Understanding</w:t>
      </w:r>
      <w:r w:rsidRPr="0034B4F5">
        <w:rPr>
          <w:rFonts w:eastAsia="Segoe UI"/>
        </w:rPr>
        <w:t xml:space="preserve"> how cold waves can influence safety barriers is </w:t>
      </w:r>
      <w:r>
        <w:rPr>
          <w:rFonts w:eastAsia="Segoe UI"/>
        </w:rPr>
        <w:t>essential</w:t>
      </w:r>
      <w:r w:rsidRPr="0034B4F5">
        <w:rPr>
          <w:rFonts w:eastAsia="Segoe UI"/>
        </w:rPr>
        <w:t xml:space="preserve"> for enhancing preparedness and response to Natech incidents in extreme climatic conditions.</w:t>
      </w:r>
      <w:r w:rsidR="008E6472">
        <w:rPr>
          <w:rFonts w:eastAsia="MS Mincho" w:hint="eastAsia"/>
          <w:lang w:eastAsia="ja-JP"/>
        </w:rPr>
        <w:t xml:space="preserve"> </w:t>
      </w:r>
      <w:r w:rsidRPr="0034B4F5">
        <w:rPr>
          <w:rFonts w:eastAsia="Segoe UI"/>
        </w:rPr>
        <w:t xml:space="preserve">The main objective of this </w:t>
      </w:r>
      <w:r>
        <w:rPr>
          <w:rFonts w:eastAsia="Segoe UI"/>
        </w:rPr>
        <w:t>paper</w:t>
      </w:r>
      <w:r w:rsidRPr="0034B4F5">
        <w:rPr>
          <w:rFonts w:eastAsia="Segoe UI"/>
        </w:rPr>
        <w:t xml:space="preserve"> is to </w:t>
      </w:r>
      <w:proofErr w:type="spellStart"/>
      <w:r w:rsidRPr="0034B4F5">
        <w:rPr>
          <w:rFonts w:eastAsia="Segoe UI"/>
        </w:rPr>
        <w:t>analy</w:t>
      </w:r>
      <w:r>
        <w:rPr>
          <w:rFonts w:eastAsia="Segoe UI"/>
        </w:rPr>
        <w:t>s</w:t>
      </w:r>
      <w:r w:rsidRPr="0034B4F5">
        <w:rPr>
          <w:rFonts w:eastAsia="Segoe UI"/>
        </w:rPr>
        <w:t>e</w:t>
      </w:r>
      <w:proofErr w:type="spellEnd"/>
      <w:r w:rsidRPr="0034B4F5">
        <w:rPr>
          <w:rFonts w:eastAsia="Segoe UI"/>
        </w:rPr>
        <w:t xml:space="preserve"> incidents caused by </w:t>
      </w:r>
      <w:r>
        <w:rPr>
          <w:rFonts w:eastAsia="Segoe UI"/>
        </w:rPr>
        <w:t>c</w:t>
      </w:r>
      <w:r w:rsidRPr="0034B4F5">
        <w:rPr>
          <w:rFonts w:eastAsia="Segoe UI"/>
        </w:rPr>
        <w:t xml:space="preserve">old waves, </w:t>
      </w:r>
      <w:r>
        <w:rPr>
          <w:rFonts w:eastAsia="Segoe UI"/>
        </w:rPr>
        <w:t>focusing</w:t>
      </w:r>
      <w:r w:rsidRPr="0034B4F5">
        <w:rPr>
          <w:rFonts w:eastAsia="Segoe UI"/>
        </w:rPr>
        <w:t xml:space="preserve"> on safety barriers.</w:t>
      </w:r>
      <w:r w:rsidR="00893B1E" w:rsidRPr="00893B1E">
        <w:rPr>
          <w:rFonts w:eastAsia="Segoe UI"/>
        </w:rPr>
        <w:t xml:space="preserve"> </w:t>
      </w:r>
      <w:r w:rsidR="00893B1E" w:rsidRPr="00D576E7">
        <w:rPr>
          <w:rFonts w:eastAsia="Segoe UI"/>
        </w:rPr>
        <w:t>The expected impact of this study is to enhance preparedness and response strategies for Natech incidents by understanding how cold waves affect safety barriers in industrial settings.</w:t>
      </w:r>
      <w:r w:rsidRPr="0034B4F5">
        <w:rPr>
          <w:rFonts w:eastAsia="Segoe UI"/>
        </w:rPr>
        <w:t xml:space="preserve"> </w:t>
      </w:r>
      <w:r w:rsidRPr="0050611E">
        <w:rPr>
          <w:rFonts w:eastAsia="Segoe UI"/>
        </w:rPr>
        <w:t>This paper is structured as follows. The “</w:t>
      </w:r>
      <w:r>
        <w:rPr>
          <w:rFonts w:eastAsia="Segoe UI"/>
        </w:rPr>
        <w:t>Database description</w:t>
      </w:r>
      <w:r w:rsidRPr="0050611E">
        <w:rPr>
          <w:rFonts w:eastAsia="Segoe UI"/>
        </w:rPr>
        <w:t>” section describes</w:t>
      </w:r>
      <w:r>
        <w:rPr>
          <w:rFonts w:eastAsia="Segoe UI"/>
        </w:rPr>
        <w:t xml:space="preserve"> the cold wave</w:t>
      </w:r>
      <w:r w:rsidRPr="0050611E">
        <w:rPr>
          <w:rFonts w:eastAsia="Segoe UI"/>
        </w:rPr>
        <w:t xml:space="preserve"> database used for this investigation</w:t>
      </w:r>
      <w:r>
        <w:rPr>
          <w:rFonts w:eastAsia="Segoe UI"/>
        </w:rPr>
        <w:t xml:space="preserve">. </w:t>
      </w:r>
      <w:r w:rsidRPr="0050611E">
        <w:rPr>
          <w:rFonts w:eastAsia="Segoe UI"/>
        </w:rPr>
        <w:t>The “Methodology” section explains the procedure adopted in this work</w:t>
      </w:r>
      <w:r>
        <w:rPr>
          <w:rFonts w:eastAsia="Segoe UI"/>
        </w:rPr>
        <w:t xml:space="preserve">: the database is </w:t>
      </w:r>
      <w:proofErr w:type="spellStart"/>
      <w:r>
        <w:rPr>
          <w:rFonts w:eastAsia="Segoe UI"/>
        </w:rPr>
        <w:t>analysed</w:t>
      </w:r>
      <w:proofErr w:type="spellEnd"/>
      <w:r>
        <w:rPr>
          <w:rFonts w:eastAsia="Segoe UI"/>
        </w:rPr>
        <w:t xml:space="preserve"> to understand</w:t>
      </w:r>
      <w:r w:rsidRPr="0034B4F5">
        <w:rPr>
          <w:rFonts w:eastAsia="Segoe UI"/>
        </w:rPr>
        <w:t xml:space="preserve"> the relationships between incident features and the behavior of the involved safety barriers. </w:t>
      </w:r>
      <w:r>
        <w:rPr>
          <w:rFonts w:eastAsia="Segoe UI"/>
        </w:rPr>
        <w:t xml:space="preserve">Firstly, clustering based on unsupervised machine learning is used to </w:t>
      </w:r>
      <w:r>
        <w:rPr>
          <w:rFonts w:eastAsia="Segoe UI"/>
        </w:rPr>
        <w:lastRenderedPageBreak/>
        <w:t>group the events; s</w:t>
      </w:r>
      <w:r w:rsidRPr="0034B4F5">
        <w:rPr>
          <w:rFonts w:eastAsia="Segoe UI"/>
        </w:rPr>
        <w:t>ubsequently</w:t>
      </w:r>
      <w:r>
        <w:rPr>
          <w:rFonts w:eastAsia="Segoe UI"/>
        </w:rPr>
        <w:t xml:space="preserve">, </w:t>
      </w:r>
      <w:r w:rsidRPr="0034B4F5">
        <w:rPr>
          <w:rFonts w:eastAsia="Segoe UI"/>
        </w:rPr>
        <w:t xml:space="preserve">the behavior of safety barriers </w:t>
      </w:r>
      <w:r>
        <w:rPr>
          <w:rFonts w:eastAsia="Segoe UI"/>
        </w:rPr>
        <w:t xml:space="preserve">is modeled </w:t>
      </w:r>
      <w:r w:rsidRPr="0034B4F5">
        <w:rPr>
          <w:rFonts w:eastAsia="Segoe UI"/>
        </w:rPr>
        <w:t>using Bayesian Networks. This model is designed to provid</w:t>
      </w:r>
      <w:r>
        <w:rPr>
          <w:rFonts w:eastAsia="Segoe UI"/>
        </w:rPr>
        <w:t>e</w:t>
      </w:r>
      <w:r w:rsidRPr="0034B4F5">
        <w:rPr>
          <w:rFonts w:eastAsia="Segoe UI"/>
        </w:rPr>
        <w:t xml:space="preserve"> a dynamic and updatable structure </w:t>
      </w:r>
      <w:r>
        <w:rPr>
          <w:rFonts w:eastAsia="Segoe UI"/>
        </w:rPr>
        <w:t xml:space="preserve">that is </w:t>
      </w:r>
      <w:r w:rsidRPr="0034B4F5">
        <w:rPr>
          <w:rFonts w:eastAsia="Segoe UI"/>
        </w:rPr>
        <w:t>adaptable to future developments and integrable with additional available information.</w:t>
      </w:r>
      <w:r w:rsidRPr="0050611E">
        <w:rPr>
          <w:rFonts w:eastAsia="Segoe UI"/>
        </w:rPr>
        <w:t xml:space="preserve"> The “Results and Discussion” section shows and comments on the outcomes of the analysis, focusing on some </w:t>
      </w:r>
      <w:r>
        <w:rPr>
          <w:rFonts w:eastAsia="Segoe UI"/>
        </w:rPr>
        <w:t>quantitative results</w:t>
      </w:r>
      <w:r w:rsidRPr="0050611E">
        <w:rPr>
          <w:rFonts w:eastAsia="Segoe UI"/>
        </w:rPr>
        <w:t xml:space="preserve">. Finally, the “Conclusion” section </w:t>
      </w:r>
      <w:proofErr w:type="spellStart"/>
      <w:r w:rsidRPr="0050611E">
        <w:rPr>
          <w:rFonts w:eastAsia="Segoe UI"/>
        </w:rPr>
        <w:t>summari</w:t>
      </w:r>
      <w:r>
        <w:rPr>
          <w:rFonts w:eastAsia="Segoe UI"/>
        </w:rPr>
        <w:t>s</w:t>
      </w:r>
      <w:r w:rsidRPr="0050611E">
        <w:rPr>
          <w:rFonts w:eastAsia="Segoe UI"/>
        </w:rPr>
        <w:t>es</w:t>
      </w:r>
      <w:proofErr w:type="spellEnd"/>
      <w:r w:rsidRPr="0050611E">
        <w:rPr>
          <w:rFonts w:eastAsia="Segoe UI"/>
        </w:rPr>
        <w:t xml:space="preserve"> the main findings of this study.</w:t>
      </w:r>
    </w:p>
    <w:p w14:paraId="7B9C1BB5" w14:textId="77777777" w:rsidR="005B09E5" w:rsidRDefault="005B09E5" w:rsidP="005B09E5">
      <w:pPr>
        <w:pStyle w:val="CETHeading1"/>
      </w:pPr>
      <w:r>
        <w:t>Database description</w:t>
      </w:r>
    </w:p>
    <w:p w14:paraId="2EDFE2E5" w14:textId="65995709" w:rsidR="005B09E5" w:rsidRPr="008E6472" w:rsidRDefault="005B09E5" w:rsidP="005B09E5">
      <w:pPr>
        <w:pStyle w:val="CETBodytext"/>
        <w:rPr>
          <w:rFonts w:eastAsia="MS Mincho"/>
          <w:lang w:eastAsia="ja-JP"/>
        </w:rPr>
      </w:pPr>
      <w:r>
        <w:t xml:space="preserve">The Cold Wave Database (CW Database), established in 2023 by Ricci et al. (2023), aims to comprehensively </w:t>
      </w:r>
      <w:proofErr w:type="spellStart"/>
      <w:r>
        <w:t>analyse</w:t>
      </w:r>
      <w:proofErr w:type="spellEnd"/>
      <w:r>
        <w:t xml:space="preserve"> past accidents involving hazardous substances triggered by cold waves impacting industrial infrastructure. </w:t>
      </w:r>
      <w:r w:rsidRPr="00E07DF1">
        <w:t>The database</w:t>
      </w:r>
      <w:r>
        <w:t xml:space="preserve"> counts over 740 events and</w:t>
      </w:r>
      <w:r w:rsidRPr="00E07DF1">
        <w:t xml:space="preserve"> comprises 25 columns </w:t>
      </w:r>
      <w:proofErr w:type="spellStart"/>
      <w:r w:rsidRPr="00E07DF1">
        <w:t>categori</w:t>
      </w:r>
      <w:r>
        <w:t>s</w:t>
      </w:r>
      <w:r w:rsidRPr="00E07DF1">
        <w:t>ed</w:t>
      </w:r>
      <w:proofErr w:type="spellEnd"/>
      <w:r w:rsidRPr="00E07DF1">
        <w:t xml:space="preserve"> as follows: Original Source (tracking the incident</w:t>
      </w:r>
      <w:r>
        <w:t>’</w:t>
      </w:r>
      <w:r w:rsidRPr="00E07DF1">
        <w:t>s database origin), Time (specifically the year), Geographical Area (continent, country, USA state), Industrial Sector, Equipment Item, Direct Cause, Technological Scenario, Substance, Safety Barrier (indicating effectiveness</w:t>
      </w:r>
      <w:r>
        <w:t xml:space="preserve"> or not</w:t>
      </w:r>
      <w:r w:rsidRPr="00E07DF1">
        <w:t>), Damage to Humans, Economic Loss, and Summary (providing an incident overview).</w:t>
      </w:r>
    </w:p>
    <w:p w14:paraId="5E1033A5" w14:textId="6FCE56FD" w:rsidR="005B09E5" w:rsidRDefault="005B09E5" w:rsidP="005B09E5">
      <w:pPr>
        <w:pStyle w:val="CETBodytext"/>
      </w:pPr>
      <w:r>
        <w:t>The primary source of data for the CW Database is the N</w:t>
      </w:r>
      <w:r w:rsidR="00D73311">
        <w:t>ational Response Center (NR</w:t>
      </w:r>
      <w:r>
        <w:t>C</w:t>
      </w:r>
      <w:r w:rsidR="00D73311">
        <w:t>)</w:t>
      </w:r>
      <w:r>
        <w:t xml:space="preserve"> Database (U.S. Coast Guard, 2023), which contributes approximately 75% of the total records. The ARIA Database (The French Bureau for Analysis of Industrial Risks and Pollution, 2023) follows, providing 19.3% of the total records. In addition, </w:t>
      </w:r>
      <w:proofErr w:type="spellStart"/>
      <w:r>
        <w:t>eMARS</w:t>
      </w:r>
      <w:proofErr w:type="spellEnd"/>
      <w:r>
        <w:t xml:space="preserve"> (European Major Accident Hazards Bureau, 2023) and TAD </w:t>
      </w:r>
      <w:proofErr w:type="spellStart"/>
      <w:r>
        <w:t>IChemE</w:t>
      </w:r>
      <w:proofErr w:type="spellEnd"/>
      <w:r>
        <w:t xml:space="preserve"> (Institution of Chemical Engineers, 2000) offer records with a higher level of detail.</w:t>
      </w:r>
    </w:p>
    <w:p w14:paraId="2E9A3395" w14:textId="77777777" w:rsidR="005B09E5" w:rsidRPr="005D3FA7" w:rsidRDefault="005B09E5" w:rsidP="005B09E5">
      <w:pPr>
        <w:pStyle w:val="CETHeading1"/>
      </w:pPr>
      <w:r w:rsidRPr="005D3FA7">
        <w:t>Methodology</w:t>
      </w:r>
    </w:p>
    <w:p w14:paraId="6CB9B185" w14:textId="28BE6E28" w:rsidR="005B09E5" w:rsidRDefault="005B09E5" w:rsidP="005B09E5">
      <w:pPr>
        <w:pStyle w:val="CETBodytext"/>
      </w:pPr>
      <w:r w:rsidRPr="00BF0178">
        <w:t>The work involves several steps</w:t>
      </w:r>
      <w:r>
        <w:t>, as depicted in Figure 1</w:t>
      </w:r>
      <w:r w:rsidRPr="00BF0178">
        <w:t>: machine learning algorithms such as k-</w:t>
      </w:r>
      <w:r>
        <w:t>m</w:t>
      </w:r>
      <w:r w:rsidRPr="00BF0178">
        <w:t>eans clustering are applied to group</w:t>
      </w:r>
      <w:r>
        <w:t xml:space="preserve"> of</w:t>
      </w:r>
      <w:r w:rsidRPr="00BF0178">
        <w:t xml:space="preserve"> incidents </w:t>
      </w:r>
      <w:r>
        <w:t xml:space="preserve">in the </w:t>
      </w:r>
      <w:proofErr w:type="gramStart"/>
      <w:r>
        <w:t>aforementioned database</w:t>
      </w:r>
      <w:proofErr w:type="gramEnd"/>
      <w:r>
        <w:t xml:space="preserve"> </w:t>
      </w:r>
      <w:r w:rsidRPr="00BF0178">
        <w:t xml:space="preserve">based on common characteristics. The information obtained is then </w:t>
      </w:r>
      <w:proofErr w:type="spellStart"/>
      <w:r w:rsidRPr="00BF0178">
        <w:t>analy</w:t>
      </w:r>
      <w:r>
        <w:t>s</w:t>
      </w:r>
      <w:r w:rsidRPr="00BF0178">
        <w:t>ed</w:t>
      </w:r>
      <w:proofErr w:type="spellEnd"/>
      <w:r w:rsidRPr="00BF0178">
        <w:t xml:space="preserve"> using Pearson</w:t>
      </w:r>
      <w:r>
        <w:t>’</w:t>
      </w:r>
      <w:r w:rsidRPr="00BF0178">
        <w:t xml:space="preserve">s Chi-square test and Information Gain to identify the </w:t>
      </w:r>
      <w:r>
        <w:t>relationships between</w:t>
      </w:r>
      <w:r w:rsidRPr="00BF0178">
        <w:t xml:space="preserve"> incident</w:t>
      </w:r>
      <w:r>
        <w:t xml:space="preserve"> features</w:t>
      </w:r>
      <w:r w:rsidRPr="00BF0178">
        <w:t>. Once the relationships are identified, the Bayesian network structure is constructed, and finally, the probabilities associated with each node are calculated</w:t>
      </w:r>
      <w:r w:rsidR="00666F08">
        <w:t>.</w:t>
      </w:r>
    </w:p>
    <w:p w14:paraId="5A9FB49F" w14:textId="1F20EB5F" w:rsidR="005B09E5" w:rsidRDefault="00666F08" w:rsidP="005B09E5">
      <w:pPr>
        <w:pStyle w:val="CETBodytext"/>
        <w:keepNext/>
      </w:pPr>
      <w:r w:rsidRPr="00666F08">
        <w:rPr>
          <w:noProof/>
        </w:rPr>
        <w:drawing>
          <wp:inline distT="0" distB="0" distL="0" distR="0" wp14:anchorId="020818A2" wp14:editId="739AF9D4">
            <wp:extent cx="5579745" cy="791845"/>
            <wp:effectExtent l="0" t="0" r="1905" b="8255"/>
            <wp:docPr id="1841476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791845"/>
                    </a:xfrm>
                    <a:prstGeom prst="rect">
                      <a:avLst/>
                    </a:prstGeom>
                    <a:noFill/>
                    <a:ln>
                      <a:noFill/>
                    </a:ln>
                  </pic:spPr>
                </pic:pic>
              </a:graphicData>
            </a:graphic>
          </wp:inline>
        </w:drawing>
      </w:r>
    </w:p>
    <w:p w14:paraId="3BE11B1E" w14:textId="77777777" w:rsidR="005B09E5" w:rsidRDefault="005B09E5" w:rsidP="005B09E5">
      <w:pPr>
        <w:pStyle w:val="CETCaption"/>
      </w:pPr>
      <w:r>
        <w:t xml:space="preserve">Figure </w:t>
      </w:r>
      <w:r>
        <w:fldChar w:fldCharType="begin"/>
      </w:r>
      <w:r>
        <w:instrText xml:space="preserve"> SEQ Figure \* ARABIC \s 1 </w:instrText>
      </w:r>
      <w:r>
        <w:fldChar w:fldCharType="separate"/>
      </w:r>
      <w:r>
        <w:rPr>
          <w:noProof/>
        </w:rPr>
        <w:t>1</w:t>
      </w:r>
      <w:r>
        <w:fldChar w:fldCharType="end"/>
      </w:r>
      <w:r>
        <w:t>: Flowchart showing the methodology of this study.</w:t>
      </w:r>
    </w:p>
    <w:p w14:paraId="45DA2231" w14:textId="77777777" w:rsidR="005B09E5" w:rsidRDefault="005B09E5" w:rsidP="005B09E5">
      <w:pPr>
        <w:pStyle w:val="CETheadingx"/>
      </w:pPr>
      <w:r>
        <w:t>Unsupervised machine learning</w:t>
      </w:r>
    </w:p>
    <w:p w14:paraId="5C5E98E7" w14:textId="725FAC51" w:rsidR="005B09E5" w:rsidRPr="008E6472" w:rsidRDefault="005B09E5" w:rsidP="005B09E5">
      <w:pPr>
        <w:pStyle w:val="CETBodytext"/>
        <w:rPr>
          <w:rFonts w:eastAsia="MS Mincho"/>
          <w:lang w:eastAsia="ja-JP"/>
        </w:rPr>
      </w:pPr>
      <w:r>
        <w:t xml:space="preserve">Unsupervised machine learning allows grouping events based on their similarity to uncover hidden relationships and identify the combination of features that most </w:t>
      </w:r>
      <w:r w:rsidRPr="004D06D7">
        <w:t>significantly contributes to their occurrence. In this study k-means and clustering algorithms are applied as machine learning techniques to the incidents with at least one safety barrier. Before applying any algorithms, the dataset requires a pre-process: cleaning, handling missing values, removing</w:t>
      </w:r>
      <w:r>
        <w:t xml:space="preserve"> outliers, and </w:t>
      </w:r>
      <w:proofErr w:type="spellStart"/>
      <w:r>
        <w:t>standardising</w:t>
      </w:r>
      <w:proofErr w:type="spellEnd"/>
      <w:r>
        <w:t xml:space="preserve"> data. Term Frequency – Inverse Document Frequency (TF-IDF) </w:t>
      </w:r>
      <w:proofErr w:type="spellStart"/>
      <w:r>
        <w:t>vectorisation</w:t>
      </w:r>
      <w:proofErr w:type="spellEnd"/>
      <w:r>
        <w:t xml:space="preserve"> is then performed, and dimensionality reduction is adopted to </w:t>
      </w:r>
      <w:proofErr w:type="spellStart"/>
      <w:r>
        <w:t>visualise</w:t>
      </w:r>
      <w:proofErr w:type="spellEnd"/>
      <w:r>
        <w:t xml:space="preserve"> a 2D representation (Liu et al., 2021).</w:t>
      </w:r>
    </w:p>
    <w:p w14:paraId="341CAD5C" w14:textId="46ACE87C" w:rsidR="005B09E5" w:rsidRPr="008E6472" w:rsidRDefault="005B09E5" w:rsidP="005B09E5">
      <w:pPr>
        <w:pStyle w:val="CETBodytext"/>
        <w:rPr>
          <w:rFonts w:eastAsia="MS Mincho"/>
          <w:lang w:eastAsia="ja-JP"/>
        </w:rPr>
      </w:pPr>
      <w:r>
        <w:t>The k-means clustering divides the dataset into a predetermined number of clusters. Each cluster contains similar patterns, while dissimilar ones are allocated to other clusters (</w:t>
      </w:r>
      <w:proofErr w:type="spellStart"/>
      <w:r>
        <w:t>Chokor</w:t>
      </w:r>
      <w:proofErr w:type="spellEnd"/>
      <w:r>
        <w:t xml:space="preserve"> et al. 2016).</w:t>
      </w:r>
    </w:p>
    <w:p w14:paraId="4B337B49" w14:textId="77777777" w:rsidR="005B09E5" w:rsidRDefault="005B09E5" w:rsidP="005B09E5">
      <w:pPr>
        <w:pStyle w:val="CETBodytext"/>
      </w:pPr>
      <w:r>
        <w:t>A key element is the centroid, representing the center of mass of observations within the cluster, serving as a representative prototype.</w:t>
      </w:r>
    </w:p>
    <w:p w14:paraId="110D89B2" w14:textId="50FC1551" w:rsidR="005B09E5" w:rsidRDefault="005B09E5" w:rsidP="005B09E5">
      <w:pPr>
        <w:pStyle w:val="CETBodytext"/>
      </w:pPr>
      <w:r>
        <w:t xml:space="preserve">Considering a set of N points denoted by </w:t>
      </w:r>
      <m:oMath>
        <m:r>
          <w:rPr>
            <w:rFonts w:ascii="Cambria Math" w:eastAsia="Calibri" w:hAnsi="Cambria Math"/>
          </w:rPr>
          <m:t xml:space="preserve">X= </m:t>
        </m:r>
        <m:d>
          <m:dPr>
            <m:begChr m:val="{"/>
            <m:endChr m:val=""/>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1</m:t>
                </m:r>
              </m:sub>
            </m:sSub>
            <m:r>
              <w:rPr>
                <w:rFonts w:ascii="Cambria Math" w:eastAsia="Calibri" w:hAnsi="Cambria Math"/>
              </w:rPr>
              <m:t>,</m:t>
            </m:r>
          </m:e>
        </m:d>
        <m:d>
          <m:dPr>
            <m:begChr m:val=""/>
            <m:endChr m:val="}"/>
            <m:ctrlPr>
              <w:rPr>
                <w:rFonts w:ascii="Cambria Math" w:eastAsia="DengXian" w:hAnsi="Cambria Math"/>
                <w:i/>
              </w:rPr>
            </m:ctrlPr>
          </m:dPr>
          <m:e>
            <m:r>
              <w:rPr>
                <w:rFonts w:ascii="Cambria Math" w:eastAsia="Calibri" w:hAnsi="Cambria Math"/>
              </w:rPr>
              <m:t xml:space="preserve"> …, </m:t>
            </m:r>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n</m:t>
                </m:r>
              </m:sub>
            </m:sSub>
          </m:e>
        </m:d>
      </m:oMath>
      <w:r>
        <w:t xml:space="preserve">, the k-means algorithm seeks a set of </w:t>
      </w:r>
      <m:oMath>
        <m:r>
          <w:rPr>
            <w:rFonts w:ascii="Cambria Math" w:eastAsia="Calibri" w:hAnsi="Cambria Math"/>
          </w:rPr>
          <m:t>k</m:t>
        </m:r>
      </m:oMath>
      <w:r>
        <w:t xml:space="preserve"> vectors </w:t>
      </w:r>
      <m:oMath>
        <m:sSub>
          <m:sSubPr>
            <m:ctrlPr>
              <w:rPr>
                <w:rFonts w:ascii="Cambria Math" w:eastAsia="Calibri" w:hAnsi="Cambria Math"/>
              </w:rPr>
            </m:ctrlPr>
          </m:sSubPr>
          <m:e>
            <m:r>
              <w:rPr>
                <w:rFonts w:ascii="Cambria Math" w:eastAsia="Calibri" w:hAnsi="Cambria Math"/>
              </w:rPr>
              <m:t>μ</m:t>
            </m:r>
          </m:e>
          <m:sub>
            <m:r>
              <w:rPr>
                <w:rFonts w:ascii="Cambria Math" w:eastAsia="Calibri" w:hAnsi="Cambria Math"/>
              </w:rPr>
              <m:t>k</m:t>
            </m:r>
          </m:sub>
        </m:sSub>
      </m:oMath>
      <w:r>
        <w:t xml:space="preserve"> minimising the Within-Cluster Sum of Squares (WCSS):</w:t>
      </w:r>
    </w:p>
    <w:tbl>
      <w:tblPr>
        <w:tblW w:w="5000" w:type="pct"/>
        <w:tblLook w:val="04A0" w:firstRow="1" w:lastRow="0" w:firstColumn="1" w:lastColumn="0" w:noHBand="0" w:noVBand="1"/>
      </w:tblPr>
      <w:tblGrid>
        <w:gridCol w:w="2698"/>
        <w:gridCol w:w="6089"/>
      </w:tblGrid>
      <w:tr w:rsidR="005B09E5" w:rsidRPr="00B57B36" w14:paraId="5810C699" w14:textId="77777777" w:rsidTr="00B41AC5">
        <w:tc>
          <w:tcPr>
            <w:tcW w:w="2695" w:type="dxa"/>
            <w:shd w:val="clear" w:color="auto" w:fill="auto"/>
            <w:vAlign w:val="center"/>
          </w:tcPr>
          <w:p w14:paraId="4F6833E6" w14:textId="286ABDD5" w:rsidR="005B09E5" w:rsidRPr="00B57B36" w:rsidRDefault="005B09E5" w:rsidP="00B41AC5">
            <w:pPr>
              <w:pStyle w:val="CETEquation"/>
              <w:keepNext/>
              <w:jc w:val="both"/>
            </w:pPr>
            <m:oMathPara>
              <m:oMath>
                <m:r>
                  <w:rPr>
                    <w:rFonts w:ascii="Cambria Math" w:eastAsia="Calibri" w:hAnsi="Cambria Math"/>
                  </w:rPr>
                  <m:t>WCSS</m:t>
                </m:r>
                <m:r>
                  <m:rPr>
                    <m:sty m:val="p"/>
                  </m:rPr>
                  <w:rPr>
                    <w:rFonts w:ascii="Cambria Math" w:eastAsia="Calibri" w:hAnsi="Cambria Math"/>
                  </w:rPr>
                  <m:t xml:space="preserve">= </m:t>
                </m:r>
                <m:nary>
                  <m:naryPr>
                    <m:chr m:val="∑"/>
                    <m:limLoc m:val="undOvr"/>
                    <m:ctrlPr>
                      <w:rPr>
                        <w:rFonts w:ascii="Cambria Math" w:eastAsia="Calibri" w:hAnsi="Cambria Math"/>
                      </w:rPr>
                    </m:ctrlPr>
                  </m:naryPr>
                  <m:sub>
                    <m:r>
                      <w:rPr>
                        <w:rFonts w:ascii="Cambria Math" w:eastAsia="Calibri" w:hAnsi="Cambria Math"/>
                      </w:rPr>
                      <m:t>h</m:t>
                    </m:r>
                    <m:r>
                      <m:rPr>
                        <m:sty m:val="p"/>
                      </m:rPr>
                      <w:rPr>
                        <w:rFonts w:ascii="Cambria Math" w:eastAsia="Calibri" w:hAnsi="Cambria Math"/>
                      </w:rPr>
                      <m:t>=1</m:t>
                    </m:r>
                  </m:sub>
                  <m:sup>
                    <m:r>
                      <w:rPr>
                        <w:rFonts w:ascii="Cambria Math" w:eastAsia="Calibri" w:hAnsi="Cambria Math"/>
                      </w:rPr>
                      <m:t>k</m:t>
                    </m:r>
                  </m:sup>
                  <m:e>
                    <m:nary>
                      <m:naryPr>
                        <m:chr m:val="∑"/>
                        <m:limLoc m:val="subSup"/>
                        <m:supHide m:val="1"/>
                        <m:ctrlPr>
                          <w:rPr>
                            <w:rFonts w:ascii="Cambria Math" w:eastAsia="Calibri" w:hAnsi="Cambria Math"/>
                          </w:rPr>
                        </m:ctrlPr>
                      </m:naryPr>
                      <m:sub>
                        <m:r>
                          <w:rPr>
                            <w:rFonts w:ascii="Cambria Math" w:eastAsia="Calibri" w:hAnsi="Cambria Math"/>
                          </w:rPr>
                          <m:t>xi</m:t>
                        </m:r>
                        <m:r>
                          <m:rPr>
                            <m:sty m:val="p"/>
                          </m:rPr>
                          <w:rPr>
                            <w:rFonts w:ascii="Cambria Math" w:eastAsia="Calibri" w:hAnsi="Cambria Math"/>
                          </w:rPr>
                          <m:t>∈</m:t>
                        </m:r>
                        <m:r>
                          <w:rPr>
                            <w:rFonts w:ascii="Cambria Math" w:eastAsia="Calibri" w:hAnsi="Cambria Math"/>
                          </w:rPr>
                          <m:t>Ch</m:t>
                        </m:r>
                      </m:sub>
                      <m:sup/>
                      <m:e>
                        <m:r>
                          <w:rPr>
                            <w:rFonts w:ascii="Cambria Math" w:eastAsia="Calibri" w:hAnsi="Cambria Math"/>
                          </w:rPr>
                          <m:t>d</m:t>
                        </m:r>
                        <m:r>
                          <m:rPr>
                            <m:sty m:val="p"/>
                          </m:rPr>
                          <w:rPr>
                            <w:rFonts w:ascii="Cambria Math" w:eastAsia="Calibri" w:hAnsi="Cambria Math"/>
                          </w:rPr>
                          <m:t>(</m:t>
                        </m:r>
                        <m:r>
                          <w:rPr>
                            <w:rFonts w:ascii="Cambria Math" w:eastAsia="Calibri" w:hAnsi="Cambria Math"/>
                          </w:rPr>
                          <m:t>xi</m:t>
                        </m:r>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μ</m:t>
                            </m:r>
                          </m:e>
                          <m:sub>
                            <m:r>
                              <w:rPr>
                                <w:rFonts w:ascii="Cambria Math" w:eastAsia="Calibri" w:hAnsi="Cambria Math"/>
                              </w:rPr>
                              <m:t>h</m:t>
                            </m:r>
                          </m:sub>
                        </m:sSub>
                        <m:r>
                          <m:rPr>
                            <m:sty m:val="p"/>
                          </m:rPr>
                          <w:rPr>
                            <w:rFonts w:ascii="Cambria Math" w:eastAsia="Calibri" w:hAnsi="Cambria Math"/>
                          </w:rPr>
                          <m:t>)</m:t>
                        </m:r>
                      </m:e>
                    </m:nary>
                  </m:e>
                </m:nary>
              </m:oMath>
            </m:oMathPara>
          </w:p>
        </w:tc>
        <w:tc>
          <w:tcPr>
            <w:tcW w:w="6082" w:type="dxa"/>
            <w:shd w:val="clear" w:color="auto" w:fill="auto"/>
            <w:vAlign w:val="center"/>
          </w:tcPr>
          <w:p w14:paraId="6B9BEE45" w14:textId="77777777" w:rsidR="005B09E5" w:rsidRPr="00B57B36" w:rsidRDefault="005B09E5" w:rsidP="00B41AC5">
            <w:pPr>
              <w:pStyle w:val="CETEquation"/>
              <w:jc w:val="right"/>
            </w:pPr>
            <w:r w:rsidRPr="00B57B36">
              <w:t>(1)</w:t>
            </w:r>
          </w:p>
        </w:tc>
      </w:tr>
    </w:tbl>
    <w:p w14:paraId="169FCD67" w14:textId="5B62A65F" w:rsidR="005B09E5" w:rsidRPr="008E6472" w:rsidRDefault="005B09E5" w:rsidP="005B09E5">
      <w:pPr>
        <w:pStyle w:val="CETBodytext"/>
        <w:rPr>
          <w:rFonts w:eastAsia="MS Mincho"/>
          <w:lang w:eastAsia="ja-JP"/>
        </w:rPr>
      </w:pPr>
      <w:r>
        <w:t xml:space="preserve">where </w:t>
      </w:r>
      <m:oMath>
        <m:sSub>
          <m:sSubPr>
            <m:ctrlPr>
              <w:rPr>
                <w:rFonts w:ascii="Cambria Math" w:eastAsia="Calibri" w:hAnsi="Cambria Math"/>
              </w:rPr>
            </m:ctrlPr>
          </m:sSubPr>
          <m:e>
            <m:r>
              <w:rPr>
                <w:rFonts w:ascii="Cambria Math" w:eastAsia="Calibri" w:hAnsi="Cambria Math"/>
              </w:rPr>
              <m:t>C</m:t>
            </m:r>
          </m:e>
          <m:sub>
            <m:r>
              <w:rPr>
                <w:rFonts w:ascii="Cambria Math" w:eastAsia="Calibri" w:hAnsi="Cambria Math"/>
              </w:rPr>
              <m:t>h</m:t>
            </m:r>
          </m:sub>
        </m:sSub>
      </m:oMath>
      <w:r>
        <w:t xml:space="preserve"> is the </w:t>
      </w:r>
      <m:oMath>
        <m:r>
          <w:rPr>
            <w:rFonts w:ascii="Cambria Math" w:eastAsia="Calibri" w:hAnsi="Cambria Math"/>
          </w:rPr>
          <m:t>h</m:t>
        </m:r>
      </m:oMath>
      <w:r>
        <w:t xml:space="preserve">-th cluster, and </w:t>
      </w:r>
      <m:oMath>
        <m:sSub>
          <m:sSubPr>
            <m:ctrlPr>
              <w:rPr>
                <w:rFonts w:ascii="Cambria Math" w:eastAsia="Calibri" w:hAnsi="Cambria Math"/>
              </w:rPr>
            </m:ctrlPr>
          </m:sSubPr>
          <m:e>
            <m:r>
              <w:rPr>
                <w:rFonts w:ascii="Cambria Math" w:eastAsia="Calibri" w:hAnsi="Cambria Math"/>
              </w:rPr>
              <m:t>μ</m:t>
            </m:r>
          </m:e>
          <m:sub>
            <m:r>
              <w:rPr>
                <w:rFonts w:ascii="Cambria Math" w:eastAsia="Calibri" w:hAnsi="Cambria Math"/>
              </w:rPr>
              <m:t>h</m:t>
            </m:r>
          </m:sub>
        </m:sSub>
      </m:oMath>
      <w:r>
        <w:t xml:space="preserve"> is the centroid</w:t>
      </w:r>
      <w:r w:rsidR="00F62430">
        <w:t xml:space="preserve"> of the </w:t>
      </w:r>
      <m:oMath>
        <m:r>
          <w:rPr>
            <w:rFonts w:ascii="Cambria Math" w:eastAsia="Calibri" w:hAnsi="Cambria Math"/>
          </w:rPr>
          <m:t>h</m:t>
        </m:r>
      </m:oMath>
      <w:r w:rsidR="00F62430">
        <w:t>-th cluster</w:t>
      </w:r>
      <w:r>
        <w:t>.</w:t>
      </w:r>
    </w:p>
    <w:p w14:paraId="0B979887" w14:textId="24B9FC5A" w:rsidR="005B09E5" w:rsidRDefault="005B09E5" w:rsidP="005B09E5">
      <w:pPr>
        <w:pStyle w:val="CETBodytext"/>
      </w:pPr>
      <w:r>
        <w:t xml:space="preserve">The algorithm begins by randomly defining </w:t>
      </w:r>
      <m:oMath>
        <m:r>
          <w:rPr>
            <w:rFonts w:ascii="Cambria Math" w:eastAsia="Calibri" w:hAnsi="Cambria Math"/>
          </w:rPr>
          <m:t>k</m:t>
        </m:r>
      </m:oMath>
      <w:r>
        <w:t xml:space="preserve"> centroids in the feature space, each associated with a cluster. Patterns are then assigned to the nearest centroid using the Euclidean distance</w:t>
      </w:r>
      <w:r w:rsidR="00FE2644">
        <w:t xml:space="preserve"> </w:t>
      </w:r>
      <m:oMath>
        <m:r>
          <w:rPr>
            <w:rFonts w:ascii="Cambria Math" w:eastAsia="Calibri" w:hAnsi="Cambria Math"/>
          </w:rPr>
          <m:t>d</m:t>
        </m:r>
        <m:r>
          <m:rPr>
            <m:sty m:val="p"/>
          </m:rPr>
          <w:rPr>
            <w:rFonts w:ascii="Cambria Math" w:eastAsia="Calibri" w:hAnsi="Cambria Math"/>
          </w:rPr>
          <m:t>(</m:t>
        </m:r>
        <m:r>
          <w:rPr>
            <w:rFonts w:ascii="Cambria Math" w:eastAsia="Calibri" w:hAnsi="Cambria Math"/>
          </w:rPr>
          <m:t>xi</m:t>
        </m:r>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μ</m:t>
            </m:r>
          </m:e>
          <m:sub>
            <m:r>
              <w:rPr>
                <w:rFonts w:ascii="Cambria Math" w:eastAsia="Calibri" w:hAnsi="Cambria Math"/>
              </w:rPr>
              <m:t>h</m:t>
            </m:r>
          </m:sub>
        </m:sSub>
        <m:r>
          <w:rPr>
            <w:rFonts w:ascii="Cambria Math" w:eastAsia="Calibri" w:hAnsi="Cambria Math"/>
          </w:rPr>
          <m:t>)</m:t>
        </m:r>
      </m:oMath>
      <w:r>
        <w:t xml:space="preserve">. Subsequently, each </w:t>
      </w:r>
      <w:r>
        <w:lastRenderedPageBreak/>
        <w:t>centroid is recalculated as the mean of observations in the cluster. These steps repeat until no new assignments occur, meaning that WCSS converges to a local minimum.</w:t>
      </w:r>
    </w:p>
    <w:p w14:paraId="51C317AF" w14:textId="6900D950" w:rsidR="005B09E5" w:rsidRPr="008E6472" w:rsidRDefault="005B09E5" w:rsidP="005B09E5">
      <w:pPr>
        <w:pStyle w:val="CETBodytext"/>
        <w:rPr>
          <w:rFonts w:eastAsia="MS Mincho"/>
          <w:lang w:eastAsia="ja-JP"/>
        </w:rPr>
      </w:pPr>
      <w:r>
        <w:t xml:space="preserve">The number </w:t>
      </w:r>
      <m:oMath>
        <m:r>
          <w:rPr>
            <w:rFonts w:ascii="Cambria Math" w:eastAsia="Calibri" w:hAnsi="Cambria Math"/>
          </w:rPr>
          <m:t>k</m:t>
        </m:r>
      </m:oMath>
      <w:r>
        <w:t xml:space="preserve"> of clusters is a hyperparameter to be estimated. An iterative approach is adopted to define the optimal number of clusters (</w:t>
      </w:r>
      <m:oMath>
        <m:r>
          <w:rPr>
            <w:rFonts w:ascii="Cambria Math" w:eastAsia="Calibri" w:hAnsi="Cambria Math"/>
          </w:rPr>
          <m:t>k</m:t>
        </m:r>
      </m:oMath>
      <w:r>
        <w:t xml:space="preserve">): different values of </w:t>
      </w:r>
      <m:oMath>
        <m:r>
          <w:rPr>
            <w:rFonts w:ascii="Cambria Math" w:eastAsia="Calibri" w:hAnsi="Cambria Math"/>
          </w:rPr>
          <m:t>k</m:t>
        </m:r>
      </m:oMath>
      <w:r>
        <w:t xml:space="preserve"> are assigned, ensuring through a visual analysis well-defined, non-overlapping clusters with sufficiently separated centroids</w:t>
      </w:r>
      <w:r w:rsidR="00D73311">
        <w:t xml:space="preserve"> (</w:t>
      </w:r>
      <w:proofErr w:type="spellStart"/>
      <w:r w:rsidR="00D73311">
        <w:t>Chokor</w:t>
      </w:r>
      <w:proofErr w:type="spellEnd"/>
      <w:r w:rsidR="00D73311">
        <w:t xml:space="preserve"> et al. 2016).</w:t>
      </w:r>
    </w:p>
    <w:p w14:paraId="44706798" w14:textId="77777777" w:rsidR="005B09E5" w:rsidRDefault="005B09E5" w:rsidP="005B09E5">
      <w:pPr>
        <w:pStyle w:val="CETheadingx"/>
      </w:pPr>
      <w:r>
        <w:t xml:space="preserve"> Bayesian Network</w:t>
      </w:r>
    </w:p>
    <w:p w14:paraId="274315F3" w14:textId="58501476" w:rsidR="005B09E5" w:rsidRDefault="005B09E5" w:rsidP="005B09E5">
      <w:pPr>
        <w:pStyle w:val="CETBodytext"/>
      </w:pPr>
      <w:r>
        <w:t xml:space="preserve">A Bayesian Network serves as a probabilistic graphical model that visually represents causal relationships among variables through a Directed Acyclic Graph (DAG) (Cui et al., 2024). </w:t>
      </w:r>
      <w:r w:rsidRPr="00F328D9">
        <w:t xml:space="preserve">Within this network, nodes are </w:t>
      </w:r>
      <w:proofErr w:type="spellStart"/>
      <w:r w:rsidRPr="00F328D9">
        <w:t>categori</w:t>
      </w:r>
      <w:r>
        <w:t>s</w:t>
      </w:r>
      <w:r w:rsidRPr="00F328D9">
        <w:t>ed</w:t>
      </w:r>
      <w:proofErr w:type="spellEnd"/>
      <w:r w:rsidRPr="00F328D9">
        <w:t xml:space="preserve"> into parent nodes and child nodes, each serving distinct roles</w:t>
      </w:r>
      <w:r>
        <w:t>.</w:t>
      </w:r>
      <w:r w:rsidR="00084D90">
        <w:t xml:space="preserve"> T</w:t>
      </w:r>
      <w:r w:rsidR="00084D90" w:rsidRPr="00084D90">
        <w:t xml:space="preserve">he term </w:t>
      </w:r>
      <w:r w:rsidR="007B35D7">
        <w:t>‘</w:t>
      </w:r>
      <w:r w:rsidR="00084D90" w:rsidRPr="00084D90">
        <w:t>parents</w:t>
      </w:r>
      <w:r w:rsidR="007B35D7">
        <w:t>’</w:t>
      </w:r>
      <w:r w:rsidR="00084D90" w:rsidRPr="00084D90">
        <w:t xml:space="preserve"> is attributed to the nodes from which the arcs are directed, whereas the nodes with arcs directed into are referred to as </w:t>
      </w:r>
      <w:r w:rsidR="007B35D7">
        <w:t>‘</w:t>
      </w:r>
      <w:r w:rsidR="00084D90" w:rsidRPr="00084D90">
        <w:t>children</w:t>
      </w:r>
      <w:r w:rsidR="007B35D7">
        <w:t>’</w:t>
      </w:r>
      <w:r w:rsidR="00084D90" w:rsidRPr="00084D90">
        <w:t xml:space="preserve">. Eventually, nodes with no parents are called </w:t>
      </w:r>
      <w:r w:rsidR="007B35D7">
        <w:t>‘</w:t>
      </w:r>
      <w:r w:rsidR="00084D90" w:rsidRPr="00084D90">
        <w:t>root nodes</w:t>
      </w:r>
      <w:r w:rsidR="007B35D7">
        <w:t>’</w:t>
      </w:r>
      <w:r w:rsidR="00084D90" w:rsidRPr="00084D90">
        <w:t xml:space="preserve">, while </w:t>
      </w:r>
      <w:r w:rsidR="007B35D7">
        <w:t>‘</w:t>
      </w:r>
      <w:r w:rsidR="00084D90" w:rsidRPr="00084D90">
        <w:t>leaf nodes</w:t>
      </w:r>
      <w:r w:rsidR="007B35D7">
        <w:t xml:space="preserve">’ </w:t>
      </w:r>
      <w:r w:rsidR="00084D90" w:rsidRPr="00084D90">
        <w:t>is used to indicate nodes with no children.</w:t>
      </w:r>
      <w:r>
        <w:t xml:space="preserve"> </w:t>
      </w:r>
      <w:r w:rsidRPr="00F328D9">
        <w:t>The edges connecting nodes illustrate the causal dependencies between them</w:t>
      </w:r>
      <w:r>
        <w:t>. The application of Bayesian Networks consists of two phases: establishing the network structure and calculating probabilities for each node.</w:t>
      </w:r>
    </w:p>
    <w:p w14:paraId="53ADDC0D" w14:textId="609DBDE2" w:rsidR="005B09E5" w:rsidRPr="008E6472" w:rsidRDefault="005B09E5" w:rsidP="005B09E5">
      <w:pPr>
        <w:pStyle w:val="CETBodytext"/>
        <w:rPr>
          <w:rFonts w:eastAsia="MS Mincho"/>
          <w:lang w:eastAsia="ja-JP"/>
        </w:rPr>
      </w:pPr>
      <w:r>
        <w:t xml:space="preserve">In this study, a multi-technique approach is adopted to determine the structure of the Bayesian Network due to the complexity of the data and the need to mitigate the limitations of individual analytical techniques. The dataset presents various challenges, such as the presence of textual variables and the complex relationships between them. Specifically, Pearson’s Chi-Squared Test </w:t>
      </w:r>
      <w:r w:rsidR="00697BD4">
        <w:t xml:space="preserve">(Turhan et al., 2020) </w:t>
      </w:r>
      <w:r>
        <w:t>and Information Gain</w:t>
      </w:r>
      <w:r w:rsidR="00697BD4">
        <w:t xml:space="preserve"> (Qu et al., 2023)</w:t>
      </w:r>
      <w:r>
        <w:t xml:space="preserve"> are employed for feature selection and creating the Bayesian Network structure. Pearson’s chi-square test examines relationships in data that can be into a contingency table that displays the frequency distribution for two categorical variables. Then, the test compares the observed frequencies in the table to the frequencies that would be expected under the assumption of independence between the variables. </w:t>
      </w:r>
      <w:r w:rsidRPr="008B1F58">
        <w:t>The Information Gain</w:t>
      </w:r>
      <w:r>
        <w:t xml:space="preserve"> technique</w:t>
      </w:r>
      <w:r w:rsidRPr="008B1F58">
        <w:t xml:space="preserve"> </w:t>
      </w:r>
      <w:r>
        <w:t>consists</w:t>
      </w:r>
      <w:r w:rsidRPr="008B1F58">
        <w:t xml:space="preserve"> </w:t>
      </w:r>
      <w:r>
        <w:t>of constructing</w:t>
      </w:r>
      <w:r w:rsidRPr="008B1F58">
        <w:t xml:space="preserve"> a graph with weighted edges where the graph nodes correspond to the </w:t>
      </w:r>
      <w:r>
        <w:t xml:space="preserve">incident features </w:t>
      </w:r>
      <w:r w:rsidRPr="008B1F58">
        <w:t>of the dataset.</w:t>
      </w:r>
      <w:r>
        <w:t xml:space="preserve"> The stronger the value shown in the edges, the stronger the node relationships. This approach facilitated the establishment of a reliable Bayesian network structure and </w:t>
      </w:r>
      <w:proofErr w:type="spellStart"/>
      <w:r>
        <w:t>minimised</w:t>
      </w:r>
      <w:proofErr w:type="spellEnd"/>
      <w:r>
        <w:t xml:space="preserve"> the risk of identifying relationships between columns that do not reflect reality.</w:t>
      </w:r>
    </w:p>
    <w:p w14:paraId="4FDFB138" w14:textId="77777777" w:rsidR="005B09E5" w:rsidRDefault="005B09E5" w:rsidP="005B09E5">
      <w:pPr>
        <w:pStyle w:val="CETBodytext"/>
      </w:pPr>
      <w:r>
        <w:t>Determining the probability of parent nodes in Bayesian networks relies on calculating the frequency of appearance of the word corresponding to the state in the column under consideration, divided by the total number of words in the same column. This approach is reasonable when dealing with variables that are independent of other factors within the system.</w:t>
      </w:r>
    </w:p>
    <w:p w14:paraId="539E8AA8" w14:textId="57530353" w:rsidR="005B09E5" w:rsidRDefault="00D73311" w:rsidP="007B35D7">
      <w:pPr>
        <w:pStyle w:val="CETBodytext"/>
      </w:pPr>
      <w:r>
        <w:t>Finally, t</w:t>
      </w:r>
      <w:r w:rsidR="005B09E5">
        <w:t>he conditioned probabilities of the states of child nodes are calculated using Conditional Probability Tables (CPTs), which are used in Bayesian networks to represent the probabilistic relationships between a child node and its parent nodes (Chen et al., 2012).</w:t>
      </w:r>
      <w:r w:rsidR="007B35D7">
        <w:t xml:space="preserve"> CPTs specify the degree of belief (expressed as probabilities) that the </w:t>
      </w:r>
      <w:r w:rsidR="000E20EB">
        <w:t xml:space="preserve">child </w:t>
      </w:r>
      <w:r w:rsidR="007B35D7">
        <w:t>node will be in a particular state given the states of the parent nodes</w:t>
      </w:r>
      <w:r w:rsidR="000E20EB">
        <w:t>.</w:t>
      </w:r>
    </w:p>
    <w:p w14:paraId="043A3CA8" w14:textId="77777777" w:rsidR="005B09E5" w:rsidRDefault="005B09E5" w:rsidP="005B09E5">
      <w:pPr>
        <w:pStyle w:val="CETHeading1"/>
        <w:rPr>
          <w:lang w:val="en-GB"/>
        </w:rPr>
      </w:pPr>
      <w:r>
        <w:rPr>
          <w:lang w:val="en-GB"/>
        </w:rPr>
        <w:t>Results and discussion</w:t>
      </w:r>
    </w:p>
    <w:p w14:paraId="4935A28B" w14:textId="1E8A6F8E" w:rsidR="005B09E5" w:rsidRPr="008E6472" w:rsidRDefault="00BA0199" w:rsidP="005B09E5">
      <w:pPr>
        <w:pStyle w:val="CETBodytext"/>
        <w:rPr>
          <w:rFonts w:eastAsia="MS Mincho"/>
          <w:lang w:val="en-GB" w:eastAsia="ja-JP"/>
        </w:rPr>
      </w:pPr>
      <w:r>
        <w:t>The selection of the incidents with at least one safety barrier</w:t>
      </w:r>
      <w:r w:rsidR="005B09E5">
        <w:t xml:space="preserve"> resulted in a significant reduction in the total number of </w:t>
      </w:r>
      <w:r>
        <w:t>records</w:t>
      </w:r>
      <w:r w:rsidR="005B09E5">
        <w:t xml:space="preserve"> from 746 to 126. Then, </w:t>
      </w:r>
      <w:r w:rsidR="005B09E5">
        <w:rPr>
          <w:lang w:val="en-GB"/>
        </w:rPr>
        <w:t>k</w:t>
      </w:r>
      <w:r w:rsidR="005B09E5" w:rsidRPr="00A14353">
        <w:rPr>
          <w:lang w:val="en-GB"/>
        </w:rPr>
        <w:t>-</w:t>
      </w:r>
      <w:r w:rsidR="005B09E5">
        <w:rPr>
          <w:lang w:val="en-GB"/>
        </w:rPr>
        <w:t>m</w:t>
      </w:r>
      <w:r w:rsidR="005B09E5" w:rsidRPr="00A14353">
        <w:rPr>
          <w:lang w:val="en-GB"/>
        </w:rPr>
        <w:t>eans clustering facilitated the grouping of incidents based on common characteristics</w:t>
      </w:r>
      <w:r w:rsidR="005B09E5">
        <w:rPr>
          <w:lang w:val="en-GB"/>
        </w:rPr>
        <w:t xml:space="preserve">; </w:t>
      </w:r>
      <w:r w:rsidR="005B09E5" w:rsidRPr="00A14353">
        <w:rPr>
          <w:lang w:val="en-GB"/>
        </w:rPr>
        <w:t xml:space="preserve">the optimal number of clusters </w:t>
      </w:r>
      <w:r w:rsidR="005B09E5">
        <w:rPr>
          <w:lang w:val="en-GB"/>
        </w:rPr>
        <w:t>was</w:t>
      </w:r>
      <w:r w:rsidR="005B09E5" w:rsidRPr="00A14353">
        <w:rPr>
          <w:lang w:val="en-GB"/>
        </w:rPr>
        <w:t xml:space="preserve"> three</w:t>
      </w:r>
      <w:r w:rsidR="005B09E5">
        <w:rPr>
          <w:lang w:val="en-GB"/>
        </w:rPr>
        <w:t>, as shown in Figure 2a.</w:t>
      </w:r>
    </w:p>
    <w:p w14:paraId="29A97A1A" w14:textId="6EC08978" w:rsidR="005B09E5" w:rsidRDefault="005B09E5" w:rsidP="005B09E5">
      <w:pPr>
        <w:pStyle w:val="CETBodytext"/>
      </w:pPr>
      <w:r>
        <w:rPr>
          <w:lang w:val="en-GB"/>
        </w:rPr>
        <w:t>Figure 2b shows, as an example, the Word Cloud created for Cluster 0. The Word Clouds enable</w:t>
      </w:r>
      <w:r w:rsidR="00D73311">
        <w:rPr>
          <w:lang w:val="en-GB"/>
        </w:rPr>
        <w:t>d the identification of</w:t>
      </w:r>
      <w:r>
        <w:rPr>
          <w:lang w:val="en-GB"/>
        </w:rPr>
        <w:t xml:space="preserve"> the most</w:t>
      </w:r>
      <w:r w:rsidRPr="00A14353">
        <w:rPr>
          <w:lang w:val="en-GB"/>
        </w:rPr>
        <w:t xml:space="preserve"> recurrent and distinctive incident features for each group based on the frequency of word appearances. In detail</w:t>
      </w:r>
      <w:r>
        <w:rPr>
          <w:lang w:val="en-GB"/>
        </w:rPr>
        <w:t>, Word Clouds show</w:t>
      </w:r>
      <w:r w:rsidR="00D73311">
        <w:rPr>
          <w:lang w:val="en-GB"/>
        </w:rPr>
        <w:t>ed</w:t>
      </w:r>
      <w:r>
        <w:rPr>
          <w:lang w:val="en-GB"/>
        </w:rPr>
        <w:t xml:space="preserve"> that</w:t>
      </w:r>
      <w:r w:rsidRPr="00A14353">
        <w:rPr>
          <w:lang w:val="en-GB"/>
        </w:rPr>
        <w:t xml:space="preserve"> cluster 0 is predominantly associated with toxic releases </w:t>
      </w:r>
      <w:r>
        <w:rPr>
          <w:lang w:val="en-GB"/>
        </w:rPr>
        <w:t xml:space="preserve">of </w:t>
      </w:r>
      <w:r w:rsidRPr="00A14353">
        <w:rPr>
          <w:lang w:val="en-GB"/>
        </w:rPr>
        <w:t>chlorine</w:t>
      </w:r>
      <w:r>
        <w:rPr>
          <w:lang w:val="en-GB"/>
        </w:rPr>
        <w:t xml:space="preserve"> and ammonia</w:t>
      </w:r>
      <w:r w:rsidRPr="00A14353">
        <w:rPr>
          <w:lang w:val="en-GB"/>
        </w:rPr>
        <w:t xml:space="preserve"> involving shutdown procedures. Cluster 1 focuses on flammable compounds, particularly liquid hydrocarbons, with </w:t>
      </w:r>
      <w:r>
        <w:rPr>
          <w:lang w:val="en-GB"/>
        </w:rPr>
        <w:t xml:space="preserve">the </w:t>
      </w:r>
      <w:r w:rsidRPr="00A14353">
        <w:rPr>
          <w:lang w:val="en-GB"/>
        </w:rPr>
        <w:t xml:space="preserve">involvement of secondary containment. Finally, </w:t>
      </w:r>
      <w:r>
        <w:rPr>
          <w:lang w:val="en-GB"/>
        </w:rPr>
        <w:t>C</w:t>
      </w:r>
      <w:r w:rsidRPr="00A14353">
        <w:rPr>
          <w:lang w:val="en-GB"/>
        </w:rPr>
        <w:t>luster 2 pertains to relief valves in the Chemical and Petrochemical sector.</w:t>
      </w:r>
    </w:p>
    <w:p w14:paraId="65BDF57C" w14:textId="10AF0A2B" w:rsidR="005B09E5" w:rsidRPr="00A14353" w:rsidRDefault="005B09E5" w:rsidP="005B09E5">
      <w:pPr>
        <w:pStyle w:val="CETBodytext"/>
        <w:rPr>
          <w:lang w:val="en-GB"/>
        </w:rPr>
      </w:pPr>
      <w:r w:rsidRPr="00A14353">
        <w:rPr>
          <w:lang w:val="en-GB"/>
        </w:rPr>
        <w:t>The centroids of each cluster were also characteri</w:t>
      </w:r>
      <w:r>
        <w:rPr>
          <w:lang w:val="en-GB"/>
        </w:rPr>
        <w:t>s</w:t>
      </w:r>
      <w:r w:rsidRPr="00A14353">
        <w:rPr>
          <w:lang w:val="en-GB"/>
        </w:rPr>
        <w:t>ed by analysing the word frequency relative to each incident feature. In this way</w:t>
      </w:r>
      <w:r w:rsidR="00A954A4">
        <w:rPr>
          <w:lang w:val="en-GB"/>
        </w:rPr>
        <w:t>, one fictitious</w:t>
      </w:r>
      <w:r>
        <w:rPr>
          <w:lang w:val="en-GB"/>
        </w:rPr>
        <w:t xml:space="preserve"> incident for each cluster was </w:t>
      </w:r>
      <w:r w:rsidR="00A954A4">
        <w:rPr>
          <w:lang w:val="en-GB"/>
        </w:rPr>
        <w:t>defin</w:t>
      </w:r>
      <w:r>
        <w:rPr>
          <w:lang w:val="en-GB"/>
        </w:rPr>
        <w:t xml:space="preserve">ed, representing the combination of the most </w:t>
      </w:r>
      <w:r w:rsidRPr="00A14353">
        <w:rPr>
          <w:lang w:val="en-GB"/>
        </w:rPr>
        <w:t>frequent incident characteristics within the cluster.</w:t>
      </w:r>
    </w:p>
    <w:p w14:paraId="437F7F2C" w14:textId="0456ED0F" w:rsidR="005B09E5" w:rsidRPr="00A14353" w:rsidRDefault="005B09E5" w:rsidP="005B09E5">
      <w:pPr>
        <w:pStyle w:val="CETBodytext"/>
        <w:rPr>
          <w:lang w:val="en-GB"/>
        </w:rPr>
      </w:pPr>
      <w:r w:rsidRPr="00A14353">
        <w:rPr>
          <w:lang w:val="en-GB"/>
        </w:rPr>
        <w:tab/>
        <w:t xml:space="preserve">The incident </w:t>
      </w:r>
      <w:r w:rsidR="00A954A4">
        <w:rPr>
          <w:lang w:val="en-GB"/>
        </w:rPr>
        <w:t>built</w:t>
      </w:r>
      <w:r w:rsidRPr="00A14353">
        <w:rPr>
          <w:lang w:val="en-GB"/>
        </w:rPr>
        <w:t xml:space="preserve"> through the characteri</w:t>
      </w:r>
      <w:r>
        <w:rPr>
          <w:lang w:val="en-GB"/>
        </w:rPr>
        <w:t>s</w:t>
      </w:r>
      <w:r w:rsidRPr="00A14353">
        <w:rPr>
          <w:lang w:val="en-GB"/>
        </w:rPr>
        <w:t xml:space="preserve">ation of the centroid of </w:t>
      </w:r>
      <w:r>
        <w:rPr>
          <w:lang w:val="en-GB"/>
        </w:rPr>
        <w:t>C</w:t>
      </w:r>
      <w:r w:rsidRPr="00A14353">
        <w:rPr>
          <w:lang w:val="en-GB"/>
        </w:rPr>
        <w:t>luster 0 is a release of toxic gas, specifically ammonia and ammonium-based substances, occurring in the chemical and petrochemical sector.</w:t>
      </w:r>
      <w:r>
        <w:rPr>
          <w:lang w:val="en-GB"/>
        </w:rPr>
        <w:t xml:space="preserve"> </w:t>
      </w:r>
      <w:r w:rsidRPr="00A14353">
        <w:rPr>
          <w:lang w:val="en-GB"/>
        </w:rPr>
        <w:t>This incident involves</w:t>
      </w:r>
      <w:r>
        <w:rPr>
          <w:lang w:val="en-GB"/>
        </w:rPr>
        <w:t xml:space="preserve"> an </w:t>
      </w:r>
      <w:r w:rsidRPr="00A14353">
        <w:rPr>
          <w:lang w:val="en-GB"/>
        </w:rPr>
        <w:t>effective</w:t>
      </w:r>
      <w:r>
        <w:rPr>
          <w:lang w:val="en-GB"/>
        </w:rPr>
        <w:t xml:space="preserve"> shutdown procedur</w:t>
      </w:r>
      <w:r w:rsidRPr="00A14353">
        <w:rPr>
          <w:lang w:val="en-GB"/>
        </w:rPr>
        <w:t xml:space="preserve">e, with the implication of one or more valves as </w:t>
      </w:r>
      <w:r>
        <w:rPr>
          <w:lang w:val="en-GB"/>
        </w:rPr>
        <w:t>crucial</w:t>
      </w:r>
      <w:r w:rsidRPr="00A14353">
        <w:rPr>
          <w:lang w:val="en-GB"/>
        </w:rPr>
        <w:t xml:space="preserve"> equipment.</w:t>
      </w:r>
    </w:p>
    <w:p w14:paraId="0D3E8EC2" w14:textId="77777777" w:rsidR="005B09E5" w:rsidRDefault="005B09E5" w:rsidP="005B09E5">
      <w:pPr>
        <w:pStyle w:val="CETBodytext"/>
        <w:rPr>
          <w:lang w:val="en-GB"/>
        </w:rPr>
      </w:pPr>
      <w:r w:rsidRPr="00A14353">
        <w:rPr>
          <w:lang w:val="en-GB"/>
        </w:rPr>
        <w:t xml:space="preserve">In the case of </w:t>
      </w:r>
      <w:r>
        <w:rPr>
          <w:lang w:val="en-GB"/>
        </w:rPr>
        <w:t>C</w:t>
      </w:r>
      <w:r w:rsidRPr="00A14353">
        <w:rPr>
          <w:lang w:val="en-GB"/>
        </w:rPr>
        <w:t>luster 1, the identified incident is a near miss involving flammable hydrocarbon liquid, namely fuel oil. The safety barrier involved is secondary containment, which has proven effective. The equipment involved in this case includes a tank and a pipework.</w:t>
      </w:r>
    </w:p>
    <w:p w14:paraId="6835480E" w14:textId="5F1A1CA6" w:rsidR="00B5677B" w:rsidRPr="001768FB" w:rsidRDefault="00B5677B" w:rsidP="005B09E5">
      <w:pPr>
        <w:pStyle w:val="CETBodytext"/>
        <w:rPr>
          <w:lang w:val="en-GB"/>
        </w:rPr>
      </w:pPr>
      <w:r w:rsidRPr="00A14353">
        <w:rPr>
          <w:lang w:val="en-GB"/>
        </w:rPr>
        <w:t xml:space="preserve">The incident identified by </w:t>
      </w:r>
      <w:r>
        <w:rPr>
          <w:lang w:val="en-GB"/>
        </w:rPr>
        <w:t>C</w:t>
      </w:r>
      <w:r w:rsidRPr="00A14353">
        <w:rPr>
          <w:lang w:val="en-GB"/>
        </w:rPr>
        <w:t>luster 2 is a release of methane involving an effective relief valve. The equipment involved in this case includes a tank and a valve.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5B09E5" w:rsidRPr="00B750FA" w14:paraId="7F6E9B4B" w14:textId="77777777" w:rsidTr="00B41AC5">
        <w:trPr>
          <w:jc w:val="center"/>
        </w:trPr>
        <w:tc>
          <w:tcPr>
            <w:tcW w:w="4388" w:type="dxa"/>
            <w:vAlign w:val="center"/>
          </w:tcPr>
          <w:p w14:paraId="33F75ECD" w14:textId="77777777" w:rsidR="005B09E5" w:rsidRPr="00B750FA" w:rsidRDefault="005B09E5" w:rsidP="00B41AC5">
            <w:pPr>
              <w:pStyle w:val="CETBodytext"/>
              <w:spacing w:before="240" w:after="240"/>
              <w:jc w:val="center"/>
            </w:pPr>
            <w:r w:rsidRPr="009D44A7">
              <w:rPr>
                <w:noProof/>
              </w:rPr>
              <w:lastRenderedPageBreak/>
              <w:drawing>
                <wp:inline distT="0" distB="0" distL="0" distR="0" wp14:anchorId="7BE61A02" wp14:editId="4580C705">
                  <wp:extent cx="2700000" cy="1915440"/>
                  <wp:effectExtent l="0" t="0" r="5715" b="8890"/>
                  <wp:docPr id="1751452579" name="Picture 175145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0" cy="1915440"/>
                          </a:xfrm>
                          <a:prstGeom prst="rect">
                            <a:avLst/>
                          </a:prstGeom>
                          <a:noFill/>
                          <a:ln>
                            <a:noFill/>
                          </a:ln>
                        </pic:spPr>
                      </pic:pic>
                    </a:graphicData>
                  </a:graphic>
                </wp:inline>
              </w:drawing>
            </w:r>
          </w:p>
        </w:tc>
        <w:tc>
          <w:tcPr>
            <w:tcW w:w="4389" w:type="dxa"/>
            <w:vAlign w:val="center"/>
          </w:tcPr>
          <w:p w14:paraId="33FCAC66" w14:textId="77777777" w:rsidR="005B09E5" w:rsidRPr="00B750FA" w:rsidRDefault="005B09E5" w:rsidP="00B41AC5">
            <w:pPr>
              <w:pStyle w:val="CETBodytext"/>
              <w:spacing w:before="240" w:after="240"/>
              <w:jc w:val="center"/>
            </w:pPr>
            <w:r w:rsidRPr="009D44A7">
              <w:rPr>
                <w:noProof/>
              </w:rPr>
              <w:drawing>
                <wp:inline distT="0" distB="0" distL="0" distR="0" wp14:anchorId="785FF43D" wp14:editId="1429B7CE">
                  <wp:extent cx="2700000" cy="1464176"/>
                  <wp:effectExtent l="0" t="0" r="5715" b="3175"/>
                  <wp:docPr id="1443204776" name="Picture 144320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0000" cy="1464176"/>
                          </a:xfrm>
                          <a:prstGeom prst="rect">
                            <a:avLst/>
                          </a:prstGeom>
                          <a:noFill/>
                          <a:ln>
                            <a:noFill/>
                          </a:ln>
                        </pic:spPr>
                      </pic:pic>
                    </a:graphicData>
                  </a:graphic>
                </wp:inline>
              </w:drawing>
            </w:r>
          </w:p>
        </w:tc>
      </w:tr>
      <w:tr w:rsidR="005B09E5" w:rsidRPr="00B750FA" w14:paraId="53EEF415" w14:textId="77777777" w:rsidTr="00B41AC5">
        <w:trPr>
          <w:jc w:val="center"/>
        </w:trPr>
        <w:tc>
          <w:tcPr>
            <w:tcW w:w="4388" w:type="dxa"/>
            <w:vAlign w:val="center"/>
          </w:tcPr>
          <w:p w14:paraId="51488F12" w14:textId="77777777" w:rsidR="005B09E5" w:rsidRPr="00B750FA" w:rsidRDefault="005B09E5" w:rsidP="00B41AC5">
            <w:pPr>
              <w:pStyle w:val="CETBodytext"/>
              <w:spacing w:before="240" w:after="240"/>
              <w:jc w:val="center"/>
              <w:rPr>
                <w:noProof/>
              </w:rPr>
            </w:pPr>
            <w:r w:rsidRPr="00B750FA">
              <w:rPr>
                <w:noProof/>
              </w:rPr>
              <w:t>(a)</w:t>
            </w:r>
          </w:p>
        </w:tc>
        <w:tc>
          <w:tcPr>
            <w:tcW w:w="4389" w:type="dxa"/>
            <w:vAlign w:val="center"/>
          </w:tcPr>
          <w:p w14:paraId="67A58512" w14:textId="77777777" w:rsidR="005B09E5" w:rsidRPr="00B750FA" w:rsidRDefault="005B09E5" w:rsidP="00B41AC5">
            <w:pPr>
              <w:pStyle w:val="CETBodytext"/>
              <w:spacing w:before="240" w:after="240"/>
              <w:jc w:val="center"/>
              <w:rPr>
                <w:noProof/>
              </w:rPr>
            </w:pPr>
            <w:r w:rsidRPr="00B750FA">
              <w:rPr>
                <w:noProof/>
              </w:rPr>
              <w:t>(b)</w:t>
            </w:r>
          </w:p>
        </w:tc>
      </w:tr>
    </w:tbl>
    <w:p w14:paraId="11169CBA" w14:textId="77777777" w:rsidR="005B09E5" w:rsidRPr="00A14353" w:rsidRDefault="005B09E5" w:rsidP="005B09E5">
      <w:pPr>
        <w:pStyle w:val="CETCaption"/>
        <w:spacing w:before="0"/>
      </w:pPr>
      <w:r>
        <w:t>Figure 2: (a) Visual analysis determining 3 as the optimal k value.</w:t>
      </w:r>
      <w:r w:rsidRPr="0004110B">
        <w:t xml:space="preserve"> </w:t>
      </w:r>
      <w:r>
        <w:t>(b) Word cloud representing Cluster 0.</w:t>
      </w:r>
      <w:r w:rsidRPr="00A14353">
        <w:tab/>
      </w:r>
    </w:p>
    <w:p w14:paraId="011143F0" w14:textId="3FE65601" w:rsidR="005B09E5" w:rsidRPr="008E6472" w:rsidRDefault="005B09E5" w:rsidP="005B09E5">
      <w:pPr>
        <w:pStyle w:val="CETBodytext"/>
        <w:rPr>
          <w:rFonts w:eastAsia="MS Mincho"/>
          <w:lang w:val="en-GB" w:eastAsia="ja-JP"/>
        </w:rPr>
      </w:pPr>
      <w:r>
        <w:rPr>
          <w:lang w:val="en-GB"/>
        </w:rPr>
        <w:t>Table 1 shows the results of the characterisation of the centroid of Cluster 1 as an example.</w:t>
      </w:r>
    </w:p>
    <w:p w14:paraId="0E67FAB3" w14:textId="77777777" w:rsidR="005B09E5" w:rsidRDefault="005B09E5" w:rsidP="005B09E5">
      <w:pPr>
        <w:pStyle w:val="CETTabletitle"/>
      </w:pPr>
      <w:r>
        <w:t xml:space="preserve">Table </w:t>
      </w:r>
      <w:r>
        <w:fldChar w:fldCharType="begin"/>
      </w:r>
      <w:r>
        <w:instrText xml:space="preserve"> SEQ Table \* ARABIC \s 1 </w:instrText>
      </w:r>
      <w:r>
        <w:fldChar w:fldCharType="separate"/>
      </w:r>
      <w:r>
        <w:rPr>
          <w:noProof/>
        </w:rPr>
        <w:t>1</w:t>
      </w:r>
      <w:r>
        <w:fldChar w:fldCharType="end"/>
      </w:r>
      <w:r>
        <w:t xml:space="preserve">: Results of the characterisation of the centroid of Cluster 1. The final scenario is a Near miss.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43"/>
        <w:gridCol w:w="2762"/>
        <w:gridCol w:w="2868"/>
      </w:tblGrid>
      <w:tr w:rsidR="005B09E5" w:rsidRPr="00B57B36" w14:paraId="6CF1E199" w14:textId="77777777" w:rsidTr="00B41AC5">
        <w:trPr>
          <w:trHeight w:val="192"/>
        </w:trPr>
        <w:tc>
          <w:tcPr>
            <w:tcW w:w="2443" w:type="dxa"/>
            <w:tcBorders>
              <w:top w:val="single" w:sz="12" w:space="0" w:color="008000"/>
              <w:bottom w:val="single" w:sz="6" w:space="0" w:color="008000"/>
            </w:tcBorders>
            <w:shd w:val="clear" w:color="auto" w:fill="FFFFFF"/>
          </w:tcPr>
          <w:p w14:paraId="46095475" w14:textId="77777777" w:rsidR="005B09E5" w:rsidRPr="00B57B36" w:rsidRDefault="005B09E5" w:rsidP="00B41AC5">
            <w:pPr>
              <w:pStyle w:val="CETBodytext"/>
              <w:rPr>
                <w:lang w:val="en-GB"/>
              </w:rPr>
            </w:pPr>
            <w:r>
              <w:rPr>
                <w:lang w:val="en-GB"/>
              </w:rPr>
              <w:t>Column</w:t>
            </w:r>
          </w:p>
        </w:tc>
        <w:tc>
          <w:tcPr>
            <w:tcW w:w="2762" w:type="dxa"/>
            <w:tcBorders>
              <w:top w:val="single" w:sz="12" w:space="0" w:color="008000"/>
              <w:bottom w:val="single" w:sz="6" w:space="0" w:color="008000"/>
            </w:tcBorders>
            <w:shd w:val="clear" w:color="auto" w:fill="FFFFFF"/>
          </w:tcPr>
          <w:p w14:paraId="6EF9F105" w14:textId="77777777" w:rsidR="005B09E5" w:rsidRPr="00B57B36" w:rsidRDefault="005B09E5" w:rsidP="00B41AC5">
            <w:pPr>
              <w:pStyle w:val="CETBodytext"/>
              <w:rPr>
                <w:lang w:val="en-GB"/>
              </w:rPr>
            </w:pPr>
            <w:r>
              <w:rPr>
                <w:lang w:val="en-GB"/>
              </w:rPr>
              <w:t>Most frequent cell</w:t>
            </w:r>
          </w:p>
        </w:tc>
        <w:tc>
          <w:tcPr>
            <w:tcW w:w="2868" w:type="dxa"/>
            <w:tcBorders>
              <w:top w:val="single" w:sz="12" w:space="0" w:color="008000"/>
              <w:bottom w:val="single" w:sz="6" w:space="0" w:color="008000"/>
            </w:tcBorders>
            <w:shd w:val="clear" w:color="auto" w:fill="FFFFFF"/>
          </w:tcPr>
          <w:p w14:paraId="05A02D2E" w14:textId="77777777" w:rsidR="005B09E5" w:rsidRPr="00B57B36" w:rsidRDefault="005B09E5" w:rsidP="00B41AC5">
            <w:pPr>
              <w:pStyle w:val="CETBodytext"/>
              <w:rPr>
                <w:lang w:val="en-GB"/>
              </w:rPr>
            </w:pPr>
            <w:r>
              <w:rPr>
                <w:lang w:val="en-GB"/>
              </w:rPr>
              <w:t>Second most frequent cell</w:t>
            </w:r>
          </w:p>
        </w:tc>
      </w:tr>
      <w:tr w:rsidR="005B09E5" w:rsidRPr="00B57B36" w14:paraId="21C25DEB" w14:textId="77777777" w:rsidTr="00B41AC5">
        <w:trPr>
          <w:trHeight w:val="192"/>
        </w:trPr>
        <w:tc>
          <w:tcPr>
            <w:tcW w:w="2443" w:type="dxa"/>
            <w:shd w:val="clear" w:color="auto" w:fill="FFFFFF"/>
          </w:tcPr>
          <w:p w14:paraId="1668AB03" w14:textId="77777777" w:rsidR="005B09E5" w:rsidRPr="00B57B36" w:rsidRDefault="005B09E5" w:rsidP="00B41AC5">
            <w:pPr>
              <w:pStyle w:val="CETBodytext"/>
              <w:rPr>
                <w:lang w:val="en-GB"/>
              </w:rPr>
            </w:pPr>
            <w:r>
              <w:rPr>
                <w:lang w:val="en-GB"/>
              </w:rPr>
              <w:t>Direct cause</w:t>
            </w:r>
          </w:p>
        </w:tc>
        <w:tc>
          <w:tcPr>
            <w:tcW w:w="2762" w:type="dxa"/>
            <w:shd w:val="clear" w:color="auto" w:fill="FFFFFF"/>
          </w:tcPr>
          <w:p w14:paraId="48755274" w14:textId="77777777" w:rsidR="005B09E5" w:rsidRPr="00B57B36" w:rsidRDefault="005B09E5" w:rsidP="00B41AC5">
            <w:pPr>
              <w:pStyle w:val="CETBodytext"/>
              <w:rPr>
                <w:lang w:val="en-GB"/>
              </w:rPr>
            </w:pPr>
            <w:r>
              <w:rPr>
                <w:lang w:val="en-GB"/>
              </w:rPr>
              <w:t>Process fluid solidification</w:t>
            </w:r>
          </w:p>
        </w:tc>
        <w:tc>
          <w:tcPr>
            <w:tcW w:w="2868" w:type="dxa"/>
            <w:shd w:val="clear" w:color="auto" w:fill="FFFFFF"/>
          </w:tcPr>
          <w:p w14:paraId="57E9071A" w14:textId="77777777" w:rsidR="005B09E5" w:rsidRPr="00B57B36" w:rsidRDefault="005B09E5" w:rsidP="00B41AC5">
            <w:pPr>
              <w:pStyle w:val="CETBodytext"/>
              <w:rPr>
                <w:lang w:val="en-GB"/>
              </w:rPr>
            </w:pPr>
            <w:r>
              <w:rPr>
                <w:lang w:val="en-GB"/>
              </w:rPr>
              <w:t>Ice formation</w:t>
            </w:r>
          </w:p>
        </w:tc>
      </w:tr>
      <w:tr w:rsidR="005B09E5" w:rsidRPr="00B57B36" w14:paraId="6A12BE1F" w14:textId="77777777" w:rsidTr="00B41AC5">
        <w:trPr>
          <w:trHeight w:val="192"/>
        </w:trPr>
        <w:tc>
          <w:tcPr>
            <w:tcW w:w="2443" w:type="dxa"/>
            <w:shd w:val="clear" w:color="auto" w:fill="FFFFFF"/>
          </w:tcPr>
          <w:p w14:paraId="3899C24F" w14:textId="77777777" w:rsidR="005B09E5" w:rsidRDefault="005B09E5" w:rsidP="00B41AC5">
            <w:pPr>
              <w:pStyle w:val="CETBodytext"/>
              <w:rPr>
                <w:lang w:val="en-GB"/>
              </w:rPr>
            </w:pPr>
            <w:r>
              <w:rPr>
                <w:lang w:val="en-GB"/>
              </w:rPr>
              <w:t>Compound</w:t>
            </w:r>
          </w:p>
        </w:tc>
        <w:tc>
          <w:tcPr>
            <w:tcW w:w="2762" w:type="dxa"/>
            <w:shd w:val="clear" w:color="auto" w:fill="FFFFFF"/>
          </w:tcPr>
          <w:p w14:paraId="7DC0248A" w14:textId="77777777" w:rsidR="005B09E5" w:rsidRPr="00B57B36" w:rsidRDefault="005B09E5" w:rsidP="00B41AC5">
            <w:pPr>
              <w:pStyle w:val="CETBodytext"/>
              <w:rPr>
                <w:lang w:val="en-GB"/>
              </w:rPr>
            </w:pPr>
            <w:r>
              <w:rPr>
                <w:lang w:val="en-GB"/>
              </w:rPr>
              <w:t>Fuel oil</w:t>
            </w:r>
          </w:p>
        </w:tc>
        <w:tc>
          <w:tcPr>
            <w:tcW w:w="2868" w:type="dxa"/>
            <w:shd w:val="clear" w:color="auto" w:fill="FFFFFF"/>
          </w:tcPr>
          <w:p w14:paraId="4F46CC26" w14:textId="77777777" w:rsidR="005B09E5" w:rsidRPr="00B57B36" w:rsidRDefault="005B09E5" w:rsidP="00B41AC5">
            <w:pPr>
              <w:pStyle w:val="CETBodytext"/>
              <w:rPr>
                <w:lang w:val="en-GB"/>
              </w:rPr>
            </w:pPr>
            <w:r>
              <w:rPr>
                <w:lang w:val="en-GB"/>
              </w:rPr>
              <w:t>Crude oil</w:t>
            </w:r>
          </w:p>
        </w:tc>
      </w:tr>
      <w:tr w:rsidR="005B09E5" w:rsidRPr="00B57B36" w14:paraId="3EA1D20D" w14:textId="77777777" w:rsidTr="00B41AC5">
        <w:trPr>
          <w:trHeight w:val="192"/>
        </w:trPr>
        <w:tc>
          <w:tcPr>
            <w:tcW w:w="2443" w:type="dxa"/>
            <w:shd w:val="clear" w:color="auto" w:fill="FFFFFF"/>
          </w:tcPr>
          <w:p w14:paraId="6C148FD0" w14:textId="77777777" w:rsidR="005B09E5" w:rsidRDefault="005B09E5" w:rsidP="00B41AC5">
            <w:pPr>
              <w:pStyle w:val="CETBodytext"/>
              <w:rPr>
                <w:lang w:val="en-GB"/>
              </w:rPr>
            </w:pPr>
            <w:r>
              <w:rPr>
                <w:lang w:val="en-GB"/>
              </w:rPr>
              <w:t>Hazard</w:t>
            </w:r>
          </w:p>
        </w:tc>
        <w:tc>
          <w:tcPr>
            <w:tcW w:w="2762" w:type="dxa"/>
            <w:shd w:val="clear" w:color="auto" w:fill="FFFFFF"/>
          </w:tcPr>
          <w:p w14:paraId="6BDE159F" w14:textId="77777777" w:rsidR="005B09E5" w:rsidRPr="00B57B36" w:rsidRDefault="005B09E5" w:rsidP="00B41AC5">
            <w:pPr>
              <w:pStyle w:val="CETBodytext"/>
              <w:rPr>
                <w:lang w:val="en-GB"/>
              </w:rPr>
            </w:pPr>
            <w:r>
              <w:rPr>
                <w:lang w:val="en-GB"/>
              </w:rPr>
              <w:t>Flammable liquid hydrocarbons</w:t>
            </w:r>
          </w:p>
        </w:tc>
        <w:tc>
          <w:tcPr>
            <w:tcW w:w="2868" w:type="dxa"/>
            <w:shd w:val="clear" w:color="auto" w:fill="FFFFFF"/>
          </w:tcPr>
          <w:p w14:paraId="41F066BA" w14:textId="77777777" w:rsidR="005B09E5" w:rsidRPr="00B57B36" w:rsidRDefault="005B09E5" w:rsidP="00B41AC5">
            <w:pPr>
              <w:pStyle w:val="CETBodytext"/>
              <w:rPr>
                <w:lang w:val="en-GB"/>
              </w:rPr>
            </w:pPr>
            <w:r>
              <w:rPr>
                <w:lang w:val="en-GB"/>
              </w:rPr>
              <w:t>NC</w:t>
            </w:r>
          </w:p>
        </w:tc>
      </w:tr>
      <w:tr w:rsidR="005B09E5" w:rsidRPr="00B57B36" w14:paraId="007AD0F9" w14:textId="77777777" w:rsidTr="00B41AC5">
        <w:trPr>
          <w:trHeight w:val="192"/>
        </w:trPr>
        <w:tc>
          <w:tcPr>
            <w:tcW w:w="2443" w:type="dxa"/>
            <w:shd w:val="clear" w:color="auto" w:fill="FFFFFF"/>
          </w:tcPr>
          <w:p w14:paraId="61040673" w14:textId="77777777" w:rsidR="005B09E5" w:rsidRDefault="005B09E5" w:rsidP="00B41AC5">
            <w:pPr>
              <w:pStyle w:val="CETBodytext"/>
              <w:rPr>
                <w:lang w:val="en-GB"/>
              </w:rPr>
            </w:pPr>
            <w:r>
              <w:rPr>
                <w:lang w:val="en-GB"/>
              </w:rPr>
              <w:t>Type of final scenario</w:t>
            </w:r>
          </w:p>
        </w:tc>
        <w:tc>
          <w:tcPr>
            <w:tcW w:w="2762" w:type="dxa"/>
            <w:shd w:val="clear" w:color="auto" w:fill="FFFFFF"/>
          </w:tcPr>
          <w:p w14:paraId="72785FC9" w14:textId="77777777" w:rsidR="005B09E5" w:rsidRPr="00B57B36" w:rsidRDefault="005B09E5" w:rsidP="00B41AC5">
            <w:pPr>
              <w:pStyle w:val="CETBodytext"/>
              <w:rPr>
                <w:lang w:val="en-GB"/>
              </w:rPr>
            </w:pPr>
            <w:r>
              <w:rPr>
                <w:lang w:val="en-GB"/>
              </w:rPr>
              <w:t>Near miss</w:t>
            </w:r>
          </w:p>
        </w:tc>
        <w:tc>
          <w:tcPr>
            <w:tcW w:w="2868" w:type="dxa"/>
            <w:shd w:val="clear" w:color="auto" w:fill="FFFFFF"/>
          </w:tcPr>
          <w:p w14:paraId="0EFFA572" w14:textId="77777777" w:rsidR="005B09E5" w:rsidRPr="00B57B36" w:rsidRDefault="005B09E5" w:rsidP="00B41AC5">
            <w:pPr>
              <w:pStyle w:val="CETBodytext"/>
              <w:rPr>
                <w:lang w:val="en-GB"/>
              </w:rPr>
            </w:pPr>
            <w:r>
              <w:rPr>
                <w:lang w:val="en-GB"/>
              </w:rPr>
              <w:t>Near miss</w:t>
            </w:r>
          </w:p>
        </w:tc>
      </w:tr>
      <w:tr w:rsidR="005B09E5" w:rsidRPr="00B57B36" w14:paraId="6F0D10A2" w14:textId="77777777" w:rsidTr="00B41AC5">
        <w:trPr>
          <w:trHeight w:val="192"/>
        </w:trPr>
        <w:tc>
          <w:tcPr>
            <w:tcW w:w="2443" w:type="dxa"/>
            <w:shd w:val="clear" w:color="auto" w:fill="FFFFFF"/>
          </w:tcPr>
          <w:p w14:paraId="02AF89AC" w14:textId="77777777" w:rsidR="005B09E5" w:rsidRDefault="005B09E5" w:rsidP="00B41AC5">
            <w:pPr>
              <w:pStyle w:val="CETBodytext"/>
              <w:rPr>
                <w:lang w:val="en-GB"/>
              </w:rPr>
            </w:pPr>
            <w:r>
              <w:rPr>
                <w:lang w:val="en-GB"/>
              </w:rPr>
              <w:t>Type of item involved</w:t>
            </w:r>
          </w:p>
        </w:tc>
        <w:tc>
          <w:tcPr>
            <w:tcW w:w="2762" w:type="dxa"/>
            <w:shd w:val="clear" w:color="auto" w:fill="FFFFFF"/>
          </w:tcPr>
          <w:p w14:paraId="23413B38" w14:textId="77777777" w:rsidR="005B09E5" w:rsidRPr="00B57B36" w:rsidRDefault="005B09E5" w:rsidP="00B41AC5">
            <w:pPr>
              <w:pStyle w:val="CETBodytext"/>
              <w:rPr>
                <w:lang w:val="en-GB"/>
              </w:rPr>
            </w:pPr>
            <w:r>
              <w:rPr>
                <w:lang w:val="en-GB"/>
              </w:rPr>
              <w:t>Pipework</w:t>
            </w:r>
          </w:p>
        </w:tc>
        <w:tc>
          <w:tcPr>
            <w:tcW w:w="2868" w:type="dxa"/>
            <w:shd w:val="clear" w:color="auto" w:fill="FFFFFF"/>
          </w:tcPr>
          <w:p w14:paraId="18898702" w14:textId="77777777" w:rsidR="005B09E5" w:rsidRPr="00B57B36" w:rsidRDefault="005B09E5" w:rsidP="00B41AC5">
            <w:pPr>
              <w:pStyle w:val="CETBodytext"/>
              <w:rPr>
                <w:lang w:val="en-GB"/>
              </w:rPr>
            </w:pPr>
            <w:r>
              <w:rPr>
                <w:lang w:val="en-GB"/>
              </w:rPr>
              <w:t>Storage equipment</w:t>
            </w:r>
          </w:p>
        </w:tc>
      </w:tr>
      <w:tr w:rsidR="005B09E5" w:rsidRPr="00B57B36" w14:paraId="6FF2FD3D" w14:textId="77777777" w:rsidTr="00B41AC5">
        <w:trPr>
          <w:trHeight w:val="192"/>
        </w:trPr>
        <w:tc>
          <w:tcPr>
            <w:tcW w:w="2443" w:type="dxa"/>
            <w:shd w:val="clear" w:color="auto" w:fill="FFFFFF"/>
          </w:tcPr>
          <w:p w14:paraId="6344022F" w14:textId="77777777" w:rsidR="005B09E5" w:rsidRDefault="005B09E5" w:rsidP="00B41AC5">
            <w:pPr>
              <w:pStyle w:val="CETBodytext"/>
              <w:rPr>
                <w:lang w:val="en-GB"/>
              </w:rPr>
            </w:pPr>
            <w:r>
              <w:rPr>
                <w:lang w:val="en-GB"/>
              </w:rPr>
              <w:t>Macro sector</w:t>
            </w:r>
          </w:p>
        </w:tc>
        <w:tc>
          <w:tcPr>
            <w:tcW w:w="2762" w:type="dxa"/>
            <w:shd w:val="clear" w:color="auto" w:fill="FFFFFF"/>
          </w:tcPr>
          <w:p w14:paraId="4314B9E3" w14:textId="77777777" w:rsidR="005B09E5" w:rsidRPr="00B57B36" w:rsidRDefault="005B09E5" w:rsidP="00B41AC5">
            <w:pPr>
              <w:pStyle w:val="CETBodytext"/>
              <w:rPr>
                <w:lang w:val="en-GB"/>
              </w:rPr>
            </w:pPr>
            <w:r>
              <w:rPr>
                <w:lang w:val="en-GB"/>
              </w:rPr>
              <w:t>Chemical &amp; Petrochemical</w:t>
            </w:r>
          </w:p>
        </w:tc>
        <w:tc>
          <w:tcPr>
            <w:tcW w:w="2868" w:type="dxa"/>
            <w:shd w:val="clear" w:color="auto" w:fill="FFFFFF"/>
          </w:tcPr>
          <w:p w14:paraId="0D2C1A20" w14:textId="77777777" w:rsidR="005B09E5" w:rsidRPr="00B57B36" w:rsidRDefault="005B09E5" w:rsidP="00B41AC5">
            <w:pPr>
              <w:pStyle w:val="CETBodytext"/>
              <w:rPr>
                <w:lang w:val="en-GB"/>
              </w:rPr>
            </w:pPr>
            <w:r>
              <w:rPr>
                <w:lang w:val="en-GB"/>
              </w:rPr>
              <w:t>Transport via pipeline</w:t>
            </w:r>
          </w:p>
        </w:tc>
      </w:tr>
      <w:tr w:rsidR="005B09E5" w:rsidRPr="00B57B36" w14:paraId="16B4E4B4" w14:textId="77777777" w:rsidTr="00B41AC5">
        <w:trPr>
          <w:trHeight w:val="192"/>
        </w:trPr>
        <w:tc>
          <w:tcPr>
            <w:tcW w:w="2443" w:type="dxa"/>
            <w:shd w:val="clear" w:color="auto" w:fill="FFFFFF"/>
          </w:tcPr>
          <w:p w14:paraId="57E9EF2A" w14:textId="77777777" w:rsidR="005B09E5" w:rsidRPr="00B57B36" w:rsidRDefault="005B09E5" w:rsidP="00B41AC5">
            <w:pPr>
              <w:pStyle w:val="CETBodytext"/>
              <w:ind w:right="-1"/>
              <w:rPr>
                <w:rFonts w:cs="Arial"/>
                <w:szCs w:val="18"/>
                <w:lang w:val="en-GB"/>
              </w:rPr>
            </w:pPr>
            <w:r>
              <w:rPr>
                <w:rFonts w:cs="Arial"/>
                <w:szCs w:val="18"/>
                <w:lang w:val="en-GB"/>
              </w:rPr>
              <w:t>Safety barrier 1</w:t>
            </w:r>
          </w:p>
        </w:tc>
        <w:tc>
          <w:tcPr>
            <w:tcW w:w="2762" w:type="dxa"/>
            <w:shd w:val="clear" w:color="auto" w:fill="FFFFFF"/>
          </w:tcPr>
          <w:p w14:paraId="44890E93" w14:textId="77777777" w:rsidR="005B09E5" w:rsidRPr="00B57B36" w:rsidRDefault="005B09E5" w:rsidP="00B41AC5">
            <w:pPr>
              <w:pStyle w:val="CETBodytext"/>
              <w:ind w:right="-1"/>
              <w:rPr>
                <w:rFonts w:cs="Arial"/>
                <w:szCs w:val="18"/>
                <w:lang w:val="en-GB"/>
              </w:rPr>
            </w:pPr>
            <w:r>
              <w:rPr>
                <w:rFonts w:cs="Arial"/>
                <w:szCs w:val="18"/>
                <w:lang w:val="en-GB"/>
              </w:rPr>
              <w:t>Secondary containment</w:t>
            </w:r>
          </w:p>
        </w:tc>
        <w:tc>
          <w:tcPr>
            <w:tcW w:w="2868" w:type="dxa"/>
            <w:shd w:val="clear" w:color="auto" w:fill="FFFFFF"/>
          </w:tcPr>
          <w:p w14:paraId="590101F4" w14:textId="77777777" w:rsidR="005B09E5" w:rsidRPr="00B57B36" w:rsidRDefault="005B09E5" w:rsidP="00B41AC5">
            <w:pPr>
              <w:pStyle w:val="CETBodytext"/>
              <w:ind w:right="-1"/>
              <w:rPr>
                <w:rFonts w:cs="Arial"/>
                <w:szCs w:val="18"/>
                <w:lang w:val="en-GB"/>
              </w:rPr>
            </w:pPr>
            <w:r>
              <w:rPr>
                <w:rFonts w:cs="Arial"/>
                <w:szCs w:val="18"/>
                <w:lang w:val="en-GB"/>
              </w:rPr>
              <w:t>Relief valve</w:t>
            </w:r>
          </w:p>
        </w:tc>
      </w:tr>
      <w:tr w:rsidR="005B09E5" w:rsidRPr="00B57B36" w14:paraId="3415C106" w14:textId="77777777" w:rsidTr="00B41AC5">
        <w:trPr>
          <w:trHeight w:val="192"/>
        </w:trPr>
        <w:tc>
          <w:tcPr>
            <w:tcW w:w="2443" w:type="dxa"/>
            <w:shd w:val="clear" w:color="auto" w:fill="FFFFFF"/>
          </w:tcPr>
          <w:p w14:paraId="34B698EB" w14:textId="77777777" w:rsidR="005B09E5" w:rsidRDefault="005B09E5" w:rsidP="00B41AC5">
            <w:pPr>
              <w:pStyle w:val="CETBodytext"/>
              <w:ind w:right="-1"/>
              <w:rPr>
                <w:rFonts w:cs="Arial"/>
                <w:szCs w:val="18"/>
                <w:lang w:val="en-GB"/>
              </w:rPr>
            </w:pPr>
            <w:r>
              <w:rPr>
                <w:rFonts w:cs="Arial"/>
                <w:szCs w:val="18"/>
                <w:lang w:val="en-GB"/>
              </w:rPr>
              <w:t>Safety Barrier 1 failure</w:t>
            </w:r>
          </w:p>
        </w:tc>
        <w:tc>
          <w:tcPr>
            <w:tcW w:w="2762" w:type="dxa"/>
            <w:shd w:val="clear" w:color="auto" w:fill="FFFFFF"/>
          </w:tcPr>
          <w:p w14:paraId="5C154CCE" w14:textId="77777777" w:rsidR="005B09E5" w:rsidRPr="00B57B36" w:rsidRDefault="005B09E5" w:rsidP="00B41AC5">
            <w:pPr>
              <w:pStyle w:val="CETBodytext"/>
              <w:ind w:right="-1"/>
              <w:rPr>
                <w:rFonts w:cs="Arial"/>
                <w:szCs w:val="18"/>
                <w:lang w:val="en-GB"/>
              </w:rPr>
            </w:pPr>
            <w:r>
              <w:rPr>
                <w:rFonts w:cs="Arial"/>
                <w:szCs w:val="18"/>
                <w:lang w:val="en-GB"/>
              </w:rPr>
              <w:t>Effective</w:t>
            </w:r>
          </w:p>
        </w:tc>
        <w:tc>
          <w:tcPr>
            <w:tcW w:w="2868" w:type="dxa"/>
            <w:shd w:val="clear" w:color="auto" w:fill="FFFFFF"/>
          </w:tcPr>
          <w:p w14:paraId="38306815" w14:textId="77777777" w:rsidR="005B09E5" w:rsidRPr="00B57B36" w:rsidRDefault="005B09E5" w:rsidP="00B41AC5">
            <w:pPr>
              <w:pStyle w:val="CETBodytext"/>
              <w:ind w:right="-1"/>
              <w:rPr>
                <w:rFonts w:cs="Arial"/>
                <w:szCs w:val="18"/>
                <w:lang w:val="en-GB"/>
              </w:rPr>
            </w:pPr>
            <w:r>
              <w:rPr>
                <w:rFonts w:cs="Arial"/>
                <w:szCs w:val="18"/>
                <w:lang w:val="en-GB"/>
              </w:rPr>
              <w:t>Failed</w:t>
            </w:r>
          </w:p>
        </w:tc>
      </w:tr>
      <w:tr w:rsidR="005B09E5" w:rsidRPr="00B57B36" w14:paraId="1A551616" w14:textId="77777777" w:rsidTr="00B41AC5">
        <w:trPr>
          <w:trHeight w:val="192"/>
        </w:trPr>
        <w:tc>
          <w:tcPr>
            <w:tcW w:w="2443" w:type="dxa"/>
            <w:shd w:val="clear" w:color="auto" w:fill="FFFFFF"/>
          </w:tcPr>
          <w:p w14:paraId="419AE363" w14:textId="77777777" w:rsidR="005B09E5" w:rsidRDefault="005B09E5" w:rsidP="00B41AC5">
            <w:pPr>
              <w:pStyle w:val="CETBodytext"/>
              <w:ind w:right="-1"/>
              <w:rPr>
                <w:rFonts w:cs="Arial"/>
                <w:szCs w:val="18"/>
                <w:lang w:val="en-GB"/>
              </w:rPr>
            </w:pPr>
            <w:r>
              <w:rPr>
                <w:rFonts w:cs="Arial"/>
                <w:szCs w:val="18"/>
                <w:lang w:val="en-GB"/>
              </w:rPr>
              <w:t>Safety Barrier 2</w:t>
            </w:r>
          </w:p>
        </w:tc>
        <w:tc>
          <w:tcPr>
            <w:tcW w:w="2762" w:type="dxa"/>
            <w:shd w:val="clear" w:color="auto" w:fill="FFFFFF"/>
          </w:tcPr>
          <w:p w14:paraId="6E122F7E" w14:textId="77777777" w:rsidR="005B09E5" w:rsidRPr="00B57B36" w:rsidRDefault="005B09E5" w:rsidP="00B41AC5">
            <w:pPr>
              <w:pStyle w:val="CETBodytext"/>
              <w:ind w:right="-1"/>
              <w:rPr>
                <w:rFonts w:cs="Arial"/>
                <w:szCs w:val="18"/>
                <w:lang w:val="en-GB"/>
              </w:rPr>
            </w:pPr>
            <w:r>
              <w:rPr>
                <w:rFonts w:cs="Arial"/>
                <w:szCs w:val="18"/>
                <w:lang w:val="en-GB"/>
              </w:rPr>
              <w:t>NO</w:t>
            </w:r>
          </w:p>
        </w:tc>
        <w:tc>
          <w:tcPr>
            <w:tcW w:w="2868" w:type="dxa"/>
            <w:shd w:val="clear" w:color="auto" w:fill="FFFFFF"/>
          </w:tcPr>
          <w:p w14:paraId="4AB4EF81" w14:textId="77777777" w:rsidR="005B09E5" w:rsidRPr="00B57B36" w:rsidRDefault="005B09E5" w:rsidP="00B41AC5">
            <w:pPr>
              <w:pStyle w:val="CETBodytext"/>
              <w:ind w:right="-1"/>
              <w:rPr>
                <w:rFonts w:cs="Arial"/>
                <w:szCs w:val="18"/>
                <w:lang w:val="en-GB"/>
              </w:rPr>
            </w:pPr>
            <w:r>
              <w:rPr>
                <w:rFonts w:cs="Arial"/>
                <w:szCs w:val="18"/>
                <w:lang w:val="en-GB"/>
              </w:rPr>
              <w:t>Secondary containment</w:t>
            </w:r>
          </w:p>
        </w:tc>
      </w:tr>
      <w:tr w:rsidR="005B09E5" w:rsidRPr="00B57B36" w14:paraId="4ECEF304" w14:textId="77777777" w:rsidTr="00B41AC5">
        <w:trPr>
          <w:trHeight w:val="192"/>
        </w:trPr>
        <w:tc>
          <w:tcPr>
            <w:tcW w:w="2443" w:type="dxa"/>
            <w:shd w:val="clear" w:color="auto" w:fill="FFFFFF"/>
          </w:tcPr>
          <w:p w14:paraId="4D3D04E3" w14:textId="77777777" w:rsidR="005B09E5" w:rsidRDefault="005B09E5" w:rsidP="00B41AC5">
            <w:pPr>
              <w:pStyle w:val="CETBodytext"/>
              <w:ind w:right="-1"/>
              <w:rPr>
                <w:rFonts w:cs="Arial"/>
                <w:szCs w:val="18"/>
                <w:lang w:val="en-GB"/>
              </w:rPr>
            </w:pPr>
            <w:r>
              <w:rPr>
                <w:rFonts w:cs="Arial"/>
                <w:szCs w:val="18"/>
                <w:lang w:val="en-GB"/>
              </w:rPr>
              <w:t>Summary</w:t>
            </w:r>
          </w:p>
        </w:tc>
        <w:tc>
          <w:tcPr>
            <w:tcW w:w="2762" w:type="dxa"/>
            <w:shd w:val="clear" w:color="auto" w:fill="FFFFFF"/>
          </w:tcPr>
          <w:p w14:paraId="38F14977" w14:textId="77777777" w:rsidR="005B09E5" w:rsidRPr="00B57B36" w:rsidRDefault="005B09E5" w:rsidP="00B41AC5">
            <w:pPr>
              <w:pStyle w:val="CETBodytext"/>
              <w:ind w:right="-1"/>
              <w:rPr>
                <w:rFonts w:cs="Arial"/>
                <w:szCs w:val="18"/>
                <w:lang w:val="en-GB"/>
              </w:rPr>
            </w:pPr>
            <w:r>
              <w:rPr>
                <w:rFonts w:cs="Arial"/>
                <w:szCs w:val="18"/>
                <w:lang w:val="en-GB"/>
              </w:rPr>
              <w:t>Tank</w:t>
            </w:r>
          </w:p>
        </w:tc>
        <w:tc>
          <w:tcPr>
            <w:tcW w:w="2868" w:type="dxa"/>
            <w:shd w:val="clear" w:color="auto" w:fill="FFFFFF"/>
          </w:tcPr>
          <w:p w14:paraId="1B9C1B45" w14:textId="77777777" w:rsidR="005B09E5" w:rsidRPr="00B57B36" w:rsidRDefault="005B09E5" w:rsidP="00B41AC5">
            <w:pPr>
              <w:pStyle w:val="CETBodytext"/>
              <w:ind w:right="-1"/>
              <w:rPr>
                <w:rFonts w:cs="Arial"/>
                <w:szCs w:val="18"/>
                <w:lang w:val="en-GB"/>
              </w:rPr>
            </w:pPr>
            <w:r>
              <w:rPr>
                <w:rFonts w:cs="Arial"/>
                <w:szCs w:val="18"/>
                <w:lang w:val="en-GB"/>
              </w:rPr>
              <w:t>Tank dike</w:t>
            </w:r>
          </w:p>
        </w:tc>
      </w:tr>
    </w:tbl>
    <w:p w14:paraId="744DCF32" w14:textId="77777777" w:rsidR="005B09E5" w:rsidRDefault="005B09E5" w:rsidP="005B09E5">
      <w:pPr>
        <w:pStyle w:val="CETBodytext"/>
        <w:rPr>
          <w:lang w:val="en-GB"/>
        </w:rPr>
      </w:pPr>
    </w:p>
    <w:p w14:paraId="68129CD5" w14:textId="5A1DA834" w:rsidR="005B09E5" w:rsidRPr="00A14353" w:rsidRDefault="005B09E5" w:rsidP="005B09E5">
      <w:pPr>
        <w:pStyle w:val="CETBodytext"/>
        <w:rPr>
          <w:lang w:val="en-GB"/>
        </w:rPr>
      </w:pPr>
      <w:r w:rsidRPr="00A14353">
        <w:rPr>
          <w:lang w:val="en-GB"/>
        </w:rPr>
        <w:t xml:space="preserve">It is interesting to note that </w:t>
      </w:r>
      <w:r>
        <w:rPr>
          <w:lang w:val="en-GB"/>
        </w:rPr>
        <w:t xml:space="preserve">the final incident scenario </w:t>
      </w:r>
      <w:r w:rsidRPr="00A14353">
        <w:rPr>
          <w:lang w:val="en-GB"/>
        </w:rPr>
        <w:t>occur</w:t>
      </w:r>
      <w:r w:rsidR="00D73311">
        <w:rPr>
          <w:lang w:val="en-GB"/>
        </w:rPr>
        <w:t>red</w:t>
      </w:r>
      <w:r w:rsidRPr="00A14353">
        <w:rPr>
          <w:lang w:val="en-GB"/>
        </w:rPr>
        <w:t xml:space="preserve"> </w:t>
      </w:r>
      <w:r>
        <w:rPr>
          <w:lang w:val="en-GB"/>
        </w:rPr>
        <w:t>in all three case</w:t>
      </w:r>
      <w:r w:rsidRPr="00A14353">
        <w:rPr>
          <w:lang w:val="en-GB"/>
        </w:rPr>
        <w:t>s despite the effectiveness of safety barriers.</w:t>
      </w:r>
      <w:r>
        <w:rPr>
          <w:lang w:val="en-GB"/>
        </w:rPr>
        <w:t xml:space="preserve"> The first possible cause is that the safety barrier may be</w:t>
      </w:r>
      <w:r w:rsidRPr="00A14353">
        <w:rPr>
          <w:lang w:val="en-GB"/>
        </w:rPr>
        <w:t xml:space="preserve"> specifically designed to prevent a final incident scenario different from the one that occur</w:t>
      </w:r>
      <w:r w:rsidR="00D73311">
        <w:rPr>
          <w:lang w:val="en-GB"/>
        </w:rPr>
        <w:t>red</w:t>
      </w:r>
      <w:r>
        <w:rPr>
          <w:lang w:val="en-GB"/>
        </w:rPr>
        <w:t xml:space="preserve">. Alternatively, </w:t>
      </w:r>
      <w:r w:rsidRPr="00A14353">
        <w:rPr>
          <w:lang w:val="en-GB"/>
        </w:rPr>
        <w:t xml:space="preserve">it is </w:t>
      </w:r>
      <w:r>
        <w:rPr>
          <w:lang w:val="en-GB"/>
        </w:rPr>
        <w:t>likely</w:t>
      </w:r>
      <w:r w:rsidRPr="00A14353">
        <w:rPr>
          <w:lang w:val="en-GB"/>
        </w:rPr>
        <w:t xml:space="preserve"> that the safety barrier </w:t>
      </w:r>
      <w:r w:rsidR="00D73311">
        <w:rPr>
          <w:lang w:val="en-GB"/>
        </w:rPr>
        <w:t>may</w:t>
      </w:r>
      <w:r w:rsidRPr="00A14353">
        <w:rPr>
          <w:lang w:val="en-GB"/>
        </w:rPr>
        <w:t xml:space="preserve"> indeed</w:t>
      </w:r>
      <w:r w:rsidR="00D73311">
        <w:rPr>
          <w:lang w:val="en-GB"/>
        </w:rPr>
        <w:t xml:space="preserve"> have been</w:t>
      </w:r>
      <w:r w:rsidRPr="00A14353">
        <w:rPr>
          <w:lang w:val="en-GB"/>
        </w:rPr>
        <w:t xml:space="preserve"> designed to withstand cold temperatures and </w:t>
      </w:r>
      <w:r w:rsidR="00D73311">
        <w:rPr>
          <w:lang w:val="en-GB"/>
        </w:rPr>
        <w:t>would be</w:t>
      </w:r>
      <w:r w:rsidRPr="00A14353">
        <w:rPr>
          <w:lang w:val="en-GB"/>
        </w:rPr>
        <w:t xml:space="preserve"> effective</w:t>
      </w:r>
      <w:r w:rsidR="00D73311">
        <w:rPr>
          <w:lang w:val="en-GB"/>
        </w:rPr>
        <w:t xml:space="preserve"> in such case</w:t>
      </w:r>
      <w:r w:rsidRPr="00A14353">
        <w:rPr>
          <w:lang w:val="en-GB"/>
        </w:rPr>
        <w:t xml:space="preserve">, but the plant section involved in the incident </w:t>
      </w:r>
      <w:r w:rsidR="00D73311">
        <w:rPr>
          <w:lang w:val="en-GB"/>
        </w:rPr>
        <w:t>was</w:t>
      </w:r>
      <w:r w:rsidRPr="00A14353">
        <w:rPr>
          <w:lang w:val="en-GB"/>
        </w:rPr>
        <w:t xml:space="preserve"> not</w:t>
      </w:r>
      <w:r>
        <w:rPr>
          <w:lang w:val="en-GB"/>
        </w:rPr>
        <w:t>.</w:t>
      </w:r>
      <w:r w:rsidRPr="00A14353">
        <w:rPr>
          <w:lang w:val="en-GB"/>
        </w:rPr>
        <w:t xml:space="preserve"> </w:t>
      </w:r>
      <w:r>
        <w:rPr>
          <w:lang w:val="en-GB"/>
        </w:rPr>
        <w:t>The entire plant must be designed to withstand extreme temperatures, not only safety barriers.</w:t>
      </w:r>
    </w:p>
    <w:p w14:paraId="2D179855" w14:textId="027E3FC8" w:rsidR="005B09E5" w:rsidRPr="008E6472" w:rsidRDefault="005B09E5" w:rsidP="005B09E5">
      <w:pPr>
        <w:pStyle w:val="CETBodytext"/>
        <w:rPr>
          <w:rFonts w:eastAsia="MS Mincho"/>
          <w:lang w:val="en-GB" w:eastAsia="ja-JP"/>
        </w:rPr>
      </w:pPr>
      <w:r w:rsidRPr="00A14353">
        <w:rPr>
          <w:lang w:val="en-GB"/>
        </w:rPr>
        <w:tab/>
        <w:t xml:space="preserve">After analysing the incidents, the Bayesian </w:t>
      </w:r>
      <w:r>
        <w:rPr>
          <w:lang w:val="en-GB"/>
        </w:rPr>
        <w:t>N</w:t>
      </w:r>
      <w:r w:rsidRPr="00A14353">
        <w:rPr>
          <w:lang w:val="en-GB"/>
        </w:rPr>
        <w:t xml:space="preserve">etworks were constructed. </w:t>
      </w:r>
      <w:r>
        <w:rPr>
          <w:lang w:val="en-GB"/>
        </w:rPr>
        <w:t>The intersection of Pearson’s Chi-Square Test and Information Gain ensured</w:t>
      </w:r>
      <w:r w:rsidRPr="00A14353">
        <w:rPr>
          <w:lang w:val="en-GB"/>
        </w:rPr>
        <w:t xml:space="preserve"> a reliable structure</w:t>
      </w:r>
      <w:r>
        <w:rPr>
          <w:lang w:val="en-GB"/>
        </w:rPr>
        <w:t>.</w:t>
      </w:r>
    </w:p>
    <w:p w14:paraId="7D3BBF81" w14:textId="40617FD9" w:rsidR="005B09E5" w:rsidRPr="008E6472" w:rsidRDefault="005B09E5" w:rsidP="005B09E5">
      <w:pPr>
        <w:pStyle w:val="CETBodytext"/>
        <w:rPr>
          <w:rFonts w:eastAsia="MS Mincho"/>
          <w:lang w:val="en-GB" w:eastAsia="ja-JP"/>
        </w:rPr>
      </w:pPr>
      <w:r w:rsidRPr="00A14353">
        <w:rPr>
          <w:lang w:val="en-GB"/>
        </w:rPr>
        <w:t>Two</w:t>
      </w:r>
      <w:r w:rsidR="00084D90">
        <w:rPr>
          <w:lang w:val="en-GB"/>
        </w:rPr>
        <w:t xml:space="preserve"> root nodes </w:t>
      </w:r>
      <w:r w:rsidRPr="00A14353">
        <w:rPr>
          <w:lang w:val="en-GB"/>
        </w:rPr>
        <w:t xml:space="preserve">and </w:t>
      </w:r>
      <w:proofErr w:type="gramStart"/>
      <w:r w:rsidR="00084D90">
        <w:rPr>
          <w:lang w:val="en-GB"/>
        </w:rPr>
        <w:t>four leaf</w:t>
      </w:r>
      <w:proofErr w:type="gramEnd"/>
      <w:r w:rsidR="00084D90">
        <w:rPr>
          <w:lang w:val="en-GB"/>
        </w:rPr>
        <w:t xml:space="preserve"> </w:t>
      </w:r>
      <w:r w:rsidRPr="00A14353">
        <w:rPr>
          <w:lang w:val="en-GB"/>
        </w:rPr>
        <w:t xml:space="preserve">nodes were identified. The probabilities of the </w:t>
      </w:r>
      <w:r w:rsidR="00084D90" w:rsidRPr="00084D90">
        <w:rPr>
          <w:lang w:val="en-GB"/>
        </w:rPr>
        <w:t>root</w:t>
      </w:r>
      <w:r w:rsidRPr="00A14353">
        <w:rPr>
          <w:lang w:val="en-GB"/>
        </w:rPr>
        <w:t xml:space="preserve"> nodes were calculated </w:t>
      </w:r>
      <w:r>
        <w:rPr>
          <w:lang w:val="en-GB"/>
        </w:rPr>
        <w:t>through a simplified procedure, as described in section 3.2.</w:t>
      </w:r>
      <w:r w:rsidRPr="00A14353">
        <w:rPr>
          <w:lang w:val="en-GB"/>
        </w:rPr>
        <w:t xml:space="preserve"> </w:t>
      </w:r>
      <w:r>
        <w:rPr>
          <w:lang w:val="en-GB"/>
        </w:rPr>
        <w:t>Ho</w:t>
      </w:r>
      <w:r w:rsidRPr="00A14353">
        <w:rPr>
          <w:lang w:val="en-GB"/>
        </w:rPr>
        <w:t>wever,</w:t>
      </w:r>
      <w:r>
        <w:rPr>
          <w:lang w:val="en-GB"/>
        </w:rPr>
        <w:t xml:space="preserve"> t</w:t>
      </w:r>
      <w:r w:rsidRPr="00A14353">
        <w:rPr>
          <w:lang w:val="en-GB"/>
        </w:rPr>
        <w:t xml:space="preserve">he frequency of word appearance may not accurately reflect the actual probability of the event, especially if </w:t>
      </w:r>
      <w:r>
        <w:rPr>
          <w:lang w:val="en-GB"/>
        </w:rPr>
        <w:t xml:space="preserve">limited available data or </w:t>
      </w:r>
      <w:r w:rsidR="00D73311">
        <w:rPr>
          <w:lang w:val="en-GB"/>
        </w:rPr>
        <w:t xml:space="preserve">other </w:t>
      </w:r>
      <w:r>
        <w:rPr>
          <w:lang w:val="en-GB"/>
        </w:rPr>
        <w:t>factors influence</w:t>
      </w:r>
      <w:r w:rsidRPr="00A14353">
        <w:rPr>
          <w:lang w:val="en-GB"/>
        </w:rPr>
        <w:t xml:space="preserve"> the distribution of words in the column. Additionally, the reliability associated with compiling source databases must be considered. </w:t>
      </w:r>
      <w:r>
        <w:rPr>
          <w:lang w:val="en-GB"/>
        </w:rPr>
        <w:t>Non-expert personnel often report incidents that</w:t>
      </w:r>
      <w:r w:rsidRPr="00A14353">
        <w:rPr>
          <w:lang w:val="en-GB"/>
        </w:rPr>
        <w:t xml:space="preserve"> may not accurately describe the sequence of events leading to the final incident scenario or may </w:t>
      </w:r>
      <w:r w:rsidR="00D73311">
        <w:rPr>
          <w:lang w:val="en-GB"/>
        </w:rPr>
        <w:t>in</w:t>
      </w:r>
      <w:r w:rsidRPr="00A14353">
        <w:rPr>
          <w:lang w:val="en-GB"/>
        </w:rPr>
        <w:t xml:space="preserve">correctly fill in the database entries. Therefore, relying </w:t>
      </w:r>
      <w:r>
        <w:rPr>
          <w:lang w:val="en-GB"/>
        </w:rPr>
        <w:t>only</w:t>
      </w:r>
      <w:r w:rsidRPr="00A14353">
        <w:rPr>
          <w:lang w:val="en-GB"/>
        </w:rPr>
        <w:t xml:space="preserve"> on the frequency of word appearance in the column related to the node under examination carries the risk of error propagation.</w:t>
      </w:r>
    </w:p>
    <w:p w14:paraId="782EB4C4" w14:textId="1F63799A" w:rsidR="005B09E5" w:rsidRPr="00A14353" w:rsidRDefault="005B09E5" w:rsidP="005B09E5">
      <w:pPr>
        <w:pStyle w:val="CETBodytext"/>
        <w:rPr>
          <w:lang w:val="en-GB"/>
        </w:rPr>
      </w:pPr>
      <w:r w:rsidRPr="00A14353">
        <w:rPr>
          <w:lang w:val="en-GB"/>
        </w:rPr>
        <w:tab/>
      </w:r>
      <w:r w:rsidRPr="00CF6906">
        <w:rPr>
          <w:lang w:val="en-GB"/>
        </w:rPr>
        <w:t>In this case, the simplified procedure was justified</w:t>
      </w:r>
      <w:r w:rsidRPr="00A14353">
        <w:rPr>
          <w:lang w:val="en-GB"/>
        </w:rPr>
        <w:t xml:space="preserve"> by the low number </w:t>
      </w:r>
      <w:r w:rsidRPr="00084D90">
        <w:rPr>
          <w:lang w:val="en-GB"/>
        </w:rPr>
        <w:t xml:space="preserve">of </w:t>
      </w:r>
      <w:r w:rsidR="00084D90" w:rsidRPr="00084D90">
        <w:rPr>
          <w:lang w:val="en-GB"/>
        </w:rPr>
        <w:t>root</w:t>
      </w:r>
      <w:r w:rsidRPr="00084D90">
        <w:rPr>
          <w:lang w:val="en-GB"/>
        </w:rPr>
        <w:t xml:space="preserve"> nodes</w:t>
      </w:r>
      <w:r w:rsidRPr="00A14353">
        <w:rPr>
          <w:lang w:val="en-GB"/>
        </w:rPr>
        <w:t xml:space="preserve"> (only two) and their nature. The compound node,</w:t>
      </w:r>
      <w:r w:rsidR="00A954A4">
        <w:rPr>
          <w:lang w:val="en-GB"/>
        </w:rPr>
        <w:t xml:space="preserve"> </w:t>
      </w:r>
      <w:r w:rsidR="00855AAE">
        <w:rPr>
          <w:lang w:val="en-GB"/>
        </w:rPr>
        <w:t xml:space="preserve">which </w:t>
      </w:r>
      <w:r w:rsidR="007B35D7">
        <w:rPr>
          <w:lang w:val="en-GB"/>
        </w:rPr>
        <w:t>corresponds to ‘Hazard’ node</w:t>
      </w:r>
      <w:r w:rsidR="00855AAE">
        <w:rPr>
          <w:lang w:val="en-GB"/>
        </w:rPr>
        <w:t xml:space="preserve"> in Figure 3</w:t>
      </w:r>
      <w:r w:rsidR="000E20EB">
        <w:rPr>
          <w:lang w:val="en-GB"/>
        </w:rPr>
        <w:t xml:space="preserve"> as a reference</w:t>
      </w:r>
      <w:r w:rsidRPr="00A14353">
        <w:rPr>
          <w:lang w:val="en-GB"/>
        </w:rPr>
        <w:t xml:space="preserve">, expects a certain specificity of the entered textual values, and </w:t>
      </w:r>
      <w:r>
        <w:rPr>
          <w:lang w:val="en-GB"/>
        </w:rPr>
        <w:t>in case of missing information about the substance</w:t>
      </w:r>
      <w:r w:rsidRPr="00A14353">
        <w:rPr>
          <w:lang w:val="en-GB"/>
        </w:rPr>
        <w:t xml:space="preserve">, </w:t>
      </w:r>
      <w:r>
        <w:rPr>
          <w:lang w:val="en-GB"/>
        </w:rPr>
        <w:t>‘</w:t>
      </w:r>
      <w:r w:rsidRPr="00A14353">
        <w:rPr>
          <w:lang w:val="en-GB"/>
        </w:rPr>
        <w:t>Unknown</w:t>
      </w:r>
      <w:r>
        <w:rPr>
          <w:lang w:val="en-GB"/>
        </w:rPr>
        <w:t>’</w:t>
      </w:r>
      <w:r w:rsidRPr="00A14353">
        <w:rPr>
          <w:lang w:val="en-GB"/>
        </w:rPr>
        <w:t xml:space="preserve"> was entered. Therefore, the risk of error was considered very low, if not negligible</w:t>
      </w:r>
      <w:r>
        <w:rPr>
          <w:lang w:val="en-GB"/>
        </w:rPr>
        <w:t>.</w:t>
      </w:r>
    </w:p>
    <w:p w14:paraId="32D9BB9D" w14:textId="0ABFE7CD" w:rsidR="005B09E5" w:rsidRPr="00A14353" w:rsidRDefault="005B09E5" w:rsidP="005B09E5">
      <w:pPr>
        <w:pStyle w:val="CETBodytext"/>
        <w:rPr>
          <w:lang w:val="en-GB"/>
        </w:rPr>
      </w:pPr>
      <w:r w:rsidRPr="00A14353">
        <w:rPr>
          <w:lang w:val="en-GB"/>
        </w:rPr>
        <w:lastRenderedPageBreak/>
        <w:tab/>
        <w:t xml:space="preserve">The probabilities of the child nodes were calculated using Conditional Probability Tables (CPT). Once the probabilities for all states of all nodes were calculated, they were entered into the </w:t>
      </w:r>
      <w:proofErr w:type="spellStart"/>
      <w:r w:rsidRPr="00A14353">
        <w:rPr>
          <w:lang w:val="en-GB"/>
        </w:rPr>
        <w:t>GeNIe</w:t>
      </w:r>
      <w:proofErr w:type="spellEnd"/>
      <w:r w:rsidRPr="00A14353">
        <w:rPr>
          <w:lang w:val="en-GB"/>
        </w:rPr>
        <w:t xml:space="preserve"> software</w:t>
      </w:r>
      <w:r w:rsidR="00BA08DC">
        <w:rPr>
          <w:lang w:val="en-GB"/>
        </w:rPr>
        <w:t xml:space="preserve"> </w:t>
      </w:r>
      <w:r w:rsidR="009D4EB4">
        <w:rPr>
          <w:lang w:val="en-GB"/>
        </w:rPr>
        <w:t>(</w:t>
      </w:r>
      <w:proofErr w:type="spellStart"/>
      <w:r w:rsidR="009D4EB4" w:rsidRPr="009D4EB4">
        <w:rPr>
          <w:lang w:val="en-GB"/>
        </w:rPr>
        <w:t>BayesFusion</w:t>
      </w:r>
      <w:proofErr w:type="spellEnd"/>
      <w:r w:rsidR="009D4EB4" w:rsidRPr="009D4EB4">
        <w:rPr>
          <w:lang w:val="en-GB"/>
        </w:rPr>
        <w:t xml:space="preserve"> LCC</w:t>
      </w:r>
      <w:r w:rsidR="009D4EB4">
        <w:rPr>
          <w:lang w:val="en-GB"/>
        </w:rPr>
        <w:t>, 2024)</w:t>
      </w:r>
      <w:r w:rsidRPr="00A14353">
        <w:rPr>
          <w:lang w:val="en-GB"/>
        </w:rPr>
        <w:t>, which allows for a graphical representation of the network.</w:t>
      </w:r>
    </w:p>
    <w:p w14:paraId="65FF4BFA" w14:textId="77727768" w:rsidR="005B09E5" w:rsidRPr="008E6472" w:rsidRDefault="005B09E5" w:rsidP="005B09E5">
      <w:pPr>
        <w:pStyle w:val="CETBodytext"/>
        <w:rPr>
          <w:rFonts w:eastAsia="MS Mincho"/>
          <w:lang w:val="en-GB" w:eastAsia="ja-JP"/>
        </w:rPr>
      </w:pPr>
      <w:r w:rsidRPr="00A14353">
        <w:rPr>
          <w:lang w:val="en-GB"/>
        </w:rPr>
        <w:tab/>
        <w:t>From the statistical analysis conducted</w:t>
      </w:r>
      <w:r>
        <w:rPr>
          <w:lang w:val="en-GB"/>
        </w:rPr>
        <w:t>,</w:t>
      </w:r>
      <w:r w:rsidRPr="00A14353">
        <w:rPr>
          <w:lang w:val="en-GB"/>
        </w:rPr>
        <w:t xml:space="preserve"> the effectiveness of safety barriers is not related to any node. Therefore, an analysis of safety barrier failure was </w:t>
      </w:r>
      <w:r>
        <w:rPr>
          <w:lang w:val="en-GB"/>
        </w:rPr>
        <w:t>perform</w:t>
      </w:r>
      <w:r w:rsidRPr="00A14353">
        <w:rPr>
          <w:lang w:val="en-GB"/>
        </w:rPr>
        <w:t xml:space="preserve">ed by selecting a type of final incident scenario as a reference in </w:t>
      </w:r>
      <w:proofErr w:type="spellStart"/>
      <w:r w:rsidRPr="00A14353">
        <w:rPr>
          <w:lang w:val="en-GB"/>
        </w:rPr>
        <w:t>GeNIe</w:t>
      </w:r>
      <w:proofErr w:type="spellEnd"/>
      <w:r>
        <w:rPr>
          <w:lang w:val="en-GB"/>
        </w:rPr>
        <w:t>, allowing t</w:t>
      </w:r>
      <w:r w:rsidRPr="00A14353">
        <w:rPr>
          <w:lang w:val="en-GB"/>
        </w:rPr>
        <w:t>he visuali</w:t>
      </w:r>
      <w:r>
        <w:rPr>
          <w:lang w:val="en-GB"/>
        </w:rPr>
        <w:t>s</w:t>
      </w:r>
      <w:r w:rsidRPr="00A14353">
        <w:rPr>
          <w:lang w:val="en-GB"/>
        </w:rPr>
        <w:t>ation</w:t>
      </w:r>
      <w:r>
        <w:rPr>
          <w:lang w:val="en-GB"/>
        </w:rPr>
        <w:t xml:space="preserve"> </w:t>
      </w:r>
      <w:r w:rsidRPr="00A14353">
        <w:rPr>
          <w:lang w:val="en-GB"/>
        </w:rPr>
        <w:t>of which safety barriers are involved in the occurrence of the specific incident scenario</w:t>
      </w:r>
      <w:r>
        <w:rPr>
          <w:lang w:val="en-GB"/>
        </w:rPr>
        <w:t>.</w:t>
      </w:r>
      <w:r w:rsidRPr="00A14353">
        <w:rPr>
          <w:lang w:val="en-GB"/>
        </w:rPr>
        <w:t xml:space="preserve"> </w:t>
      </w:r>
      <w:r>
        <w:rPr>
          <w:lang w:val="en-GB"/>
        </w:rPr>
        <w:t>T</w:t>
      </w:r>
      <w:r w:rsidRPr="00A14353">
        <w:rPr>
          <w:lang w:val="en-GB"/>
        </w:rPr>
        <w:t>he</w:t>
      </w:r>
      <w:r>
        <w:rPr>
          <w:lang w:val="en-GB"/>
        </w:rPr>
        <w:t>n, the</w:t>
      </w:r>
      <w:r w:rsidRPr="00A14353">
        <w:rPr>
          <w:lang w:val="en-GB"/>
        </w:rPr>
        <w:t xml:space="preserve"> probability of failure for these specific safety barriers was calculated using the data available in the C</w:t>
      </w:r>
      <w:r>
        <w:rPr>
          <w:lang w:val="en-GB"/>
        </w:rPr>
        <w:t>W</w:t>
      </w:r>
      <w:r w:rsidRPr="00A14353">
        <w:rPr>
          <w:lang w:val="en-GB"/>
        </w:rPr>
        <w:t xml:space="preserve"> Database.</w:t>
      </w:r>
    </w:p>
    <w:p w14:paraId="0E129CC6" w14:textId="7D5BBDE0" w:rsidR="005B09E5" w:rsidRPr="008E6472" w:rsidRDefault="005B09E5" w:rsidP="005B09E5">
      <w:pPr>
        <w:pStyle w:val="CETBodytext"/>
        <w:rPr>
          <w:rFonts w:eastAsia="MS Mincho"/>
          <w:lang w:val="en-GB" w:eastAsia="ja-JP"/>
        </w:rPr>
      </w:pPr>
      <w:r w:rsidRPr="00A14353">
        <w:rPr>
          <w:lang w:val="en-GB"/>
        </w:rPr>
        <w:tab/>
        <w:t xml:space="preserve">The same type of analysis (identifying the most involved characteristics of a feature for a specific type of final incident scenario) was used to assess the involved equipment. The three identified incident scenarios during clustering, namely Toxic cloud, </w:t>
      </w:r>
      <w:proofErr w:type="gramStart"/>
      <w:r w:rsidRPr="00A14353">
        <w:rPr>
          <w:lang w:val="en-GB"/>
        </w:rPr>
        <w:t>Near</w:t>
      </w:r>
      <w:proofErr w:type="gramEnd"/>
      <w:r w:rsidRPr="00A14353">
        <w:rPr>
          <w:lang w:val="en-GB"/>
        </w:rPr>
        <w:t xml:space="preserve"> miss, and Release, </w:t>
      </w:r>
      <w:r>
        <w:rPr>
          <w:lang w:val="en-GB"/>
        </w:rPr>
        <w:t>were</w:t>
      </w:r>
      <w:r w:rsidRPr="00A14353">
        <w:rPr>
          <w:lang w:val="en-GB"/>
        </w:rPr>
        <w:t xml:space="preserve"> analysed.</w:t>
      </w:r>
    </w:p>
    <w:p w14:paraId="7B15216E" w14:textId="2165549F" w:rsidR="005B09E5" w:rsidRDefault="005B09E5" w:rsidP="005B09E5">
      <w:pPr>
        <w:pStyle w:val="CETBodytext"/>
        <w:rPr>
          <w:lang w:val="en-GB"/>
        </w:rPr>
      </w:pPr>
      <w:r w:rsidRPr="00A14353">
        <w:rPr>
          <w:lang w:val="en-GB"/>
        </w:rPr>
        <w:tab/>
      </w:r>
      <w:r>
        <w:rPr>
          <w:lang w:val="en-GB"/>
        </w:rPr>
        <w:t xml:space="preserve">For instance, Figure 3 shows the association of the following safety barriers to the Near miss scenario: secondary containment (28%), relief valve (18%), and flare (17%). </w:t>
      </w:r>
      <w:r w:rsidRPr="00A14353">
        <w:rPr>
          <w:lang w:val="en-GB"/>
        </w:rPr>
        <w:t>The equipment primarily involved include</w:t>
      </w:r>
      <w:r w:rsidR="00B279B1">
        <w:rPr>
          <w:lang w:val="en-GB"/>
        </w:rPr>
        <w:t>d</w:t>
      </w:r>
      <w:r w:rsidRPr="00A14353">
        <w:rPr>
          <w:lang w:val="en-GB"/>
        </w:rPr>
        <w:t xml:space="preserve"> pipes (44</w:t>
      </w:r>
      <w:r>
        <w:rPr>
          <w:lang w:val="en-GB"/>
        </w:rPr>
        <w:t>%</w:t>
      </w:r>
      <w:r w:rsidRPr="00A14353">
        <w:rPr>
          <w:lang w:val="en-GB"/>
        </w:rPr>
        <w:t>), tanks (22%), and valves (18</w:t>
      </w:r>
      <w:r>
        <w:rPr>
          <w:lang w:val="en-GB"/>
        </w:rPr>
        <w:t>%</w:t>
      </w:r>
      <w:r w:rsidRPr="00A14353">
        <w:rPr>
          <w:lang w:val="en-GB"/>
        </w:rPr>
        <w:t>).</w:t>
      </w:r>
      <w:r>
        <w:rPr>
          <w:lang w:val="en-GB"/>
        </w:rPr>
        <w:t xml:space="preserve"> </w:t>
      </w:r>
    </w:p>
    <w:p w14:paraId="74B0806E" w14:textId="77777777" w:rsidR="005B09E5" w:rsidRDefault="005B09E5" w:rsidP="005B09E5">
      <w:pPr>
        <w:pStyle w:val="CETBodytext"/>
      </w:pPr>
    </w:p>
    <w:p w14:paraId="323BE563" w14:textId="77777777" w:rsidR="005B09E5" w:rsidRDefault="005B09E5" w:rsidP="005B09E5">
      <w:pPr>
        <w:pStyle w:val="CETBodytext"/>
        <w:jc w:val="left"/>
        <w:rPr>
          <w:lang w:val="en-GB"/>
        </w:rPr>
      </w:pPr>
      <w:r w:rsidRPr="009D44A7">
        <w:rPr>
          <w:noProof/>
        </w:rPr>
        <w:drawing>
          <wp:inline distT="0" distB="0" distL="0" distR="0" wp14:anchorId="1F7D2631" wp14:editId="1F2EDCCD">
            <wp:extent cx="5514713" cy="4038600"/>
            <wp:effectExtent l="0" t="0" r="0" b="0"/>
            <wp:docPr id="441323916" name="Picture 44132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6222" cy="4076322"/>
                    </a:xfrm>
                    <a:prstGeom prst="rect">
                      <a:avLst/>
                    </a:prstGeom>
                    <a:noFill/>
                    <a:ln>
                      <a:noFill/>
                    </a:ln>
                  </pic:spPr>
                </pic:pic>
              </a:graphicData>
            </a:graphic>
          </wp:inline>
        </w:drawing>
      </w:r>
    </w:p>
    <w:p w14:paraId="3EDBD052" w14:textId="77777777" w:rsidR="005B09E5" w:rsidRPr="00A14353" w:rsidRDefault="005B09E5" w:rsidP="005B09E5">
      <w:pPr>
        <w:pStyle w:val="CETCaption"/>
      </w:pPr>
      <w:r>
        <w:t xml:space="preserve">Figure 3: </w:t>
      </w:r>
      <w:r w:rsidRPr="00C55912">
        <w:t xml:space="preserve">Bayesian Network with focus on Near miss as </w:t>
      </w:r>
      <w:r>
        <w:t>t</w:t>
      </w:r>
      <w:r w:rsidRPr="00C55912">
        <w:t>ype of final scenario. It is possible to see the probability values of other node’s states.</w:t>
      </w:r>
    </w:p>
    <w:p w14:paraId="11D3ACF6" w14:textId="61280584" w:rsidR="005B09E5" w:rsidRPr="00A14353" w:rsidRDefault="005B09E5" w:rsidP="005B09E5">
      <w:pPr>
        <w:pStyle w:val="CETBodytext"/>
        <w:rPr>
          <w:lang w:val="en-GB"/>
        </w:rPr>
      </w:pPr>
      <w:r w:rsidRPr="00A14353">
        <w:rPr>
          <w:lang w:val="en-GB"/>
        </w:rPr>
        <w:tab/>
      </w:r>
      <w:r w:rsidR="00B279B1">
        <w:rPr>
          <w:lang w:val="en-GB"/>
        </w:rPr>
        <w:t>Moreover, t</w:t>
      </w:r>
      <w:r w:rsidRPr="00A14353">
        <w:rPr>
          <w:lang w:val="en-GB"/>
        </w:rPr>
        <w:t>he failure frequencies of safety barriers were analysed in the database, resulting in 20% for secondary containment, 0% for shutdown procedures, 72.7% for relief valves, and 28.6% for flares. The significant aspect is the high incidence of relief valve failures, particularly sensitive to cold waves.</w:t>
      </w:r>
    </w:p>
    <w:p w14:paraId="009F24AD" w14:textId="3FDBA9A3" w:rsidR="005B09E5" w:rsidRPr="00AB2273" w:rsidRDefault="005B09E5" w:rsidP="005B09E5">
      <w:pPr>
        <w:pStyle w:val="CETBodytext"/>
        <w:rPr>
          <w:lang w:val="en-GB"/>
        </w:rPr>
      </w:pPr>
      <w:r w:rsidRPr="00A14353">
        <w:rPr>
          <w:lang w:val="en-GB"/>
        </w:rPr>
        <w:tab/>
        <w:t xml:space="preserve">By setting the final incident scenario type on </w:t>
      </w:r>
      <w:proofErr w:type="spellStart"/>
      <w:r w:rsidRPr="00A14353">
        <w:rPr>
          <w:lang w:val="en-GB"/>
        </w:rPr>
        <w:t>GeNIe</w:t>
      </w:r>
      <w:proofErr w:type="spellEnd"/>
      <w:r w:rsidRPr="00A14353">
        <w:rPr>
          <w:lang w:val="en-GB"/>
        </w:rPr>
        <w:t xml:space="preserve"> as one identified through the characteri</w:t>
      </w:r>
      <w:r>
        <w:rPr>
          <w:lang w:val="en-GB"/>
        </w:rPr>
        <w:t>s</w:t>
      </w:r>
      <w:r w:rsidRPr="00A14353">
        <w:rPr>
          <w:lang w:val="en-GB"/>
        </w:rPr>
        <w:t xml:space="preserve">ation of cluster centroids, it is possible to analyse the prevalent characteristics for each incident feature related to that scenario. These characteristics were then compared with the incident features obtained from the three centroids of the clusters, yielding positive results. In </w:t>
      </w:r>
      <w:r>
        <w:rPr>
          <w:lang w:val="en-GB"/>
        </w:rPr>
        <w:t>fact</w:t>
      </w:r>
      <w:r w:rsidRPr="00A14353">
        <w:rPr>
          <w:lang w:val="en-GB"/>
        </w:rPr>
        <w:t xml:space="preserve">, the </w:t>
      </w:r>
      <w:r>
        <w:rPr>
          <w:lang w:val="en-GB"/>
        </w:rPr>
        <w:t>Bayesian network results reflect</w:t>
      </w:r>
      <w:r w:rsidR="00B279B1">
        <w:rPr>
          <w:lang w:val="en-GB"/>
        </w:rPr>
        <w:t>ed</w:t>
      </w:r>
      <w:r>
        <w:rPr>
          <w:lang w:val="en-GB"/>
        </w:rPr>
        <w:t xml:space="preserve"> the clustering analysis outcome</w:t>
      </w:r>
      <w:r w:rsidRPr="00A14353">
        <w:rPr>
          <w:lang w:val="en-GB"/>
        </w:rPr>
        <w:t>s</w:t>
      </w:r>
      <w:r>
        <w:rPr>
          <w:lang w:val="en-GB"/>
        </w:rPr>
        <w:t xml:space="preserve">, </w:t>
      </w:r>
      <w:r w:rsidR="00B279B1">
        <w:rPr>
          <w:lang w:val="en-GB"/>
        </w:rPr>
        <w:t>suggesting</w:t>
      </w:r>
      <w:r>
        <w:rPr>
          <w:lang w:val="en-GB"/>
        </w:rPr>
        <w:t xml:space="preserve"> that the created model is reliable and promising for further development.</w:t>
      </w:r>
    </w:p>
    <w:p w14:paraId="744EA303" w14:textId="77777777" w:rsidR="005B09E5" w:rsidRDefault="005B09E5" w:rsidP="005B09E5">
      <w:pPr>
        <w:pStyle w:val="CETHeading1"/>
        <w:rPr>
          <w:lang w:val="en-GB"/>
        </w:rPr>
      </w:pPr>
      <w:r w:rsidRPr="0034B4F5">
        <w:rPr>
          <w:lang w:val="en-GB"/>
        </w:rPr>
        <w:lastRenderedPageBreak/>
        <w:t>Conclusions</w:t>
      </w:r>
    </w:p>
    <w:p w14:paraId="6A24E7E9" w14:textId="17420FFF" w:rsidR="005B09E5" w:rsidRPr="001529DD" w:rsidRDefault="005B09E5" w:rsidP="005B09E5">
      <w:pPr>
        <w:pStyle w:val="CETBodytext"/>
        <w:rPr>
          <w:lang w:val="en-GB"/>
        </w:rPr>
      </w:pPr>
      <w:r>
        <w:rPr>
          <w:lang w:val="en-GB"/>
        </w:rPr>
        <w:t>This study propose</w:t>
      </w:r>
      <w:r w:rsidR="00B279B1">
        <w:rPr>
          <w:lang w:val="en-GB"/>
        </w:rPr>
        <w:t>d</w:t>
      </w:r>
      <w:r>
        <w:rPr>
          <w:lang w:val="en-GB"/>
        </w:rPr>
        <w:t xml:space="preserve"> an approach based on Unsupervised Machine Learning and Bayesian Network for learning from past undesired Natech events. The analysis of the Cold Wave database identified three clusters representing the main characteristics of Natech events triggered by Cold Waves. On the other hand, the statistical analysis le</w:t>
      </w:r>
      <w:r w:rsidR="00B279B1">
        <w:rPr>
          <w:lang w:val="en-GB"/>
        </w:rPr>
        <w:t>d</w:t>
      </w:r>
      <w:r>
        <w:rPr>
          <w:lang w:val="en-GB"/>
        </w:rPr>
        <w:t xml:space="preserve"> to the creation of the Bayesian Network consisting of </w:t>
      </w:r>
      <w:r w:rsidR="000561C7">
        <w:rPr>
          <w:lang w:val="en-GB"/>
        </w:rPr>
        <w:t xml:space="preserve">two root nodes and </w:t>
      </w:r>
      <w:proofErr w:type="gramStart"/>
      <w:r w:rsidR="000561C7">
        <w:rPr>
          <w:lang w:val="en-GB"/>
        </w:rPr>
        <w:t>four leaf</w:t>
      </w:r>
      <w:proofErr w:type="gramEnd"/>
      <w:r w:rsidR="000561C7">
        <w:rPr>
          <w:lang w:val="en-GB"/>
        </w:rPr>
        <w:t xml:space="preserve"> nodes</w:t>
      </w:r>
      <w:r w:rsidRPr="001529DD">
        <w:rPr>
          <w:lang w:val="en-GB"/>
        </w:rPr>
        <w:t xml:space="preserve">. This study </w:t>
      </w:r>
      <w:r>
        <w:rPr>
          <w:lang w:val="en-GB"/>
        </w:rPr>
        <w:t>i</w:t>
      </w:r>
      <w:r w:rsidRPr="001529DD">
        <w:rPr>
          <w:lang w:val="en-GB"/>
        </w:rPr>
        <w:t xml:space="preserve">s a starting point </w:t>
      </w:r>
      <w:r w:rsidR="002A7F7D">
        <w:rPr>
          <w:lang w:val="en-GB"/>
        </w:rPr>
        <w:t>for analysing</w:t>
      </w:r>
      <w:r>
        <w:rPr>
          <w:lang w:val="en-GB"/>
        </w:rPr>
        <w:t xml:space="preserve"> past incidents through an innovative methodology</w:t>
      </w:r>
      <w:r w:rsidRPr="001529DD">
        <w:rPr>
          <w:lang w:val="en-GB"/>
        </w:rPr>
        <w:t xml:space="preserve">. </w:t>
      </w:r>
      <w:r w:rsidR="002A7F7D">
        <w:rPr>
          <w:lang w:val="en-GB"/>
        </w:rPr>
        <w:t xml:space="preserve">However, </w:t>
      </w:r>
      <w:r w:rsidR="003F466C">
        <w:rPr>
          <w:lang w:val="en-GB"/>
        </w:rPr>
        <w:t>i</w:t>
      </w:r>
      <w:r w:rsidR="002A7F7D" w:rsidRPr="002A7F7D">
        <w:rPr>
          <w:lang w:val="en-GB"/>
        </w:rPr>
        <w:t>t is essen</w:t>
      </w:r>
      <w:r w:rsidR="002A7F7D">
        <w:rPr>
          <w:lang w:val="en-GB"/>
        </w:rPr>
        <w:t>ti</w:t>
      </w:r>
      <w:r w:rsidR="002A7F7D" w:rsidRPr="002A7F7D">
        <w:rPr>
          <w:lang w:val="en-GB"/>
        </w:rPr>
        <w:t>al to consider that the use</w:t>
      </w:r>
      <w:r w:rsidR="002A7F7D">
        <w:rPr>
          <w:lang w:val="en-GB"/>
        </w:rPr>
        <w:t xml:space="preserve"> </w:t>
      </w:r>
      <w:r w:rsidR="002A7F7D" w:rsidRPr="002A7F7D">
        <w:rPr>
          <w:lang w:val="en-GB"/>
        </w:rPr>
        <w:t xml:space="preserve">of Unsupervised Machine Learning requires a </w:t>
      </w:r>
      <w:r w:rsidR="002A7F7D">
        <w:rPr>
          <w:lang w:val="en-GB"/>
        </w:rPr>
        <w:t>critical</w:t>
      </w:r>
      <w:r w:rsidR="002A7F7D" w:rsidRPr="002A7F7D">
        <w:rPr>
          <w:lang w:val="en-GB"/>
        </w:rPr>
        <w:t xml:space="preserve"> interpret</w:t>
      </w:r>
      <w:r w:rsidR="002A7F7D">
        <w:rPr>
          <w:lang w:val="en-GB"/>
        </w:rPr>
        <w:t>atio</w:t>
      </w:r>
      <w:r w:rsidR="002A7F7D" w:rsidRPr="002A7F7D">
        <w:rPr>
          <w:lang w:val="en-GB"/>
        </w:rPr>
        <w:t xml:space="preserve">n of </w:t>
      </w:r>
      <w:r w:rsidR="002A7F7D">
        <w:rPr>
          <w:lang w:val="en-GB"/>
        </w:rPr>
        <w:t xml:space="preserve">the results. </w:t>
      </w:r>
      <w:r w:rsidRPr="001529DD">
        <w:rPr>
          <w:lang w:val="en-GB"/>
        </w:rPr>
        <w:t xml:space="preserve">Additionally, the limited attention given to Cold Wave-induced incidents in the literature </w:t>
      </w:r>
      <w:r>
        <w:rPr>
          <w:lang w:val="en-GB"/>
        </w:rPr>
        <w:t>makes</w:t>
      </w:r>
      <w:r w:rsidRPr="001529DD">
        <w:rPr>
          <w:lang w:val="en-GB"/>
        </w:rPr>
        <w:t xml:space="preserve"> the available data constrained</w:t>
      </w:r>
      <w:r>
        <w:rPr>
          <w:lang w:val="en-GB"/>
        </w:rPr>
        <w:t>, representing a significant limitation in applying techniques such as Machine Learning, which relies on</w:t>
      </w:r>
      <w:r w:rsidRPr="001529DD">
        <w:rPr>
          <w:lang w:val="en-GB"/>
        </w:rPr>
        <w:t xml:space="preserve"> a large amount of data. A substantial increase in samples would lead to a considerable improvement in results, making them more reliable. Moreover, a much larger number of incidents would notably alter the </w:t>
      </w:r>
      <w:r>
        <w:rPr>
          <w:lang w:val="en-GB"/>
        </w:rPr>
        <w:t xml:space="preserve">proposed </w:t>
      </w:r>
      <w:r w:rsidRPr="001529DD">
        <w:rPr>
          <w:lang w:val="en-GB"/>
        </w:rPr>
        <w:t xml:space="preserve">structure of the Bayesian </w:t>
      </w:r>
      <w:r>
        <w:rPr>
          <w:lang w:val="en-GB"/>
        </w:rPr>
        <w:t>N</w:t>
      </w:r>
      <w:r w:rsidRPr="001529DD">
        <w:rPr>
          <w:lang w:val="en-GB"/>
        </w:rPr>
        <w:t>etwork</w:t>
      </w:r>
      <w:r>
        <w:rPr>
          <w:lang w:val="en-GB"/>
        </w:rPr>
        <w:t>.</w:t>
      </w:r>
    </w:p>
    <w:p w14:paraId="0482B247" w14:textId="77777777" w:rsidR="005B09E5" w:rsidRPr="00B57B36" w:rsidRDefault="005B09E5" w:rsidP="005B09E5">
      <w:pPr>
        <w:pStyle w:val="CETReference"/>
      </w:pPr>
      <w:r w:rsidRPr="00B57B36">
        <w:t>References</w:t>
      </w:r>
    </w:p>
    <w:p w14:paraId="24FE09E3" w14:textId="62B60774" w:rsidR="005B09E5" w:rsidRDefault="005B09E5" w:rsidP="005B09E5">
      <w:pPr>
        <w:pStyle w:val="CETReferencetext"/>
      </w:pPr>
      <w:r w:rsidRPr="003B6AD1">
        <w:t>Chen S</w:t>
      </w:r>
      <w:r w:rsidR="00A844A6">
        <w:t>.</w:t>
      </w:r>
      <w:r w:rsidRPr="003B6AD1">
        <w:t xml:space="preserve"> H., Pollino</w:t>
      </w:r>
      <w:r w:rsidR="00A844A6">
        <w:t xml:space="preserve"> </w:t>
      </w:r>
      <w:r w:rsidR="00A844A6" w:rsidRPr="003B6AD1">
        <w:t>C</w:t>
      </w:r>
      <w:r w:rsidR="00A844A6">
        <w:t>.</w:t>
      </w:r>
      <w:r w:rsidR="00A844A6" w:rsidRPr="003B6AD1">
        <w:t>A.</w:t>
      </w:r>
      <w:r>
        <w:t>,</w:t>
      </w:r>
      <w:r w:rsidRPr="003B6AD1">
        <w:t xml:space="preserve"> 2012</w:t>
      </w:r>
      <w:r>
        <w:t>,</w:t>
      </w:r>
      <w:r w:rsidRPr="003B6AD1">
        <w:t xml:space="preserve"> Good practice in Bayesian network modelling, Environmental Modelling &amp; Software, 37, 134-145.</w:t>
      </w:r>
    </w:p>
    <w:p w14:paraId="40CE16DE" w14:textId="77CB49AD" w:rsidR="005B09E5" w:rsidRDefault="005B09E5" w:rsidP="005B09E5">
      <w:pPr>
        <w:pStyle w:val="CETReferencetext"/>
      </w:pPr>
      <w:proofErr w:type="spellStart"/>
      <w:r w:rsidRPr="00B52308">
        <w:t>Chokor</w:t>
      </w:r>
      <w:proofErr w:type="spellEnd"/>
      <w:r w:rsidRPr="00B52308">
        <w:t xml:space="preserve"> A</w:t>
      </w:r>
      <w:r w:rsidR="00A844A6">
        <w:t>.</w:t>
      </w:r>
      <w:r w:rsidRPr="00B52308">
        <w:t>, Naganathan</w:t>
      </w:r>
      <w:r w:rsidR="00A844A6">
        <w:t xml:space="preserve"> </w:t>
      </w:r>
      <w:r w:rsidR="00A844A6" w:rsidRPr="00B52308">
        <w:t>H</w:t>
      </w:r>
      <w:r w:rsidR="00A844A6">
        <w:t>.</w:t>
      </w:r>
      <w:r w:rsidRPr="00B52308">
        <w:t>, Chong</w:t>
      </w:r>
      <w:r w:rsidR="00A844A6">
        <w:t xml:space="preserve"> W.K.</w:t>
      </w:r>
      <w:r w:rsidRPr="00B52308">
        <w:t>, El Asmar</w:t>
      </w:r>
      <w:r w:rsidR="00A844A6">
        <w:t xml:space="preserve"> M.</w:t>
      </w:r>
      <w:r w:rsidRPr="00B52308">
        <w:t>, 2016, Analy</w:t>
      </w:r>
      <w:r>
        <w:t>s</w:t>
      </w:r>
      <w:r w:rsidRPr="00B52308">
        <w:t>ing Arizona OSHA Injury Reports Using Unsupervised Machine Learning, Procedia Engineering, 145, 1588-1593</w:t>
      </w:r>
      <w:r>
        <w:t>.</w:t>
      </w:r>
    </w:p>
    <w:p w14:paraId="3D500E7A" w14:textId="6AD44069" w:rsidR="005B09E5" w:rsidRDefault="005B09E5" w:rsidP="005B09E5">
      <w:pPr>
        <w:pStyle w:val="CETReferencetext"/>
      </w:pPr>
      <w:r w:rsidRPr="008236B3">
        <w:t>Brussels: European Comission. </w:t>
      </w:r>
      <w:r>
        <w:t>&lt;</w:t>
      </w:r>
      <w:r w:rsidRPr="008236B3">
        <w:t>unisdr.org/files/2631_FinalNatechStateofthe20Artcorrected.pdf</w:t>
      </w:r>
      <w:r>
        <w:t>&gt;.</w:t>
      </w:r>
      <w:r w:rsidRPr="008236B3">
        <w:t xml:space="preserve"> Accessed 10</w:t>
      </w:r>
      <w:r>
        <w:t>.02.</w:t>
      </w:r>
      <w:r w:rsidRPr="008236B3">
        <w:t>202</w:t>
      </w:r>
      <w:r>
        <w:t>4</w:t>
      </w:r>
      <w:r w:rsidRPr="008236B3">
        <w:t>.</w:t>
      </w:r>
    </w:p>
    <w:p w14:paraId="43483144" w14:textId="37E62DC2" w:rsidR="005B09E5" w:rsidRDefault="005B09E5" w:rsidP="005B09E5">
      <w:pPr>
        <w:pStyle w:val="CETReferencetext"/>
      </w:pPr>
      <w:r w:rsidRPr="002B7A65">
        <w:t>Cui</w:t>
      </w:r>
      <w:r w:rsidR="00A844A6">
        <w:t xml:space="preserve"> J.,</w:t>
      </w:r>
      <w:r w:rsidRPr="002B7A65">
        <w:t xml:space="preserve"> Kong</w:t>
      </w:r>
      <w:r w:rsidR="00A844A6">
        <w:t xml:space="preserve"> Y.</w:t>
      </w:r>
      <w:r w:rsidRPr="002B7A65">
        <w:t>, Liu</w:t>
      </w:r>
      <w:r w:rsidR="003F466C">
        <w:t xml:space="preserve"> C.</w:t>
      </w:r>
      <w:r w:rsidRPr="002B7A65">
        <w:t>, Cai</w:t>
      </w:r>
      <w:r w:rsidR="003F466C">
        <w:t xml:space="preserve"> B.</w:t>
      </w:r>
      <w:r w:rsidRPr="002B7A65">
        <w:t>, Khan</w:t>
      </w:r>
      <w:r w:rsidR="003F466C">
        <w:t xml:space="preserve"> F., </w:t>
      </w:r>
      <w:r w:rsidRPr="002B7A65">
        <w:t>Li</w:t>
      </w:r>
      <w:r w:rsidR="003F466C">
        <w:t xml:space="preserve"> Y.</w:t>
      </w:r>
      <w:r>
        <w:t>,</w:t>
      </w:r>
      <w:r w:rsidRPr="002B7A65">
        <w:t xml:space="preserve"> 2024</w:t>
      </w:r>
      <w:r>
        <w:t>,</w:t>
      </w:r>
      <w:r w:rsidRPr="002B7A65">
        <w:t xml:space="preserve"> Failure probability analysis of hydrogen doped pipelines based on the Bayesian network, Engineering Failure Analysis</w:t>
      </w:r>
      <w:r>
        <w:t xml:space="preserve">, 156, </w:t>
      </w:r>
      <w:r w:rsidRPr="004B7395">
        <w:t>1350-6307</w:t>
      </w:r>
      <w:r>
        <w:t>.</w:t>
      </w:r>
    </w:p>
    <w:p w14:paraId="4396DA77" w14:textId="5093744B" w:rsidR="005B09E5" w:rsidRDefault="005B09E5" w:rsidP="005B09E5">
      <w:pPr>
        <w:pStyle w:val="CETReferencetext"/>
      </w:pPr>
      <w:r w:rsidRPr="00E07DF1">
        <w:t>European Major Accident Hazard Bureau (MAHB</w:t>
      </w:r>
      <w:r>
        <w:t>)</w:t>
      </w:r>
      <w:r w:rsidRPr="00E07DF1">
        <w:t xml:space="preserve">, The </w:t>
      </w:r>
      <w:proofErr w:type="spellStart"/>
      <w:r w:rsidRPr="00E07DF1">
        <w:t>eMARS</w:t>
      </w:r>
      <w:proofErr w:type="spellEnd"/>
      <w:r w:rsidRPr="00E07DF1">
        <w:t xml:space="preserve"> (Major Accident Reporting System) Database. </w:t>
      </w:r>
      <w:r w:rsidRPr="003D4F1D">
        <w:t>&lt;emars.jrc.ec.europa.eu/</w:t>
      </w:r>
      <w:proofErr w:type="spellStart"/>
      <w:r w:rsidRPr="003D4F1D">
        <w:t>en</w:t>
      </w:r>
      <w:proofErr w:type="spellEnd"/>
      <w:r w:rsidRPr="003D4F1D">
        <w:t>/</w:t>
      </w:r>
      <w:proofErr w:type="spellStart"/>
      <w:r w:rsidRPr="003D4F1D">
        <w:t>emars</w:t>
      </w:r>
      <w:proofErr w:type="spellEnd"/>
      <w:r w:rsidRPr="003D4F1D">
        <w:t>/accident/search&gt; accessed 08.09.2023</w:t>
      </w:r>
      <w:r>
        <w:t>.</w:t>
      </w:r>
    </w:p>
    <w:p w14:paraId="392865B2" w14:textId="4DE7D829" w:rsidR="009D4EB4" w:rsidRPr="004D06D7" w:rsidRDefault="009D4EB4" w:rsidP="009D4EB4">
      <w:pPr>
        <w:pStyle w:val="CETReferencetext"/>
      </w:pPr>
      <w:proofErr w:type="spellStart"/>
      <w:r w:rsidRPr="004D06D7">
        <w:t>BayesFusion</w:t>
      </w:r>
      <w:proofErr w:type="spellEnd"/>
      <w:r w:rsidRPr="004D06D7">
        <w:t xml:space="preserve"> LCC, 2024, </w:t>
      </w:r>
      <w:proofErr w:type="spellStart"/>
      <w:r w:rsidRPr="004D06D7">
        <w:t>GeNIe</w:t>
      </w:r>
      <w:proofErr w:type="spellEnd"/>
      <w:r w:rsidRPr="004D06D7">
        <w:t xml:space="preserve"> Modeler. &lt;bayesfusion.com/genie/&gt; accessed 15.09.2023</w:t>
      </w:r>
    </w:p>
    <w:p w14:paraId="0D47DC21" w14:textId="6CFD4648" w:rsidR="005B09E5" w:rsidRDefault="005B09E5" w:rsidP="005B09E5">
      <w:pPr>
        <w:pStyle w:val="CETReferencetext"/>
      </w:pPr>
      <w:r w:rsidRPr="00E07DF1">
        <w:t>Institution of Chemical Engineers (</w:t>
      </w:r>
      <w:proofErr w:type="spellStart"/>
      <w:r w:rsidRPr="00E07DF1">
        <w:t>IChemE</w:t>
      </w:r>
      <w:proofErr w:type="spellEnd"/>
      <w:r w:rsidRPr="00E07DF1">
        <w:t>),</w:t>
      </w:r>
      <w:r w:rsidR="009D4EB4">
        <w:t xml:space="preserve"> </w:t>
      </w:r>
      <w:r w:rsidRPr="00E07DF1">
        <w:t xml:space="preserve">The Accident Database. </w:t>
      </w:r>
      <w:r>
        <w:t>&lt;</w:t>
      </w:r>
      <w:r w:rsidRPr="00E07DF1">
        <w:t>icheme.org/knowledge/safety-centre/resources/accident-data/</w:t>
      </w:r>
      <w:r>
        <w:t>&gt;</w:t>
      </w:r>
      <w:r w:rsidRPr="00E07DF1">
        <w:t xml:space="preserve"> </w:t>
      </w:r>
      <w:r>
        <w:t>accessed 10.</w:t>
      </w:r>
      <w:r w:rsidR="009D4EB4">
        <w:t>11</w:t>
      </w:r>
      <w:r>
        <w:t>.202</w:t>
      </w:r>
      <w:r w:rsidR="009D4EB4">
        <w:t>4</w:t>
      </w:r>
      <w:r w:rsidRPr="00E07DF1">
        <w:t>.</w:t>
      </w:r>
    </w:p>
    <w:p w14:paraId="09399809" w14:textId="57D70601" w:rsidR="00D73311" w:rsidRDefault="00D73311" w:rsidP="005B09E5">
      <w:pPr>
        <w:pStyle w:val="CETReferencetext"/>
      </w:pPr>
      <w:r>
        <w:t>K</w:t>
      </w:r>
      <w:r w:rsidRPr="00D73311">
        <w:t xml:space="preserve">rausmann E., Cruz A. M., Salzano, </w:t>
      </w:r>
      <w:proofErr w:type="gramStart"/>
      <w:r w:rsidRPr="00D73311">
        <w:t xml:space="preserve">E. </w:t>
      </w:r>
      <w:r>
        <w:t>,</w:t>
      </w:r>
      <w:proofErr w:type="gramEnd"/>
      <w:r>
        <w:t xml:space="preserve"> </w:t>
      </w:r>
      <w:r w:rsidRPr="00D73311">
        <w:t>2017</w:t>
      </w:r>
      <w:r>
        <w:t>,</w:t>
      </w:r>
      <w:r w:rsidRPr="00D73311">
        <w:t xml:space="preserve"> Natech Risk Assessment and Management: Reducing the Risk of Natural-Hazard Impact on Hazardous Installations</w:t>
      </w:r>
      <w:r>
        <w:t>, Elsevier.</w:t>
      </w:r>
      <w:r w:rsidRPr="00D73311">
        <w:t xml:space="preserve"> </w:t>
      </w:r>
    </w:p>
    <w:p w14:paraId="18D489C0" w14:textId="70F53F9B" w:rsidR="005B09E5" w:rsidRDefault="005B09E5" w:rsidP="005B09E5">
      <w:pPr>
        <w:pStyle w:val="CETReferencetext"/>
      </w:pPr>
      <w:r w:rsidRPr="005F0101">
        <w:t xml:space="preserve">Krausmann E., </w:t>
      </w:r>
      <w:proofErr w:type="spellStart"/>
      <w:r w:rsidRPr="005F0101">
        <w:t>Baranzini</w:t>
      </w:r>
      <w:proofErr w:type="spellEnd"/>
      <w:r w:rsidRPr="005F0101">
        <w:t>, D., 2012</w:t>
      </w:r>
      <w:r w:rsidR="00D73311">
        <w:t>,</w:t>
      </w:r>
      <w:r w:rsidRPr="005F0101">
        <w:t xml:space="preserve"> Natech risk reduction in the European Union. J</w:t>
      </w:r>
      <w:r w:rsidR="003F466C">
        <w:t xml:space="preserve">ournal of </w:t>
      </w:r>
      <w:r w:rsidRPr="005F0101">
        <w:t>Risk Res</w:t>
      </w:r>
      <w:r w:rsidR="003F466C">
        <w:t>earch,</w:t>
      </w:r>
      <w:r w:rsidRPr="005F0101">
        <w:t xml:space="preserve"> 15, 1027–1047</w:t>
      </w:r>
      <w:r>
        <w:t>.</w:t>
      </w:r>
    </w:p>
    <w:p w14:paraId="2CB54139" w14:textId="4CF92800" w:rsidR="005B09E5" w:rsidRDefault="005B09E5" w:rsidP="005B09E5">
      <w:pPr>
        <w:pStyle w:val="CETReferencetext"/>
      </w:pPr>
      <w:r w:rsidRPr="00C33B72">
        <w:t>Liu</w:t>
      </w:r>
      <w:r w:rsidR="00A844A6">
        <w:t xml:space="preserve"> G., </w:t>
      </w:r>
      <w:r w:rsidRPr="00C33B72">
        <w:t>Boyd</w:t>
      </w:r>
      <w:r w:rsidR="00A844A6">
        <w:t xml:space="preserve"> M.</w:t>
      </w:r>
      <w:r w:rsidRPr="00C33B72">
        <w:t>, Yu</w:t>
      </w:r>
      <w:r w:rsidR="00A844A6">
        <w:t xml:space="preserve"> M.</w:t>
      </w:r>
      <w:r w:rsidRPr="00C33B72">
        <w:t xml:space="preserve">, Halim </w:t>
      </w:r>
      <w:r w:rsidR="00A844A6">
        <w:t xml:space="preserve">S. Z., </w:t>
      </w:r>
      <w:r w:rsidRPr="00C33B72">
        <w:t>Quddus</w:t>
      </w:r>
      <w:r w:rsidR="00A844A6">
        <w:t xml:space="preserve"> N.,</w:t>
      </w:r>
      <w:r w:rsidRPr="00C33B72">
        <w:t xml:space="preserve"> 2021</w:t>
      </w:r>
      <w:r w:rsidR="00A844A6">
        <w:t xml:space="preserve">, </w:t>
      </w:r>
      <w:r w:rsidRPr="00C33B72">
        <w:t xml:space="preserve">Identifying causality and contributory factors of pipeline incidents by employing natural language processing and text mining techniques, Process Safety and Environmental Protection, </w:t>
      </w:r>
      <w:r w:rsidR="00A844A6">
        <w:t>152,</w:t>
      </w:r>
      <w:r w:rsidRPr="00C33B72">
        <w:t xml:space="preserve"> 37-</w:t>
      </w:r>
      <w:r w:rsidR="00A844A6">
        <w:t>46.</w:t>
      </w:r>
    </w:p>
    <w:p w14:paraId="40940392" w14:textId="77777777" w:rsidR="005B09E5" w:rsidRDefault="005B09E5" w:rsidP="005B09E5">
      <w:pPr>
        <w:pStyle w:val="CETReferencetext"/>
      </w:pPr>
      <w:r w:rsidRPr="00DD4FE2">
        <w:t>NASA Earth Observatory</w:t>
      </w:r>
      <w:r>
        <w:t>, 2024,</w:t>
      </w:r>
      <w:r w:rsidRPr="00DD4FE2">
        <w:t xml:space="preserve"> Extreme Nordic Cold,</w:t>
      </w:r>
      <w:r>
        <w:t xml:space="preserve"> &lt;</w:t>
      </w:r>
      <w:r w:rsidRPr="00DD4FE2">
        <w:t>earthobservatory.nasa.gov/images/152288/extreme-</w:t>
      </w:r>
      <w:proofErr w:type="spellStart"/>
      <w:r w:rsidRPr="00DD4FE2">
        <w:t>nordic</w:t>
      </w:r>
      <w:proofErr w:type="spellEnd"/>
      <w:r w:rsidRPr="00DD4FE2">
        <w:t>-cold</w:t>
      </w:r>
      <w:r>
        <w:t>&gt; accessed 20.02.2024</w:t>
      </w:r>
      <w:r w:rsidRPr="00DD4FE2">
        <w:t>.</w:t>
      </w:r>
    </w:p>
    <w:p w14:paraId="0959C60B" w14:textId="1596409E" w:rsidR="005B09E5" w:rsidRDefault="005B09E5" w:rsidP="005B09E5">
      <w:pPr>
        <w:pStyle w:val="CETReferencetext"/>
      </w:pPr>
      <w:r w:rsidRPr="00FE26FD">
        <w:t>Qu</w:t>
      </w:r>
      <w:r w:rsidR="00A844A6">
        <w:t xml:space="preserve"> K.</w:t>
      </w:r>
      <w:r w:rsidRPr="00FE26FD">
        <w:t>, Xu</w:t>
      </w:r>
      <w:r w:rsidR="00A844A6">
        <w:t xml:space="preserve"> J.</w:t>
      </w:r>
      <w:r w:rsidRPr="00FE26FD">
        <w:t>, Hou</w:t>
      </w:r>
      <w:r w:rsidR="00A844A6">
        <w:t xml:space="preserve"> Q.</w:t>
      </w:r>
      <w:r w:rsidRPr="00FE26FD">
        <w:t xml:space="preserve">, Qu </w:t>
      </w:r>
      <w:r w:rsidR="00A844A6">
        <w:t>K.,</w:t>
      </w:r>
      <w:r w:rsidRPr="00FE26FD">
        <w:t xml:space="preserve"> Sun</w:t>
      </w:r>
      <w:r w:rsidR="00A844A6">
        <w:t xml:space="preserve"> Y.</w:t>
      </w:r>
      <w:r>
        <w:t>,</w:t>
      </w:r>
      <w:r w:rsidRPr="00FE26FD">
        <w:t xml:space="preserve"> 2023</w:t>
      </w:r>
      <w:r>
        <w:t>,</w:t>
      </w:r>
      <w:r w:rsidRPr="00FE26FD">
        <w:t xml:space="preserve"> Feature selection using Information Gain and decision information in neighbourhood decision system, Applied Soft Computing, 136</w:t>
      </w:r>
      <w:r>
        <w:t>.</w:t>
      </w:r>
    </w:p>
    <w:p w14:paraId="540F4AD8" w14:textId="75F21974" w:rsidR="005B09E5" w:rsidRDefault="005B09E5" w:rsidP="005B09E5">
      <w:pPr>
        <w:pStyle w:val="CETReferencetext"/>
      </w:pPr>
      <w:r>
        <w:t>Ricci</w:t>
      </w:r>
      <w:r w:rsidR="00A844A6">
        <w:t xml:space="preserve"> F.</w:t>
      </w:r>
      <w:r>
        <w:t xml:space="preserve">, </w:t>
      </w:r>
      <w:r w:rsidR="00A844A6">
        <w:t xml:space="preserve">Casson </w:t>
      </w:r>
      <w:r>
        <w:t>Moreno</w:t>
      </w:r>
      <w:r w:rsidR="00A844A6">
        <w:t xml:space="preserve"> V.</w:t>
      </w:r>
      <w:r>
        <w:t>, and Cozzani</w:t>
      </w:r>
      <w:r w:rsidR="00A844A6">
        <w:t xml:space="preserve"> V.</w:t>
      </w:r>
      <w:r>
        <w:t xml:space="preserve">, 2023, Natech Accidents Triggered by Cold Waves, Process Safety and Environmental Protection, 173, 106–19. </w:t>
      </w:r>
    </w:p>
    <w:p w14:paraId="69B718CF" w14:textId="70054789" w:rsidR="005B09E5" w:rsidRDefault="005B09E5" w:rsidP="005B09E5">
      <w:pPr>
        <w:pStyle w:val="CETReferencetext"/>
      </w:pPr>
      <w:r w:rsidRPr="005C49E3">
        <w:t xml:space="preserve">Suarez Paba </w:t>
      </w:r>
      <w:r w:rsidR="003F466C">
        <w:t>M. C.,</w:t>
      </w:r>
      <w:r w:rsidRPr="005C49E3">
        <w:t xml:space="preserve"> </w:t>
      </w:r>
      <w:proofErr w:type="spellStart"/>
      <w:r w:rsidR="003F466C">
        <w:t>Perreur</w:t>
      </w:r>
      <w:proofErr w:type="spellEnd"/>
      <w:r w:rsidR="003F466C">
        <w:t xml:space="preserve"> M., </w:t>
      </w:r>
      <w:r w:rsidRPr="005C49E3">
        <w:t>Munoz</w:t>
      </w:r>
      <w:r w:rsidR="003F466C">
        <w:t xml:space="preserve"> F.</w:t>
      </w:r>
      <w:r w:rsidRPr="005C49E3">
        <w:t xml:space="preserve">, </w:t>
      </w:r>
      <w:r w:rsidR="003F466C">
        <w:t>Cruz A. M.</w:t>
      </w:r>
      <w:r w:rsidRPr="005C49E3">
        <w:t>, 2019, Systematic Literature Review and Qualitative Meta-Analysis of Natech Research in the Past Four Decades, Safety Science</w:t>
      </w:r>
      <w:r w:rsidR="003F466C">
        <w:t>,</w:t>
      </w:r>
      <w:r w:rsidRPr="005C49E3">
        <w:t xml:space="preserve"> 116, 58–77.</w:t>
      </w:r>
    </w:p>
    <w:p w14:paraId="303F9CF5" w14:textId="4A3DCB70" w:rsidR="005B09E5" w:rsidRDefault="005B09E5" w:rsidP="005B09E5">
      <w:pPr>
        <w:pStyle w:val="CETReferencetext"/>
      </w:pPr>
      <w:r w:rsidRPr="00E07DF1">
        <w:t>The French Bureau for Analysis of Industrial Risks and Pollutions (BARPI), The ARIA (Analysis, Research and Information on Accidents) Database.</w:t>
      </w:r>
      <w:r>
        <w:t xml:space="preserve"> &lt;</w:t>
      </w:r>
      <w:r w:rsidRPr="00E07DF1">
        <w:t>aria.developpement-durable.gouv.fr/the-barpi/the-aria-database/?lang=en</w:t>
      </w:r>
      <w:r>
        <w:t>&gt;</w:t>
      </w:r>
      <w:r w:rsidRPr="00E07DF1">
        <w:t xml:space="preserve"> </w:t>
      </w:r>
      <w:r>
        <w:t>accessed 12.09.2023.</w:t>
      </w:r>
    </w:p>
    <w:p w14:paraId="58BEC211" w14:textId="39A4F6C1" w:rsidR="00A844A6" w:rsidRDefault="00A844A6" w:rsidP="005B09E5">
      <w:pPr>
        <w:pStyle w:val="CETReferencetext"/>
      </w:pPr>
      <w:r w:rsidRPr="00A844A6">
        <w:t>T</w:t>
      </w:r>
      <w:r>
        <w:t>urhan</w:t>
      </w:r>
      <w:r w:rsidRPr="00A844A6">
        <w:t xml:space="preserve"> </w:t>
      </w:r>
      <w:r>
        <w:t>N. S., 2020,</w:t>
      </w:r>
      <w:r w:rsidRPr="00A844A6">
        <w:t xml:space="preserve"> Karl Pearson's Chi-Square Tests Educational Research and Reviews, 16.9: 575-580.</w:t>
      </w:r>
    </w:p>
    <w:p w14:paraId="19C4FC68" w14:textId="06BAAEBE" w:rsidR="004628D2" w:rsidRDefault="005B09E5" w:rsidP="005B09E5">
      <w:pPr>
        <w:pStyle w:val="CETReferencetext"/>
      </w:pPr>
      <w:r w:rsidRPr="00E07DF1">
        <w:t xml:space="preserve">U.S. Coast Guard, 2023. The NRC (National Response </w:t>
      </w:r>
      <w:proofErr w:type="spellStart"/>
      <w:r w:rsidRPr="00E07DF1">
        <w:t>Center</w:t>
      </w:r>
      <w:proofErr w:type="spellEnd"/>
      <w:r w:rsidRPr="00E07DF1">
        <w:t>) Database.</w:t>
      </w:r>
      <w:r>
        <w:t xml:space="preserve"> &lt;</w:t>
      </w:r>
      <w:r w:rsidRPr="00C22261">
        <w:t>epa.gov/emergency-response/national-response-</w:t>
      </w:r>
      <w:proofErr w:type="spellStart"/>
      <w:r w:rsidRPr="00C22261">
        <w:t>center</w:t>
      </w:r>
      <w:proofErr w:type="spellEnd"/>
      <w:r>
        <w:t>&gt; accessed 10.09.2023.</w:t>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4FCE0" w14:textId="77777777" w:rsidR="00707281" w:rsidRDefault="00707281" w:rsidP="004F5E36">
      <w:r>
        <w:separator/>
      </w:r>
    </w:p>
  </w:endnote>
  <w:endnote w:type="continuationSeparator" w:id="0">
    <w:p w14:paraId="5D6FAFD3" w14:textId="77777777" w:rsidR="00707281" w:rsidRDefault="0070728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B9F70" w14:textId="77777777" w:rsidR="00707281" w:rsidRDefault="00707281" w:rsidP="004F5E36">
      <w:r>
        <w:separator/>
      </w:r>
    </w:p>
  </w:footnote>
  <w:footnote w:type="continuationSeparator" w:id="0">
    <w:p w14:paraId="529E86A7" w14:textId="77777777" w:rsidR="00707281" w:rsidRDefault="0070728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0FAC+bkuEtAAAA"/>
  </w:docVars>
  <w:rsids>
    <w:rsidRoot w:val="000E414A"/>
    <w:rsid w:val="000027C0"/>
    <w:rsid w:val="000052FB"/>
    <w:rsid w:val="00005A19"/>
    <w:rsid w:val="000117CB"/>
    <w:rsid w:val="0003148D"/>
    <w:rsid w:val="00031EEC"/>
    <w:rsid w:val="00051566"/>
    <w:rsid w:val="000561C7"/>
    <w:rsid w:val="000562A9"/>
    <w:rsid w:val="00062A9A"/>
    <w:rsid w:val="00062E51"/>
    <w:rsid w:val="00065058"/>
    <w:rsid w:val="00084D90"/>
    <w:rsid w:val="00086C39"/>
    <w:rsid w:val="000A03B2"/>
    <w:rsid w:val="000D0268"/>
    <w:rsid w:val="000D34BE"/>
    <w:rsid w:val="000E0B3C"/>
    <w:rsid w:val="000E102F"/>
    <w:rsid w:val="000E20EB"/>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7A6"/>
    <w:rsid w:val="0018171E"/>
    <w:rsid w:val="00184AD6"/>
    <w:rsid w:val="001A4AF7"/>
    <w:rsid w:val="001B0349"/>
    <w:rsid w:val="001B1E93"/>
    <w:rsid w:val="001B65C1"/>
    <w:rsid w:val="001C260F"/>
    <w:rsid w:val="001C5C3A"/>
    <w:rsid w:val="001C684B"/>
    <w:rsid w:val="001D0CFB"/>
    <w:rsid w:val="001D21AF"/>
    <w:rsid w:val="001D53FC"/>
    <w:rsid w:val="001D7262"/>
    <w:rsid w:val="001F397E"/>
    <w:rsid w:val="001F42A5"/>
    <w:rsid w:val="001F7B9D"/>
    <w:rsid w:val="00201C93"/>
    <w:rsid w:val="002224B4"/>
    <w:rsid w:val="002447EF"/>
    <w:rsid w:val="00251550"/>
    <w:rsid w:val="00263B05"/>
    <w:rsid w:val="0027221A"/>
    <w:rsid w:val="00275B61"/>
    <w:rsid w:val="00280FAF"/>
    <w:rsid w:val="00282656"/>
    <w:rsid w:val="00296B83"/>
    <w:rsid w:val="002A7F7D"/>
    <w:rsid w:val="002B4015"/>
    <w:rsid w:val="002B78CE"/>
    <w:rsid w:val="002C2FB6"/>
    <w:rsid w:val="002E5FA7"/>
    <w:rsid w:val="002F3309"/>
    <w:rsid w:val="003008CE"/>
    <w:rsid w:val="003009B7"/>
    <w:rsid w:val="00300E56"/>
    <w:rsid w:val="0030152C"/>
    <w:rsid w:val="0030469C"/>
    <w:rsid w:val="0032156A"/>
    <w:rsid w:val="00321CA6"/>
    <w:rsid w:val="00323763"/>
    <w:rsid w:val="00323C5F"/>
    <w:rsid w:val="00334C09"/>
    <w:rsid w:val="0036730D"/>
    <w:rsid w:val="003723D4"/>
    <w:rsid w:val="00381905"/>
    <w:rsid w:val="00384CC8"/>
    <w:rsid w:val="003871FD"/>
    <w:rsid w:val="003A1E30"/>
    <w:rsid w:val="003A2829"/>
    <w:rsid w:val="003A7D1C"/>
    <w:rsid w:val="003B304B"/>
    <w:rsid w:val="003B3146"/>
    <w:rsid w:val="003B49CD"/>
    <w:rsid w:val="003D1E02"/>
    <w:rsid w:val="003F015E"/>
    <w:rsid w:val="003F466C"/>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D06D7"/>
    <w:rsid w:val="004E4DD6"/>
    <w:rsid w:val="004F5E36"/>
    <w:rsid w:val="00507B47"/>
    <w:rsid w:val="00507BEF"/>
    <w:rsid w:val="00507CC9"/>
    <w:rsid w:val="005119A5"/>
    <w:rsid w:val="005278B7"/>
    <w:rsid w:val="00532016"/>
    <w:rsid w:val="005346C8"/>
    <w:rsid w:val="005424FC"/>
    <w:rsid w:val="00543E7D"/>
    <w:rsid w:val="00547A68"/>
    <w:rsid w:val="005531C9"/>
    <w:rsid w:val="00554879"/>
    <w:rsid w:val="00570C43"/>
    <w:rsid w:val="00592274"/>
    <w:rsid w:val="005A0BCC"/>
    <w:rsid w:val="005B09E5"/>
    <w:rsid w:val="005B2110"/>
    <w:rsid w:val="005B350B"/>
    <w:rsid w:val="005B61E6"/>
    <w:rsid w:val="005C77E1"/>
    <w:rsid w:val="005D668A"/>
    <w:rsid w:val="005D6A2F"/>
    <w:rsid w:val="005E0592"/>
    <w:rsid w:val="005E1A82"/>
    <w:rsid w:val="005E4070"/>
    <w:rsid w:val="005E6092"/>
    <w:rsid w:val="005E6C49"/>
    <w:rsid w:val="005E794C"/>
    <w:rsid w:val="005F0A28"/>
    <w:rsid w:val="005F0E5E"/>
    <w:rsid w:val="005F607F"/>
    <w:rsid w:val="005F6333"/>
    <w:rsid w:val="00600535"/>
    <w:rsid w:val="00610CD6"/>
    <w:rsid w:val="00620DEE"/>
    <w:rsid w:val="00621F92"/>
    <w:rsid w:val="0062280A"/>
    <w:rsid w:val="006231E1"/>
    <w:rsid w:val="00625639"/>
    <w:rsid w:val="00631B33"/>
    <w:rsid w:val="0064184D"/>
    <w:rsid w:val="006422CC"/>
    <w:rsid w:val="00651D18"/>
    <w:rsid w:val="00660E3E"/>
    <w:rsid w:val="00662E74"/>
    <w:rsid w:val="00666F08"/>
    <w:rsid w:val="00680C23"/>
    <w:rsid w:val="00683E23"/>
    <w:rsid w:val="00693766"/>
    <w:rsid w:val="00697BD4"/>
    <w:rsid w:val="006A3281"/>
    <w:rsid w:val="006A6DE5"/>
    <w:rsid w:val="006B4888"/>
    <w:rsid w:val="006C2E45"/>
    <w:rsid w:val="006C359C"/>
    <w:rsid w:val="006C5579"/>
    <w:rsid w:val="006D6E8B"/>
    <w:rsid w:val="006D7209"/>
    <w:rsid w:val="006D7E98"/>
    <w:rsid w:val="006E737D"/>
    <w:rsid w:val="006F2F35"/>
    <w:rsid w:val="00707281"/>
    <w:rsid w:val="00707DD1"/>
    <w:rsid w:val="00713973"/>
    <w:rsid w:val="00720A24"/>
    <w:rsid w:val="00732386"/>
    <w:rsid w:val="0073514D"/>
    <w:rsid w:val="00742CF1"/>
    <w:rsid w:val="007447F3"/>
    <w:rsid w:val="007526DC"/>
    <w:rsid w:val="0075499F"/>
    <w:rsid w:val="007566C7"/>
    <w:rsid w:val="007661C8"/>
    <w:rsid w:val="0077098D"/>
    <w:rsid w:val="00785BF9"/>
    <w:rsid w:val="007931FA"/>
    <w:rsid w:val="007A4861"/>
    <w:rsid w:val="007A7BBA"/>
    <w:rsid w:val="007B0C50"/>
    <w:rsid w:val="007B35D7"/>
    <w:rsid w:val="007B48F9"/>
    <w:rsid w:val="007C1A43"/>
    <w:rsid w:val="007D0951"/>
    <w:rsid w:val="007D610D"/>
    <w:rsid w:val="0080013E"/>
    <w:rsid w:val="00801759"/>
    <w:rsid w:val="00813288"/>
    <w:rsid w:val="008168FC"/>
    <w:rsid w:val="00830996"/>
    <w:rsid w:val="008345F1"/>
    <w:rsid w:val="00854DE1"/>
    <w:rsid w:val="00855AAE"/>
    <w:rsid w:val="00865B07"/>
    <w:rsid w:val="008667EA"/>
    <w:rsid w:val="00866F8D"/>
    <w:rsid w:val="0087637F"/>
    <w:rsid w:val="00892AD5"/>
    <w:rsid w:val="00893B1E"/>
    <w:rsid w:val="008A1512"/>
    <w:rsid w:val="008D32B9"/>
    <w:rsid w:val="008D433B"/>
    <w:rsid w:val="008D4A16"/>
    <w:rsid w:val="008E5401"/>
    <w:rsid w:val="008E566E"/>
    <w:rsid w:val="008E6472"/>
    <w:rsid w:val="0090161A"/>
    <w:rsid w:val="00901EB6"/>
    <w:rsid w:val="009041F8"/>
    <w:rsid w:val="00904C62"/>
    <w:rsid w:val="00922BA8"/>
    <w:rsid w:val="00924DAC"/>
    <w:rsid w:val="00927058"/>
    <w:rsid w:val="00932BD2"/>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C37C3"/>
    <w:rsid w:val="009C50AB"/>
    <w:rsid w:val="009C7C86"/>
    <w:rsid w:val="009D2FF7"/>
    <w:rsid w:val="009D4EB4"/>
    <w:rsid w:val="009E2062"/>
    <w:rsid w:val="009E7884"/>
    <w:rsid w:val="009E788A"/>
    <w:rsid w:val="009F0E08"/>
    <w:rsid w:val="00A079AE"/>
    <w:rsid w:val="00A1763D"/>
    <w:rsid w:val="00A17CEC"/>
    <w:rsid w:val="00A27EF0"/>
    <w:rsid w:val="00A27F22"/>
    <w:rsid w:val="00A42361"/>
    <w:rsid w:val="00A50B20"/>
    <w:rsid w:val="00A51390"/>
    <w:rsid w:val="00A5489E"/>
    <w:rsid w:val="00A60D13"/>
    <w:rsid w:val="00A7223D"/>
    <w:rsid w:val="00A72745"/>
    <w:rsid w:val="00A76EFC"/>
    <w:rsid w:val="00A844A6"/>
    <w:rsid w:val="00A87D50"/>
    <w:rsid w:val="00A90631"/>
    <w:rsid w:val="00A91010"/>
    <w:rsid w:val="00A954A4"/>
    <w:rsid w:val="00A97F29"/>
    <w:rsid w:val="00AA61E7"/>
    <w:rsid w:val="00AA702E"/>
    <w:rsid w:val="00AA7D26"/>
    <w:rsid w:val="00AB0964"/>
    <w:rsid w:val="00AB3F7E"/>
    <w:rsid w:val="00AB5011"/>
    <w:rsid w:val="00AC7368"/>
    <w:rsid w:val="00AD16B9"/>
    <w:rsid w:val="00AE377D"/>
    <w:rsid w:val="00AF0EBA"/>
    <w:rsid w:val="00AF2463"/>
    <w:rsid w:val="00B02C8A"/>
    <w:rsid w:val="00B17FBD"/>
    <w:rsid w:val="00B279B1"/>
    <w:rsid w:val="00B315A6"/>
    <w:rsid w:val="00B31813"/>
    <w:rsid w:val="00B33365"/>
    <w:rsid w:val="00B5677B"/>
    <w:rsid w:val="00B57B36"/>
    <w:rsid w:val="00B57E6F"/>
    <w:rsid w:val="00B8686D"/>
    <w:rsid w:val="00B93F69"/>
    <w:rsid w:val="00BA0199"/>
    <w:rsid w:val="00BA08DC"/>
    <w:rsid w:val="00BA780D"/>
    <w:rsid w:val="00BB1DDC"/>
    <w:rsid w:val="00BC30C9"/>
    <w:rsid w:val="00BD077D"/>
    <w:rsid w:val="00BE3E58"/>
    <w:rsid w:val="00BF13CE"/>
    <w:rsid w:val="00C01616"/>
    <w:rsid w:val="00C0162B"/>
    <w:rsid w:val="00C068ED"/>
    <w:rsid w:val="00C22E0C"/>
    <w:rsid w:val="00C345B1"/>
    <w:rsid w:val="00C40142"/>
    <w:rsid w:val="00C52C3C"/>
    <w:rsid w:val="00C57182"/>
    <w:rsid w:val="00C57863"/>
    <w:rsid w:val="00C640AF"/>
    <w:rsid w:val="00C64B63"/>
    <w:rsid w:val="00C655FD"/>
    <w:rsid w:val="00C75407"/>
    <w:rsid w:val="00C841C6"/>
    <w:rsid w:val="00C870A8"/>
    <w:rsid w:val="00C94434"/>
    <w:rsid w:val="00CA0D75"/>
    <w:rsid w:val="00CA1C95"/>
    <w:rsid w:val="00CA5A9C"/>
    <w:rsid w:val="00CC4C20"/>
    <w:rsid w:val="00CD014A"/>
    <w:rsid w:val="00CD3517"/>
    <w:rsid w:val="00CD5FE2"/>
    <w:rsid w:val="00CE7C68"/>
    <w:rsid w:val="00CF3F4B"/>
    <w:rsid w:val="00D02B4C"/>
    <w:rsid w:val="00D040C4"/>
    <w:rsid w:val="00D20AD1"/>
    <w:rsid w:val="00D2582C"/>
    <w:rsid w:val="00D46B7E"/>
    <w:rsid w:val="00D53FBB"/>
    <w:rsid w:val="00D57C84"/>
    <w:rsid w:val="00D6057D"/>
    <w:rsid w:val="00D71640"/>
    <w:rsid w:val="00D73311"/>
    <w:rsid w:val="00D836C5"/>
    <w:rsid w:val="00D84576"/>
    <w:rsid w:val="00DA1399"/>
    <w:rsid w:val="00DA24C6"/>
    <w:rsid w:val="00DA4D7B"/>
    <w:rsid w:val="00DC2840"/>
    <w:rsid w:val="00DC73EE"/>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27EE4"/>
    <w:rsid w:val="00F3049E"/>
    <w:rsid w:val="00F30C64"/>
    <w:rsid w:val="00F32BA2"/>
    <w:rsid w:val="00F32CDB"/>
    <w:rsid w:val="00F41EE4"/>
    <w:rsid w:val="00F565FE"/>
    <w:rsid w:val="00F62430"/>
    <w:rsid w:val="00F6263F"/>
    <w:rsid w:val="00F63A70"/>
    <w:rsid w:val="00F63D8C"/>
    <w:rsid w:val="00F7534E"/>
    <w:rsid w:val="00F87894"/>
    <w:rsid w:val="00F87D2F"/>
    <w:rsid w:val="00F93EDF"/>
    <w:rsid w:val="00FA1802"/>
    <w:rsid w:val="00FA21D0"/>
    <w:rsid w:val="00FA5F5F"/>
    <w:rsid w:val="00FB730C"/>
    <w:rsid w:val="00FC2695"/>
    <w:rsid w:val="00FC3E03"/>
    <w:rsid w:val="00FC3FC1"/>
    <w:rsid w:val="00FE264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styleId="Revision">
    <w:name w:val="Revision"/>
    <w:hidden/>
    <w:uiPriority w:val="99"/>
    <w:semiHidden/>
    <w:rsid w:val="008E647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3177</Words>
  <Characters>18890</Characters>
  <Application>Microsoft Office Word</Application>
  <DocSecurity>0</DocSecurity>
  <Lines>288</Lines>
  <Paragraphs>118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Giulia Collina</cp:lastModifiedBy>
  <cp:revision>19</cp:revision>
  <cp:lastPrinted>2015-05-12T18:31:00Z</cp:lastPrinted>
  <dcterms:created xsi:type="dcterms:W3CDTF">2024-11-14T23:00:00Z</dcterms:created>
  <dcterms:modified xsi:type="dcterms:W3CDTF">2024-11-18T20:34:00Z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2c1739fd233aaa244ceb93f65aca5a1bf7692765d41b1128edab66dff6280204</vt:lpwstr>
  </property>
</Properties>
</file>