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BB48C" w14:textId="45DB7E46" w:rsidR="005C1A57" w:rsidRPr="005C338C" w:rsidRDefault="004C693E" w:rsidP="00591C6C">
      <w:pPr>
        <w:pStyle w:val="BOATitle"/>
        <w:rPr>
          <w:rFonts w:eastAsia="MS PGothic"/>
        </w:rPr>
      </w:pPr>
      <w:r w:rsidRPr="005C338C">
        <w:rPr>
          <w:rFonts w:eastAsia="MS PGothic"/>
        </w:rPr>
        <w:t>Exploratory Analysis of the HIAD Database: A Machine Learning Approach to Support Hydrogen Risk Assessment</w:t>
      </w:r>
    </w:p>
    <w:p w14:paraId="29E2E91E" w14:textId="3AF9D7F3" w:rsidR="005C1A57" w:rsidRPr="0046613C" w:rsidRDefault="004C693E" w:rsidP="00591C6C">
      <w:pPr>
        <w:pStyle w:val="BOAAuthors"/>
        <w:rPr>
          <w:rFonts w:eastAsia="MS PGothic"/>
          <w:lang w:val="es-ES"/>
        </w:rPr>
      </w:pPr>
      <w:r w:rsidRPr="0046613C">
        <w:rPr>
          <w:rFonts w:eastAsia="SimSun"/>
          <w:lang w:val="es-ES"/>
        </w:rPr>
        <w:t>Jairo Andrés Meneses-Gelves</w:t>
      </w:r>
      <w:r w:rsidR="0046613C" w:rsidRPr="0046613C">
        <w:rPr>
          <w:rFonts w:eastAsia="SimSun"/>
          <w:vertAlign w:val="superscript"/>
          <w:lang w:val="es-ES"/>
        </w:rPr>
        <w:t>1</w:t>
      </w:r>
      <w:r w:rsidRPr="0046613C">
        <w:rPr>
          <w:rFonts w:eastAsia="SimSun"/>
          <w:lang w:val="es-ES"/>
        </w:rPr>
        <w:t>, Rafael Amaya-Gómez</w:t>
      </w:r>
      <w:r w:rsidR="0046613C">
        <w:rPr>
          <w:rFonts w:eastAsia="SimSun"/>
          <w:vertAlign w:val="superscript"/>
          <w:lang w:val="es-ES"/>
        </w:rPr>
        <w:t>2</w:t>
      </w:r>
      <w:r w:rsidRPr="0046613C">
        <w:rPr>
          <w:rFonts w:eastAsia="SimSun"/>
          <w:lang w:val="es-ES"/>
        </w:rPr>
        <w:t>, Pascale Vacca</w:t>
      </w:r>
      <w:r w:rsidR="0046613C">
        <w:rPr>
          <w:rFonts w:eastAsia="SimSun"/>
          <w:vertAlign w:val="superscript"/>
          <w:lang w:val="es-ES"/>
        </w:rPr>
        <w:t>1</w:t>
      </w:r>
      <w:r w:rsidRPr="0046613C">
        <w:rPr>
          <w:rFonts w:eastAsia="SimSun"/>
          <w:lang w:val="es-ES"/>
        </w:rPr>
        <w:t>, Elsa Pastor</w:t>
      </w:r>
      <w:r w:rsidR="0046613C">
        <w:rPr>
          <w:rFonts w:eastAsia="SimSun"/>
          <w:vertAlign w:val="superscript"/>
          <w:lang w:val="es-ES"/>
        </w:rPr>
        <w:t>1</w:t>
      </w:r>
      <w:r w:rsidRPr="0046613C">
        <w:rPr>
          <w:rFonts w:eastAsia="SimSun"/>
          <w:vertAlign w:val="superscript"/>
          <w:lang w:val="es-ES"/>
        </w:rPr>
        <w:t>,*</w:t>
      </w:r>
    </w:p>
    <w:p w14:paraId="78836197" w14:textId="5F4E9C68" w:rsidR="0046613C" w:rsidRDefault="0046613C" w:rsidP="0046613C">
      <w:pPr>
        <w:pStyle w:val="BOAAddress"/>
        <w:rPr>
          <w:rFonts w:eastAsia="MS PGothic"/>
        </w:rPr>
      </w:pPr>
      <w:r w:rsidRPr="0046613C">
        <w:rPr>
          <w:rFonts w:eastAsia="MS PGothic"/>
          <w:vertAlign w:val="superscript"/>
        </w:rPr>
        <w:t>1</w:t>
      </w:r>
      <w:r w:rsidR="00416E7E" w:rsidRPr="005C338C">
        <w:rPr>
          <w:rFonts w:eastAsia="MS PGothic"/>
        </w:rPr>
        <w:t xml:space="preserve">Centre for Technological Risk Studies (CERTEC), Universitat Politècnica de Catalunya </w:t>
      </w:r>
      <w:r w:rsidR="00416E7E" w:rsidRPr="005C338C">
        <w:rPr>
          <w:rFonts w:ascii="Cambria Math" w:eastAsia="MS PGothic" w:hAnsi="Cambria Math" w:cs="Cambria Math"/>
        </w:rPr>
        <w:t>⋅</w:t>
      </w:r>
      <w:r w:rsidR="00416E7E" w:rsidRPr="005C338C">
        <w:rPr>
          <w:rFonts w:eastAsia="MS PGothic"/>
        </w:rPr>
        <w:t xml:space="preserve"> Barcelona Tech, Barcelona East School of Engineering (EEBE). Avinguda Eduard Maristany, 16, 08019 Barcelona, Spain;</w:t>
      </w:r>
    </w:p>
    <w:p w14:paraId="0DA04664" w14:textId="3DFE135F" w:rsidR="00416E7E" w:rsidRPr="005C338C" w:rsidRDefault="00416E7E" w:rsidP="0046613C">
      <w:pPr>
        <w:pStyle w:val="BOAAddress"/>
        <w:rPr>
          <w:rFonts w:eastAsia="MS PGothic"/>
        </w:rPr>
      </w:pPr>
      <w:r w:rsidRPr="005C338C">
        <w:rPr>
          <w:rFonts w:eastAsia="MS PGothic"/>
        </w:rPr>
        <w:t xml:space="preserve"> </w:t>
      </w:r>
      <w:r w:rsidR="0046613C">
        <w:rPr>
          <w:rFonts w:eastAsia="MS PGothic"/>
          <w:vertAlign w:val="superscript"/>
        </w:rPr>
        <w:t>2</w:t>
      </w:r>
      <w:r w:rsidRPr="005C338C">
        <w:rPr>
          <w:rFonts w:eastAsia="MS PGothic"/>
        </w:rPr>
        <w:t>Department of Industrial Engineering, Universidad de los Andes, Cra 1E No. 19A-40, Bogotá, Colombia</w:t>
      </w:r>
    </w:p>
    <w:p w14:paraId="42CB37CF" w14:textId="65D31BFE" w:rsidR="005C1A57" w:rsidRPr="0046613C" w:rsidRDefault="005C1A57" w:rsidP="0046613C">
      <w:pPr>
        <w:pStyle w:val="BOAemail"/>
      </w:pPr>
      <w:r w:rsidRPr="0046613C">
        <w:t>*</w:t>
      </w:r>
      <w:r w:rsidR="00416E7E" w:rsidRPr="0046613C">
        <w:t>elsa.pastor@upc.edu</w:t>
      </w:r>
    </w:p>
    <w:p w14:paraId="7D788354" w14:textId="77777777" w:rsidR="005C1A57" w:rsidRPr="005C338C" w:rsidRDefault="005C1A57" w:rsidP="00F879FE">
      <w:pPr>
        <w:pStyle w:val="BOAHeading"/>
        <w:rPr>
          <w:lang w:val="en-GB"/>
        </w:rPr>
      </w:pPr>
      <w:r w:rsidRPr="005C338C">
        <w:rPr>
          <w:lang w:val="en-GB"/>
        </w:rPr>
        <w:t>1. Introduction</w:t>
      </w:r>
    </w:p>
    <w:p w14:paraId="12452919" w14:textId="78E31E25" w:rsidR="0098730B" w:rsidRPr="005C338C" w:rsidRDefault="004C693E" w:rsidP="00C80C64">
      <w:pPr>
        <w:pStyle w:val="BOAAbstractBody"/>
        <w:rPr>
          <w:lang w:val="en-GB"/>
        </w:rPr>
      </w:pPr>
      <w:r w:rsidRPr="005C338C">
        <w:rPr>
          <w:lang w:val="en-GB"/>
        </w:rPr>
        <w:t xml:space="preserve">The growing interest in hydrogen technologies due to the global energy transition introduces </w:t>
      </w:r>
      <w:r w:rsidR="00907232">
        <w:rPr>
          <w:lang w:val="en-GB"/>
        </w:rPr>
        <w:t>new</w:t>
      </w:r>
      <w:r w:rsidR="00907232" w:rsidRPr="005C338C">
        <w:rPr>
          <w:lang w:val="en-GB"/>
        </w:rPr>
        <w:t xml:space="preserve"> </w:t>
      </w:r>
      <w:r w:rsidRPr="005C338C">
        <w:rPr>
          <w:lang w:val="en-GB"/>
        </w:rPr>
        <w:t xml:space="preserve">safety challenges arising from the unique physicochemical properties of hydrogen. Although previous studies have explored the application of machine learning to extract lessons learned from historical incidents and accident databases from the chemical industry, research specifically focused on hydrogen-related events remains limited. </w:t>
      </w:r>
      <w:r w:rsidR="0046613C" w:rsidRPr="0046613C">
        <w:rPr>
          <w:rFonts w:cs="Arial"/>
        </w:rPr>
        <w:t>Tamascelli et al.</w:t>
      </w:r>
      <w:r w:rsidR="00A1189C">
        <w:rPr>
          <w:rFonts w:cs="Arial"/>
        </w:rPr>
        <w:t xml:space="preserve"> (</w:t>
      </w:r>
      <w:r w:rsidR="0046613C" w:rsidRPr="0046613C">
        <w:rPr>
          <w:rFonts w:cs="Arial"/>
        </w:rPr>
        <w:t>2022)</w:t>
      </w:r>
      <w:r w:rsidR="0046613C">
        <w:rPr>
          <w:lang w:val="en-GB"/>
        </w:rPr>
        <w:t xml:space="preserve"> </w:t>
      </w:r>
      <w:r w:rsidRPr="005C338C">
        <w:rPr>
          <w:lang w:val="en-GB"/>
        </w:rPr>
        <w:t xml:space="preserve">utilized classification models trained on the Major Hazard Incident Data Service (MHIDAS) to estimate the severity of chemical accidents. </w:t>
      </w:r>
      <w:r w:rsidR="0046613C" w:rsidRPr="0046613C">
        <w:rPr>
          <w:rFonts w:cs="Arial"/>
        </w:rPr>
        <w:t>Tamascelli et al.</w:t>
      </w:r>
      <w:r w:rsidR="00A1189C">
        <w:rPr>
          <w:rFonts w:cs="Arial"/>
        </w:rPr>
        <w:t xml:space="preserve"> (</w:t>
      </w:r>
      <w:r w:rsidR="0046613C" w:rsidRPr="0046613C">
        <w:rPr>
          <w:rFonts w:cs="Arial"/>
        </w:rPr>
        <w:t>2023)</w:t>
      </w:r>
      <w:r w:rsidR="0046613C">
        <w:rPr>
          <w:lang w:val="en-GB"/>
        </w:rPr>
        <w:t xml:space="preserve"> </w:t>
      </w:r>
      <w:r w:rsidRPr="005C338C">
        <w:rPr>
          <w:lang w:val="en-GB"/>
        </w:rPr>
        <w:t xml:space="preserve">extended this approach using meta-learning and transfer-learning techniques in the context of ammonia. Similarly, </w:t>
      </w:r>
      <w:r w:rsidR="0046613C" w:rsidRPr="0046613C">
        <w:rPr>
          <w:rFonts w:cs="Arial"/>
        </w:rPr>
        <w:t xml:space="preserve">Kurian et al. </w:t>
      </w:r>
      <w:r w:rsidR="00A1189C">
        <w:rPr>
          <w:rFonts w:cs="Arial"/>
        </w:rPr>
        <w:t>(</w:t>
      </w:r>
      <w:r w:rsidR="0046613C" w:rsidRPr="0046613C">
        <w:rPr>
          <w:rFonts w:cs="Arial"/>
        </w:rPr>
        <w:t>2020)</w:t>
      </w:r>
      <w:r w:rsidR="0046613C">
        <w:rPr>
          <w:lang w:val="en-GB"/>
        </w:rPr>
        <w:t xml:space="preserve"> </w:t>
      </w:r>
      <w:r w:rsidRPr="005C338C">
        <w:rPr>
          <w:lang w:val="en-GB"/>
        </w:rPr>
        <w:t>applied supervised learning and keyword analysis to a database of oil sands incident reports, developing trend analyses, risk matrices, and prevention strategies.</w:t>
      </w:r>
    </w:p>
    <w:p w14:paraId="0E5C6283" w14:textId="7A62C74B" w:rsidR="004C693E" w:rsidRPr="005C338C" w:rsidRDefault="004C693E" w:rsidP="00C80C64">
      <w:pPr>
        <w:pStyle w:val="BOAAbstractBody"/>
        <w:rPr>
          <w:lang w:val="en-GB"/>
        </w:rPr>
      </w:pPr>
      <w:r w:rsidRPr="005C338C">
        <w:rPr>
          <w:lang w:val="en-GB"/>
        </w:rPr>
        <w:t xml:space="preserve">The present study </w:t>
      </w:r>
      <w:r w:rsidR="00907232">
        <w:rPr>
          <w:lang w:val="en-GB"/>
        </w:rPr>
        <w:t>explores</w:t>
      </w:r>
      <w:r w:rsidR="00907232" w:rsidRPr="005C338C">
        <w:rPr>
          <w:lang w:val="en-GB"/>
        </w:rPr>
        <w:t xml:space="preserve"> </w:t>
      </w:r>
      <w:r w:rsidRPr="005C338C">
        <w:rPr>
          <w:lang w:val="en-GB"/>
        </w:rPr>
        <w:t xml:space="preserve">the application of machine learning techniques to historical hydrogen-related accidents and incident databases. </w:t>
      </w:r>
      <w:r w:rsidR="00907232">
        <w:rPr>
          <w:lang w:val="en-GB"/>
        </w:rPr>
        <w:t>It</w:t>
      </w:r>
      <w:r w:rsidRPr="005C338C">
        <w:rPr>
          <w:lang w:val="en-GB"/>
        </w:rPr>
        <w:t xml:space="preserve"> </w:t>
      </w:r>
      <w:r w:rsidR="00907232">
        <w:rPr>
          <w:lang w:val="en-GB"/>
        </w:rPr>
        <w:t>presents</w:t>
      </w:r>
      <w:r w:rsidR="00907232" w:rsidRPr="005C338C">
        <w:rPr>
          <w:lang w:val="en-GB"/>
        </w:rPr>
        <w:t xml:space="preserve"> </w:t>
      </w:r>
      <w:r w:rsidRPr="005C338C">
        <w:rPr>
          <w:lang w:val="en-GB"/>
        </w:rPr>
        <w:t xml:space="preserve">a structured data </w:t>
      </w:r>
      <w:r w:rsidR="00456D72" w:rsidRPr="005C338C">
        <w:rPr>
          <w:lang w:val="en-GB"/>
        </w:rPr>
        <w:t>pre-processing</w:t>
      </w:r>
      <w:r w:rsidRPr="005C338C">
        <w:rPr>
          <w:lang w:val="en-GB"/>
        </w:rPr>
        <w:t xml:space="preserve"> framework tailored to machine learning applications to gain insight on hydrogen-related events. It includes an exploratory and unsupervised learning assessment to detect hidden relationships between input features and accident outcomes (e.g., fatalities or injuries). This work is aligned with the implementation of Safety 5.0 principles, which aims to incorporate artificial intelligence, digital technologies, and real-time analytics into risk management practices </w:t>
      </w:r>
      <w:r w:rsidR="0046613C" w:rsidRPr="0046613C">
        <w:rPr>
          <w:rFonts w:cs="Arial"/>
        </w:rPr>
        <w:t xml:space="preserve">(Pasman &amp; </w:t>
      </w:r>
      <w:proofErr w:type="spellStart"/>
      <w:r w:rsidR="0046613C" w:rsidRPr="0046613C">
        <w:rPr>
          <w:rFonts w:cs="Arial"/>
        </w:rPr>
        <w:t>Behie</w:t>
      </w:r>
      <w:proofErr w:type="spellEnd"/>
      <w:r w:rsidR="0046613C" w:rsidRPr="0046613C">
        <w:rPr>
          <w:rFonts w:cs="Arial"/>
        </w:rPr>
        <w:t>, 2024)</w:t>
      </w:r>
      <w:r w:rsidRPr="005C338C">
        <w:rPr>
          <w:lang w:val="en-GB"/>
        </w:rPr>
        <w:t xml:space="preserve">. Post-accident analysis and safety-informed decision making can benefit from identifying how machine learning approaches can extract meaningful patterns from structured hydrogen-related events. </w:t>
      </w:r>
    </w:p>
    <w:p w14:paraId="783EC6E6" w14:textId="77302DDD" w:rsidR="005C1A57" w:rsidRPr="005C338C" w:rsidRDefault="005C1A57" w:rsidP="004C693E">
      <w:pPr>
        <w:pStyle w:val="BOAHeading"/>
        <w:rPr>
          <w:lang w:val="en-GB"/>
        </w:rPr>
      </w:pPr>
      <w:r w:rsidRPr="005C338C">
        <w:rPr>
          <w:lang w:val="en-GB"/>
        </w:rPr>
        <w:t>2. Methods</w:t>
      </w:r>
    </w:p>
    <w:p w14:paraId="01CBAD2B" w14:textId="1CD9AAD8" w:rsidR="008629BC" w:rsidRPr="005C338C" w:rsidRDefault="001E1170" w:rsidP="00C80C64">
      <w:pPr>
        <w:pStyle w:val="BOAAbstractBody"/>
        <w:rPr>
          <w:lang w:val="en-GB"/>
        </w:rPr>
      </w:pPr>
      <w:r w:rsidRPr="005C338C">
        <w:rPr>
          <w:lang w:val="en-GB"/>
        </w:rPr>
        <w:t xml:space="preserve">The overall workflow is outlined in Figure 1. The methodology develops in three steps. First, </w:t>
      </w:r>
      <w:r w:rsidR="00CE6A33">
        <w:rPr>
          <w:lang w:val="en-GB"/>
        </w:rPr>
        <w:t>data</w:t>
      </w:r>
      <w:r w:rsidR="00907232">
        <w:rPr>
          <w:lang w:val="en-GB"/>
        </w:rPr>
        <w:t xml:space="preserve"> extraction</w:t>
      </w:r>
      <w:r w:rsidR="00CE6A33">
        <w:rPr>
          <w:lang w:val="en-GB"/>
        </w:rPr>
        <w:t xml:space="preserve"> from</w:t>
      </w:r>
      <w:r w:rsidRPr="005C338C">
        <w:rPr>
          <w:lang w:val="en-GB"/>
        </w:rPr>
        <w:t xml:space="preserve"> the </w:t>
      </w:r>
      <w:r w:rsidR="00E40FDA" w:rsidRPr="005C338C">
        <w:rPr>
          <w:lang w:val="en-GB"/>
        </w:rPr>
        <w:t>Hydrogen Incident and Accident Database (HIAD)</w:t>
      </w:r>
      <w:r w:rsidRPr="005C338C">
        <w:rPr>
          <w:lang w:val="en-GB"/>
        </w:rPr>
        <w:t xml:space="preserve"> database, which comprises hydrogen-related events reports. Second, data pre-processing encompasses two sub-steps: (i) feature selection, whereby a set of </w:t>
      </w:r>
      <w:r w:rsidR="00C23A28">
        <w:rPr>
          <w:lang w:val="en-GB"/>
        </w:rPr>
        <w:t xml:space="preserve">accident </w:t>
      </w:r>
      <w:r w:rsidRPr="005C338C">
        <w:rPr>
          <w:lang w:val="en-GB"/>
        </w:rPr>
        <w:t xml:space="preserve">descriptors is chosen based on literature review, and (ii) data cleaning, which standardizes categorical labels and filters out records missing </w:t>
      </w:r>
      <w:r w:rsidR="00C23A28">
        <w:rPr>
          <w:lang w:val="en-GB"/>
        </w:rPr>
        <w:t>any of the</w:t>
      </w:r>
      <w:r w:rsidR="00C23A28" w:rsidRPr="005C338C">
        <w:rPr>
          <w:lang w:val="en-GB"/>
        </w:rPr>
        <w:t xml:space="preserve"> </w:t>
      </w:r>
      <w:r w:rsidRPr="005C338C">
        <w:rPr>
          <w:lang w:val="en-GB"/>
        </w:rPr>
        <w:t>key outcome variables (</w:t>
      </w:r>
      <w:r w:rsidR="00C23A28">
        <w:rPr>
          <w:lang w:val="en-GB"/>
        </w:rPr>
        <w:t xml:space="preserve">in this study defined as </w:t>
      </w:r>
      <w:r w:rsidRPr="005C338C">
        <w:rPr>
          <w:lang w:val="en-GB"/>
        </w:rPr>
        <w:t xml:space="preserve">number of fatalities and number of injuries). Finally, accident-based analysis applies Multiple Correspondence Analysis (MCA) to the resulting dataset, transforming the categorical </w:t>
      </w:r>
      <w:r w:rsidRPr="005C338C">
        <w:rPr>
          <w:lang w:val="en-GB"/>
        </w:rPr>
        <w:lastRenderedPageBreak/>
        <w:t>feature set into a low-dimensional factor space. Detailed explanations of each stage are</w:t>
      </w:r>
      <w:r w:rsidR="00C23A28">
        <w:rPr>
          <w:lang w:val="en-GB"/>
        </w:rPr>
        <w:t xml:space="preserve"> given</w:t>
      </w:r>
      <w:r w:rsidRPr="005C338C">
        <w:rPr>
          <w:lang w:val="en-GB"/>
        </w:rPr>
        <w:t xml:space="preserve"> in the following sections.</w:t>
      </w:r>
    </w:p>
    <w:p w14:paraId="73E7A548" w14:textId="7EB51E71" w:rsidR="00305D7F" w:rsidRPr="005C338C" w:rsidRDefault="003B3472" w:rsidP="003B3472">
      <w:pPr>
        <w:pStyle w:val="BOAAbstractBody"/>
        <w:jc w:val="center"/>
        <w:rPr>
          <w:lang w:val="en-GB"/>
        </w:rPr>
      </w:pPr>
      <w:r w:rsidRPr="005C338C">
        <w:rPr>
          <w:noProof/>
          <w:lang w:val="es-ES" w:eastAsia="es-ES"/>
        </w:rPr>
        <w:drawing>
          <wp:inline distT="0" distB="0" distL="0" distR="0" wp14:anchorId="2E7B8BF2" wp14:editId="748CBEE9">
            <wp:extent cx="3092672" cy="2997642"/>
            <wp:effectExtent l="0" t="0" r="0" b="0"/>
            <wp:docPr id="18" name="Picture 18" descr="C:\Users\jairo.meneses\AppData\Local\Microsoft\Windows\INetCache\Content.MSO\94F30E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jairo.meneses\AppData\Local\Microsoft\Windows\INetCache\Content.MSO\94F30E69.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2672" cy="2997642"/>
                    </a:xfrm>
                    <a:prstGeom prst="rect">
                      <a:avLst/>
                    </a:prstGeom>
                    <a:noFill/>
                    <a:ln>
                      <a:noFill/>
                    </a:ln>
                  </pic:spPr>
                </pic:pic>
              </a:graphicData>
            </a:graphic>
          </wp:inline>
        </w:drawing>
      </w:r>
    </w:p>
    <w:p w14:paraId="6399087E" w14:textId="290A89D1" w:rsidR="0036006B" w:rsidRPr="005C338C" w:rsidRDefault="00305D7F" w:rsidP="00305D7F">
      <w:pPr>
        <w:pStyle w:val="BOACaption"/>
      </w:pPr>
      <w:r w:rsidRPr="005C338C">
        <w:t xml:space="preserve">Figure </w:t>
      </w:r>
      <w:r w:rsidRPr="005C338C">
        <w:fldChar w:fldCharType="begin"/>
      </w:r>
      <w:r w:rsidRPr="005C338C">
        <w:instrText xml:space="preserve"> SEQ Figure \* ARABIC </w:instrText>
      </w:r>
      <w:r w:rsidRPr="005C338C">
        <w:fldChar w:fldCharType="separate"/>
      </w:r>
      <w:r w:rsidR="005D4DDC">
        <w:rPr>
          <w:noProof/>
        </w:rPr>
        <w:t>1</w:t>
      </w:r>
      <w:r w:rsidRPr="005C338C">
        <w:fldChar w:fldCharType="end"/>
      </w:r>
      <w:r w:rsidRPr="005C338C">
        <w:t>. Methodology workflow.</w:t>
      </w:r>
    </w:p>
    <w:p w14:paraId="50C38563" w14:textId="639E4DC2" w:rsidR="00456D72" w:rsidRPr="005C338C" w:rsidRDefault="00456D72" w:rsidP="00456D72">
      <w:pPr>
        <w:pStyle w:val="BOAheadingx1"/>
        <w:numPr>
          <w:ilvl w:val="0"/>
          <w:numId w:val="0"/>
        </w:numPr>
        <w:rPr>
          <w:lang w:val="en-GB"/>
        </w:rPr>
      </w:pPr>
      <w:r w:rsidRPr="005C338C">
        <w:rPr>
          <w:lang w:val="en-GB"/>
        </w:rPr>
        <w:t>2.1 Accident database</w:t>
      </w:r>
      <w:r w:rsidR="00411E4C" w:rsidRPr="005C338C">
        <w:rPr>
          <w:lang w:val="en-GB"/>
        </w:rPr>
        <w:t>: HIAD</w:t>
      </w:r>
    </w:p>
    <w:p w14:paraId="595A1044" w14:textId="0B5E18F0" w:rsidR="00D5762A" w:rsidRPr="005C338C" w:rsidRDefault="00D5762A" w:rsidP="00C80C64">
      <w:pPr>
        <w:pStyle w:val="BOAAbstractBody"/>
        <w:rPr>
          <w:lang w:val="en-GB"/>
        </w:rPr>
      </w:pPr>
      <w:r w:rsidRPr="005C338C">
        <w:rPr>
          <w:lang w:val="en-GB"/>
        </w:rPr>
        <w:t xml:space="preserve">The accident data are extracted from the Hydrogen Incident and Accident Database (HIAD) version 2.1, provided as an Excel </w:t>
      </w:r>
      <w:r w:rsidR="00F02069" w:rsidRPr="005C338C">
        <w:rPr>
          <w:lang w:val="en-GB"/>
        </w:rPr>
        <w:t>file</w:t>
      </w:r>
      <w:r w:rsidRPr="005C338C">
        <w:rPr>
          <w:lang w:val="en-GB"/>
        </w:rPr>
        <w:t xml:space="preserve"> </w:t>
      </w:r>
      <w:r w:rsidR="00AF7936" w:rsidRPr="00AF7936">
        <w:rPr>
          <w:rFonts w:cs="Arial"/>
        </w:rPr>
        <w:t>(Joint Research Centre, 2025)</w:t>
      </w:r>
      <w:r w:rsidRPr="005C338C">
        <w:rPr>
          <w:lang w:val="en-GB"/>
        </w:rPr>
        <w:t>. This dataset comprises 954 unique reports</w:t>
      </w:r>
      <w:r w:rsidR="00526F11">
        <w:rPr>
          <w:lang w:val="en-GB"/>
        </w:rPr>
        <w:t xml:space="preserve"> from 1785 to 2025 around the world.</w:t>
      </w:r>
      <w:r w:rsidRPr="005C338C">
        <w:rPr>
          <w:lang w:val="en-GB"/>
        </w:rPr>
        <w:t xml:space="preserve"> related to hydrogen incidents and accidents. Maintained by the European Commission’s Joint Research Centre (JRC), the database is specifically dedicated to documenting hydrogen-related events.</w:t>
      </w:r>
    </w:p>
    <w:p w14:paraId="73467AE2" w14:textId="2DA47E54" w:rsidR="00D5762A" w:rsidRPr="005C338C" w:rsidRDefault="00D5762A" w:rsidP="00C80C64">
      <w:pPr>
        <w:pStyle w:val="BOAAbstractBody"/>
        <w:rPr>
          <w:lang w:val="en-GB"/>
        </w:rPr>
      </w:pPr>
      <w:r w:rsidRPr="005C338C">
        <w:rPr>
          <w:lang w:val="en-GB"/>
        </w:rPr>
        <w:t xml:space="preserve">Data collection in HIAD 2.1 is based on a systematic approach that harvests information from publicly available primary and secondary sources, including peer-reviewed literature, government investigation reports, and open-access </w:t>
      </w:r>
      <w:r w:rsidR="008770D8">
        <w:rPr>
          <w:lang w:val="en-GB"/>
        </w:rPr>
        <w:t>event</w:t>
      </w:r>
      <w:r w:rsidRPr="005C338C">
        <w:rPr>
          <w:lang w:val="en-GB"/>
        </w:rPr>
        <w:t xml:space="preserve"> summaries.</w:t>
      </w:r>
      <w:r w:rsidR="00CE6A33">
        <w:rPr>
          <w:lang w:val="en-GB"/>
        </w:rPr>
        <w:t xml:space="preserve"> </w:t>
      </w:r>
      <w:r w:rsidRPr="005C338C">
        <w:rPr>
          <w:lang w:val="en-GB"/>
        </w:rPr>
        <w:t xml:space="preserve">To support </w:t>
      </w:r>
      <w:r w:rsidR="005F3588" w:rsidRPr="005C338C">
        <w:rPr>
          <w:lang w:val="en-GB"/>
        </w:rPr>
        <w:t xml:space="preserve">the </w:t>
      </w:r>
      <w:r w:rsidRPr="005C338C">
        <w:rPr>
          <w:lang w:val="en-GB"/>
        </w:rPr>
        <w:t xml:space="preserve">standardized </w:t>
      </w:r>
      <w:r w:rsidR="005F3588" w:rsidRPr="005C338C">
        <w:rPr>
          <w:lang w:val="en-GB"/>
        </w:rPr>
        <w:t>information</w:t>
      </w:r>
      <w:r w:rsidRPr="005C338C">
        <w:rPr>
          <w:lang w:val="en-GB"/>
        </w:rPr>
        <w:t xml:space="preserve"> </w:t>
      </w:r>
      <w:r w:rsidR="005F3588" w:rsidRPr="005C338C">
        <w:rPr>
          <w:lang w:val="en-GB"/>
        </w:rPr>
        <w:t>in the database,</w:t>
      </w:r>
      <w:r w:rsidRPr="005C338C">
        <w:rPr>
          <w:lang w:val="en-GB"/>
        </w:rPr>
        <w:t xml:space="preserve"> HIAD 2.1 incorporates three integrated modules: the Data Entry Module (DEM), which uses structured templates and controlled vocabularies to capture event descriptors; the Data Retrieval Module (DRM), which enables multi-criteria filtering and data export; and the Data Analysis Module (DAM), which provides both pre-configured statistical overviews and customizable analytical outputs. This modular architecture enhances the consistency and efficiency of the entire data lifecycle.</w:t>
      </w:r>
    </w:p>
    <w:p w14:paraId="023D6515" w14:textId="465D07A9" w:rsidR="007A6E0B" w:rsidRPr="005C338C" w:rsidRDefault="00D5762A" w:rsidP="00C80C64">
      <w:pPr>
        <w:pStyle w:val="BOAAbstractBody"/>
        <w:rPr>
          <w:lang w:val="en-GB"/>
        </w:rPr>
      </w:pPr>
      <w:r w:rsidRPr="005C338C">
        <w:rPr>
          <w:lang w:val="en-GB"/>
        </w:rPr>
        <w:t>HIAD 2.1 employs a five-level labelling system</w:t>
      </w:r>
      <w:r w:rsidR="00F02069" w:rsidRPr="005C338C">
        <w:rPr>
          <w:lang w:val="en-GB"/>
        </w:rPr>
        <w:t xml:space="preserve"> to define the data quality</w:t>
      </w:r>
      <w:r w:rsidRPr="005C338C">
        <w:rPr>
          <w:lang w:val="en-GB"/>
        </w:rPr>
        <w:t>. Unvalidated submissions begin at Quality 1 (not publicly released), while validated records advance through successive levels up to Quality 5, representing full data richness, including original investigation files and detailed quantitative information. JRC analysts review each entry for completeness, consistency, and traceability before a quality label is assigned.</w:t>
      </w:r>
    </w:p>
    <w:p w14:paraId="728F1FCF" w14:textId="3A7DBE6B" w:rsidR="00F02069" w:rsidRPr="005C338C" w:rsidRDefault="00F02069" w:rsidP="00F02069">
      <w:pPr>
        <w:pStyle w:val="BOAheadingx1"/>
        <w:numPr>
          <w:ilvl w:val="0"/>
          <w:numId w:val="0"/>
        </w:numPr>
        <w:rPr>
          <w:lang w:val="en-GB"/>
        </w:rPr>
      </w:pPr>
      <w:r w:rsidRPr="005C338C">
        <w:rPr>
          <w:lang w:val="en-GB"/>
        </w:rPr>
        <w:t xml:space="preserve">2.2 Data pre-processing: </w:t>
      </w:r>
      <w:r w:rsidR="005F3588" w:rsidRPr="005C338C">
        <w:rPr>
          <w:lang w:val="en-GB"/>
        </w:rPr>
        <w:t>F</w:t>
      </w:r>
      <w:r w:rsidRPr="005C338C">
        <w:rPr>
          <w:lang w:val="en-GB"/>
        </w:rPr>
        <w:t xml:space="preserve">eatures selection and </w:t>
      </w:r>
      <w:r w:rsidR="00C23A28">
        <w:rPr>
          <w:lang w:val="en-GB"/>
        </w:rPr>
        <w:t>d</w:t>
      </w:r>
      <w:r w:rsidR="00C23A28" w:rsidRPr="005C338C">
        <w:rPr>
          <w:lang w:val="en-GB"/>
        </w:rPr>
        <w:t xml:space="preserve">ata </w:t>
      </w:r>
      <w:r w:rsidRPr="005C338C">
        <w:rPr>
          <w:lang w:val="en-GB"/>
        </w:rPr>
        <w:t>cleaning</w:t>
      </w:r>
    </w:p>
    <w:p w14:paraId="39162A9F" w14:textId="77777777" w:rsidR="00B45E71" w:rsidRDefault="00875886" w:rsidP="00C80C64">
      <w:pPr>
        <w:pStyle w:val="BOAAbstractBody"/>
        <w:rPr>
          <w:lang w:val="en-GB"/>
        </w:rPr>
      </w:pPr>
      <w:r w:rsidRPr="005C338C">
        <w:rPr>
          <w:lang w:val="en-GB"/>
        </w:rPr>
        <w:t xml:space="preserve">The original HIAD dataset was consolidated into a single table by merging columns from multiple worksheets based on their </w:t>
      </w:r>
      <w:r w:rsidRPr="005C338C">
        <w:rPr>
          <w:rStyle w:val="Enfasicorsivo"/>
          <w:i w:val="0"/>
          <w:lang w:val="en-GB"/>
        </w:rPr>
        <w:t>Event ID</w:t>
      </w:r>
      <w:r w:rsidRPr="005C338C">
        <w:rPr>
          <w:lang w:val="en-GB"/>
        </w:rPr>
        <w:t xml:space="preserve">, thereby unifying core metadata, facility characteristics, consequence metrics, and quality labels into one record per </w:t>
      </w:r>
      <w:r w:rsidR="0067631C" w:rsidRPr="005C338C">
        <w:rPr>
          <w:lang w:val="en-GB"/>
        </w:rPr>
        <w:t>event</w:t>
      </w:r>
      <w:r w:rsidRPr="005C338C">
        <w:rPr>
          <w:lang w:val="en-GB"/>
        </w:rPr>
        <w:t>. Subsequently, a subset of 20 accident features was selected according to the framework proposed by Tamascelli et al. (2022), as shown in Table 1.</w:t>
      </w:r>
      <w:r w:rsidR="005F3588" w:rsidRPr="005C338C">
        <w:rPr>
          <w:lang w:val="en-GB"/>
        </w:rPr>
        <w:t xml:space="preserve"> </w:t>
      </w:r>
    </w:p>
    <w:p w14:paraId="55C1457D" w14:textId="04F0C2BC" w:rsidR="00456D72" w:rsidRPr="005C338C" w:rsidRDefault="00EA067A" w:rsidP="00C80C64">
      <w:pPr>
        <w:pStyle w:val="BOAAbstractBody"/>
        <w:rPr>
          <w:lang w:val="en-GB"/>
        </w:rPr>
      </w:pPr>
      <w:r>
        <w:rPr>
          <w:lang w:val="en-GB"/>
        </w:rPr>
        <w:lastRenderedPageBreak/>
        <w:t>To develop the Machine Learning approach, t</w:t>
      </w:r>
      <w:r w:rsidR="005F3588" w:rsidRPr="005C338C">
        <w:rPr>
          <w:lang w:val="en-GB"/>
        </w:rPr>
        <w:t xml:space="preserve">he Country (CO) feature was </w:t>
      </w:r>
      <w:r w:rsidR="00875886" w:rsidRPr="005C338C">
        <w:rPr>
          <w:lang w:val="en-GB"/>
        </w:rPr>
        <w:t>excluded</w:t>
      </w:r>
      <w:r w:rsidR="005F3588" w:rsidRPr="005C338C">
        <w:rPr>
          <w:lang w:val="en-GB"/>
        </w:rPr>
        <w:t xml:space="preserve"> in favour of broader regional grouping to capture essential spatial variability while avoiding the high-cardinality and sparse encoding issues that can degrade classifier performance. Likewise, the Year </w:t>
      </w:r>
      <w:r w:rsidR="00411E4C" w:rsidRPr="005C338C">
        <w:rPr>
          <w:lang w:val="en-GB"/>
        </w:rPr>
        <w:t xml:space="preserve">(YE) </w:t>
      </w:r>
      <w:r w:rsidR="005F3588" w:rsidRPr="005C338C">
        <w:rPr>
          <w:lang w:val="en-GB"/>
        </w:rPr>
        <w:t xml:space="preserve">feature was </w:t>
      </w:r>
      <w:r w:rsidR="00875886" w:rsidRPr="005C338C">
        <w:rPr>
          <w:lang w:val="en-GB"/>
        </w:rPr>
        <w:t>omitted</w:t>
      </w:r>
      <w:r w:rsidR="005F3588" w:rsidRPr="005C338C">
        <w:rPr>
          <w:lang w:val="en-GB"/>
        </w:rPr>
        <w:t xml:space="preserve"> since temporal trends did not enhance the causal–consequence relationships of interest. Finally, only descriptors present in at least 70 % of the 954 reports were retained</w:t>
      </w:r>
      <w:r w:rsidR="00875886" w:rsidRPr="005C338C">
        <w:rPr>
          <w:lang w:val="en-GB"/>
        </w:rPr>
        <w:t>, ensuring adequate data coverage for a robust machine learning analysis.</w:t>
      </w:r>
    </w:p>
    <w:p w14:paraId="788D8B80" w14:textId="5CC46649" w:rsidR="00D56E75" w:rsidRPr="005C338C" w:rsidRDefault="00D56E75" w:rsidP="00D56E75">
      <w:pPr>
        <w:pStyle w:val="BOACaption"/>
      </w:pPr>
      <w:r w:rsidRPr="005C338C">
        <w:t xml:space="preserve">Table </w:t>
      </w:r>
      <w:r w:rsidRPr="005C338C">
        <w:fldChar w:fldCharType="begin"/>
      </w:r>
      <w:r w:rsidRPr="005C338C">
        <w:instrText xml:space="preserve"> SEQ Table \* ARABIC </w:instrText>
      </w:r>
      <w:r w:rsidRPr="005C338C">
        <w:fldChar w:fldCharType="separate"/>
      </w:r>
      <w:r w:rsidRPr="005C338C">
        <w:rPr>
          <w:noProof/>
        </w:rPr>
        <w:t>1</w:t>
      </w:r>
      <w:r w:rsidRPr="005C338C">
        <w:fldChar w:fldCharType="end"/>
      </w:r>
      <w:r w:rsidRPr="005C338C">
        <w:t>. Accident features.</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2977"/>
        <w:gridCol w:w="1134"/>
        <w:gridCol w:w="1134"/>
        <w:gridCol w:w="1559"/>
      </w:tblGrid>
      <w:tr w:rsidR="00DC4FC5" w:rsidRPr="005C338C" w14:paraId="5B5A732B" w14:textId="77777777" w:rsidTr="00D56E75">
        <w:trPr>
          <w:jc w:val="center"/>
        </w:trPr>
        <w:tc>
          <w:tcPr>
            <w:tcW w:w="851" w:type="dxa"/>
            <w:tcBorders>
              <w:top w:val="single" w:sz="12" w:space="0" w:color="008000"/>
              <w:bottom w:val="single" w:sz="6" w:space="0" w:color="008000"/>
            </w:tcBorders>
            <w:shd w:val="clear" w:color="auto" w:fill="FFFFFF"/>
          </w:tcPr>
          <w:p w14:paraId="78EACFF7" w14:textId="77777777" w:rsidR="00DC4FC5" w:rsidRPr="005C338C" w:rsidRDefault="00DC4FC5" w:rsidP="006A10C3">
            <w:r w:rsidRPr="005C338C">
              <w:t>Code</w:t>
            </w:r>
          </w:p>
        </w:tc>
        <w:tc>
          <w:tcPr>
            <w:tcW w:w="2977" w:type="dxa"/>
            <w:tcBorders>
              <w:top w:val="single" w:sz="12" w:space="0" w:color="008000"/>
              <w:bottom w:val="single" w:sz="6" w:space="0" w:color="008000"/>
            </w:tcBorders>
            <w:shd w:val="clear" w:color="auto" w:fill="FFFFFF"/>
          </w:tcPr>
          <w:p w14:paraId="633933DC" w14:textId="77777777" w:rsidR="00DC4FC5" w:rsidRPr="005C338C" w:rsidRDefault="00DC4FC5" w:rsidP="006A10C3">
            <w:r w:rsidRPr="005C338C">
              <w:t>Description</w:t>
            </w:r>
          </w:p>
        </w:tc>
        <w:tc>
          <w:tcPr>
            <w:tcW w:w="1134" w:type="dxa"/>
            <w:tcBorders>
              <w:top w:val="single" w:sz="12" w:space="0" w:color="008000"/>
              <w:bottom w:val="single" w:sz="6" w:space="0" w:color="008000"/>
            </w:tcBorders>
            <w:shd w:val="clear" w:color="auto" w:fill="FFFFFF"/>
          </w:tcPr>
          <w:p w14:paraId="248765F3" w14:textId="77777777" w:rsidR="00DC4FC5" w:rsidRPr="005C338C" w:rsidRDefault="00DC4FC5" w:rsidP="006A10C3">
            <w:r w:rsidRPr="005C338C">
              <w:t>Data type</w:t>
            </w:r>
          </w:p>
        </w:tc>
        <w:tc>
          <w:tcPr>
            <w:tcW w:w="1134" w:type="dxa"/>
            <w:tcBorders>
              <w:top w:val="single" w:sz="12" w:space="0" w:color="008000"/>
              <w:bottom w:val="single" w:sz="6" w:space="0" w:color="008000"/>
            </w:tcBorders>
            <w:shd w:val="clear" w:color="auto" w:fill="FFFFFF"/>
          </w:tcPr>
          <w:p w14:paraId="795EEBBF" w14:textId="77777777" w:rsidR="00DC4FC5" w:rsidRPr="005C338C" w:rsidRDefault="00DC4FC5" w:rsidP="006A10C3">
            <w:r w:rsidRPr="005C338C">
              <w:t xml:space="preserve">Missing values (%) </w:t>
            </w:r>
          </w:p>
        </w:tc>
        <w:tc>
          <w:tcPr>
            <w:tcW w:w="1559" w:type="dxa"/>
            <w:tcBorders>
              <w:top w:val="single" w:sz="12" w:space="0" w:color="008000"/>
              <w:bottom w:val="single" w:sz="6" w:space="0" w:color="008000"/>
            </w:tcBorders>
            <w:shd w:val="clear" w:color="auto" w:fill="FFFFFF"/>
          </w:tcPr>
          <w:p w14:paraId="498701BC" w14:textId="110EB4CA" w:rsidR="00DC4FC5" w:rsidRPr="005C338C" w:rsidRDefault="00270B61" w:rsidP="006A10C3">
            <w:r>
              <w:t>Selected feature</w:t>
            </w:r>
          </w:p>
        </w:tc>
      </w:tr>
      <w:tr w:rsidR="00DC4FC5" w:rsidRPr="005C338C" w14:paraId="50BAC7B7" w14:textId="77777777" w:rsidTr="00D56E75">
        <w:trPr>
          <w:jc w:val="center"/>
        </w:trPr>
        <w:tc>
          <w:tcPr>
            <w:tcW w:w="851" w:type="dxa"/>
            <w:shd w:val="clear" w:color="auto" w:fill="FFFFFF"/>
            <w:vAlign w:val="bottom"/>
          </w:tcPr>
          <w:p w14:paraId="38012BB6" w14:textId="77777777" w:rsidR="00DC4FC5" w:rsidRPr="005C338C" w:rsidRDefault="00DC4FC5" w:rsidP="006A10C3">
            <w:pPr>
              <w:rPr>
                <w:lang w:eastAsia="en-GB"/>
              </w:rPr>
            </w:pPr>
            <w:r w:rsidRPr="005C338C">
              <w:rPr>
                <w:lang w:eastAsia="en-GB"/>
              </w:rPr>
              <w:t>ID</w:t>
            </w:r>
          </w:p>
        </w:tc>
        <w:tc>
          <w:tcPr>
            <w:tcW w:w="2977" w:type="dxa"/>
            <w:shd w:val="clear" w:color="auto" w:fill="FFFFFF"/>
            <w:vAlign w:val="bottom"/>
          </w:tcPr>
          <w:p w14:paraId="1FF6BEF5" w14:textId="77777777" w:rsidR="00DC4FC5" w:rsidRPr="005C338C" w:rsidRDefault="00DC4FC5" w:rsidP="006A10C3">
            <w:r w:rsidRPr="005C338C">
              <w:rPr>
                <w:lang w:eastAsia="en-GB"/>
              </w:rPr>
              <w:t>Event ID</w:t>
            </w:r>
          </w:p>
        </w:tc>
        <w:tc>
          <w:tcPr>
            <w:tcW w:w="1134" w:type="dxa"/>
            <w:shd w:val="clear" w:color="auto" w:fill="FFFFFF"/>
          </w:tcPr>
          <w:p w14:paraId="58088EAD" w14:textId="77777777" w:rsidR="00DC4FC5" w:rsidRPr="005C338C" w:rsidRDefault="00DC4FC5" w:rsidP="006A10C3">
            <w:pPr>
              <w:rPr>
                <w:color w:val="000000"/>
                <w:lang w:eastAsia="en-GB"/>
              </w:rPr>
            </w:pPr>
            <w:r w:rsidRPr="005C338C">
              <w:t>Numerical</w:t>
            </w:r>
          </w:p>
        </w:tc>
        <w:tc>
          <w:tcPr>
            <w:tcW w:w="1134" w:type="dxa"/>
            <w:shd w:val="clear" w:color="auto" w:fill="FFFFFF"/>
            <w:vAlign w:val="bottom"/>
          </w:tcPr>
          <w:p w14:paraId="5B565C3C" w14:textId="77777777" w:rsidR="00DC4FC5" w:rsidRPr="005C338C" w:rsidRDefault="00DC4FC5" w:rsidP="006A10C3">
            <w:r w:rsidRPr="005C338C">
              <w:rPr>
                <w:color w:val="000000"/>
                <w:lang w:eastAsia="en-GB"/>
              </w:rPr>
              <w:t>0.0%</w:t>
            </w:r>
          </w:p>
        </w:tc>
        <w:tc>
          <w:tcPr>
            <w:tcW w:w="1559" w:type="dxa"/>
            <w:shd w:val="clear" w:color="auto" w:fill="FFFFFF"/>
            <w:vAlign w:val="bottom"/>
          </w:tcPr>
          <w:p w14:paraId="1B1D5E63" w14:textId="77777777" w:rsidR="00DC4FC5" w:rsidRPr="005C338C" w:rsidRDefault="00DC4FC5" w:rsidP="00E40FDA">
            <w:pPr>
              <w:jc w:val="center"/>
            </w:pPr>
            <w:r w:rsidRPr="005C338C">
              <w:rPr>
                <w:color w:val="000000"/>
                <w:lang w:eastAsia="en-GB"/>
              </w:rPr>
              <w:t>No</w:t>
            </w:r>
          </w:p>
        </w:tc>
      </w:tr>
      <w:tr w:rsidR="00DC4FC5" w:rsidRPr="005C338C" w14:paraId="34922C53" w14:textId="77777777" w:rsidTr="00D56E75">
        <w:trPr>
          <w:jc w:val="center"/>
        </w:trPr>
        <w:tc>
          <w:tcPr>
            <w:tcW w:w="851" w:type="dxa"/>
            <w:shd w:val="clear" w:color="auto" w:fill="FFFFFF"/>
            <w:vAlign w:val="bottom"/>
          </w:tcPr>
          <w:p w14:paraId="288CA9D3" w14:textId="77777777" w:rsidR="00DC4FC5" w:rsidRPr="005C338C" w:rsidRDefault="00DC4FC5" w:rsidP="006A10C3">
            <w:pPr>
              <w:rPr>
                <w:lang w:eastAsia="en-GB"/>
              </w:rPr>
            </w:pPr>
            <w:r w:rsidRPr="005C338C">
              <w:rPr>
                <w:lang w:eastAsia="en-GB"/>
              </w:rPr>
              <w:t>Q</w:t>
            </w:r>
          </w:p>
        </w:tc>
        <w:tc>
          <w:tcPr>
            <w:tcW w:w="2977" w:type="dxa"/>
            <w:shd w:val="clear" w:color="auto" w:fill="FFFFFF"/>
            <w:vAlign w:val="bottom"/>
          </w:tcPr>
          <w:p w14:paraId="375BBE2C" w14:textId="77777777" w:rsidR="00DC4FC5" w:rsidRPr="005C338C" w:rsidRDefault="00DC4FC5" w:rsidP="006A10C3">
            <w:r w:rsidRPr="005C338C">
              <w:t>Quality of the data</w:t>
            </w:r>
          </w:p>
        </w:tc>
        <w:tc>
          <w:tcPr>
            <w:tcW w:w="1134" w:type="dxa"/>
            <w:shd w:val="clear" w:color="auto" w:fill="FFFFFF"/>
          </w:tcPr>
          <w:p w14:paraId="559B7281" w14:textId="6E405500" w:rsidR="00DC4FC5" w:rsidRPr="005C338C" w:rsidRDefault="001E7790" w:rsidP="006A10C3">
            <w:pPr>
              <w:rPr>
                <w:color w:val="000000"/>
                <w:lang w:eastAsia="en-GB"/>
              </w:rPr>
            </w:pPr>
            <w:r w:rsidRPr="005C338C">
              <w:t>Categorical</w:t>
            </w:r>
          </w:p>
        </w:tc>
        <w:tc>
          <w:tcPr>
            <w:tcW w:w="1134" w:type="dxa"/>
            <w:shd w:val="clear" w:color="auto" w:fill="FFFFFF"/>
            <w:vAlign w:val="bottom"/>
          </w:tcPr>
          <w:p w14:paraId="47849482" w14:textId="77777777" w:rsidR="00DC4FC5" w:rsidRPr="005C338C" w:rsidRDefault="00DC4FC5" w:rsidP="006A10C3">
            <w:r w:rsidRPr="005C338C">
              <w:rPr>
                <w:color w:val="000000"/>
                <w:lang w:eastAsia="en-GB"/>
              </w:rPr>
              <w:t>0.0%</w:t>
            </w:r>
          </w:p>
        </w:tc>
        <w:tc>
          <w:tcPr>
            <w:tcW w:w="1559" w:type="dxa"/>
            <w:shd w:val="clear" w:color="auto" w:fill="FFFFFF"/>
            <w:vAlign w:val="bottom"/>
          </w:tcPr>
          <w:p w14:paraId="44420A4E" w14:textId="77777777" w:rsidR="00DC4FC5" w:rsidRPr="005C338C" w:rsidRDefault="00DC4FC5" w:rsidP="00E40FDA">
            <w:pPr>
              <w:jc w:val="center"/>
            </w:pPr>
            <w:r w:rsidRPr="005C338C">
              <w:rPr>
                <w:color w:val="000000"/>
                <w:lang w:eastAsia="en-GB"/>
              </w:rPr>
              <w:t>Yes</w:t>
            </w:r>
          </w:p>
        </w:tc>
      </w:tr>
      <w:tr w:rsidR="007E5151" w:rsidRPr="005C338C" w14:paraId="693F1446" w14:textId="77777777" w:rsidTr="00D56E75">
        <w:trPr>
          <w:jc w:val="center"/>
        </w:trPr>
        <w:tc>
          <w:tcPr>
            <w:tcW w:w="851" w:type="dxa"/>
            <w:shd w:val="clear" w:color="auto" w:fill="FFFFFF"/>
            <w:vAlign w:val="bottom"/>
          </w:tcPr>
          <w:p w14:paraId="27DC0D75" w14:textId="6053CDCA" w:rsidR="007E5151" w:rsidRPr="005C338C" w:rsidRDefault="007E5151" w:rsidP="007E5151">
            <w:pPr>
              <w:rPr>
                <w:lang w:eastAsia="en-GB"/>
              </w:rPr>
            </w:pPr>
            <w:r w:rsidRPr="005C338C">
              <w:rPr>
                <w:lang w:eastAsia="en-GB"/>
              </w:rPr>
              <w:t>NA</w:t>
            </w:r>
          </w:p>
        </w:tc>
        <w:tc>
          <w:tcPr>
            <w:tcW w:w="2977" w:type="dxa"/>
            <w:shd w:val="clear" w:color="auto" w:fill="FFFFFF"/>
            <w:vAlign w:val="bottom"/>
          </w:tcPr>
          <w:p w14:paraId="3FFCFF78" w14:textId="0A0AB3CD" w:rsidR="007E5151" w:rsidRPr="005C338C" w:rsidRDefault="007E5151" w:rsidP="007E5151">
            <w:r w:rsidRPr="005C338C">
              <w:rPr>
                <w:lang w:eastAsia="en-GB"/>
              </w:rPr>
              <w:t>Nature of the consequences</w:t>
            </w:r>
          </w:p>
        </w:tc>
        <w:tc>
          <w:tcPr>
            <w:tcW w:w="1134" w:type="dxa"/>
            <w:shd w:val="clear" w:color="auto" w:fill="FFFFFF"/>
          </w:tcPr>
          <w:p w14:paraId="67E180BF" w14:textId="57A064C9" w:rsidR="007E5151" w:rsidRPr="005C338C" w:rsidRDefault="007E5151" w:rsidP="007E5151">
            <w:r w:rsidRPr="005C338C">
              <w:t>Categorical</w:t>
            </w:r>
          </w:p>
        </w:tc>
        <w:tc>
          <w:tcPr>
            <w:tcW w:w="1134" w:type="dxa"/>
            <w:shd w:val="clear" w:color="auto" w:fill="FFFFFF"/>
            <w:vAlign w:val="bottom"/>
          </w:tcPr>
          <w:p w14:paraId="51151DA4" w14:textId="3F475E64" w:rsidR="007E5151" w:rsidRPr="005C338C" w:rsidRDefault="007E5151" w:rsidP="007E5151">
            <w:pPr>
              <w:rPr>
                <w:color w:val="000000"/>
                <w:lang w:eastAsia="en-GB"/>
              </w:rPr>
            </w:pPr>
            <w:r w:rsidRPr="005C338C">
              <w:rPr>
                <w:color w:val="000000"/>
                <w:lang w:eastAsia="en-GB"/>
              </w:rPr>
              <w:t>0.0%</w:t>
            </w:r>
          </w:p>
        </w:tc>
        <w:tc>
          <w:tcPr>
            <w:tcW w:w="1559" w:type="dxa"/>
            <w:shd w:val="clear" w:color="auto" w:fill="FFFFFF"/>
            <w:vAlign w:val="bottom"/>
          </w:tcPr>
          <w:p w14:paraId="321EF8E4" w14:textId="2FFD0755" w:rsidR="007E5151" w:rsidRPr="005C338C" w:rsidRDefault="007E5151" w:rsidP="007E5151">
            <w:pPr>
              <w:jc w:val="center"/>
              <w:rPr>
                <w:color w:val="000000"/>
                <w:lang w:eastAsia="en-GB"/>
              </w:rPr>
            </w:pPr>
            <w:r w:rsidRPr="005C338C">
              <w:rPr>
                <w:color w:val="000000"/>
                <w:lang w:eastAsia="en-GB"/>
              </w:rPr>
              <w:t>Yes</w:t>
            </w:r>
          </w:p>
        </w:tc>
      </w:tr>
      <w:tr w:rsidR="007E5151" w:rsidRPr="005C338C" w14:paraId="4357CDC1" w14:textId="77777777" w:rsidTr="00D56E75">
        <w:trPr>
          <w:jc w:val="center"/>
        </w:trPr>
        <w:tc>
          <w:tcPr>
            <w:tcW w:w="851" w:type="dxa"/>
            <w:shd w:val="clear" w:color="auto" w:fill="FFFFFF"/>
            <w:vAlign w:val="bottom"/>
          </w:tcPr>
          <w:p w14:paraId="07757CFC" w14:textId="190F1C07" w:rsidR="007E5151" w:rsidRPr="005C338C" w:rsidRDefault="007E5151" w:rsidP="007E5151">
            <w:pPr>
              <w:rPr>
                <w:lang w:eastAsia="en-GB"/>
              </w:rPr>
            </w:pPr>
            <w:r w:rsidRPr="005C338C">
              <w:rPr>
                <w:lang w:eastAsia="en-GB"/>
              </w:rPr>
              <w:t>RE</w:t>
            </w:r>
          </w:p>
        </w:tc>
        <w:tc>
          <w:tcPr>
            <w:tcW w:w="2977" w:type="dxa"/>
            <w:shd w:val="clear" w:color="auto" w:fill="FFFFFF"/>
            <w:vAlign w:val="bottom"/>
          </w:tcPr>
          <w:p w14:paraId="414890A9" w14:textId="73B2EB57" w:rsidR="007E5151" w:rsidRPr="005C338C" w:rsidRDefault="007E5151" w:rsidP="007E5151">
            <w:r w:rsidRPr="005C338C">
              <w:rPr>
                <w:lang w:eastAsia="en-GB"/>
              </w:rPr>
              <w:t>Region</w:t>
            </w:r>
            <w:r>
              <w:rPr>
                <w:lang w:eastAsia="en-GB"/>
              </w:rPr>
              <w:t xml:space="preserve"> (continent)</w:t>
            </w:r>
          </w:p>
        </w:tc>
        <w:tc>
          <w:tcPr>
            <w:tcW w:w="1134" w:type="dxa"/>
            <w:shd w:val="clear" w:color="auto" w:fill="FFFFFF"/>
          </w:tcPr>
          <w:p w14:paraId="17E27751" w14:textId="31FB6EA7" w:rsidR="007E5151" w:rsidRPr="005C338C" w:rsidRDefault="007E5151" w:rsidP="007E5151">
            <w:r w:rsidRPr="005C338C">
              <w:t>Categorical</w:t>
            </w:r>
          </w:p>
        </w:tc>
        <w:tc>
          <w:tcPr>
            <w:tcW w:w="1134" w:type="dxa"/>
            <w:shd w:val="clear" w:color="auto" w:fill="FFFFFF"/>
            <w:vAlign w:val="bottom"/>
          </w:tcPr>
          <w:p w14:paraId="660822AF" w14:textId="15D0D4DD" w:rsidR="007E5151" w:rsidRPr="005C338C" w:rsidRDefault="007E5151" w:rsidP="007E5151">
            <w:pPr>
              <w:rPr>
                <w:color w:val="000000"/>
                <w:lang w:eastAsia="en-GB"/>
              </w:rPr>
            </w:pPr>
            <w:r w:rsidRPr="005C338C">
              <w:rPr>
                <w:color w:val="000000"/>
                <w:lang w:eastAsia="en-GB"/>
              </w:rPr>
              <w:t>0.0%</w:t>
            </w:r>
          </w:p>
        </w:tc>
        <w:tc>
          <w:tcPr>
            <w:tcW w:w="1559" w:type="dxa"/>
            <w:shd w:val="clear" w:color="auto" w:fill="FFFFFF"/>
            <w:vAlign w:val="bottom"/>
          </w:tcPr>
          <w:p w14:paraId="61277F9E" w14:textId="0782CDBF" w:rsidR="007E5151" w:rsidRPr="005C338C" w:rsidRDefault="007E5151" w:rsidP="007E5151">
            <w:pPr>
              <w:jc w:val="center"/>
              <w:rPr>
                <w:color w:val="000000"/>
                <w:lang w:eastAsia="en-GB"/>
              </w:rPr>
            </w:pPr>
            <w:r w:rsidRPr="005C338C">
              <w:rPr>
                <w:color w:val="000000"/>
                <w:lang w:eastAsia="en-GB"/>
              </w:rPr>
              <w:t>Yes</w:t>
            </w:r>
          </w:p>
        </w:tc>
      </w:tr>
      <w:tr w:rsidR="007E5151" w:rsidRPr="005C338C" w14:paraId="56023583" w14:textId="77777777" w:rsidTr="00D56E75">
        <w:trPr>
          <w:jc w:val="center"/>
        </w:trPr>
        <w:tc>
          <w:tcPr>
            <w:tcW w:w="851" w:type="dxa"/>
            <w:shd w:val="clear" w:color="auto" w:fill="FFFFFF"/>
            <w:vAlign w:val="bottom"/>
          </w:tcPr>
          <w:p w14:paraId="38D4C51C" w14:textId="5C358B7F" w:rsidR="007E5151" w:rsidRPr="005C338C" w:rsidRDefault="007E5151" w:rsidP="007E5151">
            <w:pPr>
              <w:rPr>
                <w:lang w:eastAsia="en-GB"/>
              </w:rPr>
            </w:pPr>
            <w:r w:rsidRPr="005C338C">
              <w:rPr>
                <w:lang w:eastAsia="en-GB"/>
              </w:rPr>
              <w:t>YE</w:t>
            </w:r>
          </w:p>
        </w:tc>
        <w:tc>
          <w:tcPr>
            <w:tcW w:w="2977" w:type="dxa"/>
            <w:shd w:val="clear" w:color="auto" w:fill="FFFFFF"/>
            <w:vAlign w:val="bottom"/>
          </w:tcPr>
          <w:p w14:paraId="559AA361" w14:textId="0D35615B" w:rsidR="007E5151" w:rsidRPr="005C338C" w:rsidRDefault="007E5151" w:rsidP="007E5151">
            <w:pPr>
              <w:rPr>
                <w:lang w:eastAsia="en-GB"/>
              </w:rPr>
            </w:pPr>
            <w:r w:rsidRPr="005C338C">
              <w:rPr>
                <w:lang w:eastAsia="en-GB"/>
              </w:rPr>
              <w:t>Year</w:t>
            </w:r>
          </w:p>
        </w:tc>
        <w:tc>
          <w:tcPr>
            <w:tcW w:w="1134" w:type="dxa"/>
            <w:shd w:val="clear" w:color="auto" w:fill="FFFFFF"/>
          </w:tcPr>
          <w:p w14:paraId="287AA2C5" w14:textId="53E487D8" w:rsidR="007E5151" w:rsidRPr="005C338C" w:rsidRDefault="007E5151" w:rsidP="007E5151">
            <w:r w:rsidRPr="005C338C">
              <w:t>Numerical</w:t>
            </w:r>
          </w:p>
        </w:tc>
        <w:tc>
          <w:tcPr>
            <w:tcW w:w="1134" w:type="dxa"/>
            <w:shd w:val="clear" w:color="auto" w:fill="FFFFFF"/>
            <w:vAlign w:val="bottom"/>
          </w:tcPr>
          <w:p w14:paraId="03C333F1" w14:textId="013C549F" w:rsidR="007E5151" w:rsidRPr="005C338C" w:rsidRDefault="007E5151" w:rsidP="007E5151">
            <w:pPr>
              <w:rPr>
                <w:color w:val="000000"/>
                <w:lang w:eastAsia="en-GB"/>
              </w:rPr>
            </w:pPr>
            <w:r w:rsidRPr="005C338C">
              <w:rPr>
                <w:color w:val="000000"/>
                <w:lang w:eastAsia="en-GB"/>
              </w:rPr>
              <w:t>0.0%</w:t>
            </w:r>
          </w:p>
        </w:tc>
        <w:tc>
          <w:tcPr>
            <w:tcW w:w="1559" w:type="dxa"/>
            <w:shd w:val="clear" w:color="auto" w:fill="FFFFFF"/>
            <w:vAlign w:val="bottom"/>
          </w:tcPr>
          <w:p w14:paraId="72AC45E4" w14:textId="02870180" w:rsidR="007E5151" w:rsidRPr="005C338C" w:rsidRDefault="007E5151" w:rsidP="007E5151">
            <w:pPr>
              <w:jc w:val="center"/>
              <w:rPr>
                <w:color w:val="000000"/>
                <w:lang w:eastAsia="en-GB"/>
              </w:rPr>
            </w:pPr>
            <w:r w:rsidRPr="005C338C">
              <w:rPr>
                <w:color w:val="000000"/>
                <w:lang w:eastAsia="en-GB"/>
              </w:rPr>
              <w:t>No</w:t>
            </w:r>
          </w:p>
        </w:tc>
      </w:tr>
      <w:tr w:rsidR="007E5151" w:rsidRPr="005C338C" w14:paraId="3FF4BE19" w14:textId="77777777" w:rsidTr="00D56E75">
        <w:trPr>
          <w:jc w:val="center"/>
        </w:trPr>
        <w:tc>
          <w:tcPr>
            <w:tcW w:w="851" w:type="dxa"/>
            <w:shd w:val="clear" w:color="auto" w:fill="FFFFFF"/>
            <w:vAlign w:val="bottom"/>
          </w:tcPr>
          <w:p w14:paraId="0A16050F" w14:textId="105145A6" w:rsidR="007E5151" w:rsidRPr="005C338C" w:rsidRDefault="007E5151" w:rsidP="007E5151">
            <w:pPr>
              <w:rPr>
                <w:lang w:eastAsia="en-GB"/>
              </w:rPr>
            </w:pPr>
            <w:r w:rsidRPr="005C338C">
              <w:rPr>
                <w:lang w:eastAsia="en-GB"/>
              </w:rPr>
              <w:t>CA</w:t>
            </w:r>
          </w:p>
        </w:tc>
        <w:tc>
          <w:tcPr>
            <w:tcW w:w="2977" w:type="dxa"/>
            <w:shd w:val="clear" w:color="auto" w:fill="FFFFFF"/>
            <w:vAlign w:val="bottom"/>
          </w:tcPr>
          <w:p w14:paraId="09CCB88A" w14:textId="18E9AE7C" w:rsidR="007E5151" w:rsidRPr="005C338C" w:rsidRDefault="007E5151" w:rsidP="007E5151">
            <w:pPr>
              <w:rPr>
                <w:lang w:eastAsia="en-GB"/>
              </w:rPr>
            </w:pPr>
            <w:r w:rsidRPr="005C338C">
              <w:rPr>
                <w:lang w:eastAsia="en-GB"/>
              </w:rPr>
              <w:t>Causes</w:t>
            </w:r>
          </w:p>
        </w:tc>
        <w:tc>
          <w:tcPr>
            <w:tcW w:w="1134" w:type="dxa"/>
            <w:shd w:val="clear" w:color="auto" w:fill="FFFFFF"/>
          </w:tcPr>
          <w:p w14:paraId="0DD0406E" w14:textId="57D78694" w:rsidR="007E5151" w:rsidRPr="005C338C" w:rsidRDefault="007E5151" w:rsidP="007E5151">
            <w:r w:rsidRPr="005C338C">
              <w:t>Categorical</w:t>
            </w:r>
          </w:p>
        </w:tc>
        <w:tc>
          <w:tcPr>
            <w:tcW w:w="1134" w:type="dxa"/>
            <w:shd w:val="clear" w:color="auto" w:fill="FFFFFF"/>
            <w:vAlign w:val="bottom"/>
          </w:tcPr>
          <w:p w14:paraId="09447B94" w14:textId="0252AE74" w:rsidR="007E5151" w:rsidRPr="005C338C" w:rsidRDefault="007E5151" w:rsidP="007E5151">
            <w:pPr>
              <w:rPr>
                <w:color w:val="000000"/>
                <w:lang w:eastAsia="en-GB"/>
              </w:rPr>
            </w:pPr>
            <w:r w:rsidRPr="005C338C">
              <w:rPr>
                <w:color w:val="000000"/>
                <w:lang w:eastAsia="en-GB"/>
              </w:rPr>
              <w:t>0.0%</w:t>
            </w:r>
          </w:p>
        </w:tc>
        <w:tc>
          <w:tcPr>
            <w:tcW w:w="1559" w:type="dxa"/>
            <w:shd w:val="clear" w:color="auto" w:fill="FFFFFF"/>
            <w:vAlign w:val="bottom"/>
          </w:tcPr>
          <w:p w14:paraId="23459869" w14:textId="38FB494B" w:rsidR="007E5151" w:rsidRPr="005C338C" w:rsidRDefault="007E5151" w:rsidP="007E5151">
            <w:pPr>
              <w:jc w:val="center"/>
              <w:rPr>
                <w:color w:val="000000"/>
                <w:lang w:eastAsia="en-GB"/>
              </w:rPr>
            </w:pPr>
            <w:r w:rsidRPr="005C338C">
              <w:rPr>
                <w:color w:val="000000"/>
                <w:lang w:eastAsia="en-GB"/>
              </w:rPr>
              <w:t>Yes</w:t>
            </w:r>
          </w:p>
        </w:tc>
      </w:tr>
      <w:tr w:rsidR="007E5151" w:rsidRPr="005C338C" w14:paraId="578868F3" w14:textId="77777777" w:rsidTr="00D56E75">
        <w:trPr>
          <w:jc w:val="center"/>
        </w:trPr>
        <w:tc>
          <w:tcPr>
            <w:tcW w:w="851" w:type="dxa"/>
            <w:shd w:val="clear" w:color="auto" w:fill="FFFFFF"/>
            <w:vAlign w:val="bottom"/>
          </w:tcPr>
          <w:p w14:paraId="66BB4BC2" w14:textId="77777777" w:rsidR="007E5151" w:rsidRPr="005C338C" w:rsidRDefault="007E5151" w:rsidP="007E5151">
            <w:pPr>
              <w:rPr>
                <w:lang w:eastAsia="en-GB"/>
              </w:rPr>
            </w:pPr>
            <w:r w:rsidRPr="005C338C">
              <w:rPr>
                <w:lang w:eastAsia="en-GB"/>
              </w:rPr>
              <w:t>EV</w:t>
            </w:r>
          </w:p>
        </w:tc>
        <w:tc>
          <w:tcPr>
            <w:tcW w:w="2977" w:type="dxa"/>
            <w:shd w:val="clear" w:color="auto" w:fill="FFFFFF"/>
            <w:vAlign w:val="bottom"/>
          </w:tcPr>
          <w:p w14:paraId="3A5648FD" w14:textId="77777777" w:rsidR="007E5151" w:rsidRPr="005C338C" w:rsidRDefault="007E5151" w:rsidP="007E5151">
            <w:r w:rsidRPr="005C338C">
              <w:rPr>
                <w:lang w:eastAsia="en-GB"/>
              </w:rPr>
              <w:t>Event Initiating system</w:t>
            </w:r>
          </w:p>
        </w:tc>
        <w:tc>
          <w:tcPr>
            <w:tcW w:w="1134" w:type="dxa"/>
            <w:shd w:val="clear" w:color="auto" w:fill="FFFFFF"/>
          </w:tcPr>
          <w:p w14:paraId="1B3AE0E3" w14:textId="77777777" w:rsidR="007E5151" w:rsidRPr="005C338C" w:rsidRDefault="007E5151" w:rsidP="007E5151">
            <w:pPr>
              <w:rPr>
                <w:color w:val="000000"/>
                <w:lang w:eastAsia="en-GB"/>
              </w:rPr>
            </w:pPr>
            <w:r w:rsidRPr="005C338C">
              <w:t>Categorical</w:t>
            </w:r>
          </w:p>
        </w:tc>
        <w:tc>
          <w:tcPr>
            <w:tcW w:w="1134" w:type="dxa"/>
            <w:shd w:val="clear" w:color="auto" w:fill="FFFFFF"/>
            <w:vAlign w:val="bottom"/>
          </w:tcPr>
          <w:p w14:paraId="3CD2292D" w14:textId="77777777" w:rsidR="007E5151" w:rsidRPr="005C338C" w:rsidRDefault="007E5151" w:rsidP="007E5151">
            <w:r w:rsidRPr="005C338C">
              <w:rPr>
                <w:color w:val="000000"/>
                <w:lang w:eastAsia="en-GB"/>
              </w:rPr>
              <w:t>0.9%</w:t>
            </w:r>
          </w:p>
        </w:tc>
        <w:tc>
          <w:tcPr>
            <w:tcW w:w="1559" w:type="dxa"/>
            <w:shd w:val="clear" w:color="auto" w:fill="FFFFFF"/>
            <w:vAlign w:val="bottom"/>
          </w:tcPr>
          <w:p w14:paraId="65826C7A" w14:textId="77777777" w:rsidR="007E5151" w:rsidRPr="005C338C" w:rsidRDefault="007E5151" w:rsidP="007E5151">
            <w:pPr>
              <w:jc w:val="center"/>
            </w:pPr>
            <w:r w:rsidRPr="005C338C">
              <w:rPr>
                <w:color w:val="000000"/>
                <w:lang w:eastAsia="en-GB"/>
              </w:rPr>
              <w:t>Yes</w:t>
            </w:r>
          </w:p>
        </w:tc>
      </w:tr>
      <w:tr w:rsidR="007E5151" w:rsidRPr="005C338C" w14:paraId="57A1805C" w14:textId="77777777" w:rsidTr="00D56E75">
        <w:trPr>
          <w:jc w:val="center"/>
        </w:trPr>
        <w:tc>
          <w:tcPr>
            <w:tcW w:w="851" w:type="dxa"/>
            <w:shd w:val="clear" w:color="auto" w:fill="FFFFFF"/>
            <w:vAlign w:val="bottom"/>
          </w:tcPr>
          <w:p w14:paraId="272F09F2" w14:textId="77777777" w:rsidR="007E5151" w:rsidRPr="005C338C" w:rsidRDefault="007E5151" w:rsidP="007E5151">
            <w:pPr>
              <w:rPr>
                <w:lang w:eastAsia="en-GB"/>
              </w:rPr>
            </w:pPr>
            <w:r w:rsidRPr="005C338C">
              <w:rPr>
                <w:lang w:eastAsia="en-GB"/>
              </w:rPr>
              <w:t>CL</w:t>
            </w:r>
          </w:p>
        </w:tc>
        <w:tc>
          <w:tcPr>
            <w:tcW w:w="2977" w:type="dxa"/>
            <w:shd w:val="clear" w:color="auto" w:fill="FFFFFF"/>
            <w:vAlign w:val="bottom"/>
          </w:tcPr>
          <w:p w14:paraId="529D5052" w14:textId="77777777" w:rsidR="007E5151" w:rsidRPr="005C338C" w:rsidRDefault="007E5151" w:rsidP="007E5151">
            <w:r w:rsidRPr="005C338C">
              <w:rPr>
                <w:lang w:eastAsia="en-GB"/>
              </w:rPr>
              <w:t>Classification of the physical effects</w:t>
            </w:r>
          </w:p>
        </w:tc>
        <w:tc>
          <w:tcPr>
            <w:tcW w:w="1134" w:type="dxa"/>
            <w:shd w:val="clear" w:color="auto" w:fill="FFFFFF"/>
          </w:tcPr>
          <w:p w14:paraId="781F3799" w14:textId="77777777" w:rsidR="007E5151" w:rsidRPr="005C338C" w:rsidRDefault="007E5151" w:rsidP="007E5151">
            <w:pPr>
              <w:rPr>
                <w:color w:val="000000"/>
                <w:lang w:eastAsia="en-GB"/>
              </w:rPr>
            </w:pPr>
            <w:r w:rsidRPr="005C338C">
              <w:t>Categorical</w:t>
            </w:r>
          </w:p>
        </w:tc>
        <w:tc>
          <w:tcPr>
            <w:tcW w:w="1134" w:type="dxa"/>
            <w:shd w:val="clear" w:color="auto" w:fill="FFFFFF"/>
            <w:vAlign w:val="bottom"/>
          </w:tcPr>
          <w:p w14:paraId="60A4D24E" w14:textId="77777777" w:rsidR="007E5151" w:rsidRPr="005C338C" w:rsidRDefault="007E5151" w:rsidP="007E5151">
            <w:r w:rsidRPr="005C338C">
              <w:rPr>
                <w:color w:val="000000"/>
                <w:lang w:eastAsia="en-GB"/>
              </w:rPr>
              <w:t>1.0%</w:t>
            </w:r>
          </w:p>
        </w:tc>
        <w:tc>
          <w:tcPr>
            <w:tcW w:w="1559" w:type="dxa"/>
            <w:shd w:val="clear" w:color="auto" w:fill="FFFFFF"/>
            <w:vAlign w:val="bottom"/>
          </w:tcPr>
          <w:p w14:paraId="2E24DF91" w14:textId="77777777" w:rsidR="007E5151" w:rsidRPr="005C338C" w:rsidRDefault="007E5151" w:rsidP="007E5151">
            <w:pPr>
              <w:jc w:val="center"/>
            </w:pPr>
            <w:r w:rsidRPr="005C338C">
              <w:rPr>
                <w:color w:val="000000"/>
                <w:lang w:eastAsia="en-GB"/>
              </w:rPr>
              <w:t>Yes</w:t>
            </w:r>
          </w:p>
        </w:tc>
      </w:tr>
      <w:tr w:rsidR="007E5151" w:rsidRPr="005C338C" w14:paraId="4B848E4D" w14:textId="77777777" w:rsidTr="00D56E75">
        <w:trPr>
          <w:jc w:val="center"/>
        </w:trPr>
        <w:tc>
          <w:tcPr>
            <w:tcW w:w="851" w:type="dxa"/>
            <w:shd w:val="clear" w:color="auto" w:fill="FFFFFF"/>
            <w:vAlign w:val="bottom"/>
          </w:tcPr>
          <w:p w14:paraId="69C63C96" w14:textId="4C869264" w:rsidR="007E5151" w:rsidRPr="005C338C" w:rsidRDefault="007E5151" w:rsidP="007E5151">
            <w:pPr>
              <w:rPr>
                <w:lang w:eastAsia="en-GB"/>
              </w:rPr>
            </w:pPr>
            <w:r w:rsidRPr="005C338C">
              <w:rPr>
                <w:lang w:eastAsia="en-GB"/>
              </w:rPr>
              <w:t>CO</w:t>
            </w:r>
          </w:p>
        </w:tc>
        <w:tc>
          <w:tcPr>
            <w:tcW w:w="2977" w:type="dxa"/>
            <w:shd w:val="clear" w:color="auto" w:fill="FFFFFF"/>
            <w:vAlign w:val="bottom"/>
          </w:tcPr>
          <w:p w14:paraId="750F274C" w14:textId="749A3574" w:rsidR="007E5151" w:rsidRPr="005C338C" w:rsidRDefault="007E5151" w:rsidP="007E5151">
            <w:r w:rsidRPr="005C338C">
              <w:rPr>
                <w:lang w:eastAsia="en-GB"/>
              </w:rPr>
              <w:t>Country</w:t>
            </w:r>
          </w:p>
        </w:tc>
        <w:tc>
          <w:tcPr>
            <w:tcW w:w="1134" w:type="dxa"/>
            <w:shd w:val="clear" w:color="auto" w:fill="FFFFFF"/>
          </w:tcPr>
          <w:p w14:paraId="61638286" w14:textId="65FBBA22" w:rsidR="007E5151" w:rsidRPr="005C338C" w:rsidRDefault="007E5151" w:rsidP="007E5151">
            <w:pPr>
              <w:rPr>
                <w:color w:val="000000"/>
                <w:lang w:eastAsia="en-GB"/>
              </w:rPr>
            </w:pPr>
            <w:r w:rsidRPr="005C338C">
              <w:t>Categorical</w:t>
            </w:r>
          </w:p>
        </w:tc>
        <w:tc>
          <w:tcPr>
            <w:tcW w:w="1134" w:type="dxa"/>
            <w:shd w:val="clear" w:color="auto" w:fill="FFFFFF"/>
            <w:vAlign w:val="bottom"/>
          </w:tcPr>
          <w:p w14:paraId="41932885" w14:textId="502507CD" w:rsidR="007E5151" w:rsidRPr="005C338C" w:rsidRDefault="007E5151" w:rsidP="007E5151">
            <w:r w:rsidRPr="005C338C">
              <w:rPr>
                <w:color w:val="000000"/>
                <w:lang w:eastAsia="en-GB"/>
              </w:rPr>
              <w:t>1.3%</w:t>
            </w:r>
          </w:p>
        </w:tc>
        <w:tc>
          <w:tcPr>
            <w:tcW w:w="1559" w:type="dxa"/>
            <w:shd w:val="clear" w:color="auto" w:fill="FFFFFF"/>
            <w:vAlign w:val="bottom"/>
          </w:tcPr>
          <w:p w14:paraId="458647FD" w14:textId="702F1CB4" w:rsidR="007E5151" w:rsidRPr="005C338C" w:rsidRDefault="007E5151" w:rsidP="007E5151">
            <w:pPr>
              <w:jc w:val="center"/>
            </w:pPr>
            <w:r w:rsidRPr="005C338C">
              <w:rPr>
                <w:color w:val="000000"/>
                <w:lang w:eastAsia="en-GB"/>
              </w:rPr>
              <w:t>No</w:t>
            </w:r>
          </w:p>
        </w:tc>
      </w:tr>
      <w:tr w:rsidR="007E5151" w:rsidRPr="005C338C" w14:paraId="7D9E1848" w14:textId="77777777" w:rsidTr="00D56E75">
        <w:trPr>
          <w:jc w:val="center"/>
        </w:trPr>
        <w:tc>
          <w:tcPr>
            <w:tcW w:w="851" w:type="dxa"/>
            <w:shd w:val="clear" w:color="auto" w:fill="FFFFFF"/>
            <w:vAlign w:val="bottom"/>
          </w:tcPr>
          <w:p w14:paraId="02966D18" w14:textId="6EC9FEDC" w:rsidR="007E5151" w:rsidRPr="005C338C" w:rsidRDefault="007E5151" w:rsidP="007E5151">
            <w:pPr>
              <w:rPr>
                <w:lang w:eastAsia="en-GB"/>
              </w:rPr>
            </w:pPr>
            <w:r w:rsidRPr="005C338C">
              <w:rPr>
                <w:lang w:eastAsia="en-GB"/>
              </w:rPr>
              <w:t>AP</w:t>
            </w:r>
          </w:p>
        </w:tc>
        <w:tc>
          <w:tcPr>
            <w:tcW w:w="2977" w:type="dxa"/>
            <w:shd w:val="clear" w:color="auto" w:fill="FFFFFF"/>
            <w:vAlign w:val="bottom"/>
          </w:tcPr>
          <w:p w14:paraId="5FE3D2FC" w14:textId="68B99127" w:rsidR="007E5151" w:rsidRPr="005C338C" w:rsidRDefault="007E5151" w:rsidP="007E5151">
            <w:r w:rsidRPr="005C338C">
              <w:rPr>
                <w:lang w:eastAsia="en-GB"/>
              </w:rPr>
              <w:t>Application type</w:t>
            </w:r>
          </w:p>
        </w:tc>
        <w:tc>
          <w:tcPr>
            <w:tcW w:w="1134" w:type="dxa"/>
            <w:shd w:val="clear" w:color="auto" w:fill="FFFFFF"/>
          </w:tcPr>
          <w:p w14:paraId="42220044" w14:textId="2125F457" w:rsidR="007E5151" w:rsidRPr="005C338C" w:rsidRDefault="007E5151" w:rsidP="007E5151">
            <w:pPr>
              <w:rPr>
                <w:color w:val="000000"/>
                <w:lang w:eastAsia="en-GB"/>
              </w:rPr>
            </w:pPr>
            <w:r w:rsidRPr="005C338C">
              <w:t>Categorical</w:t>
            </w:r>
          </w:p>
        </w:tc>
        <w:tc>
          <w:tcPr>
            <w:tcW w:w="1134" w:type="dxa"/>
            <w:shd w:val="clear" w:color="auto" w:fill="FFFFFF"/>
            <w:vAlign w:val="bottom"/>
          </w:tcPr>
          <w:p w14:paraId="2D70FEB4" w14:textId="5E344B1E" w:rsidR="007E5151" w:rsidRPr="005C338C" w:rsidRDefault="007E5151" w:rsidP="007E5151">
            <w:r w:rsidRPr="005C338C">
              <w:rPr>
                <w:color w:val="000000"/>
                <w:lang w:eastAsia="en-GB"/>
              </w:rPr>
              <w:t>1.9%</w:t>
            </w:r>
          </w:p>
        </w:tc>
        <w:tc>
          <w:tcPr>
            <w:tcW w:w="1559" w:type="dxa"/>
            <w:shd w:val="clear" w:color="auto" w:fill="FFFFFF"/>
            <w:vAlign w:val="bottom"/>
          </w:tcPr>
          <w:p w14:paraId="62E81C9A" w14:textId="0D07C769" w:rsidR="007E5151" w:rsidRPr="005C338C" w:rsidRDefault="007E5151" w:rsidP="007E5151">
            <w:pPr>
              <w:jc w:val="center"/>
            </w:pPr>
            <w:r w:rsidRPr="005C338C">
              <w:rPr>
                <w:color w:val="000000"/>
                <w:lang w:eastAsia="en-GB"/>
              </w:rPr>
              <w:t>Yes</w:t>
            </w:r>
          </w:p>
        </w:tc>
      </w:tr>
      <w:tr w:rsidR="007E5151" w:rsidRPr="005C338C" w14:paraId="15E6DEFF" w14:textId="77777777" w:rsidTr="00D56E75">
        <w:trPr>
          <w:jc w:val="center"/>
        </w:trPr>
        <w:tc>
          <w:tcPr>
            <w:tcW w:w="851" w:type="dxa"/>
            <w:shd w:val="clear" w:color="auto" w:fill="FFFFFF"/>
            <w:vAlign w:val="bottom"/>
          </w:tcPr>
          <w:p w14:paraId="76AC9610" w14:textId="5AE9BE79" w:rsidR="007E5151" w:rsidRPr="005C338C" w:rsidRDefault="007E5151" w:rsidP="007E5151">
            <w:pPr>
              <w:rPr>
                <w:lang w:eastAsia="en-GB"/>
              </w:rPr>
            </w:pPr>
            <w:r w:rsidRPr="005C338C">
              <w:t>NUI</w:t>
            </w:r>
          </w:p>
        </w:tc>
        <w:tc>
          <w:tcPr>
            <w:tcW w:w="2977" w:type="dxa"/>
            <w:shd w:val="clear" w:color="auto" w:fill="FFFFFF"/>
            <w:vAlign w:val="bottom"/>
          </w:tcPr>
          <w:p w14:paraId="5605E9DC" w14:textId="440A7A51" w:rsidR="007E5151" w:rsidRPr="005C338C" w:rsidRDefault="007E5151" w:rsidP="007E5151">
            <w:pPr>
              <w:rPr>
                <w:lang w:eastAsia="en-GB"/>
              </w:rPr>
            </w:pPr>
            <w:r w:rsidRPr="005C338C">
              <w:t>Number of injures</w:t>
            </w:r>
          </w:p>
        </w:tc>
        <w:tc>
          <w:tcPr>
            <w:tcW w:w="1134" w:type="dxa"/>
            <w:shd w:val="clear" w:color="auto" w:fill="FFFFFF"/>
          </w:tcPr>
          <w:p w14:paraId="3BE98C0B" w14:textId="54D14EB9" w:rsidR="007E5151" w:rsidRPr="005C338C" w:rsidRDefault="007E5151" w:rsidP="007E5151">
            <w:pPr>
              <w:rPr>
                <w:color w:val="000000"/>
              </w:rPr>
            </w:pPr>
            <w:r w:rsidRPr="005C338C">
              <w:t>Numerical</w:t>
            </w:r>
          </w:p>
        </w:tc>
        <w:tc>
          <w:tcPr>
            <w:tcW w:w="1134" w:type="dxa"/>
            <w:shd w:val="clear" w:color="auto" w:fill="FFFFFF"/>
            <w:vAlign w:val="bottom"/>
          </w:tcPr>
          <w:p w14:paraId="09AE43C9" w14:textId="4FC9802F" w:rsidR="007E5151" w:rsidRPr="005C338C" w:rsidRDefault="007E5151" w:rsidP="007E5151">
            <w:pPr>
              <w:rPr>
                <w:color w:val="000000"/>
                <w:lang w:eastAsia="en-GB"/>
              </w:rPr>
            </w:pPr>
            <w:r w:rsidRPr="005C338C">
              <w:rPr>
                <w:color w:val="000000"/>
              </w:rPr>
              <w:t>5.9%</w:t>
            </w:r>
          </w:p>
        </w:tc>
        <w:tc>
          <w:tcPr>
            <w:tcW w:w="1559" w:type="dxa"/>
            <w:shd w:val="clear" w:color="auto" w:fill="FFFFFF"/>
            <w:vAlign w:val="bottom"/>
          </w:tcPr>
          <w:p w14:paraId="7D6B3BED" w14:textId="518F0D4B" w:rsidR="007E5151" w:rsidRPr="005C338C" w:rsidRDefault="007E5151" w:rsidP="007E5151">
            <w:pPr>
              <w:jc w:val="center"/>
              <w:rPr>
                <w:color w:val="000000"/>
                <w:lang w:eastAsia="en-GB"/>
              </w:rPr>
            </w:pPr>
            <w:r w:rsidRPr="005C338C">
              <w:rPr>
                <w:color w:val="000000"/>
                <w:lang w:eastAsia="en-GB"/>
              </w:rPr>
              <w:t>Yes*</w:t>
            </w:r>
          </w:p>
        </w:tc>
      </w:tr>
      <w:tr w:rsidR="007E5151" w:rsidRPr="005C338C" w14:paraId="50B0A8D8" w14:textId="77777777" w:rsidTr="00D56E75">
        <w:trPr>
          <w:jc w:val="center"/>
        </w:trPr>
        <w:tc>
          <w:tcPr>
            <w:tcW w:w="851" w:type="dxa"/>
            <w:shd w:val="clear" w:color="auto" w:fill="FFFFFF"/>
            <w:vAlign w:val="bottom"/>
          </w:tcPr>
          <w:p w14:paraId="26A6F117" w14:textId="1220B59A" w:rsidR="007E5151" w:rsidRPr="005C338C" w:rsidRDefault="007E5151" w:rsidP="007E5151">
            <w:r w:rsidRPr="005C338C">
              <w:t>OP</w:t>
            </w:r>
          </w:p>
        </w:tc>
        <w:tc>
          <w:tcPr>
            <w:tcW w:w="2977" w:type="dxa"/>
            <w:shd w:val="clear" w:color="auto" w:fill="FFFFFF"/>
            <w:vAlign w:val="bottom"/>
          </w:tcPr>
          <w:p w14:paraId="6D7BBF44" w14:textId="0BE38A39" w:rsidR="007E5151" w:rsidRPr="005C338C" w:rsidRDefault="007E5151" w:rsidP="007E5151">
            <w:r w:rsidRPr="005C338C">
              <w:t>Operational condition</w:t>
            </w:r>
          </w:p>
        </w:tc>
        <w:tc>
          <w:tcPr>
            <w:tcW w:w="1134" w:type="dxa"/>
            <w:shd w:val="clear" w:color="auto" w:fill="FFFFFF"/>
          </w:tcPr>
          <w:p w14:paraId="3F659195" w14:textId="333A65CE" w:rsidR="007E5151" w:rsidRPr="005C338C" w:rsidRDefault="007E5151" w:rsidP="007E5151">
            <w:r w:rsidRPr="005C338C">
              <w:t>Categorical</w:t>
            </w:r>
          </w:p>
        </w:tc>
        <w:tc>
          <w:tcPr>
            <w:tcW w:w="1134" w:type="dxa"/>
            <w:shd w:val="clear" w:color="auto" w:fill="FFFFFF"/>
            <w:vAlign w:val="bottom"/>
          </w:tcPr>
          <w:p w14:paraId="368EE0F7" w14:textId="6260530B" w:rsidR="007E5151" w:rsidRPr="005C338C" w:rsidRDefault="007E5151" w:rsidP="007E5151">
            <w:pPr>
              <w:rPr>
                <w:color w:val="000000"/>
              </w:rPr>
            </w:pPr>
            <w:r w:rsidRPr="005C338C">
              <w:rPr>
                <w:color w:val="000000"/>
              </w:rPr>
              <w:t>11.7%</w:t>
            </w:r>
          </w:p>
        </w:tc>
        <w:tc>
          <w:tcPr>
            <w:tcW w:w="1559" w:type="dxa"/>
            <w:shd w:val="clear" w:color="auto" w:fill="FFFFFF"/>
            <w:vAlign w:val="bottom"/>
          </w:tcPr>
          <w:p w14:paraId="2259236C" w14:textId="245ECA94" w:rsidR="007E5151" w:rsidRPr="005C338C" w:rsidRDefault="007E5151" w:rsidP="007E5151">
            <w:pPr>
              <w:jc w:val="center"/>
              <w:rPr>
                <w:color w:val="000000"/>
                <w:lang w:eastAsia="en-GB"/>
              </w:rPr>
            </w:pPr>
            <w:r w:rsidRPr="005C338C">
              <w:rPr>
                <w:color w:val="000000"/>
                <w:lang w:eastAsia="en-GB"/>
              </w:rPr>
              <w:t>Yes</w:t>
            </w:r>
          </w:p>
        </w:tc>
      </w:tr>
      <w:tr w:rsidR="007E5151" w:rsidRPr="005C338C" w14:paraId="6D18F0E8" w14:textId="77777777" w:rsidTr="00D56E75">
        <w:trPr>
          <w:jc w:val="center"/>
        </w:trPr>
        <w:tc>
          <w:tcPr>
            <w:tcW w:w="851" w:type="dxa"/>
            <w:shd w:val="clear" w:color="auto" w:fill="FFFFFF"/>
            <w:vAlign w:val="bottom"/>
          </w:tcPr>
          <w:p w14:paraId="5505A5B1" w14:textId="62AB5371" w:rsidR="007E5151" w:rsidRPr="005C338C" w:rsidRDefault="007E5151" w:rsidP="007E5151">
            <w:pPr>
              <w:rPr>
                <w:lang w:eastAsia="en-GB"/>
              </w:rPr>
            </w:pPr>
            <w:r w:rsidRPr="005C338C">
              <w:t>NUF</w:t>
            </w:r>
          </w:p>
        </w:tc>
        <w:tc>
          <w:tcPr>
            <w:tcW w:w="2977" w:type="dxa"/>
            <w:shd w:val="clear" w:color="auto" w:fill="FFFFFF"/>
            <w:vAlign w:val="bottom"/>
          </w:tcPr>
          <w:p w14:paraId="54B254F6" w14:textId="433F46B5" w:rsidR="007E5151" w:rsidRPr="005C338C" w:rsidRDefault="007E5151" w:rsidP="007E5151">
            <w:pPr>
              <w:rPr>
                <w:lang w:eastAsia="en-GB"/>
              </w:rPr>
            </w:pPr>
            <w:r w:rsidRPr="005C338C">
              <w:t>Number of fatalities</w:t>
            </w:r>
          </w:p>
        </w:tc>
        <w:tc>
          <w:tcPr>
            <w:tcW w:w="1134" w:type="dxa"/>
            <w:shd w:val="clear" w:color="auto" w:fill="FFFFFF"/>
          </w:tcPr>
          <w:p w14:paraId="58723D27" w14:textId="232958D8" w:rsidR="007E5151" w:rsidRPr="005C338C" w:rsidRDefault="007E5151" w:rsidP="007E5151">
            <w:pPr>
              <w:rPr>
                <w:color w:val="000000"/>
              </w:rPr>
            </w:pPr>
            <w:r w:rsidRPr="005C338C">
              <w:t>Numerical</w:t>
            </w:r>
          </w:p>
        </w:tc>
        <w:tc>
          <w:tcPr>
            <w:tcW w:w="1134" w:type="dxa"/>
            <w:shd w:val="clear" w:color="auto" w:fill="FFFFFF"/>
            <w:vAlign w:val="bottom"/>
          </w:tcPr>
          <w:p w14:paraId="31A0EE91" w14:textId="76C340B8" w:rsidR="007E5151" w:rsidRPr="005C338C" w:rsidRDefault="007E5151" w:rsidP="007E5151">
            <w:pPr>
              <w:rPr>
                <w:color w:val="000000"/>
                <w:lang w:eastAsia="en-GB"/>
              </w:rPr>
            </w:pPr>
            <w:r w:rsidRPr="005C338C">
              <w:rPr>
                <w:color w:val="000000"/>
              </w:rPr>
              <w:t>12.4%</w:t>
            </w:r>
          </w:p>
        </w:tc>
        <w:tc>
          <w:tcPr>
            <w:tcW w:w="1559" w:type="dxa"/>
            <w:shd w:val="clear" w:color="auto" w:fill="FFFFFF"/>
            <w:vAlign w:val="bottom"/>
          </w:tcPr>
          <w:p w14:paraId="05ECEBA6" w14:textId="215125F5" w:rsidR="007E5151" w:rsidRPr="005C338C" w:rsidRDefault="007E5151" w:rsidP="007E5151">
            <w:pPr>
              <w:jc w:val="center"/>
              <w:rPr>
                <w:color w:val="000000"/>
                <w:lang w:eastAsia="en-GB"/>
              </w:rPr>
            </w:pPr>
            <w:r w:rsidRPr="005C338C">
              <w:rPr>
                <w:color w:val="000000"/>
                <w:lang w:eastAsia="en-GB"/>
              </w:rPr>
              <w:t>Yes*</w:t>
            </w:r>
          </w:p>
        </w:tc>
      </w:tr>
      <w:tr w:rsidR="007E5151" w:rsidRPr="005C338C" w14:paraId="3D7CC44A" w14:textId="77777777" w:rsidTr="00D56E75">
        <w:trPr>
          <w:jc w:val="center"/>
        </w:trPr>
        <w:tc>
          <w:tcPr>
            <w:tcW w:w="851" w:type="dxa"/>
            <w:shd w:val="clear" w:color="auto" w:fill="FFFFFF"/>
            <w:vAlign w:val="bottom"/>
          </w:tcPr>
          <w:p w14:paraId="2E65E6DC" w14:textId="28DCFA7D" w:rsidR="007E5151" w:rsidRPr="005C338C" w:rsidRDefault="007E5151" w:rsidP="007E5151">
            <w:r w:rsidRPr="005C338C">
              <w:t>LOD</w:t>
            </w:r>
          </w:p>
        </w:tc>
        <w:tc>
          <w:tcPr>
            <w:tcW w:w="2977" w:type="dxa"/>
            <w:shd w:val="clear" w:color="auto" w:fill="FFFFFF"/>
            <w:vAlign w:val="bottom"/>
          </w:tcPr>
          <w:p w14:paraId="16564E61" w14:textId="40825198" w:rsidR="007E5151" w:rsidRPr="005C338C" w:rsidRDefault="007E5151" w:rsidP="007E5151">
            <w:r w:rsidRPr="005C338C">
              <w:t>Location description</w:t>
            </w:r>
          </w:p>
        </w:tc>
        <w:tc>
          <w:tcPr>
            <w:tcW w:w="1134" w:type="dxa"/>
            <w:shd w:val="clear" w:color="auto" w:fill="FFFFFF"/>
          </w:tcPr>
          <w:p w14:paraId="0809AB85" w14:textId="6281194C" w:rsidR="007E5151" w:rsidRPr="005C338C" w:rsidRDefault="007E5151" w:rsidP="007E5151">
            <w:r w:rsidRPr="005C338C">
              <w:t>Categorical</w:t>
            </w:r>
          </w:p>
        </w:tc>
        <w:tc>
          <w:tcPr>
            <w:tcW w:w="1134" w:type="dxa"/>
            <w:shd w:val="clear" w:color="auto" w:fill="FFFFFF"/>
            <w:vAlign w:val="bottom"/>
          </w:tcPr>
          <w:p w14:paraId="7605BD58" w14:textId="0DB453BA" w:rsidR="007E5151" w:rsidRPr="005C338C" w:rsidRDefault="007E5151" w:rsidP="007E5151">
            <w:pPr>
              <w:rPr>
                <w:color w:val="000000"/>
              </w:rPr>
            </w:pPr>
            <w:r w:rsidRPr="005C338C">
              <w:rPr>
                <w:color w:val="000000"/>
              </w:rPr>
              <w:t>13.8%</w:t>
            </w:r>
          </w:p>
        </w:tc>
        <w:tc>
          <w:tcPr>
            <w:tcW w:w="1559" w:type="dxa"/>
            <w:shd w:val="clear" w:color="auto" w:fill="FFFFFF"/>
            <w:vAlign w:val="bottom"/>
          </w:tcPr>
          <w:p w14:paraId="553DC35E" w14:textId="59FCB540" w:rsidR="007E5151" w:rsidRPr="005C338C" w:rsidRDefault="007E5151" w:rsidP="007E5151">
            <w:pPr>
              <w:jc w:val="center"/>
              <w:rPr>
                <w:color w:val="000000"/>
                <w:lang w:eastAsia="en-GB"/>
              </w:rPr>
            </w:pPr>
            <w:r w:rsidRPr="005C338C">
              <w:rPr>
                <w:color w:val="000000"/>
                <w:lang w:eastAsia="en-GB"/>
              </w:rPr>
              <w:t>Yes</w:t>
            </w:r>
          </w:p>
        </w:tc>
      </w:tr>
      <w:tr w:rsidR="007E5151" w:rsidRPr="005C338C" w14:paraId="2C8BE501" w14:textId="77777777" w:rsidTr="00D56E75">
        <w:trPr>
          <w:jc w:val="center"/>
        </w:trPr>
        <w:tc>
          <w:tcPr>
            <w:tcW w:w="851" w:type="dxa"/>
            <w:shd w:val="clear" w:color="auto" w:fill="FFFFFF"/>
            <w:vAlign w:val="bottom"/>
          </w:tcPr>
          <w:p w14:paraId="66AC8C6C" w14:textId="6F6C8037" w:rsidR="007E5151" w:rsidRPr="005C338C" w:rsidRDefault="007E5151" w:rsidP="007E5151">
            <w:r w:rsidRPr="005C338C">
              <w:rPr>
                <w:lang w:eastAsia="en-GB"/>
              </w:rPr>
              <w:t>ST</w:t>
            </w:r>
          </w:p>
        </w:tc>
        <w:tc>
          <w:tcPr>
            <w:tcW w:w="2977" w:type="dxa"/>
            <w:shd w:val="clear" w:color="auto" w:fill="FFFFFF"/>
            <w:vAlign w:val="bottom"/>
          </w:tcPr>
          <w:p w14:paraId="0493FA5B" w14:textId="307FB2A5" w:rsidR="007E5151" w:rsidRPr="005C338C" w:rsidRDefault="007E5151" w:rsidP="007E5151">
            <w:r w:rsidRPr="005C338C">
              <w:rPr>
                <w:lang w:eastAsia="en-GB"/>
              </w:rPr>
              <w:t>Storage/process medium</w:t>
            </w:r>
          </w:p>
        </w:tc>
        <w:tc>
          <w:tcPr>
            <w:tcW w:w="1134" w:type="dxa"/>
            <w:shd w:val="clear" w:color="auto" w:fill="FFFFFF"/>
          </w:tcPr>
          <w:p w14:paraId="3BF836D9" w14:textId="2DF536BD" w:rsidR="007E5151" w:rsidRPr="005C338C" w:rsidRDefault="007E5151" w:rsidP="007E5151">
            <w:r w:rsidRPr="005C338C">
              <w:t>Categorical</w:t>
            </w:r>
          </w:p>
        </w:tc>
        <w:tc>
          <w:tcPr>
            <w:tcW w:w="1134" w:type="dxa"/>
            <w:shd w:val="clear" w:color="auto" w:fill="FFFFFF"/>
            <w:vAlign w:val="bottom"/>
          </w:tcPr>
          <w:p w14:paraId="3C5CE8BE" w14:textId="3341BF7C" w:rsidR="007E5151" w:rsidRPr="005C338C" w:rsidRDefault="007E5151" w:rsidP="007E5151">
            <w:pPr>
              <w:rPr>
                <w:color w:val="000000"/>
              </w:rPr>
            </w:pPr>
            <w:r w:rsidRPr="005C338C">
              <w:rPr>
                <w:color w:val="000000"/>
                <w:lang w:eastAsia="en-GB"/>
              </w:rPr>
              <w:t>15.1%</w:t>
            </w:r>
          </w:p>
        </w:tc>
        <w:tc>
          <w:tcPr>
            <w:tcW w:w="1559" w:type="dxa"/>
            <w:shd w:val="clear" w:color="auto" w:fill="FFFFFF"/>
            <w:vAlign w:val="bottom"/>
          </w:tcPr>
          <w:p w14:paraId="5359868E" w14:textId="7C5BD52E" w:rsidR="007E5151" w:rsidRPr="005C338C" w:rsidRDefault="007E5151" w:rsidP="007E5151">
            <w:pPr>
              <w:jc w:val="center"/>
              <w:rPr>
                <w:color w:val="000000"/>
                <w:lang w:eastAsia="en-GB"/>
              </w:rPr>
            </w:pPr>
            <w:r w:rsidRPr="005C338C">
              <w:rPr>
                <w:color w:val="000000"/>
                <w:lang w:eastAsia="en-GB"/>
              </w:rPr>
              <w:t>Yes</w:t>
            </w:r>
          </w:p>
        </w:tc>
      </w:tr>
      <w:tr w:rsidR="007E5151" w:rsidRPr="005C338C" w14:paraId="1F53A17E" w14:textId="77777777" w:rsidTr="00D56E75">
        <w:trPr>
          <w:jc w:val="center"/>
        </w:trPr>
        <w:tc>
          <w:tcPr>
            <w:tcW w:w="851" w:type="dxa"/>
            <w:shd w:val="clear" w:color="auto" w:fill="FFFFFF"/>
            <w:vAlign w:val="bottom"/>
          </w:tcPr>
          <w:p w14:paraId="70DED78F" w14:textId="0073913A" w:rsidR="007E5151" w:rsidRPr="005C338C" w:rsidRDefault="007E5151" w:rsidP="007E5151">
            <w:pPr>
              <w:rPr>
                <w:lang w:eastAsia="en-GB"/>
              </w:rPr>
            </w:pPr>
            <w:r w:rsidRPr="005C338C">
              <w:t>RET</w:t>
            </w:r>
          </w:p>
        </w:tc>
        <w:tc>
          <w:tcPr>
            <w:tcW w:w="2977" w:type="dxa"/>
            <w:shd w:val="clear" w:color="auto" w:fill="FFFFFF"/>
            <w:vAlign w:val="bottom"/>
          </w:tcPr>
          <w:p w14:paraId="30007CB7" w14:textId="7A4C9C3F" w:rsidR="007E5151" w:rsidRPr="005C338C" w:rsidRDefault="007E5151" w:rsidP="007E5151">
            <w:pPr>
              <w:rPr>
                <w:lang w:eastAsia="en-GB"/>
              </w:rPr>
            </w:pPr>
            <w:r w:rsidRPr="005C338C">
              <w:t>Release type</w:t>
            </w:r>
          </w:p>
        </w:tc>
        <w:tc>
          <w:tcPr>
            <w:tcW w:w="1134" w:type="dxa"/>
            <w:shd w:val="clear" w:color="auto" w:fill="FFFFFF"/>
          </w:tcPr>
          <w:p w14:paraId="1DBD4463" w14:textId="3DB4EB1B" w:rsidR="007E5151" w:rsidRPr="005C338C" w:rsidRDefault="007E5151" w:rsidP="007E5151">
            <w:pPr>
              <w:rPr>
                <w:color w:val="000000"/>
              </w:rPr>
            </w:pPr>
            <w:r w:rsidRPr="005C338C">
              <w:t>Categorical</w:t>
            </w:r>
          </w:p>
        </w:tc>
        <w:tc>
          <w:tcPr>
            <w:tcW w:w="1134" w:type="dxa"/>
            <w:shd w:val="clear" w:color="auto" w:fill="FFFFFF"/>
            <w:vAlign w:val="bottom"/>
          </w:tcPr>
          <w:p w14:paraId="00F53D85" w14:textId="4C597FE6" w:rsidR="007E5151" w:rsidRPr="005C338C" w:rsidRDefault="007E5151" w:rsidP="007E5151">
            <w:pPr>
              <w:rPr>
                <w:color w:val="000000"/>
                <w:lang w:eastAsia="en-GB"/>
              </w:rPr>
            </w:pPr>
            <w:r w:rsidRPr="005C338C">
              <w:rPr>
                <w:color w:val="000000"/>
              </w:rPr>
              <w:t>17.9%</w:t>
            </w:r>
          </w:p>
        </w:tc>
        <w:tc>
          <w:tcPr>
            <w:tcW w:w="1559" w:type="dxa"/>
            <w:shd w:val="clear" w:color="auto" w:fill="FFFFFF"/>
            <w:vAlign w:val="bottom"/>
          </w:tcPr>
          <w:p w14:paraId="5B45C998" w14:textId="4700FC5F" w:rsidR="007E5151" w:rsidRPr="005C338C" w:rsidRDefault="007E5151" w:rsidP="007E5151">
            <w:pPr>
              <w:jc w:val="center"/>
              <w:rPr>
                <w:color w:val="000000"/>
                <w:lang w:eastAsia="en-GB"/>
              </w:rPr>
            </w:pPr>
            <w:r w:rsidRPr="005C338C">
              <w:rPr>
                <w:color w:val="000000"/>
                <w:lang w:eastAsia="en-GB"/>
              </w:rPr>
              <w:t>Yes</w:t>
            </w:r>
          </w:p>
        </w:tc>
      </w:tr>
      <w:tr w:rsidR="007E5151" w:rsidRPr="005C338C" w14:paraId="342B907B" w14:textId="77777777" w:rsidTr="00D56E75">
        <w:trPr>
          <w:jc w:val="center"/>
        </w:trPr>
        <w:tc>
          <w:tcPr>
            <w:tcW w:w="851" w:type="dxa"/>
            <w:shd w:val="clear" w:color="auto" w:fill="FFFFFF"/>
            <w:vAlign w:val="bottom"/>
          </w:tcPr>
          <w:p w14:paraId="34FC0660" w14:textId="7C2130A9" w:rsidR="007E5151" w:rsidRPr="005C338C" w:rsidRDefault="007E5151" w:rsidP="007E5151">
            <w:r w:rsidRPr="005C338C">
              <w:rPr>
                <w:lang w:eastAsia="en-GB"/>
              </w:rPr>
              <w:t>LOT</w:t>
            </w:r>
          </w:p>
        </w:tc>
        <w:tc>
          <w:tcPr>
            <w:tcW w:w="2977" w:type="dxa"/>
            <w:shd w:val="clear" w:color="auto" w:fill="FFFFFF"/>
            <w:vAlign w:val="bottom"/>
          </w:tcPr>
          <w:p w14:paraId="438D5E33" w14:textId="2054B823" w:rsidR="007E5151" w:rsidRPr="005C338C" w:rsidRDefault="007E5151" w:rsidP="007E5151">
            <w:r w:rsidRPr="005C338C">
              <w:rPr>
                <w:lang w:eastAsia="en-GB"/>
              </w:rPr>
              <w:t>Location type</w:t>
            </w:r>
          </w:p>
        </w:tc>
        <w:tc>
          <w:tcPr>
            <w:tcW w:w="1134" w:type="dxa"/>
            <w:shd w:val="clear" w:color="auto" w:fill="FFFFFF"/>
          </w:tcPr>
          <w:p w14:paraId="2163B5C0" w14:textId="6D28CA30" w:rsidR="007E5151" w:rsidRPr="005C338C" w:rsidRDefault="007E5151" w:rsidP="007E5151">
            <w:r w:rsidRPr="005C338C">
              <w:t>Categorical</w:t>
            </w:r>
          </w:p>
        </w:tc>
        <w:tc>
          <w:tcPr>
            <w:tcW w:w="1134" w:type="dxa"/>
            <w:shd w:val="clear" w:color="auto" w:fill="FFFFFF"/>
            <w:vAlign w:val="bottom"/>
          </w:tcPr>
          <w:p w14:paraId="09405DD2" w14:textId="50E18B79" w:rsidR="007E5151" w:rsidRPr="005C338C" w:rsidRDefault="007E5151" w:rsidP="007E5151">
            <w:pPr>
              <w:rPr>
                <w:color w:val="000000"/>
              </w:rPr>
            </w:pPr>
            <w:r w:rsidRPr="005C338C">
              <w:rPr>
                <w:color w:val="000000"/>
                <w:lang w:eastAsia="en-GB"/>
              </w:rPr>
              <w:t>27.5%</w:t>
            </w:r>
          </w:p>
        </w:tc>
        <w:tc>
          <w:tcPr>
            <w:tcW w:w="1559" w:type="dxa"/>
            <w:shd w:val="clear" w:color="auto" w:fill="FFFFFF"/>
            <w:vAlign w:val="bottom"/>
          </w:tcPr>
          <w:p w14:paraId="055BF751" w14:textId="77B07A7E" w:rsidR="007E5151" w:rsidRPr="005C338C" w:rsidRDefault="007E5151" w:rsidP="007E5151">
            <w:pPr>
              <w:jc w:val="center"/>
              <w:rPr>
                <w:color w:val="000000"/>
                <w:lang w:eastAsia="en-GB"/>
              </w:rPr>
            </w:pPr>
            <w:r w:rsidRPr="005C338C">
              <w:rPr>
                <w:color w:val="000000"/>
                <w:lang w:eastAsia="en-GB"/>
              </w:rPr>
              <w:t>Yes</w:t>
            </w:r>
          </w:p>
        </w:tc>
      </w:tr>
      <w:tr w:rsidR="007E5151" w:rsidRPr="005C338C" w14:paraId="0ED457A2" w14:textId="77777777" w:rsidTr="00D56E75">
        <w:trPr>
          <w:jc w:val="center"/>
        </w:trPr>
        <w:tc>
          <w:tcPr>
            <w:tcW w:w="851" w:type="dxa"/>
            <w:shd w:val="clear" w:color="auto" w:fill="FFFFFF"/>
            <w:vAlign w:val="bottom"/>
          </w:tcPr>
          <w:p w14:paraId="457F5AB8" w14:textId="3236DF13" w:rsidR="007E5151" w:rsidRPr="005C338C" w:rsidRDefault="007E5151" w:rsidP="007E5151">
            <w:pPr>
              <w:rPr>
                <w:lang w:eastAsia="en-GB"/>
              </w:rPr>
            </w:pPr>
            <w:r w:rsidRPr="005C338C">
              <w:t>IG</w:t>
            </w:r>
          </w:p>
        </w:tc>
        <w:tc>
          <w:tcPr>
            <w:tcW w:w="2977" w:type="dxa"/>
            <w:shd w:val="clear" w:color="auto" w:fill="FFFFFF"/>
            <w:vAlign w:val="bottom"/>
          </w:tcPr>
          <w:p w14:paraId="41C82D85" w14:textId="138E3C62" w:rsidR="007E5151" w:rsidRPr="005C338C" w:rsidRDefault="007E5151" w:rsidP="007E5151">
            <w:pPr>
              <w:rPr>
                <w:lang w:eastAsia="en-GB"/>
              </w:rPr>
            </w:pPr>
            <w:r w:rsidRPr="005C338C">
              <w:t>Ignition source</w:t>
            </w:r>
          </w:p>
        </w:tc>
        <w:tc>
          <w:tcPr>
            <w:tcW w:w="1134" w:type="dxa"/>
            <w:shd w:val="clear" w:color="auto" w:fill="FFFFFF"/>
          </w:tcPr>
          <w:p w14:paraId="378717A4" w14:textId="24CDAE07" w:rsidR="007E5151" w:rsidRPr="005C338C" w:rsidRDefault="007E5151" w:rsidP="007E5151">
            <w:pPr>
              <w:rPr>
                <w:color w:val="000000"/>
              </w:rPr>
            </w:pPr>
            <w:r w:rsidRPr="005C338C">
              <w:t>Categorical</w:t>
            </w:r>
          </w:p>
        </w:tc>
        <w:tc>
          <w:tcPr>
            <w:tcW w:w="1134" w:type="dxa"/>
            <w:shd w:val="clear" w:color="auto" w:fill="FFFFFF"/>
            <w:vAlign w:val="bottom"/>
          </w:tcPr>
          <w:p w14:paraId="54A2BDA0" w14:textId="0C9C572E" w:rsidR="007E5151" w:rsidRPr="005C338C" w:rsidRDefault="007E5151" w:rsidP="007E5151">
            <w:pPr>
              <w:rPr>
                <w:color w:val="000000"/>
                <w:lang w:eastAsia="en-GB"/>
              </w:rPr>
            </w:pPr>
            <w:r w:rsidRPr="005C338C">
              <w:rPr>
                <w:color w:val="000000"/>
              </w:rPr>
              <w:t>77.2%</w:t>
            </w:r>
          </w:p>
        </w:tc>
        <w:tc>
          <w:tcPr>
            <w:tcW w:w="1559" w:type="dxa"/>
            <w:shd w:val="clear" w:color="auto" w:fill="FFFFFF"/>
            <w:vAlign w:val="bottom"/>
          </w:tcPr>
          <w:p w14:paraId="0251952C" w14:textId="148CE353" w:rsidR="007E5151" w:rsidRPr="005C338C" w:rsidRDefault="007E5151" w:rsidP="007E5151">
            <w:pPr>
              <w:jc w:val="center"/>
              <w:rPr>
                <w:color w:val="000000"/>
                <w:lang w:eastAsia="en-GB"/>
              </w:rPr>
            </w:pPr>
            <w:r>
              <w:rPr>
                <w:color w:val="000000"/>
                <w:lang w:eastAsia="en-GB"/>
              </w:rPr>
              <w:t>No</w:t>
            </w:r>
          </w:p>
        </w:tc>
      </w:tr>
      <w:tr w:rsidR="007E5151" w:rsidRPr="005C338C" w14:paraId="6593A231" w14:textId="77777777" w:rsidTr="00D56E75">
        <w:trPr>
          <w:jc w:val="center"/>
        </w:trPr>
        <w:tc>
          <w:tcPr>
            <w:tcW w:w="851" w:type="dxa"/>
            <w:shd w:val="clear" w:color="auto" w:fill="FFFFFF"/>
            <w:vAlign w:val="bottom"/>
          </w:tcPr>
          <w:p w14:paraId="2642CC2C" w14:textId="219C2C82" w:rsidR="007E5151" w:rsidRPr="005C338C" w:rsidRDefault="007E5151" w:rsidP="007E5151">
            <w:r w:rsidRPr="005C338C">
              <w:t>REA</w:t>
            </w:r>
          </w:p>
        </w:tc>
        <w:tc>
          <w:tcPr>
            <w:tcW w:w="2977" w:type="dxa"/>
            <w:shd w:val="clear" w:color="auto" w:fill="FFFFFF"/>
            <w:vAlign w:val="bottom"/>
          </w:tcPr>
          <w:p w14:paraId="6B9F6F07" w14:textId="7F643590" w:rsidR="007E5151" w:rsidRPr="005C338C" w:rsidRDefault="007E5151" w:rsidP="007E5151">
            <w:r w:rsidRPr="005C338C">
              <w:t>Release amount</w:t>
            </w:r>
          </w:p>
        </w:tc>
        <w:tc>
          <w:tcPr>
            <w:tcW w:w="1134" w:type="dxa"/>
            <w:shd w:val="clear" w:color="auto" w:fill="FFFFFF"/>
          </w:tcPr>
          <w:p w14:paraId="5E733E7A" w14:textId="4267DA4F" w:rsidR="007E5151" w:rsidRPr="005C338C" w:rsidRDefault="007E5151" w:rsidP="007E5151">
            <w:r w:rsidRPr="005C338C">
              <w:t>Numerical</w:t>
            </w:r>
          </w:p>
        </w:tc>
        <w:tc>
          <w:tcPr>
            <w:tcW w:w="1134" w:type="dxa"/>
            <w:shd w:val="clear" w:color="auto" w:fill="FFFFFF"/>
            <w:vAlign w:val="bottom"/>
          </w:tcPr>
          <w:p w14:paraId="0630AD8F" w14:textId="252EF26D" w:rsidR="007E5151" w:rsidRPr="005C338C" w:rsidRDefault="007E5151" w:rsidP="007E5151">
            <w:pPr>
              <w:rPr>
                <w:color w:val="000000"/>
              </w:rPr>
            </w:pPr>
            <w:r w:rsidRPr="005C338C">
              <w:rPr>
                <w:color w:val="000000"/>
              </w:rPr>
              <w:t>82.6%</w:t>
            </w:r>
          </w:p>
        </w:tc>
        <w:tc>
          <w:tcPr>
            <w:tcW w:w="1559" w:type="dxa"/>
            <w:shd w:val="clear" w:color="auto" w:fill="FFFFFF"/>
            <w:vAlign w:val="bottom"/>
          </w:tcPr>
          <w:p w14:paraId="147EF542" w14:textId="1516FE64" w:rsidR="007E5151" w:rsidRDefault="007E5151" w:rsidP="007E5151">
            <w:pPr>
              <w:jc w:val="center"/>
              <w:rPr>
                <w:color w:val="000000"/>
                <w:lang w:eastAsia="en-GB"/>
              </w:rPr>
            </w:pPr>
            <w:r w:rsidRPr="005C338C">
              <w:rPr>
                <w:color w:val="000000"/>
                <w:lang w:eastAsia="en-GB"/>
              </w:rPr>
              <w:t>No</w:t>
            </w:r>
          </w:p>
        </w:tc>
      </w:tr>
      <w:tr w:rsidR="007E5151" w:rsidRPr="005C338C" w14:paraId="20CCF76B" w14:textId="77777777" w:rsidTr="00D56E75">
        <w:trPr>
          <w:jc w:val="center"/>
        </w:trPr>
        <w:tc>
          <w:tcPr>
            <w:tcW w:w="851" w:type="dxa"/>
            <w:shd w:val="clear" w:color="auto" w:fill="FFFFFF"/>
            <w:vAlign w:val="bottom"/>
          </w:tcPr>
          <w:p w14:paraId="0332A07F" w14:textId="30469454" w:rsidR="007E5151" w:rsidRPr="005C338C" w:rsidRDefault="007E5151" w:rsidP="007E5151">
            <w:pPr>
              <w:rPr>
                <w:lang w:eastAsia="en-GB"/>
              </w:rPr>
            </w:pPr>
            <w:r w:rsidRPr="005C338C">
              <w:t>FL</w:t>
            </w:r>
          </w:p>
        </w:tc>
        <w:tc>
          <w:tcPr>
            <w:tcW w:w="2977" w:type="dxa"/>
            <w:shd w:val="clear" w:color="auto" w:fill="FFFFFF"/>
            <w:vAlign w:val="bottom"/>
          </w:tcPr>
          <w:p w14:paraId="4843ECEC" w14:textId="254DBF46" w:rsidR="007E5151" w:rsidRPr="005C338C" w:rsidRDefault="007E5151" w:rsidP="007E5151">
            <w:pPr>
              <w:rPr>
                <w:lang w:eastAsia="en-GB"/>
              </w:rPr>
            </w:pPr>
            <w:r w:rsidRPr="005C338C">
              <w:t>Flame type</w:t>
            </w:r>
          </w:p>
        </w:tc>
        <w:tc>
          <w:tcPr>
            <w:tcW w:w="1134" w:type="dxa"/>
            <w:shd w:val="clear" w:color="auto" w:fill="FFFFFF"/>
          </w:tcPr>
          <w:p w14:paraId="70E4E9D5" w14:textId="14C9FCF5" w:rsidR="007E5151" w:rsidRPr="005C338C" w:rsidRDefault="007E5151" w:rsidP="007E5151">
            <w:pPr>
              <w:rPr>
                <w:color w:val="000000"/>
              </w:rPr>
            </w:pPr>
            <w:r w:rsidRPr="005C338C">
              <w:t>Categorical</w:t>
            </w:r>
          </w:p>
        </w:tc>
        <w:tc>
          <w:tcPr>
            <w:tcW w:w="1134" w:type="dxa"/>
            <w:shd w:val="clear" w:color="auto" w:fill="FFFFFF"/>
            <w:vAlign w:val="bottom"/>
          </w:tcPr>
          <w:p w14:paraId="18EB87E4" w14:textId="47605F22" w:rsidR="007E5151" w:rsidRPr="005C338C" w:rsidRDefault="007E5151" w:rsidP="007E5151">
            <w:pPr>
              <w:rPr>
                <w:color w:val="000000"/>
                <w:lang w:eastAsia="en-GB"/>
              </w:rPr>
            </w:pPr>
            <w:r w:rsidRPr="005C338C">
              <w:rPr>
                <w:color w:val="000000"/>
              </w:rPr>
              <w:t>89.9%</w:t>
            </w:r>
          </w:p>
        </w:tc>
        <w:tc>
          <w:tcPr>
            <w:tcW w:w="1559" w:type="dxa"/>
            <w:shd w:val="clear" w:color="auto" w:fill="FFFFFF"/>
            <w:vAlign w:val="bottom"/>
          </w:tcPr>
          <w:p w14:paraId="1EC904E1" w14:textId="2A3642CA" w:rsidR="007E5151" w:rsidRPr="005C338C" w:rsidRDefault="007E5151" w:rsidP="007E5151">
            <w:pPr>
              <w:jc w:val="center"/>
              <w:rPr>
                <w:color w:val="000000"/>
                <w:lang w:eastAsia="en-GB"/>
              </w:rPr>
            </w:pPr>
            <w:r w:rsidRPr="005C338C">
              <w:rPr>
                <w:color w:val="000000"/>
                <w:lang w:eastAsia="en-GB"/>
              </w:rPr>
              <w:t>No</w:t>
            </w:r>
          </w:p>
        </w:tc>
      </w:tr>
    </w:tbl>
    <w:p w14:paraId="508F1967" w14:textId="632AA368" w:rsidR="00DC4FC5" w:rsidRPr="005C338C" w:rsidRDefault="00DC4FC5" w:rsidP="00C80C64">
      <w:pPr>
        <w:pStyle w:val="BOAAbstractBody"/>
        <w:rPr>
          <w:vertAlign w:val="superscript"/>
          <w:lang w:val="en-GB"/>
        </w:rPr>
      </w:pPr>
      <w:r w:rsidRPr="005C338C">
        <w:rPr>
          <w:vertAlign w:val="superscript"/>
          <w:lang w:val="en-GB"/>
        </w:rPr>
        <w:t>*</w:t>
      </w:r>
      <w:r w:rsidR="0067631C" w:rsidRPr="005C338C">
        <w:rPr>
          <w:vertAlign w:val="superscript"/>
          <w:lang w:val="en-GB"/>
        </w:rPr>
        <w:t xml:space="preserve">Proposed </w:t>
      </w:r>
      <w:r w:rsidRPr="005C338C">
        <w:rPr>
          <w:vertAlign w:val="superscript"/>
          <w:lang w:val="en-GB"/>
        </w:rPr>
        <w:t>categorical variable</w:t>
      </w:r>
    </w:p>
    <w:p w14:paraId="739F373C" w14:textId="638E53B9" w:rsidR="00B13DE7" w:rsidRPr="00014E74" w:rsidRDefault="00FE01CD" w:rsidP="00014E74">
      <w:pPr>
        <w:pStyle w:val="BOAAbstractBody"/>
      </w:pPr>
      <w:r w:rsidRPr="00014E74">
        <w:t xml:space="preserve">Regarding the data cleaning step, categorical label unification was done by standardizing text entries to a consistent format and correcting typographical variations, thereby reducing noise and ensuring uniform category encoding. Since </w:t>
      </w:r>
      <w:r w:rsidR="00E22CE3" w:rsidRPr="00014E74">
        <w:t xml:space="preserve">the </w:t>
      </w:r>
      <w:r w:rsidRPr="00014E74">
        <w:t xml:space="preserve">subsequent </w:t>
      </w:r>
      <w:r w:rsidR="00E22CE3" w:rsidRPr="00014E74">
        <w:t xml:space="preserve">machine learning approach </w:t>
      </w:r>
      <w:r w:rsidRPr="00014E74">
        <w:t>require</w:t>
      </w:r>
      <w:r w:rsidR="00F56D29" w:rsidRPr="00014E74">
        <w:t>s</w:t>
      </w:r>
      <w:r w:rsidRPr="00014E74">
        <w:t xml:space="preserve"> at least one observed outcome per record, any accident report lacking fatality and injury information was excluded. However, reports that included at least one of these target variables were retained to preserve partially observed cases and maintain sample diversity. This filtering procedure removed 260 </w:t>
      </w:r>
      <w:r w:rsidR="001F16F9" w:rsidRPr="00014E74">
        <w:t xml:space="preserve">records </w:t>
      </w:r>
      <w:r w:rsidRPr="00014E74">
        <w:t>from the original 954, leaving 694 data events available.</w:t>
      </w:r>
    </w:p>
    <w:p w14:paraId="29226ADD" w14:textId="2D803B7F" w:rsidR="000547E3" w:rsidRPr="00014E74" w:rsidRDefault="000547E3" w:rsidP="00014E74">
      <w:pPr>
        <w:pStyle w:val="BOAAbstractBody"/>
      </w:pPr>
      <w:r w:rsidRPr="00014E74">
        <w:t xml:space="preserve">The numerical variables </w:t>
      </w:r>
      <w:r w:rsidR="00CE6A33" w:rsidRPr="00014E74">
        <w:t>(</w:t>
      </w:r>
      <w:r w:rsidRPr="00014E74">
        <w:t>NU</w:t>
      </w:r>
      <w:r w:rsidR="005A02A1" w:rsidRPr="00014E74">
        <w:t>I</w:t>
      </w:r>
      <w:r w:rsidRPr="00014E74">
        <w:t xml:space="preserve"> and NU</w:t>
      </w:r>
      <w:r w:rsidR="005A02A1" w:rsidRPr="00014E74">
        <w:t>F</w:t>
      </w:r>
      <w:r w:rsidRPr="00014E74">
        <w:t xml:space="preserve">) were </w:t>
      </w:r>
      <w:r w:rsidR="003B360C" w:rsidRPr="00014E74">
        <w:t>modified in</w:t>
      </w:r>
      <w:r w:rsidRPr="00014E74">
        <w:t xml:space="preserve">to categorical variables </w:t>
      </w:r>
      <w:r w:rsidR="00426BAF" w:rsidRPr="00014E74">
        <w:t xml:space="preserve">following </w:t>
      </w:r>
      <w:r w:rsidRPr="00014E74">
        <w:t xml:space="preserve">the CCPS Tier 1 Process Safety Event (PSE1) criteria, whereby any </w:t>
      </w:r>
      <w:r w:rsidR="008770D8" w:rsidRPr="00014E74">
        <w:t>event</w:t>
      </w:r>
      <w:r w:rsidRPr="00014E74">
        <w:t xml:space="preserve"> with one or more fatalities qualifies as a catastrophic event (Center for Chemical Process Safety, 2018).  Based on these standards, both NU</w:t>
      </w:r>
      <w:r w:rsidR="005A02A1" w:rsidRPr="00014E74">
        <w:t>I</w:t>
      </w:r>
      <w:r w:rsidRPr="00014E74">
        <w:t xml:space="preserve"> and NU</w:t>
      </w:r>
      <w:r w:rsidR="005A02A1" w:rsidRPr="00014E74">
        <w:t>F</w:t>
      </w:r>
      <w:r w:rsidRPr="00014E74">
        <w:t xml:space="preserve"> were converted as shown in Table 2.</w:t>
      </w:r>
    </w:p>
    <w:p w14:paraId="286A6AEA" w14:textId="29461471" w:rsidR="000547E3" w:rsidRPr="005C338C" w:rsidRDefault="000547E3" w:rsidP="000547E3">
      <w:pPr>
        <w:pStyle w:val="BOACaption"/>
      </w:pPr>
      <w:r w:rsidRPr="005C338C">
        <w:t xml:space="preserve">Table </w:t>
      </w:r>
      <w:r w:rsidRPr="005C338C">
        <w:fldChar w:fldCharType="begin"/>
      </w:r>
      <w:r w:rsidRPr="005C338C">
        <w:instrText xml:space="preserve"> SEQ Table \* ARABIC </w:instrText>
      </w:r>
      <w:r w:rsidRPr="005C338C">
        <w:fldChar w:fldCharType="separate"/>
      </w:r>
      <w:r w:rsidRPr="005C338C">
        <w:rPr>
          <w:noProof/>
        </w:rPr>
        <w:t>2</w:t>
      </w:r>
      <w:r w:rsidRPr="005C338C">
        <w:fldChar w:fldCharType="end"/>
      </w:r>
      <w:r w:rsidRPr="005C338C">
        <w:t>. Accident consequences categories. People harmed refers to injuries</w:t>
      </w:r>
      <w:r w:rsidR="005A02A1" w:rsidRPr="005C338C">
        <w:t xml:space="preserve"> or fatalities</w:t>
      </w:r>
      <w:r w:rsidRPr="005C338C">
        <w:t>.</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3"/>
        <w:gridCol w:w="2409"/>
      </w:tblGrid>
      <w:tr w:rsidR="000547E3" w:rsidRPr="005C338C" w14:paraId="5A870510" w14:textId="77777777" w:rsidTr="006A10C3">
        <w:trPr>
          <w:jc w:val="center"/>
        </w:trPr>
        <w:tc>
          <w:tcPr>
            <w:tcW w:w="993" w:type="dxa"/>
            <w:tcBorders>
              <w:top w:val="single" w:sz="12" w:space="0" w:color="008000"/>
              <w:bottom w:val="single" w:sz="6" w:space="0" w:color="008000"/>
            </w:tcBorders>
            <w:shd w:val="clear" w:color="auto" w:fill="FFFFFF"/>
          </w:tcPr>
          <w:p w14:paraId="1594698E" w14:textId="77777777" w:rsidR="000547E3" w:rsidRPr="005C338C" w:rsidRDefault="000547E3" w:rsidP="006A10C3">
            <w:r w:rsidRPr="005C338C">
              <w:t xml:space="preserve">Category </w:t>
            </w:r>
          </w:p>
        </w:tc>
        <w:tc>
          <w:tcPr>
            <w:tcW w:w="2409" w:type="dxa"/>
            <w:tcBorders>
              <w:top w:val="single" w:sz="12" w:space="0" w:color="008000"/>
              <w:bottom w:val="single" w:sz="6" w:space="0" w:color="008000"/>
            </w:tcBorders>
            <w:shd w:val="clear" w:color="auto" w:fill="FFFFFF"/>
          </w:tcPr>
          <w:p w14:paraId="79A21831" w14:textId="77777777" w:rsidR="000547E3" w:rsidRPr="005C338C" w:rsidRDefault="000547E3" w:rsidP="006A10C3">
            <w:r w:rsidRPr="005C338C">
              <w:t>Description</w:t>
            </w:r>
          </w:p>
        </w:tc>
      </w:tr>
      <w:tr w:rsidR="000547E3" w:rsidRPr="005C338C" w14:paraId="68E4FFE7" w14:textId="77777777" w:rsidTr="006A10C3">
        <w:trPr>
          <w:jc w:val="center"/>
        </w:trPr>
        <w:tc>
          <w:tcPr>
            <w:tcW w:w="993" w:type="dxa"/>
            <w:shd w:val="clear" w:color="auto" w:fill="FFFFFF"/>
          </w:tcPr>
          <w:p w14:paraId="08DA1AFF" w14:textId="77777777" w:rsidR="000547E3" w:rsidRPr="005C338C" w:rsidRDefault="000547E3" w:rsidP="006A10C3">
            <w:r w:rsidRPr="005C338C">
              <w:t>0</w:t>
            </w:r>
          </w:p>
        </w:tc>
        <w:tc>
          <w:tcPr>
            <w:tcW w:w="2409" w:type="dxa"/>
            <w:shd w:val="clear" w:color="auto" w:fill="FFFFFF"/>
          </w:tcPr>
          <w:p w14:paraId="324A567E" w14:textId="77777777" w:rsidR="000547E3" w:rsidRPr="005C338C" w:rsidRDefault="000547E3" w:rsidP="006A10C3">
            <w:r w:rsidRPr="005C338C">
              <w:t>No people harmed</w:t>
            </w:r>
          </w:p>
        </w:tc>
      </w:tr>
      <w:tr w:rsidR="000547E3" w:rsidRPr="005C338C" w14:paraId="731A14B2" w14:textId="77777777" w:rsidTr="006A10C3">
        <w:trPr>
          <w:jc w:val="center"/>
        </w:trPr>
        <w:tc>
          <w:tcPr>
            <w:tcW w:w="993" w:type="dxa"/>
            <w:shd w:val="clear" w:color="auto" w:fill="FFFFFF"/>
          </w:tcPr>
          <w:p w14:paraId="343A42D8" w14:textId="77777777" w:rsidR="000547E3" w:rsidRPr="005C338C" w:rsidRDefault="000547E3" w:rsidP="006A10C3">
            <w:pPr>
              <w:ind w:right="-1"/>
              <w:rPr>
                <w:rFonts w:cs="Arial"/>
                <w:szCs w:val="18"/>
              </w:rPr>
            </w:pPr>
            <w:r w:rsidRPr="005C338C">
              <w:rPr>
                <w:rFonts w:cs="Arial"/>
                <w:szCs w:val="18"/>
              </w:rPr>
              <w:t>&gt;1</w:t>
            </w:r>
          </w:p>
        </w:tc>
        <w:tc>
          <w:tcPr>
            <w:tcW w:w="2409" w:type="dxa"/>
            <w:shd w:val="clear" w:color="auto" w:fill="FFFFFF"/>
          </w:tcPr>
          <w:p w14:paraId="3A2330F6" w14:textId="77777777" w:rsidR="000547E3" w:rsidRPr="005C338C" w:rsidRDefault="000547E3" w:rsidP="006A10C3">
            <w:pPr>
              <w:ind w:right="-1"/>
              <w:rPr>
                <w:rFonts w:cs="Arial"/>
                <w:szCs w:val="18"/>
              </w:rPr>
            </w:pPr>
            <w:r w:rsidRPr="005C338C">
              <w:rPr>
                <w:rFonts w:cs="Arial"/>
                <w:szCs w:val="18"/>
              </w:rPr>
              <w:t>More than 1 people harmed</w:t>
            </w:r>
          </w:p>
        </w:tc>
      </w:tr>
      <w:tr w:rsidR="000547E3" w:rsidRPr="005C338C" w14:paraId="2261E56D" w14:textId="77777777" w:rsidTr="006A10C3">
        <w:trPr>
          <w:jc w:val="center"/>
        </w:trPr>
        <w:tc>
          <w:tcPr>
            <w:tcW w:w="993" w:type="dxa"/>
            <w:shd w:val="clear" w:color="auto" w:fill="FFFFFF"/>
          </w:tcPr>
          <w:p w14:paraId="4A98EDDE" w14:textId="77777777" w:rsidR="000547E3" w:rsidRPr="005C338C" w:rsidRDefault="000547E3" w:rsidP="006A10C3">
            <w:pPr>
              <w:ind w:right="-1"/>
              <w:rPr>
                <w:rFonts w:cs="Arial"/>
                <w:szCs w:val="18"/>
              </w:rPr>
            </w:pPr>
            <w:r w:rsidRPr="005C338C">
              <w:rPr>
                <w:rFonts w:cs="Arial"/>
                <w:szCs w:val="18"/>
              </w:rPr>
              <w:t>Unknown</w:t>
            </w:r>
          </w:p>
        </w:tc>
        <w:tc>
          <w:tcPr>
            <w:tcW w:w="2409" w:type="dxa"/>
            <w:shd w:val="clear" w:color="auto" w:fill="FFFFFF"/>
          </w:tcPr>
          <w:p w14:paraId="67EA4B91" w14:textId="77777777" w:rsidR="000547E3" w:rsidRPr="005C338C" w:rsidRDefault="000547E3" w:rsidP="006A10C3">
            <w:pPr>
              <w:ind w:right="-1"/>
              <w:rPr>
                <w:rFonts w:cs="Arial"/>
                <w:szCs w:val="18"/>
              </w:rPr>
            </w:pPr>
            <w:r w:rsidRPr="005C338C">
              <w:rPr>
                <w:rFonts w:cs="Arial"/>
                <w:szCs w:val="18"/>
              </w:rPr>
              <w:t>Not reported</w:t>
            </w:r>
          </w:p>
        </w:tc>
      </w:tr>
    </w:tbl>
    <w:p w14:paraId="17B580FF" w14:textId="77777777" w:rsidR="000547E3" w:rsidRPr="005C338C" w:rsidRDefault="000547E3" w:rsidP="00C80C64">
      <w:pPr>
        <w:pStyle w:val="BOAAbstractBody"/>
        <w:rPr>
          <w:lang w:val="en-GB"/>
        </w:rPr>
      </w:pPr>
    </w:p>
    <w:p w14:paraId="2C00C348" w14:textId="6504EF62" w:rsidR="00456D72" w:rsidRPr="005C338C" w:rsidRDefault="00456D72" w:rsidP="00456D72">
      <w:pPr>
        <w:pStyle w:val="BOAheadingx1"/>
        <w:numPr>
          <w:ilvl w:val="0"/>
          <w:numId w:val="0"/>
        </w:numPr>
        <w:rPr>
          <w:lang w:val="en-GB"/>
        </w:rPr>
      </w:pPr>
      <w:r w:rsidRPr="005C338C">
        <w:rPr>
          <w:lang w:val="en-GB"/>
        </w:rPr>
        <w:lastRenderedPageBreak/>
        <w:t>2.</w:t>
      </w:r>
      <w:r w:rsidR="000547E3" w:rsidRPr="005C338C">
        <w:rPr>
          <w:lang w:val="en-GB"/>
        </w:rPr>
        <w:t>3</w:t>
      </w:r>
      <w:r w:rsidRPr="005C338C">
        <w:rPr>
          <w:lang w:val="en-GB"/>
        </w:rPr>
        <w:t xml:space="preserve"> Accident</w:t>
      </w:r>
      <w:r w:rsidR="00875886" w:rsidRPr="005C338C">
        <w:rPr>
          <w:lang w:val="en-GB"/>
        </w:rPr>
        <w:t>-based analysis: Multiple Correspondence Analysis</w:t>
      </w:r>
      <w:r w:rsidR="001E7790" w:rsidRPr="005C338C">
        <w:rPr>
          <w:lang w:val="en-GB"/>
        </w:rPr>
        <w:t xml:space="preserve"> (MCA)</w:t>
      </w:r>
    </w:p>
    <w:p w14:paraId="6F551A9C" w14:textId="4861D8DD" w:rsidR="007D29BE" w:rsidRPr="005C338C" w:rsidRDefault="009B3D79" w:rsidP="00C80C64">
      <w:pPr>
        <w:pStyle w:val="BOAAbstractBody"/>
        <w:rPr>
          <w:lang w:val="en-GB"/>
        </w:rPr>
      </w:pPr>
      <w:r w:rsidRPr="005C338C">
        <w:rPr>
          <w:lang w:val="en-GB"/>
        </w:rPr>
        <w:t xml:space="preserve">The </w:t>
      </w:r>
      <w:r w:rsidR="00AD7B8E" w:rsidRPr="005C338C">
        <w:rPr>
          <w:lang w:val="en-GB"/>
        </w:rPr>
        <w:t xml:space="preserve">Multiple Correspondence Analysis (MCA) approach was selected because </w:t>
      </w:r>
      <w:r w:rsidR="003B3472" w:rsidRPr="005C338C">
        <w:rPr>
          <w:lang w:val="en-GB"/>
        </w:rPr>
        <w:t>the features</w:t>
      </w:r>
      <w:r w:rsidR="00AD7B8E" w:rsidRPr="005C338C">
        <w:rPr>
          <w:lang w:val="en-GB"/>
        </w:rPr>
        <w:t xml:space="preserve"> are categorical or have been categori</w:t>
      </w:r>
      <w:r w:rsidR="006D5FDF">
        <w:rPr>
          <w:lang w:val="en-GB"/>
        </w:rPr>
        <w:t>ze</w:t>
      </w:r>
      <w:r w:rsidR="00F56D29">
        <w:rPr>
          <w:lang w:val="en-GB"/>
        </w:rPr>
        <w:t>d</w:t>
      </w:r>
      <w:r w:rsidR="00AD7B8E" w:rsidRPr="005C338C">
        <w:rPr>
          <w:lang w:val="en-GB"/>
        </w:rPr>
        <w:t xml:space="preserve"> (as shown in Table 2). Unlike Principal Component Analysis (PCA), which optimally represents continuous variables in a low-dimensional Euclidean space, MCA can accommodate any number of categorical variables by transforming them into a complete indicator matrix</w:t>
      </w:r>
      <w:r w:rsidR="0046613C">
        <w:rPr>
          <w:lang w:val="en-GB"/>
        </w:rPr>
        <w:t xml:space="preserve"> </w:t>
      </w:r>
      <w:r w:rsidR="0046613C" w:rsidRPr="0046613C">
        <w:rPr>
          <w:rFonts w:cs="Arial"/>
        </w:rPr>
        <w:t>(Greenacre, 2010)</w:t>
      </w:r>
      <w:r w:rsidR="00AD7B8E" w:rsidRPr="005C338C">
        <w:rPr>
          <w:lang w:val="en-GB"/>
        </w:rPr>
        <w:t xml:space="preserve">. This transformation preserves the </w:t>
      </w:r>
      <m:oMath>
        <m:sSup>
          <m:sSupPr>
            <m:ctrlPr>
              <w:rPr>
                <w:rFonts w:ascii="Cambria Math" w:hAnsi="Cambria Math"/>
                <w:i/>
                <w:lang w:val="en-GB"/>
              </w:rPr>
            </m:ctrlPr>
          </m:sSupPr>
          <m:e>
            <m:r>
              <w:rPr>
                <w:rFonts w:ascii="Cambria Math" w:hAnsi="Cambria Math"/>
                <w:lang w:val="en-GB"/>
              </w:rPr>
              <m:t>χ</m:t>
            </m:r>
          </m:e>
          <m:sup>
            <m:r>
              <w:rPr>
                <w:rFonts w:ascii="Cambria Math" w:hAnsi="Cambria Math"/>
                <w:lang w:val="en-GB"/>
              </w:rPr>
              <m:t>2</m:t>
            </m:r>
          </m:sup>
        </m:sSup>
      </m:oMath>
      <w:r w:rsidR="00AD7B8E" w:rsidRPr="005C338C">
        <w:rPr>
          <w:lang w:val="en-GB"/>
        </w:rPr>
        <w:t xml:space="preserve"> distances</w:t>
      </w:r>
      <w:r w:rsidR="00D75D50">
        <w:rPr>
          <w:lang w:val="en-GB"/>
        </w:rPr>
        <w:t xml:space="preserve"> </w:t>
      </w:r>
      <w:r w:rsidR="00AD7B8E" w:rsidRPr="005C338C">
        <w:rPr>
          <w:lang w:val="en-GB"/>
        </w:rPr>
        <w:t>between category profiles</w:t>
      </w:r>
      <w:r w:rsidR="00D75D50">
        <w:rPr>
          <w:lang w:val="en-GB"/>
        </w:rPr>
        <w:t xml:space="preserve"> </w:t>
      </w:r>
      <w:r w:rsidR="00D75D50" w:rsidRPr="00D75D50">
        <w:rPr>
          <w:lang w:val="en-GB"/>
        </w:rPr>
        <w:t>following the PCA framework, so they are defined as the difference between categorical observations to quantify the degree of similarity among individuals or categories. This approach enables the simultaneous exploration of associations among variable categories.</w:t>
      </w:r>
      <w:r w:rsidR="00D75D50">
        <w:rPr>
          <w:lang w:val="en-GB"/>
        </w:rPr>
        <w:t xml:space="preserve"> </w:t>
      </w:r>
      <w:r w:rsidR="00AD7B8E" w:rsidRPr="005C338C">
        <w:rPr>
          <w:lang w:val="en-GB"/>
        </w:rPr>
        <w:t xml:space="preserve">MCA itself is an extension of classical correspondence analysis to more than two categorical variables. </w:t>
      </w:r>
    </w:p>
    <w:p w14:paraId="5D82B1C2" w14:textId="7A672602" w:rsidR="00D43645" w:rsidRPr="005C338C" w:rsidRDefault="00F80F57" w:rsidP="00C80C64">
      <w:pPr>
        <w:pStyle w:val="BOAAbstractBody"/>
        <w:rPr>
          <w:lang w:val="en-GB"/>
        </w:rPr>
      </w:pPr>
      <w:r w:rsidRPr="005C338C">
        <w:rPr>
          <w:lang w:val="en-GB"/>
        </w:rPr>
        <w:t>T</w:t>
      </w:r>
      <w:r w:rsidR="00AD7B8E" w:rsidRPr="005C338C">
        <w:rPr>
          <w:lang w:val="en-GB"/>
        </w:rPr>
        <w:t>he MCA begins by constructing an indicator matrix in which each row represents an event and each column represents one category of one feature. From this matrix, a correspondence table of relative frequencies is computed, and a singular value decomposition (SVD) yields principal axes (dimensions) that capture the largest share of the total inertia of the categorical cloud</w:t>
      </w:r>
      <w:r w:rsidR="005B4AC9">
        <w:rPr>
          <w:lang w:val="en-GB"/>
        </w:rPr>
        <w:t>. Both individuals (events) and categories (</w:t>
      </w:r>
      <w:r w:rsidR="00ED72B4">
        <w:rPr>
          <w:lang w:val="en-GB"/>
        </w:rPr>
        <w:t xml:space="preserve">accident features) are in two clouds </w:t>
      </w:r>
      <w:r w:rsidR="00AD366A">
        <w:rPr>
          <w:lang w:val="en-GB"/>
        </w:rPr>
        <w:t>that their dimensions come from the number of categories and registers</w:t>
      </w:r>
      <w:r w:rsidR="00434D6A">
        <w:rPr>
          <w:lang w:val="en-GB"/>
        </w:rPr>
        <w:t xml:space="preserve"> and they are use</w:t>
      </w:r>
      <w:r w:rsidR="00F21CE7">
        <w:rPr>
          <w:lang w:val="en-GB"/>
        </w:rPr>
        <w:t>d</w:t>
      </w:r>
      <w:r w:rsidR="00434D6A">
        <w:rPr>
          <w:lang w:val="en-GB"/>
        </w:rPr>
        <w:t xml:space="preserve"> to evaluate similarities </w:t>
      </w:r>
      <w:r w:rsidR="00F21CE7">
        <w:rPr>
          <w:lang w:val="en-GB"/>
        </w:rPr>
        <w:t>depending on the closeness</w:t>
      </w:r>
      <w:r w:rsidR="00AD3F80">
        <w:rPr>
          <w:lang w:val="en-GB"/>
        </w:rPr>
        <w:t xml:space="preserve">. </w:t>
      </w:r>
      <w:r w:rsidR="001334D4">
        <w:rPr>
          <w:lang w:val="en-GB"/>
        </w:rPr>
        <w:t xml:space="preserve">Further details on this approach can be found in </w:t>
      </w:r>
      <w:r w:rsidR="001334D4" w:rsidRPr="005C338C">
        <w:rPr>
          <w:rFonts w:cs="Arial"/>
          <w:szCs w:val="24"/>
          <w:lang w:val="en-GB"/>
        </w:rPr>
        <w:t>Amaya-Gómez et al.</w:t>
      </w:r>
      <w:r w:rsidR="001334D4">
        <w:rPr>
          <w:rFonts w:cs="Arial"/>
          <w:szCs w:val="24"/>
          <w:lang w:val="en-GB"/>
        </w:rPr>
        <w:t xml:space="preserve"> (</w:t>
      </w:r>
      <w:r w:rsidR="001334D4" w:rsidRPr="005C338C">
        <w:rPr>
          <w:rFonts w:cs="Arial"/>
          <w:szCs w:val="24"/>
          <w:lang w:val="en-GB"/>
        </w:rPr>
        <w:t>2021</w:t>
      </w:r>
      <w:r w:rsidR="001334D4">
        <w:rPr>
          <w:rFonts w:cs="Arial"/>
          <w:szCs w:val="24"/>
          <w:lang w:val="en-GB"/>
        </w:rPr>
        <w:t>) and</w:t>
      </w:r>
      <w:r w:rsidR="001334D4" w:rsidRPr="005C338C">
        <w:rPr>
          <w:rFonts w:cs="Arial"/>
          <w:szCs w:val="24"/>
          <w:lang w:val="en-GB"/>
        </w:rPr>
        <w:t xml:space="preserve"> Greenacre </w:t>
      </w:r>
      <w:r w:rsidR="001334D4">
        <w:rPr>
          <w:rFonts w:cs="Arial"/>
          <w:szCs w:val="24"/>
          <w:lang w:val="en-GB"/>
        </w:rPr>
        <w:t>(</w:t>
      </w:r>
      <w:r w:rsidR="001334D4" w:rsidRPr="005C338C">
        <w:rPr>
          <w:rFonts w:cs="Arial"/>
          <w:szCs w:val="24"/>
          <w:lang w:val="en-GB"/>
        </w:rPr>
        <w:t>2010)</w:t>
      </w:r>
      <w:r w:rsidR="001334D4">
        <w:rPr>
          <w:rFonts w:cs="Arial"/>
          <w:szCs w:val="24"/>
          <w:lang w:val="en-GB"/>
        </w:rPr>
        <w:t>.</w:t>
      </w:r>
    </w:p>
    <w:p w14:paraId="08668F64" w14:textId="1FA1B263" w:rsidR="00411E4C" w:rsidRPr="005C338C" w:rsidRDefault="003B3472" w:rsidP="000547E3">
      <w:pPr>
        <w:pStyle w:val="BOAAbstractBody"/>
        <w:rPr>
          <w:lang w:val="en-GB"/>
        </w:rPr>
      </w:pPr>
      <w:r w:rsidRPr="005C338C">
        <w:rPr>
          <w:lang w:val="en-GB"/>
        </w:rPr>
        <w:t xml:space="preserve">Each event and each category are then projected onto these new axes, producing factor coordinates that reveal the clustering of similar events and co-occurrence patterns among categories. By retaining the first few dimensions, MCA reduces data complexity while maintaining the interpretability of categorical relationships. </w:t>
      </w:r>
      <w:r w:rsidR="00C82152" w:rsidRPr="005C338C">
        <w:rPr>
          <w:lang w:val="en-GB"/>
        </w:rPr>
        <w:t>In this work, the package of “</w:t>
      </w:r>
      <w:proofErr w:type="spellStart"/>
      <w:r w:rsidR="00C82152" w:rsidRPr="005C338C">
        <w:rPr>
          <w:lang w:val="en-GB"/>
        </w:rPr>
        <w:t>FactoMineR</w:t>
      </w:r>
      <w:proofErr w:type="spellEnd"/>
      <w:r w:rsidR="00C82152" w:rsidRPr="005C338C">
        <w:rPr>
          <w:lang w:val="en-GB"/>
        </w:rPr>
        <w:t>”</w:t>
      </w:r>
      <w:r w:rsidR="00F80F57" w:rsidRPr="005C338C">
        <w:rPr>
          <w:lang w:val="en-GB"/>
        </w:rPr>
        <w:t>, “</w:t>
      </w:r>
      <w:proofErr w:type="spellStart"/>
      <w:r w:rsidR="00F80F57" w:rsidRPr="005C338C">
        <w:rPr>
          <w:lang w:val="en-GB"/>
        </w:rPr>
        <w:t>FactoExtra</w:t>
      </w:r>
      <w:proofErr w:type="spellEnd"/>
      <w:r w:rsidR="00F80F57" w:rsidRPr="005C338C">
        <w:rPr>
          <w:lang w:val="en-GB"/>
        </w:rPr>
        <w:t>” and “</w:t>
      </w:r>
      <w:proofErr w:type="spellStart"/>
      <w:r w:rsidR="00F80F57" w:rsidRPr="005C338C">
        <w:rPr>
          <w:lang w:val="en-GB"/>
        </w:rPr>
        <w:t>Factoshiny</w:t>
      </w:r>
      <w:proofErr w:type="spellEnd"/>
      <w:r w:rsidR="00F80F57" w:rsidRPr="005C338C">
        <w:rPr>
          <w:lang w:val="en-GB"/>
        </w:rPr>
        <w:t>”</w:t>
      </w:r>
      <w:r w:rsidR="00C82152" w:rsidRPr="005C338C">
        <w:rPr>
          <w:lang w:val="en-GB"/>
        </w:rPr>
        <w:t xml:space="preserve"> in </w:t>
      </w:r>
      <w:r w:rsidR="00F80F57" w:rsidRPr="005C338C">
        <w:rPr>
          <w:lang w:val="en-GB"/>
        </w:rPr>
        <w:t>RStudio 2024.12.1</w:t>
      </w:r>
      <w:r w:rsidR="00C82152" w:rsidRPr="005C338C">
        <w:rPr>
          <w:lang w:val="en-GB"/>
        </w:rPr>
        <w:t xml:space="preserve"> is implemented to evaluate the MCA results</w:t>
      </w:r>
      <w:r w:rsidR="00DB77FC">
        <w:rPr>
          <w:lang w:val="en-GB"/>
        </w:rPr>
        <w:t xml:space="preserve"> in terms of the </w:t>
      </w:r>
      <w:r w:rsidR="00400A08">
        <w:rPr>
          <w:lang w:val="en-GB"/>
        </w:rPr>
        <w:t>inertia (variability) described, and the obtained individuals and categories clouds</w:t>
      </w:r>
      <w:r w:rsidR="00F80F57" w:rsidRPr="005C338C">
        <w:rPr>
          <w:lang w:val="en-GB"/>
        </w:rPr>
        <w:t>.</w:t>
      </w:r>
    </w:p>
    <w:p w14:paraId="01FCBBA4" w14:textId="77777777" w:rsidR="005C1A57" w:rsidRPr="005C338C" w:rsidRDefault="005C1A57" w:rsidP="00F879FE">
      <w:pPr>
        <w:pStyle w:val="BOAHeading"/>
        <w:rPr>
          <w:lang w:val="en-GB"/>
        </w:rPr>
      </w:pPr>
      <w:r w:rsidRPr="005C338C">
        <w:rPr>
          <w:lang w:val="en-GB"/>
        </w:rPr>
        <w:t>3. Results and discussion</w:t>
      </w:r>
    </w:p>
    <w:p w14:paraId="4901724E" w14:textId="682E0C9C" w:rsidR="00B348C7" w:rsidRPr="005C338C" w:rsidRDefault="00B348C7" w:rsidP="00B348C7">
      <w:pPr>
        <w:pStyle w:val="BOAheadingx1"/>
        <w:numPr>
          <w:ilvl w:val="0"/>
          <w:numId w:val="0"/>
        </w:numPr>
        <w:rPr>
          <w:lang w:val="en-GB"/>
        </w:rPr>
      </w:pPr>
      <w:r w:rsidRPr="005C338C">
        <w:rPr>
          <w:lang w:val="en-GB"/>
        </w:rPr>
        <w:t xml:space="preserve">3.1 </w:t>
      </w:r>
      <w:r w:rsidR="005A02A1" w:rsidRPr="005C338C">
        <w:rPr>
          <w:lang w:val="en-GB"/>
        </w:rPr>
        <w:t>Exploratory analysis of the HIAD 2.1</w:t>
      </w:r>
    </w:p>
    <w:p w14:paraId="016D2A79" w14:textId="7655DF0A" w:rsidR="005C338C" w:rsidRPr="005C338C" w:rsidRDefault="005C338C" w:rsidP="005C338C">
      <w:pPr>
        <w:pStyle w:val="BOAAbstractBody"/>
      </w:pPr>
      <w:r w:rsidRPr="005C338C">
        <w:t xml:space="preserve">The distribution of the fatalities and injuries grouped by decade is shown in Figure </w:t>
      </w:r>
      <w:r w:rsidR="00B921AB">
        <w:t>2</w:t>
      </w:r>
      <w:r w:rsidRPr="005C338C">
        <w:t>.</w:t>
      </w:r>
      <w:r w:rsidR="00712F2E">
        <w:t xml:space="preserve"> </w:t>
      </w:r>
      <w:r w:rsidRPr="005C338C">
        <w:t>Both fatalities and injuries increased steadily from the 1960–1970 decade through 2000–2010. However, both curves turn downward from 20</w:t>
      </w:r>
      <w:r w:rsidR="004F47F8">
        <w:t>1</w:t>
      </w:r>
      <w:r w:rsidRPr="005C338C">
        <w:t>0–20</w:t>
      </w:r>
      <w:r w:rsidR="004F47F8">
        <w:t>2</w:t>
      </w:r>
      <w:r w:rsidRPr="005C338C">
        <w:t xml:space="preserve">0 to 2025, </w:t>
      </w:r>
      <w:r w:rsidR="004F47F8">
        <w:t>showing</w:t>
      </w:r>
      <w:r w:rsidRPr="005C338C">
        <w:t xml:space="preserve"> an apparent decline. This post-2010 decrease likely stems from significant advances in hydrogen safety practices. For instance, the first edition of NFPA 2, Hydrogen Technologies Code, was published in 2011.</w:t>
      </w:r>
    </w:p>
    <w:p w14:paraId="063DB094" w14:textId="059F8FAE" w:rsidR="00EE1981" w:rsidRPr="005C338C" w:rsidRDefault="005C338C" w:rsidP="005C338C">
      <w:pPr>
        <w:pStyle w:val="BOAAbstractBody"/>
      </w:pPr>
      <w:r w:rsidRPr="005C338C">
        <w:t xml:space="preserve">Regarding the events occurring prior to 1960, the </w:t>
      </w:r>
      <w:r w:rsidR="00B921AB">
        <w:t xml:space="preserve">most significant contribution to the </w:t>
      </w:r>
      <w:r w:rsidRPr="005C338C">
        <w:t>high</w:t>
      </w:r>
      <w:r w:rsidRPr="005C338C">
        <w:rPr>
          <w:rFonts w:ascii="Cambria Math" w:hAnsi="Cambria Math" w:cs="Cambria Math"/>
        </w:rPr>
        <w:t>‐</w:t>
      </w:r>
      <w:r w:rsidRPr="005C338C">
        <w:t xml:space="preserve">fatality </w:t>
      </w:r>
      <w:r w:rsidR="00B921AB">
        <w:t>value</w:t>
      </w:r>
      <w:r w:rsidR="00B921AB" w:rsidRPr="005C338C">
        <w:t xml:space="preserve"> </w:t>
      </w:r>
      <w:r w:rsidRPr="005C338C">
        <w:t xml:space="preserve">corresponds to the LZ-129 Hindenburg disaster </w:t>
      </w:r>
      <w:r w:rsidR="004F47F8">
        <w:t>in</w:t>
      </w:r>
      <w:r w:rsidRPr="005C338C">
        <w:t xml:space="preserve"> 1937</w:t>
      </w:r>
      <w:r w:rsidR="004F47F8">
        <w:t>, which resulted in</w:t>
      </w:r>
      <w:r w:rsidRPr="005C338C">
        <w:t xml:space="preserve"> 35 </w:t>
      </w:r>
      <w:r w:rsidR="004F47F8">
        <w:t>fatalities</w:t>
      </w:r>
      <w:r w:rsidRPr="005C338C">
        <w:t>. In contrast, the main injury</w:t>
      </w:r>
      <w:r w:rsidR="004F47F8">
        <w:rPr>
          <w:rFonts w:ascii="Cambria Math" w:hAnsi="Cambria Math" w:cs="Cambria Math"/>
        </w:rPr>
        <w:t xml:space="preserve"> </w:t>
      </w:r>
      <w:r w:rsidR="00B921AB">
        <w:t>value</w:t>
      </w:r>
      <w:r w:rsidR="00B921AB" w:rsidRPr="005C338C">
        <w:t xml:space="preserve"> </w:t>
      </w:r>
      <w:r w:rsidRPr="005C338C">
        <w:t>arises from the 1959 explosion at a Japanese chemical plant, which resulted in 11 fatalities and 44 injuries.</w:t>
      </w:r>
    </w:p>
    <w:p w14:paraId="3BCB5B5E" w14:textId="77777777" w:rsidR="0036006B" w:rsidRPr="005C338C" w:rsidRDefault="0036006B" w:rsidP="00C80C64">
      <w:pPr>
        <w:pStyle w:val="BOAAbstractBody"/>
        <w:rPr>
          <w:noProof/>
          <w:lang w:val="en-GB"/>
        </w:rPr>
      </w:pPr>
    </w:p>
    <w:p w14:paraId="462DB6F4" w14:textId="77777777" w:rsidR="005C338C" w:rsidRDefault="0052473E" w:rsidP="005C338C">
      <w:pPr>
        <w:pStyle w:val="BOAAbstractBody"/>
        <w:keepNext/>
        <w:jc w:val="center"/>
      </w:pPr>
      <w:r w:rsidRPr="005C338C">
        <w:rPr>
          <w:noProof/>
          <w:lang w:val="es-ES" w:eastAsia="es-ES"/>
        </w:rPr>
        <w:lastRenderedPageBreak/>
        <w:drawing>
          <wp:inline distT="0" distB="0" distL="0" distR="0" wp14:anchorId="36DE8232" wp14:editId="766E305C">
            <wp:extent cx="5653405" cy="3003042"/>
            <wp:effectExtent l="0" t="0" r="444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9502" cy="3070024"/>
                    </a:xfrm>
                    <a:prstGeom prst="rect">
                      <a:avLst/>
                    </a:prstGeom>
                    <a:noFill/>
                  </pic:spPr>
                </pic:pic>
              </a:graphicData>
            </a:graphic>
          </wp:inline>
        </w:drawing>
      </w:r>
    </w:p>
    <w:p w14:paraId="3A641A1A" w14:textId="32612AF3" w:rsidR="0052473E" w:rsidRPr="005C338C" w:rsidRDefault="005C338C" w:rsidP="005C338C">
      <w:pPr>
        <w:pStyle w:val="BOACaption"/>
      </w:pPr>
      <w:r>
        <w:t xml:space="preserve">Figure </w:t>
      </w:r>
      <w:r>
        <w:fldChar w:fldCharType="begin"/>
      </w:r>
      <w:r>
        <w:instrText xml:space="preserve"> SEQ Figure \* ARABIC </w:instrText>
      </w:r>
      <w:r>
        <w:fldChar w:fldCharType="separate"/>
      </w:r>
      <w:r w:rsidR="005D4DDC">
        <w:rPr>
          <w:noProof/>
        </w:rPr>
        <w:t>2</w:t>
      </w:r>
      <w:r>
        <w:fldChar w:fldCharType="end"/>
      </w:r>
      <w:r>
        <w:t>. Number of fatalities</w:t>
      </w:r>
      <w:r w:rsidR="00476D0D">
        <w:t xml:space="preserve"> </w:t>
      </w:r>
      <w:r>
        <w:t>and injuries</w:t>
      </w:r>
      <w:r w:rsidR="00476D0D">
        <w:t xml:space="preserve"> </w:t>
      </w:r>
      <w:r>
        <w:t>per decade.</w:t>
      </w:r>
    </w:p>
    <w:p w14:paraId="748B73D5" w14:textId="3A4C5EE6" w:rsidR="005C338C" w:rsidRPr="005C338C" w:rsidRDefault="00476D0D" w:rsidP="00C80C64">
      <w:pPr>
        <w:pStyle w:val="BOAAbstractBody"/>
        <w:rPr>
          <w:noProof/>
          <w:lang w:val="en-GB"/>
        </w:rPr>
      </w:pPr>
      <w:r w:rsidRPr="00476D0D">
        <w:rPr>
          <w:noProof/>
          <w:lang w:val="en-GB"/>
        </w:rPr>
        <w:t xml:space="preserve">Figure </w:t>
      </w:r>
      <w:r>
        <w:rPr>
          <w:noProof/>
          <w:lang w:val="en-GB"/>
        </w:rPr>
        <w:t>3</w:t>
      </w:r>
      <w:r w:rsidRPr="00476D0D">
        <w:rPr>
          <w:noProof/>
          <w:lang w:val="en-GB"/>
        </w:rPr>
        <w:t xml:space="preserve"> illustrates the proportional distribution of hydrogen</w:t>
      </w:r>
      <w:r w:rsidRPr="00476D0D">
        <w:rPr>
          <w:rFonts w:ascii="Cambria Math" w:hAnsi="Cambria Math" w:cs="Cambria Math"/>
          <w:noProof/>
          <w:lang w:val="en-GB"/>
        </w:rPr>
        <w:t>‐</w:t>
      </w:r>
      <w:r w:rsidRPr="00476D0D">
        <w:rPr>
          <w:noProof/>
          <w:lang w:val="en-GB"/>
        </w:rPr>
        <w:t>related accidents by region</w:t>
      </w:r>
      <w:r w:rsidR="004F47F8">
        <w:rPr>
          <w:noProof/>
          <w:lang w:val="en-GB"/>
        </w:rPr>
        <w:t xml:space="preserve"> </w:t>
      </w:r>
      <w:r w:rsidRPr="00476D0D">
        <w:rPr>
          <w:noProof/>
          <w:lang w:val="en-GB"/>
        </w:rPr>
        <w:t xml:space="preserve">and the total of events </w:t>
      </w:r>
      <w:r w:rsidR="004F47F8">
        <w:rPr>
          <w:noProof/>
          <w:lang w:val="en-GB"/>
        </w:rPr>
        <w:t>across decade</w:t>
      </w:r>
      <w:r w:rsidRPr="00476D0D">
        <w:rPr>
          <w:noProof/>
          <w:lang w:val="en-GB"/>
        </w:rPr>
        <w:t xml:space="preserve">. For the period before 1960, </w:t>
      </w:r>
      <w:r w:rsidR="00B921AB">
        <w:rPr>
          <w:noProof/>
          <w:lang w:val="en-GB"/>
        </w:rPr>
        <w:t>North America, Europe and Asia</w:t>
      </w:r>
      <w:r w:rsidRPr="00476D0D">
        <w:rPr>
          <w:noProof/>
          <w:lang w:val="en-GB"/>
        </w:rPr>
        <w:t xml:space="preserve"> contributed exactly </w:t>
      </w:r>
      <w:r w:rsidR="00B921AB">
        <w:rPr>
          <w:noProof/>
          <w:lang w:val="en-GB"/>
        </w:rPr>
        <w:t xml:space="preserve">with </w:t>
      </w:r>
      <w:r w:rsidRPr="00476D0D">
        <w:rPr>
          <w:noProof/>
          <w:lang w:val="en-GB"/>
        </w:rPr>
        <w:t xml:space="preserve">one event, yielding equal proportions. From 1960 onwards, Europe’s share of </w:t>
      </w:r>
      <w:r w:rsidR="004F47F8">
        <w:rPr>
          <w:noProof/>
          <w:lang w:val="en-GB"/>
        </w:rPr>
        <w:t xml:space="preserve">proportion of the </w:t>
      </w:r>
      <w:r w:rsidRPr="00476D0D">
        <w:rPr>
          <w:noProof/>
          <w:lang w:val="en-GB"/>
        </w:rPr>
        <w:t>events increased steadily, whereas North America’s share declined. Event proportions in Oceania and South America remain negligible, reflecting the developing adoption of hydrogen technologies in those markets.</w:t>
      </w:r>
    </w:p>
    <w:p w14:paraId="1678F7CD" w14:textId="77777777" w:rsidR="00476D0D" w:rsidRDefault="0052473E" w:rsidP="00476D0D">
      <w:pPr>
        <w:pStyle w:val="BOAAbstractBody"/>
        <w:keepNext/>
        <w:jc w:val="center"/>
      </w:pPr>
      <w:r w:rsidRPr="005C338C">
        <w:rPr>
          <w:noProof/>
          <w:lang w:val="es-ES" w:eastAsia="es-ES"/>
        </w:rPr>
        <w:drawing>
          <wp:inline distT="0" distB="0" distL="0" distR="0" wp14:anchorId="10BC4B78" wp14:editId="2D543B9E">
            <wp:extent cx="5653967" cy="286397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7900" cy="2926747"/>
                    </a:xfrm>
                    <a:prstGeom prst="rect">
                      <a:avLst/>
                    </a:prstGeom>
                    <a:noFill/>
                  </pic:spPr>
                </pic:pic>
              </a:graphicData>
            </a:graphic>
          </wp:inline>
        </w:drawing>
      </w:r>
    </w:p>
    <w:p w14:paraId="1D1EF151" w14:textId="0EB1F2B8" w:rsidR="00F879FE" w:rsidRPr="005C338C" w:rsidRDefault="00476D0D" w:rsidP="00476D0D">
      <w:pPr>
        <w:pStyle w:val="BOACaption"/>
      </w:pPr>
      <w:r>
        <w:t xml:space="preserve">Figure </w:t>
      </w:r>
      <w:r>
        <w:fldChar w:fldCharType="begin"/>
      </w:r>
      <w:r>
        <w:instrText xml:space="preserve"> SEQ Figure \* ARABIC </w:instrText>
      </w:r>
      <w:r>
        <w:fldChar w:fldCharType="separate"/>
      </w:r>
      <w:r w:rsidR="005D4DDC">
        <w:rPr>
          <w:noProof/>
        </w:rPr>
        <w:t>3</w:t>
      </w:r>
      <w:r>
        <w:fldChar w:fldCharType="end"/>
      </w:r>
      <w:r>
        <w:t>. Distribution of hydrogen-related events (bar) and total events (line) per decade.</w:t>
      </w:r>
    </w:p>
    <w:p w14:paraId="17E6BA2A" w14:textId="35505C3A" w:rsidR="00B348C7" w:rsidRPr="005C338C" w:rsidRDefault="00B348C7" w:rsidP="00B348C7">
      <w:pPr>
        <w:pStyle w:val="BOAheadingx1"/>
        <w:numPr>
          <w:ilvl w:val="0"/>
          <w:numId w:val="0"/>
        </w:numPr>
        <w:rPr>
          <w:lang w:val="en-GB"/>
        </w:rPr>
      </w:pPr>
      <w:r w:rsidRPr="005C338C">
        <w:rPr>
          <w:lang w:val="en-GB"/>
        </w:rPr>
        <w:lastRenderedPageBreak/>
        <w:t xml:space="preserve">3.2 Machine </w:t>
      </w:r>
      <w:r w:rsidR="005A02A1" w:rsidRPr="005C338C">
        <w:rPr>
          <w:lang w:val="en-GB"/>
        </w:rPr>
        <w:t>L</w:t>
      </w:r>
      <w:r w:rsidRPr="005C338C">
        <w:rPr>
          <w:lang w:val="en-GB"/>
        </w:rPr>
        <w:t xml:space="preserve">earning </w:t>
      </w:r>
      <w:r w:rsidR="00345093" w:rsidRPr="005C338C">
        <w:rPr>
          <w:lang w:val="en-GB"/>
        </w:rPr>
        <w:t>approach</w:t>
      </w:r>
      <w:r w:rsidR="005A02A1" w:rsidRPr="005C338C">
        <w:rPr>
          <w:lang w:val="en-GB"/>
        </w:rPr>
        <w:t>: Multiple Correspondence Analysis</w:t>
      </w:r>
    </w:p>
    <w:p w14:paraId="1A302FA3" w14:textId="16BB79E6" w:rsidR="008B7286" w:rsidRPr="005C338C" w:rsidRDefault="008B7286" w:rsidP="00C80C64">
      <w:pPr>
        <w:pStyle w:val="BOAAbstractBody"/>
        <w:rPr>
          <w:lang w:val="en-GB"/>
        </w:rPr>
      </w:pPr>
      <w:r w:rsidRPr="005C338C">
        <w:rPr>
          <w:lang w:val="en-GB"/>
        </w:rPr>
        <w:t xml:space="preserve">The scree plot of principal inertia (Figure </w:t>
      </w:r>
      <w:r w:rsidR="00476D0D">
        <w:rPr>
          <w:lang w:val="en-GB"/>
        </w:rPr>
        <w:t>4</w:t>
      </w:r>
      <w:r w:rsidRPr="005C338C">
        <w:rPr>
          <w:lang w:val="en-GB"/>
        </w:rPr>
        <w:t>) shows the associative structure of the categorical variables and guides the selection of dimensions for further analysis. The first two dimensions account for 6.85% of the total inertia (</w:t>
      </w:r>
      <w:r w:rsidR="00021A31">
        <w:rPr>
          <w:lang w:val="en-GB"/>
        </w:rPr>
        <w:t>3.87</w:t>
      </w:r>
      <w:r w:rsidRPr="005C338C">
        <w:rPr>
          <w:lang w:val="en-GB"/>
        </w:rPr>
        <w:t xml:space="preserve">% and </w:t>
      </w:r>
      <w:r w:rsidR="00021A31">
        <w:rPr>
          <w:lang w:val="en-GB"/>
        </w:rPr>
        <w:t>2.98</w:t>
      </w:r>
      <w:r w:rsidRPr="005C338C">
        <w:rPr>
          <w:lang w:val="en-GB"/>
        </w:rPr>
        <w:t xml:space="preserve">%, respectively), indicating that this two-dimensional plane explains a modest share of the event–feature cloud variability. Although this proportion appears small, it exceeds the baseline reference of 2.9% (equivalent to the average inertia per dimension under an independent model), confirming that the first plane captures meaningful structure rather than noise. </w:t>
      </w:r>
    </w:p>
    <w:p w14:paraId="45A040A7" w14:textId="06AF126D" w:rsidR="008B7286" w:rsidRPr="005C338C" w:rsidRDefault="008B7286" w:rsidP="00C80C64">
      <w:pPr>
        <w:pStyle w:val="BOAAbstractBody"/>
        <w:rPr>
          <w:lang w:val="en-GB"/>
        </w:rPr>
      </w:pPr>
      <w:r w:rsidRPr="005C338C">
        <w:rPr>
          <w:lang w:val="en-GB"/>
        </w:rPr>
        <w:t xml:space="preserve">The observed inertias were compared against the 0.95-quantile of inertias derived from randomly permuted indicator matrices to determine the number of dimensions carrying substantive information. Fourteen dimensions </w:t>
      </w:r>
      <w:r w:rsidR="005A02A1" w:rsidRPr="005C338C">
        <w:rPr>
          <w:lang w:val="en-GB"/>
        </w:rPr>
        <w:t>shown</w:t>
      </w:r>
      <w:r w:rsidRPr="005C338C">
        <w:rPr>
          <w:lang w:val="en-GB"/>
        </w:rPr>
        <w:t xml:space="preserve"> inertias greater than this permutation-based threshold (23.79% cumulative inertia versus 18.19% expected at the 95% quantile), suggesting that only these axes represent genuine associations among accident descriptors. Consequently, subsequent clustering and typology development draw exclusively on the factor coordinates of these significant axes, ensuring that derived </w:t>
      </w:r>
      <w:r w:rsidR="008770D8">
        <w:rPr>
          <w:lang w:val="en-GB"/>
        </w:rPr>
        <w:t>event</w:t>
      </w:r>
      <w:r w:rsidRPr="005C338C">
        <w:rPr>
          <w:lang w:val="en-GB"/>
        </w:rPr>
        <w:t xml:space="preserve"> classes reflect true categorical co-occurrence rather than sampling artefacts.</w:t>
      </w:r>
      <w:r w:rsidR="00C82152" w:rsidRPr="005C338C">
        <w:rPr>
          <w:lang w:val="en-GB"/>
        </w:rPr>
        <w:t xml:space="preserve"> However, the analysis presented in this </w:t>
      </w:r>
      <w:r w:rsidR="009A3C0F">
        <w:rPr>
          <w:lang w:val="en-GB"/>
        </w:rPr>
        <w:t>study</w:t>
      </w:r>
      <w:r w:rsidR="00C82152" w:rsidRPr="005C338C">
        <w:rPr>
          <w:lang w:val="en-GB"/>
        </w:rPr>
        <w:t xml:space="preserve"> focus</w:t>
      </w:r>
      <w:r w:rsidR="009A3C0F">
        <w:rPr>
          <w:lang w:val="en-GB"/>
        </w:rPr>
        <w:t>es</w:t>
      </w:r>
      <w:r w:rsidR="00C82152" w:rsidRPr="005C338C">
        <w:rPr>
          <w:lang w:val="en-GB"/>
        </w:rPr>
        <w:t xml:space="preserve"> on the first two dimensions. This choice reflects a deliberate focus on the most interpretable plane of variation, even when it accounts for a modest proportion of the categorical cloud.</w:t>
      </w:r>
    </w:p>
    <w:p w14:paraId="2617F796" w14:textId="77777777" w:rsidR="00C82152" w:rsidRPr="005C338C" w:rsidRDefault="00543030" w:rsidP="00D44E3E">
      <w:pPr>
        <w:pStyle w:val="BOAAbstractBody"/>
        <w:jc w:val="center"/>
        <w:rPr>
          <w:lang w:val="en-GB"/>
        </w:rPr>
      </w:pPr>
      <w:r w:rsidRPr="005C338C">
        <w:rPr>
          <w:noProof/>
          <w:lang w:val="es-ES" w:eastAsia="es-ES"/>
        </w:rPr>
        <w:drawing>
          <wp:inline distT="0" distB="0" distL="0" distR="0" wp14:anchorId="517B0965" wp14:editId="0C983A59">
            <wp:extent cx="5605025" cy="298474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9185" cy="3045532"/>
                    </a:xfrm>
                    <a:prstGeom prst="rect">
                      <a:avLst/>
                    </a:prstGeom>
                    <a:noFill/>
                  </pic:spPr>
                </pic:pic>
              </a:graphicData>
            </a:graphic>
          </wp:inline>
        </w:drawing>
      </w:r>
    </w:p>
    <w:p w14:paraId="539CAC36" w14:textId="49E8F9FA" w:rsidR="004033E7" w:rsidRPr="005C338C" w:rsidRDefault="00C82152" w:rsidP="00C82152">
      <w:pPr>
        <w:pStyle w:val="BOACaption"/>
      </w:pPr>
      <w:r w:rsidRPr="005C338C">
        <w:t xml:space="preserve">Figure </w:t>
      </w:r>
      <w:r w:rsidRPr="005C338C">
        <w:fldChar w:fldCharType="begin"/>
      </w:r>
      <w:r w:rsidRPr="005C338C">
        <w:instrText xml:space="preserve"> SEQ Figure \* ARABIC </w:instrText>
      </w:r>
      <w:r w:rsidRPr="005C338C">
        <w:fldChar w:fldCharType="separate"/>
      </w:r>
      <w:r w:rsidR="005D4DDC">
        <w:rPr>
          <w:noProof/>
        </w:rPr>
        <w:t>4</w:t>
      </w:r>
      <w:r w:rsidRPr="005C338C">
        <w:fldChar w:fldCharType="end"/>
      </w:r>
      <w:r w:rsidRPr="005C338C">
        <w:t>. Decomposition of the total inertial.</w:t>
      </w:r>
    </w:p>
    <w:p w14:paraId="5314EACA" w14:textId="0324ADA5" w:rsidR="00C82152" w:rsidRDefault="00E97CC8" w:rsidP="00C80C64">
      <w:pPr>
        <w:pStyle w:val="BOAAbstractBody"/>
        <w:rPr>
          <w:lang w:val="en-GB" w:eastAsia="en-GB"/>
        </w:rPr>
      </w:pPr>
      <w:r w:rsidRPr="00E97CC8">
        <w:rPr>
          <w:lang w:val="en-GB" w:eastAsia="en-GB"/>
        </w:rPr>
        <w:t xml:space="preserve">Figure 5 shows the correlation ratio for the first two MCA dimensions. Each axis quantifies the correlation ratio between a variable and its respective component. If this correlation ratio is close to unity for a given component, individuals in the same category have similar coordinates </w:t>
      </w:r>
      <w:r w:rsidR="008A708F" w:rsidRPr="008A708F">
        <w:rPr>
          <w:rFonts w:cs="Arial"/>
        </w:rPr>
        <w:t>(Husson et al., 2017)</w:t>
      </w:r>
      <w:r w:rsidRPr="00E97CC8">
        <w:rPr>
          <w:lang w:val="en-GB" w:eastAsia="en-GB"/>
        </w:rPr>
        <w:t>. This visualization, therefore, highlights which variables co</w:t>
      </w:r>
      <w:r w:rsidRPr="00E97CC8">
        <w:rPr>
          <w:rFonts w:ascii="Cambria Math" w:hAnsi="Cambria Math" w:cs="Cambria Math"/>
          <w:lang w:val="en-GB" w:eastAsia="en-GB"/>
        </w:rPr>
        <w:t>‐</w:t>
      </w:r>
      <w:r w:rsidRPr="00E97CC8">
        <w:rPr>
          <w:lang w:val="en-GB" w:eastAsia="en-GB"/>
        </w:rPr>
        <w:t xml:space="preserve">vary most tightly in the reduced space. In this study, the </w:t>
      </w:r>
      <w:r w:rsidR="00E07B8F" w:rsidRPr="00E97CC8">
        <w:rPr>
          <w:lang w:val="en-GB" w:eastAsia="en-GB"/>
        </w:rPr>
        <w:t>supplementary</w:t>
      </w:r>
      <w:r w:rsidR="00E07B8F">
        <w:rPr>
          <w:rStyle w:val="Rimandocommento"/>
          <w:rFonts w:eastAsia="Times New Roman"/>
          <w:lang w:val="en-GB"/>
        </w:rPr>
        <w:t xml:space="preserve"> </w:t>
      </w:r>
      <w:r w:rsidR="00E07B8F">
        <w:rPr>
          <w:lang w:val="en-GB" w:eastAsia="en-GB"/>
        </w:rPr>
        <w:t>elements</w:t>
      </w:r>
      <w:r w:rsidR="00272D48" w:rsidRPr="00E97CC8">
        <w:rPr>
          <w:lang w:val="en-GB" w:eastAsia="en-GB"/>
        </w:rPr>
        <w:t xml:space="preserve"> </w:t>
      </w:r>
      <w:r w:rsidRPr="00E97CC8">
        <w:rPr>
          <w:lang w:val="en-GB" w:eastAsia="en-GB"/>
        </w:rPr>
        <w:t xml:space="preserve">(NUI and NUF) lie in close proximity to three variables: Operational Condition (OP), Location Type (LOT), </w:t>
      </w:r>
      <w:r w:rsidR="003A5526">
        <w:rPr>
          <w:lang w:val="en-GB" w:eastAsia="en-GB"/>
        </w:rPr>
        <w:t>Quality</w:t>
      </w:r>
      <w:r w:rsidR="00D85523">
        <w:rPr>
          <w:lang w:val="en-GB" w:eastAsia="en-GB"/>
        </w:rPr>
        <w:t xml:space="preserve"> of the data</w:t>
      </w:r>
      <w:r w:rsidR="003A5526">
        <w:rPr>
          <w:lang w:val="en-GB" w:eastAsia="en-GB"/>
        </w:rPr>
        <w:t xml:space="preserve"> (Q), </w:t>
      </w:r>
      <w:r w:rsidRPr="00E97CC8">
        <w:rPr>
          <w:lang w:val="en-GB" w:eastAsia="en-GB"/>
        </w:rPr>
        <w:t>and Region (RE). The OP variable distinguishes whether the process state at the time of the accident was “normal,” “abnormal,” or “unknown,” and its strong alignment with the first two dimensions suggests that deviations from standard operating regimes are highly predictive of human</w:t>
      </w:r>
      <w:r w:rsidRPr="00E97CC8">
        <w:rPr>
          <w:rFonts w:ascii="Cambria Math" w:hAnsi="Cambria Math" w:cs="Cambria Math"/>
          <w:lang w:val="en-GB" w:eastAsia="en-GB"/>
        </w:rPr>
        <w:t>‐</w:t>
      </w:r>
      <w:r w:rsidRPr="00E97CC8">
        <w:rPr>
          <w:lang w:val="en-GB" w:eastAsia="en-GB"/>
        </w:rPr>
        <w:t xml:space="preserve">impact severity. Similarly, </w:t>
      </w:r>
      <w:r w:rsidRPr="00E97CC8">
        <w:rPr>
          <w:lang w:val="en-GB" w:eastAsia="en-GB"/>
        </w:rPr>
        <w:lastRenderedPageBreak/>
        <w:t>the L</w:t>
      </w:r>
      <w:r w:rsidR="006E33CE">
        <w:rPr>
          <w:lang w:val="en-GB" w:eastAsia="en-GB"/>
        </w:rPr>
        <w:t>O</w:t>
      </w:r>
      <w:r w:rsidRPr="00E97CC8">
        <w:rPr>
          <w:lang w:val="en-GB" w:eastAsia="en-GB"/>
        </w:rPr>
        <w:t xml:space="preserve">T variable, which categorizes the </w:t>
      </w:r>
      <w:r w:rsidR="008770D8">
        <w:rPr>
          <w:lang w:val="en-GB" w:eastAsia="en-GB"/>
        </w:rPr>
        <w:t>event</w:t>
      </w:r>
      <w:r w:rsidRPr="00E97CC8">
        <w:rPr>
          <w:lang w:val="en-GB" w:eastAsia="en-GB"/>
        </w:rPr>
        <w:t xml:space="preserve"> environment as </w:t>
      </w:r>
      <w:r w:rsidRPr="00E97CC8">
        <w:rPr>
          <w:rFonts w:cs="Arial"/>
          <w:lang w:val="en-GB" w:eastAsia="en-GB"/>
        </w:rPr>
        <w:t>“</w:t>
      </w:r>
      <w:r w:rsidRPr="00E97CC8">
        <w:rPr>
          <w:lang w:val="en-GB" w:eastAsia="en-GB"/>
        </w:rPr>
        <w:t>open,</w:t>
      </w:r>
      <w:r w:rsidRPr="00E97CC8">
        <w:rPr>
          <w:rFonts w:cs="Arial"/>
          <w:lang w:val="en-GB" w:eastAsia="en-GB"/>
        </w:rPr>
        <w:t>”</w:t>
      </w:r>
      <w:r w:rsidRPr="00E97CC8">
        <w:rPr>
          <w:lang w:val="en-GB" w:eastAsia="en-GB"/>
        </w:rPr>
        <w:t xml:space="preserve"> </w:t>
      </w:r>
      <w:r w:rsidRPr="00E97CC8">
        <w:rPr>
          <w:rFonts w:cs="Arial"/>
          <w:lang w:val="en-GB" w:eastAsia="en-GB"/>
        </w:rPr>
        <w:t>“</w:t>
      </w:r>
      <w:r w:rsidRPr="00E97CC8">
        <w:rPr>
          <w:lang w:val="en-GB" w:eastAsia="en-GB"/>
        </w:rPr>
        <w:t>confined,</w:t>
      </w:r>
      <w:r w:rsidRPr="00E97CC8">
        <w:rPr>
          <w:rFonts w:cs="Arial"/>
          <w:lang w:val="en-GB" w:eastAsia="en-GB"/>
        </w:rPr>
        <w:t>”</w:t>
      </w:r>
      <w:r w:rsidRPr="00E97CC8">
        <w:rPr>
          <w:lang w:val="en-GB" w:eastAsia="en-GB"/>
        </w:rPr>
        <w:t xml:space="preserve"> </w:t>
      </w:r>
      <w:r w:rsidRPr="00E97CC8">
        <w:rPr>
          <w:rFonts w:cs="Arial"/>
          <w:lang w:val="en-GB" w:eastAsia="en-GB"/>
        </w:rPr>
        <w:t>“</w:t>
      </w:r>
      <w:r w:rsidRPr="00E97CC8">
        <w:rPr>
          <w:lang w:val="en-GB" w:eastAsia="en-GB"/>
        </w:rPr>
        <w:t>semi</w:t>
      </w:r>
      <w:r w:rsidRPr="00E97CC8">
        <w:rPr>
          <w:rFonts w:ascii="Cambria Math" w:hAnsi="Cambria Math" w:cs="Cambria Math"/>
          <w:lang w:val="en-GB" w:eastAsia="en-GB"/>
        </w:rPr>
        <w:t>‐</w:t>
      </w:r>
      <w:r w:rsidRPr="00E97CC8">
        <w:rPr>
          <w:lang w:val="en-GB" w:eastAsia="en-GB"/>
        </w:rPr>
        <w:t>confined,</w:t>
      </w:r>
      <w:r w:rsidRPr="00E97CC8">
        <w:rPr>
          <w:rFonts w:cs="Arial"/>
          <w:lang w:val="en-GB" w:eastAsia="en-GB"/>
        </w:rPr>
        <w:t>”</w:t>
      </w:r>
      <w:r w:rsidRPr="00E97CC8">
        <w:rPr>
          <w:lang w:val="en-GB" w:eastAsia="en-GB"/>
        </w:rPr>
        <w:t xml:space="preserve"> or </w:t>
      </w:r>
      <w:r w:rsidRPr="00E97CC8">
        <w:rPr>
          <w:rFonts w:cs="Arial"/>
          <w:lang w:val="en-GB" w:eastAsia="en-GB"/>
        </w:rPr>
        <w:t>“</w:t>
      </w:r>
      <w:r w:rsidRPr="00E97CC8">
        <w:rPr>
          <w:lang w:val="en-GB" w:eastAsia="en-GB"/>
        </w:rPr>
        <w:t>unknown,</w:t>
      </w:r>
      <w:r w:rsidRPr="00E97CC8">
        <w:rPr>
          <w:rFonts w:cs="Arial"/>
          <w:lang w:val="en-GB" w:eastAsia="en-GB"/>
        </w:rPr>
        <w:t>”</w:t>
      </w:r>
      <w:r w:rsidRPr="00E97CC8">
        <w:rPr>
          <w:lang w:val="en-GB" w:eastAsia="en-GB"/>
        </w:rPr>
        <w:t xml:space="preserve"> exhibits a high correlation ratio, indicating that spatial enclosure characteristics materially influence casualty outcomes. </w:t>
      </w:r>
      <w:r w:rsidR="00E07B8F">
        <w:t>The Quality</w:t>
      </w:r>
      <w:r w:rsidR="00D85523">
        <w:t xml:space="preserve"> of the data</w:t>
      </w:r>
      <w:r w:rsidR="00E07B8F">
        <w:t xml:space="preserve"> (Q) correlates with the dimensions in a manner that underscores the importance of data completeness. </w:t>
      </w:r>
      <w:r w:rsidRPr="00E97CC8">
        <w:rPr>
          <w:lang w:val="en-GB" w:eastAsia="en-GB"/>
        </w:rPr>
        <w:t xml:space="preserve">Finally, the RE variable confirms the information discussed in Figure 3. </w:t>
      </w:r>
      <w:r w:rsidR="008A708F">
        <w:rPr>
          <w:lang w:val="en-GB" w:eastAsia="en-GB"/>
        </w:rPr>
        <w:t>T</w:t>
      </w:r>
      <w:r w:rsidRPr="00E97CC8">
        <w:rPr>
          <w:lang w:val="en-GB" w:eastAsia="en-GB"/>
        </w:rPr>
        <w:t>hese correlations affirm that process state, spatial confinement, and regional factors underpin the principal patterns of human harm captured by the MCA.</w:t>
      </w:r>
    </w:p>
    <w:p w14:paraId="6C9ECF24" w14:textId="77777777" w:rsidR="00E97CC8" w:rsidRPr="005C338C" w:rsidRDefault="00E97CC8" w:rsidP="00C80C64">
      <w:pPr>
        <w:pStyle w:val="BOAAbstractBody"/>
        <w:rPr>
          <w:lang w:val="en-GB" w:eastAsia="en-GB"/>
        </w:rPr>
      </w:pPr>
    </w:p>
    <w:p w14:paraId="70CA41E1" w14:textId="77777777" w:rsidR="00C82152" w:rsidRPr="005C338C" w:rsidRDefault="004033E7" w:rsidP="009A29E0">
      <w:pPr>
        <w:pStyle w:val="BOAAbstractBody"/>
        <w:jc w:val="center"/>
        <w:rPr>
          <w:lang w:val="en-GB"/>
        </w:rPr>
      </w:pPr>
      <w:r w:rsidRPr="005C338C">
        <w:rPr>
          <w:noProof/>
          <w:lang w:val="es-ES" w:eastAsia="es-ES"/>
        </w:rPr>
        <w:drawing>
          <wp:inline distT="0" distB="0" distL="0" distR="0" wp14:anchorId="72CCF984" wp14:editId="36F5E152">
            <wp:extent cx="4753155" cy="45938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l="19169" t="5118" r="18822"/>
                    <a:stretch/>
                  </pic:blipFill>
                  <pic:spPr bwMode="auto">
                    <a:xfrm>
                      <a:off x="0" y="0"/>
                      <a:ext cx="4764465" cy="4604763"/>
                    </a:xfrm>
                    <a:prstGeom prst="rect">
                      <a:avLst/>
                    </a:prstGeom>
                    <a:noFill/>
                    <a:ln>
                      <a:noFill/>
                    </a:ln>
                    <a:extLst>
                      <a:ext uri="{53640926-AAD7-44D8-BBD7-CCE9431645EC}">
                        <a14:shadowObscured xmlns:a14="http://schemas.microsoft.com/office/drawing/2010/main"/>
                      </a:ext>
                    </a:extLst>
                  </pic:spPr>
                </pic:pic>
              </a:graphicData>
            </a:graphic>
          </wp:inline>
        </w:drawing>
      </w:r>
    </w:p>
    <w:p w14:paraId="5A2B7019" w14:textId="49E6004A" w:rsidR="004033E7" w:rsidRPr="005C338C" w:rsidRDefault="00C82152" w:rsidP="00C82152">
      <w:pPr>
        <w:pStyle w:val="BOACaption"/>
      </w:pPr>
      <w:r w:rsidRPr="005C338C">
        <w:t xml:space="preserve">Figure </w:t>
      </w:r>
      <w:r w:rsidRPr="005C338C">
        <w:fldChar w:fldCharType="begin"/>
      </w:r>
      <w:r w:rsidRPr="005C338C">
        <w:instrText xml:space="preserve"> SEQ Figure \* ARABIC </w:instrText>
      </w:r>
      <w:r w:rsidRPr="005C338C">
        <w:fldChar w:fldCharType="separate"/>
      </w:r>
      <w:r w:rsidR="005D4DDC">
        <w:rPr>
          <w:noProof/>
        </w:rPr>
        <w:t>5</w:t>
      </w:r>
      <w:r w:rsidRPr="005C338C">
        <w:fldChar w:fldCharType="end"/>
      </w:r>
      <w:r w:rsidRPr="005C338C">
        <w:t>. Variable correlation with the two principal MCA components.</w:t>
      </w:r>
    </w:p>
    <w:p w14:paraId="0CEEA8B6" w14:textId="45A02EA7" w:rsidR="00AB7B93" w:rsidRPr="00AB7B93" w:rsidRDefault="00AB7B93" w:rsidP="00AB7B93">
      <w:pPr>
        <w:pStyle w:val="BOAAbstractBody"/>
      </w:pPr>
      <w:r>
        <w:t xml:space="preserve">Figure 6 presents the individual factor map defined by the first two MCA dimensions. </w:t>
      </w:r>
      <w:r w:rsidRPr="005C338C">
        <w:rPr>
          <w:lang w:val="en-GB"/>
        </w:rPr>
        <w:t>The Wilks test</w:t>
      </w:r>
      <w:r>
        <w:t xml:space="preserve"> was conducted to identify which categorical variables best discriminate among </w:t>
      </w:r>
      <w:r w:rsidR="008770D8">
        <w:t>event</w:t>
      </w:r>
      <w:r>
        <w:t xml:space="preserve"> points on this plane, with lower p-values indicating stronger separation. Among the two factors (NUI and NUF), the NUI variable yielded the most significant p-value, confirming it as the primary driver of distance between individual accidents on these axes. In the map, each point represents a single hydrogen-event report. For the black points, related with NUI&gt;1, they are predominantly on the positive side of Dim 1, indicating that high-injury events share similar categorical profiles. </w:t>
      </w:r>
      <w:r w:rsidR="004915A1" w:rsidRPr="004915A1">
        <w:t>The sharing labels had high frequency for events that occurred in industrial applications (AP = “Industry”), were driven by explosive failure modes (NA = “Explosion”), took place within industrial facility types (LOD = “Industrial”), and coincided with abnormal operational conditions (OP = “ABNORMAL”).</w:t>
      </w:r>
    </w:p>
    <w:p w14:paraId="21F3B928" w14:textId="6DF15BE4" w:rsidR="00B03702" w:rsidRPr="00AB7B93" w:rsidRDefault="00B03702" w:rsidP="00C80C64">
      <w:pPr>
        <w:pStyle w:val="BOAAbstractBody"/>
        <w:rPr>
          <w:lang w:val="en-GB"/>
        </w:rPr>
      </w:pPr>
    </w:p>
    <w:p w14:paraId="1F007CD1" w14:textId="04F67D92" w:rsidR="005D4DDC" w:rsidRDefault="00D21D63" w:rsidP="005D4DDC">
      <w:pPr>
        <w:pStyle w:val="BOAAbstractBody"/>
        <w:keepNext/>
        <w:jc w:val="center"/>
      </w:pPr>
      <w:r>
        <w:rPr>
          <w:noProof/>
        </w:rPr>
        <w:drawing>
          <wp:inline distT="0" distB="0" distL="0" distR="0" wp14:anchorId="0C67274A" wp14:editId="386F5B13">
            <wp:extent cx="4538999" cy="3857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694" cy="3896461"/>
                    </a:xfrm>
                    <a:prstGeom prst="rect">
                      <a:avLst/>
                    </a:prstGeom>
                    <a:noFill/>
                  </pic:spPr>
                </pic:pic>
              </a:graphicData>
            </a:graphic>
          </wp:inline>
        </w:drawing>
      </w:r>
    </w:p>
    <w:p w14:paraId="3FD79E2E" w14:textId="0C5A8832" w:rsidR="00B03702" w:rsidRPr="005C338C" w:rsidRDefault="005D4DDC" w:rsidP="005D4DDC">
      <w:pPr>
        <w:pStyle w:val="BOACaption"/>
      </w:pPr>
      <w:r>
        <w:t xml:space="preserve">Figure </w:t>
      </w:r>
      <w:r>
        <w:fldChar w:fldCharType="begin"/>
      </w:r>
      <w:r>
        <w:instrText xml:space="preserve"> SEQ Figure \* ARABIC </w:instrText>
      </w:r>
      <w:r>
        <w:fldChar w:fldCharType="separate"/>
      </w:r>
      <w:r>
        <w:rPr>
          <w:noProof/>
        </w:rPr>
        <w:t>6</w:t>
      </w:r>
      <w:r>
        <w:fldChar w:fldCharType="end"/>
      </w:r>
      <w:r>
        <w:t>. Individual factor map.</w:t>
      </w:r>
    </w:p>
    <w:p w14:paraId="171A8C23" w14:textId="087C5D75" w:rsidR="00AB7B93" w:rsidRPr="005D4DDC" w:rsidRDefault="00AB7B93" w:rsidP="00AB7B93">
      <w:pPr>
        <w:pStyle w:val="BOAAbstractBody"/>
        <w:rPr>
          <w:lang w:val="en-GB"/>
        </w:rPr>
      </w:pPr>
      <w:r w:rsidRPr="005D4DDC">
        <w:rPr>
          <w:lang w:val="en-GB"/>
        </w:rPr>
        <w:t>Figure 7 illustrates the MCA factor results</w:t>
      </w:r>
      <w:r w:rsidR="00F21823">
        <w:rPr>
          <w:lang w:val="en-GB"/>
        </w:rPr>
        <w:t>, highlighting those with a</w:t>
      </w:r>
      <w:r w:rsidR="00AD3F80">
        <w:rPr>
          <w:lang w:val="en-GB"/>
        </w:rPr>
        <w:t>n</w:t>
      </w:r>
      <w:r w:rsidR="00F21823">
        <w:rPr>
          <w:lang w:val="en-GB"/>
        </w:rPr>
        <w:t xml:space="preserve"> </w:t>
      </w:r>
      <w:r w:rsidR="00F21823" w:rsidRPr="005D4DDC">
        <w:rPr>
          <w:lang w:val="en-GB"/>
        </w:rPr>
        <w:t>associated squared</w:t>
      </w:r>
      <w:r w:rsidR="00F21823" w:rsidRPr="005D4DDC">
        <w:rPr>
          <w:rFonts w:ascii="Cambria Math" w:hAnsi="Cambria Math" w:cs="Cambria Math"/>
          <w:lang w:val="en-GB"/>
        </w:rPr>
        <w:t>‐</w:t>
      </w:r>
      <w:r w:rsidR="00F21823" w:rsidRPr="005D4DDC">
        <w:rPr>
          <w:lang w:val="en-GB"/>
        </w:rPr>
        <w:t>cosine (cos</w:t>
      </w:r>
      <w:r w:rsidR="00F21823" w:rsidRPr="005D4DDC">
        <w:rPr>
          <w:rFonts w:cs="Arial"/>
          <w:lang w:val="en-GB"/>
        </w:rPr>
        <w:t>²</w:t>
      </w:r>
      <w:r w:rsidR="00F21823" w:rsidRPr="005D4DDC">
        <w:rPr>
          <w:lang w:val="en-GB"/>
        </w:rPr>
        <w:t>) values</w:t>
      </w:r>
      <w:r w:rsidR="00F21823">
        <w:rPr>
          <w:lang w:val="en-GB"/>
        </w:rPr>
        <w:t xml:space="preserve"> </w:t>
      </w:r>
      <w:r w:rsidR="00311AA3">
        <w:rPr>
          <w:lang w:val="en-GB"/>
        </w:rPr>
        <w:t>greater than 0.2</w:t>
      </w:r>
      <w:r w:rsidRPr="005D4DDC">
        <w:rPr>
          <w:lang w:val="en-GB"/>
        </w:rPr>
        <w:t xml:space="preserve">. The events in which both </w:t>
      </w:r>
      <w:r w:rsidR="00A55D61" w:rsidRPr="005D4DDC">
        <w:rPr>
          <w:lang w:val="en-GB"/>
        </w:rPr>
        <w:t>the NUI</w:t>
      </w:r>
      <w:r w:rsidRPr="005D4DDC">
        <w:rPr>
          <w:lang w:val="en-GB"/>
        </w:rPr>
        <w:t xml:space="preserve"> and NUF fall into the “zero” category tightly around the “normal” operational condition and the “open” location type. This alignment intuitively reflects that events without human casualties tend to occur under routine process states and in unconfined environments.</w:t>
      </w:r>
      <w:r w:rsidR="00A524AF">
        <w:rPr>
          <w:lang w:val="en-GB"/>
        </w:rPr>
        <w:t xml:space="preserve"> The</w:t>
      </w:r>
      <w:r w:rsidR="00380B41" w:rsidRPr="00380B41">
        <w:rPr>
          <w:lang w:val="en-GB"/>
        </w:rPr>
        <w:t xml:space="preserve"> </w:t>
      </w:r>
      <w:r w:rsidR="00A524AF">
        <w:rPr>
          <w:lang w:val="en-GB"/>
        </w:rPr>
        <w:t>NUI and NUF</w:t>
      </w:r>
      <w:r w:rsidR="00380B41" w:rsidRPr="00380B41">
        <w:rPr>
          <w:lang w:val="en-GB"/>
        </w:rPr>
        <w:t xml:space="preserve"> in the category "&gt;1" cluster with the following categories: CL= "Hydrogen</w:t>
      </w:r>
      <w:r w:rsidR="00A524AF">
        <w:rPr>
          <w:rFonts w:ascii="Cambria Math" w:hAnsi="Cambria Math" w:cs="Cambria Math"/>
          <w:lang w:val="en-GB"/>
        </w:rPr>
        <w:t xml:space="preserve"> </w:t>
      </w:r>
      <w:r w:rsidR="00380B41" w:rsidRPr="00380B41">
        <w:rPr>
          <w:lang w:val="en-GB"/>
        </w:rPr>
        <w:t xml:space="preserve">release and ignition", NA= </w:t>
      </w:r>
      <w:r w:rsidR="00380B41" w:rsidRPr="00380B41">
        <w:rPr>
          <w:rFonts w:cs="Arial"/>
          <w:lang w:val="en-GB"/>
        </w:rPr>
        <w:t>“</w:t>
      </w:r>
      <w:r w:rsidR="00380B41" w:rsidRPr="00380B41">
        <w:rPr>
          <w:lang w:val="en-GB"/>
        </w:rPr>
        <w:t>Explosion</w:t>
      </w:r>
      <w:r w:rsidR="00380B41" w:rsidRPr="00380B41">
        <w:rPr>
          <w:rFonts w:cs="Arial"/>
          <w:lang w:val="en-GB"/>
        </w:rPr>
        <w:t>”</w:t>
      </w:r>
      <w:r w:rsidR="00380B41" w:rsidRPr="00380B41">
        <w:rPr>
          <w:lang w:val="en-GB"/>
        </w:rPr>
        <w:t xml:space="preserve">, AP= </w:t>
      </w:r>
      <w:r w:rsidR="00380B41" w:rsidRPr="00380B41">
        <w:rPr>
          <w:rFonts w:cs="Arial"/>
          <w:lang w:val="en-GB"/>
        </w:rPr>
        <w:t>“</w:t>
      </w:r>
      <w:r w:rsidR="00380B41" w:rsidRPr="00380B41">
        <w:rPr>
          <w:lang w:val="en-GB"/>
        </w:rPr>
        <w:t>Industry</w:t>
      </w:r>
      <w:r w:rsidR="00380B41" w:rsidRPr="00380B41">
        <w:rPr>
          <w:rFonts w:cs="Arial"/>
          <w:lang w:val="en-GB"/>
        </w:rPr>
        <w:t>”</w:t>
      </w:r>
      <w:r w:rsidR="00380B41" w:rsidRPr="00380B41">
        <w:rPr>
          <w:lang w:val="en-GB"/>
        </w:rPr>
        <w:t>, and LOD</w:t>
      </w:r>
      <w:r w:rsidR="006A4D5A">
        <w:rPr>
          <w:lang w:val="en-GB"/>
        </w:rPr>
        <w:t>=</w:t>
      </w:r>
      <w:r w:rsidR="00380B41" w:rsidRPr="00380B41">
        <w:rPr>
          <w:lang w:val="en-GB"/>
        </w:rPr>
        <w:t xml:space="preserve"> </w:t>
      </w:r>
      <w:r w:rsidR="00380B41" w:rsidRPr="00380B41">
        <w:rPr>
          <w:rFonts w:cs="Arial"/>
          <w:lang w:val="en-GB"/>
        </w:rPr>
        <w:t>“</w:t>
      </w:r>
      <w:r w:rsidR="00380B41" w:rsidRPr="00380B41">
        <w:rPr>
          <w:lang w:val="en-GB"/>
        </w:rPr>
        <w:t>Industrial</w:t>
      </w:r>
      <w:r w:rsidR="00380B41" w:rsidRPr="00380B41">
        <w:rPr>
          <w:rFonts w:cs="Arial"/>
          <w:lang w:val="en-GB"/>
        </w:rPr>
        <w:t>”</w:t>
      </w:r>
      <w:r w:rsidR="00380B41" w:rsidRPr="00380B41">
        <w:rPr>
          <w:lang w:val="en-GB"/>
        </w:rPr>
        <w:t>. This means that events with more than one fatality or injury are most likely to involve hydrogen releases and ignition with an explosion as a consequence in industrial settings.</w:t>
      </w:r>
      <w:r w:rsidR="001D7199">
        <w:rPr>
          <w:lang w:val="en-GB"/>
        </w:rPr>
        <w:t xml:space="preserve"> </w:t>
      </w:r>
      <w:r w:rsidRPr="005D4DDC">
        <w:rPr>
          <w:lang w:val="en-GB"/>
        </w:rPr>
        <w:t xml:space="preserve">However, </w:t>
      </w:r>
      <w:r w:rsidR="00AD3F80" w:rsidRPr="005D4DDC">
        <w:rPr>
          <w:lang w:val="en-GB"/>
        </w:rPr>
        <w:t>these categories associated</w:t>
      </w:r>
      <w:r w:rsidRPr="005D4DDC">
        <w:rPr>
          <w:lang w:val="en-GB"/>
        </w:rPr>
        <w:t xml:space="preserve"> squared</w:t>
      </w:r>
      <w:r w:rsidRPr="005D4DDC">
        <w:rPr>
          <w:rFonts w:ascii="Cambria Math" w:hAnsi="Cambria Math" w:cs="Cambria Math"/>
          <w:lang w:val="en-GB"/>
        </w:rPr>
        <w:t>‐</w:t>
      </w:r>
      <w:r w:rsidRPr="005D4DDC">
        <w:rPr>
          <w:lang w:val="en-GB"/>
        </w:rPr>
        <w:t>cosine values</w:t>
      </w:r>
      <w:r w:rsidR="00D25F6B">
        <w:rPr>
          <w:lang w:val="en-GB"/>
        </w:rPr>
        <w:t>, which measure the level of association among categories,</w:t>
      </w:r>
      <w:r w:rsidRPr="005D4DDC">
        <w:rPr>
          <w:lang w:val="en-GB"/>
        </w:rPr>
        <w:t xml:space="preserve"> remain uniformly low, indicating that neither dimension captures a large proportion of their variance. This outcome demonstrates a substantial level of noise in the dataset. It suggests that the current categorical descriptors and their granularity may insufficiently isolate the principal accident severity drivers.</w:t>
      </w:r>
    </w:p>
    <w:p w14:paraId="4C94318F" w14:textId="70346022" w:rsidR="00AB7B93" w:rsidRPr="005C338C" w:rsidRDefault="00AB7B93" w:rsidP="00AB7B93">
      <w:pPr>
        <w:pStyle w:val="BOAAbstractBody"/>
        <w:rPr>
          <w:lang w:val="en-GB"/>
        </w:rPr>
      </w:pPr>
      <w:r w:rsidRPr="005D4DDC">
        <w:rPr>
          <w:lang w:val="en-GB"/>
        </w:rPr>
        <w:t>Several strategies merit consideration to reduce data noise and enhance signal clarity in future analyses. First, refining or consolidating low</w:t>
      </w:r>
      <w:r w:rsidRPr="005D4DDC">
        <w:rPr>
          <w:rFonts w:ascii="Cambria Math" w:hAnsi="Cambria Math" w:cs="Cambria Math"/>
          <w:lang w:val="en-GB"/>
        </w:rPr>
        <w:t>‐</w:t>
      </w:r>
      <w:r w:rsidRPr="005D4DDC">
        <w:rPr>
          <w:lang w:val="en-GB"/>
        </w:rPr>
        <w:t>frequency categories will prevent sparse levels from disproportionately inflating dimensionality. Second, exploring alternative accident descriptors could yield more discriminative feature sets. Finally, applying supervised feature</w:t>
      </w:r>
      <w:r w:rsidRPr="005D4DDC">
        <w:rPr>
          <w:rFonts w:ascii="Cambria Math" w:hAnsi="Cambria Math" w:cs="Cambria Math"/>
          <w:lang w:val="en-GB"/>
        </w:rPr>
        <w:t>‐</w:t>
      </w:r>
      <w:r w:rsidRPr="005D4DDC">
        <w:rPr>
          <w:lang w:val="en-GB"/>
        </w:rPr>
        <w:t xml:space="preserve">selection techniques or regularized embedding methods before MCA can help identify the most informative variables and suppress random variation. Together, these refinements promise to </w:t>
      </w:r>
      <w:r w:rsidR="009F2B5E" w:rsidRPr="005D4DDC">
        <w:rPr>
          <w:lang w:val="en-GB"/>
        </w:rPr>
        <w:t>strengthen</w:t>
      </w:r>
      <w:r w:rsidRPr="005D4DDC">
        <w:rPr>
          <w:lang w:val="en-GB"/>
        </w:rPr>
        <w:t xml:space="preserve"> the robustness of MCA</w:t>
      </w:r>
      <w:r w:rsidRPr="005D4DDC">
        <w:rPr>
          <w:rFonts w:ascii="Cambria Math" w:hAnsi="Cambria Math" w:cs="Cambria Math"/>
          <w:lang w:val="en-GB"/>
        </w:rPr>
        <w:t>‐</w:t>
      </w:r>
      <w:r w:rsidRPr="005D4DDC">
        <w:rPr>
          <w:lang w:val="en-GB"/>
        </w:rPr>
        <w:t>derived typologies and improve the interpretability of hydrogen</w:t>
      </w:r>
      <w:r w:rsidRPr="005D4DDC">
        <w:rPr>
          <w:rFonts w:ascii="Cambria Math" w:hAnsi="Cambria Math" w:cs="Cambria Math"/>
          <w:lang w:val="en-GB"/>
        </w:rPr>
        <w:t>‐</w:t>
      </w:r>
      <w:r w:rsidR="00716063">
        <w:rPr>
          <w:lang w:val="en-GB"/>
        </w:rPr>
        <w:t>event</w:t>
      </w:r>
      <w:r w:rsidRPr="005D4DDC">
        <w:rPr>
          <w:lang w:val="en-GB"/>
        </w:rPr>
        <w:t xml:space="preserve"> analyses.</w:t>
      </w:r>
    </w:p>
    <w:p w14:paraId="4C86CDE5" w14:textId="6A9599D7" w:rsidR="005D4DDC" w:rsidRDefault="005D4DDC" w:rsidP="00C80C64">
      <w:pPr>
        <w:pStyle w:val="BOAAbstractBody"/>
        <w:rPr>
          <w:lang w:val="en-GB"/>
        </w:rPr>
      </w:pPr>
    </w:p>
    <w:p w14:paraId="73FBFE06" w14:textId="2158D4D4" w:rsidR="005D4DDC" w:rsidRDefault="00380B41" w:rsidP="005D4DDC">
      <w:pPr>
        <w:pStyle w:val="BOAAbstractBody"/>
        <w:keepNext/>
        <w:jc w:val="center"/>
      </w:pPr>
      <w:r w:rsidRPr="00380B41">
        <w:rPr>
          <w:noProof/>
        </w:rPr>
        <w:lastRenderedPageBreak/>
        <w:drawing>
          <wp:inline distT="0" distB="0" distL="0" distR="0" wp14:anchorId="67E98D20" wp14:editId="758A8794">
            <wp:extent cx="5289934" cy="4810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11982" cy="4830173"/>
                    </a:xfrm>
                    <a:prstGeom prst="rect">
                      <a:avLst/>
                    </a:prstGeom>
                  </pic:spPr>
                </pic:pic>
              </a:graphicData>
            </a:graphic>
          </wp:inline>
        </w:drawing>
      </w:r>
    </w:p>
    <w:p w14:paraId="254D142F" w14:textId="29639F60" w:rsidR="005D4DDC" w:rsidRPr="005C338C" w:rsidRDefault="005D4DDC" w:rsidP="005D4DDC">
      <w:pPr>
        <w:pStyle w:val="BOACaption"/>
      </w:pPr>
      <w:r>
        <w:t xml:space="preserve">Figure </w:t>
      </w:r>
      <w:r>
        <w:fldChar w:fldCharType="begin"/>
      </w:r>
      <w:r>
        <w:instrText xml:space="preserve"> SEQ Figure \* ARABIC </w:instrText>
      </w:r>
      <w:r>
        <w:fldChar w:fldCharType="separate"/>
      </w:r>
      <w:r>
        <w:rPr>
          <w:noProof/>
        </w:rPr>
        <w:t>7</w:t>
      </w:r>
      <w:r>
        <w:fldChar w:fldCharType="end"/>
      </w:r>
      <w:r>
        <w:t xml:space="preserve">. </w:t>
      </w:r>
      <w:r w:rsidR="00AB7B93">
        <w:t>Categories</w:t>
      </w:r>
      <w:r w:rsidRPr="002A46C8">
        <w:t xml:space="preserve"> factor results</w:t>
      </w:r>
      <w:r>
        <w:t xml:space="preserve"> </w:t>
      </w:r>
      <w:r w:rsidR="008770D8">
        <w:t>with</w:t>
      </w:r>
      <w:r>
        <w:t xml:space="preserve"> a Cos</w:t>
      </w:r>
      <w:r>
        <w:rPr>
          <w:vertAlign w:val="superscript"/>
        </w:rPr>
        <w:t>2</w:t>
      </w:r>
      <w:r>
        <w:t>=0.</w:t>
      </w:r>
      <w:r w:rsidR="00526F11">
        <w:t>2</w:t>
      </w:r>
      <w:r>
        <w:t>.</w:t>
      </w:r>
    </w:p>
    <w:p w14:paraId="311252DF" w14:textId="77777777" w:rsidR="005C1A57" w:rsidRPr="005C338C" w:rsidRDefault="005C1A57" w:rsidP="00F879FE">
      <w:pPr>
        <w:pStyle w:val="BOAHeading"/>
        <w:rPr>
          <w:lang w:val="en-GB" w:eastAsia="ko-KR"/>
        </w:rPr>
      </w:pPr>
      <w:r w:rsidRPr="005C338C">
        <w:rPr>
          <w:lang w:val="en-GB"/>
        </w:rPr>
        <w:t>4. Conclusion</w:t>
      </w:r>
      <w:r w:rsidRPr="005C338C">
        <w:rPr>
          <w:lang w:val="en-GB" w:eastAsia="ko-KR"/>
        </w:rPr>
        <w:t>s</w:t>
      </w:r>
    </w:p>
    <w:p w14:paraId="562342F2" w14:textId="77777777" w:rsidR="00CD0A1C" w:rsidRPr="00CD0A1C" w:rsidRDefault="00CD0A1C" w:rsidP="00CD0A1C">
      <w:pPr>
        <w:pStyle w:val="BOAAbstractBody"/>
        <w:rPr>
          <w:lang w:val="en-GB"/>
        </w:rPr>
      </w:pPr>
      <w:r w:rsidRPr="00CD0A1C">
        <w:rPr>
          <w:lang w:val="en-GB"/>
        </w:rPr>
        <w:t>This study examined a Machine Learning exploration of the Hydrogen Incident and Accident Database (HIAD 2.1). Integrating a pre-processing framework with a Multiple Correspondence Analysis, this work demonstrates that low-dimensional representations of 694 hydrogen-related events can be obtained despite the database’s high categorical complexity and missing-value patterns.</w:t>
      </w:r>
    </w:p>
    <w:p w14:paraId="21CC18A8" w14:textId="77777777" w:rsidR="00CD0A1C" w:rsidRPr="00CD0A1C" w:rsidRDefault="00CD0A1C" w:rsidP="00CD0A1C">
      <w:pPr>
        <w:pStyle w:val="BOAAbstractBody"/>
        <w:rPr>
          <w:lang w:val="en-GB"/>
        </w:rPr>
      </w:pPr>
      <w:r w:rsidRPr="00CD0A1C">
        <w:rPr>
          <w:lang w:val="en-GB"/>
        </w:rPr>
        <w:t xml:space="preserve">The analysis identifies operational conditions, spatial confinement, and geographic regions as the categorical triad most strongly associated with the severity of human impact. Events occurring under abnormal process states and confined environments cluster in the same factor space as events with more than one injury, whereas casualty-free events align with normal operations in open settings. </w:t>
      </w:r>
    </w:p>
    <w:p w14:paraId="2701F9A6" w14:textId="7FCF2EFD" w:rsidR="005C1A57" w:rsidRPr="005C338C" w:rsidRDefault="007E3193" w:rsidP="00CD0A1C">
      <w:pPr>
        <w:pStyle w:val="BOAAbstractBody"/>
        <w:rPr>
          <w:lang w:val="en-GB"/>
        </w:rPr>
      </w:pPr>
      <w:r>
        <w:rPr>
          <w:lang w:val="en-GB"/>
        </w:rPr>
        <w:t>This</w:t>
      </w:r>
      <w:r w:rsidR="00CD0A1C" w:rsidRPr="00CD0A1C">
        <w:rPr>
          <w:lang w:val="en-GB"/>
        </w:rPr>
        <w:t xml:space="preserve"> work establishes a transferable workflow aligned with Safety 5.0 principles, illustrating how unsupervised learning can </w:t>
      </w:r>
      <w:r>
        <w:rPr>
          <w:lang w:val="en-GB"/>
        </w:rPr>
        <w:t>increase</w:t>
      </w:r>
      <w:r w:rsidR="00CD0A1C" w:rsidRPr="00CD0A1C">
        <w:rPr>
          <w:lang w:val="en-GB"/>
        </w:rPr>
        <w:t xml:space="preserve"> post-</w:t>
      </w:r>
      <w:r w:rsidR="008770D8">
        <w:rPr>
          <w:lang w:val="en-GB"/>
        </w:rPr>
        <w:t>event</w:t>
      </w:r>
      <w:r w:rsidR="00CD0A1C" w:rsidRPr="00CD0A1C">
        <w:rPr>
          <w:lang w:val="en-GB"/>
        </w:rPr>
        <w:t xml:space="preserve"> investigations, guide the prioritisation of safeguards and improve the risk assessments for emerging hydrogen infrastructures. Nevertheless, the modest inertia captured by the first MCA plane signals residual noise arising from sparse or low-frequency categories. Future research should therefore refine label taxonomies</w:t>
      </w:r>
      <w:r>
        <w:rPr>
          <w:lang w:val="en-GB"/>
        </w:rPr>
        <w:t xml:space="preserve"> and</w:t>
      </w:r>
      <w:r w:rsidR="00CD0A1C" w:rsidRPr="00CD0A1C">
        <w:rPr>
          <w:lang w:val="en-GB"/>
        </w:rPr>
        <w:t xml:space="preserve"> incorporate higher-fidelity process descriptors. </w:t>
      </w:r>
      <w:r w:rsidR="00E1280C" w:rsidRPr="005C338C">
        <w:rPr>
          <w:lang w:val="en-GB"/>
        </w:rPr>
        <w:t xml:space="preserve"> </w:t>
      </w:r>
    </w:p>
    <w:p w14:paraId="714DF323" w14:textId="77777777" w:rsidR="00E1280C" w:rsidRPr="005C338C" w:rsidRDefault="00E1280C" w:rsidP="00E1280C">
      <w:pPr>
        <w:pStyle w:val="BOAReference"/>
      </w:pPr>
      <w:r w:rsidRPr="005C338C">
        <w:lastRenderedPageBreak/>
        <w:t>Acknowledgments</w:t>
      </w:r>
    </w:p>
    <w:p w14:paraId="358F2F04" w14:textId="7F189526" w:rsidR="009A29E0" w:rsidRDefault="009A29E0" w:rsidP="009A29E0">
      <w:pPr>
        <w:pStyle w:val="BOAReference-text"/>
      </w:pPr>
      <w:r w:rsidRPr="005C338C">
        <w:t xml:space="preserve">The </w:t>
      </w:r>
      <w:r w:rsidR="00994612">
        <w:t xml:space="preserve">first </w:t>
      </w:r>
      <w:r w:rsidRPr="005C338C">
        <w:t xml:space="preserve">author works within the framework of Project 101119358, ‘PROSAFE’, funded by the Marie </w:t>
      </w:r>
      <w:proofErr w:type="spellStart"/>
      <w:r w:rsidRPr="005C338C">
        <w:t>Skłodowska</w:t>
      </w:r>
      <w:proofErr w:type="spellEnd"/>
      <w:r w:rsidRPr="005C338C">
        <w:t>-Curie Actions programme, HORIZON-MSCA-2022-DN-01.</w:t>
      </w:r>
      <w:r w:rsidR="00E70381">
        <w:t xml:space="preserve"> This work was also partly funded by Grant PID2023-150607OB-I00 funded by MICIU/AEI/ 10.13039/501100011033 and by ERDF/EU</w:t>
      </w:r>
      <w:r w:rsidR="00994612">
        <w:t>.</w:t>
      </w:r>
    </w:p>
    <w:p w14:paraId="74B939B2" w14:textId="124D8C5E" w:rsidR="00AF7936" w:rsidRPr="005C338C" w:rsidRDefault="00AF7936" w:rsidP="009A29E0">
      <w:pPr>
        <w:pStyle w:val="BOAReference-text"/>
      </w:pPr>
      <w:r w:rsidRPr="00AF7936">
        <w:t>European Hydrogen Incidents and Accidents database HIAD 2.1, European Commission, Joint Research Centre</w:t>
      </w:r>
    </w:p>
    <w:p w14:paraId="11D31778" w14:textId="77777777" w:rsidR="005C1A57" w:rsidRPr="00A524AF" w:rsidRDefault="005C1A57" w:rsidP="00302C82">
      <w:pPr>
        <w:pStyle w:val="BOAReference"/>
        <w:rPr>
          <w:rFonts w:eastAsia="SimSun"/>
          <w:lang w:eastAsia="zh-CN"/>
        </w:rPr>
      </w:pPr>
      <w:r w:rsidRPr="00A524AF">
        <w:rPr>
          <w:rFonts w:eastAsia="MS PGothic"/>
        </w:rPr>
        <w:t xml:space="preserve">References </w:t>
      </w:r>
    </w:p>
    <w:p w14:paraId="52C6E494" w14:textId="77777777" w:rsidR="00A1189C" w:rsidRPr="00EA067A" w:rsidRDefault="00A1189C" w:rsidP="00EA067A">
      <w:pPr>
        <w:pStyle w:val="BOAReference-text"/>
        <w:rPr>
          <w:rFonts w:eastAsia="SimSun"/>
        </w:rPr>
      </w:pPr>
      <w:r w:rsidRPr="00051FB9">
        <w:rPr>
          <w:rFonts w:eastAsia="SimSun"/>
          <w:lang w:val="es-ES"/>
        </w:rPr>
        <w:t xml:space="preserve">Amaya-Gómez, R., Bastidas-Arteaga, E., Muñoz, F., &amp; Sánchez-Silva, M. (2021). </w:t>
      </w:r>
      <w:r w:rsidRPr="00EA067A">
        <w:rPr>
          <w:rFonts w:eastAsia="SimSun"/>
        </w:rPr>
        <w:t>Statistical Soil Characterization of an Underground Corroded Pipeline Using In-Line Inspections. Metals, 11(2), 292. https://doi.org/10.3390/met11020292</w:t>
      </w:r>
    </w:p>
    <w:p w14:paraId="333BF59B" w14:textId="77777777" w:rsidR="00A1189C" w:rsidRPr="00DE2313" w:rsidRDefault="00A1189C" w:rsidP="00EA067A">
      <w:pPr>
        <w:pStyle w:val="BOAReference-text"/>
        <w:rPr>
          <w:rFonts w:eastAsia="SimSun"/>
          <w:lang w:val="es-CO"/>
        </w:rPr>
      </w:pPr>
      <w:proofErr w:type="spellStart"/>
      <w:r w:rsidRPr="00EA067A">
        <w:rPr>
          <w:rFonts w:eastAsia="SimSun"/>
        </w:rPr>
        <w:t>Center</w:t>
      </w:r>
      <w:proofErr w:type="spellEnd"/>
      <w:r w:rsidRPr="00EA067A">
        <w:rPr>
          <w:rFonts w:eastAsia="SimSun"/>
        </w:rPr>
        <w:t xml:space="preserve"> for Chemical Process Safety. (2018). Process Safety Metrics: Guide for Selecting Leading and Lagging Metrics. </w:t>
      </w:r>
      <w:proofErr w:type="spellStart"/>
      <w:r w:rsidRPr="00DE2313">
        <w:rPr>
          <w:rFonts w:eastAsia="SimSun"/>
          <w:lang w:val="es-CO"/>
        </w:rPr>
        <w:t>AIChE</w:t>
      </w:r>
      <w:proofErr w:type="spellEnd"/>
      <w:r w:rsidRPr="00DE2313">
        <w:rPr>
          <w:rFonts w:eastAsia="SimSun"/>
          <w:lang w:val="es-CO"/>
        </w:rPr>
        <w:t>. https://www.aiche.org/sites/default/files/docs/pages/ccps_process_safety_metrics_-_april_2018.pdf</w:t>
      </w:r>
    </w:p>
    <w:p w14:paraId="1E4A0E1B" w14:textId="77777777" w:rsidR="00A1189C" w:rsidRPr="00EA067A" w:rsidRDefault="00A1189C" w:rsidP="00EA067A">
      <w:pPr>
        <w:pStyle w:val="BOAReference-text"/>
        <w:rPr>
          <w:rFonts w:eastAsia="SimSun"/>
        </w:rPr>
      </w:pPr>
      <w:r w:rsidRPr="00EA067A">
        <w:rPr>
          <w:rFonts w:eastAsia="SimSun"/>
        </w:rPr>
        <w:t>Greenacre, M. J. (2010). Correspondence analysis. WIREs Computational Statistics, 2(5), 613–619. https://doi.org/10.1002/wics.114</w:t>
      </w:r>
    </w:p>
    <w:p w14:paraId="1A0BF0A3" w14:textId="77777777" w:rsidR="00A1189C" w:rsidRPr="00EA067A" w:rsidRDefault="00A1189C" w:rsidP="00EA067A">
      <w:pPr>
        <w:pStyle w:val="BOAReference-text"/>
        <w:rPr>
          <w:rFonts w:eastAsia="SimSun"/>
        </w:rPr>
      </w:pPr>
      <w:r w:rsidRPr="00EA067A">
        <w:rPr>
          <w:rFonts w:eastAsia="SimSun"/>
        </w:rPr>
        <w:t xml:space="preserve">Husson, F., Lê, S., &amp; </w:t>
      </w:r>
      <w:proofErr w:type="spellStart"/>
      <w:r w:rsidRPr="00EA067A">
        <w:rPr>
          <w:rFonts w:eastAsia="SimSun"/>
        </w:rPr>
        <w:t>Pagès</w:t>
      </w:r>
      <w:proofErr w:type="spellEnd"/>
      <w:r w:rsidRPr="00EA067A">
        <w:rPr>
          <w:rFonts w:eastAsia="SimSun"/>
        </w:rPr>
        <w:t>, J. (2017). Exploratory multivariate analysis by example using R (Second edition). CRC Press Taylor &amp; Francis Group.</w:t>
      </w:r>
    </w:p>
    <w:p w14:paraId="571B53FD" w14:textId="77777777" w:rsidR="00A1189C" w:rsidRPr="00EA067A" w:rsidRDefault="00A1189C" w:rsidP="00EA067A">
      <w:pPr>
        <w:pStyle w:val="BOAReference-text"/>
        <w:rPr>
          <w:rFonts w:eastAsia="SimSun"/>
        </w:rPr>
      </w:pPr>
      <w:r w:rsidRPr="00EA067A">
        <w:rPr>
          <w:rFonts w:eastAsia="SimSun"/>
        </w:rPr>
        <w:t>Joint Research Centre. (2025). European Hydrogen Incidents and Accidents database HIAD 2.1. European Commission.</w:t>
      </w:r>
    </w:p>
    <w:p w14:paraId="4E71E248" w14:textId="77777777" w:rsidR="00A1189C" w:rsidRPr="00EA067A" w:rsidRDefault="00A1189C" w:rsidP="00EA067A">
      <w:pPr>
        <w:pStyle w:val="BOAReference-text"/>
        <w:rPr>
          <w:rFonts w:eastAsia="SimSun"/>
        </w:rPr>
      </w:pPr>
      <w:r w:rsidRPr="00EA067A">
        <w:rPr>
          <w:rFonts w:eastAsia="SimSun"/>
        </w:rPr>
        <w:t xml:space="preserve">Kurian, D., Sattari, F., </w:t>
      </w:r>
      <w:proofErr w:type="spellStart"/>
      <w:r w:rsidRPr="00EA067A">
        <w:rPr>
          <w:rFonts w:eastAsia="SimSun"/>
        </w:rPr>
        <w:t>Lefsrud</w:t>
      </w:r>
      <w:proofErr w:type="spellEnd"/>
      <w:r w:rsidRPr="00EA067A">
        <w:rPr>
          <w:rFonts w:eastAsia="SimSun"/>
        </w:rPr>
        <w:t xml:space="preserve">, L., &amp; Ma, Y. (2020). Using machine learning and keyword analysis to </w:t>
      </w:r>
      <w:proofErr w:type="spellStart"/>
      <w:r w:rsidRPr="00EA067A">
        <w:rPr>
          <w:rFonts w:eastAsia="SimSun"/>
        </w:rPr>
        <w:t>analyze</w:t>
      </w:r>
      <w:proofErr w:type="spellEnd"/>
      <w:r w:rsidRPr="00EA067A">
        <w:rPr>
          <w:rFonts w:eastAsia="SimSun"/>
        </w:rPr>
        <w:t xml:space="preserve"> incidents and reduce risk in oil sands operations. Safety Science, 130, 104873. https://doi.org/10.1016/j.ssci.2020.104873</w:t>
      </w:r>
    </w:p>
    <w:p w14:paraId="0202C80A" w14:textId="77777777" w:rsidR="00A1189C" w:rsidRPr="00EA067A" w:rsidRDefault="00A1189C" w:rsidP="00EA067A">
      <w:pPr>
        <w:pStyle w:val="BOAReference-text"/>
        <w:rPr>
          <w:rFonts w:eastAsia="SimSun"/>
        </w:rPr>
      </w:pPr>
      <w:r w:rsidRPr="00EA067A">
        <w:rPr>
          <w:rFonts w:eastAsia="SimSun"/>
        </w:rPr>
        <w:t xml:space="preserve">Pasman, H. J., &amp; </w:t>
      </w:r>
      <w:proofErr w:type="spellStart"/>
      <w:r w:rsidRPr="00EA067A">
        <w:rPr>
          <w:rFonts w:eastAsia="SimSun"/>
        </w:rPr>
        <w:t>Behie</w:t>
      </w:r>
      <w:proofErr w:type="spellEnd"/>
      <w:r w:rsidRPr="00EA067A">
        <w:rPr>
          <w:rFonts w:eastAsia="SimSun"/>
        </w:rPr>
        <w:t>, S. W. (2024). The evolution to Industry 5.0 / Safety 5.0, the developments in society, and implications for industry management. Journal of Safety and Sustainability, 1(4), 202–211. https://doi.org/10.1016/j.jsasus.2024.11.003</w:t>
      </w:r>
    </w:p>
    <w:p w14:paraId="3FC0DFFB" w14:textId="77777777" w:rsidR="00A1189C" w:rsidRPr="00EA067A" w:rsidRDefault="00A1189C" w:rsidP="00EA067A">
      <w:pPr>
        <w:pStyle w:val="BOAReference-text"/>
        <w:rPr>
          <w:rFonts w:eastAsia="SimSun"/>
        </w:rPr>
      </w:pPr>
      <w:r w:rsidRPr="00DE2313">
        <w:rPr>
          <w:rFonts w:eastAsia="SimSun"/>
          <w:lang w:val="es-CO"/>
        </w:rPr>
        <w:t xml:space="preserve">Tamascelli, N., Paltrinieri, N., &amp; Cozzani, V. (2023). </w:t>
      </w:r>
      <w:r w:rsidRPr="00EA067A">
        <w:rPr>
          <w:rFonts w:eastAsia="SimSun"/>
        </w:rPr>
        <w:t>Learning From Major Accidents: A Meta-Learning Perspective. Safety Science, 158, 105984. https://doi.org/10.1016/j.ssci.2022.105984</w:t>
      </w:r>
    </w:p>
    <w:p w14:paraId="655D6A70" w14:textId="77777777" w:rsidR="00A1189C" w:rsidRPr="00EA067A" w:rsidRDefault="00A1189C" w:rsidP="00EA067A">
      <w:pPr>
        <w:pStyle w:val="BOAReference-text"/>
        <w:rPr>
          <w:rFonts w:eastAsia="SimSun"/>
        </w:rPr>
      </w:pPr>
      <w:r w:rsidRPr="00EA067A">
        <w:rPr>
          <w:rFonts w:eastAsia="SimSun"/>
        </w:rPr>
        <w:t xml:space="preserve">Tamascelli, N., </w:t>
      </w:r>
      <w:proofErr w:type="spellStart"/>
      <w:r w:rsidRPr="00EA067A">
        <w:rPr>
          <w:rFonts w:eastAsia="SimSun"/>
        </w:rPr>
        <w:t>Solini</w:t>
      </w:r>
      <w:proofErr w:type="spellEnd"/>
      <w:r w:rsidRPr="00EA067A">
        <w:rPr>
          <w:rFonts w:eastAsia="SimSun"/>
        </w:rPr>
        <w:t>, R., Paltrinieri, N., &amp; Cozzani, V. (2022). Learning from major accidents: A machine learning approach. Computers &amp; Chemical Engineering, 162, 107786. https://doi.org/10.1016/j.compchemeng.2022.107786</w:t>
      </w:r>
    </w:p>
    <w:p w14:paraId="3272F3F1" w14:textId="77777777" w:rsidR="00A1189C" w:rsidRPr="005C338C" w:rsidRDefault="00A1189C" w:rsidP="00416E7E">
      <w:pPr>
        <w:pStyle w:val="BOAReference-text"/>
        <w:rPr>
          <w:rFonts w:eastAsia="SimSun"/>
        </w:rPr>
      </w:pPr>
    </w:p>
    <w:sectPr w:rsidR="00A1189C" w:rsidRPr="005C338C" w:rsidSect="00F879FE">
      <w:headerReference w:type="default" r:id="rId15"/>
      <w:headerReference w:type="first" r:id="rId16"/>
      <w:type w:val="continuous"/>
      <w:pgSz w:w="11906" w:h="16838" w:code="9"/>
      <w:pgMar w:top="1701" w:right="1418" w:bottom="1701" w:left="1701" w:header="1134" w:footer="57" w:gutter="0"/>
      <w:cols w:space="720"/>
      <w:titlePg/>
      <w:docGrid w:linePitch="360" w:charSpace="-2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DCF60" w14:textId="77777777" w:rsidR="005B7382" w:rsidRDefault="005B7382" w:rsidP="004F5E36">
      <w:r>
        <w:separator/>
      </w:r>
    </w:p>
  </w:endnote>
  <w:endnote w:type="continuationSeparator" w:id="0">
    <w:p w14:paraId="706B3A51" w14:textId="77777777" w:rsidR="005B7382" w:rsidRDefault="005B738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16B84" w14:textId="77777777" w:rsidR="005B7382" w:rsidRDefault="005B7382" w:rsidP="004F5E36">
      <w:r>
        <w:separator/>
      </w:r>
    </w:p>
  </w:footnote>
  <w:footnote w:type="continuationSeparator" w:id="0">
    <w:p w14:paraId="11386B76" w14:textId="77777777" w:rsidR="005B7382" w:rsidRDefault="005B738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B985" w14:textId="0231AB3D" w:rsidR="009047CF" w:rsidRPr="00E1280C" w:rsidRDefault="00426BD4" w:rsidP="00E1280C">
    <w:pPr>
      <w:pStyle w:val="Titolo1"/>
      <w:pBdr>
        <w:bottom w:val="single" w:sz="4" w:space="1" w:color="auto"/>
      </w:pBdr>
      <w:spacing w:after="480"/>
      <w:jc w:val="center"/>
      <w:rPr>
        <w:color w:val="808080" w:themeColor="background1" w:themeShade="80"/>
      </w:rPr>
    </w:pPr>
    <w:r w:rsidRPr="00E1280C">
      <w:rPr>
        <w:color w:val="808080" w:themeColor="background1" w:themeShade="80"/>
      </w:rPr>
      <w:t>LOSS PREVENTION 2025</w:t>
    </w:r>
    <w:r w:rsidR="009047CF" w:rsidRPr="00E1280C">
      <w:rPr>
        <w:color w:val="808080" w:themeColor="background1" w:themeShade="80"/>
      </w:rPr>
      <w:t xml:space="preserve">, </w:t>
    </w:r>
    <w:r w:rsidRPr="00E1280C">
      <w:rPr>
        <w:i/>
        <w:iCs/>
        <w:color w:val="808080" w:themeColor="background1" w:themeShade="80"/>
      </w:rPr>
      <w:t>Bologna</w:t>
    </w:r>
    <w:r w:rsidR="009047CF" w:rsidRPr="00E1280C">
      <w:rPr>
        <w:i/>
        <w:iCs/>
        <w:color w:val="808080" w:themeColor="background1" w:themeShade="80"/>
      </w:rPr>
      <w:t xml:space="preserve"> (Italy)</w:t>
    </w:r>
    <w:r w:rsidRPr="00E1280C">
      <w:rPr>
        <w:i/>
        <w:iCs/>
        <w:color w:val="808080" w:themeColor="background1" w:themeShade="80"/>
      </w:rPr>
      <w:t>, 8-11 June</w:t>
    </w:r>
    <w:r w:rsidR="009047CF" w:rsidRPr="00E1280C">
      <w:rPr>
        <w:i/>
        <w:iCs/>
        <w:color w:val="808080" w:themeColor="background1" w:themeShade="80"/>
      </w:rPr>
      <w:t xml:space="preserve"> 202</w:t>
    </w:r>
    <w:r w:rsidRPr="00E1280C">
      <w:rPr>
        <w:i/>
        <w:iCs/>
        <w:color w:val="808080" w:themeColor="background1" w:themeShade="8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2FA3" w14:textId="5F9F28D5" w:rsidR="00591C6C" w:rsidRDefault="00621A1B">
    <w:r>
      <w:rPr>
        <w:noProof/>
        <w:lang w:val="es-ES" w:eastAsia="es-ES"/>
      </w:rPr>
      <w:drawing>
        <wp:anchor distT="0" distB="0" distL="114300" distR="114300" simplePos="0" relativeHeight="251669504" behindDoc="0" locked="0" layoutInCell="1" allowOverlap="1" wp14:anchorId="556BEF13" wp14:editId="4C872F17">
          <wp:simplePos x="0" y="0"/>
          <wp:positionH relativeFrom="column">
            <wp:posOffset>1038225</wp:posOffset>
          </wp:positionH>
          <wp:positionV relativeFrom="paragraph">
            <wp:posOffset>-591820</wp:posOffset>
          </wp:positionV>
          <wp:extent cx="3535680" cy="1113790"/>
          <wp:effectExtent l="0" t="0" r="0" b="0"/>
          <wp:wrapSquare wrapText="bothSides"/>
          <wp:docPr id="694924740" name="Immagine 5" descr="Immagine che contiene verd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24740" name="Immagine 5" descr="Immagine che contiene verdur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35680" cy="1113790"/>
                  </a:xfrm>
                  <a:prstGeom prst="rect">
                    <a:avLst/>
                  </a:prstGeom>
                </pic:spPr>
              </pic:pic>
            </a:graphicData>
          </a:graphic>
          <wp14:sizeRelH relativeFrom="margin">
            <wp14:pctWidth>0</wp14:pctWidth>
          </wp14:sizeRelH>
          <wp14:sizeRelV relativeFrom="margin">
            <wp14:pctHeight>0</wp14:pctHeight>
          </wp14:sizeRelV>
        </wp:anchor>
      </w:drawing>
    </w:r>
  </w:p>
  <w:p w14:paraId="1140215C" w14:textId="0934BFD8" w:rsidR="00591C6C" w:rsidRDefault="00591C6C"/>
  <w:p w14:paraId="6729447D" w14:textId="1087F0ED" w:rsidR="00591C6C" w:rsidRDefault="00591C6C"/>
  <w:p w14:paraId="4F4256FC" w14:textId="0AC917B5" w:rsidR="00591C6C" w:rsidRDefault="00591C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A991"/>
    <w:multiLevelType w:val="multilevel"/>
    <w:tmpl w:val="14A2DA14"/>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1"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0AAE6026"/>
    <w:multiLevelType w:val="hybridMultilevel"/>
    <w:tmpl w:val="A072A6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0B73F66"/>
    <w:multiLevelType w:val="hybridMultilevel"/>
    <w:tmpl w:val="EE0A7880"/>
    <w:lvl w:ilvl="0" w:tplc="E858267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38217E"/>
    <w:multiLevelType w:val="multilevel"/>
    <w:tmpl w:val="739EF9B4"/>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BOAheadingx1"/>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351E0394"/>
    <w:multiLevelType w:val="hybridMultilevel"/>
    <w:tmpl w:val="ED14CA0C"/>
    <w:lvl w:ilvl="0" w:tplc="B13489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8A24C9"/>
    <w:multiLevelType w:val="hybridMultilevel"/>
    <w:tmpl w:val="7E46D96A"/>
    <w:lvl w:ilvl="0" w:tplc="630AE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7AB4E1CE"/>
    <w:lvl w:ilvl="0" w:tplc="33FE03F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D527C7"/>
    <w:multiLevelType w:val="hybridMultilevel"/>
    <w:tmpl w:val="FEDAAC14"/>
    <w:lvl w:ilvl="0" w:tplc="F5C41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42440419">
    <w:abstractNumId w:val="14"/>
  </w:num>
  <w:num w:numId="2" w16cid:durableId="1181050090">
    <w:abstractNumId w:val="8"/>
  </w:num>
  <w:num w:numId="3" w16cid:durableId="1372346625">
    <w:abstractNumId w:val="3"/>
  </w:num>
  <w:num w:numId="4" w16cid:durableId="713698716">
    <w:abstractNumId w:val="2"/>
  </w:num>
  <w:num w:numId="5" w16cid:durableId="1177621833">
    <w:abstractNumId w:val="1"/>
  </w:num>
  <w:num w:numId="6" w16cid:durableId="477310615">
    <w:abstractNumId w:val="0"/>
  </w:num>
  <w:num w:numId="7" w16cid:durableId="1794051617">
    <w:abstractNumId w:val="9"/>
  </w:num>
  <w:num w:numId="8" w16cid:durableId="292953771">
    <w:abstractNumId w:val="7"/>
  </w:num>
  <w:num w:numId="9" w16cid:durableId="907691588">
    <w:abstractNumId w:val="6"/>
  </w:num>
  <w:num w:numId="10" w16cid:durableId="1514030503">
    <w:abstractNumId w:val="5"/>
  </w:num>
  <w:num w:numId="11" w16cid:durableId="77681374">
    <w:abstractNumId w:val="4"/>
  </w:num>
  <w:num w:numId="12" w16cid:durableId="1338191655">
    <w:abstractNumId w:val="17"/>
  </w:num>
  <w:num w:numId="13" w16cid:durableId="1932853571">
    <w:abstractNumId w:val="15"/>
  </w:num>
  <w:num w:numId="14" w16cid:durableId="844130764">
    <w:abstractNumId w:val="18"/>
  </w:num>
  <w:num w:numId="15" w16cid:durableId="2133091243">
    <w:abstractNumId w:val="20"/>
  </w:num>
  <w:num w:numId="16" w16cid:durableId="1091899423">
    <w:abstractNumId w:val="22"/>
  </w:num>
  <w:num w:numId="17" w16cid:durableId="1046298541">
    <w:abstractNumId w:val="11"/>
  </w:num>
  <w:num w:numId="18" w16cid:durableId="1416053623">
    <w:abstractNumId w:val="21"/>
  </w:num>
  <w:num w:numId="19" w16cid:durableId="852651426">
    <w:abstractNumId w:val="16"/>
  </w:num>
  <w:num w:numId="20" w16cid:durableId="1561478945">
    <w:abstractNumId w:val="12"/>
  </w:num>
  <w:num w:numId="21" w16cid:durableId="1796019754">
    <w:abstractNumId w:val="13"/>
  </w:num>
  <w:num w:numId="22" w16cid:durableId="1223250927">
    <w:abstractNumId w:val="19"/>
  </w:num>
  <w:num w:numId="23" w16cid:durableId="5358965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14E74"/>
    <w:rsid w:val="00017588"/>
    <w:rsid w:val="00021A31"/>
    <w:rsid w:val="0003148D"/>
    <w:rsid w:val="00051FB9"/>
    <w:rsid w:val="000547E3"/>
    <w:rsid w:val="00062A9A"/>
    <w:rsid w:val="000A03B2"/>
    <w:rsid w:val="000C7E0E"/>
    <w:rsid w:val="000D34BE"/>
    <w:rsid w:val="000E36F1"/>
    <w:rsid w:val="000E3A73"/>
    <w:rsid w:val="000E414A"/>
    <w:rsid w:val="0013121F"/>
    <w:rsid w:val="001334D4"/>
    <w:rsid w:val="00134DE4"/>
    <w:rsid w:val="00150E59"/>
    <w:rsid w:val="001624BC"/>
    <w:rsid w:val="00184AD6"/>
    <w:rsid w:val="001B65C1"/>
    <w:rsid w:val="001C684B"/>
    <w:rsid w:val="001D23D8"/>
    <w:rsid w:val="001D53FC"/>
    <w:rsid w:val="001D7199"/>
    <w:rsid w:val="001E1170"/>
    <w:rsid w:val="001E70CB"/>
    <w:rsid w:val="001E7790"/>
    <w:rsid w:val="001F16F9"/>
    <w:rsid w:val="001F2EC7"/>
    <w:rsid w:val="002065DB"/>
    <w:rsid w:val="002447EF"/>
    <w:rsid w:val="00251550"/>
    <w:rsid w:val="002626FE"/>
    <w:rsid w:val="00270B61"/>
    <w:rsid w:val="0027221A"/>
    <w:rsid w:val="00272D48"/>
    <w:rsid w:val="00275B61"/>
    <w:rsid w:val="00285225"/>
    <w:rsid w:val="00292BB5"/>
    <w:rsid w:val="002C633D"/>
    <w:rsid w:val="002D1F12"/>
    <w:rsid w:val="003009B7"/>
    <w:rsid w:val="00302C82"/>
    <w:rsid w:val="0030469C"/>
    <w:rsid w:val="00305D7F"/>
    <w:rsid w:val="0030776F"/>
    <w:rsid w:val="00311AA3"/>
    <w:rsid w:val="00345093"/>
    <w:rsid w:val="00347C56"/>
    <w:rsid w:val="003561ED"/>
    <w:rsid w:val="0036006B"/>
    <w:rsid w:val="003723D4"/>
    <w:rsid w:val="00380B41"/>
    <w:rsid w:val="003A3105"/>
    <w:rsid w:val="003A5526"/>
    <w:rsid w:val="003A7957"/>
    <w:rsid w:val="003A7D1C"/>
    <w:rsid w:val="003B3472"/>
    <w:rsid w:val="003B360C"/>
    <w:rsid w:val="003B61C3"/>
    <w:rsid w:val="00400A08"/>
    <w:rsid w:val="00401D8A"/>
    <w:rsid w:val="004033E7"/>
    <w:rsid w:val="00411E4C"/>
    <w:rsid w:val="00416E7E"/>
    <w:rsid w:val="004208B8"/>
    <w:rsid w:val="0042116F"/>
    <w:rsid w:val="0042639A"/>
    <w:rsid w:val="00426BAF"/>
    <w:rsid w:val="00426BD4"/>
    <w:rsid w:val="0043143E"/>
    <w:rsid w:val="00434D6A"/>
    <w:rsid w:val="00435501"/>
    <w:rsid w:val="0044328F"/>
    <w:rsid w:val="00456D72"/>
    <w:rsid w:val="0046164A"/>
    <w:rsid w:val="00462DCD"/>
    <w:rsid w:val="0046419A"/>
    <w:rsid w:val="0046613C"/>
    <w:rsid w:val="00476D0D"/>
    <w:rsid w:val="00486EBC"/>
    <w:rsid w:val="004907B7"/>
    <w:rsid w:val="004915A1"/>
    <w:rsid w:val="004C2084"/>
    <w:rsid w:val="004C693E"/>
    <w:rsid w:val="004D0D33"/>
    <w:rsid w:val="004D1162"/>
    <w:rsid w:val="004E0FFD"/>
    <w:rsid w:val="004E4DD6"/>
    <w:rsid w:val="004F47F8"/>
    <w:rsid w:val="004F5E36"/>
    <w:rsid w:val="005119A5"/>
    <w:rsid w:val="0052473E"/>
    <w:rsid w:val="00526F11"/>
    <w:rsid w:val="005278B7"/>
    <w:rsid w:val="005346C8"/>
    <w:rsid w:val="00537CCB"/>
    <w:rsid w:val="00543030"/>
    <w:rsid w:val="00550C49"/>
    <w:rsid w:val="0055213A"/>
    <w:rsid w:val="005553B3"/>
    <w:rsid w:val="00581815"/>
    <w:rsid w:val="00591C6C"/>
    <w:rsid w:val="00594E9F"/>
    <w:rsid w:val="005A02A1"/>
    <w:rsid w:val="005B4AC9"/>
    <w:rsid w:val="005B61E6"/>
    <w:rsid w:val="005B7382"/>
    <w:rsid w:val="005B7823"/>
    <w:rsid w:val="005C1A57"/>
    <w:rsid w:val="005C338C"/>
    <w:rsid w:val="005C648D"/>
    <w:rsid w:val="005C77E1"/>
    <w:rsid w:val="005D4DDC"/>
    <w:rsid w:val="005D6A2F"/>
    <w:rsid w:val="005E1A82"/>
    <w:rsid w:val="005F0A28"/>
    <w:rsid w:val="005F0E5E"/>
    <w:rsid w:val="005F3588"/>
    <w:rsid w:val="00600170"/>
    <w:rsid w:val="00615869"/>
    <w:rsid w:val="00620DEE"/>
    <w:rsid w:val="00621A1B"/>
    <w:rsid w:val="00623D69"/>
    <w:rsid w:val="00625639"/>
    <w:rsid w:val="0064184D"/>
    <w:rsid w:val="00660E3E"/>
    <w:rsid w:val="00662E74"/>
    <w:rsid w:val="0067631C"/>
    <w:rsid w:val="00686DEF"/>
    <w:rsid w:val="006A4D5A"/>
    <w:rsid w:val="006A58D2"/>
    <w:rsid w:val="006C5579"/>
    <w:rsid w:val="006D261C"/>
    <w:rsid w:val="006D5FDF"/>
    <w:rsid w:val="006D650E"/>
    <w:rsid w:val="006E33CE"/>
    <w:rsid w:val="00704BDF"/>
    <w:rsid w:val="00712E05"/>
    <w:rsid w:val="00712F2E"/>
    <w:rsid w:val="00716063"/>
    <w:rsid w:val="00720C17"/>
    <w:rsid w:val="00736B13"/>
    <w:rsid w:val="007447F3"/>
    <w:rsid w:val="007661C8"/>
    <w:rsid w:val="00771F31"/>
    <w:rsid w:val="007A6E0B"/>
    <w:rsid w:val="007C0992"/>
    <w:rsid w:val="007D29BE"/>
    <w:rsid w:val="007D52CD"/>
    <w:rsid w:val="007E0706"/>
    <w:rsid w:val="007E3193"/>
    <w:rsid w:val="007E5151"/>
    <w:rsid w:val="008102D1"/>
    <w:rsid w:val="00813288"/>
    <w:rsid w:val="008168FC"/>
    <w:rsid w:val="008479A2"/>
    <w:rsid w:val="008629BC"/>
    <w:rsid w:val="00875886"/>
    <w:rsid w:val="0087637F"/>
    <w:rsid w:val="008770D8"/>
    <w:rsid w:val="00880190"/>
    <w:rsid w:val="008A1512"/>
    <w:rsid w:val="008A708F"/>
    <w:rsid w:val="008B7286"/>
    <w:rsid w:val="008C779C"/>
    <w:rsid w:val="008D056C"/>
    <w:rsid w:val="008D0BEB"/>
    <w:rsid w:val="008E47D6"/>
    <w:rsid w:val="008E566E"/>
    <w:rsid w:val="0090037F"/>
    <w:rsid w:val="00901EB6"/>
    <w:rsid w:val="009047CF"/>
    <w:rsid w:val="00907232"/>
    <w:rsid w:val="009108DE"/>
    <w:rsid w:val="009425B4"/>
    <w:rsid w:val="009450CE"/>
    <w:rsid w:val="0095164B"/>
    <w:rsid w:val="00971667"/>
    <w:rsid w:val="0098730B"/>
    <w:rsid w:val="00994612"/>
    <w:rsid w:val="00996483"/>
    <w:rsid w:val="009A29E0"/>
    <w:rsid w:val="009A3C0F"/>
    <w:rsid w:val="009B3D79"/>
    <w:rsid w:val="009C32E4"/>
    <w:rsid w:val="009C4900"/>
    <w:rsid w:val="009E788A"/>
    <w:rsid w:val="009F2B5E"/>
    <w:rsid w:val="00A05A15"/>
    <w:rsid w:val="00A07E93"/>
    <w:rsid w:val="00A1189C"/>
    <w:rsid w:val="00A1763D"/>
    <w:rsid w:val="00A17CEC"/>
    <w:rsid w:val="00A27EF0"/>
    <w:rsid w:val="00A45BBF"/>
    <w:rsid w:val="00A524AF"/>
    <w:rsid w:val="00A55D61"/>
    <w:rsid w:val="00A60719"/>
    <w:rsid w:val="00A6255A"/>
    <w:rsid w:val="00A66B9C"/>
    <w:rsid w:val="00A67DEA"/>
    <w:rsid w:val="00A76EFC"/>
    <w:rsid w:val="00A9626B"/>
    <w:rsid w:val="00A97F29"/>
    <w:rsid w:val="00AA04DA"/>
    <w:rsid w:val="00AB0964"/>
    <w:rsid w:val="00AB7B93"/>
    <w:rsid w:val="00AC5F71"/>
    <w:rsid w:val="00AD366A"/>
    <w:rsid w:val="00AD3F80"/>
    <w:rsid w:val="00AD7B8E"/>
    <w:rsid w:val="00AE377D"/>
    <w:rsid w:val="00AF7936"/>
    <w:rsid w:val="00B03702"/>
    <w:rsid w:val="00B13DE7"/>
    <w:rsid w:val="00B31173"/>
    <w:rsid w:val="00B348C7"/>
    <w:rsid w:val="00B430A4"/>
    <w:rsid w:val="00B45E71"/>
    <w:rsid w:val="00B61DBF"/>
    <w:rsid w:val="00B921AB"/>
    <w:rsid w:val="00BB6185"/>
    <w:rsid w:val="00BB6F9B"/>
    <w:rsid w:val="00BC30C9"/>
    <w:rsid w:val="00BC4314"/>
    <w:rsid w:val="00BE32F7"/>
    <w:rsid w:val="00BE3E58"/>
    <w:rsid w:val="00C01616"/>
    <w:rsid w:val="00C0162B"/>
    <w:rsid w:val="00C23A28"/>
    <w:rsid w:val="00C345B1"/>
    <w:rsid w:val="00C40142"/>
    <w:rsid w:val="00C57182"/>
    <w:rsid w:val="00C655FD"/>
    <w:rsid w:val="00C80C64"/>
    <w:rsid w:val="00C82152"/>
    <w:rsid w:val="00C867B1"/>
    <w:rsid w:val="00C94434"/>
    <w:rsid w:val="00CA1C95"/>
    <w:rsid w:val="00CA54AA"/>
    <w:rsid w:val="00CA5A9C"/>
    <w:rsid w:val="00CD0A1C"/>
    <w:rsid w:val="00CD5FE2"/>
    <w:rsid w:val="00CE6A33"/>
    <w:rsid w:val="00D02B4C"/>
    <w:rsid w:val="00D21D63"/>
    <w:rsid w:val="00D21F0A"/>
    <w:rsid w:val="00D25F6B"/>
    <w:rsid w:val="00D43645"/>
    <w:rsid w:val="00D44E3E"/>
    <w:rsid w:val="00D56E75"/>
    <w:rsid w:val="00D5762A"/>
    <w:rsid w:val="00D75D50"/>
    <w:rsid w:val="00D801F0"/>
    <w:rsid w:val="00D84576"/>
    <w:rsid w:val="00D85523"/>
    <w:rsid w:val="00D948AD"/>
    <w:rsid w:val="00DB77FC"/>
    <w:rsid w:val="00DC4FC5"/>
    <w:rsid w:val="00DC7A8B"/>
    <w:rsid w:val="00DD1AB4"/>
    <w:rsid w:val="00DD6662"/>
    <w:rsid w:val="00DE0019"/>
    <w:rsid w:val="00DE2313"/>
    <w:rsid w:val="00DE264A"/>
    <w:rsid w:val="00E00959"/>
    <w:rsid w:val="00E041E7"/>
    <w:rsid w:val="00E07B8F"/>
    <w:rsid w:val="00E1280C"/>
    <w:rsid w:val="00E224D2"/>
    <w:rsid w:val="00E22CE3"/>
    <w:rsid w:val="00E23CA1"/>
    <w:rsid w:val="00E3216F"/>
    <w:rsid w:val="00E409A8"/>
    <w:rsid w:val="00E40FDA"/>
    <w:rsid w:val="00E431A8"/>
    <w:rsid w:val="00E466CB"/>
    <w:rsid w:val="00E57466"/>
    <w:rsid w:val="00E70381"/>
    <w:rsid w:val="00E7209D"/>
    <w:rsid w:val="00E97CC8"/>
    <w:rsid w:val="00EA067A"/>
    <w:rsid w:val="00EA50E1"/>
    <w:rsid w:val="00ED72B4"/>
    <w:rsid w:val="00EE0131"/>
    <w:rsid w:val="00EE1981"/>
    <w:rsid w:val="00EF3557"/>
    <w:rsid w:val="00F02069"/>
    <w:rsid w:val="00F20AD0"/>
    <w:rsid w:val="00F21823"/>
    <w:rsid w:val="00F21CE7"/>
    <w:rsid w:val="00F21D59"/>
    <w:rsid w:val="00F30C64"/>
    <w:rsid w:val="00F56D29"/>
    <w:rsid w:val="00F72C4F"/>
    <w:rsid w:val="00F80F57"/>
    <w:rsid w:val="00F879FE"/>
    <w:rsid w:val="00FB730C"/>
    <w:rsid w:val="00FC2171"/>
    <w:rsid w:val="00FC2695"/>
    <w:rsid w:val="00FC3E03"/>
    <w:rsid w:val="00FE01CD"/>
    <w:rsid w:val="00FE6A2D"/>
    <w:rsid w:val="00FF1E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4A267"/>
  <w15:docId w15:val="{461AE4D9-8438-4D7F-AC67-FE82DE21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BOA table"/>
    <w:qFormat/>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BOAHeading"/>
    <w:next w:val="Normale"/>
    <w:link w:val="Titolo1Carattere"/>
    <w:uiPriority w:val="9"/>
    <w:locked/>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AAuthors">
    <w:name w:val="BOA Authors"/>
    <w:basedOn w:val="BOAAddress"/>
    <w:link w:val="BOAAuthorsCarattere"/>
    <w:autoRedefine/>
    <w:qFormat/>
    <w:rsid w:val="00591C6C"/>
    <w:pPr>
      <w:spacing w:after="120"/>
    </w:pPr>
    <w:rPr>
      <w:i w:val="0"/>
      <w:sz w:val="24"/>
    </w:rPr>
  </w:style>
  <w:style w:type="paragraph" w:customStyle="1" w:styleId="BOATitle">
    <w:name w:val="BOA Title"/>
    <w:next w:val="BOAAddress"/>
    <w:link w:val="BOATitleCarattere"/>
    <w:autoRedefine/>
    <w:qFormat/>
    <w:rsid w:val="00F879FE"/>
    <w:pPr>
      <w:suppressAutoHyphens/>
      <w:spacing w:before="480" w:after="360" w:line="264" w:lineRule="auto"/>
      <w:jc w:val="center"/>
      <w:outlineLvl w:val="0"/>
    </w:pPr>
    <w:rPr>
      <w:rFonts w:ascii="Arial" w:eastAsia="Times New Roman" w:hAnsi="Arial" w:cs="Times New Roman"/>
      <w:sz w:val="32"/>
      <w:szCs w:val="20"/>
      <w:lang w:val="en-GB"/>
    </w:rPr>
  </w:style>
  <w:style w:type="character" w:customStyle="1" w:styleId="BOAAuthorsCarattere">
    <w:name w:val="BOA Authors Carattere"/>
    <w:link w:val="BOAAuthors"/>
    <w:rsid w:val="00591C6C"/>
    <w:rPr>
      <w:rFonts w:ascii="Arial" w:eastAsia="Times New Roman" w:hAnsi="Arial" w:cs="Times New Roman"/>
      <w:noProof/>
      <w:sz w:val="24"/>
      <w:szCs w:val="20"/>
      <w:lang w:val="en-GB"/>
    </w:rPr>
  </w:style>
  <w:style w:type="character" w:customStyle="1" w:styleId="BOATitleCarattere">
    <w:name w:val="BOA Title Carattere"/>
    <w:link w:val="BOATitle"/>
    <w:rsid w:val="00F879FE"/>
    <w:rPr>
      <w:rFonts w:ascii="Arial" w:eastAsia="Times New Roman" w:hAnsi="Arial" w:cs="Times New Roman"/>
      <w:sz w:val="32"/>
      <w:szCs w:val="20"/>
      <w:lang w:val="en-GB"/>
    </w:rPr>
  </w:style>
  <w:style w:type="paragraph" w:customStyle="1" w:styleId="BOAHeading">
    <w:name w:val="BOA Heading"/>
    <w:next w:val="BOAAbstractBody"/>
    <w:autoRedefine/>
    <w:qFormat/>
    <w:rsid w:val="00F879FE"/>
    <w:pPr>
      <w:keepNext/>
      <w:suppressAutoHyphens/>
      <w:spacing w:before="240" w:after="120" w:line="240" w:lineRule="auto"/>
    </w:pPr>
    <w:rPr>
      <w:rFonts w:ascii="Arial" w:eastAsia="MS PGothic" w:hAnsi="Arial" w:cs="Times New Roman"/>
      <w:b/>
      <w:szCs w:val="20"/>
      <w:lang w:val="en-US"/>
    </w:rPr>
  </w:style>
  <w:style w:type="paragraph" w:customStyle="1" w:styleId="BOAAddress">
    <w:name w:val="BOA Address"/>
    <w:link w:val="BOAAddressCarattere"/>
    <w:autoRedefine/>
    <w:qFormat/>
    <w:rsid w:val="00591C6C"/>
    <w:pPr>
      <w:keepNext/>
      <w:suppressAutoHyphens/>
      <w:spacing w:after="0"/>
      <w:contextualSpacing/>
      <w:jc w:val="center"/>
    </w:pPr>
    <w:rPr>
      <w:rFonts w:ascii="Arial" w:eastAsia="Times New Roman" w:hAnsi="Arial" w:cs="Times New Roman"/>
      <w:i/>
      <w:noProof/>
      <w:sz w:val="20"/>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OAReference">
    <w:name w:val="BOA Reference"/>
    <w:rsid w:val="00302C82"/>
    <w:pPr>
      <w:spacing w:before="200" w:after="120" w:line="240" w:lineRule="auto"/>
    </w:pPr>
    <w:rPr>
      <w:rFonts w:ascii="Arial" w:eastAsia="Times New Roman" w:hAnsi="Arial" w:cs="Times New Roman"/>
      <w:b/>
      <w:sz w:val="20"/>
      <w:szCs w:val="20"/>
      <w:lang w:val="en-GB"/>
    </w:rPr>
  </w:style>
  <w:style w:type="paragraph" w:customStyle="1" w:styleId="BOAReference-text">
    <w:name w:val="BOA Reference-text"/>
    <w:autoRedefine/>
    <w:qForma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BOACaption">
    <w:name w:val="BOA Caption"/>
    <w:link w:val="BOACaptionCarattere"/>
    <w:autoRedefine/>
    <w:qFormat/>
    <w:rsid w:val="00F879FE"/>
    <w:pPr>
      <w:spacing w:before="240" w:after="240" w:line="264" w:lineRule="auto"/>
      <w:jc w:val="center"/>
    </w:pPr>
    <w:rPr>
      <w:rFonts w:ascii="Arial" w:eastAsia="MS PGothic" w:hAnsi="Arial" w:cs="Times New Roman"/>
      <w:bCs/>
      <w:i/>
      <w:sz w:val="20"/>
      <w:szCs w:val="20"/>
      <w:lang w:val="en-GB"/>
    </w:rPr>
  </w:style>
  <w:style w:type="character" w:customStyle="1" w:styleId="BOACaptionCarattere">
    <w:name w:val="BOA Caption Carattere"/>
    <w:link w:val="BOACaption"/>
    <w:rsid w:val="00F879FE"/>
    <w:rPr>
      <w:rFonts w:ascii="Arial" w:eastAsia="MS PGothic" w:hAnsi="Arial" w:cs="Times New Roman"/>
      <w:bCs/>
      <w:i/>
      <w:sz w:val="20"/>
      <w:szCs w:val="20"/>
      <w:lang w:val="en-GB"/>
    </w:rPr>
  </w:style>
  <w:style w:type="paragraph" w:customStyle="1" w:styleId="BOAheadingx1">
    <w:name w:val="BOA headingx 1"/>
    <w:next w:val="BOAAbstractBody"/>
    <w:link w:val="BOAheadingx1Carattere"/>
    <w:autoRedefine/>
    <w:qFormat/>
    <w:rsid w:val="00D948AD"/>
    <w:pPr>
      <w:keepNext/>
      <w:numPr>
        <w:ilvl w:val="2"/>
        <w:numId w:val="1"/>
      </w:numPr>
      <w:suppressAutoHyphens/>
      <w:spacing w:before="120" w:after="120" w:line="240" w:lineRule="auto"/>
    </w:pPr>
    <w:rPr>
      <w:rFonts w:ascii="Arial" w:eastAsia="Times New Roman" w:hAnsi="Arial" w:cs="Times New Roman"/>
      <w:b/>
      <w:sz w:val="20"/>
      <w:szCs w:val="20"/>
      <w:lang w:val="en-US"/>
    </w:rPr>
  </w:style>
  <w:style w:type="character" w:customStyle="1" w:styleId="BOAheadingx1Carattere">
    <w:name w:val="BOA headingx 1 Carattere"/>
    <w:link w:val="BOAheadingx1"/>
    <w:rsid w:val="00D948AD"/>
    <w:rPr>
      <w:rFonts w:ascii="Arial" w:eastAsia="Times New Roman" w:hAnsi="Arial" w:cs="Times New Roman"/>
      <w:b/>
      <w:sz w:val="20"/>
      <w:szCs w:val="20"/>
      <w:lang w:val="en-US"/>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unhideWhenUsed/>
    <w:rsid w:val="0003148D"/>
    <w:pPr>
      <w:spacing w:after="120"/>
    </w:pPr>
  </w:style>
  <w:style w:type="character" w:customStyle="1" w:styleId="CorpotestoCarattere">
    <w:name w:val="Corpo testo Carattere"/>
    <w:basedOn w:val="Carpredefinitoparagrafo"/>
    <w:link w:val="Corpotesto"/>
    <w:uiPriority w:val="99"/>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character" w:customStyle="1" w:styleId="BOAAddressCarattere">
    <w:name w:val="BOA Address Carattere"/>
    <w:basedOn w:val="Carpredefinitoparagrafo"/>
    <w:link w:val="BOAAddress"/>
    <w:rsid w:val="00591C6C"/>
    <w:rPr>
      <w:rFonts w:ascii="Arial" w:eastAsia="Times New Roman" w:hAnsi="Arial" w:cs="Times New Roman"/>
      <w:i/>
      <w:noProof/>
      <w:sz w:val="20"/>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AbstractBody">
    <w:name w:val="BOA Abstract Body"/>
    <w:basedOn w:val="Normale"/>
    <w:autoRedefine/>
    <w:qFormat/>
    <w:rsid w:val="00C80C64"/>
    <w:pPr>
      <w:tabs>
        <w:tab w:val="clear" w:pos="7100"/>
      </w:tabs>
      <w:spacing w:line="240" w:lineRule="atLeast"/>
      <w:ind w:right="-1"/>
    </w:pPr>
    <w:rPr>
      <w:rFonts w:eastAsia="MS PGothic"/>
      <w:sz w:val="22"/>
      <w:lang w:val="en-US"/>
    </w:rPr>
  </w:style>
  <w:style w:type="paragraph" w:customStyle="1" w:styleId="BOAemail">
    <w:name w:val="BOA email"/>
    <w:next w:val="BOAHeading"/>
    <w:autoRedefine/>
    <w:qFormat/>
    <w:rsid w:val="0046613C"/>
    <w:pPr>
      <w:spacing w:before="120" w:after="0" w:line="360" w:lineRule="auto"/>
      <w:ind w:left="284" w:hanging="284"/>
      <w:jc w:val="center"/>
    </w:pPr>
    <w:rPr>
      <w:rFonts w:ascii="Arial" w:eastAsia="MS PGothic" w:hAnsi="Arial" w:cs="Times New Roman"/>
      <w:i/>
      <w:sz w:val="20"/>
      <w:szCs w:val="20"/>
      <w:lang w:val="en-GB"/>
    </w:rPr>
  </w:style>
  <w:style w:type="paragraph" w:customStyle="1" w:styleId="FirstParagraph">
    <w:name w:val="First Paragraph"/>
    <w:basedOn w:val="Corpotesto"/>
    <w:next w:val="Corpotesto"/>
    <w:qFormat/>
    <w:rsid w:val="0052473E"/>
    <w:pPr>
      <w:tabs>
        <w:tab w:val="clear" w:pos="7100"/>
      </w:tabs>
      <w:spacing w:before="180" w:after="180" w:line="240" w:lineRule="auto"/>
      <w:jc w:val="left"/>
    </w:pPr>
    <w:rPr>
      <w:rFonts w:asciiTheme="minorHAnsi" w:eastAsiaTheme="minorHAnsi" w:hAnsiTheme="minorHAnsi" w:cstheme="minorBidi"/>
      <w:sz w:val="24"/>
      <w:szCs w:val="24"/>
      <w:lang w:val="en-US"/>
    </w:rPr>
  </w:style>
  <w:style w:type="character" w:customStyle="1" w:styleId="VerbatimChar">
    <w:name w:val="Verbatim Char"/>
    <w:basedOn w:val="Carpredefinitoparagrafo"/>
    <w:link w:val="SourceCode"/>
    <w:rsid w:val="0052473E"/>
    <w:rPr>
      <w:rFonts w:ascii="Consolas" w:hAnsi="Consolas"/>
      <w:shd w:val="clear" w:color="auto" w:fill="F8F8F8"/>
    </w:rPr>
  </w:style>
  <w:style w:type="paragraph" w:customStyle="1" w:styleId="SourceCode">
    <w:name w:val="Source Code"/>
    <w:basedOn w:val="Normale"/>
    <w:link w:val="VerbatimChar"/>
    <w:rsid w:val="0052473E"/>
    <w:pPr>
      <w:shd w:val="clear" w:color="auto" w:fill="F8F8F8"/>
      <w:tabs>
        <w:tab w:val="clear" w:pos="7100"/>
      </w:tabs>
      <w:wordWrap w:val="0"/>
      <w:spacing w:after="200" w:line="240" w:lineRule="auto"/>
      <w:jc w:val="left"/>
    </w:pPr>
    <w:rPr>
      <w:rFonts w:ascii="Consolas" w:eastAsiaTheme="minorHAnsi" w:hAnsi="Consolas" w:cstheme="minorBidi"/>
      <w:sz w:val="22"/>
      <w:szCs w:val="22"/>
      <w:lang w:val="it-IT"/>
    </w:rPr>
  </w:style>
  <w:style w:type="paragraph" w:customStyle="1" w:styleId="Compact">
    <w:name w:val="Compact"/>
    <w:basedOn w:val="Corpotesto"/>
    <w:qFormat/>
    <w:rsid w:val="0052473E"/>
    <w:pPr>
      <w:tabs>
        <w:tab w:val="clear" w:pos="7100"/>
      </w:tabs>
      <w:spacing w:before="36" w:after="36" w:line="240" w:lineRule="auto"/>
      <w:jc w:val="left"/>
    </w:pPr>
    <w:rPr>
      <w:rFonts w:asciiTheme="minorHAnsi" w:eastAsiaTheme="minorHAnsi" w:hAnsiTheme="minorHAnsi" w:cstheme="minorBidi"/>
      <w:sz w:val="24"/>
      <w:szCs w:val="24"/>
      <w:lang w:val="en-US"/>
    </w:rPr>
  </w:style>
  <w:style w:type="character" w:customStyle="1" w:styleId="ms-1">
    <w:name w:val="ms-1"/>
    <w:basedOn w:val="Carpredefinitoparagrafo"/>
    <w:rsid w:val="00456D72"/>
  </w:style>
  <w:style w:type="character" w:customStyle="1" w:styleId="max-w-full">
    <w:name w:val="max-w-full"/>
    <w:basedOn w:val="Carpredefinitoparagrafo"/>
    <w:rsid w:val="00456D72"/>
  </w:style>
  <w:style w:type="character" w:styleId="Enfasigrassetto">
    <w:name w:val="Strong"/>
    <w:basedOn w:val="Carpredefinitoparagrafo"/>
    <w:uiPriority w:val="22"/>
    <w:qFormat/>
    <w:locked/>
    <w:rsid w:val="00456D72"/>
    <w:rPr>
      <w:b/>
      <w:bCs/>
    </w:rPr>
  </w:style>
  <w:style w:type="character" w:styleId="Enfasicorsivo">
    <w:name w:val="Emphasis"/>
    <w:basedOn w:val="Carpredefinitoparagrafo"/>
    <w:uiPriority w:val="20"/>
    <w:qFormat/>
    <w:locked/>
    <w:rsid w:val="00875886"/>
    <w:rPr>
      <w:i/>
      <w:iCs/>
    </w:rPr>
  </w:style>
  <w:style w:type="character" w:styleId="Rimandocommento">
    <w:name w:val="annotation reference"/>
    <w:basedOn w:val="Carpredefinitoparagrafo"/>
    <w:uiPriority w:val="99"/>
    <w:semiHidden/>
    <w:unhideWhenUsed/>
    <w:locked/>
    <w:rsid w:val="00DD1AB4"/>
    <w:rPr>
      <w:sz w:val="16"/>
      <w:szCs w:val="16"/>
    </w:rPr>
  </w:style>
  <w:style w:type="character" w:customStyle="1" w:styleId="katex-mathml">
    <w:name w:val="katex-mathml"/>
    <w:basedOn w:val="Carpredefinitoparagrafo"/>
    <w:rsid w:val="008B7286"/>
  </w:style>
  <w:style w:type="character" w:customStyle="1" w:styleId="mord">
    <w:name w:val="mord"/>
    <w:basedOn w:val="Carpredefinitoparagrafo"/>
    <w:rsid w:val="008B7286"/>
  </w:style>
  <w:style w:type="character" w:customStyle="1" w:styleId="vlist-s">
    <w:name w:val="vlist-s"/>
    <w:basedOn w:val="Carpredefinitoparagrafo"/>
    <w:rsid w:val="008B7286"/>
  </w:style>
  <w:style w:type="character" w:styleId="Testosegnaposto">
    <w:name w:val="Placeholder Text"/>
    <w:basedOn w:val="Carpredefinitoparagrafo"/>
    <w:uiPriority w:val="99"/>
    <w:semiHidden/>
    <w:locked/>
    <w:rsid w:val="00F80F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6531">
      <w:bodyDiv w:val="1"/>
      <w:marLeft w:val="0"/>
      <w:marRight w:val="0"/>
      <w:marTop w:val="0"/>
      <w:marBottom w:val="0"/>
      <w:divBdr>
        <w:top w:val="none" w:sz="0" w:space="0" w:color="auto"/>
        <w:left w:val="none" w:sz="0" w:space="0" w:color="auto"/>
        <w:bottom w:val="none" w:sz="0" w:space="0" w:color="auto"/>
        <w:right w:val="none" w:sz="0" w:space="0" w:color="auto"/>
      </w:divBdr>
    </w:div>
    <w:div w:id="232736099">
      <w:bodyDiv w:val="1"/>
      <w:marLeft w:val="0"/>
      <w:marRight w:val="0"/>
      <w:marTop w:val="0"/>
      <w:marBottom w:val="0"/>
      <w:divBdr>
        <w:top w:val="none" w:sz="0" w:space="0" w:color="auto"/>
        <w:left w:val="none" w:sz="0" w:space="0" w:color="auto"/>
        <w:bottom w:val="none" w:sz="0" w:space="0" w:color="auto"/>
        <w:right w:val="none" w:sz="0" w:space="0" w:color="auto"/>
      </w:divBdr>
    </w:div>
    <w:div w:id="240141648">
      <w:bodyDiv w:val="1"/>
      <w:marLeft w:val="0"/>
      <w:marRight w:val="0"/>
      <w:marTop w:val="0"/>
      <w:marBottom w:val="0"/>
      <w:divBdr>
        <w:top w:val="none" w:sz="0" w:space="0" w:color="auto"/>
        <w:left w:val="none" w:sz="0" w:space="0" w:color="auto"/>
        <w:bottom w:val="none" w:sz="0" w:space="0" w:color="auto"/>
        <w:right w:val="none" w:sz="0" w:space="0" w:color="auto"/>
      </w:divBdr>
      <w:divsChild>
        <w:div w:id="2122071678">
          <w:marLeft w:val="0"/>
          <w:marRight w:val="0"/>
          <w:marTop w:val="0"/>
          <w:marBottom w:val="45"/>
          <w:divBdr>
            <w:top w:val="none" w:sz="0" w:space="0" w:color="auto"/>
            <w:left w:val="none" w:sz="0" w:space="0" w:color="auto"/>
            <w:bottom w:val="none" w:sz="0" w:space="0" w:color="auto"/>
            <w:right w:val="none" w:sz="0" w:space="0" w:color="auto"/>
          </w:divBdr>
        </w:div>
        <w:div w:id="122426576">
          <w:marLeft w:val="0"/>
          <w:marRight w:val="0"/>
          <w:marTop w:val="0"/>
          <w:marBottom w:val="45"/>
          <w:divBdr>
            <w:top w:val="none" w:sz="0" w:space="0" w:color="auto"/>
            <w:left w:val="none" w:sz="0" w:space="0" w:color="auto"/>
            <w:bottom w:val="none" w:sz="0" w:space="0" w:color="auto"/>
            <w:right w:val="none" w:sz="0" w:space="0" w:color="auto"/>
          </w:divBdr>
        </w:div>
      </w:divsChild>
    </w:div>
    <w:div w:id="1102216226">
      <w:bodyDiv w:val="1"/>
      <w:marLeft w:val="0"/>
      <w:marRight w:val="0"/>
      <w:marTop w:val="0"/>
      <w:marBottom w:val="0"/>
      <w:divBdr>
        <w:top w:val="none" w:sz="0" w:space="0" w:color="auto"/>
        <w:left w:val="none" w:sz="0" w:space="0" w:color="auto"/>
        <w:bottom w:val="none" w:sz="0" w:space="0" w:color="auto"/>
        <w:right w:val="none" w:sz="0" w:space="0" w:color="auto"/>
      </w:divBdr>
    </w:div>
    <w:div w:id="1280994898">
      <w:bodyDiv w:val="1"/>
      <w:marLeft w:val="0"/>
      <w:marRight w:val="0"/>
      <w:marTop w:val="0"/>
      <w:marBottom w:val="0"/>
      <w:divBdr>
        <w:top w:val="none" w:sz="0" w:space="0" w:color="auto"/>
        <w:left w:val="none" w:sz="0" w:space="0" w:color="auto"/>
        <w:bottom w:val="none" w:sz="0" w:space="0" w:color="auto"/>
        <w:right w:val="none" w:sz="0" w:space="0" w:color="auto"/>
      </w:divBdr>
    </w:div>
    <w:div w:id="1572429137">
      <w:bodyDiv w:val="1"/>
      <w:marLeft w:val="0"/>
      <w:marRight w:val="0"/>
      <w:marTop w:val="0"/>
      <w:marBottom w:val="0"/>
      <w:divBdr>
        <w:top w:val="none" w:sz="0" w:space="0" w:color="auto"/>
        <w:left w:val="none" w:sz="0" w:space="0" w:color="auto"/>
        <w:bottom w:val="none" w:sz="0" w:space="0" w:color="auto"/>
        <w:right w:val="none" w:sz="0" w:space="0" w:color="auto"/>
      </w:divBdr>
    </w:div>
    <w:div w:id="1633704253">
      <w:bodyDiv w:val="1"/>
      <w:marLeft w:val="0"/>
      <w:marRight w:val="0"/>
      <w:marTop w:val="0"/>
      <w:marBottom w:val="0"/>
      <w:divBdr>
        <w:top w:val="none" w:sz="0" w:space="0" w:color="auto"/>
        <w:left w:val="none" w:sz="0" w:space="0" w:color="auto"/>
        <w:bottom w:val="none" w:sz="0" w:space="0" w:color="auto"/>
        <w:right w:val="none" w:sz="0" w:space="0" w:color="auto"/>
      </w:divBdr>
    </w:div>
    <w:div w:id="1710299742">
      <w:bodyDiv w:val="1"/>
      <w:marLeft w:val="0"/>
      <w:marRight w:val="0"/>
      <w:marTop w:val="0"/>
      <w:marBottom w:val="0"/>
      <w:divBdr>
        <w:top w:val="none" w:sz="0" w:space="0" w:color="auto"/>
        <w:left w:val="none" w:sz="0" w:space="0" w:color="auto"/>
        <w:bottom w:val="none" w:sz="0" w:space="0" w:color="auto"/>
        <w:right w:val="none" w:sz="0" w:space="0" w:color="auto"/>
      </w:divBdr>
    </w:div>
    <w:div w:id="1761608033">
      <w:bodyDiv w:val="1"/>
      <w:marLeft w:val="0"/>
      <w:marRight w:val="0"/>
      <w:marTop w:val="0"/>
      <w:marBottom w:val="0"/>
      <w:divBdr>
        <w:top w:val="none" w:sz="0" w:space="0" w:color="auto"/>
        <w:left w:val="none" w:sz="0" w:space="0" w:color="auto"/>
        <w:bottom w:val="none" w:sz="0" w:space="0" w:color="auto"/>
        <w:right w:val="none" w:sz="0" w:space="0" w:color="auto"/>
      </w:divBdr>
    </w:div>
    <w:div w:id="1781802044">
      <w:bodyDiv w:val="1"/>
      <w:marLeft w:val="0"/>
      <w:marRight w:val="0"/>
      <w:marTop w:val="0"/>
      <w:marBottom w:val="0"/>
      <w:divBdr>
        <w:top w:val="none" w:sz="0" w:space="0" w:color="auto"/>
        <w:left w:val="none" w:sz="0" w:space="0" w:color="auto"/>
        <w:bottom w:val="none" w:sz="0" w:space="0" w:color="auto"/>
        <w:right w:val="none" w:sz="0" w:space="0" w:color="auto"/>
      </w:divBdr>
    </w:div>
    <w:div w:id="1916864871">
      <w:bodyDiv w:val="1"/>
      <w:marLeft w:val="0"/>
      <w:marRight w:val="0"/>
      <w:marTop w:val="0"/>
      <w:marBottom w:val="0"/>
      <w:divBdr>
        <w:top w:val="none" w:sz="0" w:space="0" w:color="auto"/>
        <w:left w:val="none" w:sz="0" w:space="0" w:color="auto"/>
        <w:bottom w:val="none" w:sz="0" w:space="0" w:color="auto"/>
        <w:right w:val="none" w:sz="0" w:space="0" w:color="auto"/>
      </w:divBdr>
    </w:div>
    <w:div w:id="20168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ED948-08F6-4177-83C3-8760C94DF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3227</Words>
  <Characters>18398</Characters>
  <Application>Microsoft Office Word</Application>
  <DocSecurity>0</DocSecurity>
  <Lines>153</Lines>
  <Paragraphs>43</Paragraphs>
  <ScaleCrop>false</ScaleCrop>
  <HeadingPairs>
    <vt:vector size="8"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4" baseType="lpstr">
      <vt:lpstr/>
      <vt:lpstr/>
      <vt:lpstr/>
      <vt:lpstr/>
    </vt:vector>
  </TitlesOfParts>
  <Company>Dipartimento CMIC - Politecnico di Milano</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2025-05-07T07:19:00Z</dcterms:created>
  <dcterms:modified xsi:type="dcterms:W3CDTF">2025-05-07T07:19:00Z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id="cm9qYIfd"/&gt;&lt;style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