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37B5" w14:textId="77777777" w:rsidR="00EE252F" w:rsidRPr="00EE252F" w:rsidRDefault="00EE252F" w:rsidP="00EE252F">
      <w:pPr>
        <w:pStyle w:val="BOAAuthors"/>
        <w:rPr>
          <w:rFonts w:eastAsia="MS PGothic"/>
          <w:b/>
          <w:sz w:val="32"/>
        </w:rPr>
      </w:pPr>
      <w:r w:rsidRPr="00EE252F">
        <w:rPr>
          <w:rFonts w:eastAsia="MS PGothic"/>
          <w:b/>
          <w:sz w:val="32"/>
        </w:rPr>
        <w:t>Surrogates for Health Aware Control Cost-to-Go</w:t>
      </w:r>
    </w:p>
    <w:p w14:paraId="07C0DBA1" w14:textId="149C073A" w:rsidR="00EE252F" w:rsidRPr="00FD5CDF" w:rsidRDefault="006B0CDF" w:rsidP="00591C6C">
      <w:pPr>
        <w:pStyle w:val="BOAAuthors"/>
        <w:rPr>
          <w:rFonts w:eastAsia="SimSun"/>
        </w:rPr>
      </w:pPr>
      <w:r w:rsidRPr="00FD5CDF">
        <w:rPr>
          <w:rFonts w:eastAsia="SimSun"/>
        </w:rPr>
        <w:t xml:space="preserve">Eden </w:t>
      </w:r>
      <w:r w:rsidR="00EE252F" w:rsidRPr="00FD5CDF">
        <w:rPr>
          <w:rFonts w:eastAsia="SimSun"/>
        </w:rPr>
        <w:t>Ngowi</w:t>
      </w:r>
      <w:r w:rsidR="00EE252F" w:rsidRPr="00FD5CDF">
        <w:rPr>
          <w:rFonts w:eastAsia="SimSun"/>
          <w:vertAlign w:val="superscript"/>
        </w:rPr>
        <w:t>1*</w:t>
      </w:r>
      <w:r w:rsidR="00EE252F" w:rsidRPr="00FD5CDF">
        <w:rPr>
          <w:rFonts w:eastAsia="SimSun"/>
        </w:rPr>
        <w:t xml:space="preserve">, </w:t>
      </w:r>
      <w:r w:rsidRPr="00FD5CDF">
        <w:rPr>
          <w:rFonts w:eastAsia="SimSun"/>
        </w:rPr>
        <w:t>Rafael d</w:t>
      </w:r>
      <w:r w:rsidR="00EE252F" w:rsidRPr="00FD5CDF">
        <w:rPr>
          <w:rFonts w:eastAsia="SimSun"/>
        </w:rPr>
        <w:t>e Olivera</w:t>
      </w:r>
      <w:r w:rsidR="00EE252F" w:rsidRPr="00FD5CDF">
        <w:rPr>
          <w:rFonts w:eastAsia="SimSun"/>
          <w:vertAlign w:val="superscript"/>
        </w:rPr>
        <w:t>1</w:t>
      </w:r>
      <w:r w:rsidR="00EE252F" w:rsidRPr="00FD5CDF">
        <w:rPr>
          <w:rFonts w:eastAsia="SimSun"/>
        </w:rPr>
        <w:t xml:space="preserve">, </w:t>
      </w:r>
      <w:r w:rsidRPr="00FD5CDF">
        <w:rPr>
          <w:rFonts w:eastAsia="SimSun"/>
        </w:rPr>
        <w:t xml:space="preserve">Johannes </w:t>
      </w:r>
      <w:r w:rsidR="00EE252F" w:rsidRPr="00FD5CDF">
        <w:rPr>
          <w:rFonts w:eastAsia="SimSun"/>
        </w:rPr>
        <w:t>Jäschke</w:t>
      </w:r>
      <w:r w:rsidR="00EE252F" w:rsidRPr="00FD5CDF">
        <w:rPr>
          <w:rFonts w:eastAsia="SimSun"/>
          <w:vertAlign w:val="superscript"/>
        </w:rPr>
        <w:t>1</w:t>
      </w:r>
    </w:p>
    <w:p w14:paraId="0115F7AC" w14:textId="57A58F02" w:rsidR="005C1A57" w:rsidRPr="00591C6C" w:rsidRDefault="005C1A57" w:rsidP="00591C6C">
      <w:pPr>
        <w:pStyle w:val="BOAAddress"/>
        <w:rPr>
          <w:rFonts w:eastAsia="MS PGothic"/>
          <w:i w:val="0"/>
        </w:rPr>
      </w:pPr>
      <w:r w:rsidRPr="00EE252F">
        <w:rPr>
          <w:rFonts w:eastAsia="MS PGothic"/>
          <w:vertAlign w:val="superscript"/>
        </w:rPr>
        <w:t>1</w:t>
      </w:r>
      <w:r w:rsidR="00EE252F" w:rsidRPr="00EE252F">
        <w:rPr>
          <w:rFonts w:eastAsia="MS PGothic"/>
          <w:lang w:val="en-US"/>
        </w:rPr>
        <w:t xml:space="preserve"> Department of Chemical Engineering,</w:t>
      </w:r>
      <w:r w:rsidR="00EE252F">
        <w:rPr>
          <w:rFonts w:eastAsia="MS PGothic"/>
          <w:lang w:val="en-US"/>
        </w:rPr>
        <w:t xml:space="preserve"> </w:t>
      </w:r>
      <w:r w:rsidR="00EE252F" w:rsidRPr="00EE252F">
        <w:rPr>
          <w:rFonts w:eastAsia="MS PGothic"/>
          <w:lang w:val="en-US"/>
        </w:rPr>
        <w:t>Norwegian University of Science and Technology</w:t>
      </w:r>
      <w:r w:rsidR="00EE252F">
        <w:rPr>
          <w:rFonts w:eastAsia="MS PGothic"/>
          <w:lang w:val="en-US"/>
        </w:rPr>
        <w:t>, Sem Sælandsvei 4,</w:t>
      </w:r>
      <w:r w:rsidR="00EE252F" w:rsidRPr="00EE252F">
        <w:rPr>
          <w:rFonts w:eastAsia="MS PGothic"/>
          <w:lang w:val="en-US"/>
        </w:rPr>
        <w:t xml:space="preserve"> Trondheim</w:t>
      </w:r>
      <w:r w:rsidR="00EE252F">
        <w:rPr>
          <w:rFonts w:eastAsia="MS PGothic"/>
          <w:lang w:val="en-US"/>
        </w:rPr>
        <w:t xml:space="preserve">, </w:t>
      </w:r>
      <w:r w:rsidR="00EE252F" w:rsidRPr="00EE252F">
        <w:rPr>
          <w:rFonts w:eastAsia="MS PGothic"/>
          <w:lang w:val="en-US"/>
        </w:rPr>
        <w:t>7491, Norway</w:t>
      </w:r>
    </w:p>
    <w:p w14:paraId="42CB37CF" w14:textId="465CB1F1" w:rsidR="005C1A57" w:rsidRPr="00591C6C" w:rsidRDefault="005C1A57" w:rsidP="00591C6C">
      <w:pPr>
        <w:pStyle w:val="BOAemail"/>
        <w:rPr>
          <w:rFonts w:eastAsia="MS PGothic"/>
        </w:rPr>
      </w:pPr>
      <w:r w:rsidRPr="00591C6C">
        <w:rPr>
          <w:rFonts w:eastAsia="MS PGothic"/>
        </w:rPr>
        <w:t xml:space="preserve">*Corresponding </w:t>
      </w:r>
      <w:r w:rsidR="00EE252F">
        <w:rPr>
          <w:rFonts w:eastAsia="MS PGothic"/>
        </w:rPr>
        <w:t>A</w:t>
      </w:r>
      <w:r w:rsidRPr="00591C6C">
        <w:rPr>
          <w:rFonts w:eastAsia="MS PGothic"/>
        </w:rPr>
        <w:t>uthor</w:t>
      </w:r>
      <w:r w:rsidRPr="00591C6C">
        <w:rPr>
          <w:rFonts w:eastAsia="MS PGothic"/>
          <w:lang w:eastAsia="ko-KR"/>
        </w:rPr>
        <w:t xml:space="preserve"> E-Mail: </w:t>
      </w:r>
      <w:r w:rsidRPr="00591C6C">
        <w:rPr>
          <w:rFonts w:eastAsia="MS PGothic"/>
        </w:rPr>
        <w:t xml:space="preserve"> </w:t>
      </w:r>
      <w:r w:rsidR="00EE252F">
        <w:rPr>
          <w:rFonts w:eastAsia="MS PGothic"/>
        </w:rPr>
        <w:t>eden.ngowi@ntnu.no</w:t>
      </w:r>
    </w:p>
    <w:p w14:paraId="7D788354" w14:textId="13C69C4B" w:rsidR="005C1A57" w:rsidRPr="00621A1B" w:rsidRDefault="005C1A57" w:rsidP="00F879FE">
      <w:pPr>
        <w:pStyle w:val="BOAHeading"/>
      </w:pPr>
      <w:r w:rsidRPr="00621A1B">
        <w:t>1. Introduction</w:t>
      </w:r>
    </w:p>
    <w:p w14:paraId="1811ED1B" w14:textId="77777777" w:rsidR="006B0CDF" w:rsidRPr="006B0CDF" w:rsidRDefault="006B0CDF" w:rsidP="006B0CDF">
      <w:pPr>
        <w:pStyle w:val="BOAHeading"/>
        <w:jc w:val="both"/>
        <w:rPr>
          <w:b w:val="0"/>
          <w:bCs/>
        </w:rPr>
      </w:pPr>
      <w:r w:rsidRPr="006B0CDF">
        <w:rPr>
          <w:b w:val="0"/>
          <w:bCs/>
        </w:rPr>
        <w:t>Maintenance strategies have been evolving over the years from reactive (fix upon break-down) towards a predictive maintenance paradigm where one anticipates the degradation and plans operations accordingly [1].</w:t>
      </w:r>
    </w:p>
    <w:p w14:paraId="02C1E673" w14:textId="77777777" w:rsidR="006B0CDF" w:rsidRPr="006B0CDF" w:rsidRDefault="006B0CDF" w:rsidP="006B0CDF">
      <w:pPr>
        <w:pStyle w:val="BOAHeading"/>
        <w:jc w:val="both"/>
        <w:rPr>
          <w:b w:val="0"/>
          <w:bCs/>
        </w:rPr>
      </w:pPr>
      <w:r w:rsidRPr="006B0CDF">
        <w:rPr>
          <w:b w:val="0"/>
          <w:bCs/>
        </w:rPr>
        <w:t xml:space="preserve">In </w:t>
      </w:r>
      <w:proofErr w:type="gramStart"/>
      <w:r w:rsidRPr="006B0CDF">
        <w:rPr>
          <w:b w:val="0"/>
          <w:bCs/>
        </w:rPr>
        <w:t>the recent</w:t>
      </w:r>
      <w:proofErr w:type="gramEnd"/>
      <w:r w:rsidRPr="006B0CDF">
        <w:rPr>
          <w:b w:val="0"/>
          <w:bCs/>
        </w:rPr>
        <w:t xml:space="preserve"> years, prognostics and health monitoring techniques have been integrated with advanced control methods for creating automatic control systems which can be used to realize optimally the balance between maximizing instantaneous profit and prolonging the equipment’s remaining useful life (RUL) [1]. Model Predictive Controllers (MPCs) have been shown to be a promising framework for achieving this trade-off. This has also been referred to as Health-Aware Control (HAC) [2].</w:t>
      </w:r>
    </w:p>
    <w:p w14:paraId="63B281BF" w14:textId="51D23750" w:rsidR="006B0CDF" w:rsidRPr="006B0CDF" w:rsidRDefault="006B0CDF" w:rsidP="006B0CDF">
      <w:pPr>
        <w:pStyle w:val="BOAHeading"/>
        <w:jc w:val="both"/>
        <w:rPr>
          <w:b w:val="0"/>
          <w:bCs/>
        </w:rPr>
      </w:pPr>
      <w:r w:rsidRPr="006B0CDF">
        <w:rPr>
          <w:b w:val="0"/>
          <w:bCs/>
        </w:rPr>
        <w:t xml:space="preserve">HACs usually require an accurate degradation model to predict the system’s health evolution. Moreover, the time scale difference between degradation and control dynamics is very large: the former and latter </w:t>
      </w:r>
      <w:proofErr w:type="gramStart"/>
      <w:r w:rsidRPr="006B0CDF">
        <w:rPr>
          <w:b w:val="0"/>
          <w:bCs/>
        </w:rPr>
        <w:t>differing</w:t>
      </w:r>
      <w:proofErr w:type="gramEnd"/>
      <w:r w:rsidRPr="006B0CDF">
        <w:rPr>
          <w:b w:val="0"/>
          <w:bCs/>
        </w:rPr>
        <w:t xml:space="preserve"> in orders of magnitude of weeks and minutes respectively [2]. Naively including the very long </w:t>
      </w:r>
      <w:r w:rsidR="003713FD">
        <w:rPr>
          <w:b w:val="0"/>
          <w:bCs/>
        </w:rPr>
        <w:t xml:space="preserve">degradation </w:t>
      </w:r>
      <w:proofErr w:type="gramStart"/>
      <w:r w:rsidRPr="006B0CDF">
        <w:rPr>
          <w:b w:val="0"/>
          <w:bCs/>
        </w:rPr>
        <w:t>time-scale</w:t>
      </w:r>
      <w:proofErr w:type="gramEnd"/>
      <w:r w:rsidRPr="006B0CDF">
        <w:rPr>
          <w:b w:val="0"/>
          <w:bCs/>
        </w:rPr>
        <w:t xml:space="preserve"> of weeks and months into the model predictive controller results in optimization problems that are too large to be solved on the fast </w:t>
      </w:r>
      <w:proofErr w:type="gramStart"/>
      <w:r w:rsidRPr="006B0CDF">
        <w:rPr>
          <w:b w:val="0"/>
          <w:bCs/>
        </w:rPr>
        <w:t>time-scale</w:t>
      </w:r>
      <w:proofErr w:type="gramEnd"/>
      <w:r w:rsidRPr="006B0CDF">
        <w:rPr>
          <w:b w:val="0"/>
          <w:bCs/>
        </w:rPr>
        <w:t xml:space="preserve"> required for control [3]. Therefore, the idea of this contribution is to create a simple surrogate model that takes the long-term effects into account, and to add it as the “cost-to-go” in the short-term MPC control problem [4]. The surrogate will approximate the long-term effects of the short-term control actions and </w:t>
      </w:r>
      <w:proofErr w:type="gramStart"/>
      <w:r w:rsidRPr="006B0CDF">
        <w:rPr>
          <w:b w:val="0"/>
          <w:bCs/>
        </w:rPr>
        <w:t>allow</w:t>
      </w:r>
      <w:proofErr w:type="gramEnd"/>
      <w:r w:rsidRPr="006B0CDF">
        <w:rPr>
          <w:b w:val="0"/>
          <w:bCs/>
        </w:rPr>
        <w:t xml:space="preserve"> to solve the short-term MPC problem sufficiently fast.</w:t>
      </w:r>
    </w:p>
    <w:p w14:paraId="24A9483D" w14:textId="3E093D0A" w:rsidR="006B0CDF" w:rsidRDefault="006B0CDF" w:rsidP="006B0CDF">
      <w:pPr>
        <w:pStyle w:val="BOAHeading"/>
        <w:jc w:val="both"/>
        <w:rPr>
          <w:b w:val="0"/>
          <w:bCs/>
        </w:rPr>
      </w:pPr>
      <w:r w:rsidRPr="006B0CDF">
        <w:rPr>
          <w:b w:val="0"/>
          <w:bCs/>
        </w:rPr>
        <w:t>A case study of a gas-lifted oil well network is used to evaluate this strategy</w:t>
      </w:r>
      <w:r>
        <w:rPr>
          <w:b w:val="0"/>
          <w:bCs/>
        </w:rPr>
        <w:t xml:space="preserve"> as seen in </w:t>
      </w:r>
      <w:r w:rsidR="000D7B88">
        <w:rPr>
          <w:b w:val="0"/>
          <w:bCs/>
        </w:rPr>
        <w:fldChar w:fldCharType="begin"/>
      </w:r>
      <w:r w:rsidR="000D7B88">
        <w:rPr>
          <w:b w:val="0"/>
          <w:bCs/>
        </w:rPr>
        <w:instrText xml:space="preserve"> REF _Ref197364403 \h </w:instrText>
      </w:r>
      <w:r w:rsidR="000D7B88">
        <w:rPr>
          <w:b w:val="0"/>
          <w:bCs/>
        </w:rPr>
      </w:r>
      <w:r w:rsidR="000D7B88">
        <w:rPr>
          <w:b w:val="0"/>
          <w:bCs/>
        </w:rPr>
        <w:fldChar w:fldCharType="separate"/>
      </w:r>
      <w:r w:rsidR="000D7B88">
        <w:t xml:space="preserve">Figure </w:t>
      </w:r>
      <w:r w:rsidR="000D7B88">
        <w:rPr>
          <w:noProof/>
        </w:rPr>
        <w:t>1</w:t>
      </w:r>
      <w:r w:rsidR="000D7B88">
        <w:rPr>
          <w:b w:val="0"/>
          <w:bCs/>
        </w:rPr>
        <w:fldChar w:fldCharType="end"/>
      </w:r>
      <w:r w:rsidRPr="006B0CDF">
        <w:rPr>
          <w:b w:val="0"/>
          <w:bCs/>
        </w:rPr>
        <w:t xml:space="preserve">. Here, the optimal operation of the gas-lift choke valves is being sought to </w:t>
      </w:r>
      <w:r w:rsidR="005C43F2">
        <w:rPr>
          <w:b w:val="0"/>
          <w:bCs/>
        </w:rPr>
        <w:t xml:space="preserve">maximize profit and </w:t>
      </w:r>
      <w:r w:rsidRPr="006B0CDF">
        <w:rPr>
          <w:b w:val="0"/>
          <w:bCs/>
        </w:rPr>
        <w:t>extend the RUL of oil production chokes undergoing sand erosion</w:t>
      </w:r>
      <w:r w:rsidR="001172D6">
        <w:rPr>
          <w:b w:val="0"/>
          <w:bCs/>
        </w:rPr>
        <w:t>,</w:t>
      </w:r>
      <w:r w:rsidRPr="006B0CDF">
        <w:rPr>
          <w:b w:val="0"/>
          <w:bCs/>
        </w:rPr>
        <w:t xml:space="preserve"> which is typical in brown fields [5].</w:t>
      </w:r>
    </w:p>
    <w:p w14:paraId="53B0A5A3" w14:textId="77777777" w:rsidR="006B0CDF" w:rsidRDefault="006B0CDF" w:rsidP="006B0CDF">
      <w:pPr>
        <w:pStyle w:val="BOAAbstractBody"/>
        <w:keepNext/>
        <w:jc w:val="center"/>
      </w:pPr>
      <w:r>
        <w:rPr>
          <w:noProof/>
        </w:rPr>
        <w:drawing>
          <wp:inline distT="0" distB="0" distL="0" distR="0" wp14:anchorId="6D74DB78" wp14:editId="72AF292F">
            <wp:extent cx="2159707" cy="2257425"/>
            <wp:effectExtent l="0" t="0" r="0" b="0"/>
            <wp:docPr id="405125873"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25873" name="Picture 1" descr="A black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5219" cy="2315449"/>
                    </a:xfrm>
                    <a:prstGeom prst="rect">
                      <a:avLst/>
                    </a:prstGeom>
                    <a:noFill/>
                  </pic:spPr>
                </pic:pic>
              </a:graphicData>
            </a:graphic>
          </wp:inline>
        </w:drawing>
      </w:r>
    </w:p>
    <w:p w14:paraId="767E357D" w14:textId="7A4E883B" w:rsidR="006B0CDF" w:rsidRPr="006B0CDF" w:rsidRDefault="006B0CDF" w:rsidP="006B0CDF">
      <w:pPr>
        <w:pStyle w:val="Didascalia"/>
        <w:jc w:val="center"/>
      </w:pPr>
      <w:bookmarkStart w:id="0" w:name="_Ref197364403"/>
      <w:r>
        <w:t xml:space="preserve">Figure </w:t>
      </w:r>
      <w:r>
        <w:fldChar w:fldCharType="begin"/>
      </w:r>
      <w:r>
        <w:instrText xml:space="preserve"> SEQ Figure \* ARABIC </w:instrText>
      </w:r>
      <w:r>
        <w:fldChar w:fldCharType="separate"/>
      </w:r>
      <w:r w:rsidR="000D7B88">
        <w:rPr>
          <w:noProof/>
        </w:rPr>
        <w:t>1</w:t>
      </w:r>
      <w:r>
        <w:fldChar w:fldCharType="end"/>
      </w:r>
      <w:bookmarkEnd w:id="0"/>
      <w:r>
        <w:t xml:space="preserve">: </w:t>
      </w:r>
      <w:r w:rsidR="000D7B88">
        <w:t xml:space="preserve">A Schematic Diagram of </w:t>
      </w:r>
      <w:r>
        <w:t>Gas-lifted Well Network</w:t>
      </w:r>
      <w:r w:rsidR="000D7B88">
        <w:t xml:space="preserve"> [5]</w:t>
      </w:r>
    </w:p>
    <w:p w14:paraId="52287087" w14:textId="5B3831F6" w:rsidR="006B0CDF" w:rsidRDefault="006B0CDF" w:rsidP="006B0CDF">
      <w:pPr>
        <w:pStyle w:val="BOAHeading"/>
        <w:jc w:val="both"/>
        <w:rPr>
          <w:b w:val="0"/>
          <w:bCs/>
        </w:rPr>
      </w:pPr>
      <w:r w:rsidRPr="006B0CDF">
        <w:rPr>
          <w:b w:val="0"/>
          <w:bCs/>
        </w:rPr>
        <w:lastRenderedPageBreak/>
        <w:t>This is important as most of these subsea facilities are difficult to access and require costly maintenance intervention to restore the plant back to operation after breakdown [5]. Thus, our learning-assisted MPC uses the surrogate to take into consideration the long-term degradation effects, while not substantially increasing the computational cost of solving the short-time MPC problem.</w:t>
      </w:r>
    </w:p>
    <w:p w14:paraId="759F8349" w14:textId="77777777" w:rsidR="00DF27DA" w:rsidRPr="00591C6C" w:rsidRDefault="00DF27DA" w:rsidP="00DF27DA">
      <w:pPr>
        <w:pStyle w:val="BOAHeading"/>
      </w:pPr>
      <w:r w:rsidRPr="00591C6C">
        <w:t>2. Methods</w:t>
      </w:r>
    </w:p>
    <w:p w14:paraId="32FB8163" w14:textId="44CBE69C" w:rsidR="00DF27DA" w:rsidRPr="00DF27DA" w:rsidRDefault="00DF27DA" w:rsidP="00DF27DA">
      <w:pPr>
        <w:pStyle w:val="BOAAbstractBody"/>
        <w:rPr>
          <w:rFonts w:eastAsia="MS PGothic"/>
        </w:rPr>
      </w:pPr>
      <w:r>
        <w:rPr>
          <w:rFonts w:eastAsia="MS PGothic"/>
        </w:rPr>
        <w:t xml:space="preserve">All simulations </w:t>
      </w:r>
      <w:r w:rsidR="00B81A85">
        <w:rPr>
          <w:rFonts w:eastAsia="MS PGothic"/>
        </w:rPr>
        <w:t>ar</w:t>
      </w:r>
      <w:r>
        <w:rPr>
          <w:rFonts w:eastAsia="MS PGothic"/>
        </w:rPr>
        <w:t xml:space="preserve">e done using MATLAB with CasADi add-on which </w:t>
      </w:r>
      <w:r w:rsidR="001A601D">
        <w:rPr>
          <w:rFonts w:eastAsia="MS PGothic"/>
        </w:rPr>
        <w:t>contains</w:t>
      </w:r>
      <w:r>
        <w:rPr>
          <w:rFonts w:eastAsia="MS PGothic"/>
        </w:rPr>
        <w:t xml:space="preserve"> algorithms for solving non-linear programming (NLP) problems.</w:t>
      </w:r>
      <w:r w:rsidR="00B81A85">
        <w:rPr>
          <w:rFonts w:eastAsia="MS PGothic"/>
        </w:rPr>
        <w:t xml:space="preserve"> </w:t>
      </w:r>
      <w:r w:rsidR="00993BDE">
        <w:rPr>
          <w:rFonts w:eastAsia="MS PGothic"/>
        </w:rPr>
        <w:t xml:space="preserve">A </w:t>
      </w:r>
      <w:r w:rsidR="00641E9C">
        <w:rPr>
          <w:rFonts w:eastAsia="MS PGothic"/>
        </w:rPr>
        <w:t>s</w:t>
      </w:r>
      <w:r w:rsidR="00993BDE">
        <w:rPr>
          <w:rFonts w:eastAsia="MS PGothic"/>
        </w:rPr>
        <w:t>urrogate model is trained to approximate the long-term effects related to degradation</w:t>
      </w:r>
      <w:r w:rsidR="00641E9C">
        <w:rPr>
          <w:rFonts w:eastAsia="MS PGothic"/>
        </w:rPr>
        <w:t xml:space="preserve">. This model is included as arrival cost in </w:t>
      </w:r>
      <w:r w:rsidR="001829DB">
        <w:rPr>
          <w:rFonts w:eastAsia="MS PGothic"/>
        </w:rPr>
        <w:t xml:space="preserve">the short-term model predictive control problem. As such, the MPC problem remains small and easy to solve, while </w:t>
      </w:r>
      <w:r w:rsidR="008A27B5">
        <w:rPr>
          <w:rFonts w:eastAsia="MS PGothic"/>
        </w:rPr>
        <w:t>still taking the long-term degradation into account.</w:t>
      </w:r>
    </w:p>
    <w:p w14:paraId="2CFBE2C7" w14:textId="59FDFC61" w:rsidR="00DF27DA" w:rsidRPr="00DF27DA" w:rsidRDefault="00DF27DA" w:rsidP="00DF27DA">
      <w:pPr>
        <w:pStyle w:val="BOAHeading"/>
      </w:pPr>
      <w:r>
        <w:t>3</w:t>
      </w:r>
      <w:r w:rsidR="005C1A57" w:rsidRPr="00591C6C">
        <w:t xml:space="preserve">. Results and </w:t>
      </w:r>
      <w:r w:rsidR="00030363">
        <w:t>D</w:t>
      </w:r>
      <w:r w:rsidR="005C1A57" w:rsidRPr="00591C6C">
        <w:t>iscussion</w:t>
      </w:r>
    </w:p>
    <w:p w14:paraId="3FC34758" w14:textId="3B998E0B" w:rsidR="000D7B88" w:rsidRDefault="000D7B88" w:rsidP="00F879FE">
      <w:pPr>
        <w:pStyle w:val="BOAAbstractBody"/>
        <w:rPr>
          <w:rFonts w:eastAsia="MS PGothic"/>
        </w:rPr>
      </w:pPr>
      <w:r>
        <w:rPr>
          <w:rFonts w:eastAsia="MS PGothic"/>
        </w:rPr>
        <w:t xml:space="preserve">An online open-loop simulation by [5] can be seen in </w:t>
      </w:r>
      <w:r>
        <w:rPr>
          <w:rFonts w:eastAsia="MS PGothic"/>
        </w:rPr>
        <w:fldChar w:fldCharType="begin"/>
      </w:r>
      <w:r>
        <w:rPr>
          <w:rFonts w:eastAsia="MS PGothic"/>
        </w:rPr>
        <w:instrText xml:space="preserve"> REF _Ref197364794 \h </w:instrText>
      </w:r>
      <w:r>
        <w:rPr>
          <w:rFonts w:eastAsia="MS PGothic"/>
        </w:rPr>
      </w:r>
      <w:r>
        <w:rPr>
          <w:rFonts w:eastAsia="MS PGothic"/>
        </w:rPr>
        <w:fldChar w:fldCharType="separate"/>
      </w:r>
      <w:r>
        <w:t xml:space="preserve">Figure </w:t>
      </w:r>
      <w:r>
        <w:rPr>
          <w:noProof/>
        </w:rPr>
        <w:t>2</w:t>
      </w:r>
      <w:r>
        <w:rPr>
          <w:rFonts w:eastAsia="MS PGothic"/>
        </w:rPr>
        <w:fldChar w:fldCharType="end"/>
      </w:r>
      <w:r>
        <w:rPr>
          <w:rFonts w:eastAsia="MS PGothic"/>
        </w:rPr>
        <w:t xml:space="preserve">. </w:t>
      </w:r>
      <w:r w:rsidR="00EF2AA1">
        <w:rPr>
          <w:rFonts w:eastAsia="MS PGothic"/>
        </w:rPr>
        <w:t xml:space="preserve">Each well has different sand rates with </w:t>
      </w:r>
      <w:r w:rsidR="0065501F">
        <w:rPr>
          <w:rFonts w:eastAsia="MS PGothic"/>
        </w:rPr>
        <w:t>W</w:t>
      </w:r>
      <w:r w:rsidR="00EF2AA1">
        <w:rPr>
          <w:rFonts w:eastAsia="MS PGothic"/>
        </w:rPr>
        <w:t xml:space="preserve">ell 1 and </w:t>
      </w:r>
      <w:r w:rsidR="0065501F">
        <w:rPr>
          <w:rFonts w:eastAsia="MS PGothic"/>
        </w:rPr>
        <w:t>W</w:t>
      </w:r>
      <w:r w:rsidR="00EF2AA1">
        <w:rPr>
          <w:rFonts w:eastAsia="MS PGothic"/>
        </w:rPr>
        <w:t xml:space="preserve">ell 3 having the highest and lowest sand rates respectively. The HAC adjusts </w:t>
      </w:r>
      <w:r w:rsidR="00FD5CDF">
        <w:rPr>
          <w:rFonts w:eastAsia="MS PGothic"/>
        </w:rPr>
        <w:t xml:space="preserve">accordingly </w:t>
      </w:r>
      <w:r w:rsidR="00EF2AA1">
        <w:rPr>
          <w:rFonts w:eastAsia="MS PGothic"/>
        </w:rPr>
        <w:t>the gas-lift rate to avoid reaching the maximum erosion limit before the next planned maintenance while simultaneously achieving the maximum possible oil production rate. However, these simulations are computationally expensive, bearing in mind the long prediction horizon of degradation processes.</w:t>
      </w:r>
      <w:r w:rsidR="00641DF3">
        <w:rPr>
          <w:rFonts w:eastAsia="MS PGothic"/>
        </w:rPr>
        <w:t xml:space="preserve"> </w:t>
      </w:r>
      <w:r w:rsidR="00811119">
        <w:rPr>
          <w:rFonts w:eastAsia="MS PGothic"/>
        </w:rPr>
        <w:t xml:space="preserve">Surrogate models are used for speeding up </w:t>
      </w:r>
      <w:proofErr w:type="gramStart"/>
      <w:r w:rsidR="00811119">
        <w:rPr>
          <w:rFonts w:eastAsia="MS PGothic"/>
        </w:rPr>
        <w:t>the computations</w:t>
      </w:r>
      <w:proofErr w:type="gramEnd"/>
      <w:r w:rsidR="00811119">
        <w:rPr>
          <w:rFonts w:eastAsia="MS PGothic"/>
        </w:rPr>
        <w:t>.</w:t>
      </w:r>
    </w:p>
    <w:p w14:paraId="7E597CC4" w14:textId="77777777" w:rsidR="000D7B88" w:rsidRDefault="000D7B88" w:rsidP="000D7B88">
      <w:pPr>
        <w:pStyle w:val="BOAAbstractBody"/>
        <w:keepNext/>
        <w:jc w:val="center"/>
      </w:pPr>
      <w:r w:rsidRPr="000D7B88">
        <w:rPr>
          <w:rFonts w:eastAsia="MS PGothic"/>
          <w:noProof/>
          <w:lang w:val="en-GB"/>
        </w:rPr>
        <w:drawing>
          <wp:inline distT="0" distB="0" distL="0" distR="0" wp14:anchorId="18B4A15C" wp14:editId="726B5008">
            <wp:extent cx="4589005" cy="3355451"/>
            <wp:effectExtent l="0" t="0" r="2540" b="0"/>
            <wp:docPr id="31" name="Picture 30" descr="A graph of different colored lines&#10;&#10;Description automatically generated with medium confidence">
              <a:extLst xmlns:a="http://schemas.openxmlformats.org/drawingml/2006/main">
                <a:ext uri="{FF2B5EF4-FFF2-40B4-BE49-F238E27FC236}">
                  <a16:creationId xmlns:a16="http://schemas.microsoft.com/office/drawing/2014/main" id="{38FAA224-7557-43BB-EFCC-84D61C00D2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graph of different colored lines&#10;&#10;Description automatically generated with medium confidence">
                      <a:extLst>
                        <a:ext uri="{FF2B5EF4-FFF2-40B4-BE49-F238E27FC236}">
                          <a16:creationId xmlns:a16="http://schemas.microsoft.com/office/drawing/2014/main" id="{38FAA224-7557-43BB-EFCC-84D61C00D28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2906" cy="3387551"/>
                    </a:xfrm>
                    <a:prstGeom prst="rect">
                      <a:avLst/>
                    </a:prstGeom>
                  </pic:spPr>
                </pic:pic>
              </a:graphicData>
            </a:graphic>
          </wp:inline>
        </w:drawing>
      </w:r>
    </w:p>
    <w:p w14:paraId="026AA0C5" w14:textId="2D05E159" w:rsidR="000D7B88" w:rsidRDefault="000D7B88" w:rsidP="000D7B88">
      <w:pPr>
        <w:pStyle w:val="Didascalia"/>
        <w:jc w:val="center"/>
        <w:rPr>
          <w:rFonts w:eastAsia="MS PGothic"/>
        </w:rPr>
      </w:pPr>
      <w:bookmarkStart w:id="1" w:name="_Ref197364794"/>
      <w:r>
        <w:t xml:space="preserve">Figure </w:t>
      </w:r>
      <w:r>
        <w:fldChar w:fldCharType="begin"/>
      </w:r>
      <w:r>
        <w:instrText xml:space="preserve"> SEQ Figure \* ARABIC </w:instrText>
      </w:r>
      <w:r>
        <w:fldChar w:fldCharType="separate"/>
      </w:r>
      <w:r>
        <w:rPr>
          <w:noProof/>
        </w:rPr>
        <w:t>2</w:t>
      </w:r>
      <w:r>
        <w:fldChar w:fldCharType="end"/>
      </w:r>
      <w:bookmarkEnd w:id="1"/>
      <w:r>
        <w:t xml:space="preserve">: Online Open-loop Simulations for the </w:t>
      </w:r>
      <w:r w:rsidR="00FD5CDF">
        <w:t>W</w:t>
      </w:r>
      <w:r>
        <w:t xml:space="preserve">hole </w:t>
      </w:r>
      <w:r w:rsidR="00FD5CDF">
        <w:t>G</w:t>
      </w:r>
      <w:r>
        <w:t xml:space="preserve">as-lift </w:t>
      </w:r>
      <w:r w:rsidR="00FD5CDF">
        <w:t>O</w:t>
      </w:r>
      <w:r>
        <w:t xml:space="preserve">il </w:t>
      </w:r>
      <w:r w:rsidR="00FD5CDF">
        <w:t>N</w:t>
      </w:r>
      <w:r>
        <w:t>etwork [5].</w:t>
      </w:r>
    </w:p>
    <w:p w14:paraId="311252DF" w14:textId="384D7459" w:rsidR="005C1A57" w:rsidRPr="00591C6C" w:rsidRDefault="00DF27DA" w:rsidP="00F879FE">
      <w:pPr>
        <w:pStyle w:val="BOAHeading"/>
        <w:rPr>
          <w:lang w:eastAsia="ko-KR"/>
        </w:rPr>
      </w:pPr>
      <w:r>
        <w:t>4</w:t>
      </w:r>
      <w:r w:rsidR="005C1A57" w:rsidRPr="00591C6C">
        <w:t>. Conclusion</w:t>
      </w:r>
      <w:r w:rsidR="005C1A57" w:rsidRPr="00591C6C">
        <w:rPr>
          <w:lang w:eastAsia="ko-KR"/>
        </w:rPr>
        <w:t>s</w:t>
      </w:r>
    </w:p>
    <w:p w14:paraId="714DF323" w14:textId="4C887809" w:rsidR="00E1280C" w:rsidRDefault="00622C83" w:rsidP="00F0301A">
      <w:pPr>
        <w:pStyle w:val="BOAAbstractBody"/>
        <w:rPr>
          <w:rFonts w:eastAsia="MS PGothic"/>
        </w:rPr>
      </w:pPr>
      <w:r>
        <w:rPr>
          <w:rFonts w:eastAsia="MS PGothic"/>
        </w:rPr>
        <w:t xml:space="preserve">Quicker </w:t>
      </w:r>
      <w:r w:rsidR="00F0301A">
        <w:rPr>
          <w:rFonts w:eastAsia="MS PGothic"/>
        </w:rPr>
        <w:t>HAC actions are being envisioned for varying prediction horizons</w:t>
      </w:r>
      <w:r w:rsidR="00BC5974">
        <w:rPr>
          <w:rFonts w:eastAsia="MS PGothic"/>
        </w:rPr>
        <w:t xml:space="preserve"> u</w:t>
      </w:r>
      <w:r w:rsidR="007905A5">
        <w:rPr>
          <w:rFonts w:eastAsia="MS PGothic"/>
        </w:rPr>
        <w:t>s</w:t>
      </w:r>
      <w:r w:rsidR="00BC5974">
        <w:rPr>
          <w:rFonts w:eastAsia="MS PGothic"/>
        </w:rPr>
        <w:t>ing a</w:t>
      </w:r>
      <w:r w:rsidR="00F0301A">
        <w:rPr>
          <w:rFonts w:eastAsia="MS PGothic"/>
        </w:rPr>
        <w:t>n offline surrogate</w:t>
      </w:r>
      <w:r w:rsidR="00BC5974">
        <w:rPr>
          <w:rFonts w:eastAsia="MS PGothic"/>
        </w:rPr>
        <w:t xml:space="preserve"> model</w:t>
      </w:r>
      <w:r w:rsidR="00F0301A">
        <w:rPr>
          <w:rFonts w:eastAsia="MS PGothic"/>
        </w:rPr>
        <w:t>.</w:t>
      </w:r>
      <w:r w:rsidR="00811119">
        <w:rPr>
          <w:rFonts w:eastAsia="MS PGothic"/>
        </w:rPr>
        <w:t xml:space="preserve"> </w:t>
      </w:r>
    </w:p>
    <w:p w14:paraId="1269A073" w14:textId="31189B00" w:rsidR="00811119" w:rsidRDefault="00811119" w:rsidP="00F0301A">
      <w:pPr>
        <w:pStyle w:val="BOAAbstractBody"/>
        <w:rPr>
          <w:rFonts w:eastAsia="MS PGothic"/>
        </w:rPr>
      </w:pPr>
      <w:r>
        <w:rPr>
          <w:rFonts w:eastAsia="MS PGothic"/>
        </w:rPr>
        <w:t xml:space="preserve">This work addresses the challenges </w:t>
      </w:r>
      <w:r w:rsidR="006B039B">
        <w:rPr>
          <w:rFonts w:eastAsia="MS PGothic"/>
        </w:rPr>
        <w:t>that arise in Health-</w:t>
      </w:r>
      <w:r w:rsidR="002D47AA">
        <w:rPr>
          <w:rFonts w:eastAsia="MS PGothic"/>
        </w:rPr>
        <w:t>A</w:t>
      </w:r>
      <w:r w:rsidR="006B039B">
        <w:rPr>
          <w:rFonts w:eastAsia="MS PGothic"/>
        </w:rPr>
        <w:t xml:space="preserve">ware </w:t>
      </w:r>
      <w:r w:rsidR="002D47AA">
        <w:rPr>
          <w:rFonts w:eastAsia="MS PGothic"/>
        </w:rPr>
        <w:t>C</w:t>
      </w:r>
      <w:r w:rsidR="006B039B">
        <w:rPr>
          <w:rFonts w:eastAsia="MS PGothic"/>
        </w:rPr>
        <w:t xml:space="preserve">ontrol, where the control action happens on a fast time scale, while the </w:t>
      </w:r>
      <w:r w:rsidR="00953517">
        <w:rPr>
          <w:rFonts w:eastAsia="MS PGothic"/>
        </w:rPr>
        <w:t xml:space="preserve">degradation phenomena </w:t>
      </w:r>
      <w:r w:rsidR="00FD5CDF">
        <w:rPr>
          <w:rFonts w:eastAsia="MS PGothic"/>
        </w:rPr>
        <w:t>occur</w:t>
      </w:r>
      <w:r w:rsidR="00953517">
        <w:rPr>
          <w:rFonts w:eastAsia="MS PGothic"/>
        </w:rPr>
        <w:t xml:space="preserve"> on a much slower time </w:t>
      </w:r>
      <w:r w:rsidR="00993BDE">
        <w:rPr>
          <w:rFonts w:eastAsia="MS PGothic"/>
        </w:rPr>
        <w:t xml:space="preserve">scale. </w:t>
      </w:r>
    </w:p>
    <w:p w14:paraId="11D31778" w14:textId="77777777" w:rsidR="005C1A57" w:rsidRPr="004C2084" w:rsidRDefault="005C1A57" w:rsidP="00302C82">
      <w:pPr>
        <w:pStyle w:val="BOAReference"/>
        <w:rPr>
          <w:rFonts w:eastAsia="SimSun"/>
          <w:lang w:val="fr-FR" w:eastAsia="zh-CN"/>
        </w:rPr>
      </w:pPr>
      <w:proofErr w:type="spellStart"/>
      <w:r w:rsidRPr="004C2084">
        <w:rPr>
          <w:rFonts w:eastAsia="MS PGothic"/>
          <w:lang w:val="fr-FR"/>
        </w:rPr>
        <w:lastRenderedPageBreak/>
        <w:t>References</w:t>
      </w:r>
      <w:proofErr w:type="spellEnd"/>
      <w:r w:rsidRPr="004C2084">
        <w:rPr>
          <w:rFonts w:eastAsia="MS PGothic"/>
          <w:lang w:val="fr-FR"/>
        </w:rPr>
        <w:t xml:space="preserve"> </w:t>
      </w:r>
    </w:p>
    <w:p w14:paraId="666FD280" w14:textId="77777777" w:rsidR="00F0301A" w:rsidRPr="00F0301A" w:rsidRDefault="00F0301A" w:rsidP="00F0301A">
      <w:pPr>
        <w:pStyle w:val="BOAReference-text"/>
        <w:numPr>
          <w:ilvl w:val="0"/>
          <w:numId w:val="23"/>
        </w:numPr>
        <w:rPr>
          <w:lang w:val="en-US"/>
        </w:rPr>
      </w:pPr>
      <w:r w:rsidRPr="00555AE0">
        <w:rPr>
          <w:lang w:val="nl-NL"/>
        </w:rPr>
        <w:t xml:space="preserve">Escobet, T., Puig, V., &amp; Nejjari, F. (2012). </w:t>
      </w:r>
      <w:r w:rsidRPr="00F0301A">
        <w:t>Health aware control and model-based prognosis. In </w:t>
      </w:r>
      <w:r w:rsidRPr="00F0301A">
        <w:rPr>
          <w:i/>
          <w:iCs/>
        </w:rPr>
        <w:t>2012 20th Mediterranean Conference on Control &amp; Automation (MED)</w:t>
      </w:r>
      <w:r w:rsidRPr="00F0301A">
        <w:t> (pp. 691-696). IEEE.</w:t>
      </w:r>
    </w:p>
    <w:p w14:paraId="6AEB5D6D" w14:textId="77777777" w:rsidR="00F0301A" w:rsidRPr="00F0301A" w:rsidRDefault="00F0301A" w:rsidP="00F0301A">
      <w:pPr>
        <w:pStyle w:val="BOAReference-text"/>
        <w:numPr>
          <w:ilvl w:val="0"/>
          <w:numId w:val="23"/>
        </w:numPr>
        <w:rPr>
          <w:lang w:val="en-US"/>
        </w:rPr>
      </w:pPr>
      <w:r w:rsidRPr="00F0301A">
        <w:rPr>
          <w:lang w:val="pt-BR"/>
        </w:rPr>
        <w:t xml:space="preserve">De Oliveira, R. D.&amp; Jäschke, J. (2024). </w:t>
      </w:r>
      <w:r w:rsidRPr="00F0301A">
        <w:rPr>
          <w:lang w:val="en-US"/>
        </w:rPr>
        <w:t>Integration of Time Scales in Health-Aware Control. IFAC-</w:t>
      </w:r>
      <w:proofErr w:type="spellStart"/>
      <w:r w:rsidRPr="00F0301A">
        <w:rPr>
          <w:lang w:val="en-US"/>
        </w:rPr>
        <w:t>PapersOnLine</w:t>
      </w:r>
      <w:proofErr w:type="spellEnd"/>
      <w:r w:rsidRPr="00F0301A">
        <w:rPr>
          <w:lang w:val="en-US"/>
        </w:rPr>
        <w:t xml:space="preserve">, 58(14): p. 227-227, 2024. ISSN 2405-8963. </w:t>
      </w:r>
      <w:hyperlink r:id="rId10" w:history="1">
        <w:r w:rsidRPr="00F0301A">
          <w:rPr>
            <w:rStyle w:val="Collegamentoipertestuale"/>
            <w:lang w:val="en-US"/>
          </w:rPr>
          <w:t>https://doi.org/10.1016/j.ifacol.2024.08.340</w:t>
        </w:r>
      </w:hyperlink>
    </w:p>
    <w:p w14:paraId="626C1223" w14:textId="77777777" w:rsidR="00F0301A" w:rsidRPr="00F0301A" w:rsidRDefault="00F0301A" w:rsidP="00F0301A">
      <w:pPr>
        <w:pStyle w:val="BOAReference-text"/>
        <w:numPr>
          <w:ilvl w:val="0"/>
          <w:numId w:val="23"/>
        </w:numPr>
        <w:rPr>
          <w:lang w:val="en-US"/>
        </w:rPr>
      </w:pPr>
      <w:r w:rsidRPr="00555AE0">
        <w:rPr>
          <w:lang w:val="it-IT"/>
        </w:rPr>
        <w:t xml:space="preserve">Abdufattokhov, S., Zanon, M., &amp; Bemporad, A. (2021). </w:t>
      </w:r>
      <w:r w:rsidRPr="00F0301A">
        <w:rPr>
          <w:lang w:val="en-US"/>
        </w:rPr>
        <w:t>Learning convex terminal costs for complexity reduction in MPC. In </w:t>
      </w:r>
      <w:r w:rsidRPr="00F0301A">
        <w:rPr>
          <w:i/>
          <w:iCs/>
          <w:lang w:val="en-US"/>
        </w:rPr>
        <w:t>2021 60th IEEE Conference on Decision and Control (CDC)</w:t>
      </w:r>
      <w:r w:rsidRPr="00F0301A">
        <w:rPr>
          <w:lang w:val="en-US"/>
        </w:rPr>
        <w:t> (pp. 2163-2168). IEEE.</w:t>
      </w:r>
    </w:p>
    <w:p w14:paraId="6700A626" w14:textId="77777777" w:rsidR="00F0301A" w:rsidRPr="00F0301A" w:rsidRDefault="00F0301A" w:rsidP="00F0301A">
      <w:pPr>
        <w:pStyle w:val="BOAReference-text"/>
        <w:numPr>
          <w:ilvl w:val="0"/>
          <w:numId w:val="23"/>
        </w:numPr>
        <w:rPr>
          <w:lang w:val="en-US"/>
        </w:rPr>
      </w:pPr>
      <w:r w:rsidRPr="00F0301A">
        <w:rPr>
          <w:lang w:val="de-DE"/>
        </w:rPr>
        <w:t xml:space="preserve">Turan, E. M., </w:t>
      </w:r>
      <w:proofErr w:type="spellStart"/>
      <w:r w:rsidRPr="00F0301A">
        <w:rPr>
          <w:lang w:val="de-DE"/>
        </w:rPr>
        <w:t>Mdoe</w:t>
      </w:r>
      <w:proofErr w:type="spellEnd"/>
      <w:r w:rsidRPr="00F0301A">
        <w:rPr>
          <w:lang w:val="de-DE"/>
        </w:rPr>
        <w:t xml:space="preserve">, Z., &amp; Jäschke, J. (2023). </w:t>
      </w:r>
      <w:r w:rsidRPr="00F0301A">
        <w:rPr>
          <w:lang w:val="en-US"/>
        </w:rPr>
        <w:t>Learning a convex cost-to-go for single step model predictive control. </w:t>
      </w:r>
      <w:proofErr w:type="spellStart"/>
      <w:r w:rsidRPr="00F0301A">
        <w:rPr>
          <w:i/>
          <w:iCs/>
          <w:lang w:val="en-US"/>
        </w:rPr>
        <w:t>arXiv</w:t>
      </w:r>
      <w:proofErr w:type="spellEnd"/>
      <w:r w:rsidRPr="00F0301A">
        <w:rPr>
          <w:i/>
          <w:iCs/>
          <w:lang w:val="en-US"/>
        </w:rPr>
        <w:t xml:space="preserve"> preprint arXiv:2312.02650</w:t>
      </w:r>
      <w:r w:rsidRPr="00F0301A">
        <w:rPr>
          <w:lang w:val="en-US"/>
        </w:rPr>
        <w:t>.</w:t>
      </w:r>
    </w:p>
    <w:p w14:paraId="0C5C820E" w14:textId="23B0F912" w:rsidR="009047CF" w:rsidRPr="00DB493A" w:rsidRDefault="00F0301A" w:rsidP="00DB493A">
      <w:pPr>
        <w:pStyle w:val="BOAReference-text"/>
        <w:numPr>
          <w:ilvl w:val="0"/>
          <w:numId w:val="23"/>
        </w:numPr>
        <w:rPr>
          <w:lang w:val="en-US"/>
        </w:rPr>
      </w:pPr>
      <w:r w:rsidRPr="00F0301A">
        <w:t xml:space="preserve">José Matias, Joachim Ågotnes, and Johannes </w:t>
      </w:r>
      <w:proofErr w:type="spellStart"/>
      <w:r w:rsidRPr="00F0301A">
        <w:t>Jäschke</w:t>
      </w:r>
      <w:proofErr w:type="spellEnd"/>
      <w:r w:rsidRPr="00F0301A">
        <w:t xml:space="preserve"> (2020). </w:t>
      </w:r>
      <w:r w:rsidRPr="00F0301A">
        <w:rPr>
          <w:i/>
          <w:iCs/>
        </w:rPr>
        <w:t>Health-Aware Advanced Control Applied to a Gas-Lifted Oil Well Network</w:t>
      </w:r>
      <w:r w:rsidRPr="00F0301A">
        <w:t>, IFAC-</w:t>
      </w:r>
      <w:proofErr w:type="spellStart"/>
      <w:r w:rsidRPr="00F0301A">
        <w:t>PapersOnLine</w:t>
      </w:r>
      <w:proofErr w:type="spellEnd"/>
      <w:r w:rsidRPr="00F0301A">
        <w:t xml:space="preserve">, </w:t>
      </w:r>
      <w:r w:rsidRPr="00F0301A">
        <w:rPr>
          <w:b/>
          <w:bCs/>
        </w:rPr>
        <w:t>53</w:t>
      </w:r>
      <w:r w:rsidRPr="00F0301A">
        <w:t xml:space="preserve">(3): p. 301-306. ISSN 2405-8963. </w:t>
      </w:r>
      <w:hyperlink r:id="rId11" w:history="1">
        <w:r w:rsidRPr="00F0301A">
          <w:rPr>
            <w:rStyle w:val="Collegamentoipertestuale"/>
          </w:rPr>
          <w:t>https://doi.org/10.1016/j.ifacol.2020.11.048</w:t>
        </w:r>
      </w:hyperlink>
    </w:p>
    <w:sectPr w:rsidR="009047CF" w:rsidRPr="00DB493A" w:rsidSect="00F879FE">
      <w:headerReference w:type="default" r:id="rId12"/>
      <w:headerReference w:type="first" r:id="rId13"/>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6BF4" w14:textId="77777777" w:rsidR="00EF615A" w:rsidRDefault="00EF615A" w:rsidP="004F5E36">
      <w:r>
        <w:separator/>
      </w:r>
    </w:p>
  </w:endnote>
  <w:endnote w:type="continuationSeparator" w:id="0">
    <w:p w14:paraId="52DE7DE9" w14:textId="77777777" w:rsidR="00EF615A" w:rsidRDefault="00EF615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6635" w14:textId="77777777" w:rsidR="00EF615A" w:rsidRDefault="00EF615A" w:rsidP="004F5E36">
      <w:r>
        <w:separator/>
      </w:r>
    </w:p>
  </w:footnote>
  <w:footnote w:type="continuationSeparator" w:id="0">
    <w:p w14:paraId="4F9D10E8" w14:textId="77777777" w:rsidR="00EF615A" w:rsidRDefault="00EF615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51723E"/>
    <w:multiLevelType w:val="hybridMultilevel"/>
    <w:tmpl w:val="092881DC"/>
    <w:lvl w:ilvl="0" w:tplc="3CB436BA">
      <w:start w:val="1"/>
      <w:numFmt w:val="decimal"/>
      <w:lvlText w:val="[%1]"/>
      <w:lvlJc w:val="left"/>
      <w:pPr>
        <w:ind w:left="31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044E97FE">
      <w:start w:val="1"/>
      <w:numFmt w:val="lowerLetter"/>
      <w:lvlText w:val="%2"/>
      <w:lvlJc w:val="left"/>
      <w:pPr>
        <w:ind w:left="11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895AE3B4">
      <w:start w:val="1"/>
      <w:numFmt w:val="lowerRoman"/>
      <w:lvlText w:val="%3"/>
      <w:lvlJc w:val="left"/>
      <w:pPr>
        <w:ind w:left="182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369C5EDA">
      <w:start w:val="1"/>
      <w:numFmt w:val="decimal"/>
      <w:lvlText w:val="%4"/>
      <w:lvlJc w:val="left"/>
      <w:pPr>
        <w:ind w:left="25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528C448C">
      <w:start w:val="1"/>
      <w:numFmt w:val="lowerLetter"/>
      <w:lvlText w:val="%5"/>
      <w:lvlJc w:val="left"/>
      <w:pPr>
        <w:ind w:left="32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352C419C">
      <w:start w:val="1"/>
      <w:numFmt w:val="lowerRoman"/>
      <w:lvlText w:val="%6"/>
      <w:lvlJc w:val="left"/>
      <w:pPr>
        <w:ind w:left="39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4B5A30C2">
      <w:start w:val="1"/>
      <w:numFmt w:val="decimal"/>
      <w:lvlText w:val="%7"/>
      <w:lvlJc w:val="left"/>
      <w:pPr>
        <w:ind w:left="47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E048CD72">
      <w:start w:val="1"/>
      <w:numFmt w:val="lowerLetter"/>
      <w:lvlText w:val="%8"/>
      <w:lvlJc w:val="left"/>
      <w:pPr>
        <w:ind w:left="542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4C8E7CD2">
      <w:start w:val="1"/>
      <w:numFmt w:val="lowerRoman"/>
      <w:lvlText w:val="%9"/>
      <w:lvlJc w:val="left"/>
      <w:pPr>
        <w:ind w:left="61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3"/>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7"/>
  </w:num>
  <w:num w:numId="13" w16cid:durableId="634725585">
    <w:abstractNumId w:val="14"/>
  </w:num>
  <w:num w:numId="14" w16cid:durableId="191119089">
    <w:abstractNumId w:val="18"/>
  </w:num>
  <w:num w:numId="15" w16cid:durableId="1966620109">
    <w:abstractNumId w:val="20"/>
  </w:num>
  <w:num w:numId="16" w16cid:durableId="695279686">
    <w:abstractNumId w:val="22"/>
  </w:num>
  <w:num w:numId="17" w16cid:durableId="158927901">
    <w:abstractNumId w:val="10"/>
  </w:num>
  <w:num w:numId="18" w16cid:durableId="119997729">
    <w:abstractNumId w:val="21"/>
  </w:num>
  <w:num w:numId="19" w16cid:durableId="79841364">
    <w:abstractNumId w:val="16"/>
  </w:num>
  <w:num w:numId="20" w16cid:durableId="1843427198">
    <w:abstractNumId w:val="11"/>
  </w:num>
  <w:num w:numId="21" w16cid:durableId="1378311685">
    <w:abstractNumId w:val="12"/>
  </w:num>
  <w:num w:numId="22" w16cid:durableId="1977102699">
    <w:abstractNumId w:val="19"/>
  </w:num>
  <w:num w:numId="23" w16cid:durableId="1719087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75A8"/>
    <w:rsid w:val="000117CB"/>
    <w:rsid w:val="00030363"/>
    <w:rsid w:val="0003148D"/>
    <w:rsid w:val="00062A9A"/>
    <w:rsid w:val="000A03B2"/>
    <w:rsid w:val="000D34BE"/>
    <w:rsid w:val="000D7B88"/>
    <w:rsid w:val="000E36F1"/>
    <w:rsid w:val="000E3A73"/>
    <w:rsid w:val="000E414A"/>
    <w:rsid w:val="001172D6"/>
    <w:rsid w:val="0013121F"/>
    <w:rsid w:val="00134DE4"/>
    <w:rsid w:val="00150E59"/>
    <w:rsid w:val="001829DB"/>
    <w:rsid w:val="00184AD6"/>
    <w:rsid w:val="001A601D"/>
    <w:rsid w:val="001B65C1"/>
    <w:rsid w:val="001C684B"/>
    <w:rsid w:val="001D53FC"/>
    <w:rsid w:val="001F2EC7"/>
    <w:rsid w:val="001F59FA"/>
    <w:rsid w:val="002065DB"/>
    <w:rsid w:val="00215EE6"/>
    <w:rsid w:val="002447EF"/>
    <w:rsid w:val="00251550"/>
    <w:rsid w:val="002626FE"/>
    <w:rsid w:val="0027221A"/>
    <w:rsid w:val="00275B61"/>
    <w:rsid w:val="002B440A"/>
    <w:rsid w:val="002C633D"/>
    <w:rsid w:val="002D1F12"/>
    <w:rsid w:val="002D47AA"/>
    <w:rsid w:val="003009B7"/>
    <w:rsid w:val="00302C82"/>
    <w:rsid w:val="0030469C"/>
    <w:rsid w:val="003713FD"/>
    <w:rsid w:val="003723D4"/>
    <w:rsid w:val="003A7D1C"/>
    <w:rsid w:val="003B61C3"/>
    <w:rsid w:val="0042639A"/>
    <w:rsid w:val="00426BD4"/>
    <w:rsid w:val="00435501"/>
    <w:rsid w:val="0046164A"/>
    <w:rsid w:val="00462DCD"/>
    <w:rsid w:val="0046419A"/>
    <w:rsid w:val="004C2084"/>
    <w:rsid w:val="004D1162"/>
    <w:rsid w:val="004E0FFD"/>
    <w:rsid w:val="004E4DD6"/>
    <w:rsid w:val="004F5E36"/>
    <w:rsid w:val="005119A5"/>
    <w:rsid w:val="005278B7"/>
    <w:rsid w:val="005346C8"/>
    <w:rsid w:val="00537CCB"/>
    <w:rsid w:val="00555AE0"/>
    <w:rsid w:val="00581815"/>
    <w:rsid w:val="00591C6C"/>
    <w:rsid w:val="00594E9F"/>
    <w:rsid w:val="005B61E6"/>
    <w:rsid w:val="005C1A57"/>
    <w:rsid w:val="005C43F2"/>
    <w:rsid w:val="005C648D"/>
    <w:rsid w:val="005C77E1"/>
    <w:rsid w:val="005D6A2F"/>
    <w:rsid w:val="005E1A82"/>
    <w:rsid w:val="005F0A28"/>
    <w:rsid w:val="005F0E5E"/>
    <w:rsid w:val="005F2856"/>
    <w:rsid w:val="00620DEE"/>
    <w:rsid w:val="00621A1B"/>
    <w:rsid w:val="00622C83"/>
    <w:rsid w:val="00623D69"/>
    <w:rsid w:val="00625639"/>
    <w:rsid w:val="006402D1"/>
    <w:rsid w:val="0064184D"/>
    <w:rsid w:val="00641DF3"/>
    <w:rsid w:val="00641E9C"/>
    <w:rsid w:val="0065501F"/>
    <w:rsid w:val="00660E3E"/>
    <w:rsid w:val="00662E74"/>
    <w:rsid w:val="006A58D2"/>
    <w:rsid w:val="006B039B"/>
    <w:rsid w:val="006B0661"/>
    <w:rsid w:val="006B0CDF"/>
    <w:rsid w:val="006C5579"/>
    <w:rsid w:val="00704BDF"/>
    <w:rsid w:val="00720C17"/>
    <w:rsid w:val="00736B13"/>
    <w:rsid w:val="007447F3"/>
    <w:rsid w:val="007661C8"/>
    <w:rsid w:val="007905A5"/>
    <w:rsid w:val="007D52CD"/>
    <w:rsid w:val="00811119"/>
    <w:rsid w:val="00813288"/>
    <w:rsid w:val="008168FC"/>
    <w:rsid w:val="008235C7"/>
    <w:rsid w:val="008479A2"/>
    <w:rsid w:val="0087637F"/>
    <w:rsid w:val="008A1512"/>
    <w:rsid w:val="008A27B5"/>
    <w:rsid w:val="008C779C"/>
    <w:rsid w:val="008D0BEB"/>
    <w:rsid w:val="008E566E"/>
    <w:rsid w:val="008F1068"/>
    <w:rsid w:val="00901EB6"/>
    <w:rsid w:val="009047CF"/>
    <w:rsid w:val="009425B4"/>
    <w:rsid w:val="009450CE"/>
    <w:rsid w:val="0095164B"/>
    <w:rsid w:val="00953517"/>
    <w:rsid w:val="00993BDE"/>
    <w:rsid w:val="00996483"/>
    <w:rsid w:val="009C32E4"/>
    <w:rsid w:val="009E788A"/>
    <w:rsid w:val="00A052DC"/>
    <w:rsid w:val="00A05A15"/>
    <w:rsid w:val="00A07E93"/>
    <w:rsid w:val="00A1763D"/>
    <w:rsid w:val="00A17CEC"/>
    <w:rsid w:val="00A27EF0"/>
    <w:rsid w:val="00A6255A"/>
    <w:rsid w:val="00A66B9C"/>
    <w:rsid w:val="00A76EFC"/>
    <w:rsid w:val="00A9626B"/>
    <w:rsid w:val="00A97F29"/>
    <w:rsid w:val="00AB0964"/>
    <w:rsid w:val="00AC5F71"/>
    <w:rsid w:val="00AE377D"/>
    <w:rsid w:val="00B31173"/>
    <w:rsid w:val="00B430A4"/>
    <w:rsid w:val="00B57A97"/>
    <w:rsid w:val="00B61DBF"/>
    <w:rsid w:val="00B81A85"/>
    <w:rsid w:val="00BB6185"/>
    <w:rsid w:val="00BB6F9B"/>
    <w:rsid w:val="00BC30C9"/>
    <w:rsid w:val="00BC5974"/>
    <w:rsid w:val="00BE3E58"/>
    <w:rsid w:val="00C01616"/>
    <w:rsid w:val="00C0162B"/>
    <w:rsid w:val="00C22882"/>
    <w:rsid w:val="00C345B1"/>
    <w:rsid w:val="00C40142"/>
    <w:rsid w:val="00C57182"/>
    <w:rsid w:val="00C655FD"/>
    <w:rsid w:val="00C867B1"/>
    <w:rsid w:val="00C94434"/>
    <w:rsid w:val="00CA1C95"/>
    <w:rsid w:val="00CA54AA"/>
    <w:rsid w:val="00CA5A9C"/>
    <w:rsid w:val="00CD5FE2"/>
    <w:rsid w:val="00CE60AC"/>
    <w:rsid w:val="00D02B4C"/>
    <w:rsid w:val="00D801F0"/>
    <w:rsid w:val="00D84576"/>
    <w:rsid w:val="00D948AD"/>
    <w:rsid w:val="00DB493A"/>
    <w:rsid w:val="00DE0019"/>
    <w:rsid w:val="00DE264A"/>
    <w:rsid w:val="00DF27DA"/>
    <w:rsid w:val="00E041E7"/>
    <w:rsid w:val="00E1280C"/>
    <w:rsid w:val="00E224D2"/>
    <w:rsid w:val="00E23CA1"/>
    <w:rsid w:val="00E409A8"/>
    <w:rsid w:val="00E431A8"/>
    <w:rsid w:val="00E466CB"/>
    <w:rsid w:val="00E5055A"/>
    <w:rsid w:val="00E7209D"/>
    <w:rsid w:val="00EA50E1"/>
    <w:rsid w:val="00EE0131"/>
    <w:rsid w:val="00EE252F"/>
    <w:rsid w:val="00EF2AA1"/>
    <w:rsid w:val="00EF3557"/>
    <w:rsid w:val="00EF615A"/>
    <w:rsid w:val="00F0301A"/>
    <w:rsid w:val="00F21D59"/>
    <w:rsid w:val="00F30C64"/>
    <w:rsid w:val="00F72C4F"/>
    <w:rsid w:val="00F879FE"/>
    <w:rsid w:val="00FB730C"/>
    <w:rsid w:val="00FC2171"/>
    <w:rsid w:val="00FC2695"/>
    <w:rsid w:val="00FC3E03"/>
    <w:rsid w:val="00FD5CD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Collegamentoipertestuale">
    <w:name w:val="Hyperlink"/>
    <w:basedOn w:val="Carpredefinitoparagrafo"/>
    <w:uiPriority w:val="99"/>
    <w:unhideWhenUsed/>
    <w:locked/>
    <w:rsid w:val="00F0301A"/>
    <w:rPr>
      <w:color w:val="0000FF" w:themeColor="hyperlink"/>
      <w:u w:val="single"/>
    </w:rPr>
  </w:style>
  <w:style w:type="character" w:styleId="Menzionenonrisolta">
    <w:name w:val="Unresolved Mention"/>
    <w:basedOn w:val="Carpredefinitoparagrafo"/>
    <w:uiPriority w:val="99"/>
    <w:semiHidden/>
    <w:unhideWhenUsed/>
    <w:rsid w:val="00F0301A"/>
    <w:rPr>
      <w:color w:val="605E5C"/>
      <w:shd w:val="clear" w:color="auto" w:fill="E1DFDD"/>
    </w:rPr>
  </w:style>
  <w:style w:type="paragraph" w:styleId="Revisione">
    <w:name w:val="Revision"/>
    <w:hidden/>
    <w:uiPriority w:val="99"/>
    <w:semiHidden/>
    <w:rsid w:val="003713F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facol.2020.11.0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ifacol.2024.08.3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4448</Characters>
  <Application>Microsoft Office Word</Application>
  <DocSecurity>0</DocSecurity>
  <Lines>37</Lines>
  <Paragraphs>10</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2025-05-07T07:16:00Z</dcterms:created>
  <dcterms:modified xsi:type="dcterms:W3CDTF">2025-05-07T07:16:00Z</dcterms:modified>
</cp:coreProperties>
</file>