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279918F" w14:textId="77777777" w:rsidTr="00DE264A">
        <w:trPr>
          <w:trHeight w:val="852"/>
          <w:jc w:val="center"/>
        </w:trPr>
        <w:tc>
          <w:tcPr>
            <w:tcW w:w="6946" w:type="dxa"/>
            <w:vMerge w:val="restart"/>
            <w:tcBorders>
              <w:right w:val="single" w:sz="4" w:space="0" w:color="auto"/>
            </w:tcBorders>
          </w:tcPr>
          <w:p w14:paraId="6279918B"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62799314" wp14:editId="6279931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279918C"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6279918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279918E" w14:textId="77777777" w:rsidR="000A03B2" w:rsidRPr="00B57B36" w:rsidRDefault="000A03B2" w:rsidP="00CD5FE2">
            <w:pPr>
              <w:jc w:val="right"/>
            </w:pPr>
            <w:r w:rsidRPr="00B57B36">
              <w:rPr>
                <w:noProof/>
                <w:lang w:val="it-IT" w:eastAsia="it-IT"/>
              </w:rPr>
              <w:drawing>
                <wp:inline distT="0" distB="0" distL="0" distR="0" wp14:anchorId="62799316" wp14:editId="6279931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2799194" w14:textId="77777777" w:rsidTr="00DE264A">
        <w:trPr>
          <w:trHeight w:val="567"/>
          <w:jc w:val="center"/>
        </w:trPr>
        <w:tc>
          <w:tcPr>
            <w:tcW w:w="6946" w:type="dxa"/>
            <w:vMerge/>
            <w:tcBorders>
              <w:right w:val="single" w:sz="4" w:space="0" w:color="auto"/>
            </w:tcBorders>
          </w:tcPr>
          <w:p w14:paraId="6279919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279919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279919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2799193"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62799197" w14:textId="77777777" w:rsidTr="00DE264A">
        <w:trPr>
          <w:trHeight w:val="68"/>
          <w:jc w:val="center"/>
        </w:trPr>
        <w:tc>
          <w:tcPr>
            <w:tcW w:w="8789" w:type="dxa"/>
            <w:gridSpan w:val="2"/>
          </w:tcPr>
          <w:p w14:paraId="62799195" w14:textId="7253DB52"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62799196"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62799198" w14:textId="77777777" w:rsidR="00681887" w:rsidRDefault="00681887" w:rsidP="00C116BB">
      <w:pPr>
        <w:jc w:val="center"/>
        <w:rPr>
          <w:sz w:val="32"/>
        </w:rPr>
      </w:pPr>
    </w:p>
    <w:p w14:paraId="62799199" w14:textId="77777777" w:rsidR="00C116BB" w:rsidRPr="00C116BB" w:rsidRDefault="00C116BB" w:rsidP="00C116BB">
      <w:pPr>
        <w:jc w:val="center"/>
        <w:rPr>
          <w:sz w:val="32"/>
        </w:rPr>
      </w:pPr>
      <w:r w:rsidRPr="00C116BB">
        <w:rPr>
          <w:sz w:val="32"/>
        </w:rPr>
        <w:t xml:space="preserve">Criteria for the identification and management of domino effects: an approach to the area risk evaluation </w:t>
      </w:r>
    </w:p>
    <w:p w14:paraId="6279919A" w14:textId="77777777" w:rsidR="00847B02" w:rsidRDefault="00847B02" w:rsidP="00681887">
      <w:pPr>
        <w:jc w:val="left"/>
        <w:rPr>
          <w:noProof/>
          <w:sz w:val="24"/>
        </w:rPr>
      </w:pPr>
    </w:p>
    <w:p w14:paraId="6279919B" w14:textId="77777777" w:rsidR="00681887" w:rsidRPr="00181E4D" w:rsidRDefault="00681887" w:rsidP="00681887">
      <w:pPr>
        <w:jc w:val="left"/>
        <w:rPr>
          <w:noProof/>
          <w:sz w:val="24"/>
          <w:vertAlign w:val="superscript"/>
          <w:lang w:val="it-IT"/>
        </w:rPr>
      </w:pPr>
      <w:r w:rsidRPr="00181E4D">
        <w:rPr>
          <w:noProof/>
          <w:sz w:val="24"/>
          <w:lang w:val="it-IT"/>
        </w:rPr>
        <w:t>Romualdo Marrazzo</w:t>
      </w:r>
      <w:r w:rsidR="005C28F4" w:rsidRPr="00181E4D">
        <w:rPr>
          <w:noProof/>
          <w:sz w:val="24"/>
          <w:lang w:val="it-IT"/>
        </w:rPr>
        <w:t>*</w:t>
      </w:r>
      <w:r w:rsidRPr="00181E4D">
        <w:rPr>
          <w:noProof/>
          <w:sz w:val="24"/>
          <w:vertAlign w:val="superscript"/>
          <w:lang w:val="it-IT"/>
        </w:rPr>
        <w:t>a</w:t>
      </w:r>
      <w:r w:rsidRPr="00181E4D">
        <w:rPr>
          <w:noProof/>
          <w:sz w:val="24"/>
          <w:lang w:val="it-IT"/>
        </w:rPr>
        <w:t>, Alberto Ricchiuti</w:t>
      </w:r>
      <w:r w:rsidRPr="00181E4D">
        <w:rPr>
          <w:noProof/>
          <w:sz w:val="24"/>
          <w:vertAlign w:val="superscript"/>
          <w:lang w:val="it-IT"/>
        </w:rPr>
        <w:t>b</w:t>
      </w:r>
    </w:p>
    <w:p w14:paraId="6279919C" w14:textId="77777777" w:rsidR="00681887" w:rsidRPr="00181E4D" w:rsidRDefault="00681887" w:rsidP="004A6B0C">
      <w:pPr>
        <w:pStyle w:val="CETAddress"/>
        <w:rPr>
          <w:lang w:val="it-IT"/>
        </w:rPr>
      </w:pPr>
      <w:r w:rsidRPr="00181E4D">
        <w:rPr>
          <w:vertAlign w:val="superscript"/>
          <w:lang w:val="it-IT"/>
        </w:rPr>
        <w:t>a</w:t>
      </w:r>
      <w:r w:rsidRPr="00181E4D">
        <w:rPr>
          <w:lang w:val="it-IT"/>
        </w:rPr>
        <w:t>ISPRA. Via V. Brancati n.48 - 00144 Roma, Italy (romualdo.marrazzo@isprambiente.it)</w:t>
      </w:r>
    </w:p>
    <w:p w14:paraId="6279919D" w14:textId="77777777" w:rsidR="00681887" w:rsidRPr="00181E4D" w:rsidRDefault="00681887" w:rsidP="00681887">
      <w:pPr>
        <w:jc w:val="left"/>
        <w:rPr>
          <w:noProof/>
          <w:sz w:val="16"/>
          <w:lang w:val="it-IT"/>
        </w:rPr>
      </w:pPr>
      <w:r w:rsidRPr="00181E4D">
        <w:rPr>
          <w:noProof/>
          <w:sz w:val="16"/>
          <w:vertAlign w:val="superscript"/>
          <w:lang w:val="it-IT"/>
        </w:rPr>
        <w:t>b</w:t>
      </w:r>
      <w:r w:rsidRPr="00181E4D">
        <w:rPr>
          <w:noProof/>
          <w:sz w:val="16"/>
          <w:lang w:val="it-IT"/>
        </w:rPr>
        <w:t>ISIN. Via Capitan Bavastro n.116 - 00154 Roma, Italy (ricc2951@gmail.com)</w:t>
      </w:r>
    </w:p>
    <w:p w14:paraId="6279919E" w14:textId="77777777" w:rsidR="00681887" w:rsidRPr="00181E4D" w:rsidRDefault="00681887" w:rsidP="00681887">
      <w:pPr>
        <w:pStyle w:val="CETBodytext"/>
        <w:rPr>
          <w:lang w:val="it-IT"/>
        </w:rPr>
      </w:pPr>
    </w:p>
    <w:p w14:paraId="627991A0" w14:textId="08B00CE3" w:rsidR="004A6B0C" w:rsidRPr="004A6B0C" w:rsidRDefault="004A6B0C" w:rsidP="002E74B6">
      <w:pPr>
        <w:pStyle w:val="CETnumberingbullets"/>
        <w:numPr>
          <w:ilvl w:val="0"/>
          <w:numId w:val="0"/>
        </w:numPr>
        <w:jc w:val="both"/>
      </w:pPr>
      <w:r w:rsidRPr="004A6B0C">
        <w:t>The paper</w:t>
      </w:r>
      <w:r w:rsidR="002E74B6">
        <w:t xml:space="preserve"> </w:t>
      </w:r>
      <w:r w:rsidRPr="004A6B0C">
        <w:t xml:space="preserve">presents a set of technical and operational criteria provided for </w:t>
      </w:r>
      <w:r w:rsidR="002E74B6">
        <w:t>the </w:t>
      </w:r>
      <w:r w:rsidRPr="004A6B0C">
        <w:t>identification and management of domino effect</w:t>
      </w:r>
      <w:r w:rsidR="001D4832">
        <w:t xml:space="preserve"> by the Competent Authorities</w:t>
      </w:r>
      <w:r w:rsidRPr="004A6B0C">
        <w:t>, with the consequent necessity of elaborating a specific area risk evaluation in case of high concentration of industrial establishments.</w:t>
      </w:r>
      <w:r w:rsidR="002E74B6">
        <w:t xml:space="preserve"> </w:t>
      </w:r>
      <w:r w:rsidRPr="004A6B0C">
        <w:t>The approach foresees: 1. preliminary identification of establishments potentially affected by domino effects; 2. exchange of information, between establishments operators, needed to: review the actual potential of domino effects and, in case, the accident analyses; estimate effects on equipment; provide, if domino scenarios are identified, for additional measures to prevent and mitigate the scenarios; 3. domino establishments final identification.</w:t>
      </w:r>
    </w:p>
    <w:p w14:paraId="627991A3" w14:textId="5A395E26" w:rsidR="004A6B0C" w:rsidRPr="004A6B0C" w:rsidRDefault="004A6B0C" w:rsidP="00F02590">
      <w:pPr>
        <w:pStyle w:val="CETnumberingbullets"/>
        <w:numPr>
          <w:ilvl w:val="0"/>
          <w:numId w:val="0"/>
        </w:numPr>
        <w:jc w:val="both"/>
      </w:pPr>
      <w:r w:rsidRPr="004A6B0C">
        <w:t xml:space="preserve">Domino effects need to be considered </w:t>
      </w:r>
      <w:r w:rsidR="00B8518D">
        <w:t>due to</w:t>
      </w:r>
      <w:r w:rsidRPr="004A6B0C">
        <w:t xml:space="preserve"> their potential for risk escalation associated with the events chain, </w:t>
      </w:r>
      <w:r w:rsidR="004401CA">
        <w:t>through</w:t>
      </w:r>
      <w:r w:rsidRPr="004A6B0C">
        <w:t xml:space="preserve"> an increase </w:t>
      </w:r>
      <w:r w:rsidR="00F52D0E">
        <w:t>in</w:t>
      </w:r>
      <w:r w:rsidRPr="004A6B0C">
        <w:t xml:space="preserve"> the likelihood of a major accident or</w:t>
      </w:r>
      <w:r w:rsidR="004401CA">
        <w:t xml:space="preserve"> </w:t>
      </w:r>
      <w:r w:rsidRPr="004A6B0C">
        <w:t xml:space="preserve">the potential consequences. These results </w:t>
      </w:r>
      <w:r w:rsidR="00C9592C">
        <w:t xml:space="preserve">must </w:t>
      </w:r>
      <w:r w:rsidRPr="004A6B0C">
        <w:t>be considered in the internal emergency procedures of the establishments potentially involved, in the area external emergency plan and consequently integration of the safety requirements for land use planning, and information to potentially involved public in the nearby area.</w:t>
      </w:r>
      <w:r w:rsidR="00F02590">
        <w:t xml:space="preserve"> </w:t>
      </w:r>
      <w:r w:rsidRPr="004A6B0C">
        <w:t xml:space="preserve">The domino effect analysis also plays a main role in the context of an evaluation of the overall risk in an industrial area with </w:t>
      </w:r>
      <w:r w:rsidR="00C9592C">
        <w:t>the </w:t>
      </w:r>
      <w:r w:rsidRPr="004A6B0C">
        <w:t>presence of many hazard sources, being a necessary stage for preparing a quantitative area risk study. In these sites</w:t>
      </w:r>
      <w:r w:rsidR="00C9592C">
        <w:t>,</w:t>
      </w:r>
      <w:r w:rsidRPr="004A6B0C">
        <w:t xml:space="preserve"> it is necessary to evaluate the significance of an aggravation of the risk based on the possible peculiarities of the </w:t>
      </w:r>
      <w:r w:rsidR="00481E47">
        <w:t>site</w:t>
      </w:r>
      <w:r w:rsidRPr="004A6B0C">
        <w:t xml:space="preserve"> where the industrial plants are located, such as the presence of vulnerable territorial elements in the damage</w:t>
      </w:r>
      <w:r w:rsidR="00C9592C">
        <w:t>d</w:t>
      </w:r>
      <w:r w:rsidRPr="004A6B0C">
        <w:t xml:space="preserve"> areas</w:t>
      </w:r>
      <w:r w:rsidR="00247CEB">
        <w:t xml:space="preserve"> around each es</w:t>
      </w:r>
      <w:r w:rsidRPr="004A6B0C">
        <w:t>tablishment.</w:t>
      </w:r>
    </w:p>
    <w:p w14:paraId="627991A4" w14:textId="637E7731" w:rsidR="004A6B0C" w:rsidRPr="004A6B0C" w:rsidRDefault="004A6B0C" w:rsidP="006C18C4">
      <w:pPr>
        <w:pStyle w:val="CETnumberingbullets"/>
        <w:numPr>
          <w:ilvl w:val="0"/>
          <w:numId w:val="0"/>
        </w:numPr>
        <w:jc w:val="both"/>
      </w:pPr>
      <w:r w:rsidRPr="004A6B0C">
        <w:t xml:space="preserve">Among </w:t>
      </w:r>
      <w:r w:rsidR="00D51C36">
        <w:t xml:space="preserve">sources of </w:t>
      </w:r>
      <w:r w:rsidRPr="004A6B0C">
        <w:t>risks, an</w:t>
      </w:r>
      <w:r w:rsidR="00D51C36">
        <w:t xml:space="preserve"> increasing </w:t>
      </w:r>
      <w:r w:rsidRPr="004A6B0C">
        <w:t xml:space="preserve">role </w:t>
      </w:r>
      <w:r w:rsidR="00D51C36">
        <w:t xml:space="preserve">will </w:t>
      </w:r>
      <w:r w:rsidRPr="004A6B0C">
        <w:t>play</w:t>
      </w:r>
      <w:r w:rsidR="00247CEB">
        <w:t xml:space="preserve"> </w:t>
      </w:r>
      <w:r w:rsidR="00C9592C">
        <w:t>in </w:t>
      </w:r>
      <w:r w:rsidR="00247CEB">
        <w:t>the</w:t>
      </w:r>
      <w:r w:rsidRPr="004A6B0C">
        <w:t xml:space="preserve"> NaTech events, also due to ongoing climate changes. </w:t>
      </w:r>
      <w:r w:rsidR="00C9592C">
        <w:t>T</w:t>
      </w:r>
      <w:r w:rsidR="00C9592C" w:rsidRPr="004A6B0C">
        <w:t>herefore,</w:t>
      </w:r>
      <w:r w:rsidR="00B8518D">
        <w:t xml:space="preserve"> </w:t>
      </w:r>
      <w:r w:rsidR="004E57EC">
        <w:t xml:space="preserve">it </w:t>
      </w:r>
      <w:r w:rsidR="00B8518D">
        <w:t>is</w:t>
      </w:r>
      <w:r w:rsidRPr="004A6B0C">
        <w:t xml:space="preserve"> </w:t>
      </w:r>
      <w:r w:rsidR="00247CEB">
        <w:t>necessary</w:t>
      </w:r>
      <w:r w:rsidRPr="004A6B0C">
        <w:t xml:space="preserve">, </w:t>
      </w:r>
      <w:r w:rsidR="00B8518D">
        <w:t xml:space="preserve">while </w:t>
      </w:r>
      <w:r w:rsidRPr="004A6B0C">
        <w:t xml:space="preserve">identifying the hazards and assessing the major risks of industrial sites, </w:t>
      </w:r>
      <w:r w:rsidR="004E57EC">
        <w:t xml:space="preserve">to </w:t>
      </w:r>
      <w:r w:rsidR="00B8518D" w:rsidRPr="004A6B0C">
        <w:t>pay</w:t>
      </w:r>
      <w:r w:rsidR="00B8518D">
        <w:t xml:space="preserve"> attention</w:t>
      </w:r>
      <w:r w:rsidR="00B8518D" w:rsidRPr="004A6B0C">
        <w:t xml:space="preserve"> </w:t>
      </w:r>
      <w:r w:rsidRPr="004A6B0C">
        <w:t xml:space="preserve">to </w:t>
      </w:r>
      <w:r w:rsidR="00247CEB">
        <w:t>the</w:t>
      </w:r>
      <w:r w:rsidRPr="004A6B0C">
        <w:t xml:space="preserve"> natural hazards that may affect the</w:t>
      </w:r>
      <w:r w:rsidR="00A97671">
        <w:t>m</w:t>
      </w:r>
      <w:r w:rsidRPr="004A6B0C">
        <w:t xml:space="preserve">, </w:t>
      </w:r>
      <w:r w:rsidR="00247CEB">
        <w:t>also c</w:t>
      </w:r>
      <w:r w:rsidRPr="004A6B0C">
        <w:t>onsider</w:t>
      </w:r>
      <w:r w:rsidR="00247CEB">
        <w:t>ing the</w:t>
      </w:r>
      <w:r w:rsidRPr="004A6B0C">
        <w:t xml:space="preserve"> multiple simultaneous scenarios</w:t>
      </w:r>
      <w:r w:rsidR="00A97671">
        <w:t xml:space="preserve"> that they may trigger</w:t>
      </w:r>
      <w:r w:rsidR="00031C33">
        <w:t xml:space="preserve">, </w:t>
      </w:r>
      <w:r w:rsidR="00A97671">
        <w:t>giving a</w:t>
      </w:r>
      <w:r w:rsidR="00031C33">
        <w:t xml:space="preserve"> relevant contribution to </w:t>
      </w:r>
      <w:r w:rsidR="00031C33" w:rsidRPr="004A6B0C">
        <w:t>the overall risk in an industrial area</w:t>
      </w:r>
      <w:r w:rsidRPr="004A6B0C">
        <w:t>.</w:t>
      </w:r>
    </w:p>
    <w:p w14:paraId="627991A5" w14:textId="77777777" w:rsidR="004A6B0C" w:rsidRDefault="004A6B0C" w:rsidP="006C18C4">
      <w:pPr>
        <w:pStyle w:val="CETnumberingbullets"/>
        <w:numPr>
          <w:ilvl w:val="0"/>
          <w:numId w:val="0"/>
        </w:numPr>
        <w:rPr>
          <w:lang w:val="en-US"/>
        </w:rPr>
      </w:pPr>
    </w:p>
    <w:p w14:paraId="627991A6" w14:textId="77777777" w:rsidR="004A6B0C" w:rsidRPr="00055187" w:rsidRDefault="004A6B0C" w:rsidP="009F6DE0">
      <w:pPr>
        <w:pStyle w:val="CETnumberingbullets"/>
        <w:numPr>
          <w:ilvl w:val="0"/>
          <w:numId w:val="0"/>
        </w:numPr>
        <w:spacing w:after="120"/>
        <w:rPr>
          <w:lang w:val="en-US"/>
        </w:rPr>
      </w:pPr>
      <w:r w:rsidRPr="00055187">
        <w:rPr>
          <w:lang w:val="en-US"/>
        </w:rPr>
        <w:t xml:space="preserve">Keywords: domino; Seveso; major accidents; </w:t>
      </w:r>
      <w:r>
        <w:rPr>
          <w:lang w:val="en-US"/>
        </w:rPr>
        <w:t>threshold; area risk; NaTech</w:t>
      </w:r>
    </w:p>
    <w:p w14:paraId="627991A7" w14:textId="77777777" w:rsidR="006C18C4" w:rsidRPr="00B57B36" w:rsidRDefault="006C18C4" w:rsidP="009F6DE0">
      <w:pPr>
        <w:pStyle w:val="CETHeading1"/>
        <w:spacing w:before="0" w:after="0" w:line="264" w:lineRule="auto"/>
        <w:rPr>
          <w:lang w:val="en-GB"/>
        </w:rPr>
      </w:pPr>
      <w:r w:rsidRPr="00B57B36">
        <w:rPr>
          <w:lang w:val="en-GB"/>
        </w:rPr>
        <w:t>Introduction</w:t>
      </w:r>
    </w:p>
    <w:p w14:paraId="56C1C970" w14:textId="212ECC19" w:rsidR="000D6014" w:rsidRDefault="000D6014" w:rsidP="00590D33">
      <w:pPr>
        <w:rPr>
          <w:rFonts w:cs="Arial"/>
          <w:lang w:val="en-US"/>
        </w:rPr>
      </w:pPr>
      <w:r w:rsidRPr="000D6014">
        <w:rPr>
          <w:rFonts w:cs="Arial"/>
          <w:lang w:val="en-US"/>
        </w:rPr>
        <w:t xml:space="preserve">The Seveso III Directive 2012/18/EU, implemented in Italy by a legislative decree issued in 2015 - D.Lgs. 105/2015, is aimed at the prevention of major accidents involving dangerous substances. The D.Lgs. 105/2015 covers establishments where dangerous substances may be present (e.g. during processing or storage) in quantities exceeding certain thresholds. Operators of the establishments are obliged to take all necessary measures to prevent major accidents and to limit their consequences for human health and the environment. Depending on the amount of dangerous substances present, establishments are categorized into lower and upper tier, with different obligations. The requirements include, among others: notification of all concerned establishments; deploying a Major Accident Prevention Policy (MAPP) through the implementation of a Safety Management System for Prevention of Major Accidents (SMS-PMA); producing a Safety Report (SR) for upper-tier establishments; producing an Internal Emergency Plan (IEP) for </w:t>
      </w:r>
      <w:r w:rsidR="007E3522" w:rsidRPr="000D6014">
        <w:rPr>
          <w:rFonts w:cs="Arial"/>
          <w:lang w:val="en-US"/>
        </w:rPr>
        <w:t>upper-tier</w:t>
      </w:r>
      <w:r w:rsidRPr="000D6014">
        <w:rPr>
          <w:rFonts w:cs="Arial"/>
          <w:lang w:val="en-US"/>
        </w:rPr>
        <w:t xml:space="preserve"> establishments; providing information in case of accidents</w:t>
      </w:r>
      <w:r w:rsidR="007E3522">
        <w:rPr>
          <w:rFonts w:cs="Arial"/>
          <w:lang w:val="en-US"/>
        </w:rPr>
        <w:t xml:space="preserve"> (</w:t>
      </w:r>
      <w:r w:rsidR="007E3522" w:rsidRPr="00D7540A">
        <w:rPr>
          <w:rFonts w:cs="Arial"/>
        </w:rPr>
        <w:t>Marrazzo</w:t>
      </w:r>
      <w:r w:rsidR="007E3522">
        <w:rPr>
          <w:rFonts w:cs="Arial"/>
        </w:rPr>
        <w:t xml:space="preserve"> R.</w:t>
      </w:r>
      <w:r w:rsidR="007E3522" w:rsidRPr="00D7540A">
        <w:rPr>
          <w:rFonts w:cs="Arial"/>
        </w:rPr>
        <w:t>, 2008</w:t>
      </w:r>
      <w:r w:rsidR="007E3522">
        <w:rPr>
          <w:rFonts w:cs="Arial"/>
        </w:rPr>
        <w:t>).</w:t>
      </w:r>
    </w:p>
    <w:p w14:paraId="627991B0" w14:textId="0F4557BA" w:rsidR="006C18C4" w:rsidRDefault="00AC7634" w:rsidP="005C28F4">
      <w:pPr>
        <w:rPr>
          <w:rFonts w:cs="Arial"/>
          <w:lang w:val="en-US"/>
        </w:rPr>
      </w:pPr>
      <w:r>
        <w:rPr>
          <w:rFonts w:cs="Arial"/>
          <w:lang w:val="en-US"/>
        </w:rPr>
        <w:t>Article</w:t>
      </w:r>
      <w:r w:rsidR="006C18C4" w:rsidRPr="00B47643">
        <w:rPr>
          <w:rFonts w:cs="Arial"/>
          <w:lang w:val="en-US"/>
        </w:rPr>
        <w:t xml:space="preserve"> 9 of Directive 2012/18/EU (Domino effects) states that Member States shall ensure that the competent authority identifies </w:t>
      </w:r>
      <w:r w:rsidR="006C18C4">
        <w:rPr>
          <w:rFonts w:cs="Arial"/>
          <w:lang w:val="en-US"/>
        </w:rPr>
        <w:t xml:space="preserve">industrial </w:t>
      </w:r>
      <w:r w:rsidR="006C18C4" w:rsidRPr="00B47643">
        <w:rPr>
          <w:rFonts w:cs="Arial"/>
          <w:lang w:val="en-US"/>
        </w:rPr>
        <w:t xml:space="preserve">establishments or groups of industrial establishments </w:t>
      </w:r>
      <w:r w:rsidR="006C18C4">
        <w:rPr>
          <w:rFonts w:cs="Arial"/>
          <w:lang w:val="en-US"/>
        </w:rPr>
        <w:t xml:space="preserve">where </w:t>
      </w:r>
      <w:r w:rsidR="006C18C4" w:rsidRPr="00B47643">
        <w:rPr>
          <w:rFonts w:cs="Arial"/>
          <w:lang w:val="en-US"/>
        </w:rPr>
        <w:t xml:space="preserve">the risk or consequences of a major accident may be increased because of the geographical </w:t>
      </w:r>
      <w:r w:rsidR="006C18C4">
        <w:rPr>
          <w:rFonts w:cs="Arial"/>
          <w:lang w:val="en-US"/>
        </w:rPr>
        <w:t>position</w:t>
      </w:r>
      <w:r w:rsidR="006C18C4" w:rsidRPr="00B47643">
        <w:rPr>
          <w:rFonts w:cs="Arial"/>
          <w:lang w:val="en-US"/>
        </w:rPr>
        <w:t xml:space="preserve"> and </w:t>
      </w:r>
      <w:r w:rsidR="006C18C4">
        <w:rPr>
          <w:rFonts w:cs="Arial"/>
          <w:lang w:val="en-US"/>
        </w:rPr>
        <w:t xml:space="preserve">the </w:t>
      </w:r>
      <w:r w:rsidR="006C18C4" w:rsidRPr="00B47643">
        <w:rPr>
          <w:rFonts w:cs="Arial"/>
          <w:lang w:val="en-US"/>
        </w:rPr>
        <w:t xml:space="preserve">proximity </w:t>
      </w:r>
      <w:r w:rsidR="006C18C4">
        <w:rPr>
          <w:rFonts w:cs="Arial"/>
          <w:lang w:val="en-US"/>
        </w:rPr>
        <w:t xml:space="preserve">of </w:t>
      </w:r>
      <w:r w:rsidR="006C18C4">
        <w:rPr>
          <w:rFonts w:cs="Arial"/>
          <w:lang w:val="en-US"/>
        </w:rPr>
        <w:lastRenderedPageBreak/>
        <w:t xml:space="preserve">such establishments, </w:t>
      </w:r>
      <w:r w:rsidR="006C18C4" w:rsidRPr="00B47643">
        <w:rPr>
          <w:rFonts w:cs="Arial"/>
          <w:lang w:val="en-US"/>
        </w:rPr>
        <w:t xml:space="preserve">and their inventories of dangerous </w:t>
      </w:r>
      <w:r w:rsidR="00581084" w:rsidRPr="00B47643">
        <w:rPr>
          <w:rFonts w:cs="Arial"/>
          <w:lang w:val="en-US"/>
        </w:rPr>
        <w:t>substances</w:t>
      </w:r>
      <w:r w:rsidR="003771A2">
        <w:rPr>
          <w:rFonts w:cs="Arial"/>
          <w:lang w:val="en-US"/>
        </w:rPr>
        <w:t xml:space="preserve"> (</w:t>
      </w:r>
      <w:r w:rsidR="003771A2" w:rsidRPr="00B13C56">
        <w:rPr>
          <w:rFonts w:cs="Arial"/>
          <w:lang w:val="en-US"/>
        </w:rPr>
        <w:t>Official Journal of the European Union, L 197, 2012</w:t>
      </w:r>
      <w:r w:rsidR="003771A2">
        <w:rPr>
          <w:rFonts w:cs="Arial"/>
          <w:lang w:val="en-US"/>
        </w:rPr>
        <w:t>)</w:t>
      </w:r>
      <w:r w:rsidR="003771A2" w:rsidRPr="00B13C56">
        <w:rPr>
          <w:rFonts w:cs="Arial"/>
          <w:lang w:val="en-US"/>
        </w:rPr>
        <w:t>.</w:t>
      </w:r>
      <w:r w:rsidR="003771A2" w:rsidRPr="00B47643">
        <w:rPr>
          <w:rFonts w:cs="Arial"/>
          <w:lang w:val="en-US"/>
        </w:rPr>
        <w:t xml:space="preserve"> </w:t>
      </w:r>
    </w:p>
    <w:p w14:paraId="627991B9" w14:textId="6F8B1FF7" w:rsidR="00481E47" w:rsidRDefault="006C18C4" w:rsidP="00163A3F">
      <w:r w:rsidRPr="00AC480C">
        <w:rPr>
          <w:rFonts w:cs="Arial"/>
          <w:lang w:val="en-US"/>
        </w:rPr>
        <w:t xml:space="preserve">This paper aims to describe a </w:t>
      </w:r>
      <w:r>
        <w:rPr>
          <w:rFonts w:cs="Arial"/>
          <w:lang w:val="en-US"/>
        </w:rPr>
        <w:t>t</w:t>
      </w:r>
      <w:r w:rsidRPr="00AC480C">
        <w:rPr>
          <w:rFonts w:cs="Arial"/>
          <w:lang w:val="en-US"/>
        </w:rPr>
        <w:t>echnical and operational proposal for the implementation of Article 9 of the Seveso III, providing a set of criteria for the identification and management of domino effects in industrial establishments include</w:t>
      </w:r>
      <w:r w:rsidR="00AC7634">
        <w:rPr>
          <w:rFonts w:cs="Arial"/>
          <w:lang w:val="en-US"/>
        </w:rPr>
        <w:t>d</w:t>
      </w:r>
      <w:r w:rsidRPr="00AC480C">
        <w:rPr>
          <w:rFonts w:cs="Arial"/>
          <w:lang w:val="en-US"/>
        </w:rPr>
        <w:t xml:space="preserve"> in the scope of this Directive.</w:t>
      </w:r>
      <w:r w:rsidR="00163A3F">
        <w:rPr>
          <w:rFonts w:cs="Arial"/>
          <w:lang w:val="en-US"/>
        </w:rPr>
        <w:t xml:space="preserve"> </w:t>
      </w:r>
      <w:r w:rsidRPr="00AC480C">
        <w:rPr>
          <w:rFonts w:cs="Arial"/>
          <w:lang w:val="en-US"/>
        </w:rPr>
        <w:t xml:space="preserve">The proposal </w:t>
      </w:r>
      <w:r w:rsidR="00AC7634">
        <w:rPr>
          <w:rFonts w:cs="Arial"/>
          <w:lang w:val="en-US"/>
        </w:rPr>
        <w:t xml:space="preserve">is </w:t>
      </w:r>
      <w:r w:rsidR="00AC7634" w:rsidRPr="00AC480C">
        <w:rPr>
          <w:rFonts w:cs="Arial"/>
          <w:lang w:val="en-US"/>
        </w:rPr>
        <w:t>based</w:t>
      </w:r>
      <w:r w:rsidRPr="00AC480C">
        <w:rPr>
          <w:rFonts w:cs="Arial"/>
          <w:lang w:val="en-US"/>
        </w:rPr>
        <w:t xml:space="preserve"> on an analysis of the state of the art about methodologies for the quantitative assessment of the contribution due to the domino effect to individual and societal risk evaluation</w:t>
      </w:r>
      <w:r w:rsidR="00163A3F">
        <w:rPr>
          <w:rFonts w:cs="Arial"/>
          <w:lang w:val="en-US"/>
        </w:rPr>
        <w:t xml:space="preserve">. </w:t>
      </w:r>
      <w:r w:rsidR="00AF488D">
        <w:t xml:space="preserve">The mentioned criteria </w:t>
      </w:r>
      <w:r w:rsidR="00F34421">
        <w:t>do </w:t>
      </w:r>
      <w:r w:rsidR="00AF488D">
        <w:t xml:space="preserve">not yet address NaTech events, in particular </w:t>
      </w:r>
      <w:r w:rsidR="00F34421">
        <w:t>for identifying</w:t>
      </w:r>
      <w:r w:rsidR="00481E47" w:rsidRPr="004A6B0C">
        <w:t xml:space="preserve"> </w:t>
      </w:r>
      <w:r w:rsidR="00481E47">
        <w:t xml:space="preserve">and assessing </w:t>
      </w:r>
      <w:r w:rsidR="00481E47" w:rsidRPr="004A6B0C">
        <w:t xml:space="preserve">the </w:t>
      </w:r>
      <w:r w:rsidR="00481E47">
        <w:t xml:space="preserve">role played by the natural </w:t>
      </w:r>
      <w:r w:rsidR="00481E47" w:rsidRPr="004A6B0C">
        <w:t>hazards,</w:t>
      </w:r>
      <w:r w:rsidR="00481E47">
        <w:t xml:space="preserve"> </w:t>
      </w:r>
      <w:r w:rsidR="00AF488D" w:rsidRPr="004A6B0C">
        <w:t>also due to ongoing climate change</w:t>
      </w:r>
      <w:r w:rsidR="007D0741">
        <w:t>,</w:t>
      </w:r>
      <w:r w:rsidR="00AF488D" w:rsidRPr="004A6B0C">
        <w:t xml:space="preserve"> </w:t>
      </w:r>
      <w:r w:rsidR="00481E47" w:rsidRPr="004A6B0C">
        <w:t xml:space="preserve">that may </w:t>
      </w:r>
      <w:r w:rsidR="00AF488D">
        <w:t>severely</w:t>
      </w:r>
      <w:r w:rsidR="00497A24">
        <w:t xml:space="preserve"> affect</w:t>
      </w:r>
      <w:r w:rsidR="00AF488D">
        <w:t xml:space="preserve"> </w:t>
      </w:r>
      <w:r w:rsidR="00481E47" w:rsidRPr="004A6B0C">
        <w:t>the site</w:t>
      </w:r>
      <w:r w:rsidR="00481E47">
        <w:t xml:space="preserve">, </w:t>
      </w:r>
      <w:r w:rsidR="007F16AC">
        <w:t xml:space="preserve">triggering </w:t>
      </w:r>
      <w:r w:rsidR="00481E47" w:rsidRPr="004A6B0C">
        <w:t>multiple simultaneous scenarios.</w:t>
      </w:r>
    </w:p>
    <w:p w14:paraId="627991EC" w14:textId="7A22FED9" w:rsidR="000145CA" w:rsidRPr="00126F22" w:rsidRDefault="006C2C34" w:rsidP="005E48B0">
      <w:pPr>
        <w:spacing w:before="120"/>
        <w:rPr>
          <w:rFonts w:cs="Arial"/>
          <w:b/>
          <w:lang w:val="en-US"/>
        </w:rPr>
      </w:pPr>
      <w:r w:rsidRPr="00497A24">
        <w:rPr>
          <w:rFonts w:cs="Arial"/>
          <w:b/>
          <w:lang w:val="en-US"/>
        </w:rPr>
        <w:t>2</w:t>
      </w:r>
      <w:r w:rsidR="000145CA" w:rsidRPr="00497A24">
        <w:rPr>
          <w:rFonts w:cs="Arial"/>
          <w:b/>
          <w:lang w:val="en-US"/>
        </w:rPr>
        <w:t>. Procedure for identifying preliminary domino Groups (pdG)</w:t>
      </w:r>
      <w:r w:rsidR="000145CA" w:rsidRPr="00126F22">
        <w:rPr>
          <w:rFonts w:cs="Arial"/>
          <w:b/>
          <w:lang w:val="en-US"/>
        </w:rPr>
        <w:t xml:space="preserve"> </w:t>
      </w:r>
    </w:p>
    <w:p w14:paraId="627991ED" w14:textId="12F648FB" w:rsidR="000145CA" w:rsidRDefault="000145CA" w:rsidP="005B6C77">
      <w:pPr>
        <w:rPr>
          <w:rFonts w:cs="Arial"/>
          <w:lang w:val="en-US"/>
        </w:rPr>
      </w:pPr>
      <w:r w:rsidRPr="00A10602">
        <w:rPr>
          <w:rFonts w:cs="Arial"/>
          <w:lang w:val="en-US"/>
        </w:rPr>
        <w:t xml:space="preserve">The </w:t>
      </w:r>
      <w:r w:rsidR="00BE1DAD">
        <w:rPr>
          <w:rFonts w:cs="Arial"/>
          <w:lang w:val="en-US"/>
        </w:rPr>
        <w:t xml:space="preserve">Competent Authorities </w:t>
      </w:r>
      <w:r w:rsidR="00837015">
        <w:rPr>
          <w:rFonts w:cs="Arial"/>
          <w:lang w:val="en-US"/>
        </w:rPr>
        <w:t>(</w:t>
      </w:r>
      <w:r w:rsidRPr="00A10602">
        <w:rPr>
          <w:rFonts w:cs="Arial"/>
          <w:lang w:val="en-US"/>
        </w:rPr>
        <w:t>CA</w:t>
      </w:r>
      <w:r w:rsidR="00837015">
        <w:rPr>
          <w:rFonts w:cs="Arial"/>
          <w:lang w:val="en-US"/>
        </w:rPr>
        <w:t>)</w:t>
      </w:r>
      <w:r w:rsidRPr="00A10602">
        <w:rPr>
          <w:rFonts w:cs="Arial"/>
          <w:lang w:val="en-US"/>
        </w:rPr>
        <w:t xml:space="preserve"> identif</w:t>
      </w:r>
      <w:r w:rsidR="00837015">
        <w:rPr>
          <w:rFonts w:cs="Arial"/>
          <w:lang w:val="en-US"/>
        </w:rPr>
        <w:t>y</w:t>
      </w:r>
      <w:r w:rsidRPr="00A10602">
        <w:rPr>
          <w:rFonts w:cs="Arial"/>
          <w:lang w:val="en-US"/>
        </w:rPr>
        <w:t xml:space="preserve"> the preliminary domino Groups (pdG), i.e. groups of two or more establishments where it is </w:t>
      </w:r>
      <w:r w:rsidR="008E1E38" w:rsidRPr="00A10602">
        <w:rPr>
          <w:rFonts w:cs="Arial"/>
          <w:lang w:val="en-US"/>
        </w:rPr>
        <w:t>possible to have</w:t>
      </w:r>
      <w:r w:rsidRPr="00A10602">
        <w:rPr>
          <w:rFonts w:cs="Arial"/>
          <w:lang w:val="en-US"/>
        </w:rPr>
        <w:t xml:space="preserve"> the occurrence of domino effects, </w:t>
      </w:r>
      <w:r w:rsidR="003D4ED8" w:rsidRPr="00A10602">
        <w:rPr>
          <w:rFonts w:cs="Arial"/>
          <w:lang w:val="en-US"/>
        </w:rPr>
        <w:t>based on</w:t>
      </w:r>
      <w:r w:rsidRPr="00A10602">
        <w:rPr>
          <w:rFonts w:cs="Arial"/>
          <w:lang w:val="en-US"/>
        </w:rPr>
        <w:t xml:space="preserve"> technical references and information received from operators, and prepares the list of establishments included in pdG.</w:t>
      </w:r>
    </w:p>
    <w:p w14:paraId="627991EF" w14:textId="663060E9" w:rsidR="003F5D7E" w:rsidRPr="00EF3EA5" w:rsidRDefault="003F5D7E" w:rsidP="005C28F4">
      <w:pPr>
        <w:rPr>
          <w:rFonts w:cs="Arial"/>
          <w:lang w:val="en-US"/>
        </w:rPr>
      </w:pPr>
      <w:r w:rsidRPr="00EF3EA5">
        <w:rPr>
          <w:rFonts w:cs="Arial"/>
          <w:lang w:val="en-US"/>
        </w:rPr>
        <w:t>The CA preliminarily identif</w:t>
      </w:r>
      <w:r w:rsidR="00481741">
        <w:rPr>
          <w:rFonts w:cs="Arial"/>
          <w:lang w:val="en-US"/>
        </w:rPr>
        <w:t>ies</w:t>
      </w:r>
      <w:r w:rsidRPr="00EF3EA5">
        <w:rPr>
          <w:rFonts w:cs="Arial"/>
          <w:lang w:val="en-US"/>
        </w:rPr>
        <w:t xml:space="preserve"> the establishments from which domino effects may originate (</w:t>
      </w:r>
      <w:r w:rsidR="007C5FEB" w:rsidRPr="00082385">
        <w:rPr>
          <w:rFonts w:cs="Arial"/>
          <w:lang w:val="en-US"/>
        </w:rPr>
        <w:t xml:space="preserve">Establishment </w:t>
      </w:r>
      <w:r w:rsidR="007C5FEB">
        <w:rPr>
          <w:rFonts w:cs="Arial"/>
          <w:lang w:val="en-US"/>
        </w:rPr>
        <w:t xml:space="preserve">Source </w:t>
      </w:r>
      <w:r w:rsidR="007C5FEB" w:rsidRPr="00082385">
        <w:rPr>
          <w:rFonts w:cs="Arial"/>
          <w:lang w:val="en-US"/>
        </w:rPr>
        <w:t xml:space="preserve">of Domino Effect </w:t>
      </w:r>
      <w:r w:rsidR="007C5FEB">
        <w:rPr>
          <w:rFonts w:cs="Arial"/>
          <w:lang w:val="en-US"/>
        </w:rPr>
        <w:t xml:space="preserve">- </w:t>
      </w:r>
      <w:r w:rsidRPr="00EF3EA5">
        <w:rPr>
          <w:rFonts w:cs="Arial"/>
          <w:lang w:val="en-US"/>
        </w:rPr>
        <w:t>Est</w:t>
      </w:r>
      <w:r>
        <w:rPr>
          <w:rFonts w:cs="Arial"/>
          <w:lang w:val="en-US"/>
        </w:rPr>
        <w:t>S</w:t>
      </w:r>
      <w:r w:rsidRPr="00EF3EA5">
        <w:rPr>
          <w:rFonts w:cs="Arial"/>
          <w:lang w:val="en-US"/>
        </w:rPr>
        <w:t>DE), according to the cases specified in the following.</w:t>
      </w:r>
    </w:p>
    <w:p w14:paraId="627991F0" w14:textId="38FA14AD" w:rsidR="003F5D7E" w:rsidRDefault="003F5D7E" w:rsidP="00593AB6">
      <w:pPr>
        <w:pStyle w:val="Paragrafoelenco"/>
        <w:numPr>
          <w:ilvl w:val="0"/>
          <w:numId w:val="30"/>
        </w:numPr>
        <w:tabs>
          <w:tab w:val="clear" w:pos="7100"/>
        </w:tabs>
        <w:ind w:left="357"/>
        <w:contextualSpacing w:val="0"/>
        <w:rPr>
          <w:rFonts w:cs="Arial"/>
          <w:lang w:val="en-US"/>
        </w:rPr>
      </w:pPr>
      <w:r w:rsidRPr="00EF3EA5">
        <w:rPr>
          <w:rFonts w:cs="Arial"/>
          <w:lang w:val="en-US"/>
        </w:rPr>
        <w:t xml:space="preserve">Identification of establishments, from which accident scenarios may arise that determine damage areas, related to </w:t>
      </w:r>
      <w:r w:rsidR="00EF102F">
        <w:rPr>
          <w:rFonts w:cs="Arial"/>
          <w:lang w:val="en-US"/>
        </w:rPr>
        <w:t>specific</w:t>
      </w:r>
      <w:r w:rsidRPr="00EF3EA5">
        <w:rPr>
          <w:rFonts w:cs="Arial"/>
          <w:lang w:val="en-US"/>
        </w:rPr>
        <w:t xml:space="preserve"> threshold values, that fall within the bound</w:t>
      </w:r>
      <w:r>
        <w:rPr>
          <w:rFonts w:cs="Arial"/>
          <w:lang w:val="en-US"/>
        </w:rPr>
        <w:t>aries</w:t>
      </w:r>
      <w:r w:rsidRPr="00EF3EA5">
        <w:rPr>
          <w:rFonts w:cs="Arial"/>
          <w:lang w:val="en-US"/>
        </w:rPr>
        <w:t xml:space="preserve"> of one or more receptors establishments (</w:t>
      </w:r>
      <w:r w:rsidR="00593AB6" w:rsidRPr="00593AB6">
        <w:rPr>
          <w:rFonts w:cs="Arial"/>
          <w:lang w:val="en-US"/>
        </w:rPr>
        <w:t xml:space="preserve">Establishment Receptor of Domino Effect </w:t>
      </w:r>
      <w:r w:rsidR="00593AB6">
        <w:rPr>
          <w:rFonts w:cs="Arial"/>
          <w:lang w:val="en-US"/>
        </w:rPr>
        <w:t xml:space="preserve">- </w:t>
      </w:r>
      <w:r w:rsidRPr="00EF3EA5">
        <w:rPr>
          <w:rFonts w:cs="Arial"/>
          <w:lang w:val="en-US"/>
        </w:rPr>
        <w:t>EstRDE).</w:t>
      </w:r>
    </w:p>
    <w:p w14:paraId="627991F1" w14:textId="7E378FA9" w:rsidR="003F5D7E" w:rsidRPr="00EF3EA5" w:rsidRDefault="003F5D7E" w:rsidP="005C28F4">
      <w:pPr>
        <w:ind w:left="357"/>
        <w:rPr>
          <w:rFonts w:cs="Arial"/>
          <w:lang w:val="en-US"/>
        </w:rPr>
      </w:pPr>
      <w:r w:rsidRPr="00EF3EA5">
        <w:rPr>
          <w:rFonts w:cs="Arial"/>
          <w:lang w:val="en-US"/>
        </w:rPr>
        <w:t>The</w:t>
      </w:r>
      <w:r w:rsidR="008253D2">
        <w:rPr>
          <w:rFonts w:cs="Arial"/>
          <w:lang w:val="en-US"/>
        </w:rPr>
        <w:t xml:space="preserve"> CA</w:t>
      </w:r>
      <w:r w:rsidRPr="00EF3EA5">
        <w:rPr>
          <w:rFonts w:cs="Arial"/>
          <w:lang w:val="en-US"/>
        </w:rPr>
        <w:t xml:space="preserve"> </w:t>
      </w:r>
      <w:r w:rsidR="00572FCC">
        <w:rPr>
          <w:rFonts w:cs="Arial"/>
          <w:lang w:val="en-US"/>
        </w:rPr>
        <w:t xml:space="preserve">will obtain the </w:t>
      </w:r>
      <w:r w:rsidRPr="00EF3EA5">
        <w:rPr>
          <w:rFonts w:cs="Arial"/>
          <w:lang w:val="en-US"/>
        </w:rPr>
        <w:t xml:space="preserve">needed information for the identification </w:t>
      </w:r>
      <w:r>
        <w:rPr>
          <w:rFonts w:cs="Arial"/>
          <w:lang w:val="en-US"/>
        </w:rPr>
        <w:t>phase by the documents sent by the operators according to Seveso regulations (</w:t>
      </w:r>
      <w:r w:rsidRPr="00EF3EA5">
        <w:rPr>
          <w:rFonts w:cs="Arial"/>
          <w:lang w:val="en-US"/>
        </w:rPr>
        <w:t>Safety Report</w:t>
      </w:r>
      <w:r>
        <w:rPr>
          <w:rFonts w:cs="Arial"/>
          <w:lang w:val="en-US"/>
        </w:rPr>
        <w:t>,</w:t>
      </w:r>
      <w:r w:rsidRPr="00EF3EA5">
        <w:rPr>
          <w:rFonts w:cs="Arial"/>
          <w:lang w:val="en-US"/>
        </w:rPr>
        <w:t xml:space="preserve"> Notification</w:t>
      </w:r>
      <w:r>
        <w:rPr>
          <w:rFonts w:cs="Arial"/>
          <w:lang w:val="en-US"/>
        </w:rPr>
        <w:t>, Land Use planning documents)</w:t>
      </w:r>
      <w:r w:rsidR="002C26FE">
        <w:rPr>
          <w:rFonts w:cs="Arial"/>
          <w:lang w:val="en-US"/>
        </w:rPr>
        <w:t xml:space="preserve">. </w:t>
      </w:r>
      <w:r w:rsidR="002C26FE" w:rsidRPr="002C26FE">
        <w:rPr>
          <w:rFonts w:cs="Arial"/>
          <w:lang w:val="en-US"/>
        </w:rPr>
        <w:t>n case of missing or lacking information, for the sole purpose of the application of the procedure, a conventional damage distance of 1000 m from the bounds of the EstSDE will be preliminary and conservatively taken</w:t>
      </w:r>
      <w:r>
        <w:rPr>
          <w:rFonts w:cs="Arial"/>
          <w:lang w:val="en-US"/>
        </w:rPr>
        <w:t>.</w:t>
      </w:r>
    </w:p>
    <w:p w14:paraId="627991F2" w14:textId="7C069D93" w:rsidR="003F5D7E" w:rsidRPr="00747987" w:rsidRDefault="003F5D7E" w:rsidP="005C28F4">
      <w:pPr>
        <w:ind w:left="360"/>
        <w:rPr>
          <w:rFonts w:cs="Arial"/>
          <w:lang w:val="en-US"/>
        </w:rPr>
      </w:pPr>
      <w:r w:rsidRPr="00747987">
        <w:rPr>
          <w:rFonts w:cs="Arial"/>
          <w:lang w:val="en-US"/>
        </w:rPr>
        <w:t xml:space="preserve">Any pdG present in the </w:t>
      </w:r>
      <w:r>
        <w:rPr>
          <w:rFonts w:cs="Arial"/>
          <w:lang w:val="en-US"/>
        </w:rPr>
        <w:t xml:space="preserve">area </w:t>
      </w:r>
      <w:r w:rsidRPr="00747987">
        <w:rPr>
          <w:rFonts w:cs="Arial"/>
          <w:lang w:val="en-US"/>
        </w:rPr>
        <w:t xml:space="preserve">can be identified </w:t>
      </w:r>
      <w:r w:rsidR="00837015" w:rsidRPr="00747987">
        <w:rPr>
          <w:rFonts w:cs="Arial"/>
          <w:lang w:val="en-US"/>
        </w:rPr>
        <w:t>based on</w:t>
      </w:r>
      <w:r w:rsidRPr="00747987">
        <w:rPr>
          <w:rFonts w:cs="Arial"/>
          <w:lang w:val="en-US"/>
        </w:rPr>
        <w:t xml:space="preserve"> the overlapping </w:t>
      </w:r>
      <w:r>
        <w:rPr>
          <w:rFonts w:cs="Arial"/>
          <w:lang w:val="en-US"/>
        </w:rPr>
        <w:t xml:space="preserve">of the </w:t>
      </w:r>
      <w:r w:rsidR="008E1E38" w:rsidRPr="00747987">
        <w:rPr>
          <w:rFonts w:cs="Arial"/>
          <w:lang w:val="en-US"/>
        </w:rPr>
        <w:t>damaged</w:t>
      </w:r>
      <w:r w:rsidRPr="00747987">
        <w:rPr>
          <w:rFonts w:cs="Arial"/>
          <w:lang w:val="en-US"/>
        </w:rPr>
        <w:t xml:space="preserve"> areas </w:t>
      </w:r>
      <w:r>
        <w:rPr>
          <w:rFonts w:cs="Arial"/>
          <w:lang w:val="en-US"/>
        </w:rPr>
        <w:t xml:space="preserve">associated with </w:t>
      </w:r>
      <w:r w:rsidRPr="00747987">
        <w:rPr>
          <w:rFonts w:cs="Arial"/>
          <w:lang w:val="en-US"/>
        </w:rPr>
        <w:t xml:space="preserve">each potential </w:t>
      </w:r>
      <w:r w:rsidRPr="00EF3EA5">
        <w:rPr>
          <w:rFonts w:cs="Arial"/>
          <w:lang w:val="en-US"/>
        </w:rPr>
        <w:t>Est</w:t>
      </w:r>
      <w:r>
        <w:rPr>
          <w:rFonts w:cs="Arial"/>
          <w:lang w:val="en-US"/>
        </w:rPr>
        <w:t>S</w:t>
      </w:r>
      <w:r w:rsidRPr="00EF3EA5">
        <w:rPr>
          <w:rFonts w:cs="Arial"/>
          <w:lang w:val="en-US"/>
        </w:rPr>
        <w:t>DE</w:t>
      </w:r>
      <w:r w:rsidRPr="00747987">
        <w:rPr>
          <w:rFonts w:cs="Arial"/>
          <w:lang w:val="en-US"/>
        </w:rPr>
        <w:t xml:space="preserve">, identified with the criteria and references mentioned above, with the areas </w:t>
      </w:r>
      <w:r>
        <w:rPr>
          <w:rFonts w:cs="Arial"/>
          <w:lang w:val="en-US"/>
        </w:rPr>
        <w:t>of the nearby establishments</w:t>
      </w:r>
      <w:r w:rsidRPr="00747987">
        <w:rPr>
          <w:rFonts w:cs="Arial"/>
          <w:lang w:val="en-US"/>
        </w:rPr>
        <w:t xml:space="preserve"> (</w:t>
      </w:r>
      <w:r w:rsidRPr="00EF3EA5">
        <w:rPr>
          <w:rFonts w:cs="Arial"/>
          <w:lang w:val="en-US"/>
        </w:rPr>
        <w:t>EstRDE</w:t>
      </w:r>
      <w:r w:rsidRPr="00747987">
        <w:rPr>
          <w:rFonts w:cs="Arial"/>
          <w:lang w:val="en-US"/>
        </w:rPr>
        <w:t xml:space="preserve">), </w:t>
      </w:r>
      <w:r>
        <w:rPr>
          <w:rFonts w:cs="Arial"/>
          <w:lang w:val="en-US"/>
        </w:rPr>
        <w:t xml:space="preserve">shown on the maps </w:t>
      </w:r>
      <w:r w:rsidRPr="00747987">
        <w:rPr>
          <w:rFonts w:cs="Arial"/>
          <w:lang w:val="en-US"/>
        </w:rPr>
        <w:t>contained in the</w:t>
      </w:r>
      <w:r>
        <w:rPr>
          <w:rFonts w:cs="Arial"/>
          <w:lang w:val="en-US"/>
        </w:rPr>
        <w:t xml:space="preserve"> Safety</w:t>
      </w:r>
      <w:r w:rsidRPr="00747987">
        <w:rPr>
          <w:rFonts w:cs="Arial"/>
          <w:lang w:val="en-US"/>
        </w:rPr>
        <w:t xml:space="preserve"> </w:t>
      </w:r>
      <w:r>
        <w:rPr>
          <w:rFonts w:cs="Arial"/>
          <w:lang w:val="en-US"/>
        </w:rPr>
        <w:t>R</w:t>
      </w:r>
      <w:r w:rsidRPr="00747987">
        <w:rPr>
          <w:rFonts w:cs="Arial"/>
          <w:lang w:val="en-US"/>
        </w:rPr>
        <w:t xml:space="preserve">eports or in the </w:t>
      </w:r>
      <w:r>
        <w:rPr>
          <w:rFonts w:cs="Arial"/>
          <w:lang w:val="en-US"/>
        </w:rPr>
        <w:t>N</w:t>
      </w:r>
      <w:r w:rsidRPr="00747987">
        <w:rPr>
          <w:rFonts w:cs="Arial"/>
          <w:lang w:val="en-US"/>
        </w:rPr>
        <w:t xml:space="preserve">otification sent by the operator. </w:t>
      </w:r>
    </w:p>
    <w:p w14:paraId="627991F3" w14:textId="5DAD6DA7" w:rsidR="003F5D7E" w:rsidRPr="009564F6" w:rsidRDefault="003F5D7E" w:rsidP="005C28F4">
      <w:pPr>
        <w:ind w:left="360"/>
        <w:rPr>
          <w:rFonts w:cs="Arial"/>
          <w:lang w:val="en-US"/>
        </w:rPr>
      </w:pPr>
      <w:r w:rsidRPr="009564F6">
        <w:rPr>
          <w:rFonts w:cs="Arial"/>
          <w:lang w:val="en-US"/>
        </w:rPr>
        <w:t xml:space="preserve">The pdG will consist, in the simplest case, </w:t>
      </w:r>
      <w:r w:rsidR="00837015">
        <w:rPr>
          <w:rFonts w:cs="Arial"/>
          <w:lang w:val="en-US"/>
        </w:rPr>
        <w:t>of</w:t>
      </w:r>
      <w:r w:rsidRPr="009564F6">
        <w:rPr>
          <w:rFonts w:cs="Arial"/>
          <w:lang w:val="en-US"/>
        </w:rPr>
        <w:t xml:space="preserve"> one Est</w:t>
      </w:r>
      <w:r>
        <w:rPr>
          <w:rFonts w:cs="Arial"/>
          <w:lang w:val="en-US"/>
        </w:rPr>
        <w:t>S</w:t>
      </w:r>
      <w:r w:rsidRPr="009564F6">
        <w:rPr>
          <w:rFonts w:cs="Arial"/>
          <w:lang w:val="en-US"/>
        </w:rPr>
        <w:t>DE and one EstRDE.</w:t>
      </w:r>
    </w:p>
    <w:p w14:paraId="627991F4" w14:textId="77777777" w:rsidR="003F5D7E" w:rsidRPr="00F37595" w:rsidRDefault="003F5D7E" w:rsidP="005C28F4">
      <w:pPr>
        <w:ind w:left="360"/>
        <w:rPr>
          <w:rFonts w:cs="Arial"/>
          <w:lang w:val="en-US"/>
        </w:rPr>
      </w:pPr>
      <w:r w:rsidRPr="00973F0E">
        <w:rPr>
          <w:rFonts w:cs="Arial"/>
          <w:lang w:val="en-US"/>
        </w:rPr>
        <w:t>Each EstRDE may</w:t>
      </w:r>
      <w:r w:rsidRPr="00F37595">
        <w:rPr>
          <w:rFonts w:cs="Arial"/>
          <w:lang w:val="en-US"/>
        </w:rPr>
        <w:t xml:space="preserve"> </w:t>
      </w:r>
      <w:r>
        <w:rPr>
          <w:rFonts w:cs="Arial"/>
          <w:lang w:val="en-US"/>
        </w:rPr>
        <w:t>be</w:t>
      </w:r>
      <w:r w:rsidRPr="00973F0E">
        <w:rPr>
          <w:rFonts w:cs="Arial"/>
          <w:lang w:val="en-US"/>
        </w:rPr>
        <w:t>,</w:t>
      </w:r>
      <w:r w:rsidRPr="00F37595">
        <w:rPr>
          <w:rFonts w:cs="Arial"/>
          <w:lang w:val="en-US"/>
        </w:rPr>
        <w:t xml:space="preserve"> </w:t>
      </w:r>
      <w:r w:rsidRPr="00973F0E">
        <w:rPr>
          <w:rFonts w:cs="Arial"/>
          <w:lang w:val="en-US"/>
        </w:rPr>
        <w:t>in turn</w:t>
      </w:r>
      <w:r w:rsidRPr="00F37595">
        <w:rPr>
          <w:rFonts w:cs="Arial"/>
          <w:lang w:val="en-US"/>
        </w:rPr>
        <w:t xml:space="preserve">, </w:t>
      </w:r>
      <w:r>
        <w:rPr>
          <w:rFonts w:cs="Arial"/>
          <w:lang w:val="en-US"/>
        </w:rPr>
        <w:t xml:space="preserve">also an </w:t>
      </w:r>
      <w:r w:rsidRPr="00082385">
        <w:rPr>
          <w:rFonts w:cs="Arial"/>
          <w:lang w:val="en-US"/>
        </w:rPr>
        <w:t>Est</w:t>
      </w:r>
      <w:r>
        <w:rPr>
          <w:rFonts w:cs="Arial"/>
          <w:lang w:val="en-US"/>
        </w:rPr>
        <w:t>S</w:t>
      </w:r>
      <w:r w:rsidRPr="00082385">
        <w:rPr>
          <w:rFonts w:cs="Arial"/>
          <w:lang w:val="en-US"/>
        </w:rPr>
        <w:t>DE</w:t>
      </w:r>
      <w:r>
        <w:rPr>
          <w:rFonts w:cs="Arial"/>
          <w:lang w:val="en-US"/>
        </w:rPr>
        <w:t>,</w:t>
      </w:r>
      <w:r w:rsidRPr="00973F0E">
        <w:rPr>
          <w:rFonts w:cs="Arial"/>
          <w:lang w:val="en-US"/>
        </w:rPr>
        <w:t xml:space="preserve"> </w:t>
      </w:r>
      <w:r>
        <w:rPr>
          <w:rFonts w:cs="Arial"/>
          <w:lang w:val="en-US"/>
        </w:rPr>
        <w:t xml:space="preserve">due to </w:t>
      </w:r>
      <w:r w:rsidRPr="00973F0E">
        <w:rPr>
          <w:rFonts w:cs="Arial"/>
          <w:lang w:val="en-US"/>
        </w:rPr>
        <w:t>accident scenarios</w:t>
      </w:r>
      <w:r w:rsidRPr="00F37595">
        <w:rPr>
          <w:rFonts w:cs="Arial"/>
          <w:lang w:val="en-US"/>
        </w:rPr>
        <w:t xml:space="preserve"> </w:t>
      </w:r>
      <w:r>
        <w:rPr>
          <w:rFonts w:cs="Arial"/>
          <w:lang w:val="en-US"/>
        </w:rPr>
        <w:t>that can occur within its boundaries.</w:t>
      </w:r>
    </w:p>
    <w:p w14:paraId="627991F5" w14:textId="5503A2C9" w:rsidR="003F5D7E" w:rsidRPr="0068648B" w:rsidRDefault="003F5D7E" w:rsidP="005C28F4">
      <w:pPr>
        <w:pStyle w:val="Paragrafoelenco"/>
        <w:numPr>
          <w:ilvl w:val="0"/>
          <w:numId w:val="30"/>
        </w:numPr>
        <w:tabs>
          <w:tab w:val="clear" w:pos="7100"/>
        </w:tabs>
        <w:contextualSpacing w:val="0"/>
        <w:rPr>
          <w:rFonts w:cs="Arial"/>
          <w:lang w:val="en-US"/>
        </w:rPr>
      </w:pPr>
      <w:r>
        <w:rPr>
          <w:rFonts w:cs="Arial"/>
          <w:lang w:val="en-US"/>
        </w:rPr>
        <w:t xml:space="preserve">As far </w:t>
      </w:r>
      <w:r w:rsidR="00EC0810">
        <w:rPr>
          <w:rFonts w:cs="Arial"/>
          <w:lang w:val="en-US"/>
        </w:rPr>
        <w:t>as</w:t>
      </w:r>
      <w:r>
        <w:rPr>
          <w:rFonts w:cs="Arial"/>
          <w:lang w:val="en-US"/>
        </w:rPr>
        <w:t xml:space="preserve"> t</w:t>
      </w:r>
      <w:r w:rsidRPr="0068648B">
        <w:rPr>
          <w:rFonts w:cs="Arial"/>
          <w:lang w:val="en-US"/>
        </w:rPr>
        <w:t xml:space="preserve">he establishments located in industrial </w:t>
      </w:r>
      <w:r w:rsidR="008E1E38" w:rsidRPr="0068648B">
        <w:rPr>
          <w:rFonts w:cs="Arial"/>
          <w:lang w:val="en-US"/>
        </w:rPr>
        <w:t>parks</w:t>
      </w:r>
      <w:r>
        <w:rPr>
          <w:rFonts w:cs="Arial"/>
          <w:lang w:val="en-US"/>
        </w:rPr>
        <w:t xml:space="preserve"> can be </w:t>
      </w:r>
      <w:r w:rsidRPr="0068648B">
        <w:rPr>
          <w:rFonts w:cs="Arial"/>
          <w:lang w:val="en-US"/>
        </w:rPr>
        <w:t>considered</w:t>
      </w:r>
      <w:r w:rsidR="005B6C77" w:rsidRPr="0068648B">
        <w:rPr>
          <w:rFonts w:cs="Arial"/>
          <w:lang w:val="en-US"/>
        </w:rPr>
        <w:t>,</w:t>
      </w:r>
      <w:r w:rsidRPr="0068648B">
        <w:rPr>
          <w:rFonts w:cs="Arial"/>
          <w:lang w:val="en-US"/>
        </w:rPr>
        <w:t xml:space="preserve"> th</w:t>
      </w:r>
      <w:r>
        <w:rPr>
          <w:rFonts w:cs="Arial"/>
          <w:lang w:val="en-US"/>
        </w:rPr>
        <w:t xml:space="preserve">e methodology here </w:t>
      </w:r>
      <w:r w:rsidR="005B6C77">
        <w:rPr>
          <w:rFonts w:cs="Arial"/>
          <w:lang w:val="en-US"/>
        </w:rPr>
        <w:t>is </w:t>
      </w:r>
      <w:r w:rsidR="006F1D73">
        <w:rPr>
          <w:rFonts w:cs="Arial"/>
          <w:lang w:val="en-US"/>
        </w:rPr>
        <w:t>described</w:t>
      </w:r>
      <w:r w:rsidRPr="0068648B">
        <w:rPr>
          <w:rFonts w:cs="Arial"/>
          <w:lang w:val="en-US"/>
        </w:rPr>
        <w:t xml:space="preserve"> </w:t>
      </w:r>
      <w:r>
        <w:rPr>
          <w:rFonts w:cs="Arial"/>
          <w:lang w:val="en-US"/>
        </w:rPr>
        <w:t xml:space="preserve">as part of a unique </w:t>
      </w:r>
      <w:r w:rsidRPr="0068648B">
        <w:rPr>
          <w:rFonts w:cs="Arial"/>
          <w:lang w:val="en-US"/>
        </w:rPr>
        <w:t xml:space="preserve">single </w:t>
      </w:r>
      <w:r>
        <w:rPr>
          <w:rFonts w:cs="Arial"/>
          <w:lang w:val="en-US"/>
        </w:rPr>
        <w:t>pdG</w:t>
      </w:r>
      <w:r w:rsidRPr="0068648B">
        <w:rPr>
          <w:rFonts w:cs="Arial"/>
          <w:lang w:val="en-US"/>
        </w:rPr>
        <w:t>, without further evaluation.</w:t>
      </w:r>
    </w:p>
    <w:p w14:paraId="627991F6" w14:textId="5B74D921" w:rsidR="003F5D7E" w:rsidRDefault="003F5D7E" w:rsidP="005C28F4">
      <w:pPr>
        <w:rPr>
          <w:rFonts w:cs="Arial"/>
          <w:lang w:val="en-US"/>
        </w:rPr>
      </w:pPr>
      <w:r>
        <w:rPr>
          <w:rFonts w:cs="Arial"/>
          <w:lang w:val="en-US"/>
        </w:rPr>
        <w:t>A</w:t>
      </w:r>
      <w:r w:rsidRPr="00BC11DF">
        <w:rPr>
          <w:rFonts w:cs="Arial"/>
          <w:lang w:val="en-US"/>
        </w:rPr>
        <w:t>t the end of th</w:t>
      </w:r>
      <w:r>
        <w:rPr>
          <w:rFonts w:cs="Arial"/>
          <w:lang w:val="en-US"/>
        </w:rPr>
        <w:t xml:space="preserve">is phase, </w:t>
      </w:r>
      <w:r w:rsidRPr="00BC11DF">
        <w:rPr>
          <w:rFonts w:cs="Arial"/>
          <w:lang w:val="en-US"/>
        </w:rPr>
        <w:t xml:space="preserve">in case a) </w:t>
      </w:r>
      <w:r>
        <w:rPr>
          <w:rFonts w:cs="Arial"/>
          <w:lang w:val="en-US"/>
        </w:rPr>
        <w:t>and</w:t>
      </w:r>
      <w:r w:rsidRPr="00BC11DF">
        <w:rPr>
          <w:rFonts w:cs="Arial"/>
          <w:lang w:val="en-US"/>
        </w:rPr>
        <w:t xml:space="preserve"> case b)</w:t>
      </w:r>
      <w:r>
        <w:rPr>
          <w:rFonts w:cs="Arial"/>
          <w:lang w:val="en-US"/>
        </w:rPr>
        <w:t xml:space="preserve">, </w:t>
      </w:r>
      <w:r w:rsidRPr="00BC11DF">
        <w:rPr>
          <w:rFonts w:cs="Arial"/>
          <w:lang w:val="en-US"/>
        </w:rPr>
        <w:t xml:space="preserve">pdG formed </w:t>
      </w:r>
      <w:r>
        <w:rPr>
          <w:rFonts w:cs="Arial"/>
          <w:lang w:val="en-US"/>
        </w:rPr>
        <w:t>by</w:t>
      </w:r>
      <w:r w:rsidRPr="00BC11DF">
        <w:rPr>
          <w:rFonts w:cs="Arial"/>
          <w:lang w:val="en-US"/>
        </w:rPr>
        <w:t xml:space="preserve"> two or more establishments may</w:t>
      </w:r>
      <w:r w:rsidR="00CD4A11">
        <w:rPr>
          <w:rFonts w:cs="Arial"/>
          <w:lang w:val="en-US"/>
        </w:rPr>
        <w:t>,</w:t>
      </w:r>
      <w:r w:rsidRPr="00BC11DF">
        <w:rPr>
          <w:rFonts w:cs="Arial"/>
          <w:lang w:val="en-US"/>
        </w:rPr>
        <w:t xml:space="preserve"> therefore</w:t>
      </w:r>
      <w:r w:rsidR="00CD4A11">
        <w:rPr>
          <w:rFonts w:cs="Arial"/>
          <w:lang w:val="en-US"/>
        </w:rPr>
        <w:t>,</w:t>
      </w:r>
      <w:r w:rsidRPr="00BC11DF">
        <w:rPr>
          <w:rFonts w:cs="Arial"/>
          <w:lang w:val="en-US"/>
        </w:rPr>
        <w:t xml:space="preserve"> be identified</w:t>
      </w:r>
      <w:r>
        <w:rPr>
          <w:rFonts w:cs="Arial"/>
          <w:lang w:val="en-US"/>
        </w:rPr>
        <w:t xml:space="preserve"> for further evaluation.</w:t>
      </w:r>
    </w:p>
    <w:p w14:paraId="37263386" w14:textId="21AAACD0" w:rsidR="00035274" w:rsidRDefault="00144447" w:rsidP="005C28F4">
      <w:pPr>
        <w:rPr>
          <w:rFonts w:cs="Arial"/>
          <w:lang w:val="en-US"/>
        </w:rPr>
      </w:pPr>
      <w:r>
        <w:rPr>
          <w:rFonts w:cs="Arial"/>
          <w:lang w:val="en-US"/>
        </w:rPr>
        <w:t>Figure 1 provides t</w:t>
      </w:r>
      <w:r w:rsidR="00035274" w:rsidRPr="00035274">
        <w:rPr>
          <w:rFonts w:cs="Arial"/>
          <w:lang w:val="en-US"/>
        </w:rPr>
        <w:t xml:space="preserve">he summary diagram </w:t>
      </w:r>
      <w:r>
        <w:rPr>
          <w:rFonts w:cs="Arial"/>
          <w:lang w:val="en-US"/>
        </w:rPr>
        <w:t>f</w:t>
      </w:r>
      <w:r w:rsidR="00035274" w:rsidRPr="00035274">
        <w:rPr>
          <w:rFonts w:cs="Arial"/>
          <w:lang w:val="en-US"/>
        </w:rPr>
        <w:t>o</w:t>
      </w:r>
      <w:r>
        <w:rPr>
          <w:rFonts w:cs="Arial"/>
          <w:lang w:val="en-US"/>
        </w:rPr>
        <w:t>r</w:t>
      </w:r>
      <w:r w:rsidR="00035274" w:rsidRPr="00035274">
        <w:rPr>
          <w:rFonts w:cs="Arial"/>
          <w:lang w:val="en-US"/>
        </w:rPr>
        <w:t xml:space="preserve"> set</w:t>
      </w:r>
      <w:r>
        <w:rPr>
          <w:rFonts w:cs="Arial"/>
          <w:lang w:val="en-US"/>
        </w:rPr>
        <w:t>ting</w:t>
      </w:r>
      <w:r w:rsidR="00035274" w:rsidRPr="00035274">
        <w:rPr>
          <w:rFonts w:cs="Arial"/>
          <w:lang w:val="en-US"/>
        </w:rPr>
        <w:t xml:space="preserve"> the preliminary identification stage of the "domino groups.</w:t>
      </w:r>
      <w:r>
        <w:rPr>
          <w:rFonts w:cs="Arial"/>
          <w:lang w:val="en-US"/>
        </w:rPr>
        <w:t>"</w:t>
      </w:r>
    </w:p>
    <w:p w14:paraId="115C04AF" w14:textId="77777777" w:rsidR="00FD1E0F" w:rsidRDefault="00FD1E0F" w:rsidP="005C28F4">
      <w:pPr>
        <w:rPr>
          <w:noProof/>
        </w:rPr>
      </w:pPr>
    </w:p>
    <w:p w14:paraId="101D19D8" w14:textId="4A4698AD" w:rsidR="007232E8" w:rsidRPr="00390BBE" w:rsidRDefault="007232E8" w:rsidP="00390BBE">
      <w:pPr>
        <w:spacing w:after="240"/>
        <w:ind w:left="-56"/>
      </w:pPr>
      <w:r>
        <w:rPr>
          <w:noProof/>
        </w:rPr>
        <w:drawing>
          <wp:inline distT="0" distB="0" distL="0" distR="0" wp14:anchorId="55A961E3" wp14:editId="0612E447">
            <wp:extent cx="4531505" cy="2813538"/>
            <wp:effectExtent l="0" t="0" r="2540" b="6350"/>
            <wp:docPr id="1002226199" name="Immagine 1" descr="Immagine che contiene testo, schermata, softwa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6199" name="Immagine 1" descr="Immagine che contiene testo, schermata, software, diagramma&#10;&#10;Descrizione generata automaticamente"/>
                    <pic:cNvPicPr/>
                  </pic:nvPicPr>
                  <pic:blipFill rotWithShape="1">
                    <a:blip r:embed="rId10"/>
                    <a:srcRect l="20564" t="26165" r="20999" b="9337"/>
                    <a:stretch/>
                  </pic:blipFill>
                  <pic:spPr bwMode="auto">
                    <a:xfrm>
                      <a:off x="0" y="0"/>
                      <a:ext cx="4562236" cy="2832618"/>
                    </a:xfrm>
                    <a:prstGeom prst="rect">
                      <a:avLst/>
                    </a:prstGeom>
                    <a:ln>
                      <a:noFill/>
                    </a:ln>
                    <a:extLst>
                      <a:ext uri="{53640926-AAD7-44D8-BBD7-CCE9431645EC}">
                        <a14:shadowObscured xmlns:a14="http://schemas.microsoft.com/office/drawing/2010/main"/>
                      </a:ext>
                    </a:extLst>
                  </pic:spPr>
                </pic:pic>
              </a:graphicData>
            </a:graphic>
          </wp:inline>
        </w:drawing>
      </w:r>
    </w:p>
    <w:p w14:paraId="1322DBE5" w14:textId="7D9D2964" w:rsidR="00882AD2" w:rsidRDefault="00882AD2" w:rsidP="005B6C77">
      <w:pPr>
        <w:spacing w:before="120"/>
        <w:rPr>
          <w:rFonts w:cs="Arial"/>
          <w:b/>
          <w:lang w:val="en-US"/>
        </w:rPr>
      </w:pPr>
      <w:r w:rsidRPr="00C149E4">
        <w:rPr>
          <w:rStyle w:val="CETCaptionCarattere"/>
        </w:rPr>
        <w:t xml:space="preserve">Figure 1: </w:t>
      </w:r>
      <w:r w:rsidR="006A439E" w:rsidRPr="006A439E">
        <w:rPr>
          <w:rStyle w:val="CETCaptionCarattere"/>
        </w:rPr>
        <w:t>Summary diagram for the preliminary identification of the "domino groups"</w:t>
      </w:r>
      <w:r>
        <w:rPr>
          <w:rFonts w:cs="Arial"/>
          <w:b/>
          <w:lang w:val="en-US"/>
        </w:rPr>
        <w:t xml:space="preserve"> </w:t>
      </w:r>
    </w:p>
    <w:p w14:paraId="62799216" w14:textId="5668F243" w:rsidR="00CE3195" w:rsidRPr="00772F2F" w:rsidRDefault="00ED6822" w:rsidP="005B6C77">
      <w:pPr>
        <w:spacing w:before="120"/>
        <w:rPr>
          <w:rFonts w:cs="Arial"/>
          <w:b/>
          <w:lang w:val="en-US"/>
        </w:rPr>
      </w:pPr>
      <w:r>
        <w:rPr>
          <w:rFonts w:cs="Arial"/>
          <w:b/>
          <w:lang w:val="en-US"/>
        </w:rPr>
        <w:lastRenderedPageBreak/>
        <w:t>3</w:t>
      </w:r>
      <w:r w:rsidR="00CE3195" w:rsidRPr="00772F2F">
        <w:rPr>
          <w:rFonts w:cs="Arial"/>
          <w:b/>
          <w:lang w:val="en-US"/>
        </w:rPr>
        <w:t xml:space="preserve">. Exchange of information </w:t>
      </w:r>
      <w:r w:rsidR="00D727E3">
        <w:rPr>
          <w:rFonts w:cs="Arial"/>
          <w:b/>
          <w:lang w:val="en-US"/>
        </w:rPr>
        <w:t>among</w:t>
      </w:r>
      <w:r w:rsidR="00CE3195" w:rsidRPr="00772F2F">
        <w:rPr>
          <w:rFonts w:cs="Arial"/>
          <w:b/>
          <w:lang w:val="en-US"/>
        </w:rPr>
        <w:t xml:space="preserve"> the </w:t>
      </w:r>
      <w:r w:rsidR="00CE3195">
        <w:rPr>
          <w:rFonts w:cs="Arial"/>
          <w:b/>
          <w:lang w:val="en-US"/>
        </w:rPr>
        <w:t xml:space="preserve">pdG </w:t>
      </w:r>
      <w:r w:rsidR="00EC0810" w:rsidRPr="00772F2F">
        <w:rPr>
          <w:rFonts w:cs="Arial"/>
          <w:b/>
          <w:lang w:val="en-US"/>
        </w:rPr>
        <w:t xml:space="preserve">operators </w:t>
      </w:r>
      <w:r w:rsidR="00EC0810">
        <w:rPr>
          <w:rFonts w:cs="Arial"/>
          <w:b/>
          <w:lang w:val="en-US"/>
        </w:rPr>
        <w:t>to</w:t>
      </w:r>
      <w:r w:rsidR="00CE3195" w:rsidRPr="00772F2F">
        <w:rPr>
          <w:rFonts w:cs="Arial"/>
          <w:b/>
          <w:lang w:val="en-US"/>
        </w:rPr>
        <w:t xml:space="preserve"> </w:t>
      </w:r>
      <w:r w:rsidR="00CE3195">
        <w:rPr>
          <w:rFonts w:cs="Arial"/>
          <w:b/>
          <w:lang w:val="en-US"/>
        </w:rPr>
        <w:t>identify the definitive domino groups (ddG)</w:t>
      </w:r>
    </w:p>
    <w:p w14:paraId="62799217" w14:textId="27CEC39D" w:rsidR="00CE3195" w:rsidRPr="00772F2F" w:rsidRDefault="00CE3195" w:rsidP="005C28F4">
      <w:pPr>
        <w:rPr>
          <w:rFonts w:cs="Arial"/>
          <w:lang w:val="en-US"/>
        </w:rPr>
      </w:pPr>
      <w:r w:rsidRPr="00772F2F">
        <w:rPr>
          <w:rFonts w:cs="Arial"/>
          <w:lang w:val="en-US"/>
        </w:rPr>
        <w:t>The CA requires operators of the establishments belonging to the same pdG to share the information ne</w:t>
      </w:r>
      <w:r w:rsidR="00831155">
        <w:rPr>
          <w:rFonts w:cs="Arial"/>
          <w:lang w:val="en-US"/>
        </w:rPr>
        <w:t>eded</w:t>
      </w:r>
      <w:r w:rsidRPr="00772F2F">
        <w:rPr>
          <w:rFonts w:cs="Arial"/>
          <w:lang w:val="en-US"/>
        </w:rPr>
        <w:t xml:space="preserve"> to </w:t>
      </w:r>
      <w:r>
        <w:rPr>
          <w:rFonts w:cs="Arial"/>
          <w:lang w:val="en-US"/>
        </w:rPr>
        <w:t xml:space="preserve">allow </w:t>
      </w:r>
      <w:r w:rsidRPr="00772F2F">
        <w:rPr>
          <w:rFonts w:cs="Arial"/>
          <w:lang w:val="en-US"/>
        </w:rPr>
        <w:t xml:space="preserve">to check the </w:t>
      </w:r>
      <w:r>
        <w:rPr>
          <w:rFonts w:cs="Arial"/>
          <w:lang w:val="en-US"/>
        </w:rPr>
        <w:t xml:space="preserve">actual </w:t>
      </w:r>
      <w:r w:rsidRPr="00772F2F">
        <w:rPr>
          <w:rFonts w:cs="Arial"/>
          <w:lang w:val="en-US"/>
        </w:rPr>
        <w:t xml:space="preserve">likelihood of domino effects and, if so, to review and </w:t>
      </w:r>
      <w:r>
        <w:rPr>
          <w:rFonts w:cs="Arial"/>
          <w:lang w:val="en-US"/>
        </w:rPr>
        <w:t>adjourn</w:t>
      </w:r>
      <w:r w:rsidRPr="00772F2F">
        <w:rPr>
          <w:rFonts w:cs="Arial"/>
          <w:lang w:val="en-US"/>
        </w:rPr>
        <w:t xml:space="preserve">, </w:t>
      </w:r>
      <w:r w:rsidR="005B6C77">
        <w:rPr>
          <w:rFonts w:cs="Arial"/>
          <w:lang w:val="en-US"/>
        </w:rPr>
        <w:t>g</w:t>
      </w:r>
      <w:r w:rsidRPr="00772F2F">
        <w:rPr>
          <w:rFonts w:cs="Arial"/>
          <w:lang w:val="en-US"/>
        </w:rPr>
        <w:t>ive</w:t>
      </w:r>
      <w:r w:rsidR="005B6C77">
        <w:rPr>
          <w:rFonts w:cs="Arial"/>
          <w:lang w:val="en-US"/>
        </w:rPr>
        <w:t>n</w:t>
      </w:r>
      <w:r w:rsidRPr="00772F2F">
        <w:rPr>
          <w:rFonts w:cs="Arial"/>
          <w:lang w:val="en-US"/>
        </w:rPr>
        <w:t xml:space="preserve"> the nature and extent of the overall hazard of major accidents, the relevant </w:t>
      </w:r>
      <w:r>
        <w:rPr>
          <w:rFonts w:cs="Arial"/>
          <w:lang w:val="en-US"/>
        </w:rPr>
        <w:t>Seveso obligations (M</w:t>
      </w:r>
      <w:r w:rsidRPr="00772F2F">
        <w:rPr>
          <w:rFonts w:cs="Arial"/>
          <w:lang w:val="en-US"/>
        </w:rPr>
        <w:t xml:space="preserve">ajor </w:t>
      </w:r>
      <w:r>
        <w:rPr>
          <w:rFonts w:cs="Arial"/>
          <w:lang w:val="en-US"/>
        </w:rPr>
        <w:t>A</w:t>
      </w:r>
      <w:r w:rsidRPr="00772F2F">
        <w:rPr>
          <w:rFonts w:cs="Arial"/>
          <w:lang w:val="en-US"/>
        </w:rPr>
        <w:t xml:space="preserve">ccident </w:t>
      </w:r>
      <w:r>
        <w:rPr>
          <w:rFonts w:cs="Arial"/>
          <w:lang w:val="en-US"/>
        </w:rPr>
        <w:t>P</w:t>
      </w:r>
      <w:r w:rsidRPr="00772F2F">
        <w:rPr>
          <w:rFonts w:cs="Arial"/>
          <w:lang w:val="en-US"/>
        </w:rPr>
        <w:t xml:space="preserve">revention </w:t>
      </w:r>
      <w:r>
        <w:rPr>
          <w:rFonts w:cs="Arial"/>
          <w:lang w:val="en-US"/>
        </w:rPr>
        <w:t>P</w:t>
      </w:r>
      <w:r w:rsidRPr="00772F2F">
        <w:rPr>
          <w:rFonts w:cs="Arial"/>
          <w:lang w:val="en-US"/>
        </w:rPr>
        <w:t xml:space="preserve">olicy, Safety Management Systems, Safety Reports, internal emergency Plans, </w:t>
      </w:r>
      <w:r>
        <w:rPr>
          <w:rFonts w:cs="Arial"/>
          <w:lang w:val="en-US"/>
        </w:rPr>
        <w:t>etc.)</w:t>
      </w:r>
      <w:r w:rsidRPr="00772F2F">
        <w:rPr>
          <w:rFonts w:cs="Arial"/>
          <w:lang w:val="en-US"/>
        </w:rPr>
        <w:t>.</w:t>
      </w:r>
    </w:p>
    <w:p w14:paraId="62799218" w14:textId="07A6EF67" w:rsidR="00CE3195" w:rsidRPr="009B1D60" w:rsidRDefault="00CE3195" w:rsidP="005C28F4">
      <w:pPr>
        <w:rPr>
          <w:rFonts w:cs="Arial"/>
          <w:lang w:val="en-US"/>
        </w:rPr>
      </w:pPr>
      <w:r w:rsidRPr="009B1D60">
        <w:rPr>
          <w:rFonts w:cs="Arial"/>
          <w:lang w:val="en-US"/>
        </w:rPr>
        <w:t xml:space="preserve">The inclusion of an establishment in a </w:t>
      </w:r>
      <w:r w:rsidRPr="009E0644">
        <w:rPr>
          <w:rFonts w:cs="Arial"/>
          <w:lang w:val="en-US"/>
        </w:rPr>
        <w:t>pdG</w:t>
      </w:r>
      <w:r w:rsidRPr="009B1D60">
        <w:rPr>
          <w:rFonts w:cs="Arial"/>
          <w:lang w:val="en-US"/>
        </w:rPr>
        <w:t xml:space="preserve"> </w:t>
      </w:r>
      <w:r>
        <w:rPr>
          <w:rFonts w:cs="Arial"/>
          <w:lang w:val="en-US"/>
        </w:rPr>
        <w:t xml:space="preserve">needs, for </w:t>
      </w:r>
      <w:r w:rsidRPr="009B1D60">
        <w:rPr>
          <w:rFonts w:cs="Arial"/>
          <w:lang w:val="en-US"/>
        </w:rPr>
        <w:t xml:space="preserve">the operators concerned, </w:t>
      </w:r>
      <w:r>
        <w:rPr>
          <w:rFonts w:cs="Arial"/>
          <w:lang w:val="en-US"/>
        </w:rPr>
        <w:t xml:space="preserve">a </w:t>
      </w:r>
      <w:r w:rsidRPr="009B1D60">
        <w:rPr>
          <w:rFonts w:cs="Arial"/>
          <w:lang w:val="en-US"/>
        </w:rPr>
        <w:t xml:space="preserve">further analysis of the situation, </w:t>
      </w:r>
      <w:r w:rsidR="00F81650" w:rsidRPr="009B1D60">
        <w:rPr>
          <w:rFonts w:cs="Arial"/>
          <w:lang w:val="en-US"/>
        </w:rPr>
        <w:t>to</w:t>
      </w:r>
      <w:r w:rsidRPr="009B1D60">
        <w:rPr>
          <w:rFonts w:cs="Arial"/>
          <w:lang w:val="en-US"/>
        </w:rPr>
        <w:t xml:space="preserve"> responsibly</w:t>
      </w:r>
      <w:r w:rsidRPr="009E0644">
        <w:rPr>
          <w:rFonts w:cs="Arial"/>
          <w:lang w:val="en-US"/>
        </w:rPr>
        <w:t xml:space="preserve"> </w:t>
      </w:r>
      <w:r w:rsidRPr="009B1D60">
        <w:rPr>
          <w:rFonts w:cs="Arial"/>
          <w:lang w:val="en-US"/>
        </w:rPr>
        <w:t>exclude</w:t>
      </w:r>
      <w:r>
        <w:rPr>
          <w:rFonts w:cs="Arial"/>
          <w:lang w:val="en-US"/>
        </w:rPr>
        <w:t xml:space="preserve"> </w:t>
      </w:r>
      <w:r w:rsidRPr="009B1D60">
        <w:rPr>
          <w:rFonts w:cs="Arial"/>
          <w:lang w:val="en-US"/>
        </w:rPr>
        <w:t xml:space="preserve">the possibility of occurrence of domino effects </w:t>
      </w:r>
      <w:r>
        <w:rPr>
          <w:rFonts w:cs="Arial"/>
          <w:lang w:val="en-US"/>
        </w:rPr>
        <w:t xml:space="preserve">between the </w:t>
      </w:r>
      <w:r w:rsidRPr="009B1D60">
        <w:rPr>
          <w:rFonts w:cs="Arial"/>
          <w:lang w:val="en-US"/>
        </w:rPr>
        <w:t>establishment</w:t>
      </w:r>
      <w:r>
        <w:rPr>
          <w:rFonts w:cs="Arial"/>
          <w:lang w:val="en-US"/>
        </w:rPr>
        <w:t>s concerned</w:t>
      </w:r>
      <w:r w:rsidRPr="009B1D60">
        <w:rPr>
          <w:rFonts w:cs="Arial"/>
          <w:lang w:val="en-US"/>
        </w:rPr>
        <w:t>.</w:t>
      </w:r>
    </w:p>
    <w:p w14:paraId="62799219" w14:textId="4FE62C59" w:rsidR="00CE3195" w:rsidRPr="00534525" w:rsidRDefault="00CE3195" w:rsidP="005C28F4">
      <w:pPr>
        <w:rPr>
          <w:rFonts w:cs="Arial"/>
          <w:lang w:val="en-US"/>
        </w:rPr>
      </w:pPr>
      <w:r w:rsidRPr="00534525">
        <w:rPr>
          <w:rFonts w:cs="Arial"/>
          <w:lang w:val="en-US"/>
        </w:rPr>
        <w:t xml:space="preserve">Any special circumstances that may determine the possibility of </w:t>
      </w:r>
      <w:r w:rsidR="002C26FE">
        <w:rPr>
          <w:rFonts w:cs="Arial"/>
          <w:lang w:val="en-US"/>
        </w:rPr>
        <w:t>an </w:t>
      </w:r>
      <w:r w:rsidRPr="00534525">
        <w:rPr>
          <w:rFonts w:cs="Arial"/>
          <w:lang w:val="en-US"/>
        </w:rPr>
        <w:t>inter-establishment domino effect for conditions less h</w:t>
      </w:r>
      <w:r>
        <w:rPr>
          <w:rFonts w:cs="Arial"/>
          <w:lang w:val="en-US"/>
        </w:rPr>
        <w:t xml:space="preserve">eavy </w:t>
      </w:r>
      <w:r w:rsidRPr="00534525">
        <w:rPr>
          <w:rFonts w:cs="Arial"/>
          <w:lang w:val="en-US"/>
        </w:rPr>
        <w:t xml:space="preserve">than those that led to the identification of pdG, should be responsibly highlighted at this stage by the operator and </w:t>
      </w:r>
      <w:r>
        <w:rPr>
          <w:rFonts w:cs="Arial"/>
          <w:lang w:val="en-US"/>
        </w:rPr>
        <w:t xml:space="preserve">considered as </w:t>
      </w:r>
      <w:r w:rsidR="002C26FE">
        <w:rPr>
          <w:rFonts w:cs="Arial"/>
          <w:lang w:val="en-US"/>
        </w:rPr>
        <w:t>the </w:t>
      </w:r>
      <w:r w:rsidRPr="00534525">
        <w:rPr>
          <w:rFonts w:cs="Arial"/>
          <w:lang w:val="en-US"/>
        </w:rPr>
        <w:t>bas</w:t>
      </w:r>
      <w:r>
        <w:rPr>
          <w:rFonts w:cs="Arial"/>
          <w:lang w:val="en-US"/>
        </w:rPr>
        <w:t>is</w:t>
      </w:r>
      <w:r w:rsidRPr="00534525">
        <w:rPr>
          <w:rFonts w:cs="Arial"/>
          <w:lang w:val="en-US"/>
        </w:rPr>
        <w:t xml:space="preserve"> </w:t>
      </w:r>
      <w:r>
        <w:rPr>
          <w:rFonts w:cs="Arial"/>
          <w:lang w:val="en-US"/>
        </w:rPr>
        <w:t>for</w:t>
      </w:r>
      <w:r w:rsidRPr="00534525">
        <w:rPr>
          <w:rFonts w:cs="Arial"/>
          <w:lang w:val="en-US"/>
        </w:rPr>
        <w:t xml:space="preserve"> the identification of domino effects themselves.</w:t>
      </w:r>
    </w:p>
    <w:p w14:paraId="6279921A" w14:textId="77777777" w:rsidR="00CE3195" w:rsidRPr="00534525" w:rsidRDefault="00CE3195" w:rsidP="005C28F4">
      <w:pPr>
        <w:rPr>
          <w:rFonts w:cs="Arial"/>
          <w:lang w:val="en-US"/>
        </w:rPr>
      </w:pPr>
      <w:r w:rsidRPr="00CB0829">
        <w:rPr>
          <w:rFonts w:cs="Arial"/>
          <w:lang w:val="en-US"/>
        </w:rPr>
        <w:t xml:space="preserve">Based on the results of the domino effects identification </w:t>
      </w:r>
      <w:r>
        <w:rPr>
          <w:rFonts w:cs="Arial"/>
          <w:lang w:val="en-US"/>
        </w:rPr>
        <w:t xml:space="preserve">carried out </w:t>
      </w:r>
      <w:r w:rsidRPr="00CB0829">
        <w:rPr>
          <w:rFonts w:cs="Arial"/>
          <w:lang w:val="en-US"/>
        </w:rPr>
        <w:t>by the operators of establishments belonging to preliminary domino Groups (</w:t>
      </w:r>
      <w:r>
        <w:rPr>
          <w:rFonts w:cs="Arial"/>
          <w:lang w:val="en-US"/>
        </w:rPr>
        <w:t>pdG</w:t>
      </w:r>
      <w:r w:rsidRPr="00CB0829">
        <w:rPr>
          <w:rFonts w:cs="Arial"/>
          <w:lang w:val="en-US"/>
        </w:rPr>
        <w:t xml:space="preserve">), </w:t>
      </w:r>
      <w:r>
        <w:rPr>
          <w:rFonts w:cs="Arial"/>
          <w:lang w:val="en-US"/>
        </w:rPr>
        <w:t xml:space="preserve">the definitive </w:t>
      </w:r>
      <w:r w:rsidRPr="00CB0829">
        <w:rPr>
          <w:rFonts w:cs="Arial"/>
          <w:lang w:val="en-US"/>
        </w:rPr>
        <w:t>domino</w:t>
      </w:r>
      <w:r w:rsidRPr="00183049">
        <w:rPr>
          <w:rFonts w:cs="Arial"/>
          <w:lang w:val="en-US"/>
        </w:rPr>
        <w:t xml:space="preserve"> </w:t>
      </w:r>
      <w:r w:rsidRPr="00CB0829">
        <w:rPr>
          <w:rFonts w:cs="Arial"/>
          <w:lang w:val="en-US"/>
        </w:rPr>
        <w:t>Groups (</w:t>
      </w:r>
      <w:r>
        <w:rPr>
          <w:rFonts w:cs="Arial"/>
          <w:lang w:val="en-US"/>
        </w:rPr>
        <w:t>ddG</w:t>
      </w:r>
      <w:r w:rsidRPr="00CB0829">
        <w:rPr>
          <w:rFonts w:cs="Arial"/>
          <w:lang w:val="en-US"/>
        </w:rPr>
        <w:t>)</w:t>
      </w:r>
      <w:r>
        <w:rPr>
          <w:rFonts w:cs="Arial"/>
          <w:lang w:val="en-US"/>
        </w:rPr>
        <w:t xml:space="preserve"> </w:t>
      </w:r>
      <w:r w:rsidRPr="00CB0829">
        <w:rPr>
          <w:rFonts w:cs="Arial"/>
          <w:lang w:val="en-US"/>
        </w:rPr>
        <w:t>will be identified</w:t>
      </w:r>
      <w:r>
        <w:rPr>
          <w:rFonts w:cs="Arial"/>
          <w:lang w:val="en-US"/>
        </w:rPr>
        <w:t>.</w:t>
      </w:r>
    </w:p>
    <w:p w14:paraId="6279921B" w14:textId="77777777" w:rsidR="00CE3195" w:rsidRPr="009E0644" w:rsidRDefault="00CE3195" w:rsidP="005C28F4">
      <w:pPr>
        <w:rPr>
          <w:rFonts w:cs="Arial"/>
          <w:lang w:val="en-US"/>
        </w:rPr>
      </w:pPr>
      <w:r>
        <w:rPr>
          <w:rFonts w:cs="Arial"/>
          <w:lang w:val="en-US"/>
        </w:rPr>
        <w:t>S</w:t>
      </w:r>
      <w:r w:rsidRPr="009E0644">
        <w:rPr>
          <w:rFonts w:cs="Arial"/>
          <w:lang w:val="en-US"/>
        </w:rPr>
        <w:t xml:space="preserve">ome essential elements </w:t>
      </w:r>
      <w:r>
        <w:rPr>
          <w:rFonts w:cs="Arial"/>
          <w:lang w:val="en-US"/>
        </w:rPr>
        <w:t xml:space="preserve">to be considered </w:t>
      </w:r>
      <w:r w:rsidRPr="009E0644">
        <w:rPr>
          <w:rFonts w:cs="Arial"/>
          <w:lang w:val="en-US"/>
        </w:rPr>
        <w:t xml:space="preserve">for </w:t>
      </w:r>
      <w:r>
        <w:rPr>
          <w:rFonts w:cs="Arial"/>
          <w:lang w:val="en-US"/>
        </w:rPr>
        <w:t xml:space="preserve">an effective </w:t>
      </w:r>
      <w:r w:rsidRPr="009E0644">
        <w:rPr>
          <w:rFonts w:cs="Arial"/>
          <w:lang w:val="en-US"/>
        </w:rPr>
        <w:t>exchange of information between operators</w:t>
      </w:r>
      <w:r>
        <w:rPr>
          <w:rFonts w:cs="Arial"/>
          <w:lang w:val="en-US"/>
        </w:rPr>
        <w:t xml:space="preserve"> are pointed out below</w:t>
      </w:r>
      <w:r w:rsidRPr="009E0644">
        <w:rPr>
          <w:rFonts w:cs="Arial"/>
          <w:lang w:val="en-US"/>
        </w:rPr>
        <w:t>.</w:t>
      </w:r>
    </w:p>
    <w:p w14:paraId="6279921C" w14:textId="2B91D9E4" w:rsidR="00CE3195" w:rsidRPr="006E676A" w:rsidRDefault="005B6C77" w:rsidP="005C28F4">
      <w:pPr>
        <w:rPr>
          <w:rFonts w:cs="Arial"/>
          <w:lang w:val="en-US"/>
        </w:rPr>
      </w:pPr>
      <w:r>
        <w:rPr>
          <w:rFonts w:cs="Arial"/>
          <w:lang w:val="en-US"/>
        </w:rPr>
        <w:t>First</w:t>
      </w:r>
      <w:r w:rsidR="00A74AA0">
        <w:rPr>
          <w:rFonts w:cs="Arial"/>
          <w:lang w:val="en-US"/>
        </w:rPr>
        <w:t>,</w:t>
      </w:r>
      <w:r w:rsidR="00CE3195">
        <w:rPr>
          <w:rFonts w:cs="Arial"/>
          <w:lang w:val="en-US"/>
        </w:rPr>
        <w:t xml:space="preserve"> </w:t>
      </w:r>
      <w:r w:rsidR="00CE3195" w:rsidRPr="006E676A">
        <w:rPr>
          <w:rFonts w:cs="Arial"/>
          <w:lang w:val="en-US"/>
        </w:rPr>
        <w:t xml:space="preserve">the operators </w:t>
      </w:r>
      <w:r w:rsidR="00831155">
        <w:rPr>
          <w:rFonts w:cs="Arial"/>
          <w:lang w:val="en-US"/>
        </w:rPr>
        <w:t>must</w:t>
      </w:r>
      <w:r w:rsidR="00CE3195">
        <w:rPr>
          <w:rFonts w:cs="Arial"/>
          <w:lang w:val="en-US"/>
        </w:rPr>
        <w:t xml:space="preserve"> </w:t>
      </w:r>
      <w:r w:rsidR="00CE3195" w:rsidRPr="006E676A">
        <w:rPr>
          <w:rFonts w:cs="Arial"/>
          <w:lang w:val="en-US"/>
        </w:rPr>
        <w:t>identif</w:t>
      </w:r>
      <w:r w:rsidR="00CE3195">
        <w:rPr>
          <w:rFonts w:cs="Arial"/>
          <w:lang w:val="en-US"/>
        </w:rPr>
        <w:t xml:space="preserve">y </w:t>
      </w:r>
      <w:r w:rsidR="00CE3195" w:rsidRPr="006E676A">
        <w:rPr>
          <w:rFonts w:cs="Arial"/>
          <w:lang w:val="en-US"/>
        </w:rPr>
        <w:t xml:space="preserve">where </w:t>
      </w:r>
      <w:r w:rsidR="003833D6" w:rsidRPr="006E676A">
        <w:rPr>
          <w:rFonts w:cs="Arial"/>
          <w:lang w:val="en-US"/>
        </w:rPr>
        <w:t>vulnerable fixed, mobile or temporary targets are effectively placed</w:t>
      </w:r>
      <w:r w:rsidR="00CE3195" w:rsidRPr="006E676A">
        <w:rPr>
          <w:rFonts w:cs="Arial"/>
          <w:lang w:val="en-US"/>
        </w:rPr>
        <w:t>, within the impact area</w:t>
      </w:r>
      <w:r w:rsidR="00831155">
        <w:rPr>
          <w:rFonts w:cs="Arial"/>
          <w:lang w:val="en-US"/>
        </w:rPr>
        <w:t xml:space="preserve">, </w:t>
      </w:r>
      <w:r w:rsidR="00A74AA0">
        <w:rPr>
          <w:rFonts w:cs="Arial"/>
          <w:lang w:val="en-US"/>
        </w:rPr>
        <w:t>and </w:t>
      </w:r>
      <w:r w:rsidR="00831155">
        <w:rPr>
          <w:rFonts w:cs="Arial"/>
          <w:lang w:val="en-US"/>
        </w:rPr>
        <w:t>identified using the</w:t>
      </w:r>
      <w:r w:rsidR="00CE3195" w:rsidRPr="006E676A">
        <w:rPr>
          <w:rFonts w:cs="Arial"/>
          <w:lang w:val="en-US"/>
        </w:rPr>
        <w:t xml:space="preserve"> damage threshold </w:t>
      </w:r>
      <w:r w:rsidR="00831155">
        <w:rPr>
          <w:rFonts w:cs="Arial"/>
          <w:lang w:val="en-US"/>
        </w:rPr>
        <w:t xml:space="preserve">reported </w:t>
      </w:r>
      <w:r w:rsidR="00947275">
        <w:rPr>
          <w:rFonts w:cs="Arial"/>
          <w:lang w:val="en-US"/>
        </w:rPr>
        <w:t xml:space="preserve">in </w:t>
      </w:r>
      <w:r w:rsidR="00A74AA0">
        <w:rPr>
          <w:rFonts w:cs="Arial"/>
          <w:lang w:val="en-US"/>
        </w:rPr>
        <w:t>technical</w:t>
      </w:r>
      <w:r w:rsidR="00947275">
        <w:rPr>
          <w:rFonts w:cs="Arial"/>
          <w:lang w:val="en-US"/>
        </w:rPr>
        <w:t xml:space="preserve"> literature</w:t>
      </w:r>
      <w:r w:rsidR="00A74AA0">
        <w:rPr>
          <w:rFonts w:cs="Arial"/>
          <w:lang w:val="en-US"/>
        </w:rPr>
        <w:t xml:space="preserve"> and standards</w:t>
      </w:r>
      <w:r w:rsidR="00CE3195" w:rsidRPr="006E676A">
        <w:rPr>
          <w:rFonts w:cs="Arial"/>
          <w:lang w:val="en-US"/>
        </w:rPr>
        <w:t>.</w:t>
      </w:r>
    </w:p>
    <w:p w14:paraId="6279921D" w14:textId="013DA19B" w:rsidR="00CE3195" w:rsidRPr="006E676A" w:rsidRDefault="00CE3195" w:rsidP="005C28F4">
      <w:pPr>
        <w:rPr>
          <w:rFonts w:cs="Arial"/>
          <w:lang w:val="en-US"/>
        </w:rPr>
      </w:pPr>
      <w:r w:rsidRPr="006E676A">
        <w:rPr>
          <w:rFonts w:cs="Arial"/>
          <w:lang w:val="en-US"/>
        </w:rPr>
        <w:t>For the assessment of the domino effect</w:t>
      </w:r>
      <w:r w:rsidR="00A74AA0">
        <w:rPr>
          <w:rFonts w:cs="Arial"/>
          <w:lang w:val="en-US"/>
        </w:rPr>
        <w:t>,</w:t>
      </w:r>
      <w:r w:rsidRPr="006E676A">
        <w:rPr>
          <w:rFonts w:cs="Arial"/>
          <w:lang w:val="en-US"/>
        </w:rPr>
        <w:t xml:space="preserve"> each </w:t>
      </w:r>
      <w:r>
        <w:rPr>
          <w:rFonts w:cs="Arial"/>
          <w:lang w:val="en-US"/>
        </w:rPr>
        <w:t xml:space="preserve">pdG </w:t>
      </w:r>
      <w:r w:rsidRPr="006E676A">
        <w:rPr>
          <w:rFonts w:cs="Arial"/>
          <w:lang w:val="en-US"/>
        </w:rPr>
        <w:t>operator</w:t>
      </w:r>
      <w:r>
        <w:rPr>
          <w:rFonts w:cs="Arial"/>
          <w:lang w:val="en-US"/>
        </w:rPr>
        <w:t xml:space="preserve"> </w:t>
      </w:r>
      <w:r w:rsidR="00831155">
        <w:rPr>
          <w:rFonts w:cs="Arial"/>
          <w:lang w:val="en-US"/>
        </w:rPr>
        <w:t>must</w:t>
      </w:r>
      <w:r>
        <w:rPr>
          <w:rFonts w:cs="Arial"/>
          <w:lang w:val="en-US"/>
        </w:rPr>
        <w:t>:</w:t>
      </w:r>
    </w:p>
    <w:p w14:paraId="6279921E" w14:textId="36DC4E49" w:rsidR="00CE3195" w:rsidRPr="009E0644" w:rsidRDefault="00CE3195" w:rsidP="00A74AA0">
      <w:pPr>
        <w:pStyle w:val="Paragrafoelenco"/>
        <w:numPr>
          <w:ilvl w:val="0"/>
          <w:numId w:val="33"/>
        </w:numPr>
        <w:tabs>
          <w:tab w:val="clear" w:pos="7100"/>
        </w:tabs>
        <w:contextualSpacing w:val="0"/>
        <w:rPr>
          <w:rFonts w:cs="Arial"/>
          <w:lang w:val="en-US"/>
        </w:rPr>
      </w:pPr>
      <w:r w:rsidRPr="009E0644">
        <w:rPr>
          <w:rFonts w:cs="Arial"/>
          <w:lang w:val="en-US"/>
        </w:rPr>
        <w:t>identif</w:t>
      </w:r>
      <w:r>
        <w:rPr>
          <w:rFonts w:cs="Arial"/>
          <w:lang w:val="en-US"/>
        </w:rPr>
        <w:t>y</w:t>
      </w:r>
      <w:r w:rsidRPr="009E0644">
        <w:rPr>
          <w:rFonts w:cs="Arial"/>
          <w:lang w:val="en-US"/>
        </w:rPr>
        <w:t xml:space="preserve"> the most significant objectives (targets, e.g. tanks, large equipment</w:t>
      </w:r>
      <w:r w:rsidR="00A74AA0">
        <w:rPr>
          <w:rFonts w:cs="Arial"/>
          <w:lang w:val="en-US"/>
        </w:rPr>
        <w:t>,</w:t>
      </w:r>
      <w:r w:rsidRPr="009E0644">
        <w:rPr>
          <w:rFonts w:cs="Arial"/>
          <w:lang w:val="en-US"/>
        </w:rPr>
        <w:t xml:space="preserve"> or pipelines containing toxic or very toxic substances, flammable liquefied gas, flammable liquids, storage of combustible and explosive substances, etc.)</w:t>
      </w:r>
      <w:r>
        <w:rPr>
          <w:rFonts w:cs="Arial"/>
          <w:lang w:val="en-US"/>
        </w:rPr>
        <w:t xml:space="preserve">, </w:t>
      </w:r>
      <w:r w:rsidR="002A2E86">
        <w:rPr>
          <w:rFonts w:cs="Arial"/>
          <w:lang w:val="en-US"/>
        </w:rPr>
        <w:t xml:space="preserve">in </w:t>
      </w:r>
      <w:r w:rsidRPr="009E0644">
        <w:rPr>
          <w:rFonts w:cs="Arial"/>
          <w:lang w:val="en-US"/>
        </w:rPr>
        <w:t>the damage</w:t>
      </w:r>
      <w:r w:rsidR="00A74AA0">
        <w:rPr>
          <w:rFonts w:cs="Arial"/>
          <w:lang w:val="en-US"/>
        </w:rPr>
        <w:t>d</w:t>
      </w:r>
      <w:r w:rsidRPr="009E0644">
        <w:rPr>
          <w:rFonts w:cs="Arial"/>
          <w:lang w:val="en-US"/>
        </w:rPr>
        <w:t xml:space="preserve"> area </w:t>
      </w:r>
      <w:r>
        <w:rPr>
          <w:rFonts w:cs="Arial"/>
          <w:lang w:val="en-US"/>
        </w:rPr>
        <w:t xml:space="preserve">associated </w:t>
      </w:r>
      <w:r w:rsidR="00A74AA0">
        <w:rPr>
          <w:rFonts w:cs="Arial"/>
          <w:lang w:val="en-US"/>
        </w:rPr>
        <w:t>wi</w:t>
      </w:r>
      <w:r>
        <w:rPr>
          <w:rFonts w:cs="Arial"/>
          <w:lang w:val="en-US"/>
        </w:rPr>
        <w:t>t</w:t>
      </w:r>
      <w:r w:rsidR="00A74AA0">
        <w:rPr>
          <w:rFonts w:cs="Arial"/>
          <w:lang w:val="en-US"/>
        </w:rPr>
        <w:t>h</w:t>
      </w:r>
      <w:r>
        <w:rPr>
          <w:rFonts w:cs="Arial"/>
          <w:lang w:val="en-US"/>
        </w:rPr>
        <w:t xml:space="preserve"> </w:t>
      </w:r>
      <w:r w:rsidRPr="009E0644">
        <w:rPr>
          <w:rFonts w:cs="Arial"/>
          <w:lang w:val="en-US"/>
        </w:rPr>
        <w:t xml:space="preserve">the possible accident caused by domino effect; this area is dependent on the inherent </w:t>
      </w:r>
      <w:r>
        <w:rPr>
          <w:rFonts w:cs="Arial"/>
          <w:lang w:val="en-US"/>
        </w:rPr>
        <w:t xml:space="preserve">hazard </w:t>
      </w:r>
      <w:r w:rsidRPr="009E0644">
        <w:rPr>
          <w:rFonts w:cs="Arial"/>
          <w:lang w:val="en-US"/>
        </w:rPr>
        <w:t xml:space="preserve">of the equipment (resulting from the type of substance, the amount present in the target, the operating conditions, the structural conditions), </w:t>
      </w:r>
      <w:r>
        <w:rPr>
          <w:rFonts w:cs="Arial"/>
          <w:lang w:val="en-US"/>
        </w:rPr>
        <w:t xml:space="preserve">its location </w:t>
      </w:r>
      <w:r w:rsidRPr="009E0644">
        <w:rPr>
          <w:rFonts w:cs="Arial"/>
          <w:lang w:val="en-US"/>
        </w:rPr>
        <w:t>(connected to the plant configuration, the position</w:t>
      </w:r>
      <w:r>
        <w:rPr>
          <w:rFonts w:cs="Arial"/>
          <w:lang w:val="en-US"/>
        </w:rPr>
        <w:t xml:space="preserve"> on </w:t>
      </w:r>
      <w:r w:rsidRPr="009E0644">
        <w:rPr>
          <w:rFonts w:cs="Arial"/>
          <w:lang w:val="en-US"/>
        </w:rPr>
        <w:t>the ground, the view factors, the presence and efficiency of active and passive protection) and the type of scenario</w:t>
      </w:r>
      <w:r>
        <w:rPr>
          <w:rFonts w:cs="Arial"/>
          <w:lang w:val="en-US"/>
        </w:rPr>
        <w:t>;</w:t>
      </w:r>
    </w:p>
    <w:p w14:paraId="6279921F" w14:textId="556F49E5" w:rsidR="00CE3195" w:rsidRPr="00AD2D42" w:rsidRDefault="00CE3195" w:rsidP="00A74AA0">
      <w:pPr>
        <w:pStyle w:val="Paragrafoelenco"/>
        <w:numPr>
          <w:ilvl w:val="0"/>
          <w:numId w:val="33"/>
        </w:numPr>
        <w:tabs>
          <w:tab w:val="clear" w:pos="7100"/>
        </w:tabs>
        <w:contextualSpacing w:val="0"/>
        <w:rPr>
          <w:rFonts w:cs="Arial"/>
          <w:lang w:val="en-US"/>
        </w:rPr>
      </w:pPr>
      <w:r>
        <w:rPr>
          <w:rFonts w:cs="Arial"/>
          <w:lang w:val="en-US"/>
        </w:rPr>
        <w:t>estimate</w:t>
      </w:r>
      <w:r w:rsidRPr="00AD2D42">
        <w:rPr>
          <w:rFonts w:cs="Arial"/>
          <w:lang w:val="en-US"/>
        </w:rPr>
        <w:t xml:space="preserve"> the probability that, given a certain physical effect on a vulnerable target, the possible damage </w:t>
      </w:r>
      <w:r>
        <w:rPr>
          <w:rFonts w:cs="Arial"/>
          <w:lang w:val="en-US"/>
        </w:rPr>
        <w:t xml:space="preserve">does </w:t>
      </w:r>
      <w:r w:rsidR="006E7781" w:rsidRPr="00AD2D42">
        <w:rPr>
          <w:rFonts w:cs="Arial"/>
          <w:lang w:val="en-US"/>
        </w:rPr>
        <w:t>take</w:t>
      </w:r>
      <w:r>
        <w:rPr>
          <w:rFonts w:cs="Arial"/>
          <w:lang w:val="en-US"/>
        </w:rPr>
        <w:t xml:space="preserve"> place</w:t>
      </w:r>
      <w:r w:rsidRPr="00AD2D42">
        <w:rPr>
          <w:rFonts w:cs="Arial"/>
          <w:lang w:val="en-US"/>
        </w:rPr>
        <w:t>, i</w:t>
      </w:r>
      <w:r>
        <w:rPr>
          <w:rFonts w:cs="Arial"/>
          <w:lang w:val="en-US"/>
        </w:rPr>
        <w:t xml:space="preserve">.e. </w:t>
      </w:r>
      <w:r w:rsidRPr="00AD2D42">
        <w:rPr>
          <w:rFonts w:cs="Arial"/>
          <w:lang w:val="en-US"/>
        </w:rPr>
        <w:t xml:space="preserve">the probability of domino effect, given the source </w:t>
      </w:r>
      <w:r w:rsidR="003833D6" w:rsidRPr="00AD2D42">
        <w:rPr>
          <w:rFonts w:cs="Arial"/>
          <w:lang w:val="en-US"/>
        </w:rPr>
        <w:t>scenario</w:t>
      </w:r>
      <w:r w:rsidR="003833D6">
        <w:rPr>
          <w:rFonts w:cs="Arial"/>
          <w:lang w:val="en-US"/>
        </w:rPr>
        <w:t>.</w:t>
      </w:r>
      <w:r w:rsidRPr="00AD2D42">
        <w:rPr>
          <w:rFonts w:cs="Arial"/>
          <w:lang w:val="en-US"/>
        </w:rPr>
        <w:t xml:space="preserve"> </w:t>
      </w:r>
    </w:p>
    <w:p w14:paraId="62799220" w14:textId="77777777" w:rsidR="00CE3195" w:rsidRPr="00D34A77" w:rsidRDefault="00CE3195" w:rsidP="00A74AA0">
      <w:pPr>
        <w:pStyle w:val="Paragrafoelenco"/>
        <w:numPr>
          <w:ilvl w:val="0"/>
          <w:numId w:val="33"/>
        </w:numPr>
        <w:tabs>
          <w:tab w:val="clear" w:pos="7100"/>
        </w:tabs>
        <w:contextualSpacing w:val="0"/>
        <w:rPr>
          <w:rFonts w:cs="Arial"/>
          <w:lang w:val="en-US"/>
        </w:rPr>
      </w:pPr>
      <w:r w:rsidRPr="00D34A77">
        <w:rPr>
          <w:rFonts w:cs="Arial"/>
          <w:lang w:val="en-US"/>
        </w:rPr>
        <w:t>evaluate the e</w:t>
      </w:r>
      <w:r>
        <w:rPr>
          <w:rFonts w:cs="Arial"/>
          <w:lang w:val="en-US"/>
        </w:rPr>
        <w:t>scalation of the consequences due to the</w:t>
      </w:r>
      <w:r w:rsidRPr="00D34A77">
        <w:rPr>
          <w:rFonts w:cs="Arial"/>
          <w:lang w:val="en-US"/>
        </w:rPr>
        <w:t xml:space="preserve"> domino effect</w:t>
      </w:r>
      <w:r>
        <w:rPr>
          <w:rFonts w:cs="Arial"/>
          <w:lang w:val="en-US"/>
        </w:rPr>
        <w:t xml:space="preserve"> (</w:t>
      </w:r>
      <w:r w:rsidRPr="00D34A77">
        <w:rPr>
          <w:rFonts w:cs="Arial"/>
          <w:lang w:val="en-US"/>
        </w:rPr>
        <w:t>compar</w:t>
      </w:r>
      <w:r>
        <w:rPr>
          <w:rFonts w:cs="Arial"/>
          <w:lang w:val="en-US"/>
        </w:rPr>
        <w:t>ing</w:t>
      </w:r>
      <w:r w:rsidRPr="00D34A77">
        <w:rPr>
          <w:rFonts w:cs="Arial"/>
          <w:lang w:val="en-US"/>
        </w:rPr>
        <w:t xml:space="preserve"> </w:t>
      </w:r>
      <w:r>
        <w:rPr>
          <w:rFonts w:cs="Arial"/>
          <w:lang w:val="en-US"/>
        </w:rPr>
        <w:t xml:space="preserve">it with </w:t>
      </w:r>
      <w:r w:rsidRPr="00D34A77">
        <w:rPr>
          <w:rFonts w:cs="Arial"/>
          <w:lang w:val="en-US"/>
        </w:rPr>
        <w:t>the damage due to the source scenario</w:t>
      </w:r>
      <w:r>
        <w:rPr>
          <w:rFonts w:cs="Arial"/>
          <w:lang w:val="en-US"/>
        </w:rPr>
        <w:t>)</w:t>
      </w:r>
      <w:r w:rsidRPr="00D34A77">
        <w:rPr>
          <w:rFonts w:cs="Arial"/>
          <w:lang w:val="en-US"/>
        </w:rPr>
        <w:t xml:space="preserve">, </w:t>
      </w:r>
      <w:r>
        <w:rPr>
          <w:rFonts w:cs="Arial"/>
          <w:lang w:val="en-US"/>
        </w:rPr>
        <w:t xml:space="preserve">in terms </w:t>
      </w:r>
      <w:r w:rsidRPr="00D34A77">
        <w:rPr>
          <w:rFonts w:cs="Arial"/>
          <w:lang w:val="en-US"/>
        </w:rPr>
        <w:t>of effects on the structures (</w:t>
      </w:r>
      <w:r>
        <w:rPr>
          <w:rFonts w:cs="Arial"/>
          <w:lang w:val="en-US"/>
        </w:rPr>
        <w:t xml:space="preserve">which can </w:t>
      </w:r>
      <w:r w:rsidRPr="00D34A77">
        <w:rPr>
          <w:rFonts w:cs="Arial"/>
          <w:lang w:val="en-US"/>
        </w:rPr>
        <w:t>further propagate the accident</w:t>
      </w:r>
      <w:r>
        <w:rPr>
          <w:rFonts w:cs="Arial"/>
          <w:lang w:val="en-US"/>
        </w:rPr>
        <w:t xml:space="preserve">), </w:t>
      </w:r>
      <w:r w:rsidR="002A2E86">
        <w:rPr>
          <w:rFonts w:cs="Arial"/>
          <w:lang w:val="en-US"/>
        </w:rPr>
        <w:t>people</w:t>
      </w:r>
      <w:r w:rsidRPr="00D34A77">
        <w:rPr>
          <w:rFonts w:cs="Arial"/>
          <w:lang w:val="en-US"/>
        </w:rPr>
        <w:t xml:space="preserve"> (</w:t>
      </w:r>
      <w:r>
        <w:rPr>
          <w:rFonts w:cs="Arial"/>
          <w:lang w:val="en-US"/>
        </w:rPr>
        <w:t xml:space="preserve">paying attention to </w:t>
      </w:r>
      <w:r w:rsidRPr="00D34A77">
        <w:rPr>
          <w:rFonts w:cs="Arial"/>
          <w:lang w:val="en-US"/>
        </w:rPr>
        <w:t>targets that can cause fatalities outside of the establishment bound</w:t>
      </w:r>
      <w:r>
        <w:rPr>
          <w:rFonts w:cs="Arial"/>
          <w:lang w:val="en-US"/>
        </w:rPr>
        <w:t>aries</w:t>
      </w:r>
      <w:r w:rsidRPr="00D34A77">
        <w:rPr>
          <w:rFonts w:cs="Arial"/>
          <w:lang w:val="en-US"/>
        </w:rPr>
        <w:t>) and</w:t>
      </w:r>
      <w:r>
        <w:rPr>
          <w:rFonts w:cs="Arial"/>
          <w:lang w:val="en-US"/>
        </w:rPr>
        <w:t>/</w:t>
      </w:r>
      <w:r w:rsidRPr="00D34A77">
        <w:rPr>
          <w:rFonts w:cs="Arial"/>
          <w:lang w:val="en-US"/>
        </w:rPr>
        <w:t>or the environment (</w:t>
      </w:r>
      <w:r>
        <w:rPr>
          <w:rFonts w:cs="Arial"/>
          <w:lang w:val="en-US"/>
        </w:rPr>
        <w:t xml:space="preserve">also </w:t>
      </w:r>
      <w:r w:rsidRPr="00D34A77">
        <w:rPr>
          <w:rFonts w:cs="Arial"/>
          <w:lang w:val="en-US"/>
        </w:rPr>
        <w:t xml:space="preserve">targets that can cause significant damage to important environmental resources </w:t>
      </w:r>
      <w:r>
        <w:rPr>
          <w:rFonts w:cs="Arial"/>
          <w:lang w:val="en-US"/>
        </w:rPr>
        <w:t xml:space="preserve">have to </w:t>
      </w:r>
      <w:r w:rsidRPr="00D34A77">
        <w:rPr>
          <w:rFonts w:cs="Arial"/>
          <w:lang w:val="en-US"/>
        </w:rPr>
        <w:t>be considered)</w:t>
      </w:r>
      <w:r>
        <w:rPr>
          <w:rFonts w:cs="Arial"/>
          <w:lang w:val="en-US"/>
        </w:rPr>
        <w:t>.</w:t>
      </w:r>
    </w:p>
    <w:p w14:paraId="62799221" w14:textId="3C60AB43" w:rsidR="00CE3195" w:rsidRPr="00B43AE6" w:rsidRDefault="003833D6" w:rsidP="005C28F4">
      <w:pPr>
        <w:rPr>
          <w:rFonts w:cs="Arial"/>
          <w:lang w:val="en-US"/>
        </w:rPr>
      </w:pPr>
      <w:r>
        <w:rPr>
          <w:rFonts w:cs="Arial"/>
          <w:lang w:val="en-US"/>
        </w:rPr>
        <w:t>T</w:t>
      </w:r>
      <w:r w:rsidR="00CE3195" w:rsidRPr="00B43AE6">
        <w:rPr>
          <w:rFonts w:cs="Arial"/>
          <w:lang w:val="en-US"/>
        </w:rPr>
        <w:t xml:space="preserve">o estimate the probability of </w:t>
      </w:r>
      <w:r w:rsidR="006E7781">
        <w:rPr>
          <w:rFonts w:cs="Arial"/>
          <w:lang w:val="en-US"/>
        </w:rPr>
        <w:t>a </w:t>
      </w:r>
      <w:r w:rsidR="00CE3195" w:rsidRPr="00B43AE6">
        <w:rPr>
          <w:rFonts w:cs="Arial"/>
          <w:lang w:val="en-US"/>
        </w:rPr>
        <w:t xml:space="preserve">domino effect, </w:t>
      </w:r>
      <w:r w:rsidR="00CE3195">
        <w:rPr>
          <w:rFonts w:cs="Arial"/>
          <w:lang w:val="en-US"/>
        </w:rPr>
        <w:t>operators</w:t>
      </w:r>
      <w:r w:rsidR="00CE3195" w:rsidRPr="00B43AE6">
        <w:rPr>
          <w:rFonts w:cs="Arial"/>
          <w:lang w:val="en-US"/>
        </w:rPr>
        <w:t xml:space="preserve"> must use specific data representative of the situation, </w:t>
      </w:r>
      <w:r w:rsidR="00CE3195">
        <w:rPr>
          <w:rFonts w:cs="Arial"/>
          <w:lang w:val="en-US"/>
        </w:rPr>
        <w:t xml:space="preserve">in coherence with </w:t>
      </w:r>
      <w:r w:rsidR="00CE3195" w:rsidRPr="00B43AE6">
        <w:rPr>
          <w:rFonts w:cs="Arial"/>
          <w:lang w:val="en-US"/>
        </w:rPr>
        <w:t xml:space="preserve">the Safety </w:t>
      </w:r>
      <w:r w:rsidR="00CE3195">
        <w:rPr>
          <w:rFonts w:cs="Arial"/>
          <w:lang w:val="en-US"/>
        </w:rPr>
        <w:t>R</w:t>
      </w:r>
      <w:r w:rsidR="00CE3195" w:rsidRPr="00B43AE6">
        <w:rPr>
          <w:rFonts w:cs="Arial"/>
          <w:lang w:val="en-US"/>
        </w:rPr>
        <w:t>eports (</w:t>
      </w:r>
      <w:r w:rsidR="002A2E86">
        <w:rPr>
          <w:rFonts w:cs="Arial"/>
          <w:lang w:val="en-US"/>
        </w:rPr>
        <w:t>in case of U-T</w:t>
      </w:r>
      <w:r w:rsidR="00CE3195" w:rsidRPr="00B43AE6">
        <w:rPr>
          <w:rFonts w:cs="Arial"/>
          <w:lang w:val="en-US"/>
        </w:rPr>
        <w:t xml:space="preserve"> establishments), or other relevant analytical </w:t>
      </w:r>
      <w:r w:rsidRPr="00B43AE6">
        <w:rPr>
          <w:rFonts w:cs="Arial"/>
          <w:lang w:val="en-US"/>
        </w:rPr>
        <w:t xml:space="preserve">documentation </w:t>
      </w:r>
      <w:r>
        <w:rPr>
          <w:rFonts w:cs="Arial"/>
          <w:lang w:val="en-US"/>
        </w:rPr>
        <w:t>reporting</w:t>
      </w:r>
      <w:r w:rsidR="00CE3195">
        <w:rPr>
          <w:rFonts w:cs="Arial"/>
          <w:lang w:val="en-US"/>
        </w:rPr>
        <w:t xml:space="preserve"> major accident </w:t>
      </w:r>
      <w:r w:rsidR="00A74AA0">
        <w:rPr>
          <w:rFonts w:cs="Arial"/>
          <w:lang w:val="en-US"/>
        </w:rPr>
        <w:t>risks</w:t>
      </w:r>
      <w:r w:rsidR="00CE3195">
        <w:rPr>
          <w:rFonts w:cs="Arial"/>
          <w:lang w:val="en-US"/>
        </w:rPr>
        <w:t xml:space="preserve"> </w:t>
      </w:r>
      <w:r w:rsidR="00CE3195" w:rsidRPr="00B43AE6">
        <w:rPr>
          <w:rFonts w:cs="Arial"/>
          <w:lang w:val="en-US"/>
        </w:rPr>
        <w:t>carried out</w:t>
      </w:r>
      <w:r w:rsidR="00CE3195">
        <w:rPr>
          <w:rFonts w:cs="Arial"/>
          <w:lang w:val="en-US"/>
        </w:rPr>
        <w:t xml:space="preserve"> (</w:t>
      </w:r>
      <w:r w:rsidR="002A2E86">
        <w:rPr>
          <w:rFonts w:cs="Arial"/>
          <w:lang w:val="en-US"/>
        </w:rPr>
        <w:t>in case of L-T</w:t>
      </w:r>
      <w:r w:rsidR="00CE3195" w:rsidRPr="00B43AE6">
        <w:rPr>
          <w:rFonts w:cs="Arial"/>
          <w:lang w:val="en-US"/>
        </w:rPr>
        <w:t xml:space="preserve"> establishments)</w:t>
      </w:r>
      <w:r w:rsidR="00CE3195">
        <w:rPr>
          <w:rFonts w:cs="Arial"/>
          <w:lang w:val="en-US"/>
        </w:rPr>
        <w:t xml:space="preserve">. </w:t>
      </w:r>
    </w:p>
    <w:p w14:paraId="62799222" w14:textId="05717D9A" w:rsidR="00CE3195" w:rsidRPr="009E0644" w:rsidRDefault="00CE3195" w:rsidP="005C28F4">
      <w:pPr>
        <w:rPr>
          <w:rFonts w:cs="Arial"/>
          <w:lang w:val="en-US"/>
        </w:rPr>
      </w:pPr>
      <w:r>
        <w:rPr>
          <w:rFonts w:cs="Arial"/>
          <w:lang w:val="en-US"/>
        </w:rPr>
        <w:t>A r</w:t>
      </w:r>
      <w:r w:rsidRPr="009E0644">
        <w:rPr>
          <w:rFonts w:cs="Arial"/>
          <w:lang w:val="en-US"/>
        </w:rPr>
        <w:t>igorous estimat</w:t>
      </w:r>
      <w:r>
        <w:rPr>
          <w:rFonts w:cs="Arial"/>
          <w:lang w:val="en-US"/>
        </w:rPr>
        <w:t>ion</w:t>
      </w:r>
      <w:r w:rsidRPr="009E0644">
        <w:rPr>
          <w:rFonts w:cs="Arial"/>
          <w:lang w:val="en-US"/>
        </w:rPr>
        <w:t xml:space="preserve"> o</w:t>
      </w:r>
      <w:r>
        <w:rPr>
          <w:rFonts w:cs="Arial"/>
          <w:lang w:val="en-US"/>
        </w:rPr>
        <w:t>f</w:t>
      </w:r>
      <w:r w:rsidRPr="009E0644">
        <w:rPr>
          <w:rFonts w:cs="Arial"/>
          <w:lang w:val="en-US"/>
        </w:rPr>
        <w:t xml:space="preserve"> the damage of a target due to </w:t>
      </w:r>
      <w:r w:rsidR="001619E3">
        <w:rPr>
          <w:rFonts w:cs="Arial"/>
          <w:lang w:val="en-US"/>
        </w:rPr>
        <w:t>the </w:t>
      </w:r>
      <w:r>
        <w:rPr>
          <w:rFonts w:cs="Arial"/>
          <w:lang w:val="en-US"/>
        </w:rPr>
        <w:t xml:space="preserve">domino effect </w:t>
      </w:r>
      <w:r w:rsidRPr="009E0644">
        <w:rPr>
          <w:rFonts w:cs="Arial"/>
          <w:lang w:val="en-US"/>
        </w:rPr>
        <w:t>may require a structural analysis of the target, considering its strength to mechanical and/or thermal stresses induced by the initiator event.</w:t>
      </w:r>
    </w:p>
    <w:p w14:paraId="62799223" w14:textId="77777777" w:rsidR="000E1A7B" w:rsidRPr="002107CD" w:rsidRDefault="00CE3195" w:rsidP="005C28F4">
      <w:pPr>
        <w:rPr>
          <w:rFonts w:cs="Arial"/>
          <w:lang w:val="en-US"/>
        </w:rPr>
      </w:pPr>
      <w:r w:rsidRPr="009E0644">
        <w:rPr>
          <w:rFonts w:cs="Arial"/>
          <w:lang w:val="en-US"/>
        </w:rPr>
        <w:t xml:space="preserve">For the estimation of the probability of damage of the target it is necessary to </w:t>
      </w:r>
      <w:r>
        <w:rPr>
          <w:rFonts w:cs="Arial"/>
          <w:lang w:val="en-US"/>
        </w:rPr>
        <w:t>use the</w:t>
      </w:r>
      <w:r w:rsidRPr="009E0644">
        <w:rPr>
          <w:rFonts w:cs="Arial"/>
          <w:lang w:val="en-US"/>
        </w:rPr>
        <w:t xml:space="preserve"> models </w:t>
      </w:r>
      <w:r>
        <w:rPr>
          <w:rFonts w:cs="Arial"/>
          <w:lang w:val="en-US"/>
        </w:rPr>
        <w:t xml:space="preserve">available </w:t>
      </w:r>
      <w:r w:rsidRPr="009E0644">
        <w:rPr>
          <w:rFonts w:cs="Arial"/>
          <w:lang w:val="en-US"/>
        </w:rPr>
        <w:t xml:space="preserve">in the international scientific literature, </w:t>
      </w:r>
      <w:r>
        <w:rPr>
          <w:rFonts w:cs="Arial"/>
          <w:lang w:val="en-US"/>
        </w:rPr>
        <w:t xml:space="preserve">mainly </w:t>
      </w:r>
      <w:r w:rsidRPr="009E0644">
        <w:rPr>
          <w:rFonts w:cs="Arial"/>
          <w:lang w:val="en-US"/>
        </w:rPr>
        <w:t xml:space="preserve">based on Probit functions, for different classes of equipment, </w:t>
      </w:r>
      <w:r>
        <w:rPr>
          <w:rFonts w:cs="Arial"/>
          <w:lang w:val="en-US"/>
        </w:rPr>
        <w:t xml:space="preserve">which allow </w:t>
      </w:r>
      <w:r w:rsidRPr="009E0644">
        <w:rPr>
          <w:rFonts w:cs="Arial"/>
          <w:lang w:val="en-US"/>
        </w:rPr>
        <w:t xml:space="preserve">the calculation of the failure probability </w:t>
      </w:r>
      <w:r>
        <w:rPr>
          <w:rFonts w:cs="Arial"/>
          <w:lang w:val="en-US"/>
        </w:rPr>
        <w:t xml:space="preserve">for </w:t>
      </w:r>
      <w:r w:rsidRPr="009E0644">
        <w:rPr>
          <w:rFonts w:cs="Arial"/>
          <w:lang w:val="en-US"/>
        </w:rPr>
        <w:t xml:space="preserve">exposure to overpressure and/or </w:t>
      </w:r>
      <w:r w:rsidRPr="002107CD">
        <w:rPr>
          <w:rFonts w:cs="Arial"/>
          <w:lang w:val="en-US"/>
        </w:rPr>
        <w:t>radiation</w:t>
      </w:r>
      <w:r w:rsidR="000E1A7B" w:rsidRPr="002107CD">
        <w:rPr>
          <w:rFonts w:cs="Arial"/>
          <w:lang w:val="en-US"/>
        </w:rPr>
        <w:t xml:space="preserve"> (Cozzani V. et al., 2005a), (Cozzani V., 2005b), (Cozzani V., 2005c), (Reniers, G., 2013).</w:t>
      </w:r>
    </w:p>
    <w:p w14:paraId="62799224" w14:textId="2546C65C" w:rsidR="00CE3195" w:rsidRPr="00A27C39" w:rsidRDefault="00CE3195" w:rsidP="005C28F4">
      <w:pPr>
        <w:rPr>
          <w:rFonts w:cs="Arial"/>
          <w:lang w:val="en-US"/>
        </w:rPr>
      </w:pPr>
      <w:r w:rsidRPr="00A27C39">
        <w:rPr>
          <w:rFonts w:cs="Arial"/>
          <w:lang w:val="en-US"/>
        </w:rPr>
        <w:t>In case of unavailability of specific data or significant uncertainties</w:t>
      </w:r>
      <w:r>
        <w:rPr>
          <w:rFonts w:cs="Arial"/>
          <w:lang w:val="en-US"/>
        </w:rPr>
        <w:t xml:space="preserve"> </w:t>
      </w:r>
      <w:r w:rsidRPr="00A27C39">
        <w:rPr>
          <w:rFonts w:cs="Arial"/>
          <w:lang w:val="en-US"/>
        </w:rPr>
        <w:t xml:space="preserve">regarding the evaluation of initiating events or the target characteristics, </w:t>
      </w:r>
      <w:r>
        <w:rPr>
          <w:rFonts w:cs="Arial"/>
          <w:lang w:val="en-US"/>
        </w:rPr>
        <w:t xml:space="preserve">approximate </w:t>
      </w:r>
      <w:r w:rsidRPr="00A27C39">
        <w:rPr>
          <w:rFonts w:cs="Arial"/>
          <w:lang w:val="en-US"/>
        </w:rPr>
        <w:t xml:space="preserve">assumptions </w:t>
      </w:r>
      <w:r>
        <w:rPr>
          <w:rFonts w:cs="Arial"/>
          <w:lang w:val="en-US"/>
        </w:rPr>
        <w:t>given</w:t>
      </w:r>
      <w:r w:rsidRPr="00A27C39">
        <w:rPr>
          <w:rFonts w:cs="Arial"/>
          <w:lang w:val="en-US"/>
        </w:rPr>
        <w:t xml:space="preserve"> in</w:t>
      </w:r>
      <w:r w:rsidR="00192265">
        <w:rPr>
          <w:rFonts w:cs="Arial"/>
          <w:lang w:val="en-US"/>
        </w:rPr>
        <w:t xml:space="preserve"> technical literature and standards </w:t>
      </w:r>
      <w:r w:rsidRPr="00A27C39">
        <w:rPr>
          <w:rFonts w:cs="Arial"/>
          <w:lang w:val="en-US"/>
        </w:rPr>
        <w:t xml:space="preserve">can be used by operators, </w:t>
      </w:r>
      <w:r>
        <w:rPr>
          <w:rFonts w:cs="Arial"/>
          <w:lang w:val="en-US"/>
        </w:rPr>
        <w:t xml:space="preserve">to </w:t>
      </w:r>
      <w:r w:rsidR="003833D6" w:rsidRPr="00A27C39">
        <w:rPr>
          <w:rFonts w:cs="Arial"/>
          <w:lang w:val="en-US"/>
        </w:rPr>
        <w:t>e</w:t>
      </w:r>
      <w:r w:rsidR="003833D6">
        <w:rPr>
          <w:rFonts w:cs="Arial"/>
          <w:lang w:val="en-US"/>
        </w:rPr>
        <w:t>stimate the</w:t>
      </w:r>
      <w:r>
        <w:rPr>
          <w:rFonts w:cs="Arial"/>
          <w:lang w:val="en-US"/>
        </w:rPr>
        <w:t xml:space="preserve"> domino effect probability </w:t>
      </w:r>
      <w:r w:rsidR="00763721">
        <w:rPr>
          <w:rFonts w:cs="Arial"/>
          <w:lang w:val="en-US"/>
        </w:rPr>
        <w:t>(</w:t>
      </w:r>
      <w:r w:rsidR="008C1D22" w:rsidRPr="00D7540A">
        <w:rPr>
          <w:rFonts w:cs="Arial"/>
        </w:rPr>
        <w:t>Snamprogetti, Assindustria</w:t>
      </w:r>
      <w:r w:rsidR="00763721">
        <w:rPr>
          <w:rFonts w:cs="Arial"/>
        </w:rPr>
        <w:t>, 2003),</w:t>
      </w:r>
      <w:r w:rsidR="008C1D22" w:rsidRPr="00D7540A">
        <w:rPr>
          <w:rFonts w:cs="Arial"/>
        </w:rPr>
        <w:t xml:space="preserve"> </w:t>
      </w:r>
      <w:r w:rsidR="00763721">
        <w:rPr>
          <w:rFonts w:cs="Arial"/>
        </w:rPr>
        <w:t>(</w:t>
      </w:r>
      <w:r w:rsidR="008C1D22" w:rsidRPr="00D7540A">
        <w:rPr>
          <w:rFonts w:cs="Arial"/>
        </w:rPr>
        <w:t>ARPAV</w:t>
      </w:r>
      <w:r w:rsidR="00763721">
        <w:rPr>
          <w:rFonts w:cs="Arial"/>
        </w:rPr>
        <w:t xml:space="preserve">, </w:t>
      </w:r>
      <w:r w:rsidR="008C1D22" w:rsidRPr="00B13C56">
        <w:rPr>
          <w:rFonts w:cs="Arial"/>
          <w:lang w:val="en-US"/>
        </w:rPr>
        <w:t>2005</w:t>
      </w:r>
      <w:r w:rsidR="00763721">
        <w:rPr>
          <w:rFonts w:cs="Arial"/>
          <w:lang w:val="en-US"/>
        </w:rPr>
        <w:t>)</w:t>
      </w:r>
      <w:r>
        <w:rPr>
          <w:rFonts w:cs="Arial"/>
          <w:lang w:val="en-US"/>
        </w:rPr>
        <w:t>.</w:t>
      </w:r>
    </w:p>
    <w:p w14:paraId="62799225" w14:textId="63BF4BB4" w:rsidR="00CE3195" w:rsidRPr="001975EB" w:rsidRDefault="00CE3195" w:rsidP="005C28F4">
      <w:pPr>
        <w:rPr>
          <w:rFonts w:cs="Arial"/>
          <w:lang w:val="en-US"/>
        </w:rPr>
      </w:pPr>
      <w:r w:rsidRPr="009E0644">
        <w:rPr>
          <w:rFonts w:cs="Arial"/>
          <w:lang w:val="en-US"/>
        </w:rPr>
        <w:t>T</w:t>
      </w:r>
      <w:r w:rsidRPr="001975EB">
        <w:rPr>
          <w:rFonts w:cs="Arial"/>
          <w:lang w:val="en-US"/>
        </w:rPr>
        <w:t>h</w:t>
      </w:r>
      <w:r>
        <w:rPr>
          <w:rFonts w:cs="Arial"/>
          <w:lang w:val="en-US"/>
        </w:rPr>
        <w:t xml:space="preserve">rough a keen </w:t>
      </w:r>
      <w:r w:rsidRPr="001975EB">
        <w:rPr>
          <w:rFonts w:cs="Arial"/>
          <w:lang w:val="en-US"/>
        </w:rPr>
        <w:t xml:space="preserve">consideration of </w:t>
      </w:r>
      <w:r>
        <w:rPr>
          <w:rFonts w:cs="Arial"/>
          <w:lang w:val="en-US"/>
        </w:rPr>
        <w:t>elements pointed out</w:t>
      </w:r>
      <w:r w:rsidRPr="004012E3">
        <w:rPr>
          <w:rFonts w:cs="Arial"/>
          <w:lang w:val="en-US"/>
        </w:rPr>
        <w:t xml:space="preserve"> </w:t>
      </w:r>
      <w:r>
        <w:rPr>
          <w:rFonts w:cs="Arial"/>
          <w:lang w:val="en-US"/>
        </w:rPr>
        <w:t xml:space="preserve">above, </w:t>
      </w:r>
      <w:r w:rsidRPr="001975EB">
        <w:rPr>
          <w:rFonts w:cs="Arial"/>
          <w:lang w:val="en-US"/>
        </w:rPr>
        <w:t>the operators of establishments included in a pdG</w:t>
      </w:r>
      <w:r>
        <w:rPr>
          <w:rFonts w:cs="Arial"/>
          <w:lang w:val="en-US"/>
        </w:rPr>
        <w:t xml:space="preserve">, </w:t>
      </w:r>
      <w:r w:rsidRPr="001975EB">
        <w:rPr>
          <w:rFonts w:cs="Arial"/>
          <w:lang w:val="en-US"/>
        </w:rPr>
        <w:t>must identif</w:t>
      </w:r>
      <w:r>
        <w:rPr>
          <w:rFonts w:cs="Arial"/>
          <w:lang w:val="en-US"/>
        </w:rPr>
        <w:t>y the</w:t>
      </w:r>
      <w:r w:rsidRPr="001975EB">
        <w:rPr>
          <w:rFonts w:cs="Arial"/>
          <w:lang w:val="en-US"/>
        </w:rPr>
        <w:t xml:space="preserve"> </w:t>
      </w:r>
      <w:r>
        <w:rPr>
          <w:rFonts w:cs="Arial"/>
          <w:lang w:val="en-US"/>
        </w:rPr>
        <w:t>actual</w:t>
      </w:r>
      <w:r w:rsidRPr="001975EB">
        <w:rPr>
          <w:rFonts w:cs="Arial"/>
          <w:lang w:val="en-US"/>
        </w:rPr>
        <w:t xml:space="preserve"> domino scenarios, each characterized by the occurrence of </w:t>
      </w:r>
      <w:r>
        <w:rPr>
          <w:rFonts w:cs="Arial"/>
          <w:lang w:val="en-US"/>
        </w:rPr>
        <w:t xml:space="preserve">one of more </w:t>
      </w:r>
      <w:r w:rsidRPr="001975EB">
        <w:rPr>
          <w:rFonts w:cs="Arial"/>
          <w:lang w:val="en-US"/>
        </w:rPr>
        <w:t>single scenarios arising from damaged targets; therefore domino effects analysis will possibly increase the number of accident scenarios that need to be considered by the operators: single scenarios</w:t>
      </w:r>
      <w:r>
        <w:rPr>
          <w:rFonts w:cs="Arial"/>
          <w:lang w:val="en-US"/>
        </w:rPr>
        <w:t xml:space="preserve"> plus </w:t>
      </w:r>
      <w:r w:rsidRPr="001975EB">
        <w:rPr>
          <w:rFonts w:cs="Arial"/>
          <w:lang w:val="en-US"/>
        </w:rPr>
        <w:t>domino scenarios</w:t>
      </w:r>
      <w:r>
        <w:rPr>
          <w:rFonts w:cs="Arial"/>
          <w:lang w:val="en-US"/>
        </w:rPr>
        <w:t xml:space="preserve">, </w:t>
      </w:r>
      <w:r w:rsidRPr="001975EB">
        <w:rPr>
          <w:rFonts w:cs="Arial"/>
          <w:lang w:val="en-US"/>
        </w:rPr>
        <w:t>each with its frequency and consequences.</w:t>
      </w:r>
    </w:p>
    <w:p w14:paraId="6279922E" w14:textId="51A69165" w:rsidR="004067CC" w:rsidRPr="00A7765F" w:rsidRDefault="008017DC" w:rsidP="006E7781">
      <w:pPr>
        <w:spacing w:before="120"/>
        <w:rPr>
          <w:rFonts w:cs="Arial"/>
          <w:b/>
          <w:lang w:val="en-US"/>
        </w:rPr>
      </w:pPr>
      <w:r>
        <w:rPr>
          <w:rFonts w:cs="Arial"/>
          <w:b/>
          <w:lang w:val="en-US"/>
        </w:rPr>
        <w:t>4</w:t>
      </w:r>
      <w:r w:rsidR="004067CC" w:rsidRPr="00A7765F">
        <w:rPr>
          <w:rFonts w:cs="Arial"/>
          <w:b/>
          <w:lang w:val="en-US"/>
        </w:rPr>
        <w:t xml:space="preserve">. </w:t>
      </w:r>
      <w:r w:rsidR="004067CC">
        <w:rPr>
          <w:rFonts w:cs="Arial"/>
          <w:b/>
          <w:lang w:val="en-US"/>
        </w:rPr>
        <w:t>Individuation of the definitive domino Groups</w:t>
      </w:r>
      <w:r w:rsidR="004067CC" w:rsidRPr="00A7765F">
        <w:rPr>
          <w:rFonts w:cs="Arial"/>
          <w:b/>
          <w:lang w:val="en-US"/>
        </w:rPr>
        <w:t xml:space="preserve"> (dd</w:t>
      </w:r>
      <w:r w:rsidR="004067CC">
        <w:rPr>
          <w:rFonts w:cs="Arial"/>
          <w:b/>
          <w:lang w:val="en-US"/>
        </w:rPr>
        <w:t>G</w:t>
      </w:r>
      <w:r w:rsidR="004067CC" w:rsidRPr="00A7765F">
        <w:rPr>
          <w:rFonts w:cs="Arial"/>
          <w:b/>
          <w:lang w:val="en-US"/>
        </w:rPr>
        <w:t>)</w:t>
      </w:r>
    </w:p>
    <w:p w14:paraId="6279922F" w14:textId="666077FB" w:rsidR="004067CC" w:rsidRPr="008065E6" w:rsidRDefault="004067CC" w:rsidP="005C28F4">
      <w:pPr>
        <w:rPr>
          <w:rFonts w:cs="Arial"/>
          <w:lang w:val="en-US"/>
        </w:rPr>
      </w:pPr>
      <w:r w:rsidRPr="008065E6">
        <w:rPr>
          <w:rFonts w:cs="Arial"/>
          <w:lang w:val="en-US"/>
        </w:rPr>
        <w:t>Operators inform the CA of the activities and results</w:t>
      </w:r>
      <w:r>
        <w:rPr>
          <w:rFonts w:cs="Arial"/>
          <w:lang w:val="en-US"/>
        </w:rPr>
        <w:t xml:space="preserve"> obtained: </w:t>
      </w:r>
      <w:r w:rsidRPr="008065E6">
        <w:rPr>
          <w:rFonts w:cs="Arial"/>
          <w:lang w:val="en-US"/>
        </w:rPr>
        <w:t xml:space="preserve">e.g. </w:t>
      </w:r>
      <w:r>
        <w:rPr>
          <w:rFonts w:cs="Arial"/>
          <w:lang w:val="en-US"/>
        </w:rPr>
        <w:t xml:space="preserve">a declaration </w:t>
      </w:r>
      <w:r w:rsidRPr="008065E6">
        <w:rPr>
          <w:rFonts w:cs="Arial"/>
          <w:lang w:val="en-US"/>
        </w:rPr>
        <w:t>that domino scenarios are not identified, o</w:t>
      </w:r>
      <w:r>
        <w:rPr>
          <w:rFonts w:cs="Arial"/>
          <w:lang w:val="en-US"/>
        </w:rPr>
        <w:t xml:space="preserve">therwise the list </w:t>
      </w:r>
      <w:r w:rsidRPr="008065E6">
        <w:rPr>
          <w:rFonts w:cs="Arial"/>
          <w:lang w:val="en-US"/>
        </w:rPr>
        <w:t xml:space="preserve">of </w:t>
      </w:r>
      <w:r>
        <w:rPr>
          <w:rFonts w:cs="Arial"/>
          <w:lang w:val="en-US"/>
        </w:rPr>
        <w:t xml:space="preserve">the </w:t>
      </w:r>
      <w:r w:rsidRPr="008065E6">
        <w:rPr>
          <w:rFonts w:cs="Arial"/>
          <w:lang w:val="en-US"/>
        </w:rPr>
        <w:t xml:space="preserve">identified domino scenarios with their frequencies and consequences, </w:t>
      </w:r>
      <w:r>
        <w:rPr>
          <w:rFonts w:cs="Arial"/>
          <w:lang w:val="en-US"/>
        </w:rPr>
        <w:t>detailing</w:t>
      </w:r>
      <w:r w:rsidRPr="008065E6">
        <w:rPr>
          <w:rFonts w:cs="Arial"/>
          <w:lang w:val="en-US"/>
        </w:rPr>
        <w:t xml:space="preserve"> the technical and/or management measures, </w:t>
      </w:r>
      <w:r>
        <w:rPr>
          <w:rFonts w:cs="Arial"/>
          <w:lang w:val="en-US"/>
        </w:rPr>
        <w:t xml:space="preserve">already </w:t>
      </w:r>
      <w:r w:rsidRPr="008065E6">
        <w:rPr>
          <w:rFonts w:cs="Arial"/>
          <w:lang w:val="en-US"/>
        </w:rPr>
        <w:t>existing or additional, taken to eliminate or remotize possible direct or indirect domino scenarios, etc.</w:t>
      </w:r>
    </w:p>
    <w:p w14:paraId="62799230" w14:textId="77777777" w:rsidR="004067CC" w:rsidRPr="008065E6" w:rsidRDefault="004067CC" w:rsidP="005C28F4">
      <w:pPr>
        <w:rPr>
          <w:rFonts w:cs="Arial"/>
          <w:lang w:val="en-US"/>
        </w:rPr>
      </w:pPr>
      <w:r w:rsidRPr="008065E6">
        <w:rPr>
          <w:rFonts w:cs="Arial"/>
          <w:lang w:val="en-US"/>
        </w:rPr>
        <w:t xml:space="preserve">Based on </w:t>
      </w:r>
      <w:r>
        <w:rPr>
          <w:rFonts w:cs="Arial"/>
          <w:lang w:val="en-US"/>
        </w:rPr>
        <w:t>additional</w:t>
      </w:r>
      <w:r w:rsidRPr="008065E6">
        <w:rPr>
          <w:rFonts w:cs="Arial"/>
          <w:lang w:val="en-US"/>
        </w:rPr>
        <w:t xml:space="preserve"> information received, the </w:t>
      </w:r>
      <w:r>
        <w:rPr>
          <w:rFonts w:cs="Arial"/>
          <w:lang w:val="en-US"/>
        </w:rPr>
        <w:t>CA</w:t>
      </w:r>
      <w:r w:rsidRPr="008065E6">
        <w:rPr>
          <w:rFonts w:cs="Arial"/>
          <w:lang w:val="en-US"/>
        </w:rPr>
        <w:t xml:space="preserve"> </w:t>
      </w:r>
      <w:r>
        <w:rPr>
          <w:rFonts w:cs="Arial"/>
          <w:lang w:val="en-US"/>
        </w:rPr>
        <w:t>so can identify</w:t>
      </w:r>
      <w:r w:rsidRPr="008065E6">
        <w:rPr>
          <w:rFonts w:cs="Arial"/>
          <w:lang w:val="en-US"/>
        </w:rPr>
        <w:t xml:space="preserve"> </w:t>
      </w:r>
      <w:r>
        <w:rPr>
          <w:rFonts w:cs="Arial"/>
          <w:lang w:val="en-US"/>
        </w:rPr>
        <w:t xml:space="preserve">the definitive </w:t>
      </w:r>
      <w:r w:rsidRPr="008065E6">
        <w:rPr>
          <w:rFonts w:cs="Arial"/>
          <w:lang w:val="en-US"/>
        </w:rPr>
        <w:t>domino Groups (</w:t>
      </w:r>
      <w:r>
        <w:rPr>
          <w:rFonts w:cs="Arial"/>
          <w:lang w:val="en-US"/>
        </w:rPr>
        <w:t>ddG</w:t>
      </w:r>
      <w:r w:rsidRPr="008065E6">
        <w:rPr>
          <w:rFonts w:cs="Arial"/>
          <w:lang w:val="en-US"/>
        </w:rPr>
        <w:t>), i</w:t>
      </w:r>
      <w:r>
        <w:rPr>
          <w:rFonts w:cs="Arial"/>
          <w:lang w:val="en-US"/>
        </w:rPr>
        <w:t>.</w:t>
      </w:r>
      <w:r w:rsidRPr="008065E6">
        <w:rPr>
          <w:rFonts w:cs="Arial"/>
          <w:lang w:val="en-US"/>
        </w:rPr>
        <w:t>e</w:t>
      </w:r>
      <w:r>
        <w:rPr>
          <w:rFonts w:cs="Arial"/>
          <w:lang w:val="en-US"/>
        </w:rPr>
        <w:t>.</w:t>
      </w:r>
      <w:r w:rsidRPr="008065E6">
        <w:rPr>
          <w:rFonts w:cs="Arial"/>
          <w:lang w:val="en-US"/>
        </w:rPr>
        <w:t xml:space="preserve"> clusters where there is the </w:t>
      </w:r>
      <w:r>
        <w:rPr>
          <w:rFonts w:cs="Arial"/>
          <w:lang w:val="en-US"/>
        </w:rPr>
        <w:t>actual</w:t>
      </w:r>
      <w:r w:rsidRPr="008065E6">
        <w:rPr>
          <w:rFonts w:cs="Arial"/>
          <w:lang w:val="en-US"/>
        </w:rPr>
        <w:t xml:space="preserve"> possibility of the occurrence of domino effects, updating the list of establishments included in domino Groups</w:t>
      </w:r>
      <w:r>
        <w:rPr>
          <w:rFonts w:cs="Arial"/>
          <w:lang w:val="en-US"/>
        </w:rPr>
        <w:t>.</w:t>
      </w:r>
    </w:p>
    <w:p w14:paraId="62799234" w14:textId="0A8004C7" w:rsidR="004067CC" w:rsidRPr="00EB4A75" w:rsidRDefault="004067CC" w:rsidP="00EB4A75">
      <w:pPr>
        <w:rPr>
          <w:rFonts w:cs="Arial"/>
          <w:lang w:val="en-US"/>
        </w:rPr>
      </w:pPr>
      <w:r>
        <w:rPr>
          <w:rFonts w:cs="Arial"/>
          <w:lang w:val="en-US"/>
        </w:rPr>
        <w:t>In the following control activities, whe</w:t>
      </w:r>
      <w:r w:rsidRPr="00FD23DB">
        <w:rPr>
          <w:rFonts w:cs="Arial"/>
          <w:lang w:val="en-US"/>
        </w:rPr>
        <w:t>n presen</w:t>
      </w:r>
      <w:r>
        <w:rPr>
          <w:rFonts w:cs="Arial"/>
          <w:lang w:val="en-US"/>
        </w:rPr>
        <w:t>t</w:t>
      </w:r>
      <w:r w:rsidR="002B0030">
        <w:rPr>
          <w:rFonts w:cs="Arial"/>
          <w:lang w:val="en-US"/>
        </w:rPr>
        <w:t>ing</w:t>
      </w:r>
      <w:r>
        <w:rPr>
          <w:rFonts w:cs="Arial"/>
          <w:lang w:val="en-US"/>
        </w:rPr>
        <w:t xml:space="preserve"> </w:t>
      </w:r>
      <w:r w:rsidRPr="00FD23DB">
        <w:rPr>
          <w:rFonts w:cs="Arial"/>
          <w:lang w:val="en-US"/>
        </w:rPr>
        <w:t>definitive domino groups</w:t>
      </w:r>
      <w:r>
        <w:rPr>
          <w:rFonts w:cs="Arial"/>
          <w:lang w:val="en-US"/>
        </w:rPr>
        <w:t xml:space="preserve">, </w:t>
      </w:r>
      <w:r w:rsidRPr="00FD23DB">
        <w:rPr>
          <w:rFonts w:cs="Arial"/>
          <w:lang w:val="en-US"/>
        </w:rPr>
        <w:t xml:space="preserve">the </w:t>
      </w:r>
      <w:r>
        <w:rPr>
          <w:rFonts w:cs="Arial"/>
          <w:lang w:val="en-US"/>
        </w:rPr>
        <w:t>CA</w:t>
      </w:r>
      <w:r w:rsidRPr="00FD23DB">
        <w:rPr>
          <w:rFonts w:cs="Arial"/>
          <w:lang w:val="en-US"/>
        </w:rPr>
        <w:t xml:space="preserve"> may request </w:t>
      </w:r>
      <w:r>
        <w:rPr>
          <w:rFonts w:cs="Arial"/>
          <w:lang w:val="en-US"/>
        </w:rPr>
        <w:t>integrative</w:t>
      </w:r>
      <w:r w:rsidRPr="00FD23DB">
        <w:rPr>
          <w:rFonts w:cs="Arial"/>
          <w:lang w:val="en-US"/>
        </w:rPr>
        <w:t xml:space="preserve"> information</w:t>
      </w:r>
      <w:r>
        <w:rPr>
          <w:rFonts w:cs="Arial"/>
          <w:lang w:val="en-US"/>
        </w:rPr>
        <w:t xml:space="preserve"> to</w:t>
      </w:r>
      <w:r w:rsidRPr="00FD23DB">
        <w:rPr>
          <w:rFonts w:cs="Arial"/>
          <w:lang w:val="en-US"/>
        </w:rPr>
        <w:t xml:space="preserve"> </w:t>
      </w:r>
      <w:r>
        <w:rPr>
          <w:rFonts w:cs="Arial"/>
          <w:lang w:val="en-US"/>
        </w:rPr>
        <w:t xml:space="preserve">the operators involved, aimed </w:t>
      </w:r>
      <w:r w:rsidRPr="00FD23DB">
        <w:rPr>
          <w:rFonts w:cs="Arial"/>
          <w:lang w:val="en-US"/>
        </w:rPr>
        <w:t xml:space="preserve">to assess the possible domino effects and cumulative effects of the </w:t>
      </w:r>
      <w:r w:rsidRPr="00FD23DB">
        <w:rPr>
          <w:rFonts w:cs="Arial"/>
          <w:lang w:val="en-US"/>
        </w:rPr>
        <w:lastRenderedPageBreak/>
        <w:t>proposed interventions</w:t>
      </w:r>
      <w:r>
        <w:rPr>
          <w:rFonts w:cs="Arial"/>
          <w:lang w:val="en-US"/>
        </w:rPr>
        <w:t>, i.e.</w:t>
      </w:r>
      <w:r w:rsidRPr="00FD23DB">
        <w:rPr>
          <w:rFonts w:cs="Arial"/>
          <w:lang w:val="en-US"/>
        </w:rPr>
        <w:t>:</w:t>
      </w:r>
      <w:r w:rsidR="00EB4A75">
        <w:rPr>
          <w:rFonts w:cs="Arial"/>
          <w:lang w:val="en-US"/>
        </w:rPr>
        <w:t xml:space="preserve"> </w:t>
      </w:r>
      <w:r w:rsidRPr="00EB4A75">
        <w:rPr>
          <w:rFonts w:cs="Arial"/>
          <w:lang w:val="en-US"/>
        </w:rPr>
        <w:t xml:space="preserve">during the evaluation of the Safety </w:t>
      </w:r>
      <w:r w:rsidR="002B0030" w:rsidRPr="00EB4A75">
        <w:rPr>
          <w:rFonts w:cs="Arial"/>
          <w:lang w:val="en-US"/>
        </w:rPr>
        <w:t>Report</w:t>
      </w:r>
      <w:r w:rsidR="00EB4A75">
        <w:rPr>
          <w:rFonts w:cs="Arial"/>
          <w:lang w:val="en-US"/>
        </w:rPr>
        <w:t xml:space="preserve">; </w:t>
      </w:r>
      <w:r w:rsidRPr="00EB4A75">
        <w:rPr>
          <w:rFonts w:cs="Arial"/>
          <w:lang w:val="en-US"/>
        </w:rPr>
        <w:t>in the event of changes in establishments, plants</w:t>
      </w:r>
      <w:r w:rsidR="002B0030" w:rsidRPr="00EB4A75">
        <w:rPr>
          <w:rFonts w:cs="Arial"/>
          <w:lang w:val="en-US"/>
        </w:rPr>
        <w:t>,</w:t>
      </w:r>
      <w:r w:rsidRPr="00EB4A75">
        <w:rPr>
          <w:rFonts w:cs="Arial"/>
          <w:lang w:val="en-US"/>
        </w:rPr>
        <w:t xml:space="preserve"> or </w:t>
      </w:r>
      <w:r w:rsidR="002B0030" w:rsidRPr="00EB4A75">
        <w:rPr>
          <w:rFonts w:cs="Arial"/>
          <w:lang w:val="en-US"/>
        </w:rPr>
        <w:t>storage</w:t>
      </w:r>
      <w:r w:rsidR="00EB4A75">
        <w:rPr>
          <w:rFonts w:cs="Arial"/>
          <w:lang w:val="en-US"/>
        </w:rPr>
        <w:t xml:space="preserve">; </w:t>
      </w:r>
      <w:r w:rsidR="002B0030" w:rsidRPr="00EB4A75">
        <w:rPr>
          <w:rFonts w:cs="Arial"/>
          <w:lang w:val="en-US"/>
        </w:rPr>
        <w:t>during</w:t>
      </w:r>
      <w:r w:rsidRPr="00EB4A75">
        <w:rPr>
          <w:rFonts w:cs="Arial"/>
          <w:lang w:val="en-US"/>
        </w:rPr>
        <w:t xml:space="preserve"> land use planning procedures in the areas characterized by the presence of major accident risk establishments. </w:t>
      </w:r>
    </w:p>
    <w:p w14:paraId="62799235" w14:textId="06227422" w:rsidR="004067CC" w:rsidRDefault="008017DC" w:rsidP="00EB4A75">
      <w:pPr>
        <w:spacing w:before="240"/>
        <w:rPr>
          <w:rFonts w:cs="Arial"/>
          <w:b/>
          <w:lang w:val="en-US"/>
        </w:rPr>
      </w:pPr>
      <w:r>
        <w:rPr>
          <w:rFonts w:cs="Arial"/>
          <w:b/>
          <w:lang w:val="en-US"/>
        </w:rPr>
        <w:t>5</w:t>
      </w:r>
      <w:r w:rsidR="00EC715A">
        <w:rPr>
          <w:rFonts w:cs="Arial"/>
          <w:b/>
          <w:lang w:val="en-US"/>
        </w:rPr>
        <w:t xml:space="preserve">. Consideration </w:t>
      </w:r>
      <w:r w:rsidR="004C69DB">
        <w:rPr>
          <w:rFonts w:cs="Arial"/>
          <w:b/>
          <w:lang w:val="en-US"/>
        </w:rPr>
        <w:t xml:space="preserve">in quantitative analysis and area risk evaluation </w:t>
      </w:r>
      <w:r w:rsidR="00EC715A">
        <w:rPr>
          <w:rFonts w:cs="Arial"/>
          <w:b/>
          <w:lang w:val="en-US"/>
        </w:rPr>
        <w:t xml:space="preserve">of </w:t>
      </w:r>
      <w:r w:rsidR="006E52B3">
        <w:rPr>
          <w:rFonts w:cs="Arial"/>
          <w:b/>
          <w:lang w:val="en-US"/>
        </w:rPr>
        <w:t>NaTech</w:t>
      </w:r>
      <w:r w:rsidR="00EC715A">
        <w:rPr>
          <w:rFonts w:cs="Arial"/>
          <w:b/>
          <w:lang w:val="en-US"/>
        </w:rPr>
        <w:t xml:space="preserve"> events</w:t>
      </w:r>
      <w:r w:rsidR="006E52B3">
        <w:rPr>
          <w:rFonts w:cs="Arial"/>
          <w:b/>
          <w:lang w:val="en-US"/>
        </w:rPr>
        <w:t xml:space="preserve"> </w:t>
      </w:r>
      <w:r w:rsidR="004C69DB">
        <w:rPr>
          <w:rFonts w:cs="Arial"/>
          <w:b/>
          <w:lang w:val="en-US"/>
        </w:rPr>
        <w:t>as sources of</w:t>
      </w:r>
      <w:r w:rsidR="00EB4A75">
        <w:rPr>
          <w:rFonts w:cs="Arial"/>
          <w:b/>
          <w:lang w:val="en-US"/>
        </w:rPr>
        <w:t xml:space="preserve"> </w:t>
      </w:r>
      <w:r w:rsidR="004C69DB">
        <w:rPr>
          <w:rFonts w:cs="Arial"/>
          <w:b/>
          <w:lang w:val="en-US"/>
        </w:rPr>
        <w:t xml:space="preserve">domino effect </w:t>
      </w:r>
    </w:p>
    <w:p w14:paraId="62799236" w14:textId="77777777" w:rsidR="001D5149" w:rsidRDefault="001D5149" w:rsidP="004C69DB">
      <w:pPr>
        <w:pStyle w:val="CETnumberingbullets"/>
        <w:numPr>
          <w:ilvl w:val="0"/>
          <w:numId w:val="0"/>
        </w:numPr>
        <w:jc w:val="both"/>
      </w:pPr>
      <w:r>
        <w:t>Since the 1990s, the use of the acronym NaTech (Natural Hazard Triggering Technological Disasters) has become widespread to define an incidental event in which a Natural disaster</w:t>
      </w:r>
      <w:r w:rsidR="006526D8">
        <w:t>, such as floods, strong winds, earthquakes, landslides,</w:t>
      </w:r>
      <w:r w:rsidR="006526D8" w:rsidRPr="006526D8">
        <w:t xml:space="preserve"> </w:t>
      </w:r>
      <w:r w:rsidR="006526D8">
        <w:t>lightning, etc.</w:t>
      </w:r>
      <w:r>
        <w:t xml:space="preserve"> triggers or amplifies one or more Tech(h)nological disasters.</w:t>
      </w:r>
    </w:p>
    <w:p w14:paraId="62799237" w14:textId="392E3302" w:rsidR="001D5149" w:rsidRPr="001D5149" w:rsidRDefault="001D5149" w:rsidP="005C28F4">
      <w:pPr>
        <w:pStyle w:val="CETnumberingbullets"/>
        <w:numPr>
          <w:ilvl w:val="0"/>
          <w:numId w:val="0"/>
        </w:numPr>
        <w:jc w:val="both"/>
        <w:rPr>
          <w:i/>
        </w:rPr>
      </w:pPr>
      <w:r>
        <w:t>In the technical and scientific literature</w:t>
      </w:r>
      <w:r w:rsidR="00881810">
        <w:t>,</w:t>
      </w:r>
      <w:r>
        <w:t xml:space="preserve"> we find </w:t>
      </w:r>
      <w:r w:rsidR="000F460F">
        <w:t xml:space="preserve">simple </w:t>
      </w:r>
      <w:r>
        <w:t xml:space="preserve">definitions, such as the following, which include </w:t>
      </w:r>
      <w:r w:rsidR="00F51772">
        <w:t xml:space="preserve">among </w:t>
      </w:r>
      <w:r>
        <w:t xml:space="preserve">NaTech events: </w:t>
      </w:r>
      <w:r w:rsidR="00F51772" w:rsidRPr="00F51772">
        <w:rPr>
          <w:i/>
        </w:rPr>
        <w:t>accidents triggered by natural hazards or disasters</w:t>
      </w:r>
      <w:r w:rsidR="009D78CB">
        <w:rPr>
          <w:i/>
        </w:rPr>
        <w:t xml:space="preserve"> </w:t>
      </w:r>
      <w:r w:rsidR="009D78CB">
        <w:t>(OECD 2015</w:t>
      </w:r>
      <w:r w:rsidR="00B5464E">
        <w:t>)</w:t>
      </w:r>
      <w:r w:rsidR="00EC715A">
        <w:rPr>
          <w:i/>
        </w:rPr>
        <w:t xml:space="preserve">;  </w:t>
      </w:r>
      <w:r w:rsidR="00EC715A" w:rsidRPr="000F460F">
        <w:t>a</w:t>
      </w:r>
      <w:r w:rsidR="00EC715A">
        <w:rPr>
          <w:i/>
        </w:rPr>
        <w:t xml:space="preserve"> </w:t>
      </w:r>
      <w:r w:rsidR="00EC715A" w:rsidRPr="00EC715A">
        <w:t>more detailed definition</w:t>
      </w:r>
      <w:r w:rsidR="000F460F">
        <w:t xml:space="preserve">, </w:t>
      </w:r>
      <w:r w:rsidR="009D78CB">
        <w:t xml:space="preserve">of uncertain </w:t>
      </w:r>
      <w:r w:rsidR="00C96DEE">
        <w:t>paternity</w:t>
      </w:r>
      <w:r w:rsidR="00216450">
        <w:t>,  but largely and</w:t>
      </w:r>
      <w:r w:rsidR="00EC715A">
        <w:rPr>
          <w:i/>
        </w:rPr>
        <w:t xml:space="preserve"> </w:t>
      </w:r>
      <w:r w:rsidR="00EC715A" w:rsidRPr="00EC715A">
        <w:t xml:space="preserve">practically adopted </w:t>
      </w:r>
      <w:r w:rsidR="000F460F">
        <w:t xml:space="preserve">by safety </w:t>
      </w:r>
      <w:r w:rsidR="00C96DEE">
        <w:t>experts</w:t>
      </w:r>
      <w:r w:rsidR="00216450">
        <w:t>,</w:t>
      </w:r>
      <w:r w:rsidR="000F460F">
        <w:t xml:space="preserve"> </w:t>
      </w:r>
      <w:r w:rsidR="00EC715A" w:rsidRPr="00EC715A">
        <w:t>is the following</w:t>
      </w:r>
      <w:r w:rsidR="00EC715A">
        <w:rPr>
          <w:i/>
        </w:rPr>
        <w:t xml:space="preserve"> </w:t>
      </w:r>
      <w:r w:rsidRPr="001D5149">
        <w:rPr>
          <w:i/>
        </w:rPr>
        <w:t>“technological incidents such as fires, explosions and toxic releases that can occur within industrial complexes and along distribution networks following natural disasters”</w:t>
      </w:r>
      <w:r>
        <w:rPr>
          <w:i/>
        </w:rPr>
        <w:t>.</w:t>
      </w:r>
    </w:p>
    <w:p w14:paraId="62799238" w14:textId="77777777" w:rsidR="001D5149" w:rsidRDefault="001D5149" w:rsidP="005C28F4">
      <w:pPr>
        <w:pStyle w:val="CETnumberingbullets"/>
        <w:numPr>
          <w:ilvl w:val="0"/>
          <w:numId w:val="0"/>
        </w:numPr>
        <w:jc w:val="both"/>
      </w:pPr>
      <w:r>
        <w:t>NaTech events have been relatively rare in the past: for example, incident data extracted from the European Commission’s eMARS</w:t>
      </w:r>
      <w:r w:rsidR="009D78CB">
        <w:t xml:space="preserve"> database (EU Commission JRC/MAHB, 2024) and those resulted from a survey in 5 EU countries (EU Commission JRC/MAHB, 2014)</w:t>
      </w:r>
      <w:r>
        <w:t xml:space="preserve"> show that from 1985 to today, on average, one major NaTech incident has occurred per year in EU countries</w:t>
      </w:r>
      <w:r w:rsidRPr="00B5464E">
        <w:t>.</w:t>
      </w:r>
    </w:p>
    <w:p w14:paraId="62799239" w14:textId="4068D1CA" w:rsidR="001D5149" w:rsidRDefault="001D5149" w:rsidP="005C28F4">
      <w:pPr>
        <w:pStyle w:val="CETnumberingbullets"/>
        <w:numPr>
          <w:ilvl w:val="0"/>
          <w:numId w:val="0"/>
        </w:numPr>
        <w:jc w:val="both"/>
      </w:pPr>
      <w:r>
        <w:t xml:space="preserve">In Italy, over the last 20 years, </w:t>
      </w:r>
      <w:r w:rsidR="00EC715A" w:rsidRPr="00EC715A">
        <w:t xml:space="preserve">have been collected by ISPRA in its own industrial accident database </w:t>
      </w:r>
      <w:r w:rsidR="00EC715A">
        <w:t xml:space="preserve">at </w:t>
      </w:r>
      <w:r>
        <w:t xml:space="preserve">least 27 NaTech events (not classifiable as </w:t>
      </w:r>
      <w:r w:rsidR="00EC715A" w:rsidRPr="00EC715A">
        <w:rPr>
          <w:i/>
        </w:rPr>
        <w:t>major hazards accidents</w:t>
      </w:r>
      <w:r>
        <w:t xml:space="preserve">, according to the criteria deducible by the EU </w:t>
      </w:r>
      <w:r w:rsidR="00C13E06">
        <w:t xml:space="preserve">Directives </w:t>
      </w:r>
      <w:r>
        <w:t xml:space="preserve">criteria) </w:t>
      </w:r>
      <w:r w:rsidR="00881810">
        <w:t>occurred affecting</w:t>
      </w:r>
      <w:r>
        <w:t xml:space="preserve"> refineries, chemical and petrochemical industries and gas pipelines.</w:t>
      </w:r>
    </w:p>
    <w:p w14:paraId="6279923A" w14:textId="4DCA7280" w:rsidR="001D5149" w:rsidRDefault="001D5149" w:rsidP="005C28F4">
      <w:pPr>
        <w:pStyle w:val="CETnumberingbullets"/>
        <w:numPr>
          <w:ilvl w:val="0"/>
          <w:numId w:val="0"/>
        </w:numPr>
        <w:jc w:val="both"/>
      </w:pPr>
      <w:r>
        <w:t>However</w:t>
      </w:r>
      <w:r w:rsidR="00881810">
        <w:t>, </w:t>
      </w:r>
      <w:r>
        <w:t xml:space="preserve">an increase in </w:t>
      </w:r>
      <w:r w:rsidR="00810C36">
        <w:t>NaTech</w:t>
      </w:r>
      <w:r>
        <w:t xml:space="preserve"> events is expected</w:t>
      </w:r>
      <w:r w:rsidR="00EC715A">
        <w:t xml:space="preserve"> in the next years</w:t>
      </w:r>
      <w:r w:rsidR="009D78CB">
        <w:t xml:space="preserve"> (Cruz A.M. et al.2004)</w:t>
      </w:r>
      <w:r>
        <w:t xml:space="preserve">, </w:t>
      </w:r>
      <w:r w:rsidR="00EC715A">
        <w:t xml:space="preserve">due to </w:t>
      </w:r>
      <w:r>
        <w:t>the increase in the frequency of certain natural hazards.</w:t>
      </w:r>
    </w:p>
    <w:p w14:paraId="6279923B" w14:textId="17C3A53D" w:rsidR="001D5149" w:rsidRDefault="001D5149" w:rsidP="005C28F4">
      <w:pPr>
        <w:pStyle w:val="CETnumberingbullets"/>
        <w:numPr>
          <w:ilvl w:val="0"/>
          <w:numId w:val="0"/>
        </w:numPr>
        <w:jc w:val="both"/>
      </w:pPr>
      <w:r>
        <w:t>In particular, the increase</w:t>
      </w:r>
      <w:r w:rsidR="0019599C">
        <w:t xml:space="preserve"> of</w:t>
      </w:r>
      <w:r>
        <w:t xml:space="preserve"> the frequency of floods, and more generally of hydrological and meteorological events due to ongoing climate change, will likely be accompanied, in the absence or lack of adaptation </w:t>
      </w:r>
      <w:r w:rsidR="0019599C">
        <w:t>measure</w:t>
      </w:r>
      <w:r w:rsidR="00881810">
        <w:t>s</w:t>
      </w:r>
      <w:r>
        <w:t>, by an increase in the number of NaTech events, also due to the ever-increasing number of industrial structures and urbanized areas exposed to risk (</w:t>
      </w:r>
      <w:r w:rsidR="00881810">
        <w:t>because of</w:t>
      </w:r>
      <w:r>
        <w:t xml:space="preserve"> economic and social development).</w:t>
      </w:r>
    </w:p>
    <w:p w14:paraId="6279923C" w14:textId="3D1D840A" w:rsidR="006E52B3" w:rsidRPr="004A6B0C" w:rsidRDefault="006E52B3" w:rsidP="005C28F4">
      <w:pPr>
        <w:pStyle w:val="CETnumberingbullets"/>
        <w:numPr>
          <w:ilvl w:val="0"/>
          <w:numId w:val="0"/>
        </w:numPr>
        <w:jc w:val="both"/>
      </w:pPr>
      <w:r w:rsidRPr="004A6B0C">
        <w:t xml:space="preserve">It </w:t>
      </w:r>
      <w:r w:rsidR="00881810">
        <w:t>is </w:t>
      </w:r>
      <w:r w:rsidRPr="004A6B0C">
        <w:t xml:space="preserve">therefore </w:t>
      </w:r>
      <w:r>
        <w:t>necessary</w:t>
      </w:r>
      <w:r w:rsidRPr="004A6B0C">
        <w:t xml:space="preserve">, </w:t>
      </w:r>
      <w:r w:rsidR="0019599C">
        <w:t xml:space="preserve">while </w:t>
      </w:r>
      <w:r w:rsidRPr="004A6B0C">
        <w:t xml:space="preserve">identifying the hazards and assessing the major risks of industrial sites, </w:t>
      </w:r>
      <w:r w:rsidR="00881810">
        <w:t xml:space="preserve">to </w:t>
      </w:r>
      <w:r w:rsidR="0019599C" w:rsidRPr="004A6B0C">
        <w:t>pay</w:t>
      </w:r>
      <w:r w:rsidR="0019599C">
        <w:t xml:space="preserve"> attention</w:t>
      </w:r>
      <w:r w:rsidR="0019599C" w:rsidRPr="004A6B0C">
        <w:t xml:space="preserve"> </w:t>
      </w:r>
      <w:r w:rsidRPr="004A6B0C">
        <w:t xml:space="preserve">to </w:t>
      </w:r>
      <w:r>
        <w:t>the</w:t>
      </w:r>
      <w:r w:rsidRPr="004A6B0C">
        <w:t xml:space="preserve"> natural hazards that may affect the</w:t>
      </w:r>
      <w:r>
        <w:t>m</w:t>
      </w:r>
      <w:r w:rsidR="0019599C">
        <w:t xml:space="preserve">. NaTech events may </w:t>
      </w:r>
      <w:r>
        <w:t>giv</w:t>
      </w:r>
      <w:r w:rsidR="0019599C">
        <w:t>e</w:t>
      </w:r>
      <w:r>
        <w:t xml:space="preserve"> a relevant contribution to </w:t>
      </w:r>
      <w:r w:rsidRPr="004A6B0C">
        <w:t>the overall risk in an industrial area</w:t>
      </w:r>
      <w:r w:rsidR="00810C36">
        <w:t>, being such events characterized not only by low probability but</w:t>
      </w:r>
      <w:r w:rsidR="0019599C">
        <w:t xml:space="preserve"> unfortunately </w:t>
      </w:r>
      <w:r w:rsidR="00810C36">
        <w:t>also by high impact</w:t>
      </w:r>
      <w:r w:rsidRPr="004A6B0C">
        <w:t>.</w:t>
      </w:r>
    </w:p>
    <w:p w14:paraId="6279923D" w14:textId="77777777" w:rsidR="00012921" w:rsidRPr="00012921" w:rsidRDefault="0019599C" w:rsidP="0019599C">
      <w:pPr>
        <w:spacing w:before="120"/>
      </w:pPr>
      <w:r>
        <w:t>A</w:t>
      </w:r>
      <w:r w:rsidR="00012921" w:rsidRPr="00012921">
        <w:t>ddressing the issue of NaTech risk assessment, in addition to the tendential aspects deduced from historical experience, it is worth highlighting here the specific aspects of complexity that characterize it, such as:</w:t>
      </w:r>
    </w:p>
    <w:p w14:paraId="6279923E" w14:textId="547F1DB1" w:rsidR="003E1855" w:rsidRPr="00881810" w:rsidRDefault="00012921" w:rsidP="00881810">
      <w:pPr>
        <w:pStyle w:val="Paragrafoelenco"/>
        <w:numPr>
          <w:ilvl w:val="0"/>
          <w:numId w:val="33"/>
        </w:numPr>
        <w:tabs>
          <w:tab w:val="clear" w:pos="7100"/>
        </w:tabs>
        <w:contextualSpacing w:val="0"/>
        <w:rPr>
          <w:rFonts w:cs="Arial"/>
          <w:lang w:val="en-US"/>
        </w:rPr>
      </w:pPr>
      <w:r w:rsidRPr="00881810">
        <w:rPr>
          <w:rFonts w:cs="Arial"/>
          <w:lang w:val="en-US"/>
        </w:rPr>
        <w:t xml:space="preserve">natural hazards can cause multiple accidents (simultaneous or in series) in large areas (such as those affected by floods and earthquakes), with domino effects that are more frequent than </w:t>
      </w:r>
      <w:r w:rsidR="00067516" w:rsidRPr="00881810">
        <w:rPr>
          <w:rFonts w:cs="Arial"/>
          <w:lang w:val="en-US"/>
        </w:rPr>
        <w:t xml:space="preserve">in </w:t>
      </w:r>
      <w:r w:rsidR="00CD4A11">
        <w:rPr>
          <w:rFonts w:cs="Arial"/>
          <w:lang w:val="en-US"/>
        </w:rPr>
        <w:t>the </w:t>
      </w:r>
      <w:r w:rsidR="00067516" w:rsidRPr="00881810">
        <w:rPr>
          <w:rFonts w:cs="Arial"/>
          <w:lang w:val="en-US"/>
        </w:rPr>
        <w:t xml:space="preserve">case of </w:t>
      </w:r>
      <w:r w:rsidRPr="00881810">
        <w:rPr>
          <w:rFonts w:cs="Arial"/>
          <w:lang w:val="en-US"/>
        </w:rPr>
        <w:t>"conventional" accidents</w:t>
      </w:r>
      <w:r w:rsidR="00414791" w:rsidRPr="00881810">
        <w:rPr>
          <w:rFonts w:cs="Arial"/>
          <w:lang w:val="en-US"/>
        </w:rPr>
        <w:t xml:space="preserve">, </w:t>
      </w:r>
      <w:r w:rsidR="00881810" w:rsidRPr="00881810">
        <w:rPr>
          <w:rFonts w:cs="Arial"/>
          <w:lang w:val="en-US"/>
        </w:rPr>
        <w:t>with increment</w:t>
      </w:r>
      <w:r w:rsidR="00C87180" w:rsidRPr="00881810">
        <w:rPr>
          <w:rFonts w:cs="Arial"/>
          <w:lang w:val="en-US"/>
        </w:rPr>
        <w:t xml:space="preserve"> of frequency side  in societal risk curves</w:t>
      </w:r>
      <w:r w:rsidR="00D02EEC" w:rsidRPr="00881810">
        <w:rPr>
          <w:rFonts w:cs="Arial"/>
          <w:lang w:val="en-US"/>
        </w:rPr>
        <w:t xml:space="preserve"> </w:t>
      </w:r>
      <w:r w:rsidR="00414791" w:rsidRPr="00881810">
        <w:rPr>
          <w:rFonts w:cs="Arial"/>
          <w:lang w:val="en-US"/>
        </w:rPr>
        <w:t>(</w:t>
      </w:r>
      <w:r w:rsidR="003E1855" w:rsidRPr="00881810">
        <w:rPr>
          <w:rFonts w:cs="Arial"/>
          <w:lang w:val="en-US"/>
        </w:rPr>
        <w:t>Cozzani V.,2018);</w:t>
      </w:r>
    </w:p>
    <w:p w14:paraId="6279923F" w14:textId="44DAC291" w:rsidR="00012921" w:rsidRPr="00881810" w:rsidRDefault="00881810" w:rsidP="00881810">
      <w:pPr>
        <w:pStyle w:val="Paragrafoelenco"/>
        <w:numPr>
          <w:ilvl w:val="0"/>
          <w:numId w:val="33"/>
        </w:numPr>
        <w:tabs>
          <w:tab w:val="clear" w:pos="7100"/>
        </w:tabs>
        <w:contextualSpacing w:val="0"/>
        <w:rPr>
          <w:rFonts w:cs="Arial"/>
          <w:lang w:val="en-US"/>
        </w:rPr>
      </w:pPr>
      <w:r>
        <w:rPr>
          <w:rFonts w:cs="Arial"/>
          <w:lang w:val="en-US"/>
        </w:rPr>
        <w:t>a</w:t>
      </w:r>
      <w:r w:rsidRPr="00881810">
        <w:rPr>
          <w:rFonts w:cs="Arial"/>
          <w:lang w:val="en-US"/>
        </w:rPr>
        <w:t xml:space="preserve"> NaTech</w:t>
      </w:r>
      <w:r w:rsidR="00012921" w:rsidRPr="00881810">
        <w:rPr>
          <w:rFonts w:cs="Arial"/>
          <w:lang w:val="en-US"/>
        </w:rPr>
        <w:t xml:space="preserve"> accident can also be triggered by natural events of non-extreme intensity, which damage components of limited size (e.g. connections, pipes, rotating machines and moving parts - pumps, compressors, etc.)</w:t>
      </w:r>
      <w:r w:rsidR="00CD4A11">
        <w:rPr>
          <w:rFonts w:cs="Arial"/>
          <w:lang w:val="en-US"/>
        </w:rPr>
        <w:t>.</w:t>
      </w:r>
    </w:p>
    <w:p w14:paraId="62799240" w14:textId="68AA43DB" w:rsidR="00012921" w:rsidRPr="00881810" w:rsidRDefault="00012921" w:rsidP="00881810">
      <w:pPr>
        <w:pStyle w:val="Paragrafoelenco"/>
        <w:numPr>
          <w:ilvl w:val="0"/>
          <w:numId w:val="33"/>
        </w:numPr>
        <w:tabs>
          <w:tab w:val="clear" w:pos="7100"/>
        </w:tabs>
        <w:contextualSpacing w:val="0"/>
        <w:rPr>
          <w:rFonts w:cs="Arial"/>
          <w:lang w:val="en-US"/>
        </w:rPr>
      </w:pPr>
      <w:r w:rsidRPr="00881810">
        <w:rPr>
          <w:rFonts w:cs="Arial"/>
          <w:lang w:val="en-US"/>
        </w:rPr>
        <w:t>natural hazards can trigger other natural events in a cascade (e.g. an earthquake can cause a tsunami or a landslide)</w:t>
      </w:r>
      <w:r w:rsidR="00CD4A11">
        <w:rPr>
          <w:rFonts w:cs="Arial"/>
          <w:lang w:val="en-US"/>
        </w:rPr>
        <w:t>.</w:t>
      </w:r>
    </w:p>
    <w:p w14:paraId="62799241" w14:textId="162ABC2C" w:rsidR="00012921" w:rsidRPr="00881810" w:rsidRDefault="00012921" w:rsidP="00881810">
      <w:pPr>
        <w:pStyle w:val="Paragrafoelenco"/>
        <w:numPr>
          <w:ilvl w:val="0"/>
          <w:numId w:val="33"/>
        </w:numPr>
        <w:tabs>
          <w:tab w:val="clear" w:pos="7100"/>
        </w:tabs>
        <w:contextualSpacing w:val="0"/>
        <w:rPr>
          <w:rFonts w:cs="Arial"/>
          <w:lang w:val="en-US"/>
        </w:rPr>
      </w:pPr>
      <w:r w:rsidRPr="00881810">
        <w:rPr>
          <w:rFonts w:cs="Arial"/>
          <w:lang w:val="en-US"/>
        </w:rPr>
        <w:t>due to climate change, some natural hazards may occur in areas where they have never been observed before (see for example Medicane, i.e. extreme events that occurred in the Mediterranean with characteristics of North American hurricanes)</w:t>
      </w:r>
      <w:r w:rsidR="00881810">
        <w:rPr>
          <w:rFonts w:cs="Arial"/>
          <w:lang w:val="en-US"/>
        </w:rPr>
        <w:t>.</w:t>
      </w:r>
    </w:p>
    <w:p w14:paraId="62799242" w14:textId="2EB5B37F" w:rsidR="00012921" w:rsidRPr="00881810" w:rsidRDefault="00C87180" w:rsidP="00881810">
      <w:pPr>
        <w:pStyle w:val="Paragrafoelenco"/>
        <w:numPr>
          <w:ilvl w:val="0"/>
          <w:numId w:val="33"/>
        </w:numPr>
        <w:tabs>
          <w:tab w:val="clear" w:pos="7100"/>
        </w:tabs>
        <w:contextualSpacing w:val="0"/>
        <w:rPr>
          <w:rFonts w:cs="Arial"/>
          <w:lang w:val="en-US"/>
        </w:rPr>
      </w:pPr>
      <w:r w:rsidRPr="00881810">
        <w:rPr>
          <w:rFonts w:cs="Arial"/>
          <w:lang w:val="en-US"/>
        </w:rPr>
        <w:t>i</w:t>
      </w:r>
      <w:r w:rsidR="00012921" w:rsidRPr="00881810">
        <w:rPr>
          <w:rFonts w:cs="Arial"/>
          <w:lang w:val="en-US"/>
        </w:rPr>
        <w:t>n the event of a natural disaster, the vulnerability of the affected population increases</w:t>
      </w:r>
      <w:r w:rsidR="00881810">
        <w:rPr>
          <w:rFonts w:cs="Arial"/>
          <w:lang w:val="en-US"/>
        </w:rPr>
        <w:t>,</w:t>
      </w:r>
      <w:r w:rsidR="00012921" w:rsidRPr="00881810">
        <w:rPr>
          <w:rFonts w:cs="Arial"/>
          <w:lang w:val="en-US"/>
        </w:rPr>
        <w:t xml:space="preserve"> and therefore the consequences of a NaTech event may be more severe than an equivalent industrial accident that occurred in “conventional” conditions</w:t>
      </w:r>
      <w:r w:rsidRPr="00881810">
        <w:rPr>
          <w:rFonts w:cs="Arial"/>
          <w:lang w:val="en-US"/>
        </w:rPr>
        <w:t xml:space="preserve"> (with </w:t>
      </w:r>
      <w:r w:rsidR="00881810">
        <w:rPr>
          <w:rFonts w:cs="Arial"/>
          <w:lang w:val="en-US"/>
        </w:rPr>
        <w:t>an </w:t>
      </w:r>
      <w:r w:rsidRPr="00881810">
        <w:rPr>
          <w:rFonts w:cs="Arial"/>
          <w:lang w:val="en-US"/>
        </w:rPr>
        <w:t>increment of severity side in societal risk curves</w:t>
      </w:r>
      <w:r w:rsidR="00067516" w:rsidRPr="00881810">
        <w:rPr>
          <w:rFonts w:cs="Arial"/>
          <w:lang w:val="en-US"/>
        </w:rPr>
        <w:t xml:space="preserve"> due to multiple scenarios)</w:t>
      </w:r>
      <w:r w:rsidR="003E1855" w:rsidRPr="00881810">
        <w:rPr>
          <w:rFonts w:cs="Arial"/>
          <w:lang w:val="en-US"/>
        </w:rPr>
        <w:t xml:space="preserve"> (Cozzani V.,2018)</w:t>
      </w:r>
      <w:r w:rsidR="00881810">
        <w:rPr>
          <w:rFonts w:cs="Arial"/>
          <w:lang w:val="en-US"/>
        </w:rPr>
        <w:t>.</w:t>
      </w:r>
    </w:p>
    <w:p w14:paraId="62799243" w14:textId="595B89EC" w:rsidR="00012921" w:rsidRPr="00881810" w:rsidRDefault="00012921" w:rsidP="00881810">
      <w:pPr>
        <w:pStyle w:val="Paragrafoelenco"/>
        <w:numPr>
          <w:ilvl w:val="0"/>
          <w:numId w:val="33"/>
        </w:numPr>
        <w:tabs>
          <w:tab w:val="clear" w:pos="7100"/>
        </w:tabs>
        <w:contextualSpacing w:val="0"/>
        <w:rPr>
          <w:rFonts w:cs="Arial"/>
          <w:lang w:val="en-US"/>
        </w:rPr>
      </w:pPr>
      <w:r w:rsidRPr="00881810">
        <w:rPr>
          <w:rFonts w:cs="Arial"/>
          <w:lang w:val="en-US"/>
        </w:rPr>
        <w:t xml:space="preserve">on-site and off-site response capabilities may be reduced by the natural event, due to the commitment of emergency teams </w:t>
      </w:r>
      <w:r w:rsidR="00881810">
        <w:rPr>
          <w:rFonts w:cs="Arial"/>
          <w:lang w:val="en-US"/>
        </w:rPr>
        <w:t>to</w:t>
      </w:r>
      <w:r w:rsidRPr="00881810">
        <w:rPr>
          <w:rFonts w:cs="Arial"/>
          <w:lang w:val="en-US"/>
        </w:rPr>
        <w:t xml:space="preserve"> rescuing the population, which may reduce the availability of resources to mitigate the consequences of triggered NaTech events</w:t>
      </w:r>
      <w:r w:rsidR="00881810">
        <w:rPr>
          <w:rFonts w:cs="Arial"/>
          <w:lang w:val="en-US"/>
        </w:rPr>
        <w:t>.</w:t>
      </w:r>
    </w:p>
    <w:p w14:paraId="62799244" w14:textId="6FC626DD" w:rsidR="00012921" w:rsidRPr="00881810" w:rsidRDefault="00C87180" w:rsidP="00881810">
      <w:pPr>
        <w:pStyle w:val="Paragrafoelenco"/>
        <w:numPr>
          <w:ilvl w:val="0"/>
          <w:numId w:val="33"/>
        </w:numPr>
        <w:tabs>
          <w:tab w:val="clear" w:pos="7100"/>
        </w:tabs>
        <w:contextualSpacing w:val="0"/>
        <w:rPr>
          <w:rFonts w:cs="Arial"/>
          <w:lang w:val="en-US"/>
        </w:rPr>
      </w:pPr>
      <w:r w:rsidRPr="00881810">
        <w:rPr>
          <w:rFonts w:cs="Arial"/>
          <w:lang w:val="en-US"/>
        </w:rPr>
        <w:t>sa</w:t>
      </w:r>
      <w:r w:rsidR="00012921" w:rsidRPr="00881810">
        <w:rPr>
          <w:rFonts w:cs="Arial"/>
          <w:lang w:val="en-US"/>
        </w:rPr>
        <w:t>fety measures adopted to prevent or mitigate conventional accidents may prove ineffective or insufficient, if not sized to withstand a natural event</w:t>
      </w:r>
      <w:r w:rsidR="00101403" w:rsidRPr="00881810">
        <w:rPr>
          <w:rFonts w:cs="Arial"/>
          <w:lang w:val="en-US"/>
        </w:rPr>
        <w:t xml:space="preserve"> (</w:t>
      </w:r>
      <w:r w:rsidR="00CC2897" w:rsidRPr="00881810">
        <w:rPr>
          <w:rFonts w:cs="Arial"/>
          <w:lang w:val="en-US"/>
        </w:rPr>
        <w:t>barrier holes</w:t>
      </w:r>
      <w:r w:rsidR="003E1855" w:rsidRPr="00881810">
        <w:rPr>
          <w:rFonts w:cs="Arial"/>
          <w:lang w:val="en-US"/>
        </w:rPr>
        <w:t xml:space="preserve">) (Cozzani </w:t>
      </w:r>
      <w:r w:rsidR="00A22A63" w:rsidRPr="00881810">
        <w:rPr>
          <w:rFonts w:cs="Arial"/>
          <w:lang w:val="en-US"/>
        </w:rPr>
        <w:t>V,</w:t>
      </w:r>
      <w:r w:rsidR="003E1855" w:rsidRPr="00881810">
        <w:rPr>
          <w:rFonts w:cs="Arial"/>
          <w:lang w:val="en-US"/>
        </w:rPr>
        <w:t>2018)</w:t>
      </w:r>
      <w:r w:rsidR="00881810">
        <w:rPr>
          <w:rFonts w:cs="Arial"/>
          <w:lang w:val="en-US"/>
        </w:rPr>
        <w:t>.</w:t>
      </w:r>
    </w:p>
    <w:p w14:paraId="62799245" w14:textId="670FB4A0" w:rsidR="00012921" w:rsidRPr="00881810" w:rsidRDefault="00012921" w:rsidP="00881810">
      <w:pPr>
        <w:pStyle w:val="Paragrafoelenco"/>
        <w:numPr>
          <w:ilvl w:val="0"/>
          <w:numId w:val="33"/>
        </w:numPr>
        <w:tabs>
          <w:tab w:val="clear" w:pos="7100"/>
        </w:tabs>
        <w:contextualSpacing w:val="0"/>
        <w:rPr>
          <w:rFonts w:cs="Arial"/>
          <w:lang w:val="en-US"/>
        </w:rPr>
      </w:pPr>
      <w:r w:rsidRPr="00881810">
        <w:rPr>
          <w:rFonts w:cs="Arial"/>
          <w:lang w:val="en-US"/>
        </w:rPr>
        <w:t>due to a natural hazard, it is possible that utilities (electricity, water, nitrogen, etc.) may be interrupted or reduced, resulting in total (or partial) unavailability of functions that are essential for safety (process control, shutdown, cooling, etc.), as well as the so-called “ancillary systems”, necessary for the operational management of the plants</w:t>
      </w:r>
      <w:r w:rsidR="003E1855" w:rsidRPr="00881810">
        <w:rPr>
          <w:rFonts w:cs="Arial"/>
          <w:lang w:val="en-US"/>
        </w:rPr>
        <w:t xml:space="preserve"> (Cozzani V.,2018)</w:t>
      </w:r>
      <w:r w:rsidR="00881810">
        <w:rPr>
          <w:rFonts w:cs="Arial"/>
          <w:lang w:val="en-US"/>
        </w:rPr>
        <w:t>.</w:t>
      </w:r>
    </w:p>
    <w:p w14:paraId="62799246" w14:textId="365B92BF" w:rsidR="00012921" w:rsidRPr="00881810" w:rsidRDefault="00CC2897" w:rsidP="00881810">
      <w:pPr>
        <w:pStyle w:val="Paragrafoelenco"/>
        <w:numPr>
          <w:ilvl w:val="0"/>
          <w:numId w:val="33"/>
        </w:numPr>
        <w:tabs>
          <w:tab w:val="clear" w:pos="7100"/>
        </w:tabs>
        <w:contextualSpacing w:val="0"/>
        <w:rPr>
          <w:rFonts w:cs="Arial"/>
          <w:lang w:val="en-US"/>
        </w:rPr>
      </w:pPr>
      <w:r w:rsidRPr="00881810">
        <w:rPr>
          <w:rFonts w:cs="Arial"/>
          <w:lang w:val="en-US"/>
        </w:rPr>
        <w:lastRenderedPageBreak/>
        <w:t xml:space="preserve">address </w:t>
      </w:r>
      <w:r w:rsidR="00012921" w:rsidRPr="00881810">
        <w:rPr>
          <w:rFonts w:cs="Arial"/>
          <w:lang w:val="en-US"/>
        </w:rPr>
        <w:t xml:space="preserve">NaTech </w:t>
      </w:r>
      <w:r w:rsidRPr="00881810">
        <w:rPr>
          <w:rFonts w:cs="Arial"/>
          <w:lang w:val="en-US"/>
        </w:rPr>
        <w:t xml:space="preserve">needs </w:t>
      </w:r>
      <w:r w:rsidR="00881810">
        <w:rPr>
          <w:rFonts w:cs="Arial"/>
          <w:lang w:val="en-US"/>
        </w:rPr>
        <w:t>for </w:t>
      </w:r>
      <w:r w:rsidR="00012921" w:rsidRPr="00881810">
        <w:rPr>
          <w:rFonts w:cs="Arial"/>
          <w:lang w:val="en-US"/>
        </w:rPr>
        <w:t>the integration and cooperation of industrial safety experts with other professionals who are not usually involved (geologists, hydrogeologists, civil, hydraulic</w:t>
      </w:r>
      <w:r w:rsidR="00881810">
        <w:rPr>
          <w:rFonts w:cs="Arial"/>
          <w:lang w:val="en-US"/>
        </w:rPr>
        <w:t>,</w:t>
      </w:r>
      <w:r w:rsidR="00012921" w:rsidRPr="00881810">
        <w:rPr>
          <w:rFonts w:cs="Arial"/>
          <w:lang w:val="en-US"/>
        </w:rPr>
        <w:t xml:space="preserve"> and environmental engineers, </w:t>
      </w:r>
      <w:r w:rsidR="00881810">
        <w:rPr>
          <w:rFonts w:cs="Arial"/>
          <w:lang w:val="en-US"/>
        </w:rPr>
        <w:t>and </w:t>
      </w:r>
      <w:r w:rsidR="00012921" w:rsidRPr="00881810">
        <w:rPr>
          <w:rFonts w:cs="Arial"/>
          <w:lang w:val="en-US"/>
        </w:rPr>
        <w:t>weather experts)</w:t>
      </w:r>
      <w:r w:rsidR="00A22A63">
        <w:rPr>
          <w:rFonts w:cs="Arial"/>
          <w:lang w:val="en-US"/>
        </w:rPr>
        <w:t>.</w:t>
      </w:r>
    </w:p>
    <w:p w14:paraId="62799247" w14:textId="1063FD5C" w:rsidR="00D57344" w:rsidRDefault="004C69DB" w:rsidP="004C69DB">
      <w:pPr>
        <w:ind w:left="-56"/>
      </w:pPr>
      <w:r>
        <w:t>Due to the aforementioned elements of complexity</w:t>
      </w:r>
      <w:r w:rsidR="00012921" w:rsidRPr="00012921">
        <w:t xml:space="preserve"> the experience of applying </w:t>
      </w:r>
      <w:r w:rsidRPr="00012921">
        <w:t xml:space="preserve">NaTech </w:t>
      </w:r>
      <w:r w:rsidR="00012921" w:rsidRPr="00012921">
        <w:t xml:space="preserve">techniques and tools for </w:t>
      </w:r>
      <w:r>
        <w:t>domino effects evaluation</w:t>
      </w:r>
      <w:r w:rsidR="00D57344">
        <w:t xml:space="preserve"> and</w:t>
      </w:r>
      <w:r>
        <w:t xml:space="preserve"> </w:t>
      </w:r>
      <w:r w:rsidR="00012921" w:rsidRPr="00012921">
        <w:t>quantitative risk analysis, which represent the most powerful and sophisticated approach for the management of industrial risks (in particular if it is aimed at the integrated assessment of the so-called collective or soci</w:t>
      </w:r>
      <w:r>
        <w:t xml:space="preserve">etal </w:t>
      </w:r>
      <w:r w:rsidR="00012921" w:rsidRPr="00012921">
        <w:t>risk, through the recomposition of individual risks and their representation through F-N curves), is still limited to pilot studies</w:t>
      </w:r>
      <w:r w:rsidR="003E1855">
        <w:t xml:space="preserve"> </w:t>
      </w:r>
      <w:r w:rsidR="003E1855" w:rsidRPr="00414791">
        <w:t>(</w:t>
      </w:r>
      <w:r w:rsidR="003E1855" w:rsidRPr="003E1855">
        <w:t>Cozzani V.,2018)</w:t>
      </w:r>
      <w:r w:rsidR="00D57344">
        <w:t>.</w:t>
      </w:r>
    </w:p>
    <w:p w14:paraId="5FC2339C" w14:textId="69024936" w:rsidR="00E95069" w:rsidRPr="00E95069" w:rsidRDefault="00D57344" w:rsidP="00390BBE">
      <w:pPr>
        <w:spacing w:after="240"/>
        <w:ind w:left="-56"/>
      </w:pPr>
      <w:r>
        <w:t>However</w:t>
      </w:r>
      <w:r w:rsidR="00881810">
        <w:t>, </w:t>
      </w:r>
      <w:r>
        <w:t xml:space="preserve">due to </w:t>
      </w:r>
      <w:r w:rsidR="00CC2897">
        <w:t>some</w:t>
      </w:r>
      <w:r w:rsidR="00012921" w:rsidRPr="00012921">
        <w:t xml:space="preserve"> current </w:t>
      </w:r>
      <w:r w:rsidR="00CC2897">
        <w:t xml:space="preserve">national </w:t>
      </w:r>
      <w:r w:rsidR="00012921" w:rsidRPr="00012921">
        <w:t xml:space="preserve">regulations </w:t>
      </w:r>
      <w:r w:rsidR="00CC2897">
        <w:t xml:space="preserve">in </w:t>
      </w:r>
      <w:r w:rsidR="00881810">
        <w:t>the </w:t>
      </w:r>
      <w:r>
        <w:t>E</w:t>
      </w:r>
      <w:r w:rsidR="00CC2897">
        <w:t xml:space="preserve">U </w:t>
      </w:r>
      <w:r>
        <w:t xml:space="preserve">that </w:t>
      </w:r>
      <w:r w:rsidR="00012921" w:rsidRPr="00012921">
        <w:t>provide for</w:t>
      </w:r>
      <w:r w:rsidR="00773D15">
        <w:t xml:space="preserve"> </w:t>
      </w:r>
      <w:r w:rsidR="00012921" w:rsidRPr="00012921">
        <w:t xml:space="preserve">their application in specific cases and </w:t>
      </w:r>
      <w:r>
        <w:t xml:space="preserve">considering </w:t>
      </w:r>
      <w:r w:rsidRPr="00012921">
        <w:t xml:space="preserve">skills and expertise </w:t>
      </w:r>
      <w:r>
        <w:t>already</w:t>
      </w:r>
      <w:r w:rsidR="00CC2897">
        <w:t xml:space="preserve"> ava</w:t>
      </w:r>
      <w:r w:rsidR="00881810">
        <w:t>i</w:t>
      </w:r>
      <w:r w:rsidR="00CC2897">
        <w:t xml:space="preserve">lable in Europe and Italy </w:t>
      </w:r>
      <w:r w:rsidR="00881810">
        <w:t>too</w:t>
      </w:r>
      <w:r w:rsidR="00881810" w:rsidRPr="00012921">
        <w:t>,</w:t>
      </w:r>
      <w:r w:rsidR="00881810">
        <w:t xml:space="preserve"> in</w:t>
      </w:r>
      <w:r w:rsidR="00773D15">
        <w:t xml:space="preserve"> academia and among </w:t>
      </w:r>
      <w:r w:rsidR="00C53C4D" w:rsidRPr="00012921">
        <w:t>professional</w:t>
      </w:r>
      <w:r w:rsidR="00C53C4D">
        <w:t xml:space="preserve">s, </w:t>
      </w:r>
      <w:r w:rsidR="00C53C4D" w:rsidRPr="00012921">
        <w:t>significant</w:t>
      </w:r>
      <w:r w:rsidR="00012921" w:rsidRPr="00012921">
        <w:t xml:space="preserve"> application developments for </w:t>
      </w:r>
      <w:r>
        <w:t xml:space="preserve">domino effects and </w:t>
      </w:r>
      <w:r w:rsidR="00CC2897">
        <w:t xml:space="preserve">quantitative analysis of </w:t>
      </w:r>
      <w:r w:rsidR="00012921" w:rsidRPr="00012921">
        <w:t>NaTech</w:t>
      </w:r>
      <w:r w:rsidR="00472956">
        <w:t xml:space="preserve"> events</w:t>
      </w:r>
      <w:r w:rsidR="00012921" w:rsidRPr="00012921">
        <w:t xml:space="preserve"> are underway</w:t>
      </w:r>
      <w:r w:rsidR="00472956">
        <w:t>,</w:t>
      </w:r>
      <w:r w:rsidR="00012921" w:rsidRPr="00012921">
        <w:t xml:space="preserve"> </w:t>
      </w:r>
      <w:r>
        <w:t>or expected</w:t>
      </w:r>
      <w:r w:rsidR="00472956">
        <w:t>,</w:t>
      </w:r>
      <w:r>
        <w:t xml:space="preserve"> </w:t>
      </w:r>
      <w:r w:rsidR="00472956">
        <w:t>aimed to define</w:t>
      </w:r>
      <w:r w:rsidR="00472956">
        <w:rPr>
          <w:rFonts w:cs="Arial"/>
          <w:szCs w:val="18"/>
          <w:lang w:val="en-US"/>
        </w:rPr>
        <w:t xml:space="preserve"> </w:t>
      </w:r>
      <w:r w:rsidR="00773D15" w:rsidRPr="0062256A">
        <w:rPr>
          <w:rFonts w:cs="Arial"/>
          <w:szCs w:val="18"/>
          <w:lang w:val="en-US"/>
        </w:rPr>
        <w:t xml:space="preserve">standardized methods and procedures </w:t>
      </w:r>
      <w:r w:rsidR="00472956">
        <w:rPr>
          <w:rFonts w:cs="Arial"/>
          <w:szCs w:val="18"/>
          <w:lang w:val="en-US"/>
        </w:rPr>
        <w:t xml:space="preserve">to </w:t>
      </w:r>
      <w:r w:rsidR="00773D15">
        <w:rPr>
          <w:rFonts w:cs="Arial"/>
          <w:szCs w:val="18"/>
          <w:lang w:val="en-US"/>
        </w:rPr>
        <w:t>inclu</w:t>
      </w:r>
      <w:r w:rsidR="00472956">
        <w:rPr>
          <w:rFonts w:cs="Arial"/>
          <w:szCs w:val="18"/>
          <w:lang w:val="en-US"/>
        </w:rPr>
        <w:t>de</w:t>
      </w:r>
      <w:r w:rsidR="00773D15">
        <w:rPr>
          <w:rFonts w:cs="Arial"/>
          <w:szCs w:val="18"/>
          <w:lang w:val="en-US"/>
        </w:rPr>
        <w:t xml:space="preserve"> in overall </w:t>
      </w:r>
      <w:r w:rsidR="00773D15" w:rsidRPr="00E95069">
        <w:t>risk analysis and related tools</w:t>
      </w:r>
      <w:r w:rsidR="00472956" w:rsidRPr="00E95069">
        <w:t>.</w:t>
      </w:r>
      <w:r w:rsidR="00390BBE">
        <w:t xml:space="preserve"> </w:t>
      </w:r>
      <w:r w:rsidR="00E95069" w:rsidRPr="00E95069">
        <w:t xml:space="preserve">In the following Figure </w:t>
      </w:r>
      <w:r w:rsidR="00390BBE">
        <w:t>2, it</w:t>
      </w:r>
      <w:r w:rsidR="00E95069" w:rsidRPr="00E95069">
        <w:t xml:space="preserve"> is described in deep the analytical identification stage of </w:t>
      </w:r>
      <w:r w:rsidR="00390BBE">
        <w:t>the </w:t>
      </w:r>
      <w:r w:rsidR="00E95069" w:rsidRPr="00E95069">
        <w:t xml:space="preserve">domino effect, aimed </w:t>
      </w:r>
      <w:r w:rsidR="00390BBE">
        <w:t>at</w:t>
      </w:r>
      <w:r w:rsidR="00E95069" w:rsidRPr="00E95069">
        <w:t xml:space="preserve"> classify</w:t>
      </w:r>
      <w:r w:rsidR="00390BBE">
        <w:t>ing</w:t>
      </w:r>
      <w:r w:rsidR="00E95069" w:rsidRPr="00E95069">
        <w:t xml:space="preserve"> targets and estimat</w:t>
      </w:r>
      <w:r w:rsidR="00390BBE">
        <w:t>ing</w:t>
      </w:r>
      <w:r w:rsidR="00E95069" w:rsidRPr="00E95069">
        <w:t xml:space="preserve"> the domino effect probability (Cozzani, 2005b).</w:t>
      </w:r>
    </w:p>
    <w:p w14:paraId="7DE3E465" w14:textId="12DC82E1" w:rsidR="00BD570C" w:rsidRPr="00012921" w:rsidRDefault="00BD570C" w:rsidP="004C69DB">
      <w:pPr>
        <w:ind w:left="-56"/>
      </w:pPr>
      <w:r>
        <w:rPr>
          <w:noProof/>
        </w:rPr>
        <w:drawing>
          <wp:inline distT="0" distB="0" distL="0" distR="0" wp14:anchorId="30959DF2" wp14:editId="6E28A553">
            <wp:extent cx="4209862" cy="5878551"/>
            <wp:effectExtent l="0" t="0" r="635" b="8255"/>
            <wp:docPr id="865899498" name="Immagine 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99498" name="Immagine 1" descr="Immagine che contiene testo, schermata, software, Icona del computer&#10;&#10;Descrizione generata automaticamente"/>
                    <pic:cNvPicPr/>
                  </pic:nvPicPr>
                  <pic:blipFill rotWithShape="1">
                    <a:blip r:embed="rId11"/>
                    <a:srcRect l="37695" t="28236" r="36838" b="8547"/>
                    <a:stretch/>
                  </pic:blipFill>
                  <pic:spPr bwMode="auto">
                    <a:xfrm>
                      <a:off x="0" y="0"/>
                      <a:ext cx="4222550" cy="5896269"/>
                    </a:xfrm>
                    <a:prstGeom prst="rect">
                      <a:avLst/>
                    </a:prstGeom>
                    <a:ln>
                      <a:noFill/>
                    </a:ln>
                    <a:extLst>
                      <a:ext uri="{53640926-AAD7-44D8-BBD7-CCE9431645EC}">
                        <a14:shadowObscured xmlns:a14="http://schemas.microsoft.com/office/drawing/2010/main"/>
                      </a:ext>
                    </a:extLst>
                  </pic:spPr>
                </pic:pic>
              </a:graphicData>
            </a:graphic>
          </wp:inline>
        </w:drawing>
      </w:r>
    </w:p>
    <w:p w14:paraId="3FEB39FF" w14:textId="7D9F399F" w:rsidR="00390BBE" w:rsidRDefault="00390BBE" w:rsidP="00390BBE">
      <w:pPr>
        <w:spacing w:before="120"/>
        <w:rPr>
          <w:rFonts w:cs="Arial"/>
          <w:b/>
          <w:lang w:val="en-US"/>
        </w:rPr>
      </w:pPr>
      <w:r w:rsidRPr="00C149E4">
        <w:rPr>
          <w:rStyle w:val="CETCaptionCarattere"/>
        </w:rPr>
        <w:t xml:space="preserve">Figure </w:t>
      </w:r>
      <w:r w:rsidR="00B61A7F">
        <w:rPr>
          <w:rStyle w:val="CETCaptionCarattere"/>
        </w:rPr>
        <w:t>2</w:t>
      </w:r>
      <w:r w:rsidRPr="00C149E4">
        <w:rPr>
          <w:rStyle w:val="CETCaptionCarattere"/>
        </w:rPr>
        <w:t xml:space="preserve">: </w:t>
      </w:r>
      <w:r w:rsidR="00796056" w:rsidRPr="00796056">
        <w:rPr>
          <w:rStyle w:val="CETCaptionCarattere"/>
        </w:rPr>
        <w:t>Analytical identification of the domino effects</w:t>
      </w:r>
      <w:r>
        <w:rPr>
          <w:rFonts w:cs="Arial"/>
          <w:b/>
          <w:lang w:val="en-US"/>
        </w:rPr>
        <w:t xml:space="preserve"> </w:t>
      </w:r>
    </w:p>
    <w:p w14:paraId="6279924A" w14:textId="60E37DC8" w:rsidR="004067CC" w:rsidRPr="00AD23A3" w:rsidRDefault="008017DC" w:rsidP="00B61A7F">
      <w:pPr>
        <w:spacing w:before="240"/>
        <w:ind w:left="-56"/>
        <w:rPr>
          <w:b/>
          <w:bCs/>
        </w:rPr>
      </w:pPr>
      <w:r w:rsidRPr="00AD23A3">
        <w:rPr>
          <w:b/>
          <w:bCs/>
        </w:rPr>
        <w:lastRenderedPageBreak/>
        <w:t>6</w:t>
      </w:r>
      <w:r w:rsidR="004067CC" w:rsidRPr="00AD23A3">
        <w:rPr>
          <w:b/>
          <w:bCs/>
        </w:rPr>
        <w:t xml:space="preserve">. Conclusions </w:t>
      </w:r>
    </w:p>
    <w:p w14:paraId="6279924C" w14:textId="3BD9D28C" w:rsidR="004067CC" w:rsidRPr="008017DC" w:rsidRDefault="004067CC" w:rsidP="00791622">
      <w:pPr>
        <w:ind w:left="-56"/>
      </w:pPr>
      <w:r w:rsidRPr="008017DC">
        <w:t xml:space="preserve">The technical and operational criteria set out in this paper, which tries to respond to the obligation introduced by the Italian Authorities to implement Article 9 of the Seveso III Directive, </w:t>
      </w:r>
      <w:bookmarkStart w:id="1" w:name="_Hlk187312181"/>
      <w:r w:rsidRPr="008017DC">
        <w:t xml:space="preserve">offer sound technical and scientific support to the CAs for the identification and management of domino effects </w:t>
      </w:r>
      <w:bookmarkEnd w:id="1"/>
      <w:r w:rsidRPr="008017DC">
        <w:t>in major accidents risk industrial establishments</w:t>
      </w:r>
      <w:r w:rsidR="00796056">
        <w:t xml:space="preserve">. </w:t>
      </w:r>
      <w:r w:rsidRPr="008017DC">
        <w:t>The identification of domino effects, due to the possible interactions between different establishments</w:t>
      </w:r>
      <w:r w:rsidR="00791622">
        <w:t xml:space="preserve">, </w:t>
      </w:r>
      <w:r w:rsidR="00575007">
        <w:t>aim</w:t>
      </w:r>
      <w:r w:rsidR="00791622">
        <w:t>ing</w:t>
      </w:r>
      <w:r w:rsidR="00575007">
        <w:t xml:space="preserve"> at </w:t>
      </w:r>
      <w:r w:rsidR="00575007" w:rsidRPr="00575007">
        <w:t>identify</w:t>
      </w:r>
      <w:r w:rsidR="00575007">
        <w:t>ing</w:t>
      </w:r>
      <w:r w:rsidR="00575007" w:rsidRPr="00575007">
        <w:t xml:space="preserve"> possible prevention and/or mitigation measures</w:t>
      </w:r>
      <w:r w:rsidR="00791622">
        <w:t xml:space="preserve">, is </w:t>
      </w:r>
      <w:r w:rsidRPr="008017DC">
        <w:t xml:space="preserve">carried out </w:t>
      </w:r>
      <w:r w:rsidR="00881810" w:rsidRPr="008017DC">
        <w:t>to</w:t>
      </w:r>
      <w:r w:rsidRPr="008017DC">
        <w:t>:</w:t>
      </w:r>
    </w:p>
    <w:p w14:paraId="6279924D" w14:textId="442E57C4" w:rsidR="004067CC" w:rsidRPr="000C0DE6" w:rsidRDefault="004067CC" w:rsidP="000C0DE6">
      <w:pPr>
        <w:pStyle w:val="Paragrafoelenco"/>
        <w:numPr>
          <w:ilvl w:val="0"/>
          <w:numId w:val="33"/>
        </w:numPr>
        <w:tabs>
          <w:tab w:val="clear" w:pos="7100"/>
        </w:tabs>
        <w:contextualSpacing w:val="0"/>
        <w:rPr>
          <w:rFonts w:cs="Arial"/>
          <w:lang w:val="en-US"/>
        </w:rPr>
      </w:pPr>
      <w:r w:rsidRPr="000C0DE6">
        <w:rPr>
          <w:rFonts w:cs="Arial"/>
          <w:lang w:val="en-US"/>
        </w:rPr>
        <w:t>re-evaluate the set of possible accidents</w:t>
      </w:r>
      <w:r w:rsidR="0024680D">
        <w:rPr>
          <w:rFonts w:cs="Arial"/>
          <w:lang w:val="en-US"/>
        </w:rPr>
        <w:t xml:space="preserve"> (</w:t>
      </w:r>
      <w:r w:rsidRPr="000C0DE6">
        <w:rPr>
          <w:rFonts w:cs="Arial"/>
          <w:lang w:val="en-US"/>
        </w:rPr>
        <w:t>case studies, expected frequencies</w:t>
      </w:r>
      <w:r w:rsidR="00881810" w:rsidRPr="000C0DE6">
        <w:rPr>
          <w:rFonts w:cs="Arial"/>
          <w:lang w:val="en-US"/>
        </w:rPr>
        <w:t>,</w:t>
      </w:r>
      <w:r w:rsidRPr="000C0DE6">
        <w:rPr>
          <w:rFonts w:cs="Arial"/>
          <w:lang w:val="en-US"/>
        </w:rPr>
        <w:t xml:space="preserve"> and/or consequences</w:t>
      </w:r>
      <w:r w:rsidR="0024680D">
        <w:rPr>
          <w:rFonts w:cs="Arial"/>
          <w:lang w:val="en-US"/>
        </w:rPr>
        <w:t>)</w:t>
      </w:r>
      <w:r w:rsidR="00881810" w:rsidRPr="000C0DE6">
        <w:rPr>
          <w:rFonts w:cs="Arial"/>
          <w:lang w:val="en-US"/>
        </w:rPr>
        <w:t>.</w:t>
      </w:r>
    </w:p>
    <w:p w14:paraId="6279924E" w14:textId="63D8A008" w:rsidR="004067CC" w:rsidRPr="000C0DE6" w:rsidRDefault="004067CC" w:rsidP="000C0DE6">
      <w:pPr>
        <w:pStyle w:val="Paragrafoelenco"/>
        <w:numPr>
          <w:ilvl w:val="0"/>
          <w:numId w:val="33"/>
        </w:numPr>
        <w:tabs>
          <w:tab w:val="clear" w:pos="7100"/>
        </w:tabs>
        <w:contextualSpacing w:val="0"/>
        <w:rPr>
          <w:rFonts w:cs="Arial"/>
          <w:lang w:val="en-US"/>
        </w:rPr>
      </w:pPr>
      <w:r w:rsidRPr="000C0DE6">
        <w:rPr>
          <w:rFonts w:cs="Arial"/>
          <w:lang w:val="en-US"/>
        </w:rPr>
        <w:t>provide for the consideration of chains of accidents in a quantitative area risk analysis (evaluation of overall hazards in an industrial area, originat</w:t>
      </w:r>
      <w:r w:rsidR="00881810" w:rsidRPr="000C0DE6">
        <w:rPr>
          <w:rFonts w:cs="Arial"/>
          <w:lang w:val="en-US"/>
        </w:rPr>
        <w:t>ing</w:t>
      </w:r>
      <w:r w:rsidRPr="000C0DE6">
        <w:rPr>
          <w:rFonts w:cs="Arial"/>
          <w:lang w:val="en-US"/>
        </w:rPr>
        <w:t xml:space="preserve"> from different sources and subjects)</w:t>
      </w:r>
      <w:r w:rsidR="00881810" w:rsidRPr="000C0DE6">
        <w:rPr>
          <w:rFonts w:cs="Arial"/>
          <w:lang w:val="en-US"/>
        </w:rPr>
        <w:t>.</w:t>
      </w:r>
    </w:p>
    <w:p w14:paraId="6279924F" w14:textId="14F7F999" w:rsidR="004067CC" w:rsidRPr="000C0DE6" w:rsidRDefault="004067CC" w:rsidP="000C0DE6">
      <w:pPr>
        <w:pStyle w:val="Paragrafoelenco"/>
        <w:numPr>
          <w:ilvl w:val="0"/>
          <w:numId w:val="33"/>
        </w:numPr>
        <w:tabs>
          <w:tab w:val="clear" w:pos="7100"/>
        </w:tabs>
        <w:contextualSpacing w:val="0"/>
        <w:rPr>
          <w:rFonts w:cs="Arial"/>
          <w:lang w:val="en-US"/>
        </w:rPr>
      </w:pPr>
      <w:r w:rsidRPr="000C0DE6">
        <w:rPr>
          <w:rFonts w:cs="Arial"/>
          <w:lang w:val="en-US"/>
        </w:rPr>
        <w:t>maintain certain distances of separation between critical plants or equipment, to prevent the escalation of an accident or significantly reduce the probability of propagation</w:t>
      </w:r>
      <w:r w:rsidR="00881810" w:rsidRPr="000C0DE6">
        <w:rPr>
          <w:rFonts w:cs="Arial"/>
          <w:lang w:val="en-US"/>
        </w:rPr>
        <w:t>.</w:t>
      </w:r>
    </w:p>
    <w:p w14:paraId="62799252" w14:textId="49F1B2B2" w:rsidR="004067CC" w:rsidRPr="00E11F7A" w:rsidRDefault="004067CC" w:rsidP="00075D85">
      <w:pPr>
        <w:pStyle w:val="Paragrafoelenco"/>
        <w:numPr>
          <w:ilvl w:val="0"/>
          <w:numId w:val="33"/>
        </w:numPr>
        <w:tabs>
          <w:tab w:val="clear" w:pos="7100"/>
        </w:tabs>
        <w:contextualSpacing w:val="0"/>
        <w:rPr>
          <w:rFonts w:cs="Arial"/>
          <w:lang w:val="en-US"/>
        </w:rPr>
      </w:pPr>
      <w:r w:rsidRPr="00E11F7A">
        <w:rPr>
          <w:rFonts w:cs="Arial"/>
          <w:lang w:val="en-US"/>
        </w:rPr>
        <w:t xml:space="preserve">allow </w:t>
      </w:r>
      <w:r w:rsidR="00881810" w:rsidRPr="00E11F7A">
        <w:rPr>
          <w:rFonts w:cs="Arial"/>
          <w:lang w:val="en-US"/>
        </w:rPr>
        <w:t>more</w:t>
      </w:r>
      <w:r w:rsidRPr="00E11F7A">
        <w:rPr>
          <w:rFonts w:cs="Arial"/>
          <w:lang w:val="en-US"/>
        </w:rPr>
        <w:t xml:space="preserve"> accurate preparation of the internal emergency Plans and procedures, </w:t>
      </w:r>
      <w:r w:rsidR="00C76C6A" w:rsidRPr="00E11F7A">
        <w:rPr>
          <w:rFonts w:cs="Arial"/>
          <w:lang w:val="en-US"/>
        </w:rPr>
        <w:t>conc</w:t>
      </w:r>
      <w:r w:rsidR="00881810" w:rsidRPr="00E11F7A">
        <w:rPr>
          <w:rFonts w:cs="Arial"/>
          <w:lang w:val="en-US"/>
        </w:rPr>
        <w:t>ern</w:t>
      </w:r>
      <w:r w:rsidR="00C76C6A" w:rsidRPr="00E11F7A">
        <w:rPr>
          <w:rFonts w:cs="Arial"/>
          <w:lang w:val="en-US"/>
        </w:rPr>
        <w:t xml:space="preserve">ing </w:t>
      </w:r>
      <w:r w:rsidRPr="00E11F7A">
        <w:rPr>
          <w:rFonts w:cs="Arial"/>
          <w:lang w:val="en-US"/>
        </w:rPr>
        <w:t>field interventions</w:t>
      </w:r>
      <w:r w:rsidR="00E11F7A" w:rsidRPr="00E11F7A">
        <w:rPr>
          <w:rFonts w:cs="Arial"/>
          <w:lang w:val="en-US"/>
        </w:rPr>
        <w:t xml:space="preserve">, and </w:t>
      </w:r>
      <w:r w:rsidRPr="00E11F7A">
        <w:rPr>
          <w:rFonts w:cs="Arial"/>
          <w:lang w:val="en-US"/>
        </w:rPr>
        <w:t>external emergency Plans</w:t>
      </w:r>
      <w:r w:rsidR="00881810" w:rsidRPr="00E11F7A">
        <w:rPr>
          <w:rFonts w:cs="Arial"/>
          <w:lang w:val="en-US"/>
        </w:rPr>
        <w:t>.</w:t>
      </w:r>
    </w:p>
    <w:p w14:paraId="62799253" w14:textId="4AEE03B2" w:rsidR="004067CC" w:rsidRPr="000C0DE6" w:rsidRDefault="004067CC" w:rsidP="000C0DE6">
      <w:pPr>
        <w:pStyle w:val="Paragrafoelenco"/>
        <w:numPr>
          <w:ilvl w:val="0"/>
          <w:numId w:val="33"/>
        </w:numPr>
        <w:tabs>
          <w:tab w:val="clear" w:pos="7100"/>
        </w:tabs>
        <w:contextualSpacing w:val="0"/>
        <w:rPr>
          <w:rFonts w:cs="Arial"/>
          <w:lang w:val="en-US"/>
        </w:rPr>
      </w:pPr>
      <w:r w:rsidRPr="000C0DE6">
        <w:rPr>
          <w:rFonts w:cs="Arial"/>
          <w:lang w:val="en-US"/>
        </w:rPr>
        <w:t>integrate the industrial safety requirements in the LUP procedures</w:t>
      </w:r>
      <w:r w:rsidR="00881810" w:rsidRPr="000C0DE6">
        <w:rPr>
          <w:rFonts w:cs="Arial"/>
          <w:lang w:val="en-US"/>
        </w:rPr>
        <w:t>.</w:t>
      </w:r>
    </w:p>
    <w:p w14:paraId="62799254" w14:textId="2810A0A7" w:rsidR="004067CC" w:rsidRPr="000C0DE6" w:rsidRDefault="004067CC" w:rsidP="000C0DE6">
      <w:pPr>
        <w:pStyle w:val="Paragrafoelenco"/>
        <w:numPr>
          <w:ilvl w:val="0"/>
          <w:numId w:val="33"/>
        </w:numPr>
        <w:tabs>
          <w:tab w:val="clear" w:pos="7100"/>
        </w:tabs>
        <w:contextualSpacing w:val="0"/>
        <w:rPr>
          <w:rFonts w:cs="Arial"/>
          <w:lang w:val="en-US"/>
        </w:rPr>
      </w:pPr>
      <w:r w:rsidRPr="000C0DE6">
        <w:rPr>
          <w:rFonts w:cs="Arial"/>
          <w:lang w:val="en-US"/>
        </w:rPr>
        <w:t>make available to the public and nearby sites more comprehensive information on the major accident risks arising from Seveso establishments.</w:t>
      </w:r>
    </w:p>
    <w:p w14:paraId="62799257" w14:textId="7BD3CA0F" w:rsidR="001C3F9D" w:rsidRPr="008017DC" w:rsidRDefault="004067CC" w:rsidP="00796056">
      <w:pPr>
        <w:ind w:left="-56"/>
      </w:pPr>
      <w:r w:rsidRPr="008017DC">
        <w:t xml:space="preserve">The domino effect analysis plays a main role in the context of an evaluation of the overall risk in an industrial area with </w:t>
      </w:r>
      <w:r w:rsidR="00881810" w:rsidRPr="008017DC">
        <w:t>the </w:t>
      </w:r>
      <w:r w:rsidRPr="008017DC">
        <w:t xml:space="preserve">presence of many hazard sources, being a necessary stage for preparing a quantitative area risk study, a sound tool </w:t>
      </w:r>
      <w:r w:rsidR="00881810" w:rsidRPr="008017DC">
        <w:t>t</w:t>
      </w:r>
      <w:r w:rsidRPr="008017DC">
        <w:t>h</w:t>
      </w:r>
      <w:r w:rsidR="00881810" w:rsidRPr="008017DC">
        <w:t>at</w:t>
      </w:r>
      <w:r w:rsidRPr="008017DC">
        <w:t xml:space="preserve"> </w:t>
      </w:r>
      <w:r w:rsidR="00090117" w:rsidRPr="008017DC">
        <w:t xml:space="preserve">already </w:t>
      </w:r>
      <w:r w:rsidRPr="008017DC">
        <w:t xml:space="preserve">can ensure better preparation of external emergency </w:t>
      </w:r>
      <w:r w:rsidR="0041625F" w:rsidRPr="008017DC">
        <w:t>p</w:t>
      </w:r>
      <w:r w:rsidRPr="008017DC">
        <w:t>lans and ameliorate land use planning procedures and public information activities.</w:t>
      </w:r>
      <w:r w:rsidR="00AA07F6">
        <w:t xml:space="preserve"> </w:t>
      </w:r>
      <w:r w:rsidR="0041625F" w:rsidRPr="008017DC">
        <w:t>Moreover</w:t>
      </w:r>
      <w:r w:rsidR="00881810" w:rsidRPr="008017DC">
        <w:t>,</w:t>
      </w:r>
      <w:r w:rsidR="0041625F" w:rsidRPr="008017DC">
        <w:t xml:space="preserve"> t</w:t>
      </w:r>
      <w:r w:rsidR="0062256A" w:rsidRPr="008017DC">
        <w:t>he expected increase in Natech events makes it necessary to develop</w:t>
      </w:r>
      <w:r w:rsidR="001C1330" w:rsidRPr="008017DC">
        <w:t xml:space="preserve">, as a mitigation measure, </w:t>
      </w:r>
      <w:r w:rsidR="0062256A" w:rsidRPr="008017DC">
        <w:t xml:space="preserve">standardized methods and procedures for </w:t>
      </w:r>
      <w:r w:rsidR="00090117" w:rsidRPr="008017DC">
        <w:t xml:space="preserve">their inclusion in </w:t>
      </w:r>
      <w:r w:rsidR="0041625F" w:rsidRPr="008017DC">
        <w:t xml:space="preserve">overall </w:t>
      </w:r>
      <w:r w:rsidR="0062256A" w:rsidRPr="008017DC">
        <w:t xml:space="preserve">risk analysis and </w:t>
      </w:r>
      <w:r w:rsidR="00090117" w:rsidRPr="008017DC">
        <w:t>related</w:t>
      </w:r>
      <w:r w:rsidR="0062256A" w:rsidRPr="008017DC">
        <w:t xml:space="preserve"> tools, which allow their application in </w:t>
      </w:r>
      <w:r w:rsidR="00090117" w:rsidRPr="008017DC">
        <w:t xml:space="preserve">the </w:t>
      </w:r>
      <w:r w:rsidR="0062256A" w:rsidRPr="008017DC">
        <w:t xml:space="preserve">assessments carried out in compliance with regulations on the prevention of major accident risks in </w:t>
      </w:r>
      <w:r w:rsidR="0041625F" w:rsidRPr="008017DC">
        <w:t xml:space="preserve">the </w:t>
      </w:r>
      <w:r w:rsidR="00881810" w:rsidRPr="008017DC">
        <w:t>countr</w:t>
      </w:r>
      <w:r w:rsidR="006F20E8" w:rsidRPr="008017DC">
        <w:t xml:space="preserve">ies </w:t>
      </w:r>
      <w:r w:rsidR="0062256A" w:rsidRPr="008017DC">
        <w:t xml:space="preserve">subject to natural hazards, </w:t>
      </w:r>
      <w:r w:rsidR="00F6662A" w:rsidRPr="008017DC">
        <w:t xml:space="preserve">with a particular focus on </w:t>
      </w:r>
      <w:r w:rsidR="0041625F" w:rsidRPr="008017DC">
        <w:t xml:space="preserve">in those </w:t>
      </w:r>
      <w:r w:rsidR="00F6662A" w:rsidRPr="008017DC">
        <w:t xml:space="preserve">countries </w:t>
      </w:r>
      <w:r w:rsidR="0041625F" w:rsidRPr="008017DC">
        <w:t xml:space="preserve">that </w:t>
      </w:r>
      <w:r w:rsidR="0062256A" w:rsidRPr="008017DC">
        <w:t>will be more exposed</w:t>
      </w:r>
      <w:r w:rsidR="0041625F" w:rsidRPr="008017DC">
        <w:t xml:space="preserve"> </w:t>
      </w:r>
      <w:r w:rsidR="0062256A" w:rsidRPr="008017DC">
        <w:t>to climate change</w:t>
      </w:r>
      <w:r w:rsidR="00F6662A" w:rsidRPr="008017DC">
        <w:t xml:space="preserve"> in the following years</w:t>
      </w:r>
      <w:r w:rsidR="0062256A" w:rsidRPr="008017DC">
        <w:t>.</w:t>
      </w:r>
    </w:p>
    <w:p w14:paraId="627992FE" w14:textId="77777777" w:rsidR="001C3F9D" w:rsidRPr="00AD23A3" w:rsidRDefault="001C3F9D" w:rsidP="009603B1">
      <w:pPr>
        <w:spacing w:before="240"/>
        <w:ind w:left="-56"/>
        <w:rPr>
          <w:b/>
          <w:bCs/>
        </w:rPr>
      </w:pPr>
      <w:r w:rsidRPr="00AD23A3">
        <w:rPr>
          <w:b/>
          <w:bCs/>
        </w:rPr>
        <w:t>References</w:t>
      </w:r>
    </w:p>
    <w:p w14:paraId="627992FF" w14:textId="6AC69648" w:rsidR="00CD74D2" w:rsidRPr="00AD23A3" w:rsidRDefault="001C3F9D" w:rsidP="005449C9">
      <w:pPr>
        <w:pStyle w:val="CETReferencetext"/>
      </w:pPr>
      <w:r w:rsidRPr="00AD23A3">
        <w:t xml:space="preserve">ARPAV </w:t>
      </w:r>
      <w:r w:rsidR="008437A7" w:rsidRPr="00AD23A3">
        <w:t>Environmental Protection Agency region Veneto</w:t>
      </w:r>
      <w:r w:rsidR="0089698E" w:rsidRPr="00AD23A3">
        <w:t>-Porto Marghera Industrial Area Authority, 2005,</w:t>
      </w:r>
      <w:r w:rsidRPr="00AD23A3">
        <w:t xml:space="preserve"> </w:t>
      </w:r>
      <w:r w:rsidR="0089698E" w:rsidRPr="00AD23A3">
        <w:t>Porto Marghera</w:t>
      </w:r>
      <w:r w:rsidRPr="00AD23A3">
        <w:t xml:space="preserve"> Integrat</w:t>
      </w:r>
      <w:r w:rsidR="0089698E" w:rsidRPr="00AD23A3">
        <w:t>ed Area Study</w:t>
      </w:r>
      <w:r w:rsidRPr="00AD23A3">
        <w:t xml:space="preserve"> – A</w:t>
      </w:r>
      <w:r w:rsidR="0089698E" w:rsidRPr="00AD23A3">
        <w:t xml:space="preserve">nnex </w:t>
      </w:r>
      <w:r w:rsidRPr="00AD23A3">
        <w:t>Met</w:t>
      </w:r>
      <w:r w:rsidR="00727DD8">
        <w:t>h</w:t>
      </w:r>
      <w:r w:rsidRPr="00AD23A3">
        <w:t>odolog</w:t>
      </w:r>
      <w:r w:rsidR="0089698E" w:rsidRPr="00AD23A3">
        <w:t>y for identification and evaluation of domino effect risk in process industries</w:t>
      </w:r>
      <w:r w:rsidRPr="00AD23A3">
        <w:t>.</w:t>
      </w:r>
    </w:p>
    <w:p w14:paraId="62799300" w14:textId="1CCD9927" w:rsidR="001C3F9D" w:rsidRPr="00AD23A3" w:rsidRDefault="001C3F9D" w:rsidP="005449C9">
      <w:pPr>
        <w:pStyle w:val="CETReferencetext"/>
      </w:pPr>
      <w:r w:rsidRPr="00AD23A3">
        <w:t>Cozzani</w:t>
      </w:r>
      <w:r w:rsidR="0089698E" w:rsidRPr="00AD23A3">
        <w:t xml:space="preserve"> V.</w:t>
      </w:r>
      <w:r w:rsidRPr="00AD23A3">
        <w:t>, Gubinelli</w:t>
      </w:r>
      <w:r w:rsidR="0089698E" w:rsidRPr="00AD23A3">
        <w:t xml:space="preserve"> G.</w:t>
      </w:r>
      <w:r w:rsidRPr="00AD23A3">
        <w:t>, Antonioni</w:t>
      </w:r>
      <w:r w:rsidR="0089698E" w:rsidRPr="00AD23A3">
        <w:t xml:space="preserve"> G.</w:t>
      </w:r>
      <w:r w:rsidRPr="00AD23A3">
        <w:t>, Spadoni</w:t>
      </w:r>
      <w:r w:rsidR="001D703E" w:rsidRPr="00AD23A3">
        <w:t xml:space="preserve"> G.</w:t>
      </w:r>
      <w:r w:rsidRPr="00AD23A3">
        <w:t>, Zanelli</w:t>
      </w:r>
      <w:r w:rsidR="001D703E" w:rsidRPr="00AD23A3">
        <w:t xml:space="preserve"> S., 2005</w:t>
      </w:r>
      <w:r w:rsidR="001F4106">
        <w:t>a</w:t>
      </w:r>
      <w:r w:rsidR="001D703E" w:rsidRPr="00AD23A3">
        <w:t xml:space="preserve">, </w:t>
      </w:r>
      <w:r w:rsidRPr="00AD23A3">
        <w:t xml:space="preserve">The assessment of risk caused by domino effect in quantitative area risk analysis, Journal </w:t>
      </w:r>
      <w:r w:rsidR="003554E8" w:rsidRPr="00AD23A3">
        <w:t>of G</w:t>
      </w:r>
      <w:r w:rsidR="001D703E" w:rsidRPr="00AD23A3">
        <w:t>.</w:t>
      </w:r>
      <w:r w:rsidRPr="00AD23A3">
        <w:t>Hazardous Materials, Elsevier, 14 - 33.</w:t>
      </w:r>
    </w:p>
    <w:p w14:paraId="62799301" w14:textId="16792C56" w:rsidR="001C3F9D" w:rsidRPr="00AD23A3" w:rsidRDefault="001C3F9D" w:rsidP="005449C9">
      <w:pPr>
        <w:pStyle w:val="CETReferencetext"/>
      </w:pPr>
      <w:r w:rsidRPr="00AD23A3">
        <w:t>Cozzani</w:t>
      </w:r>
      <w:r w:rsidR="00A92FC6" w:rsidRPr="00AD23A3">
        <w:t xml:space="preserve"> V.</w:t>
      </w:r>
      <w:r w:rsidRPr="00AD23A3">
        <w:t>, Gubinelli</w:t>
      </w:r>
      <w:r w:rsidR="00A92FC6" w:rsidRPr="00AD23A3">
        <w:t xml:space="preserve"> G.</w:t>
      </w:r>
      <w:r w:rsidRPr="00AD23A3">
        <w:t>, Salzano</w:t>
      </w:r>
      <w:r w:rsidR="00A92FC6" w:rsidRPr="00AD23A3">
        <w:t xml:space="preserve"> E., 2005</w:t>
      </w:r>
      <w:r w:rsidR="001F4106">
        <w:t>b</w:t>
      </w:r>
      <w:r w:rsidR="00A92FC6" w:rsidRPr="00AD23A3">
        <w:t xml:space="preserve">, </w:t>
      </w:r>
      <w:r w:rsidRPr="00AD23A3">
        <w:t>Escalation thresholds in the assessment of domino accidental events, Journal of Hazardous Materials, Elsevier, 1 - 24.</w:t>
      </w:r>
    </w:p>
    <w:p w14:paraId="62799302" w14:textId="3185D5AC" w:rsidR="001C3F9D" w:rsidRPr="00AD23A3" w:rsidRDefault="001C3F9D" w:rsidP="005449C9">
      <w:pPr>
        <w:pStyle w:val="CETReferencetext"/>
      </w:pPr>
      <w:r w:rsidRPr="00AD23A3">
        <w:t>Cozzani</w:t>
      </w:r>
      <w:r w:rsidR="00A92FC6" w:rsidRPr="00AD23A3">
        <w:t xml:space="preserve"> V.</w:t>
      </w:r>
      <w:r w:rsidRPr="00AD23A3">
        <w:t>, Antonioni</w:t>
      </w:r>
      <w:r w:rsidR="00A92FC6" w:rsidRPr="00AD23A3">
        <w:t xml:space="preserve"> G.</w:t>
      </w:r>
      <w:r w:rsidRPr="00AD23A3">
        <w:t>, Spadoni</w:t>
      </w:r>
      <w:r w:rsidR="00A92FC6" w:rsidRPr="00AD23A3">
        <w:t xml:space="preserve"> G., </w:t>
      </w:r>
      <w:r w:rsidR="00922B62">
        <w:t xml:space="preserve">2005c, </w:t>
      </w:r>
      <w:r w:rsidRPr="00AD23A3">
        <w:t>Quantitative assessment of domino scenarios by a GIS-based software tool”, Journal of Loss Prevention in the process industries, Elsevier, 463 - 478.</w:t>
      </w:r>
    </w:p>
    <w:p w14:paraId="62799303" w14:textId="77777777" w:rsidR="008E1C18" w:rsidRPr="00AD23A3" w:rsidRDefault="008E1C18" w:rsidP="005449C9">
      <w:pPr>
        <w:pStyle w:val="CETReferencetext"/>
      </w:pPr>
      <w:r w:rsidRPr="00AD23A3">
        <w:t>Cozzani</w:t>
      </w:r>
      <w:r w:rsidR="00A92FC6" w:rsidRPr="00AD23A3">
        <w:t xml:space="preserve"> V.</w:t>
      </w:r>
      <w:r w:rsidRPr="00AD23A3">
        <w:t xml:space="preserve">, </w:t>
      </w:r>
      <w:r w:rsidR="00A92FC6" w:rsidRPr="00AD23A3">
        <w:t xml:space="preserve">2018, </w:t>
      </w:r>
      <w:r w:rsidRPr="00AD23A3">
        <w:t>Italy New Needs in the Control of Natech Risk</w:t>
      </w:r>
      <w:r w:rsidR="00A92FC6" w:rsidRPr="00AD23A3">
        <w:t xml:space="preserve">, </w:t>
      </w:r>
      <w:r w:rsidRPr="00AD23A3">
        <w:t xml:space="preserve">Natech Risk Management Workshop 2018-Potsdam, September 5-7th, 2018. </w:t>
      </w:r>
    </w:p>
    <w:p w14:paraId="62799304" w14:textId="62C6B792" w:rsidR="003C734C" w:rsidRPr="00AD23A3" w:rsidRDefault="003C734C" w:rsidP="005449C9">
      <w:pPr>
        <w:pStyle w:val="CETReferencetext"/>
      </w:pPr>
      <w:r w:rsidRPr="00AD23A3">
        <w:t xml:space="preserve">Cruz A.M., Steinberg J. M.L., Vetere Arellano A.L., Nordvik J.P., Pisano F., 2004, State of the Art in Natech Risk </w:t>
      </w:r>
      <w:r w:rsidR="003554E8" w:rsidRPr="00AD23A3">
        <w:t>Management EUR</w:t>
      </w:r>
      <w:r w:rsidRPr="00AD23A3">
        <w:t xml:space="preserve"> 21292 EN.</w:t>
      </w:r>
    </w:p>
    <w:p w14:paraId="62799309" w14:textId="171C3EBE" w:rsidR="008E1C18" w:rsidRPr="00AD23A3" w:rsidRDefault="005E343E" w:rsidP="005449C9">
      <w:pPr>
        <w:pStyle w:val="CETReferencetext"/>
      </w:pPr>
      <w:r w:rsidRPr="00AD23A3">
        <w:t>E</w:t>
      </w:r>
      <w:r w:rsidR="00685FD9" w:rsidRPr="00AD23A3">
        <w:t xml:space="preserve">U </w:t>
      </w:r>
      <w:r w:rsidRPr="00AD23A3">
        <w:t>Commission</w:t>
      </w:r>
      <w:r w:rsidR="00685FD9" w:rsidRPr="00AD23A3">
        <w:t xml:space="preserve">, 2024, Major Accidents database, </w:t>
      </w:r>
      <w:hyperlink r:id="rId12" w:history="1">
        <w:r w:rsidRPr="00AD23A3">
          <w:t>https://emars.jrc.ec.europa.eu/EN/emars/content</w:t>
        </w:r>
      </w:hyperlink>
      <w:r w:rsidR="008E1C18" w:rsidRPr="00AD23A3">
        <w:t xml:space="preserve"> </w:t>
      </w:r>
    </w:p>
    <w:p w14:paraId="6279930A" w14:textId="77777777" w:rsidR="00A34036" w:rsidRPr="00AD23A3" w:rsidRDefault="00A34036" w:rsidP="005449C9">
      <w:pPr>
        <w:pStyle w:val="CETReferencetext"/>
      </w:pPr>
      <w:r w:rsidRPr="00AD23A3">
        <w:t xml:space="preserve">EU JRC Major Accident Hazards Bureau, 2014, Lessons Learned Bulletin No.6 </w:t>
      </w:r>
    </w:p>
    <w:p w14:paraId="6279930B" w14:textId="6B9C7707" w:rsidR="003A0F36" w:rsidRPr="00AD23A3" w:rsidRDefault="003554E8" w:rsidP="005167A7">
      <w:pPr>
        <w:pStyle w:val="CETReferencetext"/>
      </w:pPr>
      <w:r w:rsidRPr="00AD23A3">
        <w:t>ISPRA Italian</w:t>
      </w:r>
      <w:r w:rsidR="00A36AC2" w:rsidRPr="00AD23A3">
        <w:t xml:space="preserve"> Institute for Environmental Protection and Research, 2014, Technical Workshop</w:t>
      </w:r>
      <w:r w:rsidR="001C3F9D" w:rsidRPr="00AD23A3">
        <w:t xml:space="preserve"> ISPRA-ARPA</w:t>
      </w:r>
      <w:r w:rsidR="005167A7">
        <w:t xml:space="preserve">, </w:t>
      </w:r>
      <w:r w:rsidR="001C3F9D" w:rsidRPr="00AD23A3">
        <w:t xml:space="preserve">APPA, </w:t>
      </w:r>
      <w:r w:rsidR="009279F1" w:rsidRPr="00AD23A3">
        <w:t xml:space="preserve">Towards </w:t>
      </w:r>
      <w:r w:rsidR="001C3F9D" w:rsidRPr="00AD23A3">
        <w:t>Seveso III: e</w:t>
      </w:r>
      <w:r w:rsidR="009279F1" w:rsidRPr="00AD23A3">
        <w:t xml:space="preserve">xperiences of the </w:t>
      </w:r>
      <w:r w:rsidR="001C3F9D" w:rsidRPr="00AD23A3">
        <w:t>Na</w:t>
      </w:r>
      <w:r w:rsidR="009279F1" w:rsidRPr="00AD23A3">
        <w:t>t</w:t>
      </w:r>
      <w:r w:rsidR="001C3F9D" w:rsidRPr="00AD23A3">
        <w:t>ional</w:t>
      </w:r>
      <w:r w:rsidR="009279F1" w:rsidRPr="00AD23A3">
        <w:t xml:space="preserve"> Network for Environmental P</w:t>
      </w:r>
      <w:r w:rsidR="001C3F9D" w:rsidRPr="00AD23A3">
        <w:t>rote</w:t>
      </w:r>
      <w:r w:rsidR="009279F1" w:rsidRPr="00AD23A3">
        <w:t xml:space="preserve">ction in the implementation of Legislative Decree 334/99 – Summary of interventions – 12 June 2014, ed. ISPRA Rome (I), November 2014. </w:t>
      </w:r>
    </w:p>
    <w:p w14:paraId="6279930C" w14:textId="77777777" w:rsidR="001C3F9D" w:rsidRPr="00AD23A3" w:rsidRDefault="001C3F9D" w:rsidP="005449C9">
      <w:pPr>
        <w:pStyle w:val="CETReferencetext"/>
      </w:pPr>
      <w:r w:rsidRPr="00AD23A3">
        <w:t xml:space="preserve"> </w:t>
      </w:r>
      <w:r w:rsidR="00550572" w:rsidRPr="00AD23A3">
        <w:t>Marrazzo R.</w:t>
      </w:r>
      <w:r w:rsidR="00EF2108" w:rsidRPr="00AD23A3">
        <w:t xml:space="preserve">, 2008, </w:t>
      </w:r>
      <w:r w:rsidR="00550572" w:rsidRPr="00AD23A3">
        <w:t>Experiences in the use of georeferenced calculation codes for the recomposition of area risk, ID: 73, VGR 2008 Conference Proceedings, Pisa (I), 2008</w:t>
      </w:r>
    </w:p>
    <w:p w14:paraId="6279930D" w14:textId="2E127C47" w:rsidR="006F370F" w:rsidRPr="00AD23A3" w:rsidRDefault="008E1C18" w:rsidP="005449C9">
      <w:pPr>
        <w:pStyle w:val="CETReferencetext"/>
      </w:pPr>
      <w:r w:rsidRPr="00AD23A3">
        <w:t xml:space="preserve"> </w:t>
      </w:r>
      <w:r w:rsidR="00086914" w:rsidRPr="00AD23A3">
        <w:t xml:space="preserve">MATTM </w:t>
      </w:r>
      <w:r w:rsidR="00E07AC9" w:rsidRPr="00AD23A3">
        <w:t xml:space="preserve">Ministry of </w:t>
      </w:r>
      <w:r w:rsidR="003554E8" w:rsidRPr="00AD23A3">
        <w:t>E</w:t>
      </w:r>
      <w:r w:rsidR="00E07AC9" w:rsidRPr="00AD23A3">
        <w:t xml:space="preserve">nvironment </w:t>
      </w:r>
      <w:r w:rsidR="00086914" w:rsidRPr="00AD23A3">
        <w:t>–</w:t>
      </w:r>
      <w:r w:rsidR="00E07AC9" w:rsidRPr="00AD23A3">
        <w:t xml:space="preserve"> </w:t>
      </w:r>
      <w:r w:rsidR="00086914" w:rsidRPr="00AD23A3">
        <w:t xml:space="preserve">ISPRA </w:t>
      </w:r>
      <w:r w:rsidR="00E07AC9" w:rsidRPr="00AD23A3">
        <w:t xml:space="preserve">Italian Institute for Environmental Protection and Research, </w:t>
      </w:r>
      <w:r w:rsidR="00CD4A11" w:rsidRPr="00AD23A3">
        <w:t>2013, Mapping</w:t>
      </w:r>
      <w:r w:rsidR="00E07AC9" w:rsidRPr="00AD23A3">
        <w:t xml:space="preserve"> of major accident hazards in Italy - 2013 Edition, Reports 181/2013, ed. ISPRA Rome (I), July 2013.</w:t>
      </w:r>
    </w:p>
    <w:p w14:paraId="6279930E" w14:textId="77777777" w:rsidR="008A2DBB" w:rsidRPr="00AD23A3" w:rsidRDefault="00C66613" w:rsidP="005449C9">
      <w:pPr>
        <w:pStyle w:val="CETReferencetext"/>
      </w:pPr>
      <w:r w:rsidRPr="00AD23A3">
        <w:t xml:space="preserve"> </w:t>
      </w:r>
      <w:r w:rsidR="008A2DBB" w:rsidRPr="00AD23A3">
        <w:t xml:space="preserve">OECD </w:t>
      </w:r>
      <w:r w:rsidR="008437A7" w:rsidRPr="00AD23A3">
        <w:t xml:space="preserve">Organisation for Economic Co-operation and Development, 2015, </w:t>
      </w:r>
      <w:r w:rsidR="008A2DBB" w:rsidRPr="00AD23A3">
        <w:t>Addendum No. 2 to the OECD Guiding Principles for Chemical Accident Prevention, Preparedness and Response (2nd ed.) to address natural hazards triggering technological accidents (Natechs), ENV/JM/MONO(2015)1, Paris.</w:t>
      </w:r>
    </w:p>
    <w:p w14:paraId="62799311" w14:textId="77777777" w:rsidR="001C3F9D" w:rsidRPr="00AD23A3" w:rsidRDefault="001C3F9D" w:rsidP="005449C9">
      <w:pPr>
        <w:pStyle w:val="CETReferencetext"/>
      </w:pPr>
      <w:r w:rsidRPr="00AD23A3">
        <w:t>Reniers G., Cozzani V</w:t>
      </w:r>
      <w:r w:rsidR="00D51CFC" w:rsidRPr="00AD23A3">
        <w:t xml:space="preserve">.(ed), 2013, </w:t>
      </w:r>
      <w:r w:rsidRPr="00AD23A3">
        <w:t>Domino effects in the process industries</w:t>
      </w:r>
      <w:r w:rsidR="00D51CFC" w:rsidRPr="00AD23A3">
        <w:t>.</w:t>
      </w:r>
      <w:r w:rsidRPr="00AD23A3">
        <w:t>Modelling, prevention and managing, Elsevier, USA - UK – The Netherlands, 2013.</w:t>
      </w:r>
    </w:p>
    <w:p w14:paraId="4A8D9DB8" w14:textId="77777777" w:rsidR="008017DC" w:rsidRPr="00AD23A3" w:rsidRDefault="008017DC" w:rsidP="005449C9">
      <w:pPr>
        <w:pStyle w:val="CETReferencetext"/>
      </w:pPr>
      <w:r w:rsidRPr="00AD23A3">
        <w:t>Ricchiuti A., Caparresi M., 2013 Main innovations introduced by Directive 2012/18/EU of 4 July 2012 (Seveso III)”, RTI 02/12-RIS-IND, ed. ISPRA Rome (I), January 2013.</w:t>
      </w:r>
    </w:p>
    <w:p w14:paraId="6BCBF84F" w14:textId="135919E1" w:rsidR="0082290B" w:rsidRPr="00882AD2" w:rsidRDefault="001C3F9D" w:rsidP="00882AD2">
      <w:pPr>
        <w:pStyle w:val="CETReferencetext"/>
        <w:rPr>
          <w:rStyle w:val="CETCaptionCarattere"/>
          <w:i w:val="0"/>
        </w:rPr>
      </w:pPr>
      <w:r w:rsidRPr="00AD23A3">
        <w:t>Snamprogetti, Assindustria</w:t>
      </w:r>
      <w:r w:rsidR="00D51CFC" w:rsidRPr="00AD23A3">
        <w:t>, 2003</w:t>
      </w:r>
      <w:r w:rsidR="00B95B95" w:rsidRPr="00AD23A3">
        <w:t>, Area Augusta-</w:t>
      </w:r>
      <w:r w:rsidRPr="00AD23A3">
        <w:t>Priolo</w:t>
      </w:r>
      <w:r w:rsidR="00B95B95" w:rsidRPr="00AD23A3">
        <w:t>-</w:t>
      </w:r>
      <w:r w:rsidRPr="00AD23A3">
        <w:t xml:space="preserve">Melilli </w:t>
      </w:r>
      <w:r w:rsidR="00B95B95" w:rsidRPr="00AD23A3">
        <w:t>Safety Integrated Study</w:t>
      </w:r>
      <w:r w:rsidRPr="00AD23A3">
        <w:t>”, Siracusa (I), Ottobre 2003.</w:t>
      </w:r>
    </w:p>
    <w:sectPr w:rsidR="0082290B" w:rsidRPr="00882A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8DE5" w14:textId="77777777" w:rsidR="00077EC3" w:rsidRDefault="00077EC3" w:rsidP="004F5E36">
      <w:r>
        <w:separator/>
      </w:r>
    </w:p>
  </w:endnote>
  <w:endnote w:type="continuationSeparator" w:id="0">
    <w:p w14:paraId="7CA46F86" w14:textId="77777777" w:rsidR="00077EC3" w:rsidRDefault="00077EC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ACD5" w14:textId="77777777" w:rsidR="00077EC3" w:rsidRDefault="00077EC3" w:rsidP="004F5E36">
      <w:r>
        <w:separator/>
      </w:r>
    </w:p>
  </w:footnote>
  <w:footnote w:type="continuationSeparator" w:id="0">
    <w:p w14:paraId="45A776D3" w14:textId="77777777" w:rsidR="00077EC3" w:rsidRDefault="00077EC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6B3499"/>
    <w:multiLevelType w:val="hybridMultilevel"/>
    <w:tmpl w:val="41BE61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15161F8"/>
    <w:multiLevelType w:val="hybridMultilevel"/>
    <w:tmpl w:val="67721A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EF15F7"/>
    <w:multiLevelType w:val="multilevel"/>
    <w:tmpl w:val="AF0CEC32"/>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3163C22"/>
    <w:multiLevelType w:val="multilevel"/>
    <w:tmpl w:val="57605C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67F1B41"/>
    <w:multiLevelType w:val="hybridMultilevel"/>
    <w:tmpl w:val="67721A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F66D63"/>
    <w:multiLevelType w:val="hybridMultilevel"/>
    <w:tmpl w:val="6C8EF2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08111D7"/>
    <w:multiLevelType w:val="hybridMultilevel"/>
    <w:tmpl w:val="D590723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1E0394"/>
    <w:multiLevelType w:val="hybridMultilevel"/>
    <w:tmpl w:val="806658E2"/>
    <w:lvl w:ilvl="0" w:tplc="14B0F7A8">
      <w:start w:val="1"/>
      <w:numFmt w:val="bullet"/>
      <w:pStyle w:val="CETnumberingbullets"/>
      <w:lvlText w:val=""/>
      <w:lvlJc w:val="left"/>
      <w:pPr>
        <w:ind w:left="227" w:hanging="227"/>
      </w:pPr>
      <w:rPr>
        <w:rFonts w:ascii="Symbol" w:hAnsi="Symbol" w:hint="default"/>
      </w:rPr>
    </w:lvl>
    <w:lvl w:ilvl="1" w:tplc="04100003" w:tentative="1">
      <w:start w:val="1"/>
      <w:numFmt w:val="bullet"/>
      <w:lvlText w:val="o"/>
      <w:lvlJc w:val="left"/>
      <w:pPr>
        <w:ind w:left="1327" w:hanging="360"/>
      </w:pPr>
      <w:rPr>
        <w:rFonts w:ascii="Courier New" w:hAnsi="Courier New" w:cs="Courier New" w:hint="default"/>
      </w:rPr>
    </w:lvl>
    <w:lvl w:ilvl="2" w:tplc="04100005" w:tentative="1">
      <w:start w:val="1"/>
      <w:numFmt w:val="bullet"/>
      <w:lvlText w:val=""/>
      <w:lvlJc w:val="left"/>
      <w:pPr>
        <w:ind w:left="2047" w:hanging="360"/>
      </w:pPr>
      <w:rPr>
        <w:rFonts w:ascii="Wingdings" w:hAnsi="Wingdings" w:hint="default"/>
      </w:rPr>
    </w:lvl>
    <w:lvl w:ilvl="3" w:tplc="04100001" w:tentative="1">
      <w:start w:val="1"/>
      <w:numFmt w:val="bullet"/>
      <w:lvlText w:val=""/>
      <w:lvlJc w:val="left"/>
      <w:pPr>
        <w:ind w:left="2767" w:hanging="360"/>
      </w:pPr>
      <w:rPr>
        <w:rFonts w:ascii="Symbol" w:hAnsi="Symbol" w:hint="default"/>
      </w:rPr>
    </w:lvl>
    <w:lvl w:ilvl="4" w:tplc="04100003" w:tentative="1">
      <w:start w:val="1"/>
      <w:numFmt w:val="bullet"/>
      <w:lvlText w:val="o"/>
      <w:lvlJc w:val="left"/>
      <w:pPr>
        <w:ind w:left="3487" w:hanging="360"/>
      </w:pPr>
      <w:rPr>
        <w:rFonts w:ascii="Courier New" w:hAnsi="Courier New" w:cs="Courier New" w:hint="default"/>
      </w:rPr>
    </w:lvl>
    <w:lvl w:ilvl="5" w:tplc="04100005" w:tentative="1">
      <w:start w:val="1"/>
      <w:numFmt w:val="bullet"/>
      <w:lvlText w:val=""/>
      <w:lvlJc w:val="left"/>
      <w:pPr>
        <w:ind w:left="4207" w:hanging="360"/>
      </w:pPr>
      <w:rPr>
        <w:rFonts w:ascii="Wingdings" w:hAnsi="Wingdings" w:hint="default"/>
      </w:rPr>
    </w:lvl>
    <w:lvl w:ilvl="6" w:tplc="04100001" w:tentative="1">
      <w:start w:val="1"/>
      <w:numFmt w:val="bullet"/>
      <w:lvlText w:val=""/>
      <w:lvlJc w:val="left"/>
      <w:pPr>
        <w:ind w:left="4927" w:hanging="360"/>
      </w:pPr>
      <w:rPr>
        <w:rFonts w:ascii="Symbol" w:hAnsi="Symbol" w:hint="default"/>
      </w:rPr>
    </w:lvl>
    <w:lvl w:ilvl="7" w:tplc="04100003" w:tentative="1">
      <w:start w:val="1"/>
      <w:numFmt w:val="bullet"/>
      <w:lvlText w:val="o"/>
      <w:lvlJc w:val="left"/>
      <w:pPr>
        <w:ind w:left="5647" w:hanging="360"/>
      </w:pPr>
      <w:rPr>
        <w:rFonts w:ascii="Courier New" w:hAnsi="Courier New" w:cs="Courier New" w:hint="default"/>
      </w:rPr>
    </w:lvl>
    <w:lvl w:ilvl="8" w:tplc="04100005" w:tentative="1">
      <w:start w:val="1"/>
      <w:numFmt w:val="bullet"/>
      <w:lvlText w:val=""/>
      <w:lvlJc w:val="left"/>
      <w:pPr>
        <w:ind w:left="6367" w:hanging="360"/>
      </w:pPr>
      <w:rPr>
        <w:rFonts w:ascii="Wingdings" w:hAnsi="Wingdings" w:hint="default"/>
      </w:rPr>
    </w:lvl>
  </w:abstractNum>
  <w:abstractNum w:abstractNumId="21"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5D37DED"/>
    <w:multiLevelType w:val="hybridMultilevel"/>
    <w:tmpl w:val="85F81042"/>
    <w:lvl w:ilvl="0" w:tplc="C3DA2B02">
      <w:start w:val="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09777A8"/>
    <w:multiLevelType w:val="hybridMultilevel"/>
    <w:tmpl w:val="60FE59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BB1F78"/>
    <w:multiLevelType w:val="hybridMultilevel"/>
    <w:tmpl w:val="F50435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6054608"/>
    <w:multiLevelType w:val="hybridMultilevel"/>
    <w:tmpl w:val="D590723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50454C"/>
    <w:multiLevelType w:val="hybridMultilevel"/>
    <w:tmpl w:val="D5AEF14A"/>
    <w:lvl w:ilvl="0" w:tplc="04100001">
      <w:start w:val="1"/>
      <w:numFmt w:val="bullet"/>
      <w:lvlText w:val=""/>
      <w:lvlJc w:val="left"/>
      <w:pPr>
        <w:ind w:left="304" w:hanging="360"/>
      </w:pPr>
      <w:rPr>
        <w:rFonts w:ascii="Symbol" w:hAnsi="Symbol" w:hint="default"/>
      </w:rPr>
    </w:lvl>
    <w:lvl w:ilvl="1" w:tplc="04100003" w:tentative="1">
      <w:start w:val="1"/>
      <w:numFmt w:val="bullet"/>
      <w:lvlText w:val="o"/>
      <w:lvlJc w:val="left"/>
      <w:pPr>
        <w:ind w:left="1024" w:hanging="360"/>
      </w:pPr>
      <w:rPr>
        <w:rFonts w:ascii="Courier New" w:hAnsi="Courier New" w:cs="Courier New" w:hint="default"/>
      </w:rPr>
    </w:lvl>
    <w:lvl w:ilvl="2" w:tplc="04100005" w:tentative="1">
      <w:start w:val="1"/>
      <w:numFmt w:val="bullet"/>
      <w:lvlText w:val=""/>
      <w:lvlJc w:val="left"/>
      <w:pPr>
        <w:ind w:left="1744" w:hanging="360"/>
      </w:pPr>
      <w:rPr>
        <w:rFonts w:ascii="Wingdings" w:hAnsi="Wingdings" w:hint="default"/>
      </w:rPr>
    </w:lvl>
    <w:lvl w:ilvl="3" w:tplc="04100001" w:tentative="1">
      <w:start w:val="1"/>
      <w:numFmt w:val="bullet"/>
      <w:lvlText w:val=""/>
      <w:lvlJc w:val="left"/>
      <w:pPr>
        <w:ind w:left="2464" w:hanging="360"/>
      </w:pPr>
      <w:rPr>
        <w:rFonts w:ascii="Symbol" w:hAnsi="Symbol" w:hint="default"/>
      </w:rPr>
    </w:lvl>
    <w:lvl w:ilvl="4" w:tplc="04100003" w:tentative="1">
      <w:start w:val="1"/>
      <w:numFmt w:val="bullet"/>
      <w:lvlText w:val="o"/>
      <w:lvlJc w:val="left"/>
      <w:pPr>
        <w:ind w:left="3184" w:hanging="360"/>
      </w:pPr>
      <w:rPr>
        <w:rFonts w:ascii="Courier New" w:hAnsi="Courier New" w:cs="Courier New" w:hint="default"/>
      </w:rPr>
    </w:lvl>
    <w:lvl w:ilvl="5" w:tplc="04100005" w:tentative="1">
      <w:start w:val="1"/>
      <w:numFmt w:val="bullet"/>
      <w:lvlText w:val=""/>
      <w:lvlJc w:val="left"/>
      <w:pPr>
        <w:ind w:left="3904" w:hanging="360"/>
      </w:pPr>
      <w:rPr>
        <w:rFonts w:ascii="Wingdings" w:hAnsi="Wingdings" w:hint="default"/>
      </w:rPr>
    </w:lvl>
    <w:lvl w:ilvl="6" w:tplc="04100001" w:tentative="1">
      <w:start w:val="1"/>
      <w:numFmt w:val="bullet"/>
      <w:lvlText w:val=""/>
      <w:lvlJc w:val="left"/>
      <w:pPr>
        <w:ind w:left="4624" w:hanging="360"/>
      </w:pPr>
      <w:rPr>
        <w:rFonts w:ascii="Symbol" w:hAnsi="Symbol" w:hint="default"/>
      </w:rPr>
    </w:lvl>
    <w:lvl w:ilvl="7" w:tplc="04100003" w:tentative="1">
      <w:start w:val="1"/>
      <w:numFmt w:val="bullet"/>
      <w:lvlText w:val="o"/>
      <w:lvlJc w:val="left"/>
      <w:pPr>
        <w:ind w:left="5344" w:hanging="360"/>
      </w:pPr>
      <w:rPr>
        <w:rFonts w:ascii="Courier New" w:hAnsi="Courier New" w:cs="Courier New" w:hint="default"/>
      </w:rPr>
    </w:lvl>
    <w:lvl w:ilvl="8" w:tplc="04100005" w:tentative="1">
      <w:start w:val="1"/>
      <w:numFmt w:val="bullet"/>
      <w:lvlText w:val=""/>
      <w:lvlJc w:val="left"/>
      <w:pPr>
        <w:ind w:left="6064" w:hanging="360"/>
      </w:pPr>
      <w:rPr>
        <w:rFonts w:ascii="Wingdings" w:hAnsi="Wingdings" w:hint="default"/>
      </w:rPr>
    </w:lvl>
  </w:abstractNum>
  <w:abstractNum w:abstractNumId="32" w15:restartNumberingAfterBreak="0">
    <w:nsid w:val="5DDD33C2"/>
    <w:multiLevelType w:val="hybridMultilevel"/>
    <w:tmpl w:val="8ED874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E4A76EE"/>
    <w:multiLevelType w:val="multilevel"/>
    <w:tmpl w:val="9028C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060191"/>
    <w:multiLevelType w:val="hybridMultilevel"/>
    <w:tmpl w:val="D590723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9349363">
    <w:abstractNumId w:val="15"/>
  </w:num>
  <w:num w:numId="2" w16cid:durableId="1930116041">
    <w:abstractNumId w:val="8"/>
  </w:num>
  <w:num w:numId="3" w16cid:durableId="393747226">
    <w:abstractNumId w:val="3"/>
  </w:num>
  <w:num w:numId="4" w16cid:durableId="689405688">
    <w:abstractNumId w:val="2"/>
  </w:num>
  <w:num w:numId="5" w16cid:durableId="1838762837">
    <w:abstractNumId w:val="1"/>
  </w:num>
  <w:num w:numId="6" w16cid:durableId="193660073">
    <w:abstractNumId w:val="0"/>
  </w:num>
  <w:num w:numId="7" w16cid:durableId="997465170">
    <w:abstractNumId w:val="9"/>
  </w:num>
  <w:num w:numId="8" w16cid:durableId="1795099339">
    <w:abstractNumId w:val="7"/>
  </w:num>
  <w:num w:numId="9" w16cid:durableId="298270827">
    <w:abstractNumId w:val="6"/>
  </w:num>
  <w:num w:numId="10" w16cid:durableId="1765109267">
    <w:abstractNumId w:val="5"/>
  </w:num>
  <w:num w:numId="11" w16cid:durableId="2022968035">
    <w:abstractNumId w:val="4"/>
  </w:num>
  <w:num w:numId="12" w16cid:durableId="182089407">
    <w:abstractNumId w:val="29"/>
  </w:num>
  <w:num w:numId="13" w16cid:durableId="1692336981">
    <w:abstractNumId w:val="20"/>
  </w:num>
  <w:num w:numId="14" w16cid:durableId="577638219">
    <w:abstractNumId w:val="30"/>
  </w:num>
  <w:num w:numId="15" w16cid:durableId="1432967890">
    <w:abstractNumId w:val="35"/>
  </w:num>
  <w:num w:numId="16" w16cid:durableId="10227712">
    <w:abstractNumId w:val="34"/>
  </w:num>
  <w:num w:numId="17" w16cid:durableId="970673367">
    <w:abstractNumId w:val="19"/>
  </w:num>
  <w:num w:numId="18" w16cid:durableId="1399128607">
    <w:abstractNumId w:val="20"/>
    <w:lvlOverride w:ilvl="0">
      <w:startOverride w:val="1"/>
    </w:lvlOverride>
  </w:num>
  <w:num w:numId="19" w16cid:durableId="669262503">
    <w:abstractNumId w:val="26"/>
  </w:num>
  <w:num w:numId="20" w16cid:durableId="257837221">
    <w:abstractNumId w:val="25"/>
  </w:num>
  <w:num w:numId="21" w16cid:durableId="1454322680">
    <w:abstractNumId w:val="22"/>
  </w:num>
  <w:num w:numId="22" w16cid:durableId="2114202268">
    <w:abstractNumId w:val="21"/>
  </w:num>
  <w:num w:numId="23" w16cid:durableId="2076707138">
    <w:abstractNumId w:val="10"/>
  </w:num>
  <w:num w:numId="24" w16cid:durableId="211038403">
    <w:abstractNumId w:val="28"/>
  </w:num>
  <w:num w:numId="25" w16cid:durableId="940383226">
    <w:abstractNumId w:val="24"/>
  </w:num>
  <w:num w:numId="26" w16cid:durableId="2093425077">
    <w:abstractNumId w:val="11"/>
  </w:num>
  <w:num w:numId="27" w16cid:durableId="1071124183">
    <w:abstractNumId w:val="12"/>
  </w:num>
  <w:num w:numId="28" w16cid:durableId="1213535994">
    <w:abstractNumId w:val="36"/>
  </w:num>
  <w:num w:numId="29" w16cid:durableId="1096948535">
    <w:abstractNumId w:val="16"/>
  </w:num>
  <w:num w:numId="30" w16cid:durableId="35470880">
    <w:abstractNumId w:val="18"/>
  </w:num>
  <w:num w:numId="31" w16cid:durableId="97333548">
    <w:abstractNumId w:val="23"/>
  </w:num>
  <w:num w:numId="32" w16cid:durableId="960765723">
    <w:abstractNumId w:val="32"/>
  </w:num>
  <w:num w:numId="33" w16cid:durableId="474839167">
    <w:abstractNumId w:val="27"/>
  </w:num>
  <w:num w:numId="34" w16cid:durableId="111167606">
    <w:abstractNumId w:val="33"/>
  </w:num>
  <w:num w:numId="35" w16cid:durableId="57872641">
    <w:abstractNumId w:val="14"/>
  </w:num>
  <w:num w:numId="36" w16cid:durableId="568927717">
    <w:abstractNumId w:val="31"/>
  </w:num>
  <w:num w:numId="37" w16cid:durableId="93594746">
    <w:abstractNumId w:val="13"/>
  </w:num>
  <w:num w:numId="38" w16cid:durableId="390154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2921"/>
    <w:rsid w:val="00014269"/>
    <w:rsid w:val="000145CA"/>
    <w:rsid w:val="00026604"/>
    <w:rsid w:val="00030F54"/>
    <w:rsid w:val="0003148D"/>
    <w:rsid w:val="00031C33"/>
    <w:rsid w:val="00031EEC"/>
    <w:rsid w:val="00035274"/>
    <w:rsid w:val="00040F22"/>
    <w:rsid w:val="000513AC"/>
    <w:rsid w:val="00051566"/>
    <w:rsid w:val="000562A9"/>
    <w:rsid w:val="00062A9A"/>
    <w:rsid w:val="00065058"/>
    <w:rsid w:val="000656D3"/>
    <w:rsid w:val="00067516"/>
    <w:rsid w:val="00077EC3"/>
    <w:rsid w:val="00086914"/>
    <w:rsid w:val="00086C39"/>
    <w:rsid w:val="00090117"/>
    <w:rsid w:val="000947E5"/>
    <w:rsid w:val="000A03B2"/>
    <w:rsid w:val="000A7AFC"/>
    <w:rsid w:val="000C0DE6"/>
    <w:rsid w:val="000D0268"/>
    <w:rsid w:val="000D34BE"/>
    <w:rsid w:val="000D6014"/>
    <w:rsid w:val="000D665B"/>
    <w:rsid w:val="000E0B3C"/>
    <w:rsid w:val="000E102F"/>
    <w:rsid w:val="000E1A7B"/>
    <w:rsid w:val="000E36F1"/>
    <w:rsid w:val="000E3A73"/>
    <w:rsid w:val="000E414A"/>
    <w:rsid w:val="000E62C0"/>
    <w:rsid w:val="000E75FD"/>
    <w:rsid w:val="000F093C"/>
    <w:rsid w:val="000F4083"/>
    <w:rsid w:val="000F460F"/>
    <w:rsid w:val="000F787B"/>
    <w:rsid w:val="00101403"/>
    <w:rsid w:val="0010720D"/>
    <w:rsid w:val="00107E7F"/>
    <w:rsid w:val="0012091F"/>
    <w:rsid w:val="00126BC2"/>
    <w:rsid w:val="001308B6"/>
    <w:rsid w:val="0013121F"/>
    <w:rsid w:val="00131FE6"/>
    <w:rsid w:val="0013263F"/>
    <w:rsid w:val="001331DF"/>
    <w:rsid w:val="0013474D"/>
    <w:rsid w:val="00134DE4"/>
    <w:rsid w:val="0014034D"/>
    <w:rsid w:val="00140F00"/>
    <w:rsid w:val="00140FE3"/>
    <w:rsid w:val="00144447"/>
    <w:rsid w:val="00144D16"/>
    <w:rsid w:val="00150E59"/>
    <w:rsid w:val="00152DE3"/>
    <w:rsid w:val="001619E3"/>
    <w:rsid w:val="00163A3F"/>
    <w:rsid w:val="001641C0"/>
    <w:rsid w:val="001643B3"/>
    <w:rsid w:val="00164CF9"/>
    <w:rsid w:val="001667A6"/>
    <w:rsid w:val="0018171E"/>
    <w:rsid w:val="00181E4D"/>
    <w:rsid w:val="00184AD6"/>
    <w:rsid w:val="00187146"/>
    <w:rsid w:val="00192265"/>
    <w:rsid w:val="00192B3E"/>
    <w:rsid w:val="0019599C"/>
    <w:rsid w:val="001A100D"/>
    <w:rsid w:val="001A4AF7"/>
    <w:rsid w:val="001A7BE3"/>
    <w:rsid w:val="001B0349"/>
    <w:rsid w:val="001B1E93"/>
    <w:rsid w:val="001B65C1"/>
    <w:rsid w:val="001B6E38"/>
    <w:rsid w:val="001C1330"/>
    <w:rsid w:val="001C260F"/>
    <w:rsid w:val="001C3667"/>
    <w:rsid w:val="001C3F9D"/>
    <w:rsid w:val="001C5C3A"/>
    <w:rsid w:val="001C684B"/>
    <w:rsid w:val="001D0CFB"/>
    <w:rsid w:val="001D21AF"/>
    <w:rsid w:val="001D4832"/>
    <w:rsid w:val="001D5149"/>
    <w:rsid w:val="001D53FC"/>
    <w:rsid w:val="001D703E"/>
    <w:rsid w:val="001E2F85"/>
    <w:rsid w:val="001F1756"/>
    <w:rsid w:val="001F4106"/>
    <w:rsid w:val="001F42A5"/>
    <w:rsid w:val="001F7B9D"/>
    <w:rsid w:val="00201C93"/>
    <w:rsid w:val="002064DA"/>
    <w:rsid w:val="002107CD"/>
    <w:rsid w:val="00216450"/>
    <w:rsid w:val="002224B4"/>
    <w:rsid w:val="00235BA5"/>
    <w:rsid w:val="0023736A"/>
    <w:rsid w:val="002408CA"/>
    <w:rsid w:val="002447EF"/>
    <w:rsid w:val="0024680D"/>
    <w:rsid w:val="00247CEB"/>
    <w:rsid w:val="00251550"/>
    <w:rsid w:val="00263B05"/>
    <w:rsid w:val="00267C25"/>
    <w:rsid w:val="0027221A"/>
    <w:rsid w:val="00275B61"/>
    <w:rsid w:val="00280DDB"/>
    <w:rsid w:val="00280FAF"/>
    <w:rsid w:val="00282656"/>
    <w:rsid w:val="00287CFB"/>
    <w:rsid w:val="00296B83"/>
    <w:rsid w:val="002A2E86"/>
    <w:rsid w:val="002A41AD"/>
    <w:rsid w:val="002B0030"/>
    <w:rsid w:val="002B4015"/>
    <w:rsid w:val="002B78CE"/>
    <w:rsid w:val="002C26FE"/>
    <w:rsid w:val="002C2FB6"/>
    <w:rsid w:val="002D68A6"/>
    <w:rsid w:val="002E5FA7"/>
    <w:rsid w:val="002E6485"/>
    <w:rsid w:val="002E74B6"/>
    <w:rsid w:val="002F3309"/>
    <w:rsid w:val="003008CE"/>
    <w:rsid w:val="003009B7"/>
    <w:rsid w:val="00300E56"/>
    <w:rsid w:val="0030152C"/>
    <w:rsid w:val="0030469C"/>
    <w:rsid w:val="00321CA6"/>
    <w:rsid w:val="00323763"/>
    <w:rsid w:val="00323C5F"/>
    <w:rsid w:val="00334C09"/>
    <w:rsid w:val="00334F4E"/>
    <w:rsid w:val="003554E8"/>
    <w:rsid w:val="003723D4"/>
    <w:rsid w:val="0037306A"/>
    <w:rsid w:val="003771A2"/>
    <w:rsid w:val="00381905"/>
    <w:rsid w:val="003833D6"/>
    <w:rsid w:val="00384CC8"/>
    <w:rsid w:val="00385F26"/>
    <w:rsid w:val="003871FD"/>
    <w:rsid w:val="00390BBE"/>
    <w:rsid w:val="003925F0"/>
    <w:rsid w:val="00393F99"/>
    <w:rsid w:val="003A0F36"/>
    <w:rsid w:val="003A1E30"/>
    <w:rsid w:val="003A2829"/>
    <w:rsid w:val="003A7D1C"/>
    <w:rsid w:val="003B304B"/>
    <w:rsid w:val="003B3146"/>
    <w:rsid w:val="003B49CD"/>
    <w:rsid w:val="003C4220"/>
    <w:rsid w:val="003C734C"/>
    <w:rsid w:val="003D1E02"/>
    <w:rsid w:val="003D4ED8"/>
    <w:rsid w:val="003E1855"/>
    <w:rsid w:val="003F015E"/>
    <w:rsid w:val="003F5D7E"/>
    <w:rsid w:val="00400414"/>
    <w:rsid w:val="0040336F"/>
    <w:rsid w:val="004067CC"/>
    <w:rsid w:val="00410BEE"/>
    <w:rsid w:val="0041446B"/>
    <w:rsid w:val="00414791"/>
    <w:rsid w:val="004151E6"/>
    <w:rsid w:val="0041625F"/>
    <w:rsid w:val="004236D5"/>
    <w:rsid w:val="00437778"/>
    <w:rsid w:val="004401CA"/>
    <w:rsid w:val="0044071E"/>
    <w:rsid w:val="0044329C"/>
    <w:rsid w:val="00451A76"/>
    <w:rsid w:val="00453AAC"/>
    <w:rsid w:val="00453E24"/>
    <w:rsid w:val="00457456"/>
    <w:rsid w:val="004577FE"/>
    <w:rsid w:val="00457B9C"/>
    <w:rsid w:val="0046164A"/>
    <w:rsid w:val="004628D2"/>
    <w:rsid w:val="00462DCD"/>
    <w:rsid w:val="004648AD"/>
    <w:rsid w:val="004703A9"/>
    <w:rsid w:val="00472956"/>
    <w:rsid w:val="004760DE"/>
    <w:rsid w:val="004763D7"/>
    <w:rsid w:val="00481741"/>
    <w:rsid w:val="00481E47"/>
    <w:rsid w:val="00485571"/>
    <w:rsid w:val="00485A4C"/>
    <w:rsid w:val="00487703"/>
    <w:rsid w:val="00497A24"/>
    <w:rsid w:val="004A004E"/>
    <w:rsid w:val="004A24CF"/>
    <w:rsid w:val="004A6B0C"/>
    <w:rsid w:val="004B6362"/>
    <w:rsid w:val="004C1095"/>
    <w:rsid w:val="004C3D1D"/>
    <w:rsid w:val="004C3D84"/>
    <w:rsid w:val="004C69DB"/>
    <w:rsid w:val="004C7913"/>
    <w:rsid w:val="004E4DD6"/>
    <w:rsid w:val="004E57EC"/>
    <w:rsid w:val="004F5BB8"/>
    <w:rsid w:val="004F5E36"/>
    <w:rsid w:val="00507B47"/>
    <w:rsid w:val="00507BEF"/>
    <w:rsid w:val="00507CC9"/>
    <w:rsid w:val="005119A5"/>
    <w:rsid w:val="0051479A"/>
    <w:rsid w:val="00516106"/>
    <w:rsid w:val="005167A7"/>
    <w:rsid w:val="00521385"/>
    <w:rsid w:val="005278B7"/>
    <w:rsid w:val="00532016"/>
    <w:rsid w:val="005346C8"/>
    <w:rsid w:val="005424FC"/>
    <w:rsid w:val="00543E7D"/>
    <w:rsid w:val="005449C9"/>
    <w:rsid w:val="00547A68"/>
    <w:rsid w:val="00550572"/>
    <w:rsid w:val="005531C9"/>
    <w:rsid w:val="00553801"/>
    <w:rsid w:val="00554879"/>
    <w:rsid w:val="00570146"/>
    <w:rsid w:val="00570C43"/>
    <w:rsid w:val="00572FCC"/>
    <w:rsid w:val="00574ED9"/>
    <w:rsid w:val="00575007"/>
    <w:rsid w:val="00581084"/>
    <w:rsid w:val="0058617F"/>
    <w:rsid w:val="00590D33"/>
    <w:rsid w:val="00592274"/>
    <w:rsid w:val="00593AB6"/>
    <w:rsid w:val="00595215"/>
    <w:rsid w:val="005B2110"/>
    <w:rsid w:val="005B350B"/>
    <w:rsid w:val="005B4B7E"/>
    <w:rsid w:val="005B61E6"/>
    <w:rsid w:val="005B6C77"/>
    <w:rsid w:val="005C28F4"/>
    <w:rsid w:val="005C77E1"/>
    <w:rsid w:val="005D668A"/>
    <w:rsid w:val="005D6A2F"/>
    <w:rsid w:val="005E0592"/>
    <w:rsid w:val="005E1A82"/>
    <w:rsid w:val="005E343E"/>
    <w:rsid w:val="005E48B0"/>
    <w:rsid w:val="005E74AC"/>
    <w:rsid w:val="005E794C"/>
    <w:rsid w:val="005F0A28"/>
    <w:rsid w:val="005F0E5E"/>
    <w:rsid w:val="005F19CC"/>
    <w:rsid w:val="00600535"/>
    <w:rsid w:val="006016AC"/>
    <w:rsid w:val="00602C94"/>
    <w:rsid w:val="0060691C"/>
    <w:rsid w:val="00610CD6"/>
    <w:rsid w:val="00611372"/>
    <w:rsid w:val="00620DEE"/>
    <w:rsid w:val="00621F92"/>
    <w:rsid w:val="0062256A"/>
    <w:rsid w:val="0062280A"/>
    <w:rsid w:val="006231E1"/>
    <w:rsid w:val="00623EFC"/>
    <w:rsid w:val="00625639"/>
    <w:rsid w:val="00631B33"/>
    <w:rsid w:val="0064184D"/>
    <w:rsid w:val="006422CC"/>
    <w:rsid w:val="00651D18"/>
    <w:rsid w:val="006526D8"/>
    <w:rsid w:val="00660E3E"/>
    <w:rsid w:val="00662E74"/>
    <w:rsid w:val="0067139B"/>
    <w:rsid w:val="00680C23"/>
    <w:rsid w:val="00681887"/>
    <w:rsid w:val="00683E23"/>
    <w:rsid w:val="00685FD9"/>
    <w:rsid w:val="00693766"/>
    <w:rsid w:val="006A3281"/>
    <w:rsid w:val="006A439E"/>
    <w:rsid w:val="006A6DE5"/>
    <w:rsid w:val="006B4888"/>
    <w:rsid w:val="006C18C4"/>
    <w:rsid w:val="006C1F36"/>
    <w:rsid w:val="006C2C34"/>
    <w:rsid w:val="006C2E45"/>
    <w:rsid w:val="006C359C"/>
    <w:rsid w:val="006C5579"/>
    <w:rsid w:val="006D6E8B"/>
    <w:rsid w:val="006D7209"/>
    <w:rsid w:val="006E2967"/>
    <w:rsid w:val="006E52B3"/>
    <w:rsid w:val="006E737D"/>
    <w:rsid w:val="006E7781"/>
    <w:rsid w:val="006F1D73"/>
    <w:rsid w:val="006F20E8"/>
    <w:rsid w:val="006F370F"/>
    <w:rsid w:val="006F4FDB"/>
    <w:rsid w:val="00707DD1"/>
    <w:rsid w:val="00713973"/>
    <w:rsid w:val="007170AE"/>
    <w:rsid w:val="00720A24"/>
    <w:rsid w:val="007232E8"/>
    <w:rsid w:val="00727DD8"/>
    <w:rsid w:val="00727FFE"/>
    <w:rsid w:val="00732386"/>
    <w:rsid w:val="0073514D"/>
    <w:rsid w:val="00742CF1"/>
    <w:rsid w:val="007447F3"/>
    <w:rsid w:val="00745EB4"/>
    <w:rsid w:val="0075499F"/>
    <w:rsid w:val="0076195A"/>
    <w:rsid w:val="007635BC"/>
    <w:rsid w:val="00763721"/>
    <w:rsid w:val="007653EA"/>
    <w:rsid w:val="007655EE"/>
    <w:rsid w:val="007661C8"/>
    <w:rsid w:val="0077098D"/>
    <w:rsid w:val="00773D15"/>
    <w:rsid w:val="00775FC2"/>
    <w:rsid w:val="00785BF9"/>
    <w:rsid w:val="00790C89"/>
    <w:rsid w:val="00791622"/>
    <w:rsid w:val="007931FA"/>
    <w:rsid w:val="00796056"/>
    <w:rsid w:val="007A4861"/>
    <w:rsid w:val="007A7BBA"/>
    <w:rsid w:val="007B070E"/>
    <w:rsid w:val="007B0C50"/>
    <w:rsid w:val="007B48F9"/>
    <w:rsid w:val="007C1A43"/>
    <w:rsid w:val="007C5FEB"/>
    <w:rsid w:val="007D0741"/>
    <w:rsid w:val="007D0951"/>
    <w:rsid w:val="007D610D"/>
    <w:rsid w:val="007D7A49"/>
    <w:rsid w:val="007E3522"/>
    <w:rsid w:val="007F16AC"/>
    <w:rsid w:val="0080013E"/>
    <w:rsid w:val="00801759"/>
    <w:rsid w:val="008017DC"/>
    <w:rsid w:val="00810C36"/>
    <w:rsid w:val="00813288"/>
    <w:rsid w:val="008168FC"/>
    <w:rsid w:val="0082290B"/>
    <w:rsid w:val="008253D2"/>
    <w:rsid w:val="00830996"/>
    <w:rsid w:val="00831155"/>
    <w:rsid w:val="008345F1"/>
    <w:rsid w:val="00837015"/>
    <w:rsid w:val="00843033"/>
    <w:rsid w:val="008437A7"/>
    <w:rsid w:val="0084494D"/>
    <w:rsid w:val="00847B02"/>
    <w:rsid w:val="00865B07"/>
    <w:rsid w:val="008667EA"/>
    <w:rsid w:val="0087637F"/>
    <w:rsid w:val="00881810"/>
    <w:rsid w:val="00882AD2"/>
    <w:rsid w:val="00892AD5"/>
    <w:rsid w:val="008931CC"/>
    <w:rsid w:val="0089698E"/>
    <w:rsid w:val="008A1512"/>
    <w:rsid w:val="008A1C4A"/>
    <w:rsid w:val="008A2DBB"/>
    <w:rsid w:val="008C1D22"/>
    <w:rsid w:val="008D32B9"/>
    <w:rsid w:val="008D433B"/>
    <w:rsid w:val="008D4A16"/>
    <w:rsid w:val="008E1C18"/>
    <w:rsid w:val="008E1E38"/>
    <w:rsid w:val="008E5401"/>
    <w:rsid w:val="008E566E"/>
    <w:rsid w:val="008E5EA9"/>
    <w:rsid w:val="008F1E70"/>
    <w:rsid w:val="0090161A"/>
    <w:rsid w:val="00901EB6"/>
    <w:rsid w:val="009041F8"/>
    <w:rsid w:val="00904C62"/>
    <w:rsid w:val="00922B62"/>
    <w:rsid w:val="00922BA8"/>
    <w:rsid w:val="00924DAC"/>
    <w:rsid w:val="00927058"/>
    <w:rsid w:val="009279F1"/>
    <w:rsid w:val="00942750"/>
    <w:rsid w:val="0094301F"/>
    <w:rsid w:val="009450CE"/>
    <w:rsid w:val="009459BB"/>
    <w:rsid w:val="00947179"/>
    <w:rsid w:val="00947275"/>
    <w:rsid w:val="00947393"/>
    <w:rsid w:val="0095164B"/>
    <w:rsid w:val="00954090"/>
    <w:rsid w:val="009573E7"/>
    <w:rsid w:val="009603B1"/>
    <w:rsid w:val="00963E05"/>
    <w:rsid w:val="00964A45"/>
    <w:rsid w:val="00967843"/>
    <w:rsid w:val="00967D54"/>
    <w:rsid w:val="00971028"/>
    <w:rsid w:val="00993B84"/>
    <w:rsid w:val="00994C6A"/>
    <w:rsid w:val="00996483"/>
    <w:rsid w:val="00996F5A"/>
    <w:rsid w:val="009B041A"/>
    <w:rsid w:val="009C37C3"/>
    <w:rsid w:val="009C7C86"/>
    <w:rsid w:val="009D2FF7"/>
    <w:rsid w:val="009D78CB"/>
    <w:rsid w:val="009E7884"/>
    <w:rsid w:val="009E788A"/>
    <w:rsid w:val="009F0E08"/>
    <w:rsid w:val="009F6DE0"/>
    <w:rsid w:val="00A079AE"/>
    <w:rsid w:val="00A1763D"/>
    <w:rsid w:val="00A17CEC"/>
    <w:rsid w:val="00A22A63"/>
    <w:rsid w:val="00A27EF0"/>
    <w:rsid w:val="00A34036"/>
    <w:rsid w:val="00A36AC2"/>
    <w:rsid w:val="00A42361"/>
    <w:rsid w:val="00A47AE1"/>
    <w:rsid w:val="00A50B20"/>
    <w:rsid w:val="00A51390"/>
    <w:rsid w:val="00A60D13"/>
    <w:rsid w:val="00A64669"/>
    <w:rsid w:val="00A7223D"/>
    <w:rsid w:val="00A72745"/>
    <w:rsid w:val="00A74AA0"/>
    <w:rsid w:val="00A76EFC"/>
    <w:rsid w:val="00A858E0"/>
    <w:rsid w:val="00A87D50"/>
    <w:rsid w:val="00A909A7"/>
    <w:rsid w:val="00A91010"/>
    <w:rsid w:val="00A92FC6"/>
    <w:rsid w:val="00A97671"/>
    <w:rsid w:val="00A97F29"/>
    <w:rsid w:val="00AA07F6"/>
    <w:rsid w:val="00AA702E"/>
    <w:rsid w:val="00AA7D26"/>
    <w:rsid w:val="00AB0964"/>
    <w:rsid w:val="00AB3C36"/>
    <w:rsid w:val="00AB3F7E"/>
    <w:rsid w:val="00AB5011"/>
    <w:rsid w:val="00AB5FB8"/>
    <w:rsid w:val="00AC7368"/>
    <w:rsid w:val="00AC7634"/>
    <w:rsid w:val="00AD16B9"/>
    <w:rsid w:val="00AD23A3"/>
    <w:rsid w:val="00AD7BF4"/>
    <w:rsid w:val="00AE377D"/>
    <w:rsid w:val="00AF0EBA"/>
    <w:rsid w:val="00AF2463"/>
    <w:rsid w:val="00AF472C"/>
    <w:rsid w:val="00AF488D"/>
    <w:rsid w:val="00B02C8A"/>
    <w:rsid w:val="00B15D8A"/>
    <w:rsid w:val="00B17FBD"/>
    <w:rsid w:val="00B315A6"/>
    <w:rsid w:val="00B31813"/>
    <w:rsid w:val="00B33365"/>
    <w:rsid w:val="00B33DFC"/>
    <w:rsid w:val="00B42EB7"/>
    <w:rsid w:val="00B5464E"/>
    <w:rsid w:val="00B5542C"/>
    <w:rsid w:val="00B57B36"/>
    <w:rsid w:val="00B57E6F"/>
    <w:rsid w:val="00B61A7F"/>
    <w:rsid w:val="00B8518D"/>
    <w:rsid w:val="00B8686D"/>
    <w:rsid w:val="00B903A0"/>
    <w:rsid w:val="00B91ED9"/>
    <w:rsid w:val="00B93F69"/>
    <w:rsid w:val="00B95B95"/>
    <w:rsid w:val="00BA68DA"/>
    <w:rsid w:val="00BB1DDC"/>
    <w:rsid w:val="00BB5C04"/>
    <w:rsid w:val="00BC30C9"/>
    <w:rsid w:val="00BD077D"/>
    <w:rsid w:val="00BD570C"/>
    <w:rsid w:val="00BE1DAD"/>
    <w:rsid w:val="00BE3E58"/>
    <w:rsid w:val="00BF13CE"/>
    <w:rsid w:val="00C01616"/>
    <w:rsid w:val="00C0162B"/>
    <w:rsid w:val="00C068ED"/>
    <w:rsid w:val="00C116BB"/>
    <w:rsid w:val="00C13E06"/>
    <w:rsid w:val="00C14719"/>
    <w:rsid w:val="00C149E4"/>
    <w:rsid w:val="00C16C9D"/>
    <w:rsid w:val="00C22E0C"/>
    <w:rsid w:val="00C345B1"/>
    <w:rsid w:val="00C40142"/>
    <w:rsid w:val="00C52C3C"/>
    <w:rsid w:val="00C53C4D"/>
    <w:rsid w:val="00C57182"/>
    <w:rsid w:val="00C57863"/>
    <w:rsid w:val="00C640AF"/>
    <w:rsid w:val="00C655FD"/>
    <w:rsid w:val="00C66613"/>
    <w:rsid w:val="00C72FA5"/>
    <w:rsid w:val="00C75407"/>
    <w:rsid w:val="00C76C6A"/>
    <w:rsid w:val="00C771B2"/>
    <w:rsid w:val="00C841C6"/>
    <w:rsid w:val="00C8610C"/>
    <w:rsid w:val="00C870A8"/>
    <w:rsid w:val="00C87180"/>
    <w:rsid w:val="00C94434"/>
    <w:rsid w:val="00C9592C"/>
    <w:rsid w:val="00C96DEE"/>
    <w:rsid w:val="00CA0D75"/>
    <w:rsid w:val="00CA1C95"/>
    <w:rsid w:val="00CA5A9C"/>
    <w:rsid w:val="00CB1BE3"/>
    <w:rsid w:val="00CB6571"/>
    <w:rsid w:val="00CB7DC8"/>
    <w:rsid w:val="00CC2897"/>
    <w:rsid w:val="00CC4C20"/>
    <w:rsid w:val="00CD1CD2"/>
    <w:rsid w:val="00CD3517"/>
    <w:rsid w:val="00CD4A11"/>
    <w:rsid w:val="00CD5FE2"/>
    <w:rsid w:val="00CD74D2"/>
    <w:rsid w:val="00CE3195"/>
    <w:rsid w:val="00CE7C68"/>
    <w:rsid w:val="00CF21A0"/>
    <w:rsid w:val="00D02B4C"/>
    <w:rsid w:val="00D02EEC"/>
    <w:rsid w:val="00D040C4"/>
    <w:rsid w:val="00D20AD1"/>
    <w:rsid w:val="00D2582C"/>
    <w:rsid w:val="00D467D5"/>
    <w:rsid w:val="00D46B7E"/>
    <w:rsid w:val="00D51C36"/>
    <w:rsid w:val="00D51CFC"/>
    <w:rsid w:val="00D55486"/>
    <w:rsid w:val="00D57344"/>
    <w:rsid w:val="00D57C84"/>
    <w:rsid w:val="00D6057D"/>
    <w:rsid w:val="00D60ED3"/>
    <w:rsid w:val="00D71640"/>
    <w:rsid w:val="00D727E3"/>
    <w:rsid w:val="00D75628"/>
    <w:rsid w:val="00D82245"/>
    <w:rsid w:val="00D82AA3"/>
    <w:rsid w:val="00D836C5"/>
    <w:rsid w:val="00D8449F"/>
    <w:rsid w:val="00D84576"/>
    <w:rsid w:val="00DA1399"/>
    <w:rsid w:val="00DA24C6"/>
    <w:rsid w:val="00DA3474"/>
    <w:rsid w:val="00DA4D7B"/>
    <w:rsid w:val="00DB3794"/>
    <w:rsid w:val="00DC2840"/>
    <w:rsid w:val="00DC73EE"/>
    <w:rsid w:val="00DD271C"/>
    <w:rsid w:val="00DE264A"/>
    <w:rsid w:val="00DE6770"/>
    <w:rsid w:val="00DF0F73"/>
    <w:rsid w:val="00DF1454"/>
    <w:rsid w:val="00DF5072"/>
    <w:rsid w:val="00DF79CC"/>
    <w:rsid w:val="00E02D18"/>
    <w:rsid w:val="00E041E7"/>
    <w:rsid w:val="00E07AC9"/>
    <w:rsid w:val="00E11F7A"/>
    <w:rsid w:val="00E16F20"/>
    <w:rsid w:val="00E21594"/>
    <w:rsid w:val="00E23CA1"/>
    <w:rsid w:val="00E36E64"/>
    <w:rsid w:val="00E409A8"/>
    <w:rsid w:val="00E50C12"/>
    <w:rsid w:val="00E577D9"/>
    <w:rsid w:val="00E65B91"/>
    <w:rsid w:val="00E7209D"/>
    <w:rsid w:val="00E72114"/>
    <w:rsid w:val="00E72EAD"/>
    <w:rsid w:val="00E77223"/>
    <w:rsid w:val="00E8528B"/>
    <w:rsid w:val="00E85B94"/>
    <w:rsid w:val="00E95069"/>
    <w:rsid w:val="00E978D0"/>
    <w:rsid w:val="00EA4613"/>
    <w:rsid w:val="00EA7F91"/>
    <w:rsid w:val="00EB1523"/>
    <w:rsid w:val="00EB4A75"/>
    <w:rsid w:val="00EC0810"/>
    <w:rsid w:val="00EC0E49"/>
    <w:rsid w:val="00EC101F"/>
    <w:rsid w:val="00EC1A6F"/>
    <w:rsid w:val="00EC1D9F"/>
    <w:rsid w:val="00EC570F"/>
    <w:rsid w:val="00EC715A"/>
    <w:rsid w:val="00ED6822"/>
    <w:rsid w:val="00EE0131"/>
    <w:rsid w:val="00EE10B2"/>
    <w:rsid w:val="00EE17B0"/>
    <w:rsid w:val="00EF06D9"/>
    <w:rsid w:val="00EF102F"/>
    <w:rsid w:val="00EF2108"/>
    <w:rsid w:val="00F02590"/>
    <w:rsid w:val="00F03F56"/>
    <w:rsid w:val="00F07CBA"/>
    <w:rsid w:val="00F21500"/>
    <w:rsid w:val="00F23930"/>
    <w:rsid w:val="00F27EE4"/>
    <w:rsid w:val="00F30090"/>
    <w:rsid w:val="00F3049E"/>
    <w:rsid w:val="00F30C64"/>
    <w:rsid w:val="00F32BA2"/>
    <w:rsid w:val="00F32CDB"/>
    <w:rsid w:val="00F34421"/>
    <w:rsid w:val="00F41EE4"/>
    <w:rsid w:val="00F515C2"/>
    <w:rsid w:val="00F51772"/>
    <w:rsid w:val="00F52D0E"/>
    <w:rsid w:val="00F55D71"/>
    <w:rsid w:val="00F565FE"/>
    <w:rsid w:val="00F63A70"/>
    <w:rsid w:val="00F63D8C"/>
    <w:rsid w:val="00F65923"/>
    <w:rsid w:val="00F6662A"/>
    <w:rsid w:val="00F7534E"/>
    <w:rsid w:val="00F81650"/>
    <w:rsid w:val="00F8216A"/>
    <w:rsid w:val="00F93EDF"/>
    <w:rsid w:val="00F93FA2"/>
    <w:rsid w:val="00FA1802"/>
    <w:rsid w:val="00FA21D0"/>
    <w:rsid w:val="00FA5F5F"/>
    <w:rsid w:val="00FB730C"/>
    <w:rsid w:val="00FC2695"/>
    <w:rsid w:val="00FC3E03"/>
    <w:rsid w:val="00FC3FC1"/>
    <w:rsid w:val="00FD1E0F"/>
    <w:rsid w:val="00FD3A3F"/>
    <w:rsid w:val="00FE49A9"/>
    <w:rsid w:val="00FE7A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9918B"/>
  <w15:docId w15:val="{3FC7B380-2733-4F08-B433-F2EDA4D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390BB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nhideWhenUsed/>
    <w:rsid w:val="0003148D"/>
    <w:pPr>
      <w:spacing w:line="240" w:lineRule="auto"/>
    </w:pPr>
  </w:style>
  <w:style w:type="character" w:customStyle="1" w:styleId="TestonotaapidipaginaCarattere">
    <w:name w:val="Testo nota a piè di pagina Carattere"/>
    <w:basedOn w:val="Carpredefinitoparagrafo"/>
    <w:link w:val="Testonotaapidipagina"/>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Rimandonotaapidipagina">
    <w:name w:val="footnote reference"/>
    <w:semiHidden/>
    <w:unhideWhenUsed/>
    <w:rsid w:val="006C18C4"/>
    <w:rPr>
      <w:vertAlign w:val="superscript"/>
    </w:rPr>
  </w:style>
  <w:style w:type="paragraph" w:customStyle="1" w:styleId="TxBrp3">
    <w:name w:val="TxBr_p3"/>
    <w:basedOn w:val="Normale"/>
    <w:rsid w:val="000145CA"/>
    <w:pPr>
      <w:tabs>
        <w:tab w:val="clear" w:pos="7100"/>
      </w:tabs>
      <w:spacing w:line="238" w:lineRule="atLeast"/>
      <w:ind w:left="1355" w:hanging="266"/>
      <w:jc w:val="left"/>
    </w:pPr>
    <w:rPr>
      <w:rFonts w:ascii="Times New Roman" w:hAnsi="Times New Roman"/>
      <w:snapToGrid w:val="0"/>
      <w:sz w:val="24"/>
      <w:lang w:val="it-IT" w:eastAsia="it-IT"/>
    </w:rPr>
  </w:style>
  <w:style w:type="paragraph" w:styleId="Nessunaspaziatura">
    <w:name w:val="No Spacing"/>
    <w:uiPriority w:val="1"/>
    <w:qFormat/>
    <w:rsid w:val="000145CA"/>
    <w:pPr>
      <w:spacing w:after="0" w:line="240" w:lineRule="auto"/>
    </w:pPr>
    <w:rPr>
      <w:rFonts w:ascii="Calibri" w:eastAsia="Calibri" w:hAnsi="Calibri" w:cs="Times New Roman"/>
    </w:rPr>
  </w:style>
  <w:style w:type="character" w:customStyle="1" w:styleId="hps">
    <w:name w:val="hps"/>
    <w:basedOn w:val="Carpredefinitoparagrafo"/>
    <w:rsid w:val="004067CC"/>
  </w:style>
  <w:style w:type="paragraph" w:styleId="Revisione">
    <w:name w:val="Revision"/>
    <w:hidden/>
    <w:uiPriority w:val="99"/>
    <w:semiHidden/>
    <w:rsid w:val="000513A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4975729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rs.jrc.ec.europa.eu/EN/emars/cont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26C1-496B-4D1C-B199-E9AD69F7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3683</Words>
  <Characters>20997</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99</cp:revision>
  <cp:lastPrinted>2015-05-12T18:31:00Z</cp:lastPrinted>
  <dcterms:created xsi:type="dcterms:W3CDTF">2024-10-11T14:18:00Z</dcterms:created>
  <dcterms:modified xsi:type="dcterms:W3CDTF">2025-04-16T11:48:00Z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