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30F07041" w14:textId="1CC87491" w:rsidR="00F27EE4" w:rsidRPr="00F27EE4" w:rsidRDefault="00AA7D26" w:rsidP="00F27EE4">
            <w:pPr>
              <w:ind w:left="-107"/>
              <w:rPr>
                <w:rFonts w:ascii="Tahoma" w:hAnsi="Tahoma" w:cs="Tahoma"/>
                <w:b/>
                <w:bCs/>
                <w:color w:val="000000"/>
                <w:sz w:val="14"/>
                <w:szCs w:val="14"/>
                <w:shd w:val="clear" w:color="auto" w:fill="FFFFFF"/>
                <w:lang w:val="it-IT"/>
              </w:rPr>
            </w:pPr>
            <w:r w:rsidRPr="00F27EE4">
              <w:rPr>
                <w:rFonts w:ascii="Tahoma" w:hAnsi="Tahoma" w:cs="Tahoma"/>
                <w:iCs/>
                <w:color w:val="333333"/>
                <w:sz w:val="14"/>
                <w:szCs w:val="14"/>
                <w:lang w:val="it-IT" w:eastAsia="it-IT"/>
              </w:rPr>
              <w:t>Guest Editors:</w:t>
            </w:r>
            <w:r w:rsidR="007D610D" w:rsidRPr="00F27EE4">
              <w:rPr>
                <w:rFonts w:ascii="Aptos" w:eastAsiaTheme="minorHAnsi" w:hAnsi="Aptos" w:cs="Aptos"/>
                <w:sz w:val="22"/>
                <w:szCs w:val="22"/>
                <w:lang w:val="it-IT"/>
                <w14:ligatures w14:val="standardContextual"/>
              </w:rPr>
              <w:t xml:space="preserve"> </w:t>
            </w:r>
            <w:r w:rsidR="00F27EE4" w:rsidRPr="00F27EE4">
              <w:rPr>
                <w:rFonts w:ascii="Tahoma" w:hAnsi="Tahoma" w:cs="Tahoma"/>
                <w:color w:val="000000"/>
                <w:sz w:val="14"/>
                <w:szCs w:val="14"/>
                <w:shd w:val="clear" w:color="auto" w:fill="FFFFFF"/>
                <w:lang w:val="it-IT"/>
              </w:rPr>
              <w:t>Bruno Fabiano, Va</w:t>
            </w:r>
            <w:r w:rsidR="00F27EE4">
              <w:rPr>
                <w:rFonts w:ascii="Tahoma" w:hAnsi="Tahoma" w:cs="Tahoma"/>
                <w:color w:val="000000"/>
                <w:sz w:val="14"/>
                <w:szCs w:val="14"/>
                <w:shd w:val="clear" w:color="auto" w:fill="FFFFFF"/>
                <w:lang w:val="it-IT"/>
              </w:rPr>
              <w:t>lerio Cozzani</w:t>
            </w:r>
          </w:p>
          <w:p w14:paraId="1B0F1814" w14:textId="2DB8A072"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F27EE4">
              <w:rPr>
                <w:rFonts w:ascii="Tahoma" w:hAnsi="Tahoma" w:cs="Tahoma"/>
                <w:sz w:val="14"/>
                <w:szCs w:val="14"/>
              </w:rPr>
              <w:t>xx-y</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465D0577" w:rsidR="00E978D0" w:rsidRPr="00B57B36" w:rsidRDefault="00771E86" w:rsidP="00E978D0">
      <w:pPr>
        <w:pStyle w:val="CETTitle"/>
      </w:pPr>
      <w:r w:rsidRPr="00771E86">
        <w:t xml:space="preserve">From </w:t>
      </w:r>
      <w:r w:rsidR="0062594F">
        <w:t>D</w:t>
      </w:r>
      <w:r w:rsidRPr="00771E86">
        <w:t xml:space="preserve">ust </w:t>
      </w:r>
      <w:r w:rsidR="0062594F">
        <w:t>D</w:t>
      </w:r>
      <w:r w:rsidRPr="00771E86">
        <w:t xml:space="preserve">ispersion to </w:t>
      </w:r>
      <w:r w:rsidR="0062594F">
        <w:t>D</w:t>
      </w:r>
      <w:r w:rsidRPr="00771E86">
        <w:t xml:space="preserve">ust </w:t>
      </w:r>
      <w:r w:rsidR="0062594F">
        <w:t>E</w:t>
      </w:r>
      <w:r w:rsidRPr="00771E86">
        <w:t>xplosion</w:t>
      </w:r>
    </w:p>
    <w:p w14:paraId="0488FED2" w14:textId="0B40F25A" w:rsidR="00B57E6F" w:rsidRPr="00B57B36" w:rsidRDefault="00BF2C2D" w:rsidP="00B57E6F">
      <w:pPr>
        <w:pStyle w:val="CETAuthors"/>
      </w:pPr>
      <w:r>
        <w:t>Olivier Dufaud</w:t>
      </w:r>
      <w:r>
        <w:rPr>
          <w:vertAlign w:val="superscript"/>
        </w:rPr>
        <w:t>a</w:t>
      </w:r>
      <w:r w:rsidRPr="00B57B36">
        <w:rPr>
          <w:vertAlign w:val="superscript"/>
        </w:rPr>
        <w:t>,</w:t>
      </w:r>
      <w:r w:rsidRPr="00B57B36">
        <w:t>*</w:t>
      </w:r>
      <w:r w:rsidR="00B57E6F" w:rsidRPr="00B57B36">
        <w:t xml:space="preserve">, </w:t>
      </w:r>
      <w:r w:rsidRPr="003A169B">
        <w:rPr>
          <w:color w:val="000000"/>
          <w:szCs w:val="24"/>
        </w:rPr>
        <w:t>Bretislav Janovsky</w:t>
      </w:r>
      <w:r w:rsidR="00B57E6F" w:rsidRPr="00B57B36">
        <w:rPr>
          <w:vertAlign w:val="superscript"/>
        </w:rPr>
        <w:t>b</w:t>
      </w:r>
      <w:r w:rsidR="00B57E6F" w:rsidRPr="00B57B36">
        <w:t>,</w:t>
      </w:r>
      <w:r>
        <w:t xml:space="preserve"> </w:t>
      </w:r>
      <w:r w:rsidRPr="00BF2C2D">
        <w:t>Jan Karl</w:t>
      </w:r>
      <w:r>
        <w:rPr>
          <w:vertAlign w:val="superscript"/>
        </w:rPr>
        <w:t>c</w:t>
      </w:r>
      <w:r>
        <w:t>, Stefan Spitzer</w:t>
      </w:r>
      <w:r>
        <w:rPr>
          <w:vertAlign w:val="superscript"/>
        </w:rPr>
        <w:t>d</w:t>
      </w:r>
    </w:p>
    <w:p w14:paraId="6B2D21B3" w14:textId="7EF46733" w:rsidR="00B57E6F" w:rsidRPr="00BF2C2D" w:rsidRDefault="00B57E6F" w:rsidP="00B57E6F">
      <w:pPr>
        <w:pStyle w:val="CETAddress"/>
        <w:rPr>
          <w:lang w:val="fr-FR"/>
        </w:rPr>
      </w:pPr>
      <w:r w:rsidRPr="00BF2C2D">
        <w:rPr>
          <w:vertAlign w:val="superscript"/>
          <w:lang w:val="fr-FR"/>
        </w:rPr>
        <w:t>a</w:t>
      </w:r>
      <w:r w:rsidR="00BF2C2D" w:rsidRPr="00BF2C2D">
        <w:rPr>
          <w:lang w:val="fr-FR"/>
        </w:rPr>
        <w:t>Université de Lorraine, CNRS, LRGP, F-54000 Nancy, France</w:t>
      </w:r>
      <w:r w:rsidRPr="00BF2C2D">
        <w:rPr>
          <w:lang w:val="fr-FR"/>
        </w:rPr>
        <w:t xml:space="preserve"> </w:t>
      </w:r>
    </w:p>
    <w:p w14:paraId="3D72B0B0" w14:textId="4F1E47C7" w:rsidR="00B57E6F" w:rsidRDefault="00B57E6F" w:rsidP="00B57E6F">
      <w:pPr>
        <w:pStyle w:val="CETAddress"/>
      </w:pPr>
      <w:r w:rsidRPr="00B57B36">
        <w:rPr>
          <w:vertAlign w:val="superscript"/>
        </w:rPr>
        <w:t>b</w:t>
      </w:r>
      <w:r w:rsidR="00BF2C2D" w:rsidRPr="00BF2C2D">
        <w:t>University of Pardubice, Faculty of Chemical Technology, 532 10 Pardubice, Czech Republic</w:t>
      </w:r>
    </w:p>
    <w:p w14:paraId="5ABB17E1" w14:textId="77777777" w:rsidR="00BF2C2D" w:rsidRPr="00B57B36" w:rsidRDefault="00BF2C2D" w:rsidP="00BF2C2D">
      <w:pPr>
        <w:pStyle w:val="CETAddress"/>
      </w:pPr>
      <w:r>
        <w:rPr>
          <w:vertAlign w:val="superscript"/>
          <w:lang w:val="en-US"/>
        </w:rPr>
        <w:t>c</w:t>
      </w:r>
      <w:r w:rsidRPr="00BF2C2D">
        <w:rPr>
          <w:lang w:val="en-US"/>
        </w:rPr>
        <w:t>Technical Institute of Fire Protection, Prague, Czech Republic</w:t>
      </w:r>
    </w:p>
    <w:p w14:paraId="795D85C3" w14:textId="29836440" w:rsidR="00BF2C2D" w:rsidRPr="00B57B36" w:rsidRDefault="00BF2C2D" w:rsidP="00B57E6F">
      <w:pPr>
        <w:pStyle w:val="CETAddress"/>
      </w:pPr>
      <w:r>
        <w:rPr>
          <w:vertAlign w:val="superscript"/>
          <w:lang w:val="en-US"/>
        </w:rPr>
        <w:t>d</w:t>
      </w:r>
      <w:r w:rsidRPr="00BF2C2D">
        <w:rPr>
          <w:lang w:val="en-US"/>
        </w:rPr>
        <w:t>EIfI-Tech, European Institute for Innovation-Technology, 73525 Schwäbisch Gmünd, Germany</w:t>
      </w:r>
    </w:p>
    <w:p w14:paraId="73F1267A" w14:textId="0881042F" w:rsidR="00B57E6F" w:rsidRPr="003D74B2" w:rsidRDefault="00B57E6F" w:rsidP="00B57E6F">
      <w:pPr>
        <w:pStyle w:val="CETemail"/>
        <w:rPr>
          <w:lang w:val="en-US"/>
        </w:rPr>
      </w:pPr>
      <w:r w:rsidRPr="003D74B2">
        <w:rPr>
          <w:lang w:val="en-US"/>
        </w:rPr>
        <w:t xml:space="preserve"> </w:t>
      </w:r>
      <w:r w:rsidR="00BF2C2D" w:rsidRPr="003D74B2">
        <w:rPr>
          <w:lang w:val="en-US"/>
        </w:rPr>
        <w:t>olivier.dufaud</w:t>
      </w:r>
      <w:r w:rsidRPr="003D74B2">
        <w:rPr>
          <w:lang w:val="en-US"/>
        </w:rPr>
        <w:t>@</w:t>
      </w:r>
      <w:r w:rsidR="00BF2C2D" w:rsidRPr="003D74B2">
        <w:rPr>
          <w:lang w:val="en-US"/>
        </w:rPr>
        <w:t>univ-lorraine.fr</w:t>
      </w:r>
    </w:p>
    <w:p w14:paraId="42DA3AF2" w14:textId="5DB830CE" w:rsidR="006E1768" w:rsidRDefault="006E1768" w:rsidP="006E1768">
      <w:pPr>
        <w:pStyle w:val="CETBodytext"/>
        <w:rPr>
          <w:lang w:val="en-GB"/>
        </w:rPr>
      </w:pPr>
      <w:r>
        <w:rPr>
          <w:lang w:val="en-GB"/>
        </w:rPr>
        <w:t>The performances of four dispersion</w:t>
      </w:r>
      <w:r w:rsidRPr="006E1768">
        <w:rPr>
          <w:lang w:val="en-GB"/>
        </w:rPr>
        <w:t xml:space="preserve"> </w:t>
      </w:r>
      <w:r>
        <w:rPr>
          <w:lang w:val="en-GB"/>
        </w:rPr>
        <w:t>nozzles</w:t>
      </w:r>
      <w:r w:rsidRPr="006E1768">
        <w:rPr>
          <w:lang w:val="en-GB"/>
        </w:rPr>
        <w:t xml:space="preserve"> </w:t>
      </w:r>
      <w:r>
        <w:rPr>
          <w:lang w:val="en-GB"/>
        </w:rPr>
        <w:t xml:space="preserve">were studied: </w:t>
      </w:r>
      <w:r w:rsidRPr="006E1768">
        <w:rPr>
          <w:lang w:val="en-GB"/>
        </w:rPr>
        <w:t xml:space="preserve">the </w:t>
      </w:r>
      <w:r>
        <w:rPr>
          <w:lang w:val="en-GB"/>
        </w:rPr>
        <w:t xml:space="preserve">standardized </w:t>
      </w:r>
      <w:r w:rsidRPr="006E1768">
        <w:rPr>
          <w:lang w:val="en-GB"/>
        </w:rPr>
        <w:t>rebound</w:t>
      </w:r>
      <w:r>
        <w:rPr>
          <w:lang w:val="en-GB"/>
        </w:rPr>
        <w:t xml:space="preserve"> nozzle</w:t>
      </w:r>
      <w:r w:rsidRPr="006E1768">
        <w:rPr>
          <w:lang w:val="en-GB"/>
        </w:rPr>
        <w:t xml:space="preserve"> and the mushroom</w:t>
      </w:r>
      <w:r>
        <w:rPr>
          <w:lang w:val="en-GB"/>
        </w:rPr>
        <w:t>-cup, and two additional</w:t>
      </w:r>
      <w:r w:rsidRPr="006E1768">
        <w:rPr>
          <w:lang w:val="en-GB"/>
        </w:rPr>
        <w:t xml:space="preserve"> nozzles</w:t>
      </w:r>
      <w:r>
        <w:rPr>
          <w:lang w:val="en-GB"/>
        </w:rPr>
        <w:t xml:space="preserve"> called mushroom nozzles having different surface section area for air injection</w:t>
      </w:r>
      <w:r w:rsidRPr="006E1768">
        <w:rPr>
          <w:lang w:val="en-GB"/>
        </w:rPr>
        <w:t xml:space="preserve">. Their influences on the in-situ particle size distribution (PSD) and </w:t>
      </w:r>
      <w:r>
        <w:rPr>
          <w:lang w:val="en-GB"/>
        </w:rPr>
        <w:t xml:space="preserve">their impact </w:t>
      </w:r>
      <w:r w:rsidRPr="006E1768">
        <w:rPr>
          <w:lang w:val="en-GB"/>
        </w:rPr>
        <w:t>on the explosion severity</w:t>
      </w:r>
      <w:r>
        <w:rPr>
          <w:lang w:val="en-GB"/>
        </w:rPr>
        <w:t xml:space="preserve"> were assessed</w:t>
      </w:r>
      <w:r w:rsidRPr="006E1768">
        <w:rPr>
          <w:lang w:val="en-GB"/>
        </w:rPr>
        <w:t xml:space="preserve">. Discrepancies depend on the powder nature and initial PSD, but also on the injection dynamics. </w:t>
      </w:r>
      <w:r w:rsidR="00C32866">
        <w:rPr>
          <w:lang w:val="en-GB"/>
        </w:rPr>
        <w:t xml:space="preserve">Fragmentation effects were highlighted with the rebound nozzle and a mushroom nozzle (type A), which improves the explosion severity. On the contrary, dust lifting is sometimes not sufficient with the mushroom-cup, which is perceptible focusing on the overpressure evolution. </w:t>
      </w:r>
      <w:r w:rsidRPr="006E1768">
        <w:rPr>
          <w:lang w:val="en-GB"/>
        </w:rPr>
        <w:t>If the rebound nozzle is conservative in most cases, its use should not be systematic and alternative designs</w:t>
      </w:r>
      <w:r w:rsidR="00C32866">
        <w:rPr>
          <w:lang w:val="en-GB"/>
        </w:rPr>
        <w:t>,</w:t>
      </w:r>
      <w:r w:rsidRPr="006E1768">
        <w:rPr>
          <w:lang w:val="en-GB"/>
        </w:rPr>
        <w:t xml:space="preserve"> </w:t>
      </w:r>
      <w:r w:rsidR="00C32866">
        <w:rPr>
          <w:lang w:val="en-GB"/>
        </w:rPr>
        <w:t xml:space="preserve">as mushroom nozzles, </w:t>
      </w:r>
      <w:r w:rsidRPr="006E1768">
        <w:rPr>
          <w:lang w:val="en-GB"/>
        </w:rPr>
        <w:t>can sometimes be preferred.</w:t>
      </w:r>
      <w:r>
        <w:rPr>
          <w:lang w:val="en-GB"/>
        </w:rPr>
        <w:t xml:space="preserve"> </w:t>
      </w:r>
    </w:p>
    <w:p w14:paraId="476B2F2E" w14:textId="52B36035" w:rsidR="00600535" w:rsidRPr="00B57B36" w:rsidRDefault="00600535" w:rsidP="00600535">
      <w:pPr>
        <w:pStyle w:val="CETHeading1"/>
        <w:rPr>
          <w:lang w:val="en-GB"/>
        </w:rPr>
      </w:pPr>
      <w:r w:rsidRPr="00B57B36">
        <w:rPr>
          <w:lang w:val="en-GB"/>
        </w:rPr>
        <w:t>Introduction</w:t>
      </w:r>
    </w:p>
    <w:p w14:paraId="5C5ED8BA" w14:textId="4E0380AB" w:rsidR="00F944E6" w:rsidRDefault="00515720" w:rsidP="00515720">
      <w:pPr>
        <w:pStyle w:val="CETBodytext"/>
        <w:rPr>
          <w:lang w:val="en-GB"/>
        </w:rPr>
      </w:pPr>
      <w:r w:rsidRPr="00515720">
        <w:rPr>
          <w:lang w:val="en-GB"/>
        </w:rPr>
        <w:t>While standardization is necessary, uniformity is not. For example, the use of a single experimental protocol to determine the explosivity characteristics of powders, as set out in ISO 80079-20-2 (2016), does not always consider the materials specificities (</w:t>
      </w:r>
      <w:r w:rsidR="006E05BE">
        <w:rPr>
          <w:lang w:val="en-GB"/>
        </w:rPr>
        <w:t>density, shape, polydispersity, sensitivity to friction..</w:t>
      </w:r>
      <w:r w:rsidRPr="00515720">
        <w:rPr>
          <w:lang w:val="en-GB"/>
        </w:rPr>
        <w:t xml:space="preserve">.) and </w:t>
      </w:r>
      <w:r w:rsidR="00F944E6">
        <w:rPr>
          <w:lang w:val="en-GB"/>
        </w:rPr>
        <w:t xml:space="preserve">the wide range of </w:t>
      </w:r>
      <w:r w:rsidRPr="00515720">
        <w:rPr>
          <w:lang w:val="en-GB"/>
        </w:rPr>
        <w:t xml:space="preserve">industrial conditions. </w:t>
      </w:r>
      <w:r w:rsidR="00F944E6" w:rsidRPr="00F944E6">
        <w:rPr>
          <w:lang w:val="en-GB"/>
        </w:rPr>
        <w:t>So, within the framework of standardised protocols, it can be useful to adapt the test equipment to industrial constraints.</w:t>
      </w:r>
      <w:r w:rsidR="00F944E6">
        <w:rPr>
          <w:lang w:val="en-GB"/>
        </w:rPr>
        <w:t xml:space="preserve"> </w:t>
      </w:r>
      <w:r w:rsidRPr="00515720">
        <w:rPr>
          <w:lang w:val="en-GB"/>
        </w:rPr>
        <w:t xml:space="preserve">Fortunately, alternatives exist – standardized or not - and are constantly being developed. </w:t>
      </w:r>
    </w:p>
    <w:p w14:paraId="103B10F4" w14:textId="761B8BEE" w:rsidR="002852C8" w:rsidRDefault="00F944E6" w:rsidP="00515720">
      <w:pPr>
        <w:pStyle w:val="CETBodytext"/>
        <w:rPr>
          <w:lang w:val="en-GB"/>
        </w:rPr>
      </w:pPr>
      <w:r w:rsidRPr="00F944E6">
        <w:rPr>
          <w:lang w:val="en-GB"/>
        </w:rPr>
        <w:t xml:space="preserve">Although not exhaustive, </w:t>
      </w:r>
      <w:r w:rsidR="006E05BE">
        <w:rPr>
          <w:lang w:val="en-GB"/>
        </w:rPr>
        <w:t>t</w:t>
      </w:r>
      <w:r w:rsidR="006E05BE" w:rsidRPr="006E05BE">
        <w:rPr>
          <w:lang w:val="en-GB"/>
        </w:rPr>
        <w:t>he following cases illustrate situation</w:t>
      </w:r>
      <w:r w:rsidR="006E05BE">
        <w:rPr>
          <w:lang w:val="en-GB"/>
        </w:rPr>
        <w:t xml:space="preserve">s </w:t>
      </w:r>
      <w:r w:rsidRPr="00F944E6">
        <w:rPr>
          <w:lang w:val="en-GB"/>
        </w:rPr>
        <w:t xml:space="preserve">where standard experimental protocols can </w:t>
      </w:r>
      <w:r w:rsidR="006E05BE">
        <w:rPr>
          <w:lang w:val="en-GB"/>
        </w:rPr>
        <w:t xml:space="preserve">lead to some issues: i) </w:t>
      </w:r>
      <w:r w:rsidR="006E05BE" w:rsidRPr="006E05BE">
        <w:rPr>
          <w:lang w:val="en-GB"/>
        </w:rPr>
        <w:t xml:space="preserve">the dispersion of </w:t>
      </w:r>
      <w:r w:rsidR="00A44BFD">
        <w:rPr>
          <w:lang w:val="en-GB"/>
        </w:rPr>
        <w:t xml:space="preserve">explosive or </w:t>
      </w:r>
      <w:r w:rsidR="006E05BE" w:rsidRPr="006E05BE">
        <w:rPr>
          <w:lang w:val="en-GB"/>
        </w:rPr>
        <w:t xml:space="preserve">pyrophoric powders </w:t>
      </w:r>
      <w:r w:rsidR="00A44BFD">
        <w:rPr>
          <w:lang w:val="en-GB"/>
        </w:rPr>
        <w:t xml:space="preserve">(nitrocellulose, metal nanopowders…) </w:t>
      </w:r>
      <w:r w:rsidR="006E05BE" w:rsidRPr="006E05BE">
        <w:rPr>
          <w:lang w:val="en-GB"/>
        </w:rPr>
        <w:t>using the pressurised container at 20</w:t>
      </w:r>
      <w:r w:rsidR="006E05BE">
        <w:rPr>
          <w:lang w:val="en-GB"/>
        </w:rPr>
        <w:t> </w:t>
      </w:r>
      <w:r w:rsidR="006E05BE" w:rsidRPr="006E05BE">
        <w:rPr>
          <w:lang w:val="en-GB"/>
        </w:rPr>
        <w:t>bar and through the inlet-valve</w:t>
      </w:r>
      <w:r w:rsidR="006E05BE">
        <w:rPr>
          <w:lang w:val="en-GB"/>
        </w:rPr>
        <w:t xml:space="preserve"> might cause their pre-ignition</w:t>
      </w:r>
      <w:r w:rsidR="004602C3">
        <w:rPr>
          <w:lang w:val="en-GB"/>
        </w:rPr>
        <w:t xml:space="preserve"> (Santandrea et al., 2020)</w:t>
      </w:r>
      <w:r w:rsidR="006E05BE">
        <w:rPr>
          <w:lang w:val="en-GB"/>
        </w:rPr>
        <w:t xml:space="preserve">, ii) </w:t>
      </w:r>
      <w:r w:rsidR="00A44BFD" w:rsidRPr="00A44BFD">
        <w:rPr>
          <w:lang w:val="en-GB"/>
        </w:rPr>
        <w:t xml:space="preserve">the dispersion of long fibres or sticky materials </w:t>
      </w:r>
      <w:r w:rsidR="00A44BFD">
        <w:rPr>
          <w:lang w:val="en-GB"/>
        </w:rPr>
        <w:t>using the same set-up can increase their agglomeration and reduce their dispersibility</w:t>
      </w:r>
      <w:r w:rsidR="004602C3">
        <w:rPr>
          <w:lang w:val="en-GB"/>
        </w:rPr>
        <w:t xml:space="preserve"> (</w:t>
      </w:r>
      <w:r w:rsidR="004602C3">
        <w:t>Iarossi et al., 2015)</w:t>
      </w:r>
      <w:r w:rsidR="00A44BFD">
        <w:rPr>
          <w:lang w:val="en-GB"/>
        </w:rPr>
        <w:t xml:space="preserve">, </w:t>
      </w:r>
      <w:r w:rsidR="00BB03D3">
        <w:rPr>
          <w:lang w:val="en-GB"/>
        </w:rPr>
        <w:t xml:space="preserve">iii) </w:t>
      </w:r>
      <w:r w:rsidR="00272C07" w:rsidRPr="00272C07">
        <w:rPr>
          <w:lang w:val="en-GB"/>
        </w:rPr>
        <w:t>brittle or temperature-sensitive powders</w:t>
      </w:r>
      <w:r w:rsidR="00272C07">
        <w:rPr>
          <w:lang w:val="en-GB"/>
        </w:rPr>
        <w:t xml:space="preserve"> can be modified by their injection under high pressure and by the significant temperature change caused by gas expansion in the sphere, iv) </w:t>
      </w:r>
      <w:r w:rsidR="003D69FC">
        <w:rPr>
          <w:lang w:val="en-GB"/>
        </w:rPr>
        <w:t xml:space="preserve">oleaginous products or </w:t>
      </w:r>
      <w:r w:rsidR="003D69FC" w:rsidRPr="003D69FC">
        <w:rPr>
          <w:lang w:val="en-GB"/>
        </w:rPr>
        <w:t>solvent-containing powders</w:t>
      </w:r>
      <w:r w:rsidR="003D69FC">
        <w:rPr>
          <w:lang w:val="en-GB"/>
        </w:rPr>
        <w:t xml:space="preserve"> which can release liquids when pressurised.</w:t>
      </w:r>
      <w:r w:rsidR="002852C8" w:rsidRPr="002852C8">
        <w:t xml:space="preserve"> </w:t>
      </w:r>
      <w:r w:rsidR="002852C8" w:rsidRPr="002852C8">
        <w:rPr>
          <w:lang w:val="en-GB"/>
        </w:rPr>
        <w:t xml:space="preserve">In the above cases, in-situ powder </w:t>
      </w:r>
      <w:r w:rsidR="00F03157">
        <w:rPr>
          <w:lang w:val="en-GB"/>
        </w:rPr>
        <w:t>dispersion</w:t>
      </w:r>
      <w:r w:rsidR="002852C8" w:rsidRPr="002852C8">
        <w:rPr>
          <w:lang w:val="en-GB"/>
        </w:rPr>
        <w:t xml:space="preserve"> in the sphere may be more advantageous and more in line with actual industrial conditions than injection at 20 bar.</w:t>
      </w:r>
      <w:r w:rsidR="002852C8" w:rsidRPr="002852C8">
        <w:t xml:space="preserve"> </w:t>
      </w:r>
      <w:r w:rsidR="002852C8" w:rsidRPr="002852C8">
        <w:rPr>
          <w:lang w:val="en-GB"/>
        </w:rPr>
        <w:t xml:space="preserve">Another application is </w:t>
      </w:r>
      <w:r w:rsidR="00F03157">
        <w:rPr>
          <w:lang w:val="en-GB"/>
        </w:rPr>
        <w:t>related to</w:t>
      </w:r>
      <w:r w:rsidR="002852C8">
        <w:rPr>
          <w:lang w:val="en-GB"/>
        </w:rPr>
        <w:t xml:space="preserve"> secondary explosion </w:t>
      </w:r>
      <w:r w:rsidR="00F03157">
        <w:rPr>
          <w:lang w:val="en-GB"/>
        </w:rPr>
        <w:t>after</w:t>
      </w:r>
      <w:r w:rsidR="002852C8">
        <w:rPr>
          <w:lang w:val="en-GB"/>
        </w:rPr>
        <w:t xml:space="preserve"> </w:t>
      </w:r>
      <w:r w:rsidR="00F03157">
        <w:rPr>
          <w:lang w:val="en-GB"/>
        </w:rPr>
        <w:t>lifting</w:t>
      </w:r>
      <w:r w:rsidR="002852C8">
        <w:rPr>
          <w:lang w:val="en-GB"/>
        </w:rPr>
        <w:t xml:space="preserve"> of a </w:t>
      </w:r>
      <w:r w:rsidR="00F03157">
        <w:rPr>
          <w:lang w:val="en-GB"/>
        </w:rPr>
        <w:t>dust</w:t>
      </w:r>
      <w:r w:rsidR="002852C8">
        <w:rPr>
          <w:lang w:val="en-GB"/>
        </w:rPr>
        <w:t xml:space="preserve"> layer. </w:t>
      </w:r>
      <w:r w:rsidR="00F03157">
        <w:rPr>
          <w:lang w:val="en-GB"/>
        </w:rPr>
        <w:t xml:space="preserve">By using in-situ dispersion, the </w:t>
      </w:r>
      <w:r w:rsidR="00F03157" w:rsidRPr="00F03157">
        <w:rPr>
          <w:lang w:val="en-GB"/>
        </w:rPr>
        <w:t xml:space="preserve">differential resuspension of </w:t>
      </w:r>
      <w:r w:rsidR="00F03157">
        <w:rPr>
          <w:lang w:val="en-GB"/>
        </w:rPr>
        <w:t>powders</w:t>
      </w:r>
      <w:r w:rsidR="00F03157" w:rsidRPr="00F03157">
        <w:rPr>
          <w:lang w:val="en-GB"/>
        </w:rPr>
        <w:t xml:space="preserve"> of different sizes, densities</w:t>
      </w:r>
      <w:r w:rsidR="00F03157">
        <w:rPr>
          <w:lang w:val="en-GB"/>
        </w:rPr>
        <w:t xml:space="preserve"> and shapes can be studied. </w:t>
      </w:r>
    </w:p>
    <w:p w14:paraId="3BE5D324" w14:textId="78A77AAE" w:rsidR="00835D5E" w:rsidRDefault="00835D5E" w:rsidP="00835D5E">
      <w:pPr>
        <w:pStyle w:val="CETBodytext"/>
        <w:rPr>
          <w:lang w:val="en-GB"/>
        </w:rPr>
      </w:pPr>
      <w:r w:rsidRPr="00515720">
        <w:rPr>
          <w:lang w:val="en-GB"/>
        </w:rPr>
        <w:t xml:space="preserve">The </w:t>
      </w:r>
      <w:r>
        <w:rPr>
          <w:lang w:val="en-GB"/>
        </w:rPr>
        <w:t>nozzle</w:t>
      </w:r>
      <w:r w:rsidRPr="00515720">
        <w:rPr>
          <w:lang w:val="en-GB"/>
        </w:rPr>
        <w:t xml:space="preserve"> used in the 20L sphere tests is a key part of the experimental set-up, influencing cloud homogeneity</w:t>
      </w:r>
      <w:r>
        <w:rPr>
          <w:lang w:val="en-GB"/>
        </w:rPr>
        <w:t>/uniformity</w:t>
      </w:r>
      <w:r w:rsidRPr="00515720">
        <w:rPr>
          <w:lang w:val="en-GB"/>
        </w:rPr>
        <w:t xml:space="preserve">, turbulence and particle size distribution. Three </w:t>
      </w:r>
      <w:r>
        <w:rPr>
          <w:lang w:val="en-GB"/>
        </w:rPr>
        <w:t xml:space="preserve">kinds of nozzles, </w:t>
      </w:r>
      <w:r w:rsidRPr="00515720">
        <w:rPr>
          <w:lang w:val="en-GB"/>
        </w:rPr>
        <w:t>the perforated</w:t>
      </w:r>
      <w:r>
        <w:rPr>
          <w:lang w:val="en-GB"/>
        </w:rPr>
        <w:t xml:space="preserve"> annular nozzle</w:t>
      </w:r>
      <w:r w:rsidRPr="00515720">
        <w:rPr>
          <w:lang w:val="en-GB"/>
        </w:rPr>
        <w:t>, rebound nozzle and mushroom cup</w:t>
      </w:r>
      <w:r>
        <w:rPr>
          <w:lang w:val="en-GB"/>
        </w:rPr>
        <w:t>,</w:t>
      </w:r>
      <w:r w:rsidRPr="00515720">
        <w:rPr>
          <w:lang w:val="en-GB"/>
        </w:rPr>
        <w:t xml:space="preserve"> can </w:t>
      </w:r>
      <w:r>
        <w:rPr>
          <w:lang w:val="en-GB"/>
        </w:rPr>
        <w:t xml:space="preserve">already </w:t>
      </w:r>
      <w:r w:rsidRPr="00515720">
        <w:rPr>
          <w:lang w:val="en-GB"/>
        </w:rPr>
        <w:t>be used for standardized tests</w:t>
      </w:r>
      <w:r>
        <w:rPr>
          <w:lang w:val="en-GB"/>
        </w:rPr>
        <w:t xml:space="preserve">, the latter being preferred “if it </w:t>
      </w:r>
      <w:r w:rsidRPr="00835D5E">
        <w:rPr>
          <w:lang w:val="en-GB"/>
        </w:rPr>
        <w:t>is not possible to adequately disperse the material with the rebound nozzle</w:t>
      </w:r>
      <w:r>
        <w:rPr>
          <w:lang w:val="en-GB"/>
        </w:rPr>
        <w:t xml:space="preserve">” as stated by </w:t>
      </w:r>
      <w:r w:rsidRPr="00515720">
        <w:rPr>
          <w:lang w:val="en-GB"/>
        </w:rPr>
        <w:t>ISO 80079-20-2 (2016)</w:t>
      </w:r>
      <w:r>
        <w:rPr>
          <w:lang w:val="en-GB"/>
        </w:rPr>
        <w:t>.</w:t>
      </w:r>
      <w:r w:rsidR="00A85376">
        <w:rPr>
          <w:lang w:val="en-GB"/>
        </w:rPr>
        <w:t xml:space="preserve"> In addition to these nozzles, several</w:t>
      </w:r>
      <w:r w:rsidRPr="00515720">
        <w:rPr>
          <w:lang w:val="en-GB"/>
        </w:rPr>
        <w:t xml:space="preserve"> alternatives have already been proposed</w:t>
      </w:r>
      <w:r w:rsidR="00A85376">
        <w:rPr>
          <w:lang w:val="en-GB"/>
        </w:rPr>
        <w:t xml:space="preserve"> and tested</w:t>
      </w:r>
      <w:r w:rsidRPr="00515720">
        <w:rPr>
          <w:lang w:val="en-GB"/>
        </w:rPr>
        <w:t xml:space="preserve"> </w:t>
      </w:r>
      <w:r w:rsidR="00A85376">
        <w:rPr>
          <w:lang w:val="en-GB"/>
        </w:rPr>
        <w:t>both in the 20L and 1m</w:t>
      </w:r>
      <w:r w:rsidR="00A85376" w:rsidRPr="00A85376">
        <w:rPr>
          <w:vertAlign w:val="superscript"/>
          <w:lang w:val="en-GB"/>
        </w:rPr>
        <w:t xml:space="preserve">3 </w:t>
      </w:r>
      <w:r w:rsidR="00A85376">
        <w:rPr>
          <w:lang w:val="en-GB"/>
        </w:rPr>
        <w:t xml:space="preserve">vessels </w:t>
      </w:r>
      <w:r w:rsidRPr="00515720">
        <w:rPr>
          <w:lang w:val="en-GB"/>
        </w:rPr>
        <w:t>(</w:t>
      </w:r>
      <w:r w:rsidR="00333894">
        <w:rPr>
          <w:lang w:val="en-GB"/>
        </w:rPr>
        <w:t xml:space="preserve">Dahoe et al., 2001; </w:t>
      </w:r>
      <w:r w:rsidR="00A85376">
        <w:t>Huéscar Medina et al., 2015</w:t>
      </w:r>
      <w:r w:rsidR="00333894">
        <w:t xml:space="preserve">; </w:t>
      </w:r>
      <w:r w:rsidR="00A85376" w:rsidRPr="00515720">
        <w:rPr>
          <w:lang w:val="en-GB"/>
        </w:rPr>
        <w:t>Pinilla et al., 2019</w:t>
      </w:r>
      <w:r w:rsidR="00A85376">
        <w:rPr>
          <w:lang w:val="en-GB"/>
        </w:rPr>
        <w:t>; Spitzer</w:t>
      </w:r>
      <w:r w:rsidRPr="00515720">
        <w:rPr>
          <w:lang w:val="en-GB"/>
        </w:rPr>
        <w:t xml:space="preserve"> et al., 2024).</w:t>
      </w:r>
    </w:p>
    <w:p w14:paraId="11149CC2" w14:textId="1163D7E7" w:rsidR="00A85376" w:rsidRDefault="00A85376" w:rsidP="00515720">
      <w:pPr>
        <w:pStyle w:val="CETBodytext"/>
        <w:rPr>
          <w:lang w:val="en-GB"/>
        </w:rPr>
      </w:pPr>
      <w:r>
        <w:rPr>
          <w:lang w:val="en-GB"/>
        </w:rPr>
        <w:t>T</w:t>
      </w:r>
      <w:r w:rsidR="00515720" w:rsidRPr="00515720">
        <w:rPr>
          <w:lang w:val="en-GB"/>
        </w:rPr>
        <w:t xml:space="preserve">his work aims at comparing the performances of </w:t>
      </w:r>
      <w:r>
        <w:rPr>
          <w:lang w:val="en-GB"/>
        </w:rPr>
        <w:t>four</w:t>
      </w:r>
      <w:r w:rsidR="00515720" w:rsidRPr="00515720">
        <w:rPr>
          <w:lang w:val="en-GB"/>
        </w:rPr>
        <w:t xml:space="preserve"> nozzles: the </w:t>
      </w:r>
      <w:r w:rsidR="007F74A3">
        <w:rPr>
          <w:lang w:val="en-GB"/>
        </w:rPr>
        <w:t xml:space="preserve">standardized </w:t>
      </w:r>
      <w:r w:rsidR="00515720" w:rsidRPr="00515720">
        <w:rPr>
          <w:lang w:val="en-GB"/>
        </w:rPr>
        <w:t xml:space="preserve">rebound </w:t>
      </w:r>
      <w:r w:rsidR="007F74A3">
        <w:rPr>
          <w:lang w:val="en-GB"/>
        </w:rPr>
        <w:t xml:space="preserve">nozzle </w:t>
      </w:r>
      <w:r w:rsidR="00515720" w:rsidRPr="00515720">
        <w:rPr>
          <w:lang w:val="en-GB"/>
        </w:rPr>
        <w:t xml:space="preserve">and </w:t>
      </w:r>
      <w:r w:rsidR="00E74523" w:rsidRPr="00515720">
        <w:rPr>
          <w:lang w:val="en-GB"/>
        </w:rPr>
        <w:t>mushroom</w:t>
      </w:r>
      <w:r w:rsidR="004D785A">
        <w:rPr>
          <w:lang w:val="en-GB"/>
        </w:rPr>
        <w:t>-</w:t>
      </w:r>
      <w:r w:rsidR="00E74523">
        <w:rPr>
          <w:lang w:val="en-GB"/>
        </w:rPr>
        <w:t>cup</w:t>
      </w:r>
      <w:r w:rsidR="007F74A3">
        <w:rPr>
          <w:lang w:val="en-GB"/>
        </w:rPr>
        <w:t xml:space="preserve"> </w:t>
      </w:r>
      <w:r w:rsidR="00515720" w:rsidRPr="00515720">
        <w:rPr>
          <w:lang w:val="en-GB"/>
        </w:rPr>
        <w:t xml:space="preserve">(ISO, 2016) and </w:t>
      </w:r>
      <w:r w:rsidR="007F74A3">
        <w:rPr>
          <w:lang w:val="en-GB"/>
        </w:rPr>
        <w:t>two</w:t>
      </w:r>
      <w:r w:rsidR="00515720" w:rsidRPr="00515720">
        <w:rPr>
          <w:lang w:val="en-GB"/>
        </w:rPr>
        <w:t xml:space="preserve"> </w:t>
      </w:r>
      <w:r w:rsidR="00E74523">
        <w:rPr>
          <w:lang w:val="en-GB"/>
        </w:rPr>
        <w:t>mushroom nozzles</w:t>
      </w:r>
      <w:r w:rsidR="00515720" w:rsidRPr="00515720">
        <w:rPr>
          <w:lang w:val="en-GB"/>
        </w:rPr>
        <w:t xml:space="preserve"> recently proposed by </w:t>
      </w:r>
      <w:r w:rsidR="00E74523">
        <w:rPr>
          <w:lang w:val="en-GB"/>
        </w:rPr>
        <w:t xml:space="preserve">the University of Pardubice and </w:t>
      </w:r>
      <w:r w:rsidR="00E74523">
        <w:rPr>
          <w:lang w:val="en-GB"/>
        </w:rPr>
        <w:lastRenderedPageBreak/>
        <w:t xml:space="preserve">the </w:t>
      </w:r>
      <w:r w:rsidR="00E74523" w:rsidRPr="00BF2C2D">
        <w:t>Technical Institute of Fire Protection</w:t>
      </w:r>
      <w:r w:rsidR="00E74523">
        <w:t xml:space="preserve"> (</w:t>
      </w:r>
      <w:r w:rsidR="00E74523">
        <w:rPr>
          <w:lang w:val="en-GB"/>
        </w:rPr>
        <w:t>Spitzer</w:t>
      </w:r>
      <w:r w:rsidR="00E74523" w:rsidRPr="00515720">
        <w:rPr>
          <w:lang w:val="en-GB"/>
        </w:rPr>
        <w:t xml:space="preserve"> et al., 2024</w:t>
      </w:r>
      <w:r w:rsidR="00E74523">
        <w:rPr>
          <w:lang w:val="en-GB"/>
        </w:rPr>
        <w:t>)</w:t>
      </w:r>
      <w:r w:rsidR="00515720" w:rsidRPr="00515720">
        <w:rPr>
          <w:lang w:val="en-GB"/>
        </w:rPr>
        <w:t xml:space="preserve">. Their influences on the in-situ particle size distribution (PSD) and the dust cloud turbulence were analyzed, as well as their impact on the explosion severity. </w:t>
      </w:r>
    </w:p>
    <w:p w14:paraId="5741900F" w14:textId="0C17901B" w:rsidR="00453E24" w:rsidRDefault="0009328C" w:rsidP="00453E24">
      <w:pPr>
        <w:pStyle w:val="CETHeading1"/>
      </w:pPr>
      <w:r>
        <w:t>Materials and methods</w:t>
      </w:r>
    </w:p>
    <w:p w14:paraId="09406386" w14:textId="41BEE12E" w:rsidR="00453E24" w:rsidRDefault="00F10C0D" w:rsidP="00453E24">
      <w:pPr>
        <w:pStyle w:val="CETBodytext"/>
      </w:pPr>
      <w:r>
        <w:t xml:space="preserve">Both dispersion and explosion tests were performed in a 20L explosion sphere according to the </w:t>
      </w:r>
      <w:r w:rsidRPr="00F10C0D">
        <w:t>EN 14034 series</w:t>
      </w:r>
      <w:r>
        <w:t xml:space="preserve"> (CEN, 2011).</w:t>
      </w:r>
      <w:r w:rsidR="00861C23">
        <w:t xml:space="preserve"> The ignition delay time was set at 60 ms.</w:t>
      </w:r>
    </w:p>
    <w:p w14:paraId="0636B784" w14:textId="1EF7D9FD" w:rsidR="00453E24" w:rsidRDefault="0009328C" w:rsidP="00453E24">
      <w:pPr>
        <w:pStyle w:val="CETheadingx"/>
      </w:pPr>
      <w:r>
        <w:t>Powders</w:t>
      </w:r>
    </w:p>
    <w:p w14:paraId="7C2B0064" w14:textId="7A2F2DA7" w:rsidR="00453E24" w:rsidRDefault="00453E24" w:rsidP="00453E24">
      <w:pPr>
        <w:pStyle w:val="CETBodytext"/>
      </w:pPr>
      <w:r w:rsidRPr="005D3CC7">
        <w:t>F</w:t>
      </w:r>
      <w:r w:rsidR="00FA16BD">
        <w:t xml:space="preserve">our powders were chosen: lycopodium, </w:t>
      </w:r>
      <w:r w:rsidR="00FA16BD" w:rsidRPr="00FA16BD">
        <w:t xml:space="preserve">due to the monomodal nature of its </w:t>
      </w:r>
      <w:r w:rsidR="00FA16BD">
        <w:t xml:space="preserve">particle size </w:t>
      </w:r>
      <w:r w:rsidR="00FA16BD" w:rsidRPr="00FA16BD">
        <w:t>distribution</w:t>
      </w:r>
      <w:r w:rsidR="00FA16BD">
        <w:t xml:space="preserve"> (PSD), </w:t>
      </w:r>
      <w:r w:rsidR="00D62601">
        <w:t>wheat starch and cellulose, due to their industrial applications and niacin, or vitamin B3, as it is used as calibration powder for the explosion sphere.</w:t>
      </w:r>
      <w:r w:rsidR="00AF76EE">
        <w:t xml:space="preserve"> </w:t>
      </w:r>
      <w:r w:rsidR="002612F1">
        <w:t>The ex-situ PSD shown in Table 1 was determined using a laser sensor equipped with a dry dispersion unit (</w:t>
      </w:r>
      <w:r w:rsidR="002612F1" w:rsidRPr="00AF5025">
        <w:t>Malvern Mastersizer 3000</w:t>
      </w:r>
      <w:r w:rsidR="002612F1">
        <w:t xml:space="preserve"> – Aero S). </w:t>
      </w:r>
      <w:r w:rsidR="00AF76EE">
        <w:t xml:space="preserve">Lycopodium, </w:t>
      </w:r>
      <w:r w:rsidR="00DB62FC">
        <w:t xml:space="preserve">starch </w:t>
      </w:r>
      <w:r w:rsidR="00AF76EE">
        <w:t xml:space="preserve">and niacin can be considered as fine powders, having characteristic diameters lower than 100 µm; however, </w:t>
      </w:r>
      <w:r w:rsidR="00AF76EE" w:rsidRPr="00AF76EE">
        <w:t>the cohesive, moisture-sensitive nature of starch must be emphasized</w:t>
      </w:r>
      <w:r w:rsidR="00AF76EE">
        <w:t xml:space="preserve">. Cellulose (Vivapur 200) contains long </w:t>
      </w:r>
      <w:r w:rsidR="00AF76EE" w:rsidRPr="00AF76EE">
        <w:t>fibrous particles</w:t>
      </w:r>
      <w:r w:rsidR="00AF76EE">
        <w:t xml:space="preserve"> which tends to entangle during their dispersion. </w:t>
      </w:r>
    </w:p>
    <w:p w14:paraId="6C7B4DC8" w14:textId="5DD9913B" w:rsidR="00462C5D" w:rsidRPr="00B57B36" w:rsidRDefault="00462C5D" w:rsidP="00462C5D">
      <w:pPr>
        <w:pStyle w:val="CETTabletitle"/>
      </w:pPr>
      <w:r w:rsidRPr="00B57B36">
        <w:t xml:space="preserve">Table 1: </w:t>
      </w:r>
      <w:r w:rsidR="0077466E">
        <w:t>Characteristic diameters of the particle size distributions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85"/>
        <w:gridCol w:w="1228"/>
        <w:gridCol w:w="1228"/>
        <w:gridCol w:w="1229"/>
      </w:tblGrid>
      <w:tr w:rsidR="002E0CE1" w:rsidRPr="00B57B36" w14:paraId="387B4308" w14:textId="77777777" w:rsidTr="0077466E">
        <w:tc>
          <w:tcPr>
            <w:tcW w:w="1985" w:type="dxa"/>
            <w:tcBorders>
              <w:top w:val="single" w:sz="12" w:space="0" w:color="008000"/>
              <w:bottom w:val="single" w:sz="6" w:space="0" w:color="008000"/>
            </w:tcBorders>
            <w:shd w:val="clear" w:color="auto" w:fill="FFFFFF"/>
          </w:tcPr>
          <w:p w14:paraId="5163D4EF" w14:textId="6E7CDF72" w:rsidR="002E0CE1" w:rsidRPr="002E0CE1" w:rsidRDefault="002E0CE1" w:rsidP="009144C6">
            <w:pPr>
              <w:pStyle w:val="CETBodytext"/>
              <w:rPr>
                <w:lang w:val="en-GB"/>
              </w:rPr>
            </w:pPr>
            <w:r w:rsidRPr="002E0CE1">
              <w:rPr>
                <w:lang w:val="en-GB"/>
              </w:rPr>
              <w:t>Particle size (µm)</w:t>
            </w:r>
          </w:p>
        </w:tc>
        <w:tc>
          <w:tcPr>
            <w:tcW w:w="1228" w:type="dxa"/>
            <w:tcBorders>
              <w:top w:val="single" w:sz="12" w:space="0" w:color="008000"/>
              <w:bottom w:val="single" w:sz="6" w:space="0" w:color="008000"/>
            </w:tcBorders>
            <w:shd w:val="clear" w:color="auto" w:fill="FFFFFF"/>
          </w:tcPr>
          <w:p w14:paraId="7DECC896" w14:textId="7AD3D333" w:rsidR="002E0CE1" w:rsidRPr="002E0CE1" w:rsidRDefault="002E0CE1" w:rsidP="009144C6">
            <w:pPr>
              <w:pStyle w:val="CETBodytext"/>
              <w:rPr>
                <w:lang w:val="en-GB"/>
              </w:rPr>
            </w:pPr>
            <w:r w:rsidRPr="002E0CE1">
              <w:rPr>
                <w:lang w:val="en-GB"/>
              </w:rPr>
              <w:t>d</w:t>
            </w:r>
            <w:r w:rsidRPr="002E0CE1">
              <w:rPr>
                <w:vertAlign w:val="subscript"/>
                <w:lang w:val="en-GB"/>
              </w:rPr>
              <w:t xml:space="preserve">10 </w:t>
            </w:r>
          </w:p>
        </w:tc>
        <w:tc>
          <w:tcPr>
            <w:tcW w:w="1228" w:type="dxa"/>
            <w:tcBorders>
              <w:top w:val="single" w:sz="12" w:space="0" w:color="008000"/>
              <w:bottom w:val="single" w:sz="6" w:space="0" w:color="008000"/>
            </w:tcBorders>
            <w:shd w:val="clear" w:color="auto" w:fill="FFFFFF"/>
          </w:tcPr>
          <w:p w14:paraId="7FD814AE" w14:textId="5372DEDA" w:rsidR="002E0CE1" w:rsidRPr="002E0CE1" w:rsidRDefault="002E0CE1" w:rsidP="009144C6">
            <w:pPr>
              <w:pStyle w:val="CETBodytext"/>
              <w:rPr>
                <w:lang w:val="en-GB"/>
              </w:rPr>
            </w:pPr>
            <w:r w:rsidRPr="002E0CE1">
              <w:rPr>
                <w:lang w:val="en-GB"/>
              </w:rPr>
              <w:t>d</w:t>
            </w:r>
            <w:r w:rsidRPr="002E0CE1">
              <w:rPr>
                <w:vertAlign w:val="subscript"/>
                <w:lang w:val="en-GB"/>
              </w:rPr>
              <w:t>50</w:t>
            </w:r>
          </w:p>
        </w:tc>
        <w:tc>
          <w:tcPr>
            <w:tcW w:w="1229" w:type="dxa"/>
            <w:tcBorders>
              <w:top w:val="single" w:sz="12" w:space="0" w:color="008000"/>
              <w:bottom w:val="single" w:sz="6" w:space="0" w:color="008000"/>
            </w:tcBorders>
            <w:shd w:val="clear" w:color="auto" w:fill="FFFFFF"/>
          </w:tcPr>
          <w:p w14:paraId="1F9E5086" w14:textId="7E25140E" w:rsidR="002E0CE1" w:rsidRPr="002E0CE1" w:rsidRDefault="002E0CE1" w:rsidP="009144C6">
            <w:pPr>
              <w:pStyle w:val="CETBodytext"/>
              <w:ind w:right="-1"/>
              <w:rPr>
                <w:rFonts w:cs="Arial"/>
                <w:szCs w:val="18"/>
                <w:lang w:val="en-GB"/>
              </w:rPr>
            </w:pPr>
            <w:r w:rsidRPr="002E0CE1">
              <w:rPr>
                <w:lang w:val="en-GB"/>
              </w:rPr>
              <w:t>d</w:t>
            </w:r>
            <w:r w:rsidRPr="002E0CE1">
              <w:rPr>
                <w:vertAlign w:val="subscript"/>
                <w:lang w:val="en-GB"/>
              </w:rPr>
              <w:t>90</w:t>
            </w:r>
          </w:p>
        </w:tc>
      </w:tr>
      <w:tr w:rsidR="002E0CE1" w:rsidRPr="00B57B36" w14:paraId="2DE8459D" w14:textId="77777777" w:rsidTr="0077466E">
        <w:tc>
          <w:tcPr>
            <w:tcW w:w="1985" w:type="dxa"/>
            <w:shd w:val="clear" w:color="auto" w:fill="FFFFFF"/>
          </w:tcPr>
          <w:p w14:paraId="6BC757E7" w14:textId="30303907" w:rsidR="002E0CE1" w:rsidRPr="002E0CE1" w:rsidRDefault="002E0CE1" w:rsidP="009144C6">
            <w:pPr>
              <w:pStyle w:val="CETBodytext"/>
              <w:rPr>
                <w:lang w:val="en-GB"/>
              </w:rPr>
            </w:pPr>
            <w:r w:rsidRPr="002E0CE1">
              <w:rPr>
                <w:lang w:val="en-GB"/>
              </w:rPr>
              <w:t>Lycopodium</w:t>
            </w:r>
          </w:p>
        </w:tc>
        <w:tc>
          <w:tcPr>
            <w:tcW w:w="1228" w:type="dxa"/>
            <w:shd w:val="clear" w:color="auto" w:fill="FFFFFF"/>
          </w:tcPr>
          <w:p w14:paraId="59843C7E" w14:textId="1EFC6208" w:rsidR="002E0CE1" w:rsidRPr="002E0CE1" w:rsidRDefault="00E84F3A" w:rsidP="009144C6">
            <w:pPr>
              <w:pStyle w:val="CETBodytext"/>
              <w:rPr>
                <w:lang w:val="en-GB"/>
              </w:rPr>
            </w:pPr>
            <w:r>
              <w:rPr>
                <w:lang w:val="en-GB"/>
              </w:rPr>
              <w:t>2</w:t>
            </w:r>
            <w:r w:rsidR="00FA16BD">
              <w:rPr>
                <w:lang w:val="en-GB"/>
              </w:rPr>
              <w:t>6</w:t>
            </w:r>
          </w:p>
        </w:tc>
        <w:tc>
          <w:tcPr>
            <w:tcW w:w="1228" w:type="dxa"/>
            <w:shd w:val="clear" w:color="auto" w:fill="FFFFFF"/>
          </w:tcPr>
          <w:p w14:paraId="4111861D" w14:textId="786BA7B1" w:rsidR="002E0CE1" w:rsidRPr="002E0CE1" w:rsidRDefault="00E84F3A" w:rsidP="009144C6">
            <w:pPr>
              <w:pStyle w:val="CETBodytext"/>
              <w:rPr>
                <w:lang w:val="en-GB"/>
              </w:rPr>
            </w:pPr>
            <w:r>
              <w:rPr>
                <w:lang w:val="en-GB"/>
              </w:rPr>
              <w:t>3</w:t>
            </w:r>
            <w:r w:rsidR="00FA16BD">
              <w:rPr>
                <w:lang w:val="en-GB"/>
              </w:rPr>
              <w:t>1</w:t>
            </w:r>
          </w:p>
        </w:tc>
        <w:tc>
          <w:tcPr>
            <w:tcW w:w="1229" w:type="dxa"/>
            <w:shd w:val="clear" w:color="auto" w:fill="FFFFFF"/>
          </w:tcPr>
          <w:p w14:paraId="5852E64B" w14:textId="08222852" w:rsidR="002E0CE1" w:rsidRPr="002E0CE1" w:rsidRDefault="00FA16BD" w:rsidP="009144C6">
            <w:pPr>
              <w:pStyle w:val="CETBodytext"/>
              <w:ind w:right="-1"/>
              <w:rPr>
                <w:rFonts w:cs="Arial"/>
                <w:szCs w:val="18"/>
                <w:lang w:val="en-GB"/>
              </w:rPr>
            </w:pPr>
            <w:r>
              <w:rPr>
                <w:rFonts w:cs="Arial"/>
                <w:szCs w:val="18"/>
                <w:lang w:val="en-GB"/>
              </w:rPr>
              <w:t>37</w:t>
            </w:r>
          </w:p>
        </w:tc>
      </w:tr>
      <w:tr w:rsidR="002E0CE1" w:rsidRPr="00B57B36" w14:paraId="706E45CF" w14:textId="77777777" w:rsidTr="0077466E">
        <w:tc>
          <w:tcPr>
            <w:tcW w:w="1985" w:type="dxa"/>
            <w:shd w:val="clear" w:color="auto" w:fill="FFFFFF"/>
          </w:tcPr>
          <w:p w14:paraId="101D5B69" w14:textId="281E042F" w:rsidR="002E0CE1" w:rsidRPr="002E0CE1" w:rsidRDefault="002E0CE1" w:rsidP="009144C6">
            <w:pPr>
              <w:pStyle w:val="CETBodytext"/>
              <w:rPr>
                <w:lang w:val="en-GB"/>
              </w:rPr>
            </w:pPr>
            <w:r w:rsidRPr="002E0CE1">
              <w:rPr>
                <w:lang w:val="en-GB"/>
              </w:rPr>
              <w:t>Wheat starch</w:t>
            </w:r>
          </w:p>
        </w:tc>
        <w:tc>
          <w:tcPr>
            <w:tcW w:w="1228" w:type="dxa"/>
            <w:shd w:val="clear" w:color="auto" w:fill="FFFFFF"/>
          </w:tcPr>
          <w:p w14:paraId="51487C12" w14:textId="2475B14C" w:rsidR="002E0CE1" w:rsidRPr="002E0CE1" w:rsidRDefault="00AA6700" w:rsidP="009144C6">
            <w:pPr>
              <w:pStyle w:val="CETBodytext"/>
              <w:rPr>
                <w:lang w:val="en-GB"/>
              </w:rPr>
            </w:pPr>
            <w:r>
              <w:rPr>
                <w:lang w:val="en-GB"/>
              </w:rPr>
              <w:t>2</w:t>
            </w:r>
            <w:r w:rsidR="00D07C5A">
              <w:rPr>
                <w:lang w:val="en-GB"/>
              </w:rPr>
              <w:t>7</w:t>
            </w:r>
          </w:p>
        </w:tc>
        <w:tc>
          <w:tcPr>
            <w:tcW w:w="1228" w:type="dxa"/>
            <w:shd w:val="clear" w:color="auto" w:fill="FFFFFF"/>
          </w:tcPr>
          <w:p w14:paraId="64CCAFD4" w14:textId="1DCA5E11" w:rsidR="002E0CE1" w:rsidRPr="002E0CE1" w:rsidRDefault="00AA6700" w:rsidP="009144C6">
            <w:pPr>
              <w:pStyle w:val="CETBodytext"/>
              <w:rPr>
                <w:lang w:val="en-GB"/>
              </w:rPr>
            </w:pPr>
            <w:r>
              <w:rPr>
                <w:lang w:val="en-GB"/>
              </w:rPr>
              <w:t>6</w:t>
            </w:r>
            <w:r w:rsidR="00D07C5A">
              <w:rPr>
                <w:lang w:val="en-GB"/>
              </w:rPr>
              <w:t>2</w:t>
            </w:r>
          </w:p>
        </w:tc>
        <w:tc>
          <w:tcPr>
            <w:tcW w:w="1229" w:type="dxa"/>
            <w:shd w:val="clear" w:color="auto" w:fill="FFFFFF"/>
          </w:tcPr>
          <w:p w14:paraId="1B824A6F" w14:textId="210E60F0" w:rsidR="002E0CE1" w:rsidRPr="002E0CE1" w:rsidRDefault="00AA6700" w:rsidP="009144C6">
            <w:pPr>
              <w:pStyle w:val="CETBodytext"/>
              <w:ind w:right="-1"/>
              <w:rPr>
                <w:rFonts w:cs="Arial"/>
                <w:szCs w:val="18"/>
                <w:lang w:val="en-GB"/>
              </w:rPr>
            </w:pPr>
            <w:r>
              <w:rPr>
                <w:rFonts w:cs="Arial"/>
                <w:szCs w:val="18"/>
                <w:lang w:val="en-GB"/>
              </w:rPr>
              <w:t>8</w:t>
            </w:r>
            <w:r w:rsidR="00D07C5A">
              <w:rPr>
                <w:rFonts w:cs="Arial"/>
                <w:szCs w:val="18"/>
                <w:lang w:val="en-GB"/>
              </w:rPr>
              <w:t>1</w:t>
            </w:r>
          </w:p>
        </w:tc>
      </w:tr>
      <w:tr w:rsidR="002E0CE1" w:rsidRPr="00B57B36" w14:paraId="0D85CAD5" w14:textId="77777777" w:rsidTr="0077466E">
        <w:tc>
          <w:tcPr>
            <w:tcW w:w="1985" w:type="dxa"/>
            <w:shd w:val="clear" w:color="auto" w:fill="FFFFFF"/>
          </w:tcPr>
          <w:p w14:paraId="42C35D7E" w14:textId="12088F37" w:rsidR="002E0CE1" w:rsidRPr="002E0CE1" w:rsidRDefault="002E0CE1" w:rsidP="002E0CE1">
            <w:pPr>
              <w:pStyle w:val="CETBodytext"/>
              <w:ind w:right="-1"/>
              <w:rPr>
                <w:rFonts w:cs="Arial"/>
                <w:szCs w:val="18"/>
                <w:lang w:val="en-GB"/>
              </w:rPr>
            </w:pPr>
            <w:r w:rsidRPr="002E0CE1">
              <w:rPr>
                <w:rFonts w:cs="Arial"/>
                <w:szCs w:val="18"/>
                <w:lang w:val="en-GB"/>
              </w:rPr>
              <w:t>Niacin</w:t>
            </w:r>
          </w:p>
        </w:tc>
        <w:tc>
          <w:tcPr>
            <w:tcW w:w="1228" w:type="dxa"/>
            <w:shd w:val="clear" w:color="auto" w:fill="FFFFFF"/>
          </w:tcPr>
          <w:p w14:paraId="5BE69339" w14:textId="6C199A53" w:rsidR="002E0CE1" w:rsidRPr="002E0CE1" w:rsidRDefault="002E0CE1" w:rsidP="002E0CE1">
            <w:pPr>
              <w:pStyle w:val="CETBodytext"/>
              <w:ind w:right="-1"/>
              <w:rPr>
                <w:rFonts w:cs="Arial"/>
                <w:szCs w:val="18"/>
                <w:lang w:val="en-GB"/>
              </w:rPr>
            </w:pPr>
            <w:r w:rsidRPr="002E0CE1">
              <w:rPr>
                <w:lang w:val="en-GB"/>
              </w:rPr>
              <w:t>7</w:t>
            </w:r>
          </w:p>
        </w:tc>
        <w:tc>
          <w:tcPr>
            <w:tcW w:w="1228" w:type="dxa"/>
            <w:shd w:val="clear" w:color="auto" w:fill="FFFFFF"/>
          </w:tcPr>
          <w:p w14:paraId="37AAD37D" w14:textId="2D4255B1" w:rsidR="002E0CE1" w:rsidRPr="002E0CE1" w:rsidRDefault="002E0CE1" w:rsidP="002E0CE1">
            <w:pPr>
              <w:pStyle w:val="CETBodytext"/>
              <w:ind w:right="-1"/>
              <w:rPr>
                <w:rFonts w:cs="Arial"/>
                <w:szCs w:val="18"/>
                <w:lang w:val="en-GB"/>
              </w:rPr>
            </w:pPr>
            <w:r w:rsidRPr="002E0CE1">
              <w:rPr>
                <w:lang w:val="en-GB"/>
              </w:rPr>
              <w:t>27</w:t>
            </w:r>
          </w:p>
        </w:tc>
        <w:tc>
          <w:tcPr>
            <w:tcW w:w="1229" w:type="dxa"/>
            <w:shd w:val="clear" w:color="auto" w:fill="FFFFFF"/>
          </w:tcPr>
          <w:p w14:paraId="2F803DD3" w14:textId="64DE4496" w:rsidR="002E0CE1" w:rsidRPr="002E0CE1" w:rsidRDefault="002E0CE1" w:rsidP="002E0CE1">
            <w:pPr>
              <w:pStyle w:val="CETBodytext"/>
              <w:ind w:right="-1"/>
              <w:rPr>
                <w:rFonts w:cs="Arial"/>
                <w:szCs w:val="18"/>
                <w:lang w:val="en-GB"/>
              </w:rPr>
            </w:pPr>
            <w:r w:rsidRPr="002E0CE1">
              <w:rPr>
                <w:rFonts w:cs="Arial"/>
                <w:szCs w:val="18"/>
                <w:lang w:val="en-GB"/>
              </w:rPr>
              <w:t>77</w:t>
            </w:r>
          </w:p>
        </w:tc>
      </w:tr>
      <w:tr w:rsidR="002E0CE1" w:rsidRPr="00B57B36" w14:paraId="663E55AC" w14:textId="77777777" w:rsidTr="0077466E">
        <w:tc>
          <w:tcPr>
            <w:tcW w:w="1985" w:type="dxa"/>
            <w:shd w:val="clear" w:color="auto" w:fill="FFFFFF"/>
          </w:tcPr>
          <w:p w14:paraId="44B5597F" w14:textId="05FC08CE" w:rsidR="002E0CE1" w:rsidRPr="00B57B36" w:rsidRDefault="002E0CE1" w:rsidP="002E0CE1">
            <w:pPr>
              <w:pStyle w:val="CETBodytext"/>
              <w:ind w:right="-1"/>
              <w:rPr>
                <w:rFonts w:cs="Arial"/>
                <w:szCs w:val="18"/>
                <w:lang w:val="en-GB"/>
              </w:rPr>
            </w:pPr>
            <w:r>
              <w:rPr>
                <w:rFonts w:cs="Arial"/>
                <w:szCs w:val="18"/>
                <w:lang w:val="en-GB"/>
              </w:rPr>
              <w:t>Cellulose</w:t>
            </w:r>
          </w:p>
        </w:tc>
        <w:tc>
          <w:tcPr>
            <w:tcW w:w="1228" w:type="dxa"/>
            <w:shd w:val="clear" w:color="auto" w:fill="FFFFFF"/>
          </w:tcPr>
          <w:p w14:paraId="7C373F84" w14:textId="3E47C544" w:rsidR="002E0CE1" w:rsidRPr="00B57B36" w:rsidRDefault="00AA6700" w:rsidP="002E0CE1">
            <w:pPr>
              <w:pStyle w:val="CETBodytext"/>
              <w:ind w:right="-1"/>
              <w:rPr>
                <w:rFonts w:cs="Arial"/>
                <w:szCs w:val="18"/>
                <w:lang w:val="en-GB"/>
              </w:rPr>
            </w:pPr>
            <w:r>
              <w:rPr>
                <w:rFonts w:cs="Arial"/>
                <w:szCs w:val="18"/>
                <w:lang w:val="en-GB"/>
              </w:rPr>
              <w:t>65</w:t>
            </w:r>
          </w:p>
        </w:tc>
        <w:tc>
          <w:tcPr>
            <w:tcW w:w="1228" w:type="dxa"/>
            <w:shd w:val="clear" w:color="auto" w:fill="FFFFFF"/>
          </w:tcPr>
          <w:p w14:paraId="6E8C97BF" w14:textId="47560C0D" w:rsidR="002E0CE1" w:rsidRPr="00B57B36" w:rsidRDefault="00AA6700" w:rsidP="002E0CE1">
            <w:pPr>
              <w:pStyle w:val="CETBodytext"/>
              <w:ind w:right="-1"/>
              <w:rPr>
                <w:rFonts w:cs="Arial"/>
                <w:szCs w:val="18"/>
                <w:lang w:val="en-GB"/>
              </w:rPr>
            </w:pPr>
            <w:r>
              <w:rPr>
                <w:rFonts w:cs="Arial"/>
                <w:szCs w:val="18"/>
                <w:lang w:val="en-GB"/>
              </w:rPr>
              <w:t>219</w:t>
            </w:r>
          </w:p>
        </w:tc>
        <w:tc>
          <w:tcPr>
            <w:tcW w:w="1229" w:type="dxa"/>
            <w:shd w:val="clear" w:color="auto" w:fill="FFFFFF"/>
          </w:tcPr>
          <w:p w14:paraId="22A670B3" w14:textId="6711E920" w:rsidR="002E0CE1" w:rsidRPr="00B57B36" w:rsidRDefault="00AA6700" w:rsidP="002E0CE1">
            <w:pPr>
              <w:pStyle w:val="CETBodytext"/>
              <w:ind w:right="-1"/>
              <w:rPr>
                <w:rFonts w:cs="Arial"/>
                <w:szCs w:val="18"/>
                <w:lang w:val="en-GB"/>
              </w:rPr>
            </w:pPr>
            <w:r>
              <w:rPr>
                <w:rFonts w:cs="Arial"/>
                <w:szCs w:val="18"/>
                <w:lang w:val="en-GB"/>
              </w:rPr>
              <w:t>463</w:t>
            </w:r>
          </w:p>
        </w:tc>
      </w:tr>
    </w:tbl>
    <w:p w14:paraId="1A1D2E06" w14:textId="77777777" w:rsidR="00462C5D" w:rsidRDefault="00462C5D" w:rsidP="00453E24">
      <w:pPr>
        <w:pStyle w:val="CETBodytext"/>
      </w:pPr>
    </w:p>
    <w:p w14:paraId="18BAFA6F" w14:textId="6B8D7DD6" w:rsidR="00453E24" w:rsidRPr="00B57B36" w:rsidRDefault="00F10C0D" w:rsidP="00453E24">
      <w:pPr>
        <w:pStyle w:val="CETheadingx"/>
      </w:pPr>
      <w:r>
        <w:t>Nozzles and dispersion system</w:t>
      </w:r>
    </w:p>
    <w:p w14:paraId="0499C7FC" w14:textId="68082BBC" w:rsidR="00185FAB" w:rsidRDefault="00167C25" w:rsidP="00C076F3">
      <w:pPr>
        <w:pStyle w:val="CETBodytext"/>
        <w:rPr>
          <w:lang w:val="en-GB"/>
        </w:rPr>
      </w:pPr>
      <w:r>
        <w:rPr>
          <w:lang w:val="en-GB"/>
        </w:rPr>
        <w:t xml:space="preserve">The sphere was vacuumed down to 400 bar </w:t>
      </w:r>
      <w:r w:rsidRPr="00167C25">
        <w:rPr>
          <w:lang w:val="en-GB"/>
        </w:rPr>
        <w:t>± 5 mbar</w:t>
      </w:r>
      <w:r>
        <w:rPr>
          <w:lang w:val="en-GB"/>
        </w:rPr>
        <w:t xml:space="preserve"> before each test. The injection pressure was set at 20 barg in order to keep the</w:t>
      </w:r>
      <w:r w:rsidRPr="00167C25">
        <w:rPr>
          <w:lang w:val="en-GB"/>
        </w:rPr>
        <w:t xml:space="preserve"> pre-ignition pressure rise (PIPR</w:t>
      </w:r>
      <w:r>
        <w:rPr>
          <w:lang w:val="en-GB"/>
        </w:rPr>
        <w:t xml:space="preserve">) as </w:t>
      </w:r>
      <w:r w:rsidR="002410BB">
        <w:rPr>
          <w:lang w:val="en-GB"/>
        </w:rPr>
        <w:t>c</w:t>
      </w:r>
      <w:r w:rsidR="002410BB" w:rsidRPr="002410BB">
        <w:rPr>
          <w:lang w:val="en-GB"/>
        </w:rPr>
        <w:t xml:space="preserve">lose to 0.6 as possible </w:t>
      </w:r>
      <w:r w:rsidR="002410BB">
        <w:rPr>
          <w:lang w:val="en-GB"/>
        </w:rPr>
        <w:t>(</w:t>
      </w:r>
      <w:r w:rsidR="004D785A">
        <w:rPr>
          <w:lang w:val="en-GB"/>
        </w:rPr>
        <w:t>Spitzer et al., 2024)</w:t>
      </w:r>
      <w:r>
        <w:rPr>
          <w:lang w:val="en-GB"/>
        </w:rPr>
        <w:t xml:space="preserve">. Some </w:t>
      </w:r>
      <w:r w:rsidRPr="00167C25">
        <w:rPr>
          <w:lang w:val="en-GB"/>
        </w:rPr>
        <w:t xml:space="preserve">pressure adjustments </w:t>
      </w:r>
      <w:r>
        <w:rPr>
          <w:lang w:val="en-GB"/>
        </w:rPr>
        <w:t>are</w:t>
      </w:r>
      <w:r w:rsidRPr="00167C25">
        <w:rPr>
          <w:lang w:val="en-GB"/>
        </w:rPr>
        <w:t xml:space="preserve"> required during test</w:t>
      </w:r>
      <w:r w:rsidR="004D785A">
        <w:rPr>
          <w:lang w:val="en-GB"/>
        </w:rPr>
        <w:t>s</w:t>
      </w:r>
      <w:r w:rsidRPr="00167C25">
        <w:rPr>
          <w:lang w:val="en-GB"/>
        </w:rPr>
        <w:t xml:space="preserve"> depending on </w:t>
      </w:r>
      <w:r>
        <w:rPr>
          <w:lang w:val="en-GB"/>
        </w:rPr>
        <w:t xml:space="preserve">the </w:t>
      </w:r>
      <w:r w:rsidRPr="00167C25">
        <w:rPr>
          <w:lang w:val="en-GB"/>
        </w:rPr>
        <w:t>powder concentration</w:t>
      </w:r>
      <w:r>
        <w:rPr>
          <w:lang w:val="en-GB"/>
        </w:rPr>
        <w:t>.</w:t>
      </w:r>
      <w:r w:rsidR="004D785A">
        <w:rPr>
          <w:lang w:val="en-GB"/>
        </w:rPr>
        <w:t xml:space="preserve"> Four nozzles were tested</w:t>
      </w:r>
      <w:r w:rsidR="00AD63FA">
        <w:rPr>
          <w:lang w:val="en-GB"/>
        </w:rPr>
        <w:t xml:space="preserve"> (Figure 1)</w:t>
      </w:r>
      <w:r w:rsidR="004D785A">
        <w:rPr>
          <w:lang w:val="en-GB"/>
        </w:rPr>
        <w:t xml:space="preserve">, </w:t>
      </w:r>
      <w:r w:rsidR="004D785A" w:rsidRPr="004D785A">
        <w:rPr>
          <w:lang w:val="en-GB"/>
        </w:rPr>
        <w:t>two of which are already standardized</w:t>
      </w:r>
      <w:r w:rsidR="004D785A">
        <w:rPr>
          <w:lang w:val="en-GB"/>
        </w:rPr>
        <w:t xml:space="preserve">: the rebound nozzle </w:t>
      </w:r>
      <w:r w:rsidR="00B34671">
        <w:rPr>
          <w:lang w:val="en-GB"/>
        </w:rPr>
        <w:t>(injection through the inlet valve</w:t>
      </w:r>
      <w:r w:rsidR="00AD63FA">
        <w:rPr>
          <w:lang w:val="en-GB"/>
        </w:rPr>
        <w:t xml:space="preserve"> - 1a</w:t>
      </w:r>
      <w:r w:rsidR="00B34671">
        <w:rPr>
          <w:lang w:val="en-GB"/>
        </w:rPr>
        <w:t xml:space="preserve">) </w:t>
      </w:r>
      <w:r w:rsidR="004D785A">
        <w:rPr>
          <w:lang w:val="en-GB"/>
        </w:rPr>
        <w:t>and the mushroom-cup</w:t>
      </w:r>
      <w:r w:rsidR="00B34671">
        <w:rPr>
          <w:lang w:val="en-GB"/>
        </w:rPr>
        <w:t xml:space="preserve"> (dust lifting</w:t>
      </w:r>
      <w:r w:rsidR="00AD63FA">
        <w:rPr>
          <w:lang w:val="en-GB"/>
        </w:rPr>
        <w:t xml:space="preserve"> - 1b</w:t>
      </w:r>
      <w:r w:rsidR="00B34671">
        <w:rPr>
          <w:lang w:val="en-GB"/>
        </w:rPr>
        <w:t>)</w:t>
      </w:r>
      <w:r w:rsidR="004D785A">
        <w:rPr>
          <w:lang w:val="en-GB"/>
        </w:rPr>
        <w:t>.</w:t>
      </w:r>
      <w:r w:rsidR="00C076F3">
        <w:rPr>
          <w:lang w:val="en-GB"/>
        </w:rPr>
        <w:t xml:space="preserve"> Two additional nozzles were </w:t>
      </w:r>
      <w:r w:rsidR="00353396">
        <w:rPr>
          <w:lang w:val="en-GB"/>
        </w:rPr>
        <w:t>proposed, directly based on the design of the mushroom-cup</w:t>
      </w:r>
      <w:r w:rsidR="00F15E36">
        <w:rPr>
          <w:lang w:val="en-GB"/>
        </w:rPr>
        <w:t>,</w:t>
      </w:r>
      <w:r w:rsidR="00353396">
        <w:rPr>
          <w:lang w:val="en-GB"/>
        </w:rPr>
        <w:t xml:space="preserve"> </w:t>
      </w:r>
      <w:r w:rsidR="00F15E36">
        <w:rPr>
          <w:lang w:val="en-GB"/>
        </w:rPr>
        <w:t>but without</w:t>
      </w:r>
      <w:r w:rsidR="00353396">
        <w:rPr>
          <w:lang w:val="en-GB"/>
        </w:rPr>
        <w:t xml:space="preserve"> the cup</w:t>
      </w:r>
      <w:r w:rsidR="00F15E36">
        <w:rPr>
          <w:lang w:val="en-GB"/>
        </w:rPr>
        <w:t xml:space="preserve"> (Figure 1</w:t>
      </w:r>
      <w:r w:rsidR="00C12F36">
        <w:rPr>
          <w:lang w:val="en-GB"/>
        </w:rPr>
        <w:t>c, d</w:t>
      </w:r>
      <w:r w:rsidR="00F15E36">
        <w:rPr>
          <w:lang w:val="en-GB"/>
        </w:rPr>
        <w:t>)</w:t>
      </w:r>
      <w:r w:rsidR="00353396">
        <w:rPr>
          <w:lang w:val="en-GB"/>
        </w:rPr>
        <w:t>.</w:t>
      </w:r>
      <w:r w:rsidR="00F15E36">
        <w:rPr>
          <w:lang w:val="en-GB"/>
        </w:rPr>
        <w:t xml:space="preserve"> </w:t>
      </w:r>
      <w:r w:rsidR="00BD5BBD">
        <w:rPr>
          <w:lang w:val="en-GB"/>
        </w:rPr>
        <w:t xml:space="preserve">The only difference between both mushroom-nozzles ‘A’ and ‘B’ is the cross-section area used to inject the gas: </w:t>
      </w:r>
      <w:r w:rsidR="00BD5BBD" w:rsidRPr="00BD5BBD">
        <w:rPr>
          <w:lang w:val="en-GB"/>
        </w:rPr>
        <w:t>157 mm²</w:t>
      </w:r>
      <w:r w:rsidR="00BD5BBD">
        <w:rPr>
          <w:lang w:val="en-GB"/>
        </w:rPr>
        <w:t xml:space="preserve"> and 20</w:t>
      </w:r>
      <w:r w:rsidR="00BD5BBD" w:rsidRPr="00BD5BBD">
        <w:rPr>
          <w:lang w:val="en-GB"/>
        </w:rPr>
        <w:t>7 mm²</w:t>
      </w:r>
      <w:r w:rsidR="00BD5BBD">
        <w:rPr>
          <w:lang w:val="en-GB"/>
        </w:rPr>
        <w:t>, respectively</w:t>
      </w:r>
      <w:r w:rsidR="00AD63FA">
        <w:rPr>
          <w:lang w:val="en-GB"/>
        </w:rPr>
        <w:t xml:space="preserve"> (Figure 1e and f)</w:t>
      </w:r>
      <w:r w:rsidR="00C12F36">
        <w:rPr>
          <w:lang w:val="en-GB"/>
        </w:rPr>
        <w:t xml:space="preserve">. Preliminary tests were already performed with mushroom nozzle A (Spitzer et al., 2024). </w:t>
      </w:r>
      <w:r w:rsidR="00B34671" w:rsidRPr="00B34671">
        <w:rPr>
          <w:lang w:val="en-GB"/>
        </w:rPr>
        <w:t xml:space="preserve">As with the mushroom-cup, </w:t>
      </w:r>
      <w:r w:rsidR="00B34671">
        <w:rPr>
          <w:lang w:val="en-GB"/>
        </w:rPr>
        <w:t>dust is</w:t>
      </w:r>
      <w:r w:rsidR="00B34671" w:rsidRPr="00B34671">
        <w:rPr>
          <w:lang w:val="en-GB"/>
        </w:rPr>
        <w:t xml:space="preserve"> deposited around the mushroom nozzles </w:t>
      </w:r>
      <w:r w:rsidR="00B34671">
        <w:rPr>
          <w:lang w:val="en-GB"/>
        </w:rPr>
        <w:t>before vacuuming and air injection.</w:t>
      </w:r>
      <w:r w:rsidR="00B34671" w:rsidRPr="00B34671">
        <w:rPr>
          <w:lang w:val="en-GB"/>
        </w:rPr>
        <w:t xml:space="preserve"> </w:t>
      </w:r>
      <w:r w:rsidR="00BD5BBD">
        <w:rPr>
          <w:lang w:val="en-GB"/>
        </w:rPr>
        <w:t xml:space="preserve">   </w:t>
      </w:r>
    </w:p>
    <w:p w14:paraId="2D3820BD" w14:textId="0C2E0BD2" w:rsidR="00185FAB" w:rsidRDefault="00185FAB" w:rsidP="00185FAB">
      <w:pPr>
        <w:pStyle w:val="CETCaption"/>
      </w:pPr>
      <w:r>
        <w:rPr>
          <w:noProof/>
        </w:rPr>
        <w:drawing>
          <wp:inline distT="0" distB="0" distL="0" distR="0" wp14:anchorId="5D882AB0" wp14:editId="16E0EE70">
            <wp:extent cx="5306785" cy="1890868"/>
            <wp:effectExtent l="0" t="0" r="1905" b="1905"/>
            <wp:docPr id="1786363647" name="Image 5" descr="Une image contenant métal, Quincaillerie, arg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63647" name="Image 5" descr="Une image contenant métal, Quincaillerie, argent&#10;&#10;Description générée automatiquement"/>
                    <pic:cNvPicPr/>
                  </pic:nvPicPr>
                  <pic:blipFill rotWithShape="1">
                    <a:blip r:embed="rId10"/>
                    <a:srcRect t="-1" b="1760"/>
                    <a:stretch/>
                  </pic:blipFill>
                  <pic:spPr bwMode="auto">
                    <a:xfrm>
                      <a:off x="0" y="0"/>
                      <a:ext cx="5349955" cy="1906250"/>
                    </a:xfrm>
                    <a:prstGeom prst="rect">
                      <a:avLst/>
                    </a:prstGeom>
                    <a:ln>
                      <a:noFill/>
                    </a:ln>
                    <a:extLst>
                      <a:ext uri="{53640926-AAD7-44D8-BBD7-CCE9431645EC}">
                        <a14:shadowObscured xmlns:a14="http://schemas.microsoft.com/office/drawing/2010/main"/>
                      </a:ext>
                    </a:extLst>
                  </pic:spPr>
                </pic:pic>
              </a:graphicData>
            </a:graphic>
          </wp:inline>
        </w:drawing>
      </w:r>
    </w:p>
    <w:p w14:paraId="5AF8B448" w14:textId="14B0F95B" w:rsidR="00C919E6" w:rsidRDefault="00C919E6" w:rsidP="003D74B2">
      <w:pPr>
        <w:pStyle w:val="CETCaption"/>
        <w:jc w:val="left"/>
      </w:pPr>
      <w:r w:rsidRPr="00BD077D">
        <w:rPr>
          <w:rStyle w:val="CETCaptionCarattere"/>
          <w:i/>
        </w:rPr>
        <w:t xml:space="preserve">Figure 1: </w:t>
      </w:r>
      <w:r w:rsidR="00B65D71">
        <w:rPr>
          <w:rStyle w:val="CETCaptionCarattere"/>
          <w:i/>
        </w:rPr>
        <w:t xml:space="preserve">Picture of the three types of nozzles used </w:t>
      </w:r>
      <w:r w:rsidR="006A1F4E">
        <w:rPr>
          <w:rStyle w:val="CETCaptionCarattere"/>
          <w:i/>
        </w:rPr>
        <w:t>for dispersing the powder in the 20L sphere</w:t>
      </w:r>
    </w:p>
    <w:p w14:paraId="53195A50" w14:textId="62815376" w:rsidR="003F6994" w:rsidRPr="00B57B36" w:rsidRDefault="003F6994" w:rsidP="003F6994">
      <w:pPr>
        <w:pStyle w:val="CETheadingx"/>
      </w:pPr>
      <w:r>
        <w:t xml:space="preserve">Particle size distribution measurements </w:t>
      </w:r>
    </w:p>
    <w:p w14:paraId="40CCB1F1" w14:textId="5C2B6BEF" w:rsidR="006A1F4E" w:rsidRDefault="00C87D93" w:rsidP="00453E24">
      <w:pPr>
        <w:pStyle w:val="CETBodytext"/>
        <w:rPr>
          <w:lang w:val="en-GB"/>
        </w:rPr>
      </w:pPr>
      <w:r>
        <w:rPr>
          <w:lang w:val="en-GB"/>
        </w:rPr>
        <w:t>A</w:t>
      </w:r>
      <w:r w:rsidRPr="00C87D93">
        <w:rPr>
          <w:lang w:val="en-GB"/>
        </w:rPr>
        <w:t xml:space="preserve"> 20L sphere </w:t>
      </w:r>
      <w:r>
        <w:rPr>
          <w:lang w:val="en-GB"/>
        </w:rPr>
        <w:t>equipped</w:t>
      </w:r>
      <w:r w:rsidRPr="00C87D93">
        <w:rPr>
          <w:lang w:val="en-GB"/>
        </w:rPr>
        <w:t xml:space="preserve"> with five windows was used to </w:t>
      </w:r>
      <w:r>
        <w:rPr>
          <w:lang w:val="en-GB"/>
        </w:rPr>
        <w:t>determine</w:t>
      </w:r>
      <w:r w:rsidRPr="00C87D93">
        <w:rPr>
          <w:lang w:val="en-GB"/>
        </w:rPr>
        <w:t xml:space="preserve"> the PSD during the</w:t>
      </w:r>
      <w:r>
        <w:rPr>
          <w:lang w:val="en-GB"/>
        </w:rPr>
        <w:t xml:space="preserve"> powder</w:t>
      </w:r>
      <w:r w:rsidRPr="00C87D93">
        <w:rPr>
          <w:lang w:val="en-GB"/>
        </w:rPr>
        <w:t xml:space="preserve"> injection</w:t>
      </w:r>
      <w:r w:rsidR="008E7417">
        <w:rPr>
          <w:lang w:val="en-GB"/>
        </w:rPr>
        <w:t>,</w:t>
      </w:r>
      <w:r w:rsidRPr="00C87D93">
        <w:rPr>
          <w:lang w:val="en-GB"/>
        </w:rPr>
        <w:t xml:space="preserve"> </w:t>
      </w:r>
      <w:r w:rsidR="008E7417" w:rsidRPr="001B0811">
        <w:rPr>
          <w:lang w:val="en-GB"/>
        </w:rPr>
        <w:t xml:space="preserve">which highlights </w:t>
      </w:r>
      <w:r w:rsidR="008E7417">
        <w:rPr>
          <w:lang w:val="en-GB"/>
        </w:rPr>
        <w:t xml:space="preserve">potential </w:t>
      </w:r>
      <w:r w:rsidR="008E7417" w:rsidRPr="001B0811">
        <w:rPr>
          <w:lang w:val="en-GB"/>
        </w:rPr>
        <w:t>fragmentation</w:t>
      </w:r>
      <w:r w:rsidR="008E7417">
        <w:rPr>
          <w:lang w:val="en-GB"/>
        </w:rPr>
        <w:t xml:space="preserve"> </w:t>
      </w:r>
      <w:r w:rsidR="008E7417" w:rsidRPr="001B0811">
        <w:rPr>
          <w:lang w:val="en-GB"/>
        </w:rPr>
        <w:t>phenomen</w:t>
      </w:r>
      <w:r w:rsidR="008E7417">
        <w:rPr>
          <w:lang w:val="en-GB"/>
        </w:rPr>
        <w:t xml:space="preserve">a and stresses the differences with the initial PSD. </w:t>
      </w:r>
      <w:r w:rsidRPr="00C87D93">
        <w:rPr>
          <w:lang w:val="en-GB"/>
        </w:rPr>
        <w:t>Measurements</w:t>
      </w:r>
      <w:r>
        <w:rPr>
          <w:lang w:val="en-GB"/>
        </w:rPr>
        <w:t xml:space="preserve"> </w:t>
      </w:r>
      <w:r w:rsidRPr="00C87D93">
        <w:rPr>
          <w:lang w:val="en-GB"/>
        </w:rPr>
        <w:t xml:space="preserve">were carried out </w:t>
      </w:r>
      <w:r>
        <w:rPr>
          <w:lang w:val="en-GB"/>
        </w:rPr>
        <w:t xml:space="preserve">in-situ </w:t>
      </w:r>
      <w:r w:rsidRPr="00C87D93">
        <w:rPr>
          <w:lang w:val="en-GB"/>
        </w:rPr>
        <w:t>with a laser diffraction sensor (Helos - Sympatec)</w:t>
      </w:r>
      <w:r>
        <w:rPr>
          <w:lang w:val="en-GB"/>
        </w:rPr>
        <w:t xml:space="preserve"> </w:t>
      </w:r>
      <w:r w:rsidRPr="00C87D93">
        <w:rPr>
          <w:lang w:val="en-GB"/>
        </w:rPr>
        <w:t>with a maximum frequency of 20</w:t>
      </w:r>
      <w:r>
        <w:rPr>
          <w:lang w:val="en-GB"/>
        </w:rPr>
        <w:t>00</w:t>
      </w:r>
      <w:r w:rsidR="008E7417">
        <w:rPr>
          <w:lang w:val="en-GB"/>
        </w:rPr>
        <w:t> </w:t>
      </w:r>
      <w:r w:rsidRPr="00C87D93">
        <w:rPr>
          <w:lang w:val="en-GB"/>
        </w:rPr>
        <w:t>Hz</w:t>
      </w:r>
      <w:r w:rsidR="001B0811">
        <w:rPr>
          <w:lang w:val="en-GB"/>
        </w:rPr>
        <w:t xml:space="preserve">, </w:t>
      </w:r>
      <w:r>
        <w:rPr>
          <w:lang w:val="en-GB"/>
        </w:rPr>
        <w:t>Two different lenses were chosen as a function of the initial PSD of the samples (Table 1): R3 for PSD ranging from 0.5 to 175 µm and R5 from 0.5 to 875 µm (31 segments</w:t>
      </w:r>
      <w:r w:rsidR="008E7417">
        <w:rPr>
          <w:lang w:val="en-GB"/>
        </w:rPr>
        <w:t xml:space="preserve"> detector</w:t>
      </w:r>
      <w:r>
        <w:rPr>
          <w:lang w:val="en-GB"/>
        </w:rPr>
        <w:t>).</w:t>
      </w:r>
    </w:p>
    <w:p w14:paraId="677EBFF0" w14:textId="0E44D224" w:rsidR="00600535" w:rsidRDefault="0063432D" w:rsidP="00600535">
      <w:pPr>
        <w:pStyle w:val="CETHeading1"/>
        <w:tabs>
          <w:tab w:val="clear" w:pos="360"/>
          <w:tab w:val="right" w:pos="7100"/>
        </w:tabs>
        <w:jc w:val="both"/>
        <w:rPr>
          <w:lang w:val="en-GB"/>
        </w:rPr>
      </w:pPr>
      <w:r>
        <w:rPr>
          <w:lang w:val="en-GB"/>
        </w:rPr>
        <w:lastRenderedPageBreak/>
        <w:t>Results and discussion</w:t>
      </w:r>
    </w:p>
    <w:p w14:paraId="2FC16608" w14:textId="064728BB" w:rsidR="0063432D" w:rsidRPr="0063432D" w:rsidRDefault="001B424F" w:rsidP="0063432D">
      <w:pPr>
        <w:pStyle w:val="CETBodytext"/>
        <w:rPr>
          <w:lang w:val="en-GB"/>
        </w:rPr>
      </w:pPr>
      <w:r>
        <w:rPr>
          <w:lang w:val="en-GB"/>
        </w:rPr>
        <w:t xml:space="preserve">Explosions tests were performed for each powder </w:t>
      </w:r>
      <w:r w:rsidRPr="001B424F">
        <w:rPr>
          <w:lang w:val="en-GB"/>
        </w:rPr>
        <w:t>at concentrations close to maxima, or over wider ranges</w:t>
      </w:r>
      <w:r>
        <w:rPr>
          <w:lang w:val="en-GB"/>
        </w:rPr>
        <w:t xml:space="preserve">. Repeatability trials were done for each maximum. </w:t>
      </w:r>
    </w:p>
    <w:p w14:paraId="04963A06" w14:textId="3E417524" w:rsidR="00600535" w:rsidRPr="00B57B36" w:rsidRDefault="001B424F" w:rsidP="00FA5F5F">
      <w:pPr>
        <w:pStyle w:val="CETheadingx"/>
      </w:pPr>
      <w:r>
        <w:t xml:space="preserve">Influence of nozzle design on explosion severity </w:t>
      </w:r>
    </w:p>
    <w:p w14:paraId="7EC63427" w14:textId="700354EC" w:rsidR="00BC324C" w:rsidRPr="008077CE" w:rsidRDefault="00665D23" w:rsidP="001B424F">
      <w:pPr>
        <w:pStyle w:val="CETBodytext"/>
        <w:rPr>
          <w:lang w:val="en-GB"/>
        </w:rPr>
      </w:pPr>
      <w:r>
        <w:rPr>
          <w:lang w:val="en-GB"/>
        </w:rPr>
        <w:t xml:space="preserve">Figure 2 shows that the explosion overpressures obtained with the rebound nozzle and </w:t>
      </w:r>
      <w:r w:rsidR="007132CF">
        <w:rPr>
          <w:lang w:val="en-GB"/>
        </w:rPr>
        <w:t xml:space="preserve">the </w:t>
      </w:r>
      <w:r>
        <w:rPr>
          <w:lang w:val="en-GB"/>
        </w:rPr>
        <w:t xml:space="preserve">mushroom nozzle type A are similar. </w:t>
      </w:r>
      <w:r w:rsidR="00804D3C">
        <w:rPr>
          <w:lang w:val="en-GB"/>
        </w:rPr>
        <w:t>p</w:t>
      </w:r>
      <w:r w:rsidR="00804D3C" w:rsidRPr="00804D3C">
        <w:rPr>
          <w:vertAlign w:val="subscript"/>
          <w:lang w:val="en-GB"/>
        </w:rPr>
        <w:t>max</w:t>
      </w:r>
      <w:r w:rsidR="00804D3C">
        <w:rPr>
          <w:lang w:val="en-GB"/>
        </w:rPr>
        <w:t xml:space="preserve"> obtained with the type B mushroom nozzle is consistent with that of rebound and type A nozzles, </w:t>
      </w:r>
      <w:r w:rsidR="00804D3C" w:rsidRPr="00804D3C">
        <w:rPr>
          <w:lang w:val="en-GB"/>
        </w:rPr>
        <w:t>although there is a slight shift in concentration</w:t>
      </w:r>
      <w:r w:rsidR="00804D3C">
        <w:rPr>
          <w:lang w:val="en-GB"/>
        </w:rPr>
        <w:t xml:space="preserve">. </w:t>
      </w:r>
      <w:r>
        <w:rPr>
          <w:lang w:val="en-GB"/>
        </w:rPr>
        <w:t xml:space="preserve">However, a significant difference </w:t>
      </w:r>
      <w:r w:rsidR="0057688A">
        <w:rPr>
          <w:lang w:val="en-GB"/>
        </w:rPr>
        <w:t>is</w:t>
      </w:r>
      <w:r>
        <w:rPr>
          <w:lang w:val="en-GB"/>
        </w:rPr>
        <w:t xml:space="preserve"> obtained by using the mushroom-cup, leading to a lower maximum overpressure </w:t>
      </w:r>
      <w:r w:rsidR="00015C42">
        <w:rPr>
          <w:lang w:val="en-GB"/>
        </w:rPr>
        <w:t>p</w:t>
      </w:r>
      <w:r w:rsidRPr="00665D23">
        <w:rPr>
          <w:vertAlign w:val="subscript"/>
          <w:lang w:val="en-GB"/>
        </w:rPr>
        <w:t>max</w:t>
      </w:r>
      <w:r>
        <w:rPr>
          <w:lang w:val="en-GB"/>
        </w:rPr>
        <w:t xml:space="preserve"> by 10 %. </w:t>
      </w:r>
      <w:r w:rsidR="008077CE" w:rsidRPr="008077CE">
        <w:rPr>
          <w:lang w:val="en-GB"/>
        </w:rPr>
        <w:t xml:space="preserve">The trends observed for </w:t>
      </w:r>
      <w:r w:rsidR="008077CE">
        <w:rPr>
          <w:lang w:val="en-GB"/>
        </w:rPr>
        <w:t xml:space="preserve">the maximum rates of pressure rises </w:t>
      </w:r>
      <w:r w:rsidR="008077CE" w:rsidRPr="008077CE">
        <w:rPr>
          <w:lang w:val="en-GB"/>
        </w:rPr>
        <w:t>are of the same order, but with even more marked tendencies.</w:t>
      </w:r>
      <w:r w:rsidR="008077CE">
        <w:rPr>
          <w:lang w:val="en-GB"/>
        </w:rPr>
        <w:t xml:space="preserve"> </w:t>
      </w:r>
      <w:r w:rsidR="00804D3C">
        <w:rPr>
          <w:lang w:val="en-GB"/>
        </w:rPr>
        <w:t>The type B mushroom nozzle and the mushroom-cup yield to lower dp/dt</w:t>
      </w:r>
      <w:r w:rsidR="00804D3C" w:rsidRPr="00804D3C">
        <w:rPr>
          <w:vertAlign w:val="subscript"/>
          <w:lang w:val="en-GB"/>
        </w:rPr>
        <w:t>m</w:t>
      </w:r>
      <w:r w:rsidR="00804D3C">
        <w:rPr>
          <w:lang w:val="en-GB"/>
        </w:rPr>
        <w:t xml:space="preserve"> values. </w:t>
      </w:r>
      <w:r w:rsidR="008077CE">
        <w:rPr>
          <w:lang w:val="en-GB"/>
        </w:rPr>
        <w:t>It is worth noting that the more conservative results were not obtained with the rebound nozzle but with the mushroom nozzle type A (Figure 1c). The maximum rate of pressure rises (d</w:t>
      </w:r>
      <w:r w:rsidR="00015C42">
        <w:rPr>
          <w:lang w:val="en-GB"/>
        </w:rPr>
        <w:t>p</w:t>
      </w:r>
      <w:r w:rsidR="008077CE">
        <w:rPr>
          <w:lang w:val="en-GB"/>
        </w:rPr>
        <w:t>/dt)</w:t>
      </w:r>
      <w:r w:rsidR="008077CE" w:rsidRPr="008077CE">
        <w:rPr>
          <w:vertAlign w:val="subscript"/>
          <w:lang w:val="en-GB"/>
        </w:rPr>
        <w:t>max</w:t>
      </w:r>
      <w:r w:rsidR="008077CE">
        <w:rPr>
          <w:lang w:val="en-GB"/>
        </w:rPr>
        <w:t xml:space="preserve"> are reached at higher concentrations for the mushroom-cup and for </w:t>
      </w:r>
      <w:r w:rsidR="007132CF">
        <w:rPr>
          <w:lang w:val="en-GB"/>
        </w:rPr>
        <w:t xml:space="preserve">the mushroom </w:t>
      </w:r>
      <w:r w:rsidR="008077CE">
        <w:rPr>
          <w:lang w:val="en-GB"/>
        </w:rPr>
        <w:t>nozzle B, respectively at 750 and 1250 g.m</w:t>
      </w:r>
      <w:r w:rsidR="008077CE" w:rsidRPr="008077CE">
        <w:rPr>
          <w:vertAlign w:val="superscript"/>
          <w:lang w:val="en-GB"/>
        </w:rPr>
        <w:t>-3</w:t>
      </w:r>
      <w:r w:rsidR="008077CE">
        <w:rPr>
          <w:lang w:val="en-GB"/>
        </w:rPr>
        <w:t xml:space="preserve"> (500 g.m</w:t>
      </w:r>
      <w:r w:rsidR="008077CE" w:rsidRPr="008077CE">
        <w:rPr>
          <w:vertAlign w:val="superscript"/>
          <w:lang w:val="en-GB"/>
        </w:rPr>
        <w:t>-3</w:t>
      </w:r>
      <w:r w:rsidR="008077CE">
        <w:rPr>
          <w:lang w:val="en-GB"/>
        </w:rPr>
        <w:t xml:space="preserve"> for </w:t>
      </w:r>
      <w:r w:rsidR="008077CE" w:rsidRPr="008077CE">
        <w:rPr>
          <w:lang w:val="en-GB"/>
        </w:rPr>
        <w:t>the two other nozzles</w:t>
      </w:r>
      <w:r w:rsidR="008077CE">
        <w:rPr>
          <w:lang w:val="en-GB"/>
        </w:rPr>
        <w:t>).</w:t>
      </w:r>
    </w:p>
    <w:p w14:paraId="6B4D64AE" w14:textId="137F8417" w:rsidR="00226042" w:rsidRPr="00B57B36" w:rsidRDefault="00804D3C" w:rsidP="00226042">
      <w:pPr>
        <w:pStyle w:val="CETCaption"/>
        <w:jc w:val="left"/>
      </w:pPr>
      <w:r>
        <w:rPr>
          <w:noProof/>
        </w:rPr>
        <w:drawing>
          <wp:inline distT="0" distB="0" distL="0" distR="0" wp14:anchorId="1DFB12DE" wp14:editId="42FC5823">
            <wp:extent cx="3794400" cy="2520000"/>
            <wp:effectExtent l="0" t="0" r="3175" b="0"/>
            <wp:docPr id="2081300941" name="Image 6" descr="Une image contenant texte, Police,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00941" name="Image 6" descr="Une image contenant texte, Police, diagramme, ligne&#10;&#10;Description générée automatiquement"/>
                    <pic:cNvPicPr/>
                  </pic:nvPicPr>
                  <pic:blipFill rotWithShape="1">
                    <a:blip r:embed="rId11"/>
                    <a:srcRect l="8277" t="5600" r="7651"/>
                    <a:stretch/>
                  </pic:blipFill>
                  <pic:spPr bwMode="auto">
                    <a:xfrm>
                      <a:off x="0" y="0"/>
                      <a:ext cx="3794400" cy="2520000"/>
                    </a:xfrm>
                    <a:prstGeom prst="rect">
                      <a:avLst/>
                    </a:prstGeom>
                    <a:ln>
                      <a:noFill/>
                    </a:ln>
                    <a:extLst>
                      <a:ext uri="{53640926-AAD7-44D8-BBD7-CCE9431645EC}">
                        <a14:shadowObscured xmlns:a14="http://schemas.microsoft.com/office/drawing/2010/main"/>
                      </a:ext>
                    </a:extLst>
                  </pic:spPr>
                </pic:pic>
              </a:graphicData>
            </a:graphic>
          </wp:inline>
        </w:drawing>
      </w:r>
    </w:p>
    <w:p w14:paraId="4210F813" w14:textId="5967B8D6" w:rsidR="00226042" w:rsidRDefault="00226042" w:rsidP="00226042">
      <w:pPr>
        <w:pStyle w:val="CETCaption"/>
        <w:rPr>
          <w:rStyle w:val="CETCaptionCarattere"/>
          <w:i/>
        </w:rPr>
      </w:pPr>
      <w:r w:rsidRPr="00BD077D">
        <w:rPr>
          <w:rStyle w:val="CETCaptionCarattere"/>
          <w:i/>
        </w:rPr>
        <w:t xml:space="preserve">Figure </w:t>
      </w:r>
      <w:r>
        <w:rPr>
          <w:rStyle w:val="CETCaptionCarattere"/>
          <w:i/>
        </w:rPr>
        <w:t>2</w:t>
      </w:r>
      <w:r w:rsidRPr="00BD077D">
        <w:rPr>
          <w:rStyle w:val="CETCaptionCarattere"/>
          <w:i/>
        </w:rPr>
        <w:t xml:space="preserve">: </w:t>
      </w:r>
      <w:r w:rsidR="001B424F">
        <w:rPr>
          <w:rStyle w:val="CETCaptionCarattere"/>
          <w:i/>
        </w:rPr>
        <w:t>Effect of the nozzle design on maximum overpressure (left) and maximum rate of pressure rise (right) of lycopodium</w:t>
      </w:r>
    </w:p>
    <w:p w14:paraId="5AFDBD5B" w14:textId="7CF93F33" w:rsidR="00226042" w:rsidRPr="00B57B36" w:rsidRDefault="00804D3C" w:rsidP="00226042">
      <w:pPr>
        <w:pStyle w:val="CETCaption"/>
        <w:jc w:val="left"/>
      </w:pPr>
      <w:r>
        <w:rPr>
          <w:noProof/>
        </w:rPr>
        <w:drawing>
          <wp:inline distT="0" distB="0" distL="0" distR="0" wp14:anchorId="00FA8BDB" wp14:editId="60141390">
            <wp:extent cx="3844800" cy="2520000"/>
            <wp:effectExtent l="0" t="0" r="3810" b="0"/>
            <wp:docPr id="1212690042" name="Image 8" descr="Une image contenant texte, ligne,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90042" name="Image 8" descr="Une image contenant texte, ligne, diagramme, Police&#10;&#10;Description générée automatiquement"/>
                    <pic:cNvPicPr/>
                  </pic:nvPicPr>
                  <pic:blipFill rotWithShape="1">
                    <a:blip r:embed="rId12"/>
                    <a:srcRect l="8106" t="6558" r="7641"/>
                    <a:stretch/>
                  </pic:blipFill>
                  <pic:spPr bwMode="auto">
                    <a:xfrm>
                      <a:off x="0" y="0"/>
                      <a:ext cx="3844800" cy="2520000"/>
                    </a:xfrm>
                    <a:prstGeom prst="rect">
                      <a:avLst/>
                    </a:prstGeom>
                    <a:ln>
                      <a:noFill/>
                    </a:ln>
                    <a:extLst>
                      <a:ext uri="{53640926-AAD7-44D8-BBD7-CCE9431645EC}">
                        <a14:shadowObscured xmlns:a14="http://schemas.microsoft.com/office/drawing/2010/main"/>
                      </a:ext>
                    </a:extLst>
                  </pic:spPr>
                </pic:pic>
              </a:graphicData>
            </a:graphic>
          </wp:inline>
        </w:drawing>
      </w:r>
    </w:p>
    <w:p w14:paraId="535633FC" w14:textId="77A0E5FE" w:rsidR="00226042" w:rsidRPr="00BD077D" w:rsidRDefault="00226042" w:rsidP="00226042">
      <w:pPr>
        <w:pStyle w:val="CETCaption"/>
      </w:pPr>
      <w:r w:rsidRPr="00BD077D">
        <w:rPr>
          <w:rStyle w:val="CETCaptionCarattere"/>
          <w:i/>
        </w:rPr>
        <w:t xml:space="preserve">Figure </w:t>
      </w:r>
      <w:r>
        <w:rPr>
          <w:rStyle w:val="CETCaptionCarattere"/>
          <w:i/>
        </w:rPr>
        <w:t>3</w:t>
      </w:r>
      <w:r w:rsidRPr="00BD077D">
        <w:rPr>
          <w:rStyle w:val="CETCaptionCarattere"/>
          <w:i/>
        </w:rPr>
        <w:t xml:space="preserve">: </w:t>
      </w:r>
      <w:r w:rsidR="001B424F">
        <w:rPr>
          <w:rStyle w:val="CETCaptionCarattere"/>
          <w:i/>
        </w:rPr>
        <w:t xml:space="preserve">Effect of the nozzle design on </w:t>
      </w:r>
      <w:r w:rsidR="00015C42">
        <w:rPr>
          <w:rStyle w:val="CETCaptionCarattere"/>
          <w:i/>
        </w:rPr>
        <w:t>p</w:t>
      </w:r>
      <w:r w:rsidR="008077CE" w:rsidRPr="008077CE">
        <w:rPr>
          <w:rStyle w:val="CETCaptionCarattere"/>
          <w:i/>
          <w:vertAlign w:val="subscript"/>
        </w:rPr>
        <w:t>m</w:t>
      </w:r>
      <w:r w:rsidR="001B424F">
        <w:rPr>
          <w:rStyle w:val="CETCaptionCarattere"/>
          <w:i/>
        </w:rPr>
        <w:t xml:space="preserve"> (left) and </w:t>
      </w:r>
      <w:r w:rsidR="008077CE">
        <w:rPr>
          <w:rStyle w:val="CETCaptionCarattere"/>
          <w:i/>
        </w:rPr>
        <w:t>d</w:t>
      </w:r>
      <w:r w:rsidR="00015C42">
        <w:rPr>
          <w:rStyle w:val="CETCaptionCarattere"/>
          <w:i/>
        </w:rPr>
        <w:t>p</w:t>
      </w:r>
      <w:r w:rsidR="008077CE">
        <w:rPr>
          <w:rStyle w:val="CETCaptionCarattere"/>
          <w:i/>
        </w:rPr>
        <w:t>/dt</w:t>
      </w:r>
      <w:r w:rsidR="008077CE" w:rsidRPr="008077CE">
        <w:rPr>
          <w:rStyle w:val="CETCaptionCarattere"/>
          <w:i/>
          <w:vertAlign w:val="subscript"/>
        </w:rPr>
        <w:t>m</w:t>
      </w:r>
      <w:r w:rsidR="001B424F">
        <w:rPr>
          <w:rStyle w:val="CETCaptionCarattere"/>
          <w:i/>
        </w:rPr>
        <w:t xml:space="preserve"> (right) of wheat starch</w:t>
      </w:r>
    </w:p>
    <w:p w14:paraId="1EC2DFE8" w14:textId="6FB017CA" w:rsidR="00226042" w:rsidRDefault="004D0CD1" w:rsidP="004D0CD1">
      <w:pPr>
        <w:pStyle w:val="CETBodytext"/>
      </w:pPr>
      <w:r>
        <w:lastRenderedPageBreak/>
        <w:t>For starch, t</w:t>
      </w:r>
      <w:r w:rsidR="0057688A">
        <w:t xml:space="preserve">he maximum explosion severities </w:t>
      </w:r>
      <w:r>
        <w:t>are</w:t>
      </w:r>
      <w:r w:rsidR="0057688A">
        <w:t xml:space="preserve"> </w:t>
      </w:r>
      <w:r>
        <w:t xml:space="preserve">also </w:t>
      </w:r>
      <w:r w:rsidR="0057688A">
        <w:t>obtain</w:t>
      </w:r>
      <w:r>
        <w:t>ed with the rebound nozzle and the mushroom nozzle - type A</w:t>
      </w:r>
      <w:r w:rsidR="00740C69">
        <w:t xml:space="preserve"> (Figure 3)</w:t>
      </w:r>
      <w:r>
        <w:t>. W</w:t>
      </w:r>
      <w:r w:rsidRPr="004D0CD1">
        <w:t xml:space="preserve">hile variations in maximum </w:t>
      </w:r>
      <w:r>
        <w:t>over</w:t>
      </w:r>
      <w:r w:rsidRPr="004D0CD1">
        <w:t>pressure between nozzles are significant (</w:t>
      </w:r>
      <w:r>
        <w:t xml:space="preserve">up to </w:t>
      </w:r>
      <w:r w:rsidRPr="004D0CD1">
        <w:t>18</w:t>
      </w:r>
      <w:r w:rsidR="00015C42">
        <w:t> </w:t>
      </w:r>
      <w:r w:rsidRPr="004D0CD1">
        <w:t xml:space="preserve">%), the differences are even more significant in terms of </w:t>
      </w:r>
      <w:r>
        <w:t>explosion kinetics, i.e. (d</w:t>
      </w:r>
      <w:r w:rsidR="00015C42">
        <w:t>p</w:t>
      </w:r>
      <w:r>
        <w:t>/dt)</w:t>
      </w:r>
      <w:r w:rsidRPr="004D0CD1">
        <w:rPr>
          <w:vertAlign w:val="subscript"/>
        </w:rPr>
        <w:t>m</w:t>
      </w:r>
      <w:r>
        <w:t>.</w:t>
      </w:r>
      <w:r w:rsidRPr="004D0CD1">
        <w:t xml:space="preserve"> </w:t>
      </w:r>
      <w:r>
        <w:t xml:space="preserve">The </w:t>
      </w:r>
      <w:r w:rsidRPr="004D0CD1">
        <w:t>shift</w:t>
      </w:r>
      <w:r>
        <w:t xml:space="preserve"> towards higher concentrations</w:t>
      </w:r>
      <w:r w:rsidRPr="004D0CD1">
        <w:t xml:space="preserve"> and differences in maxima suggest that</w:t>
      </w:r>
      <w:r>
        <w:t xml:space="preserve"> both </w:t>
      </w:r>
      <w:r w:rsidR="00482164" w:rsidRPr="00482164">
        <w:t xml:space="preserve">the amount of powder dispersed and </w:t>
      </w:r>
      <w:r w:rsidR="00482164">
        <w:t xml:space="preserve">the </w:t>
      </w:r>
      <w:r w:rsidR="00482164" w:rsidRPr="00482164">
        <w:t>tu</w:t>
      </w:r>
      <w:r w:rsidR="00482164">
        <w:t>r</w:t>
      </w:r>
      <w:r w:rsidR="00482164" w:rsidRPr="00482164">
        <w:t>bulence</w:t>
      </w:r>
      <w:r w:rsidR="00482164">
        <w:t xml:space="preserve"> of the dust cloud might be reduced when using the mushroom-cup or the mushroom nozzle - type B.</w:t>
      </w:r>
      <w:r w:rsidR="00BE4860">
        <w:t xml:space="preserve"> T</w:t>
      </w:r>
      <w:r w:rsidR="00BE4860" w:rsidRPr="00BE4860">
        <w:t xml:space="preserve">hese </w:t>
      </w:r>
      <w:r w:rsidR="00BE4860">
        <w:t>variations</w:t>
      </w:r>
      <w:r w:rsidR="00BE4860" w:rsidRPr="00BE4860">
        <w:t xml:space="preserve"> are probably more pronounced here, due to the highly cohesive nature of starch</w:t>
      </w:r>
      <w:r w:rsidR="00BE4860">
        <w:t>.</w:t>
      </w:r>
    </w:p>
    <w:p w14:paraId="1B5F1559" w14:textId="04395410" w:rsidR="00226042" w:rsidRPr="00B57B36" w:rsidRDefault="00804D3C" w:rsidP="00226042">
      <w:pPr>
        <w:pStyle w:val="CETCaption"/>
        <w:jc w:val="left"/>
      </w:pPr>
      <w:r>
        <w:rPr>
          <w:noProof/>
        </w:rPr>
        <w:drawing>
          <wp:inline distT="0" distB="0" distL="0" distR="0" wp14:anchorId="265AAB27" wp14:editId="248DAEFE">
            <wp:extent cx="3736800" cy="2502000"/>
            <wp:effectExtent l="0" t="0" r="0" b="0"/>
            <wp:docPr id="2050552726" name="Image 9" descr="Une image contenant texte, diagramme,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52726" name="Image 9" descr="Une image contenant texte, diagramme, ligne, Police&#10;&#10;Description générée automatiquement"/>
                    <pic:cNvPicPr/>
                  </pic:nvPicPr>
                  <pic:blipFill rotWithShape="1">
                    <a:blip r:embed="rId13"/>
                    <a:srcRect l="8194" t="5813" r="8721"/>
                    <a:stretch/>
                  </pic:blipFill>
                  <pic:spPr bwMode="auto">
                    <a:xfrm>
                      <a:off x="0" y="0"/>
                      <a:ext cx="3736800" cy="2502000"/>
                    </a:xfrm>
                    <a:prstGeom prst="rect">
                      <a:avLst/>
                    </a:prstGeom>
                    <a:ln>
                      <a:noFill/>
                    </a:ln>
                    <a:extLst>
                      <a:ext uri="{53640926-AAD7-44D8-BBD7-CCE9431645EC}">
                        <a14:shadowObscured xmlns:a14="http://schemas.microsoft.com/office/drawing/2010/main"/>
                      </a:ext>
                    </a:extLst>
                  </pic:spPr>
                </pic:pic>
              </a:graphicData>
            </a:graphic>
          </wp:inline>
        </w:drawing>
      </w:r>
    </w:p>
    <w:p w14:paraId="180CCF02" w14:textId="23301C9A" w:rsidR="00226042" w:rsidRDefault="00226042" w:rsidP="00226042">
      <w:pPr>
        <w:pStyle w:val="CETCaption"/>
        <w:rPr>
          <w:rStyle w:val="CETCaptionCarattere"/>
          <w:i/>
        </w:rPr>
      </w:pPr>
      <w:r w:rsidRPr="00BD077D">
        <w:rPr>
          <w:rStyle w:val="CETCaptionCarattere"/>
          <w:i/>
        </w:rPr>
        <w:t xml:space="preserve">Figure </w:t>
      </w:r>
      <w:r>
        <w:rPr>
          <w:rStyle w:val="CETCaptionCarattere"/>
          <w:i/>
        </w:rPr>
        <w:t>4</w:t>
      </w:r>
      <w:r w:rsidRPr="00BD077D">
        <w:rPr>
          <w:rStyle w:val="CETCaptionCarattere"/>
          <w:i/>
        </w:rPr>
        <w:t xml:space="preserve">: </w:t>
      </w:r>
      <w:r w:rsidR="001B424F">
        <w:rPr>
          <w:rStyle w:val="CETCaptionCarattere"/>
          <w:i/>
        </w:rPr>
        <w:t>Effect of nozzle design on the maximum overpressure (left) and maximum rate of pressure rise (right) of cellulose</w:t>
      </w:r>
    </w:p>
    <w:p w14:paraId="75CDEF2B" w14:textId="05504492" w:rsidR="00226042" w:rsidRPr="00B57B36" w:rsidRDefault="00804D3C" w:rsidP="00226042">
      <w:pPr>
        <w:pStyle w:val="CETCaption"/>
        <w:jc w:val="left"/>
      </w:pPr>
      <w:r>
        <w:rPr>
          <w:noProof/>
        </w:rPr>
        <w:drawing>
          <wp:inline distT="0" distB="0" distL="0" distR="0" wp14:anchorId="736337CE" wp14:editId="6A7F0643">
            <wp:extent cx="3722400" cy="2502000"/>
            <wp:effectExtent l="0" t="0" r="0" b="0"/>
            <wp:docPr id="19025529" name="Image 10"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529" name="Image 10" descr="Une image contenant texte, diagramme, ligne, capture d’écran&#10;&#10;Description générée automatiquement"/>
                    <pic:cNvPicPr/>
                  </pic:nvPicPr>
                  <pic:blipFill rotWithShape="1">
                    <a:blip r:embed="rId14"/>
                    <a:srcRect l="8194" t="5663" r="8795"/>
                    <a:stretch/>
                  </pic:blipFill>
                  <pic:spPr bwMode="auto">
                    <a:xfrm>
                      <a:off x="0" y="0"/>
                      <a:ext cx="3722400" cy="2502000"/>
                    </a:xfrm>
                    <a:prstGeom prst="rect">
                      <a:avLst/>
                    </a:prstGeom>
                    <a:ln>
                      <a:noFill/>
                    </a:ln>
                    <a:extLst>
                      <a:ext uri="{53640926-AAD7-44D8-BBD7-CCE9431645EC}">
                        <a14:shadowObscured xmlns:a14="http://schemas.microsoft.com/office/drawing/2010/main"/>
                      </a:ext>
                    </a:extLst>
                  </pic:spPr>
                </pic:pic>
              </a:graphicData>
            </a:graphic>
          </wp:inline>
        </w:drawing>
      </w:r>
    </w:p>
    <w:p w14:paraId="6045C9AF" w14:textId="0A462D53" w:rsidR="00367A17" w:rsidRDefault="00226042" w:rsidP="00226042">
      <w:pPr>
        <w:pStyle w:val="CETCaption"/>
        <w:rPr>
          <w:rStyle w:val="CETCaptionCarattere"/>
          <w:i/>
        </w:rPr>
      </w:pPr>
      <w:r w:rsidRPr="00BD077D">
        <w:rPr>
          <w:rStyle w:val="CETCaptionCarattere"/>
          <w:i/>
        </w:rPr>
        <w:t xml:space="preserve">Figure </w:t>
      </w:r>
      <w:r>
        <w:rPr>
          <w:rStyle w:val="CETCaptionCarattere"/>
          <w:i/>
        </w:rPr>
        <w:t>5</w:t>
      </w:r>
      <w:r w:rsidRPr="00BD077D">
        <w:rPr>
          <w:rStyle w:val="CETCaptionCarattere"/>
          <w:i/>
        </w:rPr>
        <w:t xml:space="preserve">: </w:t>
      </w:r>
      <w:r w:rsidR="001B424F">
        <w:rPr>
          <w:rStyle w:val="CETCaptionCarattere"/>
          <w:i/>
        </w:rPr>
        <w:t xml:space="preserve">Effect of nozzle design on </w:t>
      </w:r>
      <w:r w:rsidR="00015C42">
        <w:rPr>
          <w:rStyle w:val="CETCaptionCarattere"/>
          <w:i/>
        </w:rPr>
        <w:t>p</w:t>
      </w:r>
      <w:r w:rsidR="00482164">
        <w:rPr>
          <w:rStyle w:val="CETCaptionCarattere"/>
          <w:i/>
        </w:rPr>
        <w:t>m</w:t>
      </w:r>
      <w:r w:rsidR="001B424F">
        <w:rPr>
          <w:rStyle w:val="CETCaptionCarattere"/>
          <w:i/>
        </w:rPr>
        <w:t xml:space="preserve"> (left) and </w:t>
      </w:r>
      <w:r w:rsidR="00482164">
        <w:rPr>
          <w:rStyle w:val="CETCaptionCarattere"/>
          <w:i/>
        </w:rPr>
        <w:t>d</w:t>
      </w:r>
      <w:r w:rsidR="00015C42">
        <w:rPr>
          <w:rStyle w:val="CETCaptionCarattere"/>
          <w:i/>
        </w:rPr>
        <w:t>p</w:t>
      </w:r>
      <w:r w:rsidR="00482164">
        <w:rPr>
          <w:rStyle w:val="CETCaptionCarattere"/>
          <w:i/>
        </w:rPr>
        <w:t>/dt</w:t>
      </w:r>
      <w:r w:rsidR="00482164" w:rsidRPr="00482164">
        <w:rPr>
          <w:rStyle w:val="CETCaptionCarattere"/>
          <w:i/>
          <w:vertAlign w:val="subscript"/>
        </w:rPr>
        <w:t>m</w:t>
      </w:r>
      <w:r w:rsidR="001B424F">
        <w:rPr>
          <w:rStyle w:val="CETCaptionCarattere"/>
          <w:i/>
        </w:rPr>
        <w:t xml:space="preserve"> (right) of </w:t>
      </w:r>
      <w:r w:rsidR="00482164">
        <w:rPr>
          <w:rStyle w:val="CETCaptionCarattere"/>
          <w:i/>
        </w:rPr>
        <w:t>niacin</w:t>
      </w:r>
    </w:p>
    <w:p w14:paraId="391D2388" w14:textId="1AABA94D" w:rsidR="006E2DFA" w:rsidRPr="00BD077D" w:rsidRDefault="00740C69" w:rsidP="00482164">
      <w:pPr>
        <w:pStyle w:val="CETBodytext"/>
      </w:pPr>
      <w:r>
        <w:t>Figure</w:t>
      </w:r>
      <w:r w:rsidR="00EA4962">
        <w:t>s</w:t>
      </w:r>
      <w:r>
        <w:t xml:space="preserve"> 4 </w:t>
      </w:r>
      <w:r w:rsidR="00EA4962">
        <w:t xml:space="preserve">and 5 confirm the previous trends. </w:t>
      </w:r>
      <w:r w:rsidR="00EA4962" w:rsidRPr="00EA4962">
        <w:t>Although the maxima obtained are within acceptable orders of magnitude for all the nozzles used</w:t>
      </w:r>
      <w:r w:rsidR="007F4E46">
        <w:t xml:space="preserve"> (Spitzer et al., 2023), </w:t>
      </w:r>
      <w:r w:rsidR="00EA4962" w:rsidRPr="00EA4962">
        <w:t xml:space="preserve">they are not necessarily obtained at the same </w:t>
      </w:r>
      <w:r w:rsidR="00EA4962">
        <w:t xml:space="preserve">dust </w:t>
      </w:r>
      <w:r w:rsidR="00EA4962" w:rsidRPr="00EA4962">
        <w:t>concentrations</w:t>
      </w:r>
      <w:r w:rsidR="00EA4962">
        <w:t xml:space="preserve">. </w:t>
      </w:r>
      <w:r w:rsidR="00221230">
        <w:t xml:space="preserve">During explosion tests performed with the mushroom-cup, especially for lycopodium and niacin, </w:t>
      </w:r>
      <w:r w:rsidR="00221230" w:rsidRPr="00221230">
        <w:t xml:space="preserve">small </w:t>
      </w:r>
      <w:r w:rsidR="00221230">
        <w:t>amounts</w:t>
      </w:r>
      <w:r w:rsidR="00221230" w:rsidRPr="00221230">
        <w:t xml:space="preserve"> of unburned powder w</w:t>
      </w:r>
      <w:r w:rsidR="00221230">
        <w:t>ere</w:t>
      </w:r>
      <w:r w:rsidR="00221230" w:rsidRPr="00221230">
        <w:t xml:space="preserve"> collected under the cup after testing</w:t>
      </w:r>
      <w:r w:rsidR="00221230">
        <w:t xml:space="preserve">, </w:t>
      </w:r>
      <w:r w:rsidR="00221230" w:rsidRPr="00221230">
        <w:t>which may explain why a higher concentration has to be injected to obtain the same optimum</w:t>
      </w:r>
      <w:r w:rsidR="00221230">
        <w:t xml:space="preserve"> (Figure 5).</w:t>
      </w:r>
      <w:r w:rsidR="0018211C" w:rsidRPr="0018211C">
        <w:t xml:space="preserve"> </w:t>
      </w:r>
      <w:r w:rsidR="0018211C">
        <w:t>For</w:t>
      </w:r>
      <w:r w:rsidR="0018211C" w:rsidRPr="0018211C">
        <w:t xml:space="preserve"> the majority of powders tested, conservative values were obtained for the rebound nozzle.</w:t>
      </w:r>
      <w:r w:rsidR="00B34671">
        <w:t xml:space="preserve"> </w:t>
      </w:r>
      <w:r w:rsidR="00B34671" w:rsidRPr="00B34671">
        <w:t xml:space="preserve">Although it offers a larger air ejection surface, the </w:t>
      </w:r>
      <w:r w:rsidR="00B34671">
        <w:t>explosion severity measured</w:t>
      </w:r>
      <w:r w:rsidR="00B34671" w:rsidRPr="00B34671">
        <w:t xml:space="preserve"> with </w:t>
      </w:r>
      <w:r w:rsidR="00976D7D">
        <w:t xml:space="preserve">the </w:t>
      </w:r>
      <w:r w:rsidR="00E84C27">
        <w:t xml:space="preserve">type B </w:t>
      </w:r>
      <w:r w:rsidR="00B34671" w:rsidRPr="00B34671">
        <w:t xml:space="preserve">mushroom nozzle is frequently </w:t>
      </w:r>
      <w:r w:rsidR="00B34671">
        <w:t>lower</w:t>
      </w:r>
      <w:r w:rsidR="00B34671" w:rsidRPr="00B34671">
        <w:t xml:space="preserve"> to that of </w:t>
      </w:r>
      <w:r w:rsidR="00B34671" w:rsidRPr="00E84C27">
        <w:t xml:space="preserve">other configurations. </w:t>
      </w:r>
      <w:r w:rsidR="00BB44B6" w:rsidRPr="00E84C27">
        <w:t>Considering that the same amount of powder is dispersed, which is confirmed by a p</w:t>
      </w:r>
      <w:r w:rsidR="00BB44B6" w:rsidRPr="00E84C27">
        <w:rPr>
          <w:vertAlign w:val="subscript"/>
        </w:rPr>
        <w:t>max</w:t>
      </w:r>
      <w:r w:rsidR="00BB44B6" w:rsidRPr="00E84C27">
        <w:t xml:space="preserve"> comparable to other nozzles, lower dp/dtm values are probably due to a lower </w:t>
      </w:r>
      <w:r w:rsidR="00E84C27" w:rsidRPr="00E84C27">
        <w:t>gas</w:t>
      </w:r>
      <w:r w:rsidR="00BB44B6" w:rsidRPr="00E84C27">
        <w:t xml:space="preserve"> velocity and </w:t>
      </w:r>
      <w:r w:rsidR="00E84C27" w:rsidRPr="00E84C27">
        <w:t>therefore to a</w:t>
      </w:r>
      <w:r w:rsidR="00BB44B6" w:rsidRPr="00E84C27">
        <w:t xml:space="preserve"> reduced turbulence</w:t>
      </w:r>
      <w:r w:rsidR="00B34671" w:rsidRPr="00E84C27">
        <w:t>.</w:t>
      </w:r>
      <w:r w:rsidR="004E76BF" w:rsidRPr="00E84C27">
        <w:t xml:space="preserve"> The even positioning of the powder around the nozzles prior to testing is also a </w:t>
      </w:r>
      <w:r w:rsidR="00757A6A" w:rsidRPr="00E84C27">
        <w:t>critical</w:t>
      </w:r>
      <w:r w:rsidR="004E76BF" w:rsidRPr="00E84C27">
        <w:t xml:space="preserve"> point to master.</w:t>
      </w:r>
    </w:p>
    <w:p w14:paraId="7382C781" w14:textId="01B61DB7" w:rsidR="00600535" w:rsidRPr="00B57B36" w:rsidRDefault="001B424F" w:rsidP="00FA5F5F">
      <w:pPr>
        <w:pStyle w:val="CETheadingx"/>
      </w:pPr>
      <w:r>
        <w:lastRenderedPageBreak/>
        <w:t>Influence of nozzle design on particle size distribution</w:t>
      </w:r>
    </w:p>
    <w:p w14:paraId="7B2CA322" w14:textId="145C4AE3" w:rsidR="00600535" w:rsidRDefault="006E2DFA" w:rsidP="00600535">
      <w:pPr>
        <w:pStyle w:val="CETBodytext"/>
        <w:rPr>
          <w:lang w:val="en-GB"/>
        </w:rPr>
      </w:pPr>
      <w:r>
        <w:rPr>
          <w:lang w:val="en-GB"/>
        </w:rPr>
        <w:t xml:space="preserve">In-situ dispersion tests were carried out with the four powders and nozzles. Figures 6 and 7 show the PSD determined at 60 ms </w:t>
      </w:r>
      <w:r w:rsidRPr="00167C25">
        <w:rPr>
          <w:lang w:val="en-GB"/>
        </w:rPr>
        <w:t>± 5 m</w:t>
      </w:r>
      <w:r>
        <w:rPr>
          <w:lang w:val="en-GB"/>
        </w:rPr>
        <w:t xml:space="preserve">s. </w:t>
      </w:r>
    </w:p>
    <w:p w14:paraId="1CA4BA25" w14:textId="150EB110" w:rsidR="00581B2C" w:rsidRPr="00B57B36" w:rsidRDefault="00804D3C" w:rsidP="00581B2C">
      <w:pPr>
        <w:pStyle w:val="CETCaption"/>
        <w:jc w:val="left"/>
      </w:pPr>
      <w:r>
        <w:rPr>
          <w:noProof/>
        </w:rPr>
        <w:drawing>
          <wp:inline distT="0" distB="0" distL="0" distR="0" wp14:anchorId="6FAB8010" wp14:editId="7C4F5AA1">
            <wp:extent cx="4993200" cy="3330000"/>
            <wp:effectExtent l="0" t="0" r="0" b="0"/>
            <wp:docPr id="42669942" name="Image 11" descr="Une image contenant texte, ligne, diagramm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9942" name="Image 11" descr="Une image contenant texte, ligne, diagramme, Tracé&#10;&#10;Description générée automatiquement"/>
                    <pic:cNvPicPr/>
                  </pic:nvPicPr>
                  <pic:blipFill rotWithShape="1">
                    <a:blip r:embed="rId15"/>
                    <a:srcRect l="8634" t="4024" r="8882" b="2960"/>
                    <a:stretch/>
                  </pic:blipFill>
                  <pic:spPr bwMode="auto">
                    <a:xfrm>
                      <a:off x="0" y="0"/>
                      <a:ext cx="4993200" cy="3330000"/>
                    </a:xfrm>
                    <a:prstGeom prst="rect">
                      <a:avLst/>
                    </a:prstGeom>
                    <a:ln>
                      <a:noFill/>
                    </a:ln>
                    <a:extLst>
                      <a:ext uri="{53640926-AAD7-44D8-BBD7-CCE9431645EC}">
                        <a14:shadowObscured xmlns:a14="http://schemas.microsoft.com/office/drawing/2010/main"/>
                      </a:ext>
                    </a:extLst>
                  </pic:spPr>
                </pic:pic>
              </a:graphicData>
            </a:graphic>
          </wp:inline>
        </w:drawing>
      </w:r>
    </w:p>
    <w:p w14:paraId="612B12A7" w14:textId="2936E04D" w:rsidR="004A3C53" w:rsidRDefault="00581B2C" w:rsidP="00581B2C">
      <w:pPr>
        <w:pStyle w:val="CETBodytext"/>
        <w:rPr>
          <w:rStyle w:val="CETCaptionCarattere"/>
        </w:rPr>
      </w:pPr>
      <w:r w:rsidRPr="00BD077D">
        <w:rPr>
          <w:rStyle w:val="CETCaptionCarattere"/>
        </w:rPr>
        <w:t xml:space="preserve">Figure </w:t>
      </w:r>
      <w:r w:rsidR="004A3C53">
        <w:rPr>
          <w:rStyle w:val="CETCaptionCarattere"/>
        </w:rPr>
        <w:t>6</w:t>
      </w:r>
      <w:r w:rsidRPr="00BD077D">
        <w:rPr>
          <w:rStyle w:val="CETCaptionCarattere"/>
        </w:rPr>
        <w:t xml:space="preserve">: </w:t>
      </w:r>
      <w:r w:rsidRPr="00581B2C">
        <w:rPr>
          <w:rStyle w:val="CETCaptionCarattere"/>
        </w:rPr>
        <w:t xml:space="preserve">Influence of the nozzle design </w:t>
      </w:r>
      <w:r w:rsidR="006E2DFA">
        <w:rPr>
          <w:rStyle w:val="CETCaptionCarattere"/>
        </w:rPr>
        <w:t>on the PSD of lycopodium and starch inside the 20L sphere</w:t>
      </w:r>
    </w:p>
    <w:p w14:paraId="50A10AF4" w14:textId="19405AED" w:rsidR="004A3C53" w:rsidRPr="00B57B36" w:rsidRDefault="00804D3C" w:rsidP="004A3C53">
      <w:pPr>
        <w:pStyle w:val="CETCaption"/>
        <w:jc w:val="left"/>
      </w:pPr>
      <w:r>
        <w:rPr>
          <w:noProof/>
        </w:rPr>
        <w:drawing>
          <wp:inline distT="0" distB="0" distL="0" distR="0" wp14:anchorId="54ECF0EA" wp14:editId="0B54BDB7">
            <wp:extent cx="4982400" cy="3330000"/>
            <wp:effectExtent l="0" t="0" r="0" b="0"/>
            <wp:docPr id="155281791" name="Image 12" descr="Une image contenant texte, ligne, diagramm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1791" name="Image 12" descr="Une image contenant texte, ligne, diagramme, Tracé&#10;&#10;Description générée automatiquement"/>
                    <pic:cNvPicPr/>
                  </pic:nvPicPr>
                  <pic:blipFill rotWithShape="1">
                    <a:blip r:embed="rId16"/>
                    <a:srcRect l="8547" t="4024" r="9058" b="2807"/>
                    <a:stretch/>
                  </pic:blipFill>
                  <pic:spPr bwMode="auto">
                    <a:xfrm>
                      <a:off x="0" y="0"/>
                      <a:ext cx="4982400" cy="3330000"/>
                    </a:xfrm>
                    <a:prstGeom prst="rect">
                      <a:avLst/>
                    </a:prstGeom>
                    <a:ln>
                      <a:noFill/>
                    </a:ln>
                    <a:extLst>
                      <a:ext uri="{53640926-AAD7-44D8-BBD7-CCE9431645EC}">
                        <a14:shadowObscured xmlns:a14="http://schemas.microsoft.com/office/drawing/2010/main"/>
                      </a:ext>
                    </a:extLst>
                  </pic:spPr>
                </pic:pic>
              </a:graphicData>
            </a:graphic>
          </wp:inline>
        </w:drawing>
      </w:r>
    </w:p>
    <w:p w14:paraId="1F1DADCB" w14:textId="755FC3DE" w:rsidR="004A3C53" w:rsidRDefault="004A3C53" w:rsidP="00581B2C">
      <w:pPr>
        <w:pStyle w:val="CETBodytext"/>
        <w:rPr>
          <w:rStyle w:val="CETCaptionCarattere"/>
        </w:rPr>
      </w:pPr>
      <w:r w:rsidRPr="00BD077D">
        <w:rPr>
          <w:rStyle w:val="CETCaptionCarattere"/>
        </w:rPr>
        <w:t xml:space="preserve">Figure </w:t>
      </w:r>
      <w:r w:rsidR="006E2DFA">
        <w:rPr>
          <w:rStyle w:val="CETCaptionCarattere"/>
        </w:rPr>
        <w:t>7</w:t>
      </w:r>
      <w:r w:rsidRPr="00BD077D">
        <w:rPr>
          <w:rStyle w:val="CETCaptionCarattere"/>
        </w:rPr>
        <w:t xml:space="preserve">: </w:t>
      </w:r>
      <w:r w:rsidRPr="00581B2C">
        <w:rPr>
          <w:rStyle w:val="CETCaptionCarattere"/>
        </w:rPr>
        <w:t xml:space="preserve">Influence of the nozzle design </w:t>
      </w:r>
      <w:r w:rsidR="006E2DFA">
        <w:rPr>
          <w:rStyle w:val="CETCaptionCarattere"/>
        </w:rPr>
        <w:t>on the PSD of niacin and cellulose inside the 20L sphere</w:t>
      </w:r>
    </w:p>
    <w:p w14:paraId="1B824186" w14:textId="77777777" w:rsidR="00804D3C" w:rsidRDefault="00804D3C" w:rsidP="00F64EAE">
      <w:pPr>
        <w:pStyle w:val="CETBodytext"/>
      </w:pPr>
    </w:p>
    <w:p w14:paraId="15C3DC52" w14:textId="2314A5C5" w:rsidR="00895D68" w:rsidRDefault="00E348EB" w:rsidP="00F64EAE">
      <w:pPr>
        <w:pStyle w:val="CETBodytext"/>
      </w:pPr>
      <w:r>
        <w:t xml:space="preserve">Figure 6a shows that, as expected, the PSD of lycopodium does not change much as a function of the nozzle. A small fragmentation phenomenon is yet visible around 10 µm for the rebound nozzle, which is consistent with </w:t>
      </w:r>
      <w:r>
        <w:lastRenderedPageBreak/>
        <w:t>the high shear stresses developed by this dispersion system</w:t>
      </w:r>
      <w:r w:rsidR="0049288B">
        <w:t xml:space="preserve"> (Kalejaiye et al., 2010)</w:t>
      </w:r>
      <w:r>
        <w:t xml:space="preserve">. </w:t>
      </w:r>
      <w:r w:rsidRPr="00E348EB">
        <w:t xml:space="preserve">Thus, the variations in </w:t>
      </w:r>
      <w:r>
        <w:t xml:space="preserve">explosion severity </w:t>
      </w:r>
      <w:r w:rsidRPr="00E348EB">
        <w:t xml:space="preserve">observed in Figure 2 cannot be explained by a change in PSD. </w:t>
      </w:r>
      <w:r w:rsidRPr="00E84C27">
        <w:t>The assumption of less efficient dispersion in the case of the mushroom-cup and</w:t>
      </w:r>
      <w:r w:rsidR="00E84C27">
        <w:t>, less notably, the type B</w:t>
      </w:r>
      <w:r w:rsidRPr="00E84C27">
        <w:t xml:space="preserve"> </w:t>
      </w:r>
      <w:r w:rsidR="002674C0" w:rsidRPr="00E84C27">
        <w:t xml:space="preserve">mushroom nozzle </w:t>
      </w:r>
      <w:r w:rsidRPr="00E84C27">
        <w:t xml:space="preserve">is therefore </w:t>
      </w:r>
      <w:r w:rsidR="002674C0" w:rsidRPr="00E84C27">
        <w:t>supporte</w:t>
      </w:r>
      <w:r w:rsidRPr="00E84C27">
        <w:t>d.</w:t>
      </w:r>
      <w:r w:rsidR="009618DC" w:rsidRPr="00E84C27">
        <w:t xml:space="preserve"> </w:t>
      </w:r>
      <w:r w:rsidRPr="00E84C27">
        <w:t>Figures 6b and 7b demonstrate that both rebound nozzle and mushroom nozzle type A lead to finer particles, which will increase the reactive surface of the powders and promotes their explosion severity, especially their combustion kinetics, as confirmed by the results displayed in Figure</w:t>
      </w:r>
      <w:r w:rsidR="00895D68" w:rsidRPr="00E84C27">
        <w:t>s</w:t>
      </w:r>
      <w:r w:rsidRPr="00E84C27">
        <w:t xml:space="preserve"> 2 to 5. </w:t>
      </w:r>
      <w:r w:rsidR="00895D68" w:rsidRPr="00E84C27">
        <w:t>The hypothesis of partial entrainment of the powders (lifting of the finest dust, mainly) must be evoked, as it could explain why, with potentially less intense shear stress, Janovsky’s nozzle type A leads to PSD sometimes finer as those observed with the rebound nozzle. However, a validation of this assumption would coincide with lower</w:t>
      </w:r>
      <w:r w:rsidR="00895D68" w:rsidRPr="00895D68">
        <w:t xml:space="preserve"> explosion</w:t>
      </w:r>
      <w:r w:rsidR="00895D68">
        <w:t xml:space="preserve"> over</w:t>
      </w:r>
      <w:r w:rsidR="00895D68" w:rsidRPr="00895D68">
        <w:t xml:space="preserve">pressures in the case of </w:t>
      </w:r>
      <w:r w:rsidR="00895D68">
        <w:t>the mushroom nozzle type A</w:t>
      </w:r>
      <w:r w:rsidR="00895D68" w:rsidRPr="00895D68">
        <w:t>, which does not appear to be the case in view of the results</w:t>
      </w:r>
      <w:r w:rsidR="00895D68">
        <w:t xml:space="preserve"> described in the previous section (Figures 2 to 5, left).</w:t>
      </w:r>
      <w:r w:rsidR="000D446D" w:rsidRPr="000D446D">
        <w:t xml:space="preserve"> The greatest differences in PSD were measured for cellulose</w:t>
      </w:r>
      <w:r w:rsidR="000D446D">
        <w:t xml:space="preserve"> (Figure 7)</w:t>
      </w:r>
      <w:r w:rsidR="000D446D" w:rsidRPr="000D446D">
        <w:t xml:space="preserve">, which is consistent with the fact that this is the material with the widest </w:t>
      </w:r>
      <w:r w:rsidR="000D446D">
        <w:t>PSD</w:t>
      </w:r>
      <w:r w:rsidR="000D446D" w:rsidRPr="000D446D">
        <w:t>, but also a shape conducive to less homogeneous dispersion and more interactions between particles</w:t>
      </w:r>
      <w:r w:rsidR="000D446D">
        <w:t xml:space="preserve">, e.g. </w:t>
      </w:r>
      <w:r w:rsidR="000D446D" w:rsidRPr="000D446D">
        <w:t>entanglement</w:t>
      </w:r>
      <w:r w:rsidR="000D446D">
        <w:t xml:space="preserve"> of the fibers. As for niacin (Figure 7a), it is worth noting that a small deviation of the PSD towards large diameters is observed for the cellulose (Figure 7b). H</w:t>
      </w:r>
      <w:r w:rsidR="000D446D" w:rsidRPr="000D446D">
        <w:t>owever, this phenomenon is not observed between 30 and 50 ms, nor after 70 ms</w:t>
      </w:r>
      <w:r w:rsidR="000D446D">
        <w:t>, b</w:t>
      </w:r>
      <w:r w:rsidR="000D446D" w:rsidRPr="000D446D">
        <w:t>ear</w:t>
      </w:r>
      <w:r w:rsidR="000D446D">
        <w:t>ing</w:t>
      </w:r>
      <w:r w:rsidR="000D446D" w:rsidRPr="000D446D">
        <w:t xml:space="preserve"> in mind that PSD evolves significantly during dispersion.</w:t>
      </w:r>
      <w:r w:rsidR="009A2FB9">
        <w:t xml:space="preserve"> F</w:t>
      </w:r>
      <w:r w:rsidR="009A2FB9" w:rsidRPr="009A2FB9">
        <w:t xml:space="preserve">inally, the difference </w:t>
      </w:r>
      <w:r w:rsidR="009A2FB9">
        <w:t xml:space="preserve">in </w:t>
      </w:r>
      <w:r w:rsidR="009A2FB9">
        <w:rPr>
          <w:lang w:val="en-GB"/>
        </w:rPr>
        <w:t xml:space="preserve">cross-section area between </w:t>
      </w:r>
      <w:r w:rsidR="009618DC">
        <w:rPr>
          <w:lang w:val="en-GB"/>
        </w:rPr>
        <w:t>the two</w:t>
      </w:r>
      <w:r w:rsidR="009A2FB9">
        <w:rPr>
          <w:lang w:val="en-GB"/>
        </w:rPr>
        <w:t xml:space="preserve"> mushroom nozzles </w:t>
      </w:r>
      <w:r w:rsidR="009A2FB9" w:rsidRPr="009A2FB9">
        <w:t>plays a</w:t>
      </w:r>
      <w:r w:rsidR="009A2FB9">
        <w:t xml:space="preserve"> </w:t>
      </w:r>
      <w:r w:rsidR="009A2FB9" w:rsidRPr="009A2FB9">
        <w:t xml:space="preserve">role in </w:t>
      </w:r>
      <w:r w:rsidR="009618DC">
        <w:t>dust lifting</w:t>
      </w:r>
      <w:r w:rsidR="009A2FB9" w:rsidRPr="009A2FB9">
        <w:t xml:space="preserve"> and, </w:t>
      </w:r>
      <w:r w:rsidR="009A2FB9">
        <w:t>most probably</w:t>
      </w:r>
      <w:r w:rsidR="009A2FB9" w:rsidRPr="009A2FB9">
        <w:t>, in the turbulence generated in the 20L vessel.</w:t>
      </w:r>
      <w:r w:rsidR="009A2FB9">
        <w:t xml:space="preserve"> Particle Image Velocimetry tests</w:t>
      </w:r>
      <w:r w:rsidR="009A2FB9" w:rsidRPr="009A2FB9">
        <w:t xml:space="preserve"> are underway to examine this</w:t>
      </w:r>
      <w:r w:rsidR="009A2FB9">
        <w:t xml:space="preserve"> assertion.</w:t>
      </w:r>
    </w:p>
    <w:p w14:paraId="68D26B83" w14:textId="77777777" w:rsidR="00600535" w:rsidRPr="00B57B36" w:rsidRDefault="00600535" w:rsidP="00600535">
      <w:pPr>
        <w:pStyle w:val="CETHeading1"/>
        <w:rPr>
          <w:lang w:val="en-GB"/>
        </w:rPr>
      </w:pPr>
      <w:r w:rsidRPr="00B57B36">
        <w:rPr>
          <w:lang w:val="en-GB"/>
        </w:rPr>
        <w:t>Conclusions</w:t>
      </w:r>
    </w:p>
    <w:p w14:paraId="0B5A4917" w14:textId="3CEC1701" w:rsidR="003A27F2" w:rsidRPr="008E73CD" w:rsidRDefault="009618DC" w:rsidP="008E7417">
      <w:pPr>
        <w:pStyle w:val="CETBodytext"/>
        <w:rPr>
          <w:lang w:val="en-GB"/>
        </w:rPr>
      </w:pPr>
      <w:r>
        <w:rPr>
          <w:lang w:val="en-GB"/>
        </w:rPr>
        <w:t>E</w:t>
      </w:r>
      <w:r w:rsidRPr="009618DC">
        <w:rPr>
          <w:lang w:val="en-GB"/>
        </w:rPr>
        <w:t xml:space="preserve">xplosion tests carried out with different nozzles have demonstrated the importance of this element on the maximum </w:t>
      </w:r>
      <w:r>
        <w:rPr>
          <w:lang w:val="en-GB"/>
        </w:rPr>
        <w:t>rate</w:t>
      </w:r>
      <w:r w:rsidRPr="009618DC">
        <w:rPr>
          <w:lang w:val="en-GB"/>
        </w:rPr>
        <w:t xml:space="preserve"> of pressure rise (</w:t>
      </w:r>
      <w:r>
        <w:rPr>
          <w:lang w:val="en-GB"/>
        </w:rPr>
        <w:t xml:space="preserve">the </w:t>
      </w:r>
      <w:r w:rsidRPr="009618DC">
        <w:rPr>
          <w:lang w:val="en-GB"/>
        </w:rPr>
        <w:t xml:space="preserve">maximum </w:t>
      </w:r>
      <w:r>
        <w:rPr>
          <w:lang w:val="en-GB"/>
        </w:rPr>
        <w:t>over</w:t>
      </w:r>
      <w:r w:rsidRPr="009618DC">
        <w:rPr>
          <w:lang w:val="en-GB"/>
        </w:rPr>
        <w:t xml:space="preserve">pressure being less affected) and on </w:t>
      </w:r>
      <w:r>
        <w:rPr>
          <w:lang w:val="en-GB"/>
        </w:rPr>
        <w:t xml:space="preserve">the </w:t>
      </w:r>
      <w:r w:rsidRPr="009618DC">
        <w:rPr>
          <w:lang w:val="en-GB"/>
        </w:rPr>
        <w:t>particle size distribution in the v</w:t>
      </w:r>
      <w:r>
        <w:rPr>
          <w:lang w:val="en-GB"/>
        </w:rPr>
        <w:t xml:space="preserve">essel. If the most conservative results are often obtained with the rebound nozzle, it is sometimes not advisable to introduce the powder sample in the dust </w:t>
      </w:r>
      <w:r w:rsidR="00976D7D">
        <w:rPr>
          <w:lang w:val="en-GB"/>
        </w:rPr>
        <w:t>container</w:t>
      </w:r>
      <w:r w:rsidR="008E73CD">
        <w:rPr>
          <w:lang w:val="en-GB"/>
        </w:rPr>
        <w:t xml:space="preserve">, e.g. </w:t>
      </w:r>
      <w:r w:rsidR="008E73CD" w:rsidRPr="008E73CD">
        <w:rPr>
          <w:lang w:val="en-GB"/>
        </w:rPr>
        <w:t xml:space="preserve">in the case of coarse powders, </w:t>
      </w:r>
      <w:r w:rsidR="008E73CD">
        <w:rPr>
          <w:lang w:val="en-GB"/>
        </w:rPr>
        <w:t xml:space="preserve">flocky dusts and </w:t>
      </w:r>
      <w:r w:rsidR="008E73CD" w:rsidRPr="008E73CD">
        <w:rPr>
          <w:lang w:val="en-GB"/>
        </w:rPr>
        <w:t xml:space="preserve">friction-sensitive </w:t>
      </w:r>
      <w:r w:rsidR="008E73CD">
        <w:rPr>
          <w:lang w:val="en-GB"/>
        </w:rPr>
        <w:t xml:space="preserve">or </w:t>
      </w:r>
      <w:r w:rsidR="008E73CD" w:rsidRPr="008E73CD">
        <w:rPr>
          <w:lang w:val="en-GB"/>
        </w:rPr>
        <w:t>pyrophoric materials</w:t>
      </w:r>
      <w:r w:rsidR="008E73CD">
        <w:rPr>
          <w:lang w:val="en-GB"/>
        </w:rPr>
        <w:t xml:space="preserve">. In such situations, </w:t>
      </w:r>
      <w:r w:rsidRPr="009618DC">
        <w:rPr>
          <w:lang w:val="en-GB"/>
        </w:rPr>
        <w:t xml:space="preserve">the </w:t>
      </w:r>
      <w:r>
        <w:rPr>
          <w:lang w:val="en-GB"/>
        </w:rPr>
        <w:t xml:space="preserve">mushroom </w:t>
      </w:r>
      <w:r w:rsidRPr="009618DC">
        <w:rPr>
          <w:lang w:val="en-GB"/>
        </w:rPr>
        <w:t xml:space="preserve">nozzle </w:t>
      </w:r>
      <w:r>
        <w:rPr>
          <w:lang w:val="en-GB"/>
        </w:rPr>
        <w:t>- type A</w:t>
      </w:r>
      <w:r w:rsidRPr="009618DC">
        <w:rPr>
          <w:lang w:val="en-GB"/>
        </w:rPr>
        <w:t xml:space="preserve"> </w:t>
      </w:r>
      <w:r w:rsidR="008E73CD">
        <w:rPr>
          <w:lang w:val="en-GB"/>
        </w:rPr>
        <w:t xml:space="preserve">has proved to be </w:t>
      </w:r>
      <w:r w:rsidRPr="009618DC">
        <w:rPr>
          <w:lang w:val="en-GB"/>
        </w:rPr>
        <w:t>an interesting alternative</w:t>
      </w:r>
      <w:r>
        <w:rPr>
          <w:lang w:val="en-GB"/>
        </w:rPr>
        <w:t xml:space="preserve">. </w:t>
      </w:r>
      <w:r w:rsidR="008E73CD">
        <w:rPr>
          <w:lang w:val="en-GB"/>
        </w:rPr>
        <w:t>If it sometimes leads to less effective dispersion, t</w:t>
      </w:r>
      <w:r>
        <w:rPr>
          <w:lang w:val="en-GB"/>
        </w:rPr>
        <w:t xml:space="preserve">he </w:t>
      </w:r>
      <w:r w:rsidR="008C6854">
        <w:rPr>
          <w:lang w:val="en-GB"/>
        </w:rPr>
        <w:t xml:space="preserve">use of the standardised </w:t>
      </w:r>
      <w:r>
        <w:rPr>
          <w:lang w:val="en-GB"/>
        </w:rPr>
        <w:t xml:space="preserve">mushroom-cup </w:t>
      </w:r>
      <w:r w:rsidR="008C6854">
        <w:rPr>
          <w:lang w:val="en-GB"/>
        </w:rPr>
        <w:t>reduces the fragmentation phenomenon observed with the rebound nozzle</w:t>
      </w:r>
      <w:r w:rsidR="008E73CD">
        <w:rPr>
          <w:lang w:val="en-GB"/>
        </w:rPr>
        <w:t xml:space="preserve">. This has the </w:t>
      </w:r>
      <w:r w:rsidR="008E73CD" w:rsidRPr="008E73CD">
        <w:rPr>
          <w:lang w:val="en-GB"/>
        </w:rPr>
        <w:t>advantage of avoiding the powder breakage</w:t>
      </w:r>
      <w:r w:rsidR="008E73CD">
        <w:rPr>
          <w:lang w:val="en-GB"/>
        </w:rPr>
        <w:t xml:space="preserve"> that</w:t>
      </w:r>
      <w:r w:rsidR="008E73CD" w:rsidRPr="008E73CD">
        <w:rPr>
          <w:lang w:val="en-GB"/>
        </w:rPr>
        <w:t xml:space="preserve"> alter</w:t>
      </w:r>
      <w:r w:rsidR="008E73CD">
        <w:rPr>
          <w:lang w:val="en-GB"/>
        </w:rPr>
        <w:t>s</w:t>
      </w:r>
      <w:r w:rsidR="008E73CD" w:rsidRPr="008E73CD">
        <w:rPr>
          <w:lang w:val="en-GB"/>
        </w:rPr>
        <w:t xml:space="preserve"> </w:t>
      </w:r>
      <w:r w:rsidR="009712E9">
        <w:rPr>
          <w:lang w:val="en-GB"/>
        </w:rPr>
        <w:t xml:space="preserve">its </w:t>
      </w:r>
      <w:r w:rsidR="008E73CD" w:rsidRPr="008E73CD">
        <w:rPr>
          <w:lang w:val="en-GB"/>
        </w:rPr>
        <w:t>reacti</w:t>
      </w:r>
      <w:r w:rsidR="008E73CD">
        <w:rPr>
          <w:lang w:val="en-GB"/>
        </w:rPr>
        <w:t>ve</w:t>
      </w:r>
      <w:r w:rsidR="008E73CD" w:rsidRPr="008E73CD">
        <w:rPr>
          <w:lang w:val="en-GB"/>
        </w:rPr>
        <w:t xml:space="preserve"> surface</w:t>
      </w:r>
      <w:r w:rsidR="008E73CD">
        <w:rPr>
          <w:lang w:val="en-GB"/>
        </w:rPr>
        <w:t xml:space="preserve">. </w:t>
      </w:r>
    </w:p>
    <w:p w14:paraId="459D05E6" w14:textId="77777777" w:rsidR="00600535" w:rsidRPr="00B57B36" w:rsidRDefault="00600535" w:rsidP="00600535">
      <w:pPr>
        <w:pStyle w:val="CETAcknowledgementstitle"/>
      </w:pPr>
      <w:r w:rsidRPr="00B57B36">
        <w:t>Acknowledgments</w:t>
      </w:r>
    </w:p>
    <w:p w14:paraId="33F8138F" w14:textId="6078E571" w:rsidR="00600535" w:rsidRPr="00B57B36" w:rsidRDefault="006E2DFA" w:rsidP="00600535">
      <w:pPr>
        <w:pStyle w:val="CETBodytext"/>
        <w:rPr>
          <w:lang w:val="en-GB"/>
        </w:rPr>
      </w:pPr>
      <w:r w:rsidRPr="006E2DFA">
        <w:rPr>
          <w:lang w:val="en-GB"/>
        </w:rPr>
        <w:t xml:space="preserve">The authors </w:t>
      </w:r>
      <w:r w:rsidR="00532560">
        <w:rPr>
          <w:lang w:val="en-GB"/>
        </w:rPr>
        <w:t>thank</w:t>
      </w:r>
      <w:r w:rsidRPr="006E2DFA">
        <w:rPr>
          <w:lang w:val="en-GB"/>
        </w:rPr>
        <w:t xml:space="preserve"> </w:t>
      </w:r>
      <w:r w:rsidR="003F6994" w:rsidRPr="006E2DFA">
        <w:rPr>
          <w:lang w:val="en-GB"/>
        </w:rPr>
        <w:t>Y</w:t>
      </w:r>
      <w:r w:rsidR="00532560">
        <w:rPr>
          <w:lang w:val="en-GB"/>
        </w:rPr>
        <w:t>.</w:t>
      </w:r>
      <w:r w:rsidR="003F6994" w:rsidRPr="006E2DFA">
        <w:rPr>
          <w:lang w:val="en-GB"/>
        </w:rPr>
        <w:t xml:space="preserve"> Niedergang and C</w:t>
      </w:r>
      <w:r w:rsidR="00532560">
        <w:rPr>
          <w:lang w:val="en-GB"/>
        </w:rPr>
        <w:t>.</w:t>
      </w:r>
      <w:r w:rsidR="003F6994" w:rsidRPr="006E2DFA">
        <w:rPr>
          <w:lang w:val="en-GB"/>
        </w:rPr>
        <w:t xml:space="preserve"> Koenig</w:t>
      </w:r>
      <w:r w:rsidRPr="006E2DFA">
        <w:rPr>
          <w:lang w:val="en-GB"/>
        </w:rPr>
        <w:t xml:space="preserve"> (LRGP) for their </w:t>
      </w:r>
      <w:r w:rsidR="00532560">
        <w:rPr>
          <w:lang w:val="en-GB"/>
        </w:rPr>
        <w:t>support</w:t>
      </w:r>
      <w:r w:rsidRPr="006E2DFA">
        <w:rPr>
          <w:lang w:val="en-GB"/>
        </w:rPr>
        <w:t xml:space="preserve"> in manufacturing the mushroom-cup.</w:t>
      </w:r>
    </w:p>
    <w:p w14:paraId="4F1327F8" w14:textId="77777777" w:rsidR="00600535" w:rsidRPr="00B57B36" w:rsidRDefault="00600535" w:rsidP="00600535">
      <w:pPr>
        <w:pStyle w:val="CETReference"/>
      </w:pPr>
      <w:r w:rsidRPr="00B57B36">
        <w:t>References</w:t>
      </w:r>
    </w:p>
    <w:p w14:paraId="253FAE96" w14:textId="5D361EAA" w:rsidR="00F10C0D" w:rsidRDefault="00F10C0D" w:rsidP="00F10C0D">
      <w:pPr>
        <w:pStyle w:val="CETReferencetext"/>
      </w:pPr>
      <w:r>
        <w:t xml:space="preserve">CEN, European Committee for Standardization EN14034-1/2 (2011) - Determination of explosion characteristics of dust clouds </w:t>
      </w:r>
      <w:r w:rsidR="00543C17">
        <w:t>-</w:t>
      </w:r>
      <w:r>
        <w:t xml:space="preserve"> Parts 1/2 Determination of the maximum explosion pressure pmax/(dp/dt)max of dust clouds.</w:t>
      </w:r>
    </w:p>
    <w:p w14:paraId="10222393" w14:textId="0A48C87A" w:rsidR="001F12A6" w:rsidRDefault="001F12A6" w:rsidP="00F10C0D">
      <w:pPr>
        <w:pStyle w:val="CETReferencetext"/>
      </w:pPr>
      <w:r>
        <w:t>Dahoe A.E., Cant R.S., Scarlett B., 2001, On the decay of turbulence in the 20-Liter explosion sphere</w:t>
      </w:r>
      <w:r w:rsidR="00333894">
        <w:t>,</w:t>
      </w:r>
      <w:r>
        <w:t xml:space="preserve"> Flow, Turbulence and Combustion</w:t>
      </w:r>
      <w:r w:rsidR="00333894">
        <w:t>,</w:t>
      </w:r>
      <w:r>
        <w:t xml:space="preserve"> 67, 159–184,</w:t>
      </w:r>
      <w:r w:rsidR="00333894">
        <w:t xml:space="preserve"> doi:</w:t>
      </w:r>
      <w:r>
        <w:t>10.1023/A:1015099110942</w:t>
      </w:r>
      <w:r w:rsidR="00333894">
        <w:t>.</w:t>
      </w:r>
    </w:p>
    <w:p w14:paraId="4197E575" w14:textId="1CD41B25" w:rsidR="00A85376" w:rsidRDefault="00A85376" w:rsidP="00A85376">
      <w:pPr>
        <w:pStyle w:val="CETReferencetext"/>
      </w:pPr>
      <w:r>
        <w:t>Huéscar Medina C., MacCoitir B., Sattar H., Slatter D.J.F., Phylaktou H.N., Andrews G.E., Gibbs, B.M., 2015, Comparison of the explosion characteristics and flame speeds of pulverized coals and biomass in the ISO standard 1m</w:t>
      </w:r>
      <w:r w:rsidRPr="00A85376">
        <w:rPr>
          <w:vertAlign w:val="superscript"/>
        </w:rPr>
        <w:t>3</w:t>
      </w:r>
      <w:r>
        <w:t xml:space="preserve"> dust explosion equipment. Fuel, 151, 91-101, doi:10.1016/j.fuel.2015.01.009.</w:t>
      </w:r>
    </w:p>
    <w:p w14:paraId="19377529" w14:textId="55F8292D" w:rsidR="004602C3" w:rsidRDefault="004602C3" w:rsidP="004602C3">
      <w:pPr>
        <w:pStyle w:val="CETReferencetext"/>
      </w:pPr>
      <w:r>
        <w:t>Iarossi I., Amyotte P.R., Khan F.I., Marmo L., Dastidar A.G., Eckhoff R.K., 2013, Explosibility of polyamide and polyester fibers. J</w:t>
      </w:r>
      <w:r w:rsidR="00367A17">
        <w:t>.</w:t>
      </w:r>
      <w:r>
        <w:t xml:space="preserve"> Loss Prev</w:t>
      </w:r>
      <w:r w:rsidR="00367A17">
        <w:t>.</w:t>
      </w:r>
      <w:r>
        <w:t xml:space="preserve"> Process Ind</w:t>
      </w:r>
      <w:r w:rsidR="001F4E74">
        <w:t>.</w:t>
      </w:r>
      <w:r>
        <w:t>, 26 (6), 1627-1633, doi:10.1016/j.jlp.2013.07.015.</w:t>
      </w:r>
    </w:p>
    <w:p w14:paraId="102BA8F1" w14:textId="49A66B92" w:rsidR="00581B2C" w:rsidRDefault="00581B2C" w:rsidP="003F6994">
      <w:pPr>
        <w:pStyle w:val="CETReferencetext"/>
      </w:pPr>
      <w:r w:rsidRPr="00581B2C">
        <w:t>International Organization for Standardization (ISO), 2016. Explosive atmospheres — Part 20-2: Material characteristics — Combustible dust test methods ISO/IEC 80079-20-2:2016.</w:t>
      </w:r>
    </w:p>
    <w:p w14:paraId="3C8A7805" w14:textId="52FDFBD3" w:rsidR="001F4E74" w:rsidRPr="00581B2C" w:rsidRDefault="001F4E74" w:rsidP="001F4E74">
      <w:pPr>
        <w:pStyle w:val="CETReferencetext"/>
      </w:pPr>
      <w:r>
        <w:t>Kalejaiye O., Amyotte P.R., Pegg M.J., Cashdollar K.L., 2010, Effectiveness of dust dispersion in the 20-L Siwek chamber. J. Loss Prev. Process Ind., 23 (1), 46-59, doi:10.1016/j.jlp.2009.05.008</w:t>
      </w:r>
    </w:p>
    <w:p w14:paraId="5149A88A" w14:textId="64816840" w:rsidR="006B4888" w:rsidRDefault="00581B2C" w:rsidP="00A85376">
      <w:pPr>
        <w:pStyle w:val="CETReferencetext"/>
      </w:pPr>
      <w:r w:rsidRPr="00581B2C">
        <w:t>Pinilla A., Amin M., Murillo C., Torrado D., Bardin-Monnier N., Munoz F., Dufaud O., 2019, CFD study of the dust dispersion in the 20L explosion sphere: influence of the nozzle design, Chem. Eng. Trans., 77, 121-126</w:t>
      </w:r>
      <w:r w:rsidR="00A85376">
        <w:t>, doi:10</w:t>
      </w:r>
      <w:r w:rsidR="00A85376" w:rsidRPr="00A85376">
        <w:t>.3303/CET1977021</w:t>
      </w:r>
      <w:r w:rsidR="00A85376">
        <w:t>.</w:t>
      </w:r>
    </w:p>
    <w:p w14:paraId="78443379" w14:textId="7BFB306B" w:rsidR="004602C3" w:rsidRDefault="004602C3" w:rsidP="004602C3">
      <w:pPr>
        <w:pStyle w:val="CETReferencetext"/>
        <w:rPr>
          <w:lang w:val="en-US"/>
        </w:rPr>
      </w:pPr>
      <w:r w:rsidRPr="004602C3">
        <w:rPr>
          <w:lang w:val="en-US"/>
        </w:rPr>
        <w:t>Santandrea</w:t>
      </w:r>
      <w:r>
        <w:rPr>
          <w:lang w:val="en-US"/>
        </w:rPr>
        <w:t xml:space="preserve"> A.</w:t>
      </w:r>
      <w:r w:rsidRPr="004602C3">
        <w:rPr>
          <w:lang w:val="en-US"/>
        </w:rPr>
        <w:t>, Vignes</w:t>
      </w:r>
      <w:r>
        <w:rPr>
          <w:lang w:val="en-US"/>
        </w:rPr>
        <w:t xml:space="preserve"> A.</w:t>
      </w:r>
      <w:r w:rsidRPr="004602C3">
        <w:rPr>
          <w:lang w:val="en-US"/>
        </w:rPr>
        <w:t>, Krietsch</w:t>
      </w:r>
      <w:r>
        <w:rPr>
          <w:lang w:val="en-US"/>
        </w:rPr>
        <w:t xml:space="preserve"> A.</w:t>
      </w:r>
      <w:r w:rsidRPr="004602C3">
        <w:rPr>
          <w:lang w:val="en-US"/>
        </w:rPr>
        <w:t>, Brunello</w:t>
      </w:r>
      <w:r>
        <w:rPr>
          <w:lang w:val="en-US"/>
        </w:rPr>
        <w:t xml:space="preserve"> D.</w:t>
      </w:r>
      <w:r w:rsidRPr="004602C3">
        <w:rPr>
          <w:lang w:val="en-US"/>
        </w:rPr>
        <w:t>, Perrin</w:t>
      </w:r>
      <w:r>
        <w:rPr>
          <w:lang w:val="en-US"/>
        </w:rPr>
        <w:t xml:space="preserve"> L.</w:t>
      </w:r>
      <w:r w:rsidRPr="004602C3">
        <w:rPr>
          <w:lang w:val="en-US"/>
        </w:rPr>
        <w:t>, Laurent</w:t>
      </w:r>
      <w:r>
        <w:rPr>
          <w:lang w:val="en-US"/>
        </w:rPr>
        <w:t xml:space="preserve"> A.</w:t>
      </w:r>
      <w:r w:rsidRPr="004602C3">
        <w:rPr>
          <w:lang w:val="en-US"/>
        </w:rPr>
        <w:t>, Dufaud</w:t>
      </w:r>
      <w:r>
        <w:rPr>
          <w:lang w:val="en-US"/>
        </w:rPr>
        <w:t xml:space="preserve"> O.</w:t>
      </w:r>
      <w:r w:rsidRPr="004602C3">
        <w:rPr>
          <w:lang w:val="en-US"/>
        </w:rPr>
        <w:t xml:space="preserve">, </w:t>
      </w:r>
      <w:r>
        <w:rPr>
          <w:lang w:val="en-US"/>
        </w:rPr>
        <w:t xml:space="preserve">2020, </w:t>
      </w:r>
      <w:r>
        <w:t>Evaluating the explosion severity of nanopowders: International standards versus reality,</w:t>
      </w:r>
      <w:r>
        <w:rPr>
          <w:lang w:val="en-US"/>
        </w:rPr>
        <w:t xml:space="preserve"> </w:t>
      </w:r>
      <w:r>
        <w:t>Process Saf</w:t>
      </w:r>
      <w:r w:rsidR="00367A17">
        <w:t>.</w:t>
      </w:r>
      <w:r>
        <w:t xml:space="preserve"> Env</w:t>
      </w:r>
      <w:r w:rsidR="00367A17">
        <w:t xml:space="preserve">iron. </w:t>
      </w:r>
      <w:r>
        <w:t>Prot</w:t>
      </w:r>
      <w:r w:rsidR="00367A17">
        <w:t>.</w:t>
      </w:r>
      <w:r>
        <w:t>,</w:t>
      </w:r>
      <w:r>
        <w:rPr>
          <w:lang w:val="en-US"/>
        </w:rPr>
        <w:t xml:space="preserve"> </w:t>
      </w:r>
      <w:r w:rsidRPr="004602C3">
        <w:rPr>
          <w:lang w:val="en-US"/>
        </w:rPr>
        <w:t>138,</w:t>
      </w:r>
      <w:r>
        <w:rPr>
          <w:lang w:val="en-US"/>
        </w:rPr>
        <w:t xml:space="preserve"> </w:t>
      </w:r>
      <w:r w:rsidRPr="004602C3">
        <w:rPr>
          <w:lang w:val="en-US"/>
        </w:rPr>
        <w:t>279-291,</w:t>
      </w:r>
      <w:r>
        <w:rPr>
          <w:lang w:val="en-US"/>
        </w:rPr>
        <w:t xml:space="preserve"> </w:t>
      </w:r>
      <w:r w:rsidRPr="004602C3">
        <w:rPr>
          <w:lang w:val="en-US"/>
        </w:rPr>
        <w:t>doi</w:t>
      </w:r>
      <w:r>
        <w:rPr>
          <w:lang w:val="en-US"/>
        </w:rPr>
        <w:t>:</w:t>
      </w:r>
      <w:r w:rsidRPr="004602C3">
        <w:rPr>
          <w:lang w:val="en-US"/>
        </w:rPr>
        <w:t>10.1016/j.psep.2020.04.011.</w:t>
      </w:r>
    </w:p>
    <w:p w14:paraId="14DE3F26" w14:textId="5F5D83DC" w:rsidR="007F4E46" w:rsidRPr="004602C3" w:rsidRDefault="007F4E46" w:rsidP="007F4E46">
      <w:pPr>
        <w:pStyle w:val="CETReferencetext"/>
        <w:rPr>
          <w:lang w:val="en-US"/>
        </w:rPr>
      </w:pPr>
      <w:r w:rsidRPr="007F4E46">
        <w:rPr>
          <w:lang w:val="en-US"/>
        </w:rPr>
        <w:t>Spitzer S.H., Krietsch A., Jankuj V.</w:t>
      </w:r>
      <w:r>
        <w:rPr>
          <w:lang w:val="en-US"/>
        </w:rPr>
        <w:t xml:space="preserve">, 2023, </w:t>
      </w:r>
      <w:r w:rsidRPr="007F4E46">
        <w:rPr>
          <w:lang w:val="en-US"/>
        </w:rPr>
        <w:t xml:space="preserve">Experimental </w:t>
      </w:r>
      <w:r>
        <w:rPr>
          <w:lang w:val="en-US"/>
        </w:rPr>
        <w:t>p</w:t>
      </w:r>
      <w:r w:rsidRPr="007F4E46">
        <w:rPr>
          <w:lang w:val="en-US"/>
        </w:rPr>
        <w:t xml:space="preserve">arameter </w:t>
      </w:r>
      <w:r>
        <w:rPr>
          <w:lang w:val="en-US"/>
        </w:rPr>
        <w:t>s</w:t>
      </w:r>
      <w:r w:rsidRPr="007F4E46">
        <w:rPr>
          <w:lang w:val="en-US"/>
        </w:rPr>
        <w:t xml:space="preserve">tudy and </w:t>
      </w:r>
      <w:r>
        <w:rPr>
          <w:lang w:val="en-US"/>
        </w:rPr>
        <w:t>i</w:t>
      </w:r>
      <w:r w:rsidRPr="007F4E46">
        <w:rPr>
          <w:lang w:val="en-US"/>
        </w:rPr>
        <w:t xml:space="preserve">nherent </w:t>
      </w:r>
      <w:r>
        <w:rPr>
          <w:lang w:val="en-US"/>
        </w:rPr>
        <w:t>s</w:t>
      </w:r>
      <w:r w:rsidRPr="007F4E46">
        <w:rPr>
          <w:lang w:val="en-US"/>
        </w:rPr>
        <w:t xml:space="preserve">cattering of </w:t>
      </w:r>
      <w:r>
        <w:rPr>
          <w:lang w:val="en-US"/>
        </w:rPr>
        <w:t>s</w:t>
      </w:r>
      <w:r w:rsidRPr="007F4E46">
        <w:rPr>
          <w:lang w:val="en-US"/>
        </w:rPr>
        <w:t xml:space="preserve">afety </w:t>
      </w:r>
      <w:r>
        <w:rPr>
          <w:lang w:val="en-US"/>
        </w:rPr>
        <w:t>c</w:t>
      </w:r>
      <w:r w:rsidRPr="007F4E46">
        <w:rPr>
          <w:lang w:val="en-US"/>
        </w:rPr>
        <w:t xml:space="preserve">haracteristics of </w:t>
      </w:r>
      <w:r>
        <w:rPr>
          <w:lang w:val="en-US"/>
        </w:rPr>
        <w:t>d</w:t>
      </w:r>
      <w:r w:rsidRPr="007F4E46">
        <w:rPr>
          <w:lang w:val="en-US"/>
        </w:rPr>
        <w:t>usts</w:t>
      </w:r>
      <w:r>
        <w:rPr>
          <w:lang w:val="en-US"/>
        </w:rPr>
        <w:t>,</w:t>
      </w:r>
      <w:r w:rsidRPr="007F4E46">
        <w:t xml:space="preserve"> </w:t>
      </w:r>
      <w:r w:rsidRPr="00581B2C">
        <w:t>Chem. Eng. Trans.,</w:t>
      </w:r>
      <w:r>
        <w:rPr>
          <w:lang w:val="en-US"/>
        </w:rPr>
        <w:t xml:space="preserve"> </w:t>
      </w:r>
      <w:r w:rsidRPr="007F4E46">
        <w:rPr>
          <w:lang w:val="en-US"/>
        </w:rPr>
        <w:t xml:space="preserve">104, 1 </w:t>
      </w:r>
      <w:r>
        <w:rPr>
          <w:lang w:val="en-US"/>
        </w:rPr>
        <w:t>–</w:t>
      </w:r>
      <w:r w:rsidRPr="007F4E46">
        <w:rPr>
          <w:lang w:val="en-US"/>
        </w:rPr>
        <w:t xml:space="preserve"> 6</w:t>
      </w:r>
      <w:r>
        <w:rPr>
          <w:lang w:val="en-US"/>
        </w:rPr>
        <w:t>, doi</w:t>
      </w:r>
      <w:r w:rsidRPr="007F4E46">
        <w:rPr>
          <w:lang w:val="en-US"/>
        </w:rPr>
        <w:t>:10.3303/CET23104001</w:t>
      </w:r>
      <w:r>
        <w:rPr>
          <w:lang w:val="en-US"/>
        </w:rPr>
        <w:t>.</w:t>
      </w:r>
    </w:p>
    <w:p w14:paraId="19C4FC68" w14:textId="5747DBAD" w:rsidR="004628D2" w:rsidRDefault="00A85376" w:rsidP="00AD4E4C">
      <w:pPr>
        <w:pStyle w:val="CETReferencetext"/>
      </w:pPr>
      <w:r>
        <w:t xml:space="preserve">Spitzer S.H., Pandal A., Velasco Rodríguez M., Schmidt M., Danzi E., Dufaud O., Janovsky B., 2024, Investigations on different distribution systems for dusts inside the 20L-sphere, </w:t>
      </w:r>
      <w:r w:rsidR="001F4E74">
        <w:t>J. Loss Prev. Process Ind.</w:t>
      </w:r>
      <w:r>
        <w:t>, 92, doi:10.1016/j.jlp.2024.105492.</w:t>
      </w:r>
      <w:r w:rsidRPr="00581B2C">
        <w:t xml:space="preserve"> </w:t>
      </w:r>
    </w:p>
    <w:sectPr w:rsidR="004628D2"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A4DF2" w14:textId="77777777" w:rsidR="004817FD" w:rsidRDefault="004817FD" w:rsidP="004F5E36">
      <w:r>
        <w:separator/>
      </w:r>
    </w:p>
  </w:endnote>
  <w:endnote w:type="continuationSeparator" w:id="0">
    <w:p w14:paraId="7EF84FE6" w14:textId="77777777" w:rsidR="004817FD" w:rsidRDefault="004817FD"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7607E" w14:textId="77777777" w:rsidR="004817FD" w:rsidRDefault="004817FD" w:rsidP="004F5E36">
      <w:r>
        <w:separator/>
      </w:r>
    </w:p>
  </w:footnote>
  <w:footnote w:type="continuationSeparator" w:id="0">
    <w:p w14:paraId="3E07CEF7" w14:textId="77777777" w:rsidR="004817FD" w:rsidRDefault="004817FD"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843513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15C42"/>
    <w:rsid w:val="0003148D"/>
    <w:rsid w:val="00031EEC"/>
    <w:rsid w:val="000408E7"/>
    <w:rsid w:val="00051566"/>
    <w:rsid w:val="000562A9"/>
    <w:rsid w:val="00062A9A"/>
    <w:rsid w:val="00063F35"/>
    <w:rsid w:val="00065058"/>
    <w:rsid w:val="00086C39"/>
    <w:rsid w:val="0009328C"/>
    <w:rsid w:val="000A03B2"/>
    <w:rsid w:val="000A3DE8"/>
    <w:rsid w:val="000D0268"/>
    <w:rsid w:val="000D34BE"/>
    <w:rsid w:val="000D446D"/>
    <w:rsid w:val="000E0B3C"/>
    <w:rsid w:val="000E102F"/>
    <w:rsid w:val="000E36F1"/>
    <w:rsid w:val="000E3A73"/>
    <w:rsid w:val="000E414A"/>
    <w:rsid w:val="000E75FD"/>
    <w:rsid w:val="000F093C"/>
    <w:rsid w:val="000F6E0F"/>
    <w:rsid w:val="000F787B"/>
    <w:rsid w:val="001205D1"/>
    <w:rsid w:val="0012091F"/>
    <w:rsid w:val="00126BC2"/>
    <w:rsid w:val="001308B6"/>
    <w:rsid w:val="0013121F"/>
    <w:rsid w:val="00131FE6"/>
    <w:rsid w:val="0013263F"/>
    <w:rsid w:val="001331DF"/>
    <w:rsid w:val="00134DE4"/>
    <w:rsid w:val="0014034D"/>
    <w:rsid w:val="00140FE3"/>
    <w:rsid w:val="00144D16"/>
    <w:rsid w:val="00150E59"/>
    <w:rsid w:val="00152DE3"/>
    <w:rsid w:val="00164CF9"/>
    <w:rsid w:val="001667A6"/>
    <w:rsid w:val="00167C25"/>
    <w:rsid w:val="00171F2C"/>
    <w:rsid w:val="0018171E"/>
    <w:rsid w:val="0018211C"/>
    <w:rsid w:val="00184AD6"/>
    <w:rsid w:val="00185FAB"/>
    <w:rsid w:val="001A4AF7"/>
    <w:rsid w:val="001B0349"/>
    <w:rsid w:val="001B0811"/>
    <w:rsid w:val="001B1E93"/>
    <w:rsid w:val="001B424F"/>
    <w:rsid w:val="001B65C1"/>
    <w:rsid w:val="001C260F"/>
    <w:rsid w:val="001C5C3A"/>
    <w:rsid w:val="001C684B"/>
    <w:rsid w:val="001D0CFB"/>
    <w:rsid w:val="001D21AF"/>
    <w:rsid w:val="001D53FC"/>
    <w:rsid w:val="001F12A6"/>
    <w:rsid w:val="001F42A5"/>
    <w:rsid w:val="001F4E74"/>
    <w:rsid w:val="001F7B9D"/>
    <w:rsid w:val="00201C93"/>
    <w:rsid w:val="00221230"/>
    <w:rsid w:val="002224B4"/>
    <w:rsid w:val="00226042"/>
    <w:rsid w:val="002410BB"/>
    <w:rsid w:val="002447EF"/>
    <w:rsid w:val="00251550"/>
    <w:rsid w:val="002612F1"/>
    <w:rsid w:val="00263B05"/>
    <w:rsid w:val="002674C0"/>
    <w:rsid w:val="0027221A"/>
    <w:rsid w:val="00272C07"/>
    <w:rsid w:val="00275B61"/>
    <w:rsid w:val="00280FAF"/>
    <w:rsid w:val="00282656"/>
    <w:rsid w:val="0028450C"/>
    <w:rsid w:val="00285259"/>
    <w:rsid w:val="002852C8"/>
    <w:rsid w:val="00296B83"/>
    <w:rsid w:val="002B4015"/>
    <w:rsid w:val="002B4C8C"/>
    <w:rsid w:val="002B78CE"/>
    <w:rsid w:val="002C25BF"/>
    <w:rsid w:val="002C2FB6"/>
    <w:rsid w:val="002E0CE1"/>
    <w:rsid w:val="002E5FA7"/>
    <w:rsid w:val="002E765E"/>
    <w:rsid w:val="002F3309"/>
    <w:rsid w:val="003008CE"/>
    <w:rsid w:val="003009B7"/>
    <w:rsid w:val="00300E56"/>
    <w:rsid w:val="0030152C"/>
    <w:rsid w:val="00303CD7"/>
    <w:rsid w:val="0030469C"/>
    <w:rsid w:val="00313BC4"/>
    <w:rsid w:val="00321CA6"/>
    <w:rsid w:val="00323763"/>
    <w:rsid w:val="00323C5F"/>
    <w:rsid w:val="00333894"/>
    <w:rsid w:val="00334C09"/>
    <w:rsid w:val="0033764A"/>
    <w:rsid w:val="00353396"/>
    <w:rsid w:val="00367A17"/>
    <w:rsid w:val="003723D4"/>
    <w:rsid w:val="00381905"/>
    <w:rsid w:val="00384CC8"/>
    <w:rsid w:val="003871FD"/>
    <w:rsid w:val="003A1E30"/>
    <w:rsid w:val="003A27F2"/>
    <w:rsid w:val="003A2829"/>
    <w:rsid w:val="003A7D1C"/>
    <w:rsid w:val="003B304B"/>
    <w:rsid w:val="003B3146"/>
    <w:rsid w:val="003B49CD"/>
    <w:rsid w:val="003C22E9"/>
    <w:rsid w:val="003D1E02"/>
    <w:rsid w:val="003D69FC"/>
    <w:rsid w:val="003D74B2"/>
    <w:rsid w:val="003F015E"/>
    <w:rsid w:val="003F1106"/>
    <w:rsid w:val="003F6994"/>
    <w:rsid w:val="00400414"/>
    <w:rsid w:val="0041446B"/>
    <w:rsid w:val="0044071E"/>
    <w:rsid w:val="0044329C"/>
    <w:rsid w:val="00453E24"/>
    <w:rsid w:val="00457456"/>
    <w:rsid w:val="004577FE"/>
    <w:rsid w:val="00457B9C"/>
    <w:rsid w:val="004602C3"/>
    <w:rsid w:val="0046164A"/>
    <w:rsid w:val="004628D2"/>
    <w:rsid w:val="00462C5D"/>
    <w:rsid w:val="00462DCD"/>
    <w:rsid w:val="004648AD"/>
    <w:rsid w:val="004703A9"/>
    <w:rsid w:val="004760DE"/>
    <w:rsid w:val="004763D7"/>
    <w:rsid w:val="004817FD"/>
    <w:rsid w:val="00482164"/>
    <w:rsid w:val="00490B47"/>
    <w:rsid w:val="0049288B"/>
    <w:rsid w:val="004A004E"/>
    <w:rsid w:val="004A24CF"/>
    <w:rsid w:val="004A3C53"/>
    <w:rsid w:val="004C3D1D"/>
    <w:rsid w:val="004C3D84"/>
    <w:rsid w:val="004C7913"/>
    <w:rsid w:val="004D0CD1"/>
    <w:rsid w:val="004D785A"/>
    <w:rsid w:val="004E4DD6"/>
    <w:rsid w:val="004E76BF"/>
    <w:rsid w:val="004F5E36"/>
    <w:rsid w:val="004F73F5"/>
    <w:rsid w:val="00507B47"/>
    <w:rsid w:val="00507BEF"/>
    <w:rsid w:val="00507CC9"/>
    <w:rsid w:val="005112BA"/>
    <w:rsid w:val="005119A5"/>
    <w:rsid w:val="00515720"/>
    <w:rsid w:val="005278B7"/>
    <w:rsid w:val="00532016"/>
    <w:rsid w:val="00532560"/>
    <w:rsid w:val="005346C8"/>
    <w:rsid w:val="005424FC"/>
    <w:rsid w:val="00543C17"/>
    <w:rsid w:val="00543E7D"/>
    <w:rsid w:val="00547A68"/>
    <w:rsid w:val="005531C9"/>
    <w:rsid w:val="00554879"/>
    <w:rsid w:val="00570C43"/>
    <w:rsid w:val="0057688A"/>
    <w:rsid w:val="00581B2C"/>
    <w:rsid w:val="00592274"/>
    <w:rsid w:val="005B2110"/>
    <w:rsid w:val="005B350B"/>
    <w:rsid w:val="005B61E6"/>
    <w:rsid w:val="005C77E1"/>
    <w:rsid w:val="005D668A"/>
    <w:rsid w:val="005D6A2F"/>
    <w:rsid w:val="005E0592"/>
    <w:rsid w:val="005E1A82"/>
    <w:rsid w:val="005E794C"/>
    <w:rsid w:val="005F0A28"/>
    <w:rsid w:val="005F0E5E"/>
    <w:rsid w:val="005F5C3F"/>
    <w:rsid w:val="00600535"/>
    <w:rsid w:val="00610CD6"/>
    <w:rsid w:val="00620DEE"/>
    <w:rsid w:val="00621F92"/>
    <w:rsid w:val="0062280A"/>
    <w:rsid w:val="006231E1"/>
    <w:rsid w:val="00623432"/>
    <w:rsid w:val="00625639"/>
    <w:rsid w:val="0062594F"/>
    <w:rsid w:val="00631B33"/>
    <w:rsid w:val="0063432D"/>
    <w:rsid w:val="0064184D"/>
    <w:rsid w:val="006422CC"/>
    <w:rsid w:val="00651D18"/>
    <w:rsid w:val="00660E3E"/>
    <w:rsid w:val="00662E74"/>
    <w:rsid w:val="00665D23"/>
    <w:rsid w:val="00680C23"/>
    <w:rsid w:val="00683E23"/>
    <w:rsid w:val="00692BB9"/>
    <w:rsid w:val="00693766"/>
    <w:rsid w:val="006A1F4E"/>
    <w:rsid w:val="006A3281"/>
    <w:rsid w:val="006A6DE5"/>
    <w:rsid w:val="006B4888"/>
    <w:rsid w:val="006C2E45"/>
    <w:rsid w:val="006C359C"/>
    <w:rsid w:val="006C5579"/>
    <w:rsid w:val="006D6E8B"/>
    <w:rsid w:val="006D7209"/>
    <w:rsid w:val="006E05BE"/>
    <w:rsid w:val="006E1768"/>
    <w:rsid w:val="006E2DFA"/>
    <w:rsid w:val="006E737D"/>
    <w:rsid w:val="00707DD1"/>
    <w:rsid w:val="007132CF"/>
    <w:rsid w:val="00713973"/>
    <w:rsid w:val="00720A24"/>
    <w:rsid w:val="00732386"/>
    <w:rsid w:val="0073514D"/>
    <w:rsid w:val="00740C69"/>
    <w:rsid w:val="00742CF1"/>
    <w:rsid w:val="007447F3"/>
    <w:rsid w:val="0075499F"/>
    <w:rsid w:val="00755A50"/>
    <w:rsid w:val="00757A6A"/>
    <w:rsid w:val="007661C8"/>
    <w:rsid w:val="0077098D"/>
    <w:rsid w:val="00771E86"/>
    <w:rsid w:val="0077466E"/>
    <w:rsid w:val="00785BF9"/>
    <w:rsid w:val="007931FA"/>
    <w:rsid w:val="007A4861"/>
    <w:rsid w:val="007A7BBA"/>
    <w:rsid w:val="007B0C50"/>
    <w:rsid w:val="007B48F9"/>
    <w:rsid w:val="007C1A43"/>
    <w:rsid w:val="007C25D7"/>
    <w:rsid w:val="007D0951"/>
    <w:rsid w:val="007D610D"/>
    <w:rsid w:val="007F4E46"/>
    <w:rsid w:val="007F74A3"/>
    <w:rsid w:val="0080013E"/>
    <w:rsid w:val="00801759"/>
    <w:rsid w:val="00804D3C"/>
    <w:rsid w:val="008077CE"/>
    <w:rsid w:val="00813288"/>
    <w:rsid w:val="008168FC"/>
    <w:rsid w:val="00830996"/>
    <w:rsid w:val="008345F1"/>
    <w:rsid w:val="00835D5E"/>
    <w:rsid w:val="00861C23"/>
    <w:rsid w:val="00865B07"/>
    <w:rsid w:val="008667EA"/>
    <w:rsid w:val="0087637F"/>
    <w:rsid w:val="00892AD5"/>
    <w:rsid w:val="00895D68"/>
    <w:rsid w:val="008A1512"/>
    <w:rsid w:val="008C1274"/>
    <w:rsid w:val="008C6854"/>
    <w:rsid w:val="008D0111"/>
    <w:rsid w:val="008D32B9"/>
    <w:rsid w:val="008D433B"/>
    <w:rsid w:val="008D4A16"/>
    <w:rsid w:val="008E5401"/>
    <w:rsid w:val="008E566E"/>
    <w:rsid w:val="008E73CD"/>
    <w:rsid w:val="008E7417"/>
    <w:rsid w:val="0090161A"/>
    <w:rsid w:val="00901EB6"/>
    <w:rsid w:val="009041F8"/>
    <w:rsid w:val="00904C62"/>
    <w:rsid w:val="00920F81"/>
    <w:rsid w:val="00922BA8"/>
    <w:rsid w:val="00924DAC"/>
    <w:rsid w:val="00927058"/>
    <w:rsid w:val="00942750"/>
    <w:rsid w:val="009450CE"/>
    <w:rsid w:val="00945984"/>
    <w:rsid w:val="009459BB"/>
    <w:rsid w:val="00947179"/>
    <w:rsid w:val="0095164B"/>
    <w:rsid w:val="00954090"/>
    <w:rsid w:val="009573E7"/>
    <w:rsid w:val="009618DC"/>
    <w:rsid w:val="00963E05"/>
    <w:rsid w:val="00964A45"/>
    <w:rsid w:val="00967843"/>
    <w:rsid w:val="00967D54"/>
    <w:rsid w:val="00971028"/>
    <w:rsid w:val="009712E9"/>
    <w:rsid w:val="009759FA"/>
    <w:rsid w:val="00976D7D"/>
    <w:rsid w:val="00993B84"/>
    <w:rsid w:val="00994C6A"/>
    <w:rsid w:val="009958FB"/>
    <w:rsid w:val="00996483"/>
    <w:rsid w:val="00996F5A"/>
    <w:rsid w:val="009A2FB9"/>
    <w:rsid w:val="009B041A"/>
    <w:rsid w:val="009C37C3"/>
    <w:rsid w:val="009C7C86"/>
    <w:rsid w:val="009D2A96"/>
    <w:rsid w:val="009D2FF7"/>
    <w:rsid w:val="009D7C6B"/>
    <w:rsid w:val="009E7884"/>
    <w:rsid w:val="009E788A"/>
    <w:rsid w:val="009F0E08"/>
    <w:rsid w:val="009F19D4"/>
    <w:rsid w:val="00A079AE"/>
    <w:rsid w:val="00A1590A"/>
    <w:rsid w:val="00A1763D"/>
    <w:rsid w:val="00A17CEC"/>
    <w:rsid w:val="00A27EF0"/>
    <w:rsid w:val="00A42361"/>
    <w:rsid w:val="00A44BFD"/>
    <w:rsid w:val="00A50B20"/>
    <w:rsid w:val="00A51390"/>
    <w:rsid w:val="00A60D13"/>
    <w:rsid w:val="00A71CA0"/>
    <w:rsid w:val="00A7223D"/>
    <w:rsid w:val="00A72745"/>
    <w:rsid w:val="00A76EFC"/>
    <w:rsid w:val="00A85376"/>
    <w:rsid w:val="00A87D50"/>
    <w:rsid w:val="00A91010"/>
    <w:rsid w:val="00A97F29"/>
    <w:rsid w:val="00AA6700"/>
    <w:rsid w:val="00AA702E"/>
    <w:rsid w:val="00AA7D26"/>
    <w:rsid w:val="00AB0964"/>
    <w:rsid w:val="00AB3F7E"/>
    <w:rsid w:val="00AB5011"/>
    <w:rsid w:val="00AC7368"/>
    <w:rsid w:val="00AD16B9"/>
    <w:rsid w:val="00AD4E4C"/>
    <w:rsid w:val="00AD63FA"/>
    <w:rsid w:val="00AE377D"/>
    <w:rsid w:val="00AF0EBA"/>
    <w:rsid w:val="00AF2463"/>
    <w:rsid w:val="00AF5025"/>
    <w:rsid w:val="00AF76EE"/>
    <w:rsid w:val="00B02C8A"/>
    <w:rsid w:val="00B17FBD"/>
    <w:rsid w:val="00B315A6"/>
    <w:rsid w:val="00B31813"/>
    <w:rsid w:val="00B33365"/>
    <w:rsid w:val="00B34671"/>
    <w:rsid w:val="00B47BA4"/>
    <w:rsid w:val="00B57B36"/>
    <w:rsid w:val="00B57E6F"/>
    <w:rsid w:val="00B65D71"/>
    <w:rsid w:val="00B8686D"/>
    <w:rsid w:val="00B93F69"/>
    <w:rsid w:val="00BB03D3"/>
    <w:rsid w:val="00BB1DDC"/>
    <w:rsid w:val="00BB26DA"/>
    <w:rsid w:val="00BB44B6"/>
    <w:rsid w:val="00BC30C9"/>
    <w:rsid w:val="00BC324C"/>
    <w:rsid w:val="00BD077D"/>
    <w:rsid w:val="00BD5BBD"/>
    <w:rsid w:val="00BD6AB6"/>
    <w:rsid w:val="00BE3E58"/>
    <w:rsid w:val="00BE4860"/>
    <w:rsid w:val="00BF13CE"/>
    <w:rsid w:val="00BF2C2D"/>
    <w:rsid w:val="00C00384"/>
    <w:rsid w:val="00C01616"/>
    <w:rsid w:val="00C0162B"/>
    <w:rsid w:val="00C068ED"/>
    <w:rsid w:val="00C076F3"/>
    <w:rsid w:val="00C12F36"/>
    <w:rsid w:val="00C22E0C"/>
    <w:rsid w:val="00C32866"/>
    <w:rsid w:val="00C345B1"/>
    <w:rsid w:val="00C356C3"/>
    <w:rsid w:val="00C40142"/>
    <w:rsid w:val="00C52C3C"/>
    <w:rsid w:val="00C57182"/>
    <w:rsid w:val="00C57863"/>
    <w:rsid w:val="00C640AF"/>
    <w:rsid w:val="00C655FD"/>
    <w:rsid w:val="00C72040"/>
    <w:rsid w:val="00C75407"/>
    <w:rsid w:val="00C841C6"/>
    <w:rsid w:val="00C870A8"/>
    <w:rsid w:val="00C87D93"/>
    <w:rsid w:val="00C919E6"/>
    <w:rsid w:val="00C94434"/>
    <w:rsid w:val="00CA0D75"/>
    <w:rsid w:val="00CA1C95"/>
    <w:rsid w:val="00CA5A9C"/>
    <w:rsid w:val="00CC4C20"/>
    <w:rsid w:val="00CD3517"/>
    <w:rsid w:val="00CD5FE2"/>
    <w:rsid w:val="00CE7C68"/>
    <w:rsid w:val="00D02B4C"/>
    <w:rsid w:val="00D040C4"/>
    <w:rsid w:val="00D07C5A"/>
    <w:rsid w:val="00D20AD1"/>
    <w:rsid w:val="00D2582C"/>
    <w:rsid w:val="00D46B7E"/>
    <w:rsid w:val="00D50ABB"/>
    <w:rsid w:val="00D57C84"/>
    <w:rsid w:val="00D6057D"/>
    <w:rsid w:val="00D62601"/>
    <w:rsid w:val="00D71640"/>
    <w:rsid w:val="00D836C5"/>
    <w:rsid w:val="00D84576"/>
    <w:rsid w:val="00DA1399"/>
    <w:rsid w:val="00DA24C6"/>
    <w:rsid w:val="00DA4D7B"/>
    <w:rsid w:val="00DB62FC"/>
    <w:rsid w:val="00DC2840"/>
    <w:rsid w:val="00DC6653"/>
    <w:rsid w:val="00DC73EE"/>
    <w:rsid w:val="00DD271C"/>
    <w:rsid w:val="00DE264A"/>
    <w:rsid w:val="00DF5072"/>
    <w:rsid w:val="00E02D18"/>
    <w:rsid w:val="00E041E7"/>
    <w:rsid w:val="00E2357E"/>
    <w:rsid w:val="00E23CA1"/>
    <w:rsid w:val="00E348EB"/>
    <w:rsid w:val="00E409A8"/>
    <w:rsid w:val="00E50C12"/>
    <w:rsid w:val="00E544D8"/>
    <w:rsid w:val="00E65B91"/>
    <w:rsid w:val="00E7209D"/>
    <w:rsid w:val="00E72EAD"/>
    <w:rsid w:val="00E74523"/>
    <w:rsid w:val="00E77223"/>
    <w:rsid w:val="00E84C27"/>
    <w:rsid w:val="00E84F3A"/>
    <w:rsid w:val="00E8528B"/>
    <w:rsid w:val="00E85B94"/>
    <w:rsid w:val="00E9306A"/>
    <w:rsid w:val="00E978D0"/>
    <w:rsid w:val="00EA4613"/>
    <w:rsid w:val="00EA4962"/>
    <w:rsid w:val="00EA7F91"/>
    <w:rsid w:val="00EB1523"/>
    <w:rsid w:val="00EB4602"/>
    <w:rsid w:val="00EC0E49"/>
    <w:rsid w:val="00EC101F"/>
    <w:rsid w:val="00EC1D9F"/>
    <w:rsid w:val="00EE0131"/>
    <w:rsid w:val="00EE17B0"/>
    <w:rsid w:val="00EF06D9"/>
    <w:rsid w:val="00F03157"/>
    <w:rsid w:val="00F10755"/>
    <w:rsid w:val="00F10C0D"/>
    <w:rsid w:val="00F15E36"/>
    <w:rsid w:val="00F27EE4"/>
    <w:rsid w:val="00F3049E"/>
    <w:rsid w:val="00F30C64"/>
    <w:rsid w:val="00F32BA2"/>
    <w:rsid w:val="00F32CDB"/>
    <w:rsid w:val="00F41EE4"/>
    <w:rsid w:val="00F565FE"/>
    <w:rsid w:val="00F63A70"/>
    <w:rsid w:val="00F63D8C"/>
    <w:rsid w:val="00F64EAE"/>
    <w:rsid w:val="00F7534E"/>
    <w:rsid w:val="00F93EDF"/>
    <w:rsid w:val="00F944E6"/>
    <w:rsid w:val="00FA16BD"/>
    <w:rsid w:val="00FA1802"/>
    <w:rsid w:val="00FA21D0"/>
    <w:rsid w:val="00FA5F5F"/>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Menzionenonrisolta">
    <w:name w:val="Unresolved Mention"/>
    <w:basedOn w:val="Carpredefinitoparagrafo"/>
    <w:uiPriority w:val="99"/>
    <w:semiHidden/>
    <w:unhideWhenUsed/>
    <w:rsid w:val="00BF2C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5531524">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96765">
      <w:bodyDiv w:val="1"/>
      <w:marLeft w:val="0"/>
      <w:marRight w:val="0"/>
      <w:marTop w:val="0"/>
      <w:marBottom w:val="0"/>
      <w:divBdr>
        <w:top w:val="none" w:sz="0" w:space="0" w:color="auto"/>
        <w:left w:val="none" w:sz="0" w:space="0" w:color="auto"/>
        <w:bottom w:val="none" w:sz="0" w:space="0" w:color="auto"/>
        <w:right w:val="none" w:sz="0" w:space="0" w:color="auto"/>
      </w:divBdr>
      <w:divsChild>
        <w:div w:id="2135901799">
          <w:marLeft w:val="0"/>
          <w:marRight w:val="0"/>
          <w:marTop w:val="0"/>
          <w:marBottom w:val="0"/>
          <w:divBdr>
            <w:top w:val="none" w:sz="0" w:space="0" w:color="auto"/>
            <w:left w:val="none" w:sz="0" w:space="0" w:color="auto"/>
            <w:bottom w:val="none" w:sz="0" w:space="0" w:color="auto"/>
            <w:right w:val="none" w:sz="0" w:space="0" w:color="auto"/>
          </w:divBdr>
        </w:div>
        <w:div w:id="1769502354">
          <w:marLeft w:val="0"/>
          <w:marRight w:val="0"/>
          <w:marTop w:val="0"/>
          <w:marBottom w:val="0"/>
          <w:divBdr>
            <w:top w:val="none" w:sz="0" w:space="0" w:color="auto"/>
            <w:left w:val="none" w:sz="0" w:space="0" w:color="auto"/>
            <w:bottom w:val="none" w:sz="0" w:space="0" w:color="auto"/>
            <w:right w:val="none" w:sz="0" w:space="0" w:color="auto"/>
          </w:divBdr>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image" Target="media/image8.ti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2433</Words>
  <Characters>13869</Characters>
  <Application>Microsoft Office Word</Application>
  <DocSecurity>0</DocSecurity>
  <Lines>115</Lines>
  <Paragraphs>32</Paragraphs>
  <ScaleCrop>false</ScaleCrop>
  <HeadingPairs>
    <vt:vector size="8" baseType="variant">
      <vt:variant>
        <vt:lpstr>Titel</vt:lpstr>
      </vt:variant>
      <vt:variant>
        <vt:i4>1</vt:i4>
      </vt:variant>
      <vt:variant>
        <vt:lpstr>Titre</vt:lpstr>
      </vt:variant>
      <vt:variant>
        <vt:i4>1</vt:i4>
      </vt:variant>
      <vt:variant>
        <vt:lpstr>Titolo</vt:lpstr>
      </vt:variant>
      <vt:variant>
        <vt:i4>1</vt:i4>
      </vt:variant>
      <vt:variant>
        <vt:lpstr>Title</vt:lpstr>
      </vt:variant>
      <vt:variant>
        <vt:i4>1</vt:i4>
      </vt:variant>
    </vt:vector>
  </HeadingPairs>
  <TitlesOfParts>
    <vt:vector size="4" baseType="lpstr">
      <vt:lpstr/>
      <vt:lpstr/>
      <vt:lpstr/>
      <vt:lpstr/>
    </vt:vector>
  </TitlesOfParts>
  <Company>Dipartimento CMIC - Politecnico di Milano</Company>
  <LinksUpToDate>false</LinksUpToDate>
  <CharactersWithSpaces>16270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Sauro Pierucci</cp:lastModifiedBy>
  <cp:revision>4</cp:revision>
  <cp:lastPrinted>2015-05-12T18:31:00Z</cp:lastPrinted>
  <dcterms:created xsi:type="dcterms:W3CDTF">2024-12-14T12:22:00Z</dcterms:created>
  <dcterms:modified xsi:type="dcterms:W3CDTF">2025-02-19T09:54:00Z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