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0F07041" w14:textId="420D82A5" w:rsidR="00F27EE4" w:rsidRPr="00F27EE4" w:rsidRDefault="00AA7D26" w:rsidP="00F27EE4">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007D610D" w:rsidRPr="00F27EE4">
              <w:rPr>
                <w:rFonts w:ascii="Aptos" w:eastAsiaTheme="minorHAnsi" w:hAnsi="Aptos" w:cs="Aptos"/>
                <w:sz w:val="22"/>
                <w:szCs w:val="22"/>
                <w:lang w:val="it-IT"/>
                <w14:ligatures w14:val="standardContextual"/>
              </w:rPr>
              <w:t xml:space="preserve"> </w:t>
            </w:r>
            <w:r w:rsidR="00F27EE4" w:rsidRP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14:paraId="1B0F1814" w14:textId="2DB8A07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774F8FB" w:rsidR="00E978D0" w:rsidRPr="00B57B36" w:rsidRDefault="00B45FC1" w:rsidP="00E978D0">
      <w:pPr>
        <w:pStyle w:val="CETTitle"/>
      </w:pPr>
      <w:r w:rsidRPr="00B45FC1">
        <w:t xml:space="preserve">Effect of Atmosphere on Thermal Decomposition of Sodium percarbonate </w:t>
      </w:r>
    </w:p>
    <w:p w14:paraId="0488FED2" w14:textId="194581BB" w:rsidR="00B57E6F" w:rsidRPr="00AE13FC" w:rsidRDefault="00B45FC1" w:rsidP="00B57E6F">
      <w:pPr>
        <w:pStyle w:val="CETAuthors"/>
        <w:rPr>
          <w:rFonts w:eastAsia="MS Mincho"/>
          <w:lang w:eastAsia="ja-JP"/>
        </w:rPr>
      </w:pPr>
      <w:r w:rsidRPr="00B45FC1">
        <w:rPr>
          <w:rFonts w:eastAsia="MS Mincho" w:cs="Arial"/>
          <w:lang w:eastAsia="ja-JP"/>
        </w:rPr>
        <w:t>Yosuke</w:t>
      </w:r>
      <w:r>
        <w:rPr>
          <w:rFonts w:eastAsia="MS Mincho" w:hint="eastAsia"/>
          <w:vertAlign w:val="superscript"/>
          <w:lang w:eastAsia="ja-JP"/>
        </w:rPr>
        <w:t xml:space="preserve"> </w:t>
      </w:r>
      <w:r w:rsidRPr="00B45FC1">
        <w:rPr>
          <w:rFonts w:eastAsia="MS Mincho" w:hint="eastAsia"/>
          <w:lang w:eastAsia="ja-JP"/>
        </w:rPr>
        <w:t>Nishiwaki</w:t>
      </w:r>
    </w:p>
    <w:p w14:paraId="6B2D21B3" w14:textId="0D629046" w:rsidR="00B57E6F" w:rsidRPr="00B57B36" w:rsidRDefault="00B45FC1" w:rsidP="00B57E6F">
      <w:pPr>
        <w:pStyle w:val="CETAddress"/>
      </w:pPr>
      <w:r w:rsidRPr="00B45FC1">
        <w:t xml:space="preserve"> National Institute of Occupational Safety and Health, Japan</w:t>
      </w:r>
      <w:r w:rsidR="00B57E6F" w:rsidRPr="00B57B36">
        <w:t xml:space="preserve"> </w:t>
      </w:r>
    </w:p>
    <w:p w14:paraId="73F1267A" w14:textId="22E14938" w:rsidR="00B57E6F" w:rsidRPr="00B57B36" w:rsidRDefault="00B45FC1" w:rsidP="00B57E6F">
      <w:pPr>
        <w:pStyle w:val="CETemail"/>
      </w:pPr>
      <w:r w:rsidRPr="00B45FC1">
        <w:t xml:space="preserve">nishiwaki@s.jniosh.johas.go.jp </w:t>
      </w:r>
    </w:p>
    <w:p w14:paraId="386416DF" w14:textId="6EEA8F80" w:rsidR="00AE13FC" w:rsidRPr="00AE13FC" w:rsidRDefault="00AE13FC" w:rsidP="00AE13FC">
      <w:pPr>
        <w:pStyle w:val="Paragrafoelenco"/>
        <w:spacing w:line="280" w:lineRule="exact"/>
        <w:ind w:left="0"/>
        <w:rPr>
          <w:rFonts w:ascii="Cambria" w:eastAsia="MS Gothic" w:hAnsi="Cambria"/>
          <w:b/>
          <w:color w:val="000000" w:themeColor="text1"/>
          <w:szCs w:val="24"/>
          <w:lang w:eastAsia="ja-JP"/>
        </w:rPr>
      </w:pPr>
      <w:r w:rsidRPr="00AE13FC">
        <w:rPr>
          <w:rFonts w:ascii="Cambria" w:eastAsia="MS Gothic" w:hAnsi="Cambria"/>
          <w:b/>
          <w:color w:val="000000" w:themeColor="text1"/>
          <w:szCs w:val="24"/>
        </w:rPr>
        <w:t>Abstract</w:t>
      </w:r>
    </w:p>
    <w:p w14:paraId="4D905E59" w14:textId="77777777" w:rsidR="006B554D" w:rsidRDefault="00815F87" w:rsidP="001677A8">
      <w:pPr>
        <w:spacing w:line="280" w:lineRule="exact"/>
        <w:ind w:firstLineChars="50" w:firstLine="90"/>
        <w:rPr>
          <w:rFonts w:eastAsia="MS Mincho"/>
          <w:color w:val="000000" w:themeColor="text1"/>
          <w:szCs w:val="28"/>
          <w:lang w:eastAsia="ja-JP"/>
        </w:rPr>
      </w:pPr>
      <w:r w:rsidRPr="00815F87">
        <w:rPr>
          <w:rFonts w:eastAsia="MS Gothic"/>
          <w:color w:val="000000" w:themeColor="text1"/>
          <w:szCs w:val="24"/>
        </w:rPr>
        <w:t>Sodium carbonate-hydrogen peroxide</w:t>
      </w:r>
      <w:r w:rsidRPr="00815F87">
        <w:rPr>
          <w:rFonts w:eastAsia="MS Gothic" w:hint="eastAsia"/>
          <w:color w:val="000000" w:themeColor="text1"/>
          <w:szCs w:val="24"/>
        </w:rPr>
        <w:t xml:space="preserve"> </w:t>
      </w:r>
      <w:r w:rsidRPr="00815F87">
        <w:rPr>
          <w:rFonts w:eastAsia="MS Gothic"/>
          <w:color w:val="000000" w:themeColor="text1"/>
          <w:szCs w:val="24"/>
        </w:rPr>
        <w:t xml:space="preserve">(SPC, </w:t>
      </w:r>
      <w:r w:rsidR="00107E29">
        <w:rPr>
          <w:rFonts w:eastAsia="MS Gothic" w:hint="eastAsia"/>
          <w:color w:val="000000" w:themeColor="text1"/>
          <w:szCs w:val="24"/>
          <w:lang w:eastAsia="ja-JP"/>
        </w:rPr>
        <w:t>s</w:t>
      </w:r>
      <w:r w:rsidRPr="00815F87">
        <w:rPr>
          <w:rFonts w:eastAsia="MS Gothic"/>
          <w:color w:val="000000" w:themeColor="text1"/>
          <w:szCs w:val="24"/>
        </w:rPr>
        <w:t>odium percarbonate)</w:t>
      </w:r>
      <w:r w:rsidRPr="00815F87">
        <w:rPr>
          <w:color w:val="000000" w:themeColor="text1"/>
          <w:szCs w:val="24"/>
        </w:rPr>
        <w:t xml:space="preserve"> is an oxidizing agent used for bleaching and cleaning. The decomposition of</w:t>
      </w:r>
      <w:r w:rsidRPr="00815F87">
        <w:rPr>
          <w:rFonts w:hint="eastAsia"/>
          <w:color w:val="000000" w:themeColor="text1"/>
          <w:szCs w:val="24"/>
        </w:rPr>
        <w:t xml:space="preserve"> </w:t>
      </w:r>
      <w:r w:rsidRPr="00815F87">
        <w:rPr>
          <w:color w:val="000000" w:themeColor="text1"/>
          <w:szCs w:val="24"/>
        </w:rPr>
        <w:t>SPC produce</w:t>
      </w:r>
      <w:r w:rsidR="00107E29">
        <w:rPr>
          <w:rFonts w:eastAsia="MS Mincho" w:hint="eastAsia"/>
          <w:color w:val="000000" w:themeColor="text1"/>
          <w:szCs w:val="24"/>
          <w:lang w:eastAsia="ja-JP"/>
        </w:rPr>
        <w:t>s</w:t>
      </w:r>
      <w:r w:rsidRPr="00815F87">
        <w:rPr>
          <w:color w:val="000000" w:themeColor="text1"/>
          <w:szCs w:val="24"/>
        </w:rPr>
        <w:t xml:space="preserve"> water, oxygen and heat</w:t>
      </w:r>
      <w:r w:rsidRPr="00815F87">
        <w:rPr>
          <w:rFonts w:hint="eastAsia"/>
          <w:color w:val="000000" w:themeColor="text1"/>
          <w:szCs w:val="24"/>
        </w:rPr>
        <w:t xml:space="preserve">. The heat </w:t>
      </w:r>
      <w:r w:rsidR="00107E29">
        <w:rPr>
          <w:rFonts w:eastAsia="MS Mincho" w:hint="eastAsia"/>
          <w:color w:val="000000" w:themeColor="text1"/>
          <w:szCs w:val="24"/>
          <w:lang w:eastAsia="ja-JP"/>
        </w:rPr>
        <w:t>generated by</w:t>
      </w:r>
      <w:r w:rsidRPr="00815F87">
        <w:rPr>
          <w:rFonts w:hint="eastAsia"/>
          <w:color w:val="000000" w:themeColor="text1"/>
          <w:szCs w:val="24"/>
        </w:rPr>
        <w:t xml:space="preserve"> SPC </w:t>
      </w:r>
      <w:r w:rsidR="00107E29">
        <w:rPr>
          <w:rFonts w:eastAsia="MS Mincho" w:hint="eastAsia"/>
          <w:color w:val="000000" w:themeColor="text1"/>
          <w:szCs w:val="24"/>
          <w:lang w:eastAsia="ja-JP"/>
        </w:rPr>
        <w:t xml:space="preserve">can </w:t>
      </w:r>
      <w:r w:rsidRPr="00815F87">
        <w:rPr>
          <w:color w:val="000000" w:themeColor="text1"/>
          <w:szCs w:val="24"/>
        </w:rPr>
        <w:t>cause fire accidents. Previous stud</w:t>
      </w:r>
      <w:r w:rsidR="00107E29">
        <w:rPr>
          <w:rFonts w:eastAsia="MS Mincho" w:hint="eastAsia"/>
          <w:color w:val="000000" w:themeColor="text1"/>
          <w:szCs w:val="24"/>
          <w:lang w:eastAsia="ja-JP"/>
        </w:rPr>
        <w:t>ies</w:t>
      </w:r>
      <w:r w:rsidRPr="00815F87">
        <w:rPr>
          <w:color w:val="000000" w:themeColor="text1"/>
          <w:szCs w:val="24"/>
        </w:rPr>
        <w:t xml:space="preserve"> reported </w:t>
      </w:r>
      <w:r w:rsidR="00107E29">
        <w:rPr>
          <w:rFonts w:eastAsia="MS Mincho" w:hint="eastAsia"/>
          <w:color w:val="000000" w:themeColor="text1"/>
          <w:szCs w:val="24"/>
          <w:lang w:eastAsia="ja-JP"/>
        </w:rPr>
        <w:t xml:space="preserve">the </w:t>
      </w:r>
      <w:r w:rsidRPr="00815F87">
        <w:rPr>
          <w:color w:val="000000" w:themeColor="text1"/>
          <w:szCs w:val="24"/>
        </w:rPr>
        <w:t xml:space="preserve">effect of water vapor on </w:t>
      </w:r>
      <w:r w:rsidRPr="00815F87">
        <w:rPr>
          <w:rFonts w:hint="eastAsia"/>
          <w:color w:val="000000" w:themeColor="text1"/>
          <w:szCs w:val="24"/>
        </w:rPr>
        <w:t xml:space="preserve">the </w:t>
      </w:r>
      <w:r w:rsidRPr="00815F87">
        <w:rPr>
          <w:color w:val="000000" w:themeColor="text1"/>
          <w:szCs w:val="24"/>
        </w:rPr>
        <w:t>decomposition of</w:t>
      </w:r>
      <w:r w:rsidRPr="00815F87">
        <w:rPr>
          <w:rFonts w:hint="eastAsia"/>
          <w:color w:val="000000" w:themeColor="text1"/>
          <w:szCs w:val="24"/>
        </w:rPr>
        <w:t xml:space="preserve"> </w:t>
      </w:r>
      <w:r w:rsidRPr="00815F87">
        <w:rPr>
          <w:color w:val="000000" w:themeColor="text1"/>
          <w:szCs w:val="24"/>
        </w:rPr>
        <w:t>SPC, but the particular details of the effect have not been revealed.</w:t>
      </w:r>
      <w:r w:rsidRPr="00815F87">
        <w:rPr>
          <w:rFonts w:hint="eastAsia"/>
          <w:color w:val="000000" w:themeColor="text1"/>
          <w:szCs w:val="24"/>
        </w:rPr>
        <w:t xml:space="preserve"> In this study, the effect of </w:t>
      </w:r>
      <w:r w:rsidR="00107E29">
        <w:rPr>
          <w:rFonts w:eastAsia="MS Mincho" w:hint="eastAsia"/>
          <w:color w:val="000000" w:themeColor="text1"/>
          <w:szCs w:val="24"/>
          <w:lang w:eastAsia="ja-JP"/>
        </w:rPr>
        <w:t xml:space="preserve">the </w:t>
      </w:r>
      <w:r w:rsidRPr="00815F87">
        <w:rPr>
          <w:rFonts w:hint="eastAsia"/>
          <w:color w:val="000000" w:themeColor="text1"/>
          <w:szCs w:val="24"/>
        </w:rPr>
        <w:t>atmospher</w:t>
      </w:r>
      <w:r w:rsidR="00107E29">
        <w:rPr>
          <w:rFonts w:eastAsia="MS Mincho" w:hint="eastAsia"/>
          <w:color w:val="000000" w:themeColor="text1"/>
          <w:szCs w:val="24"/>
          <w:lang w:eastAsia="ja-JP"/>
        </w:rPr>
        <w:t>ic conditions (airflow rate and humidity)</w:t>
      </w:r>
      <w:r w:rsidRPr="00815F87">
        <w:rPr>
          <w:rFonts w:hint="eastAsia"/>
          <w:color w:val="000000" w:themeColor="text1"/>
          <w:szCs w:val="24"/>
        </w:rPr>
        <w:t xml:space="preserve"> on</w:t>
      </w:r>
      <w:r w:rsidRPr="00815F87">
        <w:rPr>
          <w:color w:val="000000" w:themeColor="text1"/>
          <w:szCs w:val="28"/>
        </w:rPr>
        <w:t xml:space="preserve"> the thermal decomposition</w:t>
      </w:r>
      <w:r w:rsidRPr="00815F87">
        <w:rPr>
          <w:rFonts w:hint="eastAsia"/>
          <w:color w:val="000000" w:themeColor="text1"/>
          <w:szCs w:val="28"/>
        </w:rPr>
        <w:t xml:space="preserve"> </w:t>
      </w:r>
      <w:r w:rsidR="00107E29">
        <w:rPr>
          <w:rFonts w:eastAsia="MS Mincho" w:hint="eastAsia"/>
          <w:color w:val="000000" w:themeColor="text1"/>
          <w:szCs w:val="28"/>
          <w:lang w:eastAsia="ja-JP"/>
        </w:rPr>
        <w:t xml:space="preserve">of SPC </w:t>
      </w:r>
      <w:r w:rsidRPr="00815F87">
        <w:rPr>
          <w:rFonts w:hint="eastAsia"/>
          <w:color w:val="000000" w:themeColor="text1"/>
          <w:szCs w:val="28"/>
        </w:rPr>
        <w:t>is elucidated</w:t>
      </w:r>
      <w:r w:rsidRPr="00815F87">
        <w:rPr>
          <w:color w:val="000000" w:themeColor="text1"/>
          <w:szCs w:val="28"/>
        </w:rPr>
        <w:t>.</w:t>
      </w:r>
      <w:r w:rsidR="006B554D">
        <w:rPr>
          <w:rFonts w:eastAsia="MS Mincho" w:hint="eastAsia"/>
          <w:color w:val="000000" w:themeColor="text1"/>
          <w:szCs w:val="28"/>
          <w:lang w:eastAsia="ja-JP"/>
        </w:rPr>
        <w:t xml:space="preserve"> </w:t>
      </w:r>
    </w:p>
    <w:p w14:paraId="0D3BD20B" w14:textId="4AF5ABB7" w:rsidR="006B554D" w:rsidRDefault="001677A8" w:rsidP="006B554D">
      <w:pPr>
        <w:spacing w:line="280" w:lineRule="exact"/>
        <w:ind w:firstLineChars="50" w:firstLine="90"/>
        <w:rPr>
          <w:rFonts w:eastAsia="MS Mincho"/>
          <w:color w:val="000000" w:themeColor="text1"/>
          <w:szCs w:val="28"/>
          <w:lang w:eastAsia="ja-JP"/>
        </w:rPr>
      </w:pPr>
      <w:r w:rsidRPr="001422E0">
        <w:rPr>
          <w:color w:val="000000" w:themeColor="text1"/>
          <w:szCs w:val="24"/>
        </w:rPr>
        <w:t>The thermal behaviour was evaluated by placing SPC on a wire basket in an isothermal oven, and a Grewer oven was used to control the temperature of the system. Self</w:t>
      </w:r>
      <w:r w:rsidRPr="001422E0">
        <w:rPr>
          <w:rFonts w:eastAsia="MS Mincho"/>
          <w:color w:val="000000" w:themeColor="text1"/>
          <w:szCs w:val="24"/>
          <w:lang w:eastAsia="ja-JP"/>
        </w:rPr>
        <w:t>-</w:t>
      </w:r>
      <w:r w:rsidRPr="001422E0">
        <w:rPr>
          <w:color w:val="000000" w:themeColor="text1"/>
          <w:szCs w:val="24"/>
        </w:rPr>
        <w:t xml:space="preserve">heating of SPC was observed at temperatures above130 </w:t>
      </w:r>
      <w:r w:rsidRPr="001422E0">
        <w:rPr>
          <w:rFonts w:cs="Arial"/>
          <w:color w:val="000000" w:themeColor="text1"/>
          <w:szCs w:val="24"/>
        </w:rPr>
        <w:t>°</w:t>
      </w:r>
      <w:r w:rsidRPr="001422E0">
        <w:rPr>
          <w:color w:val="000000" w:themeColor="text1"/>
          <w:szCs w:val="24"/>
        </w:rPr>
        <w:t xml:space="preserve">C. Isothermal analysis in the </w:t>
      </w:r>
      <w:r w:rsidRPr="001422E0">
        <w:rPr>
          <w:rFonts w:eastAsia="MS Mincho"/>
          <w:color w:val="000000" w:themeColor="text1"/>
          <w:szCs w:val="24"/>
          <w:lang w:eastAsia="ja-JP"/>
        </w:rPr>
        <w:t>G</w:t>
      </w:r>
      <w:r w:rsidRPr="001422E0">
        <w:rPr>
          <w:color w:val="000000" w:themeColor="text1"/>
          <w:szCs w:val="24"/>
        </w:rPr>
        <w:t xml:space="preserve">rewer oven under various atmospheric conditions revealed that a higher airflow rate resulted in a larger temperature rise, and lower humidity resulted in a larger temperature increase at 25% RH. </w:t>
      </w:r>
      <w:r w:rsidRPr="001422E0">
        <w:rPr>
          <w:color w:val="000000" w:themeColor="text1"/>
          <w:szCs w:val="28"/>
        </w:rPr>
        <w:t xml:space="preserve">These findings indicate that water vapuor from the surrounding atmosphere and the decomposition </w:t>
      </w:r>
      <w:r w:rsidRPr="001422E0">
        <w:rPr>
          <w:rFonts w:eastAsia="MS Mincho"/>
          <w:color w:val="000000" w:themeColor="text1"/>
          <w:szCs w:val="28"/>
          <w:lang w:eastAsia="ja-JP"/>
        </w:rPr>
        <w:t xml:space="preserve">product </w:t>
      </w:r>
      <w:r w:rsidRPr="001422E0">
        <w:rPr>
          <w:color w:val="000000" w:themeColor="text1"/>
          <w:szCs w:val="28"/>
        </w:rPr>
        <w:t xml:space="preserve">of SPC decreased the rate of thermal decomposition. On the other hand, an </w:t>
      </w:r>
      <w:r w:rsidRPr="001422E0">
        <w:rPr>
          <w:color w:val="000000" w:themeColor="text1"/>
          <w:szCs w:val="24"/>
        </w:rPr>
        <w:t>additional peak corresponding to the exothermic decomposition of SPC was observed at nearly-saturated humidity at elevated temperature.</w:t>
      </w:r>
      <w:r>
        <w:rPr>
          <w:color w:val="000000" w:themeColor="text1"/>
          <w:szCs w:val="28"/>
        </w:rPr>
        <w:t xml:space="preserve"> </w:t>
      </w:r>
      <w:r w:rsidRPr="001422E0">
        <w:rPr>
          <w:color w:val="000000" w:themeColor="text1"/>
          <w:szCs w:val="28"/>
        </w:rPr>
        <w:t xml:space="preserve">The experimental results indicate that water vapor enhanced the thermal decomposition because of the deliquescence of SPC under high humidity. </w:t>
      </w:r>
      <w:r w:rsidRPr="001422E0">
        <w:rPr>
          <w:rFonts w:eastAsia="Yu Mincho"/>
          <w:color w:val="000000" w:themeColor="text1"/>
          <w:szCs w:val="28"/>
        </w:rPr>
        <w:t>These results contribute to the safety management of SPC during storage and manufacture</w:t>
      </w:r>
      <w:r w:rsidRPr="001422E0">
        <w:rPr>
          <w:color w:val="000000" w:themeColor="text1"/>
          <w:szCs w:val="28"/>
        </w:rPr>
        <w:t>.</w:t>
      </w:r>
    </w:p>
    <w:p w14:paraId="40EABBDA" w14:textId="77777777" w:rsidR="006B554D" w:rsidRPr="006B554D" w:rsidRDefault="006B554D" w:rsidP="006B554D">
      <w:pPr>
        <w:spacing w:line="280" w:lineRule="exact"/>
        <w:ind w:firstLineChars="50" w:firstLine="90"/>
        <w:rPr>
          <w:rFonts w:eastAsia="MS Mincho"/>
          <w:color w:val="000000" w:themeColor="text1"/>
          <w:szCs w:val="28"/>
          <w:lang w:eastAsia="ja-JP"/>
        </w:rPr>
      </w:pPr>
    </w:p>
    <w:p w14:paraId="476B2F2E" w14:textId="52B36035" w:rsidR="00600535" w:rsidRPr="00B57B36" w:rsidRDefault="00600535" w:rsidP="00600535">
      <w:pPr>
        <w:pStyle w:val="CETHeading1"/>
        <w:rPr>
          <w:lang w:val="en-GB"/>
        </w:rPr>
      </w:pPr>
      <w:r w:rsidRPr="00B57B36">
        <w:rPr>
          <w:lang w:val="en-GB"/>
        </w:rPr>
        <w:t>Introduction</w:t>
      </w:r>
    </w:p>
    <w:p w14:paraId="2C777124" w14:textId="77777777" w:rsidR="006B554D" w:rsidRPr="001422E0" w:rsidRDefault="006B554D" w:rsidP="006B554D">
      <w:pPr>
        <w:pStyle w:val="CETBodytext"/>
        <w:ind w:firstLineChars="50" w:firstLine="90"/>
        <w:rPr>
          <w:rFonts w:eastAsia="MS Mincho"/>
          <w:lang w:val="en-GB" w:eastAsia="ja-JP"/>
        </w:rPr>
      </w:pPr>
      <w:r w:rsidRPr="001422E0">
        <w:rPr>
          <w:rFonts w:eastAsia="MS Mincho"/>
          <w:lang w:val="en-GB" w:eastAsia="ja-JP"/>
        </w:rPr>
        <w:t>Sodium carbonate-hydrogen peroxide, also termed sodium percarbonate (SPC), is a well-known perhydrate. SPC is used for bleaching (Toninelli, 1978) and synthesis (Mekillop and Sanderson, 1995). The ideal formula of SPC is Na</w:t>
      </w:r>
      <w:r w:rsidRPr="001422E0">
        <w:rPr>
          <w:rFonts w:eastAsia="MS Mincho"/>
          <w:vertAlign w:val="subscript"/>
          <w:lang w:val="en-GB" w:eastAsia="ja-JP"/>
        </w:rPr>
        <w:t>2</w:t>
      </w:r>
      <w:r w:rsidRPr="001422E0">
        <w:rPr>
          <w:rFonts w:eastAsia="MS Mincho"/>
          <w:lang w:val="en-GB" w:eastAsia="ja-JP"/>
        </w:rPr>
        <w:t>CO</w:t>
      </w:r>
      <w:r w:rsidRPr="001422E0">
        <w:rPr>
          <w:rFonts w:eastAsia="MS Mincho"/>
          <w:vertAlign w:val="subscript"/>
          <w:lang w:val="en-GB" w:eastAsia="ja-JP"/>
        </w:rPr>
        <w:t>3</w:t>
      </w:r>
      <w:r w:rsidRPr="001422E0">
        <w:rPr>
          <w:rFonts w:eastAsia="MS Mincho"/>
          <w:lang w:val="en-GB" w:eastAsia="ja-JP"/>
        </w:rPr>
        <w:t>·1.5H</w:t>
      </w:r>
      <w:r w:rsidRPr="001422E0">
        <w:rPr>
          <w:rFonts w:eastAsia="MS Mincho"/>
          <w:vertAlign w:val="subscript"/>
          <w:lang w:val="en-GB" w:eastAsia="ja-JP"/>
        </w:rPr>
        <w:t>2</w:t>
      </w:r>
      <w:r w:rsidRPr="001422E0">
        <w:rPr>
          <w:rFonts w:eastAsia="MS Mincho"/>
          <w:lang w:val="en-GB" w:eastAsia="ja-JP"/>
        </w:rPr>
        <w:t>O</w:t>
      </w:r>
      <w:r w:rsidRPr="001422E0">
        <w:rPr>
          <w:rFonts w:eastAsia="MS Mincho"/>
          <w:vertAlign w:val="subscript"/>
          <w:lang w:val="en-GB" w:eastAsia="ja-JP"/>
        </w:rPr>
        <w:t>2</w:t>
      </w:r>
      <w:r w:rsidRPr="001422E0">
        <w:rPr>
          <w:rFonts w:eastAsia="MS Mincho"/>
          <w:lang w:val="en-GB" w:eastAsia="ja-JP"/>
        </w:rPr>
        <w:t>, where the H</w:t>
      </w:r>
      <w:r w:rsidRPr="001422E0">
        <w:rPr>
          <w:rFonts w:eastAsia="MS Mincho"/>
          <w:vertAlign w:val="subscript"/>
          <w:lang w:val="en-GB" w:eastAsia="ja-JP"/>
        </w:rPr>
        <w:t>2</w:t>
      </w:r>
      <w:r w:rsidRPr="001422E0">
        <w:rPr>
          <w:rFonts w:eastAsia="MS Mincho"/>
          <w:lang w:val="en-GB" w:eastAsia="ja-JP"/>
        </w:rPr>
        <w:t>O</w:t>
      </w:r>
      <w:r w:rsidRPr="001422E0">
        <w:rPr>
          <w:rFonts w:eastAsia="MS Mincho"/>
          <w:vertAlign w:val="subscript"/>
          <w:lang w:val="en-GB" w:eastAsia="ja-JP"/>
        </w:rPr>
        <w:t>2</w:t>
      </w:r>
      <w:r w:rsidRPr="001422E0">
        <w:rPr>
          <w:rFonts w:eastAsia="MS Mincho"/>
          <w:lang w:val="en-GB" w:eastAsia="ja-JP"/>
        </w:rPr>
        <w:t xml:space="preserve"> molecules are bound to the CO</w:t>
      </w:r>
      <w:r w:rsidRPr="001422E0">
        <w:rPr>
          <w:rFonts w:eastAsia="MS Mincho"/>
          <w:vertAlign w:val="subscript"/>
          <w:lang w:val="en-GB" w:eastAsia="ja-JP"/>
        </w:rPr>
        <w:t>3</w:t>
      </w:r>
      <w:r w:rsidRPr="001422E0">
        <w:rPr>
          <w:rFonts w:eastAsia="MS Mincho"/>
          <w:vertAlign w:val="superscript"/>
          <w:lang w:val="en-GB" w:eastAsia="ja-JP"/>
        </w:rPr>
        <w:t>2-</w:t>
      </w:r>
      <w:r w:rsidRPr="001422E0">
        <w:rPr>
          <w:rFonts w:eastAsia="MS Mincho"/>
          <w:lang w:val="en-GB" w:eastAsia="ja-JP"/>
        </w:rPr>
        <w:t xml:space="preserve"> ions via hydrogen bonds (Adams and Pritchard, 1977). Decomposition of SPC generates heat and oxygen, which present a fire hazard. Thus, studying the self-heating mechanism of SPC is important for analysing the thermal hazard during bleaching and in the chemical industry.</w:t>
      </w:r>
    </w:p>
    <w:p w14:paraId="4797A40E" w14:textId="62C84C4F" w:rsidR="007C70CC" w:rsidRDefault="006B554D" w:rsidP="00F12170">
      <w:pPr>
        <w:pStyle w:val="CETBodytext"/>
        <w:ind w:firstLineChars="50" w:firstLine="90"/>
        <w:rPr>
          <w:rFonts w:eastAsia="MS Mincho"/>
          <w:lang w:val="en-GB" w:eastAsia="ja-JP"/>
        </w:rPr>
      </w:pPr>
      <w:r w:rsidRPr="001422E0">
        <w:rPr>
          <w:rFonts w:eastAsia="MS Mincho"/>
          <w:lang w:val="en-GB" w:eastAsia="ja-JP"/>
        </w:rPr>
        <w:t>A simple equation for SPC decomposition was proposed (Nakano, et al., 2015) as follows:</w:t>
      </w:r>
    </w:p>
    <w:p w14:paraId="23214314" w14:textId="77777777" w:rsidR="00F12170" w:rsidRDefault="00F12170" w:rsidP="00F12170">
      <w:pPr>
        <w:pStyle w:val="CETBodytext"/>
        <w:ind w:firstLineChars="50" w:firstLine="90"/>
        <w:rPr>
          <w:rFonts w:eastAsia="MS Mincho"/>
          <w:lang w:val="en-GB" w:eastAsia="ja-JP"/>
        </w:rPr>
      </w:pPr>
    </w:p>
    <w:tbl>
      <w:tblPr>
        <w:tblW w:w="5000" w:type="pct"/>
        <w:tblLook w:val="04A0" w:firstRow="1" w:lastRow="0" w:firstColumn="1" w:lastColumn="0" w:noHBand="0" w:noVBand="1"/>
      </w:tblPr>
      <w:tblGrid>
        <w:gridCol w:w="7984"/>
        <w:gridCol w:w="803"/>
      </w:tblGrid>
      <w:tr w:rsidR="007D1621" w:rsidRPr="00B57B36" w14:paraId="3A315C60" w14:textId="77777777" w:rsidTr="007D1621">
        <w:tc>
          <w:tcPr>
            <w:tcW w:w="7984" w:type="dxa"/>
            <w:shd w:val="clear" w:color="auto" w:fill="auto"/>
            <w:vAlign w:val="center"/>
          </w:tcPr>
          <w:p w14:paraId="29616612" w14:textId="37C38ABC" w:rsidR="007D1621" w:rsidRPr="006B554D" w:rsidRDefault="00000000" w:rsidP="00927A82">
            <w:pPr>
              <w:pStyle w:val="CETEquation"/>
              <w:rPr>
                <w:rFonts w:eastAsia="MS Mincho"/>
                <w:iCs/>
              </w:rPr>
            </w:pPr>
            <m:oMath>
              <m:sSub>
                <m:sSubPr>
                  <m:ctrlPr>
                    <w:rPr>
                      <w:rFonts w:ascii="Cambria Math" w:eastAsia="MS Mincho" w:hAnsi="Cambria Math"/>
                      <w:iCs/>
                      <w:lang w:eastAsia="ja-JP"/>
                    </w:rPr>
                  </m:ctrlPr>
                </m:sSubPr>
                <m:e>
                  <m:r>
                    <m:rPr>
                      <m:sty m:val="p"/>
                    </m:rPr>
                    <w:rPr>
                      <w:rFonts w:ascii="Cambria Math" w:eastAsia="MS Mincho" w:hAnsi="Cambria Math"/>
                      <w:lang w:eastAsia="ja-JP"/>
                    </w:rPr>
                    <m:t>Na</m:t>
                  </m:r>
                </m:e>
                <m:sub>
                  <m:r>
                    <m:rPr>
                      <m:sty m:val="p"/>
                    </m:rPr>
                    <w:rPr>
                      <w:rFonts w:ascii="Cambria Math" w:eastAsia="MS Mincho" w:hAnsi="Cambria Math"/>
                      <w:lang w:eastAsia="ja-JP"/>
                    </w:rPr>
                    <m:t>2</m:t>
                  </m:r>
                </m:sub>
              </m:sSub>
              <m:sSub>
                <m:sSubPr>
                  <m:ctrlPr>
                    <w:rPr>
                      <w:rFonts w:ascii="Cambria Math" w:eastAsia="MS Mincho" w:hAnsi="Cambria Math"/>
                      <w:iCs/>
                      <w:lang w:eastAsia="ja-JP"/>
                    </w:rPr>
                  </m:ctrlPr>
                </m:sSubPr>
                <m:e>
                  <m:r>
                    <m:rPr>
                      <m:sty m:val="p"/>
                    </m:rPr>
                    <w:rPr>
                      <w:rFonts w:ascii="Cambria Math" w:eastAsia="MS Mincho" w:hAnsi="Cambria Math"/>
                      <w:lang w:eastAsia="ja-JP"/>
                    </w:rPr>
                    <m:t>CO</m:t>
                  </m:r>
                </m:e>
                <m:sub>
                  <m:r>
                    <m:rPr>
                      <m:sty m:val="p"/>
                    </m:rPr>
                    <w:rPr>
                      <w:rFonts w:ascii="Cambria Math" w:eastAsia="MS Mincho" w:hAnsi="Cambria Math"/>
                      <w:lang w:eastAsia="ja-JP"/>
                    </w:rPr>
                    <m:t>3</m:t>
                  </m:r>
                </m:sub>
              </m:sSub>
              <m:r>
                <m:rPr>
                  <m:sty m:val="p"/>
                </m:rPr>
                <w:rPr>
                  <w:rFonts w:ascii="Cambria Math" w:eastAsia="MS Mincho" w:hAnsi="Cambria Math"/>
                  <w:lang w:eastAsia="ja-JP"/>
                </w:rPr>
                <m:t>·</m:t>
              </m:r>
              <m:r>
                <m:rPr>
                  <m:sty m:val="p"/>
                </m:rPr>
                <w:rPr>
                  <w:rFonts w:ascii="Cambria Math" w:eastAsia="MS Mincho" w:hAnsi="Cambria Math" w:hint="eastAsia"/>
                  <w:lang w:eastAsia="ja-JP"/>
                </w:rPr>
                <m:t>1.5</m:t>
              </m:r>
              <m:sSub>
                <m:sSubPr>
                  <m:ctrlPr>
                    <w:rPr>
                      <w:rFonts w:ascii="Cambria Math" w:eastAsia="MS Mincho" w:hAnsi="Cambria Math"/>
                      <w:iCs/>
                      <w:lang w:eastAsia="ja-JP"/>
                    </w:rPr>
                  </m:ctrlPr>
                </m:sSubPr>
                <m:e>
                  <m:r>
                    <m:rPr>
                      <m:sty m:val="p"/>
                    </m:rPr>
                    <w:rPr>
                      <w:rFonts w:ascii="Cambria Math" w:eastAsia="MS Mincho" w:hAnsi="Cambria Math"/>
                      <w:lang w:eastAsia="ja-JP"/>
                    </w:rPr>
                    <m:t>H</m:t>
                  </m:r>
                </m:e>
                <m:sub>
                  <m:r>
                    <m:rPr>
                      <m:sty m:val="p"/>
                    </m:rPr>
                    <w:rPr>
                      <w:rFonts w:ascii="Cambria Math" w:eastAsia="MS Mincho" w:hAnsi="Cambria Math"/>
                      <w:lang w:eastAsia="ja-JP"/>
                    </w:rPr>
                    <m:t>2</m:t>
                  </m:r>
                </m:sub>
              </m:sSub>
              <m:sSub>
                <m:sSubPr>
                  <m:ctrlPr>
                    <w:rPr>
                      <w:rFonts w:ascii="Cambria Math" w:eastAsia="MS Mincho" w:hAnsi="Cambria Math"/>
                      <w:iCs/>
                      <w:lang w:eastAsia="ja-JP"/>
                    </w:rPr>
                  </m:ctrlPr>
                </m:sSubPr>
                <m:e>
                  <m:r>
                    <m:rPr>
                      <m:sty m:val="p"/>
                    </m:rPr>
                    <w:rPr>
                      <w:rFonts w:ascii="Cambria Math" w:eastAsia="MS Mincho" w:hAnsi="Cambria Math"/>
                      <w:lang w:eastAsia="ja-JP"/>
                    </w:rPr>
                    <m:t>O</m:t>
                  </m:r>
                </m:e>
                <m:sub>
                  <m:r>
                    <m:rPr>
                      <m:sty m:val="p"/>
                    </m:rPr>
                    <w:rPr>
                      <w:rFonts w:ascii="Cambria Math" w:eastAsia="MS Mincho" w:hAnsi="Cambria Math"/>
                      <w:lang w:eastAsia="ja-JP"/>
                    </w:rPr>
                    <m:t>2</m:t>
                  </m:r>
                </m:sub>
              </m:sSub>
              <m:d>
                <m:dPr>
                  <m:ctrlPr>
                    <w:rPr>
                      <w:rFonts w:ascii="Cambria Math" w:eastAsia="MS Mincho" w:hAnsi="Cambria Math"/>
                      <w:iCs/>
                      <w:lang w:eastAsia="ja-JP"/>
                    </w:rPr>
                  </m:ctrlPr>
                </m:dPr>
                <m:e>
                  <m:r>
                    <m:rPr>
                      <m:sty m:val="p"/>
                    </m:rPr>
                    <w:rPr>
                      <w:rFonts w:ascii="Cambria Math" w:eastAsia="MS Mincho" w:hAnsi="Cambria Math"/>
                      <w:lang w:eastAsia="ja-JP"/>
                    </w:rPr>
                    <m:t>s</m:t>
                  </m:r>
                </m:e>
              </m:d>
              <m:r>
                <m:rPr>
                  <m:sty m:val="p"/>
                </m:rPr>
                <w:rPr>
                  <w:rFonts w:ascii="Cambria Math" w:eastAsia="MS Mincho" w:hAnsi="Cambria Math"/>
                  <w:lang w:eastAsia="ja-JP"/>
                </w:rPr>
                <m:t>→</m:t>
              </m:r>
              <m:sSub>
                <m:sSubPr>
                  <m:ctrlPr>
                    <w:rPr>
                      <w:rFonts w:ascii="Cambria Math" w:eastAsia="MS Mincho" w:hAnsi="Cambria Math"/>
                      <w:iCs/>
                      <w:lang w:eastAsia="ja-JP"/>
                    </w:rPr>
                  </m:ctrlPr>
                </m:sSubPr>
                <m:e>
                  <m:r>
                    <m:rPr>
                      <m:sty m:val="p"/>
                    </m:rPr>
                    <w:rPr>
                      <w:rFonts w:ascii="Cambria Math" w:eastAsia="MS Mincho" w:hAnsi="Cambria Math"/>
                      <w:lang w:eastAsia="ja-JP"/>
                    </w:rPr>
                    <m:t>Na</m:t>
                  </m:r>
                </m:e>
                <m:sub>
                  <m:r>
                    <m:rPr>
                      <m:sty m:val="p"/>
                    </m:rPr>
                    <w:rPr>
                      <w:rFonts w:ascii="Cambria Math" w:eastAsia="MS Mincho" w:hAnsi="Cambria Math"/>
                      <w:lang w:eastAsia="ja-JP"/>
                    </w:rPr>
                    <m:t>2</m:t>
                  </m:r>
                </m:sub>
              </m:sSub>
              <m:sSub>
                <m:sSubPr>
                  <m:ctrlPr>
                    <w:rPr>
                      <w:rFonts w:ascii="Cambria Math" w:eastAsia="MS Mincho" w:hAnsi="Cambria Math"/>
                      <w:iCs/>
                      <w:lang w:eastAsia="ja-JP"/>
                    </w:rPr>
                  </m:ctrlPr>
                </m:sSubPr>
                <m:e>
                  <m:r>
                    <m:rPr>
                      <m:sty m:val="p"/>
                    </m:rPr>
                    <w:rPr>
                      <w:rFonts w:ascii="Cambria Math" w:eastAsia="MS Mincho" w:hAnsi="Cambria Math"/>
                      <w:lang w:eastAsia="ja-JP"/>
                    </w:rPr>
                    <m:t>CO</m:t>
                  </m:r>
                </m:e>
                <m:sub>
                  <m:r>
                    <m:rPr>
                      <m:sty m:val="p"/>
                    </m:rPr>
                    <w:rPr>
                      <w:rFonts w:ascii="Cambria Math" w:eastAsia="MS Mincho" w:hAnsi="Cambria Math"/>
                      <w:lang w:eastAsia="ja-JP"/>
                    </w:rPr>
                    <m:t>3</m:t>
                  </m:r>
                </m:sub>
              </m:sSub>
              <m:d>
                <m:dPr>
                  <m:ctrlPr>
                    <w:rPr>
                      <w:rFonts w:ascii="Cambria Math" w:eastAsia="MS Mincho" w:hAnsi="Cambria Math"/>
                      <w:iCs/>
                      <w:lang w:eastAsia="ja-JP"/>
                    </w:rPr>
                  </m:ctrlPr>
                </m:dPr>
                <m:e>
                  <m:r>
                    <m:rPr>
                      <m:sty m:val="p"/>
                    </m:rPr>
                    <w:rPr>
                      <w:rFonts w:ascii="Cambria Math" w:eastAsia="MS Mincho" w:hAnsi="Cambria Math"/>
                      <w:lang w:eastAsia="ja-JP"/>
                    </w:rPr>
                    <m:t>s</m:t>
                  </m:r>
                </m:e>
              </m:d>
              <m:r>
                <m:rPr>
                  <m:sty m:val="p"/>
                </m:rPr>
                <w:rPr>
                  <w:rFonts w:ascii="Cambria Math" w:eastAsia="MS Mincho" w:hAnsi="Cambria Math"/>
                  <w:lang w:eastAsia="ja-JP"/>
                </w:rPr>
                <m:t>+</m:t>
              </m:r>
              <m:r>
                <m:rPr>
                  <m:sty m:val="p"/>
                </m:rPr>
                <w:rPr>
                  <w:rFonts w:ascii="Cambria Math" w:eastAsia="MS Mincho" w:hAnsi="Cambria Math" w:hint="eastAsia"/>
                  <w:lang w:eastAsia="ja-JP"/>
                </w:rPr>
                <m:t>1.5</m:t>
              </m:r>
              <m:sSub>
                <m:sSubPr>
                  <m:ctrlPr>
                    <w:rPr>
                      <w:rFonts w:ascii="Cambria Math" w:eastAsia="MS Mincho" w:hAnsi="Cambria Math"/>
                      <w:iCs/>
                      <w:lang w:eastAsia="ja-JP"/>
                    </w:rPr>
                  </m:ctrlPr>
                </m:sSubPr>
                <m:e>
                  <m:r>
                    <m:rPr>
                      <m:sty m:val="p"/>
                    </m:rPr>
                    <w:rPr>
                      <w:rFonts w:ascii="Cambria Math" w:eastAsia="MS Mincho" w:hAnsi="Cambria Math"/>
                      <w:lang w:eastAsia="ja-JP"/>
                    </w:rPr>
                    <m:t>H</m:t>
                  </m:r>
                </m:e>
                <m:sub>
                  <m:r>
                    <m:rPr>
                      <m:sty m:val="p"/>
                    </m:rPr>
                    <w:rPr>
                      <w:rFonts w:ascii="Cambria Math" w:eastAsia="MS Mincho" w:hAnsi="Cambria Math"/>
                      <w:lang w:eastAsia="ja-JP"/>
                    </w:rPr>
                    <m:t>2</m:t>
                  </m:r>
                </m:sub>
              </m:sSub>
              <m:sSub>
                <m:sSubPr>
                  <m:ctrlPr>
                    <w:rPr>
                      <w:rFonts w:ascii="Cambria Math" w:eastAsia="MS Mincho" w:hAnsi="Cambria Math"/>
                      <w:iCs/>
                      <w:lang w:eastAsia="ja-JP"/>
                    </w:rPr>
                  </m:ctrlPr>
                </m:sSubPr>
                <m:e>
                  <m:r>
                    <m:rPr>
                      <m:sty m:val="p"/>
                    </m:rPr>
                    <w:rPr>
                      <w:rFonts w:ascii="Cambria Math" w:eastAsia="MS Mincho" w:hAnsi="Cambria Math"/>
                      <w:lang w:eastAsia="ja-JP"/>
                    </w:rPr>
                    <m:t>O</m:t>
                  </m:r>
                </m:e>
                <m:sub>
                  <m:r>
                    <m:rPr>
                      <m:sty m:val="p"/>
                    </m:rPr>
                    <w:rPr>
                      <w:rFonts w:ascii="Cambria Math" w:eastAsia="MS Mincho" w:hAnsi="Cambria Math"/>
                      <w:lang w:eastAsia="ja-JP"/>
                    </w:rPr>
                    <m:t>2</m:t>
                  </m:r>
                </m:sub>
              </m:sSub>
              <m:d>
                <m:dPr>
                  <m:ctrlPr>
                    <w:rPr>
                      <w:rFonts w:ascii="Cambria Math" w:eastAsia="MS Mincho" w:hAnsi="Cambria Math"/>
                      <w:iCs/>
                      <w:lang w:eastAsia="ja-JP"/>
                    </w:rPr>
                  </m:ctrlPr>
                </m:dPr>
                <m:e>
                  <m:r>
                    <m:rPr>
                      <m:sty m:val="p"/>
                    </m:rPr>
                    <w:rPr>
                      <w:rFonts w:ascii="Cambria Math" w:eastAsia="MS Mincho" w:hAnsi="Cambria Math"/>
                      <w:lang w:eastAsia="ja-JP"/>
                    </w:rPr>
                    <m:t>g</m:t>
                  </m:r>
                </m:e>
              </m:d>
            </m:oMath>
            <w:r w:rsidR="006B554D" w:rsidRPr="006B554D">
              <w:rPr>
                <w:rFonts w:eastAsia="MS Mincho" w:hint="eastAsia"/>
                <w:iCs/>
                <w:lang w:eastAsia="ja-JP"/>
              </w:rPr>
              <w:t xml:space="preserve"> </w:t>
            </w:r>
          </w:p>
        </w:tc>
        <w:tc>
          <w:tcPr>
            <w:tcW w:w="803" w:type="dxa"/>
            <w:shd w:val="clear" w:color="auto" w:fill="auto"/>
            <w:vAlign w:val="center"/>
          </w:tcPr>
          <w:p w14:paraId="18957EE2" w14:textId="77777777" w:rsidR="007D1621" w:rsidRPr="00B57B36" w:rsidRDefault="007D1621" w:rsidP="00927A82">
            <w:pPr>
              <w:pStyle w:val="CETEquation"/>
              <w:jc w:val="right"/>
            </w:pPr>
            <w:r w:rsidRPr="00B57B36">
              <w:t>(1)</w:t>
            </w:r>
          </w:p>
        </w:tc>
      </w:tr>
      <w:tr w:rsidR="007D1621" w:rsidRPr="00B57B36" w14:paraId="5ABF28FE" w14:textId="77777777" w:rsidTr="007D1621">
        <w:tc>
          <w:tcPr>
            <w:tcW w:w="7984" w:type="dxa"/>
            <w:shd w:val="clear" w:color="auto" w:fill="auto"/>
            <w:vAlign w:val="center"/>
          </w:tcPr>
          <w:p w14:paraId="7FA26F18" w14:textId="21A1FC17" w:rsidR="007D1621" w:rsidRPr="007D1621" w:rsidRDefault="00000000" w:rsidP="00927A82">
            <w:pPr>
              <w:pStyle w:val="CETEquation"/>
              <w:rPr>
                <w:rFonts w:eastAsia="MS Mincho"/>
                <w:lang w:eastAsia="ja-JP"/>
              </w:rPr>
            </w:pPr>
            <m:oMath>
              <m:sSub>
                <m:sSubPr>
                  <m:ctrlPr>
                    <w:rPr>
                      <w:rFonts w:ascii="Cambria Math" w:eastAsia="MS Mincho" w:hAnsi="Cambria Math"/>
                      <w:iCs/>
                      <w:lang w:eastAsia="ja-JP"/>
                    </w:rPr>
                  </m:ctrlPr>
                </m:sSubPr>
                <m:e>
                  <m:r>
                    <m:rPr>
                      <m:sty m:val="p"/>
                    </m:rPr>
                    <w:rPr>
                      <w:rFonts w:ascii="Cambria Math" w:eastAsia="MS Mincho" w:hAnsi="Cambria Math"/>
                      <w:lang w:eastAsia="ja-JP"/>
                    </w:rPr>
                    <m:t>H</m:t>
                  </m:r>
                </m:e>
                <m:sub>
                  <m:r>
                    <m:rPr>
                      <m:sty m:val="p"/>
                    </m:rPr>
                    <w:rPr>
                      <w:rFonts w:ascii="Cambria Math" w:eastAsia="MS Mincho" w:hAnsi="Cambria Math"/>
                      <w:lang w:eastAsia="ja-JP"/>
                    </w:rPr>
                    <m:t>2</m:t>
                  </m:r>
                </m:sub>
              </m:sSub>
              <m:sSub>
                <m:sSubPr>
                  <m:ctrlPr>
                    <w:rPr>
                      <w:rFonts w:ascii="Cambria Math" w:eastAsia="MS Mincho" w:hAnsi="Cambria Math"/>
                      <w:iCs/>
                      <w:lang w:eastAsia="ja-JP"/>
                    </w:rPr>
                  </m:ctrlPr>
                </m:sSubPr>
                <m:e>
                  <m:r>
                    <m:rPr>
                      <m:sty m:val="p"/>
                    </m:rPr>
                    <w:rPr>
                      <w:rFonts w:ascii="Cambria Math" w:eastAsia="MS Mincho" w:hAnsi="Cambria Math"/>
                      <w:lang w:eastAsia="ja-JP"/>
                    </w:rPr>
                    <m:t>O</m:t>
                  </m:r>
                </m:e>
                <m:sub>
                  <m:r>
                    <m:rPr>
                      <m:sty m:val="p"/>
                    </m:rPr>
                    <w:rPr>
                      <w:rFonts w:ascii="Cambria Math" w:eastAsia="MS Mincho" w:hAnsi="Cambria Math"/>
                      <w:lang w:eastAsia="ja-JP"/>
                    </w:rPr>
                    <m:t>2</m:t>
                  </m:r>
                </m:sub>
              </m:sSub>
              <m:d>
                <m:dPr>
                  <m:ctrlPr>
                    <w:rPr>
                      <w:rFonts w:ascii="Cambria Math" w:eastAsia="MS Mincho" w:hAnsi="Cambria Math"/>
                      <w:iCs/>
                      <w:lang w:eastAsia="ja-JP"/>
                    </w:rPr>
                  </m:ctrlPr>
                </m:dPr>
                <m:e>
                  <m:r>
                    <m:rPr>
                      <m:sty m:val="p"/>
                    </m:rPr>
                    <w:rPr>
                      <w:rFonts w:ascii="Cambria Math" w:eastAsia="MS Mincho" w:hAnsi="Cambria Math"/>
                      <w:lang w:eastAsia="ja-JP"/>
                    </w:rPr>
                    <m:t>g</m:t>
                  </m:r>
                </m:e>
              </m:d>
              <m:r>
                <m:rPr>
                  <m:sty m:val="p"/>
                </m:rPr>
                <w:rPr>
                  <w:rFonts w:ascii="Cambria Math" w:eastAsia="MS Mincho" w:hAnsi="Cambria Math"/>
                  <w:lang w:eastAsia="ja-JP"/>
                </w:rPr>
                <m:t>→</m:t>
              </m:r>
              <m:sSub>
                <m:sSubPr>
                  <m:ctrlPr>
                    <w:rPr>
                      <w:rFonts w:ascii="Cambria Math" w:eastAsia="MS Mincho" w:hAnsi="Cambria Math"/>
                      <w:iCs/>
                      <w:lang w:eastAsia="ja-JP"/>
                    </w:rPr>
                  </m:ctrlPr>
                </m:sSubPr>
                <m:e>
                  <m:r>
                    <m:rPr>
                      <m:sty m:val="p"/>
                    </m:rPr>
                    <w:rPr>
                      <w:rFonts w:ascii="Cambria Math" w:eastAsia="MS Mincho" w:hAnsi="Cambria Math"/>
                      <w:lang w:eastAsia="ja-JP"/>
                    </w:rPr>
                    <m:t>H</m:t>
                  </m:r>
                </m:e>
                <m:sub>
                  <m:r>
                    <m:rPr>
                      <m:sty m:val="p"/>
                    </m:rPr>
                    <w:rPr>
                      <w:rFonts w:ascii="Cambria Math" w:eastAsia="MS Mincho" w:hAnsi="Cambria Math"/>
                      <w:lang w:eastAsia="ja-JP"/>
                    </w:rPr>
                    <m:t>2</m:t>
                  </m:r>
                </m:sub>
              </m:sSub>
              <m:r>
                <m:rPr>
                  <m:sty m:val="p"/>
                </m:rPr>
                <w:rPr>
                  <w:rFonts w:ascii="Cambria Math" w:eastAsia="MS Mincho" w:hAnsi="Cambria Math"/>
                  <w:lang w:eastAsia="ja-JP"/>
                </w:rPr>
                <m:t>O</m:t>
              </m:r>
              <m:d>
                <m:dPr>
                  <m:ctrlPr>
                    <w:rPr>
                      <w:rFonts w:ascii="Cambria Math" w:eastAsia="MS Mincho" w:hAnsi="Cambria Math"/>
                      <w:iCs/>
                      <w:lang w:eastAsia="ja-JP"/>
                    </w:rPr>
                  </m:ctrlPr>
                </m:dPr>
                <m:e>
                  <m:r>
                    <m:rPr>
                      <m:sty m:val="p"/>
                    </m:rPr>
                    <w:rPr>
                      <w:rFonts w:ascii="Cambria Math" w:eastAsia="MS Mincho" w:hAnsi="Cambria Math"/>
                      <w:lang w:eastAsia="ja-JP"/>
                    </w:rPr>
                    <m:t>g</m:t>
                  </m:r>
                </m:e>
              </m:d>
              <m:r>
                <w:rPr>
                  <w:rFonts w:ascii="Cambria Math" w:eastAsia="MS Mincho" w:hAnsi="Cambria Math"/>
                  <w:lang w:eastAsia="ja-JP"/>
                </w:rPr>
                <m:t>+0.5</m:t>
              </m:r>
              <m:sSub>
                <m:sSubPr>
                  <m:ctrlPr>
                    <w:rPr>
                      <w:rFonts w:ascii="Cambria Math" w:eastAsia="MS Mincho" w:hAnsi="Cambria Math"/>
                      <w:iCs/>
                      <w:lang w:eastAsia="ja-JP"/>
                    </w:rPr>
                  </m:ctrlPr>
                </m:sSubPr>
                <m:e>
                  <m:r>
                    <m:rPr>
                      <m:sty m:val="p"/>
                    </m:rPr>
                    <w:rPr>
                      <w:rFonts w:ascii="Cambria Math" w:eastAsia="MS Mincho" w:hAnsi="Cambria Math"/>
                      <w:lang w:eastAsia="ja-JP"/>
                    </w:rPr>
                    <m:t>O</m:t>
                  </m:r>
                </m:e>
                <m:sub>
                  <m:r>
                    <m:rPr>
                      <m:sty m:val="p"/>
                    </m:rPr>
                    <w:rPr>
                      <w:rFonts w:ascii="Cambria Math" w:eastAsia="MS Mincho" w:hAnsi="Cambria Math"/>
                      <w:lang w:eastAsia="ja-JP"/>
                    </w:rPr>
                    <m:t>2</m:t>
                  </m:r>
                </m:sub>
              </m:sSub>
              <m:d>
                <m:dPr>
                  <m:ctrlPr>
                    <w:rPr>
                      <w:rFonts w:ascii="Cambria Math" w:eastAsia="MS Mincho" w:hAnsi="Cambria Math"/>
                      <w:iCs/>
                      <w:lang w:eastAsia="ja-JP"/>
                    </w:rPr>
                  </m:ctrlPr>
                </m:dPr>
                <m:e>
                  <m:r>
                    <m:rPr>
                      <m:sty m:val="p"/>
                    </m:rPr>
                    <w:rPr>
                      <w:rFonts w:ascii="Cambria Math" w:eastAsia="MS Mincho" w:hAnsi="Cambria Math"/>
                      <w:lang w:eastAsia="ja-JP"/>
                    </w:rPr>
                    <m:t>g</m:t>
                  </m:r>
                </m:e>
              </m:d>
            </m:oMath>
            <w:r w:rsidR="006B554D">
              <w:rPr>
                <w:rFonts w:eastAsia="MS Mincho" w:hint="eastAsia"/>
                <w:iCs/>
                <w:lang w:eastAsia="ja-JP"/>
              </w:rPr>
              <w:t xml:space="preserve"> </w:t>
            </w:r>
          </w:p>
        </w:tc>
        <w:tc>
          <w:tcPr>
            <w:tcW w:w="803" w:type="dxa"/>
            <w:shd w:val="clear" w:color="auto" w:fill="auto"/>
            <w:vAlign w:val="center"/>
          </w:tcPr>
          <w:p w14:paraId="158CEF25" w14:textId="482083B6" w:rsidR="007D1621" w:rsidRPr="00B57B36" w:rsidRDefault="007D1621" w:rsidP="00927A82">
            <w:pPr>
              <w:pStyle w:val="CETEquation"/>
              <w:jc w:val="right"/>
            </w:pPr>
            <w:r w:rsidRPr="00B57B36">
              <w:t>(</w:t>
            </w:r>
            <w:r>
              <w:rPr>
                <w:rFonts w:eastAsia="MS Mincho" w:hint="eastAsia"/>
                <w:lang w:eastAsia="ja-JP"/>
              </w:rPr>
              <w:t>2</w:t>
            </w:r>
            <w:r w:rsidRPr="00B57B36">
              <w:t>)</w:t>
            </w:r>
          </w:p>
        </w:tc>
      </w:tr>
    </w:tbl>
    <w:p w14:paraId="662C6BAF" w14:textId="77777777" w:rsidR="00F12170" w:rsidRDefault="00F12170" w:rsidP="006B554D">
      <w:pPr>
        <w:pStyle w:val="CETBodytext"/>
        <w:rPr>
          <w:rFonts w:eastAsia="MS Mincho"/>
          <w:lang w:val="en-GB" w:eastAsia="ja-JP"/>
        </w:rPr>
      </w:pPr>
    </w:p>
    <w:p w14:paraId="0982B3B6" w14:textId="1BB0BC16" w:rsidR="006B554D" w:rsidRPr="001422E0" w:rsidRDefault="006B554D" w:rsidP="006B554D">
      <w:pPr>
        <w:pStyle w:val="CETBodytext"/>
        <w:rPr>
          <w:rFonts w:eastAsia="MS Mincho"/>
          <w:lang w:val="en-GB" w:eastAsia="ja-JP"/>
        </w:rPr>
      </w:pPr>
      <w:r w:rsidRPr="001422E0">
        <w:rPr>
          <w:rFonts w:eastAsia="MS Mincho"/>
          <w:lang w:val="en-GB" w:eastAsia="ja-JP"/>
        </w:rPr>
        <w:t xml:space="preserve">The mechanism of SPC decomposition is complex. Galwey et al. (1979) reported that the decomposition of solid SPC is an autocatalytic process. Wada et al. (2015) reported that the decomposition involves a multi-step </w:t>
      </w:r>
      <w:r w:rsidRPr="001422E0">
        <w:rPr>
          <w:rFonts w:eastAsia="MS Mincho"/>
          <w:lang w:val="en-GB" w:eastAsia="ja-JP"/>
        </w:rPr>
        <w:lastRenderedPageBreak/>
        <w:t xml:space="preserve">reaction that is separated by the outer surface layer of SPC. The outer surface layers of SPC hinder the diffusional removal of product gases generated by the decomposition of internal SPC. The reaction rate of SPC decreases because of an increase of the internal pressure due to generated gas as the reaction advances. However, the decomposition rate accelerates once cracks are formed in the outer surface layer at the midpoint of the reaction. The exothermic decomposition of SPC increases the temperature of the material and the rate of thermal decomposition as a runaway reaction. Carson et al. (2006) reported that the exothermic decomposition of SPC occurs at 63.9 </w:t>
      </w:r>
      <w:r w:rsidRPr="001422E0">
        <w:rPr>
          <w:rFonts w:eastAsia="MS Mincho" w:cs="Arial"/>
          <w:lang w:val="en-GB" w:eastAsia="ja-JP"/>
        </w:rPr>
        <w:t>°</w:t>
      </w:r>
      <w:r w:rsidRPr="001422E0">
        <w:rPr>
          <w:rFonts w:eastAsia="MS Mincho"/>
          <w:lang w:val="en-GB" w:eastAsia="ja-JP"/>
        </w:rPr>
        <w:t xml:space="preserve">C, based on adiabatic rate calorimetry (ARC), and the self-accelerating decomposition temperature is 56 </w:t>
      </w:r>
      <w:r w:rsidRPr="001422E0">
        <w:rPr>
          <w:rFonts w:eastAsia="MS Mincho" w:cs="Arial"/>
          <w:lang w:val="en-GB" w:eastAsia="ja-JP"/>
        </w:rPr>
        <w:t>°</w:t>
      </w:r>
      <w:r w:rsidRPr="001422E0">
        <w:rPr>
          <w:rFonts w:eastAsia="MS Mincho"/>
          <w:lang w:val="en-GB" w:eastAsia="ja-JP"/>
        </w:rPr>
        <w:t xml:space="preserve">C. Using the wire-basket test under isothermal conditions, Morrison et al. (2008) reported self-heating of SPC in a 50 mm cube basket above 100 </w:t>
      </w:r>
      <w:r w:rsidRPr="001422E0">
        <w:rPr>
          <w:rFonts w:eastAsia="MS Mincho" w:cs="Arial"/>
          <w:lang w:val="en-GB" w:eastAsia="ja-JP"/>
        </w:rPr>
        <w:t>°</w:t>
      </w:r>
      <w:r w:rsidRPr="001422E0">
        <w:rPr>
          <w:rFonts w:eastAsia="MS Mincho"/>
          <w:lang w:val="en-GB" w:eastAsia="ja-JP"/>
        </w:rPr>
        <w:t xml:space="preserve">C. </w:t>
      </w:r>
    </w:p>
    <w:p w14:paraId="76350696" w14:textId="34EEDEA8" w:rsidR="006B554D" w:rsidRPr="001422E0" w:rsidRDefault="006B554D" w:rsidP="006B554D">
      <w:pPr>
        <w:pStyle w:val="CETBodytext"/>
        <w:rPr>
          <w:rFonts w:eastAsia="MS Mincho"/>
          <w:lang w:val="en-GB" w:eastAsia="ja-JP"/>
        </w:rPr>
      </w:pPr>
      <w:r w:rsidRPr="001422E0">
        <w:rPr>
          <w:rFonts w:eastAsia="MS Mincho"/>
          <w:lang w:val="en-GB" w:eastAsia="ja-JP"/>
        </w:rPr>
        <w:t xml:space="preserve"> Water is one of the chemical materials that affect the decomposition of SPC. Galwey and Hood (1979) reported that liquid water accelerates the decomposition of SPC. Johansson et al. (2007) observed that water vapour accelerates the decomposition of SPC at 30 </w:t>
      </w:r>
      <w:r w:rsidRPr="001422E0">
        <w:rPr>
          <w:rFonts w:eastAsia="MS Mincho" w:cs="Arial"/>
          <w:lang w:val="en-GB" w:eastAsia="ja-JP"/>
        </w:rPr>
        <w:t>°</w:t>
      </w:r>
      <w:r w:rsidRPr="001422E0">
        <w:rPr>
          <w:rFonts w:eastAsia="MS Mincho"/>
          <w:lang w:val="en-GB" w:eastAsia="ja-JP"/>
        </w:rPr>
        <w:t>C and 70% RH. However, Galwey and Hood (1979) reported that the rate of SPC decomposition decreases upon contact with water vapour at 4% RH. Wada et al. (2015) mentioned that water vapour at 6% RH hinders the diffusional removal of the gaseous products generated by the thermal decomposition of internal SPC. These previous studies indicate that water vapor in the atmosphere of SPC exerts complex effects on the thermal hazard of SPC. The airflow rate is thought to be important in the decomposition process because water is a decomposition product of SPC (Eq(2)) and the airflow rate influences accumulation of the gas product. In this study, the effect of the atmospheric conditions (airflow rate and humidity) on the thermal decomposition is elucidated for ensuring the safety of SPC.</w:t>
      </w:r>
    </w:p>
    <w:p w14:paraId="31E479E1" w14:textId="77777777" w:rsidR="00890A9E" w:rsidRDefault="00890A9E" w:rsidP="00600535">
      <w:pPr>
        <w:pStyle w:val="CETBodytext"/>
        <w:rPr>
          <w:rFonts w:eastAsia="MS Mincho"/>
          <w:lang w:val="en-GB" w:eastAsia="ja-JP"/>
        </w:rPr>
      </w:pPr>
    </w:p>
    <w:p w14:paraId="4384EA85" w14:textId="7165554A" w:rsidR="00890A9E" w:rsidRPr="00B57B36" w:rsidRDefault="00890A9E" w:rsidP="00890A9E">
      <w:pPr>
        <w:pStyle w:val="CETHeading1"/>
        <w:rPr>
          <w:lang w:val="en-GB"/>
        </w:rPr>
      </w:pPr>
      <w:r w:rsidRPr="00890A9E">
        <w:rPr>
          <w:lang w:val="en-GB"/>
        </w:rPr>
        <w:t>Experimental section</w:t>
      </w:r>
    </w:p>
    <w:p w14:paraId="5DA2A446" w14:textId="56D78A72" w:rsidR="00890A9E" w:rsidRPr="00890A9E" w:rsidRDefault="00890A9E" w:rsidP="008D1D60">
      <w:pPr>
        <w:pStyle w:val="CETheadingx"/>
        <w:rPr>
          <w:rFonts w:eastAsia="MS Mincho"/>
          <w:lang w:val="en-GB" w:eastAsia="ja-JP"/>
        </w:rPr>
      </w:pPr>
      <w:r w:rsidRPr="00890A9E">
        <w:t>Sample preparation</w:t>
      </w:r>
    </w:p>
    <w:p w14:paraId="05783E14" w14:textId="77777777" w:rsidR="00D821F9" w:rsidRPr="001422E0" w:rsidRDefault="00D821F9" w:rsidP="00D821F9">
      <w:pPr>
        <w:pStyle w:val="CETBodytext"/>
        <w:ind w:firstLineChars="50" w:firstLine="90"/>
        <w:rPr>
          <w:rFonts w:eastAsia="MS Mincho"/>
          <w:lang w:val="en-GB" w:eastAsia="ja-JP"/>
        </w:rPr>
      </w:pPr>
      <w:r w:rsidRPr="001422E0">
        <w:rPr>
          <w:rFonts w:eastAsia="MS Mincho"/>
          <w:lang w:val="en-GB" w:eastAsia="ja-JP"/>
        </w:rPr>
        <w:t>SPC (Thermo Scientific) was used as received without further purification. The purity of SPC was determined by titration with potassium permanganate before the experiments; the amount of H</w:t>
      </w:r>
      <w:r w:rsidRPr="001422E0">
        <w:rPr>
          <w:rFonts w:eastAsia="MS Mincho"/>
          <w:vertAlign w:val="subscript"/>
          <w:lang w:val="en-GB" w:eastAsia="ja-JP"/>
        </w:rPr>
        <w:t>2</w:t>
      </w:r>
      <w:r w:rsidRPr="001422E0">
        <w:rPr>
          <w:rFonts w:eastAsia="MS Mincho"/>
          <w:lang w:val="en-GB" w:eastAsia="ja-JP"/>
        </w:rPr>
        <w:t>O</w:t>
      </w:r>
      <w:r w:rsidRPr="001422E0">
        <w:rPr>
          <w:rFonts w:eastAsia="MS Mincho"/>
          <w:vertAlign w:val="subscript"/>
          <w:lang w:val="en-GB" w:eastAsia="ja-JP"/>
        </w:rPr>
        <w:t>2</w:t>
      </w:r>
      <w:r w:rsidRPr="001422E0">
        <w:rPr>
          <w:rFonts w:eastAsia="MS Mincho"/>
          <w:lang w:val="en-GB" w:eastAsia="ja-JP"/>
        </w:rPr>
        <w:t xml:space="preserve"> in SPC is ca. 8.66±0.09 mmol/g (Na</w:t>
      </w:r>
      <w:r w:rsidRPr="001422E0">
        <w:rPr>
          <w:rFonts w:eastAsia="MS Mincho"/>
          <w:vertAlign w:val="subscript"/>
          <w:lang w:val="en-GB" w:eastAsia="ja-JP"/>
        </w:rPr>
        <w:t>2</w:t>
      </w:r>
      <w:r w:rsidRPr="001422E0">
        <w:rPr>
          <w:rFonts w:eastAsia="MS Mincho"/>
          <w:lang w:val="en-GB" w:eastAsia="ja-JP"/>
        </w:rPr>
        <w:t>CO</w:t>
      </w:r>
      <w:r w:rsidRPr="001422E0">
        <w:rPr>
          <w:rFonts w:eastAsia="MS Mincho"/>
          <w:vertAlign w:val="subscript"/>
          <w:lang w:val="en-GB" w:eastAsia="ja-JP"/>
        </w:rPr>
        <w:t>3</w:t>
      </w:r>
      <w:r w:rsidRPr="001422E0">
        <w:rPr>
          <w:rFonts w:eastAsia="MS Mincho"/>
          <w:lang w:val="en-GB" w:eastAsia="ja-JP"/>
        </w:rPr>
        <w:t>·1.3H</w:t>
      </w:r>
      <w:r w:rsidRPr="001422E0">
        <w:rPr>
          <w:rFonts w:eastAsia="MS Mincho"/>
          <w:vertAlign w:val="subscript"/>
          <w:lang w:val="en-GB" w:eastAsia="ja-JP"/>
        </w:rPr>
        <w:t>2</w:t>
      </w:r>
      <w:r w:rsidRPr="001422E0">
        <w:rPr>
          <w:rFonts w:eastAsia="MS Mincho"/>
          <w:lang w:val="en-GB" w:eastAsia="ja-JP"/>
        </w:rPr>
        <w:t>O</w:t>
      </w:r>
      <w:r w:rsidRPr="001422E0">
        <w:rPr>
          <w:rFonts w:eastAsia="MS Mincho"/>
          <w:vertAlign w:val="subscript"/>
          <w:lang w:val="en-GB" w:eastAsia="ja-JP"/>
        </w:rPr>
        <w:t>2</w:t>
      </w:r>
      <w:r w:rsidRPr="001422E0">
        <w:rPr>
          <w:rFonts w:eastAsia="MS Mincho"/>
          <w:lang w:val="en-GB" w:eastAsia="ja-JP"/>
        </w:rPr>
        <w:t>).</w:t>
      </w:r>
    </w:p>
    <w:p w14:paraId="6B673937" w14:textId="77777777" w:rsidR="004D7D6E" w:rsidRPr="001E22F3" w:rsidRDefault="004D7D6E" w:rsidP="00600535">
      <w:pPr>
        <w:pStyle w:val="CETBodytext"/>
        <w:rPr>
          <w:rFonts w:eastAsia="MS Mincho"/>
          <w:lang w:val="en-GB" w:eastAsia="ja-JP"/>
        </w:rPr>
      </w:pPr>
    </w:p>
    <w:p w14:paraId="0C913E17" w14:textId="2EAD5E6B" w:rsidR="00890A9E" w:rsidRPr="00890A9E" w:rsidRDefault="00890A9E" w:rsidP="00890A9E">
      <w:pPr>
        <w:pStyle w:val="CETheadingx"/>
        <w:rPr>
          <w:rFonts w:eastAsia="MS Mincho"/>
          <w:lang w:val="en-GB" w:eastAsia="ja-JP"/>
        </w:rPr>
      </w:pPr>
      <w:r w:rsidRPr="00890A9E">
        <w:t xml:space="preserve">Isothermal </w:t>
      </w:r>
      <w:r w:rsidR="00D821F9">
        <w:rPr>
          <w:rFonts w:eastAsia="MS Mincho" w:hint="eastAsia"/>
          <w:lang w:eastAsia="ja-JP"/>
        </w:rPr>
        <w:t xml:space="preserve">test in </w:t>
      </w:r>
      <w:r w:rsidRPr="00890A9E">
        <w:t>Grewer oven</w:t>
      </w:r>
    </w:p>
    <w:p w14:paraId="27997670" w14:textId="77777777" w:rsidR="00BB0E59" w:rsidRDefault="00BB0E59" w:rsidP="00BB0E59">
      <w:pPr>
        <w:pStyle w:val="CETBodytext"/>
        <w:ind w:firstLineChars="50" w:firstLine="90"/>
        <w:rPr>
          <w:rFonts w:eastAsia="MS Mincho"/>
          <w:lang w:val="en-GB" w:eastAsia="ja-JP"/>
        </w:rPr>
      </w:pPr>
      <w:r w:rsidRPr="001422E0">
        <w:rPr>
          <w:rFonts w:eastAsia="MS Mincho"/>
          <w:lang w:val="en-GB" w:eastAsia="ja-JP"/>
        </w:rPr>
        <w:t xml:space="preserve">To observe the effect of the atmosphere during self-heating of SPC, a Grewer oven was chosen for the self-heating analysis. The Grewer oven enables measurement of the autoignition temperature under an air stream (as VDI2263 Part l); the test material was placed into a stainless steel wire basket (approximately 8 mL) with a thermocouple and placed in the oven at a controlled temperature (Jaeger and Siwek, 1999)). The oven was heated by a heater and metal heating blocks. The metal heating blocks also heated the air stream before contact with the samples. The oven has six pits for the wire basket, and one basket is used as a reference. The reference basket contains graphite. The temperature curve of graphite indicates the oven temperature without the effect of self-heating of the sample material. A schematic and photograph of the </w:t>
      </w:r>
      <w:r w:rsidRPr="001422E0">
        <w:rPr>
          <w:lang w:val="en-GB"/>
        </w:rPr>
        <w:t>Grewer oven</w:t>
      </w:r>
      <w:r w:rsidRPr="001422E0">
        <w:rPr>
          <w:rFonts w:eastAsia="MS Mincho"/>
          <w:lang w:val="en-GB" w:eastAsia="ja-JP"/>
        </w:rPr>
        <w:t xml:space="preserve"> are presented in Figure 1. In this study, the Grewer oven was used under isothermal conditions.</w:t>
      </w:r>
    </w:p>
    <w:p w14:paraId="6DA92661" w14:textId="77777777" w:rsidR="001E22F3" w:rsidRPr="001422E0" w:rsidRDefault="001E22F3" w:rsidP="00BB0E59">
      <w:pPr>
        <w:pStyle w:val="CETBodytext"/>
        <w:ind w:firstLineChars="50" w:firstLine="90"/>
        <w:rPr>
          <w:rFonts w:eastAsia="MS Mincho"/>
          <w:lang w:val="en-GB" w:eastAsia="ja-JP"/>
        </w:rPr>
      </w:pPr>
    </w:p>
    <w:p w14:paraId="751EB81B" w14:textId="77777777" w:rsidR="001E22F3" w:rsidRDefault="001E22F3" w:rsidP="001E22F3">
      <w:pPr>
        <w:pStyle w:val="CETBodytext"/>
        <w:rPr>
          <w:rFonts w:eastAsia="MS Mincho"/>
          <w:lang w:val="en-GB" w:eastAsia="ja-JP"/>
        </w:rPr>
      </w:pPr>
      <w:r>
        <w:rPr>
          <w:rFonts w:eastAsia="MS Mincho"/>
          <w:noProof/>
          <w:lang w:val="en-GB" w:eastAsia="ja-JP"/>
        </w:rPr>
        <w:drawing>
          <wp:inline distT="0" distB="0" distL="0" distR="0" wp14:anchorId="5FAD1EE9" wp14:editId="0F87C47D">
            <wp:extent cx="4407535" cy="2517775"/>
            <wp:effectExtent l="0" t="0" r="0" b="5080"/>
            <wp:docPr id="121739979" name="図 1" descr="屋内, テーブル, 座る,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9979" name="図 1" descr="屋内, テーブル, 座る, 小さい が含まれている画像&#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7535" cy="2517775"/>
                    </a:xfrm>
                    <a:prstGeom prst="rect">
                      <a:avLst/>
                    </a:prstGeom>
                    <a:noFill/>
                    <a:ln>
                      <a:noFill/>
                    </a:ln>
                  </pic:spPr>
                </pic:pic>
              </a:graphicData>
            </a:graphic>
          </wp:inline>
        </w:drawing>
      </w:r>
    </w:p>
    <w:p w14:paraId="3689CDE8" w14:textId="77777777" w:rsidR="001E22F3" w:rsidRPr="001422E0" w:rsidRDefault="001E22F3" w:rsidP="001E22F3">
      <w:pPr>
        <w:pStyle w:val="CETBodytext"/>
        <w:jc w:val="center"/>
        <w:rPr>
          <w:rFonts w:eastAsia="MS Mincho"/>
          <w:lang w:val="en-GB" w:eastAsia="ja-JP"/>
        </w:rPr>
      </w:pPr>
      <w:r w:rsidRPr="001422E0">
        <w:rPr>
          <w:rFonts w:eastAsia="MS Mincho"/>
          <w:lang w:val="en-GB" w:eastAsia="ja-JP"/>
        </w:rPr>
        <w:t xml:space="preserve">Figure 1 Schematic and photograph of </w:t>
      </w:r>
      <w:r w:rsidRPr="001422E0">
        <w:rPr>
          <w:lang w:val="en-GB"/>
        </w:rPr>
        <w:t>Grewer oven.</w:t>
      </w:r>
    </w:p>
    <w:p w14:paraId="0D324EFA" w14:textId="77777777" w:rsidR="001E22F3" w:rsidRDefault="001E22F3" w:rsidP="001E22F3">
      <w:pPr>
        <w:pStyle w:val="CETBodytext"/>
        <w:ind w:firstLineChars="50" w:firstLine="90"/>
        <w:rPr>
          <w:rFonts w:eastAsia="MS Mincho"/>
          <w:lang w:val="en-GB" w:eastAsia="ja-JP"/>
        </w:rPr>
      </w:pPr>
      <w:r w:rsidRPr="001422E0">
        <w:rPr>
          <w:rFonts w:eastAsia="MS Mincho"/>
          <w:lang w:val="en-GB" w:eastAsia="ja-JP"/>
        </w:rPr>
        <w:lastRenderedPageBreak/>
        <w:t xml:space="preserve">A Me-40DP-H90 humidity controller (Micro Equipment inc.) was used to control the humidity of the flowing air. The airflow rate was controlled by two mass flow controllers, as shown in Figure 2. </w:t>
      </w:r>
    </w:p>
    <w:p w14:paraId="6A04F455" w14:textId="77777777" w:rsidR="00F12170" w:rsidRPr="001422E0" w:rsidRDefault="00F12170" w:rsidP="00BB0E59">
      <w:pPr>
        <w:pStyle w:val="CETBodytext"/>
        <w:ind w:firstLineChars="50" w:firstLine="90"/>
        <w:rPr>
          <w:rFonts w:eastAsia="MS Mincho"/>
          <w:lang w:val="en-GB" w:eastAsia="ja-JP"/>
        </w:rPr>
      </w:pPr>
    </w:p>
    <w:p w14:paraId="302E1FA8" w14:textId="3192E63E" w:rsidR="004D7D6E" w:rsidRDefault="005670E5" w:rsidP="00496030">
      <w:pPr>
        <w:pStyle w:val="CETBodytext"/>
        <w:jc w:val="center"/>
        <w:rPr>
          <w:rFonts w:eastAsia="MS Mincho"/>
          <w:lang w:val="en-GB" w:eastAsia="ja-JP"/>
        </w:rPr>
      </w:pPr>
      <w:r>
        <w:rPr>
          <w:rFonts w:eastAsia="MS Mincho"/>
          <w:noProof/>
          <w:lang w:val="en-GB" w:eastAsia="ja-JP"/>
        </w:rPr>
        <w:drawing>
          <wp:inline distT="0" distB="0" distL="0" distR="0" wp14:anchorId="78822133" wp14:editId="02F95086">
            <wp:extent cx="3578860" cy="1810385"/>
            <wp:effectExtent l="0" t="0" r="0" b="0"/>
            <wp:docPr id="9525491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8860" cy="1810385"/>
                    </a:xfrm>
                    <a:prstGeom prst="rect">
                      <a:avLst/>
                    </a:prstGeom>
                    <a:noFill/>
                    <a:ln>
                      <a:noFill/>
                    </a:ln>
                  </pic:spPr>
                </pic:pic>
              </a:graphicData>
            </a:graphic>
          </wp:inline>
        </w:drawing>
      </w:r>
    </w:p>
    <w:p w14:paraId="696907A4" w14:textId="7B1C20E7" w:rsidR="00A879FB" w:rsidRDefault="00496030" w:rsidP="00496030">
      <w:pPr>
        <w:pStyle w:val="CETBodytext"/>
        <w:jc w:val="center"/>
        <w:rPr>
          <w:rFonts w:eastAsia="MS Mincho"/>
          <w:lang w:val="en-GB" w:eastAsia="ja-JP"/>
        </w:rPr>
      </w:pPr>
      <w:r>
        <w:rPr>
          <w:rFonts w:eastAsia="MS Mincho" w:hint="eastAsia"/>
          <w:lang w:val="en-GB" w:eastAsia="ja-JP"/>
        </w:rPr>
        <w:t xml:space="preserve">Figure 2 </w:t>
      </w:r>
      <w:r w:rsidR="00BB0E59" w:rsidRPr="001422E0">
        <w:rPr>
          <w:rFonts w:eastAsia="MS Mincho"/>
          <w:lang w:val="en-GB" w:eastAsia="ja-JP"/>
        </w:rPr>
        <w:t>Schematic of system for controlling flow rate and humidity.</w:t>
      </w:r>
    </w:p>
    <w:p w14:paraId="7F17C59A" w14:textId="77777777" w:rsidR="00890A9E" w:rsidRPr="00A879FB" w:rsidRDefault="00890A9E" w:rsidP="00600535">
      <w:pPr>
        <w:pStyle w:val="CETBodytext"/>
        <w:rPr>
          <w:rFonts w:eastAsia="MS Mincho"/>
          <w:lang w:val="en-GB" w:eastAsia="ja-JP"/>
        </w:rPr>
      </w:pPr>
    </w:p>
    <w:p w14:paraId="0CFBCB3B" w14:textId="494A8FF5" w:rsidR="001018EE" w:rsidRPr="00B57B36" w:rsidRDefault="001018EE" w:rsidP="001018EE">
      <w:pPr>
        <w:pStyle w:val="CETHeading1"/>
        <w:rPr>
          <w:lang w:val="en-GB"/>
        </w:rPr>
      </w:pPr>
      <w:r>
        <w:rPr>
          <w:rFonts w:eastAsia="MS Mincho" w:hint="eastAsia"/>
          <w:lang w:val="en-GB" w:eastAsia="ja-JP"/>
        </w:rPr>
        <w:t>Results and discussion</w:t>
      </w:r>
    </w:p>
    <w:p w14:paraId="212F8C5A" w14:textId="3389E0C8" w:rsidR="00890A9E" w:rsidRPr="00651C59" w:rsidRDefault="00651C59" w:rsidP="00600535">
      <w:pPr>
        <w:pStyle w:val="CETheadingx"/>
        <w:rPr>
          <w:rFonts w:eastAsia="MS Mincho"/>
          <w:lang w:val="en-GB" w:eastAsia="ja-JP"/>
        </w:rPr>
      </w:pPr>
      <w:r>
        <w:rPr>
          <w:rFonts w:eastAsia="MS Mincho" w:hint="eastAsia"/>
          <w:lang w:eastAsia="ja-JP"/>
        </w:rPr>
        <w:t>Effect of airflow rate</w:t>
      </w:r>
      <w:r w:rsidR="00AC2FE8">
        <w:rPr>
          <w:rFonts w:eastAsia="MS Mincho" w:hint="eastAsia"/>
          <w:lang w:eastAsia="ja-JP"/>
        </w:rPr>
        <w:t xml:space="preserve"> on self-heating of SPC </w:t>
      </w:r>
    </w:p>
    <w:p w14:paraId="7AA90904" w14:textId="7D4C6945" w:rsidR="009179CA" w:rsidRDefault="009179CA" w:rsidP="009179CA">
      <w:pPr>
        <w:pStyle w:val="CETBodytext"/>
        <w:ind w:firstLineChars="50" w:firstLine="90"/>
        <w:rPr>
          <w:rFonts w:eastAsia="MS Mincho"/>
          <w:lang w:val="en-GB" w:eastAsia="ja-JP"/>
        </w:rPr>
      </w:pPr>
      <w:r w:rsidRPr="001422E0">
        <w:rPr>
          <w:rFonts w:eastAsia="MS Mincho"/>
          <w:lang w:val="en-GB" w:eastAsia="ja-JP"/>
        </w:rPr>
        <w:t>The temperature variations of SPC in the Grewer oven are shown in Figures 3 and 4. The effect of the airflow rate (0, 0.5, 2, and 3 L/min) on the maximum temperature increase of SPC is summarised in Table 1 and Figure 5. Figure 3 shows the self-heating under various airflow conditions and Figure 4 shows the self-heating under natural convection. Based on the comparison between the two conditions, it is deduced that the exothermic decomposition of SPC is accelerated by air supply, although air is not required for the exothermic reaction, as shown in Eq(1) and (2). As shown in Table 1 and Figure 5, the maximum temperature increase became more pronounced as the oven temperature increased. These results indicate that the airflow influences the removal of product gases such as water (which inhibits the reactions in Eq(1) and (2)</w:t>
      </w:r>
      <w:r w:rsidRPr="001422E0">
        <w:rPr>
          <w:lang w:val="en-GB"/>
        </w:rPr>
        <w:t xml:space="preserve"> </w:t>
      </w:r>
      <w:r w:rsidRPr="001422E0">
        <w:rPr>
          <w:rFonts w:eastAsia="MS Mincho"/>
          <w:lang w:val="en-GB" w:eastAsia="ja-JP"/>
        </w:rPr>
        <w:t>according to chemical equilibrium). Thus, the effects of water vapor were measured using the humidity-control system, as shown in Figure 2.</w:t>
      </w:r>
    </w:p>
    <w:p w14:paraId="208713C9" w14:textId="77777777" w:rsidR="00D135AC" w:rsidRDefault="00D135AC" w:rsidP="00600535">
      <w:pPr>
        <w:pStyle w:val="CETBodytext"/>
        <w:rPr>
          <w:rFonts w:eastAsia="MS Mincho"/>
          <w:lang w:val="en-GB" w:eastAsia="ja-JP"/>
        </w:rPr>
      </w:pPr>
    </w:p>
    <w:p w14:paraId="67C1B51D" w14:textId="77777777" w:rsidR="00F12170" w:rsidRDefault="00F12170" w:rsidP="00600535">
      <w:pPr>
        <w:pStyle w:val="CETBodytext"/>
        <w:rPr>
          <w:rFonts w:eastAsia="MS Mincho"/>
          <w:lang w:val="en-GB" w:eastAsia="ja-JP"/>
        </w:rPr>
      </w:pPr>
    </w:p>
    <w:p w14:paraId="4E3666CC" w14:textId="77777777" w:rsidR="00F12170" w:rsidRDefault="00F12170" w:rsidP="00F12170">
      <w:pPr>
        <w:pStyle w:val="CETBodytext"/>
        <w:jc w:val="center"/>
        <w:rPr>
          <w:rFonts w:eastAsia="MS Mincho"/>
          <w:lang w:val="en-GB" w:eastAsia="ja-JP"/>
        </w:rPr>
      </w:pPr>
      <w:r>
        <w:rPr>
          <w:rFonts w:eastAsia="MS Mincho"/>
          <w:noProof/>
          <w:lang w:val="en-GB" w:eastAsia="ja-JP"/>
        </w:rPr>
        <w:drawing>
          <wp:inline distT="0" distB="0" distL="0" distR="0" wp14:anchorId="1858CB64" wp14:editId="32E9EE11">
            <wp:extent cx="3554095" cy="3420110"/>
            <wp:effectExtent l="0" t="0" r="8255" b="8890"/>
            <wp:docPr id="1673887883" name="図 10"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87883" name="図 10" descr="グラフ&#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4095" cy="3420110"/>
                    </a:xfrm>
                    <a:prstGeom prst="rect">
                      <a:avLst/>
                    </a:prstGeom>
                    <a:noFill/>
                    <a:ln>
                      <a:noFill/>
                    </a:ln>
                  </pic:spPr>
                </pic:pic>
              </a:graphicData>
            </a:graphic>
          </wp:inline>
        </w:drawing>
      </w:r>
    </w:p>
    <w:p w14:paraId="18127D2C" w14:textId="77777777" w:rsidR="00F12170" w:rsidRDefault="00F12170" w:rsidP="00F12170">
      <w:pPr>
        <w:pStyle w:val="CETBodytext"/>
        <w:jc w:val="center"/>
        <w:rPr>
          <w:rFonts w:eastAsia="MS Mincho"/>
          <w:lang w:val="en-GB" w:eastAsia="ja-JP"/>
        </w:rPr>
      </w:pPr>
      <w:r>
        <w:rPr>
          <w:rFonts w:eastAsia="MS Mincho" w:hint="eastAsia"/>
          <w:lang w:val="en-GB" w:eastAsia="ja-JP"/>
        </w:rPr>
        <w:t xml:space="preserve">Figure 3 </w:t>
      </w:r>
      <w:r w:rsidRPr="001422E0">
        <w:rPr>
          <w:rFonts w:eastAsia="MS Mincho"/>
          <w:lang w:val="en-GB" w:eastAsia="ja-JP"/>
        </w:rPr>
        <w:t>Temperature variation during self-heating of SPC at airflow rate of 2 L/min</w:t>
      </w:r>
      <w:r>
        <w:rPr>
          <w:rFonts w:eastAsia="MS Mincho" w:hint="eastAsia"/>
          <w:lang w:val="en-GB" w:eastAsia="ja-JP"/>
        </w:rPr>
        <w:t>.</w:t>
      </w:r>
    </w:p>
    <w:p w14:paraId="7A6E0CEE" w14:textId="77777777" w:rsidR="00F12170" w:rsidRDefault="00F12170" w:rsidP="00600535">
      <w:pPr>
        <w:pStyle w:val="CETBodytext"/>
        <w:rPr>
          <w:rFonts w:eastAsia="MS Mincho"/>
          <w:lang w:val="en-GB" w:eastAsia="ja-JP"/>
        </w:rPr>
      </w:pPr>
    </w:p>
    <w:p w14:paraId="50ABBCFE" w14:textId="77777777" w:rsidR="007E68B8" w:rsidRDefault="007E68B8" w:rsidP="00AC1143">
      <w:pPr>
        <w:pStyle w:val="CETBodytext"/>
        <w:jc w:val="center"/>
        <w:rPr>
          <w:rFonts w:eastAsia="MS Mincho"/>
          <w:lang w:val="en-GB" w:eastAsia="ja-JP"/>
        </w:rPr>
      </w:pPr>
    </w:p>
    <w:p w14:paraId="07A0E1C4" w14:textId="50467E9A" w:rsidR="00AC2FE8" w:rsidRDefault="00185C93" w:rsidP="00AC1143">
      <w:pPr>
        <w:pStyle w:val="CETBodytext"/>
        <w:jc w:val="center"/>
        <w:rPr>
          <w:rFonts w:eastAsia="MS Mincho"/>
          <w:lang w:val="en-GB" w:eastAsia="ja-JP"/>
        </w:rPr>
      </w:pPr>
      <w:r>
        <w:rPr>
          <w:rFonts w:eastAsia="MS Mincho"/>
          <w:noProof/>
          <w:lang w:val="en-GB" w:eastAsia="ja-JP"/>
        </w:rPr>
        <w:drawing>
          <wp:inline distT="0" distB="0" distL="0" distR="0" wp14:anchorId="3B73BAD4" wp14:editId="61D32B88">
            <wp:extent cx="3578860" cy="3438525"/>
            <wp:effectExtent l="0" t="0" r="2540" b="9525"/>
            <wp:docPr id="82754227" name="図 11"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4227" name="図 11" descr="グラフ, ヒストグラム&#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8860" cy="3438525"/>
                    </a:xfrm>
                    <a:prstGeom prst="rect">
                      <a:avLst/>
                    </a:prstGeom>
                    <a:noFill/>
                    <a:ln>
                      <a:noFill/>
                    </a:ln>
                  </pic:spPr>
                </pic:pic>
              </a:graphicData>
            </a:graphic>
          </wp:inline>
        </w:drawing>
      </w:r>
    </w:p>
    <w:p w14:paraId="3B2EDD3F" w14:textId="659C8DB9" w:rsidR="001E4E77" w:rsidRDefault="001E4E77" w:rsidP="00185C93">
      <w:pPr>
        <w:pStyle w:val="CETBodytext"/>
        <w:rPr>
          <w:rFonts w:eastAsia="MS Mincho"/>
          <w:lang w:val="en-GB" w:eastAsia="ja-JP"/>
        </w:rPr>
      </w:pPr>
    </w:p>
    <w:p w14:paraId="24C2C0C7" w14:textId="3D12AB78" w:rsidR="00AC1143" w:rsidRDefault="00AC1143" w:rsidP="00AC1143">
      <w:pPr>
        <w:pStyle w:val="CETBodytext"/>
        <w:jc w:val="center"/>
        <w:rPr>
          <w:rFonts w:eastAsia="MS Mincho"/>
          <w:lang w:val="en-GB" w:eastAsia="ja-JP"/>
        </w:rPr>
      </w:pPr>
      <w:r>
        <w:rPr>
          <w:rFonts w:eastAsia="MS Mincho" w:hint="eastAsia"/>
          <w:lang w:val="en-GB" w:eastAsia="ja-JP"/>
        </w:rPr>
        <w:t xml:space="preserve">Figure 4 </w:t>
      </w:r>
      <w:r w:rsidR="009179CA" w:rsidRPr="001422E0">
        <w:rPr>
          <w:rFonts w:eastAsia="MS Mincho"/>
          <w:lang w:val="en-GB" w:eastAsia="ja-JP"/>
        </w:rPr>
        <w:t>Temperature variation during self-heating of SPC at airflow rate of 0 L/min</w:t>
      </w:r>
      <w:r w:rsidR="009179CA">
        <w:rPr>
          <w:rFonts w:eastAsia="MS Mincho" w:hint="eastAsia"/>
          <w:lang w:val="en-GB" w:eastAsia="ja-JP"/>
        </w:rPr>
        <w:t>.</w:t>
      </w:r>
    </w:p>
    <w:p w14:paraId="27DEADEA" w14:textId="77777777" w:rsidR="00AC1143" w:rsidRPr="00AC1143" w:rsidRDefault="00AC1143" w:rsidP="00600535">
      <w:pPr>
        <w:pStyle w:val="CETBodytext"/>
        <w:rPr>
          <w:rFonts w:eastAsia="MS Mincho"/>
          <w:lang w:val="en-GB" w:eastAsia="ja-JP"/>
        </w:rPr>
      </w:pPr>
    </w:p>
    <w:p w14:paraId="6FCA3D97" w14:textId="77777777" w:rsidR="00AC2FE8" w:rsidRDefault="00AC2FE8" w:rsidP="00AC2FE8">
      <w:pPr>
        <w:jc w:val="center"/>
        <w:rPr>
          <w:rFonts w:eastAsia="MS Mincho" w:cs="Arial"/>
          <w:lang w:eastAsia="ja-JP"/>
        </w:rPr>
      </w:pPr>
    </w:p>
    <w:p w14:paraId="0E4FE798" w14:textId="77777777" w:rsidR="0067039F" w:rsidRDefault="0067039F" w:rsidP="00AC2FE8">
      <w:pPr>
        <w:jc w:val="center"/>
        <w:rPr>
          <w:rFonts w:eastAsia="MS Mincho" w:cs="Arial"/>
          <w:lang w:eastAsia="ja-JP"/>
        </w:rPr>
      </w:pPr>
    </w:p>
    <w:p w14:paraId="58381917" w14:textId="4D5BF645" w:rsidR="00AC2FE8" w:rsidRDefault="00127D27" w:rsidP="00AC2FE8">
      <w:pPr>
        <w:jc w:val="center"/>
        <w:rPr>
          <w:rFonts w:ascii="Times New Roman" w:eastAsia="MS Mincho" w:hAnsi="Times New Roman"/>
          <w:sz w:val="20"/>
          <w:szCs w:val="21"/>
          <w:lang w:eastAsia="ja-JP"/>
        </w:rPr>
      </w:pPr>
      <w:r>
        <w:rPr>
          <w:rFonts w:ascii="Times New Roman" w:eastAsia="MS Mincho" w:hAnsi="Times New Roman"/>
          <w:noProof/>
          <w:sz w:val="20"/>
          <w:szCs w:val="21"/>
          <w:lang w:eastAsia="ja-JP"/>
        </w:rPr>
        <w:drawing>
          <wp:inline distT="0" distB="0" distL="0" distR="0" wp14:anchorId="7A002A9E" wp14:editId="70281935">
            <wp:extent cx="3706495" cy="3572510"/>
            <wp:effectExtent l="0" t="0" r="8255" b="8890"/>
            <wp:docPr id="7450992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6495" cy="3572510"/>
                    </a:xfrm>
                    <a:prstGeom prst="rect">
                      <a:avLst/>
                    </a:prstGeom>
                    <a:noFill/>
                    <a:ln>
                      <a:noFill/>
                    </a:ln>
                  </pic:spPr>
                </pic:pic>
              </a:graphicData>
            </a:graphic>
          </wp:inline>
        </w:drawing>
      </w:r>
    </w:p>
    <w:p w14:paraId="3F57C933" w14:textId="21D5768B" w:rsidR="00372620" w:rsidRPr="00372620" w:rsidRDefault="00372620" w:rsidP="00AC2FE8">
      <w:pPr>
        <w:jc w:val="center"/>
        <w:rPr>
          <w:rFonts w:ascii="Times New Roman" w:eastAsia="MS Mincho" w:hAnsi="Times New Roman"/>
          <w:sz w:val="20"/>
          <w:szCs w:val="21"/>
          <w:lang w:eastAsia="ja-JP"/>
        </w:rPr>
      </w:pPr>
      <w:r>
        <w:rPr>
          <w:rFonts w:eastAsia="MS Mincho" w:hint="eastAsia"/>
          <w:lang w:eastAsia="ja-JP"/>
        </w:rPr>
        <w:t xml:space="preserve">Figure </w:t>
      </w:r>
      <w:r w:rsidR="00185C93">
        <w:rPr>
          <w:rFonts w:eastAsia="MS Mincho" w:hint="eastAsia"/>
          <w:lang w:eastAsia="ja-JP"/>
        </w:rPr>
        <w:t>5</w:t>
      </w:r>
      <w:r>
        <w:rPr>
          <w:rFonts w:eastAsia="MS Mincho" w:hint="eastAsia"/>
          <w:lang w:eastAsia="ja-JP"/>
        </w:rPr>
        <w:t xml:space="preserve"> </w:t>
      </w:r>
      <w:r w:rsidR="009179CA" w:rsidRPr="001422E0">
        <w:rPr>
          <w:rFonts w:eastAsia="MS Mincho"/>
          <w:lang w:eastAsia="ja-JP"/>
        </w:rPr>
        <w:t>Maximum temperature increase of SPC at various airflow rates</w:t>
      </w:r>
    </w:p>
    <w:p w14:paraId="01D9E5FF" w14:textId="77777777" w:rsidR="00AC0187" w:rsidRDefault="00AC0187" w:rsidP="00AC0187">
      <w:pPr>
        <w:rPr>
          <w:rFonts w:ascii="Times New Roman" w:eastAsia="MS Mincho" w:hAnsi="Times New Roman"/>
          <w:sz w:val="20"/>
          <w:szCs w:val="21"/>
          <w:lang w:eastAsia="ja-JP"/>
        </w:rPr>
      </w:pPr>
    </w:p>
    <w:p w14:paraId="57A391D0" w14:textId="77777777" w:rsidR="00F12170" w:rsidRDefault="00F12170" w:rsidP="00F12170">
      <w:pPr>
        <w:pStyle w:val="CETBodytext"/>
        <w:rPr>
          <w:rFonts w:eastAsia="MS Mincho"/>
          <w:lang w:val="en-GB" w:eastAsia="ja-JP"/>
        </w:rPr>
      </w:pPr>
    </w:p>
    <w:p w14:paraId="16137CF1" w14:textId="77777777" w:rsidR="00F12170" w:rsidRDefault="00F12170" w:rsidP="00F12170">
      <w:pPr>
        <w:pStyle w:val="CETBodytext"/>
        <w:rPr>
          <w:rFonts w:eastAsia="MS Mincho"/>
          <w:lang w:val="en-GB" w:eastAsia="ja-JP"/>
        </w:rPr>
      </w:pPr>
    </w:p>
    <w:p w14:paraId="04ACDF94" w14:textId="77777777" w:rsidR="00F12170" w:rsidRPr="00D135AC" w:rsidRDefault="00F12170" w:rsidP="00F12170">
      <w:pPr>
        <w:pStyle w:val="CETBodytext"/>
        <w:rPr>
          <w:rFonts w:eastAsia="MS Mincho"/>
          <w:lang w:val="en-GB" w:eastAsia="ja-JP"/>
        </w:rPr>
      </w:pPr>
      <w:r>
        <w:rPr>
          <w:rFonts w:eastAsia="MS Mincho" w:hint="eastAsia"/>
          <w:lang w:val="en-GB" w:eastAsia="ja-JP"/>
        </w:rPr>
        <w:lastRenderedPageBreak/>
        <w:t>Table 1 M</w:t>
      </w:r>
      <w:r>
        <w:rPr>
          <w:rFonts w:eastAsia="MS Mincho"/>
          <w:lang w:val="en-GB" w:eastAsia="ja-JP"/>
        </w:rPr>
        <w:t>aximum</w:t>
      </w:r>
      <w:r>
        <w:rPr>
          <w:rFonts w:eastAsia="MS Mincho" w:hint="eastAsia"/>
          <w:lang w:val="en-GB" w:eastAsia="ja-JP"/>
        </w:rPr>
        <w:t xml:space="preserve"> temperature increase [k] of self-heating of SPC at various airflow rate.</w:t>
      </w:r>
    </w:p>
    <w:tbl>
      <w:tblPr>
        <w:tblW w:w="796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002"/>
        <w:gridCol w:w="1138"/>
        <w:gridCol w:w="1137"/>
        <w:gridCol w:w="1138"/>
        <w:gridCol w:w="1137"/>
      </w:tblGrid>
      <w:tr w:rsidR="00F12170" w:rsidRPr="00B57B36" w14:paraId="6B22ABB4" w14:textId="77777777" w:rsidTr="00CC5829">
        <w:trPr>
          <w:trHeight w:val="571"/>
        </w:trPr>
        <w:tc>
          <w:tcPr>
            <w:tcW w:w="2410" w:type="dxa"/>
            <w:vMerge w:val="restart"/>
            <w:tcBorders>
              <w:top w:val="single" w:sz="12" w:space="0" w:color="339933"/>
            </w:tcBorders>
            <w:shd w:val="clear" w:color="auto" w:fill="FFFFFF"/>
            <w:vAlign w:val="center"/>
          </w:tcPr>
          <w:p w14:paraId="7709E2D1" w14:textId="77777777" w:rsidR="00F12170" w:rsidRDefault="00F12170" w:rsidP="00CC5829">
            <w:pPr>
              <w:pStyle w:val="CETBodytext"/>
              <w:rPr>
                <w:rFonts w:eastAsia="MS Mincho"/>
                <w:lang w:val="en-GB" w:eastAsia="ja-JP"/>
              </w:rPr>
            </w:pPr>
            <w:r>
              <w:rPr>
                <w:rFonts w:eastAsia="MS Mincho" w:hint="eastAsia"/>
                <w:lang w:val="en-GB" w:eastAsia="ja-JP"/>
              </w:rPr>
              <w:t>Airflow condition</w:t>
            </w:r>
          </w:p>
        </w:tc>
        <w:tc>
          <w:tcPr>
            <w:tcW w:w="5552" w:type="dxa"/>
            <w:gridSpan w:val="5"/>
            <w:tcBorders>
              <w:top w:val="single" w:sz="12" w:space="0" w:color="339933"/>
              <w:bottom w:val="nil"/>
            </w:tcBorders>
            <w:shd w:val="clear" w:color="auto" w:fill="FFFFFF"/>
            <w:vAlign w:val="center"/>
          </w:tcPr>
          <w:p w14:paraId="514F52A7" w14:textId="77777777" w:rsidR="00F12170" w:rsidRDefault="00F12170" w:rsidP="00CC5829">
            <w:pPr>
              <w:pStyle w:val="CETBodytext"/>
              <w:ind w:right="-1"/>
              <w:rPr>
                <w:rFonts w:eastAsia="MS Mincho" w:cs="Arial"/>
                <w:szCs w:val="18"/>
                <w:lang w:val="en-GB" w:eastAsia="ja-JP"/>
              </w:rPr>
            </w:pPr>
            <w:r>
              <w:rPr>
                <w:rFonts w:eastAsia="MS Mincho" w:hint="eastAsia"/>
                <w:lang w:val="en-GB" w:eastAsia="ja-JP"/>
              </w:rPr>
              <w:t>Temperature [</w:t>
            </w:r>
            <w:r w:rsidRPr="00DB5F52">
              <w:rPr>
                <w:rFonts w:eastAsia="MS Mincho" w:hint="eastAsia"/>
                <w:vertAlign w:val="superscript"/>
                <w:lang w:val="en-GB" w:eastAsia="ja-JP"/>
              </w:rPr>
              <w:t>o</w:t>
            </w:r>
            <w:r>
              <w:rPr>
                <w:rFonts w:eastAsia="MS Mincho" w:hint="eastAsia"/>
                <w:lang w:val="en-GB" w:eastAsia="ja-JP"/>
              </w:rPr>
              <w:t>C]</w:t>
            </w:r>
          </w:p>
        </w:tc>
      </w:tr>
      <w:tr w:rsidR="00F12170" w:rsidRPr="00B57B36" w14:paraId="2B2D9CBB" w14:textId="77777777" w:rsidTr="00CC5829">
        <w:trPr>
          <w:trHeight w:val="571"/>
        </w:trPr>
        <w:tc>
          <w:tcPr>
            <w:tcW w:w="2410" w:type="dxa"/>
            <w:vMerge/>
            <w:tcBorders>
              <w:bottom w:val="single" w:sz="12" w:space="0" w:color="339933"/>
            </w:tcBorders>
            <w:shd w:val="clear" w:color="auto" w:fill="FFFFFF"/>
            <w:vAlign w:val="center"/>
          </w:tcPr>
          <w:p w14:paraId="2C220CD5" w14:textId="77777777" w:rsidR="00F12170" w:rsidRPr="00DB5F52" w:rsidRDefault="00F12170" w:rsidP="00CC5829">
            <w:pPr>
              <w:pStyle w:val="CETBodytext"/>
              <w:rPr>
                <w:rFonts w:eastAsia="MS Mincho"/>
                <w:lang w:val="en-GB" w:eastAsia="ja-JP"/>
              </w:rPr>
            </w:pPr>
          </w:p>
        </w:tc>
        <w:tc>
          <w:tcPr>
            <w:tcW w:w="1002" w:type="dxa"/>
            <w:tcBorders>
              <w:top w:val="nil"/>
              <w:bottom w:val="single" w:sz="12" w:space="0" w:color="339933"/>
            </w:tcBorders>
            <w:shd w:val="clear" w:color="auto" w:fill="FFFFFF"/>
            <w:vAlign w:val="center"/>
          </w:tcPr>
          <w:p w14:paraId="31530559" w14:textId="77777777" w:rsidR="00F12170" w:rsidRPr="00DB5F52" w:rsidRDefault="00F12170" w:rsidP="00CC5829">
            <w:pPr>
              <w:pStyle w:val="CETBodytext"/>
              <w:rPr>
                <w:rFonts w:eastAsia="MS Mincho"/>
                <w:lang w:val="en-GB" w:eastAsia="ja-JP"/>
              </w:rPr>
            </w:pPr>
            <w:r>
              <w:rPr>
                <w:rFonts w:eastAsia="MS Mincho" w:hint="eastAsia"/>
                <w:lang w:val="en-GB" w:eastAsia="ja-JP"/>
              </w:rPr>
              <w:t>120</w:t>
            </w:r>
          </w:p>
        </w:tc>
        <w:tc>
          <w:tcPr>
            <w:tcW w:w="1138" w:type="dxa"/>
            <w:tcBorders>
              <w:top w:val="nil"/>
              <w:bottom w:val="single" w:sz="12" w:space="0" w:color="339933"/>
            </w:tcBorders>
            <w:shd w:val="clear" w:color="auto" w:fill="FFFFFF"/>
            <w:vAlign w:val="center"/>
          </w:tcPr>
          <w:p w14:paraId="5900E320" w14:textId="77777777" w:rsidR="00F12170" w:rsidRPr="00DB5F52"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130</w:t>
            </w:r>
          </w:p>
        </w:tc>
        <w:tc>
          <w:tcPr>
            <w:tcW w:w="1137" w:type="dxa"/>
            <w:tcBorders>
              <w:top w:val="nil"/>
              <w:bottom w:val="single" w:sz="12" w:space="0" w:color="339933"/>
            </w:tcBorders>
            <w:shd w:val="clear" w:color="auto" w:fill="FFFFFF"/>
            <w:vAlign w:val="center"/>
          </w:tcPr>
          <w:p w14:paraId="12161A85" w14:textId="77777777" w:rsidR="00F12170" w:rsidRPr="00DB5F52"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135</w:t>
            </w:r>
          </w:p>
        </w:tc>
        <w:tc>
          <w:tcPr>
            <w:tcW w:w="1138" w:type="dxa"/>
            <w:tcBorders>
              <w:top w:val="nil"/>
              <w:bottom w:val="single" w:sz="12" w:space="0" w:color="339933"/>
            </w:tcBorders>
            <w:shd w:val="clear" w:color="auto" w:fill="FFFFFF"/>
            <w:vAlign w:val="center"/>
          </w:tcPr>
          <w:p w14:paraId="75041643" w14:textId="77777777" w:rsidR="00F12170" w:rsidRPr="00DB5F52"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140</w:t>
            </w:r>
          </w:p>
        </w:tc>
        <w:tc>
          <w:tcPr>
            <w:tcW w:w="1137" w:type="dxa"/>
            <w:tcBorders>
              <w:top w:val="nil"/>
              <w:bottom w:val="single" w:sz="12" w:space="0" w:color="339933"/>
            </w:tcBorders>
            <w:shd w:val="clear" w:color="auto" w:fill="FFFFFF"/>
            <w:vAlign w:val="center"/>
          </w:tcPr>
          <w:p w14:paraId="38D70027" w14:textId="77777777" w:rsidR="00F12170" w:rsidRPr="00DB5F52"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150</w:t>
            </w:r>
          </w:p>
        </w:tc>
      </w:tr>
      <w:tr w:rsidR="00F12170" w:rsidRPr="00B57B36" w14:paraId="0C3A8F69" w14:textId="77777777" w:rsidTr="00CC5829">
        <w:trPr>
          <w:trHeight w:val="571"/>
        </w:trPr>
        <w:tc>
          <w:tcPr>
            <w:tcW w:w="2410" w:type="dxa"/>
            <w:tcBorders>
              <w:top w:val="single" w:sz="12" w:space="0" w:color="339933"/>
            </w:tcBorders>
            <w:shd w:val="clear" w:color="auto" w:fill="FFFFFF"/>
            <w:vAlign w:val="center"/>
          </w:tcPr>
          <w:p w14:paraId="0FE26D21" w14:textId="77777777" w:rsidR="00F12170" w:rsidRPr="00DB5F52" w:rsidRDefault="00F12170" w:rsidP="00CC5829">
            <w:pPr>
              <w:pStyle w:val="CETBodytext"/>
              <w:rPr>
                <w:rFonts w:eastAsia="MS Mincho"/>
                <w:lang w:val="en-GB" w:eastAsia="ja-JP"/>
              </w:rPr>
            </w:pPr>
            <w:r>
              <w:rPr>
                <w:rFonts w:eastAsia="MS Mincho" w:hint="eastAsia"/>
                <w:lang w:val="en-GB" w:eastAsia="ja-JP"/>
              </w:rPr>
              <w:t>3 [L/min] Dry air</w:t>
            </w:r>
          </w:p>
        </w:tc>
        <w:tc>
          <w:tcPr>
            <w:tcW w:w="1002" w:type="dxa"/>
            <w:tcBorders>
              <w:top w:val="single" w:sz="12" w:space="0" w:color="339933"/>
            </w:tcBorders>
            <w:shd w:val="clear" w:color="auto" w:fill="FFFFFF"/>
            <w:vAlign w:val="center"/>
          </w:tcPr>
          <w:p w14:paraId="7C81517E"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w:t>
            </w:r>
          </w:p>
        </w:tc>
        <w:tc>
          <w:tcPr>
            <w:tcW w:w="1138" w:type="dxa"/>
            <w:tcBorders>
              <w:top w:val="single" w:sz="12" w:space="0" w:color="339933"/>
            </w:tcBorders>
            <w:shd w:val="clear" w:color="auto" w:fill="FFFFFF"/>
            <w:vAlign w:val="center"/>
          </w:tcPr>
          <w:p w14:paraId="08204C0F"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23.3</w:t>
            </w:r>
          </w:p>
        </w:tc>
        <w:tc>
          <w:tcPr>
            <w:tcW w:w="1137" w:type="dxa"/>
            <w:tcBorders>
              <w:top w:val="single" w:sz="12" w:space="0" w:color="339933"/>
            </w:tcBorders>
            <w:shd w:val="clear" w:color="auto" w:fill="FFFFFF"/>
            <w:vAlign w:val="center"/>
          </w:tcPr>
          <w:p w14:paraId="5A128389"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46.2</w:t>
            </w:r>
          </w:p>
        </w:tc>
        <w:tc>
          <w:tcPr>
            <w:tcW w:w="1138" w:type="dxa"/>
            <w:tcBorders>
              <w:top w:val="single" w:sz="12" w:space="0" w:color="339933"/>
            </w:tcBorders>
            <w:shd w:val="clear" w:color="auto" w:fill="FFFFFF"/>
            <w:vAlign w:val="center"/>
          </w:tcPr>
          <w:p w14:paraId="134CFF6E"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55.0</w:t>
            </w:r>
          </w:p>
        </w:tc>
        <w:tc>
          <w:tcPr>
            <w:tcW w:w="1137" w:type="dxa"/>
            <w:tcBorders>
              <w:top w:val="single" w:sz="12" w:space="0" w:color="339933"/>
            </w:tcBorders>
            <w:shd w:val="clear" w:color="auto" w:fill="FFFFFF"/>
            <w:vAlign w:val="center"/>
          </w:tcPr>
          <w:p w14:paraId="0BEFDE94"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w:t>
            </w:r>
          </w:p>
        </w:tc>
      </w:tr>
      <w:tr w:rsidR="00F12170" w:rsidRPr="00B57B36" w14:paraId="6D26081C" w14:textId="77777777" w:rsidTr="00CC5829">
        <w:trPr>
          <w:trHeight w:val="571"/>
        </w:trPr>
        <w:tc>
          <w:tcPr>
            <w:tcW w:w="2410" w:type="dxa"/>
            <w:shd w:val="clear" w:color="auto" w:fill="FFFFFF"/>
            <w:vAlign w:val="center"/>
          </w:tcPr>
          <w:p w14:paraId="3D9C7919" w14:textId="77777777" w:rsidR="00F12170" w:rsidRPr="00B57B36" w:rsidRDefault="00F12170" w:rsidP="00CC5829">
            <w:pPr>
              <w:pStyle w:val="CETBodytext"/>
              <w:ind w:right="-1"/>
              <w:rPr>
                <w:rFonts w:cs="Arial"/>
                <w:szCs w:val="18"/>
                <w:lang w:val="en-GB"/>
              </w:rPr>
            </w:pPr>
            <w:r>
              <w:rPr>
                <w:rFonts w:eastAsia="MS Mincho" w:hint="eastAsia"/>
                <w:lang w:val="en-GB" w:eastAsia="ja-JP"/>
              </w:rPr>
              <w:t>2 [L/min] Dry air</w:t>
            </w:r>
          </w:p>
        </w:tc>
        <w:tc>
          <w:tcPr>
            <w:tcW w:w="1002" w:type="dxa"/>
            <w:shd w:val="clear" w:color="auto" w:fill="FFFFFF"/>
            <w:vAlign w:val="center"/>
          </w:tcPr>
          <w:p w14:paraId="36DE98A3"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3.6</w:t>
            </w:r>
          </w:p>
        </w:tc>
        <w:tc>
          <w:tcPr>
            <w:tcW w:w="1138" w:type="dxa"/>
            <w:shd w:val="clear" w:color="auto" w:fill="FFFFFF"/>
            <w:vAlign w:val="center"/>
          </w:tcPr>
          <w:p w14:paraId="149275EA"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19.5</w:t>
            </w:r>
          </w:p>
        </w:tc>
        <w:tc>
          <w:tcPr>
            <w:tcW w:w="1137" w:type="dxa"/>
            <w:shd w:val="clear" w:color="auto" w:fill="FFFFFF"/>
            <w:vAlign w:val="center"/>
          </w:tcPr>
          <w:p w14:paraId="51C25D89"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46.0</w:t>
            </w:r>
          </w:p>
        </w:tc>
        <w:tc>
          <w:tcPr>
            <w:tcW w:w="1138" w:type="dxa"/>
            <w:shd w:val="clear" w:color="auto" w:fill="FFFFFF"/>
            <w:vAlign w:val="center"/>
          </w:tcPr>
          <w:p w14:paraId="288B2E35"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52.9</w:t>
            </w:r>
          </w:p>
        </w:tc>
        <w:tc>
          <w:tcPr>
            <w:tcW w:w="1137" w:type="dxa"/>
            <w:shd w:val="clear" w:color="auto" w:fill="FFFFFF"/>
            <w:vAlign w:val="center"/>
          </w:tcPr>
          <w:p w14:paraId="7E786E22"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55.1</w:t>
            </w:r>
          </w:p>
        </w:tc>
      </w:tr>
      <w:tr w:rsidR="00F12170" w:rsidRPr="00B57B36" w14:paraId="1DC41CBB" w14:textId="77777777" w:rsidTr="00CC5829">
        <w:trPr>
          <w:trHeight w:val="571"/>
        </w:trPr>
        <w:tc>
          <w:tcPr>
            <w:tcW w:w="2410" w:type="dxa"/>
            <w:shd w:val="clear" w:color="auto" w:fill="FFFFFF"/>
            <w:vAlign w:val="center"/>
          </w:tcPr>
          <w:p w14:paraId="6711FA74" w14:textId="77777777" w:rsidR="00F12170" w:rsidRPr="00B57B36" w:rsidRDefault="00F12170" w:rsidP="00CC5829">
            <w:pPr>
              <w:pStyle w:val="CETBodytext"/>
              <w:ind w:right="-1"/>
              <w:rPr>
                <w:rFonts w:cs="Arial"/>
                <w:szCs w:val="18"/>
                <w:lang w:val="en-GB"/>
              </w:rPr>
            </w:pPr>
            <w:r>
              <w:rPr>
                <w:rFonts w:eastAsia="MS Mincho" w:hint="eastAsia"/>
                <w:lang w:val="en-GB" w:eastAsia="ja-JP"/>
              </w:rPr>
              <w:t>0.5 [L/min] Dry air</w:t>
            </w:r>
          </w:p>
        </w:tc>
        <w:tc>
          <w:tcPr>
            <w:tcW w:w="1002" w:type="dxa"/>
            <w:shd w:val="clear" w:color="auto" w:fill="FFFFFF"/>
            <w:vAlign w:val="center"/>
          </w:tcPr>
          <w:p w14:paraId="37C21DB7"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w:t>
            </w:r>
          </w:p>
        </w:tc>
        <w:tc>
          <w:tcPr>
            <w:tcW w:w="1138" w:type="dxa"/>
            <w:shd w:val="clear" w:color="auto" w:fill="FFFFFF"/>
            <w:vAlign w:val="center"/>
          </w:tcPr>
          <w:p w14:paraId="2CFACCB3"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11.2</w:t>
            </w:r>
          </w:p>
        </w:tc>
        <w:tc>
          <w:tcPr>
            <w:tcW w:w="1137" w:type="dxa"/>
            <w:shd w:val="clear" w:color="auto" w:fill="FFFFFF"/>
            <w:vAlign w:val="center"/>
          </w:tcPr>
          <w:p w14:paraId="2C8BB2FD"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40.8</w:t>
            </w:r>
          </w:p>
        </w:tc>
        <w:tc>
          <w:tcPr>
            <w:tcW w:w="1138" w:type="dxa"/>
            <w:shd w:val="clear" w:color="auto" w:fill="FFFFFF"/>
            <w:vAlign w:val="center"/>
          </w:tcPr>
          <w:p w14:paraId="065E6416"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52.9</w:t>
            </w:r>
          </w:p>
        </w:tc>
        <w:tc>
          <w:tcPr>
            <w:tcW w:w="1137" w:type="dxa"/>
            <w:shd w:val="clear" w:color="auto" w:fill="FFFFFF"/>
            <w:vAlign w:val="center"/>
          </w:tcPr>
          <w:p w14:paraId="6E32611A"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w:t>
            </w:r>
          </w:p>
        </w:tc>
      </w:tr>
      <w:tr w:rsidR="00F12170" w:rsidRPr="00B57B36" w14:paraId="44ABB4CB" w14:textId="77777777" w:rsidTr="00CC5829">
        <w:trPr>
          <w:trHeight w:val="571"/>
        </w:trPr>
        <w:tc>
          <w:tcPr>
            <w:tcW w:w="2410" w:type="dxa"/>
            <w:shd w:val="clear" w:color="auto" w:fill="FFFFFF"/>
            <w:vAlign w:val="center"/>
          </w:tcPr>
          <w:p w14:paraId="078EF632" w14:textId="77777777" w:rsidR="00F12170" w:rsidRDefault="00F12170" w:rsidP="00CC5829">
            <w:pPr>
              <w:pStyle w:val="CETBodytext"/>
              <w:ind w:right="-1"/>
              <w:rPr>
                <w:rFonts w:eastAsia="MS Mincho"/>
                <w:lang w:val="en-GB" w:eastAsia="ja-JP"/>
              </w:rPr>
            </w:pPr>
            <w:r>
              <w:rPr>
                <w:rFonts w:eastAsia="MS Mincho" w:hint="eastAsia"/>
                <w:lang w:val="en-GB" w:eastAsia="ja-JP"/>
              </w:rPr>
              <w:t>0 [L/min] Dry air</w:t>
            </w:r>
          </w:p>
          <w:p w14:paraId="1287A1DA" w14:textId="77777777" w:rsidR="00F12170" w:rsidRPr="00DB5F52" w:rsidRDefault="00F12170" w:rsidP="00CC5829">
            <w:pPr>
              <w:pStyle w:val="CETBodytext"/>
              <w:ind w:right="-1"/>
              <w:rPr>
                <w:rFonts w:eastAsia="MS Mincho" w:cs="Arial"/>
                <w:szCs w:val="18"/>
                <w:lang w:val="en-GB" w:eastAsia="ja-JP"/>
              </w:rPr>
            </w:pPr>
            <w:r>
              <w:rPr>
                <w:rFonts w:eastAsia="MS Mincho" w:hint="eastAsia"/>
                <w:lang w:val="en-GB" w:eastAsia="ja-JP"/>
              </w:rPr>
              <w:t xml:space="preserve">(Natural </w:t>
            </w:r>
            <w:r w:rsidRPr="00DB5F52">
              <w:rPr>
                <w:rFonts w:eastAsia="MS Mincho"/>
                <w:lang w:val="en-GB" w:eastAsia="ja-JP"/>
              </w:rPr>
              <w:t>convection</w:t>
            </w:r>
            <w:r>
              <w:rPr>
                <w:rFonts w:eastAsia="MS Mincho" w:hint="eastAsia"/>
                <w:lang w:val="en-GB" w:eastAsia="ja-JP"/>
              </w:rPr>
              <w:t>)</w:t>
            </w:r>
          </w:p>
        </w:tc>
        <w:tc>
          <w:tcPr>
            <w:tcW w:w="1002" w:type="dxa"/>
            <w:shd w:val="clear" w:color="auto" w:fill="FFFFFF"/>
            <w:vAlign w:val="center"/>
          </w:tcPr>
          <w:p w14:paraId="7858D8D2"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2.0</w:t>
            </w:r>
          </w:p>
        </w:tc>
        <w:tc>
          <w:tcPr>
            <w:tcW w:w="1138" w:type="dxa"/>
            <w:shd w:val="clear" w:color="auto" w:fill="FFFFFF"/>
            <w:vAlign w:val="center"/>
          </w:tcPr>
          <w:p w14:paraId="0382EC13"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11.1</w:t>
            </w:r>
          </w:p>
        </w:tc>
        <w:tc>
          <w:tcPr>
            <w:tcW w:w="1137" w:type="dxa"/>
            <w:shd w:val="clear" w:color="auto" w:fill="FFFFFF"/>
            <w:vAlign w:val="center"/>
          </w:tcPr>
          <w:p w14:paraId="50A74B13"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31.6</w:t>
            </w:r>
          </w:p>
        </w:tc>
        <w:tc>
          <w:tcPr>
            <w:tcW w:w="1138" w:type="dxa"/>
            <w:shd w:val="clear" w:color="auto" w:fill="FFFFFF"/>
            <w:vAlign w:val="center"/>
          </w:tcPr>
          <w:p w14:paraId="3CF7FE41"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51.9</w:t>
            </w:r>
          </w:p>
        </w:tc>
        <w:tc>
          <w:tcPr>
            <w:tcW w:w="1137" w:type="dxa"/>
            <w:shd w:val="clear" w:color="auto" w:fill="FFFFFF"/>
            <w:vAlign w:val="center"/>
          </w:tcPr>
          <w:p w14:paraId="10E1E21A" w14:textId="77777777" w:rsidR="00F12170" w:rsidRPr="00D135AC" w:rsidRDefault="00F12170" w:rsidP="00CC5829">
            <w:pPr>
              <w:pStyle w:val="CETBodytext"/>
              <w:ind w:right="-1"/>
              <w:rPr>
                <w:rFonts w:eastAsia="MS Mincho" w:cs="Arial"/>
                <w:szCs w:val="18"/>
                <w:lang w:val="en-GB" w:eastAsia="ja-JP"/>
              </w:rPr>
            </w:pPr>
            <w:r>
              <w:rPr>
                <w:rFonts w:eastAsia="MS Mincho" w:cs="Arial" w:hint="eastAsia"/>
                <w:szCs w:val="18"/>
                <w:lang w:val="en-GB" w:eastAsia="ja-JP"/>
              </w:rPr>
              <w:t>54.4</w:t>
            </w:r>
          </w:p>
        </w:tc>
      </w:tr>
    </w:tbl>
    <w:p w14:paraId="6D63507B" w14:textId="77777777" w:rsidR="00F12170" w:rsidRDefault="00F12170" w:rsidP="00F12170">
      <w:pPr>
        <w:pStyle w:val="CETBodytext"/>
        <w:rPr>
          <w:rFonts w:eastAsia="MS Mincho"/>
          <w:lang w:val="en-GB" w:eastAsia="ja-JP"/>
        </w:rPr>
      </w:pPr>
    </w:p>
    <w:p w14:paraId="143DFD8D" w14:textId="77777777" w:rsidR="00F12170" w:rsidRPr="00651C59" w:rsidRDefault="00F12170" w:rsidP="00F12170">
      <w:pPr>
        <w:pStyle w:val="CETheadingx"/>
        <w:rPr>
          <w:rFonts w:eastAsia="MS Mincho"/>
          <w:lang w:val="en-GB" w:eastAsia="ja-JP"/>
        </w:rPr>
      </w:pPr>
      <w:r>
        <w:rPr>
          <w:rFonts w:eastAsia="MS Mincho" w:hint="eastAsia"/>
          <w:lang w:eastAsia="ja-JP"/>
        </w:rPr>
        <w:t xml:space="preserve">Effect of humidity on self-heating of SPC </w:t>
      </w:r>
    </w:p>
    <w:p w14:paraId="2934D42E" w14:textId="77777777" w:rsidR="00F12170" w:rsidRPr="001422E0" w:rsidRDefault="00F12170" w:rsidP="00F12170">
      <w:pPr>
        <w:pStyle w:val="CETBodytext"/>
        <w:ind w:firstLineChars="50" w:firstLine="90"/>
        <w:rPr>
          <w:rFonts w:eastAsia="MS Mincho"/>
          <w:lang w:val="en-GB" w:eastAsia="ja-JP"/>
        </w:rPr>
      </w:pPr>
      <w:r w:rsidRPr="001422E0">
        <w:rPr>
          <w:rFonts w:eastAsia="MS Mincho"/>
          <w:lang w:val="en-GB" w:eastAsia="ja-JP"/>
        </w:rPr>
        <w:t>The temperature variation of SPC in the Grewer oven under wet air flowing at a rate of 0.5 L/min at 135</w:t>
      </w:r>
      <w:r w:rsidRPr="001422E0">
        <w:rPr>
          <w:rFonts w:eastAsia="MS Mincho"/>
          <w:vertAlign w:val="superscript"/>
          <w:lang w:val="en-GB" w:eastAsia="ja-JP"/>
        </w:rPr>
        <w:t xml:space="preserve"> </w:t>
      </w:r>
      <w:r w:rsidRPr="00DD39EE">
        <w:rPr>
          <w:rFonts w:eastAsia="MS Mincho" w:cs="Arial"/>
          <w:lang w:val="en-GB" w:eastAsia="ja-JP"/>
        </w:rPr>
        <w:t>°</w:t>
      </w:r>
      <w:r w:rsidRPr="001422E0">
        <w:rPr>
          <w:rFonts w:eastAsia="MS Mincho"/>
          <w:lang w:val="en-GB" w:eastAsia="ja-JP"/>
        </w:rPr>
        <w:t>C is shown in Figure 6. Figure 6 shows that increasing the humidity around SPC reduced the maximum temperature rise and time from the maximum self-heating (induction period). At a humidity of 421 g/m</w:t>
      </w:r>
      <w:r w:rsidRPr="001422E0">
        <w:rPr>
          <w:rFonts w:eastAsia="MS Mincho"/>
          <w:vertAlign w:val="superscript"/>
          <w:lang w:val="en-GB" w:eastAsia="ja-JP"/>
        </w:rPr>
        <w:t>3</w:t>
      </w:r>
      <w:r w:rsidRPr="001422E0">
        <w:rPr>
          <w:rFonts w:eastAsia="MS Mincho"/>
          <w:lang w:val="en-GB" w:eastAsia="ja-JP"/>
        </w:rPr>
        <w:t xml:space="preserve">, which is the absolute humidity, the relative humidity of the atmosphere was 25% at 135 </w:t>
      </w:r>
      <w:r w:rsidRPr="001422E0">
        <w:rPr>
          <w:rFonts w:eastAsia="MS Mincho" w:cs="Arial"/>
          <w:lang w:val="en-GB" w:eastAsia="ja-JP"/>
        </w:rPr>
        <w:t>°</w:t>
      </w:r>
      <w:r w:rsidRPr="001422E0">
        <w:rPr>
          <w:rFonts w:eastAsia="MS Mincho"/>
          <w:lang w:val="en-GB" w:eastAsia="ja-JP"/>
        </w:rPr>
        <w:t>C. In the same way, 51 g/m</w:t>
      </w:r>
      <w:r w:rsidRPr="001422E0">
        <w:rPr>
          <w:rFonts w:eastAsia="MS Mincho"/>
          <w:vertAlign w:val="superscript"/>
          <w:lang w:val="en-GB" w:eastAsia="ja-JP"/>
        </w:rPr>
        <w:t>3</w:t>
      </w:r>
      <w:r w:rsidRPr="001422E0">
        <w:rPr>
          <w:rFonts w:eastAsia="MS Mincho"/>
          <w:lang w:val="en-GB" w:eastAsia="ja-JP"/>
        </w:rPr>
        <w:t xml:space="preserve"> is converted to 3% RH. The effect of humidity on the maximum temperature rise and induction period are summarized in Table 2. These results indicate that water vapor inhibits the self-heating of SPC within the RH range of 3</w:t>
      </w:r>
      <w:r w:rsidRPr="001422E0">
        <w:rPr>
          <w:rFonts w:eastAsia="MS Mincho" w:cs="Arial"/>
          <w:lang w:val="en-GB" w:eastAsia="ja-JP"/>
        </w:rPr>
        <w:t>‒</w:t>
      </w:r>
      <w:r w:rsidRPr="001422E0">
        <w:rPr>
          <w:rFonts w:eastAsia="MS Mincho"/>
          <w:lang w:val="en-GB" w:eastAsia="ja-JP"/>
        </w:rPr>
        <w:t>25%. The accumulated water vapor generated from the product gas of SPC decomposition increased the humidity surrounding SPC in the case of natural convection and decreased the rate of self-heating of SPC. On the other hand, an additional peak corresponding to the exothermic decomposition of SPC was observed at nearly-saturated humidity during the elevated-temperature process. The experimental results indicate that water vapor at nearly-saturated humidity enhanced the thermal decomposition because of the deliquescence of SPC at high humidity.</w:t>
      </w:r>
    </w:p>
    <w:p w14:paraId="321D3E72" w14:textId="77777777" w:rsidR="00F12170" w:rsidRDefault="00F12170" w:rsidP="00AC0187">
      <w:pPr>
        <w:rPr>
          <w:rFonts w:ascii="Times New Roman" w:eastAsia="MS Mincho" w:hAnsi="Times New Roman"/>
          <w:sz w:val="20"/>
          <w:szCs w:val="21"/>
          <w:lang w:eastAsia="ja-JP"/>
        </w:rPr>
      </w:pPr>
    </w:p>
    <w:p w14:paraId="3BD4A10E" w14:textId="77777777" w:rsidR="007E68B8" w:rsidRPr="00127D27" w:rsidRDefault="007E68B8" w:rsidP="007E68B8">
      <w:pPr>
        <w:jc w:val="center"/>
        <w:rPr>
          <w:rFonts w:ascii="Times New Roman" w:hAnsi="Times New Roman"/>
          <w:sz w:val="20"/>
          <w:szCs w:val="21"/>
        </w:rPr>
      </w:pPr>
      <w:r>
        <w:rPr>
          <w:rFonts w:ascii="Times New Roman" w:hAnsi="Times New Roman"/>
          <w:noProof/>
          <w:sz w:val="20"/>
          <w:szCs w:val="21"/>
        </w:rPr>
        <w:drawing>
          <wp:inline distT="0" distB="0" distL="0" distR="0" wp14:anchorId="3D2E33B1" wp14:editId="7F8DA447">
            <wp:extent cx="3542030" cy="3663950"/>
            <wp:effectExtent l="0" t="0" r="1270" b="0"/>
            <wp:docPr id="220959722" name="図 3"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59722" name="図 3" descr="グラフ, ヒスト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2030" cy="3663950"/>
                    </a:xfrm>
                    <a:prstGeom prst="rect">
                      <a:avLst/>
                    </a:prstGeom>
                    <a:noFill/>
                    <a:ln>
                      <a:noFill/>
                    </a:ln>
                  </pic:spPr>
                </pic:pic>
              </a:graphicData>
            </a:graphic>
          </wp:inline>
        </w:drawing>
      </w:r>
    </w:p>
    <w:p w14:paraId="67337C23" w14:textId="6B269F61" w:rsidR="007E68B8" w:rsidRDefault="007E68B8" w:rsidP="007E68B8">
      <w:pPr>
        <w:pStyle w:val="CETBodytext"/>
        <w:jc w:val="center"/>
        <w:rPr>
          <w:rFonts w:eastAsia="MS Mincho"/>
          <w:lang w:val="en-GB" w:eastAsia="ja-JP"/>
        </w:rPr>
      </w:pPr>
      <w:r>
        <w:rPr>
          <w:rFonts w:eastAsia="MS Mincho" w:hint="eastAsia"/>
          <w:lang w:val="en-GB" w:eastAsia="ja-JP"/>
        </w:rPr>
        <w:t xml:space="preserve">Figure 6 </w:t>
      </w:r>
      <w:r w:rsidRPr="001422E0">
        <w:rPr>
          <w:rFonts w:eastAsia="MS Mincho" w:cs="Arial"/>
          <w:szCs w:val="18"/>
          <w:lang w:val="en-GB" w:eastAsia="ja-JP"/>
        </w:rPr>
        <w:t>Temperature change during self-heating of SPC at airflow rate of 0.5 L/min at 135 °C</w:t>
      </w:r>
    </w:p>
    <w:p w14:paraId="2112368C" w14:textId="77777777" w:rsidR="007D05F1" w:rsidRDefault="007D05F1" w:rsidP="007D05F1">
      <w:pPr>
        <w:rPr>
          <w:rFonts w:ascii="Times New Roman" w:eastAsia="MS Mincho" w:hAnsi="Times New Roman"/>
          <w:sz w:val="20"/>
          <w:szCs w:val="21"/>
          <w:lang w:eastAsia="ja-JP"/>
        </w:rPr>
      </w:pPr>
    </w:p>
    <w:p w14:paraId="0B4C11AC" w14:textId="75E04F57" w:rsidR="001F053B" w:rsidRPr="001F053B" w:rsidRDefault="001F053B" w:rsidP="001F053B">
      <w:pPr>
        <w:rPr>
          <w:rFonts w:eastAsia="MS Mincho" w:cs="Arial"/>
          <w:szCs w:val="18"/>
          <w:lang w:eastAsia="ja-JP"/>
        </w:rPr>
      </w:pPr>
      <w:r>
        <w:rPr>
          <w:rFonts w:ascii="Times New Roman" w:eastAsia="MS Mincho" w:hAnsi="Times New Roman" w:hint="eastAsia"/>
          <w:sz w:val="20"/>
          <w:szCs w:val="21"/>
          <w:lang w:eastAsia="ja-JP"/>
        </w:rPr>
        <w:t xml:space="preserve">Table 2 </w:t>
      </w:r>
      <w:r w:rsidRPr="001422E0">
        <w:rPr>
          <w:rFonts w:eastAsia="MS Mincho" w:cs="Arial"/>
          <w:szCs w:val="18"/>
          <w:lang w:eastAsia="ja-JP"/>
        </w:rPr>
        <w:t>Maximum temperature increase during self-heating of SPC at various humidities</w:t>
      </w:r>
    </w:p>
    <w:tbl>
      <w:tblPr>
        <w:tblW w:w="737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3261"/>
        <w:gridCol w:w="1842"/>
      </w:tblGrid>
      <w:tr w:rsidR="001F053B" w:rsidRPr="00B57B36" w14:paraId="37ECA07F" w14:textId="77777777" w:rsidTr="00CC5829">
        <w:trPr>
          <w:trHeight w:val="513"/>
        </w:trPr>
        <w:tc>
          <w:tcPr>
            <w:tcW w:w="2268" w:type="dxa"/>
            <w:tcBorders>
              <w:top w:val="single" w:sz="12" w:space="0" w:color="339933"/>
            </w:tcBorders>
            <w:shd w:val="clear" w:color="auto" w:fill="FFFFFF"/>
            <w:vAlign w:val="center"/>
          </w:tcPr>
          <w:p w14:paraId="004EBA12" w14:textId="77777777" w:rsidR="001F053B" w:rsidRPr="00DB5F52" w:rsidRDefault="001F053B" w:rsidP="00CC5829">
            <w:pPr>
              <w:pStyle w:val="CETBodytext"/>
              <w:rPr>
                <w:rFonts w:eastAsia="MS Mincho"/>
                <w:lang w:val="en-GB" w:eastAsia="ja-JP"/>
              </w:rPr>
            </w:pPr>
            <w:r>
              <w:rPr>
                <w:rFonts w:eastAsia="MS Mincho" w:hint="eastAsia"/>
                <w:lang w:val="en-GB" w:eastAsia="ja-JP"/>
              </w:rPr>
              <w:t>Humidity at 135</w:t>
            </w:r>
            <w:r w:rsidRPr="00D135AC">
              <w:rPr>
                <w:rFonts w:eastAsia="MS Mincho" w:hint="eastAsia"/>
                <w:vertAlign w:val="superscript"/>
                <w:lang w:val="en-GB" w:eastAsia="ja-JP"/>
              </w:rPr>
              <w:t>o</w:t>
            </w:r>
            <w:r>
              <w:rPr>
                <w:rFonts w:eastAsia="MS Mincho" w:hint="eastAsia"/>
                <w:lang w:val="en-GB" w:eastAsia="ja-JP"/>
              </w:rPr>
              <w:t>C  %RH</w:t>
            </w:r>
          </w:p>
        </w:tc>
        <w:tc>
          <w:tcPr>
            <w:tcW w:w="3261" w:type="dxa"/>
            <w:tcBorders>
              <w:top w:val="single" w:sz="12" w:space="0" w:color="339933"/>
            </w:tcBorders>
            <w:shd w:val="clear" w:color="auto" w:fill="FFFFFF"/>
            <w:vAlign w:val="center"/>
          </w:tcPr>
          <w:p w14:paraId="6744FC0F" w14:textId="77777777" w:rsidR="001F053B" w:rsidRPr="00D135AC"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Maximum temperature increase [K]</w:t>
            </w:r>
          </w:p>
        </w:tc>
        <w:tc>
          <w:tcPr>
            <w:tcW w:w="1842" w:type="dxa"/>
            <w:tcBorders>
              <w:top w:val="single" w:sz="12" w:space="0" w:color="339933"/>
            </w:tcBorders>
            <w:shd w:val="clear" w:color="auto" w:fill="FFFFFF"/>
            <w:vAlign w:val="center"/>
          </w:tcPr>
          <w:p w14:paraId="5C86BC24" w14:textId="77777777" w:rsidR="001F053B"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Induction period [min]</w:t>
            </w:r>
          </w:p>
        </w:tc>
      </w:tr>
      <w:tr w:rsidR="001F053B" w:rsidRPr="00B57B36" w14:paraId="44288FD3" w14:textId="77777777" w:rsidTr="00CC5829">
        <w:trPr>
          <w:trHeight w:val="513"/>
        </w:trPr>
        <w:tc>
          <w:tcPr>
            <w:tcW w:w="2268" w:type="dxa"/>
            <w:shd w:val="clear" w:color="auto" w:fill="FFFFFF"/>
            <w:vAlign w:val="center"/>
          </w:tcPr>
          <w:p w14:paraId="0BD605CD" w14:textId="77777777" w:rsidR="001F053B" w:rsidRPr="00D135AC"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0</w:t>
            </w:r>
          </w:p>
        </w:tc>
        <w:tc>
          <w:tcPr>
            <w:tcW w:w="3261" w:type="dxa"/>
            <w:shd w:val="clear" w:color="auto" w:fill="FFFFFF"/>
            <w:vAlign w:val="center"/>
          </w:tcPr>
          <w:p w14:paraId="2CA93EE6" w14:textId="77777777" w:rsidR="001F053B" w:rsidRPr="00D135AC"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40.8</w:t>
            </w:r>
          </w:p>
        </w:tc>
        <w:tc>
          <w:tcPr>
            <w:tcW w:w="1842" w:type="dxa"/>
            <w:shd w:val="clear" w:color="auto" w:fill="FFFFFF"/>
            <w:vAlign w:val="center"/>
          </w:tcPr>
          <w:p w14:paraId="73DEC495" w14:textId="77777777" w:rsidR="001F053B"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10.9</w:t>
            </w:r>
          </w:p>
        </w:tc>
      </w:tr>
      <w:tr w:rsidR="001F053B" w:rsidRPr="00B57B36" w14:paraId="5B864031" w14:textId="77777777" w:rsidTr="00CC5829">
        <w:trPr>
          <w:trHeight w:val="513"/>
        </w:trPr>
        <w:tc>
          <w:tcPr>
            <w:tcW w:w="2268" w:type="dxa"/>
            <w:shd w:val="clear" w:color="auto" w:fill="FFFFFF"/>
            <w:vAlign w:val="center"/>
          </w:tcPr>
          <w:p w14:paraId="632269B1" w14:textId="77777777" w:rsidR="001F053B" w:rsidRDefault="001F053B" w:rsidP="00CC5829">
            <w:pPr>
              <w:pStyle w:val="CETBodytext"/>
              <w:ind w:right="-1"/>
              <w:rPr>
                <w:rFonts w:eastAsia="MS Mincho"/>
                <w:lang w:val="en-GB" w:eastAsia="ja-JP"/>
              </w:rPr>
            </w:pPr>
            <w:r>
              <w:rPr>
                <w:rFonts w:eastAsia="MS Mincho" w:hint="eastAsia"/>
                <w:lang w:val="en-GB" w:eastAsia="ja-JP"/>
              </w:rPr>
              <w:t>3</w:t>
            </w:r>
          </w:p>
        </w:tc>
        <w:tc>
          <w:tcPr>
            <w:tcW w:w="3261" w:type="dxa"/>
            <w:shd w:val="clear" w:color="auto" w:fill="FFFFFF"/>
            <w:vAlign w:val="center"/>
          </w:tcPr>
          <w:p w14:paraId="3A3D958D" w14:textId="77777777" w:rsidR="001F053B" w:rsidRPr="00D135AC"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33.1</w:t>
            </w:r>
          </w:p>
        </w:tc>
        <w:tc>
          <w:tcPr>
            <w:tcW w:w="1842" w:type="dxa"/>
            <w:shd w:val="clear" w:color="auto" w:fill="FFFFFF"/>
            <w:vAlign w:val="center"/>
          </w:tcPr>
          <w:p w14:paraId="679F0B6D" w14:textId="77777777" w:rsidR="001F053B" w:rsidRPr="003B04EA"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13.5</w:t>
            </w:r>
          </w:p>
        </w:tc>
      </w:tr>
      <w:tr w:rsidR="001F053B" w:rsidRPr="00B57B36" w14:paraId="7E76AA95" w14:textId="77777777" w:rsidTr="00CC5829">
        <w:trPr>
          <w:trHeight w:val="513"/>
        </w:trPr>
        <w:tc>
          <w:tcPr>
            <w:tcW w:w="2268" w:type="dxa"/>
            <w:shd w:val="clear" w:color="auto" w:fill="FFFFFF"/>
            <w:vAlign w:val="center"/>
          </w:tcPr>
          <w:p w14:paraId="485991B5" w14:textId="77777777" w:rsidR="001F053B" w:rsidRPr="00B57B36" w:rsidRDefault="001F053B" w:rsidP="00CC5829">
            <w:pPr>
              <w:pStyle w:val="CETBodytext"/>
              <w:ind w:right="-1"/>
              <w:rPr>
                <w:rFonts w:cs="Arial"/>
                <w:szCs w:val="18"/>
                <w:lang w:val="en-GB"/>
              </w:rPr>
            </w:pPr>
            <w:r>
              <w:rPr>
                <w:rFonts w:eastAsia="MS Mincho" w:hint="eastAsia"/>
                <w:lang w:val="en-GB" w:eastAsia="ja-JP"/>
              </w:rPr>
              <w:t>25</w:t>
            </w:r>
          </w:p>
        </w:tc>
        <w:tc>
          <w:tcPr>
            <w:tcW w:w="3261" w:type="dxa"/>
            <w:shd w:val="clear" w:color="auto" w:fill="FFFFFF"/>
            <w:vAlign w:val="center"/>
          </w:tcPr>
          <w:p w14:paraId="2F37BAE6" w14:textId="77777777" w:rsidR="001F053B" w:rsidRPr="00D135AC"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23.0</w:t>
            </w:r>
          </w:p>
        </w:tc>
        <w:tc>
          <w:tcPr>
            <w:tcW w:w="1842" w:type="dxa"/>
            <w:shd w:val="clear" w:color="auto" w:fill="FFFFFF"/>
            <w:vAlign w:val="center"/>
          </w:tcPr>
          <w:p w14:paraId="0809E3D9" w14:textId="77777777" w:rsidR="001F053B" w:rsidRPr="003B04EA" w:rsidRDefault="001F053B" w:rsidP="00CC5829">
            <w:pPr>
              <w:pStyle w:val="CETBodytext"/>
              <w:ind w:right="-1"/>
              <w:rPr>
                <w:rFonts w:eastAsia="MS Mincho" w:cs="Arial"/>
                <w:szCs w:val="18"/>
                <w:lang w:val="en-GB" w:eastAsia="ja-JP"/>
              </w:rPr>
            </w:pPr>
            <w:r>
              <w:rPr>
                <w:rFonts w:eastAsia="MS Mincho" w:cs="Arial" w:hint="eastAsia"/>
                <w:szCs w:val="18"/>
                <w:lang w:val="en-GB" w:eastAsia="ja-JP"/>
              </w:rPr>
              <w:t>22.1</w:t>
            </w:r>
          </w:p>
        </w:tc>
      </w:tr>
    </w:tbl>
    <w:p w14:paraId="4CA905B0" w14:textId="77777777" w:rsidR="001F053B" w:rsidRPr="001F053B" w:rsidRDefault="001F053B" w:rsidP="007D05F1">
      <w:pPr>
        <w:rPr>
          <w:rFonts w:ascii="Times New Roman" w:eastAsia="MS Mincho" w:hAnsi="Times New Roman"/>
          <w:sz w:val="20"/>
          <w:szCs w:val="21"/>
          <w:lang w:eastAsia="ja-JP"/>
        </w:rPr>
      </w:pPr>
    </w:p>
    <w:p w14:paraId="52C3595F" w14:textId="77777777" w:rsidR="007D05F1" w:rsidRPr="00B57B36" w:rsidRDefault="007D05F1" w:rsidP="007D05F1">
      <w:pPr>
        <w:pStyle w:val="CETHeading1"/>
        <w:rPr>
          <w:lang w:val="en-GB"/>
        </w:rPr>
      </w:pPr>
      <w:r w:rsidRPr="00272121">
        <w:rPr>
          <w:rFonts w:eastAsia="MS Mincho"/>
          <w:lang w:val="en-GB" w:eastAsia="ja-JP"/>
        </w:rPr>
        <w:t>Conclusion</w:t>
      </w:r>
    </w:p>
    <w:p w14:paraId="476BDEF8" w14:textId="6C998440" w:rsidR="001F053B" w:rsidRPr="001F053B" w:rsidRDefault="001F053B" w:rsidP="001F053B">
      <w:pPr>
        <w:ind w:firstLineChars="50" w:firstLine="90"/>
        <w:rPr>
          <w:rFonts w:eastAsia="MS Mincho" w:cs="Arial"/>
          <w:szCs w:val="18"/>
          <w:lang w:eastAsia="ja-JP"/>
        </w:rPr>
      </w:pPr>
      <w:r w:rsidRPr="001F053B">
        <w:rPr>
          <w:rFonts w:eastAsia="MS Mincho" w:cs="Arial"/>
          <w:szCs w:val="18"/>
          <w:lang w:eastAsia="ja-JP"/>
        </w:rPr>
        <w:t>The thermal behaviour was measured by placing SPC on a wire basket in an isothermal oven, where a Grewer oven was used to control the temperature of the system. A system for manipulating the humidity and flow rate was manufactured for controlling the atmosphere of SPC in the Grewer oven. Self-heating of SPC was observed above 130 °C. The isothermal test in the Grewer oven under various atmospheric conditions revealed that a higher airflow rate resulted in a larger temperature rise, and lower humidity resulted in a larger temperature rise at 25% RH. These findings indicate that water vapor generated from the surrounding atmosphere and the decomposition of SPC decreased the rate of thermal decomposition. On the other hand, an additional peak corresponding to the exothermic decomposition of the SPC was observed at nearly-saturated humidity during the elevated-temperature process. The experimental results indicate that water vapor at nearly-saturated humidity enhanced the thermal decomposition because of the deliquescence of SPC at high humidity. These results are expected to contribute to the safety management of SPC under various atmospheres during storage. The isothermal test in the Grewer oven indicates that storage under natural convection or wet airflow at 25% RH decreases the thermal hazard of SPC.</w:t>
      </w:r>
    </w:p>
    <w:p w14:paraId="599B7FD1" w14:textId="77777777" w:rsidR="00A76327" w:rsidRPr="00F20AA3" w:rsidRDefault="00A76327" w:rsidP="001E4E77">
      <w:pPr>
        <w:rPr>
          <w:rFonts w:ascii="Times New Roman" w:eastAsia="MS Mincho" w:hAnsi="Times New Roman"/>
          <w:sz w:val="20"/>
          <w:szCs w:val="21"/>
          <w:lang w:eastAsia="ja-JP"/>
        </w:rPr>
      </w:pPr>
    </w:p>
    <w:p w14:paraId="60DC72C3" w14:textId="77777777" w:rsidR="00E921E9" w:rsidRPr="00B57B36" w:rsidRDefault="00E921E9" w:rsidP="00E921E9">
      <w:pPr>
        <w:pStyle w:val="CETAcknowledgementstitle"/>
      </w:pPr>
      <w:r w:rsidRPr="00B57B36">
        <w:t>Acknowledgments</w:t>
      </w:r>
    </w:p>
    <w:p w14:paraId="33B7B552" w14:textId="0A43B62D" w:rsidR="00272121" w:rsidRPr="00272121" w:rsidRDefault="00272121" w:rsidP="00E921E9">
      <w:pPr>
        <w:pStyle w:val="CETBodytext"/>
        <w:rPr>
          <w:rFonts w:eastAsia="MS Mincho"/>
          <w:lang w:val="en-GB" w:eastAsia="ja-JP"/>
        </w:rPr>
      </w:pPr>
      <w:r>
        <w:rPr>
          <w:rFonts w:eastAsia="MS Mincho" w:hint="eastAsia"/>
          <w:lang w:val="en-GB" w:eastAsia="ja-JP"/>
        </w:rPr>
        <w:t>T</w:t>
      </w:r>
      <w:r w:rsidRPr="00272121">
        <w:rPr>
          <w:lang w:val="en-GB"/>
        </w:rPr>
        <w:t>he author would like to thank Editage (www.editage.com) for English language editing by native English speakers.</w:t>
      </w:r>
    </w:p>
    <w:p w14:paraId="1663196F" w14:textId="77777777" w:rsidR="00E921E9" w:rsidRPr="00B57B36" w:rsidRDefault="00E921E9" w:rsidP="00E921E9">
      <w:pPr>
        <w:pStyle w:val="CETReference"/>
      </w:pPr>
      <w:r w:rsidRPr="00B57B36">
        <w:t>References</w:t>
      </w:r>
    </w:p>
    <w:p w14:paraId="5A1A0DB0" w14:textId="64DBFCEE" w:rsidR="002524D4" w:rsidRDefault="002524D4" w:rsidP="00902004">
      <w:pPr>
        <w:pStyle w:val="CETBodytext"/>
        <w:ind w:left="425" w:hangingChars="236" w:hanging="425"/>
        <w:rPr>
          <w:rFonts w:eastAsia="MS Mincho"/>
          <w:lang w:val="en-GB" w:eastAsia="ja-JP"/>
        </w:rPr>
      </w:pPr>
      <w:r w:rsidRPr="002524D4">
        <w:rPr>
          <w:rFonts w:eastAsia="MS Mincho"/>
          <w:lang w:val="en-GB" w:eastAsia="ja-JP"/>
        </w:rPr>
        <w:t>Adams, J.R., Merz, A.R., 1929. Hygroscopicity of Fertilizer Materials and Mixtures. Ind. Eng. Chem. 21, 305–307.</w:t>
      </w:r>
    </w:p>
    <w:p w14:paraId="7968FCE4" w14:textId="66832427" w:rsidR="002524D4" w:rsidRDefault="002524D4" w:rsidP="00902004">
      <w:pPr>
        <w:pStyle w:val="CETBodytext"/>
        <w:ind w:left="425" w:hangingChars="236" w:hanging="425"/>
        <w:rPr>
          <w:rFonts w:eastAsia="MS Mincho"/>
          <w:lang w:val="en-GB" w:eastAsia="ja-JP"/>
        </w:rPr>
      </w:pPr>
      <w:r w:rsidRPr="002524D4">
        <w:rPr>
          <w:rFonts w:eastAsia="MS Mincho"/>
          <w:lang w:val="en-GB" w:eastAsia="ja-JP"/>
        </w:rPr>
        <w:t>Carson, P.A., Fairclough, C.S., Mauduit, C., Colsell, M., 2006. Peroxy bleaches Part 2. Determination of the thermodynamic and kinetic chemistry of some peroxy compounds. J. Hazard. Mater. A136, 446–454.</w:t>
      </w:r>
    </w:p>
    <w:p w14:paraId="10774310" w14:textId="500EE95F" w:rsidR="00667E56" w:rsidRDefault="002524D4" w:rsidP="00902004">
      <w:pPr>
        <w:pStyle w:val="CETBodytext"/>
        <w:ind w:left="425" w:hangingChars="236" w:hanging="425"/>
        <w:rPr>
          <w:rFonts w:eastAsia="MS Mincho"/>
          <w:lang w:val="en-GB" w:eastAsia="ja-JP"/>
        </w:rPr>
      </w:pPr>
      <w:r w:rsidRPr="002524D4">
        <w:rPr>
          <w:rFonts w:eastAsia="MS Mincho"/>
          <w:lang w:val="en-GB" w:eastAsia="ja-JP"/>
        </w:rPr>
        <w:t>Galwey, A.K., Hood, W.J., 1979. Thermal Decomposition of Sodium Carbonate Perhydrate in the Solid State. J. Phys. Chem. 83, 1810–1815.</w:t>
      </w:r>
    </w:p>
    <w:p w14:paraId="694ABB12" w14:textId="671BCF5B" w:rsidR="002524D4" w:rsidRPr="00902004" w:rsidRDefault="00667E56" w:rsidP="00902004">
      <w:pPr>
        <w:pStyle w:val="CETBodytext"/>
        <w:ind w:left="425" w:hangingChars="236" w:hanging="425"/>
        <w:rPr>
          <w:rFonts w:eastAsia="MS Mincho"/>
          <w:lang w:val="en-GB" w:eastAsia="ja-JP"/>
        </w:rPr>
      </w:pPr>
      <w:r w:rsidRPr="00667E56">
        <w:rPr>
          <w:rFonts w:eastAsia="MS Mincho"/>
          <w:lang w:val="en-GB" w:eastAsia="ja-JP"/>
        </w:rPr>
        <w:t>Jaeger, N., Siwek, R., 1999, Prevent explosions of combustible dusts, Chemical Engineering Progress, 95, 25–37.</w:t>
      </w:r>
    </w:p>
    <w:p w14:paraId="1EC301B1" w14:textId="30EEBAD7" w:rsidR="002524D4" w:rsidRDefault="002524D4" w:rsidP="00902004">
      <w:pPr>
        <w:pStyle w:val="CETBodytext"/>
        <w:ind w:left="425" w:hangingChars="236" w:hanging="425"/>
        <w:rPr>
          <w:rFonts w:eastAsia="MS Mincho"/>
          <w:lang w:val="en-GB" w:eastAsia="ja-JP"/>
        </w:rPr>
      </w:pPr>
      <w:r w:rsidRPr="002524D4">
        <w:rPr>
          <w:rFonts w:eastAsia="MS Mincho"/>
          <w:lang w:val="en-GB" w:eastAsia="ja-JP"/>
        </w:rPr>
        <w:t>Johansson, C., Pekonen, P., Forsström, D.S., 2007. The Long-term Stability of Sodium Percarbonate in Presence of Zeolite as Measured by Heat Flow Calorimetry. Tenside Surf. Det. 44, 214–217.</w:t>
      </w:r>
    </w:p>
    <w:p w14:paraId="0EC146A3" w14:textId="51828958" w:rsidR="002524D4" w:rsidRPr="00902004" w:rsidRDefault="002524D4" w:rsidP="00902004">
      <w:pPr>
        <w:pStyle w:val="CETBodytext"/>
        <w:ind w:left="425" w:hangingChars="236" w:hanging="425"/>
        <w:rPr>
          <w:rFonts w:eastAsia="MS Mincho"/>
          <w:lang w:val="en-GB" w:eastAsia="ja-JP"/>
        </w:rPr>
      </w:pPr>
      <w:r w:rsidRPr="00EA3257">
        <w:rPr>
          <w:rFonts w:eastAsia="MS Mincho"/>
          <w:lang w:val="en-GB" w:eastAsia="ja-JP"/>
        </w:rPr>
        <w:t>Mckillop</w:t>
      </w:r>
      <w:r>
        <w:rPr>
          <w:rFonts w:eastAsia="MS Mincho" w:hint="eastAsia"/>
          <w:lang w:val="en-GB" w:eastAsia="ja-JP"/>
        </w:rPr>
        <w:t>, A.,</w:t>
      </w:r>
      <w:r w:rsidRPr="00EA3257">
        <w:rPr>
          <w:rFonts w:eastAsia="MS Mincho"/>
          <w:lang w:val="en-GB" w:eastAsia="ja-JP"/>
        </w:rPr>
        <w:t xml:space="preserve"> Sanderson, W.R.</w:t>
      </w:r>
      <w:r>
        <w:rPr>
          <w:rFonts w:eastAsia="MS Mincho" w:hint="eastAsia"/>
          <w:lang w:val="en-GB" w:eastAsia="ja-JP"/>
        </w:rPr>
        <w:t xml:space="preserve">, 1995, </w:t>
      </w:r>
      <w:r w:rsidRPr="00EA3257">
        <w:rPr>
          <w:rFonts w:eastAsia="MS Mincho"/>
          <w:lang w:val="en-GB" w:eastAsia="ja-JP"/>
        </w:rPr>
        <w:t>Sodium Perborate and Sodium Percarbonate: Cheap, Safe and Versatile Oxidising Agents for Organic Synthesis, Tetrahedron, 51, 6145</w:t>
      </w:r>
      <w:r w:rsidRPr="006B4888">
        <w:t>–</w:t>
      </w:r>
      <w:r w:rsidRPr="00EA3257">
        <w:rPr>
          <w:rFonts w:eastAsia="MS Mincho"/>
          <w:lang w:val="en-GB" w:eastAsia="ja-JP"/>
        </w:rPr>
        <w:t>6166</w:t>
      </w:r>
      <w:r>
        <w:rPr>
          <w:rFonts w:eastAsia="MS Mincho" w:hint="eastAsia"/>
          <w:lang w:val="en-GB" w:eastAsia="ja-JP"/>
        </w:rPr>
        <w:t>.</w:t>
      </w:r>
    </w:p>
    <w:p w14:paraId="7E0808FB" w14:textId="17DBDA80" w:rsidR="002524D4" w:rsidRPr="002524D4" w:rsidRDefault="002524D4" w:rsidP="00902004">
      <w:pPr>
        <w:pStyle w:val="CETBodytext"/>
        <w:ind w:left="425" w:hangingChars="236" w:hanging="425"/>
        <w:rPr>
          <w:rFonts w:eastAsia="MS Mincho"/>
          <w:lang w:val="en-GB" w:eastAsia="ja-JP"/>
        </w:rPr>
      </w:pPr>
      <w:r w:rsidRPr="002524D4">
        <w:rPr>
          <w:rFonts w:eastAsia="MS Mincho"/>
          <w:lang w:val="en-GB" w:eastAsia="ja-JP"/>
        </w:rPr>
        <w:t>Morrison D.R., Ogle, R.A., 2008. Evaluating Kinetic Parameters for Solid Substances Exhibiting Complex Self-Heating Behavior. The proceedings of American Institute of Chemical Engineers 2008 Spring National Meeting 42nd Annual Loss Prevention Symposium, New Orleans, LA, 55–89.</w:t>
      </w:r>
    </w:p>
    <w:p w14:paraId="2118A407" w14:textId="685A18B2" w:rsidR="002524D4" w:rsidRPr="00902004" w:rsidRDefault="002524D4" w:rsidP="00902004">
      <w:pPr>
        <w:pStyle w:val="CETBodytext"/>
        <w:ind w:left="425" w:hangingChars="236" w:hanging="425"/>
        <w:rPr>
          <w:rFonts w:eastAsia="MS Mincho"/>
          <w:lang w:val="en-GB" w:eastAsia="ja-JP"/>
        </w:rPr>
      </w:pPr>
      <w:r>
        <w:rPr>
          <w:rFonts w:eastAsia="MS Mincho" w:hint="eastAsia"/>
          <w:lang w:val="en-GB" w:eastAsia="ja-JP"/>
        </w:rPr>
        <w:t>N</w:t>
      </w:r>
      <w:r w:rsidRPr="002524D4">
        <w:rPr>
          <w:rFonts w:eastAsia="MS Mincho"/>
          <w:lang w:val="en-GB" w:eastAsia="ja-JP"/>
        </w:rPr>
        <w:t>akano,</w:t>
      </w:r>
      <w:r>
        <w:rPr>
          <w:rFonts w:eastAsia="MS Mincho" w:hint="eastAsia"/>
          <w:lang w:val="en-GB" w:eastAsia="ja-JP"/>
        </w:rPr>
        <w:t xml:space="preserve"> M., Wada, T., Koga, N., 2015, </w:t>
      </w:r>
      <w:r w:rsidRPr="002524D4">
        <w:rPr>
          <w:rFonts w:eastAsia="MS Mincho"/>
          <w:lang w:val="en-GB" w:eastAsia="ja-JP"/>
        </w:rPr>
        <w:t>Exothermic Behavior of Thermal Decomposition of Sodium Percarbonate: Kinetic Deconvolution of Successive Endothermic and Exothermic Processes</w:t>
      </w:r>
      <w:r>
        <w:rPr>
          <w:rFonts w:eastAsia="MS Mincho" w:hint="eastAsia"/>
          <w:lang w:val="en-GB" w:eastAsia="ja-JP"/>
        </w:rPr>
        <w:t>,</w:t>
      </w:r>
      <w:r w:rsidRPr="002524D4">
        <w:rPr>
          <w:rFonts w:eastAsia="MS Mincho"/>
          <w:lang w:val="en-GB" w:eastAsia="ja-JP"/>
        </w:rPr>
        <w:t xml:space="preserve"> et al., The Journal of Physical Chemistry A, 119, 9761</w:t>
      </w:r>
      <w:r w:rsidRPr="006B4888">
        <w:t>–</w:t>
      </w:r>
      <w:r w:rsidRPr="002524D4">
        <w:rPr>
          <w:rFonts w:eastAsia="MS Mincho"/>
          <w:lang w:val="en-GB" w:eastAsia="ja-JP"/>
        </w:rPr>
        <w:t>9769</w:t>
      </w:r>
      <w:r>
        <w:rPr>
          <w:rFonts w:eastAsia="MS Mincho" w:hint="eastAsia"/>
          <w:lang w:val="en-GB" w:eastAsia="ja-JP"/>
        </w:rPr>
        <w:t>.</w:t>
      </w:r>
    </w:p>
    <w:p w14:paraId="545A183D" w14:textId="63724758" w:rsidR="00667E56" w:rsidRPr="00902004" w:rsidRDefault="002C4098" w:rsidP="00902004">
      <w:pPr>
        <w:pStyle w:val="CETBodytext"/>
        <w:ind w:left="425" w:hangingChars="236" w:hanging="425"/>
        <w:rPr>
          <w:rFonts w:eastAsia="MS Mincho"/>
          <w:lang w:val="en-GB" w:eastAsia="ja-JP"/>
        </w:rPr>
      </w:pPr>
      <w:r w:rsidRPr="002C4098">
        <w:rPr>
          <w:rFonts w:eastAsia="MS Mincho"/>
          <w:lang w:val="en-GB" w:eastAsia="ja-JP"/>
        </w:rPr>
        <w:t xml:space="preserve">Toninelli, </w:t>
      </w:r>
      <w:r>
        <w:rPr>
          <w:rFonts w:eastAsia="MS Mincho" w:hint="eastAsia"/>
          <w:lang w:val="en-GB" w:eastAsia="ja-JP"/>
        </w:rPr>
        <w:t xml:space="preserve">G., 1978, </w:t>
      </w:r>
      <w:r w:rsidRPr="002C4098">
        <w:rPr>
          <w:rFonts w:eastAsia="MS Mincho"/>
          <w:lang w:val="en-GB" w:eastAsia="ja-JP"/>
        </w:rPr>
        <w:t>Sodium percarbonate as bleaching agent in detergent powders, Tenside Detergents, 15, 252</w:t>
      </w:r>
      <w:r w:rsidRPr="006B4888">
        <w:t>–</w:t>
      </w:r>
      <w:r w:rsidRPr="002C4098">
        <w:rPr>
          <w:rFonts w:eastAsia="MS Mincho"/>
          <w:lang w:val="en-GB" w:eastAsia="ja-JP"/>
        </w:rPr>
        <w:t>258</w:t>
      </w:r>
      <w:r>
        <w:rPr>
          <w:rFonts w:eastAsia="MS Mincho" w:hint="eastAsia"/>
          <w:lang w:val="en-GB" w:eastAsia="ja-JP"/>
        </w:rPr>
        <w:t>.</w:t>
      </w:r>
    </w:p>
    <w:p w14:paraId="5939F2B7" w14:textId="3227DD47" w:rsidR="00667E56" w:rsidRPr="00902004" w:rsidRDefault="00667E56" w:rsidP="00902004">
      <w:pPr>
        <w:pStyle w:val="CETBodytext"/>
        <w:ind w:left="425" w:hangingChars="236" w:hanging="425"/>
        <w:rPr>
          <w:rFonts w:eastAsia="MS Mincho"/>
          <w:lang w:eastAsia="ja-JP"/>
        </w:rPr>
      </w:pPr>
      <w:r w:rsidRPr="00667E56">
        <w:rPr>
          <w:rFonts w:eastAsia="MS Mincho"/>
          <w:lang w:eastAsia="ja-JP"/>
        </w:rPr>
        <w:t>VDI 2263 Part 1</w:t>
      </w:r>
      <w:r>
        <w:rPr>
          <w:rFonts w:eastAsia="MS Mincho" w:hint="eastAsia"/>
          <w:lang w:eastAsia="ja-JP"/>
        </w:rPr>
        <w:t>,</w:t>
      </w:r>
      <w:r w:rsidRPr="00667E56">
        <w:rPr>
          <w:rFonts w:eastAsia="MS Mincho"/>
          <w:lang w:eastAsia="ja-JP"/>
        </w:rPr>
        <w:t xml:space="preserve"> Test Methods for the Determination of the Safety Characteristic of Dusts</w:t>
      </w:r>
      <w:r>
        <w:rPr>
          <w:rFonts w:eastAsia="MS Mincho" w:hint="eastAsia"/>
          <w:lang w:eastAsia="ja-JP"/>
        </w:rPr>
        <w:t xml:space="preserve">, </w:t>
      </w:r>
      <w:r w:rsidRPr="00667E56">
        <w:rPr>
          <w:rFonts w:eastAsia="MS Mincho"/>
          <w:lang w:eastAsia="ja-JP"/>
        </w:rPr>
        <w:t>1990.</w:t>
      </w:r>
    </w:p>
    <w:p w14:paraId="57DF0E90" w14:textId="62B09B6F" w:rsidR="001E4E77" w:rsidRPr="00AC2FE8" w:rsidRDefault="002524D4" w:rsidP="00F12170">
      <w:pPr>
        <w:pStyle w:val="CETBodytext"/>
        <w:ind w:left="425" w:hangingChars="236" w:hanging="425"/>
        <w:rPr>
          <w:rFonts w:eastAsia="MS Mincho"/>
          <w:lang w:val="en-GB" w:eastAsia="ja-JP"/>
        </w:rPr>
      </w:pPr>
      <w:r w:rsidRPr="002524D4">
        <w:rPr>
          <w:rFonts w:eastAsia="MS Mincho"/>
          <w:lang w:val="en-GB" w:eastAsia="ja-JP"/>
        </w:rPr>
        <w:t>Wada, T., Nakano, M., Koga, N., 2015. Multistep Kinetic Behavior of the Thermal Decomposition of Granular Sodium Percarbonate: Hindrance Effect of the Outer Surface Layer. J. Phys. Chem. A119, 9749–9760.</w:t>
      </w:r>
    </w:p>
    <w:sectPr w:rsidR="001E4E77" w:rsidRPr="00AC2FE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A1155" w14:textId="77777777" w:rsidR="00A524D6" w:rsidRDefault="00A524D6" w:rsidP="004F5E36">
      <w:r>
        <w:separator/>
      </w:r>
    </w:p>
  </w:endnote>
  <w:endnote w:type="continuationSeparator" w:id="0">
    <w:p w14:paraId="06ED8525" w14:textId="77777777" w:rsidR="00A524D6" w:rsidRDefault="00A524D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AD4C7" w14:textId="77777777" w:rsidR="00A524D6" w:rsidRDefault="00A524D6" w:rsidP="004F5E36">
      <w:r>
        <w:separator/>
      </w:r>
    </w:p>
  </w:footnote>
  <w:footnote w:type="continuationSeparator" w:id="0">
    <w:p w14:paraId="56A6B6CA" w14:textId="77777777" w:rsidR="00A524D6" w:rsidRDefault="00A524D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3BC2"/>
    <w:rsid w:val="0003148D"/>
    <w:rsid w:val="00031EEC"/>
    <w:rsid w:val="00051566"/>
    <w:rsid w:val="000562A9"/>
    <w:rsid w:val="00062A9A"/>
    <w:rsid w:val="00065058"/>
    <w:rsid w:val="0007330A"/>
    <w:rsid w:val="00086C39"/>
    <w:rsid w:val="000A0347"/>
    <w:rsid w:val="000A03B2"/>
    <w:rsid w:val="000C039F"/>
    <w:rsid w:val="000D0268"/>
    <w:rsid w:val="000D34BE"/>
    <w:rsid w:val="000E0B3C"/>
    <w:rsid w:val="000E102F"/>
    <w:rsid w:val="000E1D72"/>
    <w:rsid w:val="000E36F1"/>
    <w:rsid w:val="000E3A73"/>
    <w:rsid w:val="000E414A"/>
    <w:rsid w:val="000E75FD"/>
    <w:rsid w:val="000F093C"/>
    <w:rsid w:val="000F787B"/>
    <w:rsid w:val="001018EE"/>
    <w:rsid w:val="00107E29"/>
    <w:rsid w:val="0012091F"/>
    <w:rsid w:val="00126BC2"/>
    <w:rsid w:val="00127D27"/>
    <w:rsid w:val="00130648"/>
    <w:rsid w:val="001308B6"/>
    <w:rsid w:val="0013121F"/>
    <w:rsid w:val="00131FE6"/>
    <w:rsid w:val="0013263F"/>
    <w:rsid w:val="001331DF"/>
    <w:rsid w:val="00133FCC"/>
    <w:rsid w:val="00134DE4"/>
    <w:rsid w:val="0014034D"/>
    <w:rsid w:val="00140FE3"/>
    <w:rsid w:val="00142BAB"/>
    <w:rsid w:val="00143488"/>
    <w:rsid w:val="00144D16"/>
    <w:rsid w:val="00150E59"/>
    <w:rsid w:val="00152DE3"/>
    <w:rsid w:val="00162D3A"/>
    <w:rsid w:val="00164CF9"/>
    <w:rsid w:val="001667A6"/>
    <w:rsid w:val="001677A8"/>
    <w:rsid w:val="0018171E"/>
    <w:rsid w:val="00184AD6"/>
    <w:rsid w:val="00185C93"/>
    <w:rsid w:val="001A4AF7"/>
    <w:rsid w:val="001B0349"/>
    <w:rsid w:val="001B1E93"/>
    <w:rsid w:val="001B65C1"/>
    <w:rsid w:val="001C260F"/>
    <w:rsid w:val="001C5C3A"/>
    <w:rsid w:val="001C684B"/>
    <w:rsid w:val="001D0CFB"/>
    <w:rsid w:val="001D21AF"/>
    <w:rsid w:val="001D53FC"/>
    <w:rsid w:val="001E22F3"/>
    <w:rsid w:val="001E4E77"/>
    <w:rsid w:val="001F053B"/>
    <w:rsid w:val="001F299B"/>
    <w:rsid w:val="001F42A5"/>
    <w:rsid w:val="001F7B9D"/>
    <w:rsid w:val="00201C93"/>
    <w:rsid w:val="0021264D"/>
    <w:rsid w:val="002137DF"/>
    <w:rsid w:val="002224B4"/>
    <w:rsid w:val="0023024C"/>
    <w:rsid w:val="002447EF"/>
    <w:rsid w:val="00251550"/>
    <w:rsid w:val="002524D4"/>
    <w:rsid w:val="002560C6"/>
    <w:rsid w:val="00263B05"/>
    <w:rsid w:val="00272121"/>
    <w:rsid w:val="0027221A"/>
    <w:rsid w:val="00275B61"/>
    <w:rsid w:val="00280FAF"/>
    <w:rsid w:val="00282656"/>
    <w:rsid w:val="00296B83"/>
    <w:rsid w:val="002B4015"/>
    <w:rsid w:val="002B78CE"/>
    <w:rsid w:val="002C2FB6"/>
    <w:rsid w:val="002C4098"/>
    <w:rsid w:val="002C7F73"/>
    <w:rsid w:val="002E43FE"/>
    <w:rsid w:val="002E5FA7"/>
    <w:rsid w:val="002F3309"/>
    <w:rsid w:val="003008CE"/>
    <w:rsid w:val="003009B7"/>
    <w:rsid w:val="00300E56"/>
    <w:rsid w:val="0030152C"/>
    <w:rsid w:val="0030469C"/>
    <w:rsid w:val="00321CA6"/>
    <w:rsid w:val="00323763"/>
    <w:rsid w:val="00323C5F"/>
    <w:rsid w:val="00334C09"/>
    <w:rsid w:val="00367FF1"/>
    <w:rsid w:val="003723D4"/>
    <w:rsid w:val="00372620"/>
    <w:rsid w:val="00381905"/>
    <w:rsid w:val="00384CC8"/>
    <w:rsid w:val="003871FD"/>
    <w:rsid w:val="003A190C"/>
    <w:rsid w:val="003A1E30"/>
    <w:rsid w:val="003A2829"/>
    <w:rsid w:val="003A781B"/>
    <w:rsid w:val="003A7D1C"/>
    <w:rsid w:val="003B04EA"/>
    <w:rsid w:val="003B304B"/>
    <w:rsid w:val="003B3146"/>
    <w:rsid w:val="003B49CD"/>
    <w:rsid w:val="003C6084"/>
    <w:rsid w:val="003D1E02"/>
    <w:rsid w:val="003E0342"/>
    <w:rsid w:val="003E28EA"/>
    <w:rsid w:val="003F015E"/>
    <w:rsid w:val="003F1CE6"/>
    <w:rsid w:val="00400414"/>
    <w:rsid w:val="0041446B"/>
    <w:rsid w:val="004151E7"/>
    <w:rsid w:val="0044071E"/>
    <w:rsid w:val="00442F07"/>
    <w:rsid w:val="0044329C"/>
    <w:rsid w:val="00453E24"/>
    <w:rsid w:val="00457456"/>
    <w:rsid w:val="004577FE"/>
    <w:rsid w:val="00457B9C"/>
    <w:rsid w:val="0046164A"/>
    <w:rsid w:val="004628D2"/>
    <w:rsid w:val="00462DCD"/>
    <w:rsid w:val="004648AD"/>
    <w:rsid w:val="004703A9"/>
    <w:rsid w:val="004760DE"/>
    <w:rsid w:val="004763D7"/>
    <w:rsid w:val="00496030"/>
    <w:rsid w:val="004A004E"/>
    <w:rsid w:val="004A24CF"/>
    <w:rsid w:val="004A69AE"/>
    <w:rsid w:val="004A6C8A"/>
    <w:rsid w:val="004C0352"/>
    <w:rsid w:val="004C31F0"/>
    <w:rsid w:val="004C3D1D"/>
    <w:rsid w:val="004C3D84"/>
    <w:rsid w:val="004C7913"/>
    <w:rsid w:val="004D7D6E"/>
    <w:rsid w:val="004E4DD6"/>
    <w:rsid w:val="004F5E36"/>
    <w:rsid w:val="00501401"/>
    <w:rsid w:val="00507B47"/>
    <w:rsid w:val="00507BEF"/>
    <w:rsid w:val="00507CC9"/>
    <w:rsid w:val="005119A5"/>
    <w:rsid w:val="00511CA4"/>
    <w:rsid w:val="005278B7"/>
    <w:rsid w:val="00532016"/>
    <w:rsid w:val="005346C8"/>
    <w:rsid w:val="005424FC"/>
    <w:rsid w:val="00543E7D"/>
    <w:rsid w:val="00547A68"/>
    <w:rsid w:val="005531C9"/>
    <w:rsid w:val="00554879"/>
    <w:rsid w:val="005670E5"/>
    <w:rsid w:val="00570C43"/>
    <w:rsid w:val="00585D08"/>
    <w:rsid w:val="00592274"/>
    <w:rsid w:val="005A348A"/>
    <w:rsid w:val="005B2110"/>
    <w:rsid w:val="005B350B"/>
    <w:rsid w:val="005B61E6"/>
    <w:rsid w:val="005C77E1"/>
    <w:rsid w:val="005D3E5A"/>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702C"/>
    <w:rsid w:val="00631B33"/>
    <w:rsid w:val="0064184D"/>
    <w:rsid w:val="006422CC"/>
    <w:rsid w:val="00651C59"/>
    <w:rsid w:val="00651D18"/>
    <w:rsid w:val="00660E3E"/>
    <w:rsid w:val="00662330"/>
    <w:rsid w:val="00662E74"/>
    <w:rsid w:val="00667E56"/>
    <w:rsid w:val="0067039F"/>
    <w:rsid w:val="00680C23"/>
    <w:rsid w:val="00683E23"/>
    <w:rsid w:val="0069052E"/>
    <w:rsid w:val="00693766"/>
    <w:rsid w:val="006A2AC1"/>
    <w:rsid w:val="006A3281"/>
    <w:rsid w:val="006A6DE5"/>
    <w:rsid w:val="006B4888"/>
    <w:rsid w:val="006B554D"/>
    <w:rsid w:val="006C0D07"/>
    <w:rsid w:val="006C1543"/>
    <w:rsid w:val="006C2E45"/>
    <w:rsid w:val="006C359C"/>
    <w:rsid w:val="006C5579"/>
    <w:rsid w:val="006D667A"/>
    <w:rsid w:val="006D6E8B"/>
    <w:rsid w:val="006D7209"/>
    <w:rsid w:val="006E737D"/>
    <w:rsid w:val="00707DD1"/>
    <w:rsid w:val="0071119B"/>
    <w:rsid w:val="00713973"/>
    <w:rsid w:val="00720A24"/>
    <w:rsid w:val="0072721C"/>
    <w:rsid w:val="00732386"/>
    <w:rsid w:val="0073514D"/>
    <w:rsid w:val="00741E87"/>
    <w:rsid w:val="00742CF1"/>
    <w:rsid w:val="007447F3"/>
    <w:rsid w:val="00752CA0"/>
    <w:rsid w:val="0075499F"/>
    <w:rsid w:val="00760BEE"/>
    <w:rsid w:val="007661C8"/>
    <w:rsid w:val="0077098D"/>
    <w:rsid w:val="007757A2"/>
    <w:rsid w:val="0078052D"/>
    <w:rsid w:val="00785BF9"/>
    <w:rsid w:val="007931FA"/>
    <w:rsid w:val="007A0446"/>
    <w:rsid w:val="007A4861"/>
    <w:rsid w:val="007A7BBA"/>
    <w:rsid w:val="007B0C50"/>
    <w:rsid w:val="007B1418"/>
    <w:rsid w:val="007B48F9"/>
    <w:rsid w:val="007B72EA"/>
    <w:rsid w:val="007C1A43"/>
    <w:rsid w:val="007C70CC"/>
    <w:rsid w:val="007D05F1"/>
    <w:rsid w:val="007D0951"/>
    <w:rsid w:val="007D1621"/>
    <w:rsid w:val="007D610D"/>
    <w:rsid w:val="007E68B8"/>
    <w:rsid w:val="0080013E"/>
    <w:rsid w:val="00801759"/>
    <w:rsid w:val="00813288"/>
    <w:rsid w:val="00815F87"/>
    <w:rsid w:val="008168FC"/>
    <w:rsid w:val="00830996"/>
    <w:rsid w:val="008345F1"/>
    <w:rsid w:val="00853EBF"/>
    <w:rsid w:val="00857FD2"/>
    <w:rsid w:val="00865B07"/>
    <w:rsid w:val="008667EA"/>
    <w:rsid w:val="0087026D"/>
    <w:rsid w:val="0087602B"/>
    <w:rsid w:val="0087637F"/>
    <w:rsid w:val="00876746"/>
    <w:rsid w:val="00890A9E"/>
    <w:rsid w:val="00892AD5"/>
    <w:rsid w:val="008A1512"/>
    <w:rsid w:val="008D32B9"/>
    <w:rsid w:val="008D433B"/>
    <w:rsid w:val="008D4A16"/>
    <w:rsid w:val="008D7C7A"/>
    <w:rsid w:val="008E40B5"/>
    <w:rsid w:val="008E5401"/>
    <w:rsid w:val="008E566E"/>
    <w:rsid w:val="008E6BFC"/>
    <w:rsid w:val="00901043"/>
    <w:rsid w:val="0090161A"/>
    <w:rsid w:val="00901EB6"/>
    <w:rsid w:val="00902004"/>
    <w:rsid w:val="009041F8"/>
    <w:rsid w:val="00904C62"/>
    <w:rsid w:val="009179CA"/>
    <w:rsid w:val="00922801"/>
    <w:rsid w:val="00922BA8"/>
    <w:rsid w:val="00924DAC"/>
    <w:rsid w:val="00927058"/>
    <w:rsid w:val="00936D34"/>
    <w:rsid w:val="00942750"/>
    <w:rsid w:val="009450CE"/>
    <w:rsid w:val="009459BB"/>
    <w:rsid w:val="00947179"/>
    <w:rsid w:val="0095164B"/>
    <w:rsid w:val="00954090"/>
    <w:rsid w:val="009573E7"/>
    <w:rsid w:val="00963E05"/>
    <w:rsid w:val="00964A45"/>
    <w:rsid w:val="00967843"/>
    <w:rsid w:val="00967D54"/>
    <w:rsid w:val="00971028"/>
    <w:rsid w:val="00984E59"/>
    <w:rsid w:val="00993B84"/>
    <w:rsid w:val="00994C6A"/>
    <w:rsid w:val="00996483"/>
    <w:rsid w:val="00996F5A"/>
    <w:rsid w:val="009A3206"/>
    <w:rsid w:val="009A7E6F"/>
    <w:rsid w:val="009B041A"/>
    <w:rsid w:val="009C37C3"/>
    <w:rsid w:val="009C7C86"/>
    <w:rsid w:val="009D2FF7"/>
    <w:rsid w:val="009E7884"/>
    <w:rsid w:val="009E788A"/>
    <w:rsid w:val="009F0E08"/>
    <w:rsid w:val="00A07492"/>
    <w:rsid w:val="00A079AE"/>
    <w:rsid w:val="00A1763D"/>
    <w:rsid w:val="00A17CEC"/>
    <w:rsid w:val="00A27EF0"/>
    <w:rsid w:val="00A42361"/>
    <w:rsid w:val="00A50B20"/>
    <w:rsid w:val="00A51390"/>
    <w:rsid w:val="00A524D6"/>
    <w:rsid w:val="00A60D13"/>
    <w:rsid w:val="00A7223D"/>
    <w:rsid w:val="00A72745"/>
    <w:rsid w:val="00A76327"/>
    <w:rsid w:val="00A76EFC"/>
    <w:rsid w:val="00A879FB"/>
    <w:rsid w:val="00A87D50"/>
    <w:rsid w:val="00A91010"/>
    <w:rsid w:val="00A97F29"/>
    <w:rsid w:val="00AA702E"/>
    <w:rsid w:val="00AA7D26"/>
    <w:rsid w:val="00AB0964"/>
    <w:rsid w:val="00AB3F7E"/>
    <w:rsid w:val="00AB4685"/>
    <w:rsid w:val="00AB5011"/>
    <w:rsid w:val="00AC0187"/>
    <w:rsid w:val="00AC1143"/>
    <w:rsid w:val="00AC2FE8"/>
    <w:rsid w:val="00AC7368"/>
    <w:rsid w:val="00AD16B9"/>
    <w:rsid w:val="00AD403C"/>
    <w:rsid w:val="00AE13FC"/>
    <w:rsid w:val="00AE377D"/>
    <w:rsid w:val="00AF0EBA"/>
    <w:rsid w:val="00AF2463"/>
    <w:rsid w:val="00AF57EB"/>
    <w:rsid w:val="00B02C8A"/>
    <w:rsid w:val="00B10142"/>
    <w:rsid w:val="00B17FBD"/>
    <w:rsid w:val="00B315A6"/>
    <w:rsid w:val="00B31813"/>
    <w:rsid w:val="00B33365"/>
    <w:rsid w:val="00B45FC1"/>
    <w:rsid w:val="00B54982"/>
    <w:rsid w:val="00B57B36"/>
    <w:rsid w:val="00B57E6F"/>
    <w:rsid w:val="00B61194"/>
    <w:rsid w:val="00B8686D"/>
    <w:rsid w:val="00B93F69"/>
    <w:rsid w:val="00BA4688"/>
    <w:rsid w:val="00BB0E59"/>
    <w:rsid w:val="00BB1DDC"/>
    <w:rsid w:val="00BB2603"/>
    <w:rsid w:val="00BC30C9"/>
    <w:rsid w:val="00BD077D"/>
    <w:rsid w:val="00BE3E58"/>
    <w:rsid w:val="00BF13CE"/>
    <w:rsid w:val="00C01616"/>
    <w:rsid w:val="00C0162B"/>
    <w:rsid w:val="00C068ED"/>
    <w:rsid w:val="00C131AD"/>
    <w:rsid w:val="00C22E0C"/>
    <w:rsid w:val="00C345B1"/>
    <w:rsid w:val="00C40142"/>
    <w:rsid w:val="00C52C3C"/>
    <w:rsid w:val="00C57182"/>
    <w:rsid w:val="00C57863"/>
    <w:rsid w:val="00C640AF"/>
    <w:rsid w:val="00C655FD"/>
    <w:rsid w:val="00C75407"/>
    <w:rsid w:val="00C81192"/>
    <w:rsid w:val="00C841C6"/>
    <w:rsid w:val="00C870A8"/>
    <w:rsid w:val="00C94434"/>
    <w:rsid w:val="00CA06A1"/>
    <w:rsid w:val="00CA0D75"/>
    <w:rsid w:val="00CA1284"/>
    <w:rsid w:val="00CA1C95"/>
    <w:rsid w:val="00CA45C7"/>
    <w:rsid w:val="00CA5A9C"/>
    <w:rsid w:val="00CC4C20"/>
    <w:rsid w:val="00CD33CD"/>
    <w:rsid w:val="00CD3517"/>
    <w:rsid w:val="00CD5FE2"/>
    <w:rsid w:val="00CE211F"/>
    <w:rsid w:val="00CE7C68"/>
    <w:rsid w:val="00D02B4C"/>
    <w:rsid w:val="00D040C4"/>
    <w:rsid w:val="00D10EF0"/>
    <w:rsid w:val="00D135AC"/>
    <w:rsid w:val="00D169BB"/>
    <w:rsid w:val="00D20AD1"/>
    <w:rsid w:val="00D2582C"/>
    <w:rsid w:val="00D44EB9"/>
    <w:rsid w:val="00D46B7E"/>
    <w:rsid w:val="00D57C84"/>
    <w:rsid w:val="00D6057D"/>
    <w:rsid w:val="00D71640"/>
    <w:rsid w:val="00D821F9"/>
    <w:rsid w:val="00D836C5"/>
    <w:rsid w:val="00D84576"/>
    <w:rsid w:val="00DA1399"/>
    <w:rsid w:val="00DA24C6"/>
    <w:rsid w:val="00DA3FF3"/>
    <w:rsid w:val="00DA4D7B"/>
    <w:rsid w:val="00DB5F52"/>
    <w:rsid w:val="00DC2840"/>
    <w:rsid w:val="00DC73EE"/>
    <w:rsid w:val="00DD271C"/>
    <w:rsid w:val="00DE264A"/>
    <w:rsid w:val="00DF5072"/>
    <w:rsid w:val="00E02D18"/>
    <w:rsid w:val="00E041E7"/>
    <w:rsid w:val="00E23CA1"/>
    <w:rsid w:val="00E24E42"/>
    <w:rsid w:val="00E3379B"/>
    <w:rsid w:val="00E409A8"/>
    <w:rsid w:val="00E50C12"/>
    <w:rsid w:val="00E65B91"/>
    <w:rsid w:val="00E7209D"/>
    <w:rsid w:val="00E72EAD"/>
    <w:rsid w:val="00E77223"/>
    <w:rsid w:val="00E8528B"/>
    <w:rsid w:val="00E85B94"/>
    <w:rsid w:val="00E921E9"/>
    <w:rsid w:val="00E978D0"/>
    <w:rsid w:val="00EA3257"/>
    <w:rsid w:val="00EA4613"/>
    <w:rsid w:val="00EA7F91"/>
    <w:rsid w:val="00EB1523"/>
    <w:rsid w:val="00EC0E49"/>
    <w:rsid w:val="00EC101F"/>
    <w:rsid w:val="00EC1D9F"/>
    <w:rsid w:val="00ED438A"/>
    <w:rsid w:val="00EE0131"/>
    <w:rsid w:val="00EE17B0"/>
    <w:rsid w:val="00EE7550"/>
    <w:rsid w:val="00EF06D9"/>
    <w:rsid w:val="00EF1A01"/>
    <w:rsid w:val="00EF53AD"/>
    <w:rsid w:val="00F12170"/>
    <w:rsid w:val="00F16B29"/>
    <w:rsid w:val="00F20AA3"/>
    <w:rsid w:val="00F27EE4"/>
    <w:rsid w:val="00F3049E"/>
    <w:rsid w:val="00F30C64"/>
    <w:rsid w:val="00F32BA2"/>
    <w:rsid w:val="00F32CDB"/>
    <w:rsid w:val="00F41EE4"/>
    <w:rsid w:val="00F565FE"/>
    <w:rsid w:val="00F63A70"/>
    <w:rsid w:val="00F63D8C"/>
    <w:rsid w:val="00F7534E"/>
    <w:rsid w:val="00F8066A"/>
    <w:rsid w:val="00F85083"/>
    <w:rsid w:val="00F87C37"/>
    <w:rsid w:val="00F87D7D"/>
    <w:rsid w:val="00F93EDF"/>
    <w:rsid w:val="00FA1802"/>
    <w:rsid w:val="00FA21D0"/>
    <w:rsid w:val="00FA5F5F"/>
    <w:rsid w:val="00FB4EE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62702C"/>
    <w:rPr>
      <w:color w:val="605E5C"/>
      <w:shd w:val="clear" w:color="auto" w:fill="E1DFDD"/>
    </w:rPr>
  </w:style>
  <w:style w:type="character" w:styleId="Testosegnaposto">
    <w:name w:val="Placeholder Text"/>
    <w:basedOn w:val="Carpredefinitoparagrafo"/>
    <w:uiPriority w:val="99"/>
    <w:semiHidden/>
    <w:rsid w:val="006B55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4945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258100557">
      <w:bodyDiv w:val="1"/>
      <w:marLeft w:val="0"/>
      <w:marRight w:val="0"/>
      <w:marTop w:val="0"/>
      <w:marBottom w:val="0"/>
      <w:divBdr>
        <w:top w:val="none" w:sz="0" w:space="0" w:color="auto"/>
        <w:left w:val="none" w:sz="0" w:space="0" w:color="auto"/>
        <w:bottom w:val="none" w:sz="0" w:space="0" w:color="auto"/>
        <w:right w:val="none" w:sz="0" w:space="0" w:color="auto"/>
      </w:divBdr>
    </w:div>
    <w:div w:id="2628795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393">
      <w:bodyDiv w:val="1"/>
      <w:marLeft w:val="0"/>
      <w:marRight w:val="0"/>
      <w:marTop w:val="0"/>
      <w:marBottom w:val="0"/>
      <w:divBdr>
        <w:top w:val="none" w:sz="0" w:space="0" w:color="auto"/>
        <w:left w:val="none" w:sz="0" w:space="0" w:color="auto"/>
        <w:bottom w:val="none" w:sz="0" w:space="0" w:color="auto"/>
        <w:right w:val="none" w:sz="0" w:space="0" w:color="auto"/>
      </w:divBdr>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8021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5472">
      <w:bodyDiv w:val="1"/>
      <w:marLeft w:val="0"/>
      <w:marRight w:val="0"/>
      <w:marTop w:val="0"/>
      <w:marBottom w:val="0"/>
      <w:divBdr>
        <w:top w:val="none" w:sz="0" w:space="0" w:color="auto"/>
        <w:left w:val="none" w:sz="0" w:space="0" w:color="auto"/>
        <w:bottom w:val="none" w:sz="0" w:space="0" w:color="auto"/>
        <w:right w:val="none" w:sz="0" w:space="0" w:color="auto"/>
      </w:divBdr>
    </w:div>
    <w:div w:id="1148133499">
      <w:bodyDiv w:val="1"/>
      <w:marLeft w:val="0"/>
      <w:marRight w:val="0"/>
      <w:marTop w:val="0"/>
      <w:marBottom w:val="0"/>
      <w:divBdr>
        <w:top w:val="none" w:sz="0" w:space="0" w:color="auto"/>
        <w:left w:val="none" w:sz="0" w:space="0" w:color="auto"/>
        <w:bottom w:val="none" w:sz="0" w:space="0" w:color="auto"/>
        <w:right w:val="none" w:sz="0" w:space="0" w:color="auto"/>
      </w:divBdr>
    </w:div>
    <w:div w:id="1307391024">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671401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39563">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88530770">
      <w:bodyDiv w:val="1"/>
      <w:marLeft w:val="0"/>
      <w:marRight w:val="0"/>
      <w:marTop w:val="0"/>
      <w:marBottom w:val="0"/>
      <w:divBdr>
        <w:top w:val="none" w:sz="0" w:space="0" w:color="auto"/>
        <w:left w:val="none" w:sz="0" w:space="0" w:color="auto"/>
        <w:bottom w:val="none" w:sz="0" w:space="0" w:color="auto"/>
        <w:right w:val="none" w:sz="0" w:space="0" w:color="auto"/>
      </w:divBdr>
    </w:div>
    <w:div w:id="211963608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11088</Characters>
  <Application>Microsoft Office Word</Application>
  <DocSecurity>0</DocSecurity>
  <Lines>92</Lines>
  <Paragraphs>26</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2025-01-15T01:46:00Z</dcterms:created>
  <dcterms:modified xsi:type="dcterms:W3CDTF">2025-04-16T11:48:00Z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