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894379"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894379" w:rsidRDefault="000A03B2" w:rsidP="00DE264A">
            <w:pPr>
              <w:tabs>
                <w:tab w:val="left" w:pos="-108"/>
              </w:tabs>
              <w:ind w:left="-108"/>
              <w:jc w:val="left"/>
              <w:rPr>
                <w:rFonts w:cs="Arial"/>
                <w:b/>
                <w:bCs/>
                <w:i/>
                <w:iCs/>
                <w:color w:val="000066"/>
                <w:sz w:val="12"/>
                <w:szCs w:val="12"/>
                <w:lang w:eastAsia="it-IT"/>
              </w:rPr>
            </w:pPr>
            <w:bookmarkStart w:id="0" w:name="_Hlk145068772"/>
            <w:r w:rsidRPr="00894379">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894379">
              <w:rPr>
                <w:rFonts w:ascii="AdvP6960" w:hAnsi="AdvP6960" w:cs="AdvP6960"/>
                <w:color w:val="241F20"/>
                <w:szCs w:val="18"/>
                <w:lang w:eastAsia="it-IT"/>
              </w:rPr>
              <w:t xml:space="preserve"> </w:t>
            </w:r>
            <w:r w:rsidRPr="00894379">
              <w:rPr>
                <w:rFonts w:cs="Arial"/>
                <w:b/>
                <w:bCs/>
                <w:i/>
                <w:iCs/>
                <w:color w:val="000066"/>
                <w:sz w:val="24"/>
                <w:szCs w:val="24"/>
                <w:lang w:eastAsia="it-IT"/>
              </w:rPr>
              <w:t>CHEMICAL ENGINEERING</w:t>
            </w:r>
            <w:r w:rsidRPr="00894379">
              <w:rPr>
                <w:rFonts w:cs="Arial"/>
                <w:b/>
                <w:bCs/>
                <w:i/>
                <w:iCs/>
                <w:color w:val="0033FF"/>
                <w:sz w:val="24"/>
                <w:szCs w:val="24"/>
                <w:lang w:eastAsia="it-IT"/>
              </w:rPr>
              <w:t xml:space="preserve"> </w:t>
            </w:r>
            <w:r w:rsidRPr="00894379">
              <w:rPr>
                <w:rFonts w:cs="Arial"/>
                <w:b/>
                <w:bCs/>
                <w:i/>
                <w:iCs/>
                <w:color w:val="666666"/>
                <w:sz w:val="24"/>
                <w:szCs w:val="24"/>
                <w:lang w:eastAsia="it-IT"/>
              </w:rPr>
              <w:t>TRANSACTIONS</w:t>
            </w:r>
            <w:r w:rsidRPr="00894379">
              <w:rPr>
                <w:color w:val="333333"/>
                <w:sz w:val="24"/>
                <w:szCs w:val="24"/>
                <w:lang w:eastAsia="it-IT"/>
              </w:rPr>
              <w:t xml:space="preserve"> </w:t>
            </w:r>
            <w:r w:rsidRPr="00894379">
              <w:rPr>
                <w:rFonts w:cs="Arial"/>
                <w:b/>
                <w:bCs/>
                <w:i/>
                <w:iCs/>
                <w:color w:val="000066"/>
                <w:sz w:val="27"/>
                <w:szCs w:val="27"/>
                <w:lang w:eastAsia="it-IT"/>
              </w:rPr>
              <w:br/>
            </w:r>
          </w:p>
          <w:p w14:paraId="4B780582" w14:textId="47EF826C" w:rsidR="000A03B2" w:rsidRPr="00894379" w:rsidRDefault="00A76EFC" w:rsidP="001D21AF">
            <w:pPr>
              <w:tabs>
                <w:tab w:val="left" w:pos="-108"/>
              </w:tabs>
              <w:ind w:left="-108"/>
              <w:rPr>
                <w:rFonts w:cs="Arial"/>
                <w:b/>
                <w:bCs/>
                <w:i/>
                <w:iCs/>
                <w:color w:val="000066"/>
                <w:sz w:val="22"/>
                <w:szCs w:val="22"/>
                <w:lang w:eastAsia="it-IT"/>
              </w:rPr>
            </w:pPr>
            <w:r w:rsidRPr="00894379">
              <w:rPr>
                <w:rFonts w:cs="Arial"/>
                <w:b/>
                <w:bCs/>
                <w:i/>
                <w:iCs/>
                <w:color w:val="000066"/>
                <w:sz w:val="22"/>
                <w:szCs w:val="22"/>
                <w:lang w:eastAsia="it-IT"/>
              </w:rPr>
              <w:t>VOL.</w:t>
            </w:r>
            <w:r w:rsidR="00785BF9" w:rsidRPr="00894379">
              <w:rPr>
                <w:rFonts w:cs="Arial"/>
                <w:b/>
                <w:bCs/>
                <w:i/>
                <w:iCs/>
                <w:color w:val="000066"/>
                <w:sz w:val="22"/>
                <w:szCs w:val="22"/>
                <w:lang w:eastAsia="it-IT"/>
              </w:rPr>
              <w:t xml:space="preserve"> </w:t>
            </w:r>
            <w:r w:rsidR="00994C6A" w:rsidRPr="00894379">
              <w:rPr>
                <w:rFonts w:cs="Arial"/>
                <w:b/>
                <w:bCs/>
                <w:i/>
                <w:iCs/>
                <w:color w:val="000066"/>
                <w:sz w:val="22"/>
                <w:szCs w:val="22"/>
                <w:lang w:eastAsia="it-IT"/>
              </w:rPr>
              <w:t>xxx</w:t>
            </w:r>
            <w:r w:rsidR="007B48F9" w:rsidRPr="00894379">
              <w:rPr>
                <w:rFonts w:cs="Arial"/>
                <w:b/>
                <w:bCs/>
                <w:i/>
                <w:iCs/>
                <w:color w:val="000066"/>
                <w:sz w:val="22"/>
                <w:szCs w:val="22"/>
                <w:lang w:eastAsia="it-IT"/>
              </w:rPr>
              <w:t>,</w:t>
            </w:r>
            <w:r w:rsidR="00FA5F5F" w:rsidRPr="00894379">
              <w:rPr>
                <w:rFonts w:cs="Arial"/>
                <w:b/>
                <w:bCs/>
                <w:i/>
                <w:iCs/>
                <w:color w:val="000066"/>
                <w:sz w:val="22"/>
                <w:szCs w:val="22"/>
                <w:lang w:eastAsia="it-IT"/>
              </w:rPr>
              <w:t xml:space="preserve"> </w:t>
            </w:r>
            <w:r w:rsidR="0030152C" w:rsidRPr="00894379">
              <w:rPr>
                <w:rFonts w:cs="Arial"/>
                <w:b/>
                <w:bCs/>
                <w:i/>
                <w:iCs/>
                <w:color w:val="000066"/>
                <w:sz w:val="22"/>
                <w:szCs w:val="22"/>
                <w:lang w:eastAsia="it-IT"/>
              </w:rPr>
              <w:t>202</w:t>
            </w:r>
            <w:r w:rsidR="00994C6A" w:rsidRPr="00894379">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894379" w:rsidRDefault="000A03B2" w:rsidP="00CD5FE2">
            <w:pPr>
              <w:spacing w:line="140" w:lineRule="atLeast"/>
              <w:jc w:val="right"/>
              <w:rPr>
                <w:rFonts w:cs="Arial"/>
                <w:sz w:val="14"/>
                <w:szCs w:val="14"/>
              </w:rPr>
            </w:pPr>
            <w:r w:rsidRPr="00894379">
              <w:rPr>
                <w:rFonts w:cs="Arial"/>
                <w:sz w:val="14"/>
                <w:szCs w:val="14"/>
              </w:rPr>
              <w:t>A publication of</w:t>
            </w:r>
          </w:p>
          <w:p w14:paraId="599E5441" w14:textId="77777777" w:rsidR="000A03B2" w:rsidRPr="00894379" w:rsidRDefault="000A03B2" w:rsidP="00CD5FE2">
            <w:pPr>
              <w:jc w:val="right"/>
            </w:pPr>
            <w:r w:rsidRPr="00894379">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894379" w14:paraId="380FA3CD" w14:textId="77777777" w:rsidTr="00DE264A">
        <w:trPr>
          <w:trHeight w:val="567"/>
          <w:jc w:val="center"/>
        </w:trPr>
        <w:tc>
          <w:tcPr>
            <w:tcW w:w="6946" w:type="dxa"/>
            <w:vMerge/>
            <w:tcBorders>
              <w:right w:val="single" w:sz="4" w:space="0" w:color="auto"/>
            </w:tcBorders>
          </w:tcPr>
          <w:p w14:paraId="39E5E4C1" w14:textId="77777777" w:rsidR="000A03B2" w:rsidRPr="00894379"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894379" w:rsidRDefault="000A03B2" w:rsidP="00CD5FE2">
            <w:pPr>
              <w:spacing w:line="140" w:lineRule="atLeast"/>
              <w:jc w:val="right"/>
              <w:rPr>
                <w:rFonts w:cs="Arial"/>
                <w:sz w:val="14"/>
                <w:szCs w:val="14"/>
              </w:rPr>
            </w:pPr>
            <w:r w:rsidRPr="00894379">
              <w:rPr>
                <w:rFonts w:cs="Arial"/>
                <w:sz w:val="14"/>
                <w:szCs w:val="14"/>
              </w:rPr>
              <w:t>The Italian Association</w:t>
            </w:r>
          </w:p>
          <w:p w14:paraId="7522B1D2" w14:textId="77777777" w:rsidR="000A03B2" w:rsidRPr="00894379" w:rsidRDefault="000A03B2" w:rsidP="00CD5FE2">
            <w:pPr>
              <w:spacing w:line="140" w:lineRule="atLeast"/>
              <w:jc w:val="right"/>
              <w:rPr>
                <w:rFonts w:cs="Arial"/>
                <w:sz w:val="14"/>
                <w:szCs w:val="14"/>
              </w:rPr>
            </w:pPr>
            <w:r w:rsidRPr="00894379">
              <w:rPr>
                <w:rFonts w:cs="Arial"/>
                <w:sz w:val="14"/>
                <w:szCs w:val="14"/>
              </w:rPr>
              <w:t>of Chemical Engineering</w:t>
            </w:r>
          </w:p>
          <w:p w14:paraId="4F0CC5DE" w14:textId="47FDB2FC" w:rsidR="000A03B2" w:rsidRPr="00894379" w:rsidRDefault="000D0268" w:rsidP="00CD5FE2">
            <w:pPr>
              <w:spacing w:line="140" w:lineRule="atLeast"/>
              <w:jc w:val="right"/>
              <w:rPr>
                <w:rFonts w:cs="Arial"/>
                <w:sz w:val="13"/>
                <w:szCs w:val="13"/>
              </w:rPr>
            </w:pPr>
            <w:r w:rsidRPr="00894379">
              <w:rPr>
                <w:rFonts w:cs="Arial"/>
                <w:sz w:val="13"/>
                <w:szCs w:val="13"/>
              </w:rPr>
              <w:t>Online at www.cetjournal.it</w:t>
            </w:r>
          </w:p>
        </w:tc>
      </w:tr>
      <w:tr w:rsidR="000A03B2" w:rsidRPr="00894379" w14:paraId="2D1B7169" w14:textId="77777777" w:rsidTr="00DE264A">
        <w:trPr>
          <w:trHeight w:val="68"/>
          <w:jc w:val="center"/>
        </w:trPr>
        <w:tc>
          <w:tcPr>
            <w:tcW w:w="8789" w:type="dxa"/>
            <w:gridSpan w:val="2"/>
          </w:tcPr>
          <w:p w14:paraId="30F07041" w14:textId="531ECB09" w:rsidR="00F27EE4" w:rsidRPr="00E04985" w:rsidRDefault="00AA7D26" w:rsidP="00F27EE4">
            <w:pPr>
              <w:ind w:left="-107"/>
              <w:rPr>
                <w:rFonts w:ascii="Tahoma" w:hAnsi="Tahoma" w:cs="Tahoma"/>
                <w:b/>
                <w:bCs/>
                <w:color w:val="000000"/>
                <w:sz w:val="14"/>
                <w:szCs w:val="14"/>
                <w:shd w:val="clear" w:color="auto" w:fill="FFFFFF"/>
                <w:lang w:val="it-IT"/>
              </w:rPr>
            </w:pPr>
            <w:r w:rsidRPr="00E04985">
              <w:rPr>
                <w:rFonts w:ascii="Tahoma" w:hAnsi="Tahoma" w:cs="Tahoma"/>
                <w:iCs/>
                <w:color w:val="333333"/>
                <w:sz w:val="14"/>
                <w:szCs w:val="14"/>
                <w:lang w:val="it-IT" w:eastAsia="it-IT"/>
              </w:rPr>
              <w:t>Guest Editors:</w:t>
            </w:r>
            <w:r w:rsidR="007D610D" w:rsidRPr="00E04985">
              <w:rPr>
                <w:rFonts w:ascii="Aptos" w:eastAsiaTheme="minorHAnsi" w:hAnsi="Aptos" w:cs="Aptos"/>
                <w:sz w:val="22"/>
                <w:szCs w:val="22"/>
                <w:lang w:val="it-IT"/>
                <w14:ligatures w14:val="standardContextual"/>
              </w:rPr>
              <w:t xml:space="preserve"> </w:t>
            </w:r>
            <w:r w:rsidR="00F27EE4" w:rsidRPr="00E04985">
              <w:rPr>
                <w:rFonts w:ascii="Tahoma" w:hAnsi="Tahoma" w:cs="Tahoma"/>
                <w:color w:val="000000"/>
                <w:sz w:val="14"/>
                <w:szCs w:val="14"/>
                <w:shd w:val="clear" w:color="auto" w:fill="FFFFFF"/>
                <w:lang w:val="it-IT"/>
              </w:rPr>
              <w:t>Bruno Fabiano, Valerio Cozzani</w:t>
            </w:r>
          </w:p>
          <w:p w14:paraId="1B0F1814" w14:textId="2DB8A072" w:rsidR="000A03B2" w:rsidRPr="00894379" w:rsidRDefault="00AA7D26" w:rsidP="00AA7D26">
            <w:pPr>
              <w:tabs>
                <w:tab w:val="left" w:pos="-108"/>
              </w:tabs>
              <w:spacing w:line="140" w:lineRule="atLeast"/>
              <w:ind w:left="-107"/>
              <w:jc w:val="left"/>
            </w:pPr>
            <w:r w:rsidRPr="00894379">
              <w:rPr>
                <w:rFonts w:ascii="Tahoma" w:hAnsi="Tahoma" w:cs="Tahoma"/>
                <w:iCs/>
                <w:color w:val="333333"/>
                <w:sz w:val="14"/>
                <w:szCs w:val="14"/>
                <w:lang w:eastAsia="it-IT"/>
              </w:rPr>
              <w:t>Copyright © 202</w:t>
            </w:r>
            <w:r w:rsidR="00994C6A" w:rsidRPr="00894379">
              <w:rPr>
                <w:rFonts w:ascii="Tahoma" w:hAnsi="Tahoma" w:cs="Tahoma"/>
                <w:iCs/>
                <w:color w:val="333333"/>
                <w:sz w:val="14"/>
                <w:szCs w:val="14"/>
                <w:lang w:eastAsia="it-IT"/>
              </w:rPr>
              <w:t>5</w:t>
            </w:r>
            <w:r w:rsidRPr="00894379">
              <w:rPr>
                <w:rFonts w:ascii="Tahoma" w:hAnsi="Tahoma" w:cs="Tahoma"/>
                <w:iCs/>
                <w:color w:val="333333"/>
                <w:sz w:val="14"/>
                <w:szCs w:val="14"/>
                <w:lang w:eastAsia="it-IT"/>
              </w:rPr>
              <w:t>, AIDIC Servizi S.r.l.</w:t>
            </w:r>
            <w:r w:rsidRPr="00894379">
              <w:rPr>
                <w:rFonts w:ascii="Tahoma" w:hAnsi="Tahoma" w:cs="Tahoma"/>
                <w:iCs/>
                <w:color w:val="333333"/>
                <w:sz w:val="14"/>
                <w:szCs w:val="14"/>
                <w:lang w:eastAsia="it-IT"/>
              </w:rPr>
              <w:br/>
            </w:r>
            <w:r w:rsidRPr="00894379">
              <w:rPr>
                <w:rFonts w:ascii="Tahoma" w:hAnsi="Tahoma" w:cs="Tahoma"/>
                <w:b/>
                <w:iCs/>
                <w:color w:val="000000"/>
                <w:sz w:val="14"/>
                <w:szCs w:val="14"/>
                <w:lang w:eastAsia="it-IT"/>
              </w:rPr>
              <w:t>ISBN</w:t>
            </w:r>
            <w:r w:rsidRPr="00894379">
              <w:rPr>
                <w:rFonts w:ascii="Tahoma" w:hAnsi="Tahoma" w:cs="Tahoma"/>
                <w:iCs/>
                <w:color w:val="000000"/>
                <w:sz w:val="14"/>
                <w:szCs w:val="14"/>
                <w:lang w:eastAsia="it-IT"/>
              </w:rPr>
              <w:t xml:space="preserve"> </w:t>
            </w:r>
            <w:r w:rsidR="003B49CD" w:rsidRPr="00894379">
              <w:rPr>
                <w:rFonts w:ascii="Tahoma" w:hAnsi="Tahoma" w:cs="Tahoma"/>
                <w:sz w:val="14"/>
                <w:szCs w:val="14"/>
              </w:rPr>
              <w:t>979-12-81206-</w:t>
            </w:r>
            <w:r w:rsidR="00F27EE4" w:rsidRPr="00894379">
              <w:rPr>
                <w:rFonts w:ascii="Tahoma" w:hAnsi="Tahoma" w:cs="Tahoma"/>
                <w:sz w:val="14"/>
                <w:szCs w:val="14"/>
              </w:rPr>
              <w:t>xx-y</w:t>
            </w:r>
            <w:r w:rsidRPr="00894379">
              <w:rPr>
                <w:rFonts w:ascii="Tahoma" w:hAnsi="Tahoma" w:cs="Tahoma"/>
                <w:iCs/>
                <w:color w:val="333333"/>
                <w:sz w:val="14"/>
                <w:szCs w:val="14"/>
                <w:lang w:eastAsia="it-IT"/>
              </w:rPr>
              <w:t xml:space="preserve">; </w:t>
            </w:r>
            <w:r w:rsidRPr="00894379">
              <w:rPr>
                <w:rFonts w:ascii="Tahoma" w:hAnsi="Tahoma" w:cs="Tahoma"/>
                <w:b/>
                <w:iCs/>
                <w:color w:val="333333"/>
                <w:sz w:val="14"/>
                <w:szCs w:val="14"/>
                <w:lang w:eastAsia="it-IT"/>
              </w:rPr>
              <w:t>ISSN</w:t>
            </w:r>
            <w:r w:rsidRPr="00894379">
              <w:rPr>
                <w:rFonts w:ascii="Tahoma" w:hAnsi="Tahoma" w:cs="Tahoma"/>
                <w:iCs/>
                <w:color w:val="333333"/>
                <w:sz w:val="14"/>
                <w:szCs w:val="14"/>
                <w:lang w:eastAsia="it-IT"/>
              </w:rPr>
              <w:t xml:space="preserve"> 2283-9216</w:t>
            </w:r>
          </w:p>
        </w:tc>
      </w:tr>
    </w:tbl>
    <w:bookmarkEnd w:id="0"/>
    <w:p w14:paraId="2E667253" w14:textId="193E1975" w:rsidR="00E978D0" w:rsidRPr="00894379" w:rsidRDefault="00EF5745" w:rsidP="00E978D0">
      <w:pPr>
        <w:pStyle w:val="CETTitle"/>
        <w:rPr>
          <w:lang w:val="en-US"/>
        </w:rPr>
      </w:pPr>
      <w:r w:rsidRPr="00894379">
        <w:rPr>
          <w:lang w:val="en-US"/>
        </w:rPr>
        <w:t>Fragility Models for Industrial Equipment Subjected to Natural Hazards</w:t>
      </w:r>
    </w:p>
    <w:p w14:paraId="0488FED2" w14:textId="56B677D2" w:rsidR="00B57E6F" w:rsidRPr="00E04985" w:rsidRDefault="00EF5745" w:rsidP="00B57E6F">
      <w:pPr>
        <w:pStyle w:val="CETAuthors"/>
        <w:rPr>
          <w:noProof w:val="0"/>
          <w:lang w:val="it-IT"/>
        </w:rPr>
      </w:pPr>
      <w:r w:rsidRPr="00E04985">
        <w:rPr>
          <w:noProof w:val="0"/>
          <w:lang w:val="it-IT"/>
        </w:rPr>
        <w:t>Oreste S.</w:t>
      </w:r>
      <w:r w:rsidR="00AA0EF0">
        <w:rPr>
          <w:noProof w:val="0"/>
          <w:lang w:val="it-IT"/>
        </w:rPr>
        <w:t xml:space="preserve"> Bursi</w:t>
      </w:r>
      <w:r w:rsidR="00AA0EF0">
        <w:rPr>
          <w:vertAlign w:val="superscript"/>
        </w:rPr>
        <w:t>a</w:t>
      </w:r>
      <w:r w:rsidR="00AA0EF0" w:rsidRPr="00B57B36">
        <w:rPr>
          <w:vertAlign w:val="superscript"/>
        </w:rPr>
        <w:t>,</w:t>
      </w:r>
      <w:r w:rsidR="00AA0EF0" w:rsidRPr="00B57B36">
        <w:t>*</w:t>
      </w:r>
      <w:r w:rsidR="00AA0EF0">
        <w:t>,</w:t>
      </w:r>
      <w:r w:rsidR="00AA0EF0">
        <w:rPr>
          <w:noProof w:val="0"/>
          <w:lang w:val="it-IT"/>
        </w:rPr>
        <w:t xml:space="preserve"> </w:t>
      </w:r>
      <w:r w:rsidR="00A55C48" w:rsidRPr="00E04985">
        <w:rPr>
          <w:noProof w:val="0"/>
          <w:lang w:val="it-IT"/>
        </w:rPr>
        <w:t>Hafiz Liaqat</w:t>
      </w:r>
      <w:r w:rsidRPr="00E04985">
        <w:rPr>
          <w:noProof w:val="0"/>
          <w:lang w:val="it-IT"/>
        </w:rPr>
        <w:t xml:space="preserve"> Ali</w:t>
      </w:r>
      <w:r w:rsidRPr="00E04985">
        <w:rPr>
          <w:noProof w:val="0"/>
          <w:vertAlign w:val="superscript"/>
          <w:lang w:val="it-IT"/>
        </w:rPr>
        <w:t>a</w:t>
      </w:r>
      <w:r w:rsidR="006D40BB" w:rsidRPr="00E04985">
        <w:rPr>
          <w:noProof w:val="0"/>
          <w:vertAlign w:val="superscript"/>
          <w:lang w:val="it-IT"/>
        </w:rPr>
        <w:t>,d</w:t>
      </w:r>
      <w:r w:rsidRPr="00E04985">
        <w:rPr>
          <w:noProof w:val="0"/>
          <w:lang w:val="it-IT"/>
        </w:rPr>
        <w:t>, Chiara Nardin</w:t>
      </w:r>
      <w:r w:rsidRPr="00E04985">
        <w:rPr>
          <w:noProof w:val="0"/>
          <w:vertAlign w:val="superscript"/>
          <w:lang w:val="it-IT"/>
        </w:rPr>
        <w:t>a</w:t>
      </w:r>
      <w:r w:rsidRPr="00E04985">
        <w:rPr>
          <w:noProof w:val="0"/>
          <w:lang w:val="it-IT"/>
        </w:rPr>
        <w:t>, Marco Broccardo</w:t>
      </w:r>
      <w:r w:rsidRPr="00E04985">
        <w:rPr>
          <w:noProof w:val="0"/>
          <w:vertAlign w:val="superscript"/>
          <w:lang w:val="it-IT"/>
        </w:rPr>
        <w:t>a</w:t>
      </w:r>
      <w:r w:rsidRPr="00E04985">
        <w:rPr>
          <w:noProof w:val="0"/>
          <w:lang w:val="it-IT"/>
        </w:rPr>
        <w:t>, Gianluca Quinci</w:t>
      </w:r>
      <w:r w:rsidRPr="00E04985">
        <w:rPr>
          <w:noProof w:val="0"/>
          <w:vertAlign w:val="superscript"/>
          <w:lang w:val="it-IT"/>
        </w:rPr>
        <w:t>b</w:t>
      </w:r>
      <w:r w:rsidRPr="00E04985">
        <w:rPr>
          <w:noProof w:val="0"/>
          <w:lang w:val="it-IT"/>
        </w:rPr>
        <w:t>, Fabrizio Paolacci</w:t>
      </w:r>
      <w:r w:rsidRPr="00E04985">
        <w:rPr>
          <w:noProof w:val="0"/>
          <w:vertAlign w:val="superscript"/>
          <w:lang w:val="it-IT"/>
        </w:rPr>
        <w:t>b</w:t>
      </w:r>
      <w:r w:rsidRPr="00E04985">
        <w:rPr>
          <w:noProof w:val="0"/>
          <w:lang w:val="it-IT"/>
        </w:rPr>
        <w:t>, Luca Caracoglia</w:t>
      </w:r>
      <w:r w:rsidRPr="00E04985">
        <w:rPr>
          <w:noProof w:val="0"/>
          <w:vertAlign w:val="superscript"/>
          <w:lang w:val="it-IT"/>
        </w:rPr>
        <w:t>c</w:t>
      </w:r>
    </w:p>
    <w:p w14:paraId="221B3A5B" w14:textId="11845D24" w:rsidR="00EF5745" w:rsidRPr="00E04985" w:rsidRDefault="00EF5745" w:rsidP="00EF5745">
      <w:pPr>
        <w:pStyle w:val="CETAddress"/>
        <w:rPr>
          <w:noProof w:val="0"/>
          <w:lang w:val="it-IT"/>
        </w:rPr>
      </w:pPr>
      <w:r w:rsidRPr="00894379">
        <w:rPr>
          <w:noProof w:val="0"/>
          <w:vertAlign w:val="superscript"/>
          <w:lang w:val="en-US"/>
        </w:rPr>
        <w:t>a</w:t>
      </w:r>
      <w:r w:rsidRPr="00894379">
        <w:rPr>
          <w:noProof w:val="0"/>
          <w:lang w:val="en-US"/>
        </w:rPr>
        <w:t xml:space="preserve">University of Trento, Depart. Of Civil, Env. </w:t>
      </w:r>
      <w:r w:rsidRPr="00E04985">
        <w:rPr>
          <w:noProof w:val="0"/>
          <w:lang w:val="it-IT"/>
        </w:rPr>
        <w:t>&amp; Mechanical Engineering, Via Mesiano 77, Trento</w:t>
      </w:r>
      <w:r w:rsidR="00FA6849" w:rsidRPr="00E04985">
        <w:rPr>
          <w:noProof w:val="0"/>
          <w:lang w:val="it-IT"/>
        </w:rPr>
        <w:t>, Italy</w:t>
      </w:r>
      <w:r w:rsidRPr="00E04985">
        <w:rPr>
          <w:noProof w:val="0"/>
          <w:lang w:val="it-IT"/>
        </w:rPr>
        <w:t xml:space="preserve"> </w:t>
      </w:r>
    </w:p>
    <w:p w14:paraId="58EDAC98" w14:textId="5A0ECA24" w:rsidR="00EF5745" w:rsidRPr="00E04985" w:rsidRDefault="00B57E6F" w:rsidP="00EF5745">
      <w:pPr>
        <w:pStyle w:val="CETAddress"/>
        <w:rPr>
          <w:noProof w:val="0"/>
          <w:lang w:val="it-IT"/>
        </w:rPr>
      </w:pPr>
      <w:r w:rsidRPr="00E04985">
        <w:rPr>
          <w:noProof w:val="0"/>
          <w:lang w:val="it-IT"/>
        </w:rPr>
        <w:t xml:space="preserve"> </w:t>
      </w:r>
      <w:r w:rsidR="00EF5745" w:rsidRPr="00E04985">
        <w:rPr>
          <w:noProof w:val="0"/>
          <w:vertAlign w:val="superscript"/>
          <w:lang w:val="it-IT"/>
        </w:rPr>
        <w:t>b</w:t>
      </w:r>
      <w:r w:rsidR="00EF5745" w:rsidRPr="00E04985">
        <w:rPr>
          <w:noProof w:val="0"/>
          <w:lang w:val="it-IT"/>
        </w:rPr>
        <w:t>Roma Tre University, DICITA, Via Vito Volterra 62, Rome</w:t>
      </w:r>
      <w:r w:rsidR="00FA6849" w:rsidRPr="00E04985">
        <w:rPr>
          <w:noProof w:val="0"/>
          <w:lang w:val="it-IT"/>
        </w:rPr>
        <w:t>, Italy</w:t>
      </w:r>
    </w:p>
    <w:p w14:paraId="3D72B0B0" w14:textId="57449A05" w:rsidR="00B57E6F" w:rsidRPr="00894379" w:rsidRDefault="00EF5745" w:rsidP="00EF5745">
      <w:pPr>
        <w:pStyle w:val="CETAddress"/>
        <w:tabs>
          <w:tab w:val="left" w:pos="2436"/>
        </w:tabs>
        <w:rPr>
          <w:noProof w:val="0"/>
          <w:lang w:val="en-US"/>
        </w:rPr>
      </w:pPr>
      <w:r w:rsidRPr="00894379">
        <w:rPr>
          <w:noProof w:val="0"/>
          <w:vertAlign w:val="superscript"/>
          <w:lang w:val="en-US"/>
        </w:rPr>
        <w:t>c</w:t>
      </w:r>
      <w:r w:rsidRPr="00894379">
        <w:rPr>
          <w:noProof w:val="0"/>
          <w:lang w:val="en-US"/>
        </w:rPr>
        <w:t>Northeastern, University, Depart. of Civil &amp; Env. Eng., 400 Snell Eng. Center 360 Huntington Avenue, Boston</w:t>
      </w:r>
      <w:r w:rsidR="00CE0DAE" w:rsidRPr="00894379">
        <w:rPr>
          <w:noProof w:val="0"/>
          <w:lang w:val="en-US"/>
        </w:rPr>
        <w:t>, USA</w:t>
      </w:r>
    </w:p>
    <w:p w14:paraId="5C08D4B3" w14:textId="2179BFC7" w:rsidR="008F3E9D" w:rsidRPr="00894379" w:rsidRDefault="006D40BB" w:rsidP="00EF5745">
      <w:pPr>
        <w:pStyle w:val="CETAddress"/>
        <w:tabs>
          <w:tab w:val="left" w:pos="2436"/>
        </w:tabs>
        <w:rPr>
          <w:noProof w:val="0"/>
          <w:lang w:val="en-US"/>
        </w:rPr>
      </w:pPr>
      <w:r w:rsidRPr="00894379">
        <w:rPr>
          <w:noProof w:val="0"/>
          <w:vertAlign w:val="superscript"/>
          <w:lang w:val="en-US"/>
        </w:rPr>
        <w:t>d</w:t>
      </w:r>
      <w:r w:rsidR="009058AC" w:rsidRPr="00894379">
        <w:rPr>
          <w:noProof w:val="0"/>
          <w:lang w:val="en-US"/>
        </w:rPr>
        <w:t>Department of Mechanical Engineering, B</w:t>
      </w:r>
      <w:r w:rsidR="00336219" w:rsidRPr="00894379">
        <w:rPr>
          <w:noProof w:val="0"/>
          <w:lang w:val="en-US"/>
        </w:rPr>
        <w:t xml:space="preserve">ahauddin </w:t>
      </w:r>
      <w:r w:rsidRPr="00894379">
        <w:rPr>
          <w:noProof w:val="0"/>
          <w:lang w:val="en-US"/>
        </w:rPr>
        <w:t>Z</w:t>
      </w:r>
      <w:r w:rsidR="00336219" w:rsidRPr="00894379">
        <w:rPr>
          <w:noProof w:val="0"/>
          <w:lang w:val="en-US"/>
        </w:rPr>
        <w:t xml:space="preserve">akariya </w:t>
      </w:r>
      <w:r w:rsidRPr="00894379">
        <w:rPr>
          <w:noProof w:val="0"/>
          <w:lang w:val="en-US"/>
        </w:rPr>
        <w:t>U</w:t>
      </w:r>
      <w:r w:rsidR="00336219" w:rsidRPr="00894379">
        <w:rPr>
          <w:noProof w:val="0"/>
          <w:lang w:val="en-US"/>
        </w:rPr>
        <w:t>niversity</w:t>
      </w:r>
      <w:r w:rsidR="009058AC" w:rsidRPr="00894379">
        <w:rPr>
          <w:noProof w:val="0"/>
          <w:lang w:val="en-US"/>
        </w:rPr>
        <w:t>, Multan 60000, Pakistan</w:t>
      </w:r>
    </w:p>
    <w:p w14:paraId="73F1267A" w14:textId="3990BB99" w:rsidR="00B57E6F" w:rsidRPr="00894379" w:rsidRDefault="00B57E6F" w:rsidP="00B57E6F">
      <w:pPr>
        <w:pStyle w:val="CETemail"/>
        <w:rPr>
          <w:noProof w:val="0"/>
          <w:lang w:val="en-US"/>
        </w:rPr>
      </w:pPr>
      <w:r w:rsidRPr="00894379">
        <w:rPr>
          <w:noProof w:val="0"/>
          <w:lang w:val="en-US"/>
        </w:rPr>
        <w:t xml:space="preserve"> </w:t>
      </w:r>
      <w:r w:rsidR="00EF5745" w:rsidRPr="00894379">
        <w:rPr>
          <w:noProof w:val="0"/>
          <w:lang w:val="en-US"/>
        </w:rPr>
        <w:t>Oreste.Bursi@unitn.it</w:t>
      </w:r>
    </w:p>
    <w:p w14:paraId="23AD7B6F" w14:textId="4CD3A889" w:rsidR="000F1714" w:rsidRPr="00894379" w:rsidRDefault="000F1714" w:rsidP="000F1714">
      <w:pPr>
        <w:pStyle w:val="CETBodytext"/>
      </w:pPr>
      <w:r w:rsidRPr="00894379">
        <w:t>Large cylindrical storage tanks are widely utili</w:t>
      </w:r>
      <w:r w:rsidR="00406116" w:rsidRPr="00894379">
        <w:t>s</w:t>
      </w:r>
      <w:r w:rsidRPr="00894379">
        <w:t xml:space="preserve">ed in petrochemical plants to store </w:t>
      </w:r>
      <w:r w:rsidR="00C270D4" w:rsidRPr="00894379">
        <w:t>different liquid materials, e.g., crude oil. However, t</w:t>
      </w:r>
      <w:r w:rsidRPr="00894379">
        <w:t>h</w:t>
      </w:r>
      <w:r w:rsidR="005778EF" w:rsidRPr="00894379">
        <w:t>e</w:t>
      </w:r>
      <w:r w:rsidRPr="00894379">
        <w:t xml:space="preserve">se </w:t>
      </w:r>
      <w:r w:rsidR="00C270D4" w:rsidRPr="00894379">
        <w:t>structures</w:t>
      </w:r>
      <w:r w:rsidR="00E9601B" w:rsidRPr="00894379">
        <w:t xml:space="preserve"> are</w:t>
      </w:r>
      <w:r w:rsidR="00C270D4" w:rsidRPr="00894379">
        <w:t xml:space="preserve"> reveal</w:t>
      </w:r>
      <w:r w:rsidR="00E9601B" w:rsidRPr="00894379">
        <w:t>ed</w:t>
      </w:r>
      <w:r w:rsidR="00C270D4" w:rsidRPr="00894379">
        <w:t xml:space="preserve"> to be especially </w:t>
      </w:r>
      <w:r w:rsidRPr="00894379">
        <w:t>vulnerable in case of a natural event like an earthquake</w:t>
      </w:r>
      <w:r w:rsidR="00BC46F9" w:rsidRPr="00894379">
        <w:t xml:space="preserve"> or</w:t>
      </w:r>
      <w:r w:rsidRPr="00894379">
        <w:t xml:space="preserve"> tsunami. </w:t>
      </w:r>
      <w:r w:rsidR="00406116" w:rsidRPr="00894379">
        <w:t>D</w:t>
      </w:r>
      <w:r w:rsidR="00C270D4" w:rsidRPr="00894379">
        <w:t>amage to th</w:t>
      </w:r>
      <w:r w:rsidR="005778EF" w:rsidRPr="00894379">
        <w:t>e</w:t>
      </w:r>
      <w:r w:rsidR="00C270D4" w:rsidRPr="00894379">
        <w:t>se tanks</w:t>
      </w:r>
      <w:r w:rsidR="0088174A" w:rsidRPr="00894379">
        <w:t>,</w:t>
      </w:r>
      <w:r w:rsidR="00406116" w:rsidRPr="00894379">
        <w:t xml:space="preserve"> indeed,</w:t>
      </w:r>
      <w:r w:rsidRPr="00894379">
        <w:t xml:space="preserve"> can lead to technology accidents (also known as NaTech)</w:t>
      </w:r>
      <w:r w:rsidR="00C270D4" w:rsidRPr="00894379">
        <w:t>,</w:t>
      </w:r>
      <w:r w:rsidRPr="00894379">
        <w:t xml:space="preserve"> </w:t>
      </w:r>
      <w:r w:rsidR="00C270D4" w:rsidRPr="00894379">
        <w:t xml:space="preserve">like </w:t>
      </w:r>
      <w:r w:rsidR="000C7F42" w:rsidRPr="00894379">
        <w:t xml:space="preserve">a </w:t>
      </w:r>
      <w:r w:rsidRPr="00894379">
        <w:t xml:space="preserve">spill of dangerous </w:t>
      </w:r>
      <w:r w:rsidR="00C270D4" w:rsidRPr="00894379">
        <w:t xml:space="preserve">materials </w:t>
      </w:r>
      <w:r w:rsidRPr="00894379">
        <w:t xml:space="preserve">or waste of </w:t>
      </w:r>
      <w:r w:rsidR="00C270D4" w:rsidRPr="00894379">
        <w:t>filling</w:t>
      </w:r>
      <w:r w:rsidR="005778EF" w:rsidRPr="00894379">
        <w:t xml:space="preserve">, typically </w:t>
      </w:r>
      <w:r w:rsidRPr="00894379">
        <w:t xml:space="preserve">through </w:t>
      </w:r>
      <w:r w:rsidR="0088174A" w:rsidRPr="00894379">
        <w:t xml:space="preserve">failed </w:t>
      </w:r>
      <w:r w:rsidRPr="00894379">
        <w:t>sealings</w:t>
      </w:r>
      <w:r w:rsidR="005778EF" w:rsidRPr="00894379">
        <w:t>.</w:t>
      </w:r>
    </w:p>
    <w:p w14:paraId="18A025D9" w14:textId="0297634A" w:rsidR="005C5935" w:rsidRPr="00894379" w:rsidRDefault="0088174A" w:rsidP="00BC46F9">
      <w:r w:rsidRPr="00894379">
        <w:t xml:space="preserve">To address the challenges of leakage modelling, </w:t>
      </w:r>
      <w:r w:rsidR="00AD5FA2" w:rsidRPr="00894379">
        <w:t>in</w:t>
      </w:r>
      <w:r w:rsidR="000F1714" w:rsidRPr="00894379">
        <w:t xml:space="preserve"> this research work, fragility models </w:t>
      </w:r>
      <w:r w:rsidR="00BC46F9" w:rsidRPr="00894379">
        <w:t xml:space="preserve">associated to leakage </w:t>
      </w:r>
      <w:r w:rsidRPr="00894379">
        <w:t>due to</w:t>
      </w:r>
      <w:r w:rsidR="000F1714" w:rsidRPr="00894379">
        <w:t xml:space="preserve"> seismic loading conditions of </w:t>
      </w:r>
      <w:r w:rsidR="00BC46F9" w:rsidRPr="00894379">
        <w:t>large cylindrical storage tanks</w:t>
      </w:r>
      <w:r w:rsidR="000F1714" w:rsidRPr="00894379">
        <w:t xml:space="preserve">, specifically </w:t>
      </w:r>
      <w:r w:rsidR="00BC46F9" w:rsidRPr="00894379">
        <w:t xml:space="preserve">a broad tank </w:t>
      </w:r>
      <w:bookmarkStart w:id="1" w:name="_Hlk180357137"/>
      <w:r w:rsidR="00BC46F9" w:rsidRPr="00894379">
        <w:t>endowed</w:t>
      </w:r>
      <w:bookmarkEnd w:id="1"/>
      <w:r w:rsidR="00BC46F9" w:rsidRPr="00894379">
        <w:t xml:space="preserve"> with a </w:t>
      </w:r>
      <w:r w:rsidR="000F1714" w:rsidRPr="00894379">
        <w:t xml:space="preserve">single-deck </w:t>
      </w:r>
      <w:r w:rsidR="00BC46F9" w:rsidRPr="00894379">
        <w:t>floating</w:t>
      </w:r>
      <w:r w:rsidR="00AE0056" w:rsidRPr="00894379">
        <w:t xml:space="preserve"> </w:t>
      </w:r>
      <w:r w:rsidR="00BC46F9" w:rsidRPr="00894379">
        <w:t>roof</w:t>
      </w:r>
      <w:r w:rsidR="000F1714" w:rsidRPr="00894379">
        <w:t xml:space="preserve">, </w:t>
      </w:r>
      <w:r w:rsidR="00E9601B" w:rsidRPr="00894379">
        <w:t>are</w:t>
      </w:r>
      <w:r w:rsidR="000F1714" w:rsidRPr="00894379">
        <w:t xml:space="preserve"> studied. </w:t>
      </w:r>
      <w:r w:rsidR="00BC46F9" w:rsidRPr="00894379">
        <w:t>In particular, t</w:t>
      </w:r>
      <w:r w:rsidR="000F1714" w:rsidRPr="00894379">
        <w:t>his paper aims to utili</w:t>
      </w:r>
      <w:r w:rsidRPr="00894379">
        <w:t>s</w:t>
      </w:r>
      <w:r w:rsidR="000F1714" w:rsidRPr="00894379">
        <w:t xml:space="preserve">e a probabilistic model </w:t>
      </w:r>
      <w:r w:rsidR="00BC46F9" w:rsidRPr="00894379">
        <w:t xml:space="preserve">to evaluate fragility curves associated with leakage due to </w:t>
      </w:r>
      <w:r w:rsidR="000F1714" w:rsidRPr="00894379">
        <w:t xml:space="preserve">slosh-induced damage </w:t>
      </w:r>
      <w:r w:rsidR="00BC46F9" w:rsidRPr="00894379">
        <w:t>of</w:t>
      </w:r>
      <w:r w:rsidR="000F1714" w:rsidRPr="00894379">
        <w:t xml:space="preserve"> single-deck </w:t>
      </w:r>
      <w:r w:rsidR="00BC46F9" w:rsidRPr="00894379">
        <w:t xml:space="preserve">floating roofs and/or seals of </w:t>
      </w:r>
      <w:r w:rsidR="000F1714" w:rsidRPr="00894379">
        <w:t xml:space="preserve">broad tanks. The assessment of failure mechanisms and leakage of pantograph-type mechanical seals </w:t>
      </w:r>
      <w:r w:rsidR="00C270D4" w:rsidRPr="00894379">
        <w:t>is considered</w:t>
      </w:r>
      <w:r w:rsidRPr="00894379">
        <w:t xml:space="preserve"> by means of local FE models. In </w:t>
      </w:r>
      <w:r w:rsidR="00B846F8" w:rsidRPr="00894379">
        <w:t>addition,</w:t>
      </w:r>
      <w:r w:rsidRPr="00894379">
        <w:t xml:space="preserve"> </w:t>
      </w:r>
      <w:r w:rsidR="0069343F" w:rsidRPr="00894379">
        <w:t>refined FE models of broad tanks with floating roofs are considered too.</w:t>
      </w:r>
      <w:r w:rsidR="000F1714" w:rsidRPr="00894379">
        <w:t xml:space="preserve"> </w:t>
      </w:r>
      <w:r w:rsidR="00C270D4" w:rsidRPr="00894379">
        <w:t xml:space="preserve">Specifically, </w:t>
      </w:r>
      <w:r w:rsidR="00BC46F9" w:rsidRPr="00894379">
        <w:t>a</w:t>
      </w:r>
      <w:r w:rsidR="000F1714" w:rsidRPr="00894379">
        <w:t xml:space="preserve"> broad tank TK-</w:t>
      </w:r>
      <w:r w:rsidR="000D0EED" w:rsidRPr="00894379">
        <w:t>59</w:t>
      </w:r>
      <w:r w:rsidR="000F1714" w:rsidRPr="00894379">
        <w:t xml:space="preserve"> </w:t>
      </w:r>
      <w:r w:rsidR="00BC46F9" w:rsidRPr="00894379">
        <w:t>endowed with a</w:t>
      </w:r>
      <w:r w:rsidR="006C1B91" w:rsidRPr="00894379">
        <w:t>n</w:t>
      </w:r>
      <w:r w:rsidR="00BC46F9" w:rsidRPr="00894379">
        <w:t xml:space="preserve"> </w:t>
      </w:r>
      <w:r w:rsidR="000E38B5" w:rsidRPr="00894379">
        <w:t>86</w:t>
      </w:r>
      <w:r w:rsidR="00BC46F9" w:rsidRPr="00894379">
        <w:t xml:space="preserve"> m diameter and a </w:t>
      </w:r>
      <w:r w:rsidR="00995846" w:rsidRPr="00894379">
        <w:t>22</w:t>
      </w:r>
      <w:r w:rsidR="00BC46F9" w:rsidRPr="00894379">
        <w:t xml:space="preserve"> m height storing crude oil was </w:t>
      </w:r>
      <w:r w:rsidR="00C270D4" w:rsidRPr="00894379">
        <w:t xml:space="preserve">selected and </w:t>
      </w:r>
      <w:r w:rsidR="000F1714" w:rsidRPr="00894379">
        <w:t>investigated as</w:t>
      </w:r>
      <w:r w:rsidR="00E9601B" w:rsidRPr="00894379">
        <w:t xml:space="preserve"> an</w:t>
      </w:r>
      <w:r w:rsidR="000F1714" w:rsidRPr="00894379">
        <w:t xml:space="preserve"> industrial case study. Finally, </w:t>
      </w:r>
      <w:r w:rsidR="00C270D4" w:rsidRPr="00894379">
        <w:t xml:space="preserve">fragility </w:t>
      </w:r>
      <w:r w:rsidR="000F1714" w:rsidRPr="00894379">
        <w:t xml:space="preserve">functions </w:t>
      </w:r>
      <w:r w:rsidR="00BC46F9" w:rsidRPr="00894379">
        <w:t>are</w:t>
      </w:r>
      <w:r w:rsidR="00C270D4" w:rsidRPr="00894379">
        <w:t xml:space="preserve"> derived </w:t>
      </w:r>
      <w:r w:rsidR="00BC46F9" w:rsidRPr="00894379">
        <w:t xml:space="preserve">and commented upon </w:t>
      </w:r>
      <w:r w:rsidR="00C270D4" w:rsidRPr="00894379">
        <w:t xml:space="preserve">for the </w:t>
      </w:r>
      <w:r w:rsidR="00BC46F9" w:rsidRPr="00894379">
        <w:t>most relevant limit states associated with leakage</w:t>
      </w:r>
      <w:r w:rsidR="000F1714" w:rsidRPr="00894379">
        <w:t>.</w:t>
      </w:r>
    </w:p>
    <w:p w14:paraId="476B2F2E" w14:textId="71ECB65A" w:rsidR="00600535" w:rsidRPr="00894379" w:rsidRDefault="00600535" w:rsidP="00600535">
      <w:pPr>
        <w:pStyle w:val="CETHeading1"/>
      </w:pPr>
      <w:bookmarkStart w:id="2" w:name="_Hlk179878142"/>
      <w:r w:rsidRPr="00894379">
        <w:t>Introduction</w:t>
      </w:r>
    </w:p>
    <w:p w14:paraId="7CB2A27D" w14:textId="2FB21F39" w:rsidR="00F223A2" w:rsidRPr="00894379" w:rsidRDefault="00AD1B80" w:rsidP="00AD1B80">
      <w:r w:rsidRPr="00894379">
        <w:t>Storage facilities play a significant role in supporting the numerous petrochemical and processing activities of modern production industries, ensuring their uninterrupted operation. However, these facilities are at risk of accidents that fall under the category of Natural Hazards Triggering Technological Accidents (NaTech</w:t>
      </w:r>
      <w:r w:rsidRPr="00DD3796">
        <w:t xml:space="preserve">). The release of hazardous materials or the depletion of essential resources from such accidents triggered by external natural events such as earthquakes </w:t>
      </w:r>
      <w:r w:rsidR="00DD3796" w:rsidRPr="00DD3796">
        <w:t>is</w:t>
      </w:r>
      <w:r w:rsidRPr="00DD3796">
        <w:t xml:space="preserve"> demonstrated by Salimbeni et al. (2023) and Ge et al. (2024).</w:t>
      </w:r>
      <w:r w:rsidRPr="00894379">
        <w:t xml:space="preserve"> </w:t>
      </w:r>
      <w:bookmarkStart w:id="3" w:name="_Hlk180335700"/>
      <w:r w:rsidR="00D34EE1" w:rsidRPr="00894379">
        <w:t xml:space="preserve">In </w:t>
      </w:r>
      <w:r w:rsidR="009B6F34" w:rsidRPr="00894379">
        <w:t>the last decades</w:t>
      </w:r>
      <w:r w:rsidR="00D34EE1" w:rsidRPr="00894379">
        <w:t xml:space="preserve">, </w:t>
      </w:r>
      <w:bookmarkEnd w:id="3"/>
      <w:r w:rsidR="00102A0F" w:rsidRPr="00894379">
        <w:t xml:space="preserve">natural </w:t>
      </w:r>
      <w:r w:rsidR="00F97BF8" w:rsidRPr="00894379">
        <w:t xml:space="preserve">catastrophes like tsunamis and earthquakes </w:t>
      </w:r>
      <w:r w:rsidR="00E70AD2" w:rsidRPr="00894379">
        <w:t xml:space="preserve">caused extensive damage to storage </w:t>
      </w:r>
      <w:r w:rsidR="007F5F38" w:rsidRPr="00894379">
        <w:t>reservoirs</w:t>
      </w:r>
      <w:r w:rsidR="00CC383B" w:rsidRPr="00894379">
        <w:t xml:space="preserve"> of oil, petroleum and chemicals</w:t>
      </w:r>
      <w:r w:rsidR="007F5F38" w:rsidRPr="00894379">
        <w:t xml:space="preserve"> primarily resulting in major </w:t>
      </w:r>
      <w:r w:rsidR="00777BEA" w:rsidRPr="00894379">
        <w:t>economic</w:t>
      </w:r>
      <w:r w:rsidR="007F5F38" w:rsidRPr="00894379">
        <w:t xml:space="preserve"> </w:t>
      </w:r>
      <w:r w:rsidR="00060C64" w:rsidRPr="00894379">
        <w:t>loss</w:t>
      </w:r>
      <w:r w:rsidR="00CC383B" w:rsidRPr="00894379">
        <w:t xml:space="preserve"> </w:t>
      </w:r>
      <w:r w:rsidR="00DD22D4" w:rsidRPr="00894379">
        <w:t>(</w:t>
      </w:r>
      <w:r w:rsidR="00527F31" w:rsidRPr="00894379">
        <w:t>Alfanda et al.</w:t>
      </w:r>
      <w:r w:rsidR="00D74394">
        <w:t>,</w:t>
      </w:r>
      <w:r w:rsidR="00527F31" w:rsidRPr="00894379">
        <w:t xml:space="preserve"> 2022)</w:t>
      </w:r>
      <w:r w:rsidRPr="00894379">
        <w:t>.</w:t>
      </w:r>
      <w:r w:rsidR="00CC383B" w:rsidRPr="00894379">
        <w:t xml:space="preserve"> </w:t>
      </w:r>
      <w:r w:rsidR="00BD7057" w:rsidRPr="00894379">
        <w:t>Fragility models particularly seismic fragility functio</w:t>
      </w:r>
      <w:r w:rsidR="00767341" w:rsidRPr="00894379">
        <w:t>n</w:t>
      </w:r>
      <w:r w:rsidR="008C1798" w:rsidRPr="00894379">
        <w:t>s</w:t>
      </w:r>
      <w:r w:rsidR="00767341" w:rsidRPr="00894379">
        <w:t xml:space="preserve"> </w:t>
      </w:r>
      <w:r w:rsidR="008C1798" w:rsidRPr="00894379">
        <w:t>are</w:t>
      </w:r>
      <w:r w:rsidR="00767341" w:rsidRPr="00894379">
        <w:t xml:space="preserve"> </w:t>
      </w:r>
      <w:r w:rsidR="00162394" w:rsidRPr="00894379">
        <w:t>quite</w:t>
      </w:r>
      <w:r w:rsidR="00767341" w:rsidRPr="00894379">
        <w:t xml:space="preserve"> effective </w:t>
      </w:r>
      <w:r w:rsidR="00162394" w:rsidRPr="00894379">
        <w:t>for</w:t>
      </w:r>
      <w:r w:rsidR="00767341" w:rsidRPr="00894379">
        <w:t xml:space="preserve"> determining structural vulnerabilit</w:t>
      </w:r>
      <w:r w:rsidR="00532C11" w:rsidRPr="00894379">
        <w:t>y.</w:t>
      </w:r>
      <w:r w:rsidR="00B71C1A" w:rsidRPr="00894379">
        <w:t xml:space="preserve"> </w:t>
      </w:r>
      <w:r w:rsidR="00524ADE" w:rsidRPr="00894379">
        <w:t>These models support risk management strategies by</w:t>
      </w:r>
      <w:r w:rsidR="005E23BA" w:rsidRPr="00894379">
        <w:t xml:space="preserve"> accurately</w:t>
      </w:r>
      <w:r w:rsidR="00524ADE" w:rsidRPr="00894379">
        <w:t xml:space="preserve"> estimating </w:t>
      </w:r>
      <w:r w:rsidR="00FC0E10" w:rsidRPr="00894379">
        <w:t xml:space="preserve">seismic risk </w:t>
      </w:r>
      <w:r w:rsidR="00DD22D4" w:rsidRPr="00894379">
        <w:t>(</w:t>
      </w:r>
      <w:r w:rsidR="00F223A2" w:rsidRPr="00894379">
        <w:t>Bezir et al.</w:t>
      </w:r>
      <w:r w:rsidR="00D74394">
        <w:t>,</w:t>
      </w:r>
      <w:r w:rsidR="00F223A2" w:rsidRPr="00894379">
        <w:t xml:space="preserve"> 2022</w:t>
      </w:r>
      <w:r w:rsidR="00DD22D4" w:rsidRPr="00894379">
        <w:t>)</w:t>
      </w:r>
      <w:r w:rsidR="00F223A2" w:rsidRPr="00894379">
        <w:t>. Their key aspects include seismic fragility curves and leakage risk assessment.</w:t>
      </w:r>
      <w:r w:rsidR="00DD22D4" w:rsidRPr="00894379">
        <w:t xml:space="preserve"> </w:t>
      </w:r>
      <w:r w:rsidR="00C75654" w:rsidRPr="00894379">
        <w:t xml:space="preserve">Typically, vulnerability data is displayed using fragility </w:t>
      </w:r>
      <w:r w:rsidR="000611FA" w:rsidRPr="00894379">
        <w:t>curves.</w:t>
      </w:r>
      <w:r w:rsidR="00C82F85" w:rsidRPr="00894379">
        <w:t xml:space="preserve"> </w:t>
      </w:r>
      <w:r w:rsidR="00D45F0B" w:rsidRPr="00894379">
        <w:t xml:space="preserve">These curves are the graphical description of </w:t>
      </w:r>
      <w:r w:rsidR="00A7657E" w:rsidRPr="00894379">
        <w:t xml:space="preserve">seismic fragility displayed as </w:t>
      </w:r>
      <w:r w:rsidR="00D06171" w:rsidRPr="00894379">
        <w:t>a </w:t>
      </w:r>
      <w:r w:rsidR="00A7657E" w:rsidRPr="00894379">
        <w:t>function of intensities</w:t>
      </w:r>
      <w:r w:rsidR="00987E04" w:rsidRPr="00894379">
        <w:t xml:space="preserve"> </w:t>
      </w:r>
      <w:r w:rsidR="00DD22D4" w:rsidRPr="00894379">
        <w:t>(</w:t>
      </w:r>
      <w:r w:rsidR="00FB5E63" w:rsidRPr="00FB5E63">
        <w:t xml:space="preserve">López </w:t>
      </w:r>
      <w:r w:rsidR="00FB5E63">
        <w:t>and</w:t>
      </w:r>
      <w:r w:rsidR="00FB5E63" w:rsidRPr="00FB5E63">
        <w:t xml:space="preserve"> Mayoral</w:t>
      </w:r>
      <w:r w:rsidR="00FB5E63">
        <w:t xml:space="preserve">, </w:t>
      </w:r>
      <w:r w:rsidR="00DD22D4" w:rsidRPr="00894379">
        <w:t>202</w:t>
      </w:r>
      <w:r w:rsidR="004D3F55" w:rsidRPr="00894379">
        <w:t>0</w:t>
      </w:r>
      <w:r w:rsidR="00B670E5" w:rsidRPr="00894379">
        <w:t>)</w:t>
      </w:r>
      <w:r w:rsidR="00DD22D4" w:rsidRPr="00894379">
        <w:t xml:space="preserve">. </w:t>
      </w:r>
    </w:p>
    <w:p w14:paraId="263F01BA" w14:textId="0CC8625C" w:rsidR="008568C2" w:rsidRPr="00894379" w:rsidRDefault="00850FB7" w:rsidP="00377339">
      <w:r w:rsidRPr="00894379">
        <w:t xml:space="preserve">In this regard, </w:t>
      </w:r>
      <w:r w:rsidR="00E561DA" w:rsidRPr="00894379">
        <w:t xml:space="preserve">Mayorga et al. (2019) </w:t>
      </w:r>
      <w:r w:rsidR="00515EB6" w:rsidRPr="00894379">
        <w:t xml:space="preserve">developed </w:t>
      </w:r>
      <w:r w:rsidR="00314D9F" w:rsidRPr="00894379">
        <w:t>a </w:t>
      </w:r>
      <w:r w:rsidR="00C709B7" w:rsidRPr="00894379">
        <w:t xml:space="preserve">Monte Carlo </w:t>
      </w:r>
      <w:r w:rsidR="00515EB6" w:rsidRPr="00894379">
        <w:t>simulation</w:t>
      </w:r>
      <w:r w:rsidR="00EB4F2F" w:rsidRPr="00894379">
        <w:t xml:space="preserve"> (MCS)</w:t>
      </w:r>
      <w:r w:rsidR="0040585C" w:rsidRPr="00894379">
        <w:t xml:space="preserve"> </w:t>
      </w:r>
      <w:r w:rsidR="00515EB6" w:rsidRPr="00894379">
        <w:t>based fragility model for storage tanks</w:t>
      </w:r>
      <w:r w:rsidR="005215B8" w:rsidRPr="00894379">
        <w:t xml:space="preserve">. </w:t>
      </w:r>
      <w:r w:rsidR="00AD1B80" w:rsidRPr="00894379">
        <w:t xml:space="preserve">Caprinozzi et al. (2020) </w:t>
      </w:r>
      <w:r w:rsidR="00876E14" w:rsidRPr="00894379">
        <w:t>conducted a dynamic study in which</w:t>
      </w:r>
      <w:r w:rsidR="00AD1B80" w:rsidRPr="00894379">
        <w:t xml:space="preserve"> the </w:t>
      </w:r>
      <w:r w:rsidR="005215B8" w:rsidRPr="00894379">
        <w:t>seismic risk</w:t>
      </w:r>
      <w:r w:rsidR="00941095" w:rsidRPr="00894379">
        <w:t xml:space="preserve"> of </w:t>
      </w:r>
      <w:r w:rsidR="00876E14" w:rsidRPr="00894379">
        <w:t>liquid overflowing</w:t>
      </w:r>
      <w:r w:rsidR="00AD1B80" w:rsidRPr="00894379">
        <w:t xml:space="preserve"> </w:t>
      </w:r>
      <w:r w:rsidR="00876E14" w:rsidRPr="00894379">
        <w:t>in a</w:t>
      </w:r>
      <w:r w:rsidR="00AD1B80" w:rsidRPr="00894379">
        <w:t xml:space="preserve"> single-deck floating roof steel </w:t>
      </w:r>
      <w:r w:rsidR="003E7ABE" w:rsidRPr="00894379">
        <w:t>tank</w:t>
      </w:r>
      <w:r w:rsidR="00876E14" w:rsidRPr="00894379">
        <w:t xml:space="preserve"> was </w:t>
      </w:r>
      <w:r w:rsidR="005215B8" w:rsidRPr="00894379">
        <w:t>examined.</w:t>
      </w:r>
      <w:r w:rsidR="00EB7698" w:rsidRPr="00894379">
        <w:t xml:space="preserve"> </w:t>
      </w:r>
      <w:r w:rsidR="00C94D9B" w:rsidRPr="00894379">
        <w:t xml:space="preserve">The simplified model was compared with </w:t>
      </w:r>
      <w:r w:rsidR="00162394" w:rsidRPr="00894379">
        <w:t>a</w:t>
      </w:r>
      <w:r w:rsidR="00C35C45" w:rsidRPr="00894379">
        <w:t> </w:t>
      </w:r>
      <w:r w:rsidR="00551CA3" w:rsidRPr="00894379">
        <w:t xml:space="preserve">refined </w:t>
      </w:r>
      <w:r w:rsidR="00162394" w:rsidRPr="00894379">
        <w:t>FE</w:t>
      </w:r>
      <w:r w:rsidR="00551CA3" w:rsidRPr="00894379">
        <w:t xml:space="preserve"> model </w:t>
      </w:r>
      <w:r w:rsidR="0005163E" w:rsidRPr="00894379">
        <w:t xml:space="preserve">for seismic fragility analysis. </w:t>
      </w:r>
      <w:r w:rsidR="00850B86" w:rsidRPr="00894379">
        <w:t xml:space="preserve">It seemed that fragility curves were highly influenced by liquid </w:t>
      </w:r>
      <w:r w:rsidR="00ED5DEF" w:rsidRPr="00894379">
        <w:t>filling in storage tanks.</w:t>
      </w:r>
      <w:r w:rsidR="00551CA3" w:rsidRPr="00894379">
        <w:t xml:space="preserve"> </w:t>
      </w:r>
      <w:r w:rsidR="00AD1B80" w:rsidRPr="00894379">
        <w:t>Besides, floating roof tank seismic performance was both numerically and experimentally</w:t>
      </w:r>
      <w:r w:rsidR="006E4649" w:rsidRPr="00894379">
        <w:t xml:space="preserve"> assessed</w:t>
      </w:r>
      <w:r w:rsidR="00132015" w:rsidRPr="00894379">
        <w:t xml:space="preserve"> </w:t>
      </w:r>
      <w:r w:rsidR="00AD1B80" w:rsidRPr="00894379">
        <w:t xml:space="preserve">by Caprinozzi et al. (2021), </w:t>
      </w:r>
      <w:r w:rsidR="00E72B30" w:rsidRPr="00894379">
        <w:t>highlighting</w:t>
      </w:r>
      <w:r w:rsidR="00AD1B80" w:rsidRPr="00894379">
        <w:t xml:space="preserve"> the risks posed by significant vertical </w:t>
      </w:r>
      <w:r w:rsidR="00E72B30" w:rsidRPr="00894379">
        <w:t>alternation</w:t>
      </w:r>
      <w:r w:rsidR="00E31CBD" w:rsidRPr="00894379">
        <w:t>s</w:t>
      </w:r>
      <w:r w:rsidR="00AD1B80" w:rsidRPr="00894379">
        <w:t xml:space="preserve"> during major earthquakes, which </w:t>
      </w:r>
      <w:r w:rsidR="00E31CBD" w:rsidRPr="00894379">
        <w:t>might result in</w:t>
      </w:r>
      <w:r w:rsidR="00AD1B80" w:rsidRPr="00894379">
        <w:t xml:space="preserve"> roof failure and content loss. The assessment of risk was conducted </w:t>
      </w:r>
      <w:r w:rsidR="00B54741" w:rsidRPr="00894379">
        <w:t>usin</w:t>
      </w:r>
      <w:r w:rsidR="00162394" w:rsidRPr="00894379">
        <w:t xml:space="preserve">g </w:t>
      </w:r>
      <w:r w:rsidR="00AD1B80" w:rsidRPr="00894379">
        <w:t xml:space="preserve">a </w:t>
      </w:r>
      <w:r w:rsidR="00AD1B80" w:rsidRPr="00894379">
        <w:lastRenderedPageBreak/>
        <w:t xml:space="preserve">refined FE framework, </w:t>
      </w:r>
      <w:r w:rsidR="00162394" w:rsidRPr="00894379">
        <w:t>subsequent simplified models</w:t>
      </w:r>
      <w:r w:rsidR="00180236" w:rsidRPr="00894379">
        <w:t xml:space="preserve"> (SM)</w:t>
      </w:r>
      <w:r w:rsidR="00162394" w:rsidRPr="00894379">
        <w:t xml:space="preserve"> </w:t>
      </w:r>
      <w:r w:rsidR="00AD1B80" w:rsidRPr="00894379">
        <w:t xml:space="preserve">and shaking table test experimental results. </w:t>
      </w:r>
      <w:r w:rsidR="00477CAF" w:rsidRPr="00894379">
        <w:t xml:space="preserve">The FE model exhibited </w:t>
      </w:r>
      <w:r w:rsidR="00C35C45" w:rsidRPr="00894379">
        <w:t>the </w:t>
      </w:r>
      <w:r w:rsidR="00477CAF" w:rsidRPr="00894379">
        <w:t xml:space="preserve">highest accuracy prediction for floating roof displacement </w:t>
      </w:r>
      <w:r w:rsidR="00DA77C8" w:rsidRPr="00894379">
        <w:t>with respect to</w:t>
      </w:r>
      <w:r w:rsidR="00477CAF" w:rsidRPr="00894379">
        <w:t xml:space="preserve"> </w:t>
      </w:r>
      <w:r w:rsidR="00C35C45" w:rsidRPr="00894379">
        <w:t>the </w:t>
      </w:r>
      <w:r w:rsidR="00BA03B2" w:rsidRPr="00894379">
        <w:t>SM</w:t>
      </w:r>
      <w:r w:rsidR="00477CAF" w:rsidRPr="00894379">
        <w:t xml:space="preserve">. </w:t>
      </w:r>
      <w:r w:rsidR="00AC3350" w:rsidRPr="00894379">
        <w:t xml:space="preserve">Cacciatore et al. (2010) performed a contact pressure analysis (CPA) for floating roof tanks </w:t>
      </w:r>
      <w:r w:rsidR="00DA77C8" w:rsidRPr="00894379">
        <w:t>subject to</w:t>
      </w:r>
      <w:r w:rsidR="00AC3350" w:rsidRPr="00894379">
        <w:t xml:space="preserve"> earthquake response using</w:t>
      </w:r>
      <w:r w:rsidR="00DA77C8" w:rsidRPr="00894379">
        <w:t xml:space="preserve"> the</w:t>
      </w:r>
      <w:r w:rsidR="00AC3350" w:rsidRPr="00894379">
        <w:t xml:space="preserve"> Abaqus software, which caused sloshing waves on the roof. The floating</w:t>
      </w:r>
      <w:r w:rsidR="004067A2">
        <w:t xml:space="preserve"> roof</w:t>
      </w:r>
      <w:r w:rsidR="00AC3350" w:rsidRPr="00894379">
        <w:t xml:space="preserve"> deformation and stress distribution w</w:t>
      </w:r>
      <w:r w:rsidR="005947FA" w:rsidRPr="00894379">
        <w:t>ere</w:t>
      </w:r>
      <w:r w:rsidR="00AC3350" w:rsidRPr="00894379">
        <w:t xml:space="preserve"> estimated under seismic loads.</w:t>
      </w:r>
      <w:r w:rsidR="00036909" w:rsidRPr="00894379">
        <w:t xml:space="preserve"> They applied </w:t>
      </w:r>
      <w:r w:rsidR="00333C43" w:rsidRPr="00894379">
        <w:t xml:space="preserve">a </w:t>
      </w:r>
      <w:r w:rsidR="00E31CBD" w:rsidRPr="00894379">
        <w:t>novel</w:t>
      </w:r>
      <w:r w:rsidR="00036909" w:rsidRPr="00894379">
        <w:t xml:space="preserve"> CPA </w:t>
      </w:r>
      <w:r w:rsidR="00E31CBD" w:rsidRPr="00894379">
        <w:t xml:space="preserve">approach </w:t>
      </w:r>
      <w:r w:rsidR="00036909" w:rsidRPr="00894379">
        <w:t xml:space="preserve">under seismic loadings. </w:t>
      </w:r>
      <w:r w:rsidR="00B54741" w:rsidRPr="00894379">
        <w:t>Additionally, the</w:t>
      </w:r>
      <w:r w:rsidR="00E31CBD" w:rsidRPr="00894379">
        <w:t xml:space="preserve"> seismic liquid sloshing </w:t>
      </w:r>
      <w:r w:rsidR="00B54741" w:rsidRPr="00894379">
        <w:t>response</w:t>
      </w:r>
      <w:r w:rsidR="00B54741" w:rsidRPr="00894379" w:rsidDel="00E31CBD">
        <w:t xml:space="preserve"> </w:t>
      </w:r>
      <w:r w:rsidR="00B54741" w:rsidRPr="00894379">
        <w:t>for</w:t>
      </w:r>
      <w:r w:rsidR="00036909" w:rsidRPr="00894379">
        <w:t xml:space="preserve"> the floating roof tanks</w:t>
      </w:r>
      <w:r w:rsidR="00E31CBD" w:rsidRPr="00894379">
        <w:t xml:space="preserve"> was estimated using</w:t>
      </w:r>
      <w:r w:rsidR="00036909" w:rsidRPr="00894379">
        <w:t xml:space="preserve"> </w:t>
      </w:r>
      <w:r w:rsidR="00DA77C8" w:rsidRPr="00894379">
        <w:t xml:space="preserve">both </w:t>
      </w:r>
      <w:r w:rsidR="00036909" w:rsidRPr="00894379">
        <w:t xml:space="preserve">convective and impulsive </w:t>
      </w:r>
      <w:r w:rsidR="00B54741" w:rsidRPr="00894379">
        <w:t>mass.</w:t>
      </w:r>
      <w:r w:rsidR="00FD2C13" w:rsidRPr="00894379">
        <w:t xml:space="preserve"> </w:t>
      </w:r>
      <w:r w:rsidR="00005BFD" w:rsidRPr="00894379">
        <w:t>Furthermore, the seal performance under seismic loading in a full-scale double-deck floating roof tank was also assessed by Doustvandi et al. (2023).</w:t>
      </w:r>
      <w:r w:rsidR="00BD74F7" w:rsidRPr="00894379">
        <w:t xml:space="preserve"> Quasi-static and vertical free-vibration tests were performed on the seal to evaluate its mechanical properties and the horizontal movement of the floating roof</w:t>
      </w:r>
      <w:r w:rsidR="00FF7E8B" w:rsidRPr="00894379">
        <w:t xml:space="preserve">. </w:t>
      </w:r>
      <w:r w:rsidR="00140AED" w:rsidRPr="00894379">
        <w:t xml:space="preserve">Wang et al. (2023) demonstrated the efficacy of a different fragility model in assessing the seismic vulnerability of floating roof storage tanks. Tank bottom uplift had the highest likelihood of </w:t>
      </w:r>
      <w:r w:rsidR="00DA77C8" w:rsidRPr="00894379">
        <w:t>happening</w:t>
      </w:r>
      <w:r w:rsidR="00140AED" w:rsidRPr="00894379">
        <w:t>, according to an analysis of four fragility curves. Design circumstances should be given more consideration to reduce seismic fragility.</w:t>
      </w:r>
    </w:p>
    <w:p w14:paraId="01EA1A31" w14:textId="6AAF68CB" w:rsidR="00020134" w:rsidRPr="00894379" w:rsidRDefault="005C5935" w:rsidP="00020134">
      <w:pPr>
        <w:pStyle w:val="CETheadingx"/>
      </w:pPr>
      <w:r w:rsidRPr="00894379">
        <w:t>Scope</w:t>
      </w:r>
    </w:p>
    <w:p w14:paraId="26BF8BCB" w14:textId="499458DB" w:rsidR="008B738E" w:rsidRPr="00894379" w:rsidRDefault="00020134" w:rsidP="00020134">
      <w:r w:rsidRPr="00894379">
        <w:t xml:space="preserve">This study </w:t>
      </w:r>
      <w:r w:rsidR="002E3D9D" w:rsidRPr="00894379">
        <w:t>focus</w:t>
      </w:r>
      <w:r w:rsidR="00CC1A9A" w:rsidRPr="00894379">
        <w:t>es</w:t>
      </w:r>
      <w:r w:rsidR="002E3D9D" w:rsidRPr="00894379">
        <w:t xml:space="preserve"> on</w:t>
      </w:r>
      <w:r w:rsidR="00CC1A9A" w:rsidRPr="00894379">
        <w:t xml:space="preserve"> the development of fragility models for </w:t>
      </w:r>
      <w:r w:rsidR="008500BD" w:rsidRPr="00894379">
        <w:t>single</w:t>
      </w:r>
      <w:r w:rsidR="002E180B" w:rsidRPr="00894379">
        <w:t>-</w:t>
      </w:r>
      <w:r w:rsidR="008500BD" w:rsidRPr="00894379">
        <w:t xml:space="preserve">deck floating roof </w:t>
      </w:r>
      <w:r w:rsidR="00CE1F54" w:rsidRPr="00894379">
        <w:t>broad storage tank</w:t>
      </w:r>
      <w:r w:rsidR="002E180B" w:rsidRPr="00894379">
        <w:t>s</w:t>
      </w:r>
      <w:r w:rsidR="00CE1F54" w:rsidRPr="00894379">
        <w:t xml:space="preserve"> subjected to earthquake</w:t>
      </w:r>
      <w:r w:rsidR="002E180B" w:rsidRPr="00894379">
        <w:t>s</w:t>
      </w:r>
      <w:r w:rsidR="00CE1F54" w:rsidRPr="00894379">
        <w:t>.</w:t>
      </w:r>
      <w:r w:rsidR="00F93991" w:rsidRPr="00894379">
        <w:t xml:space="preserve"> It assesse</w:t>
      </w:r>
      <w:r w:rsidR="00BE4F9E" w:rsidRPr="00894379">
        <w:t xml:space="preserve">s </w:t>
      </w:r>
      <w:r w:rsidR="00584EC3" w:rsidRPr="00894379">
        <w:t xml:space="preserve">the probabilistic model to handle the </w:t>
      </w:r>
      <w:r w:rsidR="0005779F" w:rsidRPr="00894379">
        <w:t>leakage and damage in case of sloshing</w:t>
      </w:r>
      <w:r w:rsidRPr="00894379">
        <w:t>.</w:t>
      </w:r>
      <w:r w:rsidR="00CD2E58" w:rsidRPr="00894379">
        <w:t xml:space="preserve"> Seismic </w:t>
      </w:r>
      <w:r w:rsidR="00BB6A54" w:rsidRPr="00894379">
        <w:t>events</w:t>
      </w:r>
      <w:r w:rsidR="00CD2E58" w:rsidRPr="00894379">
        <w:t xml:space="preserve"> caus</w:t>
      </w:r>
      <w:r w:rsidR="002C17C5" w:rsidRPr="00894379">
        <w:t>e the vibration of floating roof</w:t>
      </w:r>
      <w:r w:rsidR="00937699" w:rsidRPr="00894379">
        <w:t>s</w:t>
      </w:r>
      <w:r w:rsidR="0021694B" w:rsidRPr="00894379">
        <w:t xml:space="preserve"> which </w:t>
      </w:r>
      <w:r w:rsidR="005813CF" w:rsidRPr="00894379">
        <w:t>results in sloshing waves</w:t>
      </w:r>
      <w:r w:rsidR="00236250" w:rsidRPr="00894379">
        <w:t xml:space="preserve">. This exerts </w:t>
      </w:r>
      <w:r w:rsidR="004067A2" w:rsidRPr="00894379">
        <w:t>vertical</w:t>
      </w:r>
      <w:r w:rsidR="00236250" w:rsidRPr="00894379">
        <w:t xml:space="preserve"> and horizontal stress on </w:t>
      </w:r>
      <w:r w:rsidR="002E180B" w:rsidRPr="00894379">
        <w:t>the </w:t>
      </w:r>
      <w:r w:rsidR="00236250" w:rsidRPr="00894379">
        <w:t>seal causing it to break</w:t>
      </w:r>
      <w:r w:rsidR="00781C6E" w:rsidRPr="00894379">
        <w:t xml:space="preserve"> </w:t>
      </w:r>
      <w:r w:rsidR="008A4094" w:rsidRPr="00894379">
        <w:t>and resulting in</w:t>
      </w:r>
      <w:r w:rsidR="00781C6E" w:rsidRPr="00894379">
        <w:t xml:space="preserve"> </w:t>
      </w:r>
      <w:r w:rsidR="00685A2B" w:rsidRPr="00894379">
        <w:t>leakage</w:t>
      </w:r>
      <w:r w:rsidR="005813CF" w:rsidRPr="00894379">
        <w:t>.</w:t>
      </w:r>
      <w:r w:rsidR="005F209E" w:rsidRPr="00894379">
        <w:t xml:space="preserve"> T</w:t>
      </w:r>
      <w:r w:rsidRPr="00894379">
        <w:t>he fragility curves provide a clear indication of the probability distribution over various damage states that are useful in decision</w:t>
      </w:r>
      <w:r w:rsidR="00333C43" w:rsidRPr="00894379">
        <w:t>-</w:t>
      </w:r>
      <w:r w:rsidRPr="00894379">
        <w:t>making for hazard assessment and possible mitigation approaches in the gas and oil industry as reported by Alessandri et al. (2017)</w:t>
      </w:r>
      <w:r w:rsidR="00186DE8">
        <w:t>.</w:t>
      </w:r>
    </w:p>
    <w:p w14:paraId="1AED3853" w14:textId="5CAF6760" w:rsidR="00600535" w:rsidRPr="00894379" w:rsidRDefault="005C5935" w:rsidP="008B6E95">
      <w:pPr>
        <w:pStyle w:val="Paragrafoelenco"/>
        <w:ind w:left="0"/>
      </w:pPr>
      <w:r w:rsidRPr="00894379">
        <w:t xml:space="preserve">This </w:t>
      </w:r>
      <w:r w:rsidR="00685A2B" w:rsidRPr="00894379">
        <w:t>paper</w:t>
      </w:r>
      <w:r w:rsidRPr="00894379">
        <w:t xml:space="preserve"> is </w:t>
      </w:r>
      <w:r w:rsidR="00333C43" w:rsidRPr="00894379">
        <w:t>divid</w:t>
      </w:r>
      <w:r w:rsidRPr="00894379">
        <w:t>ed into five sections. Section 2 provides an outline of the basic operation, characterization, and seismic damage states of floating-roof single-deck broad tanks along sealing mechanisms. Section 3 deals with the refined FE model for dynamic analysis of floating roof broad tanks through Abaqus/Explicit software, while Section 4 summarizes the industrial case study for key components of the broad tank (TK-</w:t>
      </w:r>
      <w:r w:rsidR="00995846" w:rsidRPr="00894379">
        <w:t>59</w:t>
      </w:r>
      <w:r w:rsidRPr="00894379">
        <w:t>) floating roof and seals damage scenarios under seismic risk analysis. Lastly, Section 5 highlights the significant outcomes and future directions of t</w:t>
      </w:r>
      <w:r w:rsidR="00685A2B" w:rsidRPr="00894379">
        <w:t xml:space="preserve">he </w:t>
      </w:r>
      <w:r w:rsidRPr="00894379">
        <w:t>research work.</w:t>
      </w:r>
    </w:p>
    <w:bookmarkEnd w:id="2"/>
    <w:p w14:paraId="09406386" w14:textId="4FD97112" w:rsidR="00453E24" w:rsidRPr="00894379" w:rsidRDefault="005C5935" w:rsidP="00453E24">
      <w:pPr>
        <w:pStyle w:val="CETHeading1"/>
      </w:pPr>
      <w:r w:rsidRPr="00894379">
        <w:t xml:space="preserve">Industrial case study of </w:t>
      </w:r>
      <w:r w:rsidR="00685A2B" w:rsidRPr="00894379">
        <w:t xml:space="preserve">a broad tank </w:t>
      </w:r>
      <w:r w:rsidR="00A56A91" w:rsidRPr="00894379">
        <w:t xml:space="preserve">with a </w:t>
      </w:r>
      <w:r w:rsidR="00A143A3" w:rsidRPr="00894379">
        <w:t>single-deck</w:t>
      </w:r>
      <w:r w:rsidRPr="00894379">
        <w:t xml:space="preserve"> </w:t>
      </w:r>
      <w:r w:rsidR="00A56A91" w:rsidRPr="00894379">
        <w:t>floating roof</w:t>
      </w:r>
    </w:p>
    <w:p w14:paraId="0636B784" w14:textId="520298ED" w:rsidR="00453E24" w:rsidRPr="00894379" w:rsidRDefault="005C5935" w:rsidP="00453E24">
      <w:pPr>
        <w:pStyle w:val="CETheadingx"/>
      </w:pPr>
      <w:r w:rsidRPr="00894379">
        <w:t>Storage tank basic operation and characterization</w:t>
      </w:r>
    </w:p>
    <w:p w14:paraId="0ED9EBB9" w14:textId="0AC368BA" w:rsidR="000567C3" w:rsidRPr="00894379" w:rsidRDefault="005C5935" w:rsidP="00453E24">
      <w:pPr>
        <w:pStyle w:val="CETBodytext"/>
        <w:rPr>
          <w:iCs/>
        </w:rPr>
      </w:pPr>
      <w:r w:rsidRPr="00894379">
        <w:t xml:space="preserve">Floating roof tanks can be categorized into two main types, i.e., internal and external floating roof tanks. External floating </w:t>
      </w:r>
      <w:r w:rsidR="00937699" w:rsidRPr="00894379">
        <w:t>roofs are</w:t>
      </w:r>
      <w:r w:rsidRPr="00894379">
        <w:t xml:space="preserve"> classified into double</w:t>
      </w:r>
      <w:r w:rsidR="00284499" w:rsidRPr="00894379">
        <w:t>-</w:t>
      </w:r>
      <w:r w:rsidRPr="00894379">
        <w:t>deck and single</w:t>
      </w:r>
      <w:r w:rsidR="00284499" w:rsidRPr="00894379">
        <w:t>-</w:t>
      </w:r>
      <w:r w:rsidRPr="00894379">
        <w:t>deck floating roof tanks as reported by Kuan (2009) and Noaman et al. (2016). Floating roof tanks, as indicated by name have a roof that floats above the top layer of the</w:t>
      </w:r>
      <w:r w:rsidR="00D84B37" w:rsidRPr="00894379">
        <w:t xml:space="preserve"> liquid</w:t>
      </w:r>
      <w:r w:rsidRPr="00894379">
        <w:t xml:space="preserve"> </w:t>
      </w:r>
      <w:r w:rsidR="00303B41" w:rsidRPr="00894379">
        <w:t>material</w:t>
      </w:r>
      <w:r w:rsidR="00D84B37" w:rsidRPr="00894379">
        <w:t xml:space="preserve"> </w:t>
      </w:r>
      <w:r w:rsidRPr="00894379">
        <w:t xml:space="preserve">(such as crude oil or gas) stored in the tank. </w:t>
      </w:r>
      <w:bookmarkStart w:id="4" w:name="_Hlk179860406"/>
      <w:r w:rsidR="00BD2790" w:rsidRPr="00894379">
        <w:rPr>
          <w:iCs/>
        </w:rPr>
        <w:t xml:space="preserve">Figure 1 shows </w:t>
      </w:r>
      <w:r w:rsidR="00E04985">
        <w:rPr>
          <w:iCs/>
        </w:rPr>
        <w:t>a</w:t>
      </w:r>
      <w:r w:rsidR="00BD2790" w:rsidRPr="00894379">
        <w:rPr>
          <w:iCs/>
        </w:rPr>
        <w:t xml:space="preserve"> floating roof tank </w:t>
      </w:r>
      <w:r w:rsidR="00E04985">
        <w:rPr>
          <w:iCs/>
        </w:rPr>
        <w:t xml:space="preserve">whose dimensions are indicated in Table 1 </w:t>
      </w:r>
      <w:bookmarkEnd w:id="4"/>
      <w:r w:rsidR="00E04985">
        <w:rPr>
          <w:iCs/>
        </w:rPr>
        <w:t>with the floating roof placed at the base</w:t>
      </w:r>
      <w:r w:rsidR="00BD2790" w:rsidRPr="00894379">
        <w:rPr>
          <w:iCs/>
        </w:rPr>
        <w:t xml:space="preserve">. The major advantage of these tanks is that they reduce evaporation loss and adhere to environmental emission standards. This accounts for floating roof tanks considered the best and most eco-friendly solution for the storage of flammable materials. </w:t>
      </w:r>
      <w:r w:rsidR="00BD2790" w:rsidRPr="00DD3796">
        <w:t xml:space="preserve">This mechanism also </w:t>
      </w:r>
      <w:r w:rsidR="00DD3796" w:rsidRPr="00DD3796">
        <w:t>reduces</w:t>
      </w:r>
      <w:r w:rsidR="00BD2790" w:rsidRPr="00DD3796">
        <w:t xml:space="preserve"> the risk of boilover or sudden boiling. In</w:t>
      </w:r>
      <w:r w:rsidR="00BD2790" w:rsidRPr="00894379">
        <w:rPr>
          <w:iCs/>
        </w:rPr>
        <w:t xml:space="preserve"> this study, the floating roof diameter </w:t>
      </w:r>
      <w:r w:rsidR="00E04985">
        <w:rPr>
          <w:iCs/>
        </w:rPr>
        <w:t xml:space="preserve">determines a total gap of </w:t>
      </w:r>
      <w:r w:rsidR="00BD2790" w:rsidRPr="00894379">
        <w:rPr>
          <w:iCs/>
        </w:rPr>
        <w:t xml:space="preserve">400 mm </w:t>
      </w:r>
      <w:r w:rsidR="00E04985">
        <w:rPr>
          <w:iCs/>
        </w:rPr>
        <w:t xml:space="preserve">with respect to </w:t>
      </w:r>
      <w:r w:rsidR="00BD2790" w:rsidRPr="00894379">
        <w:rPr>
          <w:iCs/>
        </w:rPr>
        <w:t>tank</w:t>
      </w:r>
      <w:r w:rsidR="00E04985">
        <w:rPr>
          <w:iCs/>
        </w:rPr>
        <w:t xml:space="preserve"> walls</w:t>
      </w:r>
      <w:r w:rsidR="00BD2790" w:rsidRPr="00894379">
        <w:rPr>
          <w:iCs/>
        </w:rPr>
        <w:t>. The gap between the inner wall of the broad tank and the outer edge of the roof is protected using a flexible sealing mechanism, i.e.</w:t>
      </w:r>
      <w:r w:rsidR="00E04985">
        <w:rPr>
          <w:iCs/>
        </w:rPr>
        <w:t xml:space="preserve"> a</w:t>
      </w:r>
      <w:r w:rsidR="00BD2790" w:rsidRPr="00894379">
        <w:rPr>
          <w:iCs/>
        </w:rPr>
        <w:t xml:space="preserve"> mechanical pantographic </w:t>
      </w:r>
      <w:r w:rsidR="004067A2" w:rsidRPr="00894379">
        <w:rPr>
          <w:iCs/>
        </w:rPr>
        <w:t>type of</w:t>
      </w:r>
      <w:r w:rsidR="00BD2790" w:rsidRPr="00894379">
        <w:rPr>
          <w:iCs/>
        </w:rPr>
        <w:t xml:space="preserve"> shoe seal, which helps </w:t>
      </w:r>
      <w:r w:rsidR="00E04985">
        <w:rPr>
          <w:iCs/>
        </w:rPr>
        <w:t xml:space="preserve">to </w:t>
      </w:r>
      <w:r w:rsidR="00BD2790" w:rsidRPr="00894379">
        <w:rPr>
          <w:iCs/>
        </w:rPr>
        <w:t xml:space="preserve">maintain the correct position of the roof and makes its movement smooth. The single pontoon types of floating roofs were analysed in this study. </w:t>
      </w:r>
    </w:p>
    <w:p w14:paraId="58D011BF" w14:textId="17DEBD8A" w:rsidR="000567C3" w:rsidRPr="00894379" w:rsidRDefault="00EF2D4D" w:rsidP="00453E24">
      <w:pPr>
        <w:pStyle w:val="CETBodytext"/>
        <w:rPr>
          <w:iCs/>
        </w:rPr>
      </w:pPr>
      <w:r w:rsidRPr="00894379">
        <w:rPr>
          <w:iCs/>
          <w:noProof/>
        </w:rPr>
        <w:drawing>
          <wp:inline distT="0" distB="0" distL="0" distR="0" wp14:anchorId="571A147F" wp14:editId="312E3B9E">
            <wp:extent cx="3931920" cy="1670727"/>
            <wp:effectExtent l="0" t="0" r="0" b="5715"/>
            <wp:docPr id="536997339" name="Picture 1" descr="A diagram of a 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7339" name="Picture 1" descr="A diagram of a rail&#10;&#10;Description automatically generated"/>
                    <pic:cNvPicPr/>
                  </pic:nvPicPr>
                  <pic:blipFill rotWithShape="1">
                    <a:blip r:embed="rId10"/>
                    <a:srcRect l="1793" t="6642" r="2171" b="2627"/>
                    <a:stretch/>
                  </pic:blipFill>
                  <pic:spPr bwMode="auto">
                    <a:xfrm>
                      <a:off x="0" y="0"/>
                      <a:ext cx="3937397" cy="1673054"/>
                    </a:xfrm>
                    <a:prstGeom prst="rect">
                      <a:avLst/>
                    </a:prstGeom>
                    <a:ln>
                      <a:noFill/>
                    </a:ln>
                    <a:extLst>
                      <a:ext uri="{53640926-AAD7-44D8-BBD7-CCE9431645EC}">
                        <a14:shadowObscured xmlns:a14="http://schemas.microsoft.com/office/drawing/2010/main"/>
                      </a:ext>
                    </a:extLst>
                  </pic:spPr>
                </pic:pic>
              </a:graphicData>
            </a:graphic>
          </wp:inline>
        </w:drawing>
      </w:r>
    </w:p>
    <w:p w14:paraId="4308181D" w14:textId="0ECDFFBA" w:rsidR="001F4DDD" w:rsidRPr="00894379" w:rsidRDefault="001F4DDD" w:rsidP="001F4DDD">
      <w:pPr>
        <w:pStyle w:val="CETBodytext"/>
        <w:rPr>
          <w:i/>
        </w:rPr>
      </w:pPr>
      <w:r w:rsidRPr="00894379">
        <w:rPr>
          <w:i/>
        </w:rPr>
        <w:t xml:space="preserve">Figure 1: </w:t>
      </w:r>
      <w:r w:rsidR="00EB4F2F" w:rsidRPr="00894379">
        <w:rPr>
          <w:i/>
        </w:rPr>
        <w:t>Case study: s</w:t>
      </w:r>
      <w:r w:rsidRPr="00894379">
        <w:rPr>
          <w:i/>
        </w:rPr>
        <w:t xml:space="preserve">ingle deck floating roof broad storage tank </w:t>
      </w:r>
      <w:r w:rsidR="00E04985">
        <w:rPr>
          <w:i/>
        </w:rPr>
        <w:t>(</w:t>
      </w:r>
      <w:r w:rsidRPr="00894379">
        <w:rPr>
          <w:i/>
        </w:rPr>
        <w:t>TK-</w:t>
      </w:r>
      <w:r w:rsidR="00995846" w:rsidRPr="00894379">
        <w:rPr>
          <w:i/>
        </w:rPr>
        <w:t>59</w:t>
      </w:r>
      <w:r w:rsidR="00E04985">
        <w:rPr>
          <w:i/>
        </w:rPr>
        <w:t>)</w:t>
      </w:r>
      <w:r w:rsidRPr="00894379">
        <w:rPr>
          <w:i/>
        </w:rPr>
        <w:t>.</w:t>
      </w:r>
    </w:p>
    <w:p w14:paraId="53C96465" w14:textId="0FA3AEA4" w:rsidR="00D675DF" w:rsidRPr="00894379" w:rsidRDefault="00685E3B" w:rsidP="001F4DDD">
      <w:pPr>
        <w:pStyle w:val="CETBodytext"/>
      </w:pPr>
      <w:r w:rsidRPr="00894379">
        <w:rPr>
          <w:iCs/>
        </w:rPr>
        <w:t xml:space="preserve">The single pontoon roof is the most common, the buoyancy of which depends </w:t>
      </w:r>
      <w:r w:rsidR="00BD2790" w:rsidRPr="00894379">
        <w:rPr>
          <w:iCs/>
        </w:rPr>
        <w:t xml:space="preserve">on an outer circular pontoon that is divided into sections. </w:t>
      </w:r>
      <w:r w:rsidR="000573D6" w:rsidRPr="00894379">
        <w:rPr>
          <w:iCs/>
        </w:rPr>
        <w:t xml:space="preserve">The middle part of this roof consists of a membrane of steel plates, </w:t>
      </w:r>
      <w:r w:rsidR="00E04985">
        <w:rPr>
          <w:iCs/>
        </w:rPr>
        <w:t>welded</w:t>
      </w:r>
      <w:r w:rsidR="000573D6" w:rsidRPr="00894379">
        <w:rPr>
          <w:iCs/>
        </w:rPr>
        <w:t xml:space="preserve"> to the inner </w:t>
      </w:r>
      <w:r w:rsidR="000573D6" w:rsidRPr="00894379">
        <w:rPr>
          <w:iCs/>
        </w:rPr>
        <w:lastRenderedPageBreak/>
        <w:t xml:space="preserve">edge of the pontoon, and this structure helps the roof to float on the </w:t>
      </w:r>
      <w:r w:rsidR="00E04985">
        <w:rPr>
          <w:iCs/>
        </w:rPr>
        <w:t xml:space="preserve">liquid </w:t>
      </w:r>
      <w:r w:rsidR="000573D6" w:rsidRPr="00894379">
        <w:rPr>
          <w:iCs/>
        </w:rPr>
        <w:t xml:space="preserve">surface. </w:t>
      </w:r>
      <w:r w:rsidR="00075541" w:rsidRPr="00894379">
        <w:rPr>
          <w:iCs/>
        </w:rPr>
        <w:t>The floating roof broad tank material properties, i.e., Poisson’s ratio</w:t>
      </w:r>
      <w:r w:rsidR="00075541">
        <w:rPr>
          <w:iCs/>
        </w:rPr>
        <w:t xml:space="preserve">, </w:t>
      </w:r>
      <w:r w:rsidR="00075541" w:rsidRPr="00894379">
        <w:rPr>
          <w:iCs/>
        </w:rPr>
        <w:t xml:space="preserve">modulus of elasticity, </w:t>
      </w:r>
      <w:r w:rsidR="00075541">
        <w:rPr>
          <w:iCs/>
        </w:rPr>
        <w:t xml:space="preserve">and </w:t>
      </w:r>
      <w:r w:rsidR="00075541" w:rsidRPr="00894379">
        <w:rPr>
          <w:iCs/>
        </w:rPr>
        <w:t>density, were</w:t>
      </w:r>
      <w:r w:rsidR="00075541">
        <w:rPr>
          <w:iCs/>
        </w:rPr>
        <w:t xml:space="preserve"> 0.3,</w:t>
      </w:r>
      <w:r w:rsidR="00075541" w:rsidRPr="00894379">
        <w:rPr>
          <w:iCs/>
        </w:rPr>
        <w:t xml:space="preserve"> 2.1x10¹¹ N/m², </w:t>
      </w:r>
      <w:r w:rsidR="00075541">
        <w:rPr>
          <w:iCs/>
        </w:rPr>
        <w:t xml:space="preserve">and </w:t>
      </w:r>
      <w:r w:rsidR="00075541" w:rsidRPr="00894379">
        <w:rPr>
          <w:iCs/>
        </w:rPr>
        <w:t>7850 kg/m³</w:t>
      </w:r>
      <w:r w:rsidR="00075541">
        <w:rPr>
          <w:iCs/>
        </w:rPr>
        <w:t>,</w:t>
      </w:r>
      <w:r w:rsidR="00075541" w:rsidRPr="00894379">
        <w:rPr>
          <w:iCs/>
        </w:rPr>
        <w:t xml:space="preserve"> respectively. The ma</w:t>
      </w:r>
      <w:r w:rsidR="00075541">
        <w:rPr>
          <w:iCs/>
        </w:rPr>
        <w:t>in</w:t>
      </w:r>
      <w:r w:rsidR="00075541" w:rsidRPr="00894379">
        <w:rPr>
          <w:iCs/>
        </w:rPr>
        <w:t xml:space="preserve"> characteri</w:t>
      </w:r>
      <w:r w:rsidR="00075541">
        <w:rPr>
          <w:iCs/>
        </w:rPr>
        <w:t>stics</w:t>
      </w:r>
      <w:r w:rsidR="00075541" w:rsidRPr="00894379">
        <w:rPr>
          <w:iCs/>
        </w:rPr>
        <w:t xml:space="preserve"> of the single-deck, floating-roof broad tank (TK-59) </w:t>
      </w:r>
      <w:r w:rsidR="00075541">
        <w:rPr>
          <w:iCs/>
        </w:rPr>
        <w:t>are</w:t>
      </w:r>
      <w:r w:rsidR="00075541" w:rsidRPr="00894379">
        <w:rPr>
          <w:iCs/>
        </w:rPr>
        <w:t xml:space="preserve"> shown in Table 1.</w:t>
      </w:r>
    </w:p>
    <w:p w14:paraId="2891F218" w14:textId="6BBED8B8" w:rsidR="001F4DDD" w:rsidRPr="00894379" w:rsidRDefault="001F4DDD" w:rsidP="001F4DDD">
      <w:pPr>
        <w:pStyle w:val="CETBodytext"/>
        <w:rPr>
          <w:i/>
        </w:rPr>
      </w:pPr>
      <w:r w:rsidRPr="00894379">
        <w:rPr>
          <w:i/>
        </w:rPr>
        <w:t>Table 1: Characteri</w:t>
      </w:r>
      <w:r w:rsidR="00EB4F2F" w:rsidRPr="00894379">
        <w:rPr>
          <w:i/>
        </w:rPr>
        <w:t>stics</w:t>
      </w:r>
      <w:r w:rsidRPr="00894379">
        <w:rPr>
          <w:i/>
        </w:rPr>
        <w:t xml:space="preserve"> of TK-</w:t>
      </w:r>
      <w:r w:rsidR="0077053F" w:rsidRPr="00894379">
        <w:rPr>
          <w:i/>
        </w:rPr>
        <w:t>59.</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88"/>
        <w:gridCol w:w="1288"/>
        <w:gridCol w:w="1288"/>
      </w:tblGrid>
      <w:tr w:rsidR="001F4DDD" w:rsidRPr="00894379" w14:paraId="1B780513" w14:textId="77777777" w:rsidTr="006778B6">
        <w:trPr>
          <w:trHeight w:val="254"/>
        </w:trPr>
        <w:tc>
          <w:tcPr>
            <w:tcW w:w="1288" w:type="dxa"/>
            <w:tcBorders>
              <w:top w:val="single" w:sz="12" w:space="0" w:color="008000"/>
              <w:bottom w:val="single" w:sz="6" w:space="0" w:color="008000"/>
            </w:tcBorders>
            <w:shd w:val="clear" w:color="auto" w:fill="FFFFFF"/>
          </w:tcPr>
          <w:p w14:paraId="0201493B" w14:textId="77777777" w:rsidR="001F4DDD" w:rsidRPr="00894379" w:rsidRDefault="001F4DDD" w:rsidP="001F4DDD">
            <w:pPr>
              <w:pStyle w:val="CETBodytext"/>
              <w:rPr>
                <w:i/>
              </w:rPr>
            </w:pPr>
            <w:r w:rsidRPr="00894379">
              <w:rPr>
                <w:i/>
              </w:rPr>
              <w:t xml:space="preserve">Parameter </w:t>
            </w:r>
          </w:p>
        </w:tc>
        <w:tc>
          <w:tcPr>
            <w:tcW w:w="1288" w:type="dxa"/>
            <w:tcBorders>
              <w:top w:val="single" w:sz="12" w:space="0" w:color="008000"/>
              <w:bottom w:val="single" w:sz="6" w:space="0" w:color="008000"/>
            </w:tcBorders>
            <w:shd w:val="clear" w:color="auto" w:fill="FFFFFF"/>
          </w:tcPr>
          <w:p w14:paraId="06630CFE" w14:textId="77777777" w:rsidR="001F4DDD" w:rsidRPr="00894379" w:rsidRDefault="001F4DDD" w:rsidP="001F4DDD">
            <w:pPr>
              <w:pStyle w:val="CETBodytext"/>
              <w:rPr>
                <w:i/>
              </w:rPr>
            </w:pPr>
            <w:r w:rsidRPr="00894379">
              <w:rPr>
                <w:i/>
              </w:rPr>
              <w:t>Units</w:t>
            </w:r>
          </w:p>
        </w:tc>
        <w:tc>
          <w:tcPr>
            <w:tcW w:w="1288" w:type="dxa"/>
            <w:tcBorders>
              <w:top w:val="single" w:sz="12" w:space="0" w:color="008000"/>
              <w:bottom w:val="single" w:sz="6" w:space="0" w:color="008000"/>
            </w:tcBorders>
            <w:shd w:val="clear" w:color="auto" w:fill="FFFFFF"/>
          </w:tcPr>
          <w:p w14:paraId="20F6145D" w14:textId="77777777" w:rsidR="001F4DDD" w:rsidRPr="00894379" w:rsidRDefault="001F4DDD" w:rsidP="001F4DDD">
            <w:pPr>
              <w:pStyle w:val="CETBodytext"/>
              <w:rPr>
                <w:i/>
              </w:rPr>
            </w:pPr>
            <w:r w:rsidRPr="00894379">
              <w:rPr>
                <w:i/>
              </w:rPr>
              <w:t>Value</w:t>
            </w:r>
          </w:p>
        </w:tc>
      </w:tr>
      <w:tr w:rsidR="001F4DDD" w:rsidRPr="00894379" w14:paraId="5AC6E56D" w14:textId="77777777" w:rsidTr="006778B6">
        <w:trPr>
          <w:trHeight w:val="254"/>
        </w:trPr>
        <w:tc>
          <w:tcPr>
            <w:tcW w:w="1288" w:type="dxa"/>
            <w:shd w:val="clear" w:color="auto" w:fill="FFFFFF"/>
          </w:tcPr>
          <w:p w14:paraId="66677790" w14:textId="77777777" w:rsidR="001F4DDD" w:rsidRPr="00894379" w:rsidRDefault="001F4DDD" w:rsidP="001F4DDD">
            <w:pPr>
              <w:pStyle w:val="CETBodytext"/>
              <w:rPr>
                <w:i/>
              </w:rPr>
            </w:pPr>
            <w:r w:rsidRPr="00894379">
              <w:rPr>
                <w:i/>
              </w:rPr>
              <w:t>Material</w:t>
            </w:r>
          </w:p>
        </w:tc>
        <w:tc>
          <w:tcPr>
            <w:tcW w:w="1288" w:type="dxa"/>
            <w:shd w:val="clear" w:color="auto" w:fill="FFFFFF"/>
          </w:tcPr>
          <w:p w14:paraId="2A62C6B6" w14:textId="77777777" w:rsidR="001F4DDD" w:rsidRPr="00894379" w:rsidRDefault="001F4DDD" w:rsidP="001F4DDD">
            <w:pPr>
              <w:pStyle w:val="CETBodytext"/>
              <w:rPr>
                <w:i/>
              </w:rPr>
            </w:pPr>
            <w:r w:rsidRPr="00894379">
              <w:rPr>
                <w:i/>
              </w:rPr>
              <w:t>[-]</w:t>
            </w:r>
          </w:p>
        </w:tc>
        <w:tc>
          <w:tcPr>
            <w:tcW w:w="1288" w:type="dxa"/>
            <w:shd w:val="clear" w:color="auto" w:fill="FFFFFF"/>
          </w:tcPr>
          <w:p w14:paraId="2A6E0BC9" w14:textId="77777777" w:rsidR="001F4DDD" w:rsidRPr="00894379" w:rsidRDefault="001F4DDD" w:rsidP="001F4DDD">
            <w:pPr>
              <w:pStyle w:val="CETBodytext"/>
              <w:rPr>
                <w:i/>
              </w:rPr>
            </w:pPr>
            <w:r w:rsidRPr="00894379">
              <w:rPr>
                <w:i/>
              </w:rPr>
              <w:t>Steel</w:t>
            </w:r>
          </w:p>
        </w:tc>
      </w:tr>
      <w:tr w:rsidR="001F4DDD" w:rsidRPr="00894379" w14:paraId="756F3888" w14:textId="77777777" w:rsidTr="006778B6">
        <w:trPr>
          <w:trHeight w:val="254"/>
        </w:trPr>
        <w:tc>
          <w:tcPr>
            <w:tcW w:w="1288" w:type="dxa"/>
            <w:shd w:val="clear" w:color="auto" w:fill="FFFFFF"/>
          </w:tcPr>
          <w:p w14:paraId="1B5C6469" w14:textId="77777777" w:rsidR="001F4DDD" w:rsidRPr="00894379" w:rsidRDefault="001F4DDD" w:rsidP="001F4DDD">
            <w:pPr>
              <w:pStyle w:val="CETBodytext"/>
              <w:rPr>
                <w:i/>
              </w:rPr>
            </w:pPr>
            <w:r w:rsidRPr="00894379">
              <w:rPr>
                <w:i/>
              </w:rPr>
              <w:t>Diameter</w:t>
            </w:r>
          </w:p>
        </w:tc>
        <w:tc>
          <w:tcPr>
            <w:tcW w:w="1288" w:type="dxa"/>
            <w:shd w:val="clear" w:color="auto" w:fill="FFFFFF"/>
          </w:tcPr>
          <w:p w14:paraId="4284D381" w14:textId="77777777" w:rsidR="001F4DDD" w:rsidRPr="00894379" w:rsidRDefault="001F4DDD" w:rsidP="001F4DDD">
            <w:pPr>
              <w:pStyle w:val="CETBodytext"/>
              <w:rPr>
                <w:i/>
              </w:rPr>
            </w:pPr>
            <w:r w:rsidRPr="00894379">
              <w:rPr>
                <w:i/>
              </w:rPr>
              <w:t>m</w:t>
            </w:r>
          </w:p>
        </w:tc>
        <w:tc>
          <w:tcPr>
            <w:tcW w:w="1288" w:type="dxa"/>
            <w:shd w:val="clear" w:color="auto" w:fill="FFFFFF"/>
          </w:tcPr>
          <w:p w14:paraId="7CB2E103" w14:textId="21465564" w:rsidR="001F4DDD" w:rsidRPr="00894379" w:rsidRDefault="0077053F" w:rsidP="001F4DDD">
            <w:pPr>
              <w:pStyle w:val="CETBodytext"/>
              <w:rPr>
                <w:i/>
              </w:rPr>
            </w:pPr>
            <w:r w:rsidRPr="00894379">
              <w:rPr>
                <w:i/>
              </w:rPr>
              <w:t>86</w:t>
            </w:r>
          </w:p>
        </w:tc>
      </w:tr>
      <w:tr w:rsidR="001F4DDD" w:rsidRPr="00894379" w14:paraId="3E182D9D" w14:textId="77777777" w:rsidTr="006778B6">
        <w:trPr>
          <w:trHeight w:val="254"/>
        </w:trPr>
        <w:tc>
          <w:tcPr>
            <w:tcW w:w="1288" w:type="dxa"/>
            <w:shd w:val="clear" w:color="auto" w:fill="FFFFFF"/>
          </w:tcPr>
          <w:p w14:paraId="46D8B0C4" w14:textId="77777777" w:rsidR="001F4DDD" w:rsidRPr="00894379" w:rsidRDefault="001F4DDD" w:rsidP="001F4DDD">
            <w:pPr>
              <w:pStyle w:val="CETBodytext"/>
              <w:rPr>
                <w:i/>
              </w:rPr>
            </w:pPr>
            <w:r w:rsidRPr="00894379">
              <w:rPr>
                <w:i/>
              </w:rPr>
              <w:t>Stored fluid</w:t>
            </w:r>
          </w:p>
        </w:tc>
        <w:tc>
          <w:tcPr>
            <w:tcW w:w="1288" w:type="dxa"/>
            <w:shd w:val="clear" w:color="auto" w:fill="FFFFFF"/>
          </w:tcPr>
          <w:p w14:paraId="020236AF" w14:textId="77777777" w:rsidR="001F4DDD" w:rsidRPr="00894379" w:rsidRDefault="001F4DDD" w:rsidP="001F4DDD">
            <w:pPr>
              <w:pStyle w:val="CETBodytext"/>
              <w:rPr>
                <w:i/>
              </w:rPr>
            </w:pPr>
            <w:r w:rsidRPr="00894379">
              <w:rPr>
                <w:i/>
              </w:rPr>
              <w:t>[-]</w:t>
            </w:r>
          </w:p>
        </w:tc>
        <w:tc>
          <w:tcPr>
            <w:tcW w:w="1288" w:type="dxa"/>
            <w:shd w:val="clear" w:color="auto" w:fill="FFFFFF"/>
          </w:tcPr>
          <w:p w14:paraId="29F88522" w14:textId="77777777" w:rsidR="001F4DDD" w:rsidRPr="00894379" w:rsidRDefault="001F4DDD" w:rsidP="001F4DDD">
            <w:pPr>
              <w:pStyle w:val="CETBodytext"/>
              <w:rPr>
                <w:i/>
              </w:rPr>
            </w:pPr>
            <w:r w:rsidRPr="00894379">
              <w:rPr>
                <w:i/>
              </w:rPr>
              <w:t>Crude oil</w:t>
            </w:r>
          </w:p>
        </w:tc>
      </w:tr>
      <w:tr w:rsidR="001F4DDD" w:rsidRPr="00894379" w14:paraId="2B5DC4AF" w14:textId="77777777" w:rsidTr="006778B6">
        <w:trPr>
          <w:trHeight w:val="242"/>
        </w:trPr>
        <w:tc>
          <w:tcPr>
            <w:tcW w:w="1288" w:type="dxa"/>
            <w:shd w:val="clear" w:color="auto" w:fill="FFFFFF"/>
          </w:tcPr>
          <w:p w14:paraId="409ABCB9" w14:textId="77777777" w:rsidR="001F4DDD" w:rsidRPr="00894379" w:rsidRDefault="001F4DDD" w:rsidP="001F4DDD">
            <w:pPr>
              <w:pStyle w:val="CETBodytext"/>
              <w:rPr>
                <w:i/>
              </w:rPr>
            </w:pPr>
            <w:r w:rsidRPr="00894379">
              <w:rPr>
                <w:i/>
              </w:rPr>
              <w:t>Height</w:t>
            </w:r>
          </w:p>
        </w:tc>
        <w:tc>
          <w:tcPr>
            <w:tcW w:w="1288" w:type="dxa"/>
            <w:shd w:val="clear" w:color="auto" w:fill="FFFFFF"/>
          </w:tcPr>
          <w:p w14:paraId="0B46D323" w14:textId="77777777" w:rsidR="001F4DDD" w:rsidRPr="00894379" w:rsidRDefault="001F4DDD" w:rsidP="001F4DDD">
            <w:pPr>
              <w:pStyle w:val="CETBodytext"/>
              <w:rPr>
                <w:i/>
              </w:rPr>
            </w:pPr>
            <w:r w:rsidRPr="00894379">
              <w:rPr>
                <w:i/>
              </w:rPr>
              <w:t>m</w:t>
            </w:r>
          </w:p>
        </w:tc>
        <w:tc>
          <w:tcPr>
            <w:tcW w:w="1288" w:type="dxa"/>
            <w:shd w:val="clear" w:color="auto" w:fill="FFFFFF"/>
          </w:tcPr>
          <w:p w14:paraId="371E9598" w14:textId="4DBAFC01" w:rsidR="001F4DDD" w:rsidRPr="00894379" w:rsidRDefault="0077053F" w:rsidP="001F4DDD">
            <w:pPr>
              <w:pStyle w:val="CETBodytext"/>
              <w:rPr>
                <w:i/>
              </w:rPr>
            </w:pPr>
            <w:r w:rsidRPr="00894379">
              <w:rPr>
                <w:i/>
              </w:rPr>
              <w:t>22</w:t>
            </w:r>
          </w:p>
        </w:tc>
      </w:tr>
      <w:tr w:rsidR="001F4DDD" w:rsidRPr="00894379" w14:paraId="5A5137DC" w14:textId="77777777" w:rsidTr="006778B6">
        <w:trPr>
          <w:trHeight w:val="270"/>
        </w:trPr>
        <w:tc>
          <w:tcPr>
            <w:tcW w:w="1288" w:type="dxa"/>
            <w:shd w:val="clear" w:color="auto" w:fill="FFFFFF"/>
          </w:tcPr>
          <w:p w14:paraId="474F2698" w14:textId="77777777" w:rsidR="001F4DDD" w:rsidRPr="00894379" w:rsidRDefault="001F4DDD" w:rsidP="001F4DDD">
            <w:pPr>
              <w:pStyle w:val="CETBodytext"/>
              <w:rPr>
                <w:i/>
              </w:rPr>
            </w:pPr>
            <w:r w:rsidRPr="00894379">
              <w:rPr>
                <w:i/>
              </w:rPr>
              <w:t>Stored capacity</w:t>
            </w:r>
          </w:p>
        </w:tc>
        <w:tc>
          <w:tcPr>
            <w:tcW w:w="1288" w:type="dxa"/>
            <w:shd w:val="clear" w:color="auto" w:fill="FFFFFF"/>
          </w:tcPr>
          <w:p w14:paraId="428877D3" w14:textId="77777777" w:rsidR="001F4DDD" w:rsidRPr="00894379" w:rsidRDefault="001F4DDD" w:rsidP="001F4DDD">
            <w:pPr>
              <w:pStyle w:val="CETBodytext"/>
              <w:rPr>
                <w:i/>
              </w:rPr>
            </w:pPr>
            <w:r w:rsidRPr="00894379">
              <w:rPr>
                <w:i/>
              </w:rPr>
              <w:t>m</w:t>
            </w:r>
            <w:r w:rsidRPr="00894379">
              <w:rPr>
                <w:i/>
                <w:vertAlign w:val="superscript"/>
              </w:rPr>
              <w:t>3</w:t>
            </w:r>
          </w:p>
        </w:tc>
        <w:tc>
          <w:tcPr>
            <w:tcW w:w="1288" w:type="dxa"/>
            <w:shd w:val="clear" w:color="auto" w:fill="FFFFFF"/>
          </w:tcPr>
          <w:p w14:paraId="0869B4FE" w14:textId="2CF9255D" w:rsidR="001F4DDD" w:rsidRPr="00894379" w:rsidRDefault="00241441" w:rsidP="001F4DDD">
            <w:pPr>
              <w:pStyle w:val="CETBodytext"/>
              <w:rPr>
                <w:i/>
              </w:rPr>
            </w:pPr>
            <w:r w:rsidRPr="00894379">
              <w:rPr>
                <w:i/>
              </w:rPr>
              <w:t>12</w:t>
            </w:r>
            <w:r w:rsidR="00C713CC" w:rsidRPr="00894379">
              <w:rPr>
                <w:i/>
              </w:rPr>
              <w:t>5721</w:t>
            </w:r>
          </w:p>
        </w:tc>
      </w:tr>
    </w:tbl>
    <w:p w14:paraId="18BAFA6F" w14:textId="3CA24508" w:rsidR="00453E24" w:rsidRPr="00894379" w:rsidRDefault="005B6DF4" w:rsidP="00453E24">
      <w:pPr>
        <w:pStyle w:val="CETheadingx"/>
      </w:pPr>
      <w:r w:rsidRPr="00894379">
        <w:t>Typical s</w:t>
      </w:r>
      <w:r w:rsidR="00BE5045" w:rsidRPr="00894379">
        <w:t>eismic damages to broad storage tank</w:t>
      </w:r>
      <w:r w:rsidRPr="00894379">
        <w:t>s</w:t>
      </w:r>
    </w:p>
    <w:p w14:paraId="684A733E" w14:textId="6852734F" w:rsidR="001F4DDD" w:rsidRPr="00894379" w:rsidRDefault="000A55A1" w:rsidP="001F4DDD">
      <w:pPr>
        <w:pStyle w:val="CETBodytext"/>
      </w:pPr>
      <w:r w:rsidRPr="00894379">
        <w:t>Roof deflection and sealing failure are major problems in large storage tanks during</w:t>
      </w:r>
      <w:r w:rsidR="00E9601B" w:rsidRPr="00894379">
        <w:t xml:space="preserve"> an</w:t>
      </w:r>
      <w:r w:rsidRPr="00894379">
        <w:t xml:space="preserve"> </w:t>
      </w:r>
      <w:r w:rsidR="00E9601B" w:rsidRPr="00894379">
        <w:t>earthquake</w:t>
      </w:r>
      <w:r w:rsidRPr="00894379">
        <w:t>. Shaking of the liquid in the tank with seismic forces causes high pressure on the roof, especially in floating roof designs. Th</w:t>
      </w:r>
      <w:r w:rsidR="003A6E5E">
        <w:t>ese</w:t>
      </w:r>
      <w:r w:rsidRPr="00894379">
        <w:t xml:space="preserve"> stress</w:t>
      </w:r>
      <w:r w:rsidR="003A6E5E">
        <w:t>es mainly due to sloshing,</w:t>
      </w:r>
      <w:r w:rsidRPr="00894379">
        <w:t xml:space="preserve"> can cause the roof and shell to bend or lose </w:t>
      </w:r>
      <w:r w:rsidR="00E9601B" w:rsidRPr="00894379">
        <w:t>its</w:t>
      </w:r>
      <w:r w:rsidRPr="00894379">
        <w:t xml:space="preserve"> shape</w:t>
      </w:r>
      <w:r w:rsidR="003A6E5E">
        <w:t xml:space="preserve"> and buckle</w:t>
      </w:r>
      <w:r w:rsidRPr="00894379">
        <w:t xml:space="preserve">, as exposed in </w:t>
      </w:r>
      <w:r w:rsidR="005640D7">
        <w:t>Figures</w:t>
      </w:r>
      <w:r w:rsidRPr="00894379">
        <w:t xml:space="preserve"> 2(a) an</w:t>
      </w:r>
      <w:r w:rsidR="003A6E5E">
        <w:t>d</w:t>
      </w:r>
      <w:r w:rsidRPr="00894379">
        <w:t xml:space="preserve"> 2(b). Roof deflection </w:t>
      </w:r>
      <w:r w:rsidR="003A6E5E">
        <w:t xml:space="preserve">can </w:t>
      </w:r>
      <w:r w:rsidRPr="00894379">
        <w:t>increase the risk of sealing failure, allowing stored liquid to escape or external contaminants to enter the tank. Sealing failure is particularly</w:t>
      </w:r>
      <w:r w:rsidR="00E9601B" w:rsidRPr="00894379">
        <w:t xml:space="preserve"> </w:t>
      </w:r>
      <w:r w:rsidRPr="00894379">
        <w:t>serious in tanks storing hazardous materials, as it has the potential to contaminate the environment and create major safety hazards (see Figure 2c). Therefore, it is extremely important to ensure a strong roof design and effective sealing system to prevent earthquake damage and avoid leaks or spills, as reported by Malhotra (2006), and the latest research by Zdravkov and Pantusheva (2019), Luo et al. (2022), and Doustvandi et al. (2023).</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55"/>
        <w:gridCol w:w="3060"/>
        <w:gridCol w:w="2662"/>
      </w:tblGrid>
      <w:tr w:rsidR="001F4DDD" w:rsidRPr="00894379" w14:paraId="20617601" w14:textId="77777777" w:rsidTr="005D70D2">
        <w:tc>
          <w:tcPr>
            <w:tcW w:w="3055" w:type="dxa"/>
          </w:tcPr>
          <w:p w14:paraId="0B3400A5" w14:textId="77777777" w:rsidR="001F4DDD" w:rsidRPr="00894379" w:rsidRDefault="001F4DDD" w:rsidP="001F4DDD">
            <w:pPr>
              <w:pStyle w:val="CETBodytext"/>
            </w:pPr>
            <w:r w:rsidRPr="00894379">
              <w:rPr>
                <w:noProof/>
              </w:rPr>
              <w:drawing>
                <wp:anchor distT="0" distB="0" distL="114300" distR="114300" simplePos="0" relativeHeight="251661312" behindDoc="0" locked="0" layoutInCell="1" allowOverlap="1" wp14:anchorId="44ED5F88" wp14:editId="6176C031">
                  <wp:simplePos x="0" y="0"/>
                  <wp:positionH relativeFrom="column">
                    <wp:posOffset>-65000</wp:posOffset>
                  </wp:positionH>
                  <wp:positionV relativeFrom="paragraph">
                    <wp:posOffset>18415</wp:posOffset>
                  </wp:positionV>
                  <wp:extent cx="1871345" cy="1485265"/>
                  <wp:effectExtent l="0" t="0" r="0" b="635"/>
                  <wp:wrapSquare wrapText="bothSides"/>
                  <wp:docPr id="4737078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1345" cy="1485265"/>
                          </a:xfrm>
                          <a:prstGeom prst="rect">
                            <a:avLst/>
                          </a:prstGeom>
                          <a:noFill/>
                        </pic:spPr>
                      </pic:pic>
                    </a:graphicData>
                  </a:graphic>
                  <wp14:sizeRelH relativeFrom="page">
                    <wp14:pctWidth>0</wp14:pctWidth>
                  </wp14:sizeRelH>
                  <wp14:sizeRelV relativeFrom="page">
                    <wp14:pctHeight>0</wp14:pctHeight>
                  </wp14:sizeRelV>
                </wp:anchor>
              </w:drawing>
            </w:r>
            <w:r w:rsidRPr="00894379">
              <w:t xml:space="preserve">(a) Roof and roof-shell      </w:t>
            </w:r>
          </w:p>
        </w:tc>
        <w:tc>
          <w:tcPr>
            <w:tcW w:w="3060" w:type="dxa"/>
          </w:tcPr>
          <w:p w14:paraId="65097BBA" w14:textId="77777777" w:rsidR="001F4DDD" w:rsidRPr="00894379" w:rsidRDefault="001F4DDD" w:rsidP="001F4DDD">
            <w:pPr>
              <w:pStyle w:val="CETBodytext"/>
            </w:pPr>
            <w:r w:rsidRPr="00894379">
              <w:rPr>
                <w:noProof/>
              </w:rPr>
              <w:drawing>
                <wp:anchor distT="0" distB="0" distL="114300" distR="114300" simplePos="0" relativeHeight="251659264" behindDoc="0" locked="0" layoutInCell="1" allowOverlap="1" wp14:anchorId="23B80533" wp14:editId="65AC307E">
                  <wp:simplePos x="0" y="0"/>
                  <wp:positionH relativeFrom="column">
                    <wp:posOffset>-65174</wp:posOffset>
                  </wp:positionH>
                  <wp:positionV relativeFrom="paragraph">
                    <wp:posOffset>25689</wp:posOffset>
                  </wp:positionV>
                  <wp:extent cx="1891665" cy="1493520"/>
                  <wp:effectExtent l="0" t="0" r="0" b="0"/>
                  <wp:wrapSquare wrapText="bothSides"/>
                  <wp:docPr id="1427106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06610" name=""/>
                          <pic:cNvPicPr/>
                        </pic:nvPicPr>
                        <pic:blipFill rotWithShape="1">
                          <a:blip r:embed="rId12">
                            <a:extLst>
                              <a:ext uri="{28A0092B-C50C-407E-A947-70E740481C1C}">
                                <a14:useLocalDpi xmlns:a14="http://schemas.microsoft.com/office/drawing/2010/main" val="0"/>
                              </a:ext>
                            </a:extLst>
                          </a:blip>
                          <a:srcRect b="23306"/>
                          <a:stretch/>
                        </pic:blipFill>
                        <pic:spPr bwMode="auto">
                          <a:xfrm>
                            <a:off x="0" y="0"/>
                            <a:ext cx="1891665" cy="1493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4379">
              <w:t xml:space="preserve">(b)  Product spillage </w:t>
            </w:r>
          </w:p>
        </w:tc>
        <w:tc>
          <w:tcPr>
            <w:tcW w:w="2662" w:type="dxa"/>
          </w:tcPr>
          <w:p w14:paraId="37DC7AD8" w14:textId="77777777" w:rsidR="001F4DDD" w:rsidRPr="00894379" w:rsidRDefault="001F4DDD" w:rsidP="001F4DDD">
            <w:pPr>
              <w:pStyle w:val="CETBodytext"/>
            </w:pPr>
            <w:r w:rsidRPr="00894379">
              <w:rPr>
                <w:noProof/>
              </w:rPr>
              <w:drawing>
                <wp:anchor distT="0" distB="0" distL="114300" distR="114300" simplePos="0" relativeHeight="251660288" behindDoc="0" locked="0" layoutInCell="1" allowOverlap="1" wp14:anchorId="19CD501B" wp14:editId="7486D8B9">
                  <wp:simplePos x="0" y="0"/>
                  <wp:positionH relativeFrom="column">
                    <wp:posOffset>-33655</wp:posOffset>
                  </wp:positionH>
                  <wp:positionV relativeFrom="paragraph">
                    <wp:posOffset>49530</wp:posOffset>
                  </wp:positionV>
                  <wp:extent cx="1630680" cy="1482090"/>
                  <wp:effectExtent l="0" t="0" r="7620" b="3810"/>
                  <wp:wrapSquare wrapText="bothSides"/>
                  <wp:docPr id="1805943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43608" name=""/>
                          <pic:cNvPicPr/>
                        </pic:nvPicPr>
                        <pic:blipFill>
                          <a:blip r:embed="rId13">
                            <a:extLst>
                              <a:ext uri="{28A0092B-C50C-407E-A947-70E740481C1C}">
                                <a14:useLocalDpi xmlns:a14="http://schemas.microsoft.com/office/drawing/2010/main" val="0"/>
                              </a:ext>
                            </a:extLst>
                          </a:blip>
                          <a:stretch>
                            <a:fillRect/>
                          </a:stretch>
                        </pic:blipFill>
                        <pic:spPr>
                          <a:xfrm>
                            <a:off x="0" y="0"/>
                            <a:ext cx="1630680" cy="1482090"/>
                          </a:xfrm>
                          <a:prstGeom prst="rect">
                            <a:avLst/>
                          </a:prstGeom>
                        </pic:spPr>
                      </pic:pic>
                    </a:graphicData>
                  </a:graphic>
                  <wp14:sizeRelH relativeFrom="page">
                    <wp14:pctWidth>0</wp14:pctWidth>
                  </wp14:sizeRelH>
                  <wp14:sizeRelV relativeFrom="page">
                    <wp14:pctHeight>0</wp14:pctHeight>
                  </wp14:sizeRelV>
                </wp:anchor>
              </w:drawing>
            </w:r>
            <w:r w:rsidRPr="00894379">
              <w:t>(c) Seal from above of the roof</w:t>
            </w:r>
          </w:p>
        </w:tc>
      </w:tr>
    </w:tbl>
    <w:p w14:paraId="3924B028" w14:textId="30A3B8E5" w:rsidR="001F4DDD" w:rsidRPr="00894379" w:rsidRDefault="001F4DDD" w:rsidP="00453E24">
      <w:pPr>
        <w:pStyle w:val="CETBodytext"/>
        <w:rPr>
          <w:i/>
        </w:rPr>
      </w:pPr>
      <w:r w:rsidRPr="00894379">
        <w:rPr>
          <w:i/>
        </w:rPr>
        <w:t>Figure 2: Broad storage tank damages due to sloshing waves.</w:t>
      </w:r>
    </w:p>
    <w:p w14:paraId="7FCE2BEA" w14:textId="1440A0CD" w:rsidR="000A55A1" w:rsidRPr="00894379" w:rsidRDefault="003842B5" w:rsidP="003842B5">
      <w:pPr>
        <w:pStyle w:val="CETheadingx"/>
      </w:pPr>
      <w:r w:rsidRPr="00894379">
        <w:t>Single deck floating roof seal system</w:t>
      </w:r>
    </w:p>
    <w:p w14:paraId="708BA631" w14:textId="1D9B726C" w:rsidR="00787F93" w:rsidRPr="00D61682" w:rsidRDefault="003842B5" w:rsidP="00453E24">
      <w:pPr>
        <w:pStyle w:val="CETBodytext"/>
      </w:pPr>
      <w:r w:rsidRPr="00894379">
        <w:t xml:space="preserve">The sealing system for the floating roof broad tank is usually classified into two groups: the primary seal and the secondary seal. In the current study, the primary pantograph-type mechanical shoe seal was adopted, as indicated in Figure 3. The primary seal core function is to avoid the release of </w:t>
      </w:r>
      <w:r w:rsidR="00052663" w:rsidRPr="00894379">
        <w:t>vapour</w:t>
      </w:r>
      <w:r w:rsidRPr="00894379">
        <w:t xml:space="preserve"> from the broad tank; it acts as the first protective barrier. </w:t>
      </w:r>
      <w:r w:rsidR="00BD2790" w:rsidRPr="00894379">
        <w:rPr>
          <w:iCs/>
        </w:rPr>
        <w:t xml:space="preserve">This seal covers the gap between the tank wall and the floating roof, which changes with the movement of the roof. Pantograph seal is also well-suited for environments where chemically reactive or aggressive products are stored, offering enhanced protection in challenging conditions.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2"/>
        <w:gridCol w:w="4279"/>
      </w:tblGrid>
      <w:tr w:rsidR="00BA587C" w:rsidRPr="00894379" w14:paraId="41B2F04D" w14:textId="77777777" w:rsidTr="009208F9">
        <w:trPr>
          <w:trHeight w:val="3203"/>
        </w:trPr>
        <w:tc>
          <w:tcPr>
            <w:tcW w:w="3632" w:type="dxa"/>
          </w:tcPr>
          <w:p w14:paraId="2FAC2AD5" w14:textId="0B096224" w:rsidR="00BA587C" w:rsidRPr="00894379" w:rsidRDefault="00EE6D68" w:rsidP="001F4DDD">
            <w:pPr>
              <w:pStyle w:val="CETBodytext"/>
            </w:pPr>
            <w:r w:rsidRPr="00894379">
              <w:rPr>
                <w:iCs/>
                <w:noProof/>
              </w:rPr>
              <w:drawing>
                <wp:anchor distT="0" distB="0" distL="114300" distR="114300" simplePos="0" relativeHeight="251663360" behindDoc="0" locked="0" layoutInCell="1" allowOverlap="1" wp14:anchorId="0206A346" wp14:editId="24205CAA">
                  <wp:simplePos x="0" y="0"/>
                  <wp:positionH relativeFrom="column">
                    <wp:posOffset>17145</wp:posOffset>
                  </wp:positionH>
                  <wp:positionV relativeFrom="paragraph">
                    <wp:posOffset>20955</wp:posOffset>
                  </wp:positionV>
                  <wp:extent cx="1489075" cy="1828800"/>
                  <wp:effectExtent l="0" t="0" r="0" b="0"/>
                  <wp:wrapSquare wrapText="bothSides"/>
                  <wp:docPr id="1217743035" name="Picture 1" descr="Diagram of a diagram of a se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43035" name="Picture 1" descr="Diagram of a diagram of a seal&#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9075" cy="1828800"/>
                          </a:xfrm>
                          <a:prstGeom prst="rect">
                            <a:avLst/>
                          </a:prstGeom>
                          <a:noFill/>
                        </pic:spPr>
                      </pic:pic>
                    </a:graphicData>
                  </a:graphic>
                  <wp14:sizeRelH relativeFrom="page">
                    <wp14:pctWidth>0</wp14:pctWidth>
                  </wp14:sizeRelH>
                  <wp14:sizeRelV relativeFrom="page">
                    <wp14:pctHeight>0</wp14:pctHeight>
                  </wp14:sizeRelV>
                </wp:anchor>
              </w:drawing>
            </w:r>
          </w:p>
          <w:p w14:paraId="33722F4B" w14:textId="77777777" w:rsidR="00AE3ABD" w:rsidRPr="00894379" w:rsidRDefault="00AE3ABD" w:rsidP="001F4DDD">
            <w:pPr>
              <w:pStyle w:val="CETBodytext"/>
              <w:rPr>
                <w:i/>
              </w:rPr>
            </w:pPr>
          </w:p>
          <w:p w14:paraId="44C30BA3" w14:textId="77777777" w:rsidR="00AE3ABD" w:rsidRPr="00894379" w:rsidRDefault="00AE3ABD" w:rsidP="001F4DDD">
            <w:pPr>
              <w:pStyle w:val="CETBodytext"/>
              <w:rPr>
                <w:i/>
              </w:rPr>
            </w:pPr>
          </w:p>
          <w:p w14:paraId="2E97B917" w14:textId="77777777" w:rsidR="00AE3ABD" w:rsidRPr="00894379" w:rsidRDefault="00AE3ABD" w:rsidP="001F4DDD">
            <w:pPr>
              <w:pStyle w:val="CETBodytext"/>
              <w:rPr>
                <w:i/>
              </w:rPr>
            </w:pPr>
          </w:p>
          <w:p w14:paraId="7A17372E" w14:textId="77777777" w:rsidR="00AE3ABD" w:rsidRPr="00894379" w:rsidRDefault="00AE3ABD" w:rsidP="001F4DDD">
            <w:pPr>
              <w:pStyle w:val="CETBodytext"/>
              <w:rPr>
                <w:i/>
              </w:rPr>
            </w:pPr>
          </w:p>
          <w:p w14:paraId="6BAFC16E" w14:textId="77777777" w:rsidR="00AE3ABD" w:rsidRPr="00894379" w:rsidRDefault="00AE3ABD" w:rsidP="001F4DDD">
            <w:pPr>
              <w:pStyle w:val="CETBodytext"/>
              <w:rPr>
                <w:i/>
              </w:rPr>
            </w:pPr>
          </w:p>
          <w:p w14:paraId="1DD5C9AC" w14:textId="77777777" w:rsidR="00AE3ABD" w:rsidRPr="00894379" w:rsidRDefault="00AE3ABD" w:rsidP="001F4DDD">
            <w:pPr>
              <w:pStyle w:val="CETBodytext"/>
              <w:rPr>
                <w:i/>
              </w:rPr>
            </w:pPr>
          </w:p>
          <w:p w14:paraId="69080207" w14:textId="77777777" w:rsidR="00AE3ABD" w:rsidRPr="00894379" w:rsidRDefault="00AE3ABD" w:rsidP="001F4DDD">
            <w:pPr>
              <w:pStyle w:val="CETBodytext"/>
              <w:rPr>
                <w:i/>
              </w:rPr>
            </w:pPr>
          </w:p>
          <w:p w14:paraId="5F31F436" w14:textId="77777777" w:rsidR="00AE3ABD" w:rsidRPr="00894379" w:rsidRDefault="00AE3ABD" w:rsidP="001F4DDD">
            <w:pPr>
              <w:pStyle w:val="CETBodytext"/>
              <w:rPr>
                <w:i/>
              </w:rPr>
            </w:pPr>
          </w:p>
          <w:p w14:paraId="39AB71DD" w14:textId="77777777" w:rsidR="00AE3ABD" w:rsidRPr="00894379" w:rsidRDefault="00AE3ABD" w:rsidP="001F4DDD">
            <w:pPr>
              <w:pStyle w:val="CETBodytext"/>
              <w:rPr>
                <w:i/>
              </w:rPr>
            </w:pPr>
          </w:p>
          <w:p w14:paraId="78131D7B" w14:textId="77777777" w:rsidR="00AE3ABD" w:rsidRPr="00894379" w:rsidRDefault="00AE3ABD" w:rsidP="001F4DDD">
            <w:pPr>
              <w:pStyle w:val="CETBodytext"/>
              <w:rPr>
                <w:i/>
              </w:rPr>
            </w:pPr>
          </w:p>
          <w:p w14:paraId="267B1B33" w14:textId="77777777" w:rsidR="00AE3ABD" w:rsidRPr="00894379" w:rsidRDefault="00AE3ABD" w:rsidP="001F4DDD">
            <w:pPr>
              <w:pStyle w:val="CETBodytext"/>
              <w:rPr>
                <w:i/>
              </w:rPr>
            </w:pPr>
          </w:p>
          <w:p w14:paraId="3A004A85" w14:textId="77777777" w:rsidR="00AE3ABD" w:rsidRPr="00894379" w:rsidRDefault="00AE3ABD" w:rsidP="001F4DDD">
            <w:pPr>
              <w:pStyle w:val="CETBodytext"/>
              <w:rPr>
                <w:i/>
              </w:rPr>
            </w:pPr>
          </w:p>
          <w:p w14:paraId="744B05B1" w14:textId="5BCF47BF" w:rsidR="00BA587C" w:rsidRPr="00894379" w:rsidRDefault="00BA587C" w:rsidP="001F4DDD">
            <w:pPr>
              <w:pStyle w:val="CETBodytext"/>
            </w:pPr>
            <w:r w:rsidRPr="00894379">
              <w:rPr>
                <w:i/>
              </w:rPr>
              <w:t>(a) Pantograph</w:t>
            </w:r>
            <w:r w:rsidR="0060652D" w:rsidRPr="00894379">
              <w:rPr>
                <w:i/>
              </w:rPr>
              <w:t>-</w:t>
            </w:r>
            <w:r w:rsidR="00A36CD9" w:rsidRPr="00894379">
              <w:rPr>
                <w:i/>
              </w:rPr>
              <w:t>type seal</w:t>
            </w:r>
          </w:p>
        </w:tc>
        <w:tc>
          <w:tcPr>
            <w:tcW w:w="4279" w:type="dxa"/>
          </w:tcPr>
          <w:p w14:paraId="76D000C4" w14:textId="7620A4F8" w:rsidR="00BA587C" w:rsidRPr="00894379" w:rsidRDefault="009A2202" w:rsidP="001F4DDD">
            <w:pPr>
              <w:pStyle w:val="CETBodytext"/>
            </w:pPr>
            <w:r>
              <w:rPr>
                <w:noProof/>
              </w:rPr>
              <w:drawing>
                <wp:anchor distT="0" distB="0" distL="114300" distR="114300" simplePos="0" relativeHeight="251664384" behindDoc="0" locked="0" layoutInCell="1" allowOverlap="1" wp14:anchorId="6894450C" wp14:editId="0FF4CECA">
                  <wp:simplePos x="0" y="0"/>
                  <wp:positionH relativeFrom="column">
                    <wp:posOffset>10795</wp:posOffset>
                  </wp:positionH>
                  <wp:positionV relativeFrom="paragraph">
                    <wp:posOffset>0</wp:posOffset>
                  </wp:positionV>
                  <wp:extent cx="1447800" cy="1875155"/>
                  <wp:effectExtent l="0" t="0" r="0" b="0"/>
                  <wp:wrapSquare wrapText="bothSides"/>
                  <wp:docPr id="798821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21801" name=""/>
                          <pic:cNvPicPr/>
                        </pic:nvPicPr>
                        <pic:blipFill>
                          <a:blip r:embed="rId15"/>
                          <a:stretch>
                            <a:fillRect/>
                          </a:stretch>
                        </pic:blipFill>
                        <pic:spPr>
                          <a:xfrm>
                            <a:off x="0" y="0"/>
                            <a:ext cx="1447800" cy="1875155"/>
                          </a:xfrm>
                          <a:prstGeom prst="rect">
                            <a:avLst/>
                          </a:prstGeom>
                        </pic:spPr>
                      </pic:pic>
                    </a:graphicData>
                  </a:graphic>
                  <wp14:sizeRelH relativeFrom="page">
                    <wp14:pctWidth>0</wp14:pctWidth>
                  </wp14:sizeRelH>
                  <wp14:sizeRelV relativeFrom="page">
                    <wp14:pctHeight>0</wp14:pctHeight>
                  </wp14:sizeRelV>
                </wp:anchor>
              </w:drawing>
            </w:r>
          </w:p>
          <w:p w14:paraId="098CBACF" w14:textId="77777777" w:rsidR="009A2202" w:rsidRDefault="009A2202" w:rsidP="001F4DDD">
            <w:pPr>
              <w:pStyle w:val="CETBodytext"/>
              <w:rPr>
                <w:i/>
              </w:rPr>
            </w:pPr>
          </w:p>
          <w:p w14:paraId="2367B22B" w14:textId="77777777" w:rsidR="009A2202" w:rsidRDefault="009A2202" w:rsidP="001F4DDD">
            <w:pPr>
              <w:pStyle w:val="CETBodytext"/>
              <w:rPr>
                <w:i/>
              </w:rPr>
            </w:pPr>
          </w:p>
          <w:p w14:paraId="71B97F5B" w14:textId="77777777" w:rsidR="009A2202" w:rsidRDefault="009A2202" w:rsidP="001F4DDD">
            <w:pPr>
              <w:pStyle w:val="CETBodytext"/>
              <w:rPr>
                <w:i/>
              </w:rPr>
            </w:pPr>
          </w:p>
          <w:p w14:paraId="628C760E" w14:textId="77777777" w:rsidR="009A2202" w:rsidRDefault="009A2202" w:rsidP="001F4DDD">
            <w:pPr>
              <w:pStyle w:val="CETBodytext"/>
              <w:rPr>
                <w:i/>
              </w:rPr>
            </w:pPr>
          </w:p>
          <w:p w14:paraId="48F037BB" w14:textId="77777777" w:rsidR="009A2202" w:rsidRDefault="009A2202" w:rsidP="001F4DDD">
            <w:pPr>
              <w:pStyle w:val="CETBodytext"/>
              <w:rPr>
                <w:i/>
              </w:rPr>
            </w:pPr>
          </w:p>
          <w:p w14:paraId="2EDE006A" w14:textId="77777777" w:rsidR="009A2202" w:rsidRDefault="009A2202" w:rsidP="001F4DDD">
            <w:pPr>
              <w:pStyle w:val="CETBodytext"/>
              <w:rPr>
                <w:i/>
              </w:rPr>
            </w:pPr>
          </w:p>
          <w:p w14:paraId="6A7B771B" w14:textId="77777777" w:rsidR="009A2202" w:rsidRDefault="009A2202" w:rsidP="001F4DDD">
            <w:pPr>
              <w:pStyle w:val="CETBodytext"/>
              <w:rPr>
                <w:i/>
              </w:rPr>
            </w:pPr>
          </w:p>
          <w:p w14:paraId="0053EC7A" w14:textId="77777777" w:rsidR="009A2202" w:rsidRDefault="009A2202" w:rsidP="001F4DDD">
            <w:pPr>
              <w:pStyle w:val="CETBodytext"/>
              <w:rPr>
                <w:i/>
              </w:rPr>
            </w:pPr>
          </w:p>
          <w:p w14:paraId="58DD69A5" w14:textId="77777777" w:rsidR="009A2202" w:rsidRDefault="009A2202" w:rsidP="001F4DDD">
            <w:pPr>
              <w:pStyle w:val="CETBodytext"/>
              <w:rPr>
                <w:i/>
              </w:rPr>
            </w:pPr>
          </w:p>
          <w:p w14:paraId="2138C8B9" w14:textId="77777777" w:rsidR="009A2202" w:rsidRDefault="009A2202" w:rsidP="001F4DDD">
            <w:pPr>
              <w:pStyle w:val="CETBodytext"/>
              <w:rPr>
                <w:i/>
              </w:rPr>
            </w:pPr>
          </w:p>
          <w:p w14:paraId="363D1FA8" w14:textId="77777777" w:rsidR="009A2202" w:rsidRDefault="009A2202" w:rsidP="001F4DDD">
            <w:pPr>
              <w:pStyle w:val="CETBodytext"/>
              <w:rPr>
                <w:i/>
              </w:rPr>
            </w:pPr>
          </w:p>
          <w:p w14:paraId="70A3A5A2" w14:textId="77777777" w:rsidR="009A2202" w:rsidRDefault="009A2202" w:rsidP="001F4DDD">
            <w:pPr>
              <w:pStyle w:val="CETBodytext"/>
              <w:rPr>
                <w:i/>
              </w:rPr>
            </w:pPr>
          </w:p>
          <w:p w14:paraId="7D264F08" w14:textId="4D7D37CD" w:rsidR="00BA587C" w:rsidRPr="00894379" w:rsidRDefault="00BA587C" w:rsidP="001F4DDD">
            <w:pPr>
              <w:pStyle w:val="CETBodytext"/>
            </w:pPr>
            <w:r w:rsidRPr="00894379">
              <w:rPr>
                <w:i/>
              </w:rPr>
              <w:t xml:space="preserve">(b) </w:t>
            </w:r>
            <w:r w:rsidR="00E04985">
              <w:rPr>
                <w:i/>
              </w:rPr>
              <w:t>Solid</w:t>
            </w:r>
            <w:r w:rsidR="00787F93">
              <w:rPr>
                <w:i/>
              </w:rPr>
              <w:t>W</w:t>
            </w:r>
            <w:r w:rsidR="00E04985">
              <w:rPr>
                <w:i/>
              </w:rPr>
              <w:t>ork</w:t>
            </w:r>
            <w:r w:rsidR="00787F93">
              <w:rPr>
                <w:i/>
              </w:rPr>
              <w:t>s</w:t>
            </w:r>
            <w:r w:rsidR="00E04985">
              <w:rPr>
                <w:i/>
              </w:rPr>
              <w:t xml:space="preserve"> model of a p</w:t>
            </w:r>
            <w:r w:rsidR="00E04985" w:rsidRPr="00894379">
              <w:rPr>
                <w:i/>
              </w:rPr>
              <w:t>antograph-type seal</w:t>
            </w:r>
          </w:p>
        </w:tc>
      </w:tr>
    </w:tbl>
    <w:p w14:paraId="76C4F955" w14:textId="79635570" w:rsidR="001F4DDD" w:rsidRPr="00894379" w:rsidRDefault="001F4DDD" w:rsidP="001F4DDD">
      <w:pPr>
        <w:pStyle w:val="CETBodytext"/>
        <w:rPr>
          <w:i/>
        </w:rPr>
      </w:pPr>
      <w:r w:rsidRPr="00894379">
        <w:rPr>
          <w:i/>
        </w:rPr>
        <w:t xml:space="preserve">Figure 3: </w:t>
      </w:r>
      <w:r w:rsidR="00E04985">
        <w:rPr>
          <w:i/>
        </w:rPr>
        <w:t>Details and models</w:t>
      </w:r>
      <w:r w:rsidRPr="00894379">
        <w:rPr>
          <w:i/>
        </w:rPr>
        <w:t xml:space="preserve"> </w:t>
      </w:r>
      <w:r w:rsidR="00E04985">
        <w:rPr>
          <w:i/>
        </w:rPr>
        <w:t xml:space="preserve">of a </w:t>
      </w:r>
      <w:r w:rsidR="00EB4F2F" w:rsidRPr="00894379">
        <w:rPr>
          <w:i/>
        </w:rPr>
        <w:t>p</w:t>
      </w:r>
      <w:r w:rsidRPr="00894379">
        <w:rPr>
          <w:i/>
        </w:rPr>
        <w:t>antograph-type mechanical shoe seal.</w:t>
      </w:r>
    </w:p>
    <w:p w14:paraId="2955ED1D" w14:textId="48FB22AE" w:rsidR="00BC1B71" w:rsidRPr="00894379" w:rsidRDefault="00AE3ABD" w:rsidP="00685942">
      <w:pPr>
        <w:rPr>
          <w:iCs/>
        </w:rPr>
      </w:pPr>
      <w:r w:rsidRPr="00894379">
        <w:rPr>
          <w:iCs/>
        </w:rPr>
        <w:lastRenderedPageBreak/>
        <w:t xml:space="preserve">Figure 3 (a) shows the pantograph seal with </w:t>
      </w:r>
      <w:r w:rsidR="00E04985">
        <w:rPr>
          <w:iCs/>
        </w:rPr>
        <w:t>main</w:t>
      </w:r>
      <w:r w:rsidRPr="00894379">
        <w:rPr>
          <w:iCs/>
        </w:rPr>
        <w:t xml:space="preserve"> details whereas Figure 3(b) represents the </w:t>
      </w:r>
      <w:r w:rsidR="009A2202">
        <w:rPr>
          <w:iCs/>
        </w:rPr>
        <w:t>SolidWorks</w:t>
      </w:r>
      <w:r w:rsidR="00E04985">
        <w:rPr>
          <w:iCs/>
        </w:rPr>
        <w:t xml:space="preserve"> model of the</w:t>
      </w:r>
      <w:r w:rsidRPr="00894379">
        <w:rPr>
          <w:iCs/>
        </w:rPr>
        <w:t xml:space="preserve"> pantograph. </w:t>
      </w:r>
      <w:r w:rsidR="00E04985">
        <w:rPr>
          <w:iCs/>
        </w:rPr>
        <w:t>In particular, the</w:t>
      </w:r>
      <w:r w:rsidRPr="00894379">
        <w:rPr>
          <w:iCs/>
        </w:rPr>
        <w:t xml:space="preserve"> pantograph seal uses </w:t>
      </w:r>
      <w:r w:rsidR="00E04985">
        <w:rPr>
          <w:iCs/>
        </w:rPr>
        <w:t xml:space="preserve">a </w:t>
      </w:r>
      <w:r w:rsidRPr="00894379">
        <w:rPr>
          <w:iCs/>
        </w:rPr>
        <w:t xml:space="preserve">weight to increase </w:t>
      </w:r>
      <w:r w:rsidR="00E04985">
        <w:rPr>
          <w:iCs/>
        </w:rPr>
        <w:t xml:space="preserve">upward </w:t>
      </w:r>
      <w:r w:rsidRPr="00894379">
        <w:rPr>
          <w:iCs/>
        </w:rPr>
        <w:t>pressure</w:t>
      </w:r>
      <w:r w:rsidR="00E04985">
        <w:rPr>
          <w:iCs/>
        </w:rPr>
        <w:t xml:space="preserve"> from the liquid;</w:t>
      </w:r>
      <w:r w:rsidR="00A071C5" w:rsidRPr="00894379">
        <w:rPr>
          <w:iCs/>
        </w:rPr>
        <w:t xml:space="preserve"> </w:t>
      </w:r>
      <w:r w:rsidR="00E04985">
        <w:rPr>
          <w:iCs/>
        </w:rPr>
        <w:t>h</w:t>
      </w:r>
      <w:r w:rsidR="00282670" w:rsidRPr="00894379">
        <w:rPr>
          <w:iCs/>
        </w:rPr>
        <w:t xml:space="preserve">owever, unlike conventional weighing systems, </w:t>
      </w:r>
      <w:r w:rsidR="00482710">
        <w:rPr>
          <w:iCs/>
        </w:rPr>
        <w:t xml:space="preserve">the </w:t>
      </w:r>
      <w:r w:rsidR="00282670" w:rsidRPr="00894379">
        <w:rPr>
          <w:iCs/>
        </w:rPr>
        <w:t xml:space="preserve">pantograph designs utilize lighter and thinner materials such as carbon steel and </w:t>
      </w:r>
      <w:r w:rsidR="004B2B4B" w:rsidRPr="00894379">
        <w:rPr>
          <w:iCs/>
        </w:rPr>
        <w:t>aluminium</w:t>
      </w:r>
      <w:r w:rsidR="00282670" w:rsidRPr="00894379">
        <w:rPr>
          <w:iCs/>
        </w:rPr>
        <w:t xml:space="preserve">, eliminating the need for </w:t>
      </w:r>
      <w:r w:rsidR="00482710">
        <w:rPr>
          <w:iCs/>
        </w:rPr>
        <w:t>heavy</w:t>
      </w:r>
      <w:r w:rsidR="00282670" w:rsidRPr="00894379">
        <w:rPr>
          <w:iCs/>
        </w:rPr>
        <w:t xml:space="preserve"> weights. By generating pressure with the help of </w:t>
      </w:r>
      <w:r w:rsidR="00482710">
        <w:rPr>
          <w:iCs/>
        </w:rPr>
        <w:t>liquid</w:t>
      </w:r>
      <w:r w:rsidR="00282670" w:rsidRPr="00894379">
        <w:rPr>
          <w:iCs/>
        </w:rPr>
        <w:t>, this system provides consistent and reliable sealing performance without the need for added weight.</w:t>
      </w:r>
      <w:r w:rsidR="00482710">
        <w:rPr>
          <w:iCs/>
        </w:rPr>
        <w:t xml:space="preserve"> Nonetheless, the p</w:t>
      </w:r>
      <w:r w:rsidR="00482710" w:rsidRPr="00482710">
        <w:rPr>
          <w:iCs/>
        </w:rPr>
        <w:t>antograph-type seal</w:t>
      </w:r>
      <w:r w:rsidR="00482710">
        <w:rPr>
          <w:iCs/>
        </w:rPr>
        <w:t xml:space="preserve"> can suffer severe damage with a seal failure and consequent leakage, when sloshing due to seismic loading entail</w:t>
      </w:r>
      <w:r w:rsidR="00974129">
        <w:rPr>
          <w:iCs/>
        </w:rPr>
        <w:t>s</w:t>
      </w:r>
      <w:r w:rsidR="00482710">
        <w:rPr>
          <w:iCs/>
        </w:rPr>
        <w:t xml:space="preserve"> vertical and horizontal movements of the floating roof.</w:t>
      </w:r>
    </w:p>
    <w:p w14:paraId="04963A06" w14:textId="3FF5B5A0" w:rsidR="00600535" w:rsidRPr="00894379" w:rsidRDefault="003842B5" w:rsidP="001F4DDD">
      <w:pPr>
        <w:pStyle w:val="CETHeading1"/>
        <w:tabs>
          <w:tab w:val="right" w:pos="7100"/>
        </w:tabs>
        <w:jc w:val="both"/>
      </w:pPr>
      <w:r w:rsidRPr="00894379">
        <w:t>Refined FE model</w:t>
      </w:r>
      <w:r w:rsidR="005B6DF4" w:rsidRPr="00894379">
        <w:t xml:space="preserve"> of a case study</w:t>
      </w:r>
    </w:p>
    <w:p w14:paraId="442F1B87" w14:textId="53CAE5FE" w:rsidR="001F4DDD" w:rsidRPr="00894379" w:rsidRDefault="001F4DDD" w:rsidP="001F4DDD">
      <w:pPr>
        <w:pStyle w:val="CETBodytext"/>
      </w:pPr>
      <w:r w:rsidRPr="00894379">
        <w:t>In this study, the seismic behavio</w:t>
      </w:r>
      <w:r w:rsidR="001825FE" w:rsidRPr="00894379">
        <w:t>u</w:t>
      </w:r>
      <w:r w:rsidRPr="00894379">
        <w:t xml:space="preserve">r of a floating roof broad tank with </w:t>
      </w:r>
      <w:r w:rsidR="00284499" w:rsidRPr="00894379">
        <w:t xml:space="preserve">a </w:t>
      </w:r>
      <w:r w:rsidRPr="00894379">
        <w:t>single</w:t>
      </w:r>
      <w:r w:rsidR="00284499" w:rsidRPr="00894379">
        <w:t xml:space="preserve"> </w:t>
      </w:r>
      <w:r w:rsidRPr="00894379">
        <w:t>deck was analy</w:t>
      </w:r>
      <w:r w:rsidR="009F4315" w:rsidRPr="00894379">
        <w:t>s</w:t>
      </w:r>
      <w:r w:rsidRPr="00894379">
        <w:t>ed using a refined FE model created in Abaqus/Explicit software as shown in Figure 4. The model consisted of four core components, which were integrated into the software assembly function. First, an analytical rigid surface was created, as presented in Figure 4. The Abaqus software supports both three</w:t>
      </w:r>
      <w:r w:rsidR="00284499" w:rsidRPr="00894379">
        <w:t>-</w:t>
      </w:r>
      <w:r w:rsidRPr="00894379">
        <w:t>dimensional (3D) and two</w:t>
      </w:r>
      <w:r w:rsidR="00284499" w:rsidRPr="00894379">
        <w:t>-</w:t>
      </w:r>
      <w:r w:rsidRPr="00894379">
        <w:t>dimensional (2D) solid surfaces; however, a 2D analytical surface was chosen to simplify the contact with the tank, as it occurs in a single plane. Also, analytical rigid surfaces are less computationally challenging as compared to discrete surfaces and do not affect weight or stability properties.</w:t>
      </w:r>
    </w:p>
    <w:p w14:paraId="5E3FEA79" w14:textId="77777777" w:rsidR="001F4DDD" w:rsidRPr="00894379" w:rsidRDefault="001F4DDD" w:rsidP="001F4DDD">
      <w:pPr>
        <w:pStyle w:val="CETBodytext"/>
      </w:pPr>
      <w:r w:rsidRPr="00894379">
        <w:rPr>
          <w:noProof/>
        </w:rPr>
        <w:drawing>
          <wp:inline distT="0" distB="0" distL="0" distR="0" wp14:anchorId="4828E4BA" wp14:editId="59CF3CFF">
            <wp:extent cx="2779851" cy="1533525"/>
            <wp:effectExtent l="0" t="0" r="1905" b="0"/>
            <wp:docPr id="2246803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5933" cy="1564463"/>
                    </a:xfrm>
                    <a:prstGeom prst="rect">
                      <a:avLst/>
                    </a:prstGeom>
                    <a:noFill/>
                  </pic:spPr>
                </pic:pic>
              </a:graphicData>
            </a:graphic>
          </wp:inline>
        </w:drawing>
      </w:r>
    </w:p>
    <w:p w14:paraId="55131B64" w14:textId="6A4D9BA5" w:rsidR="001F4DDD" w:rsidRPr="00894379" w:rsidRDefault="001F4DDD" w:rsidP="001F4DDD">
      <w:pPr>
        <w:pStyle w:val="CETBodytext"/>
        <w:rPr>
          <w:i/>
        </w:rPr>
      </w:pPr>
      <w:r w:rsidRPr="00894379">
        <w:rPr>
          <w:i/>
        </w:rPr>
        <w:t>Figure 4: The broad tank refined FE model</w:t>
      </w:r>
      <w:r w:rsidR="00EB4F2F" w:rsidRPr="00894379">
        <w:rPr>
          <w:i/>
        </w:rPr>
        <w:t xml:space="preserve">, </w:t>
      </w:r>
      <w:r w:rsidRPr="00894379">
        <w:rPr>
          <w:i/>
        </w:rPr>
        <w:t xml:space="preserve">where a represents the analytical rigid surface, b indicates the wall, c denotes the floating roof, d is the liquid, and RN </w:t>
      </w:r>
      <w:r w:rsidR="00EB4F2F" w:rsidRPr="00894379">
        <w:rPr>
          <w:i/>
        </w:rPr>
        <w:t>defines</w:t>
      </w:r>
      <w:r w:rsidRPr="00894379">
        <w:rPr>
          <w:i/>
        </w:rPr>
        <w:t xml:space="preserve"> the reference node.</w:t>
      </w:r>
    </w:p>
    <w:p w14:paraId="590EB9B2" w14:textId="77777777" w:rsidR="001F4DDD" w:rsidRPr="00894379" w:rsidRDefault="001F4DDD" w:rsidP="00711C02">
      <w:pPr>
        <w:pStyle w:val="CETBodytext"/>
        <w:spacing w:line="240" w:lineRule="auto"/>
        <w:rPr>
          <w:i/>
        </w:rPr>
      </w:pPr>
      <w:r w:rsidRPr="00894379">
        <w:rPr>
          <w:i/>
        </w:rPr>
        <w:t>Table 2: Properties of liquid content.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88"/>
        <w:gridCol w:w="1288"/>
        <w:gridCol w:w="1288"/>
      </w:tblGrid>
      <w:tr w:rsidR="001F4DDD" w:rsidRPr="00894379" w14:paraId="14C3F6E9" w14:textId="77777777" w:rsidTr="006778B6">
        <w:trPr>
          <w:trHeight w:val="254"/>
        </w:trPr>
        <w:tc>
          <w:tcPr>
            <w:tcW w:w="1288" w:type="dxa"/>
            <w:tcBorders>
              <w:top w:val="single" w:sz="12" w:space="0" w:color="008000"/>
              <w:bottom w:val="single" w:sz="6" w:space="0" w:color="008000"/>
            </w:tcBorders>
            <w:shd w:val="clear" w:color="auto" w:fill="FFFFFF"/>
          </w:tcPr>
          <w:p w14:paraId="24F6D0DC" w14:textId="77777777" w:rsidR="001F4DDD" w:rsidRPr="00894379" w:rsidRDefault="001F4DDD" w:rsidP="00711C02">
            <w:pPr>
              <w:pStyle w:val="CETBodytext"/>
              <w:spacing w:line="240" w:lineRule="auto"/>
              <w:rPr>
                <w:i/>
              </w:rPr>
            </w:pPr>
            <w:r w:rsidRPr="00894379">
              <w:rPr>
                <w:i/>
              </w:rPr>
              <w:t xml:space="preserve">Parameter </w:t>
            </w:r>
          </w:p>
        </w:tc>
        <w:tc>
          <w:tcPr>
            <w:tcW w:w="1288" w:type="dxa"/>
            <w:tcBorders>
              <w:top w:val="single" w:sz="12" w:space="0" w:color="008000"/>
              <w:bottom w:val="single" w:sz="6" w:space="0" w:color="008000"/>
            </w:tcBorders>
            <w:shd w:val="clear" w:color="auto" w:fill="FFFFFF"/>
          </w:tcPr>
          <w:p w14:paraId="2BB750AE" w14:textId="77777777" w:rsidR="001F4DDD" w:rsidRPr="00894379" w:rsidRDefault="001F4DDD" w:rsidP="00711C02">
            <w:pPr>
              <w:pStyle w:val="CETBodytext"/>
              <w:spacing w:line="240" w:lineRule="auto"/>
              <w:rPr>
                <w:i/>
              </w:rPr>
            </w:pPr>
            <w:r w:rsidRPr="00894379">
              <w:rPr>
                <w:i/>
              </w:rPr>
              <w:t>Units</w:t>
            </w:r>
          </w:p>
        </w:tc>
        <w:tc>
          <w:tcPr>
            <w:tcW w:w="1288" w:type="dxa"/>
            <w:tcBorders>
              <w:top w:val="single" w:sz="12" w:space="0" w:color="008000"/>
              <w:bottom w:val="single" w:sz="6" w:space="0" w:color="008000"/>
            </w:tcBorders>
            <w:shd w:val="clear" w:color="auto" w:fill="FFFFFF"/>
          </w:tcPr>
          <w:p w14:paraId="329EE500" w14:textId="77777777" w:rsidR="001F4DDD" w:rsidRPr="00894379" w:rsidRDefault="001F4DDD" w:rsidP="00711C02">
            <w:pPr>
              <w:pStyle w:val="CETBodytext"/>
              <w:spacing w:line="240" w:lineRule="auto"/>
              <w:rPr>
                <w:i/>
              </w:rPr>
            </w:pPr>
            <w:r w:rsidRPr="00894379">
              <w:rPr>
                <w:i/>
              </w:rPr>
              <w:t>Value</w:t>
            </w:r>
          </w:p>
        </w:tc>
      </w:tr>
      <w:tr w:rsidR="001F4DDD" w:rsidRPr="00894379" w14:paraId="7FFDE112" w14:textId="77777777" w:rsidTr="006778B6">
        <w:trPr>
          <w:trHeight w:val="254"/>
        </w:trPr>
        <w:tc>
          <w:tcPr>
            <w:tcW w:w="1288" w:type="dxa"/>
            <w:shd w:val="clear" w:color="auto" w:fill="FFFFFF"/>
          </w:tcPr>
          <w:p w14:paraId="3CE40E2E" w14:textId="77777777" w:rsidR="001F4DDD" w:rsidRPr="00894379" w:rsidRDefault="001F4DDD" w:rsidP="00711C02">
            <w:pPr>
              <w:pStyle w:val="CETBodytext"/>
              <w:spacing w:line="240" w:lineRule="auto"/>
              <w:rPr>
                <w:i/>
              </w:rPr>
            </w:pPr>
            <w:r w:rsidRPr="00894379">
              <w:rPr>
                <w:bCs/>
                <w:i/>
              </w:rPr>
              <w:t>μ</w:t>
            </w:r>
          </w:p>
        </w:tc>
        <w:tc>
          <w:tcPr>
            <w:tcW w:w="1288" w:type="dxa"/>
            <w:shd w:val="clear" w:color="auto" w:fill="FFFFFF"/>
          </w:tcPr>
          <w:p w14:paraId="1400C3C5" w14:textId="77777777" w:rsidR="001F4DDD" w:rsidRPr="00894379" w:rsidRDefault="001F4DDD" w:rsidP="00711C02">
            <w:pPr>
              <w:pStyle w:val="CETBodytext"/>
              <w:spacing w:line="240" w:lineRule="auto"/>
              <w:rPr>
                <w:i/>
              </w:rPr>
            </w:pPr>
            <w:r w:rsidRPr="00894379">
              <w:rPr>
                <w:bCs/>
                <w:i/>
              </w:rPr>
              <w:t>N/m s</w:t>
            </w:r>
          </w:p>
        </w:tc>
        <w:tc>
          <w:tcPr>
            <w:tcW w:w="1288" w:type="dxa"/>
            <w:shd w:val="clear" w:color="auto" w:fill="FFFFFF"/>
          </w:tcPr>
          <w:p w14:paraId="7C6313DC" w14:textId="056DED81" w:rsidR="001F4DDD" w:rsidRPr="00894379" w:rsidRDefault="001F4DDD" w:rsidP="00711C02">
            <w:pPr>
              <w:pStyle w:val="CETBodytext"/>
              <w:spacing w:line="240" w:lineRule="auto"/>
              <w:rPr>
                <w:i/>
              </w:rPr>
            </w:pPr>
            <w:r w:rsidRPr="00894379">
              <w:rPr>
                <w:i/>
              </w:rPr>
              <w:t>1 x 10</w:t>
            </w:r>
            <w:r w:rsidRPr="00894379">
              <w:rPr>
                <w:i/>
                <w:vertAlign w:val="superscript"/>
              </w:rPr>
              <w:t>-3</w:t>
            </w:r>
          </w:p>
        </w:tc>
      </w:tr>
      <w:tr w:rsidR="001F4DDD" w:rsidRPr="00894379" w14:paraId="5545F182" w14:textId="77777777" w:rsidTr="006778B6">
        <w:trPr>
          <w:trHeight w:val="254"/>
        </w:trPr>
        <w:tc>
          <w:tcPr>
            <w:tcW w:w="1288" w:type="dxa"/>
            <w:shd w:val="clear" w:color="auto" w:fill="FFFFFF"/>
          </w:tcPr>
          <w:p w14:paraId="49B05D02" w14:textId="77777777" w:rsidR="001F4DDD" w:rsidRPr="00894379" w:rsidRDefault="001F4DDD" w:rsidP="00711C02">
            <w:pPr>
              <w:pStyle w:val="CETBodytext"/>
              <w:spacing w:line="240" w:lineRule="auto"/>
              <w:rPr>
                <w:bCs/>
                <w:i/>
              </w:rPr>
            </w:pPr>
            <w:r w:rsidRPr="00894379">
              <w:rPr>
                <w:bCs/>
                <w:i/>
              </w:rPr>
              <w:t>ρ</w:t>
            </w:r>
            <w:r w:rsidRPr="00894379">
              <w:rPr>
                <w:bCs/>
                <w:i/>
                <w:vertAlign w:val="subscript"/>
              </w:rPr>
              <w:t>l</w:t>
            </w:r>
          </w:p>
        </w:tc>
        <w:tc>
          <w:tcPr>
            <w:tcW w:w="1288" w:type="dxa"/>
            <w:shd w:val="clear" w:color="auto" w:fill="FFFFFF"/>
          </w:tcPr>
          <w:p w14:paraId="0DECFE1B" w14:textId="77777777" w:rsidR="001F4DDD" w:rsidRPr="00894379" w:rsidRDefault="001F4DDD" w:rsidP="00711C02">
            <w:pPr>
              <w:pStyle w:val="CETBodytext"/>
              <w:spacing w:line="240" w:lineRule="auto"/>
              <w:rPr>
                <w:bCs/>
                <w:i/>
              </w:rPr>
            </w:pPr>
            <w:r w:rsidRPr="00894379">
              <w:rPr>
                <w:bCs/>
                <w:i/>
              </w:rPr>
              <w:t>kg/m</w:t>
            </w:r>
            <w:r w:rsidRPr="00894379">
              <w:rPr>
                <w:bCs/>
                <w:i/>
                <w:vertAlign w:val="superscript"/>
              </w:rPr>
              <w:t>3</w:t>
            </w:r>
          </w:p>
        </w:tc>
        <w:tc>
          <w:tcPr>
            <w:tcW w:w="1288" w:type="dxa"/>
            <w:shd w:val="clear" w:color="auto" w:fill="FFFFFF"/>
          </w:tcPr>
          <w:p w14:paraId="57DD0642" w14:textId="77777777" w:rsidR="001F4DDD" w:rsidRPr="00894379" w:rsidRDefault="001F4DDD" w:rsidP="00711C02">
            <w:pPr>
              <w:pStyle w:val="CETBodytext"/>
              <w:spacing w:line="240" w:lineRule="auto"/>
              <w:rPr>
                <w:i/>
              </w:rPr>
            </w:pPr>
            <w:r w:rsidRPr="00894379">
              <w:rPr>
                <w:i/>
              </w:rPr>
              <w:t>998.2</w:t>
            </w:r>
          </w:p>
        </w:tc>
      </w:tr>
      <w:tr w:rsidR="001F4DDD" w:rsidRPr="00894379" w14:paraId="52ADBB3E" w14:textId="77777777" w:rsidTr="006778B6">
        <w:trPr>
          <w:trHeight w:val="254"/>
        </w:trPr>
        <w:tc>
          <w:tcPr>
            <w:tcW w:w="1288" w:type="dxa"/>
            <w:shd w:val="clear" w:color="auto" w:fill="FFFFFF"/>
          </w:tcPr>
          <w:p w14:paraId="774EF8C4" w14:textId="77777777" w:rsidR="001F4DDD" w:rsidRPr="00894379" w:rsidRDefault="001F4DDD" w:rsidP="00711C02">
            <w:pPr>
              <w:pStyle w:val="CETBodytext"/>
              <w:spacing w:line="240" w:lineRule="auto"/>
              <w:rPr>
                <w:i/>
              </w:rPr>
            </w:pPr>
            <w:r w:rsidRPr="00894379">
              <w:rPr>
                <w:bCs/>
                <w:i/>
              </w:rPr>
              <w:t>C</w:t>
            </w:r>
            <w:r w:rsidRPr="00894379">
              <w:rPr>
                <w:bCs/>
                <w:i/>
                <w:vertAlign w:val="subscript"/>
              </w:rPr>
              <w:t>0</w:t>
            </w:r>
          </w:p>
        </w:tc>
        <w:tc>
          <w:tcPr>
            <w:tcW w:w="1288" w:type="dxa"/>
            <w:shd w:val="clear" w:color="auto" w:fill="FFFFFF"/>
          </w:tcPr>
          <w:p w14:paraId="2BAA70AA" w14:textId="77777777" w:rsidR="001F4DDD" w:rsidRPr="00894379" w:rsidRDefault="001F4DDD" w:rsidP="00711C02">
            <w:pPr>
              <w:pStyle w:val="CETBodytext"/>
              <w:spacing w:line="240" w:lineRule="auto"/>
              <w:rPr>
                <w:i/>
              </w:rPr>
            </w:pPr>
            <w:r w:rsidRPr="00894379">
              <w:rPr>
                <w:bCs/>
                <w:i/>
              </w:rPr>
              <w:t>m/s</w:t>
            </w:r>
          </w:p>
        </w:tc>
        <w:tc>
          <w:tcPr>
            <w:tcW w:w="1288" w:type="dxa"/>
            <w:shd w:val="clear" w:color="auto" w:fill="FFFFFF"/>
          </w:tcPr>
          <w:p w14:paraId="44B0EE2B" w14:textId="77777777" w:rsidR="001F4DDD" w:rsidRPr="00894379" w:rsidRDefault="001F4DDD" w:rsidP="00711C02">
            <w:pPr>
              <w:pStyle w:val="CETBodytext"/>
              <w:spacing w:line="240" w:lineRule="auto"/>
              <w:rPr>
                <w:i/>
              </w:rPr>
            </w:pPr>
            <w:r w:rsidRPr="00894379">
              <w:rPr>
                <w:i/>
              </w:rPr>
              <w:t>1482</w:t>
            </w:r>
          </w:p>
        </w:tc>
      </w:tr>
      <w:tr w:rsidR="001F4DDD" w:rsidRPr="00894379" w14:paraId="5CA5A639" w14:textId="77777777" w:rsidTr="006778B6">
        <w:trPr>
          <w:trHeight w:val="254"/>
        </w:trPr>
        <w:tc>
          <w:tcPr>
            <w:tcW w:w="1288" w:type="dxa"/>
            <w:shd w:val="clear" w:color="auto" w:fill="FFFFFF"/>
          </w:tcPr>
          <w:p w14:paraId="6DF50845" w14:textId="77777777" w:rsidR="001F4DDD" w:rsidRPr="00894379" w:rsidRDefault="001F4DDD" w:rsidP="00711C02">
            <w:pPr>
              <w:pStyle w:val="CETBodytext"/>
              <w:spacing w:line="240" w:lineRule="auto"/>
              <w:rPr>
                <w:bCs/>
                <w:i/>
              </w:rPr>
            </w:pPr>
            <w:r w:rsidRPr="00894379">
              <w:rPr>
                <w:bCs/>
                <w:i/>
              </w:rPr>
              <w:t>Γ</w:t>
            </w:r>
            <w:r w:rsidRPr="00894379">
              <w:rPr>
                <w:bCs/>
                <w:i/>
                <w:vertAlign w:val="subscript"/>
              </w:rPr>
              <w:t>0</w:t>
            </w:r>
          </w:p>
        </w:tc>
        <w:tc>
          <w:tcPr>
            <w:tcW w:w="1288" w:type="dxa"/>
            <w:shd w:val="clear" w:color="auto" w:fill="FFFFFF"/>
          </w:tcPr>
          <w:p w14:paraId="6C4B3B98" w14:textId="77777777" w:rsidR="001F4DDD" w:rsidRPr="00894379" w:rsidRDefault="001F4DDD" w:rsidP="00711C02">
            <w:pPr>
              <w:pStyle w:val="CETBodytext"/>
              <w:spacing w:line="240" w:lineRule="auto"/>
              <w:rPr>
                <w:bCs/>
                <w:i/>
              </w:rPr>
            </w:pPr>
            <w:r w:rsidRPr="00894379">
              <w:rPr>
                <w:i/>
              </w:rPr>
              <w:t>[-]</w:t>
            </w:r>
          </w:p>
        </w:tc>
        <w:tc>
          <w:tcPr>
            <w:tcW w:w="1288" w:type="dxa"/>
            <w:shd w:val="clear" w:color="auto" w:fill="FFFFFF"/>
          </w:tcPr>
          <w:p w14:paraId="1D3A323A" w14:textId="77777777" w:rsidR="001F4DDD" w:rsidRPr="00894379" w:rsidRDefault="001F4DDD" w:rsidP="00711C02">
            <w:pPr>
              <w:pStyle w:val="CETBodytext"/>
              <w:spacing w:line="240" w:lineRule="auto"/>
              <w:rPr>
                <w:i/>
              </w:rPr>
            </w:pPr>
            <w:r w:rsidRPr="00894379">
              <w:rPr>
                <w:i/>
              </w:rPr>
              <w:t>0</w:t>
            </w:r>
          </w:p>
        </w:tc>
      </w:tr>
      <w:tr w:rsidR="001F4DDD" w:rsidRPr="00894379" w14:paraId="45E1DB99" w14:textId="77777777" w:rsidTr="006778B6">
        <w:trPr>
          <w:trHeight w:val="242"/>
        </w:trPr>
        <w:tc>
          <w:tcPr>
            <w:tcW w:w="1288" w:type="dxa"/>
            <w:shd w:val="clear" w:color="auto" w:fill="FFFFFF"/>
          </w:tcPr>
          <w:p w14:paraId="59E6B9AA" w14:textId="77777777" w:rsidR="001F4DDD" w:rsidRPr="00894379" w:rsidRDefault="001F4DDD" w:rsidP="00711C02">
            <w:pPr>
              <w:pStyle w:val="CETBodytext"/>
              <w:spacing w:line="240" w:lineRule="auto"/>
              <w:rPr>
                <w:i/>
              </w:rPr>
            </w:pPr>
            <w:r w:rsidRPr="00894379">
              <w:rPr>
                <w:bCs/>
                <w:i/>
              </w:rPr>
              <w:t>s</w:t>
            </w:r>
          </w:p>
        </w:tc>
        <w:tc>
          <w:tcPr>
            <w:tcW w:w="1288" w:type="dxa"/>
            <w:shd w:val="clear" w:color="auto" w:fill="FFFFFF"/>
          </w:tcPr>
          <w:p w14:paraId="036D8A40" w14:textId="77777777" w:rsidR="001F4DDD" w:rsidRPr="00894379" w:rsidRDefault="001F4DDD" w:rsidP="00711C02">
            <w:pPr>
              <w:pStyle w:val="CETBodytext"/>
              <w:spacing w:line="240" w:lineRule="auto"/>
              <w:rPr>
                <w:i/>
              </w:rPr>
            </w:pPr>
            <w:r w:rsidRPr="00894379">
              <w:rPr>
                <w:i/>
              </w:rPr>
              <w:t>[-]</w:t>
            </w:r>
          </w:p>
        </w:tc>
        <w:tc>
          <w:tcPr>
            <w:tcW w:w="1288" w:type="dxa"/>
            <w:shd w:val="clear" w:color="auto" w:fill="FFFFFF"/>
          </w:tcPr>
          <w:p w14:paraId="1C5D6469" w14:textId="77777777" w:rsidR="001F4DDD" w:rsidRPr="00894379" w:rsidRDefault="001F4DDD" w:rsidP="00711C02">
            <w:pPr>
              <w:pStyle w:val="CETBodytext"/>
              <w:spacing w:line="240" w:lineRule="auto"/>
              <w:rPr>
                <w:i/>
              </w:rPr>
            </w:pPr>
            <w:r w:rsidRPr="00894379">
              <w:rPr>
                <w:i/>
              </w:rPr>
              <w:t>0</w:t>
            </w:r>
          </w:p>
        </w:tc>
      </w:tr>
    </w:tbl>
    <w:p w14:paraId="0695EEEF" w14:textId="5557DFFD" w:rsidR="001F4DDD" w:rsidRPr="00894379" w:rsidRDefault="001F4DDD" w:rsidP="001F4DDD">
      <w:pPr>
        <w:pStyle w:val="CETBodytext"/>
      </w:pPr>
      <w:r w:rsidRPr="00894379">
        <w:t>The second part of the broad tank model include</w:t>
      </w:r>
      <w:r w:rsidR="009F34B7" w:rsidRPr="00894379">
        <w:t>s</w:t>
      </w:r>
      <w:r w:rsidRPr="00894379">
        <w:t xml:space="preserve"> the wall and floor, which are represented using S4 shell elements with complete numerical integration. This element was selected because it does not require hourglass controls and effectively avoids issues related to transverse shear locking. To enhance computational efficiency, it </w:t>
      </w:r>
      <w:r w:rsidR="009F34B7" w:rsidRPr="00894379">
        <w:t>was</w:t>
      </w:r>
      <w:r w:rsidRPr="00894379">
        <w:t xml:space="preserve"> assumed that the material of the steel broad tank behaves as a linear elastic body. The third part consists of the floating roof (Figure 4), which was also model</w:t>
      </w:r>
      <w:r w:rsidR="001825FE" w:rsidRPr="00894379">
        <w:t>l</w:t>
      </w:r>
      <w:r w:rsidRPr="00894379">
        <w:t>ed using S4 shell elements,</w:t>
      </w:r>
      <w:r w:rsidR="009F756A" w:rsidRPr="00894379">
        <w:t xml:space="preserve"> </w:t>
      </w:r>
      <w:r w:rsidRPr="00894379">
        <w:t>similar to the tank. The roof comprises two components: an inner plate and a circular outer ring, which were model</w:t>
      </w:r>
      <w:r w:rsidR="001825FE" w:rsidRPr="00894379">
        <w:t>l</w:t>
      </w:r>
      <w:r w:rsidRPr="00894379">
        <w:t>ed separately and then welded together</w:t>
      </w:r>
      <w:r w:rsidR="003B37CA">
        <w:t xml:space="preserve">. </w:t>
      </w:r>
      <w:r w:rsidR="003B37CA" w:rsidRPr="003B37CA">
        <w:t>The floating roof was constructed using stainless steel Fe 52 D</w:t>
      </w:r>
      <w:r w:rsidR="003B37CA">
        <w:t xml:space="preserve"> (</w:t>
      </w:r>
      <m:oMath>
        <m:sSub>
          <m:sSubPr>
            <m:ctrlPr>
              <w:rPr>
                <w:rFonts w:ascii="Cambria Math" w:hAnsi="Cambria Math"/>
              </w:rPr>
            </m:ctrlPr>
          </m:sSubPr>
          <m:e>
            <m:r>
              <w:rPr>
                <w:rFonts w:ascii="Cambria Math" w:hAnsi="Cambria Math"/>
              </w:rPr>
              <m:t>f</m:t>
            </m:r>
          </m:e>
          <m:sub>
            <m:r>
              <w:rPr>
                <w:rFonts w:ascii="Cambria Math" w:hAnsi="Cambria Math"/>
              </w:rPr>
              <m:t>yd</m:t>
            </m:r>
          </m:sub>
        </m:sSub>
        <m:r>
          <m:rPr>
            <m:sty m:val="p"/>
          </m:rPr>
          <w:rPr>
            <w:rFonts w:ascii="Cambria Math" w:hAnsi="Cambria Math"/>
          </w:rPr>
          <m:t xml:space="preserve">=355 </m:t>
        </m:r>
        <m:r>
          <w:rPr>
            <w:rFonts w:ascii="Cambria Math" w:hAnsi="Cambria Math"/>
          </w:rPr>
          <m:t>MPa</m:t>
        </m:r>
      </m:oMath>
      <w:r w:rsidR="003B37CA">
        <w:t>)</w:t>
      </w:r>
      <w:r w:rsidR="003B37CA" w:rsidRPr="003B37CA">
        <w:t>, treated as a linear elastic material during the simulation.</w:t>
      </w:r>
      <w:r w:rsidR="003B37CA">
        <w:t xml:space="preserve"> </w:t>
      </w:r>
      <w:r w:rsidRPr="00894379">
        <w:t>The final part of the model represents liquid, which was model</w:t>
      </w:r>
      <w:r w:rsidR="00AE5028" w:rsidRPr="00894379">
        <w:t>l</w:t>
      </w:r>
      <w:r w:rsidRPr="00894379">
        <w:t xml:space="preserve">ed in Abaqus using the adaptive meshing technique and the </w:t>
      </w:r>
      <w:r w:rsidR="008F0242" w:rsidRPr="00894379">
        <w:t>arbitrary Lagrangian-Eulerian</w:t>
      </w:r>
      <w:r w:rsidR="00612094" w:rsidRPr="00894379">
        <w:t xml:space="preserve"> </w:t>
      </w:r>
      <w:r w:rsidRPr="00894379">
        <w:t xml:space="preserve">investigation. The liquid properties are revealed in Table 2. Where </w:t>
      </w:r>
      <m:oMath>
        <m:r>
          <w:rPr>
            <w:rFonts w:ascii="Cambria Math" w:hAnsi="Cambria Math"/>
          </w:rPr>
          <m:t>µ</m:t>
        </m:r>
      </m:oMath>
      <w:r w:rsidRPr="00894379">
        <w:t xml:space="preserve"> is the dynamic viscosity, </w:t>
      </w:r>
      <m:oMath>
        <m:sSub>
          <m:sSubPr>
            <m:ctrlPr>
              <w:rPr>
                <w:rFonts w:ascii="Cambria Math" w:hAnsi="Cambria Math"/>
                <w:i/>
              </w:rPr>
            </m:ctrlPr>
          </m:sSubPr>
          <m:e>
            <m:r>
              <w:rPr>
                <w:rFonts w:ascii="Cambria Math" w:hAnsi="Cambria Math"/>
              </w:rPr>
              <m:t>ρ</m:t>
            </m:r>
          </m:e>
          <m:sub>
            <m:r>
              <w:rPr>
                <w:rFonts w:ascii="Cambria Math" w:hAnsi="Cambria Math"/>
              </w:rPr>
              <m:t>l</m:t>
            </m:r>
          </m:sub>
        </m:sSub>
      </m:oMath>
      <w:r w:rsidRPr="00894379">
        <w:t xml:space="preserve">  is the liquid density, </w:t>
      </w:r>
      <m:oMath>
        <m:r>
          <w:rPr>
            <w:rFonts w:ascii="Cambria Math" w:hAnsi="Cambria Math"/>
          </w:rPr>
          <m:t>s</m:t>
        </m:r>
      </m:oMath>
      <w:r w:rsidRPr="00894379">
        <w:t xml:space="preserve"> is the slope of the Us-Up curve, </w:t>
      </w:r>
      <m:oMath>
        <m:sSub>
          <m:sSubPr>
            <m:ctrlPr>
              <w:rPr>
                <w:rFonts w:ascii="Cambria Math" w:hAnsi="Cambria Math"/>
                <w:i/>
              </w:rPr>
            </m:ctrlPr>
          </m:sSubPr>
          <m:e>
            <m:r>
              <w:rPr>
                <w:rFonts w:ascii="Cambria Math" w:hAnsi="Cambria Math"/>
              </w:rPr>
              <m:t>Γ</m:t>
            </m:r>
          </m:e>
          <m:sub>
            <m:r>
              <w:rPr>
                <w:rFonts w:ascii="Cambria Math" w:hAnsi="Cambria Math"/>
              </w:rPr>
              <m:t>0</m:t>
            </m:r>
          </m:sub>
        </m:sSub>
      </m:oMath>
      <w:r w:rsidRPr="00894379">
        <w:t xml:space="preserve"> is the Grüneisen ratio, and </w:t>
      </w:r>
      <m:oMath>
        <m:sSub>
          <m:sSubPr>
            <m:ctrlPr>
              <w:rPr>
                <w:rFonts w:ascii="Cambria Math" w:hAnsi="Cambria Math"/>
                <w:i/>
              </w:rPr>
            </m:ctrlPr>
          </m:sSubPr>
          <m:e>
            <m:r>
              <w:rPr>
                <w:rFonts w:ascii="Cambria Math" w:hAnsi="Cambria Math"/>
              </w:rPr>
              <m:t>C</m:t>
            </m:r>
          </m:e>
          <m:sub>
            <m:r>
              <w:rPr>
                <w:rFonts w:ascii="Cambria Math" w:hAnsi="Cambria Math"/>
                <w:vertAlign w:val="subscript"/>
              </w:rPr>
              <m:t>0</m:t>
            </m:r>
          </m:sub>
        </m:sSub>
      </m:oMath>
      <w:r w:rsidRPr="00894379">
        <w:t xml:space="preserve"> is the velocity of sound in the medium. This approach was essential to accomplish the large deformations caused by the sloshing of liquid during an earthquake. Default parameters for mesh refinement and frequency were employed to ensure mesh quality. Liquid content is represented by the C3D8R solid element, a simple 8-node brick element (see Figure 4), and its behavio</w:t>
      </w:r>
      <w:r w:rsidR="00AE5028" w:rsidRPr="00894379">
        <w:t>u</w:t>
      </w:r>
      <w:r w:rsidRPr="00894379">
        <w:t>r was governed by the hydrodynamic material model, incorporating a linear equation of state, as reported by Caprinozzi et al. (2021)</w:t>
      </w:r>
      <w:r w:rsidR="00974129">
        <w:t>.</w:t>
      </w:r>
    </w:p>
    <w:p w14:paraId="40FBFA86" w14:textId="36F1D47B" w:rsidR="001F4DDD" w:rsidRPr="00894379" w:rsidRDefault="001F4DDD" w:rsidP="001F4DDD">
      <w:pPr>
        <w:pStyle w:val="CETBodytext"/>
      </w:pPr>
      <w:r w:rsidRPr="00894379">
        <w:t>In this study, particular focus was given to model</w:t>
      </w:r>
      <w:r w:rsidR="00AE5028" w:rsidRPr="00894379">
        <w:t>l</w:t>
      </w:r>
      <w:r w:rsidRPr="00894379">
        <w:t xml:space="preserve">ing the contact between different parts. Two types of contacts were used in </w:t>
      </w:r>
      <w:r w:rsidR="00284499" w:rsidRPr="00894379">
        <w:t xml:space="preserve">the </w:t>
      </w:r>
      <w:r w:rsidRPr="00894379">
        <w:t>model</w:t>
      </w:r>
      <w:r w:rsidR="00AE5028" w:rsidRPr="00894379">
        <w:t>l</w:t>
      </w:r>
      <w:r w:rsidRPr="00894379">
        <w:t xml:space="preserve">ing of </w:t>
      </w:r>
      <w:r w:rsidR="00284499" w:rsidRPr="00894379">
        <w:t xml:space="preserve">a </w:t>
      </w:r>
      <w:r w:rsidRPr="00894379">
        <w:t xml:space="preserve">broad tank: a frictional contact among the rigid surface and bottom plate, and a frictionless contact among the liquid content, floating roof, and tank wall. These contacts </w:t>
      </w:r>
      <w:r w:rsidR="009F34B7" w:rsidRPr="00894379">
        <w:t>were</w:t>
      </w:r>
      <w:r w:rsidRPr="00894379">
        <w:t xml:space="preserve"> model</w:t>
      </w:r>
      <w:r w:rsidR="00AE5028" w:rsidRPr="00894379">
        <w:t>l</w:t>
      </w:r>
      <w:r w:rsidRPr="00894379">
        <w:t>ed as 'hard contact' to prevent the parts from merging while allowing for separation, which is necessary during the lifting of the tank in an earthquake.</w:t>
      </w:r>
      <w:r w:rsidR="00791D4F" w:rsidRPr="00894379">
        <w:t xml:space="preserve"> </w:t>
      </w:r>
      <w:r w:rsidRPr="00894379">
        <w:t xml:space="preserve">The refined FE model not only facilitated a detailed analysis of the earthquake </w:t>
      </w:r>
      <w:r w:rsidRPr="00894379">
        <w:lastRenderedPageBreak/>
        <w:t>behavio</w:t>
      </w:r>
      <w:r w:rsidR="00AE5028" w:rsidRPr="00894379">
        <w:t>u</w:t>
      </w:r>
      <w:r w:rsidRPr="00894379">
        <w:t>r of the roof but also enhanced computational efficiency by employing appropriate model</w:t>
      </w:r>
      <w:r w:rsidR="00AE5028" w:rsidRPr="00894379">
        <w:t>l</w:t>
      </w:r>
      <w:r w:rsidRPr="00894379">
        <w:t>ing techniques for each part of the system.</w:t>
      </w:r>
    </w:p>
    <w:p w14:paraId="43C4EF88" w14:textId="4F888410" w:rsidR="001F4DDD" w:rsidRPr="00894379" w:rsidRDefault="001F4DDD" w:rsidP="001F4DDD">
      <w:pPr>
        <w:pStyle w:val="CETHeading1"/>
        <w:tabs>
          <w:tab w:val="right" w:pos="7100"/>
        </w:tabs>
        <w:jc w:val="both"/>
      </w:pPr>
      <w:r w:rsidRPr="00894379">
        <w:t>Fragility assessment</w:t>
      </w:r>
      <w:r w:rsidR="005B6DF4" w:rsidRPr="00894379">
        <w:t xml:space="preserve"> of the case study</w:t>
      </w:r>
    </w:p>
    <w:p w14:paraId="5A025F6D" w14:textId="74DAFF8B" w:rsidR="001F4DDD" w:rsidRPr="00894379" w:rsidRDefault="001F4DDD" w:rsidP="001F4DDD">
      <w:pPr>
        <w:pStyle w:val="CETBodytext"/>
      </w:pPr>
      <w:r w:rsidRPr="00894379">
        <w:t xml:space="preserve">Fragility curves play a fundamental role in seismic hazard assessment, providing a probabilistic </w:t>
      </w:r>
      <w:r w:rsidR="003A6E5E">
        <w:t>tool</w:t>
      </w:r>
      <w:r w:rsidRPr="00894379">
        <w:t xml:space="preserve"> </w:t>
      </w:r>
      <w:r w:rsidR="003A6E5E">
        <w:t>for</w:t>
      </w:r>
      <w:r w:rsidRPr="00894379">
        <w:t xml:space="preserve"> structural performance during earthquakes of varying magnitudes.</w:t>
      </w:r>
      <w:r w:rsidR="002C11E4" w:rsidRPr="00894379">
        <w:t xml:space="preserve"> </w:t>
      </w:r>
      <w:r w:rsidR="003A6E5E">
        <w:t xml:space="preserve">In this respect, </w:t>
      </w:r>
      <w:r w:rsidR="00B67693" w:rsidRPr="00894379">
        <w:t>Kameshwar (2017) used logistic regression methods for non-brittle failures and brittle failures for fragility assessment</w:t>
      </w:r>
      <w:r w:rsidR="003A6E5E">
        <w:t xml:space="preserve"> </w:t>
      </w:r>
      <w:r w:rsidR="003A6E5E" w:rsidRPr="00894379">
        <w:t>under seismic loadings</w:t>
      </w:r>
      <w:r w:rsidRPr="00894379">
        <w:t xml:space="preserve">. </w:t>
      </w:r>
      <w:r w:rsidR="00F8078A" w:rsidRPr="00894379">
        <w:t>Two-layer metamodels were used: the structural response use</w:t>
      </w:r>
      <w:r w:rsidR="009F34B7" w:rsidRPr="00894379">
        <w:t>d</w:t>
      </w:r>
      <w:r w:rsidR="00F8078A" w:rsidRPr="00894379">
        <w:t xml:space="preserve"> the first layer, and logistic regression use</w:t>
      </w:r>
      <w:r w:rsidR="009F34B7" w:rsidRPr="00894379">
        <w:t>d</w:t>
      </w:r>
      <w:r w:rsidR="00F8078A" w:rsidRPr="00894379">
        <w:t xml:space="preserve"> the second layer for leakage probability and fragility assessment. </w:t>
      </w:r>
      <w:r w:rsidRPr="00894379">
        <w:t>Brittle failures us</w:t>
      </w:r>
      <w:r w:rsidR="009F34B7" w:rsidRPr="00894379">
        <w:t>ed</w:t>
      </w:r>
      <w:r w:rsidRPr="00894379">
        <w:t xml:space="preserve"> binary classifiers for sudden outcomes, while non-brittle failures use</w:t>
      </w:r>
      <w:r w:rsidR="009F34B7" w:rsidRPr="00894379">
        <w:t>d</w:t>
      </w:r>
      <w:r w:rsidRPr="00894379">
        <w:t xml:space="preserve"> metamodels for continuous responses. </w:t>
      </w:r>
      <w:r w:rsidR="00B67693" w:rsidRPr="00894379">
        <w:t>N</w:t>
      </w:r>
      <w:r w:rsidRPr="00894379">
        <w:t>on-linear time-history analys</w:t>
      </w:r>
      <w:r w:rsidR="003A6E5E">
        <w:t>e</w:t>
      </w:r>
      <w:r w:rsidRPr="00894379">
        <w:t>s and FE model</w:t>
      </w:r>
      <w:r w:rsidR="008D683A" w:rsidRPr="00894379">
        <w:t>l</w:t>
      </w:r>
      <w:r w:rsidRPr="00894379">
        <w:t xml:space="preserve">ing are often used for this purpose to </w:t>
      </w:r>
      <w:r w:rsidR="00005366" w:rsidRPr="00894379">
        <w:t xml:space="preserve">better </w:t>
      </w:r>
      <w:r w:rsidRPr="00894379">
        <w:t>comprehend the connection</w:t>
      </w:r>
      <w:r w:rsidR="00504C3C" w:rsidRPr="00894379">
        <w:t xml:space="preserve"> </w:t>
      </w:r>
      <w:r w:rsidRPr="00894379">
        <w:t xml:space="preserve">among the fluid and the structure. Failure probabilities </w:t>
      </w:r>
      <w:r w:rsidR="009F34B7" w:rsidRPr="00894379">
        <w:t>were</w:t>
      </w:r>
      <w:r w:rsidRPr="00894379">
        <w:t xml:space="preserve"> predicted through probabilistic techniques such as</w:t>
      </w:r>
      <w:r w:rsidR="00B67693" w:rsidRPr="00894379">
        <w:t xml:space="preserve"> </w:t>
      </w:r>
      <w:r w:rsidRPr="00894379">
        <w:t>MCS or logistic regression, which help in improving design and reducing seismic hazards, as explored in the work of Phan et al. (2020)</w:t>
      </w:r>
      <w:bookmarkStart w:id="5" w:name="OLE_LINK28"/>
      <w:bookmarkStart w:id="6" w:name="OLE_LINK30"/>
      <w:r w:rsidR="004003A3" w:rsidRPr="00894379">
        <w:t xml:space="preserve"> and </w:t>
      </w:r>
      <w:r w:rsidR="00262CA3" w:rsidRPr="00894379">
        <w:t>Caprinozzi</w:t>
      </w:r>
      <w:r w:rsidR="004003A3" w:rsidRPr="00894379">
        <w:t xml:space="preserve"> et al. (2020).</w:t>
      </w:r>
      <w:r w:rsidR="003A6E5E">
        <w:t xml:space="preserve"> In particular, t</w:t>
      </w:r>
      <w:r w:rsidR="00005366" w:rsidRPr="00894379">
        <w:t xml:space="preserve">he fragility function </w:t>
      </w:r>
      <m:oMath>
        <m:r>
          <w:rPr>
            <w:rFonts w:ascii="Cambria Math" w:hAnsi="Cambria Math"/>
          </w:rPr>
          <m:t>P</m:t>
        </m:r>
        <m:d>
          <m:dPr>
            <m:begChr m:val="["/>
            <m:endChr m:val="]"/>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IM</m:t>
            </m:r>
          </m:e>
        </m:d>
      </m:oMath>
      <w:r w:rsidR="00005366" w:rsidRPr="00894379">
        <w:t xml:space="preserve"> is defined as t</w:t>
      </w:r>
      <w:r w:rsidRPr="00894379">
        <w:t xml:space="preserve">he probability </w:t>
      </w:r>
      <w:r w:rsidR="00005366" w:rsidRPr="00894379">
        <w:t xml:space="preserve">of the exceedance of </w:t>
      </w:r>
      <w:r w:rsidRPr="00894379">
        <w:t xml:space="preserve">the demand </w:t>
      </w:r>
      <m:oMath>
        <m:r>
          <w:rPr>
            <w:rFonts w:ascii="Cambria Math" w:hAnsi="Cambria Math"/>
          </w:rPr>
          <m:t>D</m:t>
        </m:r>
      </m:oMath>
      <w:r w:rsidRPr="00894379">
        <w:t xml:space="preserve"> </w:t>
      </w:r>
      <w:r w:rsidR="00005366" w:rsidRPr="00894379">
        <w:t xml:space="preserve">over </w:t>
      </w:r>
      <w:r w:rsidRPr="00894379">
        <w:t xml:space="preserve">the limit state capacity </w:t>
      </w:r>
      <m:oMath>
        <m:r>
          <w:rPr>
            <w:rFonts w:ascii="Cambria Math" w:hAnsi="Cambria Math"/>
          </w:rPr>
          <m:t>C,</m:t>
        </m:r>
      </m:oMath>
      <w:r w:rsidRPr="00894379">
        <w:rPr>
          <w:iCs/>
        </w:rPr>
        <w:t xml:space="preserve"> given an intensity measure </w:t>
      </w:r>
      <m:oMath>
        <m:r>
          <w:rPr>
            <w:rFonts w:ascii="Cambria Math" w:hAnsi="Cambria Math"/>
          </w:rPr>
          <m:t>(IM)</m:t>
        </m:r>
      </m:oMath>
      <w:r w:rsidRPr="00894379">
        <w:rPr>
          <w:iCs/>
        </w:rPr>
        <w:t>.</w:t>
      </w:r>
      <w:bookmarkEnd w:id="5"/>
      <w:bookmarkEnd w:id="6"/>
      <w:r w:rsidRPr="00894379">
        <w:t xml:space="preserve"> The fragility function can be estimated through MCS, which is well-defined as a proportion of the number of points in order that </w:t>
      </w:r>
      <m:oMath>
        <m:r>
          <w:rPr>
            <w:rFonts w:ascii="Cambria Math" w:hAnsi="Cambria Math"/>
          </w:rPr>
          <m:t>D</m:t>
        </m:r>
        <m:r>
          <m:rPr>
            <m:sty m:val="p"/>
          </m:rPr>
          <w:rPr>
            <w:rFonts w:ascii="Cambria Math" w:hAnsi="Cambria Math"/>
          </w:rPr>
          <m:t>≥</m:t>
        </m:r>
        <m:r>
          <w:rPr>
            <w:rFonts w:ascii="Cambria Math" w:hAnsi="Cambria Math"/>
          </w:rPr>
          <m:t>C</m:t>
        </m:r>
      </m:oMath>
      <w:r w:rsidRPr="00894379">
        <w:t xml:space="preserve"> and the overall points</w:t>
      </w:r>
      <w:r w:rsidR="00005366" w:rsidRPr="00894379">
        <w:t>.</w:t>
      </w:r>
    </w:p>
    <w:p w14:paraId="3A4153D5" w14:textId="16C3E7DC" w:rsidR="00CC38E7" w:rsidRPr="00894379" w:rsidRDefault="0015224F" w:rsidP="001F4DDD">
      <w:pPr>
        <w:pStyle w:val="CETBodytext"/>
        <w:rPr>
          <w:rStyle w:val="CETCaptionCarattere"/>
          <w:i w:val="0"/>
          <w:lang w:val="en-US"/>
        </w:rPr>
      </w:pPr>
      <w:r w:rsidRPr="00894379">
        <w:rPr>
          <w:noProof/>
        </w:rPr>
        <w:drawing>
          <wp:inline distT="0" distB="0" distL="0" distR="0" wp14:anchorId="631EBE6E" wp14:editId="42321214">
            <wp:extent cx="5579745" cy="1704975"/>
            <wp:effectExtent l="0" t="0" r="1905" b="9525"/>
            <wp:docPr id="493833013"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33013" name="Picture 1" descr="A graph of a function&#10;&#10;Description automatically generated"/>
                    <pic:cNvPicPr/>
                  </pic:nvPicPr>
                  <pic:blipFill>
                    <a:blip r:embed="rId17"/>
                    <a:stretch>
                      <a:fillRect/>
                    </a:stretch>
                  </pic:blipFill>
                  <pic:spPr>
                    <a:xfrm>
                      <a:off x="0" y="0"/>
                      <a:ext cx="5579745" cy="1704975"/>
                    </a:xfrm>
                    <a:prstGeom prst="rect">
                      <a:avLst/>
                    </a:prstGeom>
                  </pic:spPr>
                </pic:pic>
              </a:graphicData>
            </a:graphic>
          </wp:inline>
        </w:drawing>
      </w:r>
    </w:p>
    <w:p w14:paraId="45BA76CD" w14:textId="13925ECD" w:rsidR="001F4DDD" w:rsidRPr="00894379" w:rsidRDefault="001F4DDD" w:rsidP="001F4DDD">
      <w:pPr>
        <w:pStyle w:val="CETBodytext"/>
        <w:rPr>
          <w:i/>
        </w:rPr>
      </w:pPr>
      <w:r w:rsidRPr="00894379">
        <w:rPr>
          <w:rStyle w:val="CETCaptionCarattere"/>
          <w:lang w:val="en-US"/>
        </w:rPr>
        <w:t xml:space="preserve">Figure 5: </w:t>
      </w:r>
      <w:bookmarkStart w:id="7" w:name="_Hlk179806826"/>
      <w:r w:rsidR="003A6E5E">
        <w:rPr>
          <w:rStyle w:val="CETCaptionCarattere"/>
          <w:lang w:val="en-US"/>
        </w:rPr>
        <w:t>Typical f</w:t>
      </w:r>
      <w:r w:rsidR="00926ADD" w:rsidRPr="00894379">
        <w:rPr>
          <w:rStyle w:val="CETCaptionCarattere"/>
          <w:lang w:val="en-US"/>
        </w:rPr>
        <w:t xml:space="preserve">ragility curves </w:t>
      </w:r>
      <w:r w:rsidR="00A51374" w:rsidRPr="00894379">
        <w:rPr>
          <w:rStyle w:val="CETCaptionCarattere"/>
          <w:lang w:val="en-US"/>
        </w:rPr>
        <w:t>for</w:t>
      </w:r>
      <w:r w:rsidR="003A6E5E">
        <w:rPr>
          <w:rStyle w:val="CETCaptionCarattere"/>
          <w:lang w:val="en-US"/>
        </w:rPr>
        <w:t xml:space="preserve"> Tank 59</w:t>
      </w:r>
      <w:r w:rsidR="00A51374" w:rsidRPr="00894379">
        <w:rPr>
          <w:rStyle w:val="CETCaptionCarattere"/>
          <w:lang w:val="en-US"/>
        </w:rPr>
        <w:t>:</w:t>
      </w:r>
      <w:r w:rsidR="00097142" w:rsidRPr="00894379">
        <w:rPr>
          <w:rStyle w:val="CETCaptionCarattere"/>
          <w:lang w:val="en-US"/>
        </w:rPr>
        <w:t xml:space="preserve"> </w:t>
      </w:r>
      <w:r w:rsidR="00926ADD" w:rsidRPr="00894379">
        <w:rPr>
          <w:rStyle w:val="CETCaptionCarattere"/>
          <w:lang w:val="en-US"/>
        </w:rPr>
        <w:t xml:space="preserve">(a) </w:t>
      </w:r>
      <w:r w:rsidR="00097142" w:rsidRPr="00894379">
        <w:rPr>
          <w:i/>
        </w:rPr>
        <w:t xml:space="preserve">90% </w:t>
      </w:r>
      <w:r w:rsidR="00D14DCE" w:rsidRPr="00894379">
        <w:rPr>
          <w:i/>
        </w:rPr>
        <w:t xml:space="preserve">of </w:t>
      </w:r>
      <w:r w:rsidR="003A6E5E">
        <w:rPr>
          <w:i/>
        </w:rPr>
        <w:t xml:space="preserve">the </w:t>
      </w:r>
      <w:r w:rsidR="00097142" w:rsidRPr="00894379">
        <w:rPr>
          <w:i/>
        </w:rPr>
        <w:t>filling level</w:t>
      </w:r>
      <w:r w:rsidR="00EB4F2F" w:rsidRPr="00894379">
        <w:rPr>
          <w:i/>
        </w:rPr>
        <w:t>;</w:t>
      </w:r>
      <w:r w:rsidR="00926ADD" w:rsidRPr="00894379">
        <w:rPr>
          <w:i/>
        </w:rPr>
        <w:t xml:space="preserve"> (b) </w:t>
      </w:r>
      <w:bookmarkEnd w:id="7"/>
      <w:r w:rsidR="00D14DCE" w:rsidRPr="00894379">
        <w:rPr>
          <w:i/>
        </w:rPr>
        <w:t xml:space="preserve">80% of </w:t>
      </w:r>
      <w:r w:rsidR="003A6E5E">
        <w:rPr>
          <w:i/>
        </w:rPr>
        <w:t xml:space="preserve">the </w:t>
      </w:r>
      <w:r w:rsidR="00D14DCE" w:rsidRPr="00894379">
        <w:rPr>
          <w:i/>
        </w:rPr>
        <w:t>filling level</w:t>
      </w:r>
      <w:r w:rsidR="00EB4F2F" w:rsidRPr="00894379">
        <w:rPr>
          <w:i/>
        </w:rPr>
        <w:t>;</w:t>
      </w:r>
      <w:r w:rsidR="00D14DCE" w:rsidRPr="00894379">
        <w:rPr>
          <w:i/>
        </w:rPr>
        <w:t xml:space="preserve"> </w:t>
      </w:r>
      <w:r w:rsidR="00EB4F2F" w:rsidRPr="00894379">
        <w:rPr>
          <w:i/>
        </w:rPr>
        <w:t xml:space="preserve">and </w:t>
      </w:r>
      <w:r w:rsidR="00D14DCE" w:rsidRPr="00894379">
        <w:rPr>
          <w:i/>
        </w:rPr>
        <w:t xml:space="preserve">(c) 70% of </w:t>
      </w:r>
      <w:r w:rsidR="003A6E5E">
        <w:rPr>
          <w:i/>
        </w:rPr>
        <w:t xml:space="preserve">the </w:t>
      </w:r>
      <w:r w:rsidR="00D14DCE" w:rsidRPr="00894379">
        <w:rPr>
          <w:i/>
        </w:rPr>
        <w:t xml:space="preserve">filling level </w:t>
      </w:r>
    </w:p>
    <w:p w14:paraId="3365904C" w14:textId="0B7F7361" w:rsidR="009F445D" w:rsidRPr="00894379" w:rsidRDefault="009F445D" w:rsidP="00600535">
      <w:pPr>
        <w:pStyle w:val="CETBodytext"/>
        <w:rPr>
          <w:iCs/>
        </w:rPr>
      </w:pPr>
      <w:r w:rsidRPr="00894379">
        <w:rPr>
          <w:iCs/>
        </w:rPr>
        <w:t xml:space="preserve">The </w:t>
      </w:r>
      <w:r w:rsidR="008A52AC" w:rsidRPr="00894379">
        <w:rPr>
          <w:iCs/>
        </w:rPr>
        <w:t xml:space="preserve">outcomes of </w:t>
      </w:r>
      <w:r w:rsidRPr="00894379">
        <w:rPr>
          <w:iCs/>
        </w:rPr>
        <w:t xml:space="preserve">overtopping probabilities for steel storage broad tanks with single-deck floating </w:t>
      </w:r>
      <w:r w:rsidR="0052531C" w:rsidRPr="00894379">
        <w:rPr>
          <w:iCs/>
        </w:rPr>
        <w:t>roofs</w:t>
      </w:r>
      <w:r w:rsidRPr="00894379">
        <w:rPr>
          <w:iCs/>
        </w:rPr>
        <w:t xml:space="preserve"> under different earthquake levels with liquid contents filled up to 90%, 80%, and 70%</w:t>
      </w:r>
      <w:r w:rsidR="008A52AC" w:rsidRPr="00894379">
        <w:rPr>
          <w:iCs/>
        </w:rPr>
        <w:t xml:space="preserve"> </w:t>
      </w:r>
      <w:r w:rsidR="00C45D88">
        <w:rPr>
          <w:iCs/>
        </w:rPr>
        <w:t>for</w:t>
      </w:r>
      <w:r w:rsidR="007D7D74" w:rsidRPr="00894379">
        <w:rPr>
          <w:iCs/>
        </w:rPr>
        <w:t xml:space="preserve"> </w:t>
      </w:r>
      <w:r w:rsidR="00881AAA" w:rsidRPr="00894379">
        <w:rPr>
          <w:iCs/>
        </w:rPr>
        <w:t xml:space="preserve">the </w:t>
      </w:r>
      <w:r w:rsidR="00C45D88">
        <w:rPr>
          <w:iCs/>
        </w:rPr>
        <w:t xml:space="preserve">spectral acceleration at the </w:t>
      </w:r>
      <w:r w:rsidR="0035129D" w:rsidRPr="00894379">
        <w:rPr>
          <w:iCs/>
        </w:rPr>
        <w:t>period</w:t>
      </w:r>
      <w:r w:rsidR="007D7D74" w:rsidRPr="00894379">
        <w:rPr>
          <w:iCs/>
        </w:rPr>
        <w:t xml:space="preserve"> of 4</w:t>
      </w:r>
      <w:r w:rsidR="0035129D" w:rsidRPr="00894379">
        <w:rPr>
          <w:iCs/>
        </w:rPr>
        <w:t xml:space="preserve"> s </w:t>
      </w:r>
      <w:r w:rsidR="008A52AC" w:rsidRPr="00894379">
        <w:rPr>
          <w:iCs/>
        </w:rPr>
        <w:t xml:space="preserve">are shown in Figure 5. </w:t>
      </w:r>
      <w:r w:rsidR="00307876" w:rsidRPr="00894379">
        <w:rPr>
          <w:iCs/>
        </w:rPr>
        <w:t>Through</w:t>
      </w:r>
      <w:r w:rsidRPr="00894379">
        <w:rPr>
          <w:iCs/>
        </w:rPr>
        <w:t xml:space="preserve"> the reduced filling level of liquid content, the broad tank has more freeboard (space above the liquid)</w:t>
      </w:r>
      <w:r w:rsidR="00414721" w:rsidRPr="00894379">
        <w:rPr>
          <w:iCs/>
        </w:rPr>
        <w:t>, resulting</w:t>
      </w:r>
      <w:r w:rsidRPr="00894379">
        <w:rPr>
          <w:iCs/>
        </w:rPr>
        <w:t xml:space="preserve"> in a lower probability of overtopping at the same spectral </w:t>
      </w:r>
      <w:r w:rsidR="00414721" w:rsidRPr="00894379">
        <w:rPr>
          <w:iCs/>
        </w:rPr>
        <w:t>acceleration</w:t>
      </w:r>
      <w:r w:rsidRPr="00894379">
        <w:rPr>
          <w:iCs/>
        </w:rPr>
        <w:t xml:space="preserve"> level. The 90% fill level curve</w:t>
      </w:r>
      <w:r w:rsidR="00AC40EA">
        <w:rPr>
          <w:iCs/>
        </w:rPr>
        <w:t xml:space="preserve">, see </w:t>
      </w:r>
      <w:r w:rsidRPr="00894379">
        <w:rPr>
          <w:iCs/>
        </w:rPr>
        <w:t xml:space="preserve">Figure </w:t>
      </w:r>
      <w:r w:rsidR="008021A6" w:rsidRPr="00894379">
        <w:rPr>
          <w:iCs/>
        </w:rPr>
        <w:t>5(a)</w:t>
      </w:r>
      <w:r w:rsidR="00AC40EA">
        <w:rPr>
          <w:iCs/>
        </w:rPr>
        <w:t>,</w:t>
      </w:r>
      <w:r w:rsidR="008021A6" w:rsidRPr="00894379">
        <w:rPr>
          <w:iCs/>
        </w:rPr>
        <w:t xml:space="preserve"> </w:t>
      </w:r>
      <w:r w:rsidRPr="00894379">
        <w:rPr>
          <w:iCs/>
        </w:rPr>
        <w:t>represents the greatest risk, as the exceedance probabilities increase at lower spectral accelerations than for curves for lower fill levels, due to reduced freeboard.</w:t>
      </w:r>
      <w:r w:rsidR="00D36B00" w:rsidRPr="00894379">
        <w:rPr>
          <w:iCs/>
        </w:rPr>
        <w:t xml:space="preserve"> This risk is reduced with low liquid levels. </w:t>
      </w:r>
      <w:r w:rsidRPr="00894379">
        <w:rPr>
          <w:iCs/>
        </w:rPr>
        <w:t xml:space="preserve">On the other hand, the </w:t>
      </w:r>
      <w:r w:rsidR="00AC40EA">
        <w:rPr>
          <w:iCs/>
        </w:rPr>
        <w:t xml:space="preserve">curves referring to </w:t>
      </w:r>
      <w:r w:rsidRPr="00894379">
        <w:rPr>
          <w:iCs/>
        </w:rPr>
        <w:t>80%</w:t>
      </w:r>
      <w:r w:rsidR="00AC40EA">
        <w:rPr>
          <w:iCs/>
        </w:rPr>
        <w:t xml:space="preserve">, see </w:t>
      </w:r>
      <w:r w:rsidRPr="00894379">
        <w:rPr>
          <w:iCs/>
        </w:rPr>
        <w:t>Figure 5</w:t>
      </w:r>
      <w:r w:rsidR="008021A6" w:rsidRPr="00894379">
        <w:rPr>
          <w:iCs/>
        </w:rPr>
        <w:t>(</w:t>
      </w:r>
      <w:r w:rsidRPr="00894379">
        <w:rPr>
          <w:iCs/>
        </w:rPr>
        <w:t>b</w:t>
      </w:r>
      <w:r w:rsidR="008021A6" w:rsidRPr="00894379">
        <w:rPr>
          <w:iCs/>
        </w:rPr>
        <w:t>)</w:t>
      </w:r>
      <w:r w:rsidR="00AC40EA">
        <w:rPr>
          <w:iCs/>
        </w:rPr>
        <w:t>,</w:t>
      </w:r>
      <w:r w:rsidRPr="00894379">
        <w:rPr>
          <w:iCs/>
        </w:rPr>
        <w:t xml:space="preserve"> and 70%</w:t>
      </w:r>
      <w:r w:rsidR="00AC40EA">
        <w:rPr>
          <w:iCs/>
        </w:rPr>
        <w:t xml:space="preserve">, as shown in </w:t>
      </w:r>
      <w:r w:rsidRPr="00894379">
        <w:rPr>
          <w:iCs/>
        </w:rPr>
        <w:t xml:space="preserve">Figure </w:t>
      </w:r>
      <w:r w:rsidR="008021A6" w:rsidRPr="00894379">
        <w:rPr>
          <w:iCs/>
        </w:rPr>
        <w:t>5(c)</w:t>
      </w:r>
      <w:r w:rsidR="00AC40EA">
        <w:rPr>
          <w:iCs/>
        </w:rPr>
        <w:t>,</w:t>
      </w:r>
      <w:r w:rsidR="008021A6" w:rsidRPr="00894379">
        <w:rPr>
          <w:iCs/>
        </w:rPr>
        <w:t xml:space="preserve"> </w:t>
      </w:r>
      <w:r w:rsidRPr="00894379">
        <w:rPr>
          <w:iCs/>
        </w:rPr>
        <w:t>are pushed to the right, indicating that much higher seismic intensities are necessary to achieve the same probability of overtopping, showing a significant reduction in seismic risk.</w:t>
      </w:r>
    </w:p>
    <w:p w14:paraId="68D26B83" w14:textId="36AB178D" w:rsidR="00600535" w:rsidRPr="00894379" w:rsidRDefault="00600535" w:rsidP="00600535">
      <w:pPr>
        <w:pStyle w:val="CETHeading1"/>
      </w:pPr>
      <w:r w:rsidRPr="00894379">
        <w:t>Conclusions</w:t>
      </w:r>
      <w:r w:rsidR="001F4DDD" w:rsidRPr="00894379">
        <w:t xml:space="preserve"> and future </w:t>
      </w:r>
      <w:r w:rsidR="005B6DF4" w:rsidRPr="00894379">
        <w:t>developments</w:t>
      </w:r>
    </w:p>
    <w:p w14:paraId="1D78DDE4" w14:textId="0AD8DF05" w:rsidR="00A9739F" w:rsidRPr="00894379" w:rsidRDefault="00A9739F" w:rsidP="00BF1589">
      <w:pPr>
        <w:pStyle w:val="Rientrocorpodeltesto"/>
        <w:ind w:left="0"/>
      </w:pPr>
      <w:r w:rsidRPr="00894379">
        <w:t xml:space="preserve">This study </w:t>
      </w:r>
      <w:r w:rsidR="00BC46F9" w:rsidRPr="00894379">
        <w:t xml:space="preserve">has </w:t>
      </w:r>
      <w:r w:rsidRPr="00894379">
        <w:t>examine</w:t>
      </w:r>
      <w:r w:rsidR="00BC46F9" w:rsidRPr="00894379">
        <w:t>d</w:t>
      </w:r>
      <w:r w:rsidRPr="00894379">
        <w:t xml:space="preserve"> the vulnerability of structur</w:t>
      </w:r>
      <w:r w:rsidR="00BC46F9" w:rsidRPr="00894379">
        <w:t>al components</w:t>
      </w:r>
      <w:r w:rsidRPr="00894379">
        <w:t xml:space="preserve"> under seismic loading, with particular attention to the </w:t>
      </w:r>
      <w:r w:rsidR="00C270D4" w:rsidRPr="00894379">
        <w:t xml:space="preserve">fragility </w:t>
      </w:r>
      <w:r w:rsidR="00BC46F9" w:rsidRPr="00894379">
        <w:t>of leakage due to buckling of</w:t>
      </w:r>
      <w:r w:rsidRPr="00894379">
        <w:t xml:space="preserve"> </w:t>
      </w:r>
      <w:r w:rsidR="00BC46F9" w:rsidRPr="00894379">
        <w:t xml:space="preserve">single-deck </w:t>
      </w:r>
      <w:r w:rsidRPr="00894379">
        <w:t>floating-roof</w:t>
      </w:r>
      <w:r w:rsidR="00BC46F9" w:rsidRPr="00894379">
        <w:t xml:space="preserve"> or /and seals of</w:t>
      </w:r>
      <w:r w:rsidRPr="00894379">
        <w:t xml:space="preserve"> broad storage tanks. The </w:t>
      </w:r>
      <w:r w:rsidR="00BC46F9" w:rsidRPr="00894379">
        <w:t xml:space="preserve">relevant </w:t>
      </w:r>
      <w:r w:rsidRPr="00894379">
        <w:t xml:space="preserve">refined FE model established was effective in successfully </w:t>
      </w:r>
      <w:r w:rsidR="00C270D4" w:rsidRPr="00894379">
        <w:t xml:space="preserve">modelling </w:t>
      </w:r>
      <w:r w:rsidRPr="00894379">
        <w:t xml:space="preserve">the </w:t>
      </w:r>
      <w:r w:rsidR="00BC46F9" w:rsidRPr="00894379">
        <w:t xml:space="preserve">broad tank response subjected to </w:t>
      </w:r>
      <w:r w:rsidRPr="00894379">
        <w:t>earthquake</w:t>
      </w:r>
      <w:r w:rsidR="00BC46F9" w:rsidRPr="00894379">
        <w:t>s</w:t>
      </w:r>
      <w:r w:rsidRPr="00894379">
        <w:t xml:space="preserve">. </w:t>
      </w:r>
      <w:r w:rsidR="00BC46F9" w:rsidRPr="00894379">
        <w:t>In particular, t</w:t>
      </w:r>
      <w:r w:rsidRPr="00894379">
        <w:t>h</w:t>
      </w:r>
      <w:r w:rsidR="00BC46F9" w:rsidRPr="00894379">
        <w:t>e aforementioned model</w:t>
      </w:r>
      <w:r w:rsidRPr="00894379">
        <w:t xml:space="preserve"> accurately captured the interaction between fluid and </w:t>
      </w:r>
      <w:r w:rsidR="00BC46F9" w:rsidRPr="00894379">
        <w:t>single-deck floating roof</w:t>
      </w:r>
      <w:r w:rsidR="00425443" w:rsidRPr="00894379">
        <w:t>s</w:t>
      </w:r>
      <w:r w:rsidRPr="00894379">
        <w:t xml:space="preserve"> and contributed to the evaluation of potential failure mechanisms</w:t>
      </w:r>
      <w:r w:rsidR="00BC46F9" w:rsidRPr="00894379">
        <w:t xml:space="preserve"> also associated with seals</w:t>
      </w:r>
      <w:r w:rsidRPr="00894379">
        <w:t xml:space="preserve">. Fragility </w:t>
      </w:r>
      <w:r w:rsidR="00C270D4" w:rsidRPr="00894379">
        <w:t xml:space="preserve">functions </w:t>
      </w:r>
      <w:r w:rsidR="00BC46F9" w:rsidRPr="00894379">
        <w:t xml:space="preserve">of leakage </w:t>
      </w:r>
      <w:r w:rsidRPr="00894379">
        <w:t xml:space="preserve">were produced </w:t>
      </w:r>
      <w:r w:rsidR="00BC46F9" w:rsidRPr="00894379">
        <w:t>with standard techniques</w:t>
      </w:r>
      <w:r w:rsidR="00425443" w:rsidRPr="00894379">
        <w:t>,</w:t>
      </w:r>
      <w:r w:rsidRPr="00894379">
        <w:t xml:space="preserve"> and the results indicated that </w:t>
      </w:r>
      <w:r w:rsidR="00BC46F9" w:rsidRPr="00894379">
        <w:t>floating roofs and seals are vulnerable to damage and can entail significant leakage</w:t>
      </w:r>
      <w:r w:rsidRPr="00894379">
        <w:t xml:space="preserve">. </w:t>
      </w:r>
      <w:r w:rsidR="004067A2" w:rsidRPr="004067A2">
        <w:t>This result also supports the claim that the level of liquid content significantly affects tank vulnerability during an earthquake</w:t>
      </w:r>
      <w:r w:rsidR="004067A2">
        <w:t xml:space="preserve">. </w:t>
      </w:r>
      <w:r w:rsidRPr="00894379">
        <w:t>The higher the liquid level, the greater the risk of structural damage and leakage.</w:t>
      </w:r>
      <w:r w:rsidR="006B11FB" w:rsidRPr="00894379">
        <w:t xml:space="preserve"> The</w:t>
      </w:r>
      <w:r w:rsidR="00AC40EA" w:rsidRPr="00894379">
        <w:t xml:space="preserve"> exceedance </w:t>
      </w:r>
      <w:r w:rsidR="006B11FB" w:rsidRPr="00894379">
        <w:t xml:space="preserve">probability was predicted to be highest at spectral accelerations of 0.42 g and 2.4 g for filling </w:t>
      </w:r>
      <w:r w:rsidR="007610E7" w:rsidRPr="00894379">
        <w:t xml:space="preserve">liquid </w:t>
      </w:r>
      <w:r w:rsidR="006B11FB" w:rsidRPr="00894379">
        <w:t xml:space="preserve">levels of </w:t>
      </w:r>
      <w:r w:rsidR="00AC40EA">
        <w:t>9</w:t>
      </w:r>
      <w:r w:rsidR="006B11FB" w:rsidRPr="00894379">
        <w:t xml:space="preserve">0% and </w:t>
      </w:r>
      <w:r w:rsidR="00AC40EA">
        <w:t>7</w:t>
      </w:r>
      <w:r w:rsidR="006B11FB" w:rsidRPr="00894379">
        <w:t>0%, respectively.</w:t>
      </w:r>
      <w:r w:rsidR="00E95F53" w:rsidRPr="00894379">
        <w:t xml:space="preserve"> </w:t>
      </w:r>
      <w:r w:rsidRPr="00894379">
        <w:t xml:space="preserve">This research can be further expanded in the future, where the accuracy of fragility analyses for </w:t>
      </w:r>
      <w:r w:rsidR="00BC46F9" w:rsidRPr="00894379">
        <w:t xml:space="preserve">leakage estimation due to failure </w:t>
      </w:r>
      <w:r w:rsidRPr="00894379">
        <w:t>sealing</w:t>
      </w:r>
      <w:r w:rsidR="00BC46F9" w:rsidRPr="00894379">
        <w:t>s</w:t>
      </w:r>
      <w:r w:rsidRPr="00894379">
        <w:t xml:space="preserve"> and floating roof</w:t>
      </w:r>
      <w:r w:rsidR="00BC46F9" w:rsidRPr="00894379">
        <w:t xml:space="preserve"> buckling will be improved</w:t>
      </w:r>
      <w:r w:rsidRPr="00894379">
        <w:t>. F</w:t>
      </w:r>
      <w:r w:rsidR="00BC46F9" w:rsidRPr="00894379">
        <w:t>inally</w:t>
      </w:r>
      <w:r w:rsidRPr="00894379">
        <w:t xml:space="preserve">, </w:t>
      </w:r>
      <w:r w:rsidR="00BC46F9" w:rsidRPr="00894379">
        <w:t>both refined and simplified FE model</w:t>
      </w:r>
      <w:r w:rsidR="00C45D88">
        <w:t>s of broad tanks</w:t>
      </w:r>
      <w:r w:rsidRPr="00894379">
        <w:t xml:space="preserve"> could be </w:t>
      </w:r>
      <w:r w:rsidR="00BC46F9" w:rsidRPr="00894379">
        <w:t>improved</w:t>
      </w:r>
      <w:r w:rsidRPr="00894379">
        <w:t xml:space="preserve"> to increase the </w:t>
      </w:r>
      <w:r w:rsidR="00C45D88">
        <w:t>accuracy</w:t>
      </w:r>
      <w:r w:rsidR="00BC46F9" w:rsidRPr="00894379">
        <w:t xml:space="preserve"> of the proposed results</w:t>
      </w:r>
      <w:r w:rsidRPr="00894379">
        <w:t>.</w:t>
      </w:r>
    </w:p>
    <w:p w14:paraId="2CA4BA14" w14:textId="77777777" w:rsidR="00BF1589" w:rsidRPr="00894379" w:rsidRDefault="00BF1589" w:rsidP="00BF1589">
      <w:pPr>
        <w:pStyle w:val="CETHeadingxx"/>
        <w:sectPr w:rsidR="00BF1589" w:rsidRPr="00894379" w:rsidSect="00BF1589">
          <w:type w:val="continuous"/>
          <w:pgSz w:w="11906" w:h="16838" w:code="9"/>
          <w:pgMar w:top="1701" w:right="1418" w:bottom="1701" w:left="1701" w:header="1701" w:footer="0" w:gutter="0"/>
          <w:cols w:space="708"/>
          <w:formProt w:val="0"/>
          <w:titlePg/>
          <w:docGrid w:linePitch="360"/>
        </w:sectPr>
      </w:pPr>
      <w:r w:rsidRPr="00894379">
        <w:t>Nomenclature</w:t>
      </w:r>
    </w:p>
    <w:p w14:paraId="0219BCD6" w14:textId="550BE5FE" w:rsidR="00BF1589" w:rsidRPr="00894379" w:rsidRDefault="00BF1589" w:rsidP="00BF1589">
      <w:pPr>
        <w:pStyle w:val="CETBodytext"/>
        <w:jc w:val="left"/>
      </w:pPr>
      <w:r w:rsidRPr="00894379">
        <w:lastRenderedPageBreak/>
        <w:t>CPA</w:t>
      </w:r>
      <w:r w:rsidRPr="00894379">
        <w:rPr>
          <w:rFonts w:eastAsia="SimSun"/>
        </w:rPr>
        <w:t xml:space="preserve"> – </w:t>
      </w:r>
      <w:r w:rsidRPr="00894379">
        <w:t xml:space="preserve">contact pressure </w:t>
      </w:r>
      <w:r w:rsidR="00977A91" w:rsidRPr="00894379">
        <w:t>approach</w:t>
      </w:r>
    </w:p>
    <w:p w14:paraId="306E1FC1" w14:textId="77777777" w:rsidR="00BF1589" w:rsidRPr="00894379" w:rsidRDefault="00BF1589" w:rsidP="00BF1589">
      <w:pPr>
        <w:pStyle w:val="CETBodytext"/>
        <w:jc w:val="left"/>
      </w:pPr>
      <w:r w:rsidRPr="00894379">
        <w:rPr>
          <w:rFonts w:eastAsia="SimSun"/>
        </w:rPr>
        <w:t xml:space="preserve">FE – </w:t>
      </w:r>
      <w:r w:rsidRPr="00894379">
        <w:t>finite element</w:t>
      </w:r>
    </w:p>
    <w:p w14:paraId="33C1173C" w14:textId="72AA7C8F" w:rsidR="00F03045" w:rsidRPr="00894379" w:rsidRDefault="00F03045" w:rsidP="00BF1589">
      <w:pPr>
        <w:pStyle w:val="CETBodytext"/>
        <w:jc w:val="left"/>
      </w:pPr>
      <w:r w:rsidRPr="00894379">
        <w:t>IM – intensity measure</w:t>
      </w:r>
    </w:p>
    <w:p w14:paraId="4502DE53" w14:textId="7A74FA25" w:rsidR="002114A1" w:rsidRPr="00894379" w:rsidRDefault="00B36EFC" w:rsidP="00D650A6">
      <w:pPr>
        <w:pStyle w:val="CETBodytext"/>
        <w:jc w:val="left"/>
        <w:rPr>
          <w:rFonts w:eastAsia="SimSun"/>
        </w:rPr>
      </w:pPr>
      <w:r w:rsidRPr="00894379">
        <w:rPr>
          <w:rFonts w:eastAsia="SimSun"/>
        </w:rPr>
        <w:t>MCS – Monte Carlo simulation</w:t>
      </w:r>
    </w:p>
    <w:p w14:paraId="1A1CFD64" w14:textId="6FA917CC" w:rsidR="00D650A6" w:rsidRPr="00894379" w:rsidRDefault="00D650A6" w:rsidP="00D650A6">
      <w:pPr>
        <w:pStyle w:val="CETBodytext"/>
        <w:jc w:val="left"/>
        <w:rPr>
          <w:rFonts w:eastAsia="SimSun"/>
        </w:rPr>
      </w:pPr>
      <w:r w:rsidRPr="00894379">
        <w:rPr>
          <w:rFonts w:eastAsia="SimSun"/>
        </w:rPr>
        <w:t>NaTech– natural hazard triggering technological</w:t>
      </w:r>
    </w:p>
    <w:p w14:paraId="6531A863" w14:textId="77777777" w:rsidR="00D650A6" w:rsidRPr="00894379" w:rsidRDefault="00D650A6" w:rsidP="00D650A6">
      <w:pPr>
        <w:pStyle w:val="CETBodytext"/>
        <w:jc w:val="left"/>
        <w:rPr>
          <w:rFonts w:eastAsia="SimSun"/>
        </w:rPr>
      </w:pPr>
      <w:r w:rsidRPr="00894379">
        <w:rPr>
          <w:rFonts w:eastAsia="SimSun"/>
        </w:rPr>
        <w:t>disasters</w:t>
      </w:r>
    </w:p>
    <w:p w14:paraId="45F9E7F2" w14:textId="776CD6E6" w:rsidR="00BF1589" w:rsidRPr="00894379" w:rsidRDefault="00BF1589" w:rsidP="00BF1589">
      <w:pPr>
        <w:pStyle w:val="CETBodytext"/>
        <w:jc w:val="left"/>
        <w:rPr>
          <w:rFonts w:eastAsia="SimSun"/>
        </w:rPr>
      </w:pPr>
      <w:r w:rsidRPr="00894379">
        <w:rPr>
          <w:rFonts w:eastAsia="SimSun"/>
        </w:rPr>
        <w:t>PGA – peak ground acceleration</w:t>
      </w:r>
    </w:p>
    <w:p w14:paraId="1F441AF7" w14:textId="77777777" w:rsidR="00BF1589" w:rsidRPr="00894379" w:rsidRDefault="00BF1589" w:rsidP="00BF1589">
      <w:pPr>
        <w:pStyle w:val="CETBodytext"/>
        <w:jc w:val="left"/>
        <w:rPr>
          <w:rFonts w:eastAsia="SimSun"/>
        </w:rPr>
      </w:pPr>
      <w:r w:rsidRPr="00894379">
        <w:rPr>
          <w:rFonts w:eastAsia="SimSun"/>
        </w:rPr>
        <w:t xml:space="preserve">SM – </w:t>
      </w:r>
      <w:r w:rsidRPr="00894379">
        <w:t>s</w:t>
      </w:r>
      <w:r w:rsidRPr="00894379">
        <w:rPr>
          <w:bCs/>
        </w:rPr>
        <w:t>implified model</w:t>
      </w:r>
    </w:p>
    <w:p w14:paraId="12CB265D" w14:textId="77777777" w:rsidR="00BF1589" w:rsidRPr="00894379" w:rsidRDefault="00BF1589" w:rsidP="00BF1589">
      <w:pPr>
        <w:pStyle w:val="CETBodytext"/>
        <w:jc w:val="left"/>
        <w:rPr>
          <w:rFonts w:eastAsia="SimSun"/>
        </w:rPr>
      </w:pPr>
      <w:r w:rsidRPr="00894379">
        <w:rPr>
          <w:rFonts w:eastAsia="SimSun"/>
        </w:rPr>
        <w:t>2D – two dimensional</w:t>
      </w:r>
    </w:p>
    <w:p w14:paraId="168B6CD8" w14:textId="77777777" w:rsidR="00BF1589" w:rsidRPr="00894379" w:rsidRDefault="00BF1589" w:rsidP="00BF1589">
      <w:pPr>
        <w:pStyle w:val="CETBodytext"/>
        <w:jc w:val="left"/>
        <w:rPr>
          <w:rFonts w:eastAsia="SimSun"/>
        </w:rPr>
      </w:pPr>
      <w:r w:rsidRPr="00894379">
        <w:rPr>
          <w:rFonts w:eastAsia="SimSun"/>
        </w:rPr>
        <w:t>3D – three dimensional</w:t>
      </w:r>
    </w:p>
    <w:p w14:paraId="7DDB50A3" w14:textId="77777777" w:rsidR="00BF1589" w:rsidRPr="00894379" w:rsidRDefault="00BF1589" w:rsidP="00BF1589">
      <w:pPr>
        <w:pStyle w:val="CETBodytext"/>
        <w:jc w:val="left"/>
        <w:rPr>
          <w:rFonts w:eastAsia="SimSun"/>
          <w:i/>
          <w:iCs/>
        </w:rPr>
        <w:sectPr w:rsidR="00BF1589" w:rsidRPr="00894379" w:rsidSect="00BF1589">
          <w:type w:val="continuous"/>
          <w:pgSz w:w="11906" w:h="16838" w:code="9"/>
          <w:pgMar w:top="1701" w:right="1416" w:bottom="1701" w:left="1701" w:header="1701" w:footer="0" w:gutter="0"/>
          <w:cols w:num="2" w:space="285"/>
          <w:formProt w:val="0"/>
          <w:titlePg/>
          <w:docGrid w:linePitch="360"/>
        </w:sectPr>
      </w:pPr>
    </w:p>
    <w:p w14:paraId="61B189EE" w14:textId="77777777" w:rsidR="00BF1589" w:rsidRPr="00894379" w:rsidRDefault="00BF1589" w:rsidP="00BF1589">
      <w:pPr>
        <w:pStyle w:val="CETAcknowledgementstitle"/>
        <w:rPr>
          <w:lang w:val="en-US"/>
        </w:rPr>
      </w:pPr>
      <w:r w:rsidRPr="00894379">
        <w:rPr>
          <w:lang w:val="en-US"/>
        </w:rPr>
        <w:t>Acknowledgments</w:t>
      </w:r>
    </w:p>
    <w:p w14:paraId="33F8138F" w14:textId="39929681" w:rsidR="00600535" w:rsidRPr="00894379" w:rsidRDefault="004A00C0" w:rsidP="00EB4F2F">
      <w:pPr>
        <w:pStyle w:val="CETBodytext"/>
        <w:rPr>
          <w:bCs/>
        </w:rPr>
      </w:pPr>
      <w:r w:rsidRPr="00894379">
        <w:rPr>
          <w:bCs/>
        </w:rPr>
        <w:t xml:space="preserve">The research leading to these results has received funding from i) </w:t>
      </w:r>
      <w:r w:rsidR="00EB4F2F" w:rsidRPr="00894379">
        <w:rPr>
          <w:bCs/>
        </w:rPr>
        <w:t xml:space="preserve">the National Project MUR PNRR M4C2-CN1-SPOKE 9 for the first and the second author; ii) </w:t>
      </w:r>
      <w:r w:rsidRPr="00894379">
        <w:rPr>
          <w:bCs/>
        </w:rPr>
        <w:t xml:space="preserve">“NextGeneration EU Programme” [PRIN − 2022MJ82MC_001 − CUPE53D23004440006] – for the </w:t>
      </w:r>
      <w:r w:rsidR="00EB4F2F" w:rsidRPr="00894379">
        <w:rPr>
          <w:bCs/>
        </w:rPr>
        <w:t>third</w:t>
      </w:r>
      <w:r w:rsidRPr="00894379">
        <w:rPr>
          <w:bCs/>
        </w:rPr>
        <w:t xml:space="preserve"> and the </w:t>
      </w:r>
      <w:r w:rsidR="00EB4F2F" w:rsidRPr="00894379">
        <w:rPr>
          <w:bCs/>
        </w:rPr>
        <w:t>fourth</w:t>
      </w:r>
      <w:r w:rsidRPr="00894379">
        <w:rPr>
          <w:bCs/>
        </w:rPr>
        <w:t xml:space="preserve"> author; ii</w:t>
      </w:r>
      <w:r w:rsidR="00EB4F2F" w:rsidRPr="00894379">
        <w:rPr>
          <w:bCs/>
        </w:rPr>
        <w:t>i</w:t>
      </w:r>
      <w:r w:rsidRPr="00894379">
        <w:rPr>
          <w:bCs/>
        </w:rPr>
        <w:t xml:space="preserve">) the Italian Ministry of Universities and Research (MUR), in the framework of the project DICAM-EXC (Departments of Excellence 2023-2027, grant L232/2016) – for the </w:t>
      </w:r>
      <w:r w:rsidR="00EB4F2F" w:rsidRPr="00894379">
        <w:rPr>
          <w:bCs/>
        </w:rPr>
        <w:t>first author</w:t>
      </w:r>
      <w:r w:rsidRPr="00894379">
        <w:rPr>
          <w:bCs/>
        </w:rPr>
        <w:t>.</w:t>
      </w:r>
    </w:p>
    <w:p w14:paraId="4F1327F8" w14:textId="77777777" w:rsidR="00600535" w:rsidRPr="00894379" w:rsidRDefault="00600535" w:rsidP="00600535">
      <w:pPr>
        <w:pStyle w:val="CETReference"/>
        <w:rPr>
          <w:lang w:val="en-US"/>
        </w:rPr>
      </w:pPr>
      <w:r w:rsidRPr="00894379">
        <w:rPr>
          <w:lang w:val="en-US"/>
        </w:rPr>
        <w:t>References</w:t>
      </w:r>
    </w:p>
    <w:p w14:paraId="46A746A5" w14:textId="77777777" w:rsidR="00BF1589" w:rsidRPr="00894379" w:rsidRDefault="00BF1589" w:rsidP="00BF1589">
      <w:pPr>
        <w:pStyle w:val="CETReferencetext"/>
        <w:rPr>
          <w:lang w:val="en-US"/>
        </w:rPr>
      </w:pPr>
      <w:r w:rsidRPr="00894379">
        <w:rPr>
          <w:lang w:val="en-US"/>
        </w:rPr>
        <w:t>Alessandri S., Caputo A.C., Corritore D., Renato G., Paolacci F., Phan H.N., 2017, On the use of proper fragility models for quantitative seismic risk assessment of process plants in seismic prone areas, In Proceedings of the Pressure Vessels and Piping Conference, Vol. 58035, V008T08A022, ASME.</w:t>
      </w:r>
    </w:p>
    <w:p w14:paraId="246C62F4" w14:textId="4A2EF9C3" w:rsidR="00527F31" w:rsidRPr="00894379" w:rsidRDefault="00527F31" w:rsidP="00527F31">
      <w:pPr>
        <w:pStyle w:val="CETReferencetext"/>
        <w:rPr>
          <w:lang w:val="en-US"/>
        </w:rPr>
      </w:pPr>
      <w:r w:rsidRPr="00E04985">
        <w:rPr>
          <w:lang w:val="it-IT"/>
        </w:rPr>
        <w:t xml:space="preserve">Alfanda, A. M. u., Dai, K., &amp; Wang, J. (2022). </w:t>
      </w:r>
      <w:r w:rsidRPr="00894379">
        <w:rPr>
          <w:lang w:val="en-US"/>
        </w:rPr>
        <w:t>Review of seismic fragility and loss quantification of building-like industrial facilities. Journal of Pressure Vessel Technology, 144(6), 060801.</w:t>
      </w:r>
    </w:p>
    <w:p w14:paraId="1A4DF066" w14:textId="77777777" w:rsidR="00BF1589" w:rsidRPr="00894379" w:rsidRDefault="00BF1589" w:rsidP="00BF1589">
      <w:pPr>
        <w:pStyle w:val="CETReferencetext"/>
        <w:rPr>
          <w:lang w:val="en-US"/>
        </w:rPr>
      </w:pPr>
      <w:r w:rsidRPr="00894379">
        <w:rPr>
          <w:lang w:val="en-US"/>
        </w:rPr>
        <w:t xml:space="preserve">Bezir F., Öztürk S., Sarı A., Akgül K., 2022, Fragility analysis of atmospheric storage tanks by observational and analytical data, International Journal of Steel Structures, 1–14. </w:t>
      </w:r>
    </w:p>
    <w:p w14:paraId="3B0C4555" w14:textId="77777777" w:rsidR="00BF1589" w:rsidRPr="00894379" w:rsidRDefault="00BF1589" w:rsidP="00BF1589">
      <w:pPr>
        <w:pStyle w:val="CETReferencetext"/>
        <w:rPr>
          <w:lang w:val="en-US"/>
        </w:rPr>
      </w:pPr>
      <w:r w:rsidRPr="00894379">
        <w:rPr>
          <w:lang w:val="en-US"/>
        </w:rPr>
        <w:t xml:space="preserve">Cacciatore P.J., Gustafsson L.M., Kozak A., 2010, Seismic response of floating roof storage tanks: contact pressure analysis, In Proceedings of the ASME Pressure Vessels and Piping Conference, Bellevue, Washington, USA, 127–138. </w:t>
      </w:r>
    </w:p>
    <w:p w14:paraId="60CCA445" w14:textId="77777777" w:rsidR="00BF1589" w:rsidRPr="00894379" w:rsidRDefault="00BF1589" w:rsidP="00BF1589">
      <w:pPr>
        <w:pStyle w:val="CETReferencetext"/>
        <w:rPr>
          <w:lang w:val="en-US"/>
        </w:rPr>
      </w:pPr>
      <w:bookmarkStart w:id="8" w:name="_Hlk182316615"/>
      <w:r w:rsidRPr="00894379">
        <w:rPr>
          <w:lang w:val="en-US"/>
        </w:rPr>
        <w:t>Caprinozzi</w:t>
      </w:r>
      <w:bookmarkEnd w:id="8"/>
      <w:r w:rsidRPr="00894379">
        <w:rPr>
          <w:lang w:val="en-US"/>
        </w:rPr>
        <w:t xml:space="preserve"> S., Paolacci F., Dolšek M., 2020, Seismic risk assessment of liquid overtopping in a steel storage tank equipped with a single deck floating roof, Journal of Loss Prevention in the Process Industries, 67, 104269. </w:t>
      </w:r>
    </w:p>
    <w:p w14:paraId="25C6D577" w14:textId="77777777" w:rsidR="00BF1589" w:rsidRPr="00894379" w:rsidRDefault="00BF1589" w:rsidP="00BF1589">
      <w:pPr>
        <w:pStyle w:val="CETReferencetext"/>
        <w:rPr>
          <w:lang w:val="en-US"/>
        </w:rPr>
      </w:pPr>
      <w:r w:rsidRPr="00894379">
        <w:rPr>
          <w:lang w:val="en-US"/>
        </w:rPr>
        <w:t xml:space="preserve">Caprinozzi S., Paolacci F., Bursi O.S., Dolšek M., 2021, Seismic performance of a floating roof in an unanchored broad storage tank: Experimental tests and numerical simulations, Journal of Fluids and Structures, 105, 103341. </w:t>
      </w:r>
    </w:p>
    <w:p w14:paraId="57F80D5F" w14:textId="77777777" w:rsidR="00BF1589" w:rsidRPr="00894379" w:rsidRDefault="00BF1589" w:rsidP="00BF1589">
      <w:pPr>
        <w:pStyle w:val="CETReferencetext"/>
        <w:rPr>
          <w:lang w:val="en-US"/>
        </w:rPr>
      </w:pPr>
      <w:r w:rsidRPr="00894379">
        <w:rPr>
          <w:lang w:val="en-US"/>
        </w:rPr>
        <w:t xml:space="preserve">Doustvandi A., Tahamouli Roudsari M., Niazi B., 2023, Experimental investigation on the effect of seal presence on the behavior of double-deck floating roofs in cylindrical steel storage tanks, Structural Durability &amp; Health Monitoring (SDHM), 17(1) </w:t>
      </w:r>
    </w:p>
    <w:p w14:paraId="60804634" w14:textId="68743910" w:rsidR="00527F31" w:rsidRPr="00894379" w:rsidRDefault="00BF1589" w:rsidP="00527F31">
      <w:pPr>
        <w:pStyle w:val="CETReferencetext"/>
        <w:rPr>
          <w:lang w:val="en-US"/>
        </w:rPr>
      </w:pPr>
      <w:r w:rsidRPr="00894379">
        <w:rPr>
          <w:lang w:val="en-US"/>
        </w:rPr>
        <w:t xml:space="preserve">Ge Y., Huang W., Li X., Yao J., Yang Q., Zhang C., Kong X., Zhou N., 2024, Numerical investigation on oil leakage and migration from the accidental hole of tank wall in oil terminal of pipeline transportation system, Journal of Pipeline Science and Engineering, 100175. </w:t>
      </w:r>
    </w:p>
    <w:p w14:paraId="60FD90F1" w14:textId="6354C36A" w:rsidR="00BF1589" w:rsidRPr="00894379" w:rsidRDefault="00BF1589" w:rsidP="003F69CA">
      <w:pPr>
        <w:pStyle w:val="CETReferencetext"/>
        <w:rPr>
          <w:lang w:val="en-US"/>
        </w:rPr>
      </w:pPr>
      <w:r w:rsidRPr="00894379">
        <w:rPr>
          <w:lang w:val="en-US"/>
        </w:rPr>
        <w:t xml:space="preserve">Kameshwar S., 2017, Multi-hazard fragility, risk, and resilience assessment of select coastal infrastructure, PhD Thesis, Rice University, Houston, USA. </w:t>
      </w:r>
    </w:p>
    <w:p w14:paraId="6796325A" w14:textId="6F4494A9" w:rsidR="004D3F55" w:rsidRPr="00894379" w:rsidRDefault="00BF1589" w:rsidP="004D3F55">
      <w:pPr>
        <w:pStyle w:val="CETReferencetext"/>
        <w:rPr>
          <w:lang w:val="en-US"/>
        </w:rPr>
      </w:pPr>
      <w:r w:rsidRPr="00894379">
        <w:rPr>
          <w:lang w:val="en-US"/>
        </w:rPr>
        <w:t xml:space="preserve">Kuan S.Y., 2009, Design, construction and operation of the floating roof tank, 1–189. </w:t>
      </w:r>
    </w:p>
    <w:p w14:paraId="47FE4A5A" w14:textId="0AEF473F" w:rsidR="00594493" w:rsidRPr="00894379" w:rsidRDefault="00594493" w:rsidP="00594493">
      <w:pPr>
        <w:pStyle w:val="CETReferencetext"/>
        <w:rPr>
          <w:lang w:val="en-US"/>
        </w:rPr>
      </w:pPr>
      <w:r w:rsidRPr="00594493">
        <w:rPr>
          <w:lang w:val="en-US"/>
        </w:rPr>
        <w:t>López G.H., Mayoral Villa J.M., 2020, Fragility curves for hardfill dams under seismic loading, Tecnología y Ciencias del Agua, 11(1), 132–168.</w:t>
      </w:r>
    </w:p>
    <w:p w14:paraId="4019F7B9" w14:textId="03D53ED6" w:rsidR="004D3F55" w:rsidRPr="00894379" w:rsidRDefault="00BF1589" w:rsidP="004D3F55">
      <w:pPr>
        <w:pStyle w:val="CETReferencetext"/>
        <w:rPr>
          <w:lang w:val="en-US"/>
        </w:rPr>
      </w:pPr>
      <w:r w:rsidRPr="00894379">
        <w:rPr>
          <w:lang w:val="en-US"/>
        </w:rPr>
        <w:t>Luo D., Liu C., Sun J., Cui L., Wang Z., 2022, Sloshing effect analysis of liquid storage tank under seismic excitation, In Structures, Vol. 43, 40–58</w:t>
      </w:r>
      <w:r w:rsidR="00D233A1">
        <w:rPr>
          <w:lang w:val="en-US"/>
        </w:rPr>
        <w:t>.</w:t>
      </w:r>
    </w:p>
    <w:p w14:paraId="49AAA51D" w14:textId="77777777" w:rsidR="00BF1589" w:rsidRPr="00894379" w:rsidRDefault="00BF1589" w:rsidP="00BF1589">
      <w:pPr>
        <w:pStyle w:val="CETReferencetext"/>
        <w:rPr>
          <w:lang w:val="en-US"/>
        </w:rPr>
      </w:pPr>
      <w:r w:rsidRPr="00894379">
        <w:rPr>
          <w:lang w:val="en-US"/>
        </w:rPr>
        <w:t xml:space="preserve">Malhotra P.K., 2006, Earthquake induced sloshing in tanks with insufficient freeboard, Structural Engineering International, 16(3), 222–225. </w:t>
      </w:r>
    </w:p>
    <w:p w14:paraId="208292D0" w14:textId="59917880" w:rsidR="00E561DA" w:rsidRPr="00894379" w:rsidRDefault="00E561DA" w:rsidP="00E561DA">
      <w:pPr>
        <w:pStyle w:val="CETReferencetext"/>
        <w:rPr>
          <w:lang w:val="en-US"/>
        </w:rPr>
      </w:pPr>
      <w:r w:rsidRPr="00894379">
        <w:rPr>
          <w:lang w:val="en-US"/>
        </w:rPr>
        <w:t>Mayorga, Santiago Z., Mauricio S., Oscar J., Ramírez O., Felipe M.G., 2019, Development of parametric fragility curves for storage tanks: A Natech approach." Reliability Engineering &amp; System Safety, 189, 1-10.</w:t>
      </w:r>
    </w:p>
    <w:p w14:paraId="6951258A" w14:textId="6C9734A5" w:rsidR="00BF1589" w:rsidRPr="00894379" w:rsidRDefault="00BF1589" w:rsidP="00186DE8">
      <w:pPr>
        <w:pStyle w:val="CETReferencetext"/>
        <w:rPr>
          <w:lang w:val="en-US"/>
        </w:rPr>
      </w:pPr>
      <w:r w:rsidRPr="00894379">
        <w:rPr>
          <w:lang w:val="en-US"/>
        </w:rPr>
        <w:t xml:space="preserve">Noaman A.S., El-Samanody M., Ghorab A., 2016, Design and study of floating roofs for oil storage tanks, International Journal of Engineering Development and Research, 4(4), 1–12.  </w:t>
      </w:r>
    </w:p>
    <w:p w14:paraId="691A0F39" w14:textId="77777777" w:rsidR="00BF1589" w:rsidRPr="00894379" w:rsidRDefault="00BF1589" w:rsidP="00BF1589">
      <w:pPr>
        <w:pStyle w:val="CETReferencetext"/>
        <w:rPr>
          <w:lang w:val="en-US"/>
        </w:rPr>
      </w:pPr>
      <w:r w:rsidRPr="00894379">
        <w:rPr>
          <w:lang w:val="en-US"/>
        </w:rPr>
        <w:t xml:space="preserve">Phan H.N., Paolacci F., Di Filippo R., Bursi O.S., 2020, Seismic vulnerability of above-ground storage tanks with unanchored support conditions for Na-tech risks based on Gaussian process regression, Bulletin of Earthquake Engineering, 18, 6883–6906. </w:t>
      </w:r>
    </w:p>
    <w:p w14:paraId="67190CD0" w14:textId="77777777" w:rsidR="00BB6B6A" w:rsidRDefault="00BF1589" w:rsidP="00BB6B6A">
      <w:pPr>
        <w:pStyle w:val="CETReferencetext"/>
        <w:rPr>
          <w:lang w:val="en-US"/>
        </w:rPr>
      </w:pPr>
      <w:r w:rsidRPr="00894379">
        <w:rPr>
          <w:lang w:val="en-US"/>
        </w:rPr>
        <w:t xml:space="preserve">Salimbeni M., De Angelis M., Ciucci M., 2023, Analysis of the behaviour of the floating roof in a cylindrical storage tank subjected to seismic excitation for the mitigation of fire risk, Chemical Engineering Transactions, 104, 109–114. </w:t>
      </w:r>
    </w:p>
    <w:p w14:paraId="153173A9" w14:textId="199DAAF0" w:rsidR="007F773A" w:rsidRPr="00BB6B6A" w:rsidRDefault="00BB6B6A" w:rsidP="00BB6B6A">
      <w:pPr>
        <w:pStyle w:val="CETReferencetext"/>
        <w:rPr>
          <w:lang w:val="en-US"/>
        </w:rPr>
      </w:pPr>
      <w:r w:rsidRPr="00BB6B6A">
        <w:rPr>
          <w:lang w:val="en-US"/>
        </w:rPr>
        <w:t xml:space="preserve">Wang M., Sun Z., Sun J., Cui L., Lyu Y., Wu Y., 2023, Seismic fragility assessment of storage tanks considering different sources of uncertainty, Ocean Engineering, 283, 114972. </w:t>
      </w:r>
    </w:p>
    <w:sectPr w:rsidR="007F773A" w:rsidRPr="00BB6B6A"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41EA8" w14:textId="77777777" w:rsidR="00732F06" w:rsidRPr="00894379" w:rsidRDefault="00732F06" w:rsidP="004F5E36">
      <w:r w:rsidRPr="00894379">
        <w:separator/>
      </w:r>
    </w:p>
  </w:endnote>
  <w:endnote w:type="continuationSeparator" w:id="0">
    <w:p w14:paraId="05219532" w14:textId="77777777" w:rsidR="00732F06" w:rsidRPr="00894379" w:rsidRDefault="00732F06" w:rsidP="004F5E36">
      <w:r w:rsidRPr="0089437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TT5843c571">
    <w:altName w:val="Cambria"/>
    <w:panose1 w:val="00000000000000000000"/>
    <w:charset w:val="00"/>
    <w:family w:val="roman"/>
    <w:notTrueType/>
    <w:pitch w:val="default"/>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DB283" w14:textId="77777777" w:rsidR="00732F06" w:rsidRPr="00894379" w:rsidRDefault="00732F06" w:rsidP="004F5E36">
      <w:r w:rsidRPr="00894379">
        <w:separator/>
      </w:r>
    </w:p>
  </w:footnote>
  <w:footnote w:type="continuationSeparator" w:id="0">
    <w:p w14:paraId="0B86D998" w14:textId="77777777" w:rsidR="00732F06" w:rsidRPr="00894379" w:rsidRDefault="00732F06" w:rsidP="004F5E36">
      <w:r w:rsidRPr="0089437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DC22A238"/>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lang w:val="en-US"/>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BA26861"/>
    <w:multiLevelType w:val="hybridMultilevel"/>
    <w:tmpl w:val="1B2A99A2"/>
    <w:lvl w:ilvl="0" w:tplc="8A60EEEA">
      <w:start w:val="1"/>
      <w:numFmt w:val="lowerLetter"/>
      <w:lvlText w:val="(%1)"/>
      <w:lvlJc w:val="left"/>
      <w:pPr>
        <w:ind w:left="7095" w:hanging="2715"/>
      </w:pPr>
      <w:rPr>
        <w:rFonts w:hint="default"/>
      </w:rPr>
    </w:lvl>
    <w:lvl w:ilvl="1" w:tplc="04090019" w:tentative="1">
      <w:start w:val="1"/>
      <w:numFmt w:val="lowerLetter"/>
      <w:lvlText w:val="%2."/>
      <w:lvlJc w:val="left"/>
      <w:pPr>
        <w:ind w:left="5460" w:hanging="360"/>
      </w:pPr>
    </w:lvl>
    <w:lvl w:ilvl="2" w:tplc="0409001B" w:tentative="1">
      <w:start w:val="1"/>
      <w:numFmt w:val="lowerRoman"/>
      <w:lvlText w:val="%3."/>
      <w:lvlJc w:val="right"/>
      <w:pPr>
        <w:ind w:left="6180" w:hanging="180"/>
      </w:pPr>
    </w:lvl>
    <w:lvl w:ilvl="3" w:tplc="0409000F" w:tentative="1">
      <w:start w:val="1"/>
      <w:numFmt w:val="decimal"/>
      <w:lvlText w:val="%4."/>
      <w:lvlJc w:val="left"/>
      <w:pPr>
        <w:ind w:left="6900" w:hanging="360"/>
      </w:pPr>
    </w:lvl>
    <w:lvl w:ilvl="4" w:tplc="04090019" w:tentative="1">
      <w:start w:val="1"/>
      <w:numFmt w:val="lowerLetter"/>
      <w:lvlText w:val="%5."/>
      <w:lvlJc w:val="left"/>
      <w:pPr>
        <w:ind w:left="7620" w:hanging="360"/>
      </w:pPr>
    </w:lvl>
    <w:lvl w:ilvl="5" w:tplc="0409001B" w:tentative="1">
      <w:start w:val="1"/>
      <w:numFmt w:val="lowerRoman"/>
      <w:lvlText w:val="%6."/>
      <w:lvlJc w:val="right"/>
      <w:pPr>
        <w:ind w:left="8340" w:hanging="180"/>
      </w:pPr>
    </w:lvl>
    <w:lvl w:ilvl="6" w:tplc="0409000F" w:tentative="1">
      <w:start w:val="1"/>
      <w:numFmt w:val="decimal"/>
      <w:lvlText w:val="%7."/>
      <w:lvlJc w:val="left"/>
      <w:pPr>
        <w:ind w:left="9060" w:hanging="360"/>
      </w:pPr>
    </w:lvl>
    <w:lvl w:ilvl="7" w:tplc="04090019" w:tentative="1">
      <w:start w:val="1"/>
      <w:numFmt w:val="lowerLetter"/>
      <w:lvlText w:val="%8."/>
      <w:lvlJc w:val="left"/>
      <w:pPr>
        <w:ind w:left="9780" w:hanging="360"/>
      </w:pPr>
    </w:lvl>
    <w:lvl w:ilvl="8" w:tplc="0409001B" w:tentative="1">
      <w:start w:val="1"/>
      <w:numFmt w:val="lowerRoman"/>
      <w:lvlText w:val="%9."/>
      <w:lvlJc w:val="right"/>
      <w:pPr>
        <w:ind w:left="10500" w:hanging="180"/>
      </w:pPr>
    </w:lvl>
  </w:abstractNum>
  <w:num w:numId="1" w16cid:durableId="303048449">
    <w:abstractNumId w:val="11"/>
  </w:num>
  <w:num w:numId="2" w16cid:durableId="1332568396">
    <w:abstractNumId w:val="8"/>
  </w:num>
  <w:num w:numId="3" w16cid:durableId="1385449704">
    <w:abstractNumId w:val="3"/>
  </w:num>
  <w:num w:numId="4" w16cid:durableId="1583829805">
    <w:abstractNumId w:val="2"/>
  </w:num>
  <w:num w:numId="5" w16cid:durableId="1875457651">
    <w:abstractNumId w:val="1"/>
  </w:num>
  <w:num w:numId="6" w16cid:durableId="1326780560">
    <w:abstractNumId w:val="0"/>
  </w:num>
  <w:num w:numId="7" w16cid:durableId="1923292140">
    <w:abstractNumId w:val="9"/>
  </w:num>
  <w:num w:numId="8" w16cid:durableId="2066219313">
    <w:abstractNumId w:val="7"/>
  </w:num>
  <w:num w:numId="9" w16cid:durableId="231046755">
    <w:abstractNumId w:val="6"/>
  </w:num>
  <w:num w:numId="10" w16cid:durableId="80807021">
    <w:abstractNumId w:val="5"/>
  </w:num>
  <w:num w:numId="11" w16cid:durableId="885793043">
    <w:abstractNumId w:val="4"/>
  </w:num>
  <w:num w:numId="12" w16cid:durableId="1287003314">
    <w:abstractNumId w:val="18"/>
  </w:num>
  <w:num w:numId="13" w16cid:durableId="126901245">
    <w:abstractNumId w:val="13"/>
  </w:num>
  <w:num w:numId="14" w16cid:durableId="383254883">
    <w:abstractNumId w:val="19"/>
  </w:num>
  <w:num w:numId="15" w16cid:durableId="893925012">
    <w:abstractNumId w:val="21"/>
  </w:num>
  <w:num w:numId="16" w16cid:durableId="784081131">
    <w:abstractNumId w:val="20"/>
  </w:num>
  <w:num w:numId="17" w16cid:durableId="606885625">
    <w:abstractNumId w:val="12"/>
  </w:num>
  <w:num w:numId="18" w16cid:durableId="703017667">
    <w:abstractNumId w:val="13"/>
    <w:lvlOverride w:ilvl="0">
      <w:startOverride w:val="1"/>
    </w:lvlOverride>
  </w:num>
  <w:num w:numId="19" w16cid:durableId="168061845">
    <w:abstractNumId w:val="17"/>
  </w:num>
  <w:num w:numId="20" w16cid:durableId="954944197">
    <w:abstractNumId w:val="16"/>
  </w:num>
  <w:num w:numId="21" w16cid:durableId="1255672074">
    <w:abstractNumId w:val="15"/>
  </w:num>
  <w:num w:numId="22" w16cid:durableId="494105551">
    <w:abstractNumId w:val="14"/>
  </w:num>
  <w:num w:numId="23" w16cid:durableId="685793187">
    <w:abstractNumId w:val="10"/>
  </w:num>
  <w:num w:numId="24" w16cid:durableId="50540459">
    <w:abstractNumId w:val="11"/>
  </w:num>
  <w:num w:numId="25" w16cid:durableId="1481655750">
    <w:abstractNumId w:val="11"/>
  </w:num>
  <w:num w:numId="26" w16cid:durableId="2038191878">
    <w:abstractNumId w:val="11"/>
  </w:num>
  <w:num w:numId="27" w16cid:durableId="13402666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MqoFALGzlawtAAAA"/>
  </w:docVars>
  <w:rsids>
    <w:rsidRoot w:val="000E414A"/>
    <w:rsid w:val="000027C0"/>
    <w:rsid w:val="000052FB"/>
    <w:rsid w:val="00005366"/>
    <w:rsid w:val="00005A19"/>
    <w:rsid w:val="00005BFD"/>
    <w:rsid w:val="000114C8"/>
    <w:rsid w:val="000117CB"/>
    <w:rsid w:val="00014C8B"/>
    <w:rsid w:val="00017A1D"/>
    <w:rsid w:val="00020134"/>
    <w:rsid w:val="0002146A"/>
    <w:rsid w:val="00026E4F"/>
    <w:rsid w:val="0003148D"/>
    <w:rsid w:val="00031EEC"/>
    <w:rsid w:val="00032749"/>
    <w:rsid w:val="00032D27"/>
    <w:rsid w:val="000354DE"/>
    <w:rsid w:val="0003584B"/>
    <w:rsid w:val="00036909"/>
    <w:rsid w:val="00040EF6"/>
    <w:rsid w:val="00044741"/>
    <w:rsid w:val="00047EB2"/>
    <w:rsid w:val="00051566"/>
    <w:rsid w:val="0005163E"/>
    <w:rsid w:val="00052663"/>
    <w:rsid w:val="00052C2D"/>
    <w:rsid w:val="000562A9"/>
    <w:rsid w:val="000567C3"/>
    <w:rsid w:val="000573D6"/>
    <w:rsid w:val="0005779F"/>
    <w:rsid w:val="00060C64"/>
    <w:rsid w:val="000611FA"/>
    <w:rsid w:val="00062A9A"/>
    <w:rsid w:val="00065058"/>
    <w:rsid w:val="00072996"/>
    <w:rsid w:val="00075541"/>
    <w:rsid w:val="00086C39"/>
    <w:rsid w:val="000877AD"/>
    <w:rsid w:val="00095D2B"/>
    <w:rsid w:val="00097142"/>
    <w:rsid w:val="000A03B2"/>
    <w:rsid w:val="000A3530"/>
    <w:rsid w:val="000A55A1"/>
    <w:rsid w:val="000B25E4"/>
    <w:rsid w:val="000B6123"/>
    <w:rsid w:val="000C7F42"/>
    <w:rsid w:val="000D0268"/>
    <w:rsid w:val="000D0EED"/>
    <w:rsid w:val="000D34BE"/>
    <w:rsid w:val="000E0B3C"/>
    <w:rsid w:val="000E102F"/>
    <w:rsid w:val="000E36F1"/>
    <w:rsid w:val="000E38B5"/>
    <w:rsid w:val="000E3A73"/>
    <w:rsid w:val="000E414A"/>
    <w:rsid w:val="000E68DA"/>
    <w:rsid w:val="000E75FD"/>
    <w:rsid w:val="000F093C"/>
    <w:rsid w:val="000F1714"/>
    <w:rsid w:val="000F787B"/>
    <w:rsid w:val="001021EF"/>
    <w:rsid w:val="00102A0F"/>
    <w:rsid w:val="001177B8"/>
    <w:rsid w:val="0012091F"/>
    <w:rsid w:val="00126BC2"/>
    <w:rsid w:val="001308B6"/>
    <w:rsid w:val="0013121F"/>
    <w:rsid w:val="00131FE6"/>
    <w:rsid w:val="00132015"/>
    <w:rsid w:val="0013263F"/>
    <w:rsid w:val="001330D6"/>
    <w:rsid w:val="001331DF"/>
    <w:rsid w:val="00134DE4"/>
    <w:rsid w:val="00136E4A"/>
    <w:rsid w:val="0014034D"/>
    <w:rsid w:val="00140AED"/>
    <w:rsid w:val="00140FE3"/>
    <w:rsid w:val="00144D16"/>
    <w:rsid w:val="00147E30"/>
    <w:rsid w:val="00150E59"/>
    <w:rsid w:val="0015224F"/>
    <w:rsid w:val="00152DE3"/>
    <w:rsid w:val="00157C24"/>
    <w:rsid w:val="00161768"/>
    <w:rsid w:val="00162394"/>
    <w:rsid w:val="00162C29"/>
    <w:rsid w:val="00164CF9"/>
    <w:rsid w:val="001667A6"/>
    <w:rsid w:val="00172573"/>
    <w:rsid w:val="00172E71"/>
    <w:rsid w:val="001746B8"/>
    <w:rsid w:val="00180236"/>
    <w:rsid w:val="0018171E"/>
    <w:rsid w:val="001825FE"/>
    <w:rsid w:val="00184A11"/>
    <w:rsid w:val="00184AD6"/>
    <w:rsid w:val="00186DE8"/>
    <w:rsid w:val="001A37B5"/>
    <w:rsid w:val="001A4AF7"/>
    <w:rsid w:val="001B0349"/>
    <w:rsid w:val="001B1E93"/>
    <w:rsid w:val="001B6474"/>
    <w:rsid w:val="001B65C1"/>
    <w:rsid w:val="001C260F"/>
    <w:rsid w:val="001C5C3A"/>
    <w:rsid w:val="001C684B"/>
    <w:rsid w:val="001D0C08"/>
    <w:rsid w:val="001D0CFB"/>
    <w:rsid w:val="001D21AF"/>
    <w:rsid w:val="001D26F6"/>
    <w:rsid w:val="001D53FC"/>
    <w:rsid w:val="001E6C1A"/>
    <w:rsid w:val="001F06F1"/>
    <w:rsid w:val="001F3723"/>
    <w:rsid w:val="001F42A5"/>
    <w:rsid w:val="001F4DDD"/>
    <w:rsid w:val="001F7169"/>
    <w:rsid w:val="001F7B9D"/>
    <w:rsid w:val="0020180D"/>
    <w:rsid w:val="00201C93"/>
    <w:rsid w:val="00202C2F"/>
    <w:rsid w:val="002114A1"/>
    <w:rsid w:val="002135A1"/>
    <w:rsid w:val="0021501E"/>
    <w:rsid w:val="0021694B"/>
    <w:rsid w:val="002224B4"/>
    <w:rsid w:val="002323A8"/>
    <w:rsid w:val="00235BA8"/>
    <w:rsid w:val="00236250"/>
    <w:rsid w:val="00241441"/>
    <w:rsid w:val="002447EF"/>
    <w:rsid w:val="00244F29"/>
    <w:rsid w:val="00250668"/>
    <w:rsid w:val="00251550"/>
    <w:rsid w:val="002540A0"/>
    <w:rsid w:val="00262CA3"/>
    <w:rsid w:val="0026373C"/>
    <w:rsid w:val="00263B05"/>
    <w:rsid w:val="00265AC3"/>
    <w:rsid w:val="0027221A"/>
    <w:rsid w:val="00275B61"/>
    <w:rsid w:val="00280FAF"/>
    <w:rsid w:val="002811AB"/>
    <w:rsid w:val="00282656"/>
    <w:rsid w:val="00282670"/>
    <w:rsid w:val="00284499"/>
    <w:rsid w:val="00286411"/>
    <w:rsid w:val="002866C7"/>
    <w:rsid w:val="00286D54"/>
    <w:rsid w:val="00296B83"/>
    <w:rsid w:val="002A3239"/>
    <w:rsid w:val="002A4C0F"/>
    <w:rsid w:val="002A7E3A"/>
    <w:rsid w:val="002B2470"/>
    <w:rsid w:val="002B4015"/>
    <w:rsid w:val="002B78CE"/>
    <w:rsid w:val="002C11E4"/>
    <w:rsid w:val="002C17C5"/>
    <w:rsid w:val="002C214B"/>
    <w:rsid w:val="002C2FB6"/>
    <w:rsid w:val="002C3B5F"/>
    <w:rsid w:val="002C5354"/>
    <w:rsid w:val="002D5AF7"/>
    <w:rsid w:val="002E180B"/>
    <w:rsid w:val="002E1A4D"/>
    <w:rsid w:val="002E3D9D"/>
    <w:rsid w:val="002E4D17"/>
    <w:rsid w:val="002E5DE4"/>
    <w:rsid w:val="002E5FA7"/>
    <w:rsid w:val="002F1AF7"/>
    <w:rsid w:val="002F3309"/>
    <w:rsid w:val="003008CE"/>
    <w:rsid w:val="003009B7"/>
    <w:rsid w:val="00300E56"/>
    <w:rsid w:val="0030152C"/>
    <w:rsid w:val="00303B41"/>
    <w:rsid w:val="0030469C"/>
    <w:rsid w:val="00307876"/>
    <w:rsid w:val="00314206"/>
    <w:rsid w:val="0031472F"/>
    <w:rsid w:val="00314D9F"/>
    <w:rsid w:val="0031674F"/>
    <w:rsid w:val="00321CA6"/>
    <w:rsid w:val="003223E4"/>
    <w:rsid w:val="00323763"/>
    <w:rsid w:val="00323C5F"/>
    <w:rsid w:val="00324388"/>
    <w:rsid w:val="00325B54"/>
    <w:rsid w:val="00333C43"/>
    <w:rsid w:val="00334C09"/>
    <w:rsid w:val="00336219"/>
    <w:rsid w:val="003461F9"/>
    <w:rsid w:val="0035129D"/>
    <w:rsid w:val="003529F1"/>
    <w:rsid w:val="00355026"/>
    <w:rsid w:val="00360978"/>
    <w:rsid w:val="00362873"/>
    <w:rsid w:val="003723D4"/>
    <w:rsid w:val="00377339"/>
    <w:rsid w:val="00380CB1"/>
    <w:rsid w:val="00381905"/>
    <w:rsid w:val="003842B5"/>
    <w:rsid w:val="00384CC8"/>
    <w:rsid w:val="003871FD"/>
    <w:rsid w:val="00390127"/>
    <w:rsid w:val="00390C1A"/>
    <w:rsid w:val="00391492"/>
    <w:rsid w:val="003954B4"/>
    <w:rsid w:val="003A1E30"/>
    <w:rsid w:val="003A2829"/>
    <w:rsid w:val="003A42EC"/>
    <w:rsid w:val="003A6E5E"/>
    <w:rsid w:val="003A7D1C"/>
    <w:rsid w:val="003A7F71"/>
    <w:rsid w:val="003B304B"/>
    <w:rsid w:val="003B3146"/>
    <w:rsid w:val="003B37CA"/>
    <w:rsid w:val="003B49CD"/>
    <w:rsid w:val="003B6F4D"/>
    <w:rsid w:val="003C5FE5"/>
    <w:rsid w:val="003C74E4"/>
    <w:rsid w:val="003D1E02"/>
    <w:rsid w:val="003D482D"/>
    <w:rsid w:val="003E513B"/>
    <w:rsid w:val="003E7ABE"/>
    <w:rsid w:val="003E7D02"/>
    <w:rsid w:val="003F015E"/>
    <w:rsid w:val="003F69CA"/>
    <w:rsid w:val="003F6A17"/>
    <w:rsid w:val="004003A3"/>
    <w:rsid w:val="00400414"/>
    <w:rsid w:val="00403E55"/>
    <w:rsid w:val="0040585C"/>
    <w:rsid w:val="00406116"/>
    <w:rsid w:val="004067A2"/>
    <w:rsid w:val="00407B62"/>
    <w:rsid w:val="00412153"/>
    <w:rsid w:val="00412C92"/>
    <w:rsid w:val="0041446B"/>
    <w:rsid w:val="00414721"/>
    <w:rsid w:val="004164D5"/>
    <w:rsid w:val="004179B1"/>
    <w:rsid w:val="00423EAD"/>
    <w:rsid w:val="00425443"/>
    <w:rsid w:val="0044071E"/>
    <w:rsid w:val="0044329C"/>
    <w:rsid w:val="0044479B"/>
    <w:rsid w:val="00447995"/>
    <w:rsid w:val="00452628"/>
    <w:rsid w:val="00453E24"/>
    <w:rsid w:val="00457456"/>
    <w:rsid w:val="004577FE"/>
    <w:rsid w:val="00457B9C"/>
    <w:rsid w:val="0046164A"/>
    <w:rsid w:val="004628D2"/>
    <w:rsid w:val="00462DCD"/>
    <w:rsid w:val="004634C5"/>
    <w:rsid w:val="004648AD"/>
    <w:rsid w:val="004703A9"/>
    <w:rsid w:val="004760DE"/>
    <w:rsid w:val="004763D7"/>
    <w:rsid w:val="00477CAF"/>
    <w:rsid w:val="00482710"/>
    <w:rsid w:val="0048348B"/>
    <w:rsid w:val="0048375E"/>
    <w:rsid w:val="004904B7"/>
    <w:rsid w:val="004920C1"/>
    <w:rsid w:val="00496DDA"/>
    <w:rsid w:val="004A004E"/>
    <w:rsid w:val="004A00C0"/>
    <w:rsid w:val="004A24CF"/>
    <w:rsid w:val="004A5043"/>
    <w:rsid w:val="004B2B4B"/>
    <w:rsid w:val="004B3AE0"/>
    <w:rsid w:val="004B3B80"/>
    <w:rsid w:val="004C3D1D"/>
    <w:rsid w:val="004C3D84"/>
    <w:rsid w:val="004C4346"/>
    <w:rsid w:val="004C6C7D"/>
    <w:rsid w:val="004C6EBD"/>
    <w:rsid w:val="004C7913"/>
    <w:rsid w:val="004D2D8F"/>
    <w:rsid w:val="004D3F55"/>
    <w:rsid w:val="004E26E1"/>
    <w:rsid w:val="004E4DD6"/>
    <w:rsid w:val="004F235B"/>
    <w:rsid w:val="004F53CA"/>
    <w:rsid w:val="004F5E36"/>
    <w:rsid w:val="004F600A"/>
    <w:rsid w:val="005022D8"/>
    <w:rsid w:val="0050361C"/>
    <w:rsid w:val="00504C3C"/>
    <w:rsid w:val="00507B47"/>
    <w:rsid w:val="00507BEF"/>
    <w:rsid w:val="00507CC9"/>
    <w:rsid w:val="005119A5"/>
    <w:rsid w:val="005134F5"/>
    <w:rsid w:val="00515EB6"/>
    <w:rsid w:val="005215B8"/>
    <w:rsid w:val="00521F0B"/>
    <w:rsid w:val="00522C28"/>
    <w:rsid w:val="0052335F"/>
    <w:rsid w:val="00524ADE"/>
    <w:rsid w:val="0052531C"/>
    <w:rsid w:val="005258EB"/>
    <w:rsid w:val="00526639"/>
    <w:rsid w:val="005278B7"/>
    <w:rsid w:val="00527F31"/>
    <w:rsid w:val="00532016"/>
    <w:rsid w:val="00532C11"/>
    <w:rsid w:val="005343AE"/>
    <w:rsid w:val="005346C8"/>
    <w:rsid w:val="005424FC"/>
    <w:rsid w:val="00543E7D"/>
    <w:rsid w:val="00544437"/>
    <w:rsid w:val="005452A4"/>
    <w:rsid w:val="00547A68"/>
    <w:rsid w:val="00551CA3"/>
    <w:rsid w:val="005531C9"/>
    <w:rsid w:val="00554879"/>
    <w:rsid w:val="00561901"/>
    <w:rsid w:val="005640D7"/>
    <w:rsid w:val="00570C43"/>
    <w:rsid w:val="0057315A"/>
    <w:rsid w:val="005778EF"/>
    <w:rsid w:val="005813CF"/>
    <w:rsid w:val="00584EC3"/>
    <w:rsid w:val="00585C33"/>
    <w:rsid w:val="00592274"/>
    <w:rsid w:val="00594493"/>
    <w:rsid w:val="005947FA"/>
    <w:rsid w:val="00594A15"/>
    <w:rsid w:val="005B19CD"/>
    <w:rsid w:val="005B2110"/>
    <w:rsid w:val="005B350B"/>
    <w:rsid w:val="005B61E6"/>
    <w:rsid w:val="005B6DF4"/>
    <w:rsid w:val="005C4BDF"/>
    <w:rsid w:val="005C5935"/>
    <w:rsid w:val="005C6A3F"/>
    <w:rsid w:val="005C77E1"/>
    <w:rsid w:val="005D668A"/>
    <w:rsid w:val="005D6A2F"/>
    <w:rsid w:val="005D70D2"/>
    <w:rsid w:val="005E0592"/>
    <w:rsid w:val="005E1A82"/>
    <w:rsid w:val="005E23BA"/>
    <w:rsid w:val="005E2C12"/>
    <w:rsid w:val="005E5452"/>
    <w:rsid w:val="005E6565"/>
    <w:rsid w:val="005E794C"/>
    <w:rsid w:val="005F0A28"/>
    <w:rsid w:val="005F0E5E"/>
    <w:rsid w:val="005F209E"/>
    <w:rsid w:val="005F3CD6"/>
    <w:rsid w:val="005F6800"/>
    <w:rsid w:val="00600535"/>
    <w:rsid w:val="00601FAF"/>
    <w:rsid w:val="0060652D"/>
    <w:rsid w:val="00610CD6"/>
    <w:rsid w:val="00612094"/>
    <w:rsid w:val="00620DEE"/>
    <w:rsid w:val="00621F92"/>
    <w:rsid w:val="0062280A"/>
    <w:rsid w:val="006231E1"/>
    <w:rsid w:val="00625639"/>
    <w:rsid w:val="00625DAA"/>
    <w:rsid w:val="00631B33"/>
    <w:rsid w:val="0063546D"/>
    <w:rsid w:val="0063746C"/>
    <w:rsid w:val="0064184D"/>
    <w:rsid w:val="006422CC"/>
    <w:rsid w:val="0064275B"/>
    <w:rsid w:val="0065145C"/>
    <w:rsid w:val="0065167E"/>
    <w:rsid w:val="00651D18"/>
    <w:rsid w:val="00654D42"/>
    <w:rsid w:val="00654DA2"/>
    <w:rsid w:val="00655523"/>
    <w:rsid w:val="00660E3E"/>
    <w:rsid w:val="00662E74"/>
    <w:rsid w:val="0067726F"/>
    <w:rsid w:val="0068097C"/>
    <w:rsid w:val="00680C23"/>
    <w:rsid w:val="00682639"/>
    <w:rsid w:val="00683D86"/>
    <w:rsid w:val="00683E23"/>
    <w:rsid w:val="00685942"/>
    <w:rsid w:val="00685A2B"/>
    <w:rsid w:val="00685E3B"/>
    <w:rsid w:val="0069343F"/>
    <w:rsid w:val="00693766"/>
    <w:rsid w:val="006A1B72"/>
    <w:rsid w:val="006A3281"/>
    <w:rsid w:val="006A5FC3"/>
    <w:rsid w:val="006A6DE5"/>
    <w:rsid w:val="006B11FB"/>
    <w:rsid w:val="006B4888"/>
    <w:rsid w:val="006B6EE1"/>
    <w:rsid w:val="006C0456"/>
    <w:rsid w:val="006C1B91"/>
    <w:rsid w:val="006C2E45"/>
    <w:rsid w:val="006C359C"/>
    <w:rsid w:val="006C5579"/>
    <w:rsid w:val="006D2426"/>
    <w:rsid w:val="006D40BB"/>
    <w:rsid w:val="006D6E8B"/>
    <w:rsid w:val="006D7209"/>
    <w:rsid w:val="006D7580"/>
    <w:rsid w:val="006E4649"/>
    <w:rsid w:val="006E6F91"/>
    <w:rsid w:val="006E737D"/>
    <w:rsid w:val="00700029"/>
    <w:rsid w:val="007007D0"/>
    <w:rsid w:val="00707DD1"/>
    <w:rsid w:val="00711C02"/>
    <w:rsid w:val="00713973"/>
    <w:rsid w:val="00717C18"/>
    <w:rsid w:val="00720A24"/>
    <w:rsid w:val="00732386"/>
    <w:rsid w:val="00732F06"/>
    <w:rsid w:val="0073514D"/>
    <w:rsid w:val="0074187B"/>
    <w:rsid w:val="00742CF1"/>
    <w:rsid w:val="00743902"/>
    <w:rsid w:val="00743C5E"/>
    <w:rsid w:val="00743CD3"/>
    <w:rsid w:val="0074471E"/>
    <w:rsid w:val="007447F3"/>
    <w:rsid w:val="00744D06"/>
    <w:rsid w:val="007476DD"/>
    <w:rsid w:val="0075499F"/>
    <w:rsid w:val="00760418"/>
    <w:rsid w:val="007610E7"/>
    <w:rsid w:val="007661C8"/>
    <w:rsid w:val="0076684D"/>
    <w:rsid w:val="00767341"/>
    <w:rsid w:val="0077053F"/>
    <w:rsid w:val="0077098D"/>
    <w:rsid w:val="00772530"/>
    <w:rsid w:val="007729CC"/>
    <w:rsid w:val="00774CCD"/>
    <w:rsid w:val="00777BEA"/>
    <w:rsid w:val="00781C6E"/>
    <w:rsid w:val="00785BF9"/>
    <w:rsid w:val="00787F93"/>
    <w:rsid w:val="00791D4F"/>
    <w:rsid w:val="007931FA"/>
    <w:rsid w:val="007A0D6C"/>
    <w:rsid w:val="007A35FD"/>
    <w:rsid w:val="007A4861"/>
    <w:rsid w:val="007A7BBA"/>
    <w:rsid w:val="007B0C50"/>
    <w:rsid w:val="007B40CB"/>
    <w:rsid w:val="007B48F9"/>
    <w:rsid w:val="007B56AE"/>
    <w:rsid w:val="007C094D"/>
    <w:rsid w:val="007C1523"/>
    <w:rsid w:val="007C1A43"/>
    <w:rsid w:val="007C671D"/>
    <w:rsid w:val="007C74AA"/>
    <w:rsid w:val="007D0951"/>
    <w:rsid w:val="007D610D"/>
    <w:rsid w:val="007D7D74"/>
    <w:rsid w:val="007E0DD1"/>
    <w:rsid w:val="007E283F"/>
    <w:rsid w:val="007E688E"/>
    <w:rsid w:val="007F0501"/>
    <w:rsid w:val="007F5F38"/>
    <w:rsid w:val="007F773A"/>
    <w:rsid w:val="007F7A5D"/>
    <w:rsid w:val="0080013E"/>
    <w:rsid w:val="00800847"/>
    <w:rsid w:val="00801759"/>
    <w:rsid w:val="008021A6"/>
    <w:rsid w:val="00813288"/>
    <w:rsid w:val="008168FC"/>
    <w:rsid w:val="00816FC5"/>
    <w:rsid w:val="00830996"/>
    <w:rsid w:val="008345F1"/>
    <w:rsid w:val="00835343"/>
    <w:rsid w:val="008432CA"/>
    <w:rsid w:val="008456B2"/>
    <w:rsid w:val="008500BD"/>
    <w:rsid w:val="00850B86"/>
    <w:rsid w:val="00850FB7"/>
    <w:rsid w:val="00852AEB"/>
    <w:rsid w:val="008568B6"/>
    <w:rsid w:val="008568C2"/>
    <w:rsid w:val="0086351F"/>
    <w:rsid w:val="0086397C"/>
    <w:rsid w:val="00865B07"/>
    <w:rsid w:val="008667EA"/>
    <w:rsid w:val="00872858"/>
    <w:rsid w:val="008748A5"/>
    <w:rsid w:val="00874F7D"/>
    <w:rsid w:val="00875B7D"/>
    <w:rsid w:val="0087637F"/>
    <w:rsid w:val="00876E14"/>
    <w:rsid w:val="0088174A"/>
    <w:rsid w:val="00881AAA"/>
    <w:rsid w:val="00891DB1"/>
    <w:rsid w:val="00892AD5"/>
    <w:rsid w:val="00894379"/>
    <w:rsid w:val="008A1512"/>
    <w:rsid w:val="008A1886"/>
    <w:rsid w:val="008A26AE"/>
    <w:rsid w:val="008A4094"/>
    <w:rsid w:val="008A52AC"/>
    <w:rsid w:val="008B3CD2"/>
    <w:rsid w:val="008B4E4E"/>
    <w:rsid w:val="008B6E95"/>
    <w:rsid w:val="008B738E"/>
    <w:rsid w:val="008B78A6"/>
    <w:rsid w:val="008C006B"/>
    <w:rsid w:val="008C1798"/>
    <w:rsid w:val="008C4CBC"/>
    <w:rsid w:val="008C52F3"/>
    <w:rsid w:val="008C7849"/>
    <w:rsid w:val="008D1D98"/>
    <w:rsid w:val="008D32B9"/>
    <w:rsid w:val="008D433B"/>
    <w:rsid w:val="008D4A16"/>
    <w:rsid w:val="008D683A"/>
    <w:rsid w:val="008D7E46"/>
    <w:rsid w:val="008E5401"/>
    <w:rsid w:val="008E566E"/>
    <w:rsid w:val="008F0242"/>
    <w:rsid w:val="008F1E40"/>
    <w:rsid w:val="008F33EA"/>
    <w:rsid w:val="008F3E9D"/>
    <w:rsid w:val="0090161A"/>
    <w:rsid w:val="00901EB6"/>
    <w:rsid w:val="009022E8"/>
    <w:rsid w:val="009031E3"/>
    <w:rsid w:val="009035DF"/>
    <w:rsid w:val="009041F8"/>
    <w:rsid w:val="00904C62"/>
    <w:rsid w:val="009058AC"/>
    <w:rsid w:val="00910370"/>
    <w:rsid w:val="009208F9"/>
    <w:rsid w:val="00922BA8"/>
    <w:rsid w:val="00924DAC"/>
    <w:rsid w:val="00924F53"/>
    <w:rsid w:val="00926ADD"/>
    <w:rsid w:val="00927058"/>
    <w:rsid w:val="00935A3E"/>
    <w:rsid w:val="00937699"/>
    <w:rsid w:val="00941095"/>
    <w:rsid w:val="009422D6"/>
    <w:rsid w:val="00942750"/>
    <w:rsid w:val="00942BC8"/>
    <w:rsid w:val="009450CE"/>
    <w:rsid w:val="009459BB"/>
    <w:rsid w:val="00947179"/>
    <w:rsid w:val="0095164B"/>
    <w:rsid w:val="00953B6F"/>
    <w:rsid w:val="00954090"/>
    <w:rsid w:val="009549C4"/>
    <w:rsid w:val="009549CC"/>
    <w:rsid w:val="009573E7"/>
    <w:rsid w:val="00963E05"/>
    <w:rsid w:val="00964A45"/>
    <w:rsid w:val="00967843"/>
    <w:rsid w:val="00967D54"/>
    <w:rsid w:val="00971028"/>
    <w:rsid w:val="00974129"/>
    <w:rsid w:val="00977A91"/>
    <w:rsid w:val="00980E27"/>
    <w:rsid w:val="00983355"/>
    <w:rsid w:val="00984E67"/>
    <w:rsid w:val="00986158"/>
    <w:rsid w:val="00987E04"/>
    <w:rsid w:val="009908A3"/>
    <w:rsid w:val="00993939"/>
    <w:rsid w:val="00993B84"/>
    <w:rsid w:val="00994C6A"/>
    <w:rsid w:val="00994F98"/>
    <w:rsid w:val="00995846"/>
    <w:rsid w:val="00996483"/>
    <w:rsid w:val="00996F5A"/>
    <w:rsid w:val="009A2202"/>
    <w:rsid w:val="009A2B5B"/>
    <w:rsid w:val="009A3DF3"/>
    <w:rsid w:val="009B041A"/>
    <w:rsid w:val="009B420A"/>
    <w:rsid w:val="009B58FF"/>
    <w:rsid w:val="009B6F34"/>
    <w:rsid w:val="009C0907"/>
    <w:rsid w:val="009C37C3"/>
    <w:rsid w:val="009C7C86"/>
    <w:rsid w:val="009D2FF7"/>
    <w:rsid w:val="009E635C"/>
    <w:rsid w:val="009E63E9"/>
    <w:rsid w:val="009E7884"/>
    <w:rsid w:val="009E788A"/>
    <w:rsid w:val="009F0E08"/>
    <w:rsid w:val="009F34B7"/>
    <w:rsid w:val="009F4315"/>
    <w:rsid w:val="009F445D"/>
    <w:rsid w:val="009F756A"/>
    <w:rsid w:val="009F7953"/>
    <w:rsid w:val="00A0055A"/>
    <w:rsid w:val="00A071C5"/>
    <w:rsid w:val="00A079AE"/>
    <w:rsid w:val="00A07B08"/>
    <w:rsid w:val="00A143A3"/>
    <w:rsid w:val="00A1763D"/>
    <w:rsid w:val="00A17863"/>
    <w:rsid w:val="00A17CEC"/>
    <w:rsid w:val="00A236F6"/>
    <w:rsid w:val="00A25801"/>
    <w:rsid w:val="00A27EF0"/>
    <w:rsid w:val="00A36CD9"/>
    <w:rsid w:val="00A40425"/>
    <w:rsid w:val="00A404F2"/>
    <w:rsid w:val="00A40B14"/>
    <w:rsid w:val="00A42361"/>
    <w:rsid w:val="00A42B32"/>
    <w:rsid w:val="00A42E0F"/>
    <w:rsid w:val="00A44811"/>
    <w:rsid w:val="00A4490C"/>
    <w:rsid w:val="00A50B20"/>
    <w:rsid w:val="00A51374"/>
    <w:rsid w:val="00A51390"/>
    <w:rsid w:val="00A55C48"/>
    <w:rsid w:val="00A56A91"/>
    <w:rsid w:val="00A60D13"/>
    <w:rsid w:val="00A70EBA"/>
    <w:rsid w:val="00A71A4B"/>
    <w:rsid w:val="00A71CA0"/>
    <w:rsid w:val="00A7223D"/>
    <w:rsid w:val="00A72745"/>
    <w:rsid w:val="00A7657E"/>
    <w:rsid w:val="00A76EFC"/>
    <w:rsid w:val="00A81804"/>
    <w:rsid w:val="00A87D50"/>
    <w:rsid w:val="00A91010"/>
    <w:rsid w:val="00A94BC7"/>
    <w:rsid w:val="00A9739F"/>
    <w:rsid w:val="00A97F29"/>
    <w:rsid w:val="00AA0EF0"/>
    <w:rsid w:val="00AA702E"/>
    <w:rsid w:val="00AA7D26"/>
    <w:rsid w:val="00AB0964"/>
    <w:rsid w:val="00AB14DE"/>
    <w:rsid w:val="00AB3F7E"/>
    <w:rsid w:val="00AB5011"/>
    <w:rsid w:val="00AC245B"/>
    <w:rsid w:val="00AC3350"/>
    <w:rsid w:val="00AC40EA"/>
    <w:rsid w:val="00AC42FC"/>
    <w:rsid w:val="00AC7368"/>
    <w:rsid w:val="00AD16B9"/>
    <w:rsid w:val="00AD1B80"/>
    <w:rsid w:val="00AD3463"/>
    <w:rsid w:val="00AD5FA2"/>
    <w:rsid w:val="00AD76F0"/>
    <w:rsid w:val="00AE0056"/>
    <w:rsid w:val="00AE25B2"/>
    <w:rsid w:val="00AE377D"/>
    <w:rsid w:val="00AE3ABD"/>
    <w:rsid w:val="00AE5028"/>
    <w:rsid w:val="00AE62E1"/>
    <w:rsid w:val="00AF0EBA"/>
    <w:rsid w:val="00AF1885"/>
    <w:rsid w:val="00AF19D5"/>
    <w:rsid w:val="00AF2463"/>
    <w:rsid w:val="00B0246B"/>
    <w:rsid w:val="00B02C8A"/>
    <w:rsid w:val="00B06673"/>
    <w:rsid w:val="00B06B89"/>
    <w:rsid w:val="00B152BF"/>
    <w:rsid w:val="00B16FA3"/>
    <w:rsid w:val="00B171C6"/>
    <w:rsid w:val="00B17FBD"/>
    <w:rsid w:val="00B30105"/>
    <w:rsid w:val="00B315A6"/>
    <w:rsid w:val="00B3167C"/>
    <w:rsid w:val="00B31813"/>
    <w:rsid w:val="00B31ECC"/>
    <w:rsid w:val="00B33365"/>
    <w:rsid w:val="00B36EFC"/>
    <w:rsid w:val="00B4506C"/>
    <w:rsid w:val="00B53588"/>
    <w:rsid w:val="00B54741"/>
    <w:rsid w:val="00B57B36"/>
    <w:rsid w:val="00B57E6F"/>
    <w:rsid w:val="00B6382F"/>
    <w:rsid w:val="00B63CEF"/>
    <w:rsid w:val="00B670E5"/>
    <w:rsid w:val="00B67693"/>
    <w:rsid w:val="00B70C87"/>
    <w:rsid w:val="00B71744"/>
    <w:rsid w:val="00B71C1A"/>
    <w:rsid w:val="00B81551"/>
    <w:rsid w:val="00B846F8"/>
    <w:rsid w:val="00B8686D"/>
    <w:rsid w:val="00B86A48"/>
    <w:rsid w:val="00B93F69"/>
    <w:rsid w:val="00BA03B2"/>
    <w:rsid w:val="00BA544D"/>
    <w:rsid w:val="00BA587C"/>
    <w:rsid w:val="00BB1DDC"/>
    <w:rsid w:val="00BB6A54"/>
    <w:rsid w:val="00BB6B6A"/>
    <w:rsid w:val="00BC1817"/>
    <w:rsid w:val="00BC1B71"/>
    <w:rsid w:val="00BC30C9"/>
    <w:rsid w:val="00BC46F9"/>
    <w:rsid w:val="00BC57B1"/>
    <w:rsid w:val="00BD0551"/>
    <w:rsid w:val="00BD077D"/>
    <w:rsid w:val="00BD2208"/>
    <w:rsid w:val="00BD2790"/>
    <w:rsid w:val="00BD7057"/>
    <w:rsid w:val="00BD74F7"/>
    <w:rsid w:val="00BE3E58"/>
    <w:rsid w:val="00BE4F9E"/>
    <w:rsid w:val="00BE5045"/>
    <w:rsid w:val="00BE5279"/>
    <w:rsid w:val="00BE6BC8"/>
    <w:rsid w:val="00BF13CE"/>
    <w:rsid w:val="00BF1589"/>
    <w:rsid w:val="00BF3E1B"/>
    <w:rsid w:val="00C01616"/>
    <w:rsid w:val="00C0162B"/>
    <w:rsid w:val="00C041A7"/>
    <w:rsid w:val="00C0588A"/>
    <w:rsid w:val="00C068ED"/>
    <w:rsid w:val="00C122FF"/>
    <w:rsid w:val="00C1784C"/>
    <w:rsid w:val="00C22E0C"/>
    <w:rsid w:val="00C2615F"/>
    <w:rsid w:val="00C270D4"/>
    <w:rsid w:val="00C3044F"/>
    <w:rsid w:val="00C345B1"/>
    <w:rsid w:val="00C35003"/>
    <w:rsid w:val="00C35C45"/>
    <w:rsid w:val="00C37542"/>
    <w:rsid w:val="00C40142"/>
    <w:rsid w:val="00C42DC3"/>
    <w:rsid w:val="00C43ECB"/>
    <w:rsid w:val="00C44000"/>
    <w:rsid w:val="00C45D88"/>
    <w:rsid w:val="00C4603B"/>
    <w:rsid w:val="00C46DEF"/>
    <w:rsid w:val="00C50306"/>
    <w:rsid w:val="00C52C3C"/>
    <w:rsid w:val="00C57182"/>
    <w:rsid w:val="00C57863"/>
    <w:rsid w:val="00C640AF"/>
    <w:rsid w:val="00C655FD"/>
    <w:rsid w:val="00C709B7"/>
    <w:rsid w:val="00C713CC"/>
    <w:rsid w:val="00C75407"/>
    <w:rsid w:val="00C75654"/>
    <w:rsid w:val="00C81394"/>
    <w:rsid w:val="00C82F85"/>
    <w:rsid w:val="00C841C6"/>
    <w:rsid w:val="00C870A8"/>
    <w:rsid w:val="00C94434"/>
    <w:rsid w:val="00C94D9B"/>
    <w:rsid w:val="00CA0D75"/>
    <w:rsid w:val="00CA1C95"/>
    <w:rsid w:val="00CA21C2"/>
    <w:rsid w:val="00CA4377"/>
    <w:rsid w:val="00CA5A9C"/>
    <w:rsid w:val="00CC1147"/>
    <w:rsid w:val="00CC1A9A"/>
    <w:rsid w:val="00CC383B"/>
    <w:rsid w:val="00CC38E7"/>
    <w:rsid w:val="00CC3F0F"/>
    <w:rsid w:val="00CC4C20"/>
    <w:rsid w:val="00CC7528"/>
    <w:rsid w:val="00CD2E58"/>
    <w:rsid w:val="00CD3517"/>
    <w:rsid w:val="00CD36B5"/>
    <w:rsid w:val="00CD5FE2"/>
    <w:rsid w:val="00CD66DB"/>
    <w:rsid w:val="00CE0DAE"/>
    <w:rsid w:val="00CE1F54"/>
    <w:rsid w:val="00CE6D7B"/>
    <w:rsid w:val="00CE7C68"/>
    <w:rsid w:val="00CF0854"/>
    <w:rsid w:val="00D0106E"/>
    <w:rsid w:val="00D020C7"/>
    <w:rsid w:val="00D02B4C"/>
    <w:rsid w:val="00D040C4"/>
    <w:rsid w:val="00D06171"/>
    <w:rsid w:val="00D11689"/>
    <w:rsid w:val="00D121E1"/>
    <w:rsid w:val="00D14DCE"/>
    <w:rsid w:val="00D20AD1"/>
    <w:rsid w:val="00D233A1"/>
    <w:rsid w:val="00D2582C"/>
    <w:rsid w:val="00D334F8"/>
    <w:rsid w:val="00D34EE1"/>
    <w:rsid w:val="00D36B00"/>
    <w:rsid w:val="00D41716"/>
    <w:rsid w:val="00D41813"/>
    <w:rsid w:val="00D45F0B"/>
    <w:rsid w:val="00D46B7E"/>
    <w:rsid w:val="00D47F31"/>
    <w:rsid w:val="00D533CF"/>
    <w:rsid w:val="00D55A88"/>
    <w:rsid w:val="00D57C84"/>
    <w:rsid w:val="00D57E1D"/>
    <w:rsid w:val="00D6057D"/>
    <w:rsid w:val="00D61682"/>
    <w:rsid w:val="00D650A6"/>
    <w:rsid w:val="00D675DF"/>
    <w:rsid w:val="00D71640"/>
    <w:rsid w:val="00D74394"/>
    <w:rsid w:val="00D75E0F"/>
    <w:rsid w:val="00D83390"/>
    <w:rsid w:val="00D836C5"/>
    <w:rsid w:val="00D84576"/>
    <w:rsid w:val="00D84B37"/>
    <w:rsid w:val="00D873A7"/>
    <w:rsid w:val="00D93515"/>
    <w:rsid w:val="00DA1399"/>
    <w:rsid w:val="00DA24C6"/>
    <w:rsid w:val="00DA43BD"/>
    <w:rsid w:val="00DA4D7B"/>
    <w:rsid w:val="00DA77C8"/>
    <w:rsid w:val="00DB11BA"/>
    <w:rsid w:val="00DB3CEA"/>
    <w:rsid w:val="00DB4DE8"/>
    <w:rsid w:val="00DB7F83"/>
    <w:rsid w:val="00DC10E0"/>
    <w:rsid w:val="00DC2840"/>
    <w:rsid w:val="00DC73EE"/>
    <w:rsid w:val="00DD1723"/>
    <w:rsid w:val="00DD22D4"/>
    <w:rsid w:val="00DD271C"/>
    <w:rsid w:val="00DD3796"/>
    <w:rsid w:val="00DE264A"/>
    <w:rsid w:val="00DF2831"/>
    <w:rsid w:val="00DF5072"/>
    <w:rsid w:val="00E00A82"/>
    <w:rsid w:val="00E010BF"/>
    <w:rsid w:val="00E014EA"/>
    <w:rsid w:val="00E02D18"/>
    <w:rsid w:val="00E03505"/>
    <w:rsid w:val="00E040DE"/>
    <w:rsid w:val="00E041E7"/>
    <w:rsid w:val="00E04985"/>
    <w:rsid w:val="00E14820"/>
    <w:rsid w:val="00E23CA1"/>
    <w:rsid w:val="00E31CBD"/>
    <w:rsid w:val="00E336B7"/>
    <w:rsid w:val="00E409A8"/>
    <w:rsid w:val="00E41561"/>
    <w:rsid w:val="00E465FA"/>
    <w:rsid w:val="00E50C12"/>
    <w:rsid w:val="00E5520B"/>
    <w:rsid w:val="00E561DA"/>
    <w:rsid w:val="00E56F4A"/>
    <w:rsid w:val="00E65B91"/>
    <w:rsid w:val="00E70AD2"/>
    <w:rsid w:val="00E7209D"/>
    <w:rsid w:val="00E72B30"/>
    <w:rsid w:val="00E72EAD"/>
    <w:rsid w:val="00E77223"/>
    <w:rsid w:val="00E8528B"/>
    <w:rsid w:val="00E85B94"/>
    <w:rsid w:val="00E952E3"/>
    <w:rsid w:val="00E95F53"/>
    <w:rsid w:val="00E9601B"/>
    <w:rsid w:val="00E978D0"/>
    <w:rsid w:val="00EA3B70"/>
    <w:rsid w:val="00EA4613"/>
    <w:rsid w:val="00EA7C20"/>
    <w:rsid w:val="00EA7F91"/>
    <w:rsid w:val="00EB01B2"/>
    <w:rsid w:val="00EB0C56"/>
    <w:rsid w:val="00EB1523"/>
    <w:rsid w:val="00EB4F2F"/>
    <w:rsid w:val="00EB7698"/>
    <w:rsid w:val="00EC0E49"/>
    <w:rsid w:val="00EC101F"/>
    <w:rsid w:val="00EC1D9F"/>
    <w:rsid w:val="00EC2CE5"/>
    <w:rsid w:val="00EC78DA"/>
    <w:rsid w:val="00ED5DEF"/>
    <w:rsid w:val="00EE0131"/>
    <w:rsid w:val="00EE17B0"/>
    <w:rsid w:val="00EE4BBE"/>
    <w:rsid w:val="00EE6016"/>
    <w:rsid w:val="00EE6D68"/>
    <w:rsid w:val="00EF06D9"/>
    <w:rsid w:val="00EF1094"/>
    <w:rsid w:val="00EF2D4D"/>
    <w:rsid w:val="00EF44C1"/>
    <w:rsid w:val="00EF5745"/>
    <w:rsid w:val="00EF58F9"/>
    <w:rsid w:val="00F03045"/>
    <w:rsid w:val="00F13144"/>
    <w:rsid w:val="00F1369E"/>
    <w:rsid w:val="00F223A2"/>
    <w:rsid w:val="00F27EE4"/>
    <w:rsid w:val="00F3049E"/>
    <w:rsid w:val="00F30C64"/>
    <w:rsid w:val="00F32BA2"/>
    <w:rsid w:val="00F32CDB"/>
    <w:rsid w:val="00F41EE4"/>
    <w:rsid w:val="00F43257"/>
    <w:rsid w:val="00F51BD5"/>
    <w:rsid w:val="00F54E1F"/>
    <w:rsid w:val="00F565FE"/>
    <w:rsid w:val="00F570A2"/>
    <w:rsid w:val="00F63A70"/>
    <w:rsid w:val="00F63D8C"/>
    <w:rsid w:val="00F651F7"/>
    <w:rsid w:val="00F66FE6"/>
    <w:rsid w:val="00F67F86"/>
    <w:rsid w:val="00F7534E"/>
    <w:rsid w:val="00F8078A"/>
    <w:rsid w:val="00F82BE4"/>
    <w:rsid w:val="00F87E2D"/>
    <w:rsid w:val="00F902F5"/>
    <w:rsid w:val="00F93991"/>
    <w:rsid w:val="00F93EDF"/>
    <w:rsid w:val="00F95FD0"/>
    <w:rsid w:val="00F97BF8"/>
    <w:rsid w:val="00F97D7C"/>
    <w:rsid w:val="00FA12AF"/>
    <w:rsid w:val="00FA1802"/>
    <w:rsid w:val="00FA1865"/>
    <w:rsid w:val="00FA21D0"/>
    <w:rsid w:val="00FA2606"/>
    <w:rsid w:val="00FA5F5F"/>
    <w:rsid w:val="00FA6849"/>
    <w:rsid w:val="00FA7E58"/>
    <w:rsid w:val="00FB2C2F"/>
    <w:rsid w:val="00FB5E63"/>
    <w:rsid w:val="00FB730C"/>
    <w:rsid w:val="00FC0E10"/>
    <w:rsid w:val="00FC1329"/>
    <w:rsid w:val="00FC132B"/>
    <w:rsid w:val="00FC2695"/>
    <w:rsid w:val="00FC3E03"/>
    <w:rsid w:val="00FC3FC1"/>
    <w:rsid w:val="00FC7922"/>
    <w:rsid w:val="00FD2C13"/>
    <w:rsid w:val="00FD5452"/>
    <w:rsid w:val="00FD576A"/>
    <w:rsid w:val="00FD7C63"/>
    <w:rsid w:val="00FE39EC"/>
    <w:rsid w:val="00FE7E17"/>
    <w:rsid w:val="00FF079B"/>
    <w:rsid w:val="00FF38E0"/>
    <w:rsid w:val="00FF7E8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US"/>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paragraph" w:styleId="Revisione">
    <w:name w:val="Revision"/>
    <w:hidden/>
    <w:uiPriority w:val="99"/>
    <w:semiHidden/>
    <w:rsid w:val="00C270D4"/>
    <w:pPr>
      <w:spacing w:after="0" w:line="240" w:lineRule="auto"/>
    </w:pPr>
    <w:rPr>
      <w:rFonts w:ascii="Arial" w:eastAsia="Times New Roman" w:hAnsi="Arial" w:cs="Times New Roman"/>
      <w:sz w:val="18"/>
      <w:szCs w:val="20"/>
      <w:lang w:val="en-GB"/>
    </w:rPr>
  </w:style>
  <w:style w:type="paragraph" w:customStyle="1" w:styleId="EndNoteBibliography">
    <w:name w:val="EndNote Bibliography"/>
    <w:basedOn w:val="Normale"/>
    <w:link w:val="EndNoteBibliographyChar"/>
    <w:rsid w:val="00527F31"/>
    <w:pPr>
      <w:tabs>
        <w:tab w:val="clear" w:pos="7100"/>
      </w:tabs>
      <w:spacing w:after="160" w:line="240" w:lineRule="auto"/>
      <w:jc w:val="left"/>
    </w:pPr>
    <w:rPr>
      <w:rFonts w:ascii="Times New Roman" w:eastAsiaTheme="minorHAnsi" w:hAnsi="Times New Roman"/>
      <w:noProof/>
      <w:kern w:val="2"/>
      <w:sz w:val="24"/>
      <w:szCs w:val="24"/>
      <w14:ligatures w14:val="standardContextual"/>
    </w:rPr>
  </w:style>
  <w:style w:type="character" w:customStyle="1" w:styleId="EndNoteBibliographyChar">
    <w:name w:val="EndNote Bibliography Char"/>
    <w:basedOn w:val="Carpredefinitoparagrafo"/>
    <w:link w:val="EndNoteBibliography"/>
    <w:rsid w:val="00527F31"/>
    <w:rPr>
      <w:rFonts w:ascii="Times New Roman" w:hAnsi="Times New Roman" w:cs="Times New Roman"/>
      <w:noProof/>
      <w:kern w:val="2"/>
      <w:sz w:val="24"/>
      <w:szCs w:val="24"/>
      <w:lang w:val="en-US"/>
      <w14:ligatures w14:val="standardContextual"/>
    </w:rPr>
  </w:style>
  <w:style w:type="character" w:customStyle="1" w:styleId="fontstyle01">
    <w:name w:val="fontstyle01"/>
    <w:basedOn w:val="Carpredefinitoparagrafo"/>
    <w:rsid w:val="00C81394"/>
    <w:rPr>
      <w:rFonts w:ascii="AdvTT5843c571" w:hAnsi="AdvTT5843c571" w:hint="default"/>
      <w:b w:val="0"/>
      <w:bCs w:val="0"/>
      <w:i w:val="0"/>
      <w:iCs w:val="0"/>
      <w:color w:val="000000"/>
      <w:sz w:val="22"/>
      <w:szCs w:val="22"/>
    </w:rPr>
  </w:style>
  <w:style w:type="character" w:customStyle="1" w:styleId="fontstyle11">
    <w:name w:val="fontstyle11"/>
    <w:basedOn w:val="Carpredefinitoparagrafo"/>
    <w:rsid w:val="00184A11"/>
    <w:rPr>
      <w:rFonts w:ascii="AdvTT5843c571" w:hAnsi="AdvTT5843c571" w:hint="default"/>
      <w:b w:val="0"/>
      <w:bCs w:val="0"/>
      <w:i w:val="0"/>
      <w:iCs w:val="0"/>
      <w:color w:val="000000"/>
      <w:sz w:val="22"/>
      <w:szCs w:val="22"/>
    </w:rPr>
  </w:style>
  <w:style w:type="character" w:styleId="Testosegnaposto">
    <w:name w:val="Placeholder Text"/>
    <w:basedOn w:val="Carpredefinitoparagrafo"/>
    <w:uiPriority w:val="99"/>
    <w:semiHidden/>
    <w:rsid w:val="003B37C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601186745">
      <w:bodyDiv w:val="1"/>
      <w:marLeft w:val="0"/>
      <w:marRight w:val="0"/>
      <w:marTop w:val="0"/>
      <w:marBottom w:val="0"/>
      <w:divBdr>
        <w:top w:val="none" w:sz="0" w:space="0" w:color="auto"/>
        <w:left w:val="none" w:sz="0" w:space="0" w:color="auto"/>
        <w:bottom w:val="none" w:sz="0" w:space="0" w:color="auto"/>
        <w:right w:val="none" w:sz="0" w:space="0" w:color="auto"/>
      </w:divBdr>
    </w:div>
    <w:div w:id="693576256">
      <w:bodyDiv w:val="1"/>
      <w:marLeft w:val="0"/>
      <w:marRight w:val="0"/>
      <w:marTop w:val="0"/>
      <w:marBottom w:val="0"/>
      <w:divBdr>
        <w:top w:val="none" w:sz="0" w:space="0" w:color="auto"/>
        <w:left w:val="none" w:sz="0" w:space="0" w:color="auto"/>
        <w:bottom w:val="none" w:sz="0" w:space="0" w:color="auto"/>
        <w:right w:val="none" w:sz="0" w:space="0" w:color="auto"/>
      </w:divBdr>
    </w:div>
    <w:div w:id="728304991">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29491">
      <w:bodyDiv w:val="1"/>
      <w:marLeft w:val="0"/>
      <w:marRight w:val="0"/>
      <w:marTop w:val="0"/>
      <w:marBottom w:val="0"/>
      <w:divBdr>
        <w:top w:val="none" w:sz="0" w:space="0" w:color="auto"/>
        <w:left w:val="none" w:sz="0" w:space="0" w:color="auto"/>
        <w:bottom w:val="none" w:sz="0" w:space="0" w:color="auto"/>
        <w:right w:val="none" w:sz="0" w:space="0" w:color="auto"/>
      </w:divBdr>
    </w:div>
    <w:div w:id="1087581444">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035181">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66180048">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47091215">
      <w:bodyDiv w:val="1"/>
      <w:marLeft w:val="0"/>
      <w:marRight w:val="0"/>
      <w:marTop w:val="0"/>
      <w:marBottom w:val="0"/>
      <w:divBdr>
        <w:top w:val="none" w:sz="0" w:space="0" w:color="auto"/>
        <w:left w:val="none" w:sz="0" w:space="0" w:color="auto"/>
        <w:bottom w:val="none" w:sz="0" w:space="0" w:color="auto"/>
        <w:right w:val="none" w:sz="0" w:space="0" w:color="auto"/>
      </w:divBdr>
    </w:div>
    <w:div w:id="209925468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3563</Words>
  <Characters>20311</Characters>
  <Application>Microsoft Office Word</Application>
  <DocSecurity>0</DocSecurity>
  <Lines>169</Lines>
  <Paragraphs>47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Sauro Pierucci</cp:lastModifiedBy>
  <cp:revision>368</cp:revision>
  <cp:lastPrinted>2025-01-17T22:00:00Z</cp:lastPrinted>
  <dcterms:created xsi:type="dcterms:W3CDTF">2024-10-15T14:13:00Z</dcterms:created>
  <dcterms:modified xsi:type="dcterms:W3CDTF">2025-04-16T11:47:00Z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d8a7ab86ca3d55ac9b62d73eba02a29c8ab6ad3d1bd4ccc23b2d20e4fdb4f6b2</vt:lpwstr>
  </property>
</Properties>
</file>