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AA70E9" w:rsidRPr="00481747" w14:paraId="2A131A54" w14:textId="77777777" w:rsidTr="001D269B">
        <w:trPr>
          <w:trHeight w:val="852"/>
          <w:jc w:val="center"/>
        </w:trPr>
        <w:tc>
          <w:tcPr>
            <w:tcW w:w="6940" w:type="dxa"/>
            <w:vMerge w:val="restart"/>
            <w:tcBorders>
              <w:right w:val="single" w:sz="4" w:space="0" w:color="auto"/>
            </w:tcBorders>
          </w:tcPr>
          <w:p w14:paraId="38C3D2BA" w14:textId="77777777" w:rsidR="000A03B2" w:rsidRPr="00481747" w:rsidRDefault="000A03B2" w:rsidP="00DE264A">
            <w:pPr>
              <w:tabs>
                <w:tab w:val="left" w:pos="-108"/>
              </w:tabs>
              <w:ind w:left="-108"/>
              <w:jc w:val="left"/>
              <w:rPr>
                <w:rFonts w:cs="Arial"/>
                <w:b/>
                <w:bCs/>
                <w:i/>
                <w:iCs/>
                <w:sz w:val="12"/>
                <w:szCs w:val="12"/>
                <w:lang w:eastAsia="it-IT"/>
              </w:rPr>
            </w:pPr>
            <w:bookmarkStart w:id="0" w:name="_Hlk145068772"/>
            <w:r w:rsidRPr="00481747">
              <w:rPr>
                <w:rFonts w:ascii="AdvP6960" w:hAnsi="AdvP6960" w:cs="AdvP6960"/>
                <w:noProof/>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481747">
              <w:rPr>
                <w:rFonts w:ascii="AdvP6960" w:hAnsi="AdvP6960" w:cs="AdvP6960"/>
                <w:szCs w:val="18"/>
                <w:lang w:eastAsia="it-IT"/>
              </w:rPr>
              <w:t xml:space="preserve"> </w:t>
            </w:r>
            <w:r w:rsidRPr="00481747">
              <w:rPr>
                <w:rFonts w:cs="Arial"/>
                <w:b/>
                <w:bCs/>
                <w:i/>
                <w:iCs/>
                <w:sz w:val="24"/>
                <w:szCs w:val="24"/>
                <w:lang w:eastAsia="it-IT"/>
              </w:rPr>
              <w:t>CHEMICAL ENGINEERING TRANSACTIONS</w:t>
            </w:r>
            <w:r w:rsidRPr="00481747">
              <w:rPr>
                <w:sz w:val="24"/>
                <w:szCs w:val="24"/>
                <w:lang w:eastAsia="it-IT"/>
              </w:rPr>
              <w:t xml:space="preserve"> </w:t>
            </w:r>
            <w:r w:rsidRPr="00481747">
              <w:rPr>
                <w:rFonts w:cs="Arial"/>
                <w:b/>
                <w:bCs/>
                <w:i/>
                <w:iCs/>
                <w:sz w:val="27"/>
                <w:szCs w:val="27"/>
                <w:lang w:eastAsia="it-IT"/>
              </w:rPr>
              <w:br/>
            </w:r>
          </w:p>
          <w:p w14:paraId="4B780582" w14:textId="47EF826C" w:rsidR="000A03B2" w:rsidRPr="00481747" w:rsidRDefault="00A76EFC" w:rsidP="001D21AF">
            <w:pPr>
              <w:tabs>
                <w:tab w:val="left" w:pos="-108"/>
              </w:tabs>
              <w:ind w:left="-108"/>
              <w:rPr>
                <w:rFonts w:cs="Arial"/>
                <w:b/>
                <w:bCs/>
                <w:i/>
                <w:iCs/>
                <w:sz w:val="22"/>
                <w:szCs w:val="22"/>
                <w:lang w:eastAsia="it-IT"/>
              </w:rPr>
            </w:pPr>
            <w:r w:rsidRPr="00481747">
              <w:rPr>
                <w:rFonts w:cs="Arial"/>
                <w:b/>
                <w:bCs/>
                <w:i/>
                <w:iCs/>
                <w:sz w:val="22"/>
                <w:szCs w:val="22"/>
                <w:lang w:eastAsia="it-IT"/>
              </w:rPr>
              <w:t>VOL.</w:t>
            </w:r>
            <w:r w:rsidR="00785BF9" w:rsidRPr="00481747">
              <w:rPr>
                <w:rFonts w:cs="Arial"/>
                <w:b/>
                <w:bCs/>
                <w:i/>
                <w:iCs/>
                <w:sz w:val="22"/>
                <w:szCs w:val="22"/>
                <w:lang w:eastAsia="it-IT"/>
              </w:rPr>
              <w:t xml:space="preserve"> </w:t>
            </w:r>
            <w:r w:rsidR="00994C6A" w:rsidRPr="00481747">
              <w:rPr>
                <w:rFonts w:cs="Arial"/>
                <w:b/>
                <w:bCs/>
                <w:i/>
                <w:iCs/>
                <w:sz w:val="22"/>
                <w:szCs w:val="22"/>
                <w:lang w:eastAsia="it-IT"/>
              </w:rPr>
              <w:t>xxx</w:t>
            </w:r>
            <w:r w:rsidR="007B48F9" w:rsidRPr="00481747">
              <w:rPr>
                <w:rFonts w:cs="Arial"/>
                <w:b/>
                <w:bCs/>
                <w:i/>
                <w:iCs/>
                <w:sz w:val="22"/>
                <w:szCs w:val="22"/>
                <w:lang w:eastAsia="it-IT"/>
              </w:rPr>
              <w:t>,</w:t>
            </w:r>
            <w:r w:rsidR="00FA5F5F" w:rsidRPr="00481747">
              <w:rPr>
                <w:rFonts w:cs="Arial"/>
                <w:b/>
                <w:bCs/>
                <w:i/>
                <w:iCs/>
                <w:sz w:val="22"/>
                <w:szCs w:val="22"/>
                <w:lang w:eastAsia="it-IT"/>
              </w:rPr>
              <w:t xml:space="preserve"> </w:t>
            </w:r>
            <w:r w:rsidR="0030152C" w:rsidRPr="00481747">
              <w:rPr>
                <w:rFonts w:cs="Arial"/>
                <w:b/>
                <w:bCs/>
                <w:i/>
                <w:iCs/>
                <w:sz w:val="22"/>
                <w:szCs w:val="22"/>
                <w:lang w:eastAsia="it-IT"/>
              </w:rPr>
              <w:t>202</w:t>
            </w:r>
            <w:r w:rsidR="00994C6A" w:rsidRPr="00481747">
              <w:rPr>
                <w:rFonts w:cs="Arial"/>
                <w:b/>
                <w:bCs/>
                <w:i/>
                <w:iCs/>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481747" w:rsidRDefault="000A03B2" w:rsidP="00CD5FE2">
            <w:pPr>
              <w:spacing w:line="140" w:lineRule="atLeast"/>
              <w:jc w:val="right"/>
              <w:rPr>
                <w:rFonts w:cs="Arial"/>
                <w:sz w:val="14"/>
                <w:szCs w:val="14"/>
              </w:rPr>
            </w:pPr>
            <w:r w:rsidRPr="00481747">
              <w:rPr>
                <w:rFonts w:cs="Arial"/>
                <w:sz w:val="14"/>
                <w:szCs w:val="14"/>
              </w:rPr>
              <w:t>A publication of</w:t>
            </w:r>
          </w:p>
          <w:p w14:paraId="599E5441" w14:textId="77777777" w:rsidR="000A03B2" w:rsidRPr="00481747" w:rsidRDefault="000A03B2" w:rsidP="00CD5FE2">
            <w:pPr>
              <w:jc w:val="right"/>
            </w:pPr>
            <w:r w:rsidRPr="00481747">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AA70E9" w:rsidRPr="00481747" w14:paraId="380FA3CD" w14:textId="77777777" w:rsidTr="001D269B">
        <w:trPr>
          <w:trHeight w:val="567"/>
          <w:jc w:val="center"/>
        </w:trPr>
        <w:tc>
          <w:tcPr>
            <w:tcW w:w="6940" w:type="dxa"/>
            <w:vMerge/>
            <w:tcBorders>
              <w:right w:val="single" w:sz="4" w:space="0" w:color="auto"/>
            </w:tcBorders>
          </w:tcPr>
          <w:p w14:paraId="39E5E4C1" w14:textId="77777777" w:rsidR="000A03B2" w:rsidRPr="00481747"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481747" w:rsidRDefault="000A03B2" w:rsidP="00CD5FE2">
            <w:pPr>
              <w:spacing w:line="140" w:lineRule="atLeast"/>
              <w:jc w:val="right"/>
              <w:rPr>
                <w:rFonts w:cs="Arial"/>
                <w:sz w:val="14"/>
                <w:szCs w:val="14"/>
              </w:rPr>
            </w:pPr>
            <w:r w:rsidRPr="00481747">
              <w:rPr>
                <w:rFonts w:cs="Arial"/>
                <w:sz w:val="14"/>
                <w:szCs w:val="14"/>
              </w:rPr>
              <w:t>The Italian Association</w:t>
            </w:r>
          </w:p>
          <w:p w14:paraId="7522B1D2" w14:textId="77777777" w:rsidR="000A03B2" w:rsidRPr="00481747" w:rsidRDefault="000A03B2" w:rsidP="00CD5FE2">
            <w:pPr>
              <w:spacing w:line="140" w:lineRule="atLeast"/>
              <w:jc w:val="right"/>
              <w:rPr>
                <w:rFonts w:cs="Arial"/>
                <w:sz w:val="14"/>
                <w:szCs w:val="14"/>
              </w:rPr>
            </w:pPr>
            <w:r w:rsidRPr="00481747">
              <w:rPr>
                <w:rFonts w:cs="Arial"/>
                <w:sz w:val="14"/>
                <w:szCs w:val="14"/>
              </w:rPr>
              <w:t>of Chemical Engineering</w:t>
            </w:r>
          </w:p>
          <w:p w14:paraId="4F0CC5DE" w14:textId="47FDB2FC" w:rsidR="000A03B2" w:rsidRPr="00481747" w:rsidRDefault="000D0268" w:rsidP="00CD5FE2">
            <w:pPr>
              <w:spacing w:line="140" w:lineRule="atLeast"/>
              <w:jc w:val="right"/>
              <w:rPr>
                <w:rFonts w:cs="Arial"/>
                <w:sz w:val="13"/>
                <w:szCs w:val="13"/>
              </w:rPr>
            </w:pPr>
            <w:r w:rsidRPr="00481747">
              <w:rPr>
                <w:rFonts w:cs="Arial"/>
                <w:sz w:val="13"/>
                <w:szCs w:val="13"/>
              </w:rPr>
              <w:t>Online at www.cetjournal.it</w:t>
            </w:r>
          </w:p>
        </w:tc>
      </w:tr>
      <w:tr w:rsidR="00AA70E9" w:rsidRPr="00481747" w14:paraId="2D1B7169" w14:textId="77777777" w:rsidTr="001D269B">
        <w:trPr>
          <w:trHeight w:val="68"/>
          <w:jc w:val="center"/>
        </w:trPr>
        <w:tc>
          <w:tcPr>
            <w:tcW w:w="8782" w:type="dxa"/>
            <w:gridSpan w:val="2"/>
          </w:tcPr>
          <w:p w14:paraId="30F07041" w14:textId="11182ABA" w:rsidR="00F27EE4" w:rsidRPr="00481747" w:rsidRDefault="00AA7D26" w:rsidP="00F27EE4">
            <w:pPr>
              <w:ind w:left="-107"/>
              <w:rPr>
                <w:rFonts w:ascii="Tahoma" w:hAnsi="Tahoma" w:cs="Tahoma"/>
                <w:b/>
                <w:bCs/>
                <w:sz w:val="14"/>
                <w:szCs w:val="14"/>
                <w:shd w:val="clear" w:color="auto" w:fill="FFFFFF"/>
                <w:lang w:val="it-IT"/>
              </w:rPr>
            </w:pPr>
            <w:r w:rsidRPr="00481747">
              <w:rPr>
                <w:rFonts w:ascii="Tahoma" w:hAnsi="Tahoma" w:cs="Tahoma"/>
                <w:iCs/>
                <w:sz w:val="14"/>
                <w:szCs w:val="14"/>
                <w:lang w:val="it-IT" w:eastAsia="it-IT"/>
              </w:rPr>
              <w:t>Guest Editors:</w:t>
            </w:r>
            <w:r w:rsidR="007D610D" w:rsidRPr="00481747">
              <w:rPr>
                <w:rFonts w:ascii="Aptos" w:eastAsiaTheme="minorHAnsi" w:hAnsi="Aptos" w:cs="Aptos"/>
                <w:sz w:val="22"/>
                <w:szCs w:val="22"/>
                <w:lang w:val="it-IT"/>
                <w14:ligatures w14:val="standardContextual"/>
              </w:rPr>
              <w:t xml:space="preserve"> </w:t>
            </w:r>
            <w:r w:rsidR="00F27EE4" w:rsidRPr="00481747">
              <w:rPr>
                <w:rFonts w:ascii="Tahoma" w:hAnsi="Tahoma" w:cs="Tahoma"/>
                <w:sz w:val="14"/>
                <w:szCs w:val="14"/>
                <w:shd w:val="clear" w:color="auto" w:fill="FFFFFF"/>
                <w:lang w:val="it-IT"/>
              </w:rPr>
              <w:t>Bruno Fabiano, Valerio Cozzani</w:t>
            </w:r>
          </w:p>
          <w:p w14:paraId="1B0F1814" w14:textId="2DB8A072" w:rsidR="000A03B2" w:rsidRPr="00481747" w:rsidRDefault="00AA7D26" w:rsidP="00AA7D26">
            <w:pPr>
              <w:tabs>
                <w:tab w:val="left" w:pos="-108"/>
              </w:tabs>
              <w:spacing w:line="140" w:lineRule="atLeast"/>
              <w:ind w:left="-107"/>
              <w:jc w:val="left"/>
            </w:pPr>
            <w:r w:rsidRPr="00481747">
              <w:rPr>
                <w:rFonts w:ascii="Tahoma" w:hAnsi="Tahoma" w:cs="Tahoma"/>
                <w:iCs/>
                <w:sz w:val="14"/>
                <w:szCs w:val="14"/>
                <w:lang w:eastAsia="it-IT"/>
              </w:rPr>
              <w:t>Copyright © 202</w:t>
            </w:r>
            <w:r w:rsidR="00994C6A" w:rsidRPr="00481747">
              <w:rPr>
                <w:rFonts w:ascii="Tahoma" w:hAnsi="Tahoma" w:cs="Tahoma"/>
                <w:iCs/>
                <w:sz w:val="14"/>
                <w:szCs w:val="14"/>
                <w:lang w:eastAsia="it-IT"/>
              </w:rPr>
              <w:t>5</w:t>
            </w:r>
            <w:r w:rsidRPr="00481747">
              <w:rPr>
                <w:rFonts w:ascii="Tahoma" w:hAnsi="Tahoma" w:cs="Tahoma"/>
                <w:iCs/>
                <w:sz w:val="14"/>
                <w:szCs w:val="14"/>
                <w:lang w:eastAsia="it-IT"/>
              </w:rPr>
              <w:t>, AIDIC Servizi S.r.l.</w:t>
            </w:r>
            <w:r w:rsidRPr="00481747">
              <w:rPr>
                <w:rFonts w:ascii="Tahoma" w:hAnsi="Tahoma" w:cs="Tahoma"/>
                <w:iCs/>
                <w:sz w:val="14"/>
                <w:szCs w:val="14"/>
                <w:lang w:eastAsia="it-IT"/>
              </w:rPr>
              <w:br/>
            </w:r>
            <w:r w:rsidRPr="00481747">
              <w:rPr>
                <w:rFonts w:ascii="Tahoma" w:hAnsi="Tahoma" w:cs="Tahoma"/>
                <w:b/>
                <w:iCs/>
                <w:sz w:val="14"/>
                <w:szCs w:val="14"/>
                <w:lang w:eastAsia="it-IT"/>
              </w:rPr>
              <w:t>ISBN</w:t>
            </w:r>
            <w:r w:rsidRPr="00481747">
              <w:rPr>
                <w:rFonts w:ascii="Tahoma" w:hAnsi="Tahoma" w:cs="Tahoma"/>
                <w:iCs/>
                <w:sz w:val="14"/>
                <w:szCs w:val="14"/>
                <w:lang w:eastAsia="it-IT"/>
              </w:rPr>
              <w:t xml:space="preserve"> </w:t>
            </w:r>
            <w:r w:rsidR="003B49CD" w:rsidRPr="00481747">
              <w:rPr>
                <w:rFonts w:ascii="Tahoma" w:hAnsi="Tahoma" w:cs="Tahoma"/>
                <w:sz w:val="14"/>
                <w:szCs w:val="14"/>
              </w:rPr>
              <w:t>979-12-81206-</w:t>
            </w:r>
            <w:r w:rsidR="00F27EE4" w:rsidRPr="00481747">
              <w:rPr>
                <w:rFonts w:ascii="Tahoma" w:hAnsi="Tahoma" w:cs="Tahoma"/>
                <w:sz w:val="14"/>
                <w:szCs w:val="14"/>
              </w:rPr>
              <w:t>xx-y</w:t>
            </w:r>
            <w:r w:rsidRPr="00481747">
              <w:rPr>
                <w:rFonts w:ascii="Tahoma" w:hAnsi="Tahoma" w:cs="Tahoma"/>
                <w:iCs/>
                <w:sz w:val="14"/>
                <w:szCs w:val="14"/>
                <w:lang w:eastAsia="it-IT"/>
              </w:rPr>
              <w:t xml:space="preserve">; </w:t>
            </w:r>
            <w:r w:rsidRPr="00481747">
              <w:rPr>
                <w:rFonts w:ascii="Tahoma" w:hAnsi="Tahoma" w:cs="Tahoma"/>
                <w:b/>
                <w:iCs/>
                <w:sz w:val="14"/>
                <w:szCs w:val="14"/>
                <w:lang w:eastAsia="it-IT"/>
              </w:rPr>
              <w:t>ISSN</w:t>
            </w:r>
            <w:r w:rsidRPr="00481747">
              <w:rPr>
                <w:rFonts w:ascii="Tahoma" w:hAnsi="Tahoma" w:cs="Tahoma"/>
                <w:iCs/>
                <w:sz w:val="14"/>
                <w:szCs w:val="14"/>
                <w:lang w:eastAsia="it-IT"/>
              </w:rPr>
              <w:t xml:space="preserve"> 2283-9216</w:t>
            </w:r>
          </w:p>
        </w:tc>
      </w:tr>
    </w:tbl>
    <w:bookmarkEnd w:id="0"/>
    <w:p w14:paraId="2E667253" w14:textId="07B4B3B8" w:rsidR="00E978D0" w:rsidRPr="00481747" w:rsidRDefault="001D269B" w:rsidP="00E978D0">
      <w:pPr>
        <w:pStyle w:val="CETTitle"/>
      </w:pPr>
      <w:r w:rsidRPr="00481747">
        <w:t xml:space="preserve">AW-OZ: a </w:t>
      </w:r>
      <w:r w:rsidR="001733C9" w:rsidRPr="00481747">
        <w:t xml:space="preserve">novel approach to explosion risk assessment of equipment and process nodes used for processing bulk materials containing combustible and explosive </w:t>
      </w:r>
      <w:r w:rsidR="003604AD" w:rsidRPr="00481747">
        <w:t>dusts</w:t>
      </w:r>
    </w:p>
    <w:p w14:paraId="0488FED2" w14:textId="088CC5DB" w:rsidR="00B57E6F" w:rsidRPr="00861B06" w:rsidRDefault="004117B7" w:rsidP="00B57E6F">
      <w:pPr>
        <w:pStyle w:val="CETAuthors"/>
      </w:pPr>
      <w:r w:rsidRPr="00861B06">
        <w:t>Andrzej Wolff</w:t>
      </w:r>
      <w:r w:rsidR="00681158" w:rsidRPr="00861B06">
        <w:t>*</w:t>
      </w:r>
      <w:r w:rsidR="00B57E6F" w:rsidRPr="00861B06">
        <w:rPr>
          <w:vertAlign w:val="superscript"/>
        </w:rPr>
        <w:t>a</w:t>
      </w:r>
      <w:r w:rsidR="00B57E6F" w:rsidRPr="00861B06">
        <w:t>,</w:t>
      </w:r>
      <w:r w:rsidRPr="00861B06">
        <w:t xml:space="preserve"> Zbigniew Wolff</w:t>
      </w:r>
      <w:r w:rsidR="00B57E6F" w:rsidRPr="00861B06">
        <w:t xml:space="preserve">, </w:t>
      </w:r>
      <w:r w:rsidRPr="00861B06">
        <w:t>S</w:t>
      </w:r>
      <w:r w:rsidR="00FA6CE4" w:rsidRPr="00861B06">
        <w:t>ebastian</w:t>
      </w:r>
      <w:r w:rsidRPr="00861B06">
        <w:t xml:space="preserve"> Słaboszewski</w:t>
      </w:r>
      <w:r w:rsidRPr="00861B06">
        <w:rPr>
          <w:vertAlign w:val="superscript"/>
        </w:rPr>
        <w:t xml:space="preserve"> </w:t>
      </w:r>
    </w:p>
    <w:p w14:paraId="3A0A52CC" w14:textId="459F6C9A" w:rsidR="004117B7" w:rsidRPr="00481747" w:rsidRDefault="00B57E6F" w:rsidP="00B57E6F">
      <w:pPr>
        <w:pStyle w:val="CETAddress"/>
        <w:rPr>
          <w:lang w:val="pl-PL"/>
        </w:rPr>
      </w:pPr>
      <w:r w:rsidRPr="00481747">
        <w:rPr>
          <w:vertAlign w:val="superscript"/>
          <w:lang w:val="pl-PL"/>
        </w:rPr>
        <w:t>a</w:t>
      </w:r>
      <w:r w:rsidR="00681158" w:rsidRPr="00481747">
        <w:rPr>
          <w:lang w:val="pl-PL"/>
        </w:rPr>
        <w:t>GRUPA WOLFF sp. z o.o. sp.k., ul. Spacerowa 5, 32-083 Balice, Poland</w:t>
      </w:r>
      <w:r w:rsidRPr="00481747">
        <w:rPr>
          <w:lang w:val="pl-PL"/>
        </w:rPr>
        <w:t xml:space="preserve"> </w:t>
      </w:r>
    </w:p>
    <w:p w14:paraId="35754D02" w14:textId="67E91E8F" w:rsidR="00715C04" w:rsidRPr="00BB3971" w:rsidRDefault="00B57E6F" w:rsidP="00BB3971">
      <w:pPr>
        <w:pStyle w:val="CETemail"/>
        <w:rPr>
          <w:lang w:val="pl-PL"/>
        </w:rPr>
      </w:pPr>
      <w:r w:rsidRPr="00481747">
        <w:rPr>
          <w:lang w:val="pl-PL"/>
        </w:rPr>
        <w:t xml:space="preserve"> </w:t>
      </w:r>
      <w:r w:rsidR="004117B7" w:rsidRPr="00481747">
        <w:rPr>
          <w:lang w:val="pl-PL"/>
        </w:rPr>
        <w:t>a.wolff@grupa-wolff.eu</w:t>
      </w:r>
    </w:p>
    <w:p w14:paraId="190704A5" w14:textId="2BEBB747" w:rsidR="00DA42F8" w:rsidRPr="00DA42F8" w:rsidRDefault="004117B7" w:rsidP="00DA42F8">
      <w:pPr>
        <w:pStyle w:val="CETReferencetext"/>
        <w:ind w:left="0" w:firstLine="0"/>
      </w:pPr>
      <w:r w:rsidRPr="00481747">
        <w:t>Following many years of work in the area of explosion and process safety and the explosion risk assessments</w:t>
      </w:r>
      <w:r w:rsidR="00DA42F8">
        <w:t xml:space="preserve"> </w:t>
      </w:r>
      <w:r w:rsidRPr="00481747">
        <w:t xml:space="preserve">carried out for process installations in a number of industries, it was determined that there was a need to develop a new approach to risk/hazard assessment based fundamentally on process data. </w:t>
      </w:r>
      <w:r w:rsidR="00BD47D4" w:rsidRPr="00481747">
        <w:t xml:space="preserve">The objective of the work carried out was to reduce the role of subjective assessment, which characterizes the commonly used PHA (Preliminary Hazard Analysis) </w:t>
      </w:r>
      <w:r w:rsidR="00BD47D4" w:rsidRPr="00CB2F01">
        <w:t>method</w:t>
      </w:r>
      <w:r w:rsidR="008F070D">
        <w:t>.</w:t>
      </w:r>
      <w:r w:rsidRPr="00CB2F01">
        <w:t xml:space="preserve"> This resulted in the development of the AW-OZ methodology for quantitative hazard level </w:t>
      </w:r>
      <w:r w:rsidR="00BD47D4" w:rsidRPr="00CB2F01">
        <w:t>assessment</w:t>
      </w:r>
      <w:r w:rsidRPr="00CB2F01">
        <w:t>.</w:t>
      </w:r>
      <w:r w:rsidR="001D03AC" w:rsidRPr="00CB2F01">
        <w:t xml:space="preserve"> </w:t>
      </w:r>
      <w:r w:rsidR="004453D1" w:rsidRPr="00CB2F01">
        <w:t>It is applicable to the evaluation of typical equipment used in industry to process bulk substances that contain combustible and explosive dusts.</w:t>
      </w:r>
      <w:r w:rsidRPr="00CB2F01">
        <w:t xml:space="preserve"> </w:t>
      </w:r>
      <w:r w:rsidR="00C22C03" w:rsidRPr="00CB2F01">
        <w:t xml:space="preserve">Determining the risk value associated with the operation of the equipment allows, in the next step of the procedure, a qualitative assessment of the probability / frequency of ignition source activation and the possible consequences of an explosion using  </w:t>
      </w:r>
      <w:r w:rsidR="00DA42F8">
        <w:t xml:space="preserve">VDI </w:t>
      </w:r>
      <w:r w:rsidR="00C22C03" w:rsidRPr="00DA42F8">
        <w:t xml:space="preserve">approach </w:t>
      </w:r>
      <w:r w:rsidR="00DA42F8" w:rsidRPr="00DA42F8">
        <w:t>(VDI 2263-6, 2017)</w:t>
      </w:r>
      <w:r w:rsidR="00C22C03" w:rsidRPr="00DA42F8">
        <w:t>.</w:t>
      </w:r>
      <w:r w:rsidR="00621841" w:rsidRPr="00DA42F8">
        <w:t xml:space="preserve"> The</w:t>
      </w:r>
      <w:r w:rsidR="00621841" w:rsidRPr="00CB2F01">
        <w:t xml:space="preserve"> advantage of AW-OZ approach is the quantitative assessment of the level of hazard/risk associated with equipment</w:t>
      </w:r>
      <w:r w:rsidR="00621841" w:rsidRPr="00481747">
        <w:t xml:space="preserve"> operation and also the compliance with the provisions of ATEX </w:t>
      </w:r>
      <w:r w:rsidR="00EA77D7">
        <w:t>User</w:t>
      </w:r>
      <w:r w:rsidR="00621841" w:rsidRPr="00EA77D7">
        <w:t xml:space="preserve"> </w:t>
      </w:r>
      <w:r w:rsidR="00EA77D7" w:rsidRPr="00EA77D7">
        <w:t>(Directive 1999/92/EC)</w:t>
      </w:r>
      <w:r w:rsidR="007848A0" w:rsidRPr="00EA77D7">
        <w:t xml:space="preserve"> </w:t>
      </w:r>
      <w:r w:rsidR="00621841" w:rsidRPr="00EA77D7">
        <w:t>for</w:t>
      </w:r>
      <w:r w:rsidR="00621841" w:rsidRPr="00481747">
        <w:t xml:space="preserve"> explosion risk assessment. Relying on reliable process data reduces the risk of taking up wrong decisions.</w:t>
      </w:r>
    </w:p>
    <w:p w14:paraId="517592AA" w14:textId="61245930" w:rsidR="00681158" w:rsidRPr="00B073E8" w:rsidRDefault="00681158" w:rsidP="001A6797">
      <w:pPr>
        <w:pStyle w:val="CETHeading1"/>
      </w:pPr>
      <w:r w:rsidRPr="00481747">
        <w:t xml:space="preserve">AW-OZ risk assessment </w:t>
      </w:r>
      <w:r w:rsidRPr="00B073E8">
        <w:t>methodology vs. the recommendations of the USERS ATEX directive</w:t>
      </w:r>
    </w:p>
    <w:p w14:paraId="58A9D56B" w14:textId="17F87FC3" w:rsidR="00681158" w:rsidRPr="00B073E8" w:rsidRDefault="00391829" w:rsidP="00681158">
      <w:pPr>
        <w:pStyle w:val="CETBodytext"/>
      </w:pPr>
      <w:r w:rsidRPr="00B073E8">
        <w:t xml:space="preserve">The AW-OZ quantitative hazard assessment </w:t>
      </w:r>
      <w:r w:rsidR="002E7118" w:rsidRPr="00B073E8">
        <w:t>approach</w:t>
      </w:r>
      <w:r w:rsidRPr="00B073E8">
        <w:t xml:space="preserve"> for typical equipment complies with the provisions of Section 4 of ATEX U</w:t>
      </w:r>
      <w:r w:rsidR="00310EBB">
        <w:t xml:space="preserve">ser </w:t>
      </w:r>
      <w:r w:rsidR="00310EBB" w:rsidRPr="006F6274">
        <w:t>(Directive 1999/92/EC)</w:t>
      </w:r>
      <w:r w:rsidRPr="006F6274">
        <w:t>, regarding the</w:t>
      </w:r>
      <w:r w:rsidRPr="00B073E8">
        <w:t xml:space="preserve"> methodology for conducting explosion risk assessments.</w:t>
      </w:r>
      <w:r w:rsidR="00681158" w:rsidRPr="00B073E8">
        <w:t xml:space="preserve"> </w:t>
      </w:r>
      <w:r w:rsidR="008C55F8" w:rsidRPr="00B073E8">
        <w:t xml:space="preserve">To evaluate the level of </w:t>
      </w:r>
      <w:r w:rsidR="002E7118" w:rsidRPr="00B073E8">
        <w:t>hazard</w:t>
      </w:r>
      <w:r w:rsidR="008C55F8" w:rsidRPr="00B073E8">
        <w:t xml:space="preserve">, process risk factors are used, which include the properties of the combustible dust of the bulk substances being processed, the basic elements of the equipment </w:t>
      </w:r>
      <w:r w:rsidR="002E7118" w:rsidRPr="00B073E8">
        <w:t>construction</w:t>
      </w:r>
      <w:r w:rsidR="008C55F8" w:rsidRPr="00B073E8">
        <w:t>, and their operating conditions.</w:t>
      </w:r>
      <w:r w:rsidR="00681158" w:rsidRPr="00B073E8">
        <w:t xml:space="preserve"> </w:t>
      </w:r>
    </w:p>
    <w:p w14:paraId="486700C4" w14:textId="2457BDD0" w:rsidR="00681158" w:rsidRPr="00B073E8" w:rsidRDefault="008C55F8" w:rsidP="00681158">
      <w:pPr>
        <w:pStyle w:val="CETBodytext"/>
      </w:pPr>
      <w:r w:rsidRPr="00B073E8">
        <w:t>Thus, it is based on the following provision in Section 4 that defines the scope of the evaluation of explosion risk assessment: “the installations operated by the employer, the substances and mixtures used, the processes that take place and their interactions”.</w:t>
      </w:r>
    </w:p>
    <w:p w14:paraId="03586F9F" w14:textId="0F3C1B58" w:rsidR="00681158" w:rsidRPr="00B073E8" w:rsidRDefault="002E7118" w:rsidP="00681158">
      <w:pPr>
        <w:pStyle w:val="CETBodytext"/>
      </w:pPr>
      <w:r w:rsidRPr="00B073E8">
        <w:t xml:space="preserve">Whereas </w:t>
      </w:r>
      <w:r w:rsidR="0046768F" w:rsidRPr="00B073E8">
        <w:t>the other provisions of the directive cover the assessment of:</w:t>
      </w:r>
    </w:p>
    <w:p w14:paraId="6016CA34" w14:textId="77777777" w:rsidR="00681158" w:rsidRPr="00B073E8" w:rsidRDefault="00681158" w:rsidP="00681158">
      <w:pPr>
        <w:pStyle w:val="CETnumberingbullets"/>
      </w:pPr>
      <w:r w:rsidRPr="00B073E8">
        <w:t xml:space="preserve">the probability and frequency of occurrence of an explosive atmosphere, </w:t>
      </w:r>
    </w:p>
    <w:p w14:paraId="4E056249" w14:textId="77777777" w:rsidR="00681158" w:rsidRPr="00B073E8" w:rsidRDefault="00681158" w:rsidP="00681158">
      <w:pPr>
        <w:pStyle w:val="CETnumberingbullets"/>
      </w:pPr>
      <w:r w:rsidRPr="00B073E8">
        <w:t>the probability of occurrence and activation of ignition sources, including electrostatic discharges,</w:t>
      </w:r>
    </w:p>
    <w:p w14:paraId="27700059" w14:textId="251FBF94" w:rsidR="00681158" w:rsidRPr="00B073E8" w:rsidRDefault="00681158" w:rsidP="00681158">
      <w:pPr>
        <w:pStyle w:val="CETnumberingbullets"/>
      </w:pPr>
      <w:r w:rsidRPr="00B073E8">
        <w:t>the magnitude of the anticipated consequences of an explosion,</w:t>
      </w:r>
    </w:p>
    <w:p w14:paraId="743B104B" w14:textId="0E124469" w:rsidR="004117B7" w:rsidRPr="00C02674" w:rsidRDefault="00C67B49" w:rsidP="00681158">
      <w:pPr>
        <w:pStyle w:val="CETBodytext"/>
      </w:pPr>
      <w:r w:rsidRPr="00B073E8">
        <w:t>are defined in the next step of the hazard</w:t>
      </w:r>
      <w:r w:rsidR="001116B5" w:rsidRPr="00B073E8">
        <w:t xml:space="preserve"> </w:t>
      </w:r>
      <w:r w:rsidRPr="00B073E8">
        <w:t>level assessment procedure.</w:t>
      </w:r>
      <w:r w:rsidR="00681158" w:rsidRPr="00B073E8">
        <w:t xml:space="preserve"> </w:t>
      </w:r>
      <w:r w:rsidR="001116B5" w:rsidRPr="00B073E8">
        <w:t>Additionally, the AW-OZ methodology offers qualitative recommendations for process and explosion protection tailored to the process equipment and the designated hazard level.</w:t>
      </w:r>
      <w:r w:rsidR="00681158" w:rsidRPr="00B073E8">
        <w:t xml:space="preserve"> Elements of this approach are presented </w:t>
      </w:r>
      <w:r w:rsidR="009069FE" w:rsidRPr="006F6274">
        <w:t xml:space="preserve">by </w:t>
      </w:r>
      <w:r w:rsidR="00534639" w:rsidRPr="006F6274">
        <w:t>(Wolff et al., 2018)</w:t>
      </w:r>
      <w:r w:rsidR="00681158" w:rsidRPr="006F6274">
        <w:t>.</w:t>
      </w:r>
    </w:p>
    <w:p w14:paraId="73CA4B2C" w14:textId="3EEDDC0F" w:rsidR="004117B7" w:rsidRPr="00B073E8" w:rsidRDefault="00A3356E" w:rsidP="00A3356E">
      <w:pPr>
        <w:pStyle w:val="CETHeading1"/>
        <w:rPr>
          <w:lang w:val="en-GB"/>
        </w:rPr>
      </w:pPr>
      <w:r w:rsidRPr="00B073E8">
        <w:rPr>
          <w:lang w:val="en-GB"/>
        </w:rPr>
        <w:t>Standard approaches to explosion risk assessment vs. AW-OZ hazard assessment methodology</w:t>
      </w:r>
    </w:p>
    <w:p w14:paraId="1F9D22D4" w14:textId="0958E589" w:rsidR="00062AB9" w:rsidRPr="00481747" w:rsidRDefault="00794C97" w:rsidP="00BE121E">
      <w:pPr>
        <w:pStyle w:val="CETReferencetext"/>
        <w:ind w:left="0" w:firstLine="0"/>
      </w:pPr>
      <w:r w:rsidRPr="00481747">
        <w:t xml:space="preserve">Standard explosion risk assessment techniques emphasize the assessment of the presence of explosive atmospheres, the prevention of the ignition of explosive atmospheres, and the possible consequences of an </w:t>
      </w:r>
      <w:r w:rsidRPr="00481747">
        <w:lastRenderedPageBreak/>
        <w:t>explosion</w:t>
      </w:r>
      <w:r w:rsidRPr="00BE121E">
        <w:t>.</w:t>
      </w:r>
      <w:r w:rsidR="00A3356E" w:rsidRPr="00481747">
        <w:t xml:space="preserve"> The typical approach </w:t>
      </w:r>
      <w:r w:rsidR="00BE121E" w:rsidRPr="00BE121E">
        <w:t>(RACE Project SMT4-CT97-2169, 2000)</w:t>
      </w:r>
      <w:r w:rsidR="00BE121E">
        <w:t xml:space="preserve"> </w:t>
      </w:r>
      <w:r w:rsidR="00A3356E" w:rsidRPr="00481747">
        <w:t xml:space="preserve">is based on hazard identification, with an </w:t>
      </w:r>
      <w:r w:rsidR="00BD47D4" w:rsidRPr="00481747">
        <w:t>assessment</w:t>
      </w:r>
      <w:r w:rsidR="00A3356E" w:rsidRPr="00481747">
        <w:t xml:space="preserve"> of risk R. This, combined with the knowledge and experience of those performing the assessment, is to ensure that hazards are identified and assigned an appropriate level of estimated risk R. This risk is derived from the assumed values of P and S and is </w:t>
      </w:r>
      <w:r w:rsidR="00BB6182" w:rsidRPr="00481747">
        <w:t>calculated</w:t>
      </w:r>
      <w:r w:rsidR="00A3356E" w:rsidRPr="00481747">
        <w:t xml:space="preserve"> from the equation R = P x S</w:t>
      </w:r>
      <w:r w:rsidR="004648F3" w:rsidRPr="00481747">
        <w:t>, where: P is the frequency of occurrence of the danger zone / effective ignition source and S is the consequences that may occur when an explosion occurs.</w:t>
      </w:r>
      <w:r w:rsidR="00F31C75" w:rsidRPr="00481747">
        <w:t xml:space="preserve"> </w:t>
      </w:r>
      <w:r w:rsidR="004648F3" w:rsidRPr="00481747">
        <w:t xml:space="preserve">It should be borne in the mind that </w:t>
      </w:r>
      <w:r w:rsidR="00A3356E" w:rsidRPr="00481747">
        <w:t>P and S are determined arbitrarily b</w:t>
      </w:r>
      <w:r w:rsidR="004648F3" w:rsidRPr="00481747">
        <w:t>ased on</w:t>
      </w:r>
      <w:r w:rsidR="00A3356E" w:rsidRPr="00481747">
        <w:t xml:space="preserve"> experience and subjective assessment of the situation. </w:t>
      </w:r>
      <w:r w:rsidR="00BE1D33" w:rsidRPr="00481747">
        <w:t>Therefore, the assessment may not always lead to correct conclusions.</w:t>
      </w:r>
      <w:r w:rsidR="00A3356E" w:rsidRPr="00481747">
        <w:t xml:space="preserve"> </w:t>
      </w:r>
    </w:p>
    <w:p w14:paraId="573B2CA5" w14:textId="142C97F3" w:rsidR="00621841" w:rsidRPr="00481747" w:rsidRDefault="00621841" w:rsidP="004648F3">
      <w:pPr>
        <w:pStyle w:val="CETBodytext"/>
        <w:rPr>
          <w:lang w:val="en-GB"/>
        </w:rPr>
      </w:pPr>
      <w:r w:rsidRPr="00481747">
        <w:rPr>
          <w:lang w:val="en-GB"/>
        </w:rPr>
        <w:t>Whereas</w:t>
      </w:r>
      <w:r w:rsidR="00BE1D33" w:rsidRPr="00481747">
        <w:rPr>
          <w:lang w:val="en-GB"/>
        </w:rPr>
        <w:t>, the primary purpose of the AW-OZ hazard assessment is to quantify the level of process and explosion hazards resulting from the design, presence of dust, and operating conditions of the equipment.</w:t>
      </w:r>
      <w:r w:rsidR="00A3356E" w:rsidRPr="00481747">
        <w:rPr>
          <w:lang w:val="en-GB"/>
        </w:rPr>
        <w:t xml:space="preserve"> As a result of the assessment, the level of hazard is quantified, and in the next step, solutions are qualitatively proposed to reduce the risk of ignition leading to a fire/explosion, as well as systems to protect the </w:t>
      </w:r>
      <w:r w:rsidR="00C66ABF" w:rsidRPr="00481747">
        <w:rPr>
          <w:lang w:val="en-GB"/>
        </w:rPr>
        <w:t>equipment</w:t>
      </w:r>
      <w:r w:rsidR="00A3356E" w:rsidRPr="00481747">
        <w:rPr>
          <w:lang w:val="en-GB"/>
        </w:rPr>
        <w:t xml:space="preserve"> from the effects of an explosion. </w:t>
      </w:r>
      <w:r w:rsidR="00794C97" w:rsidRPr="00481747">
        <w:rPr>
          <w:lang w:val="en-GB"/>
        </w:rPr>
        <w:t>The proposed quality recommendations to improve the safety of the process and explosion are tailored to the type of equipment being evaluated and the designated hazard level.</w:t>
      </w:r>
      <w:r w:rsidR="00A3356E" w:rsidRPr="00481747">
        <w:rPr>
          <w:lang w:val="en-GB"/>
        </w:rPr>
        <w:t xml:space="preserve"> </w:t>
      </w:r>
    </w:p>
    <w:p w14:paraId="39BE330F" w14:textId="326A8100" w:rsidR="00621841" w:rsidRPr="00481747" w:rsidRDefault="00BE1D33" w:rsidP="00621841">
      <w:pPr>
        <w:pStyle w:val="CETBodytext"/>
        <w:rPr>
          <w:lang w:val="en-GB"/>
        </w:rPr>
      </w:pPr>
      <w:r w:rsidRPr="00481747">
        <w:rPr>
          <w:lang w:val="en-GB"/>
        </w:rPr>
        <w:t>The hazard assessment does not apply to hybrid mixtures, gases, and liquid vapo</w:t>
      </w:r>
      <w:r w:rsidR="00BE121E">
        <w:rPr>
          <w:lang w:val="en-GB"/>
        </w:rPr>
        <w:t>u</w:t>
      </w:r>
      <w:r w:rsidRPr="00481747">
        <w:rPr>
          <w:lang w:val="en-GB"/>
        </w:rPr>
        <w:t>rs.</w:t>
      </w:r>
      <w:r w:rsidR="00621841" w:rsidRPr="00481747">
        <w:rPr>
          <w:lang w:val="en-GB"/>
        </w:rPr>
        <w:t xml:space="preserve"> In all cases, the equipment is assumed to be properly grounded</w:t>
      </w:r>
    </w:p>
    <w:p w14:paraId="7D57EDB9" w14:textId="5F66D585" w:rsidR="00A3356E" w:rsidRPr="00114100" w:rsidRDefault="00C136C7" w:rsidP="00A3356E">
      <w:pPr>
        <w:pStyle w:val="CETHeading1"/>
      </w:pPr>
      <w:r w:rsidRPr="00481747">
        <w:t xml:space="preserve">The elements of </w:t>
      </w:r>
      <w:r w:rsidR="00A3356E" w:rsidRPr="00481747">
        <w:t>AW-</w:t>
      </w:r>
      <w:r w:rsidR="00A3356E" w:rsidRPr="00114100">
        <w:t xml:space="preserve">OZ risk methodology </w:t>
      </w:r>
    </w:p>
    <w:p w14:paraId="2DB407F9" w14:textId="6C0FE66B" w:rsidR="00A3356E" w:rsidRPr="00114100" w:rsidRDefault="00C136C7" w:rsidP="00D47A3F">
      <w:pPr>
        <w:pStyle w:val="CETheadingx"/>
      </w:pPr>
      <w:r w:rsidRPr="00114100">
        <w:t>Equipment and unit operations considered</w:t>
      </w:r>
    </w:p>
    <w:p w14:paraId="1928BB13" w14:textId="67727AA8" w:rsidR="00C136C7" w:rsidRPr="00481747" w:rsidRDefault="001D03AC" w:rsidP="007B19AF">
      <w:pPr>
        <w:pStyle w:val="CETReferencetext"/>
        <w:ind w:left="0" w:firstLine="0"/>
      </w:pPr>
      <w:bookmarkStart w:id="1" w:name="_Hlk495475023"/>
      <w:r w:rsidRPr="00114100">
        <w:t xml:space="preserve">There are no reliable </w:t>
      </w:r>
      <w:r w:rsidR="00C854AD" w:rsidRPr="00114100">
        <w:t xml:space="preserve">and detailed </w:t>
      </w:r>
      <w:r w:rsidRPr="00114100">
        <w:t>statistical data collected over the years on dust explosions in the available literature.</w:t>
      </w:r>
      <w:r w:rsidR="00C136C7" w:rsidRPr="00114100">
        <w:t xml:space="preserve"> </w:t>
      </w:r>
      <w:r w:rsidR="00652782" w:rsidRPr="00114100">
        <w:t xml:space="preserve">The first significant attempts at statistical coverage of explosion events (related to various industries and equipment) have been presented for </w:t>
      </w:r>
      <w:r w:rsidR="00C854AD" w:rsidRPr="00114100">
        <w:t xml:space="preserve">last </w:t>
      </w:r>
      <w:r w:rsidR="00652782" w:rsidRPr="00114100">
        <w:t xml:space="preserve">years in the annual reports of the Dust Safety Science </w:t>
      </w:r>
      <w:r w:rsidR="00652782" w:rsidRPr="00E66424">
        <w:t>portal</w:t>
      </w:r>
      <w:r w:rsidR="00CA3AD3" w:rsidRPr="00E66424">
        <w:t xml:space="preserve"> (DSS Report, 2023)</w:t>
      </w:r>
      <w:r w:rsidR="00652782" w:rsidRPr="00E66424">
        <w:t>.</w:t>
      </w:r>
      <w:r w:rsidR="00C136C7" w:rsidRPr="00E66424">
        <w:t xml:space="preserve"> </w:t>
      </w:r>
      <w:r w:rsidR="00172CF7" w:rsidRPr="00E66424">
        <w:t xml:space="preserve">Based on </w:t>
      </w:r>
      <w:r w:rsidR="00E66424">
        <w:t xml:space="preserve">that </w:t>
      </w:r>
      <w:r w:rsidR="00172CF7" w:rsidRPr="00E66424">
        <w:t>and th</w:t>
      </w:r>
      <w:r w:rsidR="00172CF7" w:rsidRPr="00E66424">
        <w:rPr>
          <w:color w:val="000000" w:themeColor="text1"/>
        </w:rPr>
        <w:t xml:space="preserve">e experience </w:t>
      </w:r>
      <w:r w:rsidR="00172CF7" w:rsidRPr="00E66424">
        <w:t>of the authors, a summary has been adopted that</w:t>
      </w:r>
      <w:r w:rsidR="00172CF7" w:rsidRPr="00114100">
        <w:t xml:space="preserve"> gives in % the estimated share of a typical unit operation as a place where ignition and explosion/fire can occur:</w:t>
      </w:r>
    </w:p>
    <w:p w14:paraId="500CD5F4" w14:textId="43EB719D" w:rsidR="00C136C7" w:rsidRPr="00481747" w:rsidRDefault="00C136C7" w:rsidP="00C136C7">
      <w:pPr>
        <w:pStyle w:val="CETTabletitle"/>
      </w:pPr>
      <w:r w:rsidRPr="00481747">
        <w:t>Table 1: Estimated share of a typical unit operation as a place where ignition and explosion/fire can occur.</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3402"/>
        <w:gridCol w:w="2268"/>
        <w:gridCol w:w="1418"/>
      </w:tblGrid>
      <w:tr w:rsidR="00AA70E9" w:rsidRPr="00481747" w14:paraId="3C7B9200" w14:textId="77777777" w:rsidTr="00EA5FFB">
        <w:tc>
          <w:tcPr>
            <w:tcW w:w="3402" w:type="dxa"/>
            <w:tcBorders>
              <w:top w:val="single" w:sz="12" w:space="0" w:color="008000"/>
              <w:bottom w:val="single" w:sz="6" w:space="0" w:color="008000"/>
            </w:tcBorders>
            <w:shd w:val="clear" w:color="auto" w:fill="FFFFFF"/>
          </w:tcPr>
          <w:p w14:paraId="1778DEAA" w14:textId="46644FCF" w:rsidR="00EA5FFB" w:rsidRPr="00481747" w:rsidRDefault="00EA5FFB" w:rsidP="00D955F4">
            <w:pPr>
              <w:pStyle w:val="CETBodytext"/>
              <w:rPr>
                <w:lang w:val="en-GB"/>
              </w:rPr>
            </w:pPr>
            <w:r w:rsidRPr="00481747">
              <w:rPr>
                <w:lang w:val="en-GB"/>
              </w:rPr>
              <w:t>Operation</w:t>
            </w:r>
          </w:p>
        </w:tc>
        <w:tc>
          <w:tcPr>
            <w:tcW w:w="2268" w:type="dxa"/>
            <w:tcBorders>
              <w:top w:val="single" w:sz="12" w:space="0" w:color="008000"/>
              <w:bottom w:val="single" w:sz="6" w:space="0" w:color="008000"/>
            </w:tcBorders>
            <w:shd w:val="clear" w:color="auto" w:fill="FFFFFF"/>
          </w:tcPr>
          <w:p w14:paraId="5A5CA125" w14:textId="01B54C2F" w:rsidR="00EA5FFB" w:rsidRPr="00481747" w:rsidRDefault="00EA5FFB" w:rsidP="00D955F4">
            <w:pPr>
              <w:pStyle w:val="CETBodytext"/>
              <w:rPr>
                <w:lang w:val="en-GB"/>
              </w:rPr>
            </w:pPr>
            <w:r w:rsidRPr="00481747">
              <w:rPr>
                <w:lang w:val="en-GB"/>
              </w:rPr>
              <w:t>Equipment example</w:t>
            </w:r>
          </w:p>
        </w:tc>
        <w:tc>
          <w:tcPr>
            <w:tcW w:w="1418" w:type="dxa"/>
            <w:tcBorders>
              <w:top w:val="single" w:sz="12" w:space="0" w:color="008000"/>
              <w:bottom w:val="single" w:sz="6" w:space="0" w:color="008000"/>
            </w:tcBorders>
            <w:shd w:val="clear" w:color="auto" w:fill="FFFFFF"/>
          </w:tcPr>
          <w:p w14:paraId="1302DE40" w14:textId="634BDBC3" w:rsidR="00EA5FFB" w:rsidRPr="00481747" w:rsidRDefault="00EA5FFB" w:rsidP="00D955F4">
            <w:pPr>
              <w:pStyle w:val="CETBodytext"/>
              <w:rPr>
                <w:lang w:val="en-GB"/>
              </w:rPr>
            </w:pPr>
            <w:r w:rsidRPr="00481747">
              <w:rPr>
                <w:lang w:val="en-GB"/>
              </w:rPr>
              <w:t>Percentage (%)</w:t>
            </w:r>
          </w:p>
        </w:tc>
      </w:tr>
      <w:tr w:rsidR="00AA70E9" w:rsidRPr="00481747" w14:paraId="16117899" w14:textId="77777777" w:rsidTr="00EA5FFB">
        <w:tc>
          <w:tcPr>
            <w:tcW w:w="3402" w:type="dxa"/>
            <w:shd w:val="clear" w:color="auto" w:fill="FFFFFF"/>
          </w:tcPr>
          <w:p w14:paraId="6B9CDEAB" w14:textId="048A61B2" w:rsidR="00EA5FFB" w:rsidRPr="00481747" w:rsidRDefault="00EA5FFB" w:rsidP="00EA5FFB">
            <w:pPr>
              <w:pStyle w:val="CETBodytext"/>
              <w:rPr>
                <w:lang w:val="en-GB"/>
              </w:rPr>
            </w:pPr>
            <w:r w:rsidRPr="00481747">
              <w:rPr>
                <w:lang w:val="en-GB"/>
              </w:rPr>
              <w:t>storage</w:t>
            </w:r>
            <w:r w:rsidR="001D03AC" w:rsidRPr="00481747">
              <w:rPr>
                <w:lang w:val="en-GB"/>
              </w:rPr>
              <w:t xml:space="preserve"> </w:t>
            </w:r>
          </w:p>
        </w:tc>
        <w:tc>
          <w:tcPr>
            <w:tcW w:w="2268" w:type="dxa"/>
            <w:shd w:val="clear" w:color="auto" w:fill="FFFFFF"/>
          </w:tcPr>
          <w:p w14:paraId="23DF6D5A" w14:textId="39E3B653" w:rsidR="00EA5FFB" w:rsidRPr="00481747" w:rsidRDefault="00EA5FFB" w:rsidP="00D955F4">
            <w:pPr>
              <w:pStyle w:val="CETBodytext"/>
              <w:rPr>
                <w:lang w:val="en-GB"/>
              </w:rPr>
            </w:pPr>
            <w:r w:rsidRPr="00481747">
              <w:rPr>
                <w:lang w:val="en-GB"/>
              </w:rPr>
              <w:t>silos, tanks</w:t>
            </w:r>
          </w:p>
        </w:tc>
        <w:tc>
          <w:tcPr>
            <w:tcW w:w="1418" w:type="dxa"/>
            <w:shd w:val="clear" w:color="auto" w:fill="FFFFFF"/>
          </w:tcPr>
          <w:p w14:paraId="7C1729B3" w14:textId="2143368D" w:rsidR="00EA5FFB" w:rsidRPr="00481747" w:rsidRDefault="00EA5FFB" w:rsidP="00D955F4">
            <w:pPr>
              <w:pStyle w:val="CETBodytext"/>
              <w:rPr>
                <w:lang w:val="en-GB"/>
              </w:rPr>
            </w:pPr>
            <w:r w:rsidRPr="00481747">
              <w:rPr>
                <w:lang w:val="en-GB"/>
              </w:rPr>
              <w:t>20-30</w:t>
            </w:r>
          </w:p>
        </w:tc>
      </w:tr>
      <w:tr w:rsidR="00AA70E9" w:rsidRPr="00481747" w14:paraId="7C4FD80D" w14:textId="77777777" w:rsidTr="00EA5FFB">
        <w:tc>
          <w:tcPr>
            <w:tcW w:w="3402" w:type="dxa"/>
            <w:shd w:val="clear" w:color="auto" w:fill="FFFFFF"/>
          </w:tcPr>
          <w:p w14:paraId="1AC08A18" w14:textId="715A8D84" w:rsidR="00EA5FFB" w:rsidRPr="00481747" w:rsidRDefault="00EA5FFB" w:rsidP="00EA5FFB">
            <w:pPr>
              <w:pStyle w:val="CETBodytext"/>
              <w:rPr>
                <w:lang w:val="en-GB"/>
              </w:rPr>
            </w:pPr>
            <w:r w:rsidRPr="00481747">
              <w:rPr>
                <w:lang w:val="en-GB"/>
              </w:rPr>
              <w:t>dedusting</w:t>
            </w:r>
            <w:r w:rsidRPr="00481747">
              <w:rPr>
                <w:lang w:val="en-GB"/>
              </w:rPr>
              <w:tab/>
            </w:r>
            <w:r w:rsidR="001D03AC" w:rsidRPr="00481747">
              <w:rPr>
                <w:lang w:val="en-GB"/>
              </w:rPr>
              <w:t xml:space="preserve"> </w:t>
            </w:r>
          </w:p>
        </w:tc>
        <w:tc>
          <w:tcPr>
            <w:tcW w:w="2268" w:type="dxa"/>
            <w:shd w:val="clear" w:color="auto" w:fill="FFFFFF"/>
          </w:tcPr>
          <w:p w14:paraId="49B5F679" w14:textId="32BE4D31" w:rsidR="00EA5FFB" w:rsidRPr="00481747" w:rsidRDefault="00774F94" w:rsidP="00D955F4">
            <w:pPr>
              <w:pStyle w:val="CETBodytext"/>
              <w:rPr>
                <w:lang w:val="en-GB"/>
              </w:rPr>
            </w:pPr>
            <w:r w:rsidRPr="00481747">
              <w:rPr>
                <w:lang w:val="en-GB"/>
              </w:rPr>
              <w:t>f</w:t>
            </w:r>
            <w:r w:rsidR="00EA5FFB" w:rsidRPr="00481747">
              <w:rPr>
                <w:lang w:val="en-GB"/>
              </w:rPr>
              <w:t>ilters</w:t>
            </w:r>
            <w:r w:rsidRPr="00481747">
              <w:rPr>
                <w:lang w:val="en-GB"/>
              </w:rPr>
              <w:t>, cyclones</w:t>
            </w:r>
          </w:p>
        </w:tc>
        <w:tc>
          <w:tcPr>
            <w:tcW w:w="1418" w:type="dxa"/>
            <w:shd w:val="clear" w:color="auto" w:fill="FFFFFF"/>
          </w:tcPr>
          <w:p w14:paraId="677E88B8" w14:textId="6A507AD5" w:rsidR="00EA5FFB" w:rsidRPr="00481747" w:rsidRDefault="00EA5FFB" w:rsidP="00D955F4">
            <w:pPr>
              <w:pStyle w:val="CETBodytext"/>
              <w:rPr>
                <w:lang w:val="en-GB"/>
              </w:rPr>
            </w:pPr>
            <w:r w:rsidRPr="00481747">
              <w:rPr>
                <w:lang w:val="en-GB"/>
              </w:rPr>
              <w:t>15-20</w:t>
            </w:r>
            <w:r w:rsidR="001D03AC" w:rsidRPr="00481747">
              <w:rPr>
                <w:lang w:val="en-GB"/>
              </w:rPr>
              <w:t xml:space="preserve"> </w:t>
            </w:r>
          </w:p>
        </w:tc>
      </w:tr>
      <w:tr w:rsidR="00AA70E9" w:rsidRPr="00481747" w14:paraId="77396AF1" w14:textId="77777777" w:rsidTr="00EA5FFB">
        <w:tc>
          <w:tcPr>
            <w:tcW w:w="3402" w:type="dxa"/>
            <w:shd w:val="clear" w:color="auto" w:fill="FFFFFF"/>
          </w:tcPr>
          <w:p w14:paraId="2700805F" w14:textId="2D50C90A" w:rsidR="00EA5FFB" w:rsidRPr="00481747" w:rsidRDefault="00EA5FFB" w:rsidP="00EA5FFB">
            <w:pPr>
              <w:pStyle w:val="CETBodytext"/>
              <w:rPr>
                <w:lang w:val="en-GB"/>
              </w:rPr>
            </w:pPr>
            <w:r w:rsidRPr="00481747">
              <w:rPr>
                <w:lang w:val="en-GB"/>
              </w:rPr>
              <w:t>grinding</w:t>
            </w:r>
            <w:r w:rsidRPr="00481747">
              <w:rPr>
                <w:lang w:val="en-GB"/>
              </w:rPr>
              <w:tab/>
            </w:r>
            <w:r w:rsidR="001D03AC" w:rsidRPr="00481747">
              <w:rPr>
                <w:lang w:val="en-GB"/>
              </w:rPr>
              <w:t xml:space="preserve"> </w:t>
            </w:r>
          </w:p>
        </w:tc>
        <w:tc>
          <w:tcPr>
            <w:tcW w:w="2268" w:type="dxa"/>
            <w:shd w:val="clear" w:color="auto" w:fill="FFFFFF"/>
          </w:tcPr>
          <w:p w14:paraId="4E981F60" w14:textId="6AF51F4A" w:rsidR="00EA5FFB" w:rsidRPr="00481747" w:rsidRDefault="00EA5FFB" w:rsidP="00D955F4">
            <w:pPr>
              <w:pStyle w:val="CETBodytext"/>
              <w:rPr>
                <w:lang w:val="en-GB"/>
              </w:rPr>
            </w:pPr>
            <w:r w:rsidRPr="00481747">
              <w:rPr>
                <w:lang w:val="en-GB"/>
              </w:rPr>
              <w:t>mills</w:t>
            </w:r>
          </w:p>
        </w:tc>
        <w:tc>
          <w:tcPr>
            <w:tcW w:w="1418" w:type="dxa"/>
            <w:shd w:val="clear" w:color="auto" w:fill="FFFFFF"/>
          </w:tcPr>
          <w:p w14:paraId="5949972C" w14:textId="3E363276" w:rsidR="00EA5FFB" w:rsidRPr="00481747" w:rsidRDefault="00EA5FFB" w:rsidP="00D955F4">
            <w:pPr>
              <w:pStyle w:val="CETBodytext"/>
              <w:rPr>
                <w:lang w:val="en-GB"/>
              </w:rPr>
            </w:pPr>
            <w:r w:rsidRPr="00481747">
              <w:rPr>
                <w:lang w:val="en-GB"/>
              </w:rPr>
              <w:t>10-15</w:t>
            </w:r>
            <w:r w:rsidR="001D03AC" w:rsidRPr="00481747">
              <w:rPr>
                <w:lang w:val="en-GB"/>
              </w:rPr>
              <w:t xml:space="preserve"> </w:t>
            </w:r>
          </w:p>
        </w:tc>
      </w:tr>
      <w:tr w:rsidR="00AA70E9" w:rsidRPr="00481747" w14:paraId="3B1882A0" w14:textId="77777777" w:rsidTr="00EA5FFB">
        <w:tc>
          <w:tcPr>
            <w:tcW w:w="3402" w:type="dxa"/>
            <w:shd w:val="clear" w:color="auto" w:fill="FFFFFF"/>
          </w:tcPr>
          <w:p w14:paraId="520F854F" w14:textId="2128D8AC" w:rsidR="00EA5FFB" w:rsidRPr="00481747" w:rsidRDefault="00EA5FFB" w:rsidP="00EA5FFB">
            <w:pPr>
              <w:pStyle w:val="CETBodytext"/>
              <w:rPr>
                <w:lang w:val="en-GB"/>
              </w:rPr>
            </w:pPr>
            <w:r w:rsidRPr="00481747">
              <w:rPr>
                <w:lang w:val="en-GB"/>
              </w:rPr>
              <w:t>transportation</w:t>
            </w:r>
            <w:r w:rsidRPr="00481747">
              <w:rPr>
                <w:lang w:val="en-GB"/>
              </w:rPr>
              <w:tab/>
            </w:r>
          </w:p>
        </w:tc>
        <w:tc>
          <w:tcPr>
            <w:tcW w:w="2268" w:type="dxa"/>
            <w:shd w:val="clear" w:color="auto" w:fill="FFFFFF"/>
          </w:tcPr>
          <w:p w14:paraId="26F7623F" w14:textId="37BA41A2" w:rsidR="00EA5FFB" w:rsidRPr="00481747" w:rsidRDefault="00774F94" w:rsidP="00D955F4">
            <w:pPr>
              <w:pStyle w:val="CETBodytext"/>
              <w:rPr>
                <w:lang w:val="en-GB"/>
              </w:rPr>
            </w:pPr>
            <w:r w:rsidRPr="00481747">
              <w:rPr>
                <w:lang w:val="en-GB"/>
              </w:rPr>
              <w:t>e</w:t>
            </w:r>
            <w:r w:rsidR="00EA5FFB" w:rsidRPr="00481747">
              <w:rPr>
                <w:lang w:val="en-GB"/>
              </w:rPr>
              <w:t>levators</w:t>
            </w:r>
            <w:r w:rsidRPr="00481747">
              <w:rPr>
                <w:lang w:val="en-GB"/>
              </w:rPr>
              <w:t>, conveyors</w:t>
            </w:r>
          </w:p>
        </w:tc>
        <w:tc>
          <w:tcPr>
            <w:tcW w:w="1418" w:type="dxa"/>
            <w:shd w:val="clear" w:color="auto" w:fill="FFFFFF"/>
          </w:tcPr>
          <w:p w14:paraId="3879FE2B" w14:textId="6C63CDC6" w:rsidR="00EA5FFB" w:rsidRPr="00481747" w:rsidRDefault="00EA5FFB" w:rsidP="00D955F4">
            <w:pPr>
              <w:pStyle w:val="CETBodytext"/>
              <w:rPr>
                <w:lang w:val="en-GB"/>
              </w:rPr>
            </w:pPr>
            <w:r w:rsidRPr="00481747">
              <w:rPr>
                <w:lang w:val="en-GB"/>
              </w:rPr>
              <w:t>10-12</w:t>
            </w:r>
            <w:r w:rsidR="001D03AC" w:rsidRPr="00481747">
              <w:rPr>
                <w:lang w:val="en-GB"/>
              </w:rPr>
              <w:t xml:space="preserve"> </w:t>
            </w:r>
          </w:p>
        </w:tc>
      </w:tr>
      <w:tr w:rsidR="00AA70E9" w:rsidRPr="00481747" w14:paraId="730987C5" w14:textId="77777777" w:rsidTr="00EA5FFB">
        <w:tc>
          <w:tcPr>
            <w:tcW w:w="3402" w:type="dxa"/>
            <w:shd w:val="clear" w:color="auto" w:fill="FFFFFF"/>
          </w:tcPr>
          <w:p w14:paraId="0E883AC3" w14:textId="0B08D884" w:rsidR="00EA5FFB" w:rsidRPr="00481747" w:rsidRDefault="00EA5FFB" w:rsidP="00EA5FFB">
            <w:pPr>
              <w:pStyle w:val="CETBodytext"/>
              <w:rPr>
                <w:lang w:val="en-GB"/>
              </w:rPr>
            </w:pPr>
            <w:r w:rsidRPr="00481747">
              <w:rPr>
                <w:lang w:val="en-GB"/>
              </w:rPr>
              <w:t>drying</w:t>
            </w:r>
            <w:r w:rsidR="001D03AC" w:rsidRPr="00481747">
              <w:rPr>
                <w:lang w:val="en-GB"/>
              </w:rPr>
              <w:t xml:space="preserve"> </w:t>
            </w:r>
            <w:r w:rsidRPr="00481747">
              <w:rPr>
                <w:lang w:val="en-GB"/>
              </w:rPr>
              <w:tab/>
            </w:r>
            <w:r w:rsidR="001D03AC" w:rsidRPr="00481747">
              <w:rPr>
                <w:lang w:val="en-GB"/>
              </w:rPr>
              <w:t xml:space="preserve"> </w:t>
            </w:r>
          </w:p>
        </w:tc>
        <w:tc>
          <w:tcPr>
            <w:tcW w:w="2268" w:type="dxa"/>
            <w:shd w:val="clear" w:color="auto" w:fill="FFFFFF"/>
          </w:tcPr>
          <w:p w14:paraId="16E292A3" w14:textId="1D41F362" w:rsidR="00EA5FFB" w:rsidRPr="00481747" w:rsidRDefault="00EA5FFB" w:rsidP="00D955F4">
            <w:pPr>
              <w:pStyle w:val="CETBodytext"/>
              <w:rPr>
                <w:lang w:val="en-GB"/>
              </w:rPr>
            </w:pPr>
            <w:r w:rsidRPr="00481747">
              <w:rPr>
                <w:lang w:val="en-GB"/>
              </w:rPr>
              <w:t>dryers</w:t>
            </w:r>
          </w:p>
        </w:tc>
        <w:tc>
          <w:tcPr>
            <w:tcW w:w="1418" w:type="dxa"/>
            <w:shd w:val="clear" w:color="auto" w:fill="FFFFFF"/>
          </w:tcPr>
          <w:p w14:paraId="1B42F6FA" w14:textId="2586E99E" w:rsidR="00EA5FFB" w:rsidRPr="00481747" w:rsidRDefault="00EA5FFB" w:rsidP="00D955F4">
            <w:pPr>
              <w:pStyle w:val="CETBodytext"/>
              <w:rPr>
                <w:lang w:val="en-GB"/>
              </w:rPr>
            </w:pPr>
            <w:r w:rsidRPr="00481747">
              <w:rPr>
                <w:lang w:val="en-GB"/>
              </w:rPr>
              <w:t>8-10</w:t>
            </w:r>
          </w:p>
        </w:tc>
      </w:tr>
      <w:tr w:rsidR="00AA70E9" w:rsidRPr="00481747" w14:paraId="556F6F39" w14:textId="77777777" w:rsidTr="00EA5FFB">
        <w:tc>
          <w:tcPr>
            <w:tcW w:w="3402" w:type="dxa"/>
            <w:shd w:val="clear" w:color="auto" w:fill="FFFFFF"/>
          </w:tcPr>
          <w:p w14:paraId="5768F389" w14:textId="0FF7418D" w:rsidR="00EA5FFB" w:rsidRPr="00481747" w:rsidRDefault="00EA5FFB" w:rsidP="00D955F4">
            <w:pPr>
              <w:pStyle w:val="CETBodytext"/>
              <w:rPr>
                <w:lang w:val="en-GB"/>
              </w:rPr>
            </w:pPr>
            <w:r w:rsidRPr="00481747">
              <w:rPr>
                <w:lang w:val="en-GB"/>
              </w:rPr>
              <w:t xml:space="preserve">mixing </w:t>
            </w:r>
          </w:p>
        </w:tc>
        <w:tc>
          <w:tcPr>
            <w:tcW w:w="2268" w:type="dxa"/>
            <w:shd w:val="clear" w:color="auto" w:fill="FFFFFF"/>
          </w:tcPr>
          <w:p w14:paraId="2A11EBEF" w14:textId="17A6715E" w:rsidR="00EA5FFB" w:rsidRPr="00481747" w:rsidRDefault="00EA5FFB" w:rsidP="00D955F4">
            <w:pPr>
              <w:pStyle w:val="CETBodytext"/>
              <w:rPr>
                <w:lang w:val="en-GB"/>
              </w:rPr>
            </w:pPr>
            <w:r w:rsidRPr="00481747">
              <w:rPr>
                <w:lang w:val="en-GB"/>
              </w:rPr>
              <w:t>mixers</w:t>
            </w:r>
          </w:p>
        </w:tc>
        <w:tc>
          <w:tcPr>
            <w:tcW w:w="1418" w:type="dxa"/>
            <w:shd w:val="clear" w:color="auto" w:fill="FFFFFF"/>
          </w:tcPr>
          <w:p w14:paraId="7053AF0D" w14:textId="1B9A6E41" w:rsidR="00EA5FFB" w:rsidRPr="00481747" w:rsidRDefault="00EA5FFB" w:rsidP="00D955F4">
            <w:pPr>
              <w:pStyle w:val="CETBodytext"/>
              <w:rPr>
                <w:lang w:val="en-GB"/>
              </w:rPr>
            </w:pPr>
            <w:r w:rsidRPr="00481747">
              <w:rPr>
                <w:lang w:val="en-GB"/>
              </w:rPr>
              <w:t>5-8</w:t>
            </w:r>
          </w:p>
        </w:tc>
      </w:tr>
      <w:tr w:rsidR="00AA70E9" w:rsidRPr="00481747" w14:paraId="2DD4ADAE" w14:textId="77777777" w:rsidTr="00EA5FFB">
        <w:tc>
          <w:tcPr>
            <w:tcW w:w="3402" w:type="dxa"/>
            <w:shd w:val="clear" w:color="auto" w:fill="FFFFFF"/>
          </w:tcPr>
          <w:p w14:paraId="374C5528" w14:textId="0BD7E2C6" w:rsidR="00EA5FFB" w:rsidRPr="00481747" w:rsidRDefault="00EA5FFB" w:rsidP="00D955F4">
            <w:pPr>
              <w:pStyle w:val="CETBodytext"/>
              <w:ind w:right="-1"/>
              <w:rPr>
                <w:rFonts w:cs="Arial"/>
                <w:szCs w:val="18"/>
                <w:lang w:val="en-GB"/>
              </w:rPr>
            </w:pPr>
            <w:r w:rsidRPr="00481747">
              <w:rPr>
                <w:rFonts w:cs="Arial"/>
                <w:szCs w:val="18"/>
                <w:lang w:val="en-GB"/>
              </w:rPr>
              <w:t>post-combustion installations</w:t>
            </w:r>
          </w:p>
        </w:tc>
        <w:tc>
          <w:tcPr>
            <w:tcW w:w="2268" w:type="dxa"/>
            <w:shd w:val="clear" w:color="auto" w:fill="FFFFFF"/>
          </w:tcPr>
          <w:p w14:paraId="4B2AE13E" w14:textId="77777777" w:rsidR="00EA5FFB" w:rsidRPr="00481747" w:rsidRDefault="00EA5FFB" w:rsidP="00D955F4">
            <w:pPr>
              <w:pStyle w:val="CETBodytext"/>
              <w:ind w:right="-1"/>
              <w:rPr>
                <w:rFonts w:cs="Arial"/>
                <w:szCs w:val="18"/>
                <w:lang w:val="en-GB"/>
              </w:rPr>
            </w:pPr>
          </w:p>
        </w:tc>
        <w:tc>
          <w:tcPr>
            <w:tcW w:w="1418" w:type="dxa"/>
            <w:shd w:val="clear" w:color="auto" w:fill="FFFFFF"/>
          </w:tcPr>
          <w:p w14:paraId="066BB5A1" w14:textId="4E60ABA0" w:rsidR="00EA5FFB" w:rsidRPr="00481747" w:rsidRDefault="00EA5FFB" w:rsidP="00D955F4">
            <w:pPr>
              <w:pStyle w:val="CETBodytext"/>
              <w:ind w:right="-1"/>
              <w:rPr>
                <w:rFonts w:cs="Arial"/>
                <w:szCs w:val="18"/>
                <w:lang w:val="en-GB"/>
              </w:rPr>
            </w:pPr>
            <w:r w:rsidRPr="00481747">
              <w:rPr>
                <w:rFonts w:cs="Arial"/>
                <w:szCs w:val="18"/>
                <w:lang w:val="en-GB"/>
              </w:rPr>
              <w:t>~5</w:t>
            </w:r>
          </w:p>
        </w:tc>
      </w:tr>
    </w:tbl>
    <w:p w14:paraId="54EAD57C" w14:textId="77777777" w:rsidR="00C136C7" w:rsidRPr="00481747" w:rsidRDefault="00C136C7" w:rsidP="00600535">
      <w:pPr>
        <w:pStyle w:val="CETBodytext"/>
        <w:rPr>
          <w:lang w:val="en-GB"/>
        </w:rPr>
      </w:pPr>
    </w:p>
    <w:p w14:paraId="3BAB5B60" w14:textId="5DC10112" w:rsidR="00EA5FFB" w:rsidRPr="00481747" w:rsidRDefault="00F7138B" w:rsidP="00600535">
      <w:pPr>
        <w:pStyle w:val="CETBodytext"/>
        <w:rPr>
          <w:lang w:val="en-GB"/>
        </w:rPr>
      </w:pPr>
      <w:r w:rsidRPr="00481747">
        <w:rPr>
          <w:lang w:val="en-GB"/>
        </w:rPr>
        <w:t xml:space="preserve">The summary indicates that explosion hazards are primarily linked to storage, dust removal, and mechanical transport processes (e.g., bucket elevators), with over 50% of industrial explosions originating from these operations. Including grinding, drying, and mixing, this proportion exceeds 70%. These estimates may vary by industry and bulk material processing technology. </w:t>
      </w:r>
      <w:r w:rsidR="00FB45E1" w:rsidRPr="00481747">
        <w:rPr>
          <w:lang w:val="en-GB"/>
        </w:rPr>
        <w:t xml:space="preserve">Accordingly, the AW-OZ assessment currently considers the following bulk material processing equipment: storage silos, intermediate storage tanks, filters, cyclones, bucket elevators, </w:t>
      </w:r>
      <w:r w:rsidR="000E24B0" w:rsidRPr="00481747">
        <w:rPr>
          <w:lang w:val="en-GB"/>
        </w:rPr>
        <w:t>screw conveyors</w:t>
      </w:r>
      <w:r w:rsidR="00FB45E1" w:rsidRPr="00481747">
        <w:rPr>
          <w:lang w:val="en-GB"/>
        </w:rPr>
        <w:t>, scraper feeders, ducts, channels, and closed transfers. For hazard assessment, this equipment is categorized into two groups:</w:t>
      </w:r>
    </w:p>
    <w:p w14:paraId="4B8CA34E" w14:textId="0F055E2F" w:rsidR="00EA5FFB" w:rsidRPr="00481747" w:rsidRDefault="00EA5FFB" w:rsidP="00EA5FFB">
      <w:pPr>
        <w:pStyle w:val="CETnumberingbullets"/>
      </w:pPr>
      <w:r w:rsidRPr="00481747">
        <w:t xml:space="preserve">equipment of group R, which are characterized by a higher level of danger: storage silos, intermediate storage tanks, bucket </w:t>
      </w:r>
      <w:r w:rsidR="009D6D46" w:rsidRPr="00481747">
        <w:t>elevators</w:t>
      </w:r>
      <w:r w:rsidRPr="00481747">
        <w:t>, filters,</w:t>
      </w:r>
    </w:p>
    <w:p w14:paraId="76EB913B" w14:textId="424EB84F" w:rsidR="00EA5FFB" w:rsidRPr="00481747" w:rsidRDefault="00EA5FFB" w:rsidP="00EA5FFB">
      <w:pPr>
        <w:pStyle w:val="CETnumberingbullets"/>
      </w:pPr>
      <w:r w:rsidRPr="00481747">
        <w:t xml:space="preserve">equipment of group RR, which are characterized by a lower level of danger: cyclones, </w:t>
      </w:r>
      <w:r w:rsidR="00B2131B" w:rsidRPr="00481747">
        <w:t>screw conveyors</w:t>
      </w:r>
      <w:r w:rsidRPr="00481747">
        <w:t xml:space="preserve">, scraper feeders, </w:t>
      </w:r>
      <w:r w:rsidR="00D814AE" w:rsidRPr="00481747">
        <w:t>channels</w:t>
      </w:r>
      <w:r w:rsidRPr="00481747">
        <w:t xml:space="preserve"> and ducts, transfers between equipment.</w:t>
      </w:r>
    </w:p>
    <w:p w14:paraId="2400E101" w14:textId="24F8EACB" w:rsidR="00EA5FFB" w:rsidRPr="00481747" w:rsidRDefault="00D47A3F" w:rsidP="00D47A3F">
      <w:pPr>
        <w:pStyle w:val="CETListbullets"/>
        <w:ind w:left="0" w:firstLine="0"/>
      </w:pPr>
      <w:r w:rsidRPr="00481747">
        <w:t xml:space="preserve">Each </w:t>
      </w:r>
      <w:r w:rsidR="00C66ABF" w:rsidRPr="00481747">
        <w:t>equipment</w:t>
      </w:r>
      <w:r w:rsidRPr="00481747">
        <w:t xml:space="preserve"> of group R or RR was assigned an individual list of process risk factors that characterize its </w:t>
      </w:r>
      <w:r w:rsidR="00774F94" w:rsidRPr="00481747">
        <w:t xml:space="preserve">construction and </w:t>
      </w:r>
      <w:r w:rsidRPr="00481747">
        <w:t xml:space="preserve">operating conditions. </w:t>
      </w:r>
      <w:r w:rsidR="00132558" w:rsidRPr="00481747">
        <w:t xml:space="preserve">To assess the risks of group R equipment, the concepts of very high, high, moderate and low risk areas were introduced, and for group RR the concepts of high, moderate, low, and very low risk areas were </w:t>
      </w:r>
      <w:r w:rsidR="00774F94" w:rsidRPr="00481747">
        <w:t>adopted</w:t>
      </w:r>
      <w:r w:rsidR="00132558" w:rsidRPr="00481747">
        <w:t>.</w:t>
      </w:r>
      <w:r w:rsidRPr="00481747">
        <w:t xml:space="preserve"> </w:t>
      </w:r>
      <w:r w:rsidR="00652782" w:rsidRPr="00481747">
        <w:t xml:space="preserve">The individual process data were assigned </w:t>
      </w:r>
      <w:r w:rsidR="00774F94" w:rsidRPr="00481747">
        <w:t xml:space="preserve">as </w:t>
      </w:r>
      <w:r w:rsidR="00652782" w:rsidRPr="00481747">
        <w:t>risk factor values, in each of the hazard areas of group R and RR.</w:t>
      </w:r>
      <w:r w:rsidRPr="00481747">
        <w:t xml:space="preserve"> </w:t>
      </w:r>
      <w:r w:rsidR="003E4CD1" w:rsidRPr="00481747">
        <w:t xml:space="preserve">It allows </w:t>
      </w:r>
      <w:r w:rsidRPr="00481747">
        <w:t xml:space="preserve">to determine the value of the summary risk of each evaluated </w:t>
      </w:r>
      <w:r w:rsidR="00C66ABF" w:rsidRPr="00481747">
        <w:t>equipment</w:t>
      </w:r>
      <w:r w:rsidRPr="00481747">
        <w:t xml:space="preserve">. </w:t>
      </w:r>
      <w:r w:rsidR="00132558" w:rsidRPr="00481747">
        <w:t xml:space="preserve">Once the summed risk value is determined, it is assigned to one of the hazard areas of the R and RR groups, </w:t>
      </w:r>
      <w:r w:rsidR="00774F94" w:rsidRPr="00481747">
        <w:t xml:space="preserve">which are </w:t>
      </w:r>
      <w:r w:rsidR="00132558" w:rsidRPr="00481747">
        <w:t>quantitatively defined by their upper and lower values.</w:t>
      </w:r>
    </w:p>
    <w:p w14:paraId="603C222E" w14:textId="2C5959DA" w:rsidR="00D47A3F" w:rsidRPr="00481747" w:rsidRDefault="00D47A3F" w:rsidP="00D47A3F">
      <w:pPr>
        <w:pStyle w:val="CETheadingx"/>
      </w:pPr>
      <w:r w:rsidRPr="00481747">
        <w:t>Process risk factors</w:t>
      </w:r>
    </w:p>
    <w:p w14:paraId="32F4FDD5" w14:textId="40FEEF23" w:rsidR="00D47A3F" w:rsidRPr="00481747" w:rsidRDefault="008204D8" w:rsidP="00D47A3F">
      <w:pPr>
        <w:pStyle w:val="CETListbullets"/>
        <w:ind w:left="0" w:firstLine="0"/>
      </w:pPr>
      <w:r w:rsidRPr="00481747">
        <w:t>The AW-OZ process hazard assessment takes into account individual risk factors related to the operating conditions of the equipment.</w:t>
      </w:r>
      <w:r w:rsidR="00D47A3F" w:rsidRPr="00481747">
        <w:t xml:space="preserve"> The selection of risk factors </w:t>
      </w:r>
      <w:r w:rsidR="003E4CD1" w:rsidRPr="00481747">
        <w:t xml:space="preserve">have taken </w:t>
      </w:r>
      <w:r w:rsidR="00D47A3F" w:rsidRPr="00481747">
        <w:t xml:space="preserve">into account their relevance to the operation </w:t>
      </w:r>
      <w:r w:rsidR="00D47A3F" w:rsidRPr="00481747">
        <w:lastRenderedPageBreak/>
        <w:t xml:space="preserve">of the </w:t>
      </w:r>
      <w:r w:rsidR="00C66ABF" w:rsidRPr="00481747">
        <w:t>equipment</w:t>
      </w:r>
      <w:r w:rsidR="00D47A3F" w:rsidRPr="00481747">
        <w:t xml:space="preserve"> in question and their relatively easy availability. </w:t>
      </w:r>
      <w:r w:rsidRPr="00481747">
        <w:t>Possible disruptions to normal operating conditions, such as load changes, operation with changing capacity, or operational faults, are not taken into account.</w:t>
      </w:r>
      <w:r w:rsidR="00D47A3F" w:rsidRPr="00481747">
        <w:t xml:space="preserve"> The summary of process risk factors for </w:t>
      </w:r>
      <w:r w:rsidR="00C66ABF" w:rsidRPr="00481747">
        <w:t>equipment</w:t>
      </w:r>
      <w:r w:rsidR="00D47A3F" w:rsidRPr="00481747">
        <w:t xml:space="preserve"> groups R and RR </w:t>
      </w:r>
      <w:r w:rsidR="003E4CD1" w:rsidRPr="00481747">
        <w:t xml:space="preserve">shown on </w:t>
      </w:r>
      <w:r w:rsidR="00F83ECE" w:rsidRPr="00481747">
        <w:t>F</w:t>
      </w:r>
      <w:r w:rsidR="003E4CD1" w:rsidRPr="00481747">
        <w:t>ig</w:t>
      </w:r>
      <w:r w:rsidR="004D2C60" w:rsidRPr="00481747">
        <w:t>.</w:t>
      </w:r>
      <w:r w:rsidR="003E4CD1" w:rsidRPr="00481747">
        <w:t xml:space="preserve">1 </w:t>
      </w:r>
      <w:r w:rsidR="00D47A3F" w:rsidRPr="00481747">
        <w:t>includes:</w:t>
      </w:r>
    </w:p>
    <w:p w14:paraId="67147242" w14:textId="77777777" w:rsidR="002764C7" w:rsidRPr="00481747" w:rsidRDefault="00D47A3F" w:rsidP="002764C7">
      <w:pPr>
        <w:pStyle w:val="CETnumberingbullets"/>
      </w:pPr>
      <w:r w:rsidRPr="00481747">
        <w:t>Combustible properties of dust: minimum ignition energy MEZ, mJ, lower explosive limit DGW, g/m3.</w:t>
      </w:r>
    </w:p>
    <w:p w14:paraId="38451EE6" w14:textId="1391650A" w:rsidR="00D47A3F" w:rsidRPr="00481747" w:rsidRDefault="00C66ABF" w:rsidP="002764C7">
      <w:pPr>
        <w:pStyle w:val="CETnumberingbullets"/>
      </w:pPr>
      <w:r w:rsidRPr="00481747">
        <w:t>Equipment</w:t>
      </w:r>
      <w:r w:rsidR="00D47A3F" w:rsidRPr="00481747">
        <w:t xml:space="preserve"> design: volume V, m3, length/height of the </w:t>
      </w:r>
      <w:r w:rsidRPr="00481747">
        <w:t>equipment</w:t>
      </w:r>
      <w:r w:rsidR="00D47A3F" w:rsidRPr="00481747">
        <w:t xml:space="preserve"> and </w:t>
      </w:r>
      <w:r w:rsidR="00883A98" w:rsidRPr="00481747">
        <w:t>conveyor</w:t>
      </w:r>
      <w:r w:rsidR="00D47A3F" w:rsidRPr="00481747">
        <w:t xml:space="preserve">, </w:t>
      </w:r>
      <w:r w:rsidR="00D814AE" w:rsidRPr="00481747">
        <w:t>ducts</w:t>
      </w:r>
      <w:r w:rsidR="00D47A3F" w:rsidRPr="00481747">
        <w:t xml:space="preserve">, transfer L, slenderness of the </w:t>
      </w:r>
      <w:r w:rsidRPr="00481747">
        <w:t>equipment</w:t>
      </w:r>
      <w:r w:rsidR="00D47A3F" w:rsidRPr="00481747">
        <w:t xml:space="preserve"> S, diameter of the </w:t>
      </w:r>
      <w:r w:rsidR="00D814AE" w:rsidRPr="00481747">
        <w:t>duct</w:t>
      </w:r>
      <w:r w:rsidR="00D47A3F" w:rsidRPr="00481747">
        <w:t xml:space="preserve"> (channel) D, height of the filter dust removal chamber WKO, m.</w:t>
      </w:r>
    </w:p>
    <w:p w14:paraId="0F945A39" w14:textId="0C529219" w:rsidR="00D47A3F" w:rsidRPr="00481747" w:rsidRDefault="00D47A3F" w:rsidP="00D47A3F">
      <w:pPr>
        <w:pStyle w:val="CETnumberingbullets"/>
      </w:pPr>
      <w:r w:rsidRPr="00481747">
        <w:t xml:space="preserve">Operating conditions of the </w:t>
      </w:r>
      <w:r w:rsidR="00C66ABF" w:rsidRPr="00481747">
        <w:t>equipment</w:t>
      </w:r>
      <w:r w:rsidRPr="00481747">
        <w:t>:</w:t>
      </w:r>
    </w:p>
    <w:p w14:paraId="3C9041C6" w14:textId="08984E28" w:rsidR="00D47A3F" w:rsidRPr="00C02674" w:rsidRDefault="00D47A3F" w:rsidP="00D47A3F">
      <w:pPr>
        <w:pStyle w:val="CETnumberingbullets"/>
        <w:numPr>
          <w:ilvl w:val="1"/>
          <w:numId w:val="13"/>
        </w:numPr>
      </w:pPr>
      <w:r w:rsidRPr="00C02674">
        <w:t xml:space="preserve">protection of material being </w:t>
      </w:r>
      <w:r w:rsidR="00CE7FF1" w:rsidRPr="00C02674">
        <w:t xml:space="preserve">transported </w:t>
      </w:r>
      <w:r w:rsidRPr="00C02674">
        <w:t xml:space="preserve">to the </w:t>
      </w:r>
      <w:r w:rsidR="00C66ABF" w:rsidRPr="00C02674">
        <w:t>equipment</w:t>
      </w:r>
      <w:r w:rsidRPr="00C02674">
        <w:t xml:space="preserve"> (magnetic separator</w:t>
      </w:r>
      <w:r w:rsidR="00CE7FF1" w:rsidRPr="00C02674">
        <w:t xml:space="preserve"> or none</w:t>
      </w:r>
      <w:r w:rsidRPr="00C02674">
        <w:t>)</w:t>
      </w:r>
      <w:r w:rsidR="00CE7FF1" w:rsidRPr="00C02674">
        <w:t xml:space="preserve"> </w:t>
      </w:r>
      <w:r w:rsidRPr="00C02674">
        <w:t>OM,</w:t>
      </w:r>
    </w:p>
    <w:p w14:paraId="5EAB8A5B" w14:textId="737925D0" w:rsidR="00D47A3F" w:rsidRPr="00C02674" w:rsidRDefault="00D47A3F" w:rsidP="00D47A3F">
      <w:pPr>
        <w:pStyle w:val="CETnumberingbullets"/>
        <w:numPr>
          <w:ilvl w:val="1"/>
          <w:numId w:val="13"/>
        </w:numPr>
      </w:pPr>
      <w:r w:rsidRPr="00C02674">
        <w:t xml:space="preserve">dedusting of the </w:t>
      </w:r>
      <w:r w:rsidR="00C66ABF" w:rsidRPr="00C02674">
        <w:t>equipment</w:t>
      </w:r>
      <w:r w:rsidRPr="00C02674">
        <w:t xml:space="preserve"> OA, (or none),</w:t>
      </w:r>
    </w:p>
    <w:p w14:paraId="3344F1B7" w14:textId="69D8C7FB" w:rsidR="00D47A3F" w:rsidRPr="00C02674" w:rsidRDefault="00D47A3F" w:rsidP="00D47A3F">
      <w:pPr>
        <w:pStyle w:val="CETnumberingbullets"/>
        <w:numPr>
          <w:ilvl w:val="1"/>
          <w:numId w:val="13"/>
        </w:numPr>
      </w:pPr>
      <w:r w:rsidRPr="00C02674">
        <w:t>movement of material in</w:t>
      </w:r>
      <w:r w:rsidR="00CE7FF1" w:rsidRPr="00C02674">
        <w:t>to</w:t>
      </w:r>
      <w:r w:rsidRPr="00C02674">
        <w:t xml:space="preserve"> the </w:t>
      </w:r>
      <w:r w:rsidR="00C66ABF" w:rsidRPr="00C02674">
        <w:t>equipment</w:t>
      </w:r>
      <w:r w:rsidRPr="00C02674">
        <w:t xml:space="preserve"> (laminar, turbulent) RM,</w:t>
      </w:r>
    </w:p>
    <w:p w14:paraId="20E233F8" w14:textId="151D231C" w:rsidR="00D47A3F" w:rsidRPr="00C02674" w:rsidRDefault="00D47A3F" w:rsidP="00D47A3F">
      <w:pPr>
        <w:pStyle w:val="CETnumberingbullets"/>
        <w:numPr>
          <w:ilvl w:val="1"/>
          <w:numId w:val="13"/>
        </w:numPr>
      </w:pPr>
      <w:r w:rsidRPr="00C02674">
        <w:t xml:space="preserve">type of </w:t>
      </w:r>
      <w:r w:rsidR="00C66ABF" w:rsidRPr="00C02674">
        <w:t>equipment</w:t>
      </w:r>
      <w:r w:rsidRPr="00C02674">
        <w:t xml:space="preserve"> operation (intermittent operation, continuous operation) TPA,</w:t>
      </w:r>
    </w:p>
    <w:p w14:paraId="64DBED24" w14:textId="77777777" w:rsidR="00D47A3F" w:rsidRPr="00C02674" w:rsidRDefault="00D47A3F" w:rsidP="00D47A3F">
      <w:pPr>
        <w:pStyle w:val="CETnumberingbullets"/>
        <w:numPr>
          <w:ilvl w:val="1"/>
          <w:numId w:val="13"/>
        </w:numPr>
      </w:pPr>
      <w:r w:rsidRPr="00C02674">
        <w:t>bearing temperature control KT (or none),</w:t>
      </w:r>
    </w:p>
    <w:p w14:paraId="0A9199BD" w14:textId="0C1E851E" w:rsidR="00D47A3F" w:rsidRPr="00C02674" w:rsidRDefault="00D47A3F" w:rsidP="00D47A3F">
      <w:pPr>
        <w:pStyle w:val="CETnumberingbullets"/>
        <w:numPr>
          <w:ilvl w:val="1"/>
          <w:numId w:val="13"/>
        </w:numPr>
      </w:pPr>
      <w:r w:rsidRPr="00C02674">
        <w:t xml:space="preserve">linear speed of the </w:t>
      </w:r>
      <w:r w:rsidR="00B2131B" w:rsidRPr="00C02674">
        <w:t>screw conveyor</w:t>
      </w:r>
      <w:r w:rsidRPr="00C02674">
        <w:t xml:space="preserve"> </w:t>
      </w:r>
      <w:r w:rsidR="00CE7FF1" w:rsidRPr="00C02674">
        <w:t>band</w:t>
      </w:r>
      <w:r w:rsidRPr="00C02674">
        <w:t xml:space="preserve"> PLW, m/sec,</w:t>
      </w:r>
    </w:p>
    <w:p w14:paraId="72A49582" w14:textId="660F946E" w:rsidR="00D47A3F" w:rsidRPr="00C02674" w:rsidRDefault="00D47A3F" w:rsidP="003E4CD1">
      <w:pPr>
        <w:pStyle w:val="CETnumberingbullets"/>
        <w:numPr>
          <w:ilvl w:val="1"/>
          <w:numId w:val="13"/>
        </w:numPr>
      </w:pPr>
      <w:r w:rsidRPr="00C02674">
        <w:t>filter operation mode (positive</w:t>
      </w:r>
      <w:r w:rsidR="00237C90" w:rsidRPr="00C02674">
        <w:t xml:space="preserve"> (fan before filter) </w:t>
      </w:r>
      <w:r w:rsidR="008204D8" w:rsidRPr="00C02674">
        <w:t>/</w:t>
      </w:r>
      <w:r w:rsidRPr="00C02674">
        <w:t xml:space="preserve">negative </w:t>
      </w:r>
      <w:r w:rsidR="00237C90" w:rsidRPr="00C02674">
        <w:t xml:space="preserve">(fan behind filter) </w:t>
      </w:r>
      <w:r w:rsidR="003E4CD1" w:rsidRPr="00C02674">
        <w:t>pressure)</w:t>
      </w:r>
      <w:r w:rsidRPr="00C02674">
        <w:t xml:space="preserve"> ZD,</w:t>
      </w:r>
    </w:p>
    <w:p w14:paraId="45467F0B" w14:textId="576BAC0C" w:rsidR="00D47A3F" w:rsidRPr="00C02674" w:rsidRDefault="00D47A3F" w:rsidP="00D47A3F">
      <w:pPr>
        <w:pStyle w:val="CETnumberingbullets"/>
        <w:numPr>
          <w:ilvl w:val="1"/>
          <w:numId w:val="13"/>
        </w:numPr>
      </w:pPr>
      <w:r w:rsidRPr="00C02674">
        <w:t>storage silo feed (</w:t>
      </w:r>
      <w:r w:rsidR="00CE7FF1" w:rsidRPr="00C02674">
        <w:t xml:space="preserve">by </w:t>
      </w:r>
      <w:r w:rsidRPr="00C02674">
        <w:t xml:space="preserve">gravity, </w:t>
      </w:r>
      <w:r w:rsidR="00CE7FF1" w:rsidRPr="00C02674">
        <w:t xml:space="preserve">by </w:t>
      </w:r>
      <w:r w:rsidR="0096363D" w:rsidRPr="00C02674">
        <w:t xml:space="preserve">rotary </w:t>
      </w:r>
      <w:r w:rsidR="00883A98" w:rsidRPr="00C02674">
        <w:t>conveyor</w:t>
      </w:r>
      <w:r w:rsidRPr="00C02674">
        <w:t>) RZ,</w:t>
      </w:r>
    </w:p>
    <w:p w14:paraId="184434CC" w14:textId="78E7A3CE" w:rsidR="00D47A3F" w:rsidRPr="00481747" w:rsidRDefault="00D47A3F" w:rsidP="0038141F">
      <w:pPr>
        <w:pStyle w:val="CETnumberingbullets"/>
        <w:numPr>
          <w:ilvl w:val="1"/>
          <w:numId w:val="13"/>
        </w:numPr>
      </w:pPr>
      <w:r w:rsidRPr="00C02674">
        <w:t xml:space="preserve">control and extinguishing of sparks before feeding into the equipment </w:t>
      </w:r>
      <w:r w:rsidRPr="00481747">
        <w:t>KI (or none).</w:t>
      </w:r>
    </w:p>
    <w:p w14:paraId="6CAFDEF4" w14:textId="27CD9E36" w:rsidR="00D47A3F" w:rsidRPr="00481747" w:rsidRDefault="00D47A3F" w:rsidP="002764C7">
      <w:r w:rsidRPr="00481747">
        <w:t xml:space="preserve">Terms related to </w:t>
      </w:r>
      <w:r w:rsidR="00C66ABF" w:rsidRPr="00481747">
        <w:t>equipment</w:t>
      </w:r>
      <w:r w:rsidRPr="00481747">
        <w:t xml:space="preserve"> design and operating conditions were used individually depending on which factor was considered important. The selection of factors was based on process knowledge and</w:t>
      </w:r>
      <w:r w:rsidR="002764C7" w:rsidRPr="00481747">
        <w:t xml:space="preserve"> </w:t>
      </w:r>
      <w:r w:rsidRPr="00481747">
        <w:t>experience</w:t>
      </w:r>
      <w:r w:rsidR="002764C7" w:rsidRPr="00481747">
        <w:t xml:space="preserve"> in industry</w:t>
      </w:r>
      <w:r w:rsidRPr="00481747">
        <w:t>.</w:t>
      </w:r>
    </w:p>
    <w:p w14:paraId="137BADA8" w14:textId="603FF0F7" w:rsidR="002764C7" w:rsidRPr="00481747" w:rsidRDefault="002764C7" w:rsidP="002764C7">
      <w:pPr>
        <w:pStyle w:val="CETHeading1"/>
      </w:pPr>
      <w:r w:rsidRPr="00481747">
        <w:t>Results of equipment hazard assessment</w:t>
      </w:r>
      <w:r w:rsidR="00F31C75" w:rsidRPr="00481747">
        <w:t xml:space="preserve"> </w:t>
      </w:r>
    </w:p>
    <w:p w14:paraId="20AD305B" w14:textId="1978228E" w:rsidR="002764C7" w:rsidRPr="003F14FF" w:rsidRDefault="002764C7" w:rsidP="002764C7">
      <w:pPr>
        <w:pStyle w:val="CETBodytext"/>
      </w:pPr>
      <w:r w:rsidRPr="00481747">
        <w:t xml:space="preserve">Presented below, Figure 1 includes storage silo S, intermediate storage tank PS, bucket </w:t>
      </w:r>
      <w:r w:rsidR="001F015F" w:rsidRPr="00481747">
        <w:t>elevator</w:t>
      </w:r>
      <w:r w:rsidRPr="00481747">
        <w:t xml:space="preserve"> </w:t>
      </w:r>
      <w:r w:rsidR="007A0692" w:rsidRPr="00481747">
        <w:t>BE</w:t>
      </w:r>
      <w:r w:rsidRPr="00481747">
        <w:t xml:space="preserve">, filter F, two </w:t>
      </w:r>
      <w:r w:rsidR="00B2131B" w:rsidRPr="00481747">
        <w:t>screw conveyors SC</w:t>
      </w:r>
      <w:r w:rsidRPr="00481747">
        <w:t xml:space="preserve">1 and </w:t>
      </w:r>
      <w:r w:rsidR="00B2131B" w:rsidRPr="00481747">
        <w:t>SC</w:t>
      </w:r>
      <w:r w:rsidRPr="00481747">
        <w:t xml:space="preserve">2, dusty air ducts </w:t>
      </w:r>
      <w:r w:rsidR="00792A9D" w:rsidRPr="00481747">
        <w:t>D</w:t>
      </w:r>
      <w:r w:rsidRPr="00481747">
        <w:t xml:space="preserve">1 and </w:t>
      </w:r>
      <w:r w:rsidR="00792A9D" w:rsidRPr="00481747">
        <w:t>D</w:t>
      </w:r>
      <w:r w:rsidRPr="00481747">
        <w:t xml:space="preserve">3, and collector upstream of filter </w:t>
      </w:r>
      <w:r w:rsidR="00792A9D" w:rsidRPr="00481747">
        <w:t>C</w:t>
      </w:r>
      <w:r w:rsidRPr="00481747">
        <w:t>2.</w:t>
      </w:r>
      <w:r w:rsidR="001D03AC" w:rsidRPr="00481747">
        <w:t xml:space="preserve"> </w:t>
      </w:r>
      <w:r w:rsidR="00E05BE2" w:rsidRPr="00481747">
        <w:t>The assessment does not include silo feed S, filter discharge F, and intermediate tank discharge PS.</w:t>
      </w:r>
      <w:r w:rsidRPr="00481747">
        <w:t xml:space="preserve"> The plant processes</w:t>
      </w:r>
      <w:r w:rsidR="001F015F" w:rsidRPr="00481747">
        <w:t xml:space="preserve"> </w:t>
      </w:r>
      <w:r w:rsidRPr="00481747">
        <w:t xml:space="preserve">bulk raw material containing dust with a low minimum ignition energy MEZ of </w:t>
      </w:r>
      <w:r w:rsidR="001F015F" w:rsidRPr="00481747">
        <w:t xml:space="preserve">ca. </w:t>
      </w:r>
      <w:r w:rsidRPr="00481747">
        <w:t xml:space="preserve">5 mJ and a low lower explosive limit DGW of </w:t>
      </w:r>
      <w:r w:rsidR="001F015F" w:rsidRPr="00481747">
        <w:t xml:space="preserve">ca. </w:t>
      </w:r>
      <w:r w:rsidRPr="00481747">
        <w:t xml:space="preserve">30 g/m3. </w:t>
      </w:r>
      <w:r w:rsidR="00CC1C73" w:rsidRPr="00481747">
        <w:t>As a result,</w:t>
      </w:r>
      <w:r w:rsidR="001F015F" w:rsidRPr="00481747">
        <w:t xml:space="preserve"> </w:t>
      </w:r>
      <w:r w:rsidR="00CC1C73" w:rsidRPr="00481747">
        <w:t xml:space="preserve">material stored and transported is susceptible to potentially ignition </w:t>
      </w:r>
      <w:r w:rsidR="00CC1C73" w:rsidRPr="003F14FF">
        <w:t>sources.</w:t>
      </w:r>
      <w:r w:rsidR="001F015F" w:rsidRPr="003F14FF">
        <w:t xml:space="preserve"> </w:t>
      </w:r>
      <w:r w:rsidR="00903544" w:rsidRPr="003F14FF">
        <w:t xml:space="preserve">A summary of the process data (risk factors) and the designated risk levels </w:t>
      </w:r>
      <w:r w:rsidR="001F015F" w:rsidRPr="003F14FF">
        <w:t>are</w:t>
      </w:r>
      <w:r w:rsidR="00903544" w:rsidRPr="003F14FF">
        <w:t xml:space="preserve"> given in Tables 1-A and 1-B.</w:t>
      </w:r>
      <w:r w:rsidR="007C6B10" w:rsidRPr="003F14FF">
        <w:t xml:space="preserve"> (see the Appendix).</w:t>
      </w:r>
    </w:p>
    <w:p w14:paraId="52811EED" w14:textId="05191261" w:rsidR="002764C7" w:rsidRPr="003F14FF" w:rsidRDefault="00076727" w:rsidP="001F015F">
      <w:pPr>
        <w:pStyle w:val="CETBodytext"/>
        <w:jc w:val="center"/>
      </w:pPr>
      <w:r w:rsidRPr="003F14FF">
        <w:rPr>
          <w:noProof/>
        </w:rPr>
        <w:drawing>
          <wp:inline distT="0" distB="0" distL="0" distR="0" wp14:anchorId="2DE2C4B1" wp14:editId="3FE4DEE5">
            <wp:extent cx="2685249" cy="2409910"/>
            <wp:effectExtent l="0" t="0" r="1270" b="0"/>
            <wp:docPr id="21287720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772076" name="Obraz 2128772076"/>
                    <pic:cNvPicPr/>
                  </pic:nvPicPr>
                  <pic:blipFill>
                    <a:blip r:embed="rId10"/>
                    <a:stretch>
                      <a:fillRect/>
                    </a:stretch>
                  </pic:blipFill>
                  <pic:spPr>
                    <a:xfrm>
                      <a:off x="0" y="0"/>
                      <a:ext cx="2728329" cy="2448572"/>
                    </a:xfrm>
                    <a:prstGeom prst="rect">
                      <a:avLst/>
                    </a:prstGeom>
                  </pic:spPr>
                </pic:pic>
              </a:graphicData>
            </a:graphic>
          </wp:inline>
        </w:drawing>
      </w:r>
    </w:p>
    <w:p w14:paraId="6B0918D1" w14:textId="75474885" w:rsidR="002764C7" w:rsidRPr="003F14FF" w:rsidRDefault="002764C7" w:rsidP="008B6DFC">
      <w:pPr>
        <w:pStyle w:val="CETBodytext"/>
      </w:pPr>
      <w:r w:rsidRPr="003F14FF">
        <w:rPr>
          <w:rStyle w:val="CETCaptionCarattere"/>
        </w:rPr>
        <w:t>Figure 1: Installation for storage and transportation of raw material containing combustible and explosive dust.</w:t>
      </w:r>
    </w:p>
    <w:p w14:paraId="151FA7A7" w14:textId="6762DF5F" w:rsidR="00E55020" w:rsidRPr="003F14FF" w:rsidRDefault="00903544" w:rsidP="002764C7">
      <w:pPr>
        <w:pStyle w:val="CETheadingx"/>
      </w:pPr>
      <w:r w:rsidRPr="003F14FF">
        <w:t>Equipment belonging to the higher</w:t>
      </w:r>
      <w:r w:rsidR="005C6D67" w:rsidRPr="003F14FF">
        <w:t xml:space="preserve"> </w:t>
      </w:r>
      <w:r w:rsidRPr="003F14FF">
        <w:t>risk group (R4, R3, R2, R1)</w:t>
      </w:r>
    </w:p>
    <w:p w14:paraId="1C7312C3" w14:textId="37C8E379" w:rsidR="002764C7" w:rsidRPr="003F14FF" w:rsidRDefault="00B0672E" w:rsidP="002764C7">
      <w:pPr>
        <w:pStyle w:val="CETBodytext"/>
      </w:pPr>
      <w:r w:rsidRPr="003F14FF">
        <w:t xml:space="preserve">Applies to </w:t>
      </w:r>
      <w:r w:rsidR="0044262B" w:rsidRPr="003F14FF">
        <w:t xml:space="preserve">equipment noted as </w:t>
      </w:r>
      <w:r w:rsidR="00903544" w:rsidRPr="003F14FF">
        <w:t xml:space="preserve">S, </w:t>
      </w:r>
      <w:r w:rsidR="00883A98" w:rsidRPr="003F14FF">
        <w:t>SC</w:t>
      </w:r>
      <w:r w:rsidR="00903544" w:rsidRPr="003F14FF">
        <w:t xml:space="preserve">, </w:t>
      </w:r>
      <w:r w:rsidR="009D6D46" w:rsidRPr="003F14FF">
        <w:t>BF</w:t>
      </w:r>
      <w:r w:rsidR="00903544" w:rsidRPr="003F14FF">
        <w:t xml:space="preserve"> and F. From the AW-OZ hazard assessment, the </w:t>
      </w:r>
      <w:r w:rsidR="00922ABB" w:rsidRPr="003F14FF">
        <w:t xml:space="preserve">silo </w:t>
      </w:r>
      <w:r w:rsidR="00903544" w:rsidRPr="003F14FF">
        <w:t xml:space="preserve">S and bucket </w:t>
      </w:r>
      <w:r w:rsidR="00A421D8" w:rsidRPr="003F14FF">
        <w:t>elevator</w:t>
      </w:r>
      <w:r w:rsidR="00903544" w:rsidRPr="003F14FF">
        <w:t xml:space="preserve"> </w:t>
      </w:r>
      <w:r w:rsidR="009D6D46" w:rsidRPr="003F14FF">
        <w:t>B</w:t>
      </w:r>
      <w:r w:rsidR="00A421D8" w:rsidRPr="003F14FF">
        <w:t>E</w:t>
      </w:r>
      <w:r w:rsidR="00922ABB" w:rsidRPr="003F14FF">
        <w:t xml:space="preserve"> </w:t>
      </w:r>
      <w:r w:rsidR="00903544" w:rsidRPr="003F14FF">
        <w:t>were classified as R4 (very high risk</w:t>
      </w:r>
      <w:r w:rsidR="003604AD" w:rsidRPr="003F14FF">
        <w:t>),</w:t>
      </w:r>
      <w:r w:rsidR="00903544" w:rsidRPr="003F14FF">
        <w:t xml:space="preserve"> and the intermediate storage tank </w:t>
      </w:r>
      <w:r w:rsidR="007A0692" w:rsidRPr="003F14FF">
        <w:t>IST</w:t>
      </w:r>
      <w:r w:rsidR="00903544" w:rsidRPr="003F14FF">
        <w:t xml:space="preserve"> and the dust collection filter F were classified as R3 (high risk).</w:t>
      </w:r>
      <w:r w:rsidRPr="003F14FF">
        <w:t xml:space="preserve"> </w:t>
      </w:r>
      <w:r w:rsidR="00E55020" w:rsidRPr="003F14FF">
        <w:t xml:space="preserve">This means that these equipment, in any case, should be protected from the effects of an explosion. </w:t>
      </w:r>
      <w:r w:rsidRPr="003F14FF">
        <w:t xml:space="preserve">The preliminary recommendations obtained from the AW-OZ application </w:t>
      </w:r>
      <w:r w:rsidR="008C6602" w:rsidRPr="0089202C">
        <w:t>(Grupa Wolff, OZ-AW, 2024)</w:t>
      </w:r>
      <w:r w:rsidR="008C6602">
        <w:t xml:space="preserve"> </w:t>
      </w:r>
      <w:r w:rsidRPr="003F14FF">
        <w:t>are summarized below.</w:t>
      </w:r>
    </w:p>
    <w:p w14:paraId="5F9F854C" w14:textId="54D71C2E" w:rsidR="00B0672E" w:rsidRPr="006A3155" w:rsidRDefault="00CE5C92" w:rsidP="002764C7">
      <w:pPr>
        <w:pStyle w:val="CETBodytext"/>
      </w:pPr>
      <w:r w:rsidRPr="003F14FF">
        <w:t>The protection of silo S will depend on its location: indoor or outdoors in the production premises/buildings.</w:t>
      </w:r>
      <w:r w:rsidR="00B0672E" w:rsidRPr="003F14FF">
        <w:t xml:space="preserve"> In the case of an indoor installation close to a wall, it will be possible to install a relief panel with a duct that discharges the effects of the explosion into the environment, after meeting the requirements of the standard for explosion </w:t>
      </w:r>
      <w:r w:rsidR="00B0672E" w:rsidRPr="001D09A7">
        <w:t xml:space="preserve">relief </w:t>
      </w:r>
      <w:r w:rsidR="00AE2800" w:rsidRPr="001D09A7">
        <w:t>(EN 14491:2012)</w:t>
      </w:r>
      <w:r w:rsidR="00B0672E" w:rsidRPr="001D09A7">
        <w:t xml:space="preserve">. </w:t>
      </w:r>
      <w:r w:rsidR="00A4263D" w:rsidRPr="001D09A7">
        <w:t>The</w:t>
      </w:r>
      <w:r w:rsidR="00A4263D" w:rsidRPr="003F14FF">
        <w:t xml:space="preserve"> outlet</w:t>
      </w:r>
      <w:r w:rsidR="00A4263D" w:rsidRPr="00481747">
        <w:t xml:space="preserve"> of the relief duct must be directed to a safe area away from neighboring installations, so that operators are not </w:t>
      </w:r>
      <w:r w:rsidR="00A4263D" w:rsidRPr="006A3155">
        <w:t>at risk.</w:t>
      </w:r>
      <w:r w:rsidR="00B0672E" w:rsidRPr="006A3155">
        <w:t xml:space="preserve"> When this condition is not met then the appropriate </w:t>
      </w:r>
      <w:r w:rsidR="00B0672E" w:rsidRPr="006A3155">
        <w:lastRenderedPageBreak/>
        <w:t xml:space="preserve">solution is to use an HRD explosion suppression </w:t>
      </w:r>
      <w:r w:rsidR="00B0672E" w:rsidRPr="0089202C">
        <w:t>system</w:t>
      </w:r>
      <w:r w:rsidR="00EE5B1A" w:rsidRPr="0089202C">
        <w:t xml:space="preserve"> (EN 14373:2021)</w:t>
      </w:r>
      <w:r w:rsidR="00B0672E" w:rsidRPr="0089202C">
        <w:t>. Such</w:t>
      </w:r>
      <w:r w:rsidR="00B0672E" w:rsidRPr="006A3155">
        <w:t xml:space="preserve"> a solution makes operational and explosion safety independent of the location of the </w:t>
      </w:r>
      <w:r w:rsidR="00C66ABF" w:rsidRPr="006A3155">
        <w:t>equipment</w:t>
      </w:r>
      <w:r w:rsidR="00B0672E" w:rsidRPr="006A3155">
        <w:t xml:space="preserve">. Alternatively, the use of flameless explosion </w:t>
      </w:r>
      <w:r w:rsidR="000E54B2">
        <w:t xml:space="preserve">venting </w:t>
      </w:r>
      <w:r w:rsidR="00B0672E" w:rsidRPr="006A3155">
        <w:t xml:space="preserve">should be considered, taking into account the </w:t>
      </w:r>
      <w:r w:rsidR="0044262B" w:rsidRPr="001D09A7">
        <w:t xml:space="preserve">required </w:t>
      </w:r>
      <w:r w:rsidR="00B0672E" w:rsidRPr="001D09A7">
        <w:t xml:space="preserve">restrictions </w:t>
      </w:r>
      <w:r w:rsidR="00573CF9" w:rsidRPr="001D09A7">
        <w:t>(EN 16009:2011)</w:t>
      </w:r>
      <w:r w:rsidR="00B0672E" w:rsidRPr="001D09A7">
        <w:t>. If</w:t>
      </w:r>
      <w:r w:rsidR="00B0672E" w:rsidRPr="006A3155">
        <w:t xml:space="preserve"> the silo is built outside the hall, it will be possible to build relief panels as </w:t>
      </w:r>
      <w:r w:rsidR="00B0672E" w:rsidRPr="001D09A7">
        <w:t xml:space="preserve">required </w:t>
      </w:r>
      <w:r w:rsidR="00AE2800" w:rsidRPr="001D09A7">
        <w:t>(EN 14491:2012)</w:t>
      </w:r>
      <w:r w:rsidR="00B0672E" w:rsidRPr="001D09A7">
        <w:t xml:space="preserve">. </w:t>
      </w:r>
      <w:r w:rsidR="00903544" w:rsidRPr="001D09A7">
        <w:t>The</w:t>
      </w:r>
      <w:r w:rsidR="00903544" w:rsidRPr="006A3155">
        <w:t xml:space="preserve"> outlet of the explosion </w:t>
      </w:r>
      <w:r w:rsidR="000E54B2">
        <w:t xml:space="preserve">venting </w:t>
      </w:r>
      <w:r w:rsidR="00903544" w:rsidRPr="006A3155">
        <w:t>must be directed to a safe area (no road or sidewalk near, close development of other equipment).</w:t>
      </w:r>
      <w:r w:rsidR="001D03AC" w:rsidRPr="006A3155">
        <w:t xml:space="preserve"> </w:t>
      </w:r>
      <w:r w:rsidR="00B0672E" w:rsidRPr="006A3155">
        <w:t>When this condition is not met then the appropriate solution will be the HRD explosion suppression system or flameless explosion relief.</w:t>
      </w:r>
    </w:p>
    <w:p w14:paraId="7E56361D" w14:textId="252A86D6" w:rsidR="00B0672E" w:rsidRPr="006A3155" w:rsidRDefault="00CE5C92" w:rsidP="002764C7">
      <w:pPr>
        <w:pStyle w:val="CETBodytext"/>
      </w:pPr>
      <w:r w:rsidRPr="006A3155">
        <w:t xml:space="preserve">The protection of the intermediate tank </w:t>
      </w:r>
      <w:r w:rsidR="007A0692" w:rsidRPr="006A3155">
        <w:t xml:space="preserve">IST </w:t>
      </w:r>
      <w:r w:rsidRPr="006A3155">
        <w:t>will also depend on the location.</w:t>
      </w:r>
      <w:r w:rsidR="00B0672E" w:rsidRPr="006A3155">
        <w:t xml:space="preserve"> In general, it can be assumed that in the vast majority of cases it will be built in the hall and not necessarily close to the wall, as its location will be determined by the course of the process line. </w:t>
      </w:r>
      <w:r w:rsidR="00A4263D" w:rsidRPr="006A3155">
        <w:t>In this case, it will not be possible to</w:t>
      </w:r>
      <w:r w:rsidR="00CA342D" w:rsidRPr="006A3155">
        <w:t xml:space="preserve"> use </w:t>
      </w:r>
      <w:r w:rsidR="00A4263D" w:rsidRPr="006A3155">
        <w:t>relief panels.</w:t>
      </w:r>
      <w:r w:rsidR="00B0672E" w:rsidRPr="006A3155">
        <w:t xml:space="preserve"> However, it will be possible to use flameless explosion relief or and </w:t>
      </w:r>
      <w:r w:rsidR="00CA342D" w:rsidRPr="006A3155">
        <w:t xml:space="preserve">as </w:t>
      </w:r>
      <w:r w:rsidR="00B0672E" w:rsidRPr="006A3155">
        <w:t>recommended solution HRD explosion suppression</w:t>
      </w:r>
      <w:r w:rsidR="00CA342D" w:rsidRPr="006A3155">
        <w:t>.</w:t>
      </w:r>
      <w:r w:rsidR="00B0672E" w:rsidRPr="006A3155">
        <w:t xml:space="preserve"> </w:t>
      </w:r>
    </w:p>
    <w:p w14:paraId="735CDF29" w14:textId="0255DBB9" w:rsidR="00B0672E" w:rsidRPr="006A3155" w:rsidRDefault="001D09A7" w:rsidP="002764C7">
      <w:pPr>
        <w:pStyle w:val="CETBodytext"/>
      </w:pPr>
      <w:r w:rsidRPr="000E54B2">
        <w:t>Following (CEN/TR 16829:2016)  p</w:t>
      </w:r>
      <w:r w:rsidR="00B0672E" w:rsidRPr="000E54B2">
        <w:t>rotection of the</w:t>
      </w:r>
      <w:r w:rsidR="00B0672E" w:rsidRPr="006A3155">
        <w:t xml:space="preserve"> </w:t>
      </w:r>
      <w:r w:rsidR="001813E8" w:rsidRPr="006A3155">
        <w:t xml:space="preserve">bucket </w:t>
      </w:r>
      <w:r w:rsidR="00A421D8" w:rsidRPr="006A3155">
        <w:t>elevator BE</w:t>
      </w:r>
      <w:r w:rsidR="001813E8" w:rsidRPr="006A3155">
        <w:t xml:space="preserve"> </w:t>
      </w:r>
      <w:r w:rsidR="003604AD" w:rsidRPr="006A3155">
        <w:t>from</w:t>
      </w:r>
      <w:r w:rsidR="00B0672E" w:rsidRPr="006A3155">
        <w:t xml:space="preserve"> the effects of an explosion will depend fundamentally on its location. </w:t>
      </w:r>
      <w:r w:rsidR="0084650B" w:rsidRPr="006A3155">
        <w:rPr>
          <w:lang w:val="en-GB"/>
        </w:rPr>
        <w:t>In cases where the installation is located in a hallway, installing relief panels in compliance with standard conditions may not always be possible</w:t>
      </w:r>
      <w:r w:rsidR="00A4263D" w:rsidRPr="006A3155">
        <w:t>.</w:t>
      </w:r>
      <w:r w:rsidR="00B0672E" w:rsidRPr="006A3155">
        <w:t xml:space="preserve"> </w:t>
      </w:r>
      <w:r w:rsidR="00A4263D" w:rsidRPr="006A3155">
        <w:t>In the case of the development of relief ducts, the outlet outside the hall area must be directed to a safe area.</w:t>
      </w:r>
      <w:r w:rsidR="00B0672E" w:rsidRPr="006A3155">
        <w:t xml:space="preserve"> </w:t>
      </w:r>
      <w:r w:rsidR="00A4263D" w:rsidRPr="006A3155">
        <w:t xml:space="preserve">As a result of these restrictions, the recommended solution is to use </w:t>
      </w:r>
      <w:r w:rsidR="001813E8" w:rsidRPr="006A3155">
        <w:t xml:space="preserve">HRD </w:t>
      </w:r>
      <w:r w:rsidR="00A4263D" w:rsidRPr="006A3155">
        <w:t>explosion suppression.</w:t>
      </w:r>
      <w:r w:rsidR="00B0672E" w:rsidRPr="006A3155">
        <w:t xml:space="preserve"> </w:t>
      </w:r>
      <w:r w:rsidR="00922ABB" w:rsidRPr="006A3155">
        <w:t>This solution makes the operation and explosion safety independent of its location.</w:t>
      </w:r>
      <w:r w:rsidR="00B0672E" w:rsidRPr="006A3155">
        <w:t xml:space="preserve"> An alternative is the installation of flameless explosion relief, while meeting </w:t>
      </w:r>
      <w:r w:rsidR="000E54B2">
        <w:t xml:space="preserve">its </w:t>
      </w:r>
      <w:r w:rsidR="00B0672E" w:rsidRPr="006A3155">
        <w:t xml:space="preserve">limitations </w:t>
      </w:r>
      <w:r w:rsidR="006857A3" w:rsidRPr="001D09A7">
        <w:t>(EN 16009:2011)</w:t>
      </w:r>
      <w:r w:rsidR="00B0672E" w:rsidRPr="001D09A7">
        <w:t>.</w:t>
      </w:r>
    </w:p>
    <w:p w14:paraId="5B33A074" w14:textId="5C637DC4" w:rsidR="00E55020" w:rsidRPr="00481747" w:rsidRDefault="00B0672E" w:rsidP="002764C7">
      <w:pPr>
        <w:pStyle w:val="CETBodytext"/>
      </w:pPr>
      <w:r w:rsidRPr="006A3155">
        <w:t>Protection of filter F (risk group R3) from the effects of an explosion will depend on its location. In the case of development in the hall, as a rule, it will not be possible to develop relief panels for the reasons</w:t>
      </w:r>
      <w:r w:rsidRPr="00481747">
        <w:t xml:space="preserve"> stated above. The exception is the installation of the filter close to the wall of the hall and the use of a </w:t>
      </w:r>
      <w:r w:rsidR="004D4359" w:rsidRPr="00481747">
        <w:t>duct</w:t>
      </w:r>
      <w:r w:rsidRPr="00481747">
        <w:t xml:space="preserve"> that discharges the effects of the explosion into</w:t>
      </w:r>
      <w:r w:rsidR="00636C63" w:rsidRPr="00481747">
        <w:t xml:space="preserve"> safe </w:t>
      </w:r>
      <w:r w:rsidRPr="00481747">
        <w:t xml:space="preserve">environment. When this condition is not met, the appropriate solution will be the use of an HRD explosion suppression system. </w:t>
      </w:r>
      <w:r w:rsidR="00235A0C" w:rsidRPr="00481747">
        <w:t>This solution makes the safety of the filter operation independent of its location.</w:t>
      </w:r>
      <w:r w:rsidRPr="00481747">
        <w:t xml:space="preserve"> </w:t>
      </w:r>
      <w:r w:rsidR="00172CF7" w:rsidRPr="00481747">
        <w:t xml:space="preserve">A certified </w:t>
      </w:r>
      <w:r w:rsidR="00636C63" w:rsidRPr="00481747">
        <w:t xml:space="preserve">rotary </w:t>
      </w:r>
      <w:r w:rsidR="00172CF7" w:rsidRPr="00481747">
        <w:t xml:space="preserve">feeder </w:t>
      </w:r>
      <w:r w:rsidR="00636C63" w:rsidRPr="00481747">
        <w:t xml:space="preserve">(as explosion isolation) </w:t>
      </w:r>
      <w:r w:rsidR="00172CF7" w:rsidRPr="00481747">
        <w:t>is recommended at filter discharge.</w:t>
      </w:r>
    </w:p>
    <w:p w14:paraId="196F24B7" w14:textId="034F320B" w:rsidR="00B0672E" w:rsidRPr="00481747" w:rsidRDefault="00B0672E" w:rsidP="00B0672E">
      <w:pPr>
        <w:pStyle w:val="CETheadingx"/>
      </w:pPr>
      <w:r w:rsidRPr="00481747">
        <w:t>Equipment belonging to the lower risk group (RR4, RR3, RR2, RR1)</w:t>
      </w:r>
    </w:p>
    <w:p w14:paraId="6D64A47E" w14:textId="24B5A1DC" w:rsidR="00B0672E" w:rsidRPr="006673B7" w:rsidRDefault="00172CF7" w:rsidP="00B0672E">
      <w:pPr>
        <w:pStyle w:val="CETBodytext"/>
      </w:pPr>
      <w:r w:rsidRPr="006673B7">
        <w:t xml:space="preserve">The </w:t>
      </w:r>
      <w:r w:rsidR="009825F0" w:rsidRPr="006673B7">
        <w:t xml:space="preserve">screw </w:t>
      </w:r>
      <w:r w:rsidR="00883A98" w:rsidRPr="006673B7">
        <w:t>conveyors SC</w:t>
      </w:r>
      <w:r w:rsidRPr="006673B7">
        <w:t xml:space="preserve">1 and </w:t>
      </w:r>
      <w:r w:rsidR="00883A98" w:rsidRPr="006673B7">
        <w:t>SC</w:t>
      </w:r>
      <w:r w:rsidRPr="006673B7">
        <w:t>2</w:t>
      </w:r>
      <w:r w:rsidR="007C6B10" w:rsidRPr="006673B7">
        <w:t xml:space="preserve">, </w:t>
      </w:r>
      <w:r w:rsidRPr="006673B7">
        <w:t>the</w:t>
      </w:r>
      <w:r w:rsidR="00E55020" w:rsidRPr="006673B7">
        <w:t xml:space="preserve"> dusty </w:t>
      </w:r>
      <w:r w:rsidRPr="006673B7">
        <w:t xml:space="preserve">air </w:t>
      </w:r>
      <w:r w:rsidR="00E33A55" w:rsidRPr="006673B7">
        <w:t>ducts</w:t>
      </w:r>
      <w:r w:rsidRPr="006673B7">
        <w:t xml:space="preserve"> </w:t>
      </w:r>
      <w:r w:rsidR="00E33A55" w:rsidRPr="006673B7">
        <w:t>D</w:t>
      </w:r>
      <w:r w:rsidRPr="006673B7">
        <w:t xml:space="preserve">1, </w:t>
      </w:r>
      <w:r w:rsidR="004D4359" w:rsidRPr="006673B7">
        <w:t>D</w:t>
      </w:r>
      <w:r w:rsidRPr="006673B7">
        <w:t xml:space="preserve">3, and collector </w:t>
      </w:r>
      <w:r w:rsidR="006A0430" w:rsidRPr="006673B7">
        <w:t>C</w:t>
      </w:r>
      <w:r w:rsidRPr="006673B7">
        <w:t>2 upstream of the filter, Fig. 1, were classified within the lower risk group.</w:t>
      </w:r>
      <w:r w:rsidR="00B0672E" w:rsidRPr="006673B7">
        <w:t xml:space="preserve"> </w:t>
      </w:r>
      <w:r w:rsidRPr="006673B7">
        <w:t xml:space="preserve">The </w:t>
      </w:r>
      <w:r w:rsidR="00883A98" w:rsidRPr="006673B7">
        <w:t>SC</w:t>
      </w:r>
      <w:r w:rsidRPr="006673B7">
        <w:t>1/</w:t>
      </w:r>
      <w:r w:rsidR="00883A98" w:rsidRPr="006673B7">
        <w:t>SC</w:t>
      </w:r>
      <w:r w:rsidRPr="006673B7">
        <w:t xml:space="preserve">2 </w:t>
      </w:r>
      <w:r w:rsidR="00883A98" w:rsidRPr="006673B7">
        <w:t>conveyors</w:t>
      </w:r>
      <w:r w:rsidRPr="006673B7">
        <w:t xml:space="preserve"> and the </w:t>
      </w:r>
      <w:r w:rsidR="006A0430" w:rsidRPr="006673B7">
        <w:t>D</w:t>
      </w:r>
      <w:r w:rsidRPr="006673B7">
        <w:t xml:space="preserve">1, </w:t>
      </w:r>
      <w:r w:rsidR="006A0430" w:rsidRPr="006673B7">
        <w:t>D</w:t>
      </w:r>
      <w:r w:rsidRPr="006673B7">
        <w:t xml:space="preserve">3 </w:t>
      </w:r>
      <w:r w:rsidR="006A0430" w:rsidRPr="006673B7">
        <w:t>ducts</w:t>
      </w:r>
      <w:r w:rsidRPr="006673B7">
        <w:t xml:space="preserve">, as well as the collector </w:t>
      </w:r>
      <w:r w:rsidR="004D4359" w:rsidRPr="006673B7">
        <w:t>C</w:t>
      </w:r>
      <w:r w:rsidRPr="006673B7">
        <w:t>2 were classified in the RR3 group (moderate risk).</w:t>
      </w:r>
      <w:r w:rsidR="00B0672E" w:rsidRPr="006673B7">
        <w:t xml:space="preserve"> </w:t>
      </w:r>
      <w:r w:rsidR="006C41B6" w:rsidRPr="006673B7">
        <w:t xml:space="preserve">The preliminary </w:t>
      </w:r>
      <w:r w:rsidR="009825F0" w:rsidRPr="006673B7">
        <w:t xml:space="preserve">explosion protection </w:t>
      </w:r>
      <w:r w:rsidR="006C41B6" w:rsidRPr="006673B7">
        <w:t xml:space="preserve">recommendations given below were obtained from AW-OZ </w:t>
      </w:r>
      <w:r w:rsidR="00301F32" w:rsidRPr="006673B7">
        <w:t>application</w:t>
      </w:r>
      <w:r w:rsidR="006C41B6" w:rsidRPr="006673B7">
        <w:t xml:space="preserve"> </w:t>
      </w:r>
      <w:r w:rsidR="00A8774F" w:rsidRPr="00050DF0">
        <w:t>(Grupa Wolff, OZ-AW, 2024)</w:t>
      </w:r>
      <w:r w:rsidR="006C41B6" w:rsidRPr="00050DF0">
        <w:t>.</w:t>
      </w:r>
      <w:r w:rsidR="00B0672E" w:rsidRPr="006673B7">
        <w:t xml:space="preserve"> </w:t>
      </w:r>
      <w:r w:rsidR="0046768F" w:rsidRPr="006673B7">
        <w:t>The adopted design and process data for the equipment are given in Table 1-B (see the Appendix).</w:t>
      </w:r>
    </w:p>
    <w:p w14:paraId="197180EF" w14:textId="444D56F5" w:rsidR="00DB2094" w:rsidRPr="006673B7" w:rsidRDefault="00B0672E" w:rsidP="00B0672E">
      <w:pPr>
        <w:pStyle w:val="CETBodytext"/>
      </w:pPr>
      <w:r w:rsidRPr="006673B7">
        <w:t xml:space="preserve">The qualification of the </w:t>
      </w:r>
      <w:r w:rsidR="00C66ABF" w:rsidRPr="006673B7">
        <w:t>equipment</w:t>
      </w:r>
      <w:r w:rsidRPr="006673B7">
        <w:t xml:space="preserve"> to the RR3 group means that, in principle, they do not require, as conveying equipment, protection of their working space against the effects of an explosion. </w:t>
      </w:r>
      <w:r w:rsidR="00231036" w:rsidRPr="006673B7">
        <w:t xml:space="preserve">However, as a result of the risk of transmission of an explosion from silo S or intermediate storage tank PS, through the </w:t>
      </w:r>
      <w:r w:rsidR="00883A98" w:rsidRPr="006673B7">
        <w:t>conveyors SC</w:t>
      </w:r>
      <w:r w:rsidR="00231036" w:rsidRPr="006673B7">
        <w:t xml:space="preserve">1 and </w:t>
      </w:r>
      <w:r w:rsidR="00883A98" w:rsidRPr="006673B7">
        <w:t>SC</w:t>
      </w:r>
      <w:r w:rsidR="00231036" w:rsidRPr="006673B7">
        <w:t xml:space="preserve">2 built on their discharges, in the direction to bucket </w:t>
      </w:r>
      <w:r w:rsidR="00A421D8" w:rsidRPr="006673B7">
        <w:t>elevator</w:t>
      </w:r>
      <w:r w:rsidR="00231036" w:rsidRPr="006673B7">
        <w:t xml:space="preserve"> </w:t>
      </w:r>
      <w:r w:rsidR="00A421D8" w:rsidRPr="006673B7">
        <w:t>BE</w:t>
      </w:r>
      <w:r w:rsidR="00231036" w:rsidRPr="006673B7">
        <w:t xml:space="preserve">, and similarly from </w:t>
      </w:r>
      <w:r w:rsidR="00A421D8" w:rsidRPr="006673B7">
        <w:t>BE</w:t>
      </w:r>
      <w:r w:rsidR="00231036" w:rsidRPr="006673B7">
        <w:t xml:space="preserve"> through the charge in the direction to silo S (</w:t>
      </w:r>
      <w:r w:rsidR="00DD4F71" w:rsidRPr="006673B7">
        <w:t>IST</w:t>
      </w:r>
      <w:r w:rsidR="00231036" w:rsidRPr="006673B7">
        <w:t xml:space="preserve">1) or through the discharge in the direction to storage tank </w:t>
      </w:r>
      <w:r w:rsidR="007A0692" w:rsidRPr="006673B7">
        <w:t>IST</w:t>
      </w:r>
      <w:r w:rsidR="00231036" w:rsidRPr="006673B7">
        <w:t xml:space="preserve"> (</w:t>
      </w:r>
      <w:r w:rsidR="007A0692" w:rsidRPr="006673B7">
        <w:t>IST</w:t>
      </w:r>
      <w:r w:rsidR="00231036" w:rsidRPr="006673B7">
        <w:t xml:space="preserve">2), it is necessary to build an explosion isolation along its </w:t>
      </w:r>
      <w:r w:rsidR="00231036" w:rsidRPr="000E54B2">
        <w:t>length</w:t>
      </w:r>
      <w:r w:rsidR="000E54B2" w:rsidRPr="000E54B2">
        <w:t xml:space="preserve"> (EN 15089: 2010)</w:t>
      </w:r>
      <w:r w:rsidR="00231036" w:rsidRPr="000E54B2">
        <w:t>.</w:t>
      </w:r>
      <w:r w:rsidRPr="000E54B2">
        <w:t xml:space="preserve"> This is </w:t>
      </w:r>
      <w:r w:rsidRPr="006673B7">
        <w:t xml:space="preserve">justified by the fact that silo S and tank </w:t>
      </w:r>
      <w:r w:rsidR="00DD4F71" w:rsidRPr="006673B7">
        <w:t>IST</w:t>
      </w:r>
      <w:r w:rsidR="009825F0" w:rsidRPr="006673B7">
        <w:t>,</w:t>
      </w:r>
      <w:r w:rsidRPr="006673B7">
        <w:t xml:space="preserve"> </w:t>
      </w:r>
      <w:r w:rsidR="009825F0" w:rsidRPr="006673B7">
        <w:t xml:space="preserve">bucket </w:t>
      </w:r>
      <w:r w:rsidR="00A421D8" w:rsidRPr="006673B7">
        <w:t>elevator</w:t>
      </w:r>
      <w:r w:rsidRPr="006673B7">
        <w:t xml:space="preserve"> </w:t>
      </w:r>
      <w:r w:rsidR="00A421D8" w:rsidRPr="006673B7">
        <w:t>BE</w:t>
      </w:r>
      <w:r w:rsidRPr="006673B7">
        <w:t xml:space="preserve"> </w:t>
      </w:r>
      <w:r w:rsidR="009825F0" w:rsidRPr="006673B7">
        <w:t xml:space="preserve">and filter F </w:t>
      </w:r>
      <w:r w:rsidRPr="006673B7">
        <w:t xml:space="preserve">have been classified as very high or high risk </w:t>
      </w:r>
      <w:r w:rsidR="0057286C" w:rsidRPr="006673B7">
        <w:t xml:space="preserve">(R4 or </w:t>
      </w:r>
      <w:r w:rsidRPr="006673B7">
        <w:t>R3</w:t>
      </w:r>
      <w:r w:rsidR="0057286C" w:rsidRPr="006673B7">
        <w:t>, respectively)</w:t>
      </w:r>
      <w:r w:rsidR="009825F0" w:rsidRPr="006673B7">
        <w:t>.</w:t>
      </w:r>
    </w:p>
    <w:p w14:paraId="0D2FA11A" w14:textId="5DBA748D" w:rsidR="000D5DC6" w:rsidRPr="006673B7" w:rsidRDefault="00AC02F2" w:rsidP="00A21F68">
      <w:pPr>
        <w:rPr>
          <w:color w:val="000000" w:themeColor="text1"/>
        </w:rPr>
      </w:pPr>
      <w:r w:rsidRPr="006673B7">
        <w:rPr>
          <w:color w:val="000000" w:themeColor="text1"/>
        </w:rPr>
        <w:t>The location of the explosion isolation system</w:t>
      </w:r>
      <w:r w:rsidR="00DB2094" w:rsidRPr="006673B7">
        <w:rPr>
          <w:color w:val="000000" w:themeColor="text1"/>
        </w:rPr>
        <w:t>s</w:t>
      </w:r>
      <w:r w:rsidRPr="006673B7">
        <w:rPr>
          <w:color w:val="000000" w:themeColor="text1"/>
        </w:rPr>
        <w:t xml:space="preserve"> will depend, among other</w:t>
      </w:r>
      <w:r w:rsidR="000D5DC6" w:rsidRPr="006673B7">
        <w:rPr>
          <w:color w:val="000000" w:themeColor="text1"/>
        </w:rPr>
        <w:t>s</w:t>
      </w:r>
      <w:r w:rsidRPr="006673B7">
        <w:rPr>
          <w:color w:val="000000" w:themeColor="text1"/>
        </w:rPr>
        <w:t>, on the diameter and length</w:t>
      </w:r>
      <w:r w:rsidR="009825F0" w:rsidRPr="006673B7">
        <w:rPr>
          <w:color w:val="000000" w:themeColor="text1"/>
        </w:rPr>
        <w:t xml:space="preserve"> </w:t>
      </w:r>
      <w:r w:rsidRPr="006673B7">
        <w:rPr>
          <w:color w:val="000000" w:themeColor="text1"/>
        </w:rPr>
        <w:t xml:space="preserve">of </w:t>
      </w:r>
      <w:r w:rsidR="00D814AE" w:rsidRPr="006673B7">
        <w:rPr>
          <w:color w:val="000000" w:themeColor="text1"/>
        </w:rPr>
        <w:t>ducts</w:t>
      </w:r>
      <w:r w:rsidRPr="006673B7">
        <w:rPr>
          <w:color w:val="000000" w:themeColor="text1"/>
        </w:rPr>
        <w:t xml:space="preserve"> </w:t>
      </w:r>
      <w:r w:rsidR="009825F0" w:rsidRPr="006673B7">
        <w:rPr>
          <w:color w:val="000000" w:themeColor="text1"/>
        </w:rPr>
        <w:t xml:space="preserve">and screw </w:t>
      </w:r>
      <w:r w:rsidR="00883A98" w:rsidRPr="006673B7">
        <w:rPr>
          <w:color w:val="000000" w:themeColor="text1"/>
        </w:rPr>
        <w:t>conveyors</w:t>
      </w:r>
      <w:r w:rsidR="009825F0" w:rsidRPr="006673B7">
        <w:rPr>
          <w:color w:val="000000" w:themeColor="text1"/>
        </w:rPr>
        <w:t xml:space="preserve"> </w:t>
      </w:r>
      <w:r w:rsidRPr="006673B7">
        <w:rPr>
          <w:color w:val="000000" w:themeColor="text1"/>
        </w:rPr>
        <w:t xml:space="preserve">as well as how the primary </w:t>
      </w:r>
      <w:r w:rsidR="00C66ABF" w:rsidRPr="006673B7">
        <w:rPr>
          <w:color w:val="000000" w:themeColor="text1"/>
        </w:rPr>
        <w:t>equipment</w:t>
      </w:r>
      <w:r w:rsidRPr="006673B7">
        <w:rPr>
          <w:color w:val="000000" w:themeColor="text1"/>
        </w:rPr>
        <w:t xml:space="preserve"> </w:t>
      </w:r>
      <w:r w:rsidR="000D5DC6" w:rsidRPr="006673B7">
        <w:rPr>
          <w:color w:val="000000" w:themeColor="text1"/>
        </w:rPr>
        <w:t>are</w:t>
      </w:r>
      <w:r w:rsidRPr="006673B7">
        <w:rPr>
          <w:color w:val="000000" w:themeColor="text1"/>
        </w:rPr>
        <w:t xml:space="preserve"> protected.</w:t>
      </w:r>
      <w:r w:rsidR="009825F0" w:rsidRPr="006673B7">
        <w:rPr>
          <w:color w:val="000000" w:themeColor="text1"/>
        </w:rPr>
        <w:t xml:space="preserve"> As mentioned above the values of structural strength of equipment and dust explosion data (maximum explosion pressure P</w:t>
      </w:r>
      <w:r w:rsidR="009825F0" w:rsidRPr="006673B7">
        <w:rPr>
          <w:color w:val="000000" w:themeColor="text1"/>
          <w:vertAlign w:val="subscript"/>
        </w:rPr>
        <w:t>max</w:t>
      </w:r>
      <w:r w:rsidR="009825F0" w:rsidRPr="006673B7">
        <w:rPr>
          <w:color w:val="000000" w:themeColor="text1"/>
        </w:rPr>
        <w:t>, maximum reduced explosion pressure P</w:t>
      </w:r>
      <w:r w:rsidR="009825F0" w:rsidRPr="006673B7">
        <w:rPr>
          <w:color w:val="000000" w:themeColor="text1"/>
          <w:vertAlign w:val="subscript"/>
        </w:rPr>
        <w:t>red,max</w:t>
      </w:r>
      <w:r w:rsidR="00285B71" w:rsidRPr="006673B7">
        <w:rPr>
          <w:color w:val="000000" w:themeColor="text1"/>
          <w:vertAlign w:val="subscript"/>
        </w:rPr>
        <w:t>.</w:t>
      </w:r>
      <w:r w:rsidR="009825F0" w:rsidRPr="006673B7">
        <w:rPr>
          <w:color w:val="000000" w:themeColor="text1"/>
        </w:rPr>
        <w:t xml:space="preserve"> and explosion constant K</w:t>
      </w:r>
      <w:r w:rsidR="009825F0" w:rsidRPr="006673B7">
        <w:rPr>
          <w:color w:val="000000" w:themeColor="text1"/>
          <w:vertAlign w:val="subscript"/>
        </w:rPr>
        <w:t>st</w:t>
      </w:r>
      <w:r w:rsidR="009825F0" w:rsidRPr="006673B7">
        <w:rPr>
          <w:color w:val="000000" w:themeColor="text1"/>
        </w:rPr>
        <w:t xml:space="preserve">) have to be also known. </w:t>
      </w:r>
    </w:p>
    <w:p w14:paraId="70C9059C" w14:textId="6AE92E63" w:rsidR="001D09A7" w:rsidRPr="005D1C2A" w:rsidRDefault="00A21F68" w:rsidP="00A21F68">
      <w:pPr>
        <w:rPr>
          <w:color w:val="000000" w:themeColor="text1"/>
        </w:rPr>
      </w:pPr>
      <w:r w:rsidRPr="006673B7">
        <w:rPr>
          <w:color w:val="000000" w:themeColor="text1"/>
        </w:rPr>
        <w:t xml:space="preserve">The concept of explosion isolation systems for the flowsheet illustrated in Fig. 1 is </w:t>
      </w:r>
      <w:r w:rsidR="00CB0521">
        <w:rPr>
          <w:color w:val="000000" w:themeColor="text1"/>
        </w:rPr>
        <w:t>demonstrated</w:t>
      </w:r>
      <w:r w:rsidRPr="006673B7">
        <w:rPr>
          <w:color w:val="000000" w:themeColor="text1"/>
        </w:rPr>
        <w:t xml:space="preserve"> in Fig. 2. Of particular interest is the technical feasibility of installing an explosion isolation system on collector </w:t>
      </w:r>
      <w:r w:rsidR="004D4359" w:rsidRPr="006673B7">
        <w:rPr>
          <w:color w:val="000000" w:themeColor="text1"/>
        </w:rPr>
        <w:t>C</w:t>
      </w:r>
      <w:r w:rsidRPr="006673B7">
        <w:rPr>
          <w:color w:val="000000" w:themeColor="text1"/>
        </w:rPr>
        <w:t xml:space="preserve">2, located upstream of filter F. </w:t>
      </w:r>
      <w:r w:rsidRPr="005D1C2A">
        <w:rPr>
          <w:color w:val="000000" w:themeColor="text1"/>
        </w:rPr>
        <w:t xml:space="preserve">This is critical because an explosion originating in filter F has the potential to propagate through collector </w:t>
      </w:r>
      <w:r w:rsidR="004D4359" w:rsidRPr="005D1C2A">
        <w:rPr>
          <w:color w:val="000000" w:themeColor="text1"/>
        </w:rPr>
        <w:t>C</w:t>
      </w:r>
      <w:r w:rsidRPr="005D1C2A">
        <w:rPr>
          <w:color w:val="000000" w:themeColor="text1"/>
        </w:rPr>
        <w:t xml:space="preserve">2 towards </w:t>
      </w:r>
      <w:r w:rsidR="004D4359" w:rsidRPr="005D1C2A">
        <w:rPr>
          <w:color w:val="000000" w:themeColor="text1"/>
        </w:rPr>
        <w:t>ducts D</w:t>
      </w:r>
      <w:r w:rsidRPr="005D1C2A">
        <w:rPr>
          <w:color w:val="000000" w:themeColor="text1"/>
        </w:rPr>
        <w:t xml:space="preserve">1 and </w:t>
      </w:r>
      <w:r w:rsidR="004D4359" w:rsidRPr="005D1C2A">
        <w:rPr>
          <w:color w:val="000000" w:themeColor="text1"/>
        </w:rPr>
        <w:t>D</w:t>
      </w:r>
      <w:r w:rsidRPr="005D1C2A">
        <w:rPr>
          <w:color w:val="000000" w:themeColor="text1"/>
        </w:rPr>
        <w:t>3, and subsequently to key process equipment such as silo S and intermediate tank PS, posing significant hazards.</w:t>
      </w:r>
    </w:p>
    <w:p w14:paraId="34C08669" w14:textId="70F640F2" w:rsidR="002E3533" w:rsidRPr="00DB2094" w:rsidRDefault="00567AB0" w:rsidP="00A21F68">
      <w:pPr>
        <w:rPr>
          <w:color w:val="000000" w:themeColor="text1"/>
        </w:rPr>
      </w:pPr>
      <w:r w:rsidRPr="005D1C2A">
        <w:rPr>
          <w:color w:val="000000" w:themeColor="text1"/>
        </w:rPr>
        <w:t>A</w:t>
      </w:r>
      <w:r w:rsidR="00D40A19" w:rsidRPr="005D1C2A">
        <w:rPr>
          <w:color w:val="000000" w:themeColor="text1"/>
        </w:rPr>
        <w:t xml:space="preserve">s shown in </w:t>
      </w:r>
      <w:r w:rsidRPr="005D1C2A">
        <w:rPr>
          <w:color w:val="000000" w:themeColor="text1"/>
        </w:rPr>
        <w:t xml:space="preserve">Table 1B, collector </w:t>
      </w:r>
      <w:r w:rsidR="004D4359" w:rsidRPr="005D1C2A">
        <w:rPr>
          <w:color w:val="000000" w:themeColor="text1"/>
        </w:rPr>
        <w:t xml:space="preserve">C2 is </w:t>
      </w:r>
      <w:r w:rsidRPr="005D1C2A">
        <w:rPr>
          <w:color w:val="000000" w:themeColor="text1"/>
        </w:rPr>
        <w:t xml:space="preserve">5.5 m </w:t>
      </w:r>
      <w:r w:rsidR="004D4359" w:rsidRPr="005D1C2A">
        <w:rPr>
          <w:color w:val="000000" w:themeColor="text1"/>
        </w:rPr>
        <w:t xml:space="preserve">long, </w:t>
      </w:r>
      <w:r w:rsidRPr="005D1C2A">
        <w:rPr>
          <w:color w:val="000000" w:themeColor="text1"/>
        </w:rPr>
        <w:t xml:space="preserve">which is sufficient to install an explosion isolation system using either an HRD cylinder or </w:t>
      </w:r>
      <w:r w:rsidR="00DB2094" w:rsidRPr="005D1C2A">
        <w:rPr>
          <w:color w:val="000000" w:themeColor="text1"/>
        </w:rPr>
        <w:t xml:space="preserve">isolation </w:t>
      </w:r>
      <w:r w:rsidRPr="005D1C2A">
        <w:rPr>
          <w:color w:val="000000" w:themeColor="text1"/>
        </w:rPr>
        <w:t xml:space="preserve">flap </w:t>
      </w:r>
      <w:r w:rsidRPr="002C6189">
        <w:t xml:space="preserve">valve </w:t>
      </w:r>
      <w:r w:rsidR="006857A3" w:rsidRPr="002C6189">
        <w:t>(EN 15089:2010)</w:t>
      </w:r>
      <w:r w:rsidRPr="002C6189">
        <w:t xml:space="preserve">. </w:t>
      </w:r>
      <w:r w:rsidR="002E3533" w:rsidRPr="002C6189">
        <w:t xml:space="preserve">Moreover </w:t>
      </w:r>
      <w:r w:rsidRPr="005D1C2A">
        <w:rPr>
          <w:color w:val="000000" w:themeColor="text1"/>
        </w:rPr>
        <w:t xml:space="preserve">the </w:t>
      </w:r>
      <w:r w:rsidR="004D4359" w:rsidRPr="005D1C2A">
        <w:rPr>
          <w:color w:val="000000" w:themeColor="text1"/>
        </w:rPr>
        <w:t>C</w:t>
      </w:r>
      <w:r w:rsidRPr="005D1C2A">
        <w:rPr>
          <w:color w:val="000000" w:themeColor="text1"/>
        </w:rPr>
        <w:t xml:space="preserve">2 collector must be capable of withstanding the </w:t>
      </w:r>
      <w:r w:rsidR="00285B71" w:rsidRPr="005D1C2A">
        <w:rPr>
          <w:color w:val="000000" w:themeColor="text1"/>
        </w:rPr>
        <w:t xml:space="preserve">value of </w:t>
      </w:r>
      <w:r w:rsidRPr="005D1C2A">
        <w:rPr>
          <w:color w:val="000000" w:themeColor="text1"/>
        </w:rPr>
        <w:t>P</w:t>
      </w:r>
      <w:r w:rsidRPr="005D1C2A">
        <w:rPr>
          <w:color w:val="000000" w:themeColor="text1"/>
          <w:vertAlign w:val="subscript"/>
        </w:rPr>
        <w:t>red,max</w:t>
      </w:r>
      <w:r w:rsidR="00285B71" w:rsidRPr="005D1C2A">
        <w:rPr>
          <w:color w:val="000000" w:themeColor="text1"/>
        </w:rPr>
        <w:t>.</w:t>
      </w:r>
      <w:r w:rsidRPr="005D1C2A">
        <w:rPr>
          <w:color w:val="000000" w:themeColor="text1"/>
        </w:rPr>
        <w:t>, which should be at the range of 0.5 bar</w:t>
      </w:r>
      <w:r w:rsidRPr="005D1C2A">
        <w:rPr>
          <w:color w:val="000000" w:themeColor="text1"/>
          <w:vertAlign w:val="subscript"/>
        </w:rPr>
        <w:t>g</w:t>
      </w:r>
      <w:r w:rsidRPr="005D1C2A">
        <w:rPr>
          <w:color w:val="000000" w:themeColor="text1"/>
        </w:rPr>
        <w:t xml:space="preserve"> for</w:t>
      </w:r>
      <w:r w:rsidR="00C07E43" w:rsidRPr="005D1C2A">
        <w:rPr>
          <w:color w:val="000000" w:themeColor="text1"/>
        </w:rPr>
        <w:t xml:space="preserve"> </w:t>
      </w:r>
      <w:r w:rsidR="00D70DA1" w:rsidRPr="005D1C2A">
        <w:rPr>
          <w:color w:val="000000" w:themeColor="text1"/>
        </w:rPr>
        <w:t xml:space="preserve">most isolation flap valves </w:t>
      </w:r>
      <w:r w:rsidRPr="005D1C2A">
        <w:rPr>
          <w:color w:val="000000" w:themeColor="text1"/>
        </w:rPr>
        <w:t>(depending on collector diameter)</w:t>
      </w:r>
      <w:r w:rsidR="00C07E43" w:rsidRPr="005D1C2A">
        <w:rPr>
          <w:color w:val="000000" w:themeColor="text1"/>
        </w:rPr>
        <w:t xml:space="preserve">, </w:t>
      </w:r>
      <w:r w:rsidRPr="005D1C2A">
        <w:rPr>
          <w:color w:val="000000" w:themeColor="text1"/>
        </w:rPr>
        <w:t xml:space="preserve">or </w:t>
      </w:r>
      <w:r w:rsidR="004457E1" w:rsidRPr="005D1C2A">
        <w:rPr>
          <w:color w:val="000000" w:themeColor="text1"/>
        </w:rPr>
        <w:t>0.2</w:t>
      </w:r>
      <w:r w:rsidRPr="005D1C2A">
        <w:rPr>
          <w:color w:val="000000" w:themeColor="text1"/>
        </w:rPr>
        <w:t>-2 bar</w:t>
      </w:r>
      <w:r w:rsidRPr="005D1C2A">
        <w:rPr>
          <w:color w:val="000000" w:themeColor="text1"/>
          <w:vertAlign w:val="subscript"/>
        </w:rPr>
        <w:t>g</w:t>
      </w:r>
      <w:r w:rsidRPr="005D1C2A">
        <w:rPr>
          <w:color w:val="000000" w:themeColor="text1"/>
        </w:rPr>
        <w:t xml:space="preserve"> for HRD cylinders</w:t>
      </w:r>
      <w:r w:rsidR="00CF73AA" w:rsidRPr="005D1C2A">
        <w:rPr>
          <w:color w:val="000000" w:themeColor="text1"/>
        </w:rPr>
        <w:t>.</w:t>
      </w:r>
      <w:r w:rsidR="002E3533" w:rsidRPr="005D1C2A">
        <w:rPr>
          <w:color w:val="000000" w:themeColor="text1"/>
        </w:rPr>
        <w:t xml:space="preserve"> Moreover</w:t>
      </w:r>
      <w:r w:rsidR="002E3533" w:rsidRPr="00DB2094">
        <w:rPr>
          <w:color w:val="000000" w:themeColor="text1"/>
        </w:rPr>
        <w:t xml:space="preserve"> both isolation systems, such as HRD cylinders or </w:t>
      </w:r>
      <w:r w:rsidR="00F43621" w:rsidRPr="00DB2094">
        <w:rPr>
          <w:color w:val="000000" w:themeColor="text1"/>
        </w:rPr>
        <w:t>isolation flap</w:t>
      </w:r>
      <w:r w:rsidR="002E3533" w:rsidRPr="00DB2094">
        <w:rPr>
          <w:color w:val="000000" w:themeColor="text1"/>
        </w:rPr>
        <w:t xml:space="preserve"> valves, require some others specific technical conditions, including a minimum straight </w:t>
      </w:r>
      <w:r w:rsidR="00D814AE" w:rsidRPr="00DB2094">
        <w:rPr>
          <w:color w:val="000000" w:themeColor="text1"/>
        </w:rPr>
        <w:t>duct</w:t>
      </w:r>
      <w:r w:rsidR="002E3533" w:rsidRPr="00DB2094">
        <w:rPr>
          <w:color w:val="000000" w:themeColor="text1"/>
        </w:rPr>
        <w:t xml:space="preserve"> length between filter entrance and location of isolation on </w:t>
      </w:r>
      <w:r w:rsidR="00D814AE" w:rsidRPr="00DB2094">
        <w:rPr>
          <w:color w:val="000000" w:themeColor="text1"/>
        </w:rPr>
        <w:t>the duct</w:t>
      </w:r>
      <w:r w:rsidR="002E3533" w:rsidRPr="00DB2094">
        <w:rPr>
          <w:color w:val="000000" w:themeColor="text1"/>
        </w:rPr>
        <w:t xml:space="preserve">. Typically, at least 2 m of straight </w:t>
      </w:r>
      <w:r w:rsidR="004E58EA" w:rsidRPr="00DB2094">
        <w:rPr>
          <w:color w:val="000000" w:themeColor="text1"/>
        </w:rPr>
        <w:t>duct</w:t>
      </w:r>
      <w:r w:rsidR="002E3533" w:rsidRPr="00DB2094">
        <w:rPr>
          <w:color w:val="000000" w:themeColor="text1"/>
        </w:rPr>
        <w:t xml:space="preserve"> is needed. </w:t>
      </w:r>
      <w:r w:rsidR="00CF73AA" w:rsidRPr="00DB2094">
        <w:rPr>
          <w:color w:val="000000" w:themeColor="text1"/>
        </w:rPr>
        <w:t xml:space="preserve">The lack of adequate straight </w:t>
      </w:r>
      <w:r w:rsidR="00D379FD" w:rsidRPr="00DB2094">
        <w:rPr>
          <w:color w:val="000000" w:themeColor="text1"/>
        </w:rPr>
        <w:t>duct</w:t>
      </w:r>
      <w:r w:rsidR="00CF73AA" w:rsidRPr="00DB2094">
        <w:rPr>
          <w:color w:val="000000" w:themeColor="text1"/>
        </w:rPr>
        <w:t xml:space="preserve"> length for installing an explosion isolation system is a relatively common challenge in industrial applications.</w:t>
      </w:r>
      <w:r w:rsidR="002E3533" w:rsidRPr="00DB2094">
        <w:rPr>
          <w:color w:val="000000" w:themeColor="text1"/>
        </w:rPr>
        <w:t xml:space="preserve"> </w:t>
      </w:r>
    </w:p>
    <w:p w14:paraId="7CE9589E" w14:textId="77777777" w:rsidR="002E3533" w:rsidRPr="00481747" w:rsidRDefault="002E3533" w:rsidP="002E3533">
      <w:pPr>
        <w:pStyle w:val="CETheadingx"/>
      </w:pPr>
      <w:r w:rsidRPr="00481747">
        <w:t>Equipment intakes/discharges</w:t>
      </w:r>
    </w:p>
    <w:p w14:paraId="3B1F60F8" w14:textId="2083CF24" w:rsidR="0084491A" w:rsidRPr="00481747" w:rsidRDefault="002E3533" w:rsidP="000A3573">
      <w:pPr>
        <w:pStyle w:val="CETBodytext"/>
      </w:pPr>
      <w:r w:rsidRPr="00481747">
        <w:t xml:space="preserve">In addition, an issue that needs to be evaluated for the application of an explosion containment system are the intakes from silo S, bucket </w:t>
      </w:r>
      <w:r w:rsidR="00A421D8" w:rsidRPr="00481747">
        <w:t>elevator</w:t>
      </w:r>
      <w:r w:rsidRPr="00481747">
        <w:t xml:space="preserve"> </w:t>
      </w:r>
      <w:r w:rsidR="00A421D8" w:rsidRPr="00481747">
        <w:t>BE</w:t>
      </w:r>
      <w:r w:rsidRPr="00481747">
        <w:t xml:space="preserve">, </w:t>
      </w:r>
      <w:r w:rsidR="00B2131B" w:rsidRPr="00481747">
        <w:t xml:space="preserve">screw </w:t>
      </w:r>
      <w:r w:rsidR="00883A98" w:rsidRPr="00481747">
        <w:t>conveyors SC</w:t>
      </w:r>
      <w:r w:rsidRPr="00481747">
        <w:t xml:space="preserve"> and filter F, Fig. 1. For silo S, </w:t>
      </w:r>
      <w:r w:rsidR="00883A98" w:rsidRPr="00481747">
        <w:t>screw conveyor SC</w:t>
      </w:r>
      <w:r w:rsidRPr="00481747">
        <w:t xml:space="preserve"> </w:t>
      </w:r>
      <w:r w:rsidRPr="00481747">
        <w:lastRenderedPageBreak/>
        <w:t xml:space="preserve">and bucket </w:t>
      </w:r>
      <w:r w:rsidR="00A421D8" w:rsidRPr="00481747">
        <w:t>elevator BE</w:t>
      </w:r>
      <w:r w:rsidRPr="00481747">
        <w:t xml:space="preserve">, the recommended application of an explosion containment system on the intakes is discussed above. </w:t>
      </w:r>
    </w:p>
    <w:p w14:paraId="124E6F3A" w14:textId="27B0DAC9" w:rsidR="00FC7B75" w:rsidRPr="00481747" w:rsidRDefault="00324402" w:rsidP="00FC7B75">
      <w:pPr>
        <w:pStyle w:val="CETBodytext"/>
        <w:jc w:val="center"/>
      </w:pPr>
      <w:r w:rsidRPr="00481747">
        <w:rPr>
          <w:noProof/>
        </w:rPr>
        <w:drawing>
          <wp:inline distT="0" distB="0" distL="0" distR="0" wp14:anchorId="46C60671" wp14:editId="14CDA3E3">
            <wp:extent cx="3180550" cy="2311231"/>
            <wp:effectExtent l="0" t="0" r="1270" b="0"/>
            <wp:docPr id="18738753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75342" name="Obraz 1873875342"/>
                    <pic:cNvPicPr/>
                  </pic:nvPicPr>
                  <pic:blipFill rotWithShape="1">
                    <a:blip r:embed="rId11"/>
                    <a:srcRect b="8218"/>
                    <a:stretch/>
                  </pic:blipFill>
                  <pic:spPr bwMode="auto">
                    <a:xfrm>
                      <a:off x="0" y="0"/>
                      <a:ext cx="3206239" cy="2329899"/>
                    </a:xfrm>
                    <a:prstGeom prst="rect">
                      <a:avLst/>
                    </a:prstGeom>
                    <a:ln>
                      <a:noFill/>
                    </a:ln>
                    <a:extLst>
                      <a:ext uri="{53640926-AAD7-44D8-BBD7-CCE9431645EC}">
                        <a14:shadowObscured xmlns:a14="http://schemas.microsoft.com/office/drawing/2010/main"/>
                      </a:ext>
                    </a:extLst>
                  </pic:spPr>
                </pic:pic>
              </a:graphicData>
            </a:graphic>
          </wp:inline>
        </w:drawing>
      </w:r>
    </w:p>
    <w:p w14:paraId="09E4C919" w14:textId="7BAE68FF" w:rsidR="00FC7B75" w:rsidRPr="00481747" w:rsidRDefault="00FC7B75" w:rsidP="00FC7B75">
      <w:pPr>
        <w:pStyle w:val="CETBodytext"/>
        <w:rPr>
          <w:i/>
          <w:lang w:val="en-GB"/>
        </w:rPr>
      </w:pPr>
      <w:r w:rsidRPr="00481747">
        <w:rPr>
          <w:rStyle w:val="CETCaptionCarattere"/>
        </w:rPr>
        <w:t>Figure 2: Installation of possible explosion isolation systems on storage and transportation flowsheet</w:t>
      </w:r>
      <w:r w:rsidR="000A3573" w:rsidRPr="00481747">
        <w:rPr>
          <w:rStyle w:val="CETCaptionCarattere"/>
        </w:rPr>
        <w:t>.</w:t>
      </w:r>
      <w:r w:rsidRPr="00481747">
        <w:rPr>
          <w:rStyle w:val="CETCaptionCarattere"/>
        </w:rPr>
        <w:t xml:space="preserve"> </w:t>
      </w:r>
    </w:p>
    <w:p w14:paraId="3AAF94B9" w14:textId="77777777" w:rsidR="002E3533" w:rsidRPr="00481747" w:rsidRDefault="002E3533" w:rsidP="00B0672E">
      <w:pPr>
        <w:pStyle w:val="CETBodytext"/>
      </w:pPr>
    </w:p>
    <w:p w14:paraId="542EAA64" w14:textId="7EB9D646" w:rsidR="008314FE" w:rsidRPr="00C02674" w:rsidRDefault="00172CF7" w:rsidP="00B0672E">
      <w:pPr>
        <w:pStyle w:val="CETBodytext"/>
      </w:pPr>
      <w:r w:rsidRPr="00481747">
        <w:t xml:space="preserve">However, in the intake of filter F, it is recommended, in the first place, to use a </w:t>
      </w:r>
      <w:r w:rsidR="00C0396C" w:rsidRPr="00481747">
        <w:t xml:space="preserve">rotary </w:t>
      </w:r>
      <w:r w:rsidRPr="00481747">
        <w:t>valve suitable for operation in the danger zone and with the function of a certified explosion isolation system.</w:t>
      </w:r>
      <w:r w:rsidR="00AC02F2" w:rsidRPr="00481747">
        <w:t xml:space="preserve"> </w:t>
      </w:r>
      <w:r w:rsidR="00AA202D" w:rsidRPr="00481747">
        <w:t xml:space="preserve">On the feed-in of raw material to silo S, the technical possibilities of feeding raw material are different (e.g., </w:t>
      </w:r>
      <w:r w:rsidR="00C0396C" w:rsidRPr="00481747">
        <w:t xml:space="preserve">from </w:t>
      </w:r>
      <w:r w:rsidR="00AA202D" w:rsidRPr="00481747">
        <w:t>a tanker truck</w:t>
      </w:r>
      <w:r w:rsidR="00C0396C" w:rsidRPr="00481747">
        <w:t xml:space="preserve"> or</w:t>
      </w:r>
      <w:r w:rsidR="00AA202D" w:rsidRPr="00481747">
        <w:t xml:space="preserve"> big bag).</w:t>
      </w:r>
      <w:r w:rsidR="00AC02F2" w:rsidRPr="00481747">
        <w:t xml:space="preserve"> This element of the plant is not included in the scope of the hazard assessment</w:t>
      </w:r>
      <w:r w:rsidR="00AC02F2" w:rsidRPr="00C02674">
        <w:t>.</w:t>
      </w:r>
      <w:r w:rsidR="008314FE" w:rsidRPr="00C02674">
        <w:t xml:space="preserve"> The installation evaluation stated in the chapters 4.1 to 4.3 results both from the application (risk ranking) and author’s judgment.  </w:t>
      </w:r>
    </w:p>
    <w:p w14:paraId="69AB7539" w14:textId="3DC3AEFC" w:rsidR="00AC02F2" w:rsidRPr="00481747" w:rsidRDefault="00AC02F2" w:rsidP="00AC02F2">
      <w:pPr>
        <w:pStyle w:val="CETheadingx"/>
      </w:pPr>
      <w:r w:rsidRPr="00481747">
        <w:t>Using the results of the AW-OZ hazard assessment to design a customized explosion protection system</w:t>
      </w:r>
      <w:r w:rsidR="005E0566" w:rsidRPr="00481747">
        <w:t>s</w:t>
      </w:r>
    </w:p>
    <w:p w14:paraId="6C748551" w14:textId="4D2B69FD" w:rsidR="002C6189" w:rsidRPr="00ED55BA" w:rsidRDefault="00AC02F2" w:rsidP="00B0672E">
      <w:pPr>
        <w:pStyle w:val="CETBodytext"/>
      </w:pPr>
      <w:r w:rsidRPr="00481747">
        <w:t xml:space="preserve">The presented results of the </w:t>
      </w:r>
      <w:r w:rsidR="00C66ABF" w:rsidRPr="00481747">
        <w:t>equipment</w:t>
      </w:r>
      <w:r w:rsidRPr="00481747">
        <w:t xml:space="preserve"> hazard assessment are recommendations. </w:t>
      </w:r>
      <w:r w:rsidR="00172CF7" w:rsidRPr="00481747">
        <w:t xml:space="preserve">They do not constitute information that can be applied directly to the design of </w:t>
      </w:r>
      <w:r w:rsidR="003604AD" w:rsidRPr="00481747">
        <w:t>new</w:t>
      </w:r>
      <w:r w:rsidR="00172CF7" w:rsidRPr="00481747">
        <w:t xml:space="preserve"> equipment or the modernization of an operating equipment that ensures </w:t>
      </w:r>
      <w:r w:rsidR="00BF7B4C" w:rsidRPr="00481747">
        <w:t xml:space="preserve">proper </w:t>
      </w:r>
      <w:r w:rsidR="00172CF7" w:rsidRPr="00481747">
        <w:t>explosion safety.</w:t>
      </w:r>
      <w:r w:rsidRPr="00481747">
        <w:t xml:space="preserve"> </w:t>
      </w:r>
      <w:r w:rsidR="00AA202D" w:rsidRPr="00481747">
        <w:t xml:space="preserve">These recommendations should be the subject of consultation with a specialized company engaged in the design, installation, and commissioning of dedicated </w:t>
      </w:r>
      <w:r w:rsidR="00F83ECE" w:rsidRPr="00481747">
        <w:t xml:space="preserve">explosion </w:t>
      </w:r>
      <w:r w:rsidR="00AA202D" w:rsidRPr="00481747">
        <w:t xml:space="preserve">protection systems in accordance with </w:t>
      </w:r>
      <w:r w:rsidR="00AA202D" w:rsidRPr="00ED55BA">
        <w:t>accepted industry standards.</w:t>
      </w:r>
      <w:r w:rsidRPr="00ED55BA">
        <w:t xml:space="preserve"> </w:t>
      </w:r>
    </w:p>
    <w:p w14:paraId="1C260558" w14:textId="4EFF9772" w:rsidR="00220995" w:rsidRPr="00481747" w:rsidRDefault="00C66ABF" w:rsidP="00220995">
      <w:pPr>
        <w:pStyle w:val="CETBodytext"/>
      </w:pPr>
      <w:r w:rsidRPr="00ED55BA">
        <w:t xml:space="preserve">Proposing process and explosion protection systems in accordance with the provisions of the ATEX 137 and </w:t>
      </w:r>
      <w:r w:rsidR="00BF7B4C" w:rsidRPr="00ED55BA">
        <w:t xml:space="preserve">especially of </w:t>
      </w:r>
      <w:r w:rsidRPr="00ED55BA">
        <w:t xml:space="preserve">ATEX 114 </w:t>
      </w:r>
      <w:r w:rsidRPr="00C976C1">
        <w:t xml:space="preserve">directives </w:t>
      </w:r>
      <w:r w:rsidR="00403891" w:rsidRPr="00C976C1">
        <w:t>(Directive 1999/92/EC, Directive 2014/34/EU)</w:t>
      </w:r>
      <w:r w:rsidRPr="00C976C1">
        <w:t xml:space="preserve"> requires</w:t>
      </w:r>
      <w:r w:rsidRPr="00ED55BA">
        <w:t xml:space="preserve"> having dimensioned </w:t>
      </w:r>
      <w:r w:rsidR="00F83ECE" w:rsidRPr="00ED55BA">
        <w:t xml:space="preserve">drawing of the </w:t>
      </w:r>
      <w:r w:rsidR="00ED10B3" w:rsidRPr="00ED55BA">
        <w:t>equipment</w:t>
      </w:r>
      <w:r w:rsidR="00F83ECE" w:rsidRPr="00ED55BA">
        <w:t xml:space="preserve"> plan </w:t>
      </w:r>
      <w:r w:rsidRPr="00ED55BA">
        <w:t>(</w:t>
      </w:r>
      <w:r w:rsidR="00ED10B3" w:rsidRPr="00ED55BA">
        <w:t>including ducts</w:t>
      </w:r>
      <w:r w:rsidRPr="00ED55BA">
        <w:t>) and cross section</w:t>
      </w:r>
      <w:r w:rsidR="00F83ECE" w:rsidRPr="00ED55BA">
        <w:t xml:space="preserve"> equipment drawings</w:t>
      </w:r>
      <w:r w:rsidRPr="00ED55BA">
        <w:t>.</w:t>
      </w:r>
      <w:r w:rsidR="00AC02F2" w:rsidRPr="00ED55BA">
        <w:t xml:space="preserve"> An important prerequisite</w:t>
      </w:r>
      <w:r w:rsidR="00F83ECE" w:rsidRPr="00ED55BA">
        <w:t>s</w:t>
      </w:r>
      <w:r w:rsidR="00AC02F2" w:rsidRPr="00ED55BA">
        <w:t xml:space="preserve"> for the design of a correct </w:t>
      </w:r>
      <w:r w:rsidR="00F83ECE" w:rsidRPr="00ED55BA">
        <w:t xml:space="preserve">explosion protection </w:t>
      </w:r>
      <w:r w:rsidR="00AC02F2" w:rsidRPr="00ED55BA">
        <w:t xml:space="preserve">system </w:t>
      </w:r>
      <w:r w:rsidR="00F83ECE" w:rsidRPr="00ED55BA">
        <w:t>are</w:t>
      </w:r>
      <w:r w:rsidR="00AC02F2" w:rsidRPr="00ED55BA">
        <w:t>, moreover, the values</w:t>
      </w:r>
      <w:r w:rsidR="00AC02F2" w:rsidRPr="00481747">
        <w:t xml:space="preserve"> of the parameters of dust explosibility (K</w:t>
      </w:r>
      <w:r w:rsidR="00AC02F2" w:rsidRPr="00481747">
        <w:rPr>
          <w:vertAlign w:val="subscript"/>
        </w:rPr>
        <w:t>st</w:t>
      </w:r>
      <w:r w:rsidR="00AC02F2" w:rsidRPr="00481747">
        <w:t xml:space="preserve"> and P</w:t>
      </w:r>
      <w:r w:rsidR="00AC02F2" w:rsidRPr="00481747">
        <w:rPr>
          <w:vertAlign w:val="subscript"/>
        </w:rPr>
        <w:t>max</w:t>
      </w:r>
      <w:r w:rsidR="00AC02F2" w:rsidRPr="00481747">
        <w:t xml:space="preserve">) and the structural strength of the </w:t>
      </w:r>
      <w:r w:rsidRPr="00481747">
        <w:t>equipment</w:t>
      </w:r>
      <w:r w:rsidR="00AC02F2" w:rsidRPr="00481747">
        <w:t xml:space="preserve"> to the impact of reduced explosion pressure P</w:t>
      </w:r>
      <w:r w:rsidR="00AC02F2" w:rsidRPr="00481747">
        <w:rPr>
          <w:vertAlign w:val="subscript"/>
        </w:rPr>
        <w:t>red,max</w:t>
      </w:r>
      <w:r w:rsidR="003604AD" w:rsidRPr="00481747">
        <w:t>.</w:t>
      </w:r>
    </w:p>
    <w:p w14:paraId="4C5BB206" w14:textId="73B3A6AC" w:rsidR="0083190D" w:rsidRPr="00211F22" w:rsidRDefault="0083190D" w:rsidP="00220995">
      <w:pPr>
        <w:rPr>
          <w:color w:val="000000" w:themeColor="text1"/>
        </w:rPr>
      </w:pPr>
      <w:r w:rsidRPr="00DB2094">
        <w:rPr>
          <w:color w:val="000000" w:themeColor="text1"/>
        </w:rPr>
        <w:t xml:space="preserve">In the case of a newly designed installation, such documentation and data should typically be </w:t>
      </w:r>
      <w:r w:rsidRPr="00211F22">
        <w:rPr>
          <w:color w:val="000000" w:themeColor="text1"/>
        </w:rPr>
        <w:t>available as standard during the detailed technical design stage. However, for an already operational plant, this information is often partially or entirely unavailable</w:t>
      </w:r>
      <w:r w:rsidR="00DB2094" w:rsidRPr="00211F22">
        <w:rPr>
          <w:color w:val="000000" w:themeColor="text1"/>
        </w:rPr>
        <w:t xml:space="preserve">. </w:t>
      </w:r>
      <w:r w:rsidRPr="00211F22">
        <w:rPr>
          <w:color w:val="000000" w:themeColor="text1"/>
        </w:rPr>
        <w:t xml:space="preserve">Even when sufficient technical information is available, additional </w:t>
      </w:r>
      <w:r w:rsidR="00DB2094" w:rsidRPr="00211F22">
        <w:rPr>
          <w:color w:val="000000" w:themeColor="text1"/>
        </w:rPr>
        <w:t xml:space="preserve">problems </w:t>
      </w:r>
      <w:r w:rsidRPr="00211F22">
        <w:rPr>
          <w:color w:val="000000" w:themeColor="text1"/>
        </w:rPr>
        <w:t>often arise</w:t>
      </w:r>
      <w:r w:rsidR="00BE109C" w:rsidRPr="00211F22">
        <w:rPr>
          <w:color w:val="000000" w:themeColor="text1"/>
        </w:rPr>
        <w:t>. F</w:t>
      </w:r>
      <w:r w:rsidRPr="00211F22">
        <w:rPr>
          <w:color w:val="000000" w:themeColor="text1"/>
        </w:rPr>
        <w:t>or example, whether it is feasible to install an appropriate isolation system that meets the technical requirements based on applicable standards. And what if it is not? The answer is neither simple nor straightforward</w:t>
      </w:r>
      <w:r w:rsidR="00220995" w:rsidRPr="00211F22">
        <w:rPr>
          <w:color w:val="000000" w:themeColor="text1"/>
        </w:rPr>
        <w:t xml:space="preserve">. </w:t>
      </w:r>
      <w:r w:rsidRPr="00211F22">
        <w:rPr>
          <w:color w:val="000000" w:themeColor="text1"/>
        </w:rPr>
        <w:t>However, utilizing quantitative hazard evaluation through the AW-OZ approach at an early enough stage of design can help mitigate these challenges, at least to some extent.</w:t>
      </w:r>
    </w:p>
    <w:p w14:paraId="41250BE6" w14:textId="28EA80E3" w:rsidR="00A838BB" w:rsidRPr="00A838BB" w:rsidRDefault="00AC02F2" w:rsidP="00191FDA">
      <w:pPr>
        <w:pStyle w:val="CETHeading1"/>
      </w:pPr>
      <w:r w:rsidRPr="00211F22">
        <w:t>Conclusions</w:t>
      </w:r>
      <w:r w:rsidR="00191FDA" w:rsidRPr="00211F22">
        <w:t xml:space="preserve"> and further </w:t>
      </w:r>
      <w:r w:rsidR="002E3EAF" w:rsidRPr="00211F22">
        <w:t xml:space="preserve">plans </w:t>
      </w:r>
    </w:p>
    <w:p w14:paraId="49CFA05F" w14:textId="7C1B1FE5" w:rsidR="00A838BB" w:rsidRPr="00C02674" w:rsidRDefault="00A838BB" w:rsidP="00A838BB">
      <w:pPr>
        <w:pStyle w:val="CETBodytext"/>
        <w:rPr>
          <w:lang w:val="en-GB"/>
        </w:rPr>
      </w:pPr>
      <w:r w:rsidRPr="00211F22">
        <w:rPr>
          <w:lang w:val="en-GB"/>
        </w:rPr>
        <w:t xml:space="preserve">The AW-OZ approach enables a quantitative assessment of hazards and risks associated with equipment operating in environments containing combustible and explosive dust. The methodology complies with the </w:t>
      </w:r>
      <w:r w:rsidR="000E54B2">
        <w:rPr>
          <w:lang w:val="en-GB"/>
        </w:rPr>
        <w:t xml:space="preserve">ATEX </w:t>
      </w:r>
      <w:r w:rsidRPr="000E54B2">
        <w:rPr>
          <w:lang w:val="en-GB"/>
        </w:rPr>
        <w:t>U</w:t>
      </w:r>
      <w:r w:rsidR="000E54B2" w:rsidRPr="000E54B2">
        <w:rPr>
          <w:lang w:val="en-GB"/>
        </w:rPr>
        <w:t>ser</w:t>
      </w:r>
      <w:r w:rsidR="002C6189" w:rsidRPr="000E54B2">
        <w:rPr>
          <w:lang w:val="en-GB"/>
        </w:rPr>
        <w:t xml:space="preserve"> </w:t>
      </w:r>
      <w:r w:rsidRPr="000E54B2">
        <w:rPr>
          <w:lang w:val="en-GB"/>
        </w:rPr>
        <w:t xml:space="preserve">Directive </w:t>
      </w:r>
      <w:r w:rsidR="000E54B2" w:rsidRPr="000E54B2">
        <w:rPr>
          <w:lang w:val="en-GB"/>
        </w:rPr>
        <w:t>(</w:t>
      </w:r>
      <w:r w:rsidR="000E54B2" w:rsidRPr="000E54B2">
        <w:t>1999/92/EC</w:t>
      </w:r>
      <w:r w:rsidR="000E54B2" w:rsidRPr="000E54B2">
        <w:rPr>
          <w:lang w:val="en-GB"/>
        </w:rPr>
        <w:t xml:space="preserve">) </w:t>
      </w:r>
      <w:r w:rsidRPr="000E54B2">
        <w:rPr>
          <w:lang w:val="en-GB"/>
        </w:rPr>
        <w:t>for explosion</w:t>
      </w:r>
      <w:r w:rsidRPr="00211F22">
        <w:rPr>
          <w:lang w:val="en-GB"/>
        </w:rPr>
        <w:t xml:space="preserve"> risk assessments.</w:t>
      </w:r>
      <w:r w:rsidR="0038141F">
        <w:rPr>
          <w:lang w:val="en-GB"/>
        </w:rPr>
        <w:t xml:space="preserve"> </w:t>
      </w:r>
      <w:r w:rsidRPr="00211F22">
        <w:rPr>
          <w:lang w:val="en-GB"/>
        </w:rPr>
        <w:t xml:space="preserve">The assessment method is user-friendly, requiring </w:t>
      </w:r>
      <w:r w:rsidRPr="00C02674">
        <w:rPr>
          <w:lang w:val="en-GB"/>
        </w:rPr>
        <w:t>only major process data that are easy to obtain. It supports independent evaluations for both operational and newly designed process equipment. The results provide quantitative hazard levels and descriptive recommendations for improving process and explosion safety, forming a basis for consulting specialists on process and explosion protection measures.</w:t>
      </w:r>
    </w:p>
    <w:p w14:paraId="3B6434A1" w14:textId="0C49017E" w:rsidR="002C6189" w:rsidRPr="00211F22" w:rsidRDefault="00A838BB" w:rsidP="002C6189">
      <w:pPr>
        <w:pStyle w:val="CETReferencetext"/>
        <w:ind w:left="0" w:firstLine="0"/>
      </w:pPr>
      <w:r w:rsidRPr="00C976C1">
        <w:t xml:space="preserve">The </w:t>
      </w:r>
      <w:r w:rsidR="00C976C1" w:rsidRPr="00C976C1">
        <w:t xml:space="preserve">OZ-AW </w:t>
      </w:r>
      <w:r w:rsidRPr="00C976C1">
        <w:t>calculation tool</w:t>
      </w:r>
      <w:r w:rsidR="00403891" w:rsidRPr="00C976C1">
        <w:t xml:space="preserve"> </w:t>
      </w:r>
      <w:r w:rsidRPr="00C976C1">
        <w:t>facilitates</w:t>
      </w:r>
      <w:r w:rsidRPr="00C02674">
        <w:t xml:space="preserve"> real-time hazard assessments using actual process data, whether during</w:t>
      </w:r>
      <w:r w:rsidR="002C6189">
        <w:t xml:space="preserve"> </w:t>
      </w:r>
      <w:r w:rsidRPr="00C02674">
        <w:t xml:space="preserve">on-site audits or technical meetings for planned or existing process plants (Internet access required). This approach allows to prioritize risks and allocates resources, including financial ones, to the highest-risk areas. </w:t>
      </w:r>
      <w:r w:rsidRPr="00C02674">
        <w:lastRenderedPageBreak/>
        <w:t>The AW-OZ calculation tool is compatible with PC/MAC/Linux and Android</w:t>
      </w:r>
      <w:r w:rsidRPr="00211F22">
        <w:t xml:space="preserve">/iOS </w:t>
      </w:r>
      <w:r w:rsidRPr="002C6189">
        <w:t>devices</w:t>
      </w:r>
      <w:r w:rsidR="002C6189" w:rsidRPr="002C6189">
        <w:t xml:space="preserve"> (Grupa Wolff, OZ-AW, 2024)</w:t>
      </w:r>
      <w:r w:rsidRPr="002C6189">
        <w:t>.</w:t>
      </w:r>
    </w:p>
    <w:p w14:paraId="17961E25" w14:textId="77777777" w:rsidR="00A838BB" w:rsidRPr="00C02674" w:rsidRDefault="00A838BB" w:rsidP="00A838BB">
      <w:pPr>
        <w:pStyle w:val="CETBodytext"/>
        <w:rPr>
          <w:lang w:val="en-GB"/>
        </w:rPr>
      </w:pPr>
      <w:r w:rsidRPr="00211F22">
        <w:rPr>
          <w:lang w:val="en-GB"/>
        </w:rPr>
        <w:t xml:space="preserve">Future plans include expanding the AW-OZ methodology to assess hazards for unit operations such as grinding and mixing. This effort is complex due to the variety of technical solutions for these processes. However, detailed calculation sheets under development will extend AW-OZ’s </w:t>
      </w:r>
      <w:r w:rsidRPr="00C02674">
        <w:rPr>
          <w:lang w:val="en-GB"/>
        </w:rPr>
        <w:t>applicability to majority process equipment.</w:t>
      </w:r>
    </w:p>
    <w:p w14:paraId="7F0B3C05" w14:textId="553D2FCD" w:rsidR="00A838BB" w:rsidRPr="00C02674" w:rsidRDefault="00A838BB" w:rsidP="00191FDA">
      <w:pPr>
        <w:pStyle w:val="CETBodytext"/>
        <w:rPr>
          <w:lang w:val="en-GB"/>
        </w:rPr>
      </w:pPr>
      <w:r w:rsidRPr="00C02674">
        <w:rPr>
          <w:lang w:val="en-GB"/>
        </w:rPr>
        <w:t>Additionally, a new methodology is being developed for analy</w:t>
      </w:r>
      <w:r w:rsidR="00C02674" w:rsidRPr="00C02674">
        <w:rPr>
          <w:lang w:val="en-GB"/>
        </w:rPr>
        <w:t>s</w:t>
      </w:r>
      <w:r w:rsidRPr="00C02674">
        <w:rPr>
          <w:lang w:val="en-GB"/>
        </w:rPr>
        <w:t>ing hazards at the conceptual stage of technological installations. This will help determine preliminary conveying equipment lengths and ensure compliance with explosion isolation requirements. By collaborating with technologists, the methodology aims to provide clear guidelines for designing, at early stages, safer process installations for bulk processing.</w:t>
      </w:r>
    </w:p>
    <w:p w14:paraId="37190B98" w14:textId="0FBDCCAD" w:rsidR="00826C01" w:rsidRPr="00211F22" w:rsidRDefault="00826C01" w:rsidP="00826C01">
      <w:pPr>
        <w:pStyle w:val="CETHeading1"/>
      </w:pPr>
      <w:r w:rsidRPr="00211F22">
        <w:t>Appendix</w:t>
      </w:r>
    </w:p>
    <w:p w14:paraId="3E50E980" w14:textId="04734216" w:rsidR="00826C01" w:rsidRPr="00481747" w:rsidRDefault="00826C01" w:rsidP="0078042B">
      <w:pPr>
        <w:pStyle w:val="CETCaption"/>
      </w:pPr>
      <w:r w:rsidRPr="00481747">
        <w:t xml:space="preserve">Table 2A: </w:t>
      </w:r>
      <w:r w:rsidR="0044487D" w:rsidRPr="00481747">
        <w:t xml:space="preserve">Summary of data and results of the hazard assessment for higher-risk </w:t>
      </w:r>
      <w:r w:rsidR="00C66ABF" w:rsidRPr="00481747">
        <w:t>equipment</w:t>
      </w:r>
      <w:r w:rsidR="0044487D" w:rsidRPr="00481747">
        <w:t>.</w:t>
      </w:r>
      <w:r w:rsidRPr="00481747">
        <w:t xml:space="preserve"> </w:t>
      </w:r>
      <w:r w:rsidR="0044487D" w:rsidRPr="00481747">
        <w:t>MEZ = 5 mJ, DGW = 30 g/m3, grav. is 'gravity feed</w:t>
      </w:r>
      <w:r w:rsidR="00F12C12" w:rsidRPr="00481747">
        <w:t>er</w:t>
      </w:r>
      <w:r w:rsidR="0044487D" w:rsidRPr="00481747">
        <w:t>'</w:t>
      </w:r>
      <w:r w:rsidR="00F12C12" w:rsidRPr="00481747">
        <w:t xml:space="preserve">, </w:t>
      </w:r>
      <w:r w:rsidR="00872DB0" w:rsidRPr="00481747">
        <w:t>turb is ‘turbulent flow’, lam is ’laminar flow’</w:t>
      </w:r>
      <w:r w:rsidR="009E5AF4" w:rsidRPr="00481747">
        <w:t>, cont. is ‘continuous’</w:t>
      </w:r>
      <w:r w:rsidR="00872DB0" w:rsidRPr="00481747">
        <w:t>.</w:t>
      </w:r>
    </w:p>
    <w:tbl>
      <w:tblPr>
        <w:tblW w:w="8610"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560"/>
        <w:gridCol w:w="457"/>
        <w:gridCol w:w="599"/>
        <w:gridCol w:w="600"/>
        <w:gridCol w:w="599"/>
        <w:gridCol w:w="599"/>
        <w:gridCol w:w="600"/>
        <w:gridCol w:w="599"/>
        <w:gridCol w:w="599"/>
        <w:gridCol w:w="600"/>
        <w:gridCol w:w="599"/>
        <w:gridCol w:w="599"/>
        <w:gridCol w:w="600"/>
      </w:tblGrid>
      <w:tr w:rsidR="00AA70E9" w:rsidRPr="00481747" w14:paraId="04031D26" w14:textId="5023A055" w:rsidTr="00723F6D">
        <w:tc>
          <w:tcPr>
            <w:tcW w:w="1560" w:type="dxa"/>
            <w:tcBorders>
              <w:top w:val="single" w:sz="12" w:space="0" w:color="008000"/>
              <w:bottom w:val="single" w:sz="6" w:space="0" w:color="008000"/>
            </w:tcBorders>
            <w:shd w:val="clear" w:color="auto" w:fill="FFFFFF"/>
          </w:tcPr>
          <w:p w14:paraId="43B0B632" w14:textId="77777777" w:rsidR="00831DB7" w:rsidRPr="00481747" w:rsidRDefault="00831DB7" w:rsidP="00831DB7">
            <w:pPr>
              <w:pStyle w:val="CETBodytext"/>
              <w:rPr>
                <w:lang w:val="en-GB"/>
              </w:rPr>
            </w:pPr>
            <w:r w:rsidRPr="00481747">
              <w:rPr>
                <w:lang w:val="en-GB"/>
              </w:rPr>
              <w:t>Process</w:t>
            </w:r>
          </w:p>
          <w:p w14:paraId="6D4A8403" w14:textId="77777777" w:rsidR="00831DB7" w:rsidRPr="00481747" w:rsidRDefault="00831DB7" w:rsidP="00831DB7">
            <w:pPr>
              <w:pStyle w:val="CETBodytext"/>
              <w:rPr>
                <w:lang w:val="en-GB"/>
              </w:rPr>
            </w:pPr>
            <w:r w:rsidRPr="00481747">
              <w:rPr>
                <w:lang w:val="en-GB"/>
              </w:rPr>
              <w:t>risk factors/</w:t>
            </w:r>
          </w:p>
          <w:p w14:paraId="372E0F10" w14:textId="5EB75DDA" w:rsidR="00831DB7" w:rsidRPr="00481747" w:rsidRDefault="00831DB7" w:rsidP="00831DB7">
            <w:pPr>
              <w:pStyle w:val="CETBodytext"/>
              <w:rPr>
                <w:lang w:val="en-GB"/>
              </w:rPr>
            </w:pPr>
            <w:r w:rsidRPr="00481747">
              <w:rPr>
                <w:lang w:val="en-GB"/>
              </w:rPr>
              <w:t>Equipment</w:t>
            </w:r>
          </w:p>
        </w:tc>
        <w:tc>
          <w:tcPr>
            <w:tcW w:w="457" w:type="dxa"/>
            <w:tcBorders>
              <w:top w:val="single" w:sz="12" w:space="0" w:color="008000"/>
              <w:bottom w:val="single" w:sz="6" w:space="0" w:color="008000"/>
            </w:tcBorders>
            <w:shd w:val="clear" w:color="auto" w:fill="FFFFFF"/>
            <w:vAlign w:val="center"/>
          </w:tcPr>
          <w:p w14:paraId="2084BDF0" w14:textId="72A7F5AD" w:rsidR="00831DB7" w:rsidRPr="00481747" w:rsidRDefault="00831DB7" w:rsidP="00831DB7">
            <w:pPr>
              <w:pStyle w:val="CETBodytext"/>
              <w:jc w:val="center"/>
              <w:rPr>
                <w:lang w:val="en-GB"/>
              </w:rPr>
            </w:pPr>
            <w:r w:rsidRPr="00481747">
              <w:rPr>
                <w:rFonts w:cs="Arial"/>
                <w:kern w:val="24"/>
                <w:sz w:val="16"/>
                <w:szCs w:val="16"/>
                <w:lang w:eastAsia="pl-PL"/>
              </w:rPr>
              <w:t>V (m</w:t>
            </w:r>
            <w:r w:rsidRPr="00481747">
              <w:rPr>
                <w:rFonts w:cs="Arial"/>
                <w:kern w:val="24"/>
                <w:position w:val="7"/>
                <w:sz w:val="16"/>
                <w:szCs w:val="16"/>
                <w:vertAlign w:val="superscript"/>
                <w:lang w:eastAsia="pl-PL"/>
              </w:rPr>
              <w:t>3</w:t>
            </w:r>
            <w:r w:rsidRPr="00481747">
              <w:rPr>
                <w:rFonts w:cs="Arial"/>
                <w:kern w:val="24"/>
                <w:sz w:val="16"/>
                <w:szCs w:val="16"/>
                <w:lang w:eastAsia="pl-PL"/>
              </w:rPr>
              <w:t>)</w:t>
            </w:r>
          </w:p>
        </w:tc>
        <w:tc>
          <w:tcPr>
            <w:tcW w:w="599" w:type="dxa"/>
            <w:tcBorders>
              <w:top w:val="single" w:sz="12" w:space="0" w:color="008000"/>
              <w:bottom w:val="single" w:sz="6" w:space="0" w:color="008000"/>
            </w:tcBorders>
            <w:shd w:val="clear" w:color="auto" w:fill="FFFFFF"/>
            <w:vAlign w:val="center"/>
          </w:tcPr>
          <w:p w14:paraId="385E5ED6" w14:textId="3088ED60" w:rsidR="00831DB7" w:rsidRPr="00481747" w:rsidRDefault="00831DB7" w:rsidP="00831DB7">
            <w:pPr>
              <w:pStyle w:val="CETBodytext"/>
              <w:jc w:val="center"/>
              <w:rPr>
                <w:lang w:val="en-GB"/>
              </w:rPr>
            </w:pPr>
            <w:r w:rsidRPr="00481747">
              <w:rPr>
                <w:rFonts w:cs="Arial"/>
                <w:kern w:val="24"/>
                <w:sz w:val="16"/>
                <w:szCs w:val="16"/>
                <w:lang w:eastAsia="pl-PL"/>
              </w:rPr>
              <w:t>S</w:t>
            </w:r>
          </w:p>
        </w:tc>
        <w:tc>
          <w:tcPr>
            <w:tcW w:w="600" w:type="dxa"/>
            <w:tcBorders>
              <w:top w:val="single" w:sz="12" w:space="0" w:color="008000"/>
              <w:bottom w:val="single" w:sz="6" w:space="0" w:color="008000"/>
            </w:tcBorders>
            <w:shd w:val="clear" w:color="auto" w:fill="FFFFFF"/>
            <w:vAlign w:val="center"/>
          </w:tcPr>
          <w:p w14:paraId="092072C1" w14:textId="77777777" w:rsidR="00831DB7" w:rsidRPr="00481747" w:rsidRDefault="00831DB7" w:rsidP="00831DB7">
            <w:pPr>
              <w:spacing w:line="240" w:lineRule="auto"/>
              <w:jc w:val="center"/>
              <w:rPr>
                <w:rFonts w:cs="Arial"/>
                <w:kern w:val="24"/>
                <w:sz w:val="16"/>
                <w:szCs w:val="16"/>
                <w:lang w:eastAsia="pl-PL"/>
              </w:rPr>
            </w:pPr>
            <w:r w:rsidRPr="00481747">
              <w:rPr>
                <w:rFonts w:cs="Arial"/>
                <w:kern w:val="24"/>
                <w:sz w:val="16"/>
                <w:szCs w:val="16"/>
                <w:lang w:eastAsia="pl-PL"/>
              </w:rPr>
              <w:t>WKO</w:t>
            </w:r>
          </w:p>
          <w:p w14:paraId="7D04B2A6" w14:textId="3CDF1B46" w:rsidR="00831DB7" w:rsidRPr="00481747" w:rsidRDefault="00831DB7" w:rsidP="00831DB7">
            <w:pPr>
              <w:pStyle w:val="CETBodytext"/>
              <w:jc w:val="center"/>
              <w:rPr>
                <w:lang w:val="en-GB"/>
              </w:rPr>
            </w:pPr>
            <w:r w:rsidRPr="00481747">
              <w:rPr>
                <w:rFonts w:cs="Arial"/>
                <w:kern w:val="24"/>
                <w:sz w:val="16"/>
                <w:szCs w:val="16"/>
                <w:lang w:eastAsia="pl-PL"/>
              </w:rPr>
              <w:t>(m)</w:t>
            </w:r>
          </w:p>
        </w:tc>
        <w:tc>
          <w:tcPr>
            <w:tcW w:w="599" w:type="dxa"/>
            <w:tcBorders>
              <w:top w:val="single" w:sz="12" w:space="0" w:color="008000"/>
              <w:bottom w:val="single" w:sz="6" w:space="0" w:color="008000"/>
            </w:tcBorders>
            <w:shd w:val="clear" w:color="auto" w:fill="FFFFFF"/>
            <w:vAlign w:val="center"/>
          </w:tcPr>
          <w:p w14:paraId="38468257" w14:textId="0E9A2DA2" w:rsidR="00831DB7" w:rsidRPr="00481747" w:rsidRDefault="00831DB7" w:rsidP="00831DB7">
            <w:pPr>
              <w:pStyle w:val="CETBodytext"/>
              <w:jc w:val="center"/>
              <w:rPr>
                <w:lang w:val="en-GB"/>
              </w:rPr>
            </w:pPr>
            <w:r w:rsidRPr="00481747">
              <w:rPr>
                <w:rFonts w:cs="Arial"/>
                <w:kern w:val="24"/>
                <w:sz w:val="16"/>
                <w:szCs w:val="16"/>
                <w:lang w:eastAsia="pl-PL"/>
              </w:rPr>
              <w:t>OM</w:t>
            </w:r>
          </w:p>
        </w:tc>
        <w:tc>
          <w:tcPr>
            <w:tcW w:w="599" w:type="dxa"/>
            <w:tcBorders>
              <w:top w:val="single" w:sz="12" w:space="0" w:color="008000"/>
              <w:bottom w:val="single" w:sz="6" w:space="0" w:color="008000"/>
            </w:tcBorders>
            <w:shd w:val="clear" w:color="auto" w:fill="FFFFFF"/>
            <w:vAlign w:val="center"/>
          </w:tcPr>
          <w:p w14:paraId="385E1154" w14:textId="74B842EA" w:rsidR="00831DB7" w:rsidRPr="00481747" w:rsidRDefault="00831DB7" w:rsidP="00831DB7">
            <w:pPr>
              <w:pStyle w:val="CETBodytext"/>
              <w:jc w:val="center"/>
              <w:rPr>
                <w:rFonts w:cs="Arial"/>
                <w:kern w:val="24"/>
                <w:sz w:val="16"/>
                <w:szCs w:val="16"/>
                <w:lang w:eastAsia="pl-PL"/>
              </w:rPr>
            </w:pPr>
            <w:r w:rsidRPr="00481747">
              <w:rPr>
                <w:rFonts w:cs="Arial"/>
                <w:kern w:val="24"/>
                <w:sz w:val="16"/>
                <w:szCs w:val="16"/>
                <w:lang w:eastAsia="pl-PL"/>
              </w:rPr>
              <w:t>OA</w:t>
            </w:r>
          </w:p>
        </w:tc>
        <w:tc>
          <w:tcPr>
            <w:tcW w:w="600" w:type="dxa"/>
            <w:tcBorders>
              <w:top w:val="single" w:sz="12" w:space="0" w:color="008000"/>
              <w:bottom w:val="single" w:sz="6" w:space="0" w:color="008000"/>
            </w:tcBorders>
            <w:shd w:val="clear" w:color="auto" w:fill="FFFFFF"/>
            <w:vAlign w:val="center"/>
          </w:tcPr>
          <w:p w14:paraId="140AB15C" w14:textId="5BEBEF7C" w:rsidR="00831DB7" w:rsidRPr="00481747" w:rsidRDefault="00831DB7" w:rsidP="00831DB7">
            <w:pPr>
              <w:pStyle w:val="CETBodytext"/>
              <w:jc w:val="center"/>
              <w:rPr>
                <w:rFonts w:cs="Arial"/>
                <w:kern w:val="24"/>
                <w:sz w:val="16"/>
                <w:szCs w:val="16"/>
                <w:lang w:eastAsia="pl-PL"/>
              </w:rPr>
            </w:pPr>
            <w:r w:rsidRPr="00481747">
              <w:rPr>
                <w:rFonts w:cs="Arial"/>
                <w:kern w:val="24"/>
                <w:sz w:val="16"/>
                <w:szCs w:val="16"/>
                <w:lang w:eastAsia="pl-PL"/>
              </w:rPr>
              <w:t>RM</w:t>
            </w:r>
          </w:p>
        </w:tc>
        <w:tc>
          <w:tcPr>
            <w:tcW w:w="599" w:type="dxa"/>
            <w:tcBorders>
              <w:top w:val="single" w:sz="12" w:space="0" w:color="008000"/>
              <w:bottom w:val="single" w:sz="6" w:space="0" w:color="008000"/>
            </w:tcBorders>
            <w:shd w:val="clear" w:color="auto" w:fill="FFFFFF"/>
            <w:vAlign w:val="center"/>
          </w:tcPr>
          <w:p w14:paraId="06D20DFF" w14:textId="054F5838" w:rsidR="00831DB7" w:rsidRPr="00481747" w:rsidRDefault="00831DB7" w:rsidP="00831DB7">
            <w:pPr>
              <w:pStyle w:val="CETBodytext"/>
              <w:jc w:val="center"/>
              <w:rPr>
                <w:rFonts w:cs="Arial"/>
                <w:kern w:val="24"/>
                <w:sz w:val="16"/>
                <w:szCs w:val="16"/>
                <w:lang w:eastAsia="pl-PL"/>
              </w:rPr>
            </w:pPr>
            <w:r w:rsidRPr="00481747">
              <w:rPr>
                <w:rFonts w:cs="Arial"/>
                <w:kern w:val="24"/>
                <w:sz w:val="16"/>
                <w:szCs w:val="16"/>
                <w:lang w:eastAsia="pl-PL"/>
              </w:rPr>
              <w:t>TPA</w:t>
            </w:r>
          </w:p>
        </w:tc>
        <w:tc>
          <w:tcPr>
            <w:tcW w:w="599" w:type="dxa"/>
            <w:tcBorders>
              <w:top w:val="single" w:sz="12" w:space="0" w:color="008000"/>
              <w:bottom w:val="single" w:sz="6" w:space="0" w:color="008000"/>
            </w:tcBorders>
            <w:shd w:val="clear" w:color="auto" w:fill="FFFFFF"/>
            <w:vAlign w:val="center"/>
          </w:tcPr>
          <w:p w14:paraId="4072ECD1" w14:textId="4FF80C99" w:rsidR="00831DB7" w:rsidRPr="00481747" w:rsidRDefault="00831DB7" w:rsidP="00831DB7">
            <w:pPr>
              <w:pStyle w:val="CETBodytext"/>
              <w:jc w:val="center"/>
              <w:rPr>
                <w:rFonts w:cs="Arial"/>
                <w:kern w:val="24"/>
                <w:sz w:val="16"/>
                <w:szCs w:val="16"/>
                <w:lang w:eastAsia="pl-PL"/>
              </w:rPr>
            </w:pPr>
            <w:r w:rsidRPr="00481747">
              <w:rPr>
                <w:rFonts w:cs="Arial"/>
                <w:kern w:val="24"/>
                <w:sz w:val="16"/>
                <w:szCs w:val="16"/>
                <w:lang w:eastAsia="pl-PL"/>
              </w:rPr>
              <w:t>TPF</w:t>
            </w:r>
          </w:p>
        </w:tc>
        <w:tc>
          <w:tcPr>
            <w:tcW w:w="600" w:type="dxa"/>
            <w:tcBorders>
              <w:top w:val="single" w:sz="12" w:space="0" w:color="008000"/>
              <w:bottom w:val="single" w:sz="6" w:space="0" w:color="008000"/>
            </w:tcBorders>
            <w:shd w:val="clear" w:color="auto" w:fill="FFFFFF"/>
            <w:vAlign w:val="center"/>
          </w:tcPr>
          <w:p w14:paraId="72A2107A" w14:textId="7A082285" w:rsidR="00831DB7" w:rsidRPr="00481747" w:rsidRDefault="00831DB7" w:rsidP="00831DB7">
            <w:pPr>
              <w:pStyle w:val="CETBodytext"/>
              <w:jc w:val="center"/>
              <w:rPr>
                <w:rFonts w:cs="Arial"/>
                <w:kern w:val="24"/>
                <w:sz w:val="16"/>
                <w:szCs w:val="16"/>
                <w:lang w:eastAsia="pl-PL"/>
              </w:rPr>
            </w:pPr>
            <w:r w:rsidRPr="00481747">
              <w:rPr>
                <w:rFonts w:cs="Arial"/>
                <w:kern w:val="24"/>
                <w:sz w:val="16"/>
                <w:szCs w:val="16"/>
                <w:lang w:eastAsia="pl-PL"/>
              </w:rPr>
              <w:t>RZ</w:t>
            </w:r>
          </w:p>
        </w:tc>
        <w:tc>
          <w:tcPr>
            <w:tcW w:w="599" w:type="dxa"/>
            <w:tcBorders>
              <w:top w:val="single" w:sz="12" w:space="0" w:color="008000"/>
              <w:bottom w:val="single" w:sz="6" w:space="0" w:color="008000"/>
            </w:tcBorders>
            <w:shd w:val="clear" w:color="auto" w:fill="FFFFFF"/>
            <w:vAlign w:val="center"/>
          </w:tcPr>
          <w:p w14:paraId="2DB738AF" w14:textId="57BC6939" w:rsidR="00831DB7" w:rsidRPr="00481747" w:rsidRDefault="00831DB7" w:rsidP="00831DB7">
            <w:pPr>
              <w:pStyle w:val="CETBodytext"/>
              <w:jc w:val="center"/>
              <w:rPr>
                <w:rFonts w:cs="Arial"/>
                <w:kern w:val="24"/>
                <w:sz w:val="16"/>
                <w:szCs w:val="16"/>
                <w:lang w:eastAsia="pl-PL"/>
              </w:rPr>
            </w:pPr>
            <w:r w:rsidRPr="00481747">
              <w:rPr>
                <w:rFonts w:cs="Arial"/>
                <w:kern w:val="24"/>
                <w:sz w:val="16"/>
                <w:szCs w:val="16"/>
                <w:lang w:eastAsia="pl-PL"/>
              </w:rPr>
              <w:t>KI</w:t>
            </w:r>
          </w:p>
        </w:tc>
        <w:tc>
          <w:tcPr>
            <w:tcW w:w="599" w:type="dxa"/>
            <w:tcBorders>
              <w:top w:val="single" w:sz="12" w:space="0" w:color="008000"/>
              <w:bottom w:val="single" w:sz="6" w:space="0" w:color="008000"/>
            </w:tcBorders>
            <w:shd w:val="clear" w:color="auto" w:fill="FFFFFF"/>
            <w:vAlign w:val="center"/>
          </w:tcPr>
          <w:p w14:paraId="60AE4B57" w14:textId="3C986B65" w:rsidR="00831DB7" w:rsidRPr="00481747" w:rsidRDefault="00831DB7" w:rsidP="00831DB7">
            <w:pPr>
              <w:pStyle w:val="CETBodytext"/>
              <w:jc w:val="center"/>
              <w:rPr>
                <w:rFonts w:cs="Arial"/>
                <w:kern w:val="24"/>
                <w:sz w:val="16"/>
                <w:szCs w:val="16"/>
                <w:lang w:eastAsia="pl-PL"/>
              </w:rPr>
            </w:pPr>
            <w:r w:rsidRPr="00481747">
              <w:rPr>
                <w:rFonts w:cs="Arial"/>
                <w:kern w:val="24"/>
                <w:sz w:val="16"/>
                <w:szCs w:val="16"/>
                <w:lang w:eastAsia="pl-PL"/>
              </w:rPr>
              <w:t>KT</w:t>
            </w:r>
          </w:p>
        </w:tc>
        <w:tc>
          <w:tcPr>
            <w:tcW w:w="600" w:type="dxa"/>
            <w:tcBorders>
              <w:top w:val="single" w:sz="12" w:space="0" w:color="008000"/>
              <w:bottom w:val="single" w:sz="6" w:space="0" w:color="008000"/>
            </w:tcBorders>
            <w:shd w:val="clear" w:color="auto" w:fill="FFFFFF"/>
            <w:vAlign w:val="center"/>
          </w:tcPr>
          <w:p w14:paraId="01CAAFD4" w14:textId="3E5CD264" w:rsidR="00831DB7" w:rsidRPr="00481747" w:rsidRDefault="00831DB7" w:rsidP="00831DB7">
            <w:pPr>
              <w:pStyle w:val="CETBodytext"/>
              <w:jc w:val="center"/>
              <w:rPr>
                <w:rFonts w:cs="Arial"/>
                <w:b/>
                <w:bCs/>
                <w:kern w:val="24"/>
                <w:sz w:val="16"/>
                <w:szCs w:val="16"/>
                <w:lang w:eastAsia="pl-PL"/>
              </w:rPr>
            </w:pPr>
            <w:r w:rsidRPr="00481747">
              <w:rPr>
                <w:b/>
                <w:bCs/>
                <w:lang w:val="en-GB"/>
              </w:rPr>
              <w:t>Risk</w:t>
            </w:r>
          </w:p>
        </w:tc>
      </w:tr>
      <w:tr w:rsidR="00AA70E9" w:rsidRPr="00481747" w14:paraId="2474D94B" w14:textId="57C80E6A" w:rsidTr="00723F6D">
        <w:tc>
          <w:tcPr>
            <w:tcW w:w="1560" w:type="dxa"/>
            <w:tcBorders>
              <w:top w:val="single" w:sz="6" w:space="0" w:color="008000"/>
              <w:bottom w:val="nil"/>
              <w:right w:val="nil"/>
            </w:tcBorders>
            <w:shd w:val="clear" w:color="auto" w:fill="FFFFFF"/>
          </w:tcPr>
          <w:p w14:paraId="0681F09B" w14:textId="712D71D8" w:rsidR="00831DB7" w:rsidRPr="00481747" w:rsidRDefault="00325BCE" w:rsidP="00831DB7">
            <w:pPr>
              <w:pStyle w:val="CETBodytext"/>
              <w:rPr>
                <w:lang w:val="en-GB"/>
              </w:rPr>
            </w:pPr>
            <w:r w:rsidRPr="00481747">
              <w:rPr>
                <w:lang w:val="en-GB"/>
              </w:rPr>
              <w:t>S</w:t>
            </w:r>
            <w:r w:rsidR="00831DB7" w:rsidRPr="00481747">
              <w:rPr>
                <w:lang w:val="en-GB"/>
              </w:rPr>
              <w:t>torage</w:t>
            </w:r>
            <w:r w:rsidRPr="00481747">
              <w:rPr>
                <w:lang w:val="en-GB"/>
              </w:rPr>
              <w:t xml:space="preserve"> </w:t>
            </w:r>
            <w:r w:rsidR="00872DB0" w:rsidRPr="00481747">
              <w:rPr>
                <w:lang w:val="en-GB"/>
              </w:rPr>
              <w:t xml:space="preserve">silo </w:t>
            </w:r>
            <w:r w:rsidRPr="00481747">
              <w:rPr>
                <w:lang w:val="en-GB"/>
              </w:rPr>
              <w:t>S</w:t>
            </w:r>
            <w:r w:rsidR="001D03AC" w:rsidRPr="00481747">
              <w:rPr>
                <w:lang w:val="en-GB"/>
              </w:rPr>
              <w:t xml:space="preserve"> </w:t>
            </w:r>
          </w:p>
        </w:tc>
        <w:tc>
          <w:tcPr>
            <w:tcW w:w="457" w:type="dxa"/>
            <w:tcBorders>
              <w:top w:val="single" w:sz="6" w:space="0" w:color="008000"/>
              <w:left w:val="nil"/>
              <w:bottom w:val="nil"/>
              <w:right w:val="nil"/>
            </w:tcBorders>
            <w:shd w:val="clear" w:color="auto" w:fill="FFFFFF"/>
            <w:vAlign w:val="center"/>
          </w:tcPr>
          <w:p w14:paraId="44777CE4" w14:textId="1A322095" w:rsidR="00831DB7" w:rsidRPr="00481747" w:rsidRDefault="00831DB7" w:rsidP="00831DB7">
            <w:pPr>
              <w:pStyle w:val="CETBodytext"/>
              <w:jc w:val="center"/>
              <w:rPr>
                <w:lang w:val="en-GB"/>
              </w:rPr>
            </w:pPr>
            <w:r w:rsidRPr="00481747">
              <w:rPr>
                <w:rFonts w:cs="Arial"/>
                <w:kern w:val="24"/>
                <w:sz w:val="16"/>
                <w:szCs w:val="16"/>
                <w:lang w:eastAsia="pl-PL"/>
              </w:rPr>
              <w:t>50</w:t>
            </w:r>
          </w:p>
        </w:tc>
        <w:tc>
          <w:tcPr>
            <w:tcW w:w="599" w:type="dxa"/>
            <w:tcBorders>
              <w:top w:val="single" w:sz="6" w:space="0" w:color="008000"/>
              <w:left w:val="nil"/>
              <w:bottom w:val="nil"/>
              <w:right w:val="nil"/>
            </w:tcBorders>
            <w:shd w:val="clear" w:color="auto" w:fill="FFFFFF"/>
            <w:vAlign w:val="center"/>
          </w:tcPr>
          <w:p w14:paraId="34AC149D" w14:textId="1018AC2E" w:rsidR="00831DB7" w:rsidRPr="00481747" w:rsidRDefault="00831DB7" w:rsidP="00831DB7">
            <w:pPr>
              <w:pStyle w:val="CETBodytext"/>
              <w:jc w:val="center"/>
              <w:rPr>
                <w:lang w:val="en-GB"/>
              </w:rPr>
            </w:pPr>
            <w:r w:rsidRPr="00481747">
              <w:rPr>
                <w:rFonts w:cs="Arial"/>
                <w:kern w:val="24"/>
                <w:sz w:val="16"/>
                <w:szCs w:val="16"/>
                <w:lang w:eastAsia="pl-PL"/>
              </w:rPr>
              <w:t>6</w:t>
            </w:r>
          </w:p>
        </w:tc>
        <w:tc>
          <w:tcPr>
            <w:tcW w:w="600" w:type="dxa"/>
            <w:tcBorders>
              <w:top w:val="single" w:sz="6" w:space="0" w:color="008000"/>
              <w:left w:val="nil"/>
              <w:bottom w:val="nil"/>
              <w:right w:val="nil"/>
            </w:tcBorders>
            <w:shd w:val="clear" w:color="auto" w:fill="FFFFFF"/>
            <w:vAlign w:val="center"/>
          </w:tcPr>
          <w:p w14:paraId="41F82DD2" w14:textId="1D920F18" w:rsidR="00831DB7" w:rsidRPr="00481747" w:rsidRDefault="00831DB7" w:rsidP="00831DB7">
            <w:pPr>
              <w:pStyle w:val="CETBodytext"/>
              <w:jc w:val="center"/>
              <w:rPr>
                <w:lang w:val="en-GB"/>
              </w:rPr>
            </w:pPr>
            <w:r w:rsidRPr="00481747">
              <w:rPr>
                <w:rFonts w:cs="Arial"/>
                <w:b/>
                <w:bCs/>
                <w:kern w:val="24"/>
                <w:sz w:val="16"/>
                <w:szCs w:val="16"/>
                <w:lang w:eastAsia="pl-PL"/>
              </w:rPr>
              <w:t>-</w:t>
            </w:r>
          </w:p>
        </w:tc>
        <w:tc>
          <w:tcPr>
            <w:tcW w:w="599" w:type="dxa"/>
            <w:tcBorders>
              <w:top w:val="single" w:sz="6" w:space="0" w:color="008000"/>
              <w:left w:val="nil"/>
              <w:bottom w:val="nil"/>
              <w:right w:val="nil"/>
            </w:tcBorders>
            <w:shd w:val="clear" w:color="auto" w:fill="FFFFFF"/>
            <w:vAlign w:val="center"/>
          </w:tcPr>
          <w:p w14:paraId="69029E03" w14:textId="0759CFE8" w:rsidR="00831DB7" w:rsidRPr="00481747" w:rsidRDefault="00831DB7" w:rsidP="00831DB7">
            <w:pPr>
              <w:pStyle w:val="CETBodytext"/>
              <w:jc w:val="center"/>
              <w:rPr>
                <w:lang w:val="en-GB"/>
              </w:rPr>
            </w:pPr>
            <w:r w:rsidRPr="00481747">
              <w:rPr>
                <w:lang w:val="en-GB"/>
              </w:rPr>
              <w:t>none</w:t>
            </w:r>
          </w:p>
        </w:tc>
        <w:tc>
          <w:tcPr>
            <w:tcW w:w="599" w:type="dxa"/>
            <w:tcBorders>
              <w:top w:val="single" w:sz="6" w:space="0" w:color="008000"/>
              <w:left w:val="nil"/>
              <w:bottom w:val="nil"/>
              <w:right w:val="nil"/>
            </w:tcBorders>
            <w:shd w:val="clear" w:color="auto" w:fill="FFFFFF"/>
            <w:vAlign w:val="center"/>
          </w:tcPr>
          <w:p w14:paraId="1B32D6D2" w14:textId="1B89B600" w:rsidR="00831DB7" w:rsidRPr="00481747" w:rsidRDefault="00831DB7" w:rsidP="00831DB7">
            <w:pPr>
              <w:pStyle w:val="CETBodytext"/>
              <w:jc w:val="center"/>
              <w:rPr>
                <w:lang w:val="en-GB"/>
              </w:rPr>
            </w:pPr>
            <w:r w:rsidRPr="00481747">
              <w:rPr>
                <w:lang w:val="en-GB"/>
              </w:rPr>
              <w:t>none</w:t>
            </w:r>
          </w:p>
        </w:tc>
        <w:tc>
          <w:tcPr>
            <w:tcW w:w="600" w:type="dxa"/>
            <w:tcBorders>
              <w:top w:val="single" w:sz="6" w:space="0" w:color="008000"/>
              <w:left w:val="nil"/>
              <w:bottom w:val="nil"/>
              <w:right w:val="nil"/>
            </w:tcBorders>
            <w:shd w:val="clear" w:color="auto" w:fill="FFFFFF"/>
            <w:vAlign w:val="center"/>
          </w:tcPr>
          <w:p w14:paraId="130325D3" w14:textId="619C3F7A" w:rsidR="00831DB7" w:rsidRPr="00481747" w:rsidRDefault="00872DB0" w:rsidP="00831DB7">
            <w:pPr>
              <w:pStyle w:val="CETBodytext"/>
              <w:jc w:val="center"/>
              <w:rPr>
                <w:lang w:val="en-GB"/>
              </w:rPr>
            </w:pPr>
            <w:r w:rsidRPr="00481747">
              <w:rPr>
                <w:rFonts w:cs="Arial"/>
                <w:kern w:val="24"/>
                <w:sz w:val="16"/>
                <w:szCs w:val="16"/>
                <w:lang w:eastAsia="pl-PL"/>
              </w:rPr>
              <w:t>t</w:t>
            </w:r>
            <w:r w:rsidR="009E5AF4" w:rsidRPr="00481747">
              <w:rPr>
                <w:rFonts w:cs="Arial"/>
                <w:kern w:val="24"/>
                <w:sz w:val="16"/>
                <w:szCs w:val="16"/>
                <w:lang w:eastAsia="pl-PL"/>
              </w:rPr>
              <w:t>u</w:t>
            </w:r>
            <w:r w:rsidRPr="00481747">
              <w:rPr>
                <w:rFonts w:cs="Arial"/>
                <w:kern w:val="24"/>
                <w:sz w:val="16"/>
                <w:szCs w:val="16"/>
                <w:lang w:eastAsia="pl-PL"/>
              </w:rPr>
              <w:t>rb.</w:t>
            </w:r>
          </w:p>
        </w:tc>
        <w:tc>
          <w:tcPr>
            <w:tcW w:w="599" w:type="dxa"/>
            <w:tcBorders>
              <w:top w:val="single" w:sz="6" w:space="0" w:color="008000"/>
              <w:left w:val="nil"/>
              <w:bottom w:val="nil"/>
              <w:right w:val="nil"/>
            </w:tcBorders>
            <w:shd w:val="clear" w:color="auto" w:fill="FFFFFF"/>
            <w:vAlign w:val="center"/>
          </w:tcPr>
          <w:p w14:paraId="2C9AC3AA" w14:textId="65FCE4CB" w:rsidR="00831DB7" w:rsidRPr="00481747" w:rsidRDefault="00831DB7" w:rsidP="00831DB7">
            <w:pPr>
              <w:pStyle w:val="CETBodytext"/>
              <w:jc w:val="center"/>
              <w:rPr>
                <w:lang w:val="en-GB"/>
              </w:rPr>
            </w:pPr>
            <w:r w:rsidRPr="00481747">
              <w:rPr>
                <w:sz w:val="12"/>
                <w:szCs w:val="14"/>
                <w:lang w:val="en-GB"/>
              </w:rPr>
              <w:t>periodic</w:t>
            </w:r>
          </w:p>
        </w:tc>
        <w:tc>
          <w:tcPr>
            <w:tcW w:w="599" w:type="dxa"/>
            <w:tcBorders>
              <w:top w:val="single" w:sz="6" w:space="0" w:color="008000"/>
              <w:left w:val="nil"/>
              <w:bottom w:val="nil"/>
              <w:right w:val="nil"/>
            </w:tcBorders>
            <w:shd w:val="clear" w:color="auto" w:fill="FFFFFF"/>
            <w:vAlign w:val="center"/>
          </w:tcPr>
          <w:p w14:paraId="0D62CF26" w14:textId="31E21FCE" w:rsidR="00831DB7" w:rsidRPr="00481747" w:rsidRDefault="00831DB7" w:rsidP="00831DB7">
            <w:pPr>
              <w:pStyle w:val="CETBodytext"/>
              <w:jc w:val="center"/>
              <w:rPr>
                <w:lang w:val="en-GB"/>
              </w:rPr>
            </w:pPr>
            <w:r w:rsidRPr="00481747">
              <w:rPr>
                <w:rFonts w:cs="Arial"/>
                <w:b/>
                <w:bCs/>
                <w:kern w:val="24"/>
                <w:sz w:val="16"/>
                <w:szCs w:val="16"/>
                <w:lang w:eastAsia="pl-PL"/>
              </w:rPr>
              <w:t>-</w:t>
            </w:r>
          </w:p>
        </w:tc>
        <w:tc>
          <w:tcPr>
            <w:tcW w:w="600" w:type="dxa"/>
            <w:tcBorders>
              <w:top w:val="single" w:sz="6" w:space="0" w:color="008000"/>
              <w:left w:val="nil"/>
              <w:bottom w:val="nil"/>
              <w:right w:val="nil"/>
            </w:tcBorders>
            <w:shd w:val="clear" w:color="auto" w:fill="FFFFFF"/>
            <w:vAlign w:val="center"/>
          </w:tcPr>
          <w:p w14:paraId="31875B11" w14:textId="130F394D" w:rsidR="00831DB7" w:rsidRPr="00481747" w:rsidRDefault="00831DB7" w:rsidP="00831DB7">
            <w:pPr>
              <w:pStyle w:val="CETBodytext"/>
              <w:jc w:val="center"/>
              <w:rPr>
                <w:lang w:val="en-GB"/>
              </w:rPr>
            </w:pPr>
            <w:r w:rsidRPr="00481747">
              <w:rPr>
                <w:lang w:val="en-GB"/>
              </w:rPr>
              <w:t>grav</w:t>
            </w:r>
            <w:r w:rsidR="00DF39E0" w:rsidRPr="00481747">
              <w:rPr>
                <w:lang w:val="en-GB"/>
              </w:rPr>
              <w:t>.</w:t>
            </w:r>
          </w:p>
        </w:tc>
        <w:tc>
          <w:tcPr>
            <w:tcW w:w="599" w:type="dxa"/>
            <w:tcBorders>
              <w:top w:val="single" w:sz="6" w:space="0" w:color="008000"/>
              <w:left w:val="nil"/>
              <w:bottom w:val="nil"/>
              <w:right w:val="nil"/>
            </w:tcBorders>
            <w:shd w:val="clear" w:color="auto" w:fill="FFFFFF"/>
            <w:vAlign w:val="center"/>
          </w:tcPr>
          <w:p w14:paraId="35F79752" w14:textId="32FCB693" w:rsidR="00831DB7" w:rsidRPr="00481747" w:rsidRDefault="00831DB7" w:rsidP="00831DB7">
            <w:pPr>
              <w:pStyle w:val="CETBodytext"/>
              <w:jc w:val="center"/>
              <w:rPr>
                <w:lang w:val="en-GB"/>
              </w:rPr>
            </w:pPr>
            <w:r w:rsidRPr="00481747">
              <w:rPr>
                <w:lang w:val="en-GB"/>
              </w:rPr>
              <w:t>none</w:t>
            </w:r>
          </w:p>
        </w:tc>
        <w:tc>
          <w:tcPr>
            <w:tcW w:w="599" w:type="dxa"/>
            <w:tcBorders>
              <w:top w:val="single" w:sz="6" w:space="0" w:color="008000"/>
              <w:left w:val="nil"/>
              <w:bottom w:val="nil"/>
              <w:right w:val="nil"/>
            </w:tcBorders>
            <w:shd w:val="clear" w:color="auto" w:fill="FFFFFF"/>
            <w:vAlign w:val="center"/>
          </w:tcPr>
          <w:p w14:paraId="587789AD" w14:textId="23F4EC5D" w:rsidR="00831DB7" w:rsidRPr="00481747" w:rsidRDefault="00831DB7" w:rsidP="00831DB7">
            <w:pPr>
              <w:pStyle w:val="CETBodytext"/>
              <w:jc w:val="center"/>
              <w:rPr>
                <w:lang w:val="en-GB"/>
              </w:rPr>
            </w:pPr>
            <w:r w:rsidRPr="00481747">
              <w:rPr>
                <w:rFonts w:cs="Arial"/>
                <w:kern w:val="24"/>
                <w:sz w:val="16"/>
                <w:szCs w:val="16"/>
                <w:lang w:eastAsia="pl-PL"/>
              </w:rPr>
              <w:t>-</w:t>
            </w:r>
          </w:p>
        </w:tc>
        <w:tc>
          <w:tcPr>
            <w:tcW w:w="600" w:type="dxa"/>
            <w:tcBorders>
              <w:top w:val="single" w:sz="6" w:space="0" w:color="008000"/>
              <w:left w:val="nil"/>
              <w:bottom w:val="nil"/>
            </w:tcBorders>
            <w:shd w:val="clear" w:color="auto" w:fill="FFFFFF"/>
            <w:vAlign w:val="center"/>
          </w:tcPr>
          <w:p w14:paraId="30DDCD68" w14:textId="061C5FCA" w:rsidR="00831DB7" w:rsidRPr="00481747" w:rsidRDefault="00831DB7" w:rsidP="00831DB7">
            <w:pPr>
              <w:pStyle w:val="CETBodytext"/>
              <w:jc w:val="center"/>
              <w:rPr>
                <w:b/>
                <w:bCs/>
                <w:lang w:val="en-GB"/>
              </w:rPr>
            </w:pPr>
            <w:r w:rsidRPr="00481747">
              <w:rPr>
                <w:rFonts w:cs="Arial"/>
                <w:b/>
                <w:bCs/>
                <w:kern w:val="24"/>
                <w:sz w:val="16"/>
                <w:szCs w:val="16"/>
                <w:lang w:eastAsia="pl-PL"/>
              </w:rPr>
              <w:t>R4</w:t>
            </w:r>
          </w:p>
        </w:tc>
      </w:tr>
      <w:tr w:rsidR="00AA70E9" w:rsidRPr="00481747" w14:paraId="3E06E1EE" w14:textId="481DD18B" w:rsidTr="00A0093B">
        <w:tc>
          <w:tcPr>
            <w:tcW w:w="1560" w:type="dxa"/>
            <w:tcBorders>
              <w:top w:val="nil"/>
              <w:bottom w:val="nil"/>
              <w:right w:val="nil"/>
            </w:tcBorders>
            <w:shd w:val="clear" w:color="auto" w:fill="FFFFFF"/>
          </w:tcPr>
          <w:p w14:paraId="31C0E3EB" w14:textId="267C3D15" w:rsidR="009E5AF4" w:rsidRPr="00481747" w:rsidRDefault="009E5AF4" w:rsidP="009E5AF4">
            <w:pPr>
              <w:pStyle w:val="CETBodytext"/>
              <w:rPr>
                <w:lang w:val="en-GB"/>
              </w:rPr>
            </w:pPr>
            <w:r w:rsidRPr="00481747">
              <w:rPr>
                <w:lang w:val="en-GB"/>
              </w:rPr>
              <w:t>Storage tank ITS</w:t>
            </w:r>
            <w:r w:rsidRPr="00481747">
              <w:rPr>
                <w:lang w:val="en-GB"/>
              </w:rPr>
              <w:tab/>
              <w:t xml:space="preserve"> </w:t>
            </w:r>
          </w:p>
        </w:tc>
        <w:tc>
          <w:tcPr>
            <w:tcW w:w="457" w:type="dxa"/>
            <w:tcBorders>
              <w:top w:val="nil"/>
              <w:left w:val="nil"/>
              <w:bottom w:val="nil"/>
              <w:right w:val="nil"/>
            </w:tcBorders>
            <w:shd w:val="clear" w:color="auto" w:fill="FFFFFF"/>
            <w:vAlign w:val="center"/>
          </w:tcPr>
          <w:p w14:paraId="6F6661DD" w14:textId="09937E1C" w:rsidR="009E5AF4" w:rsidRPr="00481747" w:rsidRDefault="009E5AF4" w:rsidP="009E5AF4">
            <w:pPr>
              <w:pStyle w:val="CETBodytext"/>
              <w:jc w:val="center"/>
              <w:rPr>
                <w:lang w:val="en-GB"/>
              </w:rPr>
            </w:pPr>
            <w:r w:rsidRPr="00481747">
              <w:rPr>
                <w:rFonts w:cs="Arial"/>
                <w:kern w:val="24"/>
                <w:sz w:val="16"/>
                <w:szCs w:val="16"/>
                <w:lang w:eastAsia="pl-PL"/>
              </w:rPr>
              <w:t>10</w:t>
            </w:r>
          </w:p>
        </w:tc>
        <w:tc>
          <w:tcPr>
            <w:tcW w:w="599" w:type="dxa"/>
            <w:tcBorders>
              <w:top w:val="nil"/>
              <w:left w:val="nil"/>
              <w:bottom w:val="nil"/>
              <w:right w:val="nil"/>
            </w:tcBorders>
            <w:shd w:val="clear" w:color="auto" w:fill="FFFFFF"/>
            <w:vAlign w:val="center"/>
          </w:tcPr>
          <w:p w14:paraId="2C9998AC" w14:textId="7A59B4B6" w:rsidR="009E5AF4" w:rsidRPr="00481747" w:rsidRDefault="009E5AF4" w:rsidP="009E5AF4">
            <w:pPr>
              <w:pStyle w:val="CETBodytext"/>
              <w:jc w:val="center"/>
              <w:rPr>
                <w:lang w:val="en-GB"/>
              </w:rPr>
            </w:pPr>
            <w:r w:rsidRPr="00481747">
              <w:rPr>
                <w:rFonts w:cs="Arial"/>
                <w:kern w:val="24"/>
                <w:sz w:val="16"/>
                <w:szCs w:val="16"/>
                <w:lang w:eastAsia="pl-PL"/>
              </w:rPr>
              <w:t>6</w:t>
            </w:r>
          </w:p>
        </w:tc>
        <w:tc>
          <w:tcPr>
            <w:tcW w:w="600" w:type="dxa"/>
            <w:tcBorders>
              <w:top w:val="nil"/>
              <w:left w:val="nil"/>
              <w:bottom w:val="nil"/>
              <w:right w:val="nil"/>
            </w:tcBorders>
            <w:shd w:val="clear" w:color="auto" w:fill="FFFFFF"/>
            <w:vAlign w:val="center"/>
          </w:tcPr>
          <w:p w14:paraId="4FF487C3" w14:textId="5E76A154" w:rsidR="009E5AF4" w:rsidRPr="00481747" w:rsidRDefault="009E5AF4" w:rsidP="009E5AF4">
            <w:pPr>
              <w:pStyle w:val="CETBodytext"/>
              <w:jc w:val="center"/>
              <w:rPr>
                <w:lang w:val="en-GB"/>
              </w:rPr>
            </w:pPr>
            <w:r w:rsidRPr="00481747">
              <w:rPr>
                <w:rFonts w:cs="Arial"/>
                <w:b/>
                <w:bCs/>
                <w:kern w:val="24"/>
                <w:sz w:val="16"/>
                <w:szCs w:val="16"/>
                <w:lang w:eastAsia="pl-PL"/>
              </w:rPr>
              <w:t>-</w:t>
            </w:r>
          </w:p>
        </w:tc>
        <w:tc>
          <w:tcPr>
            <w:tcW w:w="599" w:type="dxa"/>
            <w:tcBorders>
              <w:top w:val="nil"/>
              <w:left w:val="nil"/>
              <w:bottom w:val="nil"/>
              <w:right w:val="nil"/>
            </w:tcBorders>
            <w:shd w:val="clear" w:color="auto" w:fill="FFFFFF"/>
            <w:vAlign w:val="center"/>
          </w:tcPr>
          <w:p w14:paraId="73091210" w14:textId="0817ED0F" w:rsidR="009E5AF4" w:rsidRPr="00481747" w:rsidRDefault="009E5AF4" w:rsidP="009E5AF4">
            <w:pPr>
              <w:pStyle w:val="CETBodytext"/>
              <w:jc w:val="center"/>
              <w:rPr>
                <w:lang w:val="en-GB"/>
              </w:rPr>
            </w:pPr>
            <w:r w:rsidRPr="00481747">
              <w:rPr>
                <w:lang w:val="en-GB"/>
              </w:rPr>
              <w:t>none</w:t>
            </w:r>
          </w:p>
        </w:tc>
        <w:tc>
          <w:tcPr>
            <w:tcW w:w="599" w:type="dxa"/>
            <w:tcBorders>
              <w:top w:val="nil"/>
              <w:left w:val="nil"/>
              <w:bottom w:val="nil"/>
              <w:right w:val="nil"/>
            </w:tcBorders>
            <w:shd w:val="clear" w:color="auto" w:fill="FFFFFF"/>
            <w:vAlign w:val="center"/>
          </w:tcPr>
          <w:p w14:paraId="1A429F0B" w14:textId="18EE0E40" w:rsidR="009E5AF4" w:rsidRPr="00481747" w:rsidRDefault="009E5AF4" w:rsidP="009E5AF4">
            <w:pPr>
              <w:pStyle w:val="CETBodytext"/>
              <w:jc w:val="center"/>
              <w:rPr>
                <w:lang w:val="en-GB"/>
              </w:rPr>
            </w:pPr>
            <w:r w:rsidRPr="00481747">
              <w:rPr>
                <w:lang w:val="en-GB"/>
              </w:rPr>
              <w:t>none</w:t>
            </w:r>
          </w:p>
        </w:tc>
        <w:tc>
          <w:tcPr>
            <w:tcW w:w="600" w:type="dxa"/>
            <w:tcBorders>
              <w:top w:val="nil"/>
              <w:left w:val="nil"/>
              <w:bottom w:val="nil"/>
              <w:right w:val="nil"/>
            </w:tcBorders>
            <w:shd w:val="clear" w:color="auto" w:fill="FFFFFF"/>
            <w:vAlign w:val="center"/>
          </w:tcPr>
          <w:p w14:paraId="692C1A24" w14:textId="453ACF9F" w:rsidR="009E5AF4" w:rsidRPr="00481747" w:rsidRDefault="009E5AF4" w:rsidP="009E5AF4">
            <w:pPr>
              <w:pStyle w:val="CETBodytext"/>
              <w:jc w:val="center"/>
              <w:rPr>
                <w:lang w:val="en-GB"/>
              </w:rPr>
            </w:pPr>
            <w:r w:rsidRPr="00481747">
              <w:rPr>
                <w:rFonts w:cs="Arial"/>
                <w:kern w:val="24"/>
                <w:sz w:val="16"/>
                <w:szCs w:val="16"/>
                <w:lang w:eastAsia="pl-PL"/>
              </w:rPr>
              <w:t>lam.</w:t>
            </w:r>
          </w:p>
        </w:tc>
        <w:tc>
          <w:tcPr>
            <w:tcW w:w="599" w:type="dxa"/>
            <w:tcBorders>
              <w:top w:val="nil"/>
              <w:left w:val="nil"/>
              <w:bottom w:val="nil"/>
              <w:right w:val="nil"/>
            </w:tcBorders>
            <w:shd w:val="clear" w:color="auto" w:fill="FFFFFF"/>
          </w:tcPr>
          <w:p w14:paraId="6D071F50" w14:textId="5827C438" w:rsidR="009E5AF4" w:rsidRPr="00481747" w:rsidRDefault="009E5AF4" w:rsidP="009E5AF4">
            <w:pPr>
              <w:pStyle w:val="CETBodytext"/>
              <w:jc w:val="center"/>
              <w:rPr>
                <w:lang w:val="en-GB"/>
              </w:rPr>
            </w:pPr>
            <w:r w:rsidRPr="00481747">
              <w:rPr>
                <w:sz w:val="16"/>
                <w:szCs w:val="16"/>
                <w:lang w:val="en-GB"/>
              </w:rPr>
              <w:t>cont.</w:t>
            </w:r>
          </w:p>
        </w:tc>
        <w:tc>
          <w:tcPr>
            <w:tcW w:w="599" w:type="dxa"/>
            <w:tcBorders>
              <w:top w:val="nil"/>
              <w:left w:val="nil"/>
              <w:bottom w:val="nil"/>
              <w:right w:val="nil"/>
            </w:tcBorders>
            <w:shd w:val="clear" w:color="auto" w:fill="FFFFFF"/>
            <w:vAlign w:val="center"/>
          </w:tcPr>
          <w:p w14:paraId="12233438" w14:textId="22B95584" w:rsidR="009E5AF4" w:rsidRPr="00481747" w:rsidRDefault="009E5AF4" w:rsidP="009E5AF4">
            <w:pPr>
              <w:pStyle w:val="CETBodytext"/>
              <w:jc w:val="center"/>
              <w:rPr>
                <w:lang w:val="en-GB"/>
              </w:rPr>
            </w:pPr>
            <w:r w:rsidRPr="00481747">
              <w:rPr>
                <w:rFonts w:cs="Arial"/>
                <w:kern w:val="24"/>
                <w:sz w:val="16"/>
                <w:szCs w:val="16"/>
                <w:lang w:eastAsia="pl-PL"/>
              </w:rPr>
              <w:t>-</w:t>
            </w:r>
          </w:p>
        </w:tc>
        <w:tc>
          <w:tcPr>
            <w:tcW w:w="600" w:type="dxa"/>
            <w:tcBorders>
              <w:top w:val="nil"/>
              <w:left w:val="nil"/>
              <w:bottom w:val="nil"/>
              <w:right w:val="nil"/>
            </w:tcBorders>
            <w:shd w:val="clear" w:color="auto" w:fill="FFFFFF"/>
            <w:vAlign w:val="center"/>
          </w:tcPr>
          <w:p w14:paraId="6BA9F561" w14:textId="14737E00" w:rsidR="009E5AF4" w:rsidRPr="00481747" w:rsidRDefault="009E5AF4" w:rsidP="009E5AF4">
            <w:pPr>
              <w:pStyle w:val="CETBodytext"/>
              <w:jc w:val="center"/>
              <w:rPr>
                <w:lang w:val="en-GB"/>
              </w:rPr>
            </w:pPr>
            <w:r w:rsidRPr="00481747">
              <w:rPr>
                <w:lang w:val="en-GB"/>
              </w:rPr>
              <w:t>grav.</w:t>
            </w:r>
          </w:p>
        </w:tc>
        <w:tc>
          <w:tcPr>
            <w:tcW w:w="599" w:type="dxa"/>
            <w:tcBorders>
              <w:top w:val="nil"/>
              <w:left w:val="nil"/>
              <w:bottom w:val="nil"/>
              <w:right w:val="nil"/>
            </w:tcBorders>
            <w:shd w:val="clear" w:color="auto" w:fill="FFFFFF"/>
            <w:vAlign w:val="center"/>
          </w:tcPr>
          <w:p w14:paraId="7E0C1E2E" w14:textId="4EF72584" w:rsidR="009E5AF4" w:rsidRPr="00481747" w:rsidRDefault="009E5AF4" w:rsidP="009E5AF4">
            <w:pPr>
              <w:pStyle w:val="CETBodytext"/>
              <w:jc w:val="center"/>
              <w:rPr>
                <w:lang w:val="en-GB"/>
              </w:rPr>
            </w:pPr>
            <w:r w:rsidRPr="00481747">
              <w:rPr>
                <w:lang w:val="en-GB"/>
              </w:rPr>
              <w:t>none</w:t>
            </w:r>
          </w:p>
        </w:tc>
        <w:tc>
          <w:tcPr>
            <w:tcW w:w="599" w:type="dxa"/>
            <w:tcBorders>
              <w:top w:val="nil"/>
              <w:left w:val="nil"/>
              <w:bottom w:val="nil"/>
              <w:right w:val="nil"/>
            </w:tcBorders>
            <w:shd w:val="clear" w:color="auto" w:fill="FFFFFF"/>
            <w:vAlign w:val="center"/>
          </w:tcPr>
          <w:p w14:paraId="29C2AC87" w14:textId="7A67072D" w:rsidR="009E5AF4" w:rsidRPr="00481747" w:rsidRDefault="009E5AF4" w:rsidP="009E5AF4">
            <w:pPr>
              <w:pStyle w:val="CETBodytext"/>
              <w:jc w:val="center"/>
              <w:rPr>
                <w:lang w:val="en-GB"/>
              </w:rPr>
            </w:pPr>
            <w:r w:rsidRPr="00481747">
              <w:rPr>
                <w:rFonts w:cs="Arial"/>
                <w:kern w:val="24"/>
                <w:sz w:val="16"/>
                <w:szCs w:val="16"/>
                <w:lang w:eastAsia="pl-PL"/>
              </w:rPr>
              <w:t>-</w:t>
            </w:r>
          </w:p>
        </w:tc>
        <w:tc>
          <w:tcPr>
            <w:tcW w:w="600" w:type="dxa"/>
            <w:tcBorders>
              <w:top w:val="nil"/>
              <w:left w:val="nil"/>
              <w:bottom w:val="nil"/>
            </w:tcBorders>
            <w:shd w:val="clear" w:color="auto" w:fill="FFFFFF"/>
            <w:vAlign w:val="center"/>
          </w:tcPr>
          <w:p w14:paraId="3AFC9544" w14:textId="5D8B3B76" w:rsidR="009E5AF4" w:rsidRPr="00481747" w:rsidRDefault="009E5AF4" w:rsidP="009E5AF4">
            <w:pPr>
              <w:pStyle w:val="CETBodytext"/>
              <w:jc w:val="center"/>
              <w:rPr>
                <w:b/>
                <w:bCs/>
                <w:lang w:val="en-GB"/>
              </w:rPr>
            </w:pPr>
            <w:r w:rsidRPr="00481747">
              <w:rPr>
                <w:rFonts w:cs="Arial"/>
                <w:b/>
                <w:bCs/>
                <w:kern w:val="24"/>
                <w:sz w:val="16"/>
                <w:szCs w:val="16"/>
                <w:lang w:eastAsia="pl-PL"/>
              </w:rPr>
              <w:t>R3</w:t>
            </w:r>
          </w:p>
        </w:tc>
      </w:tr>
      <w:tr w:rsidR="00AA70E9" w:rsidRPr="00481747" w14:paraId="163E04CC" w14:textId="06F72E65" w:rsidTr="00A0093B">
        <w:tc>
          <w:tcPr>
            <w:tcW w:w="1560" w:type="dxa"/>
            <w:tcBorders>
              <w:top w:val="nil"/>
              <w:bottom w:val="nil"/>
              <w:right w:val="nil"/>
            </w:tcBorders>
            <w:shd w:val="clear" w:color="auto" w:fill="FFFFFF"/>
          </w:tcPr>
          <w:p w14:paraId="29163384" w14:textId="3D4CFB45" w:rsidR="009E5AF4" w:rsidRPr="00481747" w:rsidRDefault="009E5AF4" w:rsidP="009E5AF4">
            <w:pPr>
              <w:pStyle w:val="CETBodytext"/>
              <w:rPr>
                <w:lang w:val="en-GB"/>
              </w:rPr>
            </w:pPr>
            <w:r w:rsidRPr="00481747">
              <w:rPr>
                <w:lang w:val="en-GB"/>
              </w:rPr>
              <w:t>Dedusting filter F</w:t>
            </w:r>
            <w:r w:rsidRPr="00481747">
              <w:rPr>
                <w:lang w:val="en-GB"/>
              </w:rPr>
              <w:tab/>
              <w:t xml:space="preserve"> </w:t>
            </w:r>
          </w:p>
        </w:tc>
        <w:tc>
          <w:tcPr>
            <w:tcW w:w="457" w:type="dxa"/>
            <w:tcBorders>
              <w:top w:val="nil"/>
              <w:left w:val="nil"/>
              <w:bottom w:val="nil"/>
              <w:right w:val="nil"/>
            </w:tcBorders>
            <w:shd w:val="clear" w:color="auto" w:fill="FFFFFF"/>
            <w:vAlign w:val="center"/>
          </w:tcPr>
          <w:p w14:paraId="3D3174BB" w14:textId="41751048" w:rsidR="009E5AF4" w:rsidRPr="00481747" w:rsidRDefault="009E5AF4" w:rsidP="009E5AF4">
            <w:pPr>
              <w:pStyle w:val="CETBodytext"/>
              <w:jc w:val="center"/>
              <w:rPr>
                <w:lang w:val="en-GB"/>
              </w:rPr>
            </w:pPr>
            <w:r w:rsidRPr="00481747">
              <w:rPr>
                <w:rFonts w:cs="Arial"/>
                <w:kern w:val="24"/>
                <w:sz w:val="16"/>
                <w:szCs w:val="16"/>
                <w:lang w:eastAsia="pl-PL"/>
              </w:rPr>
              <w:t>6</w:t>
            </w:r>
          </w:p>
        </w:tc>
        <w:tc>
          <w:tcPr>
            <w:tcW w:w="599" w:type="dxa"/>
            <w:tcBorders>
              <w:top w:val="nil"/>
              <w:left w:val="nil"/>
              <w:bottom w:val="nil"/>
              <w:right w:val="nil"/>
            </w:tcBorders>
            <w:shd w:val="clear" w:color="auto" w:fill="FFFFFF"/>
            <w:vAlign w:val="center"/>
          </w:tcPr>
          <w:p w14:paraId="0538FF43" w14:textId="42FE8202" w:rsidR="009E5AF4" w:rsidRPr="00481747" w:rsidRDefault="009E5AF4" w:rsidP="009E5AF4">
            <w:pPr>
              <w:pStyle w:val="CETBodytext"/>
              <w:jc w:val="center"/>
              <w:rPr>
                <w:lang w:val="en-GB"/>
              </w:rPr>
            </w:pPr>
            <w:r w:rsidRPr="00481747">
              <w:rPr>
                <w:rFonts w:cs="Arial"/>
                <w:kern w:val="24"/>
                <w:sz w:val="16"/>
                <w:szCs w:val="16"/>
                <w:lang w:eastAsia="pl-PL"/>
              </w:rPr>
              <w:t>-</w:t>
            </w:r>
          </w:p>
        </w:tc>
        <w:tc>
          <w:tcPr>
            <w:tcW w:w="600" w:type="dxa"/>
            <w:tcBorders>
              <w:top w:val="nil"/>
              <w:left w:val="nil"/>
              <w:bottom w:val="nil"/>
              <w:right w:val="nil"/>
            </w:tcBorders>
            <w:shd w:val="clear" w:color="auto" w:fill="FFFFFF"/>
            <w:vAlign w:val="center"/>
          </w:tcPr>
          <w:p w14:paraId="53C31071" w14:textId="38CE5720" w:rsidR="009E5AF4" w:rsidRPr="00481747" w:rsidRDefault="009E5AF4" w:rsidP="009E5AF4">
            <w:pPr>
              <w:pStyle w:val="CETBodytext"/>
              <w:jc w:val="center"/>
              <w:rPr>
                <w:lang w:val="en-GB"/>
              </w:rPr>
            </w:pPr>
            <w:r w:rsidRPr="00481747">
              <w:rPr>
                <w:rFonts w:cs="Arial"/>
                <w:kern w:val="24"/>
                <w:sz w:val="16"/>
                <w:szCs w:val="16"/>
                <w:lang w:eastAsia="pl-PL"/>
              </w:rPr>
              <w:t>4</w:t>
            </w:r>
          </w:p>
        </w:tc>
        <w:tc>
          <w:tcPr>
            <w:tcW w:w="599" w:type="dxa"/>
            <w:tcBorders>
              <w:top w:val="nil"/>
              <w:left w:val="nil"/>
              <w:bottom w:val="nil"/>
              <w:right w:val="nil"/>
            </w:tcBorders>
            <w:shd w:val="clear" w:color="auto" w:fill="FFFFFF"/>
            <w:vAlign w:val="center"/>
          </w:tcPr>
          <w:p w14:paraId="7D5A8F72" w14:textId="5EF13CA4" w:rsidR="009E5AF4" w:rsidRPr="00481747" w:rsidRDefault="009E5AF4" w:rsidP="009E5AF4">
            <w:pPr>
              <w:pStyle w:val="CETBodytext"/>
              <w:jc w:val="center"/>
              <w:rPr>
                <w:lang w:val="en-GB"/>
              </w:rPr>
            </w:pPr>
            <w:r w:rsidRPr="00481747">
              <w:rPr>
                <w:rFonts w:cs="Arial"/>
                <w:kern w:val="24"/>
                <w:sz w:val="16"/>
                <w:szCs w:val="16"/>
                <w:lang w:eastAsia="pl-PL"/>
              </w:rPr>
              <w:t>-</w:t>
            </w:r>
          </w:p>
        </w:tc>
        <w:tc>
          <w:tcPr>
            <w:tcW w:w="599" w:type="dxa"/>
            <w:tcBorders>
              <w:top w:val="nil"/>
              <w:left w:val="nil"/>
              <w:bottom w:val="nil"/>
              <w:right w:val="nil"/>
            </w:tcBorders>
            <w:shd w:val="clear" w:color="auto" w:fill="FFFFFF"/>
            <w:vAlign w:val="center"/>
          </w:tcPr>
          <w:p w14:paraId="01C6C268" w14:textId="67B04D7F" w:rsidR="009E5AF4" w:rsidRPr="00481747" w:rsidRDefault="009E5AF4" w:rsidP="009E5AF4">
            <w:pPr>
              <w:pStyle w:val="CETBodytext"/>
              <w:jc w:val="center"/>
              <w:rPr>
                <w:lang w:val="en-GB"/>
              </w:rPr>
            </w:pPr>
            <w:r w:rsidRPr="00481747">
              <w:rPr>
                <w:rFonts w:cs="Arial"/>
                <w:kern w:val="24"/>
                <w:sz w:val="16"/>
                <w:szCs w:val="16"/>
                <w:lang w:eastAsia="pl-PL"/>
              </w:rPr>
              <w:t>-</w:t>
            </w:r>
          </w:p>
        </w:tc>
        <w:tc>
          <w:tcPr>
            <w:tcW w:w="600" w:type="dxa"/>
            <w:tcBorders>
              <w:top w:val="nil"/>
              <w:left w:val="nil"/>
              <w:bottom w:val="nil"/>
              <w:right w:val="nil"/>
            </w:tcBorders>
            <w:shd w:val="clear" w:color="auto" w:fill="FFFFFF"/>
            <w:vAlign w:val="center"/>
          </w:tcPr>
          <w:p w14:paraId="3212D3CC" w14:textId="7199ECE2" w:rsidR="009E5AF4" w:rsidRPr="00481747" w:rsidRDefault="009E5AF4" w:rsidP="009E5AF4">
            <w:pPr>
              <w:pStyle w:val="CETBodytext"/>
              <w:jc w:val="center"/>
              <w:rPr>
                <w:lang w:val="en-GB"/>
              </w:rPr>
            </w:pPr>
            <w:r w:rsidRPr="00481747">
              <w:rPr>
                <w:rFonts w:cs="Arial"/>
                <w:kern w:val="24"/>
                <w:sz w:val="16"/>
                <w:szCs w:val="16"/>
                <w:lang w:eastAsia="pl-PL"/>
              </w:rPr>
              <w:t>-</w:t>
            </w:r>
          </w:p>
        </w:tc>
        <w:tc>
          <w:tcPr>
            <w:tcW w:w="599" w:type="dxa"/>
            <w:tcBorders>
              <w:top w:val="nil"/>
              <w:left w:val="nil"/>
              <w:bottom w:val="nil"/>
              <w:right w:val="nil"/>
            </w:tcBorders>
            <w:shd w:val="clear" w:color="auto" w:fill="FFFFFF"/>
          </w:tcPr>
          <w:p w14:paraId="229E4BA2" w14:textId="67DB0785" w:rsidR="009E5AF4" w:rsidRPr="00481747" w:rsidRDefault="009E5AF4" w:rsidP="009E5AF4">
            <w:pPr>
              <w:pStyle w:val="CETBodytext"/>
              <w:jc w:val="center"/>
              <w:rPr>
                <w:lang w:val="en-GB"/>
              </w:rPr>
            </w:pPr>
            <w:r w:rsidRPr="00481747">
              <w:rPr>
                <w:sz w:val="16"/>
                <w:szCs w:val="16"/>
                <w:lang w:val="en-GB"/>
              </w:rPr>
              <w:t>cont.</w:t>
            </w:r>
          </w:p>
        </w:tc>
        <w:tc>
          <w:tcPr>
            <w:tcW w:w="599" w:type="dxa"/>
            <w:tcBorders>
              <w:top w:val="nil"/>
              <w:left w:val="nil"/>
              <w:bottom w:val="nil"/>
              <w:right w:val="nil"/>
            </w:tcBorders>
            <w:shd w:val="clear" w:color="auto" w:fill="FFFFFF"/>
            <w:vAlign w:val="center"/>
          </w:tcPr>
          <w:p w14:paraId="1C108467" w14:textId="548EE91B" w:rsidR="009E5AF4" w:rsidRPr="00481747" w:rsidRDefault="009E5AF4" w:rsidP="009E5AF4">
            <w:pPr>
              <w:pStyle w:val="CETBodytext"/>
              <w:jc w:val="center"/>
              <w:rPr>
                <w:lang w:val="en-GB"/>
              </w:rPr>
            </w:pPr>
            <w:r w:rsidRPr="00481747">
              <w:rPr>
                <w:rFonts w:cs="Arial"/>
                <w:kern w:val="24"/>
                <w:sz w:val="16"/>
                <w:szCs w:val="16"/>
                <w:lang w:eastAsia="pl-PL"/>
              </w:rPr>
              <w:t>under</w:t>
            </w:r>
          </w:p>
        </w:tc>
        <w:tc>
          <w:tcPr>
            <w:tcW w:w="600" w:type="dxa"/>
            <w:tcBorders>
              <w:top w:val="nil"/>
              <w:left w:val="nil"/>
              <w:bottom w:val="nil"/>
              <w:right w:val="nil"/>
            </w:tcBorders>
            <w:shd w:val="clear" w:color="auto" w:fill="FFFFFF"/>
            <w:vAlign w:val="center"/>
          </w:tcPr>
          <w:p w14:paraId="537FB425" w14:textId="14182607" w:rsidR="009E5AF4" w:rsidRPr="00481747" w:rsidRDefault="009E5AF4" w:rsidP="009E5AF4">
            <w:pPr>
              <w:pStyle w:val="CETBodytext"/>
              <w:jc w:val="center"/>
              <w:rPr>
                <w:lang w:val="en-GB"/>
              </w:rPr>
            </w:pPr>
            <w:r w:rsidRPr="00481747">
              <w:rPr>
                <w:lang w:val="en-GB"/>
              </w:rPr>
              <w:t>-</w:t>
            </w:r>
          </w:p>
        </w:tc>
        <w:tc>
          <w:tcPr>
            <w:tcW w:w="599" w:type="dxa"/>
            <w:tcBorders>
              <w:top w:val="nil"/>
              <w:left w:val="nil"/>
              <w:bottom w:val="nil"/>
              <w:right w:val="nil"/>
            </w:tcBorders>
            <w:shd w:val="clear" w:color="auto" w:fill="FFFFFF"/>
            <w:vAlign w:val="center"/>
          </w:tcPr>
          <w:p w14:paraId="2E72E135" w14:textId="099192D2" w:rsidR="009E5AF4" w:rsidRPr="00481747" w:rsidRDefault="009E5AF4" w:rsidP="009E5AF4">
            <w:pPr>
              <w:pStyle w:val="CETBodytext"/>
              <w:jc w:val="center"/>
              <w:rPr>
                <w:lang w:val="en-GB"/>
              </w:rPr>
            </w:pPr>
            <w:r w:rsidRPr="00481747">
              <w:rPr>
                <w:lang w:val="en-GB"/>
              </w:rPr>
              <w:t>none</w:t>
            </w:r>
          </w:p>
        </w:tc>
        <w:tc>
          <w:tcPr>
            <w:tcW w:w="599" w:type="dxa"/>
            <w:tcBorders>
              <w:top w:val="nil"/>
              <w:left w:val="nil"/>
              <w:bottom w:val="nil"/>
              <w:right w:val="nil"/>
            </w:tcBorders>
            <w:shd w:val="clear" w:color="auto" w:fill="FFFFFF"/>
            <w:vAlign w:val="center"/>
          </w:tcPr>
          <w:p w14:paraId="361CBE7B" w14:textId="30BA25E2" w:rsidR="009E5AF4" w:rsidRPr="00481747" w:rsidRDefault="009E5AF4" w:rsidP="009E5AF4">
            <w:pPr>
              <w:pStyle w:val="CETBodytext"/>
              <w:jc w:val="center"/>
              <w:rPr>
                <w:lang w:val="en-GB"/>
              </w:rPr>
            </w:pPr>
            <w:r w:rsidRPr="00481747">
              <w:rPr>
                <w:rFonts w:cs="Arial"/>
                <w:kern w:val="24"/>
                <w:sz w:val="16"/>
                <w:szCs w:val="16"/>
                <w:lang w:eastAsia="pl-PL"/>
              </w:rPr>
              <w:t>-</w:t>
            </w:r>
          </w:p>
        </w:tc>
        <w:tc>
          <w:tcPr>
            <w:tcW w:w="600" w:type="dxa"/>
            <w:tcBorders>
              <w:top w:val="nil"/>
              <w:left w:val="nil"/>
              <w:bottom w:val="nil"/>
            </w:tcBorders>
            <w:shd w:val="clear" w:color="auto" w:fill="FFFFFF"/>
            <w:vAlign w:val="center"/>
          </w:tcPr>
          <w:p w14:paraId="53BB8041" w14:textId="704C0D4A" w:rsidR="009E5AF4" w:rsidRPr="00481747" w:rsidRDefault="009E5AF4" w:rsidP="009E5AF4">
            <w:pPr>
              <w:pStyle w:val="CETBodytext"/>
              <w:jc w:val="center"/>
              <w:rPr>
                <w:b/>
                <w:bCs/>
                <w:lang w:val="en-GB"/>
              </w:rPr>
            </w:pPr>
            <w:r w:rsidRPr="00481747">
              <w:rPr>
                <w:rFonts w:cs="Arial"/>
                <w:b/>
                <w:bCs/>
                <w:kern w:val="24"/>
                <w:sz w:val="16"/>
                <w:szCs w:val="16"/>
                <w:lang w:eastAsia="pl-PL"/>
              </w:rPr>
              <w:t>R3</w:t>
            </w:r>
          </w:p>
        </w:tc>
      </w:tr>
      <w:tr w:rsidR="00AA70E9" w:rsidRPr="00481747" w14:paraId="1F2601E0" w14:textId="5B3413DB" w:rsidTr="00A0093B">
        <w:tc>
          <w:tcPr>
            <w:tcW w:w="1560" w:type="dxa"/>
            <w:tcBorders>
              <w:top w:val="nil"/>
              <w:bottom w:val="nil"/>
              <w:right w:val="nil"/>
            </w:tcBorders>
            <w:shd w:val="clear" w:color="auto" w:fill="FFFFFF"/>
          </w:tcPr>
          <w:p w14:paraId="644ACDAA" w14:textId="648AB686" w:rsidR="009E5AF4" w:rsidRPr="00481747" w:rsidRDefault="009E5AF4" w:rsidP="009E5AF4">
            <w:pPr>
              <w:pStyle w:val="CETBodytext"/>
              <w:rPr>
                <w:lang w:val="en-GB"/>
              </w:rPr>
            </w:pPr>
            <w:r w:rsidRPr="00481747">
              <w:rPr>
                <w:lang w:val="en-GB"/>
              </w:rPr>
              <w:t>Bucket elevator BE</w:t>
            </w:r>
            <w:r w:rsidRPr="00481747">
              <w:rPr>
                <w:lang w:val="en-GB"/>
              </w:rPr>
              <w:tab/>
            </w:r>
          </w:p>
        </w:tc>
        <w:tc>
          <w:tcPr>
            <w:tcW w:w="457" w:type="dxa"/>
            <w:tcBorders>
              <w:top w:val="nil"/>
              <w:left w:val="nil"/>
              <w:bottom w:val="nil"/>
              <w:right w:val="nil"/>
            </w:tcBorders>
            <w:shd w:val="clear" w:color="auto" w:fill="FFFFFF"/>
            <w:vAlign w:val="center"/>
          </w:tcPr>
          <w:p w14:paraId="222B9069" w14:textId="30A6C6F2" w:rsidR="009E5AF4" w:rsidRPr="00481747" w:rsidRDefault="009E5AF4" w:rsidP="009E5AF4">
            <w:pPr>
              <w:pStyle w:val="CETBodytext"/>
              <w:jc w:val="center"/>
              <w:rPr>
                <w:lang w:val="en-GB"/>
              </w:rPr>
            </w:pPr>
            <w:r w:rsidRPr="00481747">
              <w:rPr>
                <w:rFonts w:cs="Arial"/>
                <w:kern w:val="24"/>
                <w:sz w:val="16"/>
                <w:szCs w:val="16"/>
                <w:lang w:eastAsia="pl-PL"/>
              </w:rPr>
              <w:t>5</w:t>
            </w:r>
          </w:p>
        </w:tc>
        <w:tc>
          <w:tcPr>
            <w:tcW w:w="599" w:type="dxa"/>
            <w:tcBorders>
              <w:top w:val="nil"/>
              <w:left w:val="nil"/>
              <w:bottom w:val="nil"/>
              <w:right w:val="nil"/>
            </w:tcBorders>
            <w:shd w:val="clear" w:color="auto" w:fill="FFFFFF"/>
            <w:vAlign w:val="center"/>
          </w:tcPr>
          <w:p w14:paraId="3EA024B5" w14:textId="092AFD85" w:rsidR="009E5AF4" w:rsidRPr="00481747" w:rsidRDefault="009E5AF4" w:rsidP="009E5AF4">
            <w:pPr>
              <w:pStyle w:val="CETBodytext"/>
              <w:jc w:val="center"/>
              <w:rPr>
                <w:lang w:val="en-GB"/>
              </w:rPr>
            </w:pPr>
            <w:r w:rsidRPr="00481747">
              <w:rPr>
                <w:rFonts w:cs="Arial"/>
                <w:kern w:val="24"/>
                <w:sz w:val="16"/>
                <w:szCs w:val="16"/>
                <w:lang w:eastAsia="pl-PL"/>
              </w:rPr>
              <w:t>35</w:t>
            </w:r>
          </w:p>
        </w:tc>
        <w:tc>
          <w:tcPr>
            <w:tcW w:w="600" w:type="dxa"/>
            <w:tcBorders>
              <w:top w:val="nil"/>
              <w:left w:val="nil"/>
              <w:bottom w:val="nil"/>
              <w:right w:val="nil"/>
            </w:tcBorders>
            <w:shd w:val="clear" w:color="auto" w:fill="FFFFFF"/>
            <w:vAlign w:val="center"/>
          </w:tcPr>
          <w:p w14:paraId="24C0DE82" w14:textId="514C955B" w:rsidR="009E5AF4" w:rsidRPr="00481747" w:rsidRDefault="009E5AF4" w:rsidP="009E5AF4">
            <w:pPr>
              <w:pStyle w:val="CETBodytext"/>
              <w:jc w:val="center"/>
              <w:rPr>
                <w:lang w:val="en-GB"/>
              </w:rPr>
            </w:pPr>
            <w:r w:rsidRPr="00481747">
              <w:rPr>
                <w:rFonts w:cs="Arial"/>
                <w:kern w:val="24"/>
                <w:sz w:val="16"/>
                <w:szCs w:val="16"/>
                <w:lang w:eastAsia="pl-PL"/>
              </w:rPr>
              <w:t>-</w:t>
            </w:r>
          </w:p>
        </w:tc>
        <w:tc>
          <w:tcPr>
            <w:tcW w:w="599" w:type="dxa"/>
            <w:tcBorders>
              <w:top w:val="nil"/>
              <w:left w:val="nil"/>
              <w:bottom w:val="nil"/>
              <w:right w:val="nil"/>
            </w:tcBorders>
            <w:shd w:val="clear" w:color="auto" w:fill="FFFFFF"/>
            <w:vAlign w:val="center"/>
          </w:tcPr>
          <w:p w14:paraId="1624DC59" w14:textId="020AAD30" w:rsidR="009E5AF4" w:rsidRPr="00481747" w:rsidRDefault="009E5AF4" w:rsidP="009E5AF4">
            <w:pPr>
              <w:pStyle w:val="CETBodytext"/>
              <w:jc w:val="center"/>
              <w:rPr>
                <w:lang w:val="en-GB"/>
              </w:rPr>
            </w:pPr>
            <w:r w:rsidRPr="00481747">
              <w:rPr>
                <w:lang w:val="en-GB"/>
              </w:rPr>
              <w:t>none</w:t>
            </w:r>
          </w:p>
        </w:tc>
        <w:tc>
          <w:tcPr>
            <w:tcW w:w="599" w:type="dxa"/>
            <w:tcBorders>
              <w:top w:val="nil"/>
              <w:left w:val="nil"/>
              <w:bottom w:val="nil"/>
              <w:right w:val="nil"/>
            </w:tcBorders>
            <w:shd w:val="clear" w:color="auto" w:fill="FFFFFF"/>
            <w:vAlign w:val="center"/>
          </w:tcPr>
          <w:p w14:paraId="05D21FCB" w14:textId="6EA2B7D7" w:rsidR="009E5AF4" w:rsidRPr="00481747" w:rsidRDefault="009E5AF4" w:rsidP="009E5AF4">
            <w:pPr>
              <w:pStyle w:val="CETBodytext"/>
              <w:jc w:val="center"/>
              <w:rPr>
                <w:lang w:val="en-GB"/>
              </w:rPr>
            </w:pPr>
            <w:r w:rsidRPr="00481747">
              <w:rPr>
                <w:lang w:val="en-GB"/>
              </w:rPr>
              <w:t>none</w:t>
            </w:r>
          </w:p>
        </w:tc>
        <w:tc>
          <w:tcPr>
            <w:tcW w:w="600" w:type="dxa"/>
            <w:tcBorders>
              <w:top w:val="nil"/>
              <w:left w:val="nil"/>
              <w:bottom w:val="nil"/>
              <w:right w:val="nil"/>
            </w:tcBorders>
            <w:shd w:val="clear" w:color="auto" w:fill="FFFFFF"/>
            <w:vAlign w:val="center"/>
          </w:tcPr>
          <w:p w14:paraId="0FB28297" w14:textId="7373B628" w:rsidR="009E5AF4" w:rsidRPr="00481747" w:rsidRDefault="009E5AF4" w:rsidP="009E5AF4">
            <w:pPr>
              <w:pStyle w:val="CETBodytext"/>
              <w:jc w:val="center"/>
              <w:rPr>
                <w:lang w:val="en-GB"/>
              </w:rPr>
            </w:pPr>
            <w:r w:rsidRPr="00481747">
              <w:rPr>
                <w:rFonts w:cs="Arial"/>
                <w:kern w:val="24"/>
                <w:sz w:val="16"/>
                <w:szCs w:val="16"/>
                <w:lang w:eastAsia="pl-PL"/>
              </w:rPr>
              <w:t>-</w:t>
            </w:r>
          </w:p>
        </w:tc>
        <w:tc>
          <w:tcPr>
            <w:tcW w:w="599" w:type="dxa"/>
            <w:tcBorders>
              <w:top w:val="nil"/>
              <w:left w:val="nil"/>
              <w:bottom w:val="nil"/>
              <w:right w:val="nil"/>
            </w:tcBorders>
            <w:shd w:val="clear" w:color="auto" w:fill="FFFFFF"/>
          </w:tcPr>
          <w:p w14:paraId="76C4AC3E" w14:textId="4F724D4D" w:rsidR="009E5AF4" w:rsidRPr="00481747" w:rsidRDefault="009E5AF4" w:rsidP="009E5AF4">
            <w:pPr>
              <w:pStyle w:val="CETBodytext"/>
              <w:jc w:val="center"/>
              <w:rPr>
                <w:lang w:val="en-GB"/>
              </w:rPr>
            </w:pPr>
            <w:r w:rsidRPr="00481747">
              <w:rPr>
                <w:sz w:val="16"/>
                <w:szCs w:val="16"/>
                <w:lang w:val="en-GB"/>
              </w:rPr>
              <w:t>cont.</w:t>
            </w:r>
          </w:p>
        </w:tc>
        <w:tc>
          <w:tcPr>
            <w:tcW w:w="599" w:type="dxa"/>
            <w:tcBorders>
              <w:top w:val="nil"/>
              <w:left w:val="nil"/>
              <w:bottom w:val="nil"/>
              <w:right w:val="nil"/>
            </w:tcBorders>
            <w:shd w:val="clear" w:color="auto" w:fill="FFFFFF"/>
            <w:vAlign w:val="center"/>
          </w:tcPr>
          <w:p w14:paraId="575AE6D0" w14:textId="1BE4D91F" w:rsidR="009E5AF4" w:rsidRPr="00481747" w:rsidRDefault="009E5AF4" w:rsidP="009E5AF4">
            <w:pPr>
              <w:pStyle w:val="CETBodytext"/>
              <w:jc w:val="center"/>
              <w:rPr>
                <w:lang w:val="en-GB"/>
              </w:rPr>
            </w:pPr>
            <w:r w:rsidRPr="00481747">
              <w:rPr>
                <w:rFonts w:cs="Arial"/>
                <w:kern w:val="24"/>
                <w:sz w:val="16"/>
                <w:szCs w:val="16"/>
                <w:lang w:eastAsia="pl-PL"/>
              </w:rPr>
              <w:t>-</w:t>
            </w:r>
          </w:p>
        </w:tc>
        <w:tc>
          <w:tcPr>
            <w:tcW w:w="600" w:type="dxa"/>
            <w:tcBorders>
              <w:top w:val="nil"/>
              <w:left w:val="nil"/>
              <w:bottom w:val="nil"/>
              <w:right w:val="nil"/>
            </w:tcBorders>
            <w:shd w:val="clear" w:color="auto" w:fill="FFFFFF"/>
            <w:vAlign w:val="center"/>
          </w:tcPr>
          <w:p w14:paraId="508A8E34" w14:textId="7D77852C" w:rsidR="009E5AF4" w:rsidRPr="00481747" w:rsidRDefault="009E5AF4" w:rsidP="009E5AF4">
            <w:pPr>
              <w:pStyle w:val="CETBodytext"/>
              <w:jc w:val="center"/>
              <w:rPr>
                <w:lang w:val="en-GB"/>
              </w:rPr>
            </w:pPr>
            <w:r w:rsidRPr="00481747">
              <w:rPr>
                <w:lang w:val="en-GB"/>
              </w:rPr>
              <w:t>-</w:t>
            </w:r>
          </w:p>
        </w:tc>
        <w:tc>
          <w:tcPr>
            <w:tcW w:w="599" w:type="dxa"/>
            <w:tcBorders>
              <w:top w:val="nil"/>
              <w:left w:val="nil"/>
              <w:bottom w:val="nil"/>
              <w:right w:val="nil"/>
            </w:tcBorders>
            <w:shd w:val="clear" w:color="auto" w:fill="FFFFFF"/>
            <w:vAlign w:val="center"/>
          </w:tcPr>
          <w:p w14:paraId="2DED7F74" w14:textId="356A3827" w:rsidR="009E5AF4" w:rsidRPr="00481747" w:rsidRDefault="009E5AF4" w:rsidP="009E5AF4">
            <w:pPr>
              <w:pStyle w:val="CETBodytext"/>
              <w:jc w:val="center"/>
              <w:rPr>
                <w:lang w:val="en-GB"/>
              </w:rPr>
            </w:pPr>
            <w:r w:rsidRPr="00481747">
              <w:rPr>
                <w:rFonts w:cs="Arial"/>
                <w:kern w:val="24"/>
                <w:sz w:val="16"/>
                <w:szCs w:val="16"/>
                <w:lang w:eastAsia="pl-PL"/>
              </w:rPr>
              <w:t>-</w:t>
            </w:r>
          </w:p>
        </w:tc>
        <w:tc>
          <w:tcPr>
            <w:tcW w:w="599" w:type="dxa"/>
            <w:tcBorders>
              <w:top w:val="nil"/>
              <w:left w:val="nil"/>
              <w:bottom w:val="nil"/>
              <w:right w:val="nil"/>
            </w:tcBorders>
            <w:shd w:val="clear" w:color="auto" w:fill="FFFFFF"/>
            <w:vAlign w:val="center"/>
          </w:tcPr>
          <w:p w14:paraId="1086C20C" w14:textId="46F90B5B" w:rsidR="009E5AF4" w:rsidRPr="00481747" w:rsidRDefault="009E5AF4" w:rsidP="009E5AF4">
            <w:pPr>
              <w:pStyle w:val="CETBodytext"/>
              <w:jc w:val="center"/>
              <w:rPr>
                <w:lang w:val="en-GB"/>
              </w:rPr>
            </w:pPr>
            <w:r w:rsidRPr="00481747">
              <w:rPr>
                <w:lang w:val="en-GB"/>
              </w:rPr>
              <w:t>none</w:t>
            </w:r>
          </w:p>
        </w:tc>
        <w:tc>
          <w:tcPr>
            <w:tcW w:w="600" w:type="dxa"/>
            <w:tcBorders>
              <w:top w:val="nil"/>
              <w:left w:val="nil"/>
              <w:bottom w:val="nil"/>
            </w:tcBorders>
            <w:shd w:val="clear" w:color="auto" w:fill="FFFFFF"/>
            <w:vAlign w:val="center"/>
          </w:tcPr>
          <w:p w14:paraId="77EA9504" w14:textId="5B357E12" w:rsidR="009E5AF4" w:rsidRPr="00481747" w:rsidRDefault="009E5AF4" w:rsidP="009E5AF4">
            <w:pPr>
              <w:pStyle w:val="CETBodytext"/>
              <w:jc w:val="center"/>
              <w:rPr>
                <w:b/>
                <w:bCs/>
                <w:lang w:val="en-GB"/>
              </w:rPr>
            </w:pPr>
            <w:r w:rsidRPr="00481747">
              <w:rPr>
                <w:rFonts w:cs="Arial"/>
                <w:b/>
                <w:bCs/>
                <w:kern w:val="24"/>
                <w:sz w:val="16"/>
                <w:szCs w:val="16"/>
                <w:lang w:eastAsia="pl-PL"/>
              </w:rPr>
              <w:t>R4</w:t>
            </w:r>
          </w:p>
        </w:tc>
      </w:tr>
    </w:tbl>
    <w:p w14:paraId="1EFFABC7" w14:textId="3B18B057" w:rsidR="00826C01" w:rsidRPr="00481747" w:rsidRDefault="0078042B" w:rsidP="0078042B">
      <w:pPr>
        <w:pStyle w:val="CETCaption"/>
      </w:pPr>
      <w:r w:rsidRPr="00481747">
        <w:t xml:space="preserve">Table 2B: </w:t>
      </w:r>
      <w:r w:rsidR="0044487D" w:rsidRPr="00481747">
        <w:t>Summary of data and results of the hazard assessment for lower-risk equipment.</w:t>
      </w:r>
      <w:r w:rsidR="001D03AC" w:rsidRPr="00481747">
        <w:t xml:space="preserve"> </w:t>
      </w:r>
      <w:r w:rsidR="00EF2D9F" w:rsidRPr="00481747">
        <w:t>MEZ = 5 mJ, DGW = 30 g/m3</w:t>
      </w:r>
      <w:r w:rsidR="008A6B04" w:rsidRPr="00481747">
        <w:t>, cont</w:t>
      </w:r>
      <w:r w:rsidR="009E5AF4" w:rsidRPr="00481747">
        <w:t>.</w:t>
      </w:r>
      <w:r w:rsidR="008A6B04" w:rsidRPr="00481747">
        <w:t xml:space="preserve"> is ‘continuous’</w:t>
      </w:r>
      <w:r w:rsidR="00EF2D9F" w:rsidRPr="00481747">
        <w:t>.</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418"/>
        <w:gridCol w:w="670"/>
        <w:gridCol w:w="670"/>
        <w:gridCol w:w="670"/>
        <w:gridCol w:w="670"/>
        <w:gridCol w:w="670"/>
        <w:gridCol w:w="670"/>
        <w:gridCol w:w="670"/>
        <w:gridCol w:w="670"/>
        <w:gridCol w:w="670"/>
        <w:gridCol w:w="670"/>
        <w:gridCol w:w="671"/>
      </w:tblGrid>
      <w:tr w:rsidR="00AA70E9" w:rsidRPr="00481747" w14:paraId="10860942" w14:textId="77777777" w:rsidTr="00C03D3E">
        <w:tc>
          <w:tcPr>
            <w:tcW w:w="1418" w:type="dxa"/>
            <w:tcBorders>
              <w:top w:val="single" w:sz="12" w:space="0" w:color="008000"/>
              <w:bottom w:val="single" w:sz="6" w:space="0" w:color="008000"/>
            </w:tcBorders>
            <w:shd w:val="clear" w:color="auto" w:fill="FFFFFF"/>
          </w:tcPr>
          <w:p w14:paraId="44DF6033" w14:textId="77777777" w:rsidR="00831DB7" w:rsidRPr="00481747" w:rsidRDefault="00831DB7" w:rsidP="00831DB7">
            <w:pPr>
              <w:pStyle w:val="CETBodytext"/>
              <w:rPr>
                <w:lang w:val="en-GB"/>
              </w:rPr>
            </w:pPr>
            <w:r w:rsidRPr="00481747">
              <w:rPr>
                <w:lang w:val="en-GB"/>
              </w:rPr>
              <w:t>Process</w:t>
            </w:r>
          </w:p>
          <w:p w14:paraId="487A4D95" w14:textId="77777777" w:rsidR="00831DB7" w:rsidRPr="00481747" w:rsidRDefault="00831DB7" w:rsidP="00831DB7">
            <w:pPr>
              <w:pStyle w:val="CETBodytext"/>
              <w:rPr>
                <w:lang w:val="en-GB"/>
              </w:rPr>
            </w:pPr>
            <w:r w:rsidRPr="00481747">
              <w:rPr>
                <w:lang w:val="en-GB"/>
              </w:rPr>
              <w:t>risk factors/</w:t>
            </w:r>
          </w:p>
          <w:p w14:paraId="16FF2ACB" w14:textId="77777777" w:rsidR="00831DB7" w:rsidRPr="00481747" w:rsidRDefault="00831DB7" w:rsidP="00831DB7">
            <w:pPr>
              <w:pStyle w:val="CETBodytext"/>
              <w:rPr>
                <w:lang w:val="en-GB"/>
              </w:rPr>
            </w:pPr>
            <w:r w:rsidRPr="00481747">
              <w:rPr>
                <w:lang w:val="en-GB"/>
              </w:rPr>
              <w:t>Equipment</w:t>
            </w:r>
          </w:p>
        </w:tc>
        <w:tc>
          <w:tcPr>
            <w:tcW w:w="670" w:type="dxa"/>
            <w:tcBorders>
              <w:top w:val="single" w:sz="12" w:space="0" w:color="008000"/>
              <w:bottom w:val="single" w:sz="6" w:space="0" w:color="008000"/>
            </w:tcBorders>
            <w:shd w:val="clear" w:color="auto" w:fill="FFFFFF"/>
            <w:vAlign w:val="center"/>
          </w:tcPr>
          <w:p w14:paraId="5619632B" w14:textId="1F776E03" w:rsidR="00831DB7" w:rsidRPr="00481747" w:rsidRDefault="00831DB7" w:rsidP="00831DB7">
            <w:pPr>
              <w:pStyle w:val="CETBodytext"/>
              <w:jc w:val="center"/>
              <w:rPr>
                <w:lang w:val="en-GB"/>
              </w:rPr>
            </w:pPr>
            <w:r w:rsidRPr="00481747">
              <w:rPr>
                <w:rFonts w:cs="Arial"/>
                <w:kern w:val="24"/>
                <w:sz w:val="16"/>
                <w:szCs w:val="16"/>
                <w:lang w:eastAsia="pl-PL"/>
              </w:rPr>
              <w:t>V (m</w:t>
            </w:r>
            <w:r w:rsidRPr="00481747">
              <w:rPr>
                <w:rFonts w:cs="Arial"/>
                <w:kern w:val="24"/>
                <w:position w:val="7"/>
                <w:sz w:val="16"/>
                <w:szCs w:val="16"/>
                <w:vertAlign w:val="superscript"/>
                <w:lang w:eastAsia="pl-PL"/>
              </w:rPr>
              <w:t>3</w:t>
            </w:r>
            <w:r w:rsidRPr="00481747">
              <w:rPr>
                <w:rFonts w:cs="Arial"/>
                <w:kern w:val="24"/>
                <w:sz w:val="16"/>
                <w:szCs w:val="16"/>
                <w:lang w:eastAsia="pl-PL"/>
              </w:rPr>
              <w:t>)</w:t>
            </w:r>
          </w:p>
        </w:tc>
        <w:tc>
          <w:tcPr>
            <w:tcW w:w="670" w:type="dxa"/>
            <w:tcBorders>
              <w:top w:val="single" w:sz="12" w:space="0" w:color="008000"/>
              <w:bottom w:val="single" w:sz="6" w:space="0" w:color="008000"/>
            </w:tcBorders>
            <w:shd w:val="clear" w:color="auto" w:fill="FFFFFF"/>
            <w:vAlign w:val="center"/>
          </w:tcPr>
          <w:p w14:paraId="596E2B78" w14:textId="77777777" w:rsidR="00831DB7" w:rsidRPr="00481747" w:rsidRDefault="00831DB7" w:rsidP="00831DB7">
            <w:pPr>
              <w:spacing w:line="240" w:lineRule="auto"/>
              <w:jc w:val="center"/>
              <w:rPr>
                <w:rFonts w:cs="Arial"/>
                <w:kern w:val="24"/>
                <w:sz w:val="16"/>
                <w:szCs w:val="16"/>
                <w:lang w:eastAsia="pl-PL"/>
              </w:rPr>
            </w:pPr>
            <w:r w:rsidRPr="00481747">
              <w:rPr>
                <w:rFonts w:cs="Arial"/>
                <w:kern w:val="24"/>
                <w:sz w:val="16"/>
                <w:szCs w:val="16"/>
                <w:lang w:eastAsia="pl-PL"/>
              </w:rPr>
              <w:t>L</w:t>
            </w:r>
          </w:p>
          <w:p w14:paraId="26FE5605" w14:textId="72868FC7" w:rsidR="00831DB7" w:rsidRPr="00481747" w:rsidRDefault="00831DB7" w:rsidP="00831DB7">
            <w:pPr>
              <w:pStyle w:val="CETBodytext"/>
              <w:jc w:val="center"/>
              <w:rPr>
                <w:lang w:val="en-GB"/>
              </w:rPr>
            </w:pPr>
            <w:r w:rsidRPr="00481747">
              <w:rPr>
                <w:rFonts w:cs="Arial"/>
                <w:kern w:val="24"/>
                <w:sz w:val="16"/>
                <w:szCs w:val="16"/>
                <w:lang w:eastAsia="pl-PL"/>
              </w:rPr>
              <w:t>(m)</w:t>
            </w:r>
          </w:p>
        </w:tc>
        <w:tc>
          <w:tcPr>
            <w:tcW w:w="670" w:type="dxa"/>
            <w:tcBorders>
              <w:top w:val="single" w:sz="12" w:space="0" w:color="008000"/>
              <w:bottom w:val="single" w:sz="6" w:space="0" w:color="008000"/>
            </w:tcBorders>
            <w:shd w:val="clear" w:color="auto" w:fill="FFFFFF"/>
            <w:vAlign w:val="center"/>
          </w:tcPr>
          <w:p w14:paraId="4991E531" w14:textId="77777777" w:rsidR="00831DB7" w:rsidRPr="00481747" w:rsidRDefault="00831DB7" w:rsidP="00831DB7">
            <w:pPr>
              <w:spacing w:line="240" w:lineRule="auto"/>
              <w:jc w:val="center"/>
              <w:rPr>
                <w:rFonts w:cs="Arial"/>
                <w:kern w:val="24"/>
                <w:sz w:val="16"/>
                <w:szCs w:val="16"/>
                <w:lang w:eastAsia="pl-PL"/>
              </w:rPr>
            </w:pPr>
            <w:r w:rsidRPr="00481747">
              <w:rPr>
                <w:rFonts w:cs="Arial"/>
                <w:kern w:val="24"/>
                <w:sz w:val="16"/>
                <w:szCs w:val="16"/>
                <w:lang w:eastAsia="pl-PL"/>
              </w:rPr>
              <w:t>D</w:t>
            </w:r>
          </w:p>
          <w:p w14:paraId="7C5BCEFB" w14:textId="7D1273A5" w:rsidR="00831DB7" w:rsidRPr="00481747" w:rsidRDefault="00831DB7" w:rsidP="00831DB7">
            <w:pPr>
              <w:pStyle w:val="CETBodytext"/>
              <w:jc w:val="center"/>
              <w:rPr>
                <w:lang w:val="en-GB"/>
              </w:rPr>
            </w:pPr>
            <w:r w:rsidRPr="00481747">
              <w:rPr>
                <w:rFonts w:cs="Arial"/>
                <w:kern w:val="24"/>
                <w:sz w:val="16"/>
                <w:szCs w:val="16"/>
                <w:lang w:eastAsia="pl-PL"/>
              </w:rPr>
              <w:t>(m)</w:t>
            </w:r>
          </w:p>
        </w:tc>
        <w:tc>
          <w:tcPr>
            <w:tcW w:w="670" w:type="dxa"/>
            <w:tcBorders>
              <w:top w:val="single" w:sz="12" w:space="0" w:color="008000"/>
              <w:bottom w:val="single" w:sz="6" w:space="0" w:color="008000"/>
            </w:tcBorders>
            <w:shd w:val="clear" w:color="auto" w:fill="FFFFFF"/>
            <w:vAlign w:val="center"/>
          </w:tcPr>
          <w:p w14:paraId="69207CD3" w14:textId="1957A512" w:rsidR="00831DB7" w:rsidRPr="00481747" w:rsidRDefault="00831DB7" w:rsidP="00831DB7">
            <w:pPr>
              <w:pStyle w:val="CETBodytext"/>
              <w:jc w:val="center"/>
              <w:rPr>
                <w:lang w:val="en-GB"/>
              </w:rPr>
            </w:pPr>
            <w:r w:rsidRPr="00481747">
              <w:rPr>
                <w:rFonts w:cs="Arial"/>
                <w:kern w:val="24"/>
                <w:sz w:val="16"/>
                <w:szCs w:val="16"/>
                <w:lang w:eastAsia="pl-PL"/>
              </w:rPr>
              <w:t>OM</w:t>
            </w:r>
          </w:p>
        </w:tc>
        <w:tc>
          <w:tcPr>
            <w:tcW w:w="670" w:type="dxa"/>
            <w:tcBorders>
              <w:top w:val="single" w:sz="12" w:space="0" w:color="008000"/>
              <w:bottom w:val="single" w:sz="6" w:space="0" w:color="008000"/>
            </w:tcBorders>
            <w:shd w:val="clear" w:color="auto" w:fill="FFFFFF"/>
            <w:vAlign w:val="center"/>
          </w:tcPr>
          <w:p w14:paraId="1E619E6B" w14:textId="72BDB455" w:rsidR="00831DB7" w:rsidRPr="00481747" w:rsidRDefault="00831DB7" w:rsidP="00831DB7">
            <w:pPr>
              <w:pStyle w:val="CETBodytext"/>
              <w:jc w:val="center"/>
              <w:rPr>
                <w:rFonts w:cs="Arial"/>
                <w:kern w:val="24"/>
                <w:sz w:val="16"/>
                <w:szCs w:val="16"/>
                <w:lang w:eastAsia="pl-PL"/>
              </w:rPr>
            </w:pPr>
            <w:r w:rsidRPr="00481747">
              <w:rPr>
                <w:rFonts w:cs="Arial"/>
                <w:kern w:val="24"/>
                <w:sz w:val="16"/>
                <w:szCs w:val="16"/>
                <w:lang w:eastAsia="pl-PL"/>
              </w:rPr>
              <w:t>TPA</w:t>
            </w:r>
          </w:p>
        </w:tc>
        <w:tc>
          <w:tcPr>
            <w:tcW w:w="670" w:type="dxa"/>
            <w:tcBorders>
              <w:top w:val="single" w:sz="12" w:space="0" w:color="008000"/>
              <w:bottom w:val="single" w:sz="6" w:space="0" w:color="008000"/>
            </w:tcBorders>
            <w:shd w:val="clear" w:color="auto" w:fill="FFFFFF"/>
            <w:vAlign w:val="center"/>
          </w:tcPr>
          <w:p w14:paraId="22073AB3" w14:textId="342EACE5" w:rsidR="00831DB7" w:rsidRPr="00481747" w:rsidRDefault="00831DB7" w:rsidP="00831DB7">
            <w:pPr>
              <w:pStyle w:val="CETBodytext"/>
              <w:jc w:val="center"/>
              <w:rPr>
                <w:rFonts w:cs="Arial"/>
                <w:kern w:val="24"/>
                <w:sz w:val="16"/>
                <w:szCs w:val="16"/>
                <w:lang w:eastAsia="pl-PL"/>
              </w:rPr>
            </w:pPr>
            <w:r w:rsidRPr="00481747">
              <w:rPr>
                <w:rFonts w:cs="Arial"/>
                <w:kern w:val="24"/>
                <w:sz w:val="16"/>
                <w:szCs w:val="16"/>
                <w:lang w:eastAsia="pl-PL"/>
              </w:rPr>
              <w:t>KT</w:t>
            </w:r>
          </w:p>
        </w:tc>
        <w:tc>
          <w:tcPr>
            <w:tcW w:w="670" w:type="dxa"/>
            <w:tcBorders>
              <w:top w:val="single" w:sz="12" w:space="0" w:color="008000"/>
              <w:bottom w:val="single" w:sz="6" w:space="0" w:color="008000"/>
            </w:tcBorders>
            <w:shd w:val="clear" w:color="auto" w:fill="FFFFFF"/>
            <w:vAlign w:val="center"/>
          </w:tcPr>
          <w:p w14:paraId="0A63B7FA" w14:textId="5E67BAC9" w:rsidR="00831DB7" w:rsidRPr="00481747" w:rsidRDefault="00831DB7" w:rsidP="00831DB7">
            <w:pPr>
              <w:pStyle w:val="CETBodytext"/>
              <w:jc w:val="center"/>
              <w:rPr>
                <w:rFonts w:cs="Arial"/>
                <w:kern w:val="24"/>
                <w:sz w:val="16"/>
                <w:szCs w:val="16"/>
                <w:lang w:eastAsia="pl-PL"/>
              </w:rPr>
            </w:pPr>
            <w:r w:rsidRPr="00481747">
              <w:rPr>
                <w:rFonts w:cs="Arial"/>
                <w:kern w:val="24"/>
                <w:sz w:val="16"/>
                <w:szCs w:val="16"/>
                <w:lang w:eastAsia="pl-PL"/>
              </w:rPr>
              <w:t>PLW m/sec</w:t>
            </w:r>
          </w:p>
        </w:tc>
        <w:tc>
          <w:tcPr>
            <w:tcW w:w="670" w:type="dxa"/>
            <w:tcBorders>
              <w:top w:val="single" w:sz="12" w:space="0" w:color="008000"/>
              <w:bottom w:val="single" w:sz="6" w:space="0" w:color="008000"/>
            </w:tcBorders>
            <w:shd w:val="clear" w:color="auto" w:fill="FFFFFF"/>
            <w:vAlign w:val="center"/>
          </w:tcPr>
          <w:p w14:paraId="2E95A838" w14:textId="54F544BD" w:rsidR="00831DB7" w:rsidRPr="00481747" w:rsidRDefault="00831DB7" w:rsidP="00831DB7">
            <w:pPr>
              <w:pStyle w:val="CETBodytext"/>
              <w:jc w:val="center"/>
              <w:rPr>
                <w:rFonts w:cs="Arial"/>
                <w:kern w:val="24"/>
                <w:sz w:val="16"/>
                <w:szCs w:val="16"/>
                <w:lang w:eastAsia="pl-PL"/>
              </w:rPr>
            </w:pPr>
            <w:r w:rsidRPr="00481747">
              <w:rPr>
                <w:rFonts w:cs="Arial"/>
                <w:kern w:val="24"/>
                <w:sz w:val="16"/>
                <w:szCs w:val="16"/>
                <w:lang w:eastAsia="pl-PL"/>
              </w:rPr>
              <w:t>ZO</w:t>
            </w:r>
          </w:p>
        </w:tc>
        <w:tc>
          <w:tcPr>
            <w:tcW w:w="670" w:type="dxa"/>
            <w:tcBorders>
              <w:top w:val="single" w:sz="12" w:space="0" w:color="008000"/>
              <w:bottom w:val="single" w:sz="6" w:space="0" w:color="008000"/>
            </w:tcBorders>
            <w:shd w:val="clear" w:color="auto" w:fill="FFFFFF"/>
            <w:vAlign w:val="center"/>
          </w:tcPr>
          <w:p w14:paraId="3E63413D" w14:textId="1B156CA5" w:rsidR="00831DB7" w:rsidRPr="00481747" w:rsidRDefault="00831DB7" w:rsidP="00831DB7">
            <w:pPr>
              <w:pStyle w:val="CETBodytext"/>
              <w:jc w:val="center"/>
              <w:rPr>
                <w:rFonts w:cs="Arial"/>
                <w:kern w:val="24"/>
                <w:sz w:val="16"/>
                <w:szCs w:val="16"/>
                <w:lang w:eastAsia="pl-PL"/>
              </w:rPr>
            </w:pPr>
            <w:r w:rsidRPr="00481747">
              <w:rPr>
                <w:rFonts w:cs="Arial"/>
                <w:kern w:val="24"/>
                <w:sz w:val="16"/>
                <w:szCs w:val="16"/>
                <w:lang w:eastAsia="pl-PL"/>
              </w:rPr>
              <w:t>ZD</w:t>
            </w:r>
          </w:p>
        </w:tc>
        <w:tc>
          <w:tcPr>
            <w:tcW w:w="670" w:type="dxa"/>
            <w:tcBorders>
              <w:top w:val="single" w:sz="12" w:space="0" w:color="008000"/>
              <w:bottom w:val="single" w:sz="6" w:space="0" w:color="008000"/>
            </w:tcBorders>
            <w:shd w:val="clear" w:color="auto" w:fill="FFFFFF"/>
            <w:vAlign w:val="center"/>
          </w:tcPr>
          <w:p w14:paraId="00CA9349" w14:textId="16895BA9" w:rsidR="00831DB7" w:rsidRPr="00481747" w:rsidRDefault="00831DB7" w:rsidP="00831DB7">
            <w:pPr>
              <w:pStyle w:val="CETBodytext"/>
              <w:jc w:val="center"/>
              <w:rPr>
                <w:rFonts w:cs="Arial"/>
                <w:kern w:val="24"/>
                <w:sz w:val="16"/>
                <w:szCs w:val="16"/>
                <w:lang w:eastAsia="pl-PL"/>
              </w:rPr>
            </w:pPr>
            <w:r w:rsidRPr="00481747">
              <w:rPr>
                <w:rFonts w:cs="Arial"/>
                <w:kern w:val="24"/>
                <w:sz w:val="16"/>
                <w:szCs w:val="16"/>
                <w:lang w:eastAsia="pl-PL"/>
              </w:rPr>
              <w:t>KI</w:t>
            </w:r>
          </w:p>
        </w:tc>
        <w:tc>
          <w:tcPr>
            <w:tcW w:w="671" w:type="dxa"/>
            <w:tcBorders>
              <w:top w:val="single" w:sz="12" w:space="0" w:color="008000"/>
              <w:bottom w:val="single" w:sz="6" w:space="0" w:color="008000"/>
            </w:tcBorders>
            <w:shd w:val="clear" w:color="auto" w:fill="FFFFFF"/>
            <w:vAlign w:val="center"/>
          </w:tcPr>
          <w:p w14:paraId="76810DFD" w14:textId="1CD872F4" w:rsidR="00831DB7" w:rsidRPr="00481747" w:rsidRDefault="00831DB7" w:rsidP="00831DB7">
            <w:pPr>
              <w:pStyle w:val="CETBodytext"/>
              <w:jc w:val="center"/>
              <w:rPr>
                <w:rFonts w:cs="Arial"/>
                <w:b/>
                <w:bCs/>
                <w:kern w:val="24"/>
                <w:sz w:val="16"/>
                <w:szCs w:val="16"/>
                <w:lang w:eastAsia="pl-PL"/>
              </w:rPr>
            </w:pPr>
            <w:r w:rsidRPr="00481747">
              <w:rPr>
                <w:b/>
                <w:bCs/>
                <w:lang w:val="en-GB"/>
              </w:rPr>
              <w:t>Risk</w:t>
            </w:r>
          </w:p>
        </w:tc>
      </w:tr>
      <w:tr w:rsidR="00AA70E9" w:rsidRPr="00481747" w14:paraId="76229E8F" w14:textId="77777777" w:rsidTr="0061251B">
        <w:tc>
          <w:tcPr>
            <w:tcW w:w="1418" w:type="dxa"/>
            <w:tcBorders>
              <w:top w:val="single" w:sz="6" w:space="0" w:color="008000"/>
              <w:bottom w:val="nil"/>
              <w:right w:val="nil"/>
            </w:tcBorders>
            <w:shd w:val="clear" w:color="auto" w:fill="FFFFFF"/>
          </w:tcPr>
          <w:p w14:paraId="011DDEC7" w14:textId="13E67025" w:rsidR="00DF39E0" w:rsidRPr="00481747" w:rsidRDefault="00883A98" w:rsidP="00DF39E0">
            <w:pPr>
              <w:pStyle w:val="CETBodytext"/>
              <w:jc w:val="left"/>
              <w:rPr>
                <w:lang w:val="en-GB"/>
              </w:rPr>
            </w:pPr>
            <w:r w:rsidRPr="00481747">
              <w:t>Screw conveyor</w:t>
            </w:r>
            <w:r w:rsidR="00DF39E0" w:rsidRPr="00481747">
              <w:t xml:space="preserve"> </w:t>
            </w:r>
            <w:r w:rsidRPr="00481747">
              <w:t>SC</w:t>
            </w:r>
            <w:r w:rsidR="00DF39E0" w:rsidRPr="00481747">
              <w:t>1/</w:t>
            </w:r>
            <w:r w:rsidRPr="00481747">
              <w:t>SC</w:t>
            </w:r>
            <w:r w:rsidR="00DF39E0" w:rsidRPr="00481747">
              <w:t>2</w:t>
            </w:r>
          </w:p>
        </w:tc>
        <w:tc>
          <w:tcPr>
            <w:tcW w:w="670" w:type="dxa"/>
            <w:tcBorders>
              <w:top w:val="single" w:sz="6" w:space="0" w:color="008000"/>
              <w:left w:val="nil"/>
              <w:bottom w:val="nil"/>
              <w:right w:val="nil"/>
            </w:tcBorders>
            <w:shd w:val="clear" w:color="auto" w:fill="FFFFFF"/>
            <w:vAlign w:val="center"/>
          </w:tcPr>
          <w:p w14:paraId="71F83BCD" w14:textId="30E2F8E5" w:rsidR="00DF39E0" w:rsidRPr="00481747" w:rsidRDefault="00DF39E0" w:rsidP="00DF39E0">
            <w:pPr>
              <w:pStyle w:val="CETBodytext"/>
              <w:jc w:val="center"/>
              <w:rPr>
                <w:lang w:val="en-GB"/>
              </w:rPr>
            </w:pPr>
            <w:r w:rsidRPr="00481747">
              <w:rPr>
                <w:rFonts w:cs="Arial"/>
                <w:kern w:val="24"/>
                <w:sz w:val="16"/>
                <w:szCs w:val="16"/>
                <w:lang w:eastAsia="pl-PL"/>
              </w:rPr>
              <w:t>2</w:t>
            </w:r>
          </w:p>
        </w:tc>
        <w:tc>
          <w:tcPr>
            <w:tcW w:w="670" w:type="dxa"/>
            <w:tcBorders>
              <w:top w:val="single" w:sz="6" w:space="0" w:color="008000"/>
              <w:left w:val="nil"/>
              <w:bottom w:val="nil"/>
              <w:right w:val="nil"/>
            </w:tcBorders>
            <w:shd w:val="clear" w:color="auto" w:fill="FFFFFF"/>
            <w:vAlign w:val="center"/>
          </w:tcPr>
          <w:p w14:paraId="5B1B1A90" w14:textId="776C353D" w:rsidR="00DF39E0" w:rsidRPr="00481747" w:rsidRDefault="00DF39E0" w:rsidP="00DF39E0">
            <w:pPr>
              <w:pStyle w:val="CETBodytext"/>
              <w:jc w:val="center"/>
              <w:rPr>
                <w:lang w:val="en-GB"/>
              </w:rPr>
            </w:pPr>
            <w:r w:rsidRPr="00481747">
              <w:rPr>
                <w:rFonts w:cs="Arial"/>
                <w:kern w:val="24"/>
                <w:sz w:val="16"/>
                <w:szCs w:val="16"/>
                <w:lang w:eastAsia="pl-PL"/>
              </w:rPr>
              <w:t>5</w:t>
            </w:r>
          </w:p>
        </w:tc>
        <w:tc>
          <w:tcPr>
            <w:tcW w:w="670" w:type="dxa"/>
            <w:tcBorders>
              <w:top w:val="single" w:sz="6" w:space="0" w:color="008000"/>
              <w:left w:val="nil"/>
              <w:bottom w:val="nil"/>
              <w:right w:val="nil"/>
            </w:tcBorders>
            <w:shd w:val="clear" w:color="auto" w:fill="FFFFFF"/>
            <w:vAlign w:val="center"/>
          </w:tcPr>
          <w:p w14:paraId="39D6EBB1" w14:textId="6BFF24D7" w:rsidR="00DF39E0" w:rsidRPr="00481747" w:rsidRDefault="00DF39E0" w:rsidP="00DF39E0">
            <w:pPr>
              <w:pStyle w:val="CETBodytext"/>
              <w:jc w:val="center"/>
              <w:rPr>
                <w:lang w:val="en-GB"/>
              </w:rPr>
            </w:pPr>
            <w:r w:rsidRPr="00481747">
              <w:rPr>
                <w:rFonts w:cs="Arial"/>
                <w:kern w:val="24"/>
                <w:sz w:val="16"/>
                <w:szCs w:val="16"/>
                <w:lang w:eastAsia="pl-PL"/>
              </w:rPr>
              <w:t>-</w:t>
            </w:r>
          </w:p>
        </w:tc>
        <w:tc>
          <w:tcPr>
            <w:tcW w:w="670" w:type="dxa"/>
            <w:tcBorders>
              <w:top w:val="single" w:sz="6" w:space="0" w:color="008000"/>
              <w:left w:val="nil"/>
              <w:bottom w:val="nil"/>
              <w:right w:val="nil"/>
            </w:tcBorders>
            <w:shd w:val="clear" w:color="auto" w:fill="FFFFFF"/>
            <w:vAlign w:val="center"/>
          </w:tcPr>
          <w:p w14:paraId="051CB5ED" w14:textId="3B39C657" w:rsidR="00DF39E0" w:rsidRPr="00481747" w:rsidRDefault="00DF39E0" w:rsidP="00DF39E0">
            <w:pPr>
              <w:pStyle w:val="CETBodytext"/>
              <w:jc w:val="center"/>
              <w:rPr>
                <w:lang w:val="en-GB"/>
              </w:rPr>
            </w:pPr>
            <w:r w:rsidRPr="00481747">
              <w:rPr>
                <w:rFonts w:cs="Arial"/>
                <w:kern w:val="24"/>
                <w:sz w:val="16"/>
                <w:szCs w:val="16"/>
                <w:lang w:eastAsia="pl-PL"/>
              </w:rPr>
              <w:t>-</w:t>
            </w:r>
          </w:p>
        </w:tc>
        <w:tc>
          <w:tcPr>
            <w:tcW w:w="670" w:type="dxa"/>
            <w:tcBorders>
              <w:top w:val="single" w:sz="6" w:space="0" w:color="008000"/>
              <w:left w:val="nil"/>
              <w:bottom w:val="nil"/>
              <w:right w:val="nil"/>
            </w:tcBorders>
            <w:shd w:val="clear" w:color="auto" w:fill="FFFFFF"/>
          </w:tcPr>
          <w:p w14:paraId="397C09A8" w14:textId="43FA25F9" w:rsidR="00DF39E0" w:rsidRPr="00481747" w:rsidRDefault="00DF39E0" w:rsidP="00DF39E0">
            <w:pPr>
              <w:pStyle w:val="CETBodytext"/>
              <w:jc w:val="center"/>
              <w:rPr>
                <w:sz w:val="16"/>
                <w:szCs w:val="16"/>
                <w:lang w:val="en-GB"/>
              </w:rPr>
            </w:pPr>
            <w:r w:rsidRPr="00481747">
              <w:rPr>
                <w:sz w:val="16"/>
                <w:szCs w:val="16"/>
                <w:lang w:val="en-GB"/>
              </w:rPr>
              <w:t>cont.</w:t>
            </w:r>
          </w:p>
        </w:tc>
        <w:tc>
          <w:tcPr>
            <w:tcW w:w="670" w:type="dxa"/>
            <w:tcBorders>
              <w:top w:val="single" w:sz="6" w:space="0" w:color="008000"/>
              <w:left w:val="nil"/>
              <w:bottom w:val="nil"/>
              <w:right w:val="nil"/>
            </w:tcBorders>
            <w:shd w:val="clear" w:color="auto" w:fill="FFFFFF"/>
            <w:vAlign w:val="center"/>
          </w:tcPr>
          <w:p w14:paraId="668B5396" w14:textId="13AA1849" w:rsidR="00DF39E0" w:rsidRPr="00481747" w:rsidRDefault="00DF39E0" w:rsidP="00DF39E0">
            <w:pPr>
              <w:pStyle w:val="CETBodytext"/>
              <w:jc w:val="center"/>
              <w:rPr>
                <w:lang w:val="en-GB"/>
              </w:rPr>
            </w:pPr>
            <w:r w:rsidRPr="00481747">
              <w:rPr>
                <w:lang w:val="en-GB"/>
              </w:rPr>
              <w:t>none</w:t>
            </w:r>
          </w:p>
        </w:tc>
        <w:tc>
          <w:tcPr>
            <w:tcW w:w="670" w:type="dxa"/>
            <w:tcBorders>
              <w:top w:val="single" w:sz="6" w:space="0" w:color="008000"/>
              <w:left w:val="nil"/>
              <w:bottom w:val="nil"/>
              <w:right w:val="nil"/>
            </w:tcBorders>
            <w:shd w:val="clear" w:color="auto" w:fill="FFFFFF"/>
            <w:vAlign w:val="center"/>
          </w:tcPr>
          <w:p w14:paraId="0A128E5E" w14:textId="32DAECB8" w:rsidR="00DF39E0" w:rsidRPr="00481747" w:rsidRDefault="00DF39E0" w:rsidP="00DF39E0">
            <w:pPr>
              <w:pStyle w:val="CETBodytext"/>
              <w:jc w:val="center"/>
              <w:rPr>
                <w:lang w:val="en-GB"/>
              </w:rPr>
            </w:pPr>
            <w:r w:rsidRPr="00481747">
              <w:rPr>
                <w:rFonts w:cs="Arial"/>
                <w:kern w:val="24"/>
                <w:sz w:val="16"/>
                <w:szCs w:val="16"/>
                <w:lang w:eastAsia="pl-PL"/>
              </w:rPr>
              <w:t>2</w:t>
            </w:r>
          </w:p>
        </w:tc>
        <w:tc>
          <w:tcPr>
            <w:tcW w:w="670" w:type="dxa"/>
            <w:tcBorders>
              <w:top w:val="single" w:sz="6" w:space="0" w:color="008000"/>
              <w:left w:val="nil"/>
              <w:bottom w:val="nil"/>
              <w:right w:val="nil"/>
            </w:tcBorders>
            <w:shd w:val="clear" w:color="auto" w:fill="FFFFFF"/>
            <w:vAlign w:val="center"/>
          </w:tcPr>
          <w:p w14:paraId="04EC5CB5" w14:textId="19AD4261" w:rsidR="00DF39E0" w:rsidRPr="00481747" w:rsidRDefault="00DF39E0" w:rsidP="00DF39E0">
            <w:pPr>
              <w:pStyle w:val="CETBodytext"/>
              <w:jc w:val="center"/>
              <w:rPr>
                <w:lang w:val="en-GB"/>
              </w:rPr>
            </w:pPr>
            <w:r w:rsidRPr="00481747">
              <w:rPr>
                <w:rFonts w:cs="Arial"/>
                <w:kern w:val="24"/>
                <w:sz w:val="16"/>
                <w:szCs w:val="16"/>
                <w:lang w:eastAsia="pl-PL"/>
              </w:rPr>
              <w:t>-</w:t>
            </w:r>
          </w:p>
        </w:tc>
        <w:tc>
          <w:tcPr>
            <w:tcW w:w="670" w:type="dxa"/>
            <w:tcBorders>
              <w:top w:val="single" w:sz="6" w:space="0" w:color="008000"/>
              <w:left w:val="nil"/>
              <w:bottom w:val="nil"/>
              <w:right w:val="nil"/>
            </w:tcBorders>
            <w:shd w:val="clear" w:color="auto" w:fill="FFFFFF"/>
            <w:vAlign w:val="center"/>
          </w:tcPr>
          <w:p w14:paraId="7AAD33D6" w14:textId="52EB174B" w:rsidR="00DF39E0" w:rsidRPr="00481747" w:rsidRDefault="00DF39E0" w:rsidP="00DF39E0">
            <w:pPr>
              <w:pStyle w:val="CETBodytext"/>
              <w:jc w:val="center"/>
              <w:rPr>
                <w:lang w:val="en-GB"/>
              </w:rPr>
            </w:pPr>
            <w:r w:rsidRPr="00481747">
              <w:rPr>
                <w:rFonts w:cs="Arial"/>
                <w:kern w:val="24"/>
                <w:sz w:val="16"/>
                <w:szCs w:val="16"/>
                <w:lang w:eastAsia="pl-PL"/>
              </w:rPr>
              <w:t>-</w:t>
            </w:r>
          </w:p>
        </w:tc>
        <w:tc>
          <w:tcPr>
            <w:tcW w:w="670" w:type="dxa"/>
            <w:tcBorders>
              <w:top w:val="single" w:sz="6" w:space="0" w:color="008000"/>
              <w:left w:val="nil"/>
              <w:bottom w:val="nil"/>
              <w:right w:val="nil"/>
            </w:tcBorders>
            <w:shd w:val="clear" w:color="auto" w:fill="FFFFFF"/>
            <w:vAlign w:val="center"/>
          </w:tcPr>
          <w:p w14:paraId="61AA9FC3" w14:textId="4C94E1C9" w:rsidR="00DF39E0" w:rsidRPr="00481747" w:rsidRDefault="00DF39E0" w:rsidP="00DF39E0">
            <w:pPr>
              <w:pStyle w:val="CETBodytext"/>
              <w:jc w:val="center"/>
              <w:rPr>
                <w:lang w:val="en-GB"/>
              </w:rPr>
            </w:pPr>
            <w:r w:rsidRPr="00481747">
              <w:rPr>
                <w:rFonts w:cs="Arial"/>
                <w:kern w:val="24"/>
                <w:sz w:val="16"/>
                <w:szCs w:val="16"/>
                <w:lang w:eastAsia="pl-PL"/>
              </w:rPr>
              <w:t>-</w:t>
            </w:r>
          </w:p>
        </w:tc>
        <w:tc>
          <w:tcPr>
            <w:tcW w:w="671" w:type="dxa"/>
            <w:tcBorders>
              <w:top w:val="single" w:sz="6" w:space="0" w:color="008000"/>
              <w:left w:val="nil"/>
              <w:bottom w:val="nil"/>
              <w:right w:val="nil"/>
            </w:tcBorders>
            <w:shd w:val="clear" w:color="auto" w:fill="FFFFFF"/>
          </w:tcPr>
          <w:p w14:paraId="69BFE1F7" w14:textId="44AFA9B0" w:rsidR="00DF39E0" w:rsidRPr="00481747" w:rsidRDefault="00DF39E0" w:rsidP="00DF39E0">
            <w:pPr>
              <w:pStyle w:val="CETBodytext"/>
              <w:jc w:val="center"/>
              <w:rPr>
                <w:b/>
                <w:bCs/>
                <w:lang w:val="en-GB"/>
              </w:rPr>
            </w:pPr>
            <w:r w:rsidRPr="00481747">
              <w:rPr>
                <w:b/>
                <w:bCs/>
              </w:rPr>
              <w:t>RR3</w:t>
            </w:r>
          </w:p>
        </w:tc>
      </w:tr>
      <w:tr w:rsidR="00AA70E9" w:rsidRPr="00481747" w14:paraId="720EB8CE" w14:textId="77777777" w:rsidTr="00C03D3E">
        <w:tc>
          <w:tcPr>
            <w:tcW w:w="1418" w:type="dxa"/>
            <w:tcBorders>
              <w:top w:val="nil"/>
              <w:bottom w:val="nil"/>
              <w:right w:val="nil"/>
            </w:tcBorders>
            <w:shd w:val="clear" w:color="auto" w:fill="FFFFFF"/>
          </w:tcPr>
          <w:p w14:paraId="2929B941" w14:textId="6475A295" w:rsidR="00DF39E0" w:rsidRPr="00481747" w:rsidRDefault="00DF39E0" w:rsidP="00DF39E0">
            <w:pPr>
              <w:pStyle w:val="CETBodytext"/>
              <w:jc w:val="left"/>
              <w:rPr>
                <w:lang w:val="en-GB"/>
              </w:rPr>
            </w:pPr>
            <w:r w:rsidRPr="00481747">
              <w:t xml:space="preserve">Collector </w:t>
            </w:r>
            <w:r w:rsidR="009E5AF4" w:rsidRPr="00481747">
              <w:t>C</w:t>
            </w:r>
            <w:r w:rsidRPr="00481747">
              <w:t>2</w:t>
            </w:r>
          </w:p>
        </w:tc>
        <w:tc>
          <w:tcPr>
            <w:tcW w:w="670" w:type="dxa"/>
            <w:tcBorders>
              <w:top w:val="nil"/>
              <w:left w:val="nil"/>
              <w:bottom w:val="nil"/>
              <w:right w:val="nil"/>
            </w:tcBorders>
            <w:shd w:val="clear" w:color="auto" w:fill="FFFFFF"/>
            <w:vAlign w:val="center"/>
          </w:tcPr>
          <w:p w14:paraId="40B4C7CF" w14:textId="32DA85C2" w:rsidR="00DF39E0" w:rsidRPr="00481747" w:rsidRDefault="00DF39E0" w:rsidP="00DF39E0">
            <w:pPr>
              <w:pStyle w:val="CETBodytext"/>
              <w:jc w:val="center"/>
              <w:rPr>
                <w:lang w:val="en-GB"/>
              </w:rPr>
            </w:pPr>
            <w:r w:rsidRPr="00481747">
              <w:rPr>
                <w:rFonts w:cs="Arial"/>
                <w:kern w:val="24"/>
                <w:sz w:val="16"/>
                <w:szCs w:val="16"/>
                <w:lang w:eastAsia="pl-PL"/>
              </w:rPr>
              <w:t>-</w:t>
            </w:r>
          </w:p>
        </w:tc>
        <w:tc>
          <w:tcPr>
            <w:tcW w:w="670" w:type="dxa"/>
            <w:tcBorders>
              <w:top w:val="nil"/>
              <w:left w:val="nil"/>
              <w:bottom w:val="nil"/>
              <w:right w:val="nil"/>
            </w:tcBorders>
            <w:shd w:val="clear" w:color="auto" w:fill="FFFFFF"/>
            <w:vAlign w:val="center"/>
          </w:tcPr>
          <w:p w14:paraId="726217D4" w14:textId="2EE2C0D1" w:rsidR="00DF39E0" w:rsidRPr="00481747" w:rsidRDefault="00DF39E0" w:rsidP="00DF39E0">
            <w:pPr>
              <w:pStyle w:val="CETBodytext"/>
              <w:jc w:val="center"/>
              <w:rPr>
                <w:lang w:val="en-GB"/>
              </w:rPr>
            </w:pPr>
            <w:r w:rsidRPr="00481747">
              <w:rPr>
                <w:rFonts w:cs="Arial"/>
                <w:kern w:val="24"/>
                <w:sz w:val="16"/>
                <w:szCs w:val="16"/>
                <w:lang w:eastAsia="pl-PL"/>
              </w:rPr>
              <w:t>5.5</w:t>
            </w:r>
          </w:p>
        </w:tc>
        <w:tc>
          <w:tcPr>
            <w:tcW w:w="670" w:type="dxa"/>
            <w:tcBorders>
              <w:top w:val="nil"/>
              <w:left w:val="nil"/>
              <w:bottom w:val="nil"/>
              <w:right w:val="nil"/>
            </w:tcBorders>
            <w:shd w:val="clear" w:color="auto" w:fill="FFFFFF"/>
            <w:vAlign w:val="center"/>
          </w:tcPr>
          <w:p w14:paraId="383912BB" w14:textId="7C0821EC" w:rsidR="00DF39E0" w:rsidRPr="00481747" w:rsidRDefault="00DF39E0" w:rsidP="00DF39E0">
            <w:pPr>
              <w:pStyle w:val="CETBodytext"/>
              <w:jc w:val="center"/>
              <w:rPr>
                <w:lang w:val="en-GB"/>
              </w:rPr>
            </w:pPr>
            <w:r w:rsidRPr="00481747">
              <w:rPr>
                <w:rFonts w:cs="Arial"/>
                <w:kern w:val="24"/>
                <w:sz w:val="16"/>
                <w:szCs w:val="16"/>
                <w:lang w:eastAsia="pl-PL"/>
              </w:rPr>
              <w:t>0.45</w:t>
            </w:r>
          </w:p>
        </w:tc>
        <w:tc>
          <w:tcPr>
            <w:tcW w:w="670" w:type="dxa"/>
            <w:tcBorders>
              <w:top w:val="nil"/>
              <w:left w:val="nil"/>
              <w:bottom w:val="nil"/>
              <w:right w:val="nil"/>
            </w:tcBorders>
            <w:shd w:val="clear" w:color="auto" w:fill="FFFFFF"/>
          </w:tcPr>
          <w:p w14:paraId="00906D60" w14:textId="6395FC68" w:rsidR="00DF39E0" w:rsidRPr="00481747" w:rsidRDefault="00DF39E0" w:rsidP="00DF39E0">
            <w:pPr>
              <w:pStyle w:val="CETBodytext"/>
              <w:jc w:val="center"/>
              <w:rPr>
                <w:lang w:val="en-GB"/>
              </w:rPr>
            </w:pPr>
            <w:r w:rsidRPr="00481747">
              <w:rPr>
                <w:lang w:val="en-GB"/>
              </w:rPr>
              <w:t>none</w:t>
            </w:r>
          </w:p>
        </w:tc>
        <w:tc>
          <w:tcPr>
            <w:tcW w:w="670" w:type="dxa"/>
            <w:tcBorders>
              <w:top w:val="nil"/>
              <w:left w:val="nil"/>
              <w:bottom w:val="nil"/>
              <w:right w:val="nil"/>
            </w:tcBorders>
            <w:shd w:val="clear" w:color="auto" w:fill="FFFFFF"/>
          </w:tcPr>
          <w:p w14:paraId="3FC09C65" w14:textId="18B54838" w:rsidR="00DF39E0" w:rsidRPr="00481747" w:rsidRDefault="00DF39E0" w:rsidP="00DF39E0">
            <w:pPr>
              <w:pStyle w:val="CETBodytext"/>
              <w:jc w:val="center"/>
              <w:rPr>
                <w:sz w:val="16"/>
                <w:szCs w:val="16"/>
                <w:lang w:val="en-GB"/>
              </w:rPr>
            </w:pPr>
            <w:r w:rsidRPr="00481747">
              <w:rPr>
                <w:sz w:val="16"/>
                <w:szCs w:val="16"/>
                <w:lang w:val="en-GB"/>
              </w:rPr>
              <w:t>cont.</w:t>
            </w:r>
          </w:p>
        </w:tc>
        <w:tc>
          <w:tcPr>
            <w:tcW w:w="670" w:type="dxa"/>
            <w:tcBorders>
              <w:top w:val="nil"/>
              <w:left w:val="nil"/>
              <w:bottom w:val="nil"/>
              <w:right w:val="nil"/>
            </w:tcBorders>
            <w:shd w:val="clear" w:color="auto" w:fill="FFFFFF"/>
            <w:vAlign w:val="center"/>
          </w:tcPr>
          <w:p w14:paraId="5B3CA216" w14:textId="75CB6105" w:rsidR="00DF39E0" w:rsidRPr="00481747" w:rsidRDefault="00DF39E0" w:rsidP="00DF39E0">
            <w:pPr>
              <w:pStyle w:val="CETBodytext"/>
              <w:jc w:val="center"/>
              <w:rPr>
                <w:lang w:val="en-GB"/>
              </w:rPr>
            </w:pPr>
            <w:r w:rsidRPr="00481747">
              <w:rPr>
                <w:rFonts w:cs="Arial"/>
                <w:kern w:val="24"/>
                <w:sz w:val="16"/>
                <w:szCs w:val="16"/>
                <w:lang w:eastAsia="pl-PL"/>
              </w:rPr>
              <w:t>-</w:t>
            </w:r>
          </w:p>
        </w:tc>
        <w:tc>
          <w:tcPr>
            <w:tcW w:w="670" w:type="dxa"/>
            <w:tcBorders>
              <w:top w:val="nil"/>
              <w:left w:val="nil"/>
              <w:bottom w:val="nil"/>
              <w:right w:val="nil"/>
            </w:tcBorders>
            <w:shd w:val="clear" w:color="auto" w:fill="FFFFFF"/>
            <w:vAlign w:val="center"/>
          </w:tcPr>
          <w:p w14:paraId="402311AA" w14:textId="5BEF8EF6" w:rsidR="00DF39E0" w:rsidRPr="00481747" w:rsidRDefault="00DF39E0" w:rsidP="00DF39E0">
            <w:pPr>
              <w:pStyle w:val="CETBodytext"/>
              <w:jc w:val="center"/>
              <w:rPr>
                <w:lang w:val="en-GB"/>
              </w:rPr>
            </w:pPr>
            <w:r w:rsidRPr="00481747">
              <w:rPr>
                <w:rFonts w:cs="Arial"/>
                <w:kern w:val="24"/>
                <w:sz w:val="16"/>
                <w:szCs w:val="16"/>
                <w:lang w:eastAsia="pl-PL"/>
              </w:rPr>
              <w:t>-</w:t>
            </w:r>
          </w:p>
        </w:tc>
        <w:tc>
          <w:tcPr>
            <w:tcW w:w="670" w:type="dxa"/>
            <w:tcBorders>
              <w:top w:val="nil"/>
              <w:left w:val="nil"/>
              <w:bottom w:val="nil"/>
              <w:right w:val="nil"/>
            </w:tcBorders>
            <w:shd w:val="clear" w:color="auto" w:fill="FFFFFF"/>
          </w:tcPr>
          <w:p w14:paraId="1C698146" w14:textId="5CEF7CC2" w:rsidR="00DF39E0" w:rsidRPr="00481747" w:rsidRDefault="00DF39E0" w:rsidP="00DF39E0">
            <w:pPr>
              <w:pStyle w:val="CETBodytext"/>
              <w:jc w:val="center"/>
              <w:rPr>
                <w:lang w:val="en-GB"/>
              </w:rPr>
            </w:pPr>
            <w:r w:rsidRPr="00481747">
              <w:rPr>
                <w:lang w:val="en-GB"/>
              </w:rPr>
              <w:t>none</w:t>
            </w:r>
          </w:p>
        </w:tc>
        <w:tc>
          <w:tcPr>
            <w:tcW w:w="670" w:type="dxa"/>
            <w:tcBorders>
              <w:top w:val="nil"/>
              <w:left w:val="nil"/>
              <w:bottom w:val="nil"/>
              <w:right w:val="nil"/>
            </w:tcBorders>
            <w:shd w:val="clear" w:color="auto" w:fill="FFFFFF"/>
            <w:vAlign w:val="center"/>
          </w:tcPr>
          <w:p w14:paraId="16911E18" w14:textId="7D82A680" w:rsidR="00DF39E0" w:rsidRPr="00481747" w:rsidRDefault="00DF39E0" w:rsidP="00DF39E0">
            <w:pPr>
              <w:pStyle w:val="CETBodytext"/>
              <w:jc w:val="center"/>
              <w:rPr>
                <w:lang w:val="en-GB"/>
              </w:rPr>
            </w:pPr>
            <w:r w:rsidRPr="00481747">
              <w:rPr>
                <w:rFonts w:cs="Arial"/>
                <w:kern w:val="24"/>
                <w:sz w:val="16"/>
                <w:szCs w:val="16"/>
                <w:lang w:eastAsia="pl-PL"/>
              </w:rPr>
              <w:t>-</w:t>
            </w:r>
          </w:p>
        </w:tc>
        <w:tc>
          <w:tcPr>
            <w:tcW w:w="670" w:type="dxa"/>
            <w:tcBorders>
              <w:top w:val="nil"/>
              <w:left w:val="nil"/>
              <w:bottom w:val="nil"/>
              <w:right w:val="nil"/>
            </w:tcBorders>
            <w:shd w:val="clear" w:color="auto" w:fill="FFFFFF"/>
          </w:tcPr>
          <w:p w14:paraId="583C3304" w14:textId="00ECDA52" w:rsidR="00DF39E0" w:rsidRPr="00481747" w:rsidRDefault="00DF39E0" w:rsidP="00DF39E0">
            <w:pPr>
              <w:pStyle w:val="CETBodytext"/>
              <w:jc w:val="center"/>
              <w:rPr>
                <w:lang w:val="en-GB"/>
              </w:rPr>
            </w:pPr>
            <w:r w:rsidRPr="00481747">
              <w:rPr>
                <w:lang w:val="en-GB"/>
              </w:rPr>
              <w:t>none</w:t>
            </w:r>
          </w:p>
        </w:tc>
        <w:tc>
          <w:tcPr>
            <w:tcW w:w="671" w:type="dxa"/>
            <w:tcBorders>
              <w:top w:val="nil"/>
              <w:left w:val="nil"/>
              <w:bottom w:val="nil"/>
              <w:right w:val="nil"/>
            </w:tcBorders>
            <w:shd w:val="clear" w:color="auto" w:fill="FFFFFF"/>
          </w:tcPr>
          <w:p w14:paraId="187E186B" w14:textId="6593B605" w:rsidR="00DF39E0" w:rsidRPr="00481747" w:rsidRDefault="00DF39E0" w:rsidP="00DF39E0">
            <w:pPr>
              <w:pStyle w:val="CETBodytext"/>
              <w:jc w:val="center"/>
              <w:rPr>
                <w:b/>
                <w:bCs/>
                <w:lang w:val="en-GB"/>
              </w:rPr>
            </w:pPr>
            <w:r w:rsidRPr="00481747">
              <w:rPr>
                <w:b/>
                <w:bCs/>
              </w:rPr>
              <w:t>RR3</w:t>
            </w:r>
          </w:p>
        </w:tc>
      </w:tr>
      <w:tr w:rsidR="00AA70E9" w:rsidRPr="00481747" w14:paraId="569CB781" w14:textId="77777777" w:rsidTr="00C03D3E">
        <w:tc>
          <w:tcPr>
            <w:tcW w:w="1418" w:type="dxa"/>
            <w:tcBorders>
              <w:top w:val="nil"/>
              <w:bottom w:val="nil"/>
              <w:right w:val="nil"/>
            </w:tcBorders>
            <w:shd w:val="clear" w:color="auto" w:fill="FFFFFF"/>
          </w:tcPr>
          <w:p w14:paraId="39D4A894" w14:textId="3BB1A178" w:rsidR="00DF39E0" w:rsidRPr="00481747" w:rsidRDefault="009E5AF4" w:rsidP="00DF39E0">
            <w:pPr>
              <w:pStyle w:val="CETBodytext"/>
              <w:jc w:val="left"/>
              <w:rPr>
                <w:lang w:val="en-GB"/>
              </w:rPr>
            </w:pPr>
            <w:r w:rsidRPr="00481747">
              <w:t>Duct</w:t>
            </w:r>
            <w:r w:rsidR="00DF39E0" w:rsidRPr="00481747">
              <w:t xml:space="preserve"> </w:t>
            </w:r>
            <w:r w:rsidR="004E58EA" w:rsidRPr="00481747">
              <w:t>D</w:t>
            </w:r>
            <w:r w:rsidR="00DF39E0" w:rsidRPr="00481747">
              <w:t>3</w:t>
            </w:r>
          </w:p>
        </w:tc>
        <w:tc>
          <w:tcPr>
            <w:tcW w:w="670" w:type="dxa"/>
            <w:tcBorders>
              <w:top w:val="nil"/>
              <w:left w:val="nil"/>
              <w:bottom w:val="nil"/>
              <w:right w:val="nil"/>
            </w:tcBorders>
            <w:shd w:val="clear" w:color="auto" w:fill="FFFFFF"/>
            <w:vAlign w:val="center"/>
          </w:tcPr>
          <w:p w14:paraId="2E54056A" w14:textId="28C8B81C" w:rsidR="00DF39E0" w:rsidRPr="00481747" w:rsidRDefault="00DF39E0" w:rsidP="00DF39E0">
            <w:pPr>
              <w:pStyle w:val="CETBodytext"/>
              <w:jc w:val="center"/>
              <w:rPr>
                <w:lang w:val="en-GB"/>
              </w:rPr>
            </w:pPr>
            <w:r w:rsidRPr="00481747">
              <w:rPr>
                <w:rFonts w:cs="Arial"/>
                <w:kern w:val="24"/>
                <w:sz w:val="16"/>
                <w:szCs w:val="16"/>
                <w:lang w:eastAsia="pl-PL"/>
              </w:rPr>
              <w:t>-</w:t>
            </w:r>
          </w:p>
        </w:tc>
        <w:tc>
          <w:tcPr>
            <w:tcW w:w="670" w:type="dxa"/>
            <w:tcBorders>
              <w:top w:val="nil"/>
              <w:left w:val="nil"/>
              <w:bottom w:val="nil"/>
              <w:right w:val="nil"/>
            </w:tcBorders>
            <w:shd w:val="clear" w:color="auto" w:fill="FFFFFF"/>
            <w:vAlign w:val="center"/>
          </w:tcPr>
          <w:p w14:paraId="68609091" w14:textId="72B6D872" w:rsidR="00DF39E0" w:rsidRPr="00481747" w:rsidRDefault="00DF39E0" w:rsidP="00DF39E0">
            <w:pPr>
              <w:pStyle w:val="CETBodytext"/>
              <w:jc w:val="center"/>
              <w:rPr>
                <w:lang w:val="en-GB"/>
              </w:rPr>
            </w:pPr>
            <w:r w:rsidRPr="00481747">
              <w:rPr>
                <w:rFonts w:cs="Arial"/>
                <w:kern w:val="24"/>
                <w:sz w:val="16"/>
                <w:szCs w:val="16"/>
                <w:lang w:eastAsia="pl-PL"/>
              </w:rPr>
              <w:t>10</w:t>
            </w:r>
          </w:p>
        </w:tc>
        <w:tc>
          <w:tcPr>
            <w:tcW w:w="670" w:type="dxa"/>
            <w:tcBorders>
              <w:top w:val="nil"/>
              <w:left w:val="nil"/>
              <w:bottom w:val="nil"/>
              <w:right w:val="nil"/>
            </w:tcBorders>
            <w:shd w:val="clear" w:color="auto" w:fill="FFFFFF"/>
            <w:vAlign w:val="center"/>
          </w:tcPr>
          <w:p w14:paraId="5B96FB71" w14:textId="1F3B45FC" w:rsidR="00DF39E0" w:rsidRPr="00481747" w:rsidRDefault="00DF39E0" w:rsidP="00DF39E0">
            <w:pPr>
              <w:pStyle w:val="CETBodytext"/>
              <w:jc w:val="center"/>
              <w:rPr>
                <w:lang w:val="en-GB"/>
              </w:rPr>
            </w:pPr>
            <w:r w:rsidRPr="00481747">
              <w:rPr>
                <w:rFonts w:cs="Arial"/>
                <w:kern w:val="24"/>
                <w:sz w:val="16"/>
                <w:szCs w:val="16"/>
                <w:lang w:eastAsia="pl-PL"/>
              </w:rPr>
              <w:t>0,4</w:t>
            </w:r>
          </w:p>
        </w:tc>
        <w:tc>
          <w:tcPr>
            <w:tcW w:w="670" w:type="dxa"/>
            <w:tcBorders>
              <w:top w:val="nil"/>
              <w:left w:val="nil"/>
              <w:bottom w:val="nil"/>
              <w:right w:val="nil"/>
            </w:tcBorders>
            <w:shd w:val="clear" w:color="auto" w:fill="FFFFFF"/>
          </w:tcPr>
          <w:p w14:paraId="4A39060D" w14:textId="7CBE7037" w:rsidR="00DF39E0" w:rsidRPr="00481747" w:rsidRDefault="00DF39E0" w:rsidP="00DF39E0">
            <w:pPr>
              <w:pStyle w:val="CETBodytext"/>
              <w:jc w:val="center"/>
              <w:rPr>
                <w:lang w:val="en-GB"/>
              </w:rPr>
            </w:pPr>
            <w:r w:rsidRPr="00481747">
              <w:rPr>
                <w:lang w:val="en-GB"/>
              </w:rPr>
              <w:t>none</w:t>
            </w:r>
          </w:p>
        </w:tc>
        <w:tc>
          <w:tcPr>
            <w:tcW w:w="670" w:type="dxa"/>
            <w:tcBorders>
              <w:top w:val="nil"/>
              <w:left w:val="nil"/>
              <w:bottom w:val="nil"/>
              <w:right w:val="nil"/>
            </w:tcBorders>
            <w:shd w:val="clear" w:color="auto" w:fill="FFFFFF"/>
          </w:tcPr>
          <w:p w14:paraId="08A9FF10" w14:textId="0BA57FF6" w:rsidR="00DF39E0" w:rsidRPr="00481747" w:rsidRDefault="00DF39E0" w:rsidP="00DF39E0">
            <w:pPr>
              <w:pStyle w:val="CETBodytext"/>
              <w:jc w:val="center"/>
              <w:rPr>
                <w:sz w:val="16"/>
                <w:szCs w:val="16"/>
                <w:lang w:val="en-GB"/>
              </w:rPr>
            </w:pPr>
            <w:r w:rsidRPr="00481747">
              <w:rPr>
                <w:sz w:val="16"/>
                <w:szCs w:val="16"/>
                <w:lang w:val="en-GB"/>
              </w:rPr>
              <w:t>cont.</w:t>
            </w:r>
          </w:p>
        </w:tc>
        <w:tc>
          <w:tcPr>
            <w:tcW w:w="670" w:type="dxa"/>
            <w:tcBorders>
              <w:top w:val="nil"/>
              <w:left w:val="nil"/>
              <w:bottom w:val="nil"/>
              <w:right w:val="nil"/>
            </w:tcBorders>
            <w:shd w:val="clear" w:color="auto" w:fill="FFFFFF"/>
            <w:vAlign w:val="center"/>
          </w:tcPr>
          <w:p w14:paraId="7CAAB039" w14:textId="724F724C" w:rsidR="00DF39E0" w:rsidRPr="00481747" w:rsidRDefault="00DF39E0" w:rsidP="00DF39E0">
            <w:pPr>
              <w:pStyle w:val="CETBodytext"/>
              <w:jc w:val="center"/>
              <w:rPr>
                <w:lang w:val="en-GB"/>
              </w:rPr>
            </w:pPr>
            <w:r w:rsidRPr="00481747">
              <w:rPr>
                <w:rFonts w:cs="Arial"/>
                <w:kern w:val="24"/>
                <w:sz w:val="16"/>
                <w:szCs w:val="16"/>
                <w:lang w:eastAsia="pl-PL"/>
              </w:rPr>
              <w:t>-</w:t>
            </w:r>
          </w:p>
        </w:tc>
        <w:tc>
          <w:tcPr>
            <w:tcW w:w="670" w:type="dxa"/>
            <w:tcBorders>
              <w:top w:val="nil"/>
              <w:left w:val="nil"/>
              <w:bottom w:val="nil"/>
              <w:right w:val="nil"/>
            </w:tcBorders>
            <w:shd w:val="clear" w:color="auto" w:fill="FFFFFF"/>
            <w:vAlign w:val="center"/>
          </w:tcPr>
          <w:p w14:paraId="3B376960" w14:textId="13FD5787" w:rsidR="00DF39E0" w:rsidRPr="00481747" w:rsidRDefault="00DF39E0" w:rsidP="00DF39E0">
            <w:pPr>
              <w:pStyle w:val="CETBodytext"/>
              <w:jc w:val="center"/>
              <w:rPr>
                <w:lang w:val="en-GB"/>
              </w:rPr>
            </w:pPr>
            <w:r w:rsidRPr="00481747">
              <w:rPr>
                <w:rFonts w:cs="Arial"/>
                <w:kern w:val="24"/>
                <w:sz w:val="16"/>
                <w:szCs w:val="16"/>
                <w:lang w:eastAsia="pl-PL"/>
              </w:rPr>
              <w:t>-</w:t>
            </w:r>
          </w:p>
        </w:tc>
        <w:tc>
          <w:tcPr>
            <w:tcW w:w="670" w:type="dxa"/>
            <w:tcBorders>
              <w:top w:val="nil"/>
              <w:left w:val="nil"/>
              <w:bottom w:val="nil"/>
              <w:right w:val="nil"/>
            </w:tcBorders>
            <w:shd w:val="clear" w:color="auto" w:fill="FFFFFF"/>
          </w:tcPr>
          <w:p w14:paraId="57D26CA7" w14:textId="7D47A838" w:rsidR="00DF39E0" w:rsidRPr="00481747" w:rsidRDefault="00DF39E0" w:rsidP="00DF39E0">
            <w:pPr>
              <w:pStyle w:val="CETBodytext"/>
              <w:jc w:val="center"/>
              <w:rPr>
                <w:lang w:val="en-GB"/>
              </w:rPr>
            </w:pPr>
            <w:r w:rsidRPr="00481747">
              <w:rPr>
                <w:lang w:val="en-GB"/>
              </w:rPr>
              <w:t>none</w:t>
            </w:r>
          </w:p>
        </w:tc>
        <w:tc>
          <w:tcPr>
            <w:tcW w:w="670" w:type="dxa"/>
            <w:tcBorders>
              <w:top w:val="nil"/>
              <w:left w:val="nil"/>
              <w:bottom w:val="nil"/>
              <w:right w:val="nil"/>
            </w:tcBorders>
            <w:shd w:val="clear" w:color="auto" w:fill="FFFFFF"/>
            <w:vAlign w:val="center"/>
          </w:tcPr>
          <w:p w14:paraId="3E9F2845" w14:textId="410D601C" w:rsidR="00DF39E0" w:rsidRPr="00481747" w:rsidRDefault="00DF39E0" w:rsidP="00DF39E0">
            <w:pPr>
              <w:pStyle w:val="CETBodytext"/>
              <w:jc w:val="center"/>
              <w:rPr>
                <w:lang w:val="en-GB"/>
              </w:rPr>
            </w:pPr>
            <w:r w:rsidRPr="00481747">
              <w:rPr>
                <w:rFonts w:cs="Arial"/>
                <w:kern w:val="24"/>
                <w:sz w:val="16"/>
                <w:szCs w:val="16"/>
                <w:lang w:eastAsia="pl-PL"/>
              </w:rPr>
              <w:t>-</w:t>
            </w:r>
          </w:p>
        </w:tc>
        <w:tc>
          <w:tcPr>
            <w:tcW w:w="670" w:type="dxa"/>
            <w:tcBorders>
              <w:top w:val="nil"/>
              <w:left w:val="nil"/>
              <w:bottom w:val="nil"/>
              <w:right w:val="nil"/>
            </w:tcBorders>
            <w:shd w:val="clear" w:color="auto" w:fill="FFFFFF"/>
          </w:tcPr>
          <w:p w14:paraId="7AD8C497" w14:textId="10E2F307" w:rsidR="00DF39E0" w:rsidRPr="00481747" w:rsidRDefault="00DF39E0" w:rsidP="00DF39E0">
            <w:pPr>
              <w:pStyle w:val="CETBodytext"/>
              <w:jc w:val="center"/>
              <w:rPr>
                <w:lang w:val="en-GB"/>
              </w:rPr>
            </w:pPr>
            <w:r w:rsidRPr="00481747">
              <w:rPr>
                <w:lang w:val="en-GB"/>
              </w:rPr>
              <w:t>none</w:t>
            </w:r>
          </w:p>
        </w:tc>
        <w:tc>
          <w:tcPr>
            <w:tcW w:w="671" w:type="dxa"/>
            <w:tcBorders>
              <w:top w:val="nil"/>
              <w:left w:val="nil"/>
              <w:bottom w:val="nil"/>
              <w:right w:val="nil"/>
            </w:tcBorders>
            <w:shd w:val="clear" w:color="auto" w:fill="FFFFFF"/>
          </w:tcPr>
          <w:p w14:paraId="68FAD9C7" w14:textId="191AFA59" w:rsidR="00DF39E0" w:rsidRPr="00481747" w:rsidRDefault="00DF39E0" w:rsidP="00DF39E0">
            <w:pPr>
              <w:pStyle w:val="CETBodytext"/>
              <w:jc w:val="center"/>
              <w:rPr>
                <w:b/>
                <w:bCs/>
                <w:lang w:val="en-GB"/>
              </w:rPr>
            </w:pPr>
            <w:r w:rsidRPr="00481747">
              <w:rPr>
                <w:b/>
                <w:bCs/>
              </w:rPr>
              <w:t>RR3</w:t>
            </w:r>
          </w:p>
        </w:tc>
      </w:tr>
      <w:tr w:rsidR="00AA70E9" w:rsidRPr="00481747" w14:paraId="24A747C0" w14:textId="77777777" w:rsidTr="00C03D3E">
        <w:tc>
          <w:tcPr>
            <w:tcW w:w="1418" w:type="dxa"/>
            <w:tcBorders>
              <w:top w:val="nil"/>
              <w:bottom w:val="nil"/>
              <w:right w:val="nil"/>
            </w:tcBorders>
            <w:shd w:val="clear" w:color="auto" w:fill="FFFFFF"/>
          </w:tcPr>
          <w:p w14:paraId="5538AD99" w14:textId="4B42DF87" w:rsidR="00DF39E0" w:rsidRPr="00481747" w:rsidRDefault="004E58EA" w:rsidP="00DF39E0">
            <w:pPr>
              <w:pStyle w:val="CETBodytext"/>
              <w:jc w:val="left"/>
              <w:rPr>
                <w:lang w:val="en-GB"/>
              </w:rPr>
            </w:pPr>
            <w:r w:rsidRPr="00481747">
              <w:t>Duct D</w:t>
            </w:r>
            <w:r w:rsidR="00DF39E0" w:rsidRPr="00481747">
              <w:t>1</w:t>
            </w:r>
          </w:p>
        </w:tc>
        <w:tc>
          <w:tcPr>
            <w:tcW w:w="670" w:type="dxa"/>
            <w:tcBorders>
              <w:top w:val="nil"/>
              <w:left w:val="nil"/>
              <w:bottom w:val="nil"/>
              <w:right w:val="nil"/>
            </w:tcBorders>
            <w:shd w:val="clear" w:color="auto" w:fill="FFFFFF"/>
            <w:vAlign w:val="center"/>
          </w:tcPr>
          <w:p w14:paraId="7A68A956" w14:textId="3D3F1793" w:rsidR="00DF39E0" w:rsidRPr="00481747" w:rsidRDefault="00DF39E0" w:rsidP="00DF39E0">
            <w:pPr>
              <w:pStyle w:val="CETBodytext"/>
              <w:jc w:val="center"/>
              <w:rPr>
                <w:lang w:val="en-GB"/>
              </w:rPr>
            </w:pPr>
            <w:r w:rsidRPr="00481747">
              <w:rPr>
                <w:rFonts w:cs="Arial"/>
                <w:kern w:val="24"/>
                <w:sz w:val="16"/>
                <w:szCs w:val="16"/>
                <w:lang w:eastAsia="pl-PL"/>
              </w:rPr>
              <w:t>-</w:t>
            </w:r>
          </w:p>
        </w:tc>
        <w:tc>
          <w:tcPr>
            <w:tcW w:w="670" w:type="dxa"/>
            <w:tcBorders>
              <w:top w:val="nil"/>
              <w:left w:val="nil"/>
              <w:bottom w:val="nil"/>
              <w:right w:val="nil"/>
            </w:tcBorders>
            <w:shd w:val="clear" w:color="auto" w:fill="FFFFFF"/>
            <w:vAlign w:val="center"/>
          </w:tcPr>
          <w:p w14:paraId="1C353185" w14:textId="7852A0B1" w:rsidR="00DF39E0" w:rsidRPr="00481747" w:rsidRDefault="00DF39E0" w:rsidP="00DF39E0">
            <w:pPr>
              <w:pStyle w:val="CETBodytext"/>
              <w:jc w:val="center"/>
              <w:rPr>
                <w:lang w:val="en-GB"/>
              </w:rPr>
            </w:pPr>
            <w:r w:rsidRPr="00481747">
              <w:rPr>
                <w:rFonts w:cs="Arial"/>
                <w:kern w:val="24"/>
                <w:sz w:val="16"/>
                <w:szCs w:val="16"/>
                <w:lang w:eastAsia="pl-PL"/>
              </w:rPr>
              <w:t>8</w:t>
            </w:r>
          </w:p>
        </w:tc>
        <w:tc>
          <w:tcPr>
            <w:tcW w:w="670" w:type="dxa"/>
            <w:tcBorders>
              <w:top w:val="nil"/>
              <w:left w:val="nil"/>
              <w:bottom w:val="nil"/>
              <w:right w:val="nil"/>
            </w:tcBorders>
            <w:shd w:val="clear" w:color="auto" w:fill="FFFFFF"/>
            <w:vAlign w:val="center"/>
          </w:tcPr>
          <w:p w14:paraId="3FB976BC" w14:textId="2DFB04A6" w:rsidR="00DF39E0" w:rsidRPr="00481747" w:rsidRDefault="00DF39E0" w:rsidP="00DF39E0">
            <w:pPr>
              <w:pStyle w:val="CETBodytext"/>
              <w:jc w:val="center"/>
              <w:rPr>
                <w:lang w:val="en-GB"/>
              </w:rPr>
            </w:pPr>
            <w:r w:rsidRPr="00481747">
              <w:rPr>
                <w:rFonts w:cs="Arial"/>
                <w:kern w:val="24"/>
                <w:sz w:val="16"/>
                <w:szCs w:val="16"/>
                <w:lang w:eastAsia="pl-PL"/>
              </w:rPr>
              <w:t>0,45</w:t>
            </w:r>
          </w:p>
        </w:tc>
        <w:tc>
          <w:tcPr>
            <w:tcW w:w="670" w:type="dxa"/>
            <w:tcBorders>
              <w:top w:val="nil"/>
              <w:left w:val="nil"/>
              <w:bottom w:val="nil"/>
              <w:right w:val="nil"/>
            </w:tcBorders>
            <w:shd w:val="clear" w:color="auto" w:fill="FFFFFF"/>
          </w:tcPr>
          <w:p w14:paraId="490CE5B6" w14:textId="04CEF290" w:rsidR="00DF39E0" w:rsidRPr="00481747" w:rsidRDefault="00DF39E0" w:rsidP="00DF39E0">
            <w:pPr>
              <w:pStyle w:val="CETBodytext"/>
              <w:jc w:val="center"/>
              <w:rPr>
                <w:lang w:val="en-GB"/>
              </w:rPr>
            </w:pPr>
            <w:r w:rsidRPr="00481747">
              <w:rPr>
                <w:lang w:val="en-GB"/>
              </w:rPr>
              <w:t>none</w:t>
            </w:r>
          </w:p>
        </w:tc>
        <w:tc>
          <w:tcPr>
            <w:tcW w:w="670" w:type="dxa"/>
            <w:tcBorders>
              <w:top w:val="nil"/>
              <w:left w:val="nil"/>
              <w:bottom w:val="nil"/>
              <w:right w:val="nil"/>
            </w:tcBorders>
            <w:shd w:val="clear" w:color="auto" w:fill="FFFFFF"/>
          </w:tcPr>
          <w:p w14:paraId="0ED541AD" w14:textId="6A035101" w:rsidR="00DF39E0" w:rsidRPr="00481747" w:rsidRDefault="00DF39E0" w:rsidP="00DF39E0">
            <w:pPr>
              <w:pStyle w:val="CETBodytext"/>
              <w:jc w:val="center"/>
              <w:rPr>
                <w:sz w:val="16"/>
                <w:szCs w:val="16"/>
                <w:lang w:val="en-GB"/>
              </w:rPr>
            </w:pPr>
            <w:r w:rsidRPr="00481747">
              <w:rPr>
                <w:sz w:val="16"/>
                <w:szCs w:val="16"/>
                <w:lang w:val="en-GB"/>
              </w:rPr>
              <w:t>cont.</w:t>
            </w:r>
          </w:p>
        </w:tc>
        <w:tc>
          <w:tcPr>
            <w:tcW w:w="670" w:type="dxa"/>
            <w:tcBorders>
              <w:top w:val="nil"/>
              <w:left w:val="nil"/>
              <w:bottom w:val="nil"/>
              <w:right w:val="nil"/>
            </w:tcBorders>
            <w:shd w:val="clear" w:color="auto" w:fill="FFFFFF"/>
            <w:vAlign w:val="center"/>
          </w:tcPr>
          <w:p w14:paraId="2645330F" w14:textId="07D05243" w:rsidR="00DF39E0" w:rsidRPr="00481747" w:rsidRDefault="00DF39E0" w:rsidP="00DF39E0">
            <w:pPr>
              <w:pStyle w:val="CETBodytext"/>
              <w:jc w:val="center"/>
              <w:rPr>
                <w:lang w:val="en-GB"/>
              </w:rPr>
            </w:pPr>
            <w:r w:rsidRPr="00481747">
              <w:rPr>
                <w:rFonts w:cs="Arial"/>
                <w:kern w:val="24"/>
                <w:sz w:val="16"/>
                <w:szCs w:val="16"/>
                <w:lang w:eastAsia="pl-PL"/>
              </w:rPr>
              <w:t>-</w:t>
            </w:r>
          </w:p>
        </w:tc>
        <w:tc>
          <w:tcPr>
            <w:tcW w:w="670" w:type="dxa"/>
            <w:tcBorders>
              <w:top w:val="nil"/>
              <w:left w:val="nil"/>
              <w:bottom w:val="nil"/>
              <w:right w:val="nil"/>
            </w:tcBorders>
            <w:shd w:val="clear" w:color="auto" w:fill="FFFFFF"/>
            <w:vAlign w:val="center"/>
          </w:tcPr>
          <w:p w14:paraId="47C49C8B" w14:textId="095058D2" w:rsidR="00DF39E0" w:rsidRPr="00481747" w:rsidRDefault="00DF39E0" w:rsidP="00DF39E0">
            <w:pPr>
              <w:pStyle w:val="CETBodytext"/>
              <w:jc w:val="center"/>
              <w:rPr>
                <w:lang w:val="en-GB"/>
              </w:rPr>
            </w:pPr>
            <w:r w:rsidRPr="00481747">
              <w:rPr>
                <w:rFonts w:cs="Arial"/>
                <w:kern w:val="24"/>
                <w:sz w:val="16"/>
                <w:szCs w:val="16"/>
                <w:lang w:eastAsia="pl-PL"/>
              </w:rPr>
              <w:t>-</w:t>
            </w:r>
          </w:p>
        </w:tc>
        <w:tc>
          <w:tcPr>
            <w:tcW w:w="670" w:type="dxa"/>
            <w:tcBorders>
              <w:top w:val="nil"/>
              <w:left w:val="nil"/>
              <w:bottom w:val="nil"/>
              <w:right w:val="nil"/>
            </w:tcBorders>
            <w:shd w:val="clear" w:color="auto" w:fill="FFFFFF"/>
          </w:tcPr>
          <w:p w14:paraId="5CB64F05" w14:textId="5176E9F2" w:rsidR="00DF39E0" w:rsidRPr="00481747" w:rsidRDefault="00DF39E0" w:rsidP="00DF39E0">
            <w:pPr>
              <w:pStyle w:val="CETBodytext"/>
              <w:jc w:val="center"/>
              <w:rPr>
                <w:lang w:val="en-GB"/>
              </w:rPr>
            </w:pPr>
            <w:r w:rsidRPr="00481747">
              <w:rPr>
                <w:lang w:val="en-GB"/>
              </w:rPr>
              <w:t>none</w:t>
            </w:r>
          </w:p>
        </w:tc>
        <w:tc>
          <w:tcPr>
            <w:tcW w:w="670" w:type="dxa"/>
            <w:tcBorders>
              <w:top w:val="nil"/>
              <w:left w:val="nil"/>
              <w:bottom w:val="nil"/>
              <w:right w:val="nil"/>
            </w:tcBorders>
            <w:shd w:val="clear" w:color="auto" w:fill="FFFFFF"/>
            <w:vAlign w:val="center"/>
          </w:tcPr>
          <w:p w14:paraId="59025A71" w14:textId="59F9B783" w:rsidR="00DF39E0" w:rsidRPr="00481747" w:rsidRDefault="00DF39E0" w:rsidP="00DF39E0">
            <w:pPr>
              <w:pStyle w:val="CETBodytext"/>
              <w:jc w:val="center"/>
              <w:rPr>
                <w:lang w:val="en-GB"/>
              </w:rPr>
            </w:pPr>
            <w:r w:rsidRPr="00481747">
              <w:rPr>
                <w:rFonts w:cs="Arial"/>
                <w:kern w:val="24"/>
                <w:sz w:val="16"/>
                <w:szCs w:val="16"/>
                <w:lang w:eastAsia="pl-PL"/>
              </w:rPr>
              <w:t>-</w:t>
            </w:r>
          </w:p>
        </w:tc>
        <w:tc>
          <w:tcPr>
            <w:tcW w:w="670" w:type="dxa"/>
            <w:tcBorders>
              <w:top w:val="nil"/>
              <w:left w:val="nil"/>
              <w:bottom w:val="nil"/>
              <w:right w:val="nil"/>
            </w:tcBorders>
            <w:shd w:val="clear" w:color="auto" w:fill="FFFFFF"/>
          </w:tcPr>
          <w:p w14:paraId="4A5482E8" w14:textId="7B5ABBF7" w:rsidR="00DF39E0" w:rsidRPr="00481747" w:rsidRDefault="00DF39E0" w:rsidP="00DF39E0">
            <w:pPr>
              <w:pStyle w:val="CETBodytext"/>
              <w:jc w:val="center"/>
              <w:rPr>
                <w:lang w:val="en-GB"/>
              </w:rPr>
            </w:pPr>
            <w:r w:rsidRPr="00481747">
              <w:rPr>
                <w:lang w:val="en-GB"/>
              </w:rPr>
              <w:t>none</w:t>
            </w:r>
          </w:p>
        </w:tc>
        <w:tc>
          <w:tcPr>
            <w:tcW w:w="671" w:type="dxa"/>
            <w:tcBorders>
              <w:top w:val="nil"/>
              <w:left w:val="nil"/>
              <w:bottom w:val="nil"/>
              <w:right w:val="nil"/>
            </w:tcBorders>
            <w:shd w:val="clear" w:color="auto" w:fill="FFFFFF"/>
          </w:tcPr>
          <w:p w14:paraId="272EE0AA" w14:textId="4527C06A" w:rsidR="00DF39E0" w:rsidRPr="00481747" w:rsidRDefault="00DF39E0" w:rsidP="00DF39E0">
            <w:pPr>
              <w:pStyle w:val="CETBodytext"/>
              <w:jc w:val="center"/>
              <w:rPr>
                <w:b/>
                <w:bCs/>
                <w:lang w:val="en-GB"/>
              </w:rPr>
            </w:pPr>
            <w:r w:rsidRPr="00481747">
              <w:rPr>
                <w:b/>
                <w:bCs/>
              </w:rPr>
              <w:t>RR3</w:t>
            </w:r>
          </w:p>
        </w:tc>
      </w:tr>
    </w:tbl>
    <w:p w14:paraId="7AB8E133" w14:textId="6C59F42E" w:rsidR="00B57C07" w:rsidRPr="00481747" w:rsidRDefault="001B1BA0" w:rsidP="00B57C07">
      <w:pPr>
        <w:pStyle w:val="CETReference"/>
      </w:pPr>
      <w:r w:rsidRPr="00481747">
        <w:t>References</w:t>
      </w:r>
      <w:r w:rsidR="00B57C07" w:rsidRPr="00481747">
        <w:t>:</w:t>
      </w:r>
    </w:p>
    <w:bookmarkEnd w:id="1"/>
    <w:p w14:paraId="3F1FFA50" w14:textId="111F85C8" w:rsidR="00852810" w:rsidRDefault="00852810" w:rsidP="00852810">
      <w:pPr>
        <w:pStyle w:val="CETReferencetext"/>
      </w:pPr>
      <w:r w:rsidRPr="00CE2AF6">
        <w:t>CEN/TR 16829:2016, Fire and explosion prevention and protection for bucket elevators. European Committee for Standardization (CEN), 2016.</w:t>
      </w:r>
    </w:p>
    <w:p w14:paraId="48D29712" w14:textId="218612B6" w:rsidR="00852810" w:rsidRDefault="00852810" w:rsidP="00852810">
      <w:pPr>
        <w:pStyle w:val="CETReferencetext"/>
      </w:pPr>
      <w:r w:rsidRPr="00CE2AF6">
        <w:t>Dust Safety Science, Combustible Dust Incident Report 2023. DustSafetyScience.com, 2023.</w:t>
      </w:r>
    </w:p>
    <w:p w14:paraId="51FA565E" w14:textId="2F888B3D" w:rsidR="00852810" w:rsidRDefault="00852810" w:rsidP="00852810">
      <w:pPr>
        <w:pStyle w:val="CETReferencetext"/>
      </w:pPr>
      <w:r w:rsidRPr="00CE2AF6">
        <w:t>European Parliament and Council, Directive 1999/92/EC of the European Parliament and of the Council on minimum requirements for improving the safety and health protection of workers potentially at risk from explosive atmospheres. Official Journal of the European Union, 1999.</w:t>
      </w:r>
    </w:p>
    <w:p w14:paraId="0BD04345" w14:textId="77777777" w:rsidR="00852810" w:rsidRDefault="00852810" w:rsidP="00852810">
      <w:pPr>
        <w:pStyle w:val="CETReferencetext"/>
      </w:pPr>
      <w:r w:rsidRPr="00CE2AF6">
        <w:t>European Parliament and Council, Directive 2014/34/EU on the harmonization of the laws of the Member States relating to equipment and protective systems intended for use in potentially explosive atmospheres. Official Journal of the European Union, 2014.</w:t>
      </w:r>
    </w:p>
    <w:p w14:paraId="5FAF5ECF" w14:textId="592761EB" w:rsidR="000E54B2" w:rsidRPr="0038141F" w:rsidRDefault="00852810" w:rsidP="000E54B2">
      <w:pPr>
        <w:pStyle w:val="CETReferencetext"/>
      </w:pPr>
      <w:r w:rsidRPr="0038141F">
        <w:t>Grupa Wolff, "</w:t>
      </w:r>
      <w:r w:rsidR="00237C90" w:rsidRPr="0038141F">
        <w:t xml:space="preserve">Method of Explosion Hazard Assessment </w:t>
      </w:r>
      <w:r w:rsidRPr="0038141F">
        <w:t xml:space="preserve">(OZ-AW)." Accessed November 2024: </w:t>
      </w:r>
      <w:hyperlink r:id="rId12" w:history="1">
        <w:r w:rsidR="002D110C" w:rsidRPr="0038141F">
          <w:rPr>
            <w:rStyle w:val="Collegamentoipertestuale"/>
            <w:color w:val="auto"/>
          </w:rPr>
          <w:t>https://www.grupa-wolff.eu/metoda-oceny-zagrozen-wybuchem-oz-aw</w:t>
        </w:r>
      </w:hyperlink>
      <w:r w:rsidRPr="0038141F">
        <w:t>.</w:t>
      </w:r>
      <w:r w:rsidR="002D110C" w:rsidRPr="0038141F">
        <w:t xml:space="preserve"> [</w:t>
      </w:r>
      <w:r w:rsidR="00475E8A" w:rsidRPr="0038141F">
        <w:t>E</w:t>
      </w:r>
      <w:r w:rsidR="002D110C" w:rsidRPr="0038141F">
        <w:t>xplosion hazard assessment]</w:t>
      </w:r>
    </w:p>
    <w:p w14:paraId="651CEA77" w14:textId="0170112F" w:rsidR="00852810" w:rsidRPr="0038141F" w:rsidRDefault="00852810" w:rsidP="00852810">
      <w:pPr>
        <w:pStyle w:val="CETReferencetext"/>
      </w:pPr>
      <w:bookmarkStart w:id="2" w:name="_Hlk191971187"/>
      <w:r w:rsidRPr="0038141F">
        <w:t>EN 14373:2021, Explosion suppression systems. European Committee for Standardization (CEN), 2021.</w:t>
      </w:r>
    </w:p>
    <w:p w14:paraId="215BC321" w14:textId="77777777" w:rsidR="00852810" w:rsidRPr="0038141F" w:rsidRDefault="00852810" w:rsidP="00852810">
      <w:pPr>
        <w:pStyle w:val="CETReferencetext"/>
      </w:pPr>
      <w:r w:rsidRPr="0038141F">
        <w:t>EN 14491:2012, Dust explosion venting protective systems. European Committee for Standardization (CEN), 2012.</w:t>
      </w:r>
    </w:p>
    <w:p w14:paraId="5859920B" w14:textId="7DC71699" w:rsidR="00852810" w:rsidRPr="0038141F" w:rsidRDefault="00852810" w:rsidP="00852810">
      <w:pPr>
        <w:pStyle w:val="CETReferencetext"/>
      </w:pPr>
      <w:r w:rsidRPr="0038141F">
        <w:t>EN 15089:2010, Explosion isolation systems. European Committee for Standardization (CEN), 2010.</w:t>
      </w:r>
    </w:p>
    <w:p w14:paraId="4FACB5DF" w14:textId="5879E7E0" w:rsidR="000E54B2" w:rsidRPr="0038141F" w:rsidRDefault="00852810" w:rsidP="000E54B2">
      <w:pPr>
        <w:pStyle w:val="CETReferencetext"/>
      </w:pPr>
      <w:r w:rsidRPr="0038141F">
        <w:t xml:space="preserve">EN 16009:2011, </w:t>
      </w:r>
      <w:r w:rsidR="000E54B2" w:rsidRPr="0038141F">
        <w:t>Flameless e</w:t>
      </w:r>
      <w:r w:rsidRPr="0038141F">
        <w:t>xplosion venting devices. European Committee for Standardization (CEN), 2011.</w:t>
      </w:r>
      <w:bookmarkEnd w:id="2"/>
    </w:p>
    <w:p w14:paraId="03FB41D3" w14:textId="4AB08DBC" w:rsidR="00852810" w:rsidRDefault="00852810" w:rsidP="00852810">
      <w:pPr>
        <w:pStyle w:val="CETReferencetext"/>
      </w:pPr>
      <w:r w:rsidRPr="00CE2AF6">
        <w:t>The RASE Project, Explosive Atmosphere: Risk Assessment of Unit Operations and Equipment. EU Project No: SMT4-CT97-2169, March 2000.</w:t>
      </w:r>
    </w:p>
    <w:p w14:paraId="7CD69614" w14:textId="464B0DC2" w:rsidR="00852810" w:rsidRDefault="00852810" w:rsidP="00852810">
      <w:pPr>
        <w:pStyle w:val="CETReferencetext"/>
      </w:pPr>
      <w:r w:rsidRPr="00CE2AF6">
        <w:t>VDI 2263-6:20</w:t>
      </w:r>
      <w:r w:rsidR="00C02674">
        <w:t>1</w:t>
      </w:r>
      <w:r w:rsidRPr="00CE2AF6">
        <w:t xml:space="preserve">7, Hazard assessment – Protective measures. Verein Deutscher Ingenieure (VDI), </w:t>
      </w:r>
      <w:r w:rsidR="00C02674">
        <w:t xml:space="preserve">August </w:t>
      </w:r>
      <w:r w:rsidRPr="00CE2AF6">
        <w:t>20</w:t>
      </w:r>
      <w:r w:rsidR="00C02674">
        <w:t>1</w:t>
      </w:r>
      <w:r w:rsidRPr="00CE2AF6">
        <w:t>7.</w:t>
      </w:r>
    </w:p>
    <w:p w14:paraId="6B34A5BA" w14:textId="41BE8C28" w:rsidR="001B1BA0" w:rsidRPr="00C02674" w:rsidRDefault="00852810" w:rsidP="00852810">
      <w:pPr>
        <w:pStyle w:val="CETReferencetext"/>
      </w:pPr>
      <w:r w:rsidRPr="00C02674">
        <w:t xml:space="preserve">Wolff, A., Wolff, B., &amp; Wolff, Z., "A new approach to the assessment of explosion risk of dusts," </w:t>
      </w:r>
      <w:r w:rsidR="009069FE" w:rsidRPr="00C02674">
        <w:t>Chemical</w:t>
      </w:r>
      <w:r w:rsidR="00A838BB" w:rsidRPr="00C02674">
        <w:t xml:space="preserve"> </w:t>
      </w:r>
      <w:r w:rsidR="009069FE" w:rsidRPr="00C02674">
        <w:t>Engineering Transactions</w:t>
      </w:r>
      <w:r w:rsidRPr="00C02674">
        <w:t>, vol. 67, 2018.</w:t>
      </w:r>
    </w:p>
    <w:p w14:paraId="0E96F6C8" w14:textId="77777777" w:rsidR="0038141F" w:rsidRPr="00C02674" w:rsidRDefault="0038141F" w:rsidP="00852810">
      <w:pPr>
        <w:pStyle w:val="CETReferencetext"/>
      </w:pPr>
    </w:p>
    <w:sectPr w:rsidR="0038141F" w:rsidRPr="00C02674"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8317F" w14:textId="77777777" w:rsidR="000307F5" w:rsidRDefault="000307F5" w:rsidP="004F5E36">
      <w:r>
        <w:separator/>
      </w:r>
    </w:p>
  </w:endnote>
  <w:endnote w:type="continuationSeparator" w:id="0">
    <w:p w14:paraId="498B1C26" w14:textId="77777777" w:rsidR="000307F5" w:rsidRDefault="000307F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5404B" w14:textId="77777777" w:rsidR="000307F5" w:rsidRDefault="000307F5" w:rsidP="004F5E36">
      <w:r>
        <w:separator/>
      </w:r>
    </w:p>
  </w:footnote>
  <w:footnote w:type="continuationSeparator" w:id="0">
    <w:p w14:paraId="241683AD" w14:textId="77777777" w:rsidR="000307F5" w:rsidRDefault="000307F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C9A6F12"/>
    <w:multiLevelType w:val="multilevel"/>
    <w:tmpl w:val="0A36070C"/>
    <w:lvl w:ilvl="0">
      <w:start w:val="4"/>
      <w:numFmt w:val="decimal"/>
      <w:lvlText w:val="%1."/>
      <w:lvlJc w:val="left"/>
      <w:pPr>
        <w:ind w:left="2629" w:hanging="360"/>
      </w:pPr>
      <w:rPr>
        <w:rFonts w:hint="default"/>
      </w:rPr>
    </w:lvl>
    <w:lvl w:ilvl="1">
      <w:start w:val="1"/>
      <w:numFmt w:val="decimal"/>
      <w:isLgl/>
      <w:lvlText w:val="%1.%2."/>
      <w:lvlJc w:val="left"/>
      <w:pPr>
        <w:ind w:left="2629" w:hanging="360"/>
      </w:pPr>
      <w:rPr>
        <w:rFonts w:hint="default"/>
        <w:b/>
      </w:rPr>
    </w:lvl>
    <w:lvl w:ilvl="2">
      <w:start w:val="1"/>
      <w:numFmt w:val="decimal"/>
      <w:isLgl/>
      <w:lvlText w:val="%1.%2.%3."/>
      <w:lvlJc w:val="left"/>
      <w:pPr>
        <w:ind w:left="2989" w:hanging="720"/>
      </w:pPr>
      <w:rPr>
        <w:rFonts w:hint="default"/>
        <w:b/>
      </w:rPr>
    </w:lvl>
    <w:lvl w:ilvl="3">
      <w:start w:val="1"/>
      <w:numFmt w:val="decimal"/>
      <w:isLgl/>
      <w:lvlText w:val="%1.%2.%3.%4."/>
      <w:lvlJc w:val="left"/>
      <w:pPr>
        <w:ind w:left="2989" w:hanging="720"/>
      </w:pPr>
      <w:rPr>
        <w:rFonts w:hint="default"/>
        <w:b/>
      </w:rPr>
    </w:lvl>
    <w:lvl w:ilvl="4">
      <w:start w:val="1"/>
      <w:numFmt w:val="decimal"/>
      <w:isLgl/>
      <w:lvlText w:val="%1.%2.%3.%4.%5."/>
      <w:lvlJc w:val="left"/>
      <w:pPr>
        <w:ind w:left="3349" w:hanging="1080"/>
      </w:pPr>
      <w:rPr>
        <w:rFonts w:hint="default"/>
        <w:b/>
      </w:rPr>
    </w:lvl>
    <w:lvl w:ilvl="5">
      <w:start w:val="1"/>
      <w:numFmt w:val="decimal"/>
      <w:isLgl/>
      <w:lvlText w:val="%1.%2.%3.%4.%5.%6."/>
      <w:lvlJc w:val="left"/>
      <w:pPr>
        <w:ind w:left="3349" w:hanging="1080"/>
      </w:pPr>
      <w:rPr>
        <w:rFonts w:hint="default"/>
        <w:b/>
      </w:rPr>
    </w:lvl>
    <w:lvl w:ilvl="6">
      <w:start w:val="1"/>
      <w:numFmt w:val="decimal"/>
      <w:isLgl/>
      <w:lvlText w:val="%1.%2.%3.%4.%5.%6.%7."/>
      <w:lvlJc w:val="left"/>
      <w:pPr>
        <w:ind w:left="3349" w:hanging="1080"/>
      </w:pPr>
      <w:rPr>
        <w:rFonts w:hint="default"/>
        <w:b/>
      </w:rPr>
    </w:lvl>
    <w:lvl w:ilvl="7">
      <w:start w:val="1"/>
      <w:numFmt w:val="decimal"/>
      <w:isLgl/>
      <w:lvlText w:val="%1.%2.%3.%4.%5.%6.%7.%8."/>
      <w:lvlJc w:val="left"/>
      <w:pPr>
        <w:ind w:left="3709" w:hanging="1440"/>
      </w:pPr>
      <w:rPr>
        <w:rFonts w:hint="default"/>
        <w:b/>
      </w:rPr>
    </w:lvl>
    <w:lvl w:ilvl="8">
      <w:start w:val="1"/>
      <w:numFmt w:val="decimal"/>
      <w:isLgl/>
      <w:lvlText w:val="%1.%2.%3.%4.%5.%6.%7.%8.%9."/>
      <w:lvlJc w:val="left"/>
      <w:pPr>
        <w:ind w:left="3709" w:hanging="1440"/>
      </w:pPr>
      <w:rPr>
        <w:rFonts w:hint="default"/>
        <w:b/>
      </w:rPr>
    </w:lvl>
  </w:abstractNum>
  <w:abstractNum w:abstractNumId="12" w15:restartNumberingAfterBreak="0">
    <w:nsid w:val="2438217E"/>
    <w:multiLevelType w:val="multilevel"/>
    <w:tmpl w:val="6F8EFEC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993" w:firstLine="0"/>
      </w:pPr>
      <w:rPr>
        <w:rFonts w:hint="default"/>
      </w:rPr>
    </w:lvl>
    <w:lvl w:ilvl="2">
      <w:start w:val="1"/>
      <w:numFmt w:val="decimal"/>
      <w:pStyle w:val="CETheadingx"/>
      <w:suff w:val="space"/>
      <w:lvlText w:val="%2.%3"/>
      <w:lvlJc w:val="left"/>
      <w:pPr>
        <w:ind w:left="426"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1DA3493"/>
    <w:multiLevelType w:val="hybridMultilevel"/>
    <w:tmpl w:val="6D747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12E67C6C"/>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A6275F"/>
    <w:multiLevelType w:val="hybridMultilevel"/>
    <w:tmpl w:val="36F01DFE"/>
    <w:lvl w:ilvl="0" w:tplc="F44C8C7A">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B4B44D0"/>
    <w:multiLevelType w:val="hybridMultilevel"/>
    <w:tmpl w:val="5CAA5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3B0278"/>
    <w:multiLevelType w:val="hybridMultilevel"/>
    <w:tmpl w:val="CCE61A72"/>
    <w:lvl w:ilvl="0" w:tplc="F44C8C7A">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AA777CD"/>
    <w:multiLevelType w:val="multilevel"/>
    <w:tmpl w:val="7D000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F002662"/>
    <w:multiLevelType w:val="multilevel"/>
    <w:tmpl w:val="91840FDE"/>
    <w:lvl w:ilvl="0">
      <w:start w:val="1"/>
      <w:numFmt w:val="decimal"/>
      <w:lvlText w:val="%1."/>
      <w:lvlJc w:val="left"/>
      <w:pPr>
        <w:ind w:left="1070" w:hanging="360"/>
      </w:pPr>
      <w:rPr>
        <w:rFonts w:hint="default"/>
        <w:color w:val="FF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3"/>
  </w:num>
  <w:num w:numId="13" w16cid:durableId="695733619">
    <w:abstractNumId w:val="15"/>
  </w:num>
  <w:num w:numId="14" w16cid:durableId="145903400">
    <w:abstractNumId w:val="25"/>
  </w:num>
  <w:num w:numId="15" w16cid:durableId="19162326">
    <w:abstractNumId w:val="27"/>
  </w:num>
  <w:num w:numId="16" w16cid:durableId="1977102699">
    <w:abstractNumId w:val="26"/>
  </w:num>
  <w:num w:numId="17" w16cid:durableId="860774865">
    <w:abstractNumId w:val="14"/>
  </w:num>
  <w:num w:numId="18" w16cid:durableId="313221457">
    <w:abstractNumId w:val="15"/>
    <w:lvlOverride w:ilvl="0">
      <w:startOverride w:val="1"/>
    </w:lvlOverride>
  </w:num>
  <w:num w:numId="19" w16cid:durableId="534971577">
    <w:abstractNumId w:val="22"/>
  </w:num>
  <w:num w:numId="20" w16cid:durableId="1150947773">
    <w:abstractNumId w:val="21"/>
  </w:num>
  <w:num w:numId="21" w16cid:durableId="124660497">
    <w:abstractNumId w:val="18"/>
  </w:num>
  <w:num w:numId="22" w16cid:durableId="2099861471">
    <w:abstractNumId w:val="17"/>
  </w:num>
  <w:num w:numId="23" w16cid:durableId="84351335">
    <w:abstractNumId w:val="10"/>
  </w:num>
  <w:num w:numId="24" w16cid:durableId="906305161">
    <w:abstractNumId w:val="13"/>
  </w:num>
  <w:num w:numId="25" w16cid:durableId="1036344936">
    <w:abstractNumId w:val="20"/>
  </w:num>
  <w:num w:numId="26" w16cid:durableId="1300112887">
    <w:abstractNumId w:val="16"/>
  </w:num>
  <w:num w:numId="27" w16cid:durableId="968245438">
    <w:abstractNumId w:val="28"/>
  </w:num>
  <w:num w:numId="28" w16cid:durableId="1392384312">
    <w:abstractNumId w:val="11"/>
  </w:num>
  <w:num w:numId="29" w16cid:durableId="985234254">
    <w:abstractNumId w:val="24"/>
    <w:lvlOverride w:ilvl="0">
      <w:startOverride w:val="1"/>
    </w:lvlOverride>
  </w:num>
  <w:num w:numId="30" w16cid:durableId="1048065680">
    <w:abstractNumId w:val="24"/>
    <w:lvlOverride w:ilvl="0">
      <w:startOverride w:val="2"/>
    </w:lvlOverride>
  </w:num>
  <w:num w:numId="31" w16cid:durableId="1180241431">
    <w:abstractNumId w:val="24"/>
    <w:lvlOverride w:ilvl="0">
      <w:startOverride w:val="3"/>
    </w:lvlOverride>
  </w:num>
  <w:num w:numId="32" w16cid:durableId="1456750597">
    <w:abstractNumId w:val="24"/>
    <w:lvlOverride w:ilvl="0">
      <w:startOverride w:val="4"/>
    </w:lvlOverride>
  </w:num>
  <w:num w:numId="33" w16cid:durableId="71700554">
    <w:abstractNumId w:val="24"/>
    <w:lvlOverride w:ilvl="0">
      <w:startOverride w:val="5"/>
    </w:lvlOverride>
  </w:num>
  <w:num w:numId="34" w16cid:durableId="1826435344">
    <w:abstractNumId w:val="24"/>
    <w:lvlOverride w:ilvl="0">
      <w:startOverride w:val="6"/>
    </w:lvlOverride>
  </w:num>
  <w:num w:numId="35" w16cid:durableId="1123890798">
    <w:abstractNumId w:val="24"/>
    <w:lvlOverride w:ilvl="0">
      <w:startOverride w:val="7"/>
    </w:lvlOverride>
  </w:num>
  <w:num w:numId="36" w16cid:durableId="1546719426">
    <w:abstractNumId w:val="24"/>
    <w:lvlOverride w:ilvl="0">
      <w:startOverride w:val="8"/>
    </w:lvlOverride>
  </w:num>
  <w:num w:numId="37" w16cid:durableId="1894389124">
    <w:abstractNumId w:val="24"/>
    <w:lvlOverride w:ilvl="0">
      <w:startOverride w:val="9"/>
    </w:lvlOverride>
  </w:num>
  <w:num w:numId="38" w16cid:durableId="313416616">
    <w:abstractNumId w:val="24"/>
    <w:lvlOverride w:ilvl="0">
      <w:startOverride w:val="10"/>
    </w:lvlOverride>
  </w:num>
  <w:num w:numId="39" w16cid:durableId="1495563332">
    <w:abstractNumId w:val="24"/>
    <w:lvlOverride w:ilvl="0">
      <w:startOverride w:val="11"/>
    </w:lvlOverride>
  </w:num>
  <w:num w:numId="40" w16cid:durableId="1584333564">
    <w:abstractNumId w:val="24"/>
    <w:lvlOverride w:ilvl="0">
      <w:startOverride w:val="12"/>
    </w:lvlOverride>
  </w:num>
  <w:num w:numId="41" w16cid:durableId="7510452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645E"/>
    <w:rsid w:val="000117CB"/>
    <w:rsid w:val="000307F5"/>
    <w:rsid w:val="0003148D"/>
    <w:rsid w:val="00031EEC"/>
    <w:rsid w:val="000324E4"/>
    <w:rsid w:val="000355B7"/>
    <w:rsid w:val="0004386F"/>
    <w:rsid w:val="00050DF0"/>
    <w:rsid w:val="00050F32"/>
    <w:rsid w:val="00051566"/>
    <w:rsid w:val="000562A9"/>
    <w:rsid w:val="00062A9A"/>
    <w:rsid w:val="00062AB9"/>
    <w:rsid w:val="00062E51"/>
    <w:rsid w:val="00065058"/>
    <w:rsid w:val="00070F00"/>
    <w:rsid w:val="00076727"/>
    <w:rsid w:val="00085BE4"/>
    <w:rsid w:val="00086C39"/>
    <w:rsid w:val="00090E5B"/>
    <w:rsid w:val="00096529"/>
    <w:rsid w:val="000A03B2"/>
    <w:rsid w:val="000A1C74"/>
    <w:rsid w:val="000A3573"/>
    <w:rsid w:val="000C2DAB"/>
    <w:rsid w:val="000C4778"/>
    <w:rsid w:val="000D0268"/>
    <w:rsid w:val="000D34BE"/>
    <w:rsid w:val="000D5DC6"/>
    <w:rsid w:val="000E0B3C"/>
    <w:rsid w:val="000E102F"/>
    <w:rsid w:val="000E24B0"/>
    <w:rsid w:val="000E36F1"/>
    <w:rsid w:val="000E3A73"/>
    <w:rsid w:val="000E414A"/>
    <w:rsid w:val="000E54B2"/>
    <w:rsid w:val="000E75FD"/>
    <w:rsid w:val="000F093C"/>
    <w:rsid w:val="000F0F66"/>
    <w:rsid w:val="000F787B"/>
    <w:rsid w:val="00100440"/>
    <w:rsid w:val="0011169F"/>
    <w:rsid w:val="001116B5"/>
    <w:rsid w:val="00114100"/>
    <w:rsid w:val="0012091F"/>
    <w:rsid w:val="00126BC2"/>
    <w:rsid w:val="001308B6"/>
    <w:rsid w:val="0013121F"/>
    <w:rsid w:val="00131FE6"/>
    <w:rsid w:val="00132558"/>
    <w:rsid w:val="0013263F"/>
    <w:rsid w:val="001331DF"/>
    <w:rsid w:val="00134DE4"/>
    <w:rsid w:val="00136213"/>
    <w:rsid w:val="0014034D"/>
    <w:rsid w:val="00140FE3"/>
    <w:rsid w:val="00144D16"/>
    <w:rsid w:val="0014514B"/>
    <w:rsid w:val="00150E59"/>
    <w:rsid w:val="00152DE3"/>
    <w:rsid w:val="00156EAF"/>
    <w:rsid w:val="00164CF9"/>
    <w:rsid w:val="001667A6"/>
    <w:rsid w:val="00172CF7"/>
    <w:rsid w:val="001733C9"/>
    <w:rsid w:val="001813E8"/>
    <w:rsid w:val="0018171E"/>
    <w:rsid w:val="00182047"/>
    <w:rsid w:val="001823DC"/>
    <w:rsid w:val="00184AD6"/>
    <w:rsid w:val="00191FDA"/>
    <w:rsid w:val="001938BA"/>
    <w:rsid w:val="001947FF"/>
    <w:rsid w:val="001A328C"/>
    <w:rsid w:val="001A4AF7"/>
    <w:rsid w:val="001A6797"/>
    <w:rsid w:val="001A7EE9"/>
    <w:rsid w:val="001B0349"/>
    <w:rsid w:val="001B1BA0"/>
    <w:rsid w:val="001B1E93"/>
    <w:rsid w:val="001B65C1"/>
    <w:rsid w:val="001C260F"/>
    <w:rsid w:val="001C30AD"/>
    <w:rsid w:val="001C5C3A"/>
    <w:rsid w:val="001C684B"/>
    <w:rsid w:val="001D03AC"/>
    <w:rsid w:val="001D09A7"/>
    <w:rsid w:val="001D0CFB"/>
    <w:rsid w:val="001D1FAB"/>
    <w:rsid w:val="001D21AF"/>
    <w:rsid w:val="001D269B"/>
    <w:rsid w:val="001D53FC"/>
    <w:rsid w:val="001F015F"/>
    <w:rsid w:val="001F1FBF"/>
    <w:rsid w:val="001F42A5"/>
    <w:rsid w:val="001F7B9D"/>
    <w:rsid w:val="00201C93"/>
    <w:rsid w:val="00205EBC"/>
    <w:rsid w:val="00211F22"/>
    <w:rsid w:val="00220995"/>
    <w:rsid w:val="002224B4"/>
    <w:rsid w:val="00231036"/>
    <w:rsid w:val="0023551E"/>
    <w:rsid w:val="00235A0C"/>
    <w:rsid w:val="00237C90"/>
    <w:rsid w:val="002447EF"/>
    <w:rsid w:val="00245BA5"/>
    <w:rsid w:val="00251550"/>
    <w:rsid w:val="00256497"/>
    <w:rsid w:val="00257789"/>
    <w:rsid w:val="00263B05"/>
    <w:rsid w:val="0027221A"/>
    <w:rsid w:val="00273E03"/>
    <w:rsid w:val="00275B61"/>
    <w:rsid w:val="002764C7"/>
    <w:rsid w:val="00280FAF"/>
    <w:rsid w:val="00282656"/>
    <w:rsid w:val="002834D6"/>
    <w:rsid w:val="00285B71"/>
    <w:rsid w:val="0029005C"/>
    <w:rsid w:val="00294088"/>
    <w:rsid w:val="00296B83"/>
    <w:rsid w:val="002B4015"/>
    <w:rsid w:val="002B78CE"/>
    <w:rsid w:val="002C2FB6"/>
    <w:rsid w:val="002C3315"/>
    <w:rsid w:val="002C5364"/>
    <w:rsid w:val="002C6189"/>
    <w:rsid w:val="002D110C"/>
    <w:rsid w:val="002D308B"/>
    <w:rsid w:val="002E3533"/>
    <w:rsid w:val="002E3EAF"/>
    <w:rsid w:val="002E5FA7"/>
    <w:rsid w:val="002E60BE"/>
    <w:rsid w:val="002E7118"/>
    <w:rsid w:val="002F3309"/>
    <w:rsid w:val="003008CE"/>
    <w:rsid w:val="003009B7"/>
    <w:rsid w:val="00300E56"/>
    <w:rsid w:val="0030152C"/>
    <w:rsid w:val="00301F32"/>
    <w:rsid w:val="0030469C"/>
    <w:rsid w:val="00304F31"/>
    <w:rsid w:val="00310EBB"/>
    <w:rsid w:val="00313187"/>
    <w:rsid w:val="00320C88"/>
    <w:rsid w:val="0032156A"/>
    <w:rsid w:val="00321CA6"/>
    <w:rsid w:val="00323763"/>
    <w:rsid w:val="00323C5F"/>
    <w:rsid w:val="00324402"/>
    <w:rsid w:val="00325BCE"/>
    <w:rsid w:val="00334C09"/>
    <w:rsid w:val="003604AD"/>
    <w:rsid w:val="0036173B"/>
    <w:rsid w:val="0036547D"/>
    <w:rsid w:val="003674F4"/>
    <w:rsid w:val="003723D4"/>
    <w:rsid w:val="003747B4"/>
    <w:rsid w:val="0038141F"/>
    <w:rsid w:val="00381905"/>
    <w:rsid w:val="00384CC8"/>
    <w:rsid w:val="003871FD"/>
    <w:rsid w:val="00391829"/>
    <w:rsid w:val="00397EE4"/>
    <w:rsid w:val="003A1E30"/>
    <w:rsid w:val="003A2829"/>
    <w:rsid w:val="003A2ADE"/>
    <w:rsid w:val="003A7D1C"/>
    <w:rsid w:val="003B304B"/>
    <w:rsid w:val="003B3146"/>
    <w:rsid w:val="003B49CD"/>
    <w:rsid w:val="003C6EBA"/>
    <w:rsid w:val="003C791D"/>
    <w:rsid w:val="003D1010"/>
    <w:rsid w:val="003D1043"/>
    <w:rsid w:val="003D1E02"/>
    <w:rsid w:val="003E4CD1"/>
    <w:rsid w:val="003E7B2A"/>
    <w:rsid w:val="003F015E"/>
    <w:rsid w:val="003F0BFB"/>
    <w:rsid w:val="003F0E7B"/>
    <w:rsid w:val="003F14FF"/>
    <w:rsid w:val="003F6FD7"/>
    <w:rsid w:val="00400414"/>
    <w:rsid w:val="00403891"/>
    <w:rsid w:val="004117B7"/>
    <w:rsid w:val="0041446B"/>
    <w:rsid w:val="00421101"/>
    <w:rsid w:val="00423A61"/>
    <w:rsid w:val="00431911"/>
    <w:rsid w:val="0044071E"/>
    <w:rsid w:val="0044262B"/>
    <w:rsid w:val="0044329C"/>
    <w:rsid w:val="00443AE2"/>
    <w:rsid w:val="0044487D"/>
    <w:rsid w:val="004453D1"/>
    <w:rsid w:val="004457E1"/>
    <w:rsid w:val="00453E24"/>
    <w:rsid w:val="00456228"/>
    <w:rsid w:val="00457456"/>
    <w:rsid w:val="004577FE"/>
    <w:rsid w:val="00457B9C"/>
    <w:rsid w:val="0046164A"/>
    <w:rsid w:val="004628D2"/>
    <w:rsid w:val="00462DCD"/>
    <w:rsid w:val="004648AD"/>
    <w:rsid w:val="004648F3"/>
    <w:rsid w:val="0046768F"/>
    <w:rsid w:val="004703A9"/>
    <w:rsid w:val="00471EB2"/>
    <w:rsid w:val="00475E8A"/>
    <w:rsid w:val="004760DE"/>
    <w:rsid w:val="004763D7"/>
    <w:rsid w:val="00481747"/>
    <w:rsid w:val="00481DEF"/>
    <w:rsid w:val="004A004E"/>
    <w:rsid w:val="004A24CF"/>
    <w:rsid w:val="004A53FC"/>
    <w:rsid w:val="004B49DB"/>
    <w:rsid w:val="004C3D1D"/>
    <w:rsid w:val="004C3D84"/>
    <w:rsid w:val="004C6E75"/>
    <w:rsid w:val="004C7913"/>
    <w:rsid w:val="004D2C60"/>
    <w:rsid w:val="004D4359"/>
    <w:rsid w:val="004E21E0"/>
    <w:rsid w:val="004E4A5E"/>
    <w:rsid w:val="004E4DD6"/>
    <w:rsid w:val="004E58EA"/>
    <w:rsid w:val="004F5BB1"/>
    <w:rsid w:val="004F5E36"/>
    <w:rsid w:val="00507B47"/>
    <w:rsid w:val="00507BEF"/>
    <w:rsid w:val="00507CC9"/>
    <w:rsid w:val="005119A5"/>
    <w:rsid w:val="005278B7"/>
    <w:rsid w:val="00530E41"/>
    <w:rsid w:val="00532016"/>
    <w:rsid w:val="00534639"/>
    <w:rsid w:val="005346C8"/>
    <w:rsid w:val="00536D92"/>
    <w:rsid w:val="005424FC"/>
    <w:rsid w:val="0054344E"/>
    <w:rsid w:val="00543E7D"/>
    <w:rsid w:val="00546249"/>
    <w:rsid w:val="00547A68"/>
    <w:rsid w:val="00550211"/>
    <w:rsid w:val="005531C9"/>
    <w:rsid w:val="00554879"/>
    <w:rsid w:val="005561BB"/>
    <w:rsid w:val="005679E7"/>
    <w:rsid w:val="00567AB0"/>
    <w:rsid w:val="00570C43"/>
    <w:rsid w:val="0057286C"/>
    <w:rsid w:val="00573CF9"/>
    <w:rsid w:val="00592274"/>
    <w:rsid w:val="005945E8"/>
    <w:rsid w:val="005A0BCC"/>
    <w:rsid w:val="005B2110"/>
    <w:rsid w:val="005B350B"/>
    <w:rsid w:val="005B61E6"/>
    <w:rsid w:val="005B6DFD"/>
    <w:rsid w:val="005C5D76"/>
    <w:rsid w:val="005C6D67"/>
    <w:rsid w:val="005C77E1"/>
    <w:rsid w:val="005D1C2A"/>
    <w:rsid w:val="005D3F5A"/>
    <w:rsid w:val="005D668A"/>
    <w:rsid w:val="005D6A2F"/>
    <w:rsid w:val="005E0566"/>
    <w:rsid w:val="005E0592"/>
    <w:rsid w:val="005E1A82"/>
    <w:rsid w:val="005E72A7"/>
    <w:rsid w:val="005E794C"/>
    <w:rsid w:val="005F0A28"/>
    <w:rsid w:val="005F0E5E"/>
    <w:rsid w:val="005F10C1"/>
    <w:rsid w:val="005F5240"/>
    <w:rsid w:val="00600535"/>
    <w:rsid w:val="0060112A"/>
    <w:rsid w:val="00610CD6"/>
    <w:rsid w:val="0061493A"/>
    <w:rsid w:val="00620DEE"/>
    <w:rsid w:val="00621841"/>
    <w:rsid w:val="00621F92"/>
    <w:rsid w:val="0062280A"/>
    <w:rsid w:val="006231E1"/>
    <w:rsid w:val="00625639"/>
    <w:rsid w:val="00631B33"/>
    <w:rsid w:val="0063329D"/>
    <w:rsid w:val="00636C63"/>
    <w:rsid w:val="0064184D"/>
    <w:rsid w:val="006422CC"/>
    <w:rsid w:val="00651C76"/>
    <w:rsid w:val="00651D18"/>
    <w:rsid w:val="00652782"/>
    <w:rsid w:val="00660C0F"/>
    <w:rsid w:val="00660E3E"/>
    <w:rsid w:val="00660E78"/>
    <w:rsid w:val="00662E74"/>
    <w:rsid w:val="00665671"/>
    <w:rsid w:val="006673B7"/>
    <w:rsid w:val="006763A0"/>
    <w:rsid w:val="00680C23"/>
    <w:rsid w:val="00681158"/>
    <w:rsid w:val="00683E23"/>
    <w:rsid w:val="006857A3"/>
    <w:rsid w:val="00693766"/>
    <w:rsid w:val="006A0430"/>
    <w:rsid w:val="006A3155"/>
    <w:rsid w:val="006A3281"/>
    <w:rsid w:val="006A6DE5"/>
    <w:rsid w:val="006A799C"/>
    <w:rsid w:val="006B13F7"/>
    <w:rsid w:val="006B4888"/>
    <w:rsid w:val="006C2E45"/>
    <w:rsid w:val="006C359C"/>
    <w:rsid w:val="006C41B6"/>
    <w:rsid w:val="006C5579"/>
    <w:rsid w:val="006D031E"/>
    <w:rsid w:val="006D3E0F"/>
    <w:rsid w:val="006D6E8B"/>
    <w:rsid w:val="006D7209"/>
    <w:rsid w:val="006E0ED5"/>
    <w:rsid w:val="006E737D"/>
    <w:rsid w:val="006F6274"/>
    <w:rsid w:val="006F6E93"/>
    <w:rsid w:val="00707DD1"/>
    <w:rsid w:val="00713973"/>
    <w:rsid w:val="00715C04"/>
    <w:rsid w:val="00720118"/>
    <w:rsid w:val="00720A24"/>
    <w:rsid w:val="00722E68"/>
    <w:rsid w:val="00723F6D"/>
    <w:rsid w:val="00726196"/>
    <w:rsid w:val="00727FCD"/>
    <w:rsid w:val="00730BEC"/>
    <w:rsid w:val="00731981"/>
    <w:rsid w:val="00732386"/>
    <w:rsid w:val="0073514D"/>
    <w:rsid w:val="00742CF1"/>
    <w:rsid w:val="007447F3"/>
    <w:rsid w:val="00752B4E"/>
    <w:rsid w:val="00752CD3"/>
    <w:rsid w:val="0075499F"/>
    <w:rsid w:val="00754E08"/>
    <w:rsid w:val="007661C8"/>
    <w:rsid w:val="0077098D"/>
    <w:rsid w:val="00774F94"/>
    <w:rsid w:val="0078042B"/>
    <w:rsid w:val="007848A0"/>
    <w:rsid w:val="00785BF9"/>
    <w:rsid w:val="00792A9D"/>
    <w:rsid w:val="007931FA"/>
    <w:rsid w:val="00794C97"/>
    <w:rsid w:val="007A0692"/>
    <w:rsid w:val="007A4861"/>
    <w:rsid w:val="007A7412"/>
    <w:rsid w:val="007A7BBA"/>
    <w:rsid w:val="007B0C50"/>
    <w:rsid w:val="007B0DF1"/>
    <w:rsid w:val="007B19AF"/>
    <w:rsid w:val="007B3286"/>
    <w:rsid w:val="007B48F9"/>
    <w:rsid w:val="007C09C2"/>
    <w:rsid w:val="007C1A43"/>
    <w:rsid w:val="007C28AA"/>
    <w:rsid w:val="007C6B10"/>
    <w:rsid w:val="007D0951"/>
    <w:rsid w:val="007D0FDE"/>
    <w:rsid w:val="007D610D"/>
    <w:rsid w:val="007E496C"/>
    <w:rsid w:val="007E5401"/>
    <w:rsid w:val="007F046A"/>
    <w:rsid w:val="0080013E"/>
    <w:rsid w:val="00801759"/>
    <w:rsid w:val="00813288"/>
    <w:rsid w:val="008168FC"/>
    <w:rsid w:val="008204D8"/>
    <w:rsid w:val="00826C01"/>
    <w:rsid w:val="00830996"/>
    <w:rsid w:val="008314FE"/>
    <w:rsid w:val="0083190D"/>
    <w:rsid w:val="00831DB7"/>
    <w:rsid w:val="008345F1"/>
    <w:rsid w:val="0083493D"/>
    <w:rsid w:val="0084491A"/>
    <w:rsid w:val="0084650B"/>
    <w:rsid w:val="00852810"/>
    <w:rsid w:val="00861B06"/>
    <w:rsid w:val="00865B07"/>
    <w:rsid w:val="008667EA"/>
    <w:rsid w:val="00872DB0"/>
    <w:rsid w:val="00873E04"/>
    <w:rsid w:val="0087637F"/>
    <w:rsid w:val="00883A98"/>
    <w:rsid w:val="0089165B"/>
    <w:rsid w:val="0089202C"/>
    <w:rsid w:val="00892AD5"/>
    <w:rsid w:val="008A1512"/>
    <w:rsid w:val="008A6B04"/>
    <w:rsid w:val="008B6DFC"/>
    <w:rsid w:val="008C55F8"/>
    <w:rsid w:val="008C6602"/>
    <w:rsid w:val="008D32B9"/>
    <w:rsid w:val="008D3611"/>
    <w:rsid w:val="008D433B"/>
    <w:rsid w:val="008D4A16"/>
    <w:rsid w:val="008D5081"/>
    <w:rsid w:val="008E0387"/>
    <w:rsid w:val="008E34E7"/>
    <w:rsid w:val="008E5401"/>
    <w:rsid w:val="008E566E"/>
    <w:rsid w:val="008F070D"/>
    <w:rsid w:val="0090161A"/>
    <w:rsid w:val="00901EB6"/>
    <w:rsid w:val="00903544"/>
    <w:rsid w:val="009041F8"/>
    <w:rsid w:val="00904C62"/>
    <w:rsid w:val="009069FE"/>
    <w:rsid w:val="009070FE"/>
    <w:rsid w:val="009202F3"/>
    <w:rsid w:val="00922ABB"/>
    <w:rsid w:val="00922BA8"/>
    <w:rsid w:val="00924DAC"/>
    <w:rsid w:val="00927058"/>
    <w:rsid w:val="00942750"/>
    <w:rsid w:val="009450CE"/>
    <w:rsid w:val="009459BB"/>
    <w:rsid w:val="00947179"/>
    <w:rsid w:val="0095164B"/>
    <w:rsid w:val="00954090"/>
    <w:rsid w:val="009573E7"/>
    <w:rsid w:val="009575F8"/>
    <w:rsid w:val="0096363D"/>
    <w:rsid w:val="00963E05"/>
    <w:rsid w:val="00964A45"/>
    <w:rsid w:val="0096569B"/>
    <w:rsid w:val="00966EE0"/>
    <w:rsid w:val="00967843"/>
    <w:rsid w:val="00967D54"/>
    <w:rsid w:val="0097086D"/>
    <w:rsid w:val="00971028"/>
    <w:rsid w:val="009743EE"/>
    <w:rsid w:val="009825F0"/>
    <w:rsid w:val="00991F82"/>
    <w:rsid w:val="00992BE4"/>
    <w:rsid w:val="00993B84"/>
    <w:rsid w:val="00994C6A"/>
    <w:rsid w:val="00996483"/>
    <w:rsid w:val="00996F5A"/>
    <w:rsid w:val="009B041A"/>
    <w:rsid w:val="009C37C3"/>
    <w:rsid w:val="009C7C86"/>
    <w:rsid w:val="009D02CA"/>
    <w:rsid w:val="009D2FF7"/>
    <w:rsid w:val="009D6D46"/>
    <w:rsid w:val="009D7CE8"/>
    <w:rsid w:val="009E3E45"/>
    <w:rsid w:val="009E5AF4"/>
    <w:rsid w:val="009E7884"/>
    <w:rsid w:val="009E788A"/>
    <w:rsid w:val="009F0E08"/>
    <w:rsid w:val="009F1219"/>
    <w:rsid w:val="009F6C81"/>
    <w:rsid w:val="00A079AE"/>
    <w:rsid w:val="00A1047A"/>
    <w:rsid w:val="00A10BD5"/>
    <w:rsid w:val="00A14E34"/>
    <w:rsid w:val="00A1545C"/>
    <w:rsid w:val="00A1763D"/>
    <w:rsid w:val="00A17CEC"/>
    <w:rsid w:val="00A21F68"/>
    <w:rsid w:val="00A25E9B"/>
    <w:rsid w:val="00A27EF0"/>
    <w:rsid w:val="00A3356E"/>
    <w:rsid w:val="00A421D8"/>
    <w:rsid w:val="00A42361"/>
    <w:rsid w:val="00A4263D"/>
    <w:rsid w:val="00A50B20"/>
    <w:rsid w:val="00A51390"/>
    <w:rsid w:val="00A60D13"/>
    <w:rsid w:val="00A61A3F"/>
    <w:rsid w:val="00A7223D"/>
    <w:rsid w:val="00A72745"/>
    <w:rsid w:val="00A749A0"/>
    <w:rsid w:val="00A76EFC"/>
    <w:rsid w:val="00A838BB"/>
    <w:rsid w:val="00A8774F"/>
    <w:rsid w:val="00A87D50"/>
    <w:rsid w:val="00A91010"/>
    <w:rsid w:val="00A97F29"/>
    <w:rsid w:val="00AA202D"/>
    <w:rsid w:val="00AA702E"/>
    <w:rsid w:val="00AA70E9"/>
    <w:rsid w:val="00AA7D26"/>
    <w:rsid w:val="00AB0964"/>
    <w:rsid w:val="00AB3F7E"/>
    <w:rsid w:val="00AB5011"/>
    <w:rsid w:val="00AC02F2"/>
    <w:rsid w:val="00AC30EE"/>
    <w:rsid w:val="00AC7368"/>
    <w:rsid w:val="00AD0211"/>
    <w:rsid w:val="00AD16B9"/>
    <w:rsid w:val="00AD4052"/>
    <w:rsid w:val="00AE182C"/>
    <w:rsid w:val="00AE2800"/>
    <w:rsid w:val="00AE33E8"/>
    <w:rsid w:val="00AE377D"/>
    <w:rsid w:val="00AF04AD"/>
    <w:rsid w:val="00AF0EBA"/>
    <w:rsid w:val="00AF2463"/>
    <w:rsid w:val="00B02C8A"/>
    <w:rsid w:val="00B0672E"/>
    <w:rsid w:val="00B073E8"/>
    <w:rsid w:val="00B10267"/>
    <w:rsid w:val="00B17FBD"/>
    <w:rsid w:val="00B2131B"/>
    <w:rsid w:val="00B315A6"/>
    <w:rsid w:val="00B31813"/>
    <w:rsid w:val="00B33365"/>
    <w:rsid w:val="00B34D3E"/>
    <w:rsid w:val="00B57B36"/>
    <w:rsid w:val="00B57C07"/>
    <w:rsid w:val="00B57E6F"/>
    <w:rsid w:val="00B61BCD"/>
    <w:rsid w:val="00B62244"/>
    <w:rsid w:val="00B8686D"/>
    <w:rsid w:val="00B93F69"/>
    <w:rsid w:val="00BB1DDC"/>
    <w:rsid w:val="00BB3971"/>
    <w:rsid w:val="00BB456E"/>
    <w:rsid w:val="00BB6182"/>
    <w:rsid w:val="00BB6D93"/>
    <w:rsid w:val="00BC30C9"/>
    <w:rsid w:val="00BC6738"/>
    <w:rsid w:val="00BD0185"/>
    <w:rsid w:val="00BD077D"/>
    <w:rsid w:val="00BD1D8C"/>
    <w:rsid w:val="00BD47D4"/>
    <w:rsid w:val="00BE109C"/>
    <w:rsid w:val="00BE121E"/>
    <w:rsid w:val="00BE1D33"/>
    <w:rsid w:val="00BE3E58"/>
    <w:rsid w:val="00BF104F"/>
    <w:rsid w:val="00BF13CE"/>
    <w:rsid w:val="00BF7B4C"/>
    <w:rsid w:val="00C01616"/>
    <w:rsid w:val="00C0162B"/>
    <w:rsid w:val="00C02674"/>
    <w:rsid w:val="00C0396C"/>
    <w:rsid w:val="00C03D3E"/>
    <w:rsid w:val="00C05282"/>
    <w:rsid w:val="00C068ED"/>
    <w:rsid w:val="00C07E43"/>
    <w:rsid w:val="00C136C7"/>
    <w:rsid w:val="00C167A5"/>
    <w:rsid w:val="00C22C03"/>
    <w:rsid w:val="00C22E0C"/>
    <w:rsid w:val="00C345B1"/>
    <w:rsid w:val="00C40142"/>
    <w:rsid w:val="00C423BF"/>
    <w:rsid w:val="00C52C3C"/>
    <w:rsid w:val="00C52E70"/>
    <w:rsid w:val="00C57182"/>
    <w:rsid w:val="00C57863"/>
    <w:rsid w:val="00C640AF"/>
    <w:rsid w:val="00C64B63"/>
    <w:rsid w:val="00C655FD"/>
    <w:rsid w:val="00C66ABF"/>
    <w:rsid w:val="00C67B49"/>
    <w:rsid w:val="00C75407"/>
    <w:rsid w:val="00C841C6"/>
    <w:rsid w:val="00C84814"/>
    <w:rsid w:val="00C854AD"/>
    <w:rsid w:val="00C85E74"/>
    <w:rsid w:val="00C870A8"/>
    <w:rsid w:val="00C94434"/>
    <w:rsid w:val="00C976C1"/>
    <w:rsid w:val="00CA0D75"/>
    <w:rsid w:val="00CA1C95"/>
    <w:rsid w:val="00CA342D"/>
    <w:rsid w:val="00CA3AD3"/>
    <w:rsid w:val="00CA5A9C"/>
    <w:rsid w:val="00CA67B1"/>
    <w:rsid w:val="00CB0521"/>
    <w:rsid w:val="00CB2F01"/>
    <w:rsid w:val="00CC1787"/>
    <w:rsid w:val="00CC1C73"/>
    <w:rsid w:val="00CC4C20"/>
    <w:rsid w:val="00CD3517"/>
    <w:rsid w:val="00CD5FE2"/>
    <w:rsid w:val="00CE5C92"/>
    <w:rsid w:val="00CE7C68"/>
    <w:rsid w:val="00CE7FF1"/>
    <w:rsid w:val="00CF02D4"/>
    <w:rsid w:val="00CF73AA"/>
    <w:rsid w:val="00D02B4C"/>
    <w:rsid w:val="00D040C4"/>
    <w:rsid w:val="00D1769B"/>
    <w:rsid w:val="00D17F1A"/>
    <w:rsid w:val="00D20AD1"/>
    <w:rsid w:val="00D2582C"/>
    <w:rsid w:val="00D379FD"/>
    <w:rsid w:val="00D40A19"/>
    <w:rsid w:val="00D46B7E"/>
    <w:rsid w:val="00D47A3F"/>
    <w:rsid w:val="00D57C84"/>
    <w:rsid w:val="00D6057D"/>
    <w:rsid w:val="00D70DA1"/>
    <w:rsid w:val="00D71640"/>
    <w:rsid w:val="00D77821"/>
    <w:rsid w:val="00D814AE"/>
    <w:rsid w:val="00D836C5"/>
    <w:rsid w:val="00D84576"/>
    <w:rsid w:val="00D8514F"/>
    <w:rsid w:val="00D86DF8"/>
    <w:rsid w:val="00D91E33"/>
    <w:rsid w:val="00D9226F"/>
    <w:rsid w:val="00D94CF0"/>
    <w:rsid w:val="00DA1399"/>
    <w:rsid w:val="00DA24C6"/>
    <w:rsid w:val="00DA42F8"/>
    <w:rsid w:val="00DA4D7B"/>
    <w:rsid w:val="00DB1B34"/>
    <w:rsid w:val="00DB2094"/>
    <w:rsid w:val="00DC2840"/>
    <w:rsid w:val="00DC73EE"/>
    <w:rsid w:val="00DD271C"/>
    <w:rsid w:val="00DD374F"/>
    <w:rsid w:val="00DD4F71"/>
    <w:rsid w:val="00DD7CD0"/>
    <w:rsid w:val="00DE264A"/>
    <w:rsid w:val="00DF39E0"/>
    <w:rsid w:val="00DF5072"/>
    <w:rsid w:val="00DF632A"/>
    <w:rsid w:val="00E02D18"/>
    <w:rsid w:val="00E041E7"/>
    <w:rsid w:val="00E05BE2"/>
    <w:rsid w:val="00E11895"/>
    <w:rsid w:val="00E23CA1"/>
    <w:rsid w:val="00E33A55"/>
    <w:rsid w:val="00E409A8"/>
    <w:rsid w:val="00E47A09"/>
    <w:rsid w:val="00E50C12"/>
    <w:rsid w:val="00E55020"/>
    <w:rsid w:val="00E650B2"/>
    <w:rsid w:val="00E65A5A"/>
    <w:rsid w:val="00E65B91"/>
    <w:rsid w:val="00E66424"/>
    <w:rsid w:val="00E66F5B"/>
    <w:rsid w:val="00E67CCF"/>
    <w:rsid w:val="00E7209D"/>
    <w:rsid w:val="00E72EAD"/>
    <w:rsid w:val="00E77223"/>
    <w:rsid w:val="00E82935"/>
    <w:rsid w:val="00E8528B"/>
    <w:rsid w:val="00E85B94"/>
    <w:rsid w:val="00E86D08"/>
    <w:rsid w:val="00E94659"/>
    <w:rsid w:val="00E978D0"/>
    <w:rsid w:val="00EA39B8"/>
    <w:rsid w:val="00EA4613"/>
    <w:rsid w:val="00EA5FFB"/>
    <w:rsid w:val="00EA757D"/>
    <w:rsid w:val="00EA77D7"/>
    <w:rsid w:val="00EA7F91"/>
    <w:rsid w:val="00EB1523"/>
    <w:rsid w:val="00EB5B86"/>
    <w:rsid w:val="00EC0E49"/>
    <w:rsid w:val="00EC101F"/>
    <w:rsid w:val="00EC1D9F"/>
    <w:rsid w:val="00ED10B3"/>
    <w:rsid w:val="00ED55BA"/>
    <w:rsid w:val="00EE0131"/>
    <w:rsid w:val="00EE17B0"/>
    <w:rsid w:val="00EE1D29"/>
    <w:rsid w:val="00EE3E8F"/>
    <w:rsid w:val="00EE5B1A"/>
    <w:rsid w:val="00EF06D9"/>
    <w:rsid w:val="00EF2D9F"/>
    <w:rsid w:val="00EF75E8"/>
    <w:rsid w:val="00F1292C"/>
    <w:rsid w:val="00F12C12"/>
    <w:rsid w:val="00F26815"/>
    <w:rsid w:val="00F27EE4"/>
    <w:rsid w:val="00F3049E"/>
    <w:rsid w:val="00F30C64"/>
    <w:rsid w:val="00F31C75"/>
    <w:rsid w:val="00F32BA2"/>
    <w:rsid w:val="00F32CDB"/>
    <w:rsid w:val="00F41EE4"/>
    <w:rsid w:val="00F43621"/>
    <w:rsid w:val="00F44C03"/>
    <w:rsid w:val="00F565FE"/>
    <w:rsid w:val="00F637FB"/>
    <w:rsid w:val="00F63A70"/>
    <w:rsid w:val="00F63D8C"/>
    <w:rsid w:val="00F70642"/>
    <w:rsid w:val="00F7138B"/>
    <w:rsid w:val="00F72DF5"/>
    <w:rsid w:val="00F7534E"/>
    <w:rsid w:val="00F83ECE"/>
    <w:rsid w:val="00F87343"/>
    <w:rsid w:val="00F93EDF"/>
    <w:rsid w:val="00F94AB5"/>
    <w:rsid w:val="00FA1802"/>
    <w:rsid w:val="00FA21D0"/>
    <w:rsid w:val="00FA3B1E"/>
    <w:rsid w:val="00FA5F5F"/>
    <w:rsid w:val="00FA6CE4"/>
    <w:rsid w:val="00FA75A6"/>
    <w:rsid w:val="00FB45E1"/>
    <w:rsid w:val="00FB547D"/>
    <w:rsid w:val="00FB6127"/>
    <w:rsid w:val="00FB730C"/>
    <w:rsid w:val="00FC2695"/>
    <w:rsid w:val="00FC3E03"/>
    <w:rsid w:val="00FC3FC1"/>
    <w:rsid w:val="00FC7B75"/>
    <w:rsid w:val="00FF417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831DB7"/>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47A3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47A3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3747B4"/>
    <w:rPr>
      <w:color w:val="605E5C"/>
      <w:shd w:val="clear" w:color="auto" w:fill="E1DFDD"/>
    </w:rPr>
  </w:style>
  <w:style w:type="character" w:styleId="Collegamentovisitato">
    <w:name w:val="FollowedHyperlink"/>
    <w:basedOn w:val="Carpredefinitoparagrafo"/>
    <w:uiPriority w:val="99"/>
    <w:semiHidden/>
    <w:unhideWhenUsed/>
    <w:rsid w:val="002D1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528026328">
      <w:bodyDiv w:val="1"/>
      <w:marLeft w:val="75"/>
      <w:marRight w:val="150"/>
      <w:marTop w:val="75"/>
      <w:marBottom w:val="75"/>
      <w:divBdr>
        <w:top w:val="none" w:sz="0" w:space="0" w:color="auto"/>
        <w:left w:val="none" w:sz="0" w:space="0" w:color="auto"/>
        <w:bottom w:val="none" w:sz="0" w:space="0" w:color="auto"/>
        <w:right w:val="none" w:sz="0" w:space="0" w:color="auto"/>
      </w:divBdr>
    </w:div>
    <w:div w:id="567884786">
      <w:bodyDiv w:val="1"/>
      <w:marLeft w:val="0"/>
      <w:marRight w:val="0"/>
      <w:marTop w:val="0"/>
      <w:marBottom w:val="0"/>
      <w:divBdr>
        <w:top w:val="none" w:sz="0" w:space="0" w:color="auto"/>
        <w:left w:val="none" w:sz="0" w:space="0" w:color="auto"/>
        <w:bottom w:val="none" w:sz="0" w:space="0" w:color="auto"/>
        <w:right w:val="none" w:sz="0" w:space="0" w:color="auto"/>
      </w:divBdr>
    </w:div>
    <w:div w:id="632759810">
      <w:bodyDiv w:val="1"/>
      <w:marLeft w:val="0"/>
      <w:marRight w:val="0"/>
      <w:marTop w:val="0"/>
      <w:marBottom w:val="0"/>
      <w:divBdr>
        <w:top w:val="none" w:sz="0" w:space="0" w:color="auto"/>
        <w:left w:val="none" w:sz="0" w:space="0" w:color="auto"/>
        <w:bottom w:val="none" w:sz="0" w:space="0" w:color="auto"/>
        <w:right w:val="none" w:sz="0" w:space="0" w:color="auto"/>
      </w:divBdr>
    </w:div>
    <w:div w:id="771317304">
      <w:bodyDiv w:val="1"/>
      <w:marLeft w:val="75"/>
      <w:marRight w:val="150"/>
      <w:marTop w:val="75"/>
      <w:marBottom w:val="75"/>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6136">
      <w:bodyDiv w:val="1"/>
      <w:marLeft w:val="0"/>
      <w:marRight w:val="0"/>
      <w:marTop w:val="0"/>
      <w:marBottom w:val="0"/>
      <w:divBdr>
        <w:top w:val="none" w:sz="0" w:space="0" w:color="auto"/>
        <w:left w:val="none" w:sz="0" w:space="0" w:color="auto"/>
        <w:bottom w:val="none" w:sz="0" w:space="0" w:color="auto"/>
        <w:right w:val="none" w:sz="0" w:space="0" w:color="auto"/>
      </w:divBdr>
    </w:div>
    <w:div w:id="1293898447">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6983413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49602">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upa-wolff.eu/metoda-oceny-zagrozen-wybuchem-oz-a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EE6C6F-15BC-4E76-ACA8-5EC584789D96}">
  <we:reference id="wa200001482" version="1.0.5.0" store="pl-PL" storeType="OMEX"/>
  <we:alternateReferences>
    <we:reference id="WA200001482" version="1.0.5.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3723</Words>
  <Characters>21226</Characters>
  <Application>Microsoft Office Word</Application>
  <DocSecurity>0</DocSecurity>
  <Lines>176</Lines>
  <Paragraphs>49</Paragraphs>
  <ScaleCrop>false</ScaleCrop>
  <HeadingPairs>
    <vt:vector size="6" baseType="variant">
      <vt:variant>
        <vt:lpstr>Tytuł</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2025-03-04T07:57:00Z</cp:lastPrinted>
  <dcterms:created xsi:type="dcterms:W3CDTF">2025-03-11T08:56:00Z</dcterms:created>
  <dcterms:modified xsi:type="dcterms:W3CDTF">2025-03-11T08:56:00Z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