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7B4FD7">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47EF826C"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994C6A">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994C6A">
              <w:rPr>
                <w:rFonts w:cs="Arial"/>
                <w:b/>
                <w:bCs/>
                <w:i/>
                <w:iCs/>
                <w:color w:val="000066"/>
                <w:sz w:val="22"/>
                <w:szCs w:val="22"/>
                <w:lang w:eastAsia="it-IT"/>
              </w:rPr>
              <w:t>5</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7B4FD7">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7B4FD7">
        <w:trPr>
          <w:trHeight w:val="68"/>
          <w:jc w:val="center"/>
        </w:trPr>
        <w:tc>
          <w:tcPr>
            <w:tcW w:w="8782" w:type="dxa"/>
            <w:gridSpan w:val="2"/>
          </w:tcPr>
          <w:p w14:paraId="30F07041" w14:textId="11182ABA" w:rsidR="00F27EE4" w:rsidRPr="00F27EE4" w:rsidRDefault="00AA7D26" w:rsidP="00F27EE4">
            <w:pPr>
              <w:ind w:left="-107"/>
              <w:rPr>
                <w:rFonts w:ascii="Tahoma" w:hAnsi="Tahoma" w:cs="Tahoma"/>
                <w:b/>
                <w:bCs/>
                <w:color w:val="000000"/>
                <w:sz w:val="14"/>
                <w:szCs w:val="14"/>
                <w:shd w:val="clear" w:color="auto" w:fill="FFFFFF"/>
                <w:lang w:val="it-IT"/>
              </w:rPr>
            </w:pPr>
            <w:r w:rsidRPr="00F27EE4">
              <w:rPr>
                <w:rFonts w:ascii="Tahoma" w:hAnsi="Tahoma" w:cs="Tahoma"/>
                <w:iCs/>
                <w:color w:val="333333"/>
                <w:sz w:val="14"/>
                <w:szCs w:val="14"/>
                <w:lang w:val="it-IT" w:eastAsia="it-IT"/>
              </w:rPr>
              <w:t>Guest Editors:</w:t>
            </w:r>
            <w:r w:rsidR="007D610D" w:rsidRPr="00F27EE4">
              <w:rPr>
                <w:rFonts w:ascii="Aptos" w:eastAsiaTheme="minorHAnsi" w:hAnsi="Aptos" w:cs="Aptos"/>
                <w:sz w:val="22"/>
                <w:szCs w:val="22"/>
                <w:lang w:val="it-IT"/>
                <w14:ligatures w14:val="standardContextual"/>
              </w:rPr>
              <w:t xml:space="preserve"> </w:t>
            </w:r>
            <w:r w:rsidR="00F27EE4" w:rsidRPr="00F27EE4">
              <w:rPr>
                <w:rFonts w:ascii="Tahoma" w:hAnsi="Tahoma" w:cs="Tahoma"/>
                <w:color w:val="000000"/>
                <w:sz w:val="14"/>
                <w:szCs w:val="14"/>
                <w:shd w:val="clear" w:color="auto" w:fill="FFFFFF"/>
                <w:lang w:val="it-IT"/>
              </w:rPr>
              <w:t>Bruno Fabiano, Va</w:t>
            </w:r>
            <w:r w:rsidR="00F27EE4">
              <w:rPr>
                <w:rFonts w:ascii="Tahoma" w:hAnsi="Tahoma" w:cs="Tahoma"/>
                <w:color w:val="000000"/>
                <w:sz w:val="14"/>
                <w:szCs w:val="14"/>
                <w:shd w:val="clear" w:color="auto" w:fill="FFFFFF"/>
                <w:lang w:val="it-IT"/>
              </w:rPr>
              <w:t>lerio Cozzani</w:t>
            </w:r>
          </w:p>
          <w:p w14:paraId="1B0F1814" w14:textId="2DB8A072"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994C6A">
              <w:rPr>
                <w:rFonts w:ascii="Tahoma" w:hAnsi="Tahoma" w:cs="Tahoma"/>
                <w:iCs/>
                <w:color w:val="333333"/>
                <w:sz w:val="14"/>
                <w:szCs w:val="14"/>
                <w:lang w:eastAsia="it-IT"/>
              </w:rPr>
              <w:t>5</w:t>
            </w:r>
            <w:r w:rsidRPr="00B57B36">
              <w:rPr>
                <w:rFonts w:ascii="Tahoma" w:hAnsi="Tahoma" w:cs="Tahoma"/>
                <w:iCs/>
                <w:color w:val="333333"/>
                <w:sz w:val="14"/>
                <w:szCs w:val="14"/>
                <w:lang w:eastAsia="it-IT"/>
              </w:rPr>
              <w:t xml:space="preserve">, AIDIC </w:t>
            </w:r>
            <w:proofErr w:type="spellStart"/>
            <w:r w:rsidRPr="00B57B36">
              <w:rPr>
                <w:rFonts w:ascii="Tahoma" w:hAnsi="Tahoma" w:cs="Tahoma"/>
                <w:iCs/>
                <w:color w:val="333333"/>
                <w:sz w:val="14"/>
                <w:szCs w:val="14"/>
                <w:lang w:eastAsia="it-IT"/>
              </w:rPr>
              <w:t>Servizi</w:t>
            </w:r>
            <w:proofErr w:type="spellEnd"/>
            <w:r w:rsidRPr="00B57B36">
              <w:rPr>
                <w:rFonts w:ascii="Tahoma" w:hAnsi="Tahoma" w:cs="Tahoma"/>
                <w:iCs/>
                <w:color w:val="333333"/>
                <w:sz w:val="14"/>
                <w:szCs w:val="14"/>
                <w:lang w:eastAsia="it-IT"/>
              </w:rPr>
              <w:t xml:space="preserve">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3B49CD" w:rsidRPr="000562A9">
              <w:rPr>
                <w:rFonts w:ascii="Tahoma" w:hAnsi="Tahoma" w:cs="Tahoma"/>
                <w:sz w:val="14"/>
                <w:szCs w:val="14"/>
              </w:rPr>
              <w:t>97</w:t>
            </w:r>
            <w:r w:rsidR="003B49CD">
              <w:rPr>
                <w:rFonts w:ascii="Tahoma" w:hAnsi="Tahoma" w:cs="Tahoma"/>
                <w:sz w:val="14"/>
                <w:szCs w:val="14"/>
              </w:rPr>
              <w:t>9</w:t>
            </w:r>
            <w:r w:rsidR="003B49CD" w:rsidRPr="000562A9">
              <w:rPr>
                <w:rFonts w:ascii="Tahoma" w:hAnsi="Tahoma" w:cs="Tahoma"/>
                <w:sz w:val="14"/>
                <w:szCs w:val="14"/>
              </w:rPr>
              <w:t>-</w:t>
            </w:r>
            <w:r w:rsidR="003B49CD">
              <w:rPr>
                <w:rFonts w:ascii="Tahoma" w:hAnsi="Tahoma" w:cs="Tahoma"/>
                <w:sz w:val="14"/>
                <w:szCs w:val="14"/>
              </w:rPr>
              <w:t>12</w:t>
            </w:r>
            <w:r w:rsidR="003B49CD" w:rsidRPr="000562A9">
              <w:rPr>
                <w:rFonts w:ascii="Tahoma" w:hAnsi="Tahoma" w:cs="Tahoma"/>
                <w:sz w:val="14"/>
                <w:szCs w:val="14"/>
              </w:rPr>
              <w:t>-</w:t>
            </w:r>
            <w:r w:rsidR="003B49CD">
              <w:rPr>
                <w:rFonts w:ascii="Tahoma" w:hAnsi="Tahoma" w:cs="Tahoma"/>
                <w:sz w:val="14"/>
                <w:szCs w:val="14"/>
              </w:rPr>
              <w:t>81206-</w:t>
            </w:r>
            <w:r w:rsidR="00F27EE4">
              <w:rPr>
                <w:rFonts w:ascii="Tahoma" w:hAnsi="Tahoma" w:cs="Tahoma"/>
                <w:sz w:val="14"/>
                <w:szCs w:val="14"/>
              </w:rPr>
              <w:t>xx-y</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7E5FC5D2" w:rsidR="00E978D0" w:rsidRPr="00B57B36" w:rsidRDefault="007B4FD7" w:rsidP="00C70D41">
      <w:pPr>
        <w:pStyle w:val="CETTitle"/>
      </w:pPr>
      <w:r w:rsidRPr="007B4FD7">
        <w:t>Screening procedures for reactive chemicals according to the UN Manual of Tests and Criteria, Appendix 6</w:t>
      </w:r>
      <w:r w:rsidR="00656E60">
        <w:t>:</w:t>
      </w:r>
      <w:r w:rsidR="00C70D41">
        <w:br/>
      </w:r>
      <w:r w:rsidRPr="007B4FD7">
        <w:t>a critical review</w:t>
      </w:r>
    </w:p>
    <w:p w14:paraId="0488FED2" w14:textId="6C2D2CE7" w:rsidR="00B57E6F" w:rsidRPr="00B57B36" w:rsidRDefault="007B4FD7" w:rsidP="00B57E6F">
      <w:pPr>
        <w:pStyle w:val="CETAuthors"/>
      </w:pPr>
      <w:r>
        <w:t>Wim Mak</w:t>
      </w:r>
      <w:r w:rsidR="0074717A">
        <w:t>*, Ed de Jong</w:t>
      </w:r>
    </w:p>
    <w:p w14:paraId="3D72B0B0" w14:textId="7B82794B" w:rsidR="00B57E6F" w:rsidRPr="00250BA4" w:rsidRDefault="00250BA4" w:rsidP="00250BA4">
      <w:pPr>
        <w:pStyle w:val="CETAddress"/>
      </w:pPr>
      <w:r w:rsidRPr="00250BA4">
        <w:t xml:space="preserve">Netherlands Organization for Applied Scientific Research </w:t>
      </w:r>
      <w:r>
        <w:t>(</w:t>
      </w:r>
      <w:r w:rsidRPr="00250BA4">
        <w:t>TNO</w:t>
      </w:r>
      <w:r>
        <w:t xml:space="preserve">), </w:t>
      </w:r>
      <w:r w:rsidR="003C2567">
        <w:t xml:space="preserve">Energetic Materials Research Group, Process Safety Solutions Team, </w:t>
      </w:r>
      <w:r>
        <w:t>Ypenburgse Boslaan 2</w:t>
      </w:r>
      <w:r w:rsidRPr="00250BA4">
        <w:t xml:space="preserve">, </w:t>
      </w:r>
      <w:r w:rsidR="003C2567">
        <w:t xml:space="preserve">2496 ZA  </w:t>
      </w:r>
      <w:r w:rsidRPr="00250BA4">
        <w:t>The Hague, The Netherlands</w:t>
      </w:r>
    </w:p>
    <w:p w14:paraId="73F1267A" w14:textId="7475C9AE" w:rsidR="00B57E6F" w:rsidRPr="00D50F0D" w:rsidRDefault="003C2567" w:rsidP="00B57E6F">
      <w:pPr>
        <w:pStyle w:val="CETemail"/>
        <w:rPr>
          <w:lang w:val="nl-NL"/>
        </w:rPr>
      </w:pPr>
      <w:r w:rsidRPr="003C2567">
        <w:t>wim.mak@tno.nl</w:t>
      </w:r>
    </w:p>
    <w:p w14:paraId="38F76186" w14:textId="458CD68B" w:rsidR="006A6DE5" w:rsidRDefault="00250BA4" w:rsidP="00250BA4">
      <w:pPr>
        <w:pStyle w:val="CETBodytext"/>
      </w:pPr>
      <w:r>
        <w:t xml:space="preserve">The test methods and classification criteria contained in the United Nations Manual of Tests and Criteria </w:t>
      </w:r>
      <w:r w:rsidR="00F970FA">
        <w:t xml:space="preserve">or UN MTC </w:t>
      </w:r>
      <w:r>
        <w:t>(U</w:t>
      </w:r>
      <w:r w:rsidR="00F970FA">
        <w:t xml:space="preserve">nited </w:t>
      </w:r>
      <w:r>
        <w:t>N</w:t>
      </w:r>
      <w:r w:rsidR="00F970FA">
        <w:t xml:space="preserve">ations, </w:t>
      </w:r>
      <w:r w:rsidR="005D02FB">
        <w:t>2</w:t>
      </w:r>
      <w:r w:rsidR="0074717A">
        <w:t>00</w:t>
      </w:r>
      <w:r w:rsidR="005D02FB">
        <w:t>3a</w:t>
      </w:r>
      <w:r>
        <w:t>), currently the 8</w:t>
      </w:r>
      <w:r w:rsidRPr="00B62669">
        <w:rPr>
          <w:vertAlign w:val="superscript"/>
        </w:rPr>
        <w:t>th</w:t>
      </w:r>
      <w:r>
        <w:t xml:space="preserve"> revised edition, have become increasingly relevant in recent years as they no longer relate only to transport classification (TDG), but also to the Globally Harmonized System of Classification and Labelling of Chemicals (GHS).</w:t>
      </w:r>
      <w:r w:rsidR="009C6BE4">
        <w:t xml:space="preserve"> Where more and more new substances are placed on the market and thus </w:t>
      </w:r>
      <w:r w:rsidR="0043779D">
        <w:t xml:space="preserve">need to </w:t>
      </w:r>
      <w:r w:rsidR="009C6BE4">
        <w:t xml:space="preserve">be evaluated for their hazardous properties, </w:t>
      </w:r>
      <w:r w:rsidR="0043779D">
        <w:t xml:space="preserve">the </w:t>
      </w:r>
      <w:r w:rsidR="009C6BE4">
        <w:t xml:space="preserve">application of proper screening procedures and, if necessary, proper test methods has become even more important. </w:t>
      </w:r>
      <w:r w:rsidR="0043779D">
        <w:t>An</w:t>
      </w:r>
      <w:r w:rsidR="009C6BE4">
        <w:t xml:space="preserve"> essential requirement is that such work is done by competent personnel</w:t>
      </w:r>
      <w:r w:rsidR="00300943">
        <w:t xml:space="preserve"> and that clear procedures and criteria are available</w:t>
      </w:r>
      <w:r w:rsidR="009C6BE4">
        <w:t>.</w:t>
      </w:r>
    </w:p>
    <w:p w14:paraId="0CC94A3E" w14:textId="77777777" w:rsidR="00C24D16" w:rsidRDefault="00C24D16" w:rsidP="00250BA4">
      <w:pPr>
        <w:pStyle w:val="CETBodytext"/>
      </w:pPr>
    </w:p>
    <w:p w14:paraId="1187F062" w14:textId="360F4D2A" w:rsidR="00C24D16" w:rsidRDefault="00BA31E2" w:rsidP="00250BA4">
      <w:pPr>
        <w:pStyle w:val="CETBodytext"/>
      </w:pPr>
      <w:r>
        <w:t xml:space="preserve">This </w:t>
      </w:r>
      <w:r w:rsidR="00C24D16">
        <w:t xml:space="preserve">paper </w:t>
      </w:r>
      <w:r w:rsidR="00300943">
        <w:t xml:space="preserve">presents </w:t>
      </w:r>
      <w:r w:rsidR="0043779D">
        <w:t>a</w:t>
      </w:r>
      <w:r w:rsidR="00300943">
        <w:t xml:space="preserve">n overview of the current screening procedures and criteria and </w:t>
      </w:r>
      <w:r w:rsidR="00C24D16">
        <w:t>identif</w:t>
      </w:r>
      <w:r>
        <w:t>ies</w:t>
      </w:r>
      <w:r w:rsidR="00C24D16">
        <w:t xml:space="preserve"> and address</w:t>
      </w:r>
      <w:r>
        <w:t>es</w:t>
      </w:r>
      <w:r w:rsidR="00C24D16">
        <w:t xml:space="preserve"> some common misunderstandings and misinterpretations</w:t>
      </w:r>
      <w:r>
        <w:t xml:space="preserve">. </w:t>
      </w:r>
      <w:r w:rsidR="0074717A">
        <w:t>I</w:t>
      </w:r>
      <w:r>
        <w:t>t also</w:t>
      </w:r>
      <w:r w:rsidR="00C24D16">
        <w:t xml:space="preserve"> propose</w:t>
      </w:r>
      <w:r>
        <w:t>s</w:t>
      </w:r>
      <w:r w:rsidR="00C24D16">
        <w:t xml:space="preserve"> a couple of possible solutions that could lead to a better use and application of these procedures. In this way, lengthy discussions between industry and authorities as well as unnecessary testing c</w:t>
      </w:r>
      <w:r w:rsidR="0043779D">
        <w:t xml:space="preserve">an </w:t>
      </w:r>
      <w:r w:rsidR="00C24D16">
        <w:t>be avoided.</w:t>
      </w:r>
    </w:p>
    <w:p w14:paraId="476B2F2E" w14:textId="52B36035" w:rsidR="00600535" w:rsidRDefault="00600535" w:rsidP="00600535">
      <w:pPr>
        <w:pStyle w:val="CETHeading1"/>
        <w:rPr>
          <w:lang w:val="en-GB"/>
        </w:rPr>
      </w:pPr>
      <w:r w:rsidRPr="00B57B36">
        <w:rPr>
          <w:lang w:val="en-GB"/>
        </w:rPr>
        <w:t>Introduction</w:t>
      </w:r>
    </w:p>
    <w:p w14:paraId="6A9C2168" w14:textId="56FCC6A2" w:rsidR="00250BA4" w:rsidRDefault="00250BA4" w:rsidP="00250BA4">
      <w:pPr>
        <w:pStyle w:val="CETBodytext"/>
        <w:rPr>
          <w:lang w:val="en-GB"/>
        </w:rPr>
      </w:pPr>
      <w:r w:rsidRPr="00250BA4">
        <w:rPr>
          <w:lang w:val="en-GB"/>
        </w:rPr>
        <w:t>To avoid unnecessary testing and thus unnecessary cost</w:t>
      </w:r>
      <w:r w:rsidR="0043779D">
        <w:rPr>
          <w:lang w:val="en-GB"/>
        </w:rPr>
        <w:t>s</w:t>
      </w:r>
      <w:r w:rsidRPr="00250BA4">
        <w:rPr>
          <w:lang w:val="en-GB"/>
        </w:rPr>
        <w:t xml:space="preserve"> and environmental impact, the </w:t>
      </w:r>
      <w:r w:rsidR="00300943">
        <w:t xml:space="preserve">UN </w:t>
      </w:r>
      <w:r w:rsidR="00D13F89">
        <w:t>MTC</w:t>
      </w:r>
      <w:r w:rsidR="0043779D">
        <w:t xml:space="preserve"> has long presented</w:t>
      </w:r>
      <w:r w:rsidR="00D13F89" w:rsidRPr="00250BA4">
        <w:rPr>
          <w:lang w:val="en-GB"/>
        </w:rPr>
        <w:t xml:space="preserve"> </w:t>
      </w:r>
      <w:r w:rsidRPr="00250BA4">
        <w:rPr>
          <w:lang w:val="en-GB"/>
        </w:rPr>
        <w:t xml:space="preserve">in </w:t>
      </w:r>
      <w:r w:rsidR="0043779D">
        <w:rPr>
          <w:lang w:val="en-GB"/>
        </w:rPr>
        <w:t xml:space="preserve">its </w:t>
      </w:r>
      <w:r w:rsidRPr="00250BA4">
        <w:rPr>
          <w:lang w:val="en-GB"/>
        </w:rPr>
        <w:t xml:space="preserve">Appendix 6 a set of screening criteria that can be used to determine whether testing for e.g. explosivity, flammability, oxidizing properties or self-heating can be waived. </w:t>
      </w:r>
      <w:r w:rsidR="00300943">
        <w:rPr>
          <w:lang w:val="en-GB"/>
        </w:rPr>
        <w:t>T</w:t>
      </w:r>
      <w:r w:rsidRPr="00250BA4">
        <w:rPr>
          <w:lang w:val="en-GB"/>
        </w:rPr>
        <w:t xml:space="preserve">his appendix </w:t>
      </w:r>
      <w:r w:rsidR="0043779D">
        <w:rPr>
          <w:lang w:val="en-GB"/>
        </w:rPr>
        <w:t xml:space="preserve">contains </w:t>
      </w:r>
      <w:r w:rsidRPr="00250BA4">
        <w:rPr>
          <w:lang w:val="en-GB"/>
        </w:rPr>
        <w:t>a set of concise criteria</w:t>
      </w:r>
      <w:r w:rsidR="0043779D">
        <w:rPr>
          <w:lang w:val="en-GB"/>
        </w:rPr>
        <w:t>. O</w:t>
      </w:r>
      <w:r w:rsidRPr="00250BA4">
        <w:rPr>
          <w:lang w:val="en-GB"/>
        </w:rPr>
        <w:t xml:space="preserve">ther relevant criteria </w:t>
      </w:r>
      <w:r w:rsidR="0043779D">
        <w:rPr>
          <w:lang w:val="en-GB"/>
        </w:rPr>
        <w:t xml:space="preserve">however, </w:t>
      </w:r>
      <w:r w:rsidRPr="00250BA4">
        <w:rPr>
          <w:lang w:val="en-GB"/>
        </w:rPr>
        <w:t>are more or less hidden in the text of, for example, the U</w:t>
      </w:r>
      <w:r w:rsidR="00D13F89">
        <w:rPr>
          <w:lang w:val="en-GB"/>
        </w:rPr>
        <w:t xml:space="preserve">nited Nations </w:t>
      </w:r>
      <w:r w:rsidRPr="00250BA4">
        <w:rPr>
          <w:lang w:val="en-GB"/>
        </w:rPr>
        <w:t>Recommendations on the Transport of Dangerous Goods</w:t>
      </w:r>
      <w:r w:rsidR="00AB6002">
        <w:rPr>
          <w:lang w:val="en-GB"/>
        </w:rPr>
        <w:t>, Model Regulations</w:t>
      </w:r>
      <w:r w:rsidR="00D13F89">
        <w:rPr>
          <w:lang w:val="en-GB"/>
        </w:rPr>
        <w:t xml:space="preserve"> (United Nations, </w:t>
      </w:r>
      <w:r w:rsidR="005D02FB">
        <w:rPr>
          <w:lang w:val="en-GB"/>
        </w:rPr>
        <w:t>20</w:t>
      </w:r>
      <w:r w:rsidR="00AB6002">
        <w:rPr>
          <w:lang w:val="en-GB"/>
        </w:rPr>
        <w:t>2</w:t>
      </w:r>
      <w:r w:rsidR="005D02FB">
        <w:rPr>
          <w:lang w:val="en-GB"/>
        </w:rPr>
        <w:t>3b</w:t>
      </w:r>
      <w:r w:rsidR="00D13F89">
        <w:rPr>
          <w:lang w:val="en-GB"/>
        </w:rPr>
        <w:t>)</w:t>
      </w:r>
      <w:r w:rsidRPr="00250BA4">
        <w:rPr>
          <w:lang w:val="en-GB"/>
        </w:rPr>
        <w:t xml:space="preserve">. </w:t>
      </w:r>
      <w:r w:rsidR="00C24D16">
        <w:rPr>
          <w:lang w:val="en-GB"/>
        </w:rPr>
        <w:t>It should be noted that Appendix 6 only contains screening procedures for physical-chemical hazard</w:t>
      </w:r>
      <w:r w:rsidR="00300943">
        <w:rPr>
          <w:lang w:val="en-GB"/>
        </w:rPr>
        <w:t>s</w:t>
      </w:r>
      <w:r w:rsidR="00C24D16">
        <w:rPr>
          <w:lang w:val="en-GB"/>
        </w:rPr>
        <w:t>, not for toxicity or ecotoxicity.</w:t>
      </w:r>
    </w:p>
    <w:p w14:paraId="0724DF5F" w14:textId="77777777" w:rsidR="00C24D16" w:rsidRPr="00250BA4" w:rsidRDefault="00C24D16" w:rsidP="00250BA4">
      <w:pPr>
        <w:pStyle w:val="CETBodytext"/>
        <w:rPr>
          <w:lang w:val="en-GB"/>
        </w:rPr>
      </w:pPr>
    </w:p>
    <w:p w14:paraId="02BA8C3E" w14:textId="048CF640" w:rsidR="00250BA4" w:rsidRPr="00250BA4" w:rsidRDefault="00D50F0D" w:rsidP="00250BA4">
      <w:pPr>
        <w:pStyle w:val="CETBodytext"/>
        <w:rPr>
          <w:lang w:val="en-GB"/>
        </w:rPr>
      </w:pPr>
      <w:r>
        <w:rPr>
          <w:lang w:val="en-GB"/>
        </w:rPr>
        <w:t>S</w:t>
      </w:r>
      <w:r w:rsidR="00250BA4" w:rsidRPr="00250BA4">
        <w:rPr>
          <w:lang w:val="en-GB"/>
        </w:rPr>
        <w:t xml:space="preserve">creening criteria have become increasingly important. The scope </w:t>
      </w:r>
      <w:r w:rsidR="00300943">
        <w:rPr>
          <w:lang w:val="en-GB"/>
        </w:rPr>
        <w:t xml:space="preserve">of the UN MTC </w:t>
      </w:r>
      <w:r w:rsidR="00250BA4" w:rsidRPr="00250BA4">
        <w:rPr>
          <w:lang w:val="en-GB"/>
        </w:rPr>
        <w:t xml:space="preserve">has </w:t>
      </w:r>
      <w:r w:rsidR="0043779D">
        <w:rPr>
          <w:lang w:val="en-GB"/>
        </w:rPr>
        <w:t xml:space="preserve">been extended </w:t>
      </w:r>
      <w:r w:rsidR="00250BA4" w:rsidRPr="00250BA4">
        <w:rPr>
          <w:lang w:val="en-GB"/>
        </w:rPr>
        <w:t xml:space="preserve">from TDG to GHS </w:t>
      </w:r>
      <w:r w:rsidR="00300943">
        <w:rPr>
          <w:lang w:val="en-GB"/>
        </w:rPr>
        <w:t>and</w:t>
      </w:r>
      <w:r w:rsidR="00250BA4" w:rsidRPr="00250BA4">
        <w:rPr>
          <w:lang w:val="en-GB"/>
        </w:rPr>
        <w:t xml:space="preserve"> nowadays </w:t>
      </w:r>
      <w:r w:rsidR="0043779D">
        <w:rPr>
          <w:lang w:val="en-GB"/>
        </w:rPr>
        <w:t xml:space="preserve">these </w:t>
      </w:r>
      <w:r w:rsidR="00D13F89">
        <w:rPr>
          <w:lang w:val="en-GB"/>
        </w:rPr>
        <w:t xml:space="preserve">criteria </w:t>
      </w:r>
      <w:r w:rsidR="0043779D">
        <w:rPr>
          <w:lang w:val="en-GB"/>
        </w:rPr>
        <w:t xml:space="preserve">are also referred to </w:t>
      </w:r>
      <w:r w:rsidR="00D13F89">
        <w:rPr>
          <w:lang w:val="en-GB"/>
        </w:rPr>
        <w:t>within the framework</w:t>
      </w:r>
      <w:r>
        <w:rPr>
          <w:lang w:val="en-GB"/>
        </w:rPr>
        <w:t>s</w:t>
      </w:r>
      <w:r w:rsidR="00D13F89">
        <w:rPr>
          <w:lang w:val="en-GB"/>
        </w:rPr>
        <w:t xml:space="preserve"> of </w:t>
      </w:r>
      <w:r w:rsidR="00250BA4" w:rsidRPr="00250BA4">
        <w:rPr>
          <w:lang w:val="en-GB"/>
        </w:rPr>
        <w:t xml:space="preserve">the CLP Regulation </w:t>
      </w:r>
      <w:r w:rsidR="005D02FB">
        <w:rPr>
          <w:lang w:val="en-GB"/>
        </w:rPr>
        <w:t xml:space="preserve">(European Union, 2023) </w:t>
      </w:r>
      <w:r w:rsidR="00250BA4" w:rsidRPr="00250BA4">
        <w:rPr>
          <w:lang w:val="en-GB"/>
        </w:rPr>
        <w:t>and the Biocidal Products Directive</w:t>
      </w:r>
      <w:r w:rsidR="005D02FB">
        <w:rPr>
          <w:lang w:val="en-GB"/>
        </w:rPr>
        <w:t xml:space="preserve"> (European Union, 2012)</w:t>
      </w:r>
      <w:r w:rsidR="00250BA4" w:rsidRPr="00250BA4">
        <w:rPr>
          <w:lang w:val="en-GB"/>
        </w:rPr>
        <w:t xml:space="preserve">. </w:t>
      </w:r>
      <w:r w:rsidR="0043779D">
        <w:rPr>
          <w:lang w:val="en-GB"/>
        </w:rPr>
        <w:t>Moreover</w:t>
      </w:r>
      <w:r w:rsidR="00250BA4" w:rsidRPr="00250BA4">
        <w:rPr>
          <w:lang w:val="en-GB"/>
        </w:rPr>
        <w:t xml:space="preserve">, the number of chemicals placed on the market and </w:t>
      </w:r>
      <w:r w:rsidR="0043779D">
        <w:rPr>
          <w:lang w:val="en-GB"/>
        </w:rPr>
        <w:t xml:space="preserve">thus </w:t>
      </w:r>
      <w:r w:rsidR="00250BA4" w:rsidRPr="00250BA4">
        <w:rPr>
          <w:lang w:val="en-GB"/>
        </w:rPr>
        <w:t>requiring evaluation and authorization</w:t>
      </w:r>
      <w:r w:rsidR="00300943">
        <w:rPr>
          <w:lang w:val="en-GB"/>
        </w:rPr>
        <w:t>,</w:t>
      </w:r>
      <w:r w:rsidR="00250BA4" w:rsidRPr="00250BA4">
        <w:rPr>
          <w:lang w:val="en-GB"/>
        </w:rPr>
        <w:t xml:space="preserve"> continues to grow. Last but not least, </w:t>
      </w:r>
      <w:r>
        <w:rPr>
          <w:lang w:val="en-GB"/>
        </w:rPr>
        <w:t>more and more different</w:t>
      </w:r>
      <w:r w:rsidR="00300943">
        <w:rPr>
          <w:lang w:val="en-GB"/>
        </w:rPr>
        <w:t xml:space="preserve"> test </w:t>
      </w:r>
      <w:r w:rsidR="0043779D">
        <w:rPr>
          <w:lang w:val="en-GB"/>
        </w:rPr>
        <w:t xml:space="preserve">institutes </w:t>
      </w:r>
      <w:r w:rsidR="00250BA4" w:rsidRPr="00250BA4">
        <w:rPr>
          <w:lang w:val="en-GB"/>
        </w:rPr>
        <w:t xml:space="preserve">and authorities </w:t>
      </w:r>
      <w:r>
        <w:rPr>
          <w:lang w:val="en-GB"/>
        </w:rPr>
        <w:t xml:space="preserve">are </w:t>
      </w:r>
      <w:r w:rsidR="00250BA4" w:rsidRPr="00250BA4">
        <w:rPr>
          <w:lang w:val="en-GB"/>
        </w:rPr>
        <w:t>involved in this process.</w:t>
      </w:r>
    </w:p>
    <w:p w14:paraId="292E2408" w14:textId="77777777" w:rsidR="00C24D16" w:rsidRDefault="00C24D16" w:rsidP="00250BA4">
      <w:pPr>
        <w:pStyle w:val="CETBodytext"/>
        <w:rPr>
          <w:lang w:val="en-GB"/>
        </w:rPr>
      </w:pPr>
    </w:p>
    <w:p w14:paraId="49A2EADC" w14:textId="0F756822" w:rsidR="00250BA4" w:rsidRDefault="00300943" w:rsidP="00250BA4">
      <w:pPr>
        <w:pStyle w:val="CETBodytext"/>
        <w:rPr>
          <w:lang w:val="en-GB"/>
        </w:rPr>
      </w:pPr>
      <w:r>
        <w:rPr>
          <w:lang w:val="en-GB"/>
        </w:rPr>
        <w:t xml:space="preserve">Over the years, </w:t>
      </w:r>
      <w:r w:rsidR="00D13F89">
        <w:rPr>
          <w:lang w:val="en-GB"/>
        </w:rPr>
        <w:t xml:space="preserve">experience </w:t>
      </w:r>
      <w:r>
        <w:rPr>
          <w:lang w:val="en-GB"/>
        </w:rPr>
        <w:t>ha</w:t>
      </w:r>
      <w:r w:rsidR="00250BA4" w:rsidRPr="00250BA4">
        <w:rPr>
          <w:lang w:val="en-GB"/>
        </w:rPr>
        <w:t xml:space="preserve">s </w:t>
      </w:r>
      <w:r>
        <w:rPr>
          <w:lang w:val="en-GB"/>
        </w:rPr>
        <w:t xml:space="preserve">shown </w:t>
      </w:r>
      <w:r w:rsidR="00250BA4" w:rsidRPr="00250BA4">
        <w:rPr>
          <w:lang w:val="en-GB"/>
        </w:rPr>
        <w:t>a lack of expertise among parties appl</w:t>
      </w:r>
      <w:r w:rsidR="0043779D">
        <w:rPr>
          <w:lang w:val="en-GB"/>
        </w:rPr>
        <w:t>ying</w:t>
      </w:r>
      <w:r>
        <w:rPr>
          <w:lang w:val="en-GB"/>
        </w:rPr>
        <w:t xml:space="preserve"> </w:t>
      </w:r>
      <w:r w:rsidR="00250BA4" w:rsidRPr="00250BA4">
        <w:rPr>
          <w:lang w:val="en-GB"/>
        </w:rPr>
        <w:t xml:space="preserve">these criteria or </w:t>
      </w:r>
      <w:r>
        <w:rPr>
          <w:lang w:val="en-GB"/>
        </w:rPr>
        <w:t>th</w:t>
      </w:r>
      <w:r w:rsidR="00CD7AC1">
        <w:rPr>
          <w:lang w:val="en-GB"/>
        </w:rPr>
        <w:t xml:space="preserve">ose </w:t>
      </w:r>
      <w:r w:rsidR="00250BA4" w:rsidRPr="00250BA4">
        <w:rPr>
          <w:lang w:val="en-GB"/>
        </w:rPr>
        <w:t>evaluat</w:t>
      </w:r>
      <w:r w:rsidR="0043779D">
        <w:rPr>
          <w:lang w:val="en-GB"/>
        </w:rPr>
        <w:t>ing</w:t>
      </w:r>
      <w:r w:rsidR="00250BA4" w:rsidRPr="00250BA4">
        <w:rPr>
          <w:lang w:val="en-GB"/>
        </w:rPr>
        <w:t xml:space="preserve"> and approv</w:t>
      </w:r>
      <w:r w:rsidR="0043779D">
        <w:rPr>
          <w:lang w:val="en-GB"/>
        </w:rPr>
        <w:t>ing</w:t>
      </w:r>
      <w:r w:rsidR="00250BA4" w:rsidRPr="00250BA4">
        <w:rPr>
          <w:lang w:val="en-GB"/>
        </w:rPr>
        <w:t xml:space="preserve"> the conclusions. There were situations where the judgment of independent experts was not trusted. This can lead (and </w:t>
      </w:r>
      <w:r>
        <w:rPr>
          <w:lang w:val="en-GB"/>
        </w:rPr>
        <w:t xml:space="preserve">often </w:t>
      </w:r>
      <w:r w:rsidR="0043779D">
        <w:rPr>
          <w:lang w:val="en-GB"/>
        </w:rPr>
        <w:t xml:space="preserve">has </w:t>
      </w:r>
      <w:r w:rsidR="00250BA4" w:rsidRPr="00250BA4">
        <w:rPr>
          <w:lang w:val="en-GB"/>
        </w:rPr>
        <w:t xml:space="preserve">led) to much debate and unnecessary testing. This is partly due to the fact that application of screening criteria cannot </w:t>
      </w:r>
      <w:r w:rsidR="0043779D">
        <w:rPr>
          <w:lang w:val="en-GB"/>
        </w:rPr>
        <w:t xml:space="preserve">simply </w:t>
      </w:r>
      <w:r w:rsidR="00250BA4" w:rsidRPr="00250BA4">
        <w:rPr>
          <w:lang w:val="en-GB"/>
        </w:rPr>
        <w:t>be done ‘from the book’ but requires experience</w:t>
      </w:r>
      <w:r w:rsidR="00CD7AC1">
        <w:rPr>
          <w:lang w:val="en-GB"/>
        </w:rPr>
        <w:t xml:space="preserve">, competence </w:t>
      </w:r>
      <w:r w:rsidR="00250BA4" w:rsidRPr="00250BA4">
        <w:rPr>
          <w:lang w:val="en-GB"/>
        </w:rPr>
        <w:t>and sensi</w:t>
      </w:r>
      <w:r w:rsidR="00CD7AC1">
        <w:rPr>
          <w:lang w:val="en-GB"/>
        </w:rPr>
        <w:t>bility</w:t>
      </w:r>
      <w:r w:rsidR="00250BA4" w:rsidRPr="00250BA4">
        <w:rPr>
          <w:lang w:val="en-GB"/>
        </w:rPr>
        <w:t xml:space="preserve">. Moreover, the current wording and layout of Appendix 6 </w:t>
      </w:r>
      <w:r w:rsidR="0043779D">
        <w:rPr>
          <w:lang w:val="en-GB"/>
        </w:rPr>
        <w:t xml:space="preserve">can </w:t>
      </w:r>
      <w:r w:rsidR="00250BA4" w:rsidRPr="00250BA4">
        <w:rPr>
          <w:lang w:val="en-GB"/>
        </w:rPr>
        <w:t>give rise to misinterpretations.</w:t>
      </w:r>
    </w:p>
    <w:p w14:paraId="451F64FA" w14:textId="77777777" w:rsidR="00C24D16" w:rsidRDefault="00C24D16" w:rsidP="00250BA4">
      <w:pPr>
        <w:pStyle w:val="CETBodytext"/>
        <w:rPr>
          <w:lang w:val="en-GB"/>
        </w:rPr>
      </w:pPr>
    </w:p>
    <w:p w14:paraId="04CF477C" w14:textId="5E7AC09C" w:rsidR="00250BA4" w:rsidRDefault="00F970FA" w:rsidP="00250BA4">
      <w:pPr>
        <w:pStyle w:val="CETBodytext"/>
        <w:rPr>
          <w:lang w:val="en-GB"/>
        </w:rPr>
      </w:pPr>
      <w:r>
        <w:rPr>
          <w:lang w:val="en-GB"/>
        </w:rPr>
        <w:lastRenderedPageBreak/>
        <w:t xml:space="preserve">This </w:t>
      </w:r>
      <w:r w:rsidR="00250BA4" w:rsidRPr="00250BA4">
        <w:rPr>
          <w:lang w:val="en-GB"/>
        </w:rPr>
        <w:t xml:space="preserve">paper </w:t>
      </w:r>
      <w:r w:rsidR="009C6BE4">
        <w:rPr>
          <w:lang w:val="en-GB"/>
        </w:rPr>
        <w:t xml:space="preserve">gives a </w:t>
      </w:r>
      <w:r w:rsidR="0043779D">
        <w:rPr>
          <w:lang w:val="en-GB"/>
        </w:rPr>
        <w:t>brief</w:t>
      </w:r>
      <w:r w:rsidR="009C6BE4">
        <w:rPr>
          <w:lang w:val="en-GB"/>
        </w:rPr>
        <w:t xml:space="preserve"> overview of the </w:t>
      </w:r>
      <w:r w:rsidR="0043779D">
        <w:rPr>
          <w:lang w:val="en-GB"/>
        </w:rPr>
        <w:t xml:space="preserve">different </w:t>
      </w:r>
      <w:r w:rsidR="009C6BE4">
        <w:rPr>
          <w:lang w:val="en-GB"/>
        </w:rPr>
        <w:t xml:space="preserve">screening procedures and criteria and </w:t>
      </w:r>
      <w:r w:rsidR="00250BA4" w:rsidRPr="00250BA4">
        <w:rPr>
          <w:lang w:val="en-GB"/>
        </w:rPr>
        <w:t>discuss</w:t>
      </w:r>
      <w:r>
        <w:rPr>
          <w:lang w:val="en-GB"/>
        </w:rPr>
        <w:t>es</w:t>
      </w:r>
      <w:r w:rsidR="00250BA4" w:rsidRPr="00250BA4">
        <w:rPr>
          <w:lang w:val="en-GB"/>
        </w:rPr>
        <w:t xml:space="preserve"> a couple of situations where the screening criteria were misunderstood and/or </w:t>
      </w:r>
      <w:r w:rsidR="0043779D">
        <w:rPr>
          <w:lang w:val="en-GB"/>
        </w:rPr>
        <w:t>mis</w:t>
      </w:r>
      <w:r w:rsidR="00250BA4" w:rsidRPr="00250BA4">
        <w:rPr>
          <w:lang w:val="en-GB"/>
        </w:rPr>
        <w:t>applied. There were situations where authorities demanded full explosivity testing</w:t>
      </w:r>
      <w:r w:rsidR="0043779D">
        <w:rPr>
          <w:lang w:val="en-GB"/>
        </w:rPr>
        <w:t xml:space="preserve"> </w:t>
      </w:r>
      <w:r w:rsidR="0043779D" w:rsidRPr="00250BA4">
        <w:rPr>
          <w:lang w:val="en-GB"/>
        </w:rPr>
        <w:t>even for everyday household products</w:t>
      </w:r>
      <w:r w:rsidR="00250BA4" w:rsidRPr="00250BA4">
        <w:rPr>
          <w:lang w:val="en-GB"/>
        </w:rPr>
        <w:t>. In other cases, screening criteria were very strictly applied without realizing that the</w:t>
      </w:r>
      <w:r w:rsidR="0043779D">
        <w:rPr>
          <w:lang w:val="en-GB"/>
        </w:rPr>
        <w:t>y</w:t>
      </w:r>
      <w:r w:rsidR="00250BA4" w:rsidRPr="00250BA4">
        <w:rPr>
          <w:lang w:val="en-GB"/>
        </w:rPr>
        <w:t xml:space="preserve"> do not tell the complete story.</w:t>
      </w:r>
      <w:r w:rsidR="00C70D41">
        <w:rPr>
          <w:lang w:val="en-GB"/>
        </w:rPr>
        <w:t xml:space="preserve"> </w:t>
      </w:r>
      <w:r w:rsidR="00250BA4" w:rsidRPr="00250BA4">
        <w:rPr>
          <w:lang w:val="en-GB"/>
        </w:rPr>
        <w:t>Th</w:t>
      </w:r>
      <w:r>
        <w:rPr>
          <w:lang w:val="en-GB"/>
        </w:rPr>
        <w:t>is</w:t>
      </w:r>
      <w:r w:rsidR="00250BA4" w:rsidRPr="00250BA4">
        <w:rPr>
          <w:lang w:val="en-GB"/>
        </w:rPr>
        <w:t xml:space="preserve"> </w:t>
      </w:r>
      <w:r w:rsidR="00D13F89">
        <w:rPr>
          <w:lang w:val="en-GB"/>
        </w:rPr>
        <w:t xml:space="preserve">paper </w:t>
      </w:r>
      <w:r>
        <w:rPr>
          <w:lang w:val="en-GB"/>
        </w:rPr>
        <w:t xml:space="preserve">also </w:t>
      </w:r>
      <w:r w:rsidR="00250BA4" w:rsidRPr="00250BA4">
        <w:rPr>
          <w:lang w:val="en-GB"/>
        </w:rPr>
        <w:t>discuss</w:t>
      </w:r>
      <w:r>
        <w:rPr>
          <w:lang w:val="en-GB"/>
        </w:rPr>
        <w:t>es</w:t>
      </w:r>
      <w:r w:rsidR="00250BA4" w:rsidRPr="00250BA4">
        <w:rPr>
          <w:lang w:val="en-GB"/>
        </w:rPr>
        <w:t xml:space="preserve"> the meaning of screening criteria. Do they identify when testing is required or when testing is not required? This question is answered differently and this has a </w:t>
      </w:r>
      <w:r w:rsidR="008D7A03">
        <w:rPr>
          <w:lang w:val="en-GB"/>
        </w:rPr>
        <w:t>signi</w:t>
      </w:r>
      <w:r w:rsidR="0074717A">
        <w:rPr>
          <w:lang w:val="en-GB"/>
        </w:rPr>
        <w:t>fi</w:t>
      </w:r>
      <w:r w:rsidR="008D7A03">
        <w:rPr>
          <w:lang w:val="en-GB"/>
        </w:rPr>
        <w:t>cant</w:t>
      </w:r>
      <w:r w:rsidR="00250BA4" w:rsidRPr="00250BA4">
        <w:rPr>
          <w:lang w:val="en-GB"/>
        </w:rPr>
        <w:t xml:space="preserve"> effect on the amount of testing that is required.</w:t>
      </w:r>
      <w:r w:rsidR="00C70D41">
        <w:rPr>
          <w:lang w:val="en-GB"/>
        </w:rPr>
        <w:t xml:space="preserve"> </w:t>
      </w:r>
      <w:r>
        <w:rPr>
          <w:lang w:val="en-GB"/>
        </w:rPr>
        <w:t xml:space="preserve">Finally, </w:t>
      </w:r>
      <w:r w:rsidR="00250BA4" w:rsidRPr="00250BA4">
        <w:rPr>
          <w:lang w:val="en-GB"/>
        </w:rPr>
        <w:t>a potential way forward</w:t>
      </w:r>
      <w:r>
        <w:rPr>
          <w:lang w:val="en-GB"/>
        </w:rPr>
        <w:t xml:space="preserve"> is</w:t>
      </w:r>
      <w:r w:rsidR="008D7A03">
        <w:rPr>
          <w:lang w:val="en-GB"/>
        </w:rPr>
        <w:t xml:space="preserve"> suggested</w:t>
      </w:r>
      <w:r w:rsidR="00250BA4" w:rsidRPr="00250BA4">
        <w:rPr>
          <w:lang w:val="en-GB"/>
        </w:rPr>
        <w:t xml:space="preserve">. </w:t>
      </w:r>
    </w:p>
    <w:p w14:paraId="02910C7D" w14:textId="1F16EBDD" w:rsidR="00665EB2" w:rsidRDefault="00665EB2" w:rsidP="00553E81">
      <w:pPr>
        <w:pStyle w:val="CETHeading1"/>
      </w:pPr>
      <w:r>
        <w:t>History</w:t>
      </w:r>
    </w:p>
    <w:p w14:paraId="1936AFD4" w14:textId="0F14EC23" w:rsidR="00A22D4C" w:rsidRDefault="00665EB2" w:rsidP="00250BA4">
      <w:pPr>
        <w:pStyle w:val="CETBodytext"/>
        <w:rPr>
          <w:lang w:val="en-GB"/>
        </w:rPr>
      </w:pPr>
      <w:r>
        <w:rPr>
          <w:lang w:val="en-GB"/>
        </w:rPr>
        <w:t>In 198</w:t>
      </w:r>
      <w:r w:rsidR="00553E81">
        <w:rPr>
          <w:lang w:val="en-GB"/>
        </w:rPr>
        <w:t>4</w:t>
      </w:r>
      <w:r>
        <w:rPr>
          <w:lang w:val="en-GB"/>
        </w:rPr>
        <w:t xml:space="preserve">, the first edition of the </w:t>
      </w:r>
      <w:r w:rsidR="00553E81">
        <w:rPr>
          <w:lang w:val="en-GB"/>
        </w:rPr>
        <w:t>‘</w:t>
      </w:r>
      <w:r>
        <w:rPr>
          <w:lang w:val="en-GB"/>
        </w:rPr>
        <w:t>Recommendations on the Transport of Dangerous Goods, Tests and Criteria</w:t>
      </w:r>
      <w:r w:rsidR="00553E81">
        <w:rPr>
          <w:lang w:val="en-GB"/>
        </w:rPr>
        <w:t>’</w:t>
      </w:r>
      <w:r>
        <w:rPr>
          <w:lang w:val="en-GB"/>
        </w:rPr>
        <w:t xml:space="preserve">, was </w:t>
      </w:r>
      <w:r w:rsidR="00553E81">
        <w:rPr>
          <w:lang w:val="en-GB"/>
        </w:rPr>
        <w:t xml:space="preserve">adopted and </w:t>
      </w:r>
      <w:r w:rsidR="00A22D4C">
        <w:rPr>
          <w:lang w:val="en-GB"/>
        </w:rPr>
        <w:t xml:space="preserve">later </w:t>
      </w:r>
      <w:r>
        <w:rPr>
          <w:lang w:val="en-GB"/>
        </w:rPr>
        <w:t xml:space="preserve">published. </w:t>
      </w:r>
      <w:r w:rsidR="008D7A03">
        <w:rPr>
          <w:lang w:val="en-GB"/>
        </w:rPr>
        <w:t>Today</w:t>
      </w:r>
      <w:r>
        <w:rPr>
          <w:lang w:val="en-GB"/>
        </w:rPr>
        <w:t xml:space="preserve">, this </w:t>
      </w:r>
      <w:r w:rsidR="00553E81">
        <w:rPr>
          <w:lang w:val="en-GB"/>
        </w:rPr>
        <w:t xml:space="preserve">publication </w:t>
      </w:r>
      <w:r>
        <w:rPr>
          <w:lang w:val="en-GB"/>
        </w:rPr>
        <w:t xml:space="preserve">is </w:t>
      </w:r>
      <w:r w:rsidR="00553E81">
        <w:rPr>
          <w:lang w:val="en-GB"/>
        </w:rPr>
        <w:t xml:space="preserve">simply </w:t>
      </w:r>
      <w:r>
        <w:rPr>
          <w:lang w:val="en-GB"/>
        </w:rPr>
        <w:t xml:space="preserve">known as the </w:t>
      </w:r>
      <w:r w:rsidR="00553E81">
        <w:rPr>
          <w:lang w:val="en-GB"/>
        </w:rPr>
        <w:t>‘</w:t>
      </w:r>
      <w:r>
        <w:rPr>
          <w:lang w:val="en-GB"/>
        </w:rPr>
        <w:t>Manual of Tests and Criteria</w:t>
      </w:r>
      <w:r w:rsidR="00553E81">
        <w:rPr>
          <w:lang w:val="en-GB"/>
        </w:rPr>
        <w:t>’ (MTC)</w:t>
      </w:r>
      <w:r w:rsidR="00A22D4C">
        <w:rPr>
          <w:lang w:val="en-GB"/>
        </w:rPr>
        <w:t xml:space="preserve">. The reference to </w:t>
      </w:r>
      <w:r w:rsidR="00553E81">
        <w:rPr>
          <w:lang w:val="en-GB"/>
        </w:rPr>
        <w:t xml:space="preserve">the Recommendations on the Transport of Dangerous Goods </w:t>
      </w:r>
      <w:r w:rsidR="00A22D4C">
        <w:rPr>
          <w:lang w:val="en-GB"/>
        </w:rPr>
        <w:t xml:space="preserve">was dropped because this publication is now </w:t>
      </w:r>
      <w:r w:rsidR="00553E81">
        <w:rPr>
          <w:lang w:val="en-GB"/>
        </w:rPr>
        <w:t xml:space="preserve">also </w:t>
      </w:r>
      <w:r w:rsidR="00A22D4C">
        <w:rPr>
          <w:lang w:val="en-GB"/>
        </w:rPr>
        <w:t xml:space="preserve">relevant for </w:t>
      </w:r>
      <w:r w:rsidR="00553E81">
        <w:rPr>
          <w:lang w:val="en-GB"/>
        </w:rPr>
        <w:t xml:space="preserve">the </w:t>
      </w:r>
      <w:r w:rsidR="00553E81" w:rsidRPr="00553E81">
        <w:rPr>
          <w:lang w:val="en-GB"/>
        </w:rPr>
        <w:t>Globally Harmonized System of Classification and Labelling of Chemicals</w:t>
      </w:r>
      <w:r w:rsidR="00553E81">
        <w:rPr>
          <w:lang w:val="en-GB"/>
        </w:rPr>
        <w:t xml:space="preserve"> (GHS).</w:t>
      </w:r>
    </w:p>
    <w:p w14:paraId="0014D81C" w14:textId="77777777" w:rsidR="00C24D16" w:rsidRDefault="00C24D16" w:rsidP="00250BA4">
      <w:pPr>
        <w:pStyle w:val="CETBodytext"/>
        <w:rPr>
          <w:lang w:val="en-GB"/>
        </w:rPr>
      </w:pPr>
    </w:p>
    <w:p w14:paraId="45921AE3" w14:textId="250AA3BB" w:rsidR="00C70D41" w:rsidRDefault="00553E81" w:rsidP="00250BA4">
      <w:pPr>
        <w:pStyle w:val="CETBodytext"/>
        <w:rPr>
          <w:lang w:val="en-GB"/>
        </w:rPr>
      </w:pPr>
      <w:r>
        <w:rPr>
          <w:lang w:val="en-GB"/>
        </w:rPr>
        <w:t xml:space="preserve">Initially, the </w:t>
      </w:r>
      <w:r w:rsidR="00341425">
        <w:rPr>
          <w:lang w:val="en-GB"/>
        </w:rPr>
        <w:t xml:space="preserve">UN </w:t>
      </w:r>
      <w:r>
        <w:rPr>
          <w:lang w:val="en-GB"/>
        </w:rPr>
        <w:t xml:space="preserve">MTC </w:t>
      </w:r>
      <w:r w:rsidR="008D7A03">
        <w:rPr>
          <w:lang w:val="en-GB"/>
        </w:rPr>
        <w:t>included</w:t>
      </w:r>
      <w:r>
        <w:rPr>
          <w:lang w:val="en-GB"/>
        </w:rPr>
        <w:t xml:space="preserve"> only a part of the test methods required for the</w:t>
      </w:r>
      <w:r w:rsidR="00D23D1B">
        <w:rPr>
          <w:lang w:val="en-GB"/>
        </w:rPr>
        <w:t xml:space="preserve"> classification of hazardous substances</w:t>
      </w:r>
      <w:r w:rsidR="00300943">
        <w:rPr>
          <w:lang w:val="en-GB"/>
        </w:rPr>
        <w:t>. O</w:t>
      </w:r>
      <w:r w:rsidR="00D23D1B">
        <w:rPr>
          <w:lang w:val="en-GB"/>
        </w:rPr>
        <w:t>ther method</w:t>
      </w:r>
      <w:r w:rsidR="00A22D4C">
        <w:rPr>
          <w:lang w:val="en-GB"/>
        </w:rPr>
        <w:t>s</w:t>
      </w:r>
      <w:r w:rsidR="00D23D1B">
        <w:rPr>
          <w:lang w:val="en-GB"/>
        </w:rPr>
        <w:t xml:space="preserve"> were included in the Recommendations on the Transport of Dangerous Goods itself. After a major harmonization in the early </w:t>
      </w:r>
      <w:r w:rsidR="008D7A03">
        <w:rPr>
          <w:lang w:val="en-GB"/>
        </w:rPr>
        <w:t>19</w:t>
      </w:r>
      <w:r w:rsidR="00D23D1B">
        <w:rPr>
          <w:lang w:val="en-GB"/>
        </w:rPr>
        <w:t>90</w:t>
      </w:r>
      <w:r w:rsidR="008D7A03">
        <w:rPr>
          <w:lang w:val="en-GB"/>
        </w:rPr>
        <w:t>’</w:t>
      </w:r>
      <w:r w:rsidR="00D23D1B">
        <w:rPr>
          <w:lang w:val="en-GB"/>
        </w:rPr>
        <w:t xml:space="preserve">s, all methods for physical-chemical hazards testing were included in the </w:t>
      </w:r>
      <w:r w:rsidR="00341425">
        <w:rPr>
          <w:lang w:val="en-GB"/>
        </w:rPr>
        <w:t xml:space="preserve">UN </w:t>
      </w:r>
      <w:r w:rsidR="00D23D1B">
        <w:rPr>
          <w:lang w:val="en-GB"/>
        </w:rPr>
        <w:t>MTC. A</w:t>
      </w:r>
      <w:r w:rsidR="00F65596">
        <w:rPr>
          <w:lang w:val="en-GB"/>
        </w:rPr>
        <w:t>round</w:t>
      </w:r>
      <w:r w:rsidR="00D23D1B">
        <w:rPr>
          <w:lang w:val="en-GB"/>
        </w:rPr>
        <w:t xml:space="preserve"> the same time, it was </w:t>
      </w:r>
      <w:r w:rsidR="008D7A03">
        <w:rPr>
          <w:lang w:val="en-GB"/>
        </w:rPr>
        <w:t>deemed</w:t>
      </w:r>
      <w:r w:rsidR="00D23D1B">
        <w:rPr>
          <w:lang w:val="en-GB"/>
        </w:rPr>
        <w:t xml:space="preserve"> necessary to introduce screening procedures. Such procedures would </w:t>
      </w:r>
      <w:r w:rsidR="008D7A03">
        <w:rPr>
          <w:lang w:val="en-GB"/>
        </w:rPr>
        <w:t>avoid</w:t>
      </w:r>
      <w:r w:rsidR="00300943">
        <w:rPr>
          <w:lang w:val="en-GB"/>
        </w:rPr>
        <w:t xml:space="preserve"> </w:t>
      </w:r>
      <w:r w:rsidR="00D23D1B">
        <w:rPr>
          <w:lang w:val="en-GB"/>
        </w:rPr>
        <w:t>unnecessary testing, reduce potential environment</w:t>
      </w:r>
      <w:r w:rsidR="008D7A03">
        <w:rPr>
          <w:lang w:val="en-GB"/>
        </w:rPr>
        <w:t xml:space="preserve">al impact </w:t>
      </w:r>
      <w:r w:rsidR="00D23D1B">
        <w:rPr>
          <w:lang w:val="en-GB"/>
        </w:rPr>
        <w:t xml:space="preserve"> and avoid high costs, the latter not only for </w:t>
      </w:r>
      <w:r w:rsidR="00300943">
        <w:rPr>
          <w:lang w:val="en-GB"/>
        </w:rPr>
        <w:t xml:space="preserve">the </w:t>
      </w:r>
      <w:r w:rsidR="00D23D1B">
        <w:rPr>
          <w:lang w:val="en-GB"/>
        </w:rPr>
        <w:t xml:space="preserve">testing </w:t>
      </w:r>
      <w:r w:rsidR="00300943">
        <w:rPr>
          <w:lang w:val="en-GB"/>
        </w:rPr>
        <w:t xml:space="preserve">itself </w:t>
      </w:r>
      <w:r w:rsidR="00D23D1B">
        <w:rPr>
          <w:lang w:val="en-GB"/>
        </w:rPr>
        <w:t>but also for expensive sample materials. The screening procedures were ma</w:t>
      </w:r>
      <w:r w:rsidR="00300943">
        <w:rPr>
          <w:lang w:val="en-GB"/>
        </w:rPr>
        <w:t>i</w:t>
      </w:r>
      <w:r w:rsidR="00D23D1B">
        <w:rPr>
          <w:lang w:val="en-GB"/>
        </w:rPr>
        <w:t xml:space="preserve">nly developed by an </w:t>
      </w:r>
      <w:r w:rsidR="00300943">
        <w:rPr>
          <w:lang w:val="en-GB"/>
        </w:rPr>
        <w:t>ad-hoc</w:t>
      </w:r>
      <w:r w:rsidR="00D23D1B">
        <w:rPr>
          <w:lang w:val="en-GB"/>
        </w:rPr>
        <w:t xml:space="preserve"> group of the </w:t>
      </w:r>
      <w:r w:rsidR="00D23D1B" w:rsidRPr="00D23D1B">
        <w:rPr>
          <w:lang w:val="en-GB"/>
        </w:rPr>
        <w:t>International Group of Experts on the Explosion Risks of Unstable Substances</w:t>
      </w:r>
      <w:r w:rsidR="00D23D1B">
        <w:rPr>
          <w:lang w:val="en-GB"/>
        </w:rPr>
        <w:t xml:space="preserve"> – IGUS (Mak</w:t>
      </w:r>
      <w:r w:rsidR="00A22D4C">
        <w:rPr>
          <w:lang w:val="en-GB"/>
        </w:rPr>
        <w:t xml:space="preserve"> et al.</w:t>
      </w:r>
      <w:r w:rsidR="00D23D1B">
        <w:rPr>
          <w:lang w:val="en-GB"/>
        </w:rPr>
        <w:t xml:space="preserve">, 2022). These screening procedures were included in the </w:t>
      </w:r>
      <w:r w:rsidR="00341425">
        <w:rPr>
          <w:lang w:val="en-GB"/>
        </w:rPr>
        <w:t xml:space="preserve">UN </w:t>
      </w:r>
      <w:r w:rsidR="00D23D1B">
        <w:rPr>
          <w:lang w:val="en-GB"/>
        </w:rPr>
        <w:t>MTC as Appendix 6. Since their introduction</w:t>
      </w:r>
      <w:r w:rsidR="00BF0C4A">
        <w:rPr>
          <w:lang w:val="en-GB"/>
        </w:rPr>
        <w:t xml:space="preserve">, they </w:t>
      </w:r>
      <w:r w:rsidR="00D23D1B" w:rsidRPr="00250BA4">
        <w:rPr>
          <w:lang w:val="en-GB"/>
        </w:rPr>
        <w:t xml:space="preserve">have remained largely unchanged except for </w:t>
      </w:r>
      <w:r w:rsidR="008D7A03">
        <w:rPr>
          <w:lang w:val="en-GB"/>
        </w:rPr>
        <w:t xml:space="preserve">some </w:t>
      </w:r>
      <w:r w:rsidR="00D23D1B" w:rsidRPr="00250BA4">
        <w:rPr>
          <w:lang w:val="en-GB"/>
        </w:rPr>
        <w:t>editorial</w:t>
      </w:r>
      <w:r w:rsidR="008D7A03">
        <w:rPr>
          <w:lang w:val="en-GB"/>
        </w:rPr>
        <w:t xml:space="preserve"> changes</w:t>
      </w:r>
      <w:r w:rsidR="00D23D1B" w:rsidRPr="00250BA4">
        <w:rPr>
          <w:lang w:val="en-GB"/>
        </w:rPr>
        <w:t>.</w:t>
      </w:r>
    </w:p>
    <w:p w14:paraId="729B60D1" w14:textId="04C0D07A" w:rsidR="00F970FA" w:rsidRDefault="009A01F6" w:rsidP="00AB6002">
      <w:pPr>
        <w:pStyle w:val="CETHeading1"/>
      </w:pPr>
      <w:r>
        <w:t>Screening procedures</w:t>
      </w:r>
    </w:p>
    <w:p w14:paraId="667F68B7" w14:textId="77777777" w:rsidR="00CC557F" w:rsidRPr="00CC557F" w:rsidRDefault="00CC557F" w:rsidP="00CC557F">
      <w:pPr>
        <w:pStyle w:val="CETheadingx"/>
      </w:pPr>
      <w:r w:rsidRPr="00CC557F">
        <w:t>Purpose</w:t>
      </w:r>
    </w:p>
    <w:p w14:paraId="55B88ABA" w14:textId="1B062A58" w:rsidR="009A01F6" w:rsidRDefault="00ED51A8" w:rsidP="00250BA4">
      <w:pPr>
        <w:pStyle w:val="CETBodytext"/>
        <w:rPr>
          <w:lang w:val="en-GB"/>
        </w:rPr>
      </w:pPr>
      <w:r>
        <w:rPr>
          <w:lang w:val="en-GB"/>
        </w:rPr>
        <w:t xml:space="preserve">This paper mainly </w:t>
      </w:r>
      <w:r w:rsidR="008D7A03">
        <w:rPr>
          <w:lang w:val="en-GB"/>
        </w:rPr>
        <w:t xml:space="preserve">focuses on </w:t>
      </w:r>
      <w:r>
        <w:rPr>
          <w:lang w:val="en-GB"/>
        </w:rPr>
        <w:t xml:space="preserve">the screening procedures included in Appendix 6 of the </w:t>
      </w:r>
      <w:r w:rsidR="00341425">
        <w:rPr>
          <w:lang w:val="en-GB"/>
        </w:rPr>
        <w:t xml:space="preserve">UN </w:t>
      </w:r>
      <w:r>
        <w:rPr>
          <w:lang w:val="en-GB"/>
        </w:rPr>
        <w:t xml:space="preserve">MTC. </w:t>
      </w:r>
      <w:r w:rsidR="008D7A03">
        <w:rPr>
          <w:lang w:val="en-GB"/>
        </w:rPr>
        <w:t>However, i</w:t>
      </w:r>
      <w:r>
        <w:rPr>
          <w:lang w:val="en-GB"/>
        </w:rPr>
        <w:t xml:space="preserve">t should be noted that some screening criteria </w:t>
      </w:r>
      <w:r w:rsidR="0072690C">
        <w:rPr>
          <w:lang w:val="en-GB"/>
        </w:rPr>
        <w:t xml:space="preserve">are </w:t>
      </w:r>
      <w:r>
        <w:rPr>
          <w:lang w:val="en-GB"/>
        </w:rPr>
        <w:t xml:space="preserve">included in other publications. Sometimes these are not </w:t>
      </w:r>
      <w:r w:rsidR="008D7A03">
        <w:rPr>
          <w:lang w:val="en-GB"/>
        </w:rPr>
        <w:t>true</w:t>
      </w:r>
      <w:r>
        <w:rPr>
          <w:lang w:val="en-GB"/>
        </w:rPr>
        <w:t xml:space="preserve"> screening criteria but rather cut-off values for classification. In practice, these cut-off values function as screening criteria because the</w:t>
      </w:r>
      <w:r w:rsidR="00852242">
        <w:rPr>
          <w:lang w:val="en-GB"/>
        </w:rPr>
        <w:t xml:space="preserve">ir </w:t>
      </w:r>
      <w:r w:rsidR="0072690C">
        <w:rPr>
          <w:lang w:val="en-GB"/>
        </w:rPr>
        <w:t xml:space="preserve">aim </w:t>
      </w:r>
      <w:r w:rsidR="00852242">
        <w:rPr>
          <w:lang w:val="en-GB"/>
        </w:rPr>
        <w:t xml:space="preserve">is </w:t>
      </w:r>
      <w:r>
        <w:rPr>
          <w:lang w:val="en-GB"/>
        </w:rPr>
        <w:t>to identify whether or not new substances or formulations have to be tested for classification.</w:t>
      </w:r>
      <w:r w:rsidR="00852242">
        <w:rPr>
          <w:lang w:val="en-GB"/>
        </w:rPr>
        <w:t xml:space="preserve"> This chapter provides an overview of the relevant criteria.</w:t>
      </w:r>
    </w:p>
    <w:p w14:paraId="3CE26363" w14:textId="77777777" w:rsidR="004E66D5" w:rsidRDefault="004E66D5" w:rsidP="00250BA4">
      <w:pPr>
        <w:pStyle w:val="CETBodytext"/>
        <w:rPr>
          <w:lang w:val="en-GB"/>
        </w:rPr>
      </w:pPr>
    </w:p>
    <w:p w14:paraId="69AE1B86" w14:textId="04895E86" w:rsidR="00804B96" w:rsidRDefault="008D7A03" w:rsidP="00250BA4">
      <w:pPr>
        <w:pStyle w:val="CETBodytext"/>
        <w:rPr>
          <w:lang w:val="en-GB"/>
        </w:rPr>
      </w:pPr>
      <w:r>
        <w:rPr>
          <w:lang w:val="en-GB"/>
        </w:rPr>
        <w:t>S</w:t>
      </w:r>
      <w:r w:rsidR="00804B96">
        <w:rPr>
          <w:lang w:val="en-GB"/>
        </w:rPr>
        <w:t>creening criteria are</w:t>
      </w:r>
      <w:r>
        <w:rPr>
          <w:lang w:val="en-GB"/>
        </w:rPr>
        <w:t>, of course,</w:t>
      </w:r>
      <w:r w:rsidR="00804B96">
        <w:rPr>
          <w:lang w:val="en-GB"/>
        </w:rPr>
        <w:t xml:space="preserve"> criteria that are used to determine whether or not a substance or mixture is a candidate for classification as dangerous good. If it </w:t>
      </w:r>
      <w:r>
        <w:rPr>
          <w:lang w:val="en-GB"/>
        </w:rPr>
        <w:t xml:space="preserve">meets </w:t>
      </w:r>
      <w:r w:rsidR="00804B96">
        <w:rPr>
          <w:lang w:val="en-GB"/>
        </w:rPr>
        <w:t xml:space="preserve">these criteria, further testing is not required. If it </w:t>
      </w:r>
      <w:r>
        <w:rPr>
          <w:lang w:val="en-GB"/>
        </w:rPr>
        <w:t xml:space="preserve">does not meet </w:t>
      </w:r>
      <w:r w:rsidR="00804B96">
        <w:rPr>
          <w:lang w:val="en-GB"/>
        </w:rPr>
        <w:t>the</w:t>
      </w:r>
      <w:r>
        <w:rPr>
          <w:lang w:val="en-GB"/>
        </w:rPr>
        <w:t>se</w:t>
      </w:r>
      <w:r w:rsidR="00804B96">
        <w:rPr>
          <w:lang w:val="en-GB"/>
        </w:rPr>
        <w:t xml:space="preserve"> criteria, the materials needs to be tested in accordance with the appropriate test methods. </w:t>
      </w:r>
      <w:r>
        <w:rPr>
          <w:lang w:val="en-GB"/>
        </w:rPr>
        <w:t>S</w:t>
      </w:r>
      <w:r w:rsidR="00804B96">
        <w:rPr>
          <w:lang w:val="en-GB"/>
        </w:rPr>
        <w:t xml:space="preserve">creening is always related to a specific property. If the materials </w:t>
      </w:r>
      <w:r w:rsidR="00DC0BF7">
        <w:rPr>
          <w:lang w:val="en-GB"/>
        </w:rPr>
        <w:t xml:space="preserve">does not meet </w:t>
      </w:r>
      <w:r w:rsidR="00804B96">
        <w:rPr>
          <w:lang w:val="en-GB"/>
        </w:rPr>
        <w:t>the criteria for a certain property (e.g. self-heating)</w:t>
      </w:r>
      <w:r w:rsidR="00BE7D1A">
        <w:rPr>
          <w:lang w:val="en-GB"/>
        </w:rPr>
        <w:t>,</w:t>
      </w:r>
      <w:r w:rsidR="00804B96">
        <w:rPr>
          <w:lang w:val="en-GB"/>
        </w:rPr>
        <w:t xml:space="preserve"> it will still be necessary to screen th</w:t>
      </w:r>
      <w:r w:rsidR="00F53628">
        <w:rPr>
          <w:lang w:val="en-GB"/>
        </w:rPr>
        <w:t>is</w:t>
      </w:r>
      <w:r w:rsidR="00804B96">
        <w:rPr>
          <w:lang w:val="en-GB"/>
        </w:rPr>
        <w:t xml:space="preserve"> material for other propert</w:t>
      </w:r>
      <w:r>
        <w:rPr>
          <w:lang w:val="en-GB"/>
        </w:rPr>
        <w:t>ies</w:t>
      </w:r>
      <w:r w:rsidR="00804B96">
        <w:rPr>
          <w:lang w:val="en-GB"/>
        </w:rPr>
        <w:t xml:space="preserve"> (e.g. flammability). Moreover, some properties may be relevant for different classification possibilities. </w:t>
      </w:r>
      <w:r w:rsidR="0072690C">
        <w:rPr>
          <w:lang w:val="en-GB"/>
        </w:rPr>
        <w:t xml:space="preserve">For instance, </w:t>
      </w:r>
      <w:r w:rsidR="00804B96">
        <w:rPr>
          <w:lang w:val="en-GB"/>
        </w:rPr>
        <w:t xml:space="preserve">explosivity is not only relevant for classification as </w:t>
      </w:r>
      <w:r>
        <w:rPr>
          <w:lang w:val="en-GB"/>
        </w:rPr>
        <w:t xml:space="preserve">an </w:t>
      </w:r>
      <w:r w:rsidR="00804B96">
        <w:rPr>
          <w:lang w:val="en-GB"/>
        </w:rPr>
        <w:t>explosive substance</w:t>
      </w:r>
      <w:r w:rsidR="00F53628">
        <w:rPr>
          <w:lang w:val="en-GB"/>
        </w:rPr>
        <w:t xml:space="preserve"> but also for classification as </w:t>
      </w:r>
      <w:r>
        <w:rPr>
          <w:lang w:val="en-GB"/>
        </w:rPr>
        <w:t xml:space="preserve">an </w:t>
      </w:r>
      <w:r w:rsidR="00F53628">
        <w:rPr>
          <w:lang w:val="en-GB"/>
        </w:rPr>
        <w:t>organic peroxide or</w:t>
      </w:r>
      <w:r>
        <w:rPr>
          <w:lang w:val="en-GB"/>
        </w:rPr>
        <w:t xml:space="preserve"> a</w:t>
      </w:r>
      <w:r w:rsidR="00F53628">
        <w:rPr>
          <w:lang w:val="en-GB"/>
        </w:rPr>
        <w:t xml:space="preserve"> self-reactive substance.</w:t>
      </w:r>
    </w:p>
    <w:p w14:paraId="151AB2B9" w14:textId="77777777" w:rsidR="004E66D5" w:rsidRDefault="004E66D5" w:rsidP="00250BA4">
      <w:pPr>
        <w:pStyle w:val="CETBodytext"/>
        <w:rPr>
          <w:lang w:val="en-GB"/>
        </w:rPr>
      </w:pPr>
    </w:p>
    <w:p w14:paraId="70934E09" w14:textId="00B70511" w:rsidR="004E66D5" w:rsidRDefault="004E66D5" w:rsidP="004E66D5">
      <w:pPr>
        <w:pStyle w:val="CETBodytext"/>
        <w:rPr>
          <w:lang w:val="en-GB"/>
        </w:rPr>
      </w:pPr>
      <w:r>
        <w:rPr>
          <w:lang w:val="en-GB"/>
        </w:rPr>
        <w:t xml:space="preserve">Screening is an essential part of the evaluation of the hazard potential of new substances. This includes intermediates  as well </w:t>
      </w:r>
      <w:r w:rsidR="0072690C">
        <w:rPr>
          <w:lang w:val="en-GB"/>
        </w:rPr>
        <w:t xml:space="preserve">as </w:t>
      </w:r>
      <w:r>
        <w:rPr>
          <w:lang w:val="en-GB"/>
        </w:rPr>
        <w:t xml:space="preserve">new products and mixtures and especially products in the R&amp;D phase. Proper application of the screening procedures </w:t>
      </w:r>
      <w:r w:rsidR="008D7A03">
        <w:rPr>
          <w:lang w:val="en-GB"/>
        </w:rPr>
        <w:t xml:space="preserve">can </w:t>
      </w:r>
      <w:r>
        <w:rPr>
          <w:lang w:val="en-GB"/>
        </w:rPr>
        <w:t>minimize the need for testing. If less testing is done, less test substance will be needed. For several reason</w:t>
      </w:r>
      <w:r w:rsidR="00CD7AC1">
        <w:rPr>
          <w:lang w:val="en-GB"/>
        </w:rPr>
        <w:t>s</w:t>
      </w:r>
      <w:r>
        <w:rPr>
          <w:lang w:val="en-GB"/>
        </w:rPr>
        <w:t xml:space="preserve"> this is important:</w:t>
      </w:r>
    </w:p>
    <w:p w14:paraId="5E25A2A8" w14:textId="3BF4D8A8" w:rsidR="004E66D5" w:rsidRPr="00CC557F" w:rsidRDefault="004E66D5" w:rsidP="00DC7A8A">
      <w:pPr>
        <w:pStyle w:val="CETnumberingbullets"/>
      </w:pPr>
      <w:r w:rsidRPr="00CC557F">
        <w:t>In the R&amp;D phase usually a small amount of test substance is available. A full testing procedure may require several k</w:t>
      </w:r>
      <w:r w:rsidR="0072690C">
        <w:t>ilograms</w:t>
      </w:r>
      <w:r w:rsidRPr="00CC557F">
        <w:t xml:space="preserve"> of material, while in the R&amp;D phase often only grams are available.</w:t>
      </w:r>
    </w:p>
    <w:p w14:paraId="64DDFCBE" w14:textId="2C786A5C" w:rsidR="004E66D5" w:rsidRPr="00CC557F" w:rsidRDefault="004E66D5" w:rsidP="00DC7A8A">
      <w:pPr>
        <w:pStyle w:val="CETnumberingbullets"/>
      </w:pPr>
      <w:r w:rsidRPr="00CC557F">
        <w:t xml:space="preserve">In the R&amp;D phase usually only limited information regarding toxicity is available. Screening for physical-chemical hazards will reduce the </w:t>
      </w:r>
      <w:r w:rsidR="00B76A34">
        <w:t xml:space="preserve">potential </w:t>
      </w:r>
      <w:r w:rsidRPr="00CC557F">
        <w:t>exposure of personnel and environment</w:t>
      </w:r>
      <w:r w:rsidR="00CD7AC1">
        <w:t xml:space="preserve"> to the test substance</w:t>
      </w:r>
      <w:r w:rsidRPr="00CC557F">
        <w:t>.</w:t>
      </w:r>
    </w:p>
    <w:p w14:paraId="3335EC93" w14:textId="198255B9" w:rsidR="004E66D5" w:rsidRPr="00CC557F" w:rsidRDefault="004E66D5" w:rsidP="00DC7A8A">
      <w:pPr>
        <w:pStyle w:val="CETnumberingbullets"/>
      </w:pPr>
      <w:r w:rsidRPr="00CC557F">
        <w:t>Products like pharmaceuticals may be too expensive to spend large amounts for testing wh</w:t>
      </w:r>
      <w:r w:rsidR="0072690C">
        <w:t>en</w:t>
      </w:r>
      <w:r w:rsidRPr="00CC557F">
        <w:t xml:space="preserve"> in the end it may appear that the products may not be suited to be placed on the market.</w:t>
      </w:r>
    </w:p>
    <w:p w14:paraId="35B3D094" w14:textId="1B5B28A1" w:rsidR="00CC557F" w:rsidRDefault="008D7A03" w:rsidP="004E66D5">
      <w:pPr>
        <w:pStyle w:val="CETBodytext"/>
        <w:rPr>
          <w:lang w:val="en-GB"/>
        </w:rPr>
      </w:pPr>
      <w:r>
        <w:rPr>
          <w:lang w:val="en-GB"/>
        </w:rPr>
        <w:t>I</w:t>
      </w:r>
      <w:r w:rsidR="00CC557F">
        <w:rPr>
          <w:lang w:val="en-GB"/>
        </w:rPr>
        <w:t xml:space="preserve">t is </w:t>
      </w:r>
      <w:r>
        <w:rPr>
          <w:lang w:val="en-GB"/>
        </w:rPr>
        <w:t xml:space="preserve">therefore </w:t>
      </w:r>
      <w:r w:rsidR="00CC557F">
        <w:rPr>
          <w:lang w:val="en-GB"/>
        </w:rPr>
        <w:t>essential that proper hazard screening is</w:t>
      </w:r>
      <w:r>
        <w:rPr>
          <w:lang w:val="en-GB"/>
        </w:rPr>
        <w:t xml:space="preserve"> carried out prior to classification testing</w:t>
      </w:r>
      <w:r w:rsidR="00CC557F">
        <w:rPr>
          <w:lang w:val="en-GB"/>
        </w:rPr>
        <w:t>.</w:t>
      </w:r>
    </w:p>
    <w:p w14:paraId="10C7CE51" w14:textId="77777777" w:rsidR="009C6BE4" w:rsidRDefault="009C6BE4" w:rsidP="004E66D5">
      <w:pPr>
        <w:pStyle w:val="CETBodytext"/>
        <w:rPr>
          <w:lang w:val="en-GB"/>
        </w:rPr>
      </w:pPr>
    </w:p>
    <w:p w14:paraId="046311EE" w14:textId="75EB70F0" w:rsidR="009C6BE4" w:rsidRDefault="009C6BE4" w:rsidP="004E66D5">
      <w:pPr>
        <w:pStyle w:val="CETBodytext"/>
        <w:rPr>
          <w:lang w:val="en-GB"/>
        </w:rPr>
      </w:pPr>
      <w:r>
        <w:rPr>
          <w:lang w:val="en-GB"/>
        </w:rPr>
        <w:t>It should be emphasized that screening and testing sh</w:t>
      </w:r>
      <w:r w:rsidR="008D7A03">
        <w:rPr>
          <w:lang w:val="en-GB"/>
        </w:rPr>
        <w:t xml:space="preserve">ould always </w:t>
      </w:r>
      <w:r>
        <w:rPr>
          <w:lang w:val="en-GB"/>
        </w:rPr>
        <w:t xml:space="preserve">be </w:t>
      </w:r>
      <w:r w:rsidR="008D7A03">
        <w:rPr>
          <w:lang w:val="en-GB"/>
        </w:rPr>
        <w:t xml:space="preserve">carried out by </w:t>
      </w:r>
      <w:r>
        <w:rPr>
          <w:lang w:val="en-GB"/>
        </w:rPr>
        <w:t xml:space="preserve">competent </w:t>
      </w:r>
      <w:r w:rsidR="0072690C">
        <w:rPr>
          <w:lang w:val="en-GB"/>
        </w:rPr>
        <w:t xml:space="preserve">and experienced </w:t>
      </w:r>
      <w:r>
        <w:rPr>
          <w:lang w:val="en-GB"/>
        </w:rPr>
        <w:t xml:space="preserve">personnel, as </w:t>
      </w:r>
      <w:r w:rsidR="006E2B7C">
        <w:rPr>
          <w:lang w:val="en-GB"/>
        </w:rPr>
        <w:t>highlighted</w:t>
      </w:r>
      <w:r>
        <w:rPr>
          <w:lang w:val="en-GB"/>
        </w:rPr>
        <w:t xml:space="preserve"> in the various regulations.</w:t>
      </w:r>
    </w:p>
    <w:p w14:paraId="53B372E8" w14:textId="1C2D29ED" w:rsidR="00AB6002" w:rsidRDefault="00AB6002" w:rsidP="00AB6002">
      <w:pPr>
        <w:pStyle w:val="CETheadingx"/>
      </w:pPr>
      <w:r>
        <w:lastRenderedPageBreak/>
        <w:t>UN Model Regulations</w:t>
      </w:r>
    </w:p>
    <w:p w14:paraId="3214FEDE" w14:textId="61ACEA47" w:rsidR="00F53628" w:rsidRDefault="006E2B7C" w:rsidP="00250BA4">
      <w:pPr>
        <w:pStyle w:val="CETBodytext"/>
        <w:rPr>
          <w:lang w:val="en-GB"/>
        </w:rPr>
      </w:pPr>
      <w:r>
        <w:rPr>
          <w:lang w:val="en-GB"/>
        </w:rPr>
        <w:t xml:space="preserve">Chapter 2 of the </w:t>
      </w:r>
      <w:r w:rsidR="00C97335">
        <w:rPr>
          <w:lang w:val="en-GB"/>
        </w:rPr>
        <w:t>UN Model Regulation</w:t>
      </w:r>
      <w:r w:rsidR="00852242">
        <w:rPr>
          <w:lang w:val="en-GB"/>
        </w:rPr>
        <w:t xml:space="preserve"> provide</w:t>
      </w:r>
      <w:r>
        <w:rPr>
          <w:lang w:val="en-GB"/>
        </w:rPr>
        <w:t>s</w:t>
      </w:r>
      <w:r w:rsidR="00852242">
        <w:rPr>
          <w:lang w:val="en-GB"/>
        </w:rPr>
        <w:t xml:space="preserve"> an extensive overview of the criteria for the classification of potentially dangerous goods i</w:t>
      </w:r>
      <w:r w:rsidR="0072690C">
        <w:rPr>
          <w:lang w:val="en-GB"/>
        </w:rPr>
        <w:t>n</w:t>
      </w:r>
      <w:r w:rsidR="00852242">
        <w:rPr>
          <w:lang w:val="en-GB"/>
        </w:rPr>
        <w:t xml:space="preserve"> nine classes and a couple of divisions</w:t>
      </w:r>
      <w:r w:rsidR="00BE7D1A">
        <w:rPr>
          <w:lang w:val="en-GB"/>
        </w:rPr>
        <w:t xml:space="preserve"> or subclasses</w:t>
      </w:r>
      <w:r w:rsidR="00852242">
        <w:rPr>
          <w:lang w:val="en-GB"/>
        </w:rPr>
        <w:t xml:space="preserve">. For </w:t>
      </w:r>
      <w:r w:rsidR="00BE7D1A">
        <w:rPr>
          <w:lang w:val="en-GB"/>
        </w:rPr>
        <w:t xml:space="preserve">some </w:t>
      </w:r>
      <w:r w:rsidR="00852242">
        <w:rPr>
          <w:lang w:val="en-GB"/>
        </w:rPr>
        <w:t>classes and divisions, not only classification criteria are presented but also cut-off values</w:t>
      </w:r>
      <w:r w:rsidR="00852242" w:rsidRPr="00852242">
        <w:rPr>
          <w:lang w:val="en-GB"/>
        </w:rPr>
        <w:t xml:space="preserve"> </w:t>
      </w:r>
      <w:r w:rsidR="00852242">
        <w:rPr>
          <w:lang w:val="en-GB"/>
        </w:rPr>
        <w:t>or lower limits (thresholds) for classification. As mentioned above, these cut-off limits</w:t>
      </w:r>
      <w:r>
        <w:rPr>
          <w:lang w:val="en-GB"/>
        </w:rPr>
        <w:t xml:space="preserve"> act</w:t>
      </w:r>
      <w:r w:rsidR="00852242">
        <w:rPr>
          <w:lang w:val="en-GB"/>
        </w:rPr>
        <w:t xml:space="preserve"> as screening criteria for a specific class or division. New products that meet these criteria need not to be considered for classification in that class or division. Table 1 presents an overview of these criteria.</w:t>
      </w:r>
      <w:r w:rsidR="0045586F">
        <w:rPr>
          <w:lang w:val="en-GB"/>
        </w:rPr>
        <w:t xml:space="preserve"> As this paper only deals with physical-chemical hazards, transport classes </w:t>
      </w:r>
      <w:r w:rsidR="0072690C">
        <w:rPr>
          <w:lang w:val="en-GB"/>
        </w:rPr>
        <w:t xml:space="preserve">6 </w:t>
      </w:r>
      <w:r w:rsidR="0045586F">
        <w:rPr>
          <w:lang w:val="en-GB"/>
        </w:rPr>
        <w:t xml:space="preserve">(toxic and infectious substances) and </w:t>
      </w:r>
      <w:r w:rsidR="0072690C">
        <w:rPr>
          <w:lang w:val="en-GB"/>
        </w:rPr>
        <w:t>7</w:t>
      </w:r>
      <w:r w:rsidR="0045586F">
        <w:rPr>
          <w:lang w:val="en-GB"/>
        </w:rPr>
        <w:t xml:space="preserve"> (rad</w:t>
      </w:r>
      <w:r w:rsidR="00E85F24">
        <w:rPr>
          <w:lang w:val="en-GB"/>
        </w:rPr>
        <w:t xml:space="preserve">ioactive material) are not included in this table. Class 9 is also not included as it comprises a </w:t>
      </w:r>
      <w:r w:rsidR="0072690C">
        <w:rPr>
          <w:lang w:val="en-GB"/>
        </w:rPr>
        <w:t xml:space="preserve">wide </w:t>
      </w:r>
      <w:r w:rsidR="00E85F24">
        <w:rPr>
          <w:lang w:val="en-GB"/>
        </w:rPr>
        <w:t>variety of substances and articles.</w:t>
      </w:r>
    </w:p>
    <w:p w14:paraId="44C748F7" w14:textId="2A229242" w:rsidR="00852242" w:rsidRPr="00B57B36" w:rsidRDefault="00852242" w:rsidP="00852242">
      <w:pPr>
        <w:pStyle w:val="CETTabletitle"/>
      </w:pPr>
      <w:r w:rsidRPr="00B57B36">
        <w:t>Table 1:</w:t>
      </w:r>
      <w:r>
        <w:t xml:space="preserve"> Cut-off limits for classification for transport</w:t>
      </w:r>
      <w:r w:rsidRPr="00B57B36">
        <w:t xml:space="preserve"> </w:t>
      </w:r>
      <w:r w:rsidR="00BE7D1A">
        <w:t>in the UN Model Regulations</w:t>
      </w:r>
    </w:p>
    <w:tbl>
      <w:tblPr>
        <w:tblW w:w="8647"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535"/>
        <w:gridCol w:w="2584"/>
        <w:gridCol w:w="196"/>
        <w:gridCol w:w="5190"/>
        <w:gridCol w:w="142"/>
      </w:tblGrid>
      <w:tr w:rsidR="0045586F" w:rsidRPr="00B57B36" w14:paraId="795C6FF7" w14:textId="42DF928E" w:rsidTr="0045586F">
        <w:tc>
          <w:tcPr>
            <w:tcW w:w="3119" w:type="dxa"/>
            <w:gridSpan w:val="2"/>
            <w:tcBorders>
              <w:top w:val="single" w:sz="12" w:space="0" w:color="008000"/>
              <w:bottom w:val="single" w:sz="6" w:space="0" w:color="008000"/>
            </w:tcBorders>
            <w:shd w:val="clear" w:color="auto" w:fill="FFFFFF"/>
          </w:tcPr>
          <w:p w14:paraId="2C46F41D" w14:textId="4A7461AD" w:rsidR="0045586F" w:rsidRPr="00B57B36" w:rsidRDefault="0045586F" w:rsidP="001243C1">
            <w:pPr>
              <w:pStyle w:val="CETBodytext"/>
              <w:rPr>
                <w:lang w:val="en-GB"/>
              </w:rPr>
            </w:pPr>
            <w:r>
              <w:rPr>
                <w:lang w:val="en-GB"/>
              </w:rPr>
              <w:t>Class or division (transport)</w:t>
            </w:r>
          </w:p>
        </w:tc>
        <w:tc>
          <w:tcPr>
            <w:tcW w:w="196" w:type="dxa"/>
            <w:tcBorders>
              <w:top w:val="single" w:sz="12" w:space="0" w:color="008000"/>
              <w:bottom w:val="single" w:sz="6" w:space="0" w:color="008000"/>
            </w:tcBorders>
            <w:shd w:val="clear" w:color="auto" w:fill="FFFFFF"/>
          </w:tcPr>
          <w:p w14:paraId="5F370B4C" w14:textId="77777777" w:rsidR="0045586F" w:rsidRDefault="0045586F" w:rsidP="001243C1">
            <w:pPr>
              <w:pStyle w:val="CETBodytext"/>
              <w:rPr>
                <w:lang w:val="en-GB"/>
              </w:rPr>
            </w:pPr>
          </w:p>
        </w:tc>
        <w:tc>
          <w:tcPr>
            <w:tcW w:w="5190" w:type="dxa"/>
            <w:tcBorders>
              <w:top w:val="single" w:sz="12" w:space="0" w:color="008000"/>
              <w:bottom w:val="single" w:sz="6" w:space="0" w:color="008000"/>
            </w:tcBorders>
            <w:shd w:val="clear" w:color="auto" w:fill="FFFFFF"/>
          </w:tcPr>
          <w:p w14:paraId="02E8E7AE" w14:textId="1DA5082B" w:rsidR="0045586F" w:rsidRPr="00B57B36" w:rsidRDefault="0045586F" w:rsidP="001243C1">
            <w:pPr>
              <w:pStyle w:val="CETBodytext"/>
              <w:rPr>
                <w:lang w:val="en-GB"/>
              </w:rPr>
            </w:pPr>
            <w:r>
              <w:rPr>
                <w:lang w:val="en-GB"/>
              </w:rPr>
              <w:t>Cut-off limit or criteria</w:t>
            </w:r>
          </w:p>
        </w:tc>
        <w:tc>
          <w:tcPr>
            <w:tcW w:w="142" w:type="dxa"/>
            <w:tcBorders>
              <w:top w:val="single" w:sz="12" w:space="0" w:color="008000"/>
              <w:bottom w:val="single" w:sz="6" w:space="0" w:color="008000"/>
            </w:tcBorders>
            <w:shd w:val="clear" w:color="auto" w:fill="FFFFFF"/>
          </w:tcPr>
          <w:p w14:paraId="160619BF" w14:textId="77777777" w:rsidR="0045586F" w:rsidRDefault="0045586F" w:rsidP="001243C1">
            <w:pPr>
              <w:pStyle w:val="CETBodytext"/>
              <w:rPr>
                <w:lang w:val="en-GB"/>
              </w:rPr>
            </w:pPr>
          </w:p>
        </w:tc>
      </w:tr>
      <w:tr w:rsidR="0045586F" w:rsidRPr="00B57B36" w14:paraId="0FB12ECF" w14:textId="031664CB" w:rsidTr="0045586F">
        <w:tc>
          <w:tcPr>
            <w:tcW w:w="535" w:type="dxa"/>
            <w:shd w:val="clear" w:color="auto" w:fill="FFFFFF"/>
          </w:tcPr>
          <w:p w14:paraId="5FBEEBCE" w14:textId="6C70EC69" w:rsidR="0045586F" w:rsidRPr="00B57B36" w:rsidRDefault="0045586F" w:rsidP="001243C1">
            <w:pPr>
              <w:pStyle w:val="CETBodytext"/>
              <w:rPr>
                <w:lang w:val="en-GB"/>
              </w:rPr>
            </w:pPr>
            <w:r>
              <w:rPr>
                <w:lang w:val="en-GB"/>
              </w:rPr>
              <w:t xml:space="preserve">1 </w:t>
            </w:r>
          </w:p>
        </w:tc>
        <w:tc>
          <w:tcPr>
            <w:tcW w:w="2584" w:type="dxa"/>
            <w:shd w:val="clear" w:color="auto" w:fill="FFFFFF"/>
          </w:tcPr>
          <w:p w14:paraId="6A404F96" w14:textId="432A5D4C" w:rsidR="0045586F" w:rsidRPr="00B57B36" w:rsidRDefault="0045586F" w:rsidP="001243C1">
            <w:pPr>
              <w:pStyle w:val="CETBodytext"/>
              <w:rPr>
                <w:lang w:val="en-GB"/>
              </w:rPr>
            </w:pPr>
            <w:r>
              <w:rPr>
                <w:lang w:val="en-GB"/>
              </w:rPr>
              <w:t>Explosives</w:t>
            </w:r>
          </w:p>
        </w:tc>
        <w:tc>
          <w:tcPr>
            <w:tcW w:w="196" w:type="dxa"/>
            <w:shd w:val="clear" w:color="auto" w:fill="FFFFFF"/>
          </w:tcPr>
          <w:p w14:paraId="28C65D21" w14:textId="77777777" w:rsidR="0045586F" w:rsidRDefault="0045586F" w:rsidP="001243C1">
            <w:pPr>
              <w:pStyle w:val="CETBodytext"/>
              <w:rPr>
                <w:lang w:val="en-GB"/>
              </w:rPr>
            </w:pPr>
          </w:p>
        </w:tc>
        <w:tc>
          <w:tcPr>
            <w:tcW w:w="5190" w:type="dxa"/>
            <w:shd w:val="clear" w:color="auto" w:fill="FFFFFF"/>
          </w:tcPr>
          <w:p w14:paraId="356BDB8F" w14:textId="5DB94CDB" w:rsidR="0045586F" w:rsidRPr="00B57B36" w:rsidRDefault="0045586F" w:rsidP="001243C1">
            <w:pPr>
              <w:pStyle w:val="CETBodytext"/>
              <w:rPr>
                <w:lang w:val="en-GB"/>
              </w:rPr>
            </w:pPr>
            <w:r>
              <w:rPr>
                <w:lang w:val="en-GB"/>
              </w:rPr>
              <w:t>None</w:t>
            </w:r>
          </w:p>
        </w:tc>
        <w:tc>
          <w:tcPr>
            <w:tcW w:w="142" w:type="dxa"/>
            <w:shd w:val="clear" w:color="auto" w:fill="FFFFFF"/>
          </w:tcPr>
          <w:p w14:paraId="0D258043" w14:textId="77777777" w:rsidR="0045586F" w:rsidRDefault="0045586F" w:rsidP="001243C1">
            <w:pPr>
              <w:pStyle w:val="CETBodytext"/>
              <w:rPr>
                <w:lang w:val="en-GB"/>
              </w:rPr>
            </w:pPr>
          </w:p>
        </w:tc>
      </w:tr>
      <w:tr w:rsidR="0045586F" w:rsidRPr="00B57B36" w14:paraId="0A14AB91" w14:textId="72B64CE0" w:rsidTr="0045586F">
        <w:tc>
          <w:tcPr>
            <w:tcW w:w="535" w:type="dxa"/>
            <w:shd w:val="clear" w:color="auto" w:fill="FFFFFF"/>
          </w:tcPr>
          <w:p w14:paraId="5CDABC2B" w14:textId="7CEDB69D" w:rsidR="0045586F" w:rsidRPr="00B57B36" w:rsidRDefault="0045586F" w:rsidP="001243C1">
            <w:pPr>
              <w:pStyle w:val="CETBodytext"/>
              <w:rPr>
                <w:lang w:val="en-GB"/>
              </w:rPr>
            </w:pPr>
            <w:r>
              <w:rPr>
                <w:lang w:val="en-GB"/>
              </w:rPr>
              <w:t xml:space="preserve">2 </w:t>
            </w:r>
          </w:p>
        </w:tc>
        <w:tc>
          <w:tcPr>
            <w:tcW w:w="2584" w:type="dxa"/>
            <w:shd w:val="clear" w:color="auto" w:fill="FFFFFF"/>
          </w:tcPr>
          <w:p w14:paraId="47D0A7EA" w14:textId="4683944E" w:rsidR="0045586F" w:rsidRPr="00B57B36" w:rsidRDefault="0045586F" w:rsidP="001243C1">
            <w:pPr>
              <w:pStyle w:val="CETBodytext"/>
              <w:rPr>
                <w:lang w:val="en-GB"/>
              </w:rPr>
            </w:pPr>
            <w:r>
              <w:rPr>
                <w:lang w:val="en-GB"/>
              </w:rPr>
              <w:t>Gases</w:t>
            </w:r>
          </w:p>
        </w:tc>
        <w:tc>
          <w:tcPr>
            <w:tcW w:w="196" w:type="dxa"/>
            <w:shd w:val="clear" w:color="auto" w:fill="FFFFFF"/>
          </w:tcPr>
          <w:p w14:paraId="6B16DE40" w14:textId="77777777" w:rsidR="0045586F" w:rsidRDefault="0045586F" w:rsidP="001243C1">
            <w:pPr>
              <w:pStyle w:val="CETBodytext"/>
              <w:rPr>
                <w:lang w:val="en-GB"/>
              </w:rPr>
            </w:pPr>
          </w:p>
        </w:tc>
        <w:tc>
          <w:tcPr>
            <w:tcW w:w="5190" w:type="dxa"/>
            <w:shd w:val="clear" w:color="auto" w:fill="FFFFFF"/>
          </w:tcPr>
          <w:p w14:paraId="3E1A98CC" w14:textId="5CEF8038" w:rsidR="0045586F" w:rsidRPr="00B57B36" w:rsidRDefault="0045586F" w:rsidP="001243C1">
            <w:pPr>
              <w:pStyle w:val="CETBodytext"/>
              <w:rPr>
                <w:lang w:val="en-GB"/>
              </w:rPr>
            </w:pPr>
            <w:r>
              <w:rPr>
                <w:lang w:val="en-GB"/>
              </w:rPr>
              <w:t>Physical state</w:t>
            </w:r>
          </w:p>
        </w:tc>
        <w:tc>
          <w:tcPr>
            <w:tcW w:w="142" w:type="dxa"/>
            <w:shd w:val="clear" w:color="auto" w:fill="FFFFFF"/>
          </w:tcPr>
          <w:p w14:paraId="56B02998" w14:textId="77777777" w:rsidR="0045586F" w:rsidRDefault="0045586F" w:rsidP="001243C1">
            <w:pPr>
              <w:pStyle w:val="CETBodytext"/>
              <w:rPr>
                <w:lang w:val="en-GB"/>
              </w:rPr>
            </w:pPr>
          </w:p>
        </w:tc>
      </w:tr>
      <w:tr w:rsidR="0045586F" w:rsidRPr="00B57B36" w14:paraId="6BA08F6D" w14:textId="3F38A36E" w:rsidTr="0045586F">
        <w:tc>
          <w:tcPr>
            <w:tcW w:w="535" w:type="dxa"/>
            <w:shd w:val="clear" w:color="auto" w:fill="FFFFFF"/>
          </w:tcPr>
          <w:p w14:paraId="59B20ED0" w14:textId="19775B58" w:rsidR="0045586F" w:rsidRPr="00B57B36" w:rsidRDefault="0045586F" w:rsidP="001243C1">
            <w:pPr>
              <w:pStyle w:val="CETBodytext"/>
              <w:rPr>
                <w:lang w:val="en-GB"/>
              </w:rPr>
            </w:pPr>
            <w:r>
              <w:rPr>
                <w:lang w:val="en-GB"/>
              </w:rPr>
              <w:t xml:space="preserve">3 </w:t>
            </w:r>
          </w:p>
        </w:tc>
        <w:tc>
          <w:tcPr>
            <w:tcW w:w="2584" w:type="dxa"/>
            <w:shd w:val="clear" w:color="auto" w:fill="FFFFFF"/>
          </w:tcPr>
          <w:p w14:paraId="2FF85299" w14:textId="50285429" w:rsidR="0045586F" w:rsidRPr="00B57B36" w:rsidRDefault="0045586F" w:rsidP="001243C1">
            <w:pPr>
              <w:pStyle w:val="CETBodytext"/>
              <w:rPr>
                <w:lang w:val="en-GB"/>
              </w:rPr>
            </w:pPr>
            <w:r>
              <w:rPr>
                <w:lang w:val="en-GB"/>
              </w:rPr>
              <w:t>Flammable liquids</w:t>
            </w:r>
          </w:p>
        </w:tc>
        <w:tc>
          <w:tcPr>
            <w:tcW w:w="196" w:type="dxa"/>
            <w:shd w:val="clear" w:color="auto" w:fill="FFFFFF"/>
          </w:tcPr>
          <w:p w14:paraId="62E29C21" w14:textId="77777777" w:rsidR="0045586F" w:rsidRDefault="0045586F" w:rsidP="001243C1">
            <w:pPr>
              <w:pStyle w:val="CETBodytext"/>
              <w:rPr>
                <w:lang w:val="en-GB"/>
              </w:rPr>
            </w:pPr>
          </w:p>
        </w:tc>
        <w:tc>
          <w:tcPr>
            <w:tcW w:w="5190" w:type="dxa"/>
            <w:shd w:val="clear" w:color="auto" w:fill="FFFFFF"/>
          </w:tcPr>
          <w:p w14:paraId="140A8F62" w14:textId="67592B64" w:rsidR="0045586F" w:rsidRPr="00B57B36" w:rsidRDefault="0045586F" w:rsidP="001243C1">
            <w:pPr>
              <w:pStyle w:val="CETBodytext"/>
              <w:rPr>
                <w:lang w:val="en-GB"/>
              </w:rPr>
            </w:pPr>
            <w:r>
              <w:rPr>
                <w:lang w:val="en-GB"/>
              </w:rPr>
              <w:t>Physical state</w:t>
            </w:r>
          </w:p>
        </w:tc>
        <w:tc>
          <w:tcPr>
            <w:tcW w:w="142" w:type="dxa"/>
            <w:shd w:val="clear" w:color="auto" w:fill="FFFFFF"/>
          </w:tcPr>
          <w:p w14:paraId="7AE28C6C" w14:textId="77777777" w:rsidR="0045586F" w:rsidRDefault="0045586F" w:rsidP="001243C1">
            <w:pPr>
              <w:pStyle w:val="CETBodytext"/>
              <w:rPr>
                <w:lang w:val="en-GB"/>
              </w:rPr>
            </w:pPr>
          </w:p>
        </w:tc>
      </w:tr>
      <w:tr w:rsidR="0045586F" w:rsidRPr="00B57B36" w14:paraId="4102B0FD" w14:textId="603206CA" w:rsidTr="0045586F">
        <w:tc>
          <w:tcPr>
            <w:tcW w:w="535" w:type="dxa"/>
            <w:shd w:val="clear" w:color="auto" w:fill="FFFFFF"/>
          </w:tcPr>
          <w:p w14:paraId="2F188909" w14:textId="5EC1665C" w:rsidR="0045586F" w:rsidRPr="00B57B36" w:rsidRDefault="0045586F" w:rsidP="001243C1">
            <w:pPr>
              <w:pStyle w:val="CETBodytext"/>
              <w:rPr>
                <w:lang w:val="en-GB"/>
              </w:rPr>
            </w:pPr>
            <w:r>
              <w:rPr>
                <w:lang w:val="en-GB"/>
              </w:rPr>
              <w:t xml:space="preserve">4.1 </w:t>
            </w:r>
          </w:p>
        </w:tc>
        <w:tc>
          <w:tcPr>
            <w:tcW w:w="2584" w:type="dxa"/>
            <w:shd w:val="clear" w:color="auto" w:fill="FFFFFF"/>
          </w:tcPr>
          <w:p w14:paraId="49DC55F0" w14:textId="51CEC395" w:rsidR="0045586F" w:rsidRPr="00B57B36" w:rsidRDefault="0045586F" w:rsidP="001243C1">
            <w:pPr>
              <w:pStyle w:val="CETBodytext"/>
              <w:rPr>
                <w:lang w:val="en-GB"/>
              </w:rPr>
            </w:pPr>
            <w:r>
              <w:rPr>
                <w:lang w:val="en-GB"/>
              </w:rPr>
              <w:t>Flammable solids</w:t>
            </w:r>
          </w:p>
        </w:tc>
        <w:tc>
          <w:tcPr>
            <w:tcW w:w="196" w:type="dxa"/>
            <w:shd w:val="clear" w:color="auto" w:fill="FFFFFF"/>
          </w:tcPr>
          <w:p w14:paraId="6B3F61C7" w14:textId="77777777" w:rsidR="0045586F" w:rsidRDefault="0045586F" w:rsidP="001243C1">
            <w:pPr>
              <w:pStyle w:val="CETBodytext"/>
              <w:rPr>
                <w:lang w:val="en-GB"/>
              </w:rPr>
            </w:pPr>
          </w:p>
        </w:tc>
        <w:tc>
          <w:tcPr>
            <w:tcW w:w="5190" w:type="dxa"/>
            <w:shd w:val="clear" w:color="auto" w:fill="FFFFFF"/>
          </w:tcPr>
          <w:p w14:paraId="2F0989B5" w14:textId="2A8C810C" w:rsidR="0045586F" w:rsidRPr="00B57B36" w:rsidRDefault="0045586F" w:rsidP="001243C1">
            <w:pPr>
              <w:pStyle w:val="CETBodytext"/>
              <w:rPr>
                <w:lang w:val="en-GB"/>
              </w:rPr>
            </w:pPr>
            <w:r>
              <w:rPr>
                <w:lang w:val="en-GB"/>
              </w:rPr>
              <w:t>No cut-off limits</w:t>
            </w:r>
          </w:p>
        </w:tc>
        <w:tc>
          <w:tcPr>
            <w:tcW w:w="142" w:type="dxa"/>
            <w:shd w:val="clear" w:color="auto" w:fill="FFFFFF"/>
          </w:tcPr>
          <w:p w14:paraId="7A3B6173" w14:textId="77777777" w:rsidR="0045586F" w:rsidRDefault="0045586F" w:rsidP="001243C1">
            <w:pPr>
              <w:pStyle w:val="CETBodytext"/>
              <w:rPr>
                <w:lang w:val="en-GB"/>
              </w:rPr>
            </w:pPr>
          </w:p>
        </w:tc>
      </w:tr>
      <w:tr w:rsidR="0045586F" w:rsidRPr="00B57B36" w14:paraId="2A738CB1" w14:textId="53167276" w:rsidTr="0045586F">
        <w:tc>
          <w:tcPr>
            <w:tcW w:w="535" w:type="dxa"/>
            <w:shd w:val="clear" w:color="auto" w:fill="FFFFFF"/>
          </w:tcPr>
          <w:p w14:paraId="1E01724C" w14:textId="0FBA3D0C" w:rsidR="0045586F" w:rsidRPr="00B57B36" w:rsidRDefault="0045586F" w:rsidP="001243C1">
            <w:pPr>
              <w:pStyle w:val="CETBodytext"/>
              <w:rPr>
                <w:lang w:val="en-GB"/>
              </w:rPr>
            </w:pPr>
            <w:r>
              <w:rPr>
                <w:lang w:val="en-GB"/>
              </w:rPr>
              <w:t>4.1</w:t>
            </w:r>
          </w:p>
        </w:tc>
        <w:tc>
          <w:tcPr>
            <w:tcW w:w="2584" w:type="dxa"/>
            <w:shd w:val="clear" w:color="auto" w:fill="FFFFFF"/>
          </w:tcPr>
          <w:p w14:paraId="5ADD6B50" w14:textId="4FBDA55C" w:rsidR="0045586F" w:rsidRPr="00B57B36" w:rsidRDefault="0045586F" w:rsidP="001243C1">
            <w:pPr>
              <w:pStyle w:val="CETBodytext"/>
              <w:rPr>
                <w:lang w:val="en-GB"/>
              </w:rPr>
            </w:pPr>
            <w:r>
              <w:rPr>
                <w:lang w:val="en-GB"/>
              </w:rPr>
              <w:t>Self-reactive substances</w:t>
            </w:r>
          </w:p>
        </w:tc>
        <w:tc>
          <w:tcPr>
            <w:tcW w:w="196" w:type="dxa"/>
            <w:shd w:val="clear" w:color="auto" w:fill="FFFFFF"/>
          </w:tcPr>
          <w:p w14:paraId="31EFBBAF" w14:textId="77777777" w:rsidR="0045586F" w:rsidRDefault="0045586F" w:rsidP="001243C1">
            <w:pPr>
              <w:pStyle w:val="CETBodytext"/>
              <w:rPr>
                <w:lang w:val="en-GB"/>
              </w:rPr>
            </w:pPr>
          </w:p>
        </w:tc>
        <w:tc>
          <w:tcPr>
            <w:tcW w:w="5190" w:type="dxa"/>
            <w:shd w:val="clear" w:color="auto" w:fill="FFFFFF"/>
          </w:tcPr>
          <w:p w14:paraId="48D0792C" w14:textId="6F61949D" w:rsidR="0045586F" w:rsidRPr="00B57B36" w:rsidRDefault="0045586F" w:rsidP="001243C1">
            <w:pPr>
              <w:pStyle w:val="CETBodytext"/>
              <w:rPr>
                <w:lang w:val="en-GB"/>
              </w:rPr>
            </w:pPr>
            <w:r>
              <w:rPr>
                <w:lang w:val="en-GB"/>
              </w:rPr>
              <w:t xml:space="preserve">Not classified as </w:t>
            </w:r>
            <w:r w:rsidR="00BE7D1A">
              <w:rPr>
                <w:lang w:val="en-GB"/>
              </w:rPr>
              <w:t>s</w:t>
            </w:r>
            <w:r>
              <w:rPr>
                <w:lang w:val="en-GB"/>
              </w:rPr>
              <w:t xml:space="preserve">uch if a substance is an explosive substance, an oxidizing substance or an organic peroxide, or </w:t>
            </w:r>
            <w:r w:rsidR="00BE7D1A">
              <w:rPr>
                <w:lang w:val="en-GB"/>
              </w:rPr>
              <w:t xml:space="preserve">if it </w:t>
            </w:r>
            <w:r>
              <w:rPr>
                <w:lang w:val="en-GB"/>
              </w:rPr>
              <w:t xml:space="preserve">has a heat of decomposition below 300 J/g or </w:t>
            </w:r>
            <w:r w:rsidR="00BE7D1A">
              <w:rPr>
                <w:lang w:val="en-GB"/>
              </w:rPr>
              <w:t xml:space="preserve">if it </w:t>
            </w:r>
            <w:r>
              <w:rPr>
                <w:lang w:val="en-GB"/>
              </w:rPr>
              <w:t xml:space="preserve">has a self-accelerating decomposition temperature </w:t>
            </w:r>
            <w:r w:rsidR="00BE7D1A">
              <w:rPr>
                <w:lang w:val="en-GB"/>
              </w:rPr>
              <w:t xml:space="preserve">(SADT) </w:t>
            </w:r>
            <w:r>
              <w:rPr>
                <w:lang w:val="en-GB"/>
              </w:rPr>
              <w:t>above 75 °C</w:t>
            </w:r>
          </w:p>
        </w:tc>
        <w:tc>
          <w:tcPr>
            <w:tcW w:w="142" w:type="dxa"/>
            <w:shd w:val="clear" w:color="auto" w:fill="FFFFFF"/>
          </w:tcPr>
          <w:p w14:paraId="1F31F21C" w14:textId="77777777" w:rsidR="0045586F" w:rsidRDefault="0045586F" w:rsidP="001243C1">
            <w:pPr>
              <w:pStyle w:val="CETBodytext"/>
              <w:rPr>
                <w:lang w:val="en-GB"/>
              </w:rPr>
            </w:pPr>
          </w:p>
        </w:tc>
      </w:tr>
      <w:tr w:rsidR="0045586F" w:rsidRPr="00B57B36" w14:paraId="2513BBE0" w14:textId="5A21DC76" w:rsidTr="0045586F">
        <w:tc>
          <w:tcPr>
            <w:tcW w:w="535" w:type="dxa"/>
            <w:shd w:val="clear" w:color="auto" w:fill="FFFFFF"/>
          </w:tcPr>
          <w:p w14:paraId="66B25A4C" w14:textId="1721591F" w:rsidR="0045586F" w:rsidRPr="00B57B36" w:rsidRDefault="0045586F" w:rsidP="001243C1">
            <w:pPr>
              <w:pStyle w:val="CETBodytext"/>
              <w:rPr>
                <w:lang w:val="en-GB"/>
              </w:rPr>
            </w:pPr>
            <w:r>
              <w:rPr>
                <w:lang w:val="en-GB"/>
              </w:rPr>
              <w:t>4.1</w:t>
            </w:r>
          </w:p>
        </w:tc>
        <w:tc>
          <w:tcPr>
            <w:tcW w:w="2584" w:type="dxa"/>
            <w:shd w:val="clear" w:color="auto" w:fill="FFFFFF"/>
          </w:tcPr>
          <w:p w14:paraId="60CAF166" w14:textId="5E4BD227" w:rsidR="0045586F" w:rsidRPr="00B57B36" w:rsidRDefault="0045586F" w:rsidP="001243C1">
            <w:pPr>
              <w:pStyle w:val="CETBodytext"/>
              <w:rPr>
                <w:lang w:val="en-GB"/>
              </w:rPr>
            </w:pPr>
            <w:r>
              <w:rPr>
                <w:lang w:val="en-GB"/>
              </w:rPr>
              <w:t>Solid desensitized explosives</w:t>
            </w:r>
          </w:p>
        </w:tc>
        <w:tc>
          <w:tcPr>
            <w:tcW w:w="196" w:type="dxa"/>
            <w:shd w:val="clear" w:color="auto" w:fill="FFFFFF"/>
          </w:tcPr>
          <w:p w14:paraId="78A399A1" w14:textId="77777777" w:rsidR="0045586F" w:rsidRDefault="0045586F" w:rsidP="001243C1">
            <w:pPr>
              <w:pStyle w:val="CETBodytext"/>
              <w:rPr>
                <w:lang w:val="en-GB"/>
              </w:rPr>
            </w:pPr>
          </w:p>
        </w:tc>
        <w:tc>
          <w:tcPr>
            <w:tcW w:w="5190" w:type="dxa"/>
            <w:shd w:val="clear" w:color="auto" w:fill="FFFFFF"/>
          </w:tcPr>
          <w:p w14:paraId="0CAEC5DF" w14:textId="54FFE93D" w:rsidR="0045586F" w:rsidRPr="00B57B36" w:rsidRDefault="0045586F" w:rsidP="001243C1">
            <w:pPr>
              <w:pStyle w:val="CETBodytext"/>
              <w:rPr>
                <w:lang w:val="en-GB"/>
              </w:rPr>
            </w:pPr>
            <w:r>
              <w:rPr>
                <w:lang w:val="en-GB"/>
              </w:rPr>
              <w:t>No criteria</w:t>
            </w:r>
          </w:p>
        </w:tc>
        <w:tc>
          <w:tcPr>
            <w:tcW w:w="142" w:type="dxa"/>
            <w:shd w:val="clear" w:color="auto" w:fill="FFFFFF"/>
          </w:tcPr>
          <w:p w14:paraId="60136EDC" w14:textId="77777777" w:rsidR="0045586F" w:rsidRDefault="0045586F" w:rsidP="001243C1">
            <w:pPr>
              <w:pStyle w:val="CETBodytext"/>
              <w:rPr>
                <w:lang w:val="en-GB"/>
              </w:rPr>
            </w:pPr>
          </w:p>
        </w:tc>
      </w:tr>
      <w:tr w:rsidR="0045586F" w:rsidRPr="00B57B36" w14:paraId="705059F6" w14:textId="6490DF83" w:rsidTr="0045586F">
        <w:tc>
          <w:tcPr>
            <w:tcW w:w="535" w:type="dxa"/>
            <w:shd w:val="clear" w:color="auto" w:fill="FFFFFF"/>
          </w:tcPr>
          <w:p w14:paraId="1042EFD0" w14:textId="4F2BF244" w:rsidR="0045586F" w:rsidRPr="00B57B36" w:rsidRDefault="0045586F" w:rsidP="001243C1">
            <w:pPr>
              <w:pStyle w:val="CETBodytext"/>
              <w:rPr>
                <w:lang w:val="en-GB"/>
              </w:rPr>
            </w:pPr>
            <w:r>
              <w:rPr>
                <w:lang w:val="en-GB"/>
              </w:rPr>
              <w:t>4.1</w:t>
            </w:r>
          </w:p>
        </w:tc>
        <w:tc>
          <w:tcPr>
            <w:tcW w:w="2584" w:type="dxa"/>
            <w:shd w:val="clear" w:color="auto" w:fill="FFFFFF"/>
          </w:tcPr>
          <w:p w14:paraId="4145DB7B" w14:textId="2B77EAAC" w:rsidR="0045586F" w:rsidRPr="00B57B36" w:rsidRDefault="0045586F" w:rsidP="001243C1">
            <w:pPr>
              <w:pStyle w:val="CETBodytext"/>
              <w:rPr>
                <w:lang w:val="en-GB"/>
              </w:rPr>
            </w:pPr>
            <w:r>
              <w:rPr>
                <w:lang w:val="en-GB"/>
              </w:rPr>
              <w:t>Polymerizing substances</w:t>
            </w:r>
          </w:p>
        </w:tc>
        <w:tc>
          <w:tcPr>
            <w:tcW w:w="196" w:type="dxa"/>
            <w:shd w:val="clear" w:color="auto" w:fill="FFFFFF"/>
          </w:tcPr>
          <w:p w14:paraId="2244D39E" w14:textId="77777777" w:rsidR="0045586F" w:rsidRDefault="0045586F" w:rsidP="001243C1">
            <w:pPr>
              <w:pStyle w:val="CETBodytext"/>
              <w:rPr>
                <w:lang w:val="en-GB"/>
              </w:rPr>
            </w:pPr>
          </w:p>
        </w:tc>
        <w:tc>
          <w:tcPr>
            <w:tcW w:w="5190" w:type="dxa"/>
            <w:shd w:val="clear" w:color="auto" w:fill="FFFFFF"/>
          </w:tcPr>
          <w:p w14:paraId="1E508B0B" w14:textId="6A628064" w:rsidR="0045586F" w:rsidRPr="00B57B36" w:rsidRDefault="0045586F" w:rsidP="001243C1">
            <w:pPr>
              <w:pStyle w:val="CETBodytext"/>
              <w:rPr>
                <w:lang w:val="en-GB"/>
              </w:rPr>
            </w:pPr>
            <w:r>
              <w:rPr>
                <w:lang w:val="en-GB"/>
              </w:rPr>
              <w:t>Not classified as such if a substance has a heat of decomposition below 300 J/g or</w:t>
            </w:r>
            <w:r w:rsidR="0072690C">
              <w:rPr>
                <w:lang w:val="en-GB"/>
              </w:rPr>
              <w:t xml:space="preserve"> if it</w:t>
            </w:r>
            <w:r>
              <w:rPr>
                <w:lang w:val="en-GB"/>
              </w:rPr>
              <w:t xml:space="preserve"> has a self-accelerating polymerization temperature </w:t>
            </w:r>
            <w:r w:rsidR="00BE7D1A">
              <w:rPr>
                <w:lang w:val="en-GB"/>
              </w:rPr>
              <w:t xml:space="preserve">(SAPT) </w:t>
            </w:r>
            <w:r>
              <w:rPr>
                <w:lang w:val="en-GB"/>
              </w:rPr>
              <w:t xml:space="preserve">above 75 °C or </w:t>
            </w:r>
            <w:r w:rsidR="00D93B11">
              <w:rPr>
                <w:lang w:val="en-GB"/>
              </w:rPr>
              <w:t xml:space="preserve">if it </w:t>
            </w:r>
            <w:r>
              <w:rPr>
                <w:lang w:val="en-GB"/>
              </w:rPr>
              <w:t>meets the criteria of another class</w:t>
            </w:r>
          </w:p>
        </w:tc>
        <w:tc>
          <w:tcPr>
            <w:tcW w:w="142" w:type="dxa"/>
            <w:shd w:val="clear" w:color="auto" w:fill="FFFFFF"/>
          </w:tcPr>
          <w:p w14:paraId="24DB8C84" w14:textId="77777777" w:rsidR="0045586F" w:rsidRDefault="0045586F" w:rsidP="001243C1">
            <w:pPr>
              <w:pStyle w:val="CETBodytext"/>
              <w:rPr>
                <w:lang w:val="en-GB"/>
              </w:rPr>
            </w:pPr>
          </w:p>
        </w:tc>
      </w:tr>
      <w:tr w:rsidR="0045586F" w:rsidRPr="00B57B36" w14:paraId="668BDD50" w14:textId="15AA7B53" w:rsidTr="0045586F">
        <w:tc>
          <w:tcPr>
            <w:tcW w:w="535" w:type="dxa"/>
            <w:shd w:val="clear" w:color="auto" w:fill="FFFFFF"/>
          </w:tcPr>
          <w:p w14:paraId="67B8D5F6" w14:textId="30F11A57" w:rsidR="0045586F" w:rsidRPr="00B57B36" w:rsidRDefault="0045586F" w:rsidP="001243C1">
            <w:pPr>
              <w:pStyle w:val="CETBodytext"/>
              <w:rPr>
                <w:lang w:val="en-GB"/>
              </w:rPr>
            </w:pPr>
            <w:r>
              <w:rPr>
                <w:lang w:val="en-GB"/>
              </w:rPr>
              <w:t>4.2</w:t>
            </w:r>
          </w:p>
        </w:tc>
        <w:tc>
          <w:tcPr>
            <w:tcW w:w="2584" w:type="dxa"/>
            <w:shd w:val="clear" w:color="auto" w:fill="FFFFFF"/>
          </w:tcPr>
          <w:p w14:paraId="06F3EB0B" w14:textId="069337B1" w:rsidR="0045586F" w:rsidRPr="00B57B36" w:rsidRDefault="0045586F" w:rsidP="001243C1">
            <w:pPr>
              <w:pStyle w:val="CETBodytext"/>
              <w:rPr>
                <w:lang w:val="en-GB"/>
              </w:rPr>
            </w:pPr>
            <w:r>
              <w:rPr>
                <w:lang w:val="en-GB"/>
              </w:rPr>
              <w:t>Substances liable to spontaneous combustion</w:t>
            </w:r>
          </w:p>
        </w:tc>
        <w:tc>
          <w:tcPr>
            <w:tcW w:w="196" w:type="dxa"/>
            <w:shd w:val="clear" w:color="auto" w:fill="FFFFFF"/>
          </w:tcPr>
          <w:p w14:paraId="063EA278" w14:textId="77777777" w:rsidR="0045586F" w:rsidRDefault="0045586F" w:rsidP="001243C1">
            <w:pPr>
              <w:pStyle w:val="CETBodytext"/>
              <w:rPr>
                <w:lang w:val="en-GB"/>
              </w:rPr>
            </w:pPr>
          </w:p>
        </w:tc>
        <w:tc>
          <w:tcPr>
            <w:tcW w:w="5190" w:type="dxa"/>
            <w:shd w:val="clear" w:color="auto" w:fill="FFFFFF"/>
          </w:tcPr>
          <w:p w14:paraId="1D01DB4E" w14:textId="45772120" w:rsidR="0045586F" w:rsidRPr="00B57B36" w:rsidRDefault="0045586F" w:rsidP="001243C1">
            <w:pPr>
              <w:pStyle w:val="CETBodytext"/>
              <w:rPr>
                <w:lang w:val="en-GB"/>
              </w:rPr>
            </w:pPr>
            <w:r>
              <w:rPr>
                <w:lang w:val="en-GB"/>
              </w:rPr>
              <w:t>No cut-off limits</w:t>
            </w:r>
          </w:p>
        </w:tc>
        <w:tc>
          <w:tcPr>
            <w:tcW w:w="142" w:type="dxa"/>
            <w:shd w:val="clear" w:color="auto" w:fill="FFFFFF"/>
          </w:tcPr>
          <w:p w14:paraId="4849CAAF" w14:textId="77777777" w:rsidR="0045586F" w:rsidRDefault="0045586F" w:rsidP="001243C1">
            <w:pPr>
              <w:pStyle w:val="CETBodytext"/>
              <w:rPr>
                <w:lang w:val="en-GB"/>
              </w:rPr>
            </w:pPr>
          </w:p>
        </w:tc>
      </w:tr>
      <w:tr w:rsidR="0045586F" w:rsidRPr="00B57B36" w14:paraId="137B413A" w14:textId="51F189DE" w:rsidTr="0045586F">
        <w:tc>
          <w:tcPr>
            <w:tcW w:w="535" w:type="dxa"/>
            <w:shd w:val="clear" w:color="auto" w:fill="FFFFFF"/>
          </w:tcPr>
          <w:p w14:paraId="41CE410F" w14:textId="745411C4" w:rsidR="0045586F" w:rsidRPr="00B57B36" w:rsidRDefault="0045586F" w:rsidP="001243C1">
            <w:pPr>
              <w:pStyle w:val="CETBodytext"/>
              <w:rPr>
                <w:lang w:val="en-GB"/>
              </w:rPr>
            </w:pPr>
            <w:r>
              <w:rPr>
                <w:lang w:val="en-GB"/>
              </w:rPr>
              <w:t>4.3</w:t>
            </w:r>
          </w:p>
        </w:tc>
        <w:tc>
          <w:tcPr>
            <w:tcW w:w="2584" w:type="dxa"/>
            <w:shd w:val="clear" w:color="auto" w:fill="FFFFFF"/>
          </w:tcPr>
          <w:p w14:paraId="4BBD6236" w14:textId="21BEDD51" w:rsidR="0045586F" w:rsidRPr="00B57B36" w:rsidRDefault="0045586F" w:rsidP="001243C1">
            <w:pPr>
              <w:pStyle w:val="CETBodytext"/>
              <w:rPr>
                <w:lang w:val="en-GB"/>
              </w:rPr>
            </w:pPr>
            <w:r>
              <w:rPr>
                <w:lang w:val="en-GB"/>
              </w:rPr>
              <w:t>Substances which in contact with water emit flammable gases</w:t>
            </w:r>
          </w:p>
        </w:tc>
        <w:tc>
          <w:tcPr>
            <w:tcW w:w="196" w:type="dxa"/>
            <w:shd w:val="clear" w:color="auto" w:fill="FFFFFF"/>
          </w:tcPr>
          <w:p w14:paraId="04BCF750" w14:textId="77777777" w:rsidR="0045586F" w:rsidRDefault="0045586F" w:rsidP="001243C1">
            <w:pPr>
              <w:pStyle w:val="CETBodytext"/>
              <w:rPr>
                <w:lang w:val="en-GB"/>
              </w:rPr>
            </w:pPr>
          </w:p>
        </w:tc>
        <w:tc>
          <w:tcPr>
            <w:tcW w:w="5190" w:type="dxa"/>
            <w:shd w:val="clear" w:color="auto" w:fill="FFFFFF"/>
          </w:tcPr>
          <w:p w14:paraId="23D5AACB" w14:textId="2BEB80E7" w:rsidR="0045586F" w:rsidRPr="00B57B36" w:rsidRDefault="0045586F" w:rsidP="001243C1">
            <w:pPr>
              <w:pStyle w:val="CETBodytext"/>
              <w:rPr>
                <w:lang w:val="en-GB"/>
              </w:rPr>
            </w:pPr>
            <w:r>
              <w:rPr>
                <w:lang w:val="en-GB"/>
              </w:rPr>
              <w:t>No cut-off limits</w:t>
            </w:r>
          </w:p>
        </w:tc>
        <w:tc>
          <w:tcPr>
            <w:tcW w:w="142" w:type="dxa"/>
            <w:shd w:val="clear" w:color="auto" w:fill="FFFFFF"/>
          </w:tcPr>
          <w:p w14:paraId="3A42F1E0" w14:textId="77777777" w:rsidR="0045586F" w:rsidRDefault="0045586F" w:rsidP="001243C1">
            <w:pPr>
              <w:pStyle w:val="CETBodytext"/>
              <w:rPr>
                <w:lang w:val="en-GB"/>
              </w:rPr>
            </w:pPr>
          </w:p>
        </w:tc>
      </w:tr>
      <w:tr w:rsidR="0045586F" w:rsidRPr="00B57B36" w14:paraId="5BF9F187" w14:textId="3545EB41" w:rsidTr="0045586F">
        <w:tc>
          <w:tcPr>
            <w:tcW w:w="535" w:type="dxa"/>
            <w:shd w:val="clear" w:color="auto" w:fill="FFFFFF"/>
          </w:tcPr>
          <w:p w14:paraId="24FB5EAC" w14:textId="29D22A77" w:rsidR="0045586F" w:rsidRDefault="0045586F" w:rsidP="001243C1">
            <w:pPr>
              <w:pStyle w:val="CETBodytext"/>
              <w:rPr>
                <w:lang w:val="en-GB"/>
              </w:rPr>
            </w:pPr>
            <w:r>
              <w:rPr>
                <w:lang w:val="en-GB"/>
              </w:rPr>
              <w:t>5.1</w:t>
            </w:r>
          </w:p>
        </w:tc>
        <w:tc>
          <w:tcPr>
            <w:tcW w:w="2584" w:type="dxa"/>
            <w:shd w:val="clear" w:color="auto" w:fill="FFFFFF"/>
          </w:tcPr>
          <w:p w14:paraId="5A6BABF3" w14:textId="12E7F8B7" w:rsidR="0045586F" w:rsidRDefault="0045586F" w:rsidP="001243C1">
            <w:pPr>
              <w:pStyle w:val="CETBodytext"/>
              <w:rPr>
                <w:lang w:val="en-GB"/>
              </w:rPr>
            </w:pPr>
            <w:r>
              <w:rPr>
                <w:lang w:val="en-GB"/>
              </w:rPr>
              <w:t>Oxidizing substances</w:t>
            </w:r>
          </w:p>
        </w:tc>
        <w:tc>
          <w:tcPr>
            <w:tcW w:w="196" w:type="dxa"/>
            <w:shd w:val="clear" w:color="auto" w:fill="FFFFFF"/>
          </w:tcPr>
          <w:p w14:paraId="1F34D2DA" w14:textId="77777777" w:rsidR="0045586F" w:rsidRDefault="0045586F" w:rsidP="001243C1">
            <w:pPr>
              <w:pStyle w:val="CETBodytext"/>
              <w:rPr>
                <w:lang w:val="en-GB"/>
              </w:rPr>
            </w:pPr>
          </w:p>
        </w:tc>
        <w:tc>
          <w:tcPr>
            <w:tcW w:w="5190" w:type="dxa"/>
            <w:shd w:val="clear" w:color="auto" w:fill="FFFFFF"/>
          </w:tcPr>
          <w:p w14:paraId="54CEBFE2" w14:textId="60685FEC" w:rsidR="0045586F" w:rsidRDefault="0045586F" w:rsidP="001243C1">
            <w:pPr>
              <w:pStyle w:val="CETBodytext"/>
              <w:rPr>
                <w:lang w:val="en-GB"/>
              </w:rPr>
            </w:pPr>
            <w:r>
              <w:rPr>
                <w:lang w:val="en-GB"/>
              </w:rPr>
              <w:t>No cut-off limits</w:t>
            </w:r>
          </w:p>
        </w:tc>
        <w:tc>
          <w:tcPr>
            <w:tcW w:w="142" w:type="dxa"/>
            <w:shd w:val="clear" w:color="auto" w:fill="FFFFFF"/>
          </w:tcPr>
          <w:p w14:paraId="565EDE06" w14:textId="77777777" w:rsidR="0045586F" w:rsidRDefault="0045586F" w:rsidP="001243C1">
            <w:pPr>
              <w:pStyle w:val="CETBodytext"/>
              <w:rPr>
                <w:lang w:val="en-GB"/>
              </w:rPr>
            </w:pPr>
          </w:p>
        </w:tc>
      </w:tr>
      <w:tr w:rsidR="0045586F" w:rsidRPr="00B57B36" w14:paraId="1782010B" w14:textId="10787BFA" w:rsidTr="0045586F">
        <w:tc>
          <w:tcPr>
            <w:tcW w:w="535" w:type="dxa"/>
            <w:shd w:val="clear" w:color="auto" w:fill="FFFFFF"/>
          </w:tcPr>
          <w:p w14:paraId="486ED402" w14:textId="30C558EB" w:rsidR="0045586F" w:rsidRDefault="0045586F" w:rsidP="001243C1">
            <w:pPr>
              <w:pStyle w:val="CETBodytext"/>
              <w:rPr>
                <w:lang w:val="en-GB"/>
              </w:rPr>
            </w:pPr>
            <w:r>
              <w:rPr>
                <w:lang w:val="en-GB"/>
              </w:rPr>
              <w:t>5.2</w:t>
            </w:r>
          </w:p>
        </w:tc>
        <w:tc>
          <w:tcPr>
            <w:tcW w:w="2584" w:type="dxa"/>
            <w:shd w:val="clear" w:color="auto" w:fill="FFFFFF"/>
          </w:tcPr>
          <w:p w14:paraId="5EC83341" w14:textId="2F6A9E50" w:rsidR="0045586F" w:rsidRDefault="0045586F" w:rsidP="001243C1">
            <w:pPr>
              <w:pStyle w:val="CETBodytext"/>
              <w:rPr>
                <w:lang w:val="en-GB"/>
              </w:rPr>
            </w:pPr>
            <w:r>
              <w:rPr>
                <w:lang w:val="en-GB"/>
              </w:rPr>
              <w:t>Organic peroxides</w:t>
            </w:r>
          </w:p>
        </w:tc>
        <w:tc>
          <w:tcPr>
            <w:tcW w:w="196" w:type="dxa"/>
            <w:shd w:val="clear" w:color="auto" w:fill="FFFFFF"/>
          </w:tcPr>
          <w:p w14:paraId="67C495DD" w14:textId="77777777" w:rsidR="0045586F" w:rsidRDefault="0045586F" w:rsidP="001243C1">
            <w:pPr>
              <w:pStyle w:val="CETBodytext"/>
              <w:rPr>
                <w:lang w:val="en-GB"/>
              </w:rPr>
            </w:pPr>
          </w:p>
        </w:tc>
        <w:tc>
          <w:tcPr>
            <w:tcW w:w="5190" w:type="dxa"/>
            <w:shd w:val="clear" w:color="auto" w:fill="FFFFFF"/>
          </w:tcPr>
          <w:p w14:paraId="1EFBB65C" w14:textId="5FE4612E" w:rsidR="0045586F" w:rsidRDefault="00D93B11" w:rsidP="00D93B11">
            <w:pPr>
              <w:pStyle w:val="CETBodytext"/>
              <w:rPr>
                <w:lang w:val="en-GB"/>
              </w:rPr>
            </w:pPr>
            <w:r>
              <w:rPr>
                <w:lang w:val="en-GB"/>
              </w:rPr>
              <w:t>Only relevant for substances with the R-O-O-R’ structure</w:t>
            </w:r>
            <w:r w:rsidR="0072690C">
              <w:rPr>
                <w:lang w:val="en-GB"/>
              </w:rPr>
              <w:t>,</w:t>
            </w:r>
            <w:r>
              <w:rPr>
                <w:lang w:val="en-GB"/>
              </w:rPr>
              <w:t xml:space="preserve"> which are n</w:t>
            </w:r>
            <w:r w:rsidR="0045586F">
              <w:rPr>
                <w:lang w:val="en-GB"/>
              </w:rPr>
              <w:t xml:space="preserve">ot classified if they contain </w:t>
            </w:r>
            <w:r>
              <w:rPr>
                <w:lang w:val="en-GB"/>
              </w:rPr>
              <w:t>&lt;1</w:t>
            </w:r>
            <w:r w:rsidR="0045586F">
              <w:rPr>
                <w:lang w:val="en-GB"/>
              </w:rPr>
              <w:t xml:space="preserve">.0% available oxygen from the organic peroxide and </w:t>
            </w:r>
            <w:r>
              <w:rPr>
                <w:rFonts w:cs="Arial"/>
                <w:lang w:val="en-GB"/>
              </w:rPr>
              <w:t>≤</w:t>
            </w:r>
            <w:r w:rsidR="0045586F">
              <w:rPr>
                <w:lang w:val="en-GB"/>
              </w:rPr>
              <w:t xml:space="preserve">1.0% hydrogen peroxide or if they contain </w:t>
            </w:r>
            <w:r>
              <w:rPr>
                <w:lang w:val="en-GB"/>
              </w:rPr>
              <w:t>&lt;</w:t>
            </w:r>
            <w:r w:rsidR="0045586F">
              <w:rPr>
                <w:lang w:val="en-GB"/>
              </w:rPr>
              <w:t xml:space="preserve">0.5% available oxygen from the organic peroxide and </w:t>
            </w:r>
            <w:r>
              <w:rPr>
                <w:lang w:val="en-GB"/>
              </w:rPr>
              <w:t>&gt;</w:t>
            </w:r>
            <w:r w:rsidR="0045586F">
              <w:rPr>
                <w:lang w:val="en-GB"/>
              </w:rPr>
              <w:t xml:space="preserve">1.0% but </w:t>
            </w:r>
            <w:r>
              <w:rPr>
                <w:rFonts w:cs="Arial"/>
                <w:lang w:val="en-GB"/>
              </w:rPr>
              <w:t>≤</w:t>
            </w:r>
            <w:r w:rsidR="0045586F">
              <w:rPr>
                <w:lang w:val="en-GB"/>
              </w:rPr>
              <w:t xml:space="preserve">7.0% hydrogen peroxide </w:t>
            </w:r>
          </w:p>
        </w:tc>
        <w:tc>
          <w:tcPr>
            <w:tcW w:w="142" w:type="dxa"/>
            <w:shd w:val="clear" w:color="auto" w:fill="FFFFFF"/>
          </w:tcPr>
          <w:p w14:paraId="7938D998" w14:textId="77777777" w:rsidR="0045586F" w:rsidRDefault="0045586F" w:rsidP="001243C1">
            <w:pPr>
              <w:pStyle w:val="CETBodytext"/>
              <w:rPr>
                <w:lang w:val="en-GB"/>
              </w:rPr>
            </w:pPr>
          </w:p>
        </w:tc>
      </w:tr>
      <w:tr w:rsidR="0045586F" w:rsidRPr="00B57B36" w14:paraId="2AC22BB7" w14:textId="0498246D" w:rsidTr="0045586F">
        <w:tc>
          <w:tcPr>
            <w:tcW w:w="535" w:type="dxa"/>
            <w:shd w:val="clear" w:color="auto" w:fill="FFFFFF"/>
          </w:tcPr>
          <w:p w14:paraId="5DA5AEF5" w14:textId="08C6A3E2" w:rsidR="0045586F" w:rsidRPr="00B57B36" w:rsidRDefault="00E85F24" w:rsidP="001243C1">
            <w:pPr>
              <w:pStyle w:val="CETBodytext"/>
              <w:ind w:right="-1"/>
              <w:rPr>
                <w:rFonts w:cs="Arial"/>
                <w:szCs w:val="18"/>
                <w:lang w:val="en-GB"/>
              </w:rPr>
            </w:pPr>
            <w:r>
              <w:rPr>
                <w:rFonts w:cs="Arial"/>
                <w:szCs w:val="18"/>
                <w:lang w:val="en-GB"/>
              </w:rPr>
              <w:t>8</w:t>
            </w:r>
          </w:p>
        </w:tc>
        <w:tc>
          <w:tcPr>
            <w:tcW w:w="2584" w:type="dxa"/>
            <w:shd w:val="clear" w:color="auto" w:fill="FFFFFF"/>
          </w:tcPr>
          <w:p w14:paraId="1B5D696F" w14:textId="044D33E6" w:rsidR="0045586F" w:rsidRPr="00B57B36" w:rsidRDefault="00E85F24" w:rsidP="001243C1">
            <w:pPr>
              <w:pStyle w:val="CETBodytext"/>
              <w:ind w:right="-1"/>
              <w:rPr>
                <w:rFonts w:cs="Arial"/>
                <w:szCs w:val="18"/>
                <w:lang w:val="en-GB"/>
              </w:rPr>
            </w:pPr>
            <w:r>
              <w:rPr>
                <w:rFonts w:cs="Arial"/>
                <w:szCs w:val="18"/>
                <w:lang w:val="en-GB"/>
              </w:rPr>
              <w:t>Corrosive substances</w:t>
            </w:r>
          </w:p>
        </w:tc>
        <w:tc>
          <w:tcPr>
            <w:tcW w:w="196" w:type="dxa"/>
            <w:shd w:val="clear" w:color="auto" w:fill="FFFFFF"/>
          </w:tcPr>
          <w:p w14:paraId="3541B8BB" w14:textId="45F0F8B2" w:rsidR="0045586F" w:rsidRPr="00B57B36" w:rsidRDefault="0045586F" w:rsidP="001243C1">
            <w:pPr>
              <w:pStyle w:val="CETBodytext"/>
              <w:ind w:right="-1"/>
              <w:rPr>
                <w:rFonts w:cs="Arial"/>
                <w:szCs w:val="18"/>
                <w:lang w:val="en-GB"/>
              </w:rPr>
            </w:pPr>
          </w:p>
        </w:tc>
        <w:tc>
          <w:tcPr>
            <w:tcW w:w="5190" w:type="dxa"/>
            <w:shd w:val="clear" w:color="auto" w:fill="FFFFFF"/>
          </w:tcPr>
          <w:p w14:paraId="2A347472" w14:textId="2FF8290B" w:rsidR="0045586F" w:rsidRPr="00B57B36" w:rsidRDefault="00E85F24" w:rsidP="001243C1">
            <w:pPr>
              <w:pStyle w:val="CETBodytext"/>
              <w:ind w:right="-1"/>
              <w:rPr>
                <w:rFonts w:cs="Arial"/>
                <w:szCs w:val="18"/>
                <w:lang w:val="en-GB"/>
              </w:rPr>
            </w:pPr>
            <w:r>
              <w:rPr>
                <w:lang w:val="en-GB"/>
              </w:rPr>
              <w:t>No cut-off limits</w:t>
            </w:r>
          </w:p>
        </w:tc>
        <w:tc>
          <w:tcPr>
            <w:tcW w:w="142" w:type="dxa"/>
            <w:shd w:val="clear" w:color="auto" w:fill="FFFFFF"/>
          </w:tcPr>
          <w:p w14:paraId="5BBA13C8" w14:textId="77777777" w:rsidR="0045586F" w:rsidRPr="00B57B36" w:rsidRDefault="0045586F" w:rsidP="001243C1">
            <w:pPr>
              <w:pStyle w:val="CETBodytext"/>
              <w:ind w:right="-1"/>
              <w:rPr>
                <w:rFonts w:cs="Arial"/>
                <w:szCs w:val="18"/>
                <w:lang w:val="en-GB"/>
              </w:rPr>
            </w:pPr>
          </w:p>
        </w:tc>
      </w:tr>
    </w:tbl>
    <w:p w14:paraId="4333D0FC" w14:textId="77777777" w:rsidR="00852242" w:rsidRDefault="00852242" w:rsidP="00250BA4">
      <w:pPr>
        <w:pStyle w:val="CETBodytext"/>
        <w:rPr>
          <w:lang w:val="en-GB"/>
        </w:rPr>
      </w:pPr>
    </w:p>
    <w:p w14:paraId="5C9EE89A" w14:textId="7EDD8CFC" w:rsidR="00AB6002" w:rsidRDefault="00D93B11" w:rsidP="00250BA4">
      <w:pPr>
        <w:pStyle w:val="CETBodytext"/>
        <w:rPr>
          <w:lang w:val="en-GB"/>
        </w:rPr>
      </w:pPr>
      <w:r>
        <w:rPr>
          <w:lang w:val="en-GB"/>
        </w:rPr>
        <w:t>As can be seen from this table, basic cut-off limits for classification mainly apply for self-reactive substances, polymerizing substances and organic peroxides. Other substances and substance</w:t>
      </w:r>
      <w:r w:rsidR="00BE7D1A">
        <w:rPr>
          <w:lang w:val="en-GB"/>
        </w:rPr>
        <w:t>s</w:t>
      </w:r>
      <w:r>
        <w:rPr>
          <w:lang w:val="en-GB"/>
        </w:rPr>
        <w:t xml:space="preserve"> that </w:t>
      </w:r>
      <w:r w:rsidR="005A45C0">
        <w:rPr>
          <w:lang w:val="en-GB"/>
        </w:rPr>
        <w:t>do not meet</w:t>
      </w:r>
      <w:r>
        <w:rPr>
          <w:lang w:val="en-GB"/>
        </w:rPr>
        <w:t xml:space="preserve"> these criteria</w:t>
      </w:r>
      <w:r w:rsidR="001816D7">
        <w:rPr>
          <w:lang w:val="en-GB"/>
        </w:rPr>
        <w:t xml:space="preserve"> sh</w:t>
      </w:r>
      <w:r w:rsidR="006E2B7C">
        <w:rPr>
          <w:lang w:val="en-GB"/>
        </w:rPr>
        <w:t xml:space="preserve">ould </w:t>
      </w:r>
      <w:r w:rsidR="001816D7">
        <w:rPr>
          <w:lang w:val="en-GB"/>
        </w:rPr>
        <w:t>be tested unless they meet the formal screening criteria</w:t>
      </w:r>
      <w:r w:rsidR="00BE7D1A">
        <w:rPr>
          <w:lang w:val="en-GB"/>
        </w:rPr>
        <w:t xml:space="preserve"> that are included in Appendix 6 of the </w:t>
      </w:r>
      <w:r w:rsidR="00341425">
        <w:rPr>
          <w:lang w:val="en-GB"/>
        </w:rPr>
        <w:t xml:space="preserve">UN </w:t>
      </w:r>
      <w:r w:rsidR="00BE7D1A">
        <w:rPr>
          <w:lang w:val="en-GB"/>
        </w:rPr>
        <w:t>MTC</w:t>
      </w:r>
      <w:r w:rsidR="001816D7">
        <w:rPr>
          <w:lang w:val="en-GB"/>
        </w:rPr>
        <w:t>.</w:t>
      </w:r>
    </w:p>
    <w:p w14:paraId="717A4EC5" w14:textId="145D3541" w:rsidR="00AB6002" w:rsidRDefault="00AB6002" w:rsidP="00AB6002">
      <w:pPr>
        <w:pStyle w:val="CETheadingx"/>
      </w:pPr>
      <w:r>
        <w:t>UN Manual of Tests and Criteria</w:t>
      </w:r>
    </w:p>
    <w:p w14:paraId="63708002" w14:textId="7F942F28" w:rsidR="004E66D5" w:rsidRDefault="00FE1E25" w:rsidP="00D50F0D">
      <w:pPr>
        <w:pStyle w:val="CETBodytext"/>
      </w:pPr>
      <w:r>
        <w:t>Appendix 6 of the</w:t>
      </w:r>
      <w:r w:rsidR="00341425">
        <w:t xml:space="preserve"> UN</w:t>
      </w:r>
      <w:r>
        <w:t xml:space="preserve"> MTC is </w:t>
      </w:r>
      <w:r w:rsidR="009C6BE4">
        <w:t xml:space="preserve">entirely </w:t>
      </w:r>
      <w:r>
        <w:t xml:space="preserve">dedicated to the screening of the </w:t>
      </w:r>
      <w:r w:rsidR="00CC557F">
        <w:t>hazard potential of new substance</w:t>
      </w:r>
      <w:r w:rsidR="009C6BE4">
        <w:t>s</w:t>
      </w:r>
      <w:r w:rsidR="00CC557F">
        <w:t xml:space="preserve"> prior to classification testing.</w:t>
      </w:r>
      <w:r w:rsidR="00341425">
        <w:t xml:space="preserve"> </w:t>
      </w:r>
      <w:r w:rsidR="009C6BE4">
        <w:t>The following groups of substances are identified and screening procedure</w:t>
      </w:r>
      <w:r w:rsidR="00D50F0D">
        <w:t>s</w:t>
      </w:r>
      <w:r w:rsidR="009C6BE4">
        <w:t xml:space="preserve"> are presented.</w:t>
      </w:r>
    </w:p>
    <w:p w14:paraId="37AD0296" w14:textId="77777777" w:rsidR="00D50F0D" w:rsidRDefault="00D50F0D" w:rsidP="00D50F0D">
      <w:pPr>
        <w:pStyle w:val="CETBodytext"/>
      </w:pPr>
    </w:p>
    <w:p w14:paraId="07087055" w14:textId="1C527515" w:rsidR="00212E86" w:rsidRDefault="00D50F0D" w:rsidP="00D50F0D">
      <w:pPr>
        <w:pStyle w:val="CETBodytext"/>
      </w:pPr>
      <w:r>
        <w:t>For s</w:t>
      </w:r>
      <w:r w:rsidR="009E0113">
        <w:t>ubstances which may have e</w:t>
      </w:r>
      <w:r w:rsidR="0076040B">
        <w:t>xplosive properties</w:t>
      </w:r>
      <w:r>
        <w:t>, t</w:t>
      </w:r>
      <w:r w:rsidR="00212E86">
        <w:t xml:space="preserve">he absence of potentially explosive properties can be identified on basis of three screening criteria: </w:t>
      </w:r>
    </w:p>
    <w:p w14:paraId="39D42A32" w14:textId="3DE997F8" w:rsidR="00212E86" w:rsidRDefault="00212E86" w:rsidP="00D50F0D">
      <w:pPr>
        <w:pStyle w:val="CETBodytext"/>
      </w:pPr>
      <w:r w:rsidRPr="00212E86">
        <w:t>(a</w:t>
      </w:r>
      <w:r>
        <w:t>) if no chemical groups associated with explosive properties are present, or</w:t>
      </w:r>
    </w:p>
    <w:p w14:paraId="0D2513C1" w14:textId="201FF39B" w:rsidR="00212E86" w:rsidRDefault="00212E86" w:rsidP="00D50F0D">
      <w:pPr>
        <w:pStyle w:val="CETBodytext"/>
      </w:pPr>
      <w:r>
        <w:t>(b) if the oxygen balance does not indicate the presence of explosive properties, or</w:t>
      </w:r>
    </w:p>
    <w:p w14:paraId="230172BA" w14:textId="099B0451" w:rsidR="00D01DB1" w:rsidRDefault="00212E86" w:rsidP="00D50F0D">
      <w:pPr>
        <w:pStyle w:val="CETBodytext"/>
      </w:pPr>
      <w:r>
        <w:t>(c) if the exothermic decomposition energy is below 500 J/g while the onset temperature is not above 500 °C.</w:t>
      </w:r>
    </w:p>
    <w:p w14:paraId="34F06F69" w14:textId="57E42974" w:rsidR="00D50F0D" w:rsidRDefault="00D50F0D" w:rsidP="00D50F0D">
      <w:pPr>
        <w:pStyle w:val="CETBodytext"/>
      </w:pPr>
      <w:r>
        <w:t>Detonation testing can be waived if the exothermic decomposition energy is below 800 J/g.</w:t>
      </w:r>
    </w:p>
    <w:p w14:paraId="7EA0C01C" w14:textId="5B3E6AC0" w:rsidR="00D50F0D" w:rsidRDefault="00341425" w:rsidP="00D50F0D">
      <w:pPr>
        <w:pStyle w:val="CETBodytext"/>
      </w:pPr>
      <w:r>
        <w:t>The list of chemical groups that is given as examples of groups indicating explosive properties is an excerpt from on</w:t>
      </w:r>
      <w:r w:rsidR="00C327E5">
        <w:t>e of</w:t>
      </w:r>
      <w:r>
        <w:t xml:space="preserve"> the older editions of Bretherick’s Handbook of Reactive Chemical Hazards. </w:t>
      </w:r>
    </w:p>
    <w:p w14:paraId="4E7DAC00" w14:textId="77777777" w:rsidR="00341425" w:rsidRDefault="00341425" w:rsidP="00D50F0D">
      <w:pPr>
        <w:pStyle w:val="CETBodytext"/>
      </w:pPr>
    </w:p>
    <w:p w14:paraId="1F647110" w14:textId="31939D2B" w:rsidR="009E0113" w:rsidRDefault="00D50F0D" w:rsidP="00D50F0D">
      <w:pPr>
        <w:pStyle w:val="CETBodytext"/>
      </w:pPr>
      <w:r>
        <w:lastRenderedPageBreak/>
        <w:t>For m</w:t>
      </w:r>
      <w:r w:rsidR="009E0113" w:rsidRPr="00212E86">
        <w:t>ixtures which may be f</w:t>
      </w:r>
      <w:r w:rsidR="0076040B" w:rsidRPr="00212E86">
        <w:t>lammable liquids</w:t>
      </w:r>
      <w:r>
        <w:t xml:space="preserve">, a </w:t>
      </w:r>
      <w:r w:rsidR="00212E86">
        <w:t>calculation procedure can be applied for determination of the flashpoint of known flammable liquids. However, as this method requires input of several parameters, i</w:t>
      </w:r>
      <w:r w:rsidR="00341425">
        <w:t>t</w:t>
      </w:r>
      <w:r w:rsidR="00212E86">
        <w:t xml:space="preserve"> may be faster</w:t>
      </w:r>
      <w:r w:rsidR="00341425">
        <w:t>,</w:t>
      </w:r>
      <w:r w:rsidR="00212E86">
        <w:t xml:space="preserve"> cheaper </w:t>
      </w:r>
      <w:r w:rsidR="00341425">
        <w:t xml:space="preserve">and even more reliable </w:t>
      </w:r>
      <w:r w:rsidR="00212E86">
        <w:t xml:space="preserve">to determine the flashpoint experimentally. </w:t>
      </w:r>
      <w:r w:rsidR="00D01DB1">
        <w:t xml:space="preserve">Cost and sample amount </w:t>
      </w:r>
      <w:r w:rsidR="00A55338">
        <w:t xml:space="preserve">for </w:t>
      </w:r>
      <w:r w:rsidR="00C327E5">
        <w:t xml:space="preserve">a flashpoint </w:t>
      </w:r>
      <w:r w:rsidR="00A55338">
        <w:t xml:space="preserve">test </w:t>
      </w:r>
      <w:r w:rsidR="00D01DB1">
        <w:t>are relatively low. This property is not further discussed in this paper.</w:t>
      </w:r>
    </w:p>
    <w:p w14:paraId="6162C9E2" w14:textId="77777777" w:rsidR="00D50F0D" w:rsidRPr="00212E86" w:rsidRDefault="00D50F0D" w:rsidP="00D50F0D">
      <w:pPr>
        <w:pStyle w:val="CETBodytext"/>
      </w:pPr>
    </w:p>
    <w:p w14:paraId="6B2AE8A9" w14:textId="1A84C7D3" w:rsidR="00D01DB1" w:rsidRDefault="00D50F0D" w:rsidP="00D50F0D">
      <w:pPr>
        <w:pStyle w:val="CETBodytext"/>
      </w:pPr>
      <w:r>
        <w:t>For s</w:t>
      </w:r>
      <w:r w:rsidR="009E0113">
        <w:t>ubstances which may be self-reactive substances</w:t>
      </w:r>
      <w:r>
        <w:t>, t</w:t>
      </w:r>
      <w:r w:rsidR="00D01DB1">
        <w:t xml:space="preserve">he absence of potential </w:t>
      </w:r>
      <w:r w:rsidR="00C327E5">
        <w:t xml:space="preserve">self-reactivity </w:t>
      </w:r>
      <w:r w:rsidR="00D01DB1">
        <w:t xml:space="preserve">can be identified on basis of three screening criteria: </w:t>
      </w:r>
    </w:p>
    <w:p w14:paraId="682C8976" w14:textId="1ED51686" w:rsidR="00D01DB1" w:rsidRDefault="00D01DB1" w:rsidP="00D50F0D">
      <w:pPr>
        <w:pStyle w:val="CETBodytext"/>
      </w:pPr>
      <w:r w:rsidRPr="00212E86">
        <w:t>(a</w:t>
      </w:r>
      <w:r>
        <w:t>) if no chemical groups associated with self-reactive properties are present, or</w:t>
      </w:r>
    </w:p>
    <w:p w14:paraId="0FA26DA1" w14:textId="11348120" w:rsidR="00D01DB1" w:rsidRDefault="00D01DB1" w:rsidP="00D50F0D">
      <w:pPr>
        <w:pStyle w:val="CETBodytext"/>
      </w:pPr>
      <w:r>
        <w:t>(b) if the self-accelerating decomposition temperature (SADT) is higher than 75 °C, or</w:t>
      </w:r>
    </w:p>
    <w:p w14:paraId="65547355" w14:textId="6725EFF4" w:rsidR="00D01DB1" w:rsidRDefault="00D01DB1" w:rsidP="00D50F0D">
      <w:pPr>
        <w:pStyle w:val="CETBodytext"/>
      </w:pPr>
      <w:r>
        <w:t>(c) if the exothermic decomposition energy is below 300 J/g.</w:t>
      </w:r>
    </w:p>
    <w:p w14:paraId="4E1462B2" w14:textId="2CDDBC28" w:rsidR="009E0113" w:rsidRDefault="00D01DB1" w:rsidP="00D50F0D">
      <w:pPr>
        <w:pStyle w:val="CETBodytext"/>
      </w:pPr>
      <w:r>
        <w:t>The latter two criteria are in fact the cut-off limits that are given in the classification chapter of the UN Model Regulations.</w:t>
      </w:r>
    </w:p>
    <w:p w14:paraId="66B22CEA" w14:textId="77777777" w:rsidR="00D50F0D" w:rsidRDefault="00D50F0D" w:rsidP="00D50F0D">
      <w:pPr>
        <w:pStyle w:val="CETBodytext"/>
      </w:pPr>
    </w:p>
    <w:p w14:paraId="4E3C4C3A" w14:textId="249902A0" w:rsidR="009E0113" w:rsidRDefault="00D50F0D" w:rsidP="00D50F0D">
      <w:pPr>
        <w:pStyle w:val="CETBodytext"/>
      </w:pPr>
      <w:r>
        <w:t>For s</w:t>
      </w:r>
      <w:r w:rsidR="009E0113">
        <w:t>ubstances which may be p</w:t>
      </w:r>
      <w:r w:rsidR="0076040B">
        <w:t>olymerizing substances</w:t>
      </w:r>
      <w:r>
        <w:t xml:space="preserve">, </w:t>
      </w:r>
      <w:r w:rsidR="00D01DB1">
        <w:t>straightforward criteria are given that in fact reflect th</w:t>
      </w:r>
      <w:r w:rsidR="00C327E5">
        <w:t>e</w:t>
      </w:r>
      <w:r w:rsidR="00D01DB1">
        <w:t xml:space="preserve"> typical structure of reactive monomers.</w:t>
      </w:r>
      <w:r w:rsidR="00D01DB1" w:rsidRPr="00D01DB1">
        <w:t xml:space="preserve"> </w:t>
      </w:r>
      <w:r w:rsidR="00D01DB1">
        <w:t>This is not further discussed in this paper.</w:t>
      </w:r>
    </w:p>
    <w:p w14:paraId="14E21F41" w14:textId="77777777" w:rsidR="00D50F0D" w:rsidRDefault="00D50F0D" w:rsidP="00D50F0D">
      <w:pPr>
        <w:pStyle w:val="CETBodytext"/>
      </w:pPr>
    </w:p>
    <w:p w14:paraId="03F29575" w14:textId="59370E84" w:rsidR="00D01DB1" w:rsidRDefault="00D01DB1" w:rsidP="00D50F0D">
      <w:pPr>
        <w:pStyle w:val="CETBodytext"/>
      </w:pPr>
      <w:r>
        <w:t xml:space="preserve">Potentially pyrophoric properties may be determined on basis of experience during production and handling, i.e. such </w:t>
      </w:r>
      <w:r w:rsidR="00A55338">
        <w:t xml:space="preserve">substances </w:t>
      </w:r>
      <w:r>
        <w:t xml:space="preserve">will most likely already exhibit </w:t>
      </w:r>
      <w:r w:rsidR="00A55338">
        <w:t xml:space="preserve">those </w:t>
      </w:r>
      <w:r>
        <w:t>properties during handling in the R&amp;D phase.</w:t>
      </w:r>
      <w:r w:rsidR="00D50F0D">
        <w:t xml:space="preserve"> </w:t>
      </w:r>
      <w:r>
        <w:t xml:space="preserve">Potentially self-heating properties may be determined on basis of applicable screening tests, i.e. the Grewer oven test or the Gibson-Harper-Rogers test. Thus, such properties cannot be screened on a theoretical basis but the potential presence should be determined on the basis </w:t>
      </w:r>
      <w:r w:rsidR="00D50F0D">
        <w:t xml:space="preserve">of </w:t>
      </w:r>
      <w:r>
        <w:t>testing. The advantage of the s</w:t>
      </w:r>
      <w:r w:rsidR="00B73843">
        <w:t>c</w:t>
      </w:r>
      <w:r>
        <w:t xml:space="preserve">reening test is that it requires much less test substance than </w:t>
      </w:r>
      <w:r w:rsidR="00B73843">
        <w:t>UN test N.4</w:t>
      </w:r>
      <w:r w:rsidR="00C327E5">
        <w:t>,</w:t>
      </w:r>
      <w:r w:rsidR="00B73843">
        <w:t xml:space="preserve"> which is </w:t>
      </w:r>
      <w:r>
        <w:t xml:space="preserve">the formal classification test </w:t>
      </w:r>
      <w:r w:rsidR="00B73843">
        <w:t>(grams versus kilograms).</w:t>
      </w:r>
    </w:p>
    <w:p w14:paraId="3D7932E4" w14:textId="77777777" w:rsidR="00D50F0D" w:rsidRDefault="00D50F0D" w:rsidP="00D50F0D">
      <w:pPr>
        <w:pStyle w:val="CETBodytext"/>
      </w:pPr>
    </w:p>
    <w:p w14:paraId="6310A8B1" w14:textId="790F865A" w:rsidR="009E0113" w:rsidRDefault="009E0113" w:rsidP="00D50F0D">
      <w:pPr>
        <w:pStyle w:val="CETBodytext"/>
      </w:pPr>
      <w:r>
        <w:t>Substance</w:t>
      </w:r>
      <w:r w:rsidR="00B73843">
        <w:t>s</w:t>
      </w:r>
      <w:r>
        <w:t xml:space="preserve"> which in contact with water may react to emit flammable gases</w:t>
      </w:r>
      <w:r w:rsidR="00B73843">
        <w:t xml:space="preserve"> can be screened bas</w:t>
      </w:r>
      <w:r w:rsidR="00CD7AC1">
        <w:t xml:space="preserve">ed on </w:t>
      </w:r>
      <w:r w:rsidR="00B73843">
        <w:t>the chemical structure of the substance, experience during production and handling and known information about its solubility in water.</w:t>
      </w:r>
    </w:p>
    <w:p w14:paraId="3E13456E" w14:textId="77777777" w:rsidR="00D50F0D" w:rsidRDefault="00D50F0D" w:rsidP="00D50F0D">
      <w:pPr>
        <w:pStyle w:val="CETBodytext"/>
      </w:pPr>
    </w:p>
    <w:p w14:paraId="5BD5FF8C" w14:textId="5FB36BD2" w:rsidR="009E0113" w:rsidRDefault="00D50F0D" w:rsidP="00D50F0D">
      <w:pPr>
        <w:pStyle w:val="CETBodytext"/>
      </w:pPr>
      <w:r>
        <w:t>For s</w:t>
      </w:r>
      <w:r w:rsidR="009E0113">
        <w:t>ubstances which may be oxidizing substances</w:t>
      </w:r>
      <w:r>
        <w:t xml:space="preserve">, </w:t>
      </w:r>
      <w:r w:rsidR="00B73843">
        <w:t xml:space="preserve">testing may be waived on basis of an evaluation of the chemical structure of the substance. </w:t>
      </w:r>
      <w:r>
        <w:t xml:space="preserve">Only </w:t>
      </w:r>
      <w:r w:rsidR="00B73843">
        <w:t>the presence of oxygen</w:t>
      </w:r>
      <w:r w:rsidR="00A55338">
        <w:t xml:space="preserve"> or halogen </w:t>
      </w:r>
      <w:r w:rsidR="00B73843">
        <w:t>atoms is relevant.</w:t>
      </w:r>
    </w:p>
    <w:p w14:paraId="726ADFAA" w14:textId="77777777" w:rsidR="00D50F0D" w:rsidRDefault="00D50F0D" w:rsidP="00D50F0D">
      <w:pPr>
        <w:pStyle w:val="CETBodytext"/>
      </w:pPr>
    </w:p>
    <w:p w14:paraId="06C05D2B" w14:textId="2652309E" w:rsidR="00B73843" w:rsidRDefault="00B73843" w:rsidP="00D50F0D">
      <w:pPr>
        <w:pStyle w:val="CETBodytext"/>
      </w:pPr>
      <w:r>
        <w:t xml:space="preserve">Organic peroxides are the only group of hazardous substances that are </w:t>
      </w:r>
      <w:r w:rsidR="00D50F0D">
        <w:t xml:space="preserve">identified </w:t>
      </w:r>
      <w:r>
        <w:t xml:space="preserve">primarily on </w:t>
      </w:r>
      <w:r w:rsidR="00CD7AC1">
        <w:t xml:space="preserve">the </w:t>
      </w:r>
      <w:r>
        <w:t>basis of their chemical structure</w:t>
      </w:r>
      <w:r w:rsidR="00A55338">
        <w:t xml:space="preserve"> (</w:t>
      </w:r>
      <w:r>
        <w:t>i.e. the R-O-O-R’ structure</w:t>
      </w:r>
      <w:r w:rsidR="00A55338">
        <w:t>),</w:t>
      </w:r>
      <w:r w:rsidR="00D50F0D">
        <w:t xml:space="preserve"> rather than on basis of certain properties</w:t>
      </w:r>
      <w:r>
        <w:t>. Secondly, the screening procedure refers to the cut-off values that are included in the classification chapter of the UN Model Regulations. It should be noted that such substances are organic peroxides by definition</w:t>
      </w:r>
      <w:r w:rsidR="00A55338">
        <w:t xml:space="preserve"> because of their structure</w:t>
      </w:r>
      <w:r>
        <w:t xml:space="preserve"> but are not necessarily classified as such. Thus, there is a difference between their chemical designation and their hazard classification.</w:t>
      </w:r>
    </w:p>
    <w:p w14:paraId="587C7DDE" w14:textId="1A411774" w:rsidR="00AB6002" w:rsidRDefault="00AB6002" w:rsidP="00AB6002">
      <w:pPr>
        <w:pStyle w:val="CETheadingx"/>
        <w:rPr>
          <w:lang w:val="en-GB"/>
        </w:rPr>
      </w:pPr>
      <w:r w:rsidRPr="005D02FB">
        <w:t>Guidance on the Application of the CLP</w:t>
      </w:r>
      <w:r>
        <w:t xml:space="preserve"> </w:t>
      </w:r>
      <w:r w:rsidRPr="005D02FB">
        <w:t>Criteria</w:t>
      </w:r>
    </w:p>
    <w:p w14:paraId="79BA484D" w14:textId="347E2BBE" w:rsidR="00AB6002" w:rsidRDefault="00E84C1C" w:rsidP="00250BA4">
      <w:pPr>
        <w:pStyle w:val="CETBodytext"/>
        <w:rPr>
          <w:lang w:val="en-GB"/>
        </w:rPr>
      </w:pPr>
      <w:r>
        <w:rPr>
          <w:lang w:val="en-GB"/>
        </w:rPr>
        <w:t xml:space="preserve">In 2009, the European Chemicals Agency (ECHA) published the first edition of its </w:t>
      </w:r>
      <w:r w:rsidRPr="005D02FB">
        <w:t>Guidance on the Application of the CLP</w:t>
      </w:r>
      <w:r>
        <w:t xml:space="preserve"> Criteria. The aim of this document was to provide guidance for the classification and, if necessary, </w:t>
      </w:r>
      <w:r w:rsidR="006E2B7C">
        <w:t xml:space="preserve">the </w:t>
      </w:r>
      <w:r>
        <w:t>testing of new substances and mixtures.</w:t>
      </w:r>
      <w:r w:rsidR="006E2B7C">
        <w:t xml:space="preserve"> The</w:t>
      </w:r>
      <w:r>
        <w:t xml:space="preserve"> </w:t>
      </w:r>
      <w:r w:rsidR="006E2B7C">
        <w:t>b</w:t>
      </w:r>
      <w:r>
        <w:t xml:space="preserve">ackground </w:t>
      </w:r>
      <w:r w:rsidR="006E2B7C">
        <w:t>t</w:t>
      </w:r>
      <w:r>
        <w:t>o this publication was the complexity of the CLP Regulation itself. Under the responsibility of ECHA, the guidance was drafted by experts f</w:t>
      </w:r>
      <w:r w:rsidR="0074717A">
        <w:t>r</w:t>
      </w:r>
      <w:r>
        <w:t xml:space="preserve">om </w:t>
      </w:r>
      <w:r w:rsidR="00CD7AC1">
        <w:t xml:space="preserve">research </w:t>
      </w:r>
      <w:r>
        <w:t>institutes, authorities and industry. The document was updated several time</w:t>
      </w:r>
      <w:r w:rsidR="00C327E5">
        <w:t>s</w:t>
      </w:r>
      <w:r>
        <w:t xml:space="preserve"> and a major update was published</w:t>
      </w:r>
      <w:r w:rsidR="006E2B7C">
        <w:t xml:space="preserve"> in November 2024</w:t>
      </w:r>
      <w:r>
        <w:t>. Part 2 of this document deals with physical hazards as represented by the seventeen hazard classes of the CLP Regulation and the GHS. For each hazard class, a paragraph ‘</w:t>
      </w:r>
      <w:r w:rsidR="00572696">
        <w:t>S</w:t>
      </w:r>
      <w:r>
        <w:t>creening procedures and waiving of testing’ is included.</w:t>
      </w:r>
      <w:r w:rsidR="00572696">
        <w:t xml:space="preserve"> These paragraphs basically copy the information </w:t>
      </w:r>
      <w:r w:rsidR="006E2B7C">
        <w:t xml:space="preserve">contained </w:t>
      </w:r>
      <w:r w:rsidR="00572696">
        <w:t>in Appendix 6 of the</w:t>
      </w:r>
      <w:r w:rsidR="00341425">
        <w:t xml:space="preserve"> UN</w:t>
      </w:r>
      <w:r w:rsidR="00572696">
        <w:t xml:space="preserve"> MTC but on several occasions they just give some additional explanation that is miss</w:t>
      </w:r>
      <w:r w:rsidR="00C327E5">
        <w:t>ing</w:t>
      </w:r>
      <w:r w:rsidR="00572696">
        <w:t xml:space="preserve"> in the </w:t>
      </w:r>
      <w:r w:rsidR="00341425">
        <w:t xml:space="preserve">UN </w:t>
      </w:r>
      <w:r w:rsidR="00572696">
        <w:t xml:space="preserve">MTC. In general, the CLP Guidance gives a </w:t>
      </w:r>
      <w:r w:rsidR="00CD7AC1">
        <w:t xml:space="preserve">considerable amount </w:t>
      </w:r>
      <w:r w:rsidR="00572696">
        <w:t xml:space="preserve">of background information regarding the classification of hazardous substance that is not available in the UN Model Regulations. It seems that the UN Model Regulations </w:t>
      </w:r>
      <w:r w:rsidR="00093F4F">
        <w:t xml:space="preserve">implicitly </w:t>
      </w:r>
      <w:r w:rsidR="00572696">
        <w:t>assume that people dealing with classification have sufficient knowledge and expertise while the CLP Guidance observes that additional information is needed. On a number of occasions, the CLP Guidance underlines that d</w:t>
      </w:r>
      <w:r w:rsidR="00572696" w:rsidRPr="00572696">
        <w:t xml:space="preserve">ue to the complexity of </w:t>
      </w:r>
      <w:r w:rsidR="00C327E5">
        <w:t xml:space="preserve">these </w:t>
      </w:r>
      <w:r w:rsidR="00572696" w:rsidRPr="00572696">
        <w:t xml:space="preserve">issues, expert advice should always be sought when dealing with </w:t>
      </w:r>
      <w:r w:rsidR="00C327E5">
        <w:t xml:space="preserve">screening and </w:t>
      </w:r>
      <w:r w:rsidR="00572696" w:rsidRPr="00572696">
        <w:t>classification.</w:t>
      </w:r>
    </w:p>
    <w:p w14:paraId="6937C1DA" w14:textId="360AFE37" w:rsidR="00AB6002" w:rsidRDefault="00063310" w:rsidP="00250BA4">
      <w:pPr>
        <w:pStyle w:val="CETBodytext"/>
        <w:rPr>
          <w:lang w:val="en-GB"/>
        </w:rPr>
      </w:pPr>
      <w:r>
        <w:rPr>
          <w:lang w:val="en-GB"/>
        </w:rPr>
        <w:t xml:space="preserve">Overall, the information on screening in the CLP Guidance is much better structured than in the </w:t>
      </w:r>
      <w:r w:rsidR="00341425">
        <w:rPr>
          <w:lang w:val="en-GB"/>
        </w:rPr>
        <w:t xml:space="preserve">UN </w:t>
      </w:r>
      <w:r>
        <w:rPr>
          <w:lang w:val="en-GB"/>
        </w:rPr>
        <w:t>MTC. Background information on classification is extensively present in the CLP Guidance and almost absent in the UN Model Regu</w:t>
      </w:r>
      <w:r w:rsidR="00341425">
        <w:rPr>
          <w:lang w:val="en-GB"/>
        </w:rPr>
        <w:t>l</w:t>
      </w:r>
      <w:r>
        <w:rPr>
          <w:lang w:val="en-GB"/>
        </w:rPr>
        <w:t>ations.</w:t>
      </w:r>
    </w:p>
    <w:p w14:paraId="5D42EC6F" w14:textId="77777777" w:rsidR="00A55338" w:rsidRDefault="00A55338" w:rsidP="00250BA4">
      <w:pPr>
        <w:pStyle w:val="CETBodytext"/>
        <w:rPr>
          <w:lang w:val="en-GB"/>
        </w:rPr>
      </w:pPr>
    </w:p>
    <w:p w14:paraId="3B553CEA" w14:textId="5CB143D0" w:rsidR="009A01F6" w:rsidRDefault="00A21AF7" w:rsidP="00AB6002">
      <w:pPr>
        <w:pStyle w:val="CETHeading1"/>
      </w:pPr>
      <w:r>
        <w:lastRenderedPageBreak/>
        <w:t>Observations</w:t>
      </w:r>
    </w:p>
    <w:p w14:paraId="5560E2E4" w14:textId="0563533A" w:rsidR="009A01F6" w:rsidRDefault="001C3B70" w:rsidP="00250BA4">
      <w:pPr>
        <w:pStyle w:val="CETBodytext"/>
        <w:rPr>
          <w:lang w:val="en-GB"/>
        </w:rPr>
      </w:pPr>
      <w:r>
        <w:rPr>
          <w:lang w:val="en-GB"/>
        </w:rPr>
        <w:t xml:space="preserve">Since the </w:t>
      </w:r>
      <w:r w:rsidR="006E2B7C">
        <w:rPr>
          <w:lang w:val="en-GB"/>
        </w:rPr>
        <w:t>l</w:t>
      </w:r>
      <w:r>
        <w:rPr>
          <w:lang w:val="en-GB"/>
        </w:rPr>
        <w:t>ast two decades, production and placing on the market of new chemical products has become the subject of more and stri</w:t>
      </w:r>
      <w:r w:rsidR="006E2B7C">
        <w:rPr>
          <w:lang w:val="en-GB"/>
        </w:rPr>
        <w:t xml:space="preserve">ngent </w:t>
      </w:r>
      <w:r>
        <w:rPr>
          <w:lang w:val="en-GB"/>
        </w:rPr>
        <w:t>regulations, e.g. those dealing with</w:t>
      </w:r>
      <w:r w:rsidR="001A388C">
        <w:rPr>
          <w:lang w:val="en-GB"/>
        </w:rPr>
        <w:t xml:space="preserve"> </w:t>
      </w:r>
      <w:r>
        <w:rPr>
          <w:lang w:val="en-GB"/>
        </w:rPr>
        <w:t xml:space="preserve">REACH and </w:t>
      </w:r>
      <w:r w:rsidR="00EC1BA6">
        <w:rPr>
          <w:lang w:val="en-GB"/>
        </w:rPr>
        <w:t xml:space="preserve">with </w:t>
      </w:r>
      <w:r>
        <w:rPr>
          <w:lang w:val="en-GB"/>
        </w:rPr>
        <w:t>biocides. These regulations require that the hazard properties of such products be determined in accordance with accepted standard</w:t>
      </w:r>
      <w:r w:rsidR="001A388C">
        <w:rPr>
          <w:lang w:val="en-GB"/>
        </w:rPr>
        <w:t>s</w:t>
      </w:r>
      <w:r>
        <w:rPr>
          <w:lang w:val="en-GB"/>
        </w:rPr>
        <w:t xml:space="preserve"> and that the results be evaluated by a competent authority (CA). Both the determination and the evaluation of such properties require a sufficient</w:t>
      </w:r>
      <w:r w:rsidR="00D2072B">
        <w:rPr>
          <w:lang w:val="en-GB"/>
        </w:rPr>
        <w:t>ly high</w:t>
      </w:r>
      <w:r>
        <w:rPr>
          <w:lang w:val="en-GB"/>
        </w:rPr>
        <w:t xml:space="preserve"> level of knowledge and expertise. Unfortunately, it appears that </w:t>
      </w:r>
      <w:r w:rsidR="00D2072B">
        <w:rPr>
          <w:lang w:val="en-GB"/>
        </w:rPr>
        <w:t xml:space="preserve">the required level is </w:t>
      </w:r>
      <w:r w:rsidR="00EC1BA6">
        <w:rPr>
          <w:lang w:val="en-GB"/>
        </w:rPr>
        <w:t xml:space="preserve">not always </w:t>
      </w:r>
      <w:r w:rsidR="00D2072B">
        <w:rPr>
          <w:lang w:val="en-GB"/>
        </w:rPr>
        <w:t xml:space="preserve">achieved within test </w:t>
      </w:r>
      <w:r w:rsidR="00801137">
        <w:rPr>
          <w:lang w:val="en-GB"/>
        </w:rPr>
        <w:t xml:space="preserve">institutes </w:t>
      </w:r>
      <w:r w:rsidR="00D2072B">
        <w:rPr>
          <w:lang w:val="en-GB"/>
        </w:rPr>
        <w:t>and authorities.</w:t>
      </w:r>
      <w:r w:rsidR="00A44DAA">
        <w:rPr>
          <w:lang w:val="en-GB"/>
        </w:rPr>
        <w:t xml:space="preserve"> Sometimes </w:t>
      </w:r>
      <w:r w:rsidR="00A44DAA">
        <w:t xml:space="preserve">screening criteria </w:t>
      </w:r>
      <w:r w:rsidR="00EC1BA6">
        <w:t>a</w:t>
      </w:r>
      <w:r w:rsidR="00A44DAA">
        <w:t>re applied very strict</w:t>
      </w:r>
      <w:r w:rsidR="00801137">
        <w:t>ly</w:t>
      </w:r>
      <w:r w:rsidR="00A44DAA">
        <w:t xml:space="preserve"> without keeping the </w:t>
      </w:r>
      <w:r w:rsidR="00CD7AC1">
        <w:t xml:space="preserve">complete </w:t>
      </w:r>
      <w:r w:rsidR="00A44DAA">
        <w:t>picture</w:t>
      </w:r>
      <w:r w:rsidR="00801137">
        <w:t xml:space="preserve"> in mind</w:t>
      </w:r>
      <w:r w:rsidR="00A44DAA">
        <w:t xml:space="preserve">. </w:t>
      </w:r>
      <w:r w:rsidR="00D2072B">
        <w:rPr>
          <w:lang w:val="en-GB"/>
        </w:rPr>
        <w:t>Below</w:t>
      </w:r>
      <w:r w:rsidR="00F8459B">
        <w:rPr>
          <w:lang w:val="en-GB"/>
        </w:rPr>
        <w:t xml:space="preserve"> are some </w:t>
      </w:r>
      <w:r w:rsidR="00D2072B">
        <w:rPr>
          <w:lang w:val="en-GB"/>
        </w:rPr>
        <w:t>of examples of misunderstandings and mistakes.</w:t>
      </w:r>
    </w:p>
    <w:p w14:paraId="63E4D1D1" w14:textId="77777777" w:rsidR="001C3B70" w:rsidRDefault="001C3B70" w:rsidP="00250BA4">
      <w:pPr>
        <w:pStyle w:val="CETBodytext"/>
        <w:rPr>
          <w:lang w:val="en-GB"/>
        </w:rPr>
      </w:pPr>
    </w:p>
    <w:p w14:paraId="5F2F7E0B" w14:textId="4E7C7A89" w:rsidR="00334710" w:rsidRDefault="00EC1BA6" w:rsidP="00250BA4">
      <w:pPr>
        <w:pStyle w:val="CETBodytext"/>
        <w:rPr>
          <w:lang w:val="en-GB"/>
        </w:rPr>
      </w:pPr>
      <w:r>
        <w:rPr>
          <w:lang w:val="en-GB"/>
        </w:rPr>
        <w:t>It oftens happens that al</w:t>
      </w:r>
      <w:r w:rsidR="00334710">
        <w:rPr>
          <w:lang w:val="en-GB"/>
        </w:rPr>
        <w:t>ready at the start</w:t>
      </w:r>
      <w:r>
        <w:rPr>
          <w:lang w:val="en-GB"/>
        </w:rPr>
        <w:t xml:space="preserve"> of a screening</w:t>
      </w:r>
      <w:r w:rsidR="00CD7AC1">
        <w:rPr>
          <w:lang w:val="en-GB"/>
        </w:rPr>
        <w:t>,</w:t>
      </w:r>
      <w:r w:rsidR="00334710">
        <w:rPr>
          <w:lang w:val="en-GB"/>
        </w:rPr>
        <w:t xml:space="preserve"> the wording of the criteria is misunderstood. The criteria indicate when testing is not necessary, i.e. it is worded in a negative sense. This is for instance the case for explosive properties: if no reactive groups are present, testing is not necessary. </w:t>
      </w:r>
      <w:r>
        <w:rPr>
          <w:lang w:val="en-GB"/>
        </w:rPr>
        <w:t>T</w:t>
      </w:r>
      <w:r w:rsidR="00334710">
        <w:rPr>
          <w:lang w:val="en-GB"/>
        </w:rPr>
        <w:t>his criterion is often interpreted the other way around and in a very strict manner: if reactive groups are present, testing is mandatory. This is certainly incorrect. Presence of a reactive group does not necessarily mean that substance has potentially explosive properties. For example, an NO</w:t>
      </w:r>
      <w:r w:rsidR="00334710" w:rsidRPr="00334710">
        <w:rPr>
          <w:vertAlign w:val="subscript"/>
          <w:lang w:val="en-GB"/>
        </w:rPr>
        <w:t>2</w:t>
      </w:r>
      <w:r w:rsidR="00334710">
        <w:rPr>
          <w:lang w:val="en-GB"/>
        </w:rPr>
        <w:t xml:space="preserve"> group is a reactive group and </w:t>
      </w:r>
      <w:r w:rsidR="001A388C">
        <w:rPr>
          <w:lang w:val="en-GB"/>
        </w:rPr>
        <w:t xml:space="preserve">its presence </w:t>
      </w:r>
      <w:r w:rsidR="00334710">
        <w:rPr>
          <w:lang w:val="en-GB"/>
        </w:rPr>
        <w:t>may indicate explosive properties. However, a C16 molecule with one NO</w:t>
      </w:r>
      <w:r w:rsidR="00334710" w:rsidRPr="00334710">
        <w:rPr>
          <w:vertAlign w:val="subscript"/>
          <w:lang w:val="en-GB"/>
        </w:rPr>
        <w:t>2</w:t>
      </w:r>
      <w:r w:rsidR="00334710">
        <w:rPr>
          <w:lang w:val="en-GB"/>
        </w:rPr>
        <w:t xml:space="preserve"> group w</w:t>
      </w:r>
      <w:r>
        <w:rPr>
          <w:lang w:val="en-GB"/>
        </w:rPr>
        <w:t xml:space="preserve">ill </w:t>
      </w:r>
      <w:r w:rsidR="00334710">
        <w:rPr>
          <w:lang w:val="en-GB"/>
        </w:rPr>
        <w:t xml:space="preserve">most certainly not have explosive properties. </w:t>
      </w:r>
      <w:r w:rsidR="00880B83">
        <w:rPr>
          <w:lang w:val="en-GB"/>
        </w:rPr>
        <w:t>In one case</w:t>
      </w:r>
      <w:r w:rsidR="00334710">
        <w:rPr>
          <w:lang w:val="en-GB"/>
        </w:rPr>
        <w:t xml:space="preserve">, a CA has ignored the advice of an independent expert </w:t>
      </w:r>
      <w:r w:rsidR="00880B83">
        <w:rPr>
          <w:lang w:val="en-GB"/>
        </w:rPr>
        <w:t xml:space="preserve">in this respect </w:t>
      </w:r>
      <w:r w:rsidR="00334710">
        <w:rPr>
          <w:lang w:val="en-GB"/>
        </w:rPr>
        <w:t>and insisted on fully testing such substance. Additional and avoidable costs were around EUR 12,000.--.</w:t>
      </w:r>
    </w:p>
    <w:p w14:paraId="6486F218" w14:textId="77777777" w:rsidR="00334710" w:rsidRDefault="00334710" w:rsidP="00250BA4">
      <w:pPr>
        <w:pStyle w:val="CETBodytext"/>
        <w:rPr>
          <w:lang w:val="en-GB"/>
        </w:rPr>
      </w:pPr>
    </w:p>
    <w:p w14:paraId="7E6C02B2" w14:textId="4708974F" w:rsidR="00334710" w:rsidRDefault="00334710" w:rsidP="00250BA4">
      <w:pPr>
        <w:pStyle w:val="CETBodytext"/>
        <w:rPr>
          <w:lang w:val="en-GB"/>
        </w:rPr>
      </w:pPr>
      <w:r>
        <w:rPr>
          <w:lang w:val="en-GB"/>
        </w:rPr>
        <w:t xml:space="preserve">The same applies for the evaluation of explosive properties on </w:t>
      </w:r>
      <w:r w:rsidR="00CD7AC1">
        <w:rPr>
          <w:lang w:val="en-GB"/>
        </w:rPr>
        <w:t xml:space="preserve">the </w:t>
      </w:r>
      <w:r>
        <w:rPr>
          <w:lang w:val="en-GB"/>
        </w:rPr>
        <w:t xml:space="preserve">basis of </w:t>
      </w:r>
      <w:r w:rsidR="00880B83">
        <w:rPr>
          <w:lang w:val="en-GB"/>
        </w:rPr>
        <w:t xml:space="preserve">the </w:t>
      </w:r>
      <w:r>
        <w:rPr>
          <w:lang w:val="en-GB"/>
        </w:rPr>
        <w:t>exothermic decomposition energy</w:t>
      </w:r>
      <w:r w:rsidR="00880B83">
        <w:rPr>
          <w:lang w:val="en-GB"/>
        </w:rPr>
        <w:t xml:space="preserve"> of a substance</w:t>
      </w:r>
      <w:r>
        <w:rPr>
          <w:lang w:val="en-GB"/>
        </w:rPr>
        <w:t xml:space="preserve">. </w:t>
      </w:r>
      <w:r w:rsidR="00071FC7">
        <w:rPr>
          <w:lang w:val="en-GB"/>
        </w:rPr>
        <w:t xml:space="preserve">If this energy is below 800 J/g, detonation testing is not necessary. A dossier was submitted to a CA, where the determination of the exothermic decomposition energy in triplicate gave results of 630, 830 and 700 J/g. Because of the second result, the CA insisted that the substance should be fully tested even though only one result </w:t>
      </w:r>
      <w:r w:rsidR="001A388C">
        <w:rPr>
          <w:lang w:val="en-GB"/>
        </w:rPr>
        <w:t>w</w:t>
      </w:r>
      <w:r w:rsidR="00071FC7">
        <w:rPr>
          <w:lang w:val="en-GB"/>
        </w:rPr>
        <w:t>as marginally higher than 800 J/g and the average was well below 800 J/g.</w:t>
      </w:r>
    </w:p>
    <w:p w14:paraId="55506014" w14:textId="77777777" w:rsidR="001C3B70" w:rsidRDefault="001C3B70" w:rsidP="00250BA4">
      <w:pPr>
        <w:pStyle w:val="CETBodytext"/>
        <w:rPr>
          <w:lang w:val="en-GB"/>
        </w:rPr>
      </w:pPr>
    </w:p>
    <w:p w14:paraId="40F22537" w14:textId="17300B7C" w:rsidR="001C3B70" w:rsidRDefault="00071FC7" w:rsidP="00250BA4">
      <w:pPr>
        <w:pStyle w:val="CETBodytext"/>
        <w:rPr>
          <w:lang w:val="en-GB"/>
        </w:rPr>
      </w:pPr>
      <w:r>
        <w:rPr>
          <w:lang w:val="en-GB"/>
        </w:rPr>
        <w:t>A formulation that contained less than 25% of a</w:t>
      </w:r>
      <w:r w:rsidR="00880B83">
        <w:rPr>
          <w:lang w:val="en-GB"/>
        </w:rPr>
        <w:t xml:space="preserve"> C5</w:t>
      </w:r>
      <w:r>
        <w:rPr>
          <w:lang w:val="en-GB"/>
        </w:rPr>
        <w:t xml:space="preserve"> aldehyde, less than 25% of an organic salt and more than 50% of water was evaluated. Despite an independent expert statement, the CA required full testing for explosive and oxidizing properties. Additional and avoidable costs were close to EUR 18,000.--.</w:t>
      </w:r>
    </w:p>
    <w:p w14:paraId="7F974966" w14:textId="77777777" w:rsidR="00D2072B" w:rsidRDefault="00D2072B" w:rsidP="00250BA4">
      <w:pPr>
        <w:pStyle w:val="CETBodytext"/>
        <w:rPr>
          <w:lang w:val="en-GB"/>
        </w:rPr>
      </w:pPr>
    </w:p>
    <w:p w14:paraId="3AAC0FD5" w14:textId="7BBDD495" w:rsidR="008D3853" w:rsidRDefault="00071FC7" w:rsidP="008D3853">
      <w:pPr>
        <w:pStyle w:val="CETBodytext"/>
        <w:rPr>
          <w:lang w:val="en-GB"/>
        </w:rPr>
      </w:pPr>
      <w:r>
        <w:rPr>
          <w:lang w:val="en-GB"/>
        </w:rPr>
        <w:t xml:space="preserve">An aqueous formulation containing less than </w:t>
      </w:r>
      <w:r w:rsidR="008D3853" w:rsidRPr="008D3853">
        <w:rPr>
          <w:lang w:val="en-GB"/>
        </w:rPr>
        <w:t xml:space="preserve">1% </w:t>
      </w:r>
      <w:r>
        <w:rPr>
          <w:lang w:val="en-GB"/>
        </w:rPr>
        <w:t xml:space="preserve">of </w:t>
      </w:r>
      <w:r w:rsidR="008D3853" w:rsidRPr="008D3853">
        <w:rPr>
          <w:lang w:val="en-GB"/>
        </w:rPr>
        <w:t xml:space="preserve">peroxyacetic acid and </w:t>
      </w:r>
      <w:r>
        <w:rPr>
          <w:lang w:val="en-GB"/>
        </w:rPr>
        <w:t xml:space="preserve">less than </w:t>
      </w:r>
      <w:r w:rsidR="008D3853" w:rsidRPr="008D3853">
        <w:rPr>
          <w:lang w:val="en-GB"/>
        </w:rPr>
        <w:t xml:space="preserve">1% </w:t>
      </w:r>
      <w:r>
        <w:rPr>
          <w:lang w:val="en-GB"/>
        </w:rPr>
        <w:t xml:space="preserve">of </w:t>
      </w:r>
      <w:r w:rsidR="008D3853" w:rsidRPr="008D3853">
        <w:rPr>
          <w:lang w:val="en-GB"/>
        </w:rPr>
        <w:t>hydrogen peroxide</w:t>
      </w:r>
      <w:r>
        <w:rPr>
          <w:lang w:val="en-GB"/>
        </w:rPr>
        <w:t xml:space="preserve"> </w:t>
      </w:r>
      <w:r w:rsidR="001A388C">
        <w:rPr>
          <w:lang w:val="en-GB"/>
        </w:rPr>
        <w:t xml:space="preserve">and no other constituents </w:t>
      </w:r>
      <w:r>
        <w:rPr>
          <w:lang w:val="en-GB"/>
        </w:rPr>
        <w:t xml:space="preserve">was evaluated. By definition, this </w:t>
      </w:r>
      <w:r w:rsidR="001A388C">
        <w:rPr>
          <w:lang w:val="en-GB"/>
        </w:rPr>
        <w:t xml:space="preserve">formulation </w:t>
      </w:r>
      <w:r>
        <w:rPr>
          <w:lang w:val="en-GB"/>
        </w:rPr>
        <w:t xml:space="preserve">is not an organic peroxide and the hydrogen peroxide is much too low to cause oxidizing properties. The latter is substantiated by </w:t>
      </w:r>
      <w:r w:rsidR="001A388C">
        <w:rPr>
          <w:lang w:val="en-GB"/>
        </w:rPr>
        <w:t xml:space="preserve">experience and by </w:t>
      </w:r>
      <w:r>
        <w:rPr>
          <w:lang w:val="en-GB"/>
        </w:rPr>
        <w:t>existing TDG and CLP classifications. Nevertheless, the CA required to determine the</w:t>
      </w:r>
      <w:r w:rsidR="008D3853" w:rsidRPr="008D3853">
        <w:rPr>
          <w:lang w:val="en-GB"/>
        </w:rPr>
        <w:t xml:space="preserve"> oxidizing properties</w:t>
      </w:r>
      <w:r>
        <w:rPr>
          <w:lang w:val="en-GB"/>
        </w:rPr>
        <w:t xml:space="preserve"> experimentally.</w:t>
      </w:r>
    </w:p>
    <w:p w14:paraId="667FC802" w14:textId="77777777" w:rsidR="008D3853" w:rsidRDefault="008D3853" w:rsidP="00250BA4">
      <w:pPr>
        <w:pStyle w:val="CETBodytext"/>
        <w:rPr>
          <w:lang w:val="en-GB"/>
        </w:rPr>
      </w:pPr>
    </w:p>
    <w:p w14:paraId="352FFBDE" w14:textId="36443A6C" w:rsidR="001A388C" w:rsidRDefault="001A388C" w:rsidP="00250BA4">
      <w:pPr>
        <w:pStyle w:val="CETBodytext"/>
        <w:rPr>
          <w:lang w:val="en-GB"/>
        </w:rPr>
      </w:pPr>
      <w:r>
        <w:rPr>
          <w:lang w:val="en-GB"/>
        </w:rPr>
        <w:t xml:space="preserve">Evaluation of an organic peroxide dossier led to an intensive discussion between a CA and an independent expert. The CA did not understand the difference between a formulation being an organic peroxide by definition just because of its chemical structure and the same formulation not </w:t>
      </w:r>
      <w:r w:rsidR="00880B83">
        <w:rPr>
          <w:lang w:val="en-GB"/>
        </w:rPr>
        <w:t xml:space="preserve">needing to be </w:t>
      </w:r>
      <w:r>
        <w:rPr>
          <w:lang w:val="en-GB"/>
        </w:rPr>
        <w:t>classified as an organic peroxide because of its low active oxygen content.</w:t>
      </w:r>
    </w:p>
    <w:p w14:paraId="435313FE" w14:textId="77777777" w:rsidR="001A388C" w:rsidRDefault="001A388C" w:rsidP="00250BA4">
      <w:pPr>
        <w:pStyle w:val="CETBodytext"/>
        <w:rPr>
          <w:lang w:val="en-GB"/>
        </w:rPr>
      </w:pPr>
    </w:p>
    <w:p w14:paraId="1759E31D" w14:textId="5F9DCE8C" w:rsidR="00071FC7" w:rsidRDefault="00071FC7" w:rsidP="00250BA4">
      <w:pPr>
        <w:pStyle w:val="CETBodytext"/>
        <w:rPr>
          <w:lang w:val="en-GB"/>
        </w:rPr>
      </w:pPr>
      <w:r>
        <w:rPr>
          <w:lang w:val="en-GB"/>
        </w:rPr>
        <w:t xml:space="preserve">The above examples and several others show that screening criteria are often </w:t>
      </w:r>
      <w:r w:rsidR="00697DBB">
        <w:rPr>
          <w:lang w:val="en-GB"/>
        </w:rPr>
        <w:t>mis</w:t>
      </w:r>
      <w:r>
        <w:rPr>
          <w:lang w:val="en-GB"/>
        </w:rPr>
        <w:t>understood</w:t>
      </w:r>
      <w:r w:rsidR="00A21AF7">
        <w:rPr>
          <w:lang w:val="en-GB"/>
        </w:rPr>
        <w:t xml:space="preserve">, even by so-called competent authorities. Apart from these misunderstandings, </w:t>
      </w:r>
      <w:r w:rsidR="00697DBB">
        <w:rPr>
          <w:lang w:val="en-GB"/>
        </w:rPr>
        <w:t xml:space="preserve">statements by </w:t>
      </w:r>
      <w:r w:rsidR="00A21AF7">
        <w:rPr>
          <w:lang w:val="en-GB"/>
        </w:rPr>
        <w:t>independent expert</w:t>
      </w:r>
      <w:r w:rsidR="00CD7AC1">
        <w:rPr>
          <w:lang w:val="en-GB"/>
        </w:rPr>
        <w:t>s</w:t>
      </w:r>
      <w:r w:rsidR="00A21AF7">
        <w:rPr>
          <w:lang w:val="en-GB"/>
        </w:rPr>
        <w:t xml:space="preserve"> are sometimes not accepted.</w:t>
      </w:r>
    </w:p>
    <w:p w14:paraId="2E3167D5" w14:textId="77777777" w:rsidR="00A21AF7" w:rsidRDefault="00A21AF7" w:rsidP="00250BA4">
      <w:pPr>
        <w:pStyle w:val="CETBodytext"/>
        <w:rPr>
          <w:lang w:val="en-GB"/>
        </w:rPr>
      </w:pPr>
    </w:p>
    <w:p w14:paraId="35017650" w14:textId="748F6DE8" w:rsidR="00A21AF7" w:rsidRDefault="00A21AF7" w:rsidP="00250BA4">
      <w:pPr>
        <w:pStyle w:val="CETBodytext"/>
        <w:rPr>
          <w:lang w:val="en-GB"/>
        </w:rPr>
      </w:pPr>
      <w:r>
        <w:rPr>
          <w:lang w:val="en-GB"/>
        </w:rPr>
        <w:t xml:space="preserve">It </w:t>
      </w:r>
      <w:r w:rsidR="00697DBB">
        <w:rPr>
          <w:lang w:val="en-GB"/>
        </w:rPr>
        <w:t xml:space="preserve">must </w:t>
      </w:r>
      <w:r>
        <w:rPr>
          <w:lang w:val="en-GB"/>
        </w:rPr>
        <w:t xml:space="preserve">be said that problems are not always caused by a lack of knowledge. In some cases, the criteria are not </w:t>
      </w:r>
      <w:r w:rsidR="00697DBB">
        <w:rPr>
          <w:lang w:val="en-GB"/>
        </w:rPr>
        <w:t xml:space="preserve">properly </w:t>
      </w:r>
      <w:r>
        <w:rPr>
          <w:lang w:val="en-GB"/>
        </w:rPr>
        <w:t>formulated. Appendix 6 of the UN MTC states that explosive properties testing is not required if the decomposition energy is below 500 J/g. As mentioned above, this does</w:t>
      </w:r>
      <w:r w:rsidR="007C451E">
        <w:rPr>
          <w:lang w:val="en-GB"/>
        </w:rPr>
        <w:t xml:space="preserve"> not automatically mean </w:t>
      </w:r>
      <w:r>
        <w:rPr>
          <w:lang w:val="en-GB"/>
        </w:rPr>
        <w:t xml:space="preserve">that testing </w:t>
      </w:r>
      <w:r w:rsidR="007C451E">
        <w:rPr>
          <w:lang w:val="en-GB"/>
        </w:rPr>
        <w:t xml:space="preserve">should </w:t>
      </w:r>
      <w:r>
        <w:rPr>
          <w:lang w:val="en-GB"/>
        </w:rPr>
        <w:t xml:space="preserve">always </w:t>
      </w:r>
      <w:r w:rsidR="007C451E">
        <w:rPr>
          <w:lang w:val="en-GB"/>
        </w:rPr>
        <w:t xml:space="preserve">be done </w:t>
      </w:r>
      <w:r>
        <w:rPr>
          <w:lang w:val="en-GB"/>
        </w:rPr>
        <w:t xml:space="preserve">if the decomposition energy is above 500 J/g. </w:t>
      </w:r>
      <w:r w:rsidR="00697DBB">
        <w:rPr>
          <w:lang w:val="en-GB"/>
        </w:rPr>
        <w:t xml:space="preserve">Yet </w:t>
      </w:r>
      <w:r>
        <w:rPr>
          <w:lang w:val="en-GB"/>
        </w:rPr>
        <w:t xml:space="preserve">the same paragraph in Appendix 6 </w:t>
      </w:r>
      <w:r w:rsidR="00697DBB">
        <w:rPr>
          <w:lang w:val="en-GB"/>
        </w:rPr>
        <w:t xml:space="preserve">says </w:t>
      </w:r>
      <w:r>
        <w:rPr>
          <w:lang w:val="en-GB"/>
        </w:rPr>
        <w:t>that testing is required in the latter case. Thus, the text of Appendix 6 contradicts itself.</w:t>
      </w:r>
    </w:p>
    <w:p w14:paraId="32F1C47E" w14:textId="14449049" w:rsidR="001A388C" w:rsidRDefault="001A388C" w:rsidP="00250BA4">
      <w:pPr>
        <w:pStyle w:val="CETBodytext"/>
      </w:pPr>
      <w:r>
        <w:rPr>
          <w:lang w:val="en-GB"/>
        </w:rPr>
        <w:t xml:space="preserve">Also, Appendix 6 gives some examples </w:t>
      </w:r>
      <w:r w:rsidR="00A97125">
        <w:rPr>
          <w:lang w:val="en-GB"/>
        </w:rPr>
        <w:t xml:space="preserve">of reactive groups. The original list contained in </w:t>
      </w:r>
      <w:r w:rsidR="00A97125">
        <w:t>Bretherick’s Handbook of Reactive Chemical Hazards is much longer and</w:t>
      </w:r>
      <w:r w:rsidR="00697DBB">
        <w:t xml:space="preserve"> includes</w:t>
      </w:r>
      <w:r w:rsidR="00A97125">
        <w:t xml:space="preserve"> nearly every chemical structure that has some energy within it. Both lists give the impression that molecules containing such groups </w:t>
      </w:r>
      <w:r w:rsidR="00697DBB">
        <w:t>are</w:t>
      </w:r>
      <w:r w:rsidR="00A97125">
        <w:t xml:space="preserve"> explosive anyway. This is certainly not the case and more guidance would be helpful.</w:t>
      </w:r>
    </w:p>
    <w:p w14:paraId="76A6EC4A" w14:textId="77777777" w:rsidR="00A44DAA" w:rsidRDefault="00A44DAA" w:rsidP="00250BA4">
      <w:pPr>
        <w:pStyle w:val="CETBodytext"/>
      </w:pPr>
    </w:p>
    <w:p w14:paraId="2EFD1AF5" w14:textId="5D623C60" w:rsidR="009A01F6" w:rsidRDefault="00A44DAA" w:rsidP="00AB6002">
      <w:pPr>
        <w:pStyle w:val="CETHeading1"/>
      </w:pPr>
      <w:r>
        <w:lastRenderedPageBreak/>
        <w:t>W</w:t>
      </w:r>
      <w:r w:rsidR="009A01F6">
        <w:t>ay forward</w:t>
      </w:r>
    </w:p>
    <w:p w14:paraId="4FF57A38" w14:textId="1698C134" w:rsidR="009A01F6" w:rsidRDefault="00A97125" w:rsidP="00250BA4">
      <w:pPr>
        <w:pStyle w:val="CETBodytext"/>
        <w:rPr>
          <w:iCs/>
          <w:lang w:val="en-GB"/>
        </w:rPr>
      </w:pPr>
      <w:r>
        <w:rPr>
          <w:iCs/>
          <w:lang w:val="en-GB"/>
        </w:rPr>
        <w:t xml:space="preserve">The screening procedures in Appendix 6 of the UN MTC provide useful information that can be used to avoid unnecessary testing. However, </w:t>
      </w:r>
      <w:r w:rsidR="00697DBB">
        <w:rPr>
          <w:iCs/>
          <w:lang w:val="en-GB"/>
        </w:rPr>
        <w:t>the cor</w:t>
      </w:r>
      <w:r w:rsidR="0074717A">
        <w:rPr>
          <w:iCs/>
          <w:lang w:val="en-GB"/>
        </w:rPr>
        <w:t>r</w:t>
      </w:r>
      <w:r w:rsidR="00697DBB">
        <w:rPr>
          <w:iCs/>
          <w:lang w:val="en-GB"/>
        </w:rPr>
        <w:t>ect</w:t>
      </w:r>
      <w:r>
        <w:rPr>
          <w:iCs/>
          <w:lang w:val="en-GB"/>
        </w:rPr>
        <w:t xml:space="preserve"> application of the screening criteria is not always an easy task</w:t>
      </w:r>
      <w:r w:rsidR="007C451E">
        <w:rPr>
          <w:iCs/>
          <w:lang w:val="en-GB"/>
        </w:rPr>
        <w:t>. It</w:t>
      </w:r>
      <w:r>
        <w:rPr>
          <w:iCs/>
          <w:lang w:val="en-GB"/>
        </w:rPr>
        <w:t xml:space="preserve"> requires </w:t>
      </w:r>
      <w:r w:rsidR="00CD7AC1">
        <w:rPr>
          <w:iCs/>
          <w:lang w:val="en-GB"/>
        </w:rPr>
        <w:t xml:space="preserve">considerable </w:t>
      </w:r>
      <w:r>
        <w:rPr>
          <w:iCs/>
          <w:lang w:val="en-GB"/>
        </w:rPr>
        <w:t>experience and knowledge about physical-chemical hazards.</w:t>
      </w:r>
      <w:r w:rsidR="00AB31A3">
        <w:rPr>
          <w:iCs/>
          <w:lang w:val="en-GB"/>
        </w:rPr>
        <w:t xml:space="preserve"> It seems that within test </w:t>
      </w:r>
      <w:r w:rsidR="00697DBB">
        <w:rPr>
          <w:iCs/>
          <w:lang w:val="en-GB"/>
        </w:rPr>
        <w:t>institute</w:t>
      </w:r>
      <w:r w:rsidR="00AB31A3">
        <w:rPr>
          <w:iCs/>
          <w:lang w:val="en-GB"/>
        </w:rPr>
        <w:t>s and authorities the necessary expertise is not always available.</w:t>
      </w:r>
      <w:r w:rsidR="005D7830">
        <w:rPr>
          <w:iCs/>
          <w:lang w:val="en-GB"/>
        </w:rPr>
        <w:t xml:space="preserve"> However, </w:t>
      </w:r>
      <w:r w:rsidR="00697DBB">
        <w:rPr>
          <w:iCs/>
          <w:lang w:val="en-GB"/>
        </w:rPr>
        <w:t xml:space="preserve">it </w:t>
      </w:r>
      <w:r w:rsidR="005D7830">
        <w:rPr>
          <w:iCs/>
          <w:lang w:val="en-GB"/>
        </w:rPr>
        <w:t xml:space="preserve">is certainly possible </w:t>
      </w:r>
      <w:r w:rsidR="00697DBB">
        <w:rPr>
          <w:iCs/>
          <w:lang w:val="en-GB"/>
        </w:rPr>
        <w:t xml:space="preserve">to improve this situations </w:t>
      </w:r>
      <w:r w:rsidR="005D7830">
        <w:rPr>
          <w:iCs/>
          <w:lang w:val="en-GB"/>
        </w:rPr>
        <w:t xml:space="preserve">and </w:t>
      </w:r>
      <w:r w:rsidR="00656E60">
        <w:rPr>
          <w:iCs/>
          <w:lang w:val="en-GB"/>
        </w:rPr>
        <w:t xml:space="preserve">there are </w:t>
      </w:r>
      <w:r w:rsidR="005D7830">
        <w:rPr>
          <w:iCs/>
          <w:lang w:val="en-GB"/>
        </w:rPr>
        <w:t>several options</w:t>
      </w:r>
      <w:r w:rsidR="00697DBB">
        <w:rPr>
          <w:iCs/>
          <w:lang w:val="en-GB"/>
        </w:rPr>
        <w:t xml:space="preserve"> to do so</w:t>
      </w:r>
      <w:r w:rsidR="005D7830">
        <w:rPr>
          <w:iCs/>
          <w:lang w:val="en-GB"/>
        </w:rPr>
        <w:t>.</w:t>
      </w:r>
    </w:p>
    <w:p w14:paraId="5ACE8769" w14:textId="07907A6A" w:rsidR="005D7830" w:rsidRDefault="005D7830" w:rsidP="00250BA4">
      <w:pPr>
        <w:pStyle w:val="CETBodytext"/>
        <w:rPr>
          <w:iCs/>
          <w:lang w:val="en-GB"/>
        </w:rPr>
      </w:pPr>
      <w:r>
        <w:rPr>
          <w:iCs/>
          <w:lang w:val="en-GB"/>
        </w:rPr>
        <w:t xml:space="preserve">Test </w:t>
      </w:r>
      <w:r w:rsidR="00697DBB">
        <w:rPr>
          <w:iCs/>
          <w:lang w:val="en-GB"/>
        </w:rPr>
        <w:t>institutes</w:t>
      </w:r>
      <w:r>
        <w:rPr>
          <w:iCs/>
          <w:lang w:val="en-GB"/>
        </w:rPr>
        <w:t xml:space="preserve"> and authorities should realize that a physical-chemical hazards expert should </w:t>
      </w:r>
      <w:r w:rsidR="00DC7A8A">
        <w:rPr>
          <w:iCs/>
          <w:lang w:val="en-GB"/>
        </w:rPr>
        <w:t xml:space="preserve">not </w:t>
      </w:r>
      <w:r>
        <w:rPr>
          <w:iCs/>
          <w:lang w:val="en-GB"/>
        </w:rPr>
        <w:t xml:space="preserve">be evaluating toxicological properties and that a toxicologist should not be evaluating physical-chemical hazards as both require specific expertise. It seems that people </w:t>
      </w:r>
      <w:r w:rsidR="00697DBB">
        <w:rPr>
          <w:iCs/>
          <w:lang w:val="en-GB"/>
        </w:rPr>
        <w:t xml:space="preserve">too often judge outside </w:t>
      </w:r>
      <w:r w:rsidRPr="005D7830">
        <w:rPr>
          <w:iCs/>
          <w:lang w:val="en-GB"/>
        </w:rPr>
        <w:t>their expertise.</w:t>
      </w:r>
    </w:p>
    <w:p w14:paraId="4D9E5A94" w14:textId="5E9DC762" w:rsidR="00A97125" w:rsidRDefault="005D7830" w:rsidP="00250BA4">
      <w:pPr>
        <w:pStyle w:val="CETBodytext"/>
        <w:rPr>
          <w:iCs/>
          <w:lang w:val="en-GB"/>
        </w:rPr>
      </w:pPr>
      <w:r>
        <w:rPr>
          <w:iCs/>
          <w:lang w:val="en-GB"/>
        </w:rPr>
        <w:t xml:space="preserve">Related to the previous observations: building up expertise requires education and training. </w:t>
      </w:r>
      <w:r w:rsidR="00046B64">
        <w:rPr>
          <w:iCs/>
          <w:lang w:val="en-GB"/>
        </w:rPr>
        <w:t xml:space="preserve">It seems that not many </w:t>
      </w:r>
      <w:r w:rsidR="00697DBB">
        <w:rPr>
          <w:iCs/>
          <w:lang w:val="en-GB"/>
        </w:rPr>
        <w:t>opportunities</w:t>
      </w:r>
      <w:r w:rsidR="00046B64">
        <w:rPr>
          <w:iCs/>
          <w:lang w:val="en-GB"/>
        </w:rPr>
        <w:t xml:space="preserve"> in this area exist. Also, classification of chemical substances is not something that can be learned from the book. </w:t>
      </w:r>
      <w:r w:rsidR="00697DBB">
        <w:rPr>
          <w:iCs/>
          <w:lang w:val="en-GB"/>
        </w:rPr>
        <w:t>It also requires t</w:t>
      </w:r>
      <w:r w:rsidR="00046B64">
        <w:rPr>
          <w:iCs/>
          <w:lang w:val="en-GB"/>
        </w:rPr>
        <w:t>raining on the job.</w:t>
      </w:r>
    </w:p>
    <w:p w14:paraId="67B0575B" w14:textId="4ECBD575" w:rsidR="00046B64" w:rsidRDefault="00A44DAA" w:rsidP="00250BA4">
      <w:pPr>
        <w:pStyle w:val="CETBodytext"/>
        <w:rPr>
          <w:iCs/>
          <w:lang w:val="en-GB"/>
        </w:rPr>
      </w:pPr>
      <w:r>
        <w:rPr>
          <w:iCs/>
          <w:lang w:val="en-GB"/>
        </w:rPr>
        <w:t>On the other hand</w:t>
      </w:r>
      <w:r w:rsidR="00046B64">
        <w:rPr>
          <w:iCs/>
          <w:lang w:val="en-GB"/>
        </w:rPr>
        <w:t>, the usefulness of the existing provisions for screening can be questioned. Appendix 6 of the UN MTC is very concise a</w:t>
      </w:r>
      <w:r w:rsidR="00DC7A8A">
        <w:rPr>
          <w:iCs/>
          <w:lang w:val="en-GB"/>
        </w:rPr>
        <w:t>nd</w:t>
      </w:r>
      <w:r w:rsidR="00046B64">
        <w:rPr>
          <w:iCs/>
          <w:lang w:val="en-GB"/>
        </w:rPr>
        <w:t xml:space="preserve"> </w:t>
      </w:r>
      <w:r w:rsidR="00697DBB">
        <w:rPr>
          <w:iCs/>
          <w:lang w:val="en-GB"/>
        </w:rPr>
        <w:t xml:space="preserve">offers </w:t>
      </w:r>
      <w:r w:rsidR="00046B64">
        <w:rPr>
          <w:iCs/>
          <w:lang w:val="en-GB"/>
        </w:rPr>
        <w:t>little guidance</w:t>
      </w:r>
      <w:r w:rsidR="007C451E">
        <w:rPr>
          <w:iCs/>
          <w:lang w:val="en-GB"/>
        </w:rPr>
        <w:t>. S</w:t>
      </w:r>
      <w:r w:rsidR="00046B64">
        <w:rPr>
          <w:iCs/>
          <w:lang w:val="en-GB"/>
        </w:rPr>
        <w:t xml:space="preserve">ome recent amendments have not made the text </w:t>
      </w:r>
      <w:r w:rsidR="00697DBB">
        <w:rPr>
          <w:iCs/>
          <w:lang w:val="en-GB"/>
        </w:rPr>
        <w:t>more comprehensible</w:t>
      </w:r>
      <w:r w:rsidR="00046B64">
        <w:rPr>
          <w:iCs/>
          <w:lang w:val="en-GB"/>
        </w:rPr>
        <w:t xml:space="preserve">. The CLP Guidance is a bit more elaborate and provides </w:t>
      </w:r>
      <w:r w:rsidR="00140CB9">
        <w:rPr>
          <w:iCs/>
          <w:lang w:val="en-GB"/>
        </w:rPr>
        <w:t xml:space="preserve">more </w:t>
      </w:r>
      <w:r w:rsidR="00046B64">
        <w:rPr>
          <w:iCs/>
          <w:lang w:val="en-GB"/>
        </w:rPr>
        <w:t>information.</w:t>
      </w:r>
    </w:p>
    <w:p w14:paraId="288BEE0B" w14:textId="21FE4BB9" w:rsidR="00A97125" w:rsidRDefault="00140CB9" w:rsidP="00250BA4">
      <w:pPr>
        <w:pStyle w:val="CETBodytext"/>
        <w:rPr>
          <w:iCs/>
          <w:lang w:val="en-GB"/>
        </w:rPr>
      </w:pPr>
      <w:r>
        <w:rPr>
          <w:iCs/>
          <w:lang w:val="en-GB"/>
        </w:rPr>
        <w:t xml:space="preserve">The United Nations could consider to provide more guidance on classification but this </w:t>
      </w:r>
      <w:r w:rsidR="00697DBB">
        <w:rPr>
          <w:iCs/>
          <w:lang w:val="en-GB"/>
        </w:rPr>
        <w:t xml:space="preserve">would </w:t>
      </w:r>
      <w:r>
        <w:rPr>
          <w:iCs/>
          <w:lang w:val="en-GB"/>
        </w:rPr>
        <w:t xml:space="preserve">require a major exercise. Perhaps the CLP Guidance could serve as global </w:t>
      </w:r>
      <w:r w:rsidR="00DC7A8A">
        <w:rPr>
          <w:iCs/>
          <w:lang w:val="en-GB"/>
        </w:rPr>
        <w:t>guidance for screening.</w:t>
      </w:r>
    </w:p>
    <w:p w14:paraId="23101E43" w14:textId="792E1029" w:rsidR="009A01F6" w:rsidRDefault="009A01F6" w:rsidP="00AB6002">
      <w:pPr>
        <w:pStyle w:val="CETHeading1"/>
      </w:pPr>
      <w:r>
        <w:t>Conclusions</w:t>
      </w:r>
    </w:p>
    <w:p w14:paraId="4A958AA2" w14:textId="73F29870" w:rsidR="008D3853" w:rsidRDefault="00DC7A8A" w:rsidP="00DC7A8A">
      <w:pPr>
        <w:pStyle w:val="CETnumberingbullets"/>
      </w:pPr>
      <w:r>
        <w:t>Screening procedures help avoid unnecessary testing</w:t>
      </w:r>
      <w:r w:rsidR="007C451E">
        <w:t>.</w:t>
      </w:r>
      <w:r>
        <w:t xml:space="preserve"> If a substance </w:t>
      </w:r>
      <w:r w:rsidR="00697DBB">
        <w:t xml:space="preserve">meets </w:t>
      </w:r>
      <w:r>
        <w:t xml:space="preserve">the </w:t>
      </w:r>
      <w:r w:rsidR="007C451E">
        <w:t xml:space="preserve">screening </w:t>
      </w:r>
      <w:r>
        <w:t xml:space="preserve">criteria, it </w:t>
      </w:r>
      <w:r w:rsidR="00697DBB">
        <w:t xml:space="preserve">does not need </w:t>
      </w:r>
      <w:r>
        <w:t xml:space="preserve">to be tested. If it </w:t>
      </w:r>
      <w:r w:rsidR="00C35812">
        <w:t>does not meet</w:t>
      </w:r>
      <w:r>
        <w:t xml:space="preserve"> the criteria, </w:t>
      </w:r>
      <w:r w:rsidR="0074717A">
        <w:t>that</w:t>
      </w:r>
      <w:r>
        <w:t xml:space="preserve"> does not necessarily mean that it has to be tested anyway</w:t>
      </w:r>
      <w:r w:rsidR="008D3853" w:rsidRPr="008D3853">
        <w:t>.</w:t>
      </w:r>
      <w:r>
        <w:t xml:space="preserve"> Further considerations could still lead to </w:t>
      </w:r>
      <w:r w:rsidR="00C35812">
        <w:t xml:space="preserve">the </w:t>
      </w:r>
      <w:r>
        <w:t>decision not to test.</w:t>
      </w:r>
    </w:p>
    <w:p w14:paraId="41570B95" w14:textId="056F5076" w:rsidR="00DC7A8A" w:rsidRPr="008D3853" w:rsidRDefault="00DC7A8A" w:rsidP="00DC7A8A">
      <w:pPr>
        <w:pStyle w:val="CETnumberingbullets"/>
      </w:pPr>
      <w:r>
        <w:t>Expert advice should always be sought and valued</w:t>
      </w:r>
      <w:r w:rsidR="007C451E">
        <w:t>. Th</w:t>
      </w:r>
      <w:r>
        <w:t xml:space="preserve">e need for training should not be </w:t>
      </w:r>
      <w:r w:rsidR="00C35812">
        <w:t>overlooked</w:t>
      </w:r>
      <w:r>
        <w:t>.</w:t>
      </w:r>
    </w:p>
    <w:p w14:paraId="69ADA37B" w14:textId="2C19A5B7" w:rsidR="008D3853" w:rsidRDefault="00DC7A8A" w:rsidP="00DC7A8A">
      <w:pPr>
        <w:pStyle w:val="CETnumberingbullets"/>
      </w:pPr>
      <w:r>
        <w:t xml:space="preserve">The information contained in </w:t>
      </w:r>
      <w:r w:rsidR="008D3853" w:rsidRPr="008D3853">
        <w:t xml:space="preserve">Appendix 6 </w:t>
      </w:r>
      <w:r>
        <w:t xml:space="preserve">of the UN MTC is limited and the wording </w:t>
      </w:r>
      <w:r w:rsidR="008D3853" w:rsidRPr="008D3853">
        <w:t xml:space="preserve">is not </w:t>
      </w:r>
      <w:r>
        <w:t xml:space="preserve">always </w:t>
      </w:r>
      <w:r w:rsidR="008D3853" w:rsidRPr="008D3853">
        <w:t>unambiguous.</w:t>
      </w:r>
    </w:p>
    <w:p w14:paraId="18830AF8" w14:textId="0679E8D5" w:rsidR="00DC7A8A" w:rsidRDefault="00DC7A8A" w:rsidP="00DC7A8A">
      <w:pPr>
        <w:pStyle w:val="CETnumberingbullets"/>
      </w:pPr>
      <w:r>
        <w:t>Either Appendix 6 should be rewritten or the CLP Guidance could get a more prominent position.</w:t>
      </w:r>
    </w:p>
    <w:p w14:paraId="00C6FBCE" w14:textId="77777777" w:rsidR="006F700D" w:rsidRPr="006F700D" w:rsidRDefault="00D00625" w:rsidP="006F700D">
      <w:pPr>
        <w:pStyle w:val="CETHeadingxx"/>
      </w:pPr>
      <w:r w:rsidRPr="006F700D">
        <w:t>Note</w:t>
      </w:r>
    </w:p>
    <w:p w14:paraId="3A3F4ABF" w14:textId="63AD715C" w:rsidR="00F970FA" w:rsidRDefault="00D00625" w:rsidP="00250BA4">
      <w:pPr>
        <w:pStyle w:val="CETBodytext"/>
        <w:rPr>
          <w:lang w:val="en-GB"/>
        </w:rPr>
      </w:pPr>
      <w:r>
        <w:rPr>
          <w:lang w:val="en-GB"/>
        </w:rPr>
        <w:t>This paper reflects the opinion of the author</w:t>
      </w:r>
      <w:r w:rsidR="0074717A">
        <w:rPr>
          <w:lang w:val="en-GB"/>
        </w:rPr>
        <w:t>s</w:t>
      </w:r>
      <w:r>
        <w:rPr>
          <w:lang w:val="en-GB"/>
        </w:rPr>
        <w:t xml:space="preserve"> at the time of writing and does not necessarily reflect the opinion of an</w:t>
      </w:r>
      <w:r w:rsidR="00C35812">
        <w:rPr>
          <w:lang w:val="en-GB"/>
        </w:rPr>
        <w:t>y</w:t>
      </w:r>
      <w:r>
        <w:rPr>
          <w:lang w:val="en-GB"/>
        </w:rPr>
        <w:t xml:space="preserve"> institute, authority or</w:t>
      </w:r>
      <w:r w:rsidR="00F65596">
        <w:rPr>
          <w:lang w:val="en-GB"/>
        </w:rPr>
        <w:t xml:space="preserve"> government</w:t>
      </w:r>
      <w:r>
        <w:rPr>
          <w:lang w:val="en-GB"/>
        </w:rPr>
        <w:t>.</w:t>
      </w:r>
    </w:p>
    <w:p w14:paraId="4ABD8545" w14:textId="78EF3AA5" w:rsidR="00F970FA" w:rsidRDefault="00A558CA" w:rsidP="00D00625">
      <w:pPr>
        <w:pStyle w:val="CETHeadingxx"/>
      </w:pPr>
      <w:r>
        <w:t>Abbreviations</w:t>
      </w:r>
    </w:p>
    <w:p w14:paraId="7E6ABBDF" w14:textId="781B724C" w:rsidR="00645A5A" w:rsidRDefault="00645A5A" w:rsidP="00D00625">
      <w:pPr>
        <w:pStyle w:val="CETBodytext"/>
        <w:jc w:val="left"/>
        <w:rPr>
          <w:lang w:val="en-GB"/>
        </w:rPr>
      </w:pPr>
      <w:r>
        <w:rPr>
          <w:lang w:val="en-GB"/>
        </w:rPr>
        <w:t>CA – competent authority</w:t>
      </w:r>
    </w:p>
    <w:p w14:paraId="24D896BD" w14:textId="7E96E8B7" w:rsidR="00D00625" w:rsidRDefault="00D00625" w:rsidP="00D00625">
      <w:pPr>
        <w:pStyle w:val="CETBodytext"/>
        <w:jc w:val="left"/>
        <w:rPr>
          <w:lang w:val="en-GB"/>
        </w:rPr>
      </w:pPr>
      <w:r>
        <w:rPr>
          <w:lang w:val="en-GB"/>
        </w:rPr>
        <w:t>CLP – Classification, Labelling and Packaging</w:t>
      </w:r>
    </w:p>
    <w:p w14:paraId="373D1C09" w14:textId="7EB946A8" w:rsidR="00A558CA" w:rsidRDefault="00A558CA" w:rsidP="00D00625">
      <w:pPr>
        <w:pStyle w:val="CETBodytext"/>
        <w:jc w:val="left"/>
        <w:rPr>
          <w:lang w:val="en-GB"/>
        </w:rPr>
      </w:pPr>
      <w:r>
        <w:rPr>
          <w:lang w:val="en-GB"/>
        </w:rPr>
        <w:t>ECHA</w:t>
      </w:r>
      <w:r w:rsidR="00D00625">
        <w:rPr>
          <w:lang w:val="en-GB"/>
        </w:rPr>
        <w:t xml:space="preserve"> – European Chemicals Agency</w:t>
      </w:r>
    </w:p>
    <w:p w14:paraId="57F20B97" w14:textId="6F2DD0AF" w:rsidR="008D3853" w:rsidRDefault="008D3853" w:rsidP="00D00625">
      <w:pPr>
        <w:pStyle w:val="CETBodytext"/>
        <w:jc w:val="left"/>
        <w:rPr>
          <w:lang w:val="en-GB"/>
        </w:rPr>
      </w:pPr>
      <w:r>
        <w:rPr>
          <w:lang w:val="en-GB"/>
        </w:rPr>
        <w:t xml:space="preserve">GHS – </w:t>
      </w:r>
      <w:r w:rsidRPr="00553E81">
        <w:rPr>
          <w:lang w:val="en-GB"/>
        </w:rPr>
        <w:t>Globally Harmonized System of Classification and Labelling of Chemicals</w:t>
      </w:r>
    </w:p>
    <w:p w14:paraId="1A16D2A5" w14:textId="1B5DDA8C" w:rsidR="00A558CA" w:rsidRDefault="00A558CA" w:rsidP="00D00625">
      <w:pPr>
        <w:pStyle w:val="CETBodytext"/>
        <w:jc w:val="left"/>
        <w:rPr>
          <w:lang w:val="en-GB"/>
        </w:rPr>
      </w:pPr>
      <w:r>
        <w:rPr>
          <w:lang w:val="en-GB"/>
        </w:rPr>
        <w:t>IGUS</w:t>
      </w:r>
      <w:r w:rsidR="00D00625">
        <w:rPr>
          <w:lang w:val="en-GB"/>
        </w:rPr>
        <w:t xml:space="preserve"> – </w:t>
      </w:r>
      <w:r w:rsidRPr="00D23D1B">
        <w:rPr>
          <w:lang w:val="en-GB"/>
        </w:rPr>
        <w:t>International Group of Experts on the Explosion Risks of Unstable Substances</w:t>
      </w:r>
    </w:p>
    <w:p w14:paraId="3B75CB60" w14:textId="7E0C580D" w:rsidR="00D00625" w:rsidRDefault="00D00625" w:rsidP="00D00625">
      <w:pPr>
        <w:pStyle w:val="CETBodytext"/>
        <w:jc w:val="left"/>
        <w:rPr>
          <w:lang w:val="en-GB"/>
        </w:rPr>
      </w:pPr>
      <w:r>
        <w:rPr>
          <w:lang w:val="en-GB"/>
        </w:rPr>
        <w:t>MTC – Manual of Tests and Criteria</w:t>
      </w:r>
    </w:p>
    <w:p w14:paraId="53C7C96A" w14:textId="70A5D16D" w:rsidR="00D00625" w:rsidRDefault="00D00625" w:rsidP="00D00625">
      <w:pPr>
        <w:pStyle w:val="CETBodytext"/>
        <w:jc w:val="left"/>
        <w:rPr>
          <w:lang w:val="en-GB"/>
        </w:rPr>
      </w:pPr>
      <w:r>
        <w:rPr>
          <w:lang w:val="en-GB"/>
        </w:rPr>
        <w:t>TDG – Transport of Dangerous Goods</w:t>
      </w:r>
    </w:p>
    <w:p w14:paraId="1805408E" w14:textId="26C624C0" w:rsidR="00A558CA" w:rsidRDefault="00A558CA" w:rsidP="00D00625">
      <w:pPr>
        <w:pStyle w:val="CETBodytext"/>
        <w:jc w:val="left"/>
        <w:rPr>
          <w:lang w:val="en-GB"/>
        </w:rPr>
      </w:pPr>
      <w:r>
        <w:rPr>
          <w:lang w:val="en-GB"/>
        </w:rPr>
        <w:t>UN</w:t>
      </w:r>
      <w:r w:rsidR="00D00625">
        <w:rPr>
          <w:lang w:val="en-GB"/>
        </w:rPr>
        <w:t xml:space="preserve"> – United Nations</w:t>
      </w:r>
      <w:r w:rsidR="00D00625">
        <w:rPr>
          <w:lang w:val="en-GB"/>
        </w:rPr>
        <w:tab/>
      </w:r>
      <w:r>
        <w:rPr>
          <w:lang w:val="en-GB"/>
        </w:rPr>
        <w:tab/>
      </w:r>
    </w:p>
    <w:p w14:paraId="39EE051E" w14:textId="00898936" w:rsidR="00F970FA" w:rsidRDefault="00D13F89" w:rsidP="005D02FB">
      <w:pPr>
        <w:pStyle w:val="CETReference"/>
      </w:pPr>
      <w:r>
        <w:t>References</w:t>
      </w:r>
    </w:p>
    <w:p w14:paraId="578CDAD7" w14:textId="214F69B4" w:rsidR="00D13F89" w:rsidRDefault="00D13F89" w:rsidP="005D02FB">
      <w:pPr>
        <w:pStyle w:val="CETReferencetext"/>
      </w:pPr>
      <w:r>
        <w:t xml:space="preserve">European Chemicals Agency, </w:t>
      </w:r>
      <w:r w:rsidR="005D02FB">
        <w:t xml:space="preserve">2024, </w:t>
      </w:r>
      <w:r w:rsidR="005D02FB" w:rsidRPr="005D02FB">
        <w:t>Guidance on the Application of the CLP</w:t>
      </w:r>
      <w:r w:rsidR="005D02FB">
        <w:t xml:space="preserve"> </w:t>
      </w:r>
      <w:r w:rsidR="005D02FB" w:rsidRPr="005D02FB">
        <w:t>Criteria</w:t>
      </w:r>
      <w:r w:rsidR="005D02FB">
        <w:t xml:space="preserve">, </w:t>
      </w:r>
      <w:r w:rsidR="005D02FB" w:rsidRPr="005D02FB">
        <w:t>Guidance to Regulation (EC) No 1272/2008 on classification, labelling</w:t>
      </w:r>
      <w:r w:rsidR="005D02FB">
        <w:t xml:space="preserve"> </w:t>
      </w:r>
      <w:r w:rsidR="005D02FB" w:rsidRPr="005D02FB">
        <w:t>and packaging (CLP) of substances and mixtures</w:t>
      </w:r>
      <w:r w:rsidR="005D02FB">
        <w:t xml:space="preserve">, </w:t>
      </w:r>
      <w:r w:rsidR="00645A5A">
        <w:t xml:space="preserve">Part 2: Physical Hazards, </w:t>
      </w:r>
      <w:r w:rsidR="005D02FB">
        <w:t xml:space="preserve">Version </w:t>
      </w:r>
      <w:r w:rsidR="00645A5A">
        <w:t>4</w:t>
      </w:r>
      <w:r w:rsidR="005D02FB">
        <w:t>.0, Helsinki.</w:t>
      </w:r>
    </w:p>
    <w:p w14:paraId="6CD7E1C8" w14:textId="77777777" w:rsidR="00C70D41" w:rsidRDefault="005D02FB" w:rsidP="005D02FB">
      <w:pPr>
        <w:pStyle w:val="CETReferencetext"/>
      </w:pPr>
      <w:r>
        <w:t xml:space="preserve">European Union, 2012, </w:t>
      </w:r>
      <w:r w:rsidRPr="005D02FB">
        <w:t>Regulation (EU) No 528/2012 of the European Parliament and of the Council of 22 May 2012 concerning the making available on the market and use of biocidal products</w:t>
      </w:r>
      <w:r w:rsidR="00C70D41">
        <w:t>.</w:t>
      </w:r>
    </w:p>
    <w:p w14:paraId="06498FFD" w14:textId="5711AD53" w:rsidR="00D13F89" w:rsidRDefault="00D13F89" w:rsidP="005D02FB">
      <w:pPr>
        <w:pStyle w:val="CETReferencetext"/>
      </w:pPr>
      <w:r>
        <w:t xml:space="preserve">European Union, 2023, </w:t>
      </w:r>
      <w:r w:rsidRPr="00D13F89">
        <w:t>Regulation (EC) No 1272/2008 of the European Parliament and of the Council of 16 December 2008 on classification, labelling and packaging of substances and mixtures</w:t>
      </w:r>
      <w:r w:rsidR="00C70D41">
        <w:t>.</w:t>
      </w:r>
    </w:p>
    <w:p w14:paraId="75631DD0" w14:textId="77777777" w:rsidR="00A22D4C" w:rsidRDefault="00A22D4C" w:rsidP="005D02FB">
      <w:pPr>
        <w:pStyle w:val="CETReferencetext"/>
      </w:pPr>
      <w:r w:rsidRPr="00A22D4C">
        <w:t>Mak W., de Jong E., Malow M., Martinez A., 2022, IGUS – 60 Years of Successful International Collaboration on Safety of Unstable Substances, Chemical Engineering Transactions, 90, 793-798.</w:t>
      </w:r>
    </w:p>
    <w:p w14:paraId="36742849" w14:textId="2D7ED2A0" w:rsidR="00D13F89" w:rsidRDefault="00D13F89" w:rsidP="005D02FB">
      <w:pPr>
        <w:pStyle w:val="CETReferencetext"/>
      </w:pPr>
      <w:r>
        <w:t>United Nations, 2023a, Manual of Tests and Criteria, eighth revised edition, New York and Geneva.</w:t>
      </w:r>
    </w:p>
    <w:p w14:paraId="19C4FC68" w14:textId="24C9ACA0" w:rsidR="004628D2" w:rsidRDefault="00D13F89" w:rsidP="00812C6E">
      <w:pPr>
        <w:pStyle w:val="CETReferencetext"/>
      </w:pPr>
      <w:r>
        <w:t xml:space="preserve">United Nations, 2023b, Recommendations on the Transport of Dangerous Goods, </w:t>
      </w:r>
      <w:r w:rsidR="00D977FE">
        <w:t xml:space="preserve">Model Regulations, </w:t>
      </w:r>
      <w:r>
        <w:t>twenty-third revised edition, New York and Geneva.</w:t>
      </w:r>
    </w:p>
    <w:p w14:paraId="376D2AFA" w14:textId="57097E7E" w:rsidR="00A44DAA" w:rsidRDefault="008640E0" w:rsidP="00A44DAA">
      <w:pPr>
        <w:pStyle w:val="CETReferencetext"/>
      </w:pPr>
      <w:proofErr w:type="spellStart"/>
      <w:r>
        <w:t>Urben</w:t>
      </w:r>
      <w:proofErr w:type="spellEnd"/>
      <w:r>
        <w:t xml:space="preserve"> P.G., 2017, Bretherick’s Handbook of Reactive Chemical Hazards, 8</w:t>
      </w:r>
      <w:r w:rsidRPr="008640E0">
        <w:rPr>
          <w:vertAlign w:val="superscript"/>
        </w:rPr>
        <w:t>th</w:t>
      </w:r>
      <w:r>
        <w:t xml:space="preserve"> edition, Elsevier, Amsterdam</w:t>
      </w:r>
      <w:r w:rsidR="00A44DAA">
        <w:t>.</w:t>
      </w:r>
    </w:p>
    <w:p w14:paraId="6BDB342C" w14:textId="77777777" w:rsidR="007C451E" w:rsidRDefault="007C451E" w:rsidP="00A44DAA">
      <w:pPr>
        <w:pStyle w:val="CETReferencetext"/>
      </w:pPr>
    </w:p>
    <w:sectPr w:rsidR="007C451E" w:rsidSect="00DC73EE">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37466" w14:textId="77777777" w:rsidR="005A0BCC" w:rsidRDefault="005A0BCC" w:rsidP="004F5E36">
      <w:r>
        <w:separator/>
      </w:r>
    </w:p>
  </w:endnote>
  <w:endnote w:type="continuationSeparator" w:id="0">
    <w:p w14:paraId="6C3C06EB" w14:textId="77777777" w:rsidR="005A0BCC" w:rsidRDefault="005A0BCC"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FBCE3" w14:textId="77777777" w:rsidR="005A0BCC" w:rsidRDefault="005A0BCC" w:rsidP="004F5E36">
      <w:r>
        <w:separator/>
      </w:r>
    </w:p>
  </w:footnote>
  <w:footnote w:type="continuationSeparator" w:id="0">
    <w:p w14:paraId="6710A1DD" w14:textId="77777777" w:rsidR="005A0BCC" w:rsidRDefault="005A0BCC"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730AC"/>
    <w:multiLevelType w:val="hybridMultilevel"/>
    <w:tmpl w:val="F3D614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2266B64"/>
    <w:multiLevelType w:val="hybridMultilevel"/>
    <w:tmpl w:val="059214A0"/>
    <w:lvl w:ilvl="0" w:tplc="04100003">
      <w:start w:val="1"/>
      <w:numFmt w:val="bullet"/>
      <w:lvlText w:val="o"/>
      <w:lvlJc w:val="left"/>
      <w:pPr>
        <w:tabs>
          <w:tab w:val="num" w:pos="1080"/>
        </w:tabs>
        <w:ind w:left="1080" w:hanging="360"/>
      </w:pPr>
      <w:rPr>
        <w:rFonts w:ascii="Courier New" w:hAnsi="Courier New" w:cs="Courier New"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3"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0"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BA32107"/>
    <w:multiLevelType w:val="hybridMultilevel"/>
    <w:tmpl w:val="E788F860"/>
    <w:lvl w:ilvl="0" w:tplc="CDC0D3B8">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D6C7ACA"/>
    <w:multiLevelType w:val="hybridMultilevel"/>
    <w:tmpl w:val="B3BCBF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16882765">
    <w:abstractNumId w:val="12"/>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9"/>
  </w:num>
  <w:num w:numId="13" w16cid:durableId="695733619">
    <w:abstractNumId w:val="14"/>
  </w:num>
  <w:num w:numId="14" w16cid:durableId="145903400">
    <w:abstractNumId w:val="20"/>
  </w:num>
  <w:num w:numId="15" w16cid:durableId="19162326">
    <w:abstractNumId w:val="22"/>
  </w:num>
  <w:num w:numId="16" w16cid:durableId="1977102699">
    <w:abstractNumId w:val="21"/>
  </w:num>
  <w:num w:numId="17" w16cid:durableId="860774865">
    <w:abstractNumId w:val="13"/>
  </w:num>
  <w:num w:numId="18" w16cid:durableId="313221457">
    <w:abstractNumId w:val="14"/>
    <w:lvlOverride w:ilvl="0">
      <w:startOverride w:val="1"/>
    </w:lvlOverride>
  </w:num>
  <w:num w:numId="19" w16cid:durableId="534971577">
    <w:abstractNumId w:val="18"/>
  </w:num>
  <w:num w:numId="20" w16cid:durableId="1150947773">
    <w:abstractNumId w:val="17"/>
  </w:num>
  <w:num w:numId="21" w16cid:durableId="124660497">
    <w:abstractNumId w:val="16"/>
  </w:num>
  <w:num w:numId="22" w16cid:durableId="2099861471">
    <w:abstractNumId w:val="15"/>
  </w:num>
  <w:num w:numId="23" w16cid:durableId="84351335">
    <w:abstractNumId w:val="11"/>
  </w:num>
  <w:num w:numId="24" w16cid:durableId="853959491">
    <w:abstractNumId w:val="12"/>
  </w:num>
  <w:num w:numId="25" w16cid:durableId="1377975291">
    <w:abstractNumId w:val="12"/>
  </w:num>
  <w:num w:numId="26" w16cid:durableId="566187066">
    <w:abstractNumId w:val="24"/>
  </w:num>
  <w:num w:numId="27" w16cid:durableId="589192221">
    <w:abstractNumId w:val="10"/>
  </w:num>
  <w:num w:numId="28" w16cid:durableId="205588187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A19"/>
    <w:rsid w:val="000117CB"/>
    <w:rsid w:val="0003148D"/>
    <w:rsid w:val="00031EEC"/>
    <w:rsid w:val="00046B64"/>
    <w:rsid w:val="00051566"/>
    <w:rsid w:val="000562A9"/>
    <w:rsid w:val="00062A9A"/>
    <w:rsid w:val="00062E51"/>
    <w:rsid w:val="00063310"/>
    <w:rsid w:val="00065058"/>
    <w:rsid w:val="00071FC7"/>
    <w:rsid w:val="00086C39"/>
    <w:rsid w:val="00093F4F"/>
    <w:rsid w:val="000A03B2"/>
    <w:rsid w:val="000B6EAE"/>
    <w:rsid w:val="000D0268"/>
    <w:rsid w:val="000D34BE"/>
    <w:rsid w:val="000E0B3C"/>
    <w:rsid w:val="000E102F"/>
    <w:rsid w:val="000E36F1"/>
    <w:rsid w:val="000E3A73"/>
    <w:rsid w:val="000E414A"/>
    <w:rsid w:val="000E75FD"/>
    <w:rsid w:val="000F093C"/>
    <w:rsid w:val="000F787B"/>
    <w:rsid w:val="0012091F"/>
    <w:rsid w:val="00126BC2"/>
    <w:rsid w:val="001308B6"/>
    <w:rsid w:val="0013121F"/>
    <w:rsid w:val="00131FE6"/>
    <w:rsid w:val="0013263F"/>
    <w:rsid w:val="001331DF"/>
    <w:rsid w:val="00134DE4"/>
    <w:rsid w:val="0014034D"/>
    <w:rsid w:val="00140CB9"/>
    <w:rsid w:val="00140FE3"/>
    <w:rsid w:val="00144D16"/>
    <w:rsid w:val="00150E59"/>
    <w:rsid w:val="00152DE3"/>
    <w:rsid w:val="00164CF9"/>
    <w:rsid w:val="001667A6"/>
    <w:rsid w:val="001816D7"/>
    <w:rsid w:val="0018171E"/>
    <w:rsid w:val="00184AD6"/>
    <w:rsid w:val="001A388C"/>
    <w:rsid w:val="001A4AF7"/>
    <w:rsid w:val="001B0349"/>
    <w:rsid w:val="001B1E93"/>
    <w:rsid w:val="001B65C1"/>
    <w:rsid w:val="001C260F"/>
    <w:rsid w:val="001C3B70"/>
    <w:rsid w:val="001C5C3A"/>
    <w:rsid w:val="001C684B"/>
    <w:rsid w:val="001D0CFB"/>
    <w:rsid w:val="001D21AF"/>
    <w:rsid w:val="001D53FC"/>
    <w:rsid w:val="001F42A5"/>
    <w:rsid w:val="001F7B9D"/>
    <w:rsid w:val="00201C93"/>
    <w:rsid w:val="00212E86"/>
    <w:rsid w:val="002224B4"/>
    <w:rsid w:val="002447EF"/>
    <w:rsid w:val="00250BA4"/>
    <w:rsid w:val="00251550"/>
    <w:rsid w:val="00263B05"/>
    <w:rsid w:val="0027221A"/>
    <w:rsid w:val="00275B61"/>
    <w:rsid w:val="00280FAF"/>
    <w:rsid w:val="00282656"/>
    <w:rsid w:val="00296B83"/>
    <w:rsid w:val="002B4015"/>
    <w:rsid w:val="002B78CE"/>
    <w:rsid w:val="002C2FB6"/>
    <w:rsid w:val="002C538D"/>
    <w:rsid w:val="002E5FA7"/>
    <w:rsid w:val="002F3309"/>
    <w:rsid w:val="003008CE"/>
    <w:rsid w:val="00300943"/>
    <w:rsid w:val="003009B7"/>
    <w:rsid w:val="00300E56"/>
    <w:rsid w:val="0030152C"/>
    <w:rsid w:val="0030469C"/>
    <w:rsid w:val="00316064"/>
    <w:rsid w:val="0032156A"/>
    <w:rsid w:val="00321CA6"/>
    <w:rsid w:val="00323763"/>
    <w:rsid w:val="00323C5F"/>
    <w:rsid w:val="00334710"/>
    <w:rsid w:val="00334C09"/>
    <w:rsid w:val="00341425"/>
    <w:rsid w:val="003723D4"/>
    <w:rsid w:val="00381905"/>
    <w:rsid w:val="00384CC8"/>
    <w:rsid w:val="003871FD"/>
    <w:rsid w:val="003A1E30"/>
    <w:rsid w:val="003A2829"/>
    <w:rsid w:val="003A7D1C"/>
    <w:rsid w:val="003B304B"/>
    <w:rsid w:val="003B3146"/>
    <w:rsid w:val="003B49CD"/>
    <w:rsid w:val="003C2567"/>
    <w:rsid w:val="003D1E02"/>
    <w:rsid w:val="003F015E"/>
    <w:rsid w:val="003F7A22"/>
    <w:rsid w:val="00400414"/>
    <w:rsid w:val="0041446B"/>
    <w:rsid w:val="0043779D"/>
    <w:rsid w:val="0044071E"/>
    <w:rsid w:val="0044329C"/>
    <w:rsid w:val="00453E24"/>
    <w:rsid w:val="0045586F"/>
    <w:rsid w:val="00457456"/>
    <w:rsid w:val="004577FE"/>
    <w:rsid w:val="00457B9C"/>
    <w:rsid w:val="0046164A"/>
    <w:rsid w:val="004628D2"/>
    <w:rsid w:val="00462DCD"/>
    <w:rsid w:val="004648AD"/>
    <w:rsid w:val="004703A9"/>
    <w:rsid w:val="004760DE"/>
    <w:rsid w:val="004763D7"/>
    <w:rsid w:val="00491C6A"/>
    <w:rsid w:val="004A004E"/>
    <w:rsid w:val="004A24CF"/>
    <w:rsid w:val="004C3D1D"/>
    <w:rsid w:val="004C3D84"/>
    <w:rsid w:val="004C7913"/>
    <w:rsid w:val="004E4DD6"/>
    <w:rsid w:val="004E66D5"/>
    <w:rsid w:val="004F5E36"/>
    <w:rsid w:val="00507B47"/>
    <w:rsid w:val="00507BEF"/>
    <w:rsid w:val="00507CC9"/>
    <w:rsid w:val="005119A5"/>
    <w:rsid w:val="005278B7"/>
    <w:rsid w:val="00532016"/>
    <w:rsid w:val="005346C8"/>
    <w:rsid w:val="005424FC"/>
    <w:rsid w:val="00543E7D"/>
    <w:rsid w:val="00547A68"/>
    <w:rsid w:val="005531C9"/>
    <w:rsid w:val="00553E81"/>
    <w:rsid w:val="00554879"/>
    <w:rsid w:val="00570C43"/>
    <w:rsid w:val="00572696"/>
    <w:rsid w:val="00592274"/>
    <w:rsid w:val="005A0BCC"/>
    <w:rsid w:val="005A45C0"/>
    <w:rsid w:val="005B2110"/>
    <w:rsid w:val="005B2D39"/>
    <w:rsid w:val="005B350B"/>
    <w:rsid w:val="005B61E6"/>
    <w:rsid w:val="005C77E1"/>
    <w:rsid w:val="005D02FB"/>
    <w:rsid w:val="005D668A"/>
    <w:rsid w:val="005D6A2F"/>
    <w:rsid w:val="005D7830"/>
    <w:rsid w:val="005E0592"/>
    <w:rsid w:val="005E1A82"/>
    <w:rsid w:val="005E794C"/>
    <w:rsid w:val="005E7F8B"/>
    <w:rsid w:val="005F0A28"/>
    <w:rsid w:val="005F0E5E"/>
    <w:rsid w:val="00600535"/>
    <w:rsid w:val="00610CD6"/>
    <w:rsid w:val="006118C0"/>
    <w:rsid w:val="00620DEE"/>
    <w:rsid w:val="00621F92"/>
    <w:rsid w:val="0062280A"/>
    <w:rsid w:val="006231E1"/>
    <w:rsid w:val="00625639"/>
    <w:rsid w:val="00631B33"/>
    <w:rsid w:val="0064184D"/>
    <w:rsid w:val="006422CC"/>
    <w:rsid w:val="00645A5A"/>
    <w:rsid w:val="00651D18"/>
    <w:rsid w:val="006528B2"/>
    <w:rsid w:val="00656E60"/>
    <w:rsid w:val="00660E3E"/>
    <w:rsid w:val="00662E74"/>
    <w:rsid w:val="00663DDD"/>
    <w:rsid w:val="00665EB2"/>
    <w:rsid w:val="00680C23"/>
    <w:rsid w:val="00683E23"/>
    <w:rsid w:val="00693766"/>
    <w:rsid w:val="00697DBB"/>
    <w:rsid w:val="006A3281"/>
    <w:rsid w:val="006A6DE5"/>
    <w:rsid w:val="006B4888"/>
    <w:rsid w:val="006C2E45"/>
    <w:rsid w:val="006C359C"/>
    <w:rsid w:val="006C3B66"/>
    <w:rsid w:val="006C5579"/>
    <w:rsid w:val="006D6E8B"/>
    <w:rsid w:val="006D7209"/>
    <w:rsid w:val="006E2B7C"/>
    <w:rsid w:val="006E737D"/>
    <w:rsid w:val="006F700D"/>
    <w:rsid w:val="00707DD1"/>
    <w:rsid w:val="00713973"/>
    <w:rsid w:val="00720A24"/>
    <w:rsid w:val="0072690C"/>
    <w:rsid w:val="00732386"/>
    <w:rsid w:val="0073514D"/>
    <w:rsid w:val="00742CF1"/>
    <w:rsid w:val="007447F3"/>
    <w:rsid w:val="0074717A"/>
    <w:rsid w:val="0075499F"/>
    <w:rsid w:val="0076040B"/>
    <w:rsid w:val="007661C8"/>
    <w:rsid w:val="0077098D"/>
    <w:rsid w:val="007818D3"/>
    <w:rsid w:val="00785BF9"/>
    <w:rsid w:val="007931FA"/>
    <w:rsid w:val="007A4861"/>
    <w:rsid w:val="007A7BBA"/>
    <w:rsid w:val="007B0C50"/>
    <w:rsid w:val="007B48F9"/>
    <w:rsid w:val="007B4FD7"/>
    <w:rsid w:val="007C1A43"/>
    <w:rsid w:val="007C451E"/>
    <w:rsid w:val="007D0951"/>
    <w:rsid w:val="007D610D"/>
    <w:rsid w:val="0080013E"/>
    <w:rsid w:val="00801137"/>
    <w:rsid w:val="00801759"/>
    <w:rsid w:val="00804B96"/>
    <w:rsid w:val="00812C6E"/>
    <w:rsid w:val="00813288"/>
    <w:rsid w:val="008168FC"/>
    <w:rsid w:val="00830996"/>
    <w:rsid w:val="008345F1"/>
    <w:rsid w:val="00852242"/>
    <w:rsid w:val="008534EA"/>
    <w:rsid w:val="0085688B"/>
    <w:rsid w:val="008640E0"/>
    <w:rsid w:val="00865B07"/>
    <w:rsid w:val="008667EA"/>
    <w:rsid w:val="0087637F"/>
    <w:rsid w:val="00880B83"/>
    <w:rsid w:val="00892AD5"/>
    <w:rsid w:val="008A1512"/>
    <w:rsid w:val="008D32B9"/>
    <w:rsid w:val="008D3853"/>
    <w:rsid w:val="008D433B"/>
    <w:rsid w:val="008D4A16"/>
    <w:rsid w:val="008D7A03"/>
    <w:rsid w:val="008E5401"/>
    <w:rsid w:val="008E566E"/>
    <w:rsid w:val="0090161A"/>
    <w:rsid w:val="00901EB6"/>
    <w:rsid w:val="009041F8"/>
    <w:rsid w:val="00904C62"/>
    <w:rsid w:val="00922BA8"/>
    <w:rsid w:val="00924DAC"/>
    <w:rsid w:val="00927058"/>
    <w:rsid w:val="00942750"/>
    <w:rsid w:val="009450CE"/>
    <w:rsid w:val="009459BB"/>
    <w:rsid w:val="00947179"/>
    <w:rsid w:val="0095164B"/>
    <w:rsid w:val="00954090"/>
    <w:rsid w:val="009573E7"/>
    <w:rsid w:val="00963E05"/>
    <w:rsid w:val="00964A45"/>
    <w:rsid w:val="00967843"/>
    <w:rsid w:val="00967D54"/>
    <w:rsid w:val="00971028"/>
    <w:rsid w:val="00993B84"/>
    <w:rsid w:val="00994C6A"/>
    <w:rsid w:val="00996483"/>
    <w:rsid w:val="00996F5A"/>
    <w:rsid w:val="009A01F6"/>
    <w:rsid w:val="009B041A"/>
    <w:rsid w:val="009C37C3"/>
    <w:rsid w:val="009C6BE4"/>
    <w:rsid w:val="009C7C86"/>
    <w:rsid w:val="009D2FF7"/>
    <w:rsid w:val="009E0113"/>
    <w:rsid w:val="009E7884"/>
    <w:rsid w:val="009E788A"/>
    <w:rsid w:val="009F0E08"/>
    <w:rsid w:val="00A079AE"/>
    <w:rsid w:val="00A1763D"/>
    <w:rsid w:val="00A17CEC"/>
    <w:rsid w:val="00A21AF7"/>
    <w:rsid w:val="00A22D4C"/>
    <w:rsid w:val="00A27EF0"/>
    <w:rsid w:val="00A42361"/>
    <w:rsid w:val="00A44DAA"/>
    <w:rsid w:val="00A50B20"/>
    <w:rsid w:val="00A51390"/>
    <w:rsid w:val="00A55338"/>
    <w:rsid w:val="00A558CA"/>
    <w:rsid w:val="00A60D13"/>
    <w:rsid w:val="00A7223D"/>
    <w:rsid w:val="00A72745"/>
    <w:rsid w:val="00A76EFC"/>
    <w:rsid w:val="00A87D50"/>
    <w:rsid w:val="00A91010"/>
    <w:rsid w:val="00A97125"/>
    <w:rsid w:val="00A97F29"/>
    <w:rsid w:val="00AA702E"/>
    <w:rsid w:val="00AA7D26"/>
    <w:rsid w:val="00AB0964"/>
    <w:rsid w:val="00AB31A3"/>
    <w:rsid w:val="00AB3F7E"/>
    <w:rsid w:val="00AB5011"/>
    <w:rsid w:val="00AB6002"/>
    <w:rsid w:val="00AC7368"/>
    <w:rsid w:val="00AD16B9"/>
    <w:rsid w:val="00AE377D"/>
    <w:rsid w:val="00AF0EBA"/>
    <w:rsid w:val="00AF2463"/>
    <w:rsid w:val="00B02C8A"/>
    <w:rsid w:val="00B17FBD"/>
    <w:rsid w:val="00B315A6"/>
    <w:rsid w:val="00B31813"/>
    <w:rsid w:val="00B33365"/>
    <w:rsid w:val="00B57B36"/>
    <w:rsid w:val="00B57E6F"/>
    <w:rsid w:val="00B73843"/>
    <w:rsid w:val="00B76A34"/>
    <w:rsid w:val="00B8686D"/>
    <w:rsid w:val="00B93F69"/>
    <w:rsid w:val="00BA31E2"/>
    <w:rsid w:val="00BB1DDC"/>
    <w:rsid w:val="00BC30C9"/>
    <w:rsid w:val="00BD077D"/>
    <w:rsid w:val="00BD4C21"/>
    <w:rsid w:val="00BE3E58"/>
    <w:rsid w:val="00BE7D1A"/>
    <w:rsid w:val="00BF0C4A"/>
    <w:rsid w:val="00BF13CE"/>
    <w:rsid w:val="00C01616"/>
    <w:rsid w:val="00C0162B"/>
    <w:rsid w:val="00C068ED"/>
    <w:rsid w:val="00C22E0C"/>
    <w:rsid w:val="00C24D16"/>
    <w:rsid w:val="00C327E5"/>
    <w:rsid w:val="00C345B1"/>
    <w:rsid w:val="00C35812"/>
    <w:rsid w:val="00C40142"/>
    <w:rsid w:val="00C52C3C"/>
    <w:rsid w:val="00C57182"/>
    <w:rsid w:val="00C57863"/>
    <w:rsid w:val="00C640AF"/>
    <w:rsid w:val="00C64B63"/>
    <w:rsid w:val="00C655FD"/>
    <w:rsid w:val="00C70D41"/>
    <w:rsid w:val="00C75407"/>
    <w:rsid w:val="00C841C6"/>
    <w:rsid w:val="00C870A8"/>
    <w:rsid w:val="00C94434"/>
    <w:rsid w:val="00C97335"/>
    <w:rsid w:val="00CA0D75"/>
    <w:rsid w:val="00CA1C95"/>
    <w:rsid w:val="00CA5A9C"/>
    <w:rsid w:val="00CC4C20"/>
    <w:rsid w:val="00CC557F"/>
    <w:rsid w:val="00CD3517"/>
    <w:rsid w:val="00CD5FE2"/>
    <w:rsid w:val="00CD7AC1"/>
    <w:rsid w:val="00CD7CD0"/>
    <w:rsid w:val="00CE7C68"/>
    <w:rsid w:val="00D00625"/>
    <w:rsid w:val="00D01DB1"/>
    <w:rsid w:val="00D02B4C"/>
    <w:rsid w:val="00D040C4"/>
    <w:rsid w:val="00D13F89"/>
    <w:rsid w:val="00D2072B"/>
    <w:rsid w:val="00D20AD1"/>
    <w:rsid w:val="00D23D1B"/>
    <w:rsid w:val="00D2582C"/>
    <w:rsid w:val="00D46B7E"/>
    <w:rsid w:val="00D50F0D"/>
    <w:rsid w:val="00D57C84"/>
    <w:rsid w:val="00D6057D"/>
    <w:rsid w:val="00D71640"/>
    <w:rsid w:val="00D836C5"/>
    <w:rsid w:val="00D84576"/>
    <w:rsid w:val="00D93B11"/>
    <w:rsid w:val="00D977FE"/>
    <w:rsid w:val="00DA1399"/>
    <w:rsid w:val="00DA24C6"/>
    <w:rsid w:val="00DA4D7B"/>
    <w:rsid w:val="00DC0BF7"/>
    <w:rsid w:val="00DC2840"/>
    <w:rsid w:val="00DC73EE"/>
    <w:rsid w:val="00DC7A8A"/>
    <w:rsid w:val="00DD271C"/>
    <w:rsid w:val="00DE264A"/>
    <w:rsid w:val="00DF5072"/>
    <w:rsid w:val="00E02D18"/>
    <w:rsid w:val="00E041E7"/>
    <w:rsid w:val="00E23CA1"/>
    <w:rsid w:val="00E409A8"/>
    <w:rsid w:val="00E50C12"/>
    <w:rsid w:val="00E65B91"/>
    <w:rsid w:val="00E7209D"/>
    <w:rsid w:val="00E72EAD"/>
    <w:rsid w:val="00E77223"/>
    <w:rsid w:val="00E84C1C"/>
    <w:rsid w:val="00E8528B"/>
    <w:rsid w:val="00E85B94"/>
    <w:rsid w:val="00E85F24"/>
    <w:rsid w:val="00E978D0"/>
    <w:rsid w:val="00EA4613"/>
    <w:rsid w:val="00EA7F91"/>
    <w:rsid w:val="00EB1523"/>
    <w:rsid w:val="00EC0E49"/>
    <w:rsid w:val="00EC101F"/>
    <w:rsid w:val="00EC1BA6"/>
    <w:rsid w:val="00EC1D9F"/>
    <w:rsid w:val="00ED51A8"/>
    <w:rsid w:val="00EE0131"/>
    <w:rsid w:val="00EE17B0"/>
    <w:rsid w:val="00EF06D9"/>
    <w:rsid w:val="00F27EE4"/>
    <w:rsid w:val="00F3049E"/>
    <w:rsid w:val="00F30C64"/>
    <w:rsid w:val="00F32BA2"/>
    <w:rsid w:val="00F32CDB"/>
    <w:rsid w:val="00F41EE4"/>
    <w:rsid w:val="00F53628"/>
    <w:rsid w:val="00F565FE"/>
    <w:rsid w:val="00F63A70"/>
    <w:rsid w:val="00F63D8C"/>
    <w:rsid w:val="00F65596"/>
    <w:rsid w:val="00F7534E"/>
    <w:rsid w:val="00F8459B"/>
    <w:rsid w:val="00F93EDF"/>
    <w:rsid w:val="00F970FA"/>
    <w:rsid w:val="00FA1802"/>
    <w:rsid w:val="00FA21D0"/>
    <w:rsid w:val="00FA5F5F"/>
    <w:rsid w:val="00FB730C"/>
    <w:rsid w:val="00FC2695"/>
    <w:rsid w:val="00FC3E03"/>
    <w:rsid w:val="00FC3FC1"/>
    <w:rsid w:val="00FE1E25"/>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rsid w:val="00280FAF"/>
    <w:pPr>
      <w:ind w:left="720"/>
      <w:contextualSpacing/>
    </w:pPr>
  </w:style>
  <w:style w:type="character" w:customStyle="1" w:styleId="gmail-apple-converted-space">
    <w:name w:val="gmail-apple-converted-space"/>
    <w:basedOn w:val="DefaultParagraphFont"/>
    <w:rsid w:val="00005A19"/>
  </w:style>
  <w:style w:type="character" w:styleId="UnresolvedMention">
    <w:name w:val="Unresolved Mention"/>
    <w:basedOn w:val="DefaultParagraphFont"/>
    <w:uiPriority w:val="99"/>
    <w:semiHidden/>
    <w:unhideWhenUsed/>
    <w:rsid w:val="003C2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80162">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7639">
      <w:bodyDiv w:val="1"/>
      <w:marLeft w:val="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4460">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1574422">
      <w:bodyDiv w:val="1"/>
      <w:marLeft w:val="0"/>
      <w:marRight w:val="0"/>
      <w:marTop w:val="0"/>
      <w:marBottom w:val="0"/>
      <w:divBdr>
        <w:top w:val="none" w:sz="0" w:space="0" w:color="auto"/>
        <w:left w:val="none" w:sz="0" w:space="0" w:color="auto"/>
        <w:bottom w:val="none" w:sz="0" w:space="0" w:color="auto"/>
        <w:right w:val="none" w:sz="0" w:space="0" w:color="auto"/>
      </w:divBdr>
      <w:divsChild>
        <w:div w:id="143551188">
          <w:marLeft w:val="288"/>
          <w:marRight w:val="0"/>
          <w:marTop w:val="60"/>
          <w:marBottom w:val="120"/>
          <w:divBdr>
            <w:top w:val="none" w:sz="0" w:space="0" w:color="auto"/>
            <w:left w:val="none" w:sz="0" w:space="0" w:color="auto"/>
            <w:bottom w:val="none" w:sz="0" w:space="0" w:color="auto"/>
            <w:right w:val="none" w:sz="0" w:space="0" w:color="auto"/>
          </w:divBdr>
        </w:div>
        <w:div w:id="961032693">
          <w:marLeft w:val="288"/>
          <w:marRight w:val="0"/>
          <w:marTop w:val="60"/>
          <w:marBottom w:val="120"/>
          <w:divBdr>
            <w:top w:val="none" w:sz="0" w:space="0" w:color="auto"/>
            <w:left w:val="none" w:sz="0" w:space="0" w:color="auto"/>
            <w:bottom w:val="none" w:sz="0" w:space="0" w:color="auto"/>
            <w:right w:val="none" w:sz="0" w:space="0" w:color="auto"/>
          </w:divBdr>
        </w:div>
        <w:div w:id="1708288073">
          <w:marLeft w:val="288"/>
          <w:marRight w:val="0"/>
          <w:marTop w:val="60"/>
          <w:marBottom w:val="120"/>
          <w:divBdr>
            <w:top w:val="none" w:sz="0" w:space="0" w:color="auto"/>
            <w:left w:val="none" w:sz="0" w:space="0" w:color="auto"/>
            <w:bottom w:val="none" w:sz="0" w:space="0" w:color="auto"/>
            <w:right w:val="none" w:sz="0" w:space="0" w:color="auto"/>
          </w:divBdr>
        </w:div>
      </w:divsChild>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91600">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3855</Words>
  <Characters>21203</Characters>
  <Application>Microsoft Office Word</Application>
  <DocSecurity>0</DocSecurity>
  <Lines>176</Lines>
  <Paragraphs>50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25008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Mak, W.A. (Wim)</cp:lastModifiedBy>
  <cp:revision>2</cp:revision>
  <cp:lastPrinted>2015-05-12T18:31:00Z</cp:lastPrinted>
  <dcterms:created xsi:type="dcterms:W3CDTF">2024-12-09T09:47:00Z</dcterms:created>
  <dcterms:modified xsi:type="dcterms:W3CDTF">2024-12-09T09:47:00Z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