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145068772"/>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47EF826C"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785BF9">
              <w:rPr>
                <w:rFonts w:cs="Arial"/>
                <w:b/>
                <w:bCs/>
                <w:i/>
                <w:iCs/>
                <w:color w:val="000066"/>
                <w:sz w:val="22"/>
                <w:szCs w:val="22"/>
                <w:lang w:eastAsia="it-IT"/>
              </w:rPr>
              <w:t xml:space="preserve"> </w:t>
            </w:r>
            <w:r w:rsidR="00994C6A">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994C6A">
              <w:rPr>
                <w:rFonts w:cs="Arial"/>
                <w:b/>
                <w:bCs/>
                <w:i/>
                <w:iCs/>
                <w:color w:val="000066"/>
                <w:sz w:val="22"/>
                <w:szCs w:val="22"/>
                <w:lang w:eastAsia="it-IT"/>
              </w:rPr>
              <w:t>5</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30F07041" w14:textId="448917DC" w:rsidR="00F27EE4" w:rsidRPr="00F27EE4" w:rsidRDefault="00AA7D26" w:rsidP="00F27EE4">
            <w:pPr>
              <w:ind w:left="-107"/>
              <w:rPr>
                <w:rFonts w:ascii="Tahoma" w:hAnsi="Tahoma" w:cs="Tahoma"/>
                <w:b/>
                <w:bCs/>
                <w:color w:val="000000"/>
                <w:sz w:val="14"/>
                <w:szCs w:val="14"/>
                <w:shd w:val="clear" w:color="auto" w:fill="FFFFFF"/>
                <w:lang w:val="it-IT"/>
              </w:rPr>
            </w:pPr>
            <w:r w:rsidRPr="00F27EE4">
              <w:rPr>
                <w:rFonts w:ascii="Tahoma" w:hAnsi="Tahoma" w:cs="Tahoma"/>
                <w:iCs/>
                <w:color w:val="333333"/>
                <w:sz w:val="14"/>
                <w:szCs w:val="14"/>
                <w:lang w:val="it-IT" w:eastAsia="it-IT"/>
              </w:rPr>
              <w:t>Guest Editors:</w:t>
            </w:r>
            <w:r w:rsidR="007D610D" w:rsidRPr="00F27EE4">
              <w:rPr>
                <w:rFonts w:ascii="Aptos" w:eastAsiaTheme="minorHAnsi" w:hAnsi="Aptos" w:cs="Aptos"/>
                <w:sz w:val="22"/>
                <w:szCs w:val="22"/>
                <w:lang w:val="it-IT"/>
                <w14:ligatures w14:val="standardContextual"/>
              </w:rPr>
              <w:t xml:space="preserve"> </w:t>
            </w:r>
            <w:r w:rsidR="00F27EE4" w:rsidRPr="00F27EE4">
              <w:rPr>
                <w:rFonts w:ascii="Tahoma" w:hAnsi="Tahoma" w:cs="Tahoma"/>
                <w:color w:val="000000"/>
                <w:sz w:val="14"/>
                <w:szCs w:val="14"/>
                <w:shd w:val="clear" w:color="auto" w:fill="FFFFFF"/>
                <w:lang w:val="it-IT"/>
              </w:rPr>
              <w:t>Bruno Fabiano, Va</w:t>
            </w:r>
            <w:r w:rsidR="00F27EE4">
              <w:rPr>
                <w:rFonts w:ascii="Tahoma" w:hAnsi="Tahoma" w:cs="Tahoma"/>
                <w:color w:val="000000"/>
                <w:sz w:val="14"/>
                <w:szCs w:val="14"/>
                <w:shd w:val="clear" w:color="auto" w:fill="FFFFFF"/>
                <w:lang w:val="it-IT"/>
              </w:rPr>
              <w:t>lerio Cozzani</w:t>
            </w:r>
          </w:p>
          <w:p w14:paraId="1B0F1814" w14:textId="2DB8A072"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994C6A">
              <w:rPr>
                <w:rFonts w:ascii="Tahoma" w:hAnsi="Tahoma" w:cs="Tahoma"/>
                <w:iCs/>
                <w:color w:val="333333"/>
                <w:sz w:val="14"/>
                <w:szCs w:val="14"/>
                <w:lang w:eastAsia="it-IT"/>
              </w:rPr>
              <w:t>5</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3B49CD" w:rsidRPr="000562A9">
              <w:rPr>
                <w:rFonts w:ascii="Tahoma" w:hAnsi="Tahoma" w:cs="Tahoma"/>
                <w:sz w:val="14"/>
                <w:szCs w:val="14"/>
              </w:rPr>
              <w:t>97</w:t>
            </w:r>
            <w:r w:rsidR="003B49CD">
              <w:rPr>
                <w:rFonts w:ascii="Tahoma" w:hAnsi="Tahoma" w:cs="Tahoma"/>
                <w:sz w:val="14"/>
                <w:szCs w:val="14"/>
              </w:rPr>
              <w:t>9</w:t>
            </w:r>
            <w:r w:rsidR="003B49CD" w:rsidRPr="000562A9">
              <w:rPr>
                <w:rFonts w:ascii="Tahoma" w:hAnsi="Tahoma" w:cs="Tahoma"/>
                <w:sz w:val="14"/>
                <w:szCs w:val="14"/>
              </w:rPr>
              <w:t>-</w:t>
            </w:r>
            <w:r w:rsidR="003B49CD">
              <w:rPr>
                <w:rFonts w:ascii="Tahoma" w:hAnsi="Tahoma" w:cs="Tahoma"/>
                <w:sz w:val="14"/>
                <w:szCs w:val="14"/>
              </w:rPr>
              <w:t>12</w:t>
            </w:r>
            <w:r w:rsidR="003B49CD" w:rsidRPr="000562A9">
              <w:rPr>
                <w:rFonts w:ascii="Tahoma" w:hAnsi="Tahoma" w:cs="Tahoma"/>
                <w:sz w:val="14"/>
                <w:szCs w:val="14"/>
              </w:rPr>
              <w:t>-</w:t>
            </w:r>
            <w:r w:rsidR="003B49CD">
              <w:rPr>
                <w:rFonts w:ascii="Tahoma" w:hAnsi="Tahoma" w:cs="Tahoma"/>
                <w:sz w:val="14"/>
                <w:szCs w:val="14"/>
              </w:rPr>
              <w:t>81206-</w:t>
            </w:r>
            <w:r w:rsidR="00F27EE4">
              <w:rPr>
                <w:rFonts w:ascii="Tahoma" w:hAnsi="Tahoma" w:cs="Tahoma"/>
                <w:sz w:val="14"/>
                <w:szCs w:val="14"/>
              </w:rPr>
              <w:t>xx-y</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bookmarkEnd w:id="0"/>
    <w:p w14:paraId="2E667253" w14:textId="17231582" w:rsidR="00E978D0" w:rsidRPr="00B57B36" w:rsidRDefault="000C6106" w:rsidP="00E978D0">
      <w:pPr>
        <w:pStyle w:val="CETTitle"/>
      </w:pPr>
      <w:r>
        <w:t>R</w:t>
      </w:r>
      <w:r w:rsidR="007A63C8" w:rsidRPr="007A63C8">
        <w:t>elationship between heat dose and the onset of secondary fires</w:t>
      </w:r>
    </w:p>
    <w:p w14:paraId="0488FED2" w14:textId="2B6928CF" w:rsidR="00B57E6F" w:rsidRPr="0034213C" w:rsidRDefault="00D47FBB" w:rsidP="00B57E6F">
      <w:pPr>
        <w:pStyle w:val="CETAuthors"/>
        <w:rPr>
          <w:lang w:val="nl-NL"/>
        </w:rPr>
      </w:pPr>
      <w:r w:rsidRPr="0034213C">
        <w:rPr>
          <w:lang w:val="nl-NL"/>
        </w:rPr>
        <w:t>Elin Bloem</w:t>
      </w:r>
      <w:r w:rsidR="00E72124">
        <w:rPr>
          <w:vertAlign w:val="superscript"/>
          <w:lang w:val="nl-NL"/>
        </w:rPr>
        <w:t>*</w:t>
      </w:r>
      <w:r w:rsidR="00B57E6F" w:rsidRPr="0034213C">
        <w:rPr>
          <w:lang w:val="nl-NL"/>
        </w:rPr>
        <w:t xml:space="preserve">, </w:t>
      </w:r>
      <w:r w:rsidR="0034213C" w:rsidRPr="0034213C">
        <w:rPr>
          <w:lang w:val="nl-NL"/>
        </w:rPr>
        <w:t>Paul A.M. Uijt de Haag</w:t>
      </w:r>
    </w:p>
    <w:p w14:paraId="6B2D21B3" w14:textId="7C4F6A2F" w:rsidR="00B57E6F" w:rsidRPr="00FE0C73" w:rsidRDefault="0034213C" w:rsidP="00B57E6F">
      <w:pPr>
        <w:pStyle w:val="CETAddress"/>
        <w:rPr>
          <w:lang w:val="nl-NL"/>
        </w:rPr>
      </w:pPr>
      <w:r w:rsidRPr="00FE0C73">
        <w:rPr>
          <w:lang w:val="nl-NL"/>
        </w:rPr>
        <w:t>RIVM</w:t>
      </w:r>
      <w:r w:rsidR="00F535CD" w:rsidRPr="00FE0C73">
        <w:rPr>
          <w:lang w:val="nl-NL"/>
        </w:rPr>
        <w:t xml:space="preserve">, A. van Leeuwenhoeklaan 9, </w:t>
      </w:r>
      <w:r w:rsidR="008E5E1A" w:rsidRPr="00FE0C73">
        <w:rPr>
          <w:lang w:val="nl-NL"/>
        </w:rPr>
        <w:t>3721 MA Bilthoven, the Netherlands</w:t>
      </w:r>
    </w:p>
    <w:p w14:paraId="73F1267A" w14:textId="5364FF3A" w:rsidR="00B57E6F" w:rsidRPr="00B57B36" w:rsidRDefault="00794A23" w:rsidP="00B57E6F">
      <w:pPr>
        <w:pStyle w:val="CETemail"/>
      </w:pPr>
      <w:r>
        <w:t>elin.bloem</w:t>
      </w:r>
      <w:r w:rsidR="00B57E6F" w:rsidRPr="00B57B36">
        <w:t>@</w:t>
      </w:r>
      <w:r w:rsidR="00A11258">
        <w:t>rivm.nl</w:t>
      </w:r>
    </w:p>
    <w:p w14:paraId="5C2DD47F" w14:textId="1C3998D2" w:rsidR="00FE0C73" w:rsidRPr="00FE0C73" w:rsidRDefault="00FE0C73" w:rsidP="00FE0C73">
      <w:pPr>
        <w:pStyle w:val="CETBodytext"/>
        <w:rPr>
          <w:lang w:val="en-GB"/>
        </w:rPr>
      </w:pPr>
      <w:r w:rsidRPr="341924B8">
        <w:rPr>
          <w:lang w:val="en-GB"/>
        </w:rPr>
        <w:t xml:space="preserve">In the Netherlands, focus areas have been introduced around activities involving </w:t>
      </w:r>
      <w:r w:rsidR="000974AD" w:rsidRPr="341924B8">
        <w:rPr>
          <w:lang w:val="en-GB"/>
        </w:rPr>
        <w:t xml:space="preserve">large amounts of </w:t>
      </w:r>
      <w:r w:rsidRPr="341924B8">
        <w:rPr>
          <w:lang w:val="en-GB"/>
        </w:rPr>
        <w:t>hazardous substances. A focus area is defined as the effect zone where an incident can have life-threatening consequences for people inside buildings</w:t>
      </w:r>
      <w:r w:rsidR="00E53FD8" w:rsidRPr="341924B8">
        <w:rPr>
          <w:lang w:val="en-GB"/>
        </w:rPr>
        <w:t xml:space="preserve"> </w:t>
      </w:r>
      <w:r w:rsidR="009F46C0" w:rsidRPr="341924B8">
        <w:rPr>
          <w:lang w:val="en-GB"/>
        </w:rPr>
        <w:t xml:space="preserve">that are </w:t>
      </w:r>
      <w:r w:rsidR="00E53FD8" w:rsidRPr="341924B8">
        <w:rPr>
          <w:lang w:val="en-GB"/>
        </w:rPr>
        <w:t>situated outside</w:t>
      </w:r>
      <w:r w:rsidR="009F46C0" w:rsidRPr="341924B8">
        <w:rPr>
          <w:lang w:val="en-GB"/>
        </w:rPr>
        <w:t xml:space="preserve"> the plant boundary</w:t>
      </w:r>
      <w:r w:rsidR="00E53FD8" w:rsidRPr="341924B8">
        <w:rPr>
          <w:lang w:val="en-GB"/>
        </w:rPr>
        <w:t xml:space="preserve"> </w:t>
      </w:r>
      <w:r w:rsidR="009F46C0" w:rsidRPr="341924B8">
        <w:rPr>
          <w:lang w:val="en-GB"/>
        </w:rPr>
        <w:t>(“external safety”)</w:t>
      </w:r>
      <w:r w:rsidRPr="341924B8">
        <w:rPr>
          <w:lang w:val="en-GB"/>
        </w:rPr>
        <w:t>. There are three different focus areas, for toxic clouds, explosions (overpressure) and fire (heat radiation). Focus areas help policymakers to decide whether additional protective measures are needed.</w:t>
      </w:r>
    </w:p>
    <w:p w14:paraId="5E5DC265" w14:textId="7DFCBCE1" w:rsidR="009C0448" w:rsidRPr="00B57B36" w:rsidRDefault="00FE0C73" w:rsidP="00FE0C73">
      <w:pPr>
        <w:pStyle w:val="CETBodytext"/>
        <w:rPr>
          <w:lang w:val="en-GB"/>
        </w:rPr>
      </w:pPr>
      <w:r w:rsidRPr="00FE0C73">
        <w:rPr>
          <w:lang w:val="en-GB"/>
        </w:rPr>
        <w:t xml:space="preserve">This </w:t>
      </w:r>
      <w:r w:rsidR="00CE7851">
        <w:rPr>
          <w:lang w:val="en-GB"/>
        </w:rPr>
        <w:t>paper</w:t>
      </w:r>
      <w:r w:rsidRPr="00FE0C73">
        <w:rPr>
          <w:lang w:val="en-GB"/>
        </w:rPr>
        <w:t xml:space="preserve"> investigates whether a dose relationship can be used</w:t>
      </w:r>
      <w:r w:rsidR="009B58B2">
        <w:rPr>
          <w:lang w:val="en-GB"/>
        </w:rPr>
        <w:t xml:space="preserve"> to determine the fire focus area</w:t>
      </w:r>
      <w:r w:rsidRPr="00FE0C73">
        <w:rPr>
          <w:lang w:val="en-GB"/>
        </w:rPr>
        <w:t xml:space="preserve">. In a dose relationship, both the heat flux and the duration of exposure are taken into account. </w:t>
      </w:r>
      <w:r w:rsidR="005B6979">
        <w:rPr>
          <w:lang w:val="en-GB"/>
        </w:rPr>
        <w:t xml:space="preserve">First, </w:t>
      </w:r>
      <w:r w:rsidR="00AC776B">
        <w:rPr>
          <w:lang w:val="en-GB"/>
        </w:rPr>
        <w:t>the criterion for life-threatening</w:t>
      </w:r>
      <w:r w:rsidR="009F418F">
        <w:rPr>
          <w:lang w:val="en-GB"/>
        </w:rPr>
        <w:t xml:space="preserve"> consequences was established to be the onset of secondary fires. Next, </w:t>
      </w:r>
      <w:r w:rsidR="006507D8">
        <w:rPr>
          <w:lang w:val="en-GB"/>
        </w:rPr>
        <w:t xml:space="preserve">a literature search </w:t>
      </w:r>
      <w:r w:rsidR="006939D2">
        <w:rPr>
          <w:lang w:val="en-GB"/>
        </w:rPr>
        <w:t xml:space="preserve">was </w:t>
      </w:r>
      <w:r w:rsidR="00612FD2">
        <w:rPr>
          <w:lang w:val="en-GB"/>
        </w:rPr>
        <w:t xml:space="preserve">done </w:t>
      </w:r>
      <w:r w:rsidR="006939D2">
        <w:rPr>
          <w:lang w:val="en-GB"/>
        </w:rPr>
        <w:t xml:space="preserve">to </w:t>
      </w:r>
      <w:r w:rsidR="001B659A">
        <w:rPr>
          <w:lang w:val="en-GB"/>
        </w:rPr>
        <w:t xml:space="preserve">evaluate </w:t>
      </w:r>
      <w:r w:rsidRPr="00FE0C73">
        <w:rPr>
          <w:lang w:val="en-GB"/>
        </w:rPr>
        <w:t>experimental data</w:t>
      </w:r>
      <w:r w:rsidR="006507D8">
        <w:rPr>
          <w:lang w:val="en-GB"/>
        </w:rPr>
        <w:t xml:space="preserve"> </w:t>
      </w:r>
      <w:r w:rsidRPr="00FE0C73">
        <w:rPr>
          <w:lang w:val="en-GB"/>
        </w:rPr>
        <w:t xml:space="preserve">on the ignition of materials used in and around buildings. </w:t>
      </w:r>
      <w:r w:rsidR="006916BF">
        <w:rPr>
          <w:lang w:val="en-GB"/>
        </w:rPr>
        <w:t xml:space="preserve">Based on these experimental data, a relationship between </w:t>
      </w:r>
      <w:r w:rsidR="001612BF">
        <w:rPr>
          <w:lang w:val="en-GB"/>
        </w:rPr>
        <w:t>the heat radiation dose and the ignition of materials was determined.</w:t>
      </w:r>
      <w:r w:rsidR="006916BF">
        <w:rPr>
          <w:lang w:val="en-GB"/>
        </w:rPr>
        <w:t xml:space="preserve"> </w:t>
      </w:r>
      <w:r w:rsidRPr="00FE0C73">
        <w:rPr>
          <w:lang w:val="en-GB"/>
        </w:rPr>
        <w:t>F</w:t>
      </w:r>
      <w:r w:rsidR="008D5E97">
        <w:rPr>
          <w:lang w:val="en-GB"/>
        </w:rPr>
        <w:t>inally, f</w:t>
      </w:r>
      <w:r w:rsidRPr="00FE0C73">
        <w:rPr>
          <w:lang w:val="en-GB"/>
        </w:rPr>
        <w:t>our accidents of high-pressure natural gas pipelines were used to calibrate the dose relationship. Based on this study, it is proposed to use the dose relationship ∫</w:t>
      </w:r>
      <w:r w:rsidR="001B7EF5">
        <w:rPr>
          <w:lang w:val="en-GB"/>
        </w:rPr>
        <w:t xml:space="preserve"> </w:t>
      </w:r>
      <w:r w:rsidRPr="00FE0C73">
        <w:rPr>
          <w:lang w:val="en-GB"/>
        </w:rPr>
        <w:t>(R(t)</w:t>
      </w:r>
      <w:r w:rsidR="001B7EF5">
        <w:rPr>
          <w:lang w:val="en-GB"/>
        </w:rPr>
        <w:t xml:space="preserve"> </w:t>
      </w:r>
      <w:r w:rsidRPr="00FE0C73">
        <w:rPr>
          <w:lang w:val="en-GB"/>
        </w:rPr>
        <w:t>-</w:t>
      </w:r>
      <w:r w:rsidR="001B7EF5">
        <w:rPr>
          <w:lang w:val="en-GB"/>
        </w:rPr>
        <w:t xml:space="preserve"> </w:t>
      </w:r>
      <w:r w:rsidRPr="00FE0C73">
        <w:rPr>
          <w:lang w:val="en-GB"/>
        </w:rPr>
        <w:t>C)</w:t>
      </w:r>
      <w:r w:rsidR="008D5E97">
        <w:rPr>
          <w:vertAlign w:val="superscript"/>
          <w:lang w:val="en-GB"/>
        </w:rPr>
        <w:t>B</w:t>
      </w:r>
      <w:r w:rsidRPr="00FE0C73">
        <w:rPr>
          <w:lang w:val="en-GB"/>
        </w:rPr>
        <w:t xml:space="preserve"> dt</w:t>
      </w:r>
      <w:r w:rsidR="001B7EF5">
        <w:rPr>
          <w:lang w:val="en-GB"/>
        </w:rPr>
        <w:t xml:space="preserve"> </w:t>
      </w:r>
      <w:r w:rsidRPr="00FE0C73">
        <w:rPr>
          <w:lang w:val="en-GB"/>
        </w:rPr>
        <w:t>=</w:t>
      </w:r>
      <w:r w:rsidR="001B7EF5">
        <w:rPr>
          <w:lang w:val="en-GB"/>
        </w:rPr>
        <w:t xml:space="preserve"> A for the onset of secondary fires</w:t>
      </w:r>
      <w:r w:rsidR="00A32370">
        <w:rPr>
          <w:lang w:val="en-GB"/>
        </w:rPr>
        <w:t>,</w:t>
      </w:r>
      <w:r w:rsidRPr="00FE0C73">
        <w:rPr>
          <w:lang w:val="en-GB"/>
        </w:rPr>
        <w:t xml:space="preserve"> where R is the heat flux </w:t>
      </w:r>
      <w:r w:rsidR="00A32370">
        <w:rPr>
          <w:lang w:val="en-GB"/>
        </w:rPr>
        <w:t xml:space="preserve">in </w:t>
      </w:r>
      <w:r w:rsidRPr="00FE0C73">
        <w:rPr>
          <w:lang w:val="en-GB"/>
        </w:rPr>
        <w:t>kW/m</w:t>
      </w:r>
      <w:r w:rsidR="00A32370">
        <w:rPr>
          <w:vertAlign w:val="superscript"/>
          <w:lang w:val="en-GB"/>
        </w:rPr>
        <w:t>2</w:t>
      </w:r>
      <w:r w:rsidRPr="00FE0C73">
        <w:rPr>
          <w:lang w:val="en-GB"/>
        </w:rPr>
        <w:t>, C</w:t>
      </w:r>
      <w:r w:rsidR="009949B4">
        <w:rPr>
          <w:lang w:val="en-GB"/>
        </w:rPr>
        <w:t xml:space="preserve"> = 5 kW/m</w:t>
      </w:r>
      <w:r w:rsidR="009949B4">
        <w:rPr>
          <w:vertAlign w:val="superscript"/>
          <w:lang w:val="en-GB"/>
        </w:rPr>
        <w:t>2</w:t>
      </w:r>
      <w:r w:rsidRPr="00FE0C73">
        <w:rPr>
          <w:lang w:val="en-GB"/>
        </w:rPr>
        <w:t xml:space="preserve"> is the critical heat flux,</w:t>
      </w:r>
      <w:r w:rsidR="009949B4">
        <w:rPr>
          <w:lang w:val="en-GB"/>
        </w:rPr>
        <w:t xml:space="preserve"> B = 2</w:t>
      </w:r>
      <w:r w:rsidR="008A1796">
        <w:rPr>
          <w:lang w:val="en-GB"/>
        </w:rPr>
        <w:t xml:space="preserve">, </w:t>
      </w:r>
      <w:r w:rsidRPr="00FE0C73">
        <w:rPr>
          <w:lang w:val="en-GB"/>
        </w:rPr>
        <w:t>t is the time in s, and A = 28150 s</w:t>
      </w:r>
      <w:r w:rsidRPr="00FE0C73">
        <w:rPr>
          <w:rFonts w:ascii="Cambria Math" w:hAnsi="Cambria Math" w:cs="Cambria Math"/>
          <w:lang w:val="en-GB"/>
        </w:rPr>
        <w:t>⋅</w:t>
      </w:r>
      <w:r w:rsidR="00D752E4">
        <w:rPr>
          <w:rFonts w:ascii="Cambria Math" w:hAnsi="Cambria Math" w:cs="Cambria Math"/>
          <w:lang w:val="en-GB"/>
        </w:rPr>
        <w:t>(</w:t>
      </w:r>
      <w:r w:rsidRPr="00FE0C73">
        <w:rPr>
          <w:lang w:val="en-GB"/>
        </w:rPr>
        <w:t>kW/m</w:t>
      </w:r>
      <w:r w:rsidRPr="00D752E4">
        <w:rPr>
          <w:vertAlign w:val="superscript"/>
          <w:lang w:val="en-GB"/>
        </w:rPr>
        <w:t>2</w:t>
      </w:r>
      <w:r w:rsidRPr="00FE0C73">
        <w:rPr>
          <w:lang w:val="en-GB"/>
        </w:rPr>
        <w:t>)</w:t>
      </w:r>
      <w:r w:rsidRPr="00C116C9">
        <w:rPr>
          <w:vertAlign w:val="superscript"/>
          <w:lang w:val="en-GB"/>
        </w:rPr>
        <w:t>2</w:t>
      </w:r>
      <w:r w:rsidRPr="00FE0C73">
        <w:rPr>
          <w:lang w:val="en-GB"/>
        </w:rPr>
        <w:t xml:space="preserve"> is the reference dose</w:t>
      </w:r>
      <w:r w:rsidR="009C0448">
        <w:rPr>
          <w:lang w:val="en-GB"/>
        </w:rPr>
        <w:t>.</w:t>
      </w:r>
    </w:p>
    <w:p w14:paraId="476B2F2E" w14:textId="52B36035" w:rsidR="00600535" w:rsidRPr="00B57B36" w:rsidRDefault="00600535" w:rsidP="00600535">
      <w:pPr>
        <w:pStyle w:val="CETHeading1"/>
        <w:rPr>
          <w:lang w:val="en-GB"/>
        </w:rPr>
      </w:pPr>
      <w:r w:rsidRPr="00B57B36">
        <w:rPr>
          <w:lang w:val="en-GB"/>
        </w:rPr>
        <w:t>Introduction</w:t>
      </w:r>
    </w:p>
    <w:p w14:paraId="28E70EFD" w14:textId="528B718F" w:rsidR="0043432B" w:rsidRDefault="003D5199" w:rsidP="003D5199">
      <w:pPr>
        <w:pStyle w:val="Paragrafoelenco"/>
        <w:ind w:left="0"/>
        <w:rPr>
          <w:lang w:val="en-US"/>
        </w:rPr>
      </w:pPr>
      <w:r w:rsidRPr="003D5199">
        <w:rPr>
          <w:lang w:val="en-US"/>
        </w:rPr>
        <w:t>In the Netherlands, Quantitative Risk Assessment</w:t>
      </w:r>
      <w:r w:rsidR="006B69A3">
        <w:rPr>
          <w:lang w:val="en-US"/>
        </w:rPr>
        <w:t>s</w:t>
      </w:r>
      <w:r w:rsidRPr="003D5199">
        <w:rPr>
          <w:lang w:val="en-US"/>
        </w:rPr>
        <w:t xml:space="preserve"> (QRA) </w:t>
      </w:r>
      <w:r w:rsidR="006B69A3">
        <w:rPr>
          <w:lang w:val="en-US"/>
        </w:rPr>
        <w:t>are</w:t>
      </w:r>
      <w:r w:rsidR="006B69A3" w:rsidRPr="003D5199">
        <w:rPr>
          <w:lang w:val="en-US"/>
        </w:rPr>
        <w:t xml:space="preserve"> </w:t>
      </w:r>
      <w:r w:rsidRPr="003D5199">
        <w:rPr>
          <w:lang w:val="en-US"/>
        </w:rPr>
        <w:t>used for decisions on land use planning around sites with dangerous substances. Two measures are used, Individual Risk (IR) and, until 2024, Societal Risk (SR).  From 2024 onwards the calculation of Societal Risk has been replaced with the concept of focus areas</w:t>
      </w:r>
      <w:r w:rsidR="0074436F">
        <w:rPr>
          <w:lang w:val="en-US"/>
        </w:rPr>
        <w:t xml:space="preserve"> </w:t>
      </w:r>
      <w:r w:rsidR="00E8359E">
        <w:rPr>
          <w:lang w:val="en-US"/>
        </w:rPr>
        <w:t>(IPLO, 2024)</w:t>
      </w:r>
      <w:r w:rsidRPr="003D5199">
        <w:rPr>
          <w:lang w:val="en-US"/>
        </w:rPr>
        <w:t xml:space="preserve">. A focus area is defined as the effect zone where an incident can have life-threatening consequences for people inside buildings. There are three different focus areas, for toxic clouds, explosions (overpressure) and fire (heat radiation). </w:t>
      </w:r>
      <w:r w:rsidR="006F6343">
        <w:rPr>
          <w:lang w:val="en-US"/>
        </w:rPr>
        <w:t>In f</w:t>
      </w:r>
      <w:r w:rsidRPr="003D5199">
        <w:rPr>
          <w:lang w:val="en-US"/>
        </w:rPr>
        <w:t xml:space="preserve">ocus areas </w:t>
      </w:r>
      <w:r w:rsidR="00F22B06">
        <w:rPr>
          <w:lang w:val="en-US"/>
        </w:rPr>
        <w:t>p</w:t>
      </w:r>
      <w:r w:rsidRPr="003D5199">
        <w:rPr>
          <w:lang w:val="en-US"/>
        </w:rPr>
        <w:t xml:space="preserve">olicymakers </w:t>
      </w:r>
      <w:r w:rsidR="00F22B06">
        <w:rPr>
          <w:lang w:val="en-US"/>
        </w:rPr>
        <w:t xml:space="preserve">have </w:t>
      </w:r>
      <w:r w:rsidRPr="003D5199">
        <w:rPr>
          <w:lang w:val="en-US"/>
        </w:rPr>
        <w:t>to decide whether additional protective measures are needed.</w:t>
      </w:r>
    </w:p>
    <w:p w14:paraId="2A8E8973" w14:textId="77777777" w:rsidR="0043432B" w:rsidRDefault="0043432B" w:rsidP="003D5199">
      <w:pPr>
        <w:pStyle w:val="Paragrafoelenco"/>
        <w:ind w:left="0"/>
        <w:rPr>
          <w:lang w:val="en-US"/>
        </w:rPr>
      </w:pPr>
    </w:p>
    <w:p w14:paraId="53E519EC" w14:textId="58DF3B1D" w:rsidR="00027CE8" w:rsidRPr="002C1938" w:rsidRDefault="006058D8" w:rsidP="00ED60BD">
      <w:pPr>
        <w:pStyle w:val="Paragrafoelenco"/>
        <w:ind w:left="0"/>
        <w:rPr>
          <w:lang w:val="en-US"/>
        </w:rPr>
      </w:pPr>
      <w:r>
        <w:rPr>
          <w:lang w:val="en-US"/>
        </w:rPr>
        <w:t>T</w:t>
      </w:r>
      <w:r w:rsidR="0043432B" w:rsidRPr="002C1938">
        <w:rPr>
          <w:lang w:val="en-US"/>
        </w:rPr>
        <w:t>he effect of heat radiation is determined by (at least) two parameters: the heat flux and the duration</w:t>
      </w:r>
      <w:r w:rsidR="00E30276">
        <w:rPr>
          <w:lang w:val="en-US"/>
        </w:rPr>
        <w:t>. The</w:t>
      </w:r>
      <w:r w:rsidR="0043432B" w:rsidRPr="002C1938">
        <w:rPr>
          <w:lang w:val="en-US"/>
        </w:rPr>
        <w:t xml:space="preserve"> fire focus area would </w:t>
      </w:r>
      <w:r w:rsidR="00E30276">
        <w:rPr>
          <w:lang w:val="en-US"/>
        </w:rPr>
        <w:t xml:space="preserve">therefore </w:t>
      </w:r>
      <w:r w:rsidR="0043432B" w:rsidRPr="002C1938">
        <w:rPr>
          <w:lang w:val="en-US"/>
        </w:rPr>
        <w:t xml:space="preserve">best be described with </w:t>
      </w:r>
      <w:r w:rsidR="006F6BF6">
        <w:rPr>
          <w:lang w:val="en-US"/>
        </w:rPr>
        <w:t xml:space="preserve">a </w:t>
      </w:r>
      <w:r w:rsidR="0043432B" w:rsidRPr="002C1938">
        <w:rPr>
          <w:lang w:val="en-US"/>
        </w:rPr>
        <w:t xml:space="preserve">heat dose </w:t>
      </w:r>
      <w:r w:rsidR="006F6BF6">
        <w:rPr>
          <w:lang w:val="en-US"/>
        </w:rPr>
        <w:t>relationship</w:t>
      </w:r>
      <w:r w:rsidR="00AC359F">
        <w:rPr>
          <w:lang w:val="en-US"/>
        </w:rPr>
        <w:t>.</w:t>
      </w:r>
      <w:r w:rsidR="00ED60BD">
        <w:rPr>
          <w:lang w:val="en-US"/>
        </w:rPr>
        <w:t xml:space="preserve"> </w:t>
      </w:r>
      <w:r w:rsidR="00027CE8" w:rsidRPr="002C1938">
        <w:rPr>
          <w:lang w:val="en-US"/>
        </w:rPr>
        <w:t>The following steps are done to develop a dose relationship for the calculation of the fire focus area:</w:t>
      </w:r>
    </w:p>
    <w:p w14:paraId="17205651" w14:textId="4A9051F1" w:rsidR="00027CE8" w:rsidRPr="002C1938" w:rsidRDefault="00027CE8" w:rsidP="004279DC">
      <w:pPr>
        <w:pStyle w:val="CETListbullets"/>
        <w:rPr>
          <w:lang w:val="en-US"/>
        </w:rPr>
      </w:pPr>
      <w:r w:rsidRPr="002C1938">
        <w:rPr>
          <w:lang w:val="en-US"/>
        </w:rPr>
        <w:t>1.</w:t>
      </w:r>
      <w:r w:rsidRPr="002C1938">
        <w:rPr>
          <w:lang w:val="en-US"/>
        </w:rPr>
        <w:tab/>
        <w:t xml:space="preserve">Different mechanisms in which a heat flux may endanger people inside buildings </w:t>
      </w:r>
      <w:r w:rsidR="004F2D29">
        <w:rPr>
          <w:lang w:val="en-US"/>
        </w:rPr>
        <w:t>we</w:t>
      </w:r>
      <w:r w:rsidRPr="002C1938">
        <w:rPr>
          <w:lang w:val="en-US"/>
        </w:rPr>
        <w:t xml:space="preserve">re reviewed. The results are described in </w:t>
      </w:r>
      <w:r w:rsidR="004279DC">
        <w:rPr>
          <w:lang w:val="en-US"/>
        </w:rPr>
        <w:t>Section</w:t>
      </w:r>
      <w:r w:rsidRPr="002C1938">
        <w:rPr>
          <w:lang w:val="en-US"/>
        </w:rPr>
        <w:t xml:space="preserve"> 2.</w:t>
      </w:r>
    </w:p>
    <w:p w14:paraId="4E9C2443" w14:textId="460289A1" w:rsidR="00027CE8" w:rsidRPr="002C1938" w:rsidRDefault="00027CE8" w:rsidP="004279DC">
      <w:pPr>
        <w:pStyle w:val="CETListbullets"/>
        <w:rPr>
          <w:lang w:val="en-US"/>
        </w:rPr>
      </w:pPr>
      <w:r w:rsidRPr="002C1938">
        <w:rPr>
          <w:lang w:val="en-US"/>
        </w:rPr>
        <w:t>2.</w:t>
      </w:r>
      <w:r w:rsidRPr="002C1938">
        <w:rPr>
          <w:lang w:val="en-US"/>
        </w:rPr>
        <w:tab/>
        <w:t xml:space="preserve">As secondary fires </w:t>
      </w:r>
      <w:r w:rsidR="004F2D29">
        <w:rPr>
          <w:lang w:val="en-US"/>
        </w:rPr>
        <w:t>we</w:t>
      </w:r>
      <w:r w:rsidR="004F2D29" w:rsidRPr="002C1938">
        <w:rPr>
          <w:lang w:val="en-US"/>
        </w:rPr>
        <w:t xml:space="preserve">re </w:t>
      </w:r>
      <w:r w:rsidRPr="002C1938">
        <w:rPr>
          <w:lang w:val="en-US"/>
        </w:rPr>
        <w:t xml:space="preserve">considered to be the primary danger to people inside buildings, a literature search </w:t>
      </w:r>
      <w:r w:rsidR="004F2D29">
        <w:rPr>
          <w:lang w:val="en-US"/>
        </w:rPr>
        <w:t>was</w:t>
      </w:r>
      <w:r w:rsidR="004F2D29" w:rsidRPr="002C1938">
        <w:rPr>
          <w:lang w:val="en-US"/>
        </w:rPr>
        <w:t xml:space="preserve"> </w:t>
      </w:r>
      <w:r w:rsidRPr="002C1938">
        <w:rPr>
          <w:lang w:val="en-US"/>
        </w:rPr>
        <w:t xml:space="preserve">done to the effect of external heat radiation on materials found in and near buildings and the initiation of secondary fires. The results of the literature study are described in </w:t>
      </w:r>
      <w:r w:rsidR="004279DC">
        <w:rPr>
          <w:lang w:val="en-US"/>
        </w:rPr>
        <w:t>Section 3</w:t>
      </w:r>
      <w:r w:rsidRPr="002C1938">
        <w:rPr>
          <w:lang w:val="en-US"/>
        </w:rPr>
        <w:t>.</w:t>
      </w:r>
    </w:p>
    <w:p w14:paraId="5727F914" w14:textId="04A6D598" w:rsidR="00027CE8" w:rsidRPr="002C1938" w:rsidRDefault="00027CE8" w:rsidP="004279DC">
      <w:pPr>
        <w:pStyle w:val="CETListbullets"/>
        <w:rPr>
          <w:lang w:val="en-US"/>
        </w:rPr>
      </w:pPr>
      <w:r w:rsidRPr="002C1938">
        <w:rPr>
          <w:lang w:val="en-US"/>
        </w:rPr>
        <w:t>3.</w:t>
      </w:r>
      <w:r w:rsidRPr="002C1938">
        <w:rPr>
          <w:lang w:val="en-US"/>
        </w:rPr>
        <w:tab/>
        <w:t xml:space="preserve">Based on the literature search, a dose relationship for the initiation of secondary fires </w:t>
      </w:r>
      <w:r w:rsidR="00D549C2">
        <w:rPr>
          <w:lang w:val="en-US"/>
        </w:rPr>
        <w:t>was</w:t>
      </w:r>
      <w:r w:rsidR="00D549C2" w:rsidRPr="002C1938">
        <w:rPr>
          <w:lang w:val="en-US"/>
        </w:rPr>
        <w:t xml:space="preserve"> </w:t>
      </w:r>
      <w:r w:rsidRPr="002C1938">
        <w:rPr>
          <w:lang w:val="en-US"/>
        </w:rPr>
        <w:t xml:space="preserve">developed. The dose relationship </w:t>
      </w:r>
      <w:r w:rsidR="00D549C2">
        <w:rPr>
          <w:lang w:val="en-US"/>
        </w:rPr>
        <w:t>was</w:t>
      </w:r>
      <w:r w:rsidR="00D549C2" w:rsidRPr="002C1938">
        <w:rPr>
          <w:lang w:val="en-US"/>
        </w:rPr>
        <w:t xml:space="preserve"> </w:t>
      </w:r>
      <w:r w:rsidRPr="002C1938">
        <w:rPr>
          <w:lang w:val="en-US"/>
        </w:rPr>
        <w:t>calibrated with four incidents of high pressure natural gas pipelines (</w:t>
      </w:r>
      <w:r w:rsidR="00C63FBA">
        <w:rPr>
          <w:lang w:val="en-US"/>
        </w:rPr>
        <w:t>Section</w:t>
      </w:r>
      <w:r w:rsidR="00AC72AE">
        <w:rPr>
          <w:lang w:val="en-US"/>
        </w:rPr>
        <w:t>s</w:t>
      </w:r>
      <w:r w:rsidRPr="002C1938">
        <w:rPr>
          <w:lang w:val="en-US"/>
        </w:rPr>
        <w:t xml:space="preserve"> 4 and 5).</w:t>
      </w:r>
    </w:p>
    <w:p w14:paraId="0BE46436" w14:textId="77777777" w:rsidR="00027CE8" w:rsidRDefault="00027CE8" w:rsidP="003D5199">
      <w:pPr>
        <w:pStyle w:val="Paragrafoelenco"/>
        <w:ind w:left="0"/>
        <w:rPr>
          <w:lang w:val="en-US"/>
        </w:rPr>
      </w:pPr>
    </w:p>
    <w:p w14:paraId="5741900F" w14:textId="62970FF1" w:rsidR="00453E24" w:rsidRDefault="0044035B" w:rsidP="00453E24">
      <w:pPr>
        <w:pStyle w:val="CETHeading1"/>
      </w:pPr>
      <w:r>
        <w:lastRenderedPageBreak/>
        <w:t>Danger to people inside buildings</w:t>
      </w:r>
    </w:p>
    <w:p w14:paraId="0D91A048" w14:textId="3B2F6D63" w:rsidR="00B6398B" w:rsidRPr="00011BE2" w:rsidRDefault="00B6398B" w:rsidP="00B6398B">
      <w:r w:rsidRPr="51DB62F7">
        <w:t>An incident with flammable substances results, after ignition, in a fire, such as a flash fire, pool fire, jet fire or fireball. The resulting heat radiation may endanger people.</w:t>
      </w:r>
      <w:r w:rsidR="0044035B" w:rsidRPr="51DB62F7">
        <w:t xml:space="preserve"> </w:t>
      </w:r>
      <w:r w:rsidRPr="51DB62F7">
        <w:t>Direct exposure of people to high levels of heat radiation may result in second- or third-degree burns which may lead to death. Although windows do not block heat radiation entirely</w:t>
      </w:r>
      <w:r w:rsidR="00893874" w:rsidRPr="51DB62F7">
        <w:t>,</w:t>
      </w:r>
      <w:r w:rsidRPr="51DB62F7">
        <w:t xml:space="preserve"> </w:t>
      </w:r>
      <w:r w:rsidR="00893874" w:rsidRPr="51DB62F7">
        <w:t>people</w:t>
      </w:r>
      <w:r w:rsidRPr="51DB62F7">
        <w:t xml:space="preserve"> inside a building can find protection against direct exposure. Even if direct exposure to heat radiation is avoided, heat radiation may still have life-threatening consequences for people in buildings through the following phenomena: the collapse of the building, too high temperature in the building and secondary fires </w:t>
      </w:r>
      <w:r w:rsidR="00F22B06">
        <w:t>in</w:t>
      </w:r>
      <w:r w:rsidRPr="51DB62F7">
        <w:t xml:space="preserve"> the building.  </w:t>
      </w:r>
    </w:p>
    <w:p w14:paraId="26BEB05E" w14:textId="77777777" w:rsidR="00B6398B" w:rsidRPr="00011BE2" w:rsidRDefault="00B6398B" w:rsidP="00333ADA">
      <w:pPr>
        <w:pStyle w:val="CETheadingx"/>
      </w:pPr>
      <w:r w:rsidRPr="00011BE2">
        <w:t>Collapse of the building</w:t>
      </w:r>
    </w:p>
    <w:p w14:paraId="728053BB" w14:textId="26562A2A" w:rsidR="00B6398B" w:rsidRPr="00011BE2" w:rsidRDefault="00B6398B" w:rsidP="00B6398B">
      <w:pPr>
        <w:rPr>
          <w:lang w:val="en-US"/>
        </w:rPr>
      </w:pPr>
      <w:r w:rsidRPr="00011BE2">
        <w:rPr>
          <w:lang w:val="en-US"/>
        </w:rPr>
        <w:t>Intense heat radiation weakens steel constructions and may result in the collapse of buildings. However, this phenomena requires high levels of heat radiation, in the order of 100 kW/m</w:t>
      </w:r>
      <w:r w:rsidRPr="00BD6A17">
        <w:rPr>
          <w:vertAlign w:val="superscript"/>
          <w:lang w:val="en-US"/>
        </w:rPr>
        <w:t>2</w:t>
      </w:r>
      <w:r w:rsidRPr="00011BE2">
        <w:rPr>
          <w:lang w:val="en-US"/>
        </w:rPr>
        <w:t xml:space="preserve"> or more for at least half an hour </w:t>
      </w:r>
      <w:r w:rsidR="003A25A6">
        <w:rPr>
          <w:lang w:val="en-US"/>
        </w:rPr>
        <w:t>(VROM, 2003)</w:t>
      </w:r>
      <w:r w:rsidRPr="00011BE2">
        <w:rPr>
          <w:lang w:val="en-US"/>
        </w:rPr>
        <w:t xml:space="preserve">. As </w:t>
      </w:r>
      <w:r w:rsidR="008C197A">
        <w:rPr>
          <w:lang w:val="en-US"/>
        </w:rPr>
        <w:t>shown in Section 3,</w:t>
      </w:r>
      <w:r w:rsidRPr="00011BE2">
        <w:rPr>
          <w:lang w:val="en-US"/>
        </w:rPr>
        <w:t xml:space="preserve"> the threshold for the initiation of secondary fires is lower.</w:t>
      </w:r>
      <w:r w:rsidR="00A54609">
        <w:rPr>
          <w:lang w:val="en-US"/>
        </w:rPr>
        <w:t xml:space="preserve"> </w:t>
      </w:r>
      <w:r w:rsidRPr="00011BE2">
        <w:rPr>
          <w:lang w:val="en-US"/>
        </w:rPr>
        <w:t>Hence, the collapse of buildings is not used as criterion for the boundary of the fire focus area.</w:t>
      </w:r>
    </w:p>
    <w:p w14:paraId="40193288" w14:textId="77777777" w:rsidR="00B6398B" w:rsidRPr="00011BE2" w:rsidRDefault="00B6398B" w:rsidP="003B2BA2">
      <w:pPr>
        <w:pStyle w:val="CETheadingx"/>
      </w:pPr>
      <w:r w:rsidRPr="00011BE2">
        <w:t>Too high temperature in building</w:t>
      </w:r>
    </w:p>
    <w:p w14:paraId="63E72A10" w14:textId="540F6227" w:rsidR="00346699" w:rsidRDefault="00B6398B" w:rsidP="00B6398B">
      <w:pPr>
        <w:rPr>
          <w:lang w:val="en-US"/>
        </w:rPr>
      </w:pPr>
      <w:r w:rsidRPr="00011BE2">
        <w:rPr>
          <w:lang w:val="en-US"/>
        </w:rPr>
        <w:t xml:space="preserve">Intense heat radiation will increase the temperature in a building. If the temperature becomes too high, people </w:t>
      </w:r>
      <w:r w:rsidR="00F074B6">
        <w:rPr>
          <w:lang w:val="en-US"/>
        </w:rPr>
        <w:t>can die</w:t>
      </w:r>
      <w:r w:rsidRPr="00011BE2">
        <w:rPr>
          <w:lang w:val="en-US"/>
        </w:rPr>
        <w:t xml:space="preserve"> due to heat stroke, skin burns or respiratory tract burns. It is assumed that during the type of incidents for which the focus areas are intended fatalities will not occur below 60</w:t>
      </w:r>
      <w:r w:rsidR="00745B12">
        <w:rPr>
          <w:lang w:val="en-US"/>
        </w:rPr>
        <w:t xml:space="preserve"> </w:t>
      </w:r>
      <w:r w:rsidRPr="00011BE2">
        <w:rPr>
          <w:lang w:val="en-US"/>
        </w:rPr>
        <w:t>˚C and may occur above this threshold</w:t>
      </w:r>
      <w:r w:rsidR="00016125">
        <w:rPr>
          <w:lang w:val="en-US"/>
        </w:rPr>
        <w:t xml:space="preserve"> (Hazebroek et al, 2015)</w:t>
      </w:r>
      <w:r w:rsidRPr="00011BE2">
        <w:rPr>
          <w:lang w:val="en-US"/>
        </w:rPr>
        <w:t xml:space="preserve">. </w:t>
      </w:r>
    </w:p>
    <w:p w14:paraId="7D9767B1" w14:textId="071CDADF" w:rsidR="00B6398B" w:rsidRPr="00011BE2" w:rsidRDefault="00B6398B" w:rsidP="00B6398B">
      <w:pPr>
        <w:rPr>
          <w:lang w:val="en-US"/>
        </w:rPr>
      </w:pPr>
      <w:r w:rsidRPr="00011BE2">
        <w:rPr>
          <w:lang w:val="en-US"/>
        </w:rPr>
        <w:t>The heat radiation increases the air temperature inside the building indirectly. The building absorbs the heat radiation and warms up. This in turn increases the air temperature inside the building.</w:t>
      </w:r>
      <w:r w:rsidR="00346699">
        <w:rPr>
          <w:lang w:val="en-US"/>
        </w:rPr>
        <w:t xml:space="preserve"> </w:t>
      </w:r>
      <w:r w:rsidRPr="00011BE2">
        <w:rPr>
          <w:lang w:val="en-US"/>
        </w:rPr>
        <w:t>A simple calculation shows that a heat flux of 10 kW/m</w:t>
      </w:r>
      <w:r w:rsidRPr="007C7453">
        <w:rPr>
          <w:vertAlign w:val="superscript"/>
          <w:lang w:val="en-US"/>
        </w:rPr>
        <w:t>2</w:t>
      </w:r>
      <w:r w:rsidRPr="00011BE2">
        <w:rPr>
          <w:lang w:val="en-US"/>
        </w:rPr>
        <w:t xml:space="preserve"> on a brick wall with heat capacity 1</w:t>
      </w:r>
      <w:r w:rsidR="00636E67">
        <w:rPr>
          <w:lang w:val="en-US"/>
        </w:rPr>
        <w:t>500</w:t>
      </w:r>
      <w:r w:rsidRPr="00011BE2">
        <w:rPr>
          <w:lang w:val="en-US"/>
        </w:rPr>
        <w:t xml:space="preserve"> </w:t>
      </w:r>
      <w:r w:rsidR="00636E67">
        <w:rPr>
          <w:lang w:val="en-US"/>
        </w:rPr>
        <w:t>k</w:t>
      </w:r>
      <w:r w:rsidRPr="00011BE2">
        <w:rPr>
          <w:lang w:val="en-US"/>
        </w:rPr>
        <w:t>J/m</w:t>
      </w:r>
      <w:r w:rsidRPr="007C7453">
        <w:rPr>
          <w:vertAlign w:val="superscript"/>
          <w:lang w:val="en-US"/>
        </w:rPr>
        <w:t>3</w:t>
      </w:r>
      <w:r w:rsidRPr="00011BE2">
        <w:rPr>
          <w:lang w:val="en-US"/>
        </w:rPr>
        <w:t xml:space="preserve">.K and a thickness of 0.2 m leads to a 30˚C temperature rise of the wall after 900 s. This is a very conservative approach by assuming that all radiation is absorbed and all heat loss terms due to conduction and convection are ignored. Furthermore, the temperature rise inside the building is </w:t>
      </w:r>
      <w:r w:rsidR="008C4DFA">
        <w:rPr>
          <w:lang w:val="en-US"/>
        </w:rPr>
        <w:t>reduced</w:t>
      </w:r>
      <w:r w:rsidR="008C4DFA" w:rsidRPr="00011BE2">
        <w:rPr>
          <w:lang w:val="en-US"/>
        </w:rPr>
        <w:t xml:space="preserve"> </w:t>
      </w:r>
      <w:r w:rsidRPr="00011BE2">
        <w:rPr>
          <w:lang w:val="en-US"/>
        </w:rPr>
        <w:t>by unexposed walls. A heat flux of 10 kW/m</w:t>
      </w:r>
      <w:r w:rsidRPr="00636E67">
        <w:rPr>
          <w:vertAlign w:val="superscript"/>
          <w:lang w:val="en-US"/>
        </w:rPr>
        <w:t>2</w:t>
      </w:r>
      <w:r w:rsidRPr="00011BE2">
        <w:rPr>
          <w:lang w:val="en-US"/>
        </w:rPr>
        <w:t xml:space="preserve"> during 900 s is comparable to the threshold for the initiation of secondary fir</w:t>
      </w:r>
      <w:r w:rsidR="00636E67">
        <w:rPr>
          <w:lang w:val="en-US"/>
        </w:rPr>
        <w:t xml:space="preserve">es (see Section </w:t>
      </w:r>
      <w:r w:rsidR="004C37A8">
        <w:rPr>
          <w:lang w:val="en-US"/>
        </w:rPr>
        <w:fldChar w:fldCharType="begin"/>
      </w:r>
      <w:r w:rsidR="004C37A8">
        <w:rPr>
          <w:lang w:val="en-US"/>
        </w:rPr>
        <w:instrText xml:space="preserve"> REF _Ref181617953 \r \h </w:instrText>
      </w:r>
      <w:r w:rsidR="004C37A8">
        <w:rPr>
          <w:lang w:val="en-US"/>
        </w:rPr>
      </w:r>
      <w:r w:rsidR="004C37A8">
        <w:rPr>
          <w:lang w:val="en-US"/>
        </w:rPr>
        <w:fldChar w:fldCharType="separate"/>
      </w:r>
      <w:r w:rsidR="00D315BC">
        <w:rPr>
          <w:lang w:val="en-US"/>
        </w:rPr>
        <w:t>3</w:t>
      </w:r>
      <w:r w:rsidR="004C37A8">
        <w:rPr>
          <w:lang w:val="en-US"/>
        </w:rPr>
        <w:fldChar w:fldCharType="end"/>
      </w:r>
      <w:r w:rsidR="00DB3557">
        <w:rPr>
          <w:lang w:val="en-US"/>
        </w:rPr>
        <w:t>)</w:t>
      </w:r>
      <w:r w:rsidRPr="00011BE2">
        <w:rPr>
          <w:lang w:val="en-US"/>
        </w:rPr>
        <w:t xml:space="preserve">. Given the very conservative approach, it is concluded that secondary fires initiate </w:t>
      </w:r>
      <w:r w:rsidR="003C1F15">
        <w:rPr>
          <w:lang w:val="en-US"/>
        </w:rPr>
        <w:t>before</w:t>
      </w:r>
      <w:r w:rsidRPr="00011BE2">
        <w:rPr>
          <w:lang w:val="en-US"/>
        </w:rPr>
        <w:t xml:space="preserve"> indoor temperature rises to dangerous levels. Therefore the temperature inside buildings is not used as criterion for the boundary of the fire focus area.</w:t>
      </w:r>
    </w:p>
    <w:p w14:paraId="3471DEFF" w14:textId="0289E368" w:rsidR="00B6398B" w:rsidRPr="00011BE2" w:rsidRDefault="00B6398B" w:rsidP="00333ADA">
      <w:pPr>
        <w:pStyle w:val="CETheadingx"/>
      </w:pPr>
      <w:r w:rsidRPr="00011BE2">
        <w:t>Initiation of secondary fires</w:t>
      </w:r>
    </w:p>
    <w:p w14:paraId="70E63D2A" w14:textId="076B8DF5" w:rsidR="00B6398B" w:rsidRDefault="00B6398B" w:rsidP="00B6398B">
      <w:pPr>
        <w:rPr>
          <w:lang w:val="en-US"/>
        </w:rPr>
      </w:pPr>
      <w:r w:rsidRPr="00011BE2">
        <w:rPr>
          <w:lang w:val="en-US"/>
        </w:rPr>
        <w:t>If a combustible material is exposed to heat radiation, it may catch fire if the combination of duration and intensity of the radiation is large enough. If materials near or in buildings catch fire, people in buildings may suffer life-threatening consequences. The radiation dose required for secondary fires is lower than the dose required for lethal temperatures in the building or required for the collapse of the building.</w:t>
      </w:r>
      <w:r w:rsidR="0026174D">
        <w:rPr>
          <w:lang w:val="en-US"/>
        </w:rPr>
        <w:t xml:space="preserve"> Therefore</w:t>
      </w:r>
      <w:r w:rsidR="005D0269">
        <w:t xml:space="preserve">, </w:t>
      </w:r>
      <w:r w:rsidR="005D0269" w:rsidRPr="00011BE2">
        <w:rPr>
          <w:lang w:val="en-US"/>
        </w:rPr>
        <w:t xml:space="preserve">the initiation of secondary fires </w:t>
      </w:r>
      <w:r w:rsidR="005D0269">
        <w:t>is used as</w:t>
      </w:r>
      <w:r w:rsidR="005D0269" w:rsidRPr="00011BE2">
        <w:rPr>
          <w:lang w:val="en-US"/>
        </w:rPr>
        <w:t xml:space="preserve"> boundary of the fire focus area</w:t>
      </w:r>
      <w:r w:rsidR="00DE2DC9">
        <w:rPr>
          <w:lang w:val="en-US"/>
        </w:rPr>
        <w:t xml:space="preserve"> (Boxman et al, 2022). </w:t>
      </w:r>
    </w:p>
    <w:p w14:paraId="074DF306" w14:textId="4AD8AC6F" w:rsidR="008B2A73" w:rsidRDefault="0065659C" w:rsidP="008B2A73">
      <w:pPr>
        <w:pStyle w:val="CETHeading1"/>
      </w:pPr>
      <w:bookmarkStart w:id="1" w:name="_Ref181617953"/>
      <w:r>
        <w:t xml:space="preserve">Literature study </w:t>
      </w:r>
      <w:r w:rsidR="00CA4E14">
        <w:t xml:space="preserve">on </w:t>
      </w:r>
      <w:r>
        <w:t>ignition data</w:t>
      </w:r>
      <w:bookmarkEnd w:id="1"/>
    </w:p>
    <w:p w14:paraId="33409660" w14:textId="54FC1472" w:rsidR="00B97464" w:rsidRPr="00680CB4" w:rsidRDefault="00B97464" w:rsidP="00B97464">
      <w:pPr>
        <w:rPr>
          <w:lang w:val="en-US"/>
        </w:rPr>
      </w:pPr>
      <w:r w:rsidRPr="00680CB4">
        <w:rPr>
          <w:lang w:val="en-US"/>
        </w:rPr>
        <w:t>A literature study was done to find the relation between heat radiation and time to ignition</w:t>
      </w:r>
      <w:r w:rsidR="006F57E0">
        <w:rPr>
          <w:lang w:val="en-US"/>
        </w:rPr>
        <w:t xml:space="preserve"> for materials</w:t>
      </w:r>
      <w:r w:rsidR="00D5480D">
        <w:rPr>
          <w:lang w:val="en-US"/>
        </w:rPr>
        <w:t xml:space="preserve"> </w:t>
      </w:r>
      <w:r w:rsidR="00D5480D" w:rsidRPr="002C1938">
        <w:rPr>
          <w:lang w:val="en-US"/>
        </w:rPr>
        <w:t>found in and near buildings</w:t>
      </w:r>
      <w:r w:rsidR="00D5480D">
        <w:rPr>
          <w:lang w:val="en-US"/>
        </w:rPr>
        <w:t>.</w:t>
      </w:r>
      <w:r w:rsidR="005D4AF5">
        <w:rPr>
          <w:lang w:val="en-US"/>
        </w:rPr>
        <w:t xml:space="preserve"> To derive the dose relationship for the onset of secondary fires,</w:t>
      </w:r>
      <w:r w:rsidRPr="00680CB4">
        <w:rPr>
          <w:lang w:val="en-US"/>
        </w:rPr>
        <w:t xml:space="preserve"> data from piloted ignition experiments is used. This is a more conservative approach as it takes the presence of an ignition source into account. For example dry leaves on a window</w:t>
      </w:r>
      <w:r w:rsidR="00AF2801">
        <w:rPr>
          <w:lang w:val="en-US"/>
        </w:rPr>
        <w:t xml:space="preserve"> </w:t>
      </w:r>
      <w:r w:rsidRPr="00680CB4">
        <w:rPr>
          <w:lang w:val="en-US"/>
        </w:rPr>
        <w:t>sill can ignite much faster than the window</w:t>
      </w:r>
      <w:r w:rsidR="00AF2801">
        <w:rPr>
          <w:lang w:val="en-US"/>
        </w:rPr>
        <w:t xml:space="preserve"> </w:t>
      </w:r>
      <w:r w:rsidRPr="00680CB4">
        <w:rPr>
          <w:lang w:val="en-US"/>
        </w:rPr>
        <w:t xml:space="preserve">sill itself, thereby becoming an ignition source for the window sill. </w:t>
      </w:r>
      <w:r w:rsidR="00611143">
        <w:rPr>
          <w:lang w:val="en-US"/>
        </w:rPr>
        <w:t>Also g</w:t>
      </w:r>
      <w:r w:rsidRPr="00680CB4">
        <w:rPr>
          <w:lang w:val="en-US"/>
        </w:rPr>
        <w:t>lowing or burning material spread from the fire may become an ignition source. DNV</w:t>
      </w:r>
      <w:r w:rsidR="00DE2DC9">
        <w:rPr>
          <w:lang w:val="en-US"/>
        </w:rPr>
        <w:t xml:space="preserve"> (DNV GL, 2018)</w:t>
      </w:r>
      <w:r w:rsidR="00CF26E5">
        <w:rPr>
          <w:lang w:val="en-US"/>
        </w:rPr>
        <w:t>, Bilo and Kinsman</w:t>
      </w:r>
      <w:r w:rsidR="00B05DCB">
        <w:rPr>
          <w:lang w:val="en-US"/>
        </w:rPr>
        <w:t xml:space="preserve"> </w:t>
      </w:r>
      <w:r w:rsidR="00DE2DC9">
        <w:rPr>
          <w:lang w:val="en-US"/>
        </w:rPr>
        <w:t>(1997</w:t>
      </w:r>
      <w:r w:rsidR="00B05DCB">
        <w:rPr>
          <w:lang w:val="en-US"/>
        </w:rPr>
        <w:t>) and HSE (</w:t>
      </w:r>
      <w:r w:rsidR="00A329E5">
        <w:rPr>
          <w:lang w:val="en-US"/>
        </w:rPr>
        <w:t>Burre</w:t>
      </w:r>
      <w:r w:rsidR="00C9365D">
        <w:rPr>
          <w:lang w:val="en-US"/>
        </w:rPr>
        <w:t>ll and Hare, 2006</w:t>
      </w:r>
      <w:r w:rsidR="00DE2DC9">
        <w:rPr>
          <w:lang w:val="en-US"/>
        </w:rPr>
        <w:t>)</w:t>
      </w:r>
      <w:r w:rsidR="00F35E6F">
        <w:rPr>
          <w:lang w:val="en-US"/>
        </w:rPr>
        <w:t xml:space="preserve"> </w:t>
      </w:r>
      <w:r w:rsidRPr="00680CB4">
        <w:rPr>
          <w:lang w:val="en-US"/>
        </w:rPr>
        <w:t xml:space="preserve">also use piloted ignition for their dose relationship, for the same reasons. </w:t>
      </w:r>
    </w:p>
    <w:p w14:paraId="1329E28A" w14:textId="76ACBAC3" w:rsidR="005974F8" w:rsidRPr="00011BE2" w:rsidRDefault="005974F8" w:rsidP="005974F8">
      <w:pPr>
        <w:pStyle w:val="CETheadingx"/>
      </w:pPr>
      <w:r>
        <w:t>Data on piloted ignition</w:t>
      </w:r>
    </w:p>
    <w:p w14:paraId="70AC747E" w14:textId="10EC30D8" w:rsidR="004A472C" w:rsidRPr="00F66784" w:rsidRDefault="004A472C" w:rsidP="00F66784">
      <w:pPr>
        <w:rPr>
          <w:lang w:val="en-US"/>
        </w:rPr>
      </w:pPr>
      <w:r w:rsidRPr="00F66784">
        <w:rPr>
          <w:lang w:val="en-US"/>
        </w:rPr>
        <w:t xml:space="preserve">The time to ignition for piloted ignition experiments with constant heat flux from 25 different papers were collected, giving over 600 datapoints. The </w:t>
      </w:r>
      <w:r w:rsidR="00FD30B3">
        <w:rPr>
          <w:lang w:val="en-US"/>
        </w:rPr>
        <w:t>data is plotted</w:t>
      </w:r>
      <w:r w:rsidRPr="00F66784">
        <w:rPr>
          <w:lang w:val="en-US"/>
        </w:rPr>
        <w:t xml:space="preserve"> </w:t>
      </w:r>
      <w:r w:rsidR="00F66784">
        <w:rPr>
          <w:lang w:val="en-US"/>
        </w:rPr>
        <w:t>in Figure 1</w:t>
      </w:r>
      <w:r w:rsidRPr="00F66784">
        <w:rPr>
          <w:lang w:val="en-US"/>
        </w:rPr>
        <w:t xml:space="preserve">. </w:t>
      </w:r>
    </w:p>
    <w:p w14:paraId="0C2A5E09" w14:textId="77777777" w:rsidR="009F3CEB" w:rsidRDefault="009F3CEB" w:rsidP="009F3CEB">
      <w:pPr>
        <w:pStyle w:val="RIVMStandaard"/>
      </w:pPr>
    </w:p>
    <w:p w14:paraId="21301E20" w14:textId="2300F1C1" w:rsidR="009B3B5D" w:rsidRDefault="00AE1529" w:rsidP="00CD3C09">
      <w:pPr>
        <w:rPr>
          <w:lang w:val="en-US"/>
        </w:rPr>
      </w:pPr>
      <w:r>
        <w:rPr>
          <w:lang w:val="en-US"/>
        </w:rPr>
        <w:t xml:space="preserve">Two things are noticeable. First is the </w:t>
      </w:r>
      <w:r w:rsidR="009F3CEB" w:rsidRPr="00156D32">
        <w:rPr>
          <w:lang w:val="en-US"/>
        </w:rPr>
        <w:t>very limited amount of data available below 10 kW/m</w:t>
      </w:r>
      <w:r w:rsidR="009F3CEB" w:rsidRPr="008E146E">
        <w:rPr>
          <w:vertAlign w:val="superscript"/>
          <w:lang w:val="en-US"/>
        </w:rPr>
        <w:t>2</w:t>
      </w:r>
      <w:r w:rsidR="009F3CEB" w:rsidRPr="00156D32">
        <w:rPr>
          <w:lang w:val="en-US"/>
        </w:rPr>
        <w:t>. The</w:t>
      </w:r>
      <w:r w:rsidR="006C1E03">
        <w:rPr>
          <w:lang w:val="en-US"/>
        </w:rPr>
        <w:t>re may be various reasons for this</w:t>
      </w:r>
      <w:r w:rsidR="00E424D7">
        <w:rPr>
          <w:lang w:val="en-US"/>
        </w:rPr>
        <w:t>. One</w:t>
      </w:r>
      <w:r w:rsidR="009F3CEB" w:rsidRPr="00156D32">
        <w:rPr>
          <w:lang w:val="en-US"/>
        </w:rPr>
        <w:t xml:space="preserve"> reason </w:t>
      </w:r>
      <w:r w:rsidR="00156D32">
        <w:rPr>
          <w:lang w:val="en-US"/>
        </w:rPr>
        <w:t>may be</w:t>
      </w:r>
      <w:r w:rsidR="009F3CEB" w:rsidRPr="00156D32">
        <w:rPr>
          <w:lang w:val="en-US"/>
        </w:rPr>
        <w:t xml:space="preserve"> </w:t>
      </w:r>
      <w:r w:rsidR="00156D32">
        <w:rPr>
          <w:lang w:val="en-US"/>
        </w:rPr>
        <w:t xml:space="preserve">that </w:t>
      </w:r>
      <w:r w:rsidR="009F3CEB" w:rsidRPr="00156D32">
        <w:rPr>
          <w:lang w:val="en-US"/>
        </w:rPr>
        <w:t>it was considered as not interesting</w:t>
      </w:r>
      <w:r w:rsidR="00F741CA">
        <w:rPr>
          <w:lang w:val="en-US"/>
        </w:rPr>
        <w:t xml:space="preserve"> to study</w:t>
      </w:r>
      <w:r w:rsidR="009F3CEB" w:rsidRPr="00156D32">
        <w:rPr>
          <w:lang w:val="en-US"/>
        </w:rPr>
        <w:t xml:space="preserve"> because of the long time to ignition. Another reason may be limitations of the experimental setup. </w:t>
      </w:r>
      <w:r>
        <w:rPr>
          <w:lang w:val="en-US"/>
        </w:rPr>
        <w:t>Second is</w:t>
      </w:r>
      <w:r w:rsidR="001A690F">
        <w:rPr>
          <w:lang w:val="en-US"/>
        </w:rPr>
        <w:t xml:space="preserve"> that t</w:t>
      </w:r>
      <w:r w:rsidR="00AF1CAB">
        <w:rPr>
          <w:lang w:val="en-US"/>
        </w:rPr>
        <w:t xml:space="preserve">here appears to be </w:t>
      </w:r>
      <w:r w:rsidR="003B4C05" w:rsidRPr="003B4C05">
        <w:rPr>
          <w:lang w:val="en-US"/>
        </w:rPr>
        <w:t xml:space="preserve">a difference between wood and plastic. </w:t>
      </w:r>
      <w:r w:rsidR="007327A7" w:rsidRPr="007327A7">
        <w:rPr>
          <w:lang w:val="en-US"/>
        </w:rPr>
        <w:t>It seems that below 20 kW/m</w:t>
      </w:r>
      <w:r w:rsidR="007327A7" w:rsidRPr="007327A7">
        <w:rPr>
          <w:vertAlign w:val="superscript"/>
          <w:lang w:val="en-US"/>
        </w:rPr>
        <w:t>2</w:t>
      </w:r>
      <w:r w:rsidR="007327A7" w:rsidRPr="007327A7">
        <w:rPr>
          <w:lang w:val="en-US"/>
        </w:rPr>
        <w:t xml:space="preserve"> the first materials to ignite are plastics, while above 20 kW/m</w:t>
      </w:r>
      <w:r w:rsidR="007327A7" w:rsidRPr="007327A7">
        <w:rPr>
          <w:vertAlign w:val="superscript"/>
          <w:lang w:val="en-US"/>
        </w:rPr>
        <w:t>2</w:t>
      </w:r>
      <w:r w:rsidR="007327A7" w:rsidRPr="007327A7">
        <w:rPr>
          <w:lang w:val="en-US"/>
        </w:rPr>
        <w:t xml:space="preserve"> this is wood.</w:t>
      </w:r>
      <w:r w:rsidR="00CD3C09">
        <w:rPr>
          <w:lang w:val="en-US"/>
        </w:rPr>
        <w:t xml:space="preserve"> </w:t>
      </w:r>
    </w:p>
    <w:p w14:paraId="055ACCC3" w14:textId="77777777" w:rsidR="009B3B5D" w:rsidRDefault="009B3B5D" w:rsidP="00CD3C09">
      <w:pPr>
        <w:rPr>
          <w:lang w:val="en-US"/>
        </w:rPr>
      </w:pPr>
    </w:p>
    <w:p w14:paraId="01BED3E7" w14:textId="77777777" w:rsidR="00677BA5" w:rsidRDefault="00677BA5" w:rsidP="00CD3C09"/>
    <w:p w14:paraId="64E7FAA9" w14:textId="77777777" w:rsidR="00A109F4" w:rsidRDefault="2ECB26EF" w:rsidP="00A109F4">
      <w:pPr>
        <w:keepNext/>
      </w:pPr>
      <w:r>
        <w:rPr>
          <w:noProof/>
        </w:rPr>
        <w:lastRenderedPageBreak/>
        <w:drawing>
          <wp:inline distT="0" distB="0" distL="0" distR="0" wp14:anchorId="3FD5CF9F" wp14:editId="0EC39530">
            <wp:extent cx="5571181" cy="3343275"/>
            <wp:effectExtent l="0" t="0" r="0" b="0"/>
            <wp:docPr id="772752062" name="Picture 77275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52062" name="Picture 772752062"/>
                    <pic:cNvPicPr/>
                  </pic:nvPicPr>
                  <pic:blipFill>
                    <a:blip r:embed="rId13"/>
                    <a:stretch>
                      <a:fillRect/>
                    </a:stretch>
                  </pic:blipFill>
                  <pic:spPr>
                    <a:xfrm>
                      <a:off x="0" y="0"/>
                      <a:ext cx="5571181" cy="3343275"/>
                    </a:xfrm>
                    <a:prstGeom prst="rect">
                      <a:avLst/>
                    </a:prstGeom>
                  </pic:spPr>
                </pic:pic>
              </a:graphicData>
            </a:graphic>
          </wp:inline>
        </w:drawing>
      </w:r>
    </w:p>
    <w:p w14:paraId="060FDB62" w14:textId="0D0ECA21" w:rsidR="004A472C" w:rsidRDefault="00A109F4" w:rsidP="00A109F4">
      <w:pPr>
        <w:pStyle w:val="CETCaption"/>
      </w:pPr>
      <w:r>
        <w:t xml:space="preserve">Figure </w:t>
      </w:r>
      <w:r>
        <w:fldChar w:fldCharType="begin"/>
      </w:r>
      <w:r>
        <w:instrText xml:space="preserve"> SEQ Figure \* ARABIC </w:instrText>
      </w:r>
      <w:r>
        <w:fldChar w:fldCharType="separate"/>
      </w:r>
      <w:r w:rsidR="00D315BC">
        <w:rPr>
          <w:noProof/>
        </w:rPr>
        <w:t>1</w:t>
      </w:r>
      <w:r>
        <w:fldChar w:fldCharType="end"/>
      </w:r>
      <w:r>
        <w:t xml:space="preserve">: </w:t>
      </w:r>
      <w:r w:rsidRPr="005B3782">
        <w:t>Log-log plot of the time to ignition for different materials</w:t>
      </w:r>
      <w:r w:rsidR="003469A3">
        <w:t xml:space="preserve"> and the dose relationships </w:t>
      </w:r>
      <w:r w:rsidRPr="005B3782">
        <w:t>according to DNV (DNV GL, 2018)</w:t>
      </w:r>
      <w:r w:rsidR="003469A3">
        <w:t>,</w:t>
      </w:r>
      <w:r w:rsidRPr="005B3782">
        <w:t xml:space="preserve">HSE (Burrell and Hare, 2006), </w:t>
      </w:r>
      <w:r w:rsidR="003469A3">
        <w:t xml:space="preserve">and </w:t>
      </w:r>
      <w:r w:rsidR="004D48A3">
        <w:t>the one found in this</w:t>
      </w:r>
      <w:r w:rsidR="003469A3">
        <w:t xml:space="preserve"> study</w:t>
      </w:r>
      <w:r w:rsidRPr="005B3782">
        <w:t>.</w:t>
      </w:r>
    </w:p>
    <w:p w14:paraId="0C00B930" w14:textId="6FDE3C3F" w:rsidR="004C2479" w:rsidRDefault="005A7EB4" w:rsidP="005A7EB4">
      <w:pPr>
        <w:rPr>
          <w:lang w:val="en-US"/>
        </w:rPr>
      </w:pPr>
      <w:r>
        <w:rPr>
          <w:lang w:val="en-US"/>
        </w:rPr>
        <w:t>Also shown in Figure 1 are the dose relationships derived by DNV</w:t>
      </w:r>
      <w:r w:rsidR="00DE2DC9">
        <w:rPr>
          <w:lang w:val="en-US"/>
        </w:rPr>
        <w:t xml:space="preserve"> (DNV GL, 2018)</w:t>
      </w:r>
      <w:r w:rsidR="00F12E84">
        <w:rPr>
          <w:lang w:val="en-US"/>
        </w:rPr>
        <w:t>,</w:t>
      </w:r>
      <w:r>
        <w:rPr>
          <w:lang w:val="en-US"/>
        </w:rPr>
        <w:t>HSE</w:t>
      </w:r>
      <w:r w:rsidR="007D1F8F">
        <w:rPr>
          <w:lang w:val="en-US"/>
        </w:rPr>
        <w:t xml:space="preserve"> (</w:t>
      </w:r>
      <w:r w:rsidR="007D1F8F" w:rsidRPr="00300E80">
        <w:rPr>
          <w:noProof/>
        </w:rPr>
        <w:t>Burrell and Hare</w:t>
      </w:r>
      <w:r w:rsidR="007D1F8F">
        <w:rPr>
          <w:noProof/>
        </w:rPr>
        <w:t xml:space="preserve">, </w:t>
      </w:r>
      <w:r w:rsidR="007D1F8F" w:rsidRPr="00300E80">
        <w:rPr>
          <w:noProof/>
        </w:rPr>
        <w:t>2006</w:t>
      </w:r>
      <w:r w:rsidR="007D1F8F">
        <w:rPr>
          <w:noProof/>
        </w:rPr>
        <w:t>)</w:t>
      </w:r>
      <w:r w:rsidR="00F12E84">
        <w:rPr>
          <w:noProof/>
        </w:rPr>
        <w:t>, and the one found in this study</w:t>
      </w:r>
      <w:r>
        <w:rPr>
          <w:lang w:val="en-US"/>
        </w:rPr>
        <w:t>. The</w:t>
      </w:r>
      <w:r w:rsidR="000239AF">
        <w:rPr>
          <w:lang w:val="en-US"/>
        </w:rPr>
        <w:t xml:space="preserve"> </w:t>
      </w:r>
      <w:r>
        <w:rPr>
          <w:lang w:val="en-US"/>
        </w:rPr>
        <w:t>dose relationship</w:t>
      </w:r>
      <w:r w:rsidR="0084210C">
        <w:rPr>
          <w:lang w:val="en-US"/>
        </w:rPr>
        <w:t>s</w:t>
      </w:r>
      <w:r>
        <w:rPr>
          <w:lang w:val="en-US"/>
        </w:rPr>
        <w:t xml:space="preserve"> for the piloted ignition o</w:t>
      </w:r>
      <w:r w:rsidR="004C2479">
        <w:rPr>
          <w:lang w:val="en-US"/>
        </w:rPr>
        <w:t xml:space="preserve">f materials </w:t>
      </w:r>
      <w:r w:rsidR="00FF32DB">
        <w:rPr>
          <w:lang w:val="en-US"/>
        </w:rPr>
        <w:t>a</w:t>
      </w:r>
      <w:r w:rsidR="0084210C">
        <w:rPr>
          <w:lang w:val="en-US"/>
        </w:rPr>
        <w:t>re</w:t>
      </w:r>
      <w:r w:rsidR="004C2479">
        <w:rPr>
          <w:lang w:val="en-US"/>
        </w:rPr>
        <w:t xml:space="preserve"> given by Eq</w:t>
      </w:r>
      <w:r w:rsidR="00244567">
        <w:rPr>
          <w:lang w:val="en-US"/>
        </w:rPr>
        <w:t xml:space="preserve"> </w:t>
      </w:r>
      <w:r w:rsidR="004C2479">
        <w:rPr>
          <w:lang w:val="en-US"/>
        </w:rPr>
        <w:t>(1)</w:t>
      </w:r>
      <w:r w:rsidR="00666171">
        <w:rPr>
          <w:lang w:val="en-US"/>
        </w:rPr>
        <w:t>.</w:t>
      </w:r>
    </w:p>
    <w:p w14:paraId="62E3669B" w14:textId="77777777" w:rsidR="004C2479" w:rsidRDefault="004C2479" w:rsidP="005A7EB4">
      <w:pPr>
        <w:rPr>
          <w:lang w:val="en-US"/>
        </w:rPr>
      </w:pPr>
    </w:p>
    <w:p w14:paraId="77ACA1E5" w14:textId="7B8A1A82" w:rsidR="005A7EB4" w:rsidRDefault="00317FCB" w:rsidP="00697393">
      <w:pPr>
        <w:pStyle w:val="CETEquation"/>
        <w:rPr>
          <w:lang w:val="en-US"/>
        </w:rPr>
      </w:pPr>
      <m:oMath>
        <m:r>
          <w:rPr>
            <w:rFonts w:ascii="Cambria Math" w:hAnsi="Cambria Math"/>
            <w:lang w:val="en-US"/>
          </w:rPr>
          <m:t>∫</m:t>
        </m:r>
        <m:sSup>
          <m:sSupPr>
            <m:ctrlPr>
              <w:rPr>
                <w:rFonts w:ascii="Cambria Math" w:hAnsi="Cambria Math"/>
                <w:i/>
                <w:lang w:val="en-US"/>
              </w:rPr>
            </m:ctrlPr>
          </m:sSupPr>
          <m:e>
            <m:r>
              <w:rPr>
                <w:rFonts w:ascii="Cambria Math" w:hAnsi="Cambria Math"/>
                <w:lang w:val="en-US"/>
              </w:rPr>
              <m:t>(R(t)-C)</m:t>
            </m:r>
          </m:e>
          <m:sup>
            <m:r>
              <w:rPr>
                <w:rFonts w:ascii="Cambria Math" w:hAnsi="Cambria Math"/>
                <w:lang w:val="en-US"/>
              </w:rPr>
              <m:t>B</m:t>
            </m:r>
          </m:sup>
        </m:sSup>
        <m:r>
          <w:rPr>
            <w:rFonts w:ascii="Cambria Math" w:hAnsi="Cambria Math"/>
            <w:lang w:val="en-US"/>
          </w:rPr>
          <m:t xml:space="preserve"> dt=A</m:t>
        </m:r>
      </m:oMath>
      <w:r w:rsidR="005A7EB4">
        <w:rPr>
          <w:lang w:val="en-US"/>
        </w:rPr>
        <w:t xml:space="preserve"> </w:t>
      </w:r>
      <w:r w:rsidR="004051A1">
        <w:rPr>
          <w:lang w:val="en-US"/>
        </w:rPr>
        <w:tab/>
      </w:r>
      <w:r w:rsidR="005141A2">
        <w:rPr>
          <w:lang w:val="en-US"/>
        </w:rPr>
        <w:tab/>
      </w:r>
      <w:r w:rsidR="005141A2">
        <w:rPr>
          <w:lang w:val="en-US"/>
        </w:rPr>
        <w:tab/>
      </w:r>
      <w:r w:rsidR="00214ACF">
        <w:rPr>
          <w:lang w:val="en-US"/>
        </w:rPr>
        <w:t>(1)</w:t>
      </w:r>
    </w:p>
    <w:p w14:paraId="37980B0C" w14:textId="77777777" w:rsidR="005A7EB4" w:rsidRDefault="005A7EB4" w:rsidP="005A7EB4">
      <w:pPr>
        <w:rPr>
          <w:lang w:val="en-US"/>
        </w:rPr>
      </w:pPr>
    </w:p>
    <w:p w14:paraId="3FA9FF1C" w14:textId="34EF6DCA" w:rsidR="005A7EB4" w:rsidRPr="00B35DF1" w:rsidRDefault="00214ACF" w:rsidP="00B35DF1">
      <w:pPr>
        <w:rPr>
          <w:rStyle w:val="CETCaptionCarattere"/>
          <w:i w:val="0"/>
          <w:lang w:val="en-US"/>
        </w:rPr>
      </w:pPr>
      <w:r>
        <w:rPr>
          <w:lang w:val="en-US"/>
        </w:rPr>
        <w:t xml:space="preserve">With R heat </w:t>
      </w:r>
      <w:r w:rsidR="00D270EE">
        <w:rPr>
          <w:lang w:val="en-US"/>
        </w:rPr>
        <w:t>flux</w:t>
      </w:r>
      <w:r>
        <w:rPr>
          <w:lang w:val="en-US"/>
        </w:rPr>
        <w:t xml:space="preserve"> in kW/</w:t>
      </w:r>
      <w:r w:rsidRPr="00214ACF">
        <w:rPr>
          <w:lang w:val="en-US"/>
        </w:rPr>
        <w:t>m</w:t>
      </w:r>
      <w:r>
        <w:rPr>
          <w:vertAlign w:val="superscript"/>
          <w:lang w:val="en-US"/>
        </w:rPr>
        <w:t>2</w:t>
      </w:r>
      <w:r w:rsidR="00D270EE">
        <w:rPr>
          <w:lang w:val="en-US"/>
        </w:rPr>
        <w:t>, C the critical</w:t>
      </w:r>
      <w:r>
        <w:rPr>
          <w:lang w:val="en-US"/>
        </w:rPr>
        <w:t xml:space="preserve"> </w:t>
      </w:r>
      <w:r w:rsidR="00D270EE">
        <w:rPr>
          <w:lang w:val="en-US"/>
        </w:rPr>
        <w:t>heat flu</w:t>
      </w:r>
      <w:r w:rsidR="00B84B67">
        <w:rPr>
          <w:lang w:val="en-US"/>
        </w:rPr>
        <w:t>x in kW/</w:t>
      </w:r>
      <w:r w:rsidR="00B84B67" w:rsidRPr="00214ACF">
        <w:rPr>
          <w:lang w:val="en-US"/>
        </w:rPr>
        <w:t>m</w:t>
      </w:r>
      <w:r w:rsidR="00B84B67">
        <w:rPr>
          <w:vertAlign w:val="superscript"/>
          <w:lang w:val="en-US"/>
        </w:rPr>
        <w:t>2</w:t>
      </w:r>
      <w:r w:rsidR="00B84B67">
        <w:rPr>
          <w:lang w:val="en-US"/>
        </w:rPr>
        <w:t xml:space="preserve">, B </w:t>
      </w:r>
      <w:r w:rsidR="004D0096">
        <w:rPr>
          <w:lang w:val="en-US"/>
        </w:rPr>
        <w:t xml:space="preserve">a constant and A the </w:t>
      </w:r>
      <w:r w:rsidR="00AD1256">
        <w:rPr>
          <w:lang w:val="en-US"/>
        </w:rPr>
        <w:t>reference</w:t>
      </w:r>
      <w:r w:rsidR="004D0096">
        <w:rPr>
          <w:lang w:val="en-US"/>
        </w:rPr>
        <w:t xml:space="preserve"> dose leading to ignition </w:t>
      </w:r>
      <w:r w:rsidR="00A40EF5">
        <w:rPr>
          <w:lang w:val="en-US"/>
        </w:rPr>
        <w:t xml:space="preserve">in </w:t>
      </w:r>
      <w:r w:rsidR="00AD1256">
        <w:rPr>
          <w:lang w:val="en-US"/>
        </w:rPr>
        <w:t>s.(kW/</w:t>
      </w:r>
      <w:r w:rsidR="00AD1256" w:rsidRPr="00214ACF">
        <w:rPr>
          <w:lang w:val="en-US"/>
        </w:rPr>
        <w:t>m</w:t>
      </w:r>
      <w:r w:rsidR="00AD1256">
        <w:rPr>
          <w:vertAlign w:val="superscript"/>
          <w:lang w:val="en-US"/>
        </w:rPr>
        <w:t>2</w:t>
      </w:r>
      <w:r w:rsidR="00AD1256">
        <w:rPr>
          <w:lang w:val="en-US"/>
        </w:rPr>
        <w:t>)</w:t>
      </w:r>
      <w:r w:rsidR="00AD1256">
        <w:rPr>
          <w:vertAlign w:val="superscript"/>
          <w:lang w:val="en-US"/>
        </w:rPr>
        <w:t>B</w:t>
      </w:r>
      <w:r w:rsidR="00AD1256">
        <w:rPr>
          <w:lang w:val="en-US"/>
        </w:rPr>
        <w:t>. T</w:t>
      </w:r>
      <w:r w:rsidR="005A7EB4" w:rsidRPr="00214ACF">
        <w:rPr>
          <w:lang w:val="en-US"/>
        </w:rPr>
        <w:t>he</w:t>
      </w:r>
      <w:r w:rsidR="005A7EB4" w:rsidRPr="00680CB4">
        <w:rPr>
          <w:lang w:val="en-US"/>
        </w:rPr>
        <w:t xml:space="preserve"> </w:t>
      </w:r>
      <w:r w:rsidR="00FF32DB">
        <w:rPr>
          <w:lang w:val="en-US"/>
        </w:rPr>
        <w:t xml:space="preserve">values used by </w:t>
      </w:r>
      <w:r w:rsidR="005A7EB4" w:rsidRPr="00680CB4">
        <w:rPr>
          <w:lang w:val="en-US"/>
        </w:rPr>
        <w:t>DNV</w:t>
      </w:r>
      <w:r w:rsidR="00FF32DB">
        <w:rPr>
          <w:lang w:val="en-US"/>
        </w:rPr>
        <w:t xml:space="preserve"> and HSE are respectively</w:t>
      </w:r>
      <w:r w:rsidR="00B51D05">
        <w:rPr>
          <w:lang w:val="en-US"/>
        </w:rPr>
        <w:t xml:space="preserve"> C =</w:t>
      </w:r>
      <w:r w:rsidR="002A769E">
        <w:rPr>
          <w:lang w:val="en-US"/>
        </w:rPr>
        <w:t xml:space="preserve"> </w:t>
      </w:r>
      <w:r w:rsidR="00600D51">
        <w:rPr>
          <w:lang w:val="en-US"/>
        </w:rPr>
        <w:t>12.0</w:t>
      </w:r>
      <w:r w:rsidR="002A769E">
        <w:rPr>
          <w:lang w:val="en-US"/>
        </w:rPr>
        <w:t xml:space="preserve"> kW/m</w:t>
      </w:r>
      <w:r w:rsidR="002A769E">
        <w:rPr>
          <w:vertAlign w:val="superscript"/>
          <w:lang w:val="en-US"/>
        </w:rPr>
        <w:t>2</w:t>
      </w:r>
      <w:r w:rsidR="002A769E">
        <w:rPr>
          <w:lang w:val="en-US"/>
        </w:rPr>
        <w:t xml:space="preserve">, </w:t>
      </w:r>
      <w:r w:rsidR="00A25D78">
        <w:rPr>
          <w:lang w:val="en-US"/>
        </w:rPr>
        <w:t>B = 2</w:t>
      </w:r>
      <w:r w:rsidR="006A3F45">
        <w:rPr>
          <w:lang w:val="en-US"/>
        </w:rPr>
        <w:t>,</w:t>
      </w:r>
      <w:r w:rsidR="00A25D78">
        <w:rPr>
          <w:lang w:val="en-US"/>
        </w:rPr>
        <w:t xml:space="preserve"> A = 17500</w:t>
      </w:r>
      <w:r w:rsidR="002A769E">
        <w:rPr>
          <w:lang w:val="en-US"/>
        </w:rPr>
        <w:t xml:space="preserve"> </w:t>
      </w:r>
      <w:r w:rsidR="00A25D78">
        <w:rPr>
          <w:lang w:val="en-US"/>
        </w:rPr>
        <w:t>s.(kW/</w:t>
      </w:r>
      <w:r w:rsidR="00A25D78" w:rsidRPr="00214ACF">
        <w:rPr>
          <w:lang w:val="en-US"/>
        </w:rPr>
        <w:t>m</w:t>
      </w:r>
      <w:r w:rsidR="00A25D78">
        <w:rPr>
          <w:vertAlign w:val="superscript"/>
          <w:lang w:val="en-US"/>
        </w:rPr>
        <w:t>2</w:t>
      </w:r>
      <w:r w:rsidR="00A25D78">
        <w:rPr>
          <w:lang w:val="en-US"/>
        </w:rPr>
        <w:t>)</w:t>
      </w:r>
      <w:r w:rsidR="006A3F45">
        <w:rPr>
          <w:vertAlign w:val="superscript"/>
          <w:lang w:val="en-US"/>
        </w:rPr>
        <w:t>2</w:t>
      </w:r>
      <w:r w:rsidR="00A25D78" w:rsidRPr="00680CB4">
        <w:rPr>
          <w:lang w:val="en-US"/>
        </w:rPr>
        <w:t xml:space="preserve"> </w:t>
      </w:r>
      <w:r w:rsidR="00B51D05">
        <w:rPr>
          <w:lang w:val="en-US"/>
        </w:rPr>
        <w:t xml:space="preserve">and </w:t>
      </w:r>
      <w:r w:rsidR="00C230D5">
        <w:rPr>
          <w:lang w:val="en-US"/>
        </w:rPr>
        <w:t xml:space="preserve">C = </w:t>
      </w:r>
      <w:r w:rsidR="00B24909">
        <w:rPr>
          <w:lang w:val="en-US"/>
        </w:rPr>
        <w:t>12.6 kW/m</w:t>
      </w:r>
      <w:r w:rsidR="00B24909">
        <w:rPr>
          <w:vertAlign w:val="superscript"/>
          <w:lang w:val="en-US"/>
        </w:rPr>
        <w:t>2</w:t>
      </w:r>
      <w:r w:rsidR="00B51D05">
        <w:rPr>
          <w:lang w:val="en-US"/>
        </w:rPr>
        <w:t>, B = 1.5</w:t>
      </w:r>
      <w:r w:rsidR="006A3F45">
        <w:rPr>
          <w:lang w:val="en-US"/>
        </w:rPr>
        <w:t>,</w:t>
      </w:r>
      <w:r w:rsidR="00A12F37">
        <w:rPr>
          <w:lang w:val="en-US"/>
        </w:rPr>
        <w:t xml:space="preserve"> A = </w:t>
      </w:r>
      <w:r w:rsidR="00EE7545">
        <w:rPr>
          <w:lang w:val="en-US"/>
        </w:rPr>
        <w:t>1</w:t>
      </w:r>
      <w:r w:rsidR="00472C97">
        <w:rPr>
          <w:lang w:val="en-US"/>
        </w:rPr>
        <w:t>288</w:t>
      </w:r>
      <w:r w:rsidR="00EE7545" w:rsidRPr="00680CB4">
        <w:rPr>
          <w:lang w:val="en-US"/>
        </w:rPr>
        <w:t xml:space="preserve"> </w:t>
      </w:r>
      <w:r w:rsidR="00A12F37">
        <w:rPr>
          <w:lang w:val="en-US"/>
        </w:rPr>
        <w:t>s.(kW/</w:t>
      </w:r>
      <w:r w:rsidR="00A12F37" w:rsidRPr="00214ACF">
        <w:rPr>
          <w:lang w:val="en-US"/>
        </w:rPr>
        <w:t>m</w:t>
      </w:r>
      <w:r w:rsidR="00A12F37">
        <w:rPr>
          <w:vertAlign w:val="superscript"/>
          <w:lang w:val="en-US"/>
        </w:rPr>
        <w:t>2</w:t>
      </w:r>
      <w:r w:rsidR="00A12F37">
        <w:rPr>
          <w:lang w:val="en-US"/>
        </w:rPr>
        <w:t>)</w:t>
      </w:r>
      <w:r w:rsidR="00A12F37">
        <w:rPr>
          <w:vertAlign w:val="superscript"/>
          <w:lang w:val="en-US"/>
        </w:rPr>
        <w:t>1.5</w:t>
      </w:r>
      <w:r w:rsidR="00A12F37">
        <w:rPr>
          <w:lang w:val="en-US"/>
        </w:rPr>
        <w:t xml:space="preserve">. </w:t>
      </w:r>
      <w:r w:rsidR="005F2001">
        <w:rPr>
          <w:lang w:val="en-US"/>
        </w:rPr>
        <w:t>In general, t</w:t>
      </w:r>
      <w:r w:rsidR="006700F2">
        <w:rPr>
          <w:lang w:val="en-US"/>
        </w:rPr>
        <w:t xml:space="preserve">he DNV </w:t>
      </w:r>
      <w:r w:rsidR="005A7EB4" w:rsidRPr="00680CB4">
        <w:rPr>
          <w:lang w:val="en-US"/>
        </w:rPr>
        <w:t>dose relationship predicts longer time to ignition</w:t>
      </w:r>
      <w:r w:rsidR="006700F2">
        <w:rPr>
          <w:lang w:val="en-US"/>
        </w:rPr>
        <w:t xml:space="preserve"> than the HSE relationship. </w:t>
      </w:r>
      <w:r w:rsidR="005A7EB4" w:rsidRPr="00680CB4">
        <w:rPr>
          <w:lang w:val="en-US"/>
        </w:rPr>
        <w:t>In addition</w:t>
      </w:r>
      <w:r w:rsidR="005A7EB4">
        <w:rPr>
          <w:lang w:val="en-US"/>
        </w:rPr>
        <w:t>,</w:t>
      </w:r>
      <w:r w:rsidR="005A7EB4" w:rsidRPr="00680CB4">
        <w:rPr>
          <w:lang w:val="en-US"/>
        </w:rPr>
        <w:t xml:space="preserve"> 39% of the datapoints in the graph are below the curve of DNV, i.e. the materials will ignite faster than predicted by the dose relationship. In both </w:t>
      </w:r>
      <w:r w:rsidR="006700F2">
        <w:rPr>
          <w:lang w:val="en-US"/>
        </w:rPr>
        <w:t>relationships</w:t>
      </w:r>
      <w:r w:rsidR="005A7EB4" w:rsidRPr="00680CB4">
        <w:rPr>
          <w:lang w:val="en-US"/>
        </w:rPr>
        <w:t xml:space="preserve"> the critical heat flux </w:t>
      </w:r>
      <w:r w:rsidR="005A7EB4">
        <w:rPr>
          <w:lang w:val="en-US"/>
        </w:rPr>
        <w:t>seem</w:t>
      </w:r>
      <w:r w:rsidR="005A7EB4" w:rsidRPr="00680CB4">
        <w:rPr>
          <w:lang w:val="en-US"/>
        </w:rPr>
        <w:t>s too high</w:t>
      </w:r>
      <w:r w:rsidR="005A7EB4">
        <w:rPr>
          <w:lang w:val="en-US"/>
        </w:rPr>
        <w:t xml:space="preserve"> as </w:t>
      </w:r>
      <w:r w:rsidR="005A7EB4" w:rsidRPr="00680CB4">
        <w:rPr>
          <w:lang w:val="en-US"/>
        </w:rPr>
        <w:t>materials can ignite well below</w:t>
      </w:r>
      <w:r w:rsidR="006700F2">
        <w:rPr>
          <w:lang w:val="en-US"/>
        </w:rPr>
        <w:t xml:space="preserve"> the critical heat flux of </w:t>
      </w:r>
      <w:r w:rsidR="005A7EB4" w:rsidRPr="00680CB4">
        <w:rPr>
          <w:lang w:val="en-US"/>
        </w:rPr>
        <w:t>12</w:t>
      </w:r>
      <w:r w:rsidR="00F8363E">
        <w:rPr>
          <w:lang w:val="en-US"/>
        </w:rPr>
        <w:t>.6</w:t>
      </w:r>
      <w:r w:rsidR="005A7EB4" w:rsidRPr="00680CB4">
        <w:rPr>
          <w:lang w:val="en-US"/>
        </w:rPr>
        <w:t xml:space="preserve"> kW/m</w:t>
      </w:r>
      <w:r w:rsidR="005A7EB4" w:rsidRPr="00F8363E">
        <w:rPr>
          <w:vertAlign w:val="superscript"/>
          <w:lang w:val="en-US"/>
        </w:rPr>
        <w:t>2</w:t>
      </w:r>
      <w:r w:rsidR="00F8363E">
        <w:rPr>
          <w:lang w:val="en-US"/>
        </w:rPr>
        <w:t>.</w:t>
      </w:r>
      <w:r w:rsidR="005A7EB4">
        <w:rPr>
          <w:lang w:val="en-US"/>
        </w:rPr>
        <w:t xml:space="preserve"> An explanation for this can be that </w:t>
      </w:r>
      <w:r w:rsidR="00654A1A">
        <w:rPr>
          <w:lang w:val="en-US"/>
        </w:rPr>
        <w:t>the</w:t>
      </w:r>
      <w:r w:rsidR="005A7EB4">
        <w:t xml:space="preserve"> dose relationships of both DNV and HSE have been (partially) based on </w:t>
      </w:r>
      <w:r w:rsidR="00F8363E">
        <w:t>ex</w:t>
      </w:r>
      <w:r w:rsidR="005A7EB4">
        <w:t>perimental data on the time to ignition for wood</w:t>
      </w:r>
      <w:r w:rsidR="00E61583">
        <w:t xml:space="preserve"> (</w:t>
      </w:r>
      <w:r w:rsidR="00E61583" w:rsidRPr="00300E80">
        <w:rPr>
          <w:noProof/>
        </w:rPr>
        <w:t>Bilo</w:t>
      </w:r>
      <w:r w:rsidR="00957D80">
        <w:rPr>
          <w:noProof/>
        </w:rPr>
        <w:t xml:space="preserve"> and</w:t>
      </w:r>
      <w:r w:rsidR="00E61583">
        <w:rPr>
          <w:noProof/>
        </w:rPr>
        <w:t xml:space="preserve"> </w:t>
      </w:r>
      <w:r w:rsidR="00E61583" w:rsidRPr="00300E80">
        <w:rPr>
          <w:noProof/>
        </w:rPr>
        <w:t>Kinsman</w:t>
      </w:r>
      <w:r w:rsidR="00E61583">
        <w:rPr>
          <w:noProof/>
        </w:rPr>
        <w:t xml:space="preserve">, </w:t>
      </w:r>
      <w:r w:rsidR="00E61583" w:rsidRPr="00300E80">
        <w:rPr>
          <w:noProof/>
        </w:rPr>
        <w:t>1997</w:t>
      </w:r>
      <w:r w:rsidR="00E61583">
        <w:rPr>
          <w:noProof/>
        </w:rPr>
        <w:t>)</w:t>
      </w:r>
      <w:r w:rsidR="005A7EB4">
        <w:t xml:space="preserve">, while plastics </w:t>
      </w:r>
      <w:r w:rsidR="00957D80">
        <w:t xml:space="preserve">may </w:t>
      </w:r>
      <w:r w:rsidR="00535287">
        <w:t>ignite at lower heat fluxes</w:t>
      </w:r>
      <w:r w:rsidR="005A7EB4">
        <w:t xml:space="preserve">. </w:t>
      </w:r>
    </w:p>
    <w:p w14:paraId="3C9DC302" w14:textId="7A6B3798" w:rsidR="00C56CAD" w:rsidRPr="00011BE2" w:rsidRDefault="00C56CAD" w:rsidP="00C56CAD">
      <w:pPr>
        <w:pStyle w:val="CETheadingx"/>
      </w:pPr>
      <w:r>
        <w:t>Dose relationship</w:t>
      </w:r>
    </w:p>
    <w:p w14:paraId="2C7A7377" w14:textId="4BD6A9AB" w:rsidR="004A472C" w:rsidRPr="004A472C" w:rsidRDefault="00B35DF1" w:rsidP="00B97464">
      <w:r>
        <w:t xml:space="preserve">Based on the time to ignition </w:t>
      </w:r>
      <w:r w:rsidR="00874F2E">
        <w:t xml:space="preserve">for all materials as shown in Figure 1, </w:t>
      </w:r>
      <w:r w:rsidR="00F14A45">
        <w:t xml:space="preserve">a dose relationship is </w:t>
      </w:r>
      <w:r w:rsidR="00B14214">
        <w:t xml:space="preserve">derived </w:t>
      </w:r>
      <w:r w:rsidR="00E2636F">
        <w:t>using Eq</w:t>
      </w:r>
      <w:r w:rsidR="00244567">
        <w:t xml:space="preserve"> </w:t>
      </w:r>
      <w:r w:rsidR="00E2636F">
        <w:t>(1).</w:t>
      </w:r>
      <w:r w:rsidR="008F1D30">
        <w:t xml:space="preserve"> First,</w:t>
      </w:r>
      <w:r w:rsidR="007A7AEC">
        <w:t xml:space="preserve"> the constant B was derived by fitting all datapoints </w:t>
      </w:r>
      <w:r w:rsidR="00C87F20">
        <w:t xml:space="preserve">to </w:t>
      </w:r>
      <w:r w:rsidR="006D737D">
        <w:t>Eq</w:t>
      </w:r>
      <w:r w:rsidR="00C65241">
        <w:t xml:space="preserve"> </w:t>
      </w:r>
      <w:r w:rsidR="006D737D">
        <w:t>(2)</w:t>
      </w:r>
      <w:r w:rsidR="00A76C41">
        <w:t>.</w:t>
      </w:r>
    </w:p>
    <w:p w14:paraId="7E3DD55C" w14:textId="1F2F2CC4" w:rsidR="00C87F20" w:rsidRDefault="00000000" w:rsidP="00C87F20">
      <w:pPr>
        <w:pStyle w:val="CETEquation"/>
        <w:jc w:val="both"/>
        <w:rPr>
          <w:lang w:val="en-US"/>
        </w:rPr>
      </w:pP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ign</m:t>
            </m:r>
          </m:sub>
        </m:sSub>
        <m: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A</m:t>
            </m:r>
          </m:num>
          <m:den>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B</m:t>
                </m:r>
              </m:sup>
            </m:sSup>
          </m:den>
        </m:f>
      </m:oMath>
      <w:r w:rsidR="00C87F20">
        <w:rPr>
          <w:lang w:val="en-US"/>
        </w:rPr>
        <w:t xml:space="preserve"> </w:t>
      </w:r>
      <w:r w:rsidR="00C87F20">
        <w:rPr>
          <w:lang w:val="en-US"/>
        </w:rPr>
        <w:tab/>
      </w:r>
      <w:r w:rsidR="005141A2">
        <w:rPr>
          <w:lang w:val="en-US"/>
        </w:rPr>
        <w:tab/>
      </w:r>
      <w:r w:rsidR="005141A2">
        <w:rPr>
          <w:lang w:val="en-US"/>
        </w:rPr>
        <w:tab/>
      </w:r>
      <w:r w:rsidR="00C87F20">
        <w:rPr>
          <w:lang w:val="en-US"/>
        </w:rPr>
        <w:t>(2)</w:t>
      </w:r>
    </w:p>
    <w:p w14:paraId="3E1D3C26" w14:textId="77777777" w:rsidR="00CF26B6" w:rsidRDefault="006D737D" w:rsidP="00B97464">
      <w:pPr>
        <w:rPr>
          <w:lang w:val="en-US"/>
        </w:rPr>
      </w:pPr>
      <w:r>
        <w:rPr>
          <w:lang w:val="en-US"/>
        </w:rPr>
        <w:t>With t</w:t>
      </w:r>
      <w:r>
        <w:rPr>
          <w:vertAlign w:val="subscript"/>
          <w:lang w:val="en-US"/>
        </w:rPr>
        <w:t>ign</w:t>
      </w:r>
      <w:r>
        <w:rPr>
          <w:lang w:val="en-US"/>
        </w:rPr>
        <w:t xml:space="preserve"> the time to ignition in s</w:t>
      </w:r>
      <w:r w:rsidR="00C65241">
        <w:rPr>
          <w:lang w:val="en-US"/>
        </w:rPr>
        <w:t>, B a constant and A the reference dose leading to ignition in s.(kW/</w:t>
      </w:r>
      <w:r w:rsidR="00C65241" w:rsidRPr="00214ACF">
        <w:rPr>
          <w:lang w:val="en-US"/>
        </w:rPr>
        <w:t>m</w:t>
      </w:r>
      <w:r w:rsidR="00C65241">
        <w:rPr>
          <w:vertAlign w:val="superscript"/>
          <w:lang w:val="en-US"/>
        </w:rPr>
        <w:t>2</w:t>
      </w:r>
      <w:r w:rsidR="00C65241">
        <w:rPr>
          <w:lang w:val="en-US"/>
        </w:rPr>
        <w:t>)</w:t>
      </w:r>
      <w:r w:rsidR="00C65241">
        <w:rPr>
          <w:vertAlign w:val="superscript"/>
          <w:lang w:val="en-US"/>
        </w:rPr>
        <w:t>B</w:t>
      </w:r>
      <w:r w:rsidR="00C65241">
        <w:rPr>
          <w:lang w:val="en-US"/>
        </w:rPr>
        <w:t>.</w:t>
      </w:r>
      <w:r w:rsidR="00072DBD">
        <w:rPr>
          <w:lang w:val="en-US"/>
        </w:rPr>
        <w:t xml:space="preserve"> This corresponds to Eq(1) </w:t>
      </w:r>
      <w:r w:rsidR="00585215">
        <w:rPr>
          <w:lang w:val="en-US"/>
        </w:rPr>
        <w:t>with C = 0 kW/m</w:t>
      </w:r>
      <w:r w:rsidR="00585215">
        <w:rPr>
          <w:vertAlign w:val="superscript"/>
          <w:lang w:val="en-US"/>
        </w:rPr>
        <w:t>2</w:t>
      </w:r>
      <w:r w:rsidR="00585215">
        <w:rPr>
          <w:lang w:val="en-US"/>
        </w:rPr>
        <w:t xml:space="preserve">. The fit </w:t>
      </w:r>
      <w:r w:rsidR="00E475B8">
        <w:rPr>
          <w:lang w:val="en-US"/>
        </w:rPr>
        <w:t>results in B = 2.0.</w:t>
      </w:r>
      <w:r w:rsidR="00B92FF1">
        <w:rPr>
          <w:lang w:val="en-US"/>
        </w:rPr>
        <w:t xml:space="preserve"> </w:t>
      </w:r>
    </w:p>
    <w:p w14:paraId="4CBEE967" w14:textId="77777777" w:rsidR="00CF26B6" w:rsidRDefault="00CF26B6" w:rsidP="00B97464">
      <w:pPr>
        <w:rPr>
          <w:lang w:val="en-US"/>
        </w:rPr>
      </w:pPr>
    </w:p>
    <w:p w14:paraId="191DFF56" w14:textId="7CE7A8E8" w:rsidR="00CB2BB0" w:rsidRDefault="00B92FF1" w:rsidP="00CF26B6">
      <w:pPr>
        <w:rPr>
          <w:lang w:val="en-US"/>
        </w:rPr>
      </w:pPr>
      <w:r>
        <w:rPr>
          <w:lang w:val="en-US"/>
        </w:rPr>
        <w:t xml:space="preserve">Next, </w:t>
      </w:r>
      <w:r w:rsidR="002311FA">
        <w:rPr>
          <w:lang w:val="en-US"/>
        </w:rPr>
        <w:t>a range of values for the critical heat flux</w:t>
      </w:r>
      <w:r w:rsidR="00600637">
        <w:rPr>
          <w:lang w:val="en-US"/>
        </w:rPr>
        <w:t>, C,</w:t>
      </w:r>
      <w:r w:rsidR="00CF26B6">
        <w:rPr>
          <w:lang w:val="en-US"/>
        </w:rPr>
        <w:t xml:space="preserve"> </w:t>
      </w:r>
      <w:r w:rsidR="00190422">
        <w:rPr>
          <w:lang w:val="en-US"/>
        </w:rPr>
        <w:t>w</w:t>
      </w:r>
      <w:r w:rsidR="00CF26B6">
        <w:rPr>
          <w:lang w:val="en-US"/>
        </w:rPr>
        <w:t>as</w:t>
      </w:r>
      <w:r w:rsidR="00190422">
        <w:rPr>
          <w:lang w:val="en-US"/>
        </w:rPr>
        <w:t xml:space="preserve"> determined.</w:t>
      </w:r>
      <w:r w:rsidR="00CF26B6">
        <w:rPr>
          <w:lang w:val="en-US"/>
        </w:rPr>
        <w:t xml:space="preserve"> </w:t>
      </w:r>
      <w:r w:rsidR="00CF26B6" w:rsidRPr="00CF26B6">
        <w:rPr>
          <w:lang w:val="en-US"/>
        </w:rPr>
        <w:t>In countries near the equator the heat radiation from the sun can reach 1 kW/m</w:t>
      </w:r>
      <w:r w:rsidR="00CF26B6" w:rsidRPr="004B09E6">
        <w:rPr>
          <w:vertAlign w:val="superscript"/>
          <w:lang w:val="en-US"/>
        </w:rPr>
        <w:t>2</w:t>
      </w:r>
      <w:r w:rsidR="00CF26B6" w:rsidRPr="00CF26B6">
        <w:rPr>
          <w:lang w:val="en-US"/>
        </w:rPr>
        <w:t xml:space="preserve"> and materials don’t ignite there, even after long exposure to the sun. The critical heat flux should therefore be above 1 kW/m</w:t>
      </w:r>
      <w:r w:rsidR="00CF26B6" w:rsidRPr="004B09E6">
        <w:rPr>
          <w:vertAlign w:val="superscript"/>
          <w:lang w:val="en-US"/>
        </w:rPr>
        <w:t>2</w:t>
      </w:r>
      <w:r w:rsidR="00CF26B6" w:rsidRPr="00CF26B6">
        <w:rPr>
          <w:lang w:val="en-US"/>
        </w:rPr>
        <w:t>. From the literature study it emerged that even though there is very little data below 10 kW/m</w:t>
      </w:r>
      <w:r w:rsidR="00CF26B6" w:rsidRPr="004B09E6">
        <w:rPr>
          <w:vertAlign w:val="superscript"/>
          <w:lang w:val="en-US"/>
        </w:rPr>
        <w:t>2</w:t>
      </w:r>
      <w:r w:rsidR="00CF26B6" w:rsidRPr="00CF26B6">
        <w:rPr>
          <w:lang w:val="en-US"/>
        </w:rPr>
        <w:t xml:space="preserve">, the critical heat flux should be below that. This is lower than </w:t>
      </w:r>
      <w:r w:rsidR="004B09E6">
        <w:rPr>
          <w:lang w:val="en-US"/>
        </w:rPr>
        <w:t xml:space="preserve">the values </w:t>
      </w:r>
      <w:r w:rsidR="00CF26B6" w:rsidRPr="00CF26B6">
        <w:rPr>
          <w:lang w:val="en-US"/>
        </w:rPr>
        <w:t>used by DNV</w:t>
      </w:r>
      <w:r w:rsidR="00D81D05">
        <w:rPr>
          <w:lang w:val="en-US"/>
        </w:rPr>
        <w:t xml:space="preserve"> (DNV GL, 2018)</w:t>
      </w:r>
      <w:r w:rsidR="00CF26B6" w:rsidRPr="00CF26B6">
        <w:rPr>
          <w:lang w:val="en-US"/>
        </w:rPr>
        <w:t xml:space="preserve"> , HSE </w:t>
      </w:r>
      <w:r w:rsidR="00082377">
        <w:rPr>
          <w:lang w:val="en-US"/>
        </w:rPr>
        <w:t>(</w:t>
      </w:r>
      <w:r w:rsidR="00082377" w:rsidRPr="00300E80">
        <w:rPr>
          <w:noProof/>
        </w:rPr>
        <w:t>Burrell and Hare</w:t>
      </w:r>
      <w:r w:rsidR="00082377">
        <w:rPr>
          <w:noProof/>
        </w:rPr>
        <w:t xml:space="preserve">, </w:t>
      </w:r>
      <w:r w:rsidR="00082377" w:rsidRPr="00300E80">
        <w:rPr>
          <w:noProof/>
        </w:rPr>
        <w:t>2006</w:t>
      </w:r>
      <w:r w:rsidR="00082377">
        <w:rPr>
          <w:noProof/>
        </w:rPr>
        <w:t>)</w:t>
      </w:r>
      <w:r w:rsidR="00CF26B6" w:rsidRPr="00CF26B6">
        <w:rPr>
          <w:lang w:val="en-US"/>
        </w:rPr>
        <w:t>, and Bilo and Kinsman</w:t>
      </w:r>
      <w:r w:rsidR="00082377">
        <w:rPr>
          <w:lang w:val="en-US"/>
        </w:rPr>
        <w:t xml:space="preserve"> </w:t>
      </w:r>
      <w:r w:rsidR="00082377">
        <w:t>(</w:t>
      </w:r>
      <w:r w:rsidR="00082377" w:rsidRPr="00300E80">
        <w:rPr>
          <w:noProof/>
        </w:rPr>
        <w:t>Bilo</w:t>
      </w:r>
      <w:r w:rsidR="00CF26E5">
        <w:rPr>
          <w:noProof/>
        </w:rPr>
        <w:t xml:space="preserve"> and</w:t>
      </w:r>
      <w:r w:rsidR="00082377">
        <w:rPr>
          <w:noProof/>
        </w:rPr>
        <w:t xml:space="preserve"> </w:t>
      </w:r>
      <w:r w:rsidR="00082377" w:rsidRPr="00300E80">
        <w:rPr>
          <w:noProof/>
        </w:rPr>
        <w:t>Kinsman</w:t>
      </w:r>
      <w:r w:rsidR="00082377">
        <w:rPr>
          <w:noProof/>
        </w:rPr>
        <w:t xml:space="preserve">, </w:t>
      </w:r>
      <w:r w:rsidR="00082377" w:rsidRPr="00300E80">
        <w:rPr>
          <w:noProof/>
        </w:rPr>
        <w:t>1997</w:t>
      </w:r>
      <w:r w:rsidR="00082377">
        <w:rPr>
          <w:noProof/>
        </w:rPr>
        <w:t>)</w:t>
      </w:r>
      <w:r w:rsidR="00CF26B6" w:rsidRPr="00CF26B6">
        <w:rPr>
          <w:lang w:val="en-US"/>
        </w:rPr>
        <w:t xml:space="preserve">. In all these cases the critical heat flux was based on the ignition of wood. In our literature study it emerged that </w:t>
      </w:r>
      <w:r w:rsidR="00CF26B6" w:rsidRPr="00CF26B6">
        <w:rPr>
          <w:lang w:val="en-US"/>
        </w:rPr>
        <w:lastRenderedPageBreak/>
        <w:t>plastics have a much lower critical heat flux. It was decided t</w:t>
      </w:r>
      <w:r w:rsidR="00FC52B2">
        <w:rPr>
          <w:lang w:val="en-US"/>
        </w:rPr>
        <w:t xml:space="preserve">hat the critical heat flux </w:t>
      </w:r>
      <w:r w:rsidR="002F7834">
        <w:rPr>
          <w:lang w:val="en-US"/>
        </w:rPr>
        <w:t>is between 1 kW/m</w:t>
      </w:r>
      <w:r w:rsidR="002F7834">
        <w:rPr>
          <w:vertAlign w:val="superscript"/>
          <w:lang w:val="en-US"/>
        </w:rPr>
        <w:t>2</w:t>
      </w:r>
      <w:r w:rsidR="002F7834">
        <w:rPr>
          <w:lang w:val="en-US"/>
        </w:rPr>
        <w:t xml:space="preserve"> and 10 kW/m</w:t>
      </w:r>
      <w:r w:rsidR="002F7834">
        <w:rPr>
          <w:vertAlign w:val="superscript"/>
          <w:lang w:val="en-US"/>
        </w:rPr>
        <w:t>2</w:t>
      </w:r>
      <w:r w:rsidR="002F7834">
        <w:rPr>
          <w:lang w:val="en-US"/>
        </w:rPr>
        <w:t xml:space="preserve">. </w:t>
      </w:r>
      <w:r w:rsidR="00A74035">
        <w:rPr>
          <w:lang w:val="en-US"/>
        </w:rPr>
        <w:t>For this study</w:t>
      </w:r>
      <w:r w:rsidR="00CB2BB0">
        <w:rPr>
          <w:lang w:val="en-US"/>
        </w:rPr>
        <w:t xml:space="preserve"> </w:t>
      </w:r>
      <w:r w:rsidR="00CF26B6" w:rsidRPr="00CF26B6">
        <w:rPr>
          <w:lang w:val="en-US"/>
        </w:rPr>
        <w:t>C</w:t>
      </w:r>
      <w:r w:rsidR="00A74035">
        <w:rPr>
          <w:lang w:val="en-US"/>
        </w:rPr>
        <w:t xml:space="preserve"> </w:t>
      </w:r>
      <w:r w:rsidR="00CF26B6" w:rsidRPr="00CF26B6">
        <w:rPr>
          <w:lang w:val="en-US"/>
        </w:rPr>
        <w:t>=</w:t>
      </w:r>
      <w:r w:rsidR="00CB2BB0">
        <w:rPr>
          <w:lang w:val="en-US"/>
        </w:rPr>
        <w:t xml:space="preserve"> </w:t>
      </w:r>
      <w:r w:rsidR="00CF26B6" w:rsidRPr="00CF26B6">
        <w:rPr>
          <w:lang w:val="en-US"/>
        </w:rPr>
        <w:t>3, 5, and 8 kW/m</w:t>
      </w:r>
      <w:r w:rsidR="00CB2BB0">
        <w:rPr>
          <w:vertAlign w:val="superscript"/>
          <w:lang w:val="en-US"/>
        </w:rPr>
        <w:t>2</w:t>
      </w:r>
      <w:r w:rsidR="00CB2BB0">
        <w:rPr>
          <w:lang w:val="en-US"/>
        </w:rPr>
        <w:t xml:space="preserve"> </w:t>
      </w:r>
      <w:r w:rsidR="007F704C">
        <w:rPr>
          <w:lang w:val="en-US"/>
        </w:rPr>
        <w:t xml:space="preserve">was </w:t>
      </w:r>
      <w:r w:rsidR="00CB2BB0">
        <w:rPr>
          <w:lang w:val="en-US"/>
        </w:rPr>
        <w:t>used.</w:t>
      </w:r>
    </w:p>
    <w:p w14:paraId="3F3049C1" w14:textId="757EB621" w:rsidR="00B97464" w:rsidRPr="00585215" w:rsidRDefault="002311FA" w:rsidP="00CF26B6">
      <w:pPr>
        <w:rPr>
          <w:lang w:val="en-US"/>
        </w:rPr>
      </w:pPr>
      <w:r>
        <w:rPr>
          <w:lang w:val="en-US"/>
        </w:rPr>
        <w:t xml:space="preserve"> </w:t>
      </w:r>
    </w:p>
    <w:p w14:paraId="3A8A4003" w14:textId="376C4F27" w:rsidR="00B97464" w:rsidRPr="00680CB4" w:rsidRDefault="00600637" w:rsidP="00B97464">
      <w:pPr>
        <w:rPr>
          <w:lang w:val="en-US"/>
        </w:rPr>
      </w:pPr>
      <w:r>
        <w:rPr>
          <w:lang w:val="en-US"/>
        </w:rPr>
        <w:t xml:space="preserve">Finally, a range of values for the reference dose leading to ignition, A, was determined. </w:t>
      </w:r>
      <w:r w:rsidR="00E95A6D">
        <w:rPr>
          <w:lang w:val="en-US"/>
        </w:rPr>
        <w:t xml:space="preserve">Because the value of A differs significantly on the values of B and C, </w:t>
      </w:r>
      <w:r w:rsidR="00296083" w:rsidRPr="00296083">
        <w:rPr>
          <w:lang w:val="en-US"/>
        </w:rPr>
        <w:t xml:space="preserve">the value of A </w:t>
      </w:r>
      <w:r w:rsidR="007F704C">
        <w:rPr>
          <w:lang w:val="en-US"/>
        </w:rPr>
        <w:t>was</w:t>
      </w:r>
      <w:r w:rsidR="007F704C" w:rsidRPr="00296083">
        <w:rPr>
          <w:lang w:val="en-US"/>
        </w:rPr>
        <w:t xml:space="preserve"> </w:t>
      </w:r>
      <w:r w:rsidR="00296083" w:rsidRPr="00296083">
        <w:rPr>
          <w:lang w:val="en-US"/>
        </w:rPr>
        <w:t xml:space="preserve">determined </w:t>
      </w:r>
      <w:r w:rsidR="00C60634">
        <w:rPr>
          <w:lang w:val="en-US"/>
        </w:rPr>
        <w:t>using</w:t>
      </w:r>
      <w:r w:rsidR="00296083" w:rsidRPr="00296083">
        <w:rPr>
          <w:lang w:val="en-US"/>
        </w:rPr>
        <w:t xml:space="preserve"> </w:t>
      </w:r>
      <w:r w:rsidR="00296083">
        <w:rPr>
          <w:lang w:val="en-US"/>
        </w:rPr>
        <w:t>a</w:t>
      </w:r>
      <w:r w:rsidR="00296083" w:rsidRPr="00296083">
        <w:rPr>
          <w:lang w:val="en-US"/>
        </w:rPr>
        <w:t xml:space="preserve"> percentile value, i.e. the percentage of points</w:t>
      </w:r>
      <w:r w:rsidR="00296083">
        <w:rPr>
          <w:lang w:val="en-US"/>
        </w:rPr>
        <w:t xml:space="preserve"> in Figure 1</w:t>
      </w:r>
      <w:r w:rsidR="00296083" w:rsidRPr="00296083">
        <w:rPr>
          <w:lang w:val="en-US"/>
        </w:rPr>
        <w:t xml:space="preserve"> below the curve. When a data point is below the curve it means the time to ignition is shorter than the dose relationship predicts. A </w:t>
      </w:r>
      <w:r w:rsidR="00A74035">
        <w:rPr>
          <w:lang w:val="en-US"/>
        </w:rPr>
        <w:t>lower</w:t>
      </w:r>
      <w:r w:rsidR="00A74035" w:rsidRPr="00296083">
        <w:rPr>
          <w:lang w:val="en-US"/>
        </w:rPr>
        <w:t xml:space="preserve"> </w:t>
      </w:r>
      <w:r w:rsidR="00296083" w:rsidRPr="00296083">
        <w:rPr>
          <w:lang w:val="en-US"/>
        </w:rPr>
        <w:t xml:space="preserve">percentile value will result in a </w:t>
      </w:r>
      <w:r w:rsidR="00A74035">
        <w:rPr>
          <w:lang w:val="en-US"/>
        </w:rPr>
        <w:t>lower</w:t>
      </w:r>
      <w:r w:rsidR="00A74035" w:rsidRPr="00296083">
        <w:rPr>
          <w:lang w:val="en-US"/>
        </w:rPr>
        <w:t xml:space="preserve"> </w:t>
      </w:r>
      <w:r w:rsidR="00296083" w:rsidRPr="00296083">
        <w:rPr>
          <w:lang w:val="en-US"/>
        </w:rPr>
        <w:t>reference dose</w:t>
      </w:r>
      <w:r w:rsidR="005D782C">
        <w:rPr>
          <w:lang w:val="en-US"/>
        </w:rPr>
        <w:t xml:space="preserve"> and a more conservative app</w:t>
      </w:r>
      <w:r w:rsidR="00435A6E">
        <w:rPr>
          <w:lang w:val="en-US"/>
        </w:rPr>
        <w:t>r</w:t>
      </w:r>
      <w:r w:rsidR="005D782C">
        <w:rPr>
          <w:lang w:val="en-US"/>
        </w:rPr>
        <w:t>oach</w:t>
      </w:r>
      <w:r w:rsidR="00296083" w:rsidRPr="00296083">
        <w:rPr>
          <w:lang w:val="en-US"/>
        </w:rPr>
        <w:t>.</w:t>
      </w:r>
      <w:r w:rsidR="00435A6E">
        <w:rPr>
          <w:lang w:val="en-US"/>
        </w:rPr>
        <w:t xml:space="preserve"> </w:t>
      </w:r>
      <w:r w:rsidR="00A74035">
        <w:rPr>
          <w:lang w:val="en-US"/>
        </w:rPr>
        <w:t>For this study</w:t>
      </w:r>
      <w:r w:rsidR="00C1681B">
        <w:rPr>
          <w:lang w:val="en-US"/>
        </w:rPr>
        <w:t xml:space="preserve"> percentile values 10%, 20%</w:t>
      </w:r>
      <w:r w:rsidR="00383D67">
        <w:rPr>
          <w:lang w:val="en-US"/>
        </w:rPr>
        <w:t xml:space="preserve">, 30%, 40% and 50% </w:t>
      </w:r>
      <w:r w:rsidR="00A74035">
        <w:rPr>
          <w:lang w:val="en-US"/>
        </w:rPr>
        <w:t xml:space="preserve">were </w:t>
      </w:r>
      <w:r w:rsidR="00435A6E">
        <w:rPr>
          <w:lang w:val="en-US"/>
        </w:rPr>
        <w:t>used.</w:t>
      </w:r>
    </w:p>
    <w:p w14:paraId="4B8C0FDB" w14:textId="17E3CC4C" w:rsidR="0016419C" w:rsidRDefault="0016419C" w:rsidP="0016419C">
      <w:pPr>
        <w:pStyle w:val="CETHeading1"/>
      </w:pPr>
      <w:r>
        <w:t>Calibrati</w:t>
      </w:r>
      <w:r w:rsidR="00457436">
        <w:t>ng</w:t>
      </w:r>
      <w:r>
        <w:t xml:space="preserve"> the dose relationship</w:t>
      </w:r>
      <w:r w:rsidR="00457436">
        <w:t xml:space="preserve"> with accident data</w:t>
      </w:r>
    </w:p>
    <w:p w14:paraId="3170948B" w14:textId="40E520C9" w:rsidR="00B97464" w:rsidRDefault="00867D92" w:rsidP="00B97464">
      <w:pPr>
        <w:rPr>
          <w:lang w:val="en-US"/>
        </w:rPr>
      </w:pPr>
      <w:r>
        <w:rPr>
          <w:lang w:val="en-US"/>
        </w:rPr>
        <w:t xml:space="preserve">Using literature data on piloted ignition, </w:t>
      </w:r>
      <w:r w:rsidR="00A37807">
        <w:rPr>
          <w:lang w:val="en-US"/>
        </w:rPr>
        <w:t>the value</w:t>
      </w:r>
      <w:r w:rsidR="007C6263">
        <w:rPr>
          <w:lang w:val="en-US"/>
        </w:rPr>
        <w:t>s</w:t>
      </w:r>
      <w:r w:rsidR="00A37807">
        <w:rPr>
          <w:lang w:val="en-US"/>
        </w:rPr>
        <w:t xml:space="preserve"> of A </w:t>
      </w:r>
      <w:r w:rsidR="007C6263">
        <w:rPr>
          <w:lang w:val="en-US"/>
        </w:rPr>
        <w:t>were</w:t>
      </w:r>
      <w:r w:rsidR="00A37807">
        <w:rPr>
          <w:lang w:val="en-US"/>
        </w:rPr>
        <w:t xml:space="preserve"> determined for the </w:t>
      </w:r>
      <w:r w:rsidR="007C6263">
        <w:rPr>
          <w:lang w:val="en-US"/>
        </w:rPr>
        <w:t>different values of C and percentile values</w:t>
      </w:r>
      <w:r w:rsidR="002E74F1">
        <w:rPr>
          <w:lang w:val="en-US"/>
        </w:rPr>
        <w:t xml:space="preserve"> </w:t>
      </w:r>
      <w:r w:rsidR="00274DCC">
        <w:rPr>
          <w:lang w:val="en-US"/>
        </w:rPr>
        <w:t xml:space="preserve">by </w:t>
      </w:r>
      <w:r w:rsidR="00BC2D9F">
        <w:rPr>
          <w:lang w:val="en-US"/>
        </w:rPr>
        <w:t xml:space="preserve">calibrating the </w:t>
      </w:r>
      <w:r w:rsidR="003F5B19" w:rsidRPr="003F5B19">
        <w:rPr>
          <w:lang w:val="en-US"/>
        </w:rPr>
        <w:t xml:space="preserve">dose relationship using real-world accidents with </w:t>
      </w:r>
      <w:r w:rsidR="00327FE8">
        <w:rPr>
          <w:lang w:val="en-US"/>
        </w:rPr>
        <w:t>damage</w:t>
      </w:r>
      <w:r w:rsidR="00274DCC">
        <w:rPr>
          <w:lang w:val="en-US"/>
        </w:rPr>
        <w:t xml:space="preserve"> due</w:t>
      </w:r>
      <w:r w:rsidR="00327FE8">
        <w:rPr>
          <w:lang w:val="en-US"/>
        </w:rPr>
        <w:t xml:space="preserve"> to heat radiation</w:t>
      </w:r>
      <w:r w:rsidR="003F5B19" w:rsidRPr="003F5B19">
        <w:rPr>
          <w:lang w:val="en-US"/>
        </w:rPr>
        <w:t>.</w:t>
      </w:r>
    </w:p>
    <w:p w14:paraId="79908A91" w14:textId="02B63066" w:rsidR="00BC2D9F" w:rsidRPr="00011BE2" w:rsidRDefault="001722FB" w:rsidP="00BC2D9F">
      <w:pPr>
        <w:pStyle w:val="CETheadingx"/>
      </w:pPr>
      <w:r>
        <w:t>Selection of accidents</w:t>
      </w:r>
    </w:p>
    <w:p w14:paraId="5426E554" w14:textId="77777777" w:rsidR="001722FB" w:rsidRPr="001722FB" w:rsidRDefault="001722FB" w:rsidP="001722FB">
      <w:pPr>
        <w:rPr>
          <w:lang w:val="en-US"/>
        </w:rPr>
      </w:pPr>
      <w:r w:rsidRPr="001722FB">
        <w:rPr>
          <w:lang w:val="en-US"/>
        </w:rPr>
        <w:t>Accidents were selected based on three criteria:</w:t>
      </w:r>
    </w:p>
    <w:p w14:paraId="73389F8E" w14:textId="6D0044F0" w:rsidR="001722FB" w:rsidRPr="001722FB" w:rsidRDefault="001722FB" w:rsidP="001722FB">
      <w:pPr>
        <w:pStyle w:val="Paragrafoelenco"/>
        <w:numPr>
          <w:ilvl w:val="0"/>
          <w:numId w:val="28"/>
        </w:numPr>
        <w:rPr>
          <w:lang w:val="en-US"/>
        </w:rPr>
      </w:pPr>
      <w:r w:rsidRPr="001722FB">
        <w:rPr>
          <w:lang w:val="en-US"/>
        </w:rPr>
        <w:t>There has to be enough data to model the fire with reasonable accuracy</w:t>
      </w:r>
      <w:r w:rsidR="00461A95">
        <w:rPr>
          <w:lang w:val="en-US"/>
        </w:rPr>
        <w:t>, such as source terms and weather conditions.</w:t>
      </w:r>
      <w:r w:rsidRPr="001722FB">
        <w:rPr>
          <w:lang w:val="en-US"/>
        </w:rPr>
        <w:t xml:space="preserve"> </w:t>
      </w:r>
    </w:p>
    <w:p w14:paraId="5E4DF4D5" w14:textId="44DC099D" w:rsidR="001722FB" w:rsidRPr="001722FB" w:rsidRDefault="001722FB" w:rsidP="001722FB">
      <w:pPr>
        <w:pStyle w:val="Paragrafoelenco"/>
        <w:numPr>
          <w:ilvl w:val="0"/>
          <w:numId w:val="28"/>
        </w:numPr>
        <w:rPr>
          <w:lang w:val="en-US"/>
        </w:rPr>
      </w:pPr>
      <w:r w:rsidRPr="001722FB">
        <w:rPr>
          <w:lang w:val="en-US"/>
        </w:rPr>
        <w:t xml:space="preserve">There has to be enough information to estimate the </w:t>
      </w:r>
      <w:r>
        <w:rPr>
          <w:lang w:val="en-US"/>
        </w:rPr>
        <w:t xml:space="preserve">area where secondary fires occurred, i.e. the </w:t>
      </w:r>
      <w:r w:rsidRPr="001722FB">
        <w:rPr>
          <w:lang w:val="en-US"/>
        </w:rPr>
        <w:t xml:space="preserve">damage </w:t>
      </w:r>
      <w:r>
        <w:rPr>
          <w:lang w:val="en-US"/>
        </w:rPr>
        <w:t>area</w:t>
      </w:r>
      <w:r w:rsidRPr="001722FB">
        <w:rPr>
          <w:lang w:val="en-US"/>
        </w:rPr>
        <w:t xml:space="preserve">. </w:t>
      </w:r>
    </w:p>
    <w:p w14:paraId="5C5910EF" w14:textId="583D5BBD" w:rsidR="00BC2D9F" w:rsidRPr="001722FB" w:rsidRDefault="001722FB" w:rsidP="001722FB">
      <w:pPr>
        <w:pStyle w:val="Paragrafoelenco"/>
        <w:numPr>
          <w:ilvl w:val="0"/>
          <w:numId w:val="28"/>
        </w:numPr>
        <w:rPr>
          <w:lang w:val="en-US"/>
        </w:rPr>
      </w:pPr>
      <w:r w:rsidRPr="001722FB">
        <w:rPr>
          <w:lang w:val="en-US"/>
        </w:rPr>
        <w:t xml:space="preserve">There should be a relationship between the fire </w:t>
      </w:r>
      <w:r w:rsidR="00FE02D7">
        <w:rPr>
          <w:lang w:val="en-US"/>
        </w:rPr>
        <w:t xml:space="preserve">(heat radiation) </w:t>
      </w:r>
      <w:r w:rsidRPr="001722FB">
        <w:rPr>
          <w:lang w:val="en-US"/>
        </w:rPr>
        <w:t>and the damage</w:t>
      </w:r>
      <w:r w:rsidR="00461A95">
        <w:rPr>
          <w:lang w:val="en-US"/>
        </w:rPr>
        <w:t>; this excludes for example accidents with flash fires and explosions</w:t>
      </w:r>
      <w:r w:rsidR="004754E3">
        <w:rPr>
          <w:lang w:val="en-US"/>
        </w:rPr>
        <w:t xml:space="preserve"> and accidents where fire brigades intervene to limit the damage</w:t>
      </w:r>
      <w:r w:rsidR="00CF6A3F">
        <w:rPr>
          <w:lang w:val="en-US"/>
        </w:rPr>
        <w:t xml:space="preserve"> by e.g. cooling buildings</w:t>
      </w:r>
      <w:r w:rsidR="00461A95">
        <w:rPr>
          <w:lang w:val="en-US"/>
        </w:rPr>
        <w:t>.</w:t>
      </w:r>
    </w:p>
    <w:p w14:paraId="46FF7209" w14:textId="77777777" w:rsidR="00B97464" w:rsidRPr="00680CB4" w:rsidRDefault="00B97464" w:rsidP="00B97464">
      <w:pPr>
        <w:rPr>
          <w:lang w:val="en-US"/>
        </w:rPr>
      </w:pPr>
    </w:p>
    <w:p w14:paraId="4971C32D" w14:textId="77777777" w:rsidR="00F026C5" w:rsidRDefault="00461A95" w:rsidP="00A65F58">
      <w:pPr>
        <w:rPr>
          <w:lang w:val="en-US"/>
        </w:rPr>
      </w:pPr>
      <w:r>
        <w:rPr>
          <w:lang w:val="en-US"/>
        </w:rPr>
        <w:t>In pr</w:t>
      </w:r>
      <w:r w:rsidR="00A65F58">
        <w:rPr>
          <w:lang w:val="en-US"/>
        </w:rPr>
        <w:t>a</w:t>
      </w:r>
      <w:r>
        <w:rPr>
          <w:lang w:val="en-US"/>
        </w:rPr>
        <w:t>ctice</w:t>
      </w:r>
      <w:r w:rsidR="00A65F58">
        <w:rPr>
          <w:lang w:val="en-US"/>
        </w:rPr>
        <w:t xml:space="preserve">, </w:t>
      </w:r>
      <w:r w:rsidR="00A65F58" w:rsidRPr="00A65F58">
        <w:rPr>
          <w:lang w:val="en-US"/>
        </w:rPr>
        <w:t xml:space="preserve">this limited the search to pipeline fires. The databases from the NTSB (US) and TSB (Canada) were searched for accident reports. Both databases contain in-depth reports with extensive factual information about the conditions at the time of the rupture. The description of the damage is not as extensive, especially when the incident occurred in remote areas. Three incidents in the US occurred in built-up areas and the damage was described. In Canada most incidents occurred in remote areas. </w:t>
      </w:r>
      <w:r w:rsidR="004D3C31">
        <w:rPr>
          <w:lang w:val="en-US"/>
        </w:rPr>
        <w:t>In addition, for th</w:t>
      </w:r>
      <w:r w:rsidR="00A65F58" w:rsidRPr="00A65F58">
        <w:rPr>
          <w:lang w:val="en-US"/>
        </w:rPr>
        <w:t>e pipeline accident</w:t>
      </w:r>
      <w:r w:rsidR="004D3C31">
        <w:rPr>
          <w:lang w:val="en-US"/>
        </w:rPr>
        <w:t xml:space="preserve"> </w:t>
      </w:r>
      <w:r w:rsidR="00A65F58" w:rsidRPr="00A65F58">
        <w:rPr>
          <w:lang w:val="en-US"/>
        </w:rPr>
        <w:t xml:space="preserve">in Ludwigshafen (Germany) </w:t>
      </w:r>
      <w:r w:rsidR="004D3C31">
        <w:rPr>
          <w:lang w:val="en-US"/>
        </w:rPr>
        <w:t xml:space="preserve">data were also available. </w:t>
      </w:r>
      <w:r w:rsidR="00E274C9">
        <w:rPr>
          <w:lang w:val="en-US"/>
        </w:rPr>
        <w:t xml:space="preserve">In total, four accidents with high pressure natural gas pipelines </w:t>
      </w:r>
      <w:r w:rsidR="004D3C31">
        <w:rPr>
          <w:lang w:val="en-US"/>
        </w:rPr>
        <w:t>w</w:t>
      </w:r>
      <w:r w:rsidR="0023546F">
        <w:rPr>
          <w:lang w:val="en-US"/>
        </w:rPr>
        <w:t xml:space="preserve">ere available for calibrating the </w:t>
      </w:r>
      <w:r w:rsidR="00F026C5">
        <w:rPr>
          <w:lang w:val="en-US"/>
        </w:rPr>
        <w:t>dose relationship:</w:t>
      </w:r>
    </w:p>
    <w:p w14:paraId="7E2DD48E" w14:textId="7E896A01" w:rsidR="00F026C5" w:rsidRDefault="00F026C5" w:rsidP="00F026C5">
      <w:pPr>
        <w:pStyle w:val="Paragrafoelenco"/>
        <w:numPr>
          <w:ilvl w:val="0"/>
          <w:numId w:val="29"/>
        </w:numPr>
        <w:rPr>
          <w:lang w:val="en-US"/>
        </w:rPr>
      </w:pPr>
      <w:r w:rsidRPr="00F026C5">
        <w:rPr>
          <w:lang w:val="en-US"/>
        </w:rPr>
        <w:t>September 9th, 2010: San Bruno, California, US</w:t>
      </w:r>
      <w:r w:rsidR="00322633">
        <w:rPr>
          <w:lang w:val="en-US"/>
        </w:rPr>
        <w:t xml:space="preserve"> (</w:t>
      </w:r>
      <w:r w:rsidR="00322633">
        <w:t>NTSB, 2011)</w:t>
      </w:r>
      <w:r>
        <w:rPr>
          <w:lang w:val="en-US"/>
        </w:rPr>
        <w:t xml:space="preserve"> </w:t>
      </w:r>
    </w:p>
    <w:p w14:paraId="3A19CB26" w14:textId="71FAE4AF" w:rsidR="00F026C5" w:rsidRDefault="00DE0BD2" w:rsidP="00F026C5">
      <w:pPr>
        <w:pStyle w:val="Paragrafoelenco"/>
        <w:numPr>
          <w:ilvl w:val="0"/>
          <w:numId w:val="29"/>
        </w:numPr>
        <w:rPr>
          <w:lang w:val="en-US"/>
        </w:rPr>
      </w:pPr>
      <w:r w:rsidRPr="00DE0BD2">
        <w:rPr>
          <w:lang w:val="en-US"/>
        </w:rPr>
        <w:t>December 11th, 2012: Sissonville West Virginia, US</w:t>
      </w:r>
      <w:r w:rsidR="00322633">
        <w:rPr>
          <w:lang w:val="en-US"/>
        </w:rPr>
        <w:t xml:space="preserve"> (NTSB, 2014)</w:t>
      </w:r>
      <w:r w:rsidR="00535287">
        <w:rPr>
          <w:lang w:val="en-US"/>
        </w:rPr>
        <w:t xml:space="preserve"> </w:t>
      </w:r>
    </w:p>
    <w:p w14:paraId="1D03C21D" w14:textId="4CF3EAF0" w:rsidR="00213642" w:rsidRDefault="00213642" w:rsidP="00F026C5">
      <w:pPr>
        <w:pStyle w:val="Paragrafoelenco"/>
        <w:numPr>
          <w:ilvl w:val="0"/>
          <w:numId w:val="29"/>
        </w:numPr>
        <w:rPr>
          <w:lang w:val="en-US"/>
        </w:rPr>
      </w:pPr>
      <w:r w:rsidRPr="00213642">
        <w:rPr>
          <w:lang w:val="en-US"/>
        </w:rPr>
        <w:t>October 13th, 2014: Ludwigshafen, Germany</w:t>
      </w:r>
      <w:r w:rsidR="00062092">
        <w:rPr>
          <w:lang w:val="en-US"/>
        </w:rPr>
        <w:t xml:space="preserve"> (</w:t>
      </w:r>
      <w:r w:rsidR="0054576B">
        <w:rPr>
          <w:lang w:val="en-US"/>
        </w:rPr>
        <w:t>Gasunie</w:t>
      </w:r>
      <w:r w:rsidR="00953615">
        <w:rPr>
          <w:lang w:val="en-US"/>
        </w:rPr>
        <w:t>, 2024)</w:t>
      </w:r>
    </w:p>
    <w:p w14:paraId="2A01E2DD" w14:textId="1AF5ADE0" w:rsidR="00213642" w:rsidRDefault="00213642" w:rsidP="00213642">
      <w:pPr>
        <w:pStyle w:val="Paragrafoelenco"/>
        <w:numPr>
          <w:ilvl w:val="0"/>
          <w:numId w:val="29"/>
        </w:numPr>
        <w:rPr>
          <w:lang w:val="en-US"/>
        </w:rPr>
      </w:pPr>
      <w:r w:rsidRPr="00213642">
        <w:rPr>
          <w:lang w:val="en-US"/>
        </w:rPr>
        <w:t xml:space="preserve">August 1st, 2019: Danville, Kentucky, US </w:t>
      </w:r>
      <w:r w:rsidR="00322633">
        <w:rPr>
          <w:lang w:val="en-US"/>
        </w:rPr>
        <w:t xml:space="preserve">(NTSB, 2022) </w:t>
      </w:r>
    </w:p>
    <w:p w14:paraId="6944E783" w14:textId="77777777" w:rsidR="00DD1EFF" w:rsidRPr="00DD1EFF" w:rsidRDefault="00DD1EFF" w:rsidP="00DD1EFF">
      <w:pPr>
        <w:rPr>
          <w:lang w:val="en-US"/>
        </w:rPr>
      </w:pPr>
    </w:p>
    <w:p w14:paraId="5A1554FB" w14:textId="77777777" w:rsidR="00A109F4" w:rsidRDefault="00DD1EFF" w:rsidP="00A109F4">
      <w:pPr>
        <w:keepNext/>
      </w:pPr>
      <w:r>
        <w:rPr>
          <w:noProof/>
        </w:rPr>
        <w:drawing>
          <wp:inline distT="0" distB="0" distL="0" distR="0" wp14:anchorId="656DE583" wp14:editId="5A4A72E8">
            <wp:extent cx="4628571" cy="2426034"/>
            <wp:effectExtent l="0" t="0" r="635" b="0"/>
            <wp:docPr id="1200130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30596" name="Picture 1"/>
                    <pic:cNvPicPr/>
                  </pic:nvPicPr>
                  <pic:blipFill>
                    <a:blip r:embed="rId14">
                      <a:extLst>
                        <a:ext uri="{96DAC541-7B7A-43D3-8B79-37D633B846F1}">
                          <asvg:svgBlip xmlns:asvg="http://schemas.microsoft.com/office/drawing/2016/SVG/main" r:embed="rId15"/>
                        </a:ext>
                      </a:extLst>
                    </a:blip>
                    <a:stretch>
                      <a:fillRect/>
                    </a:stretch>
                  </pic:blipFill>
                  <pic:spPr>
                    <a:xfrm>
                      <a:off x="0" y="0"/>
                      <a:ext cx="4628571" cy="2426034"/>
                    </a:xfrm>
                    <a:prstGeom prst="rect">
                      <a:avLst/>
                    </a:prstGeom>
                  </pic:spPr>
                </pic:pic>
              </a:graphicData>
            </a:graphic>
          </wp:inline>
        </w:drawing>
      </w:r>
    </w:p>
    <w:p w14:paraId="30D62E53" w14:textId="562460D1" w:rsidR="00DD1EFF" w:rsidRDefault="00A109F4" w:rsidP="00A109F4">
      <w:pPr>
        <w:pStyle w:val="CETCaption"/>
        <w:rPr>
          <w:rStyle w:val="CETCaptionCarattere"/>
          <w:iCs/>
        </w:rPr>
      </w:pPr>
      <w:r>
        <w:t xml:space="preserve">Figure </w:t>
      </w:r>
      <w:r>
        <w:fldChar w:fldCharType="begin"/>
      </w:r>
      <w:r>
        <w:instrText xml:space="preserve"> SEQ Figure \* ARABIC </w:instrText>
      </w:r>
      <w:r>
        <w:fldChar w:fldCharType="separate"/>
      </w:r>
      <w:r w:rsidR="00D315BC">
        <w:rPr>
          <w:noProof/>
        </w:rPr>
        <w:t>2</w:t>
      </w:r>
      <w:r>
        <w:fldChar w:fldCharType="end"/>
      </w:r>
      <w:r>
        <w:t xml:space="preserve">: </w:t>
      </w:r>
      <w:r w:rsidRPr="002109BE">
        <w:t>Damage due to the fire in Ludwigshafen. Source: Google Maps, with annotations by the authors.</w:t>
      </w:r>
    </w:p>
    <w:p w14:paraId="3157BE89" w14:textId="77777777" w:rsidR="00DD1EFF" w:rsidRDefault="00DD1EFF" w:rsidP="00F1378C">
      <w:pPr>
        <w:rPr>
          <w:lang w:val="en-US"/>
        </w:rPr>
      </w:pPr>
    </w:p>
    <w:p w14:paraId="1BFCFBBB" w14:textId="05F2549D" w:rsidR="00EC6B8C" w:rsidRDefault="00F1378C" w:rsidP="00F1378C">
      <w:pPr>
        <w:rPr>
          <w:lang w:val="en-US"/>
        </w:rPr>
      </w:pPr>
      <w:r>
        <w:rPr>
          <w:lang w:val="en-US"/>
        </w:rPr>
        <w:lastRenderedPageBreak/>
        <w:t xml:space="preserve">For each accident, </w:t>
      </w:r>
      <w:r w:rsidR="00831EC3">
        <w:rPr>
          <w:lang w:val="en-US"/>
        </w:rPr>
        <w:t xml:space="preserve">an estimation was made of the damage area where </w:t>
      </w:r>
      <w:r w:rsidR="00102D31">
        <w:rPr>
          <w:lang w:val="en-US"/>
        </w:rPr>
        <w:t xml:space="preserve">secondary fires may have occurred based on </w:t>
      </w:r>
      <w:r w:rsidR="00E32249">
        <w:rPr>
          <w:lang w:val="en-US"/>
        </w:rPr>
        <w:t>photographs and descriptions</w:t>
      </w:r>
      <w:r w:rsidR="00EC6B8C">
        <w:rPr>
          <w:lang w:val="en-US"/>
        </w:rPr>
        <w:t xml:space="preserve"> as illustrated in Figure 2</w:t>
      </w:r>
      <w:r w:rsidR="005553EC">
        <w:rPr>
          <w:lang w:val="en-US"/>
        </w:rPr>
        <w:t>, and from NTSB reports</w:t>
      </w:r>
      <w:r w:rsidR="00E32249">
        <w:rPr>
          <w:lang w:val="en-US"/>
        </w:rPr>
        <w:t>.</w:t>
      </w:r>
      <w:r w:rsidR="00DD1EFF">
        <w:rPr>
          <w:lang w:val="en-US"/>
        </w:rPr>
        <w:t xml:space="preserve"> </w:t>
      </w:r>
      <w:r w:rsidR="000571CC">
        <w:rPr>
          <w:lang w:val="en-US"/>
        </w:rPr>
        <w:t xml:space="preserve">From this, </w:t>
      </w:r>
      <w:r w:rsidR="00EC6B8C">
        <w:rPr>
          <w:lang w:val="en-US"/>
        </w:rPr>
        <w:t xml:space="preserve">a minimum </w:t>
      </w:r>
      <w:r w:rsidR="00DD1EFF">
        <w:rPr>
          <w:lang w:val="en-US"/>
        </w:rPr>
        <w:t xml:space="preserve">and maximum </w:t>
      </w:r>
      <w:r w:rsidR="00EC6B8C">
        <w:rPr>
          <w:lang w:val="en-US"/>
        </w:rPr>
        <w:t xml:space="preserve">damage distance </w:t>
      </w:r>
      <w:r w:rsidR="00DD1EFF">
        <w:rPr>
          <w:lang w:val="en-US"/>
        </w:rPr>
        <w:t>was derived.</w:t>
      </w:r>
    </w:p>
    <w:p w14:paraId="3B7F3D30" w14:textId="6056A637" w:rsidR="00F1378C" w:rsidRPr="00F1378C" w:rsidRDefault="00F1378C" w:rsidP="00F1378C">
      <w:pPr>
        <w:rPr>
          <w:lang w:val="en-US"/>
        </w:rPr>
      </w:pPr>
    </w:p>
    <w:p w14:paraId="2943ADE5" w14:textId="6435DA5B" w:rsidR="00213642" w:rsidRPr="00011BE2" w:rsidRDefault="005E5C69" w:rsidP="00213642">
      <w:pPr>
        <w:pStyle w:val="CETheadingx"/>
      </w:pPr>
      <w:r>
        <w:t>Calculation of damage area</w:t>
      </w:r>
    </w:p>
    <w:p w14:paraId="6E1A2154" w14:textId="3D8AAF48" w:rsidR="00B97464" w:rsidRDefault="00F77F31" w:rsidP="00F77F31">
      <w:pPr>
        <w:rPr>
          <w:lang w:val="en-US"/>
        </w:rPr>
      </w:pPr>
      <w:r w:rsidRPr="00F77F31">
        <w:rPr>
          <w:lang w:val="en-US"/>
        </w:rPr>
        <w:t xml:space="preserve">The </w:t>
      </w:r>
      <w:r w:rsidR="005E159B">
        <w:rPr>
          <w:lang w:val="en-US"/>
        </w:rPr>
        <w:t>heat radiation dose was calculated for each accident as function of distance</w:t>
      </w:r>
      <w:r w:rsidR="00F1378C">
        <w:rPr>
          <w:lang w:val="en-US"/>
        </w:rPr>
        <w:t xml:space="preserve">, </w:t>
      </w:r>
      <w:r w:rsidR="005F4B8B">
        <w:rPr>
          <w:lang w:val="en-US"/>
        </w:rPr>
        <w:t xml:space="preserve">The </w:t>
      </w:r>
      <w:r w:rsidRPr="00F77F31">
        <w:rPr>
          <w:lang w:val="en-US"/>
        </w:rPr>
        <w:t>calculations were done in Safeti-NL 8.8</w:t>
      </w:r>
      <w:r w:rsidR="00503C98">
        <w:rPr>
          <w:lang w:val="en-US"/>
        </w:rPr>
        <w:t xml:space="preserve"> (DNV, 2024) </w:t>
      </w:r>
      <w:r w:rsidRPr="00F77F31">
        <w:rPr>
          <w:lang w:val="en-US"/>
        </w:rPr>
        <w:t>using the long pipeline model</w:t>
      </w:r>
      <w:r w:rsidR="0070693E">
        <w:rPr>
          <w:lang w:val="en-US"/>
        </w:rPr>
        <w:t xml:space="preserve"> with </w:t>
      </w:r>
      <w:r w:rsidRPr="00F77F31">
        <w:rPr>
          <w:lang w:val="en-US"/>
        </w:rPr>
        <w:t>methane</w:t>
      </w:r>
      <w:r w:rsidR="00967D21">
        <w:rPr>
          <w:lang w:val="en-US"/>
        </w:rPr>
        <w:t xml:space="preserve"> and the pipeline characteristics and meteorological conditions. In all accidents, a vertical jet fire was assumed.</w:t>
      </w:r>
      <w:r w:rsidR="00C504D1">
        <w:rPr>
          <w:lang w:val="en-US"/>
        </w:rPr>
        <w:t xml:space="preserve"> As </w:t>
      </w:r>
      <w:r w:rsidRPr="00F77F31">
        <w:rPr>
          <w:lang w:val="en-US"/>
        </w:rPr>
        <w:t>Safeti-NL 8.8 does not give the proposed heat radiation dose as output</w:t>
      </w:r>
      <w:r w:rsidR="00C504D1">
        <w:rPr>
          <w:lang w:val="en-US"/>
        </w:rPr>
        <w:t xml:space="preserve"> directly, </w:t>
      </w:r>
      <w:r w:rsidR="008E0416">
        <w:rPr>
          <w:lang w:val="en-US"/>
        </w:rPr>
        <w:t xml:space="preserve">the release </w:t>
      </w:r>
      <w:r w:rsidR="005E77CF">
        <w:rPr>
          <w:lang w:val="en-US"/>
        </w:rPr>
        <w:t>was divided in nine time steps</w:t>
      </w:r>
      <w:r w:rsidR="00967D21">
        <w:rPr>
          <w:lang w:val="en-US"/>
        </w:rPr>
        <w:t xml:space="preserve"> and </w:t>
      </w:r>
      <w:r w:rsidRPr="00F77F31">
        <w:rPr>
          <w:lang w:val="en-US"/>
        </w:rPr>
        <w:t xml:space="preserve">the dose was calculated by adding up the </w:t>
      </w:r>
      <w:r w:rsidR="00503C98">
        <w:rPr>
          <w:lang w:val="en-US"/>
        </w:rPr>
        <w:t>contributi</w:t>
      </w:r>
      <w:r w:rsidRPr="00F77F31">
        <w:rPr>
          <w:lang w:val="en-US"/>
        </w:rPr>
        <w:t>ons of each time step.</w:t>
      </w:r>
    </w:p>
    <w:p w14:paraId="5E5DCBB7" w14:textId="77777777" w:rsidR="00721387" w:rsidRDefault="00721387" w:rsidP="00F77F31">
      <w:pPr>
        <w:rPr>
          <w:lang w:val="en-US"/>
        </w:rPr>
      </w:pPr>
    </w:p>
    <w:p w14:paraId="02798A13" w14:textId="77777777" w:rsidR="00721387" w:rsidRDefault="00721387" w:rsidP="00721387">
      <w:pPr>
        <w:keepNext/>
      </w:pPr>
      <w:r w:rsidRPr="00865DB6">
        <w:rPr>
          <w:noProof/>
          <w:lang w:val="en-US"/>
        </w:rPr>
        <w:drawing>
          <wp:inline distT="0" distB="0" distL="0" distR="0" wp14:anchorId="603A7806" wp14:editId="3E1B6B0B">
            <wp:extent cx="4248000" cy="5240660"/>
            <wp:effectExtent l="0" t="0" r="635" b="0"/>
            <wp:docPr id="1906775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75882" name=""/>
                    <pic:cNvPicPr/>
                  </pic:nvPicPr>
                  <pic:blipFill>
                    <a:blip r:embed="rId16"/>
                    <a:stretch>
                      <a:fillRect/>
                    </a:stretch>
                  </pic:blipFill>
                  <pic:spPr>
                    <a:xfrm>
                      <a:off x="0" y="0"/>
                      <a:ext cx="4248000" cy="5240660"/>
                    </a:xfrm>
                    <a:prstGeom prst="rect">
                      <a:avLst/>
                    </a:prstGeom>
                  </pic:spPr>
                </pic:pic>
              </a:graphicData>
            </a:graphic>
          </wp:inline>
        </w:drawing>
      </w:r>
    </w:p>
    <w:p w14:paraId="0BB2AA43" w14:textId="2F645747" w:rsidR="00721387" w:rsidRPr="00617AE3" w:rsidRDefault="00721387" w:rsidP="00721387">
      <w:pPr>
        <w:pStyle w:val="CETCaption"/>
        <w:rPr>
          <w:lang w:val="en-US"/>
        </w:rPr>
      </w:pPr>
      <w:bookmarkStart w:id="2" w:name="_Ref181774764"/>
      <w:r w:rsidRPr="00933B24">
        <w:rPr>
          <w:lang w:val="en-US"/>
        </w:rPr>
        <w:t xml:space="preserve">Figure </w:t>
      </w:r>
      <w:r w:rsidRPr="00933B24">
        <w:rPr>
          <w:lang w:val="en-US"/>
        </w:rPr>
        <w:fldChar w:fldCharType="begin"/>
      </w:r>
      <w:r w:rsidRPr="00933B24">
        <w:rPr>
          <w:lang w:val="en-US"/>
        </w:rPr>
        <w:instrText xml:space="preserve"> SEQ Figure \* ARABIC </w:instrText>
      </w:r>
      <w:r w:rsidRPr="00933B24">
        <w:rPr>
          <w:lang w:val="en-US"/>
        </w:rPr>
        <w:fldChar w:fldCharType="separate"/>
      </w:r>
      <w:r w:rsidR="00D315BC">
        <w:rPr>
          <w:noProof/>
          <w:lang w:val="en-US"/>
        </w:rPr>
        <w:t>3</w:t>
      </w:r>
      <w:r w:rsidRPr="00933B24">
        <w:rPr>
          <w:lang w:val="en-US"/>
        </w:rPr>
        <w:fldChar w:fldCharType="end"/>
      </w:r>
      <w:bookmarkEnd w:id="2"/>
      <w:r w:rsidRPr="00933B24">
        <w:rPr>
          <w:lang w:val="en-US"/>
        </w:rPr>
        <w:t xml:space="preserve">: Infographic with the estimated damage distances, and the distances calculated with the dose relationship, using the equations by HSE and DNV, and using the range of parameters discussed in Section 3. The colors show how the distance compares to the estimated damage distances. </w:t>
      </w:r>
    </w:p>
    <w:p w14:paraId="3EDB69E0" w14:textId="77777777" w:rsidR="00721387" w:rsidRDefault="00721387" w:rsidP="00F77F31">
      <w:pPr>
        <w:rPr>
          <w:lang w:val="en-US"/>
        </w:rPr>
      </w:pPr>
    </w:p>
    <w:p w14:paraId="68A244CC" w14:textId="77777777" w:rsidR="00CA3907" w:rsidRDefault="00CA3907" w:rsidP="00F77F31">
      <w:pPr>
        <w:rPr>
          <w:lang w:val="en-US"/>
        </w:rPr>
      </w:pPr>
    </w:p>
    <w:p w14:paraId="683C36DD" w14:textId="425AA41C" w:rsidR="00CA3907" w:rsidRPr="00011BE2" w:rsidRDefault="00CA3907" w:rsidP="00CA3907">
      <w:pPr>
        <w:pStyle w:val="CETheadingx"/>
      </w:pPr>
      <w:r>
        <w:lastRenderedPageBreak/>
        <w:t xml:space="preserve">Calibrating the </w:t>
      </w:r>
      <w:r w:rsidR="005252E8">
        <w:t>heat dose relationship</w:t>
      </w:r>
    </w:p>
    <w:p w14:paraId="1DF1B8F7" w14:textId="768C7D38" w:rsidR="00AF4E61" w:rsidRDefault="007053D5" w:rsidP="007053D5">
      <w:pPr>
        <w:rPr>
          <w:lang w:val="en-US"/>
        </w:rPr>
      </w:pPr>
      <w:r w:rsidRPr="007053D5">
        <w:rPr>
          <w:lang w:val="en-US"/>
        </w:rPr>
        <w:t>Using the heat flux calculated by Safeti-NL</w:t>
      </w:r>
      <w:r w:rsidR="00CD3151">
        <w:rPr>
          <w:lang w:val="en-US"/>
        </w:rPr>
        <w:t>,</w:t>
      </w:r>
      <w:r w:rsidRPr="007053D5">
        <w:rPr>
          <w:lang w:val="en-US"/>
        </w:rPr>
        <w:t xml:space="preserve"> the </w:t>
      </w:r>
      <w:r w:rsidR="00CD3151">
        <w:rPr>
          <w:lang w:val="en-US"/>
        </w:rPr>
        <w:t xml:space="preserve">heat radiation </w:t>
      </w:r>
      <w:r w:rsidRPr="007053D5">
        <w:rPr>
          <w:lang w:val="en-US"/>
        </w:rPr>
        <w:t xml:space="preserve">dose was calculated for </w:t>
      </w:r>
      <w:r w:rsidR="00CD3151">
        <w:rPr>
          <w:lang w:val="en-US"/>
        </w:rPr>
        <w:t xml:space="preserve">the selected values </w:t>
      </w:r>
      <w:r w:rsidRPr="007053D5">
        <w:rPr>
          <w:lang w:val="en-US"/>
        </w:rPr>
        <w:t xml:space="preserve">of </w:t>
      </w:r>
      <w:r w:rsidR="00CD3151">
        <w:rPr>
          <w:lang w:val="en-US"/>
        </w:rPr>
        <w:t xml:space="preserve">the </w:t>
      </w:r>
      <w:r w:rsidRPr="007053D5">
        <w:rPr>
          <w:lang w:val="en-US"/>
        </w:rPr>
        <w:t>critical heat flux C</w:t>
      </w:r>
      <w:r w:rsidR="00D24197">
        <w:rPr>
          <w:lang w:val="en-US"/>
        </w:rPr>
        <w:t xml:space="preserve">. The distance </w:t>
      </w:r>
      <w:r w:rsidR="00E02B1E">
        <w:rPr>
          <w:lang w:val="en-US"/>
        </w:rPr>
        <w:t xml:space="preserve">to the reference dose A </w:t>
      </w:r>
      <w:r w:rsidR="0075671B">
        <w:rPr>
          <w:lang w:val="en-US"/>
        </w:rPr>
        <w:t>was the</w:t>
      </w:r>
      <w:r w:rsidR="0035648B">
        <w:rPr>
          <w:lang w:val="en-US"/>
        </w:rPr>
        <w:t>n</w:t>
      </w:r>
      <w:r w:rsidR="0075671B">
        <w:rPr>
          <w:lang w:val="en-US"/>
        </w:rPr>
        <w:t xml:space="preserve"> calculated for the selected </w:t>
      </w:r>
      <w:r w:rsidRPr="007053D5">
        <w:rPr>
          <w:lang w:val="en-US"/>
        </w:rPr>
        <w:t>percentile values</w:t>
      </w:r>
      <w:r w:rsidR="0035648B">
        <w:rPr>
          <w:lang w:val="en-US"/>
        </w:rPr>
        <w:t xml:space="preserve"> and compared with the minimum and maximum </w:t>
      </w:r>
      <w:r w:rsidR="000772F5">
        <w:rPr>
          <w:lang w:val="en-US"/>
        </w:rPr>
        <w:t>damage distance observed</w:t>
      </w:r>
      <w:r w:rsidR="008938F9">
        <w:rPr>
          <w:lang w:val="en-US"/>
        </w:rPr>
        <w:t xml:space="preserve">. </w:t>
      </w:r>
      <w:r w:rsidR="00FA77BD">
        <w:rPr>
          <w:lang w:val="en-US"/>
        </w:rPr>
        <w:t>The result</w:t>
      </w:r>
      <w:r w:rsidR="00316872">
        <w:rPr>
          <w:lang w:val="en-US"/>
        </w:rPr>
        <w:t>s are</w:t>
      </w:r>
      <w:r w:rsidR="00AA1DFB">
        <w:rPr>
          <w:lang w:val="en-US"/>
        </w:rPr>
        <w:t xml:space="preserve"> </w:t>
      </w:r>
      <w:r w:rsidR="00FA77BD">
        <w:rPr>
          <w:lang w:val="en-US"/>
        </w:rPr>
        <w:t>shown in</w:t>
      </w:r>
      <w:r w:rsidR="00957F5A">
        <w:rPr>
          <w:lang w:val="en-US"/>
        </w:rPr>
        <w:t xml:space="preserve"> </w:t>
      </w:r>
      <w:r w:rsidR="00957F5A">
        <w:rPr>
          <w:lang w:val="en-US"/>
        </w:rPr>
        <w:fldChar w:fldCharType="begin"/>
      </w:r>
      <w:r w:rsidR="00957F5A">
        <w:rPr>
          <w:lang w:val="en-US"/>
        </w:rPr>
        <w:instrText xml:space="preserve"> REF _Ref181774764 \h </w:instrText>
      </w:r>
      <w:r w:rsidR="00957F5A">
        <w:rPr>
          <w:lang w:val="en-US"/>
        </w:rPr>
      </w:r>
      <w:r w:rsidR="00957F5A">
        <w:rPr>
          <w:lang w:val="en-US"/>
        </w:rPr>
        <w:fldChar w:fldCharType="separate"/>
      </w:r>
      <w:r w:rsidR="00D315BC" w:rsidRPr="00933B24">
        <w:rPr>
          <w:lang w:val="en-US"/>
        </w:rPr>
        <w:t xml:space="preserve">Figure </w:t>
      </w:r>
      <w:r w:rsidR="00D315BC">
        <w:rPr>
          <w:noProof/>
          <w:lang w:val="en-US"/>
        </w:rPr>
        <w:t>3</w:t>
      </w:r>
      <w:r w:rsidR="00957F5A">
        <w:rPr>
          <w:lang w:val="en-US"/>
        </w:rPr>
        <w:fldChar w:fldCharType="end"/>
      </w:r>
      <w:r w:rsidR="00957F5A">
        <w:rPr>
          <w:lang w:val="en-US"/>
        </w:rPr>
        <w:t>.</w:t>
      </w:r>
      <w:r w:rsidR="00FA77BD">
        <w:rPr>
          <w:lang w:val="en-US"/>
        </w:rPr>
        <w:t xml:space="preserve"> </w:t>
      </w:r>
    </w:p>
    <w:p w14:paraId="32B9FA3D" w14:textId="77777777" w:rsidR="00C42194" w:rsidRDefault="00C42194" w:rsidP="00C42194">
      <w:pPr>
        <w:rPr>
          <w:lang w:val="en-US"/>
        </w:rPr>
      </w:pPr>
    </w:p>
    <w:p w14:paraId="3EDB4623" w14:textId="1B89AA2F" w:rsidR="00615DD1" w:rsidRDefault="00410D82" w:rsidP="13CC0FE1">
      <w:r w:rsidRPr="00AA1DFB">
        <w:rPr>
          <w:lang w:val="en-US"/>
        </w:rPr>
        <w:t xml:space="preserve">The colors in </w:t>
      </w:r>
      <w:r>
        <w:rPr>
          <w:lang w:val="nl-NL"/>
        </w:rPr>
        <w:fldChar w:fldCharType="begin"/>
      </w:r>
      <w:r w:rsidRPr="00AA1DFB">
        <w:rPr>
          <w:lang w:val="en-US"/>
        </w:rPr>
        <w:instrText xml:space="preserve"> REF _Ref181774764 \h </w:instrText>
      </w:r>
      <w:r>
        <w:rPr>
          <w:lang w:val="nl-NL"/>
        </w:rPr>
      </w:r>
      <w:r>
        <w:rPr>
          <w:lang w:val="nl-NL"/>
        </w:rPr>
        <w:fldChar w:fldCharType="separate"/>
      </w:r>
      <w:r w:rsidR="00D315BC" w:rsidRPr="00933B24">
        <w:rPr>
          <w:lang w:val="en-US"/>
        </w:rPr>
        <w:t xml:space="preserve">Figure </w:t>
      </w:r>
      <w:r w:rsidR="00D315BC">
        <w:rPr>
          <w:noProof/>
          <w:lang w:val="en-US"/>
        </w:rPr>
        <w:t>3</w:t>
      </w:r>
      <w:r>
        <w:rPr>
          <w:lang w:val="nl-NL"/>
        </w:rPr>
        <w:fldChar w:fldCharType="end"/>
      </w:r>
      <w:r w:rsidRPr="00AA1DFB">
        <w:rPr>
          <w:lang w:val="en-US"/>
        </w:rPr>
        <w:t xml:space="preserve"> h</w:t>
      </w:r>
      <w:r>
        <w:rPr>
          <w:lang w:val="en-US"/>
        </w:rPr>
        <w:t xml:space="preserve">elp make clear whether </w:t>
      </w:r>
      <w:r w:rsidR="00F87DCC">
        <w:rPr>
          <w:lang w:val="en-US"/>
        </w:rPr>
        <w:t xml:space="preserve">the dose relationship over- or underestimates the damage distance. </w:t>
      </w:r>
      <w:r w:rsidR="00772648">
        <w:rPr>
          <w:lang w:val="en-US"/>
        </w:rPr>
        <w:t xml:space="preserve">The dose relationships of DNV and HSE both underestimate the distances for Ludwigshafen and Danville. </w:t>
      </w:r>
      <w:r w:rsidR="00B135A6">
        <w:t>For our parameters, t</w:t>
      </w:r>
      <w:r w:rsidR="00A832B0" w:rsidRPr="13CC0FE1">
        <w:t xml:space="preserve">he results show that a 10% percentile value always overestimates the damage distance. Percentile values of 40 and 50% regularly underestimate the damage distance. </w:t>
      </w:r>
      <w:r w:rsidR="000E5FE4" w:rsidRPr="13CC0FE1">
        <w:t xml:space="preserve">The best </w:t>
      </w:r>
      <w:r w:rsidR="00C42194" w:rsidRPr="13CC0FE1">
        <w:t xml:space="preserve">correspondence between the calculated distance and the observed distance </w:t>
      </w:r>
      <w:r w:rsidR="000E5FE4" w:rsidRPr="13CC0FE1">
        <w:t xml:space="preserve">is obtained </w:t>
      </w:r>
      <w:r w:rsidR="00C42194" w:rsidRPr="13CC0FE1">
        <w:t xml:space="preserve">for </w:t>
      </w:r>
      <w:r w:rsidR="000E5FE4" w:rsidRPr="13CC0FE1">
        <w:t>C = 3 or 5 kW/m</w:t>
      </w:r>
      <w:r w:rsidR="000E5FE4" w:rsidRPr="13CC0FE1">
        <w:rPr>
          <w:vertAlign w:val="superscript"/>
        </w:rPr>
        <w:t>2</w:t>
      </w:r>
      <w:r w:rsidR="000E5FE4" w:rsidRPr="13CC0FE1">
        <w:t xml:space="preserve"> and </w:t>
      </w:r>
      <w:r w:rsidR="001E4D51" w:rsidRPr="13CC0FE1">
        <w:t xml:space="preserve">percentile values </w:t>
      </w:r>
      <w:r w:rsidR="000E5FE4" w:rsidRPr="13CC0FE1">
        <w:t>20 or 30%</w:t>
      </w:r>
      <w:r w:rsidR="001E4D51" w:rsidRPr="13CC0FE1">
        <w:t>.</w:t>
      </w:r>
      <w:r w:rsidR="000E5FE4" w:rsidRPr="13CC0FE1">
        <w:t xml:space="preserve"> Based on these results</w:t>
      </w:r>
      <w:r w:rsidR="001E4D51" w:rsidRPr="13CC0FE1">
        <w:t>,</w:t>
      </w:r>
      <w:r w:rsidR="000E5FE4" w:rsidRPr="13CC0FE1">
        <w:t xml:space="preserve"> a choice was made for percentile value 20%</w:t>
      </w:r>
      <w:r w:rsidR="001E4D51" w:rsidRPr="13CC0FE1">
        <w:t>, corresponding with A</w:t>
      </w:r>
      <w:r w:rsidR="00A53BE1" w:rsidRPr="13CC0FE1">
        <w:t xml:space="preserve"> </w:t>
      </w:r>
      <w:r w:rsidR="001E4D51" w:rsidRPr="13CC0FE1">
        <w:t>=</w:t>
      </w:r>
      <w:r w:rsidR="00A53BE1" w:rsidRPr="13CC0FE1">
        <w:t xml:space="preserve"> </w:t>
      </w:r>
      <w:r w:rsidR="001E4D51" w:rsidRPr="13CC0FE1">
        <w:t>28150 s</w:t>
      </w:r>
      <w:r w:rsidR="001E4D51" w:rsidRPr="13CC0FE1">
        <w:rPr>
          <w:rFonts w:ascii="Cambria Math" w:hAnsi="Cambria Math" w:cs="Cambria Math"/>
        </w:rPr>
        <w:t>⋅</w:t>
      </w:r>
      <w:r w:rsidR="001E4D51" w:rsidRPr="13CC0FE1">
        <w:t>(kW/m</w:t>
      </w:r>
      <w:r w:rsidR="001E4D51" w:rsidRPr="13CC0FE1">
        <w:rPr>
          <w:vertAlign w:val="superscript"/>
        </w:rPr>
        <w:t>2</w:t>
      </w:r>
      <w:r w:rsidR="001E4D51" w:rsidRPr="13CC0FE1">
        <w:t>)</w:t>
      </w:r>
      <w:r w:rsidR="00A53BE1" w:rsidRPr="13CC0FE1">
        <w:rPr>
          <w:vertAlign w:val="superscript"/>
        </w:rPr>
        <w:t>2</w:t>
      </w:r>
      <w:r w:rsidR="000E5FE4" w:rsidRPr="13CC0FE1">
        <w:t>, B</w:t>
      </w:r>
      <w:r w:rsidR="00A53BE1" w:rsidRPr="13CC0FE1">
        <w:t xml:space="preserve"> </w:t>
      </w:r>
      <w:r w:rsidR="000E5FE4" w:rsidRPr="13CC0FE1">
        <w:t>=</w:t>
      </w:r>
      <w:r w:rsidR="00A53BE1" w:rsidRPr="13CC0FE1">
        <w:t xml:space="preserve"> </w:t>
      </w:r>
      <w:r w:rsidR="000E5FE4" w:rsidRPr="13CC0FE1">
        <w:t>2 and C</w:t>
      </w:r>
      <w:r w:rsidR="00A53BE1" w:rsidRPr="13CC0FE1">
        <w:t xml:space="preserve"> </w:t>
      </w:r>
      <w:r w:rsidR="000E5FE4" w:rsidRPr="13CC0FE1">
        <w:t>=</w:t>
      </w:r>
      <w:r w:rsidR="00A53BE1" w:rsidRPr="13CC0FE1">
        <w:t xml:space="preserve"> </w:t>
      </w:r>
      <w:r w:rsidR="000E5FE4" w:rsidRPr="13CC0FE1">
        <w:t>5 kW/m</w:t>
      </w:r>
      <w:r w:rsidR="00A53BE1" w:rsidRPr="13CC0FE1">
        <w:rPr>
          <w:vertAlign w:val="superscript"/>
        </w:rPr>
        <w:t>2</w:t>
      </w:r>
      <w:r w:rsidR="000E5FE4" w:rsidRPr="13CC0FE1">
        <w:t>.</w:t>
      </w:r>
      <w:r w:rsidR="00B135A6">
        <w:t xml:space="preserve"> </w:t>
      </w:r>
      <w:r w:rsidR="00175B39">
        <w:t xml:space="preserve">This choice is </w:t>
      </w:r>
      <w:r w:rsidR="00681344">
        <w:t xml:space="preserve">slightly conservative. </w:t>
      </w:r>
      <w:r w:rsidR="00175B39">
        <w:t xml:space="preserve"> </w:t>
      </w:r>
      <w:r w:rsidR="000E5FE4" w:rsidRPr="13CC0FE1">
        <w:t xml:space="preserve">   </w:t>
      </w:r>
    </w:p>
    <w:p w14:paraId="678839ED" w14:textId="42D008E8" w:rsidR="00A44C05" w:rsidRDefault="00AA1DFB" w:rsidP="00A44C05">
      <w:pPr>
        <w:pStyle w:val="CETHeading1"/>
        <w:rPr>
          <w:lang w:val="en-GB"/>
        </w:rPr>
      </w:pPr>
      <w:r>
        <w:rPr>
          <w:lang w:val="en-GB"/>
        </w:rPr>
        <w:t>C</w:t>
      </w:r>
      <w:r w:rsidR="00A44C05" w:rsidRPr="00B57B36">
        <w:rPr>
          <w:lang w:val="en-GB"/>
        </w:rPr>
        <w:t>onclusions</w:t>
      </w:r>
    </w:p>
    <w:p w14:paraId="71A0B6A9" w14:textId="026B799A" w:rsidR="00275040" w:rsidRPr="00275040" w:rsidRDefault="00953869" w:rsidP="00275040">
      <w:pPr>
        <w:pStyle w:val="CETBodytext"/>
        <w:rPr>
          <w:lang w:val="en-GB"/>
        </w:rPr>
      </w:pPr>
      <w:r>
        <w:rPr>
          <w:lang w:val="en-GB"/>
        </w:rPr>
        <w:t xml:space="preserve">In the Netherlands, </w:t>
      </w:r>
      <w:r w:rsidR="001A483E">
        <w:rPr>
          <w:lang w:val="en-GB"/>
        </w:rPr>
        <w:t>a</w:t>
      </w:r>
      <w:r w:rsidR="00B81D37" w:rsidRPr="00FE0C73">
        <w:rPr>
          <w:lang w:val="en-GB"/>
        </w:rPr>
        <w:t xml:space="preserve"> focus area is defined as the effect zone where an incident can have life-threatening consequences for people inside buildings</w:t>
      </w:r>
      <w:r w:rsidR="00B81D37">
        <w:rPr>
          <w:lang w:val="en-GB"/>
        </w:rPr>
        <w:t xml:space="preserve"> that are situated outside the plant boundary (“external safety”)</w:t>
      </w:r>
      <w:r w:rsidR="00B81D37" w:rsidRPr="00FE0C73">
        <w:rPr>
          <w:lang w:val="en-GB"/>
        </w:rPr>
        <w:t xml:space="preserve">. </w:t>
      </w:r>
      <w:r w:rsidR="00275040" w:rsidRPr="00275040">
        <w:rPr>
          <w:lang w:val="en-GB"/>
        </w:rPr>
        <w:t xml:space="preserve">The goal of this study was to develop a method to calculate the fire focus area. After studying various threats of fire, the initiation of secondary fires due to radiation was considered to be the most relevant. </w:t>
      </w:r>
    </w:p>
    <w:p w14:paraId="3D8C5606" w14:textId="77777777" w:rsidR="00275040" w:rsidRPr="00275040" w:rsidRDefault="00275040" w:rsidP="00275040">
      <w:pPr>
        <w:pStyle w:val="CETBodytext"/>
        <w:rPr>
          <w:lang w:val="en-GB"/>
        </w:rPr>
      </w:pPr>
    </w:p>
    <w:p w14:paraId="4BCCFBEC" w14:textId="5A559825" w:rsidR="00275040" w:rsidRPr="00275040" w:rsidRDefault="00275040" w:rsidP="00275040">
      <w:pPr>
        <w:pStyle w:val="CETBodytext"/>
        <w:rPr>
          <w:lang w:val="en-GB"/>
        </w:rPr>
      </w:pPr>
      <w:r w:rsidRPr="00275040">
        <w:rPr>
          <w:lang w:val="en-GB"/>
        </w:rPr>
        <w:t xml:space="preserve">A dose relationship was derived based on literature data and calibrated using four pipeline accidents. </w:t>
      </w:r>
      <w:r w:rsidR="00C60A55" w:rsidRPr="00FE0C73">
        <w:rPr>
          <w:lang w:val="en-GB"/>
        </w:rPr>
        <w:t>Based on this study, it is proposed to use the dose relationship ∫</w:t>
      </w:r>
      <w:r w:rsidR="00C60A55">
        <w:rPr>
          <w:lang w:val="en-GB"/>
        </w:rPr>
        <w:t xml:space="preserve"> </w:t>
      </w:r>
      <w:r w:rsidR="00C60A55" w:rsidRPr="00FE0C73">
        <w:rPr>
          <w:lang w:val="en-GB"/>
        </w:rPr>
        <w:t>(R(t)</w:t>
      </w:r>
      <w:r w:rsidR="00C60A55">
        <w:rPr>
          <w:lang w:val="en-GB"/>
        </w:rPr>
        <w:t xml:space="preserve"> </w:t>
      </w:r>
      <w:r w:rsidR="00C60A55" w:rsidRPr="00FE0C73">
        <w:rPr>
          <w:lang w:val="en-GB"/>
        </w:rPr>
        <w:t>-</w:t>
      </w:r>
      <w:r w:rsidR="00C60A55">
        <w:rPr>
          <w:lang w:val="en-GB"/>
        </w:rPr>
        <w:t xml:space="preserve"> </w:t>
      </w:r>
      <w:r w:rsidR="00C60A55" w:rsidRPr="00FE0C73">
        <w:rPr>
          <w:lang w:val="en-GB"/>
        </w:rPr>
        <w:t>C)</w:t>
      </w:r>
      <w:r w:rsidR="00C60A55">
        <w:rPr>
          <w:vertAlign w:val="superscript"/>
          <w:lang w:val="en-GB"/>
        </w:rPr>
        <w:t>B</w:t>
      </w:r>
      <w:r w:rsidR="00C60A55" w:rsidRPr="00FE0C73">
        <w:rPr>
          <w:lang w:val="en-GB"/>
        </w:rPr>
        <w:t xml:space="preserve"> dt</w:t>
      </w:r>
      <w:r w:rsidR="00C60A55">
        <w:rPr>
          <w:lang w:val="en-GB"/>
        </w:rPr>
        <w:t xml:space="preserve"> </w:t>
      </w:r>
      <w:r w:rsidR="00C60A55" w:rsidRPr="00FE0C73">
        <w:rPr>
          <w:lang w:val="en-GB"/>
        </w:rPr>
        <w:t>=</w:t>
      </w:r>
      <w:r w:rsidR="00C60A55">
        <w:rPr>
          <w:lang w:val="en-GB"/>
        </w:rPr>
        <w:t xml:space="preserve"> A for the onset of secondary fires,</w:t>
      </w:r>
      <w:r w:rsidR="00C60A55" w:rsidRPr="00FE0C73">
        <w:rPr>
          <w:lang w:val="en-GB"/>
        </w:rPr>
        <w:t xml:space="preserve"> where R is the heat flux </w:t>
      </w:r>
      <w:r w:rsidR="00C60A55">
        <w:rPr>
          <w:lang w:val="en-GB"/>
        </w:rPr>
        <w:t xml:space="preserve">in </w:t>
      </w:r>
      <w:r w:rsidR="00C60A55" w:rsidRPr="00FE0C73">
        <w:rPr>
          <w:lang w:val="en-GB"/>
        </w:rPr>
        <w:t>kW/m</w:t>
      </w:r>
      <w:r w:rsidR="00C60A55">
        <w:rPr>
          <w:vertAlign w:val="superscript"/>
          <w:lang w:val="en-GB"/>
        </w:rPr>
        <w:t>2</w:t>
      </w:r>
      <w:r w:rsidR="00C60A55" w:rsidRPr="00FE0C73">
        <w:rPr>
          <w:lang w:val="en-GB"/>
        </w:rPr>
        <w:t>, C</w:t>
      </w:r>
      <w:r w:rsidR="00C60A55">
        <w:rPr>
          <w:lang w:val="en-GB"/>
        </w:rPr>
        <w:t xml:space="preserve"> = 5 kW/m</w:t>
      </w:r>
      <w:r w:rsidR="00C60A55">
        <w:rPr>
          <w:vertAlign w:val="superscript"/>
          <w:lang w:val="en-GB"/>
        </w:rPr>
        <w:t>2</w:t>
      </w:r>
      <w:r w:rsidR="00C60A55" w:rsidRPr="00FE0C73">
        <w:rPr>
          <w:lang w:val="en-GB"/>
        </w:rPr>
        <w:t xml:space="preserve"> is the critical heat flux,</w:t>
      </w:r>
      <w:r w:rsidR="00C60A55">
        <w:rPr>
          <w:lang w:val="en-GB"/>
        </w:rPr>
        <w:t xml:space="preserve"> B = 2, </w:t>
      </w:r>
      <w:r w:rsidR="00C60A55" w:rsidRPr="00FE0C73">
        <w:rPr>
          <w:lang w:val="en-GB"/>
        </w:rPr>
        <w:t>t is the time in s, and A = 28150 s</w:t>
      </w:r>
      <w:r w:rsidR="00C60A55" w:rsidRPr="00FE0C73">
        <w:rPr>
          <w:rFonts w:ascii="Cambria Math" w:hAnsi="Cambria Math" w:cs="Cambria Math"/>
          <w:lang w:val="en-GB"/>
        </w:rPr>
        <w:t>⋅</w:t>
      </w:r>
      <w:r w:rsidR="00C60A55">
        <w:rPr>
          <w:rFonts w:ascii="Cambria Math" w:hAnsi="Cambria Math" w:cs="Cambria Math"/>
          <w:lang w:val="en-GB"/>
        </w:rPr>
        <w:t>(</w:t>
      </w:r>
      <w:r w:rsidR="00C60A55" w:rsidRPr="00FE0C73">
        <w:rPr>
          <w:lang w:val="en-GB"/>
        </w:rPr>
        <w:t>kW/m</w:t>
      </w:r>
      <w:r w:rsidR="00C60A55" w:rsidRPr="00D752E4">
        <w:rPr>
          <w:vertAlign w:val="superscript"/>
          <w:lang w:val="en-GB"/>
        </w:rPr>
        <w:t>2</w:t>
      </w:r>
      <w:r w:rsidR="00C60A55" w:rsidRPr="00FE0C73">
        <w:rPr>
          <w:lang w:val="en-GB"/>
        </w:rPr>
        <w:t>)</w:t>
      </w:r>
      <w:r w:rsidR="00C60A55" w:rsidRPr="00C116C9">
        <w:rPr>
          <w:vertAlign w:val="superscript"/>
          <w:lang w:val="en-GB"/>
        </w:rPr>
        <w:t>2</w:t>
      </w:r>
      <w:r w:rsidR="00C60A55" w:rsidRPr="00FE0C73">
        <w:rPr>
          <w:lang w:val="en-GB"/>
        </w:rPr>
        <w:t xml:space="preserve"> is the reference</w:t>
      </w:r>
      <w:r w:rsidR="00C60A55">
        <w:rPr>
          <w:lang w:val="en-GB"/>
        </w:rPr>
        <w:t xml:space="preserve"> dose </w:t>
      </w:r>
      <w:r w:rsidR="00051429">
        <w:rPr>
          <w:lang w:val="en-GB"/>
        </w:rPr>
        <w:t xml:space="preserve">for piloted ignition. </w:t>
      </w:r>
      <w:r w:rsidRPr="00275040">
        <w:rPr>
          <w:lang w:val="en-GB"/>
        </w:rPr>
        <w:t>Compared to dose relationships used by HSE and DNV the dose relationship proposed results in damage distances that are larger, but match the damage seen in pipeline accidents better. A major difference is a much lower critical heat flux</w:t>
      </w:r>
      <w:r>
        <w:rPr>
          <w:lang w:val="en-GB"/>
        </w:rPr>
        <w:t>,</w:t>
      </w:r>
      <w:r w:rsidRPr="00275040">
        <w:rPr>
          <w:lang w:val="en-GB"/>
        </w:rPr>
        <w:t xml:space="preserve"> C </w:t>
      </w:r>
      <w:r>
        <w:rPr>
          <w:lang w:val="en-GB"/>
        </w:rPr>
        <w:t>=</w:t>
      </w:r>
      <w:r w:rsidRPr="00275040">
        <w:rPr>
          <w:lang w:val="en-GB"/>
        </w:rPr>
        <w:t xml:space="preserve"> 5 kW/m</w:t>
      </w:r>
      <w:r w:rsidRPr="00275040">
        <w:rPr>
          <w:vertAlign w:val="superscript"/>
          <w:lang w:val="en-GB"/>
        </w:rPr>
        <w:t>2</w:t>
      </w:r>
      <w:r w:rsidRPr="00275040">
        <w:rPr>
          <w:lang w:val="en-GB"/>
        </w:rPr>
        <w:t xml:space="preserve"> instead of 12.6 kW/m</w:t>
      </w:r>
      <w:r w:rsidRPr="00275040">
        <w:rPr>
          <w:vertAlign w:val="superscript"/>
          <w:lang w:val="en-GB"/>
        </w:rPr>
        <w:t>2</w:t>
      </w:r>
      <w:r w:rsidRPr="00275040">
        <w:rPr>
          <w:lang w:val="en-GB"/>
        </w:rPr>
        <w:t xml:space="preserve"> and 12.0 kW/m</w:t>
      </w:r>
      <w:r w:rsidRPr="00275040">
        <w:rPr>
          <w:vertAlign w:val="superscript"/>
          <w:lang w:val="en-GB"/>
        </w:rPr>
        <w:t>2</w:t>
      </w:r>
      <w:r w:rsidRPr="00275040">
        <w:rPr>
          <w:lang w:val="en-GB"/>
        </w:rPr>
        <w:t xml:space="preserve">, for HSE and DNV respectively. Both HSE and DNV based their critical heat flux (mostly) on wood, while this report also considers plastics and other materials. </w:t>
      </w:r>
    </w:p>
    <w:p w14:paraId="4F1327F8" w14:textId="20E86609" w:rsidR="00600535" w:rsidRPr="00B57B36" w:rsidRDefault="00600535" w:rsidP="00600535">
      <w:pPr>
        <w:pStyle w:val="CETReference"/>
      </w:pPr>
      <w:r w:rsidRPr="00B57B36">
        <w:t>References</w:t>
      </w:r>
    </w:p>
    <w:p w14:paraId="72568490" w14:textId="1FB0062C" w:rsidR="00A13DCA" w:rsidRDefault="00A13DCA" w:rsidP="00A13DCA">
      <w:pPr>
        <w:pStyle w:val="CETReferencetext"/>
        <w:rPr>
          <w:lang w:val="en-US"/>
        </w:rPr>
      </w:pPr>
      <w:r w:rsidRPr="00300E80">
        <w:rPr>
          <w:noProof/>
        </w:rPr>
        <w:t>Bilo, M.</w:t>
      </w:r>
      <w:r w:rsidR="00A86BBE">
        <w:rPr>
          <w:noProof/>
        </w:rPr>
        <w:t xml:space="preserve">, </w:t>
      </w:r>
      <w:r w:rsidRPr="00300E80">
        <w:rPr>
          <w:noProof/>
        </w:rPr>
        <w:t>Kinsman</w:t>
      </w:r>
      <w:r>
        <w:rPr>
          <w:noProof/>
        </w:rPr>
        <w:t>,</w:t>
      </w:r>
      <w:r w:rsidR="00A86BBE">
        <w:rPr>
          <w:noProof/>
        </w:rPr>
        <w:t xml:space="preserve"> </w:t>
      </w:r>
      <w:r w:rsidR="00A86BBE" w:rsidRPr="00300E80">
        <w:rPr>
          <w:noProof/>
        </w:rPr>
        <w:t>P.R.</w:t>
      </w:r>
      <w:r w:rsidR="00A86BBE">
        <w:rPr>
          <w:noProof/>
        </w:rPr>
        <w:t>,</w:t>
      </w:r>
      <w:r>
        <w:rPr>
          <w:noProof/>
        </w:rPr>
        <w:t xml:space="preserve"> </w:t>
      </w:r>
      <w:r w:rsidRPr="00300E80">
        <w:rPr>
          <w:noProof/>
        </w:rPr>
        <w:t>1997</w:t>
      </w:r>
      <w:r>
        <w:rPr>
          <w:noProof/>
        </w:rPr>
        <w:t xml:space="preserve">, </w:t>
      </w:r>
      <w:r w:rsidRPr="00300E80">
        <w:rPr>
          <w:noProof/>
        </w:rPr>
        <w:t>Thermal radiation criteria used in pipeline risk assessment</w:t>
      </w:r>
      <w:r>
        <w:rPr>
          <w:noProof/>
        </w:rPr>
        <w:t>,</w:t>
      </w:r>
      <w:r w:rsidRPr="00300E80">
        <w:rPr>
          <w:noProof/>
        </w:rPr>
        <w:t xml:space="preserve"> </w:t>
      </w:r>
      <w:r w:rsidRPr="008B726C">
        <w:rPr>
          <w:lang w:val="en-US"/>
        </w:rPr>
        <w:t>Pipes and Pipelines International (N</w:t>
      </w:r>
      <w:r w:rsidRPr="000671DA">
        <w:rPr>
          <w:lang w:val="en-US"/>
        </w:rPr>
        <w:t>ovember-December)</w:t>
      </w:r>
    </w:p>
    <w:p w14:paraId="3BD8FE32" w14:textId="51720D7B" w:rsidR="00A13DCA" w:rsidRPr="00AA1DFB" w:rsidRDefault="00A13DCA" w:rsidP="00A13DCA">
      <w:pPr>
        <w:pStyle w:val="CETReferencetext"/>
        <w:rPr>
          <w:lang w:val="en-US"/>
        </w:rPr>
      </w:pPr>
      <w:r w:rsidRPr="000671DA">
        <w:rPr>
          <w:lang w:val="nl-NL"/>
        </w:rPr>
        <w:t>Boxman</w:t>
      </w:r>
      <w:r>
        <w:rPr>
          <w:lang w:val="nl-NL"/>
        </w:rPr>
        <w:t xml:space="preserve"> A.M.C</w:t>
      </w:r>
      <w:r w:rsidRPr="000671DA">
        <w:rPr>
          <w:lang w:val="nl-NL"/>
        </w:rPr>
        <w:t>, Stam</w:t>
      </w:r>
      <w:r>
        <w:rPr>
          <w:lang w:val="nl-NL"/>
        </w:rPr>
        <w:t>, G.</w:t>
      </w:r>
      <w:r w:rsidRPr="000671DA">
        <w:rPr>
          <w:lang w:val="nl-NL"/>
        </w:rPr>
        <w:t>,</w:t>
      </w:r>
      <w:r>
        <w:rPr>
          <w:lang w:val="nl-NL"/>
        </w:rPr>
        <w:t xml:space="preserve"> </w:t>
      </w:r>
      <w:r w:rsidRPr="000671DA">
        <w:rPr>
          <w:lang w:val="nl-NL"/>
        </w:rPr>
        <w:t>Uijt de Haag</w:t>
      </w:r>
      <w:r>
        <w:rPr>
          <w:lang w:val="nl-NL"/>
        </w:rPr>
        <w:t>, P.A.M.</w:t>
      </w:r>
      <w:r w:rsidR="00A86BBE">
        <w:rPr>
          <w:lang w:val="nl-NL"/>
        </w:rPr>
        <w:t xml:space="preserve">, </w:t>
      </w:r>
      <w:r w:rsidRPr="000671DA">
        <w:rPr>
          <w:lang w:val="nl-NL"/>
        </w:rPr>
        <w:t>van Vliet</w:t>
      </w:r>
      <w:r>
        <w:rPr>
          <w:lang w:val="nl-NL"/>
        </w:rPr>
        <w:t>, A.A.C, 2</w:t>
      </w:r>
      <w:r w:rsidRPr="000671DA">
        <w:rPr>
          <w:lang w:val="nl-NL"/>
        </w:rPr>
        <w:t xml:space="preserve">022. </w:t>
      </w:r>
      <w:r w:rsidR="00B53476" w:rsidRPr="00AA1DFB">
        <w:rPr>
          <w:lang w:val="en-US"/>
        </w:rPr>
        <w:t>Advi</w:t>
      </w:r>
      <w:r w:rsidR="006479CB">
        <w:rPr>
          <w:lang w:val="en-US"/>
        </w:rPr>
        <w:t>c</w:t>
      </w:r>
      <w:r w:rsidR="00B53476" w:rsidRPr="00AA1DFB">
        <w:rPr>
          <w:lang w:val="en-US"/>
        </w:rPr>
        <w:t>e on focus areas:</w:t>
      </w:r>
      <w:r w:rsidR="00384A41" w:rsidRPr="00AA1DFB">
        <w:rPr>
          <w:lang w:val="en-US"/>
        </w:rPr>
        <w:t xml:space="preserve"> consider</w:t>
      </w:r>
      <w:r w:rsidR="008B2459">
        <w:rPr>
          <w:lang w:val="en-US"/>
        </w:rPr>
        <w:t xml:space="preserve">ing </w:t>
      </w:r>
      <w:r w:rsidR="00384A41" w:rsidRPr="00AA1DFB">
        <w:rPr>
          <w:lang w:val="en-US"/>
        </w:rPr>
        <w:t>a proposal for</w:t>
      </w:r>
      <w:r w:rsidR="00902EEA">
        <w:rPr>
          <w:lang w:val="en-US"/>
        </w:rPr>
        <w:t xml:space="preserve"> </w:t>
      </w:r>
      <w:r w:rsidR="00384A41" w:rsidRPr="00AA1DFB">
        <w:rPr>
          <w:lang w:val="en-US"/>
        </w:rPr>
        <w:t xml:space="preserve">an alternative </w:t>
      </w:r>
      <w:r w:rsidR="00902EEA" w:rsidRPr="00AA1DFB">
        <w:rPr>
          <w:lang w:val="en-US"/>
        </w:rPr>
        <w:t>method of calculating focus areas</w:t>
      </w:r>
      <w:r w:rsidR="00176B10">
        <w:rPr>
          <w:lang w:val="en-US"/>
        </w:rPr>
        <w:t xml:space="preserve"> </w:t>
      </w:r>
      <w:r w:rsidRPr="00AA1DFB">
        <w:rPr>
          <w:lang w:val="en-US"/>
        </w:rPr>
        <w:t>, RIVM</w:t>
      </w:r>
      <w:r w:rsidR="00176B10">
        <w:rPr>
          <w:lang w:val="en-US"/>
        </w:rPr>
        <w:t xml:space="preserve"> (in Dutch)</w:t>
      </w:r>
    </w:p>
    <w:p w14:paraId="0E9C8907" w14:textId="77777777" w:rsidR="00A13DCA" w:rsidRDefault="00A13DCA" w:rsidP="00A13DCA">
      <w:pPr>
        <w:pStyle w:val="CETReferencetext"/>
        <w:rPr>
          <w:noProof/>
        </w:rPr>
      </w:pPr>
      <w:r w:rsidRPr="00300E80">
        <w:rPr>
          <w:noProof/>
        </w:rPr>
        <w:t>Burrell, G. and Hare</w:t>
      </w:r>
      <w:r>
        <w:rPr>
          <w:noProof/>
        </w:rPr>
        <w:t xml:space="preserve">, J., </w:t>
      </w:r>
      <w:r w:rsidRPr="00300E80">
        <w:rPr>
          <w:noProof/>
        </w:rPr>
        <w:t>2006</w:t>
      </w:r>
      <w:r>
        <w:rPr>
          <w:noProof/>
        </w:rPr>
        <w:t xml:space="preserve">, </w:t>
      </w:r>
      <w:r w:rsidRPr="00300E80">
        <w:rPr>
          <w:noProof/>
        </w:rPr>
        <w:t>Review of HSE Building Ignition Criteria, HSE.</w:t>
      </w:r>
    </w:p>
    <w:p w14:paraId="34D2150E" w14:textId="5BBDCC8B" w:rsidR="00285119" w:rsidRPr="00A13DCA" w:rsidRDefault="00285119" w:rsidP="00285119">
      <w:pPr>
        <w:pStyle w:val="CETReferencetext"/>
        <w:rPr>
          <w:lang w:val="en-US"/>
        </w:rPr>
      </w:pPr>
      <w:r>
        <w:rPr>
          <w:noProof/>
        </w:rPr>
        <w:t xml:space="preserve">DNV, 2018, </w:t>
      </w:r>
      <w:r w:rsidRPr="00300E80">
        <w:rPr>
          <w:noProof/>
        </w:rPr>
        <w:t>PIPESAFE collaboration Definition of house burning distance for public domain document</w:t>
      </w:r>
      <w:r>
        <w:rPr>
          <w:noProof/>
        </w:rPr>
        <w:t>, DNV GL</w:t>
      </w:r>
    </w:p>
    <w:p w14:paraId="73B99BED" w14:textId="162E6EF0" w:rsidR="00AA1DFB" w:rsidRDefault="00503C98" w:rsidP="00AA1DFB">
      <w:pPr>
        <w:pStyle w:val="CETReferencetext"/>
        <w:rPr>
          <w:lang w:val="en-US"/>
        </w:rPr>
      </w:pPr>
      <w:r>
        <w:rPr>
          <w:lang w:val="en-US"/>
        </w:rPr>
        <w:t>DNV, 2024, Safeti</w:t>
      </w:r>
      <w:r w:rsidR="00AA1DFB">
        <w:rPr>
          <w:lang w:val="en-US"/>
        </w:rPr>
        <w:t xml:space="preserve">. </w:t>
      </w:r>
      <w:r w:rsidR="00AA1DFB" w:rsidRPr="00BD761D">
        <w:rPr>
          <w:lang w:val="en-US"/>
        </w:rPr>
        <w:t>www.dnv.com/software/services/plant/quantitative-risk-analysis-safeti/</w:t>
      </w:r>
    </w:p>
    <w:p w14:paraId="6D5288B0" w14:textId="370F0A95" w:rsidR="00AA1DFB" w:rsidRDefault="00AA1DFB" w:rsidP="00AA1DFB">
      <w:pPr>
        <w:pStyle w:val="CETReferencetext"/>
        <w:rPr>
          <w:lang w:val="en-US"/>
        </w:rPr>
      </w:pPr>
      <w:r>
        <w:rPr>
          <w:lang w:val="en-US"/>
        </w:rPr>
        <w:t>Gasunie, 2024, personal communication.</w:t>
      </w:r>
    </w:p>
    <w:p w14:paraId="5A13856B" w14:textId="1F7C1B4D" w:rsidR="006B4888" w:rsidRDefault="00A13DCA" w:rsidP="00D8233E">
      <w:pPr>
        <w:pStyle w:val="CETReferencetext"/>
        <w:rPr>
          <w:lang w:val="en-US"/>
        </w:rPr>
      </w:pPr>
      <w:r w:rsidRPr="000671DA">
        <w:rPr>
          <w:lang w:val="en-US"/>
        </w:rPr>
        <w:t>Hazebroek, J.C., Greven, F.E., Morssche, K. G.-T., Dikkenberg, R. v. d., 2015, ‘Things can change’, a study of fire development and survivability, Instituut Fysieke Veiligheid</w:t>
      </w:r>
      <w:r w:rsidR="00176B10">
        <w:rPr>
          <w:lang w:val="en-US"/>
        </w:rPr>
        <w:t xml:space="preserve"> (in Dutch)</w:t>
      </w:r>
    </w:p>
    <w:p w14:paraId="4FB77839" w14:textId="0E62A9CF" w:rsidR="007D4AA5" w:rsidRPr="00D8233E" w:rsidRDefault="00E8359E" w:rsidP="007D4AA5">
      <w:pPr>
        <w:pStyle w:val="CETReferencetext"/>
        <w:rPr>
          <w:lang w:val="en-US"/>
        </w:rPr>
      </w:pPr>
      <w:r>
        <w:rPr>
          <w:lang w:val="en-US"/>
        </w:rPr>
        <w:t xml:space="preserve">IPLO, 2024, </w:t>
      </w:r>
      <w:r w:rsidR="002C1EF3">
        <w:rPr>
          <w:lang w:val="en-US"/>
        </w:rPr>
        <w:t xml:space="preserve">Environment and Planning Act in the </w:t>
      </w:r>
      <w:r w:rsidR="007D4AA5">
        <w:rPr>
          <w:lang w:val="en-US"/>
        </w:rPr>
        <w:t xml:space="preserve">Netherlands. </w:t>
      </w:r>
      <w:r w:rsidR="007D4AA5" w:rsidRPr="007D4AA5">
        <w:rPr>
          <w:lang w:val="en-US"/>
        </w:rPr>
        <w:t>iplo.nl/regelgeving/omgevingswet/english-environment-and-planning-act/</w:t>
      </w:r>
    </w:p>
    <w:p w14:paraId="77BC3056" w14:textId="56EC645D" w:rsidR="003A25A6" w:rsidRDefault="003A25A6" w:rsidP="003A25A6">
      <w:pPr>
        <w:pStyle w:val="CETReferencetext"/>
      </w:pPr>
      <w:r>
        <w:t>NTSB, 2011</w:t>
      </w:r>
      <w:r w:rsidR="00716C48">
        <w:t xml:space="preserve">, </w:t>
      </w:r>
      <w:r w:rsidR="00716C48" w:rsidRPr="00716C48">
        <w:t>Pacific Gas and Electric Company Natural Gas Transmission Pipeline Rupture and Fire, San Bruno, California, September 9, 2010</w:t>
      </w:r>
      <w:r w:rsidR="00E44766">
        <w:t>,</w:t>
      </w:r>
      <w:r w:rsidR="00716C48" w:rsidRPr="00716C48">
        <w:t xml:space="preserve"> DC, N</w:t>
      </w:r>
      <w:r w:rsidR="00E44766">
        <w:t>ational Transportation Safety Board</w:t>
      </w:r>
    </w:p>
    <w:p w14:paraId="1D8B3619" w14:textId="232F82B5" w:rsidR="00293F7E" w:rsidRDefault="00293F7E" w:rsidP="003A25A6">
      <w:pPr>
        <w:pStyle w:val="CETReferencetext"/>
        <w:rPr>
          <w:noProof/>
        </w:rPr>
      </w:pPr>
      <w:r>
        <w:t xml:space="preserve">NTSB, 2014, </w:t>
      </w:r>
      <w:r w:rsidRPr="00300E80">
        <w:rPr>
          <w:noProof/>
        </w:rPr>
        <w:t>Columbia Gas Transmission Corporation Pipeline Rupture, Sissonville, West Virginia, December 11, 2012</w:t>
      </w:r>
      <w:r w:rsidR="00E44766">
        <w:t>,</w:t>
      </w:r>
      <w:r w:rsidR="00E44766" w:rsidRPr="00716C48">
        <w:t xml:space="preserve"> DC, N</w:t>
      </w:r>
      <w:r w:rsidR="00E44766">
        <w:t>ational Transportation Safety Board</w:t>
      </w:r>
    </w:p>
    <w:p w14:paraId="46B7F623" w14:textId="715267D1" w:rsidR="00327342" w:rsidRDefault="00327342" w:rsidP="003A25A6">
      <w:pPr>
        <w:pStyle w:val="CETReferencetext"/>
        <w:rPr>
          <w:noProof/>
        </w:rPr>
      </w:pPr>
      <w:r>
        <w:rPr>
          <w:noProof/>
        </w:rPr>
        <w:t xml:space="preserve">NTSB, 2022, </w:t>
      </w:r>
      <w:r w:rsidRPr="00300E80">
        <w:rPr>
          <w:noProof/>
        </w:rPr>
        <w:t>Enbridge Inc. Natural Gas Transmission Pipeline Rupture and Fire, Danville, Kentucky, August 1, 2019</w:t>
      </w:r>
      <w:r w:rsidR="00E44766">
        <w:t>,</w:t>
      </w:r>
      <w:r w:rsidR="00E44766" w:rsidRPr="00716C48">
        <w:t xml:space="preserve"> DC, N</w:t>
      </w:r>
      <w:r w:rsidR="00E44766">
        <w:t>ational Transportation Safety Board</w:t>
      </w:r>
    </w:p>
    <w:p w14:paraId="4090F89D" w14:textId="77777777" w:rsidR="00A13DCA" w:rsidRDefault="00A13DCA" w:rsidP="00A13DCA">
      <w:pPr>
        <w:pStyle w:val="CETReferencetext"/>
      </w:pPr>
      <w:r>
        <w:t>VROM, 2003, PGS 1B: Effects of fire on constructions (in Dutch)</w:t>
      </w:r>
    </w:p>
    <w:p w14:paraId="428AE4BA" w14:textId="77777777" w:rsidR="009C70E7" w:rsidRPr="00AA1DFB" w:rsidRDefault="009C70E7" w:rsidP="009C70E7">
      <w:pPr>
        <w:pStyle w:val="CETReferencetext"/>
      </w:pPr>
    </w:p>
    <w:p w14:paraId="19C4FC68" w14:textId="2EE7DE9A" w:rsidR="004628D2" w:rsidRDefault="004628D2" w:rsidP="00AA1DFB">
      <w:pPr>
        <w:pStyle w:val="CETReferencetext"/>
        <w:ind w:left="0" w:firstLine="0"/>
      </w:pPr>
    </w:p>
    <w:sectPr w:rsidR="004628D2"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601178" w14:textId="77777777" w:rsidR="00A03067" w:rsidRDefault="00A03067" w:rsidP="004F5E36">
      <w:r>
        <w:separator/>
      </w:r>
    </w:p>
  </w:endnote>
  <w:endnote w:type="continuationSeparator" w:id="0">
    <w:p w14:paraId="407222CE" w14:textId="77777777" w:rsidR="00A03067" w:rsidRDefault="00A03067" w:rsidP="004F5E36">
      <w:r>
        <w:continuationSeparator/>
      </w:r>
    </w:p>
  </w:endnote>
  <w:endnote w:type="continuationNotice" w:id="1">
    <w:p w14:paraId="300CBFAC" w14:textId="77777777" w:rsidR="00A03067" w:rsidRDefault="00A0306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5FB09E" w14:textId="77777777" w:rsidR="00A03067" w:rsidRDefault="00A03067" w:rsidP="004F5E36">
      <w:r>
        <w:separator/>
      </w:r>
    </w:p>
  </w:footnote>
  <w:footnote w:type="continuationSeparator" w:id="0">
    <w:p w14:paraId="2AB3932E" w14:textId="77777777" w:rsidR="00A03067" w:rsidRDefault="00A03067" w:rsidP="004F5E36">
      <w:r>
        <w:continuationSeparator/>
      </w:r>
    </w:p>
  </w:footnote>
  <w:footnote w:type="continuationNotice" w:id="1">
    <w:p w14:paraId="21D47FC6" w14:textId="77777777" w:rsidR="00A03067" w:rsidRDefault="00A03067">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1A8C267F"/>
    <w:multiLevelType w:val="hybridMultilevel"/>
    <w:tmpl w:val="1EC824E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1AF672C"/>
    <w:multiLevelType w:val="hybridMultilevel"/>
    <w:tmpl w:val="F666487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1"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7BA83040"/>
    <w:multiLevelType w:val="hybridMultilevel"/>
    <w:tmpl w:val="A37691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316882765">
    <w:abstractNumId w:val="12"/>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20"/>
  </w:num>
  <w:num w:numId="13" w16cid:durableId="695733619">
    <w:abstractNumId w:val="14"/>
  </w:num>
  <w:num w:numId="14" w16cid:durableId="145903400">
    <w:abstractNumId w:val="21"/>
  </w:num>
  <w:num w:numId="15" w16cid:durableId="19162326">
    <w:abstractNumId w:val="23"/>
  </w:num>
  <w:num w:numId="16" w16cid:durableId="1977102699">
    <w:abstractNumId w:val="22"/>
  </w:num>
  <w:num w:numId="17" w16cid:durableId="860774865">
    <w:abstractNumId w:val="13"/>
  </w:num>
  <w:num w:numId="18" w16cid:durableId="313221457">
    <w:abstractNumId w:val="14"/>
    <w:lvlOverride w:ilvl="0">
      <w:startOverride w:val="1"/>
    </w:lvlOverride>
  </w:num>
  <w:num w:numId="19" w16cid:durableId="534971577">
    <w:abstractNumId w:val="19"/>
  </w:num>
  <w:num w:numId="20" w16cid:durableId="1150947773">
    <w:abstractNumId w:val="17"/>
  </w:num>
  <w:num w:numId="21" w16cid:durableId="124660497">
    <w:abstractNumId w:val="16"/>
  </w:num>
  <w:num w:numId="22" w16cid:durableId="2099861471">
    <w:abstractNumId w:val="15"/>
  </w:num>
  <w:num w:numId="23" w16cid:durableId="84351335">
    <w:abstractNumId w:val="10"/>
  </w:num>
  <w:num w:numId="24" w16cid:durableId="610209595">
    <w:abstractNumId w:val="12"/>
  </w:num>
  <w:num w:numId="25" w16cid:durableId="1773356196">
    <w:abstractNumId w:val="12"/>
  </w:num>
  <w:num w:numId="26" w16cid:durableId="1338459031">
    <w:abstractNumId w:val="12"/>
  </w:num>
  <w:num w:numId="27" w16cid:durableId="271279441">
    <w:abstractNumId w:val="11"/>
  </w:num>
  <w:num w:numId="28" w16cid:durableId="1108963535">
    <w:abstractNumId w:val="18"/>
  </w:num>
  <w:num w:numId="29" w16cid:durableId="58106237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v2r2aevof5fz6eddsrpaf0dvtxfrs25e99w&quot;&gt;literatuur BAG&lt;record-ids&gt;&lt;item&gt;9&lt;/item&gt;&lt;item&gt;10&lt;/item&gt;&lt;item&gt;12&lt;/item&gt;&lt;item&gt;37&lt;/item&gt;&lt;item&gt;38&lt;/item&gt;&lt;item&gt;39&lt;/item&gt;&lt;item&gt;40&lt;/item&gt;&lt;item&gt;48&lt;/item&gt;&lt;/record-ids&gt;&lt;/item&gt;&lt;/Libraries&gt;"/>
  </w:docVars>
  <w:rsids>
    <w:rsidRoot w:val="000E414A"/>
    <w:rsid w:val="000027C0"/>
    <w:rsid w:val="000052FB"/>
    <w:rsid w:val="00005A19"/>
    <w:rsid w:val="000117CB"/>
    <w:rsid w:val="00016125"/>
    <w:rsid w:val="000200B5"/>
    <w:rsid w:val="000239AF"/>
    <w:rsid w:val="0002688D"/>
    <w:rsid w:val="00027CE8"/>
    <w:rsid w:val="0003148D"/>
    <w:rsid w:val="00031EEC"/>
    <w:rsid w:val="00041FBB"/>
    <w:rsid w:val="00051429"/>
    <w:rsid w:val="00051566"/>
    <w:rsid w:val="000549BE"/>
    <w:rsid w:val="000562A9"/>
    <w:rsid w:val="000571CC"/>
    <w:rsid w:val="00061454"/>
    <w:rsid w:val="00062092"/>
    <w:rsid w:val="00062A9A"/>
    <w:rsid w:val="00065058"/>
    <w:rsid w:val="00072DBD"/>
    <w:rsid w:val="00075C68"/>
    <w:rsid w:val="000772F5"/>
    <w:rsid w:val="00082377"/>
    <w:rsid w:val="00086C39"/>
    <w:rsid w:val="00091603"/>
    <w:rsid w:val="000974AD"/>
    <w:rsid w:val="000A03B2"/>
    <w:rsid w:val="000A5B44"/>
    <w:rsid w:val="000B21E4"/>
    <w:rsid w:val="000C0F18"/>
    <w:rsid w:val="000C2D8F"/>
    <w:rsid w:val="000C6106"/>
    <w:rsid w:val="000D0268"/>
    <w:rsid w:val="000D0ABF"/>
    <w:rsid w:val="000D0D0F"/>
    <w:rsid w:val="000D34BE"/>
    <w:rsid w:val="000D7B79"/>
    <w:rsid w:val="000E0B3C"/>
    <w:rsid w:val="000E0F13"/>
    <w:rsid w:val="000E102F"/>
    <w:rsid w:val="000E36F1"/>
    <w:rsid w:val="000E3A73"/>
    <w:rsid w:val="000E414A"/>
    <w:rsid w:val="000E5FE4"/>
    <w:rsid w:val="000E75FD"/>
    <w:rsid w:val="000F093C"/>
    <w:rsid w:val="000F787B"/>
    <w:rsid w:val="00102D31"/>
    <w:rsid w:val="0012091F"/>
    <w:rsid w:val="00126BC2"/>
    <w:rsid w:val="001308B6"/>
    <w:rsid w:val="0013121F"/>
    <w:rsid w:val="00131FE6"/>
    <w:rsid w:val="0013263F"/>
    <w:rsid w:val="00132EC5"/>
    <w:rsid w:val="001331DF"/>
    <w:rsid w:val="00134DE4"/>
    <w:rsid w:val="0014034D"/>
    <w:rsid w:val="00140FE3"/>
    <w:rsid w:val="00144D16"/>
    <w:rsid w:val="00150E59"/>
    <w:rsid w:val="00152DE3"/>
    <w:rsid w:val="00156D32"/>
    <w:rsid w:val="001612BF"/>
    <w:rsid w:val="0016419C"/>
    <w:rsid w:val="00164CF9"/>
    <w:rsid w:val="001667A6"/>
    <w:rsid w:val="001722FB"/>
    <w:rsid w:val="001745CA"/>
    <w:rsid w:val="00175B39"/>
    <w:rsid w:val="00176B10"/>
    <w:rsid w:val="0018171E"/>
    <w:rsid w:val="00184AD6"/>
    <w:rsid w:val="00190422"/>
    <w:rsid w:val="0019066B"/>
    <w:rsid w:val="001A483E"/>
    <w:rsid w:val="001A4AF7"/>
    <w:rsid w:val="001A690F"/>
    <w:rsid w:val="001B0349"/>
    <w:rsid w:val="001B1E93"/>
    <w:rsid w:val="001B5744"/>
    <w:rsid w:val="001B659A"/>
    <w:rsid w:val="001B65C1"/>
    <w:rsid w:val="001B7EF5"/>
    <w:rsid w:val="001C1402"/>
    <w:rsid w:val="001C260F"/>
    <w:rsid w:val="001C5C3A"/>
    <w:rsid w:val="001C684B"/>
    <w:rsid w:val="001D0CFB"/>
    <w:rsid w:val="001D21AF"/>
    <w:rsid w:val="001D53FC"/>
    <w:rsid w:val="001D6A97"/>
    <w:rsid w:val="001E4D51"/>
    <w:rsid w:val="001E5CAD"/>
    <w:rsid w:val="001F42A5"/>
    <w:rsid w:val="001F4F61"/>
    <w:rsid w:val="001F7B9D"/>
    <w:rsid w:val="0020007C"/>
    <w:rsid w:val="00201C93"/>
    <w:rsid w:val="00213642"/>
    <w:rsid w:val="00214ACF"/>
    <w:rsid w:val="002224B4"/>
    <w:rsid w:val="002240A9"/>
    <w:rsid w:val="00230DFD"/>
    <w:rsid w:val="002311FA"/>
    <w:rsid w:val="0023215C"/>
    <w:rsid w:val="0023546F"/>
    <w:rsid w:val="00244567"/>
    <w:rsid w:val="002447EF"/>
    <w:rsid w:val="00246589"/>
    <w:rsid w:val="00251550"/>
    <w:rsid w:val="0025459E"/>
    <w:rsid w:val="0026174D"/>
    <w:rsid w:val="00263B05"/>
    <w:rsid w:val="002654F7"/>
    <w:rsid w:val="0027221A"/>
    <w:rsid w:val="002723A2"/>
    <w:rsid w:val="00272CA4"/>
    <w:rsid w:val="00274DCC"/>
    <w:rsid w:val="00275040"/>
    <w:rsid w:val="00275B61"/>
    <w:rsid w:val="00276962"/>
    <w:rsid w:val="00280FAF"/>
    <w:rsid w:val="00282656"/>
    <w:rsid w:val="0028495C"/>
    <w:rsid w:val="00285119"/>
    <w:rsid w:val="002879CE"/>
    <w:rsid w:val="00293F7E"/>
    <w:rsid w:val="00296083"/>
    <w:rsid w:val="00296B83"/>
    <w:rsid w:val="002A3E64"/>
    <w:rsid w:val="002A769E"/>
    <w:rsid w:val="002B20D1"/>
    <w:rsid w:val="002B4015"/>
    <w:rsid w:val="002B610C"/>
    <w:rsid w:val="002B78CE"/>
    <w:rsid w:val="002C1EF3"/>
    <w:rsid w:val="002C2FB6"/>
    <w:rsid w:val="002C5C84"/>
    <w:rsid w:val="002E4286"/>
    <w:rsid w:val="002E5FA7"/>
    <w:rsid w:val="002E74F1"/>
    <w:rsid w:val="002F3309"/>
    <w:rsid w:val="002F7834"/>
    <w:rsid w:val="003008CE"/>
    <w:rsid w:val="003009B7"/>
    <w:rsid w:val="00300E56"/>
    <w:rsid w:val="00300E80"/>
    <w:rsid w:val="0030152C"/>
    <w:rsid w:val="003044F5"/>
    <w:rsid w:val="0030469C"/>
    <w:rsid w:val="00306294"/>
    <w:rsid w:val="00316872"/>
    <w:rsid w:val="00317FCB"/>
    <w:rsid w:val="00321CA6"/>
    <w:rsid w:val="00322633"/>
    <w:rsid w:val="00323763"/>
    <w:rsid w:val="00323C5F"/>
    <w:rsid w:val="00327342"/>
    <w:rsid w:val="00327FE8"/>
    <w:rsid w:val="00333ADA"/>
    <w:rsid w:val="00334C09"/>
    <w:rsid w:val="0034213C"/>
    <w:rsid w:val="00346699"/>
    <w:rsid w:val="003469A3"/>
    <w:rsid w:val="0035249E"/>
    <w:rsid w:val="0035648B"/>
    <w:rsid w:val="003723D4"/>
    <w:rsid w:val="00381905"/>
    <w:rsid w:val="00383D67"/>
    <w:rsid w:val="00384A41"/>
    <w:rsid w:val="00384CC8"/>
    <w:rsid w:val="003871FD"/>
    <w:rsid w:val="00390103"/>
    <w:rsid w:val="00397C49"/>
    <w:rsid w:val="003A1E30"/>
    <w:rsid w:val="003A25A6"/>
    <w:rsid w:val="003A2829"/>
    <w:rsid w:val="003A2D55"/>
    <w:rsid w:val="003A7D1C"/>
    <w:rsid w:val="003B077A"/>
    <w:rsid w:val="003B2BA2"/>
    <w:rsid w:val="003B304B"/>
    <w:rsid w:val="003B3146"/>
    <w:rsid w:val="003B4637"/>
    <w:rsid w:val="003B49CD"/>
    <w:rsid w:val="003B4C05"/>
    <w:rsid w:val="003C1F15"/>
    <w:rsid w:val="003D1E02"/>
    <w:rsid w:val="003D5199"/>
    <w:rsid w:val="003E1D6C"/>
    <w:rsid w:val="003E6939"/>
    <w:rsid w:val="003F015E"/>
    <w:rsid w:val="003F5B19"/>
    <w:rsid w:val="00400414"/>
    <w:rsid w:val="004051A1"/>
    <w:rsid w:val="00410D82"/>
    <w:rsid w:val="0041446B"/>
    <w:rsid w:val="00414915"/>
    <w:rsid w:val="004200CC"/>
    <w:rsid w:val="00420780"/>
    <w:rsid w:val="00422F29"/>
    <w:rsid w:val="004279DC"/>
    <w:rsid w:val="004302B6"/>
    <w:rsid w:val="0043432B"/>
    <w:rsid w:val="00435A6E"/>
    <w:rsid w:val="0044035B"/>
    <w:rsid w:val="0044071E"/>
    <w:rsid w:val="0044256A"/>
    <w:rsid w:val="0044329C"/>
    <w:rsid w:val="00453E24"/>
    <w:rsid w:val="00455458"/>
    <w:rsid w:val="00457436"/>
    <w:rsid w:val="00457456"/>
    <w:rsid w:val="004577FE"/>
    <w:rsid w:val="00457B9C"/>
    <w:rsid w:val="0046164A"/>
    <w:rsid w:val="00461A95"/>
    <w:rsid w:val="004628D2"/>
    <w:rsid w:val="00462DCD"/>
    <w:rsid w:val="004648AD"/>
    <w:rsid w:val="00466F7D"/>
    <w:rsid w:val="004703A9"/>
    <w:rsid w:val="00472C97"/>
    <w:rsid w:val="004754E3"/>
    <w:rsid w:val="004760DE"/>
    <w:rsid w:val="004763D7"/>
    <w:rsid w:val="00485E71"/>
    <w:rsid w:val="00492664"/>
    <w:rsid w:val="00493869"/>
    <w:rsid w:val="00494CA6"/>
    <w:rsid w:val="00495955"/>
    <w:rsid w:val="004A004E"/>
    <w:rsid w:val="004A24CF"/>
    <w:rsid w:val="004A472C"/>
    <w:rsid w:val="004B09E6"/>
    <w:rsid w:val="004B72DF"/>
    <w:rsid w:val="004C2479"/>
    <w:rsid w:val="004C37A8"/>
    <w:rsid w:val="004C3D1D"/>
    <w:rsid w:val="004C3D84"/>
    <w:rsid w:val="004C5689"/>
    <w:rsid w:val="004C7913"/>
    <w:rsid w:val="004D0096"/>
    <w:rsid w:val="004D3C31"/>
    <w:rsid w:val="004D48A3"/>
    <w:rsid w:val="004E4DD6"/>
    <w:rsid w:val="004F2D29"/>
    <w:rsid w:val="004F5E36"/>
    <w:rsid w:val="004F6890"/>
    <w:rsid w:val="0050164D"/>
    <w:rsid w:val="00503C98"/>
    <w:rsid w:val="00505199"/>
    <w:rsid w:val="00507B47"/>
    <w:rsid w:val="00507BEF"/>
    <w:rsid w:val="00507CC9"/>
    <w:rsid w:val="005119A5"/>
    <w:rsid w:val="005141A2"/>
    <w:rsid w:val="005252E8"/>
    <w:rsid w:val="005278B7"/>
    <w:rsid w:val="00527B3F"/>
    <w:rsid w:val="00532016"/>
    <w:rsid w:val="005346C8"/>
    <w:rsid w:val="00535287"/>
    <w:rsid w:val="005424FC"/>
    <w:rsid w:val="00543E7D"/>
    <w:rsid w:val="0054576B"/>
    <w:rsid w:val="00547A68"/>
    <w:rsid w:val="005531C9"/>
    <w:rsid w:val="00554879"/>
    <w:rsid w:val="005553EC"/>
    <w:rsid w:val="005556E4"/>
    <w:rsid w:val="00564B00"/>
    <w:rsid w:val="00570C43"/>
    <w:rsid w:val="00577A2E"/>
    <w:rsid w:val="00585215"/>
    <w:rsid w:val="00592274"/>
    <w:rsid w:val="005974F8"/>
    <w:rsid w:val="005A7EB4"/>
    <w:rsid w:val="005B2110"/>
    <w:rsid w:val="005B2FCE"/>
    <w:rsid w:val="005B350B"/>
    <w:rsid w:val="005B61E6"/>
    <w:rsid w:val="005B67D5"/>
    <w:rsid w:val="005B6979"/>
    <w:rsid w:val="005C77E1"/>
    <w:rsid w:val="005D0269"/>
    <w:rsid w:val="005D0289"/>
    <w:rsid w:val="005D4AF5"/>
    <w:rsid w:val="005D668A"/>
    <w:rsid w:val="005D6A2F"/>
    <w:rsid w:val="005D782C"/>
    <w:rsid w:val="005E0177"/>
    <w:rsid w:val="005E02D7"/>
    <w:rsid w:val="005E0592"/>
    <w:rsid w:val="005E159B"/>
    <w:rsid w:val="005E1A82"/>
    <w:rsid w:val="005E5C69"/>
    <w:rsid w:val="005E77CF"/>
    <w:rsid w:val="005E794C"/>
    <w:rsid w:val="005E7FBF"/>
    <w:rsid w:val="005F0A28"/>
    <w:rsid w:val="005F0E5E"/>
    <w:rsid w:val="005F2001"/>
    <w:rsid w:val="005F2350"/>
    <w:rsid w:val="005F241B"/>
    <w:rsid w:val="005F4B8B"/>
    <w:rsid w:val="00600535"/>
    <w:rsid w:val="00600637"/>
    <w:rsid w:val="00600D51"/>
    <w:rsid w:val="006058D8"/>
    <w:rsid w:val="00610CD6"/>
    <w:rsid w:val="00611143"/>
    <w:rsid w:val="00612FD2"/>
    <w:rsid w:val="00615DD1"/>
    <w:rsid w:val="00617AE3"/>
    <w:rsid w:val="00620DEE"/>
    <w:rsid w:val="00621F92"/>
    <w:rsid w:val="0062280A"/>
    <w:rsid w:val="006231E1"/>
    <w:rsid w:val="00625639"/>
    <w:rsid w:val="00631B33"/>
    <w:rsid w:val="00636E67"/>
    <w:rsid w:val="0064184D"/>
    <w:rsid w:val="006422CC"/>
    <w:rsid w:val="006459ED"/>
    <w:rsid w:val="006479CB"/>
    <w:rsid w:val="006507D8"/>
    <w:rsid w:val="00651D18"/>
    <w:rsid w:val="0065288B"/>
    <w:rsid w:val="00654A1A"/>
    <w:rsid w:val="0065659C"/>
    <w:rsid w:val="006568CE"/>
    <w:rsid w:val="00656AB4"/>
    <w:rsid w:val="006609EC"/>
    <w:rsid w:val="00660E3E"/>
    <w:rsid w:val="00662E74"/>
    <w:rsid w:val="00664F13"/>
    <w:rsid w:val="00666171"/>
    <w:rsid w:val="006700F2"/>
    <w:rsid w:val="00670BDC"/>
    <w:rsid w:val="00673EDF"/>
    <w:rsid w:val="00677BA5"/>
    <w:rsid w:val="00680C23"/>
    <w:rsid w:val="00681344"/>
    <w:rsid w:val="00683E23"/>
    <w:rsid w:val="006916BF"/>
    <w:rsid w:val="00693766"/>
    <w:rsid w:val="006939D2"/>
    <w:rsid w:val="00695081"/>
    <w:rsid w:val="00697393"/>
    <w:rsid w:val="006A3281"/>
    <w:rsid w:val="006A3F45"/>
    <w:rsid w:val="006A6DE5"/>
    <w:rsid w:val="006B4888"/>
    <w:rsid w:val="006B4EA7"/>
    <w:rsid w:val="006B69A3"/>
    <w:rsid w:val="006C1E03"/>
    <w:rsid w:val="006C2E45"/>
    <w:rsid w:val="006C359C"/>
    <w:rsid w:val="006C5579"/>
    <w:rsid w:val="006D6E8B"/>
    <w:rsid w:val="006D7209"/>
    <w:rsid w:val="006D737D"/>
    <w:rsid w:val="006E4278"/>
    <w:rsid w:val="006E737D"/>
    <w:rsid w:val="006F57E0"/>
    <w:rsid w:val="006F6343"/>
    <w:rsid w:val="006F6BF6"/>
    <w:rsid w:val="00702860"/>
    <w:rsid w:val="007053D5"/>
    <w:rsid w:val="0070693E"/>
    <w:rsid w:val="00707DD1"/>
    <w:rsid w:val="00713973"/>
    <w:rsid w:val="00716C48"/>
    <w:rsid w:val="00720A24"/>
    <w:rsid w:val="00721387"/>
    <w:rsid w:val="00731BD8"/>
    <w:rsid w:val="00732386"/>
    <w:rsid w:val="00732635"/>
    <w:rsid w:val="007327A7"/>
    <w:rsid w:val="0073514D"/>
    <w:rsid w:val="00737F78"/>
    <w:rsid w:val="007413BE"/>
    <w:rsid w:val="00742CF1"/>
    <w:rsid w:val="00744146"/>
    <w:rsid w:val="0074436F"/>
    <w:rsid w:val="007447F3"/>
    <w:rsid w:val="00745B12"/>
    <w:rsid w:val="0074725C"/>
    <w:rsid w:val="0075499F"/>
    <w:rsid w:val="0075671B"/>
    <w:rsid w:val="007661C8"/>
    <w:rsid w:val="00770255"/>
    <w:rsid w:val="0077098D"/>
    <w:rsid w:val="00772648"/>
    <w:rsid w:val="00776B95"/>
    <w:rsid w:val="007800B3"/>
    <w:rsid w:val="00780B67"/>
    <w:rsid w:val="00785BF9"/>
    <w:rsid w:val="007931FA"/>
    <w:rsid w:val="00794A23"/>
    <w:rsid w:val="007A2E80"/>
    <w:rsid w:val="007A4861"/>
    <w:rsid w:val="007A63C8"/>
    <w:rsid w:val="007A7A18"/>
    <w:rsid w:val="007A7AEC"/>
    <w:rsid w:val="007A7BBA"/>
    <w:rsid w:val="007B0C50"/>
    <w:rsid w:val="007B48F9"/>
    <w:rsid w:val="007B4EAF"/>
    <w:rsid w:val="007C1A43"/>
    <w:rsid w:val="007C6263"/>
    <w:rsid w:val="007C7453"/>
    <w:rsid w:val="007D0951"/>
    <w:rsid w:val="007D1F8F"/>
    <w:rsid w:val="007D4AA5"/>
    <w:rsid w:val="007D610D"/>
    <w:rsid w:val="007F26D0"/>
    <w:rsid w:val="007F6B16"/>
    <w:rsid w:val="007F704C"/>
    <w:rsid w:val="0080013E"/>
    <w:rsid w:val="00801759"/>
    <w:rsid w:val="0080367E"/>
    <w:rsid w:val="00803715"/>
    <w:rsid w:val="00813288"/>
    <w:rsid w:val="00813C20"/>
    <w:rsid w:val="008168FC"/>
    <w:rsid w:val="00820D2E"/>
    <w:rsid w:val="00830996"/>
    <w:rsid w:val="00831EC3"/>
    <w:rsid w:val="00833F78"/>
    <w:rsid w:val="008345F1"/>
    <w:rsid w:val="00840C5D"/>
    <w:rsid w:val="0084210C"/>
    <w:rsid w:val="00850B85"/>
    <w:rsid w:val="00865B07"/>
    <w:rsid w:val="00865DB6"/>
    <w:rsid w:val="008667EA"/>
    <w:rsid w:val="00867D92"/>
    <w:rsid w:val="00874F2E"/>
    <w:rsid w:val="0087637F"/>
    <w:rsid w:val="00892AD5"/>
    <w:rsid w:val="00893874"/>
    <w:rsid w:val="008938F9"/>
    <w:rsid w:val="008A1512"/>
    <w:rsid w:val="008A1796"/>
    <w:rsid w:val="008B2459"/>
    <w:rsid w:val="008B2A73"/>
    <w:rsid w:val="008B3B6D"/>
    <w:rsid w:val="008B726C"/>
    <w:rsid w:val="008C197A"/>
    <w:rsid w:val="008C4DFA"/>
    <w:rsid w:val="008D32B9"/>
    <w:rsid w:val="008D433B"/>
    <w:rsid w:val="008D4A16"/>
    <w:rsid w:val="008D5E97"/>
    <w:rsid w:val="008E0416"/>
    <w:rsid w:val="008E146E"/>
    <w:rsid w:val="008E5401"/>
    <w:rsid w:val="008E566E"/>
    <w:rsid w:val="008E5E1A"/>
    <w:rsid w:val="008F1D30"/>
    <w:rsid w:val="0090161A"/>
    <w:rsid w:val="00901EB6"/>
    <w:rsid w:val="00902EEA"/>
    <w:rsid w:val="00902FA7"/>
    <w:rsid w:val="009041F8"/>
    <w:rsid w:val="00904C62"/>
    <w:rsid w:val="009106A2"/>
    <w:rsid w:val="0091588F"/>
    <w:rsid w:val="00917AA3"/>
    <w:rsid w:val="00921A87"/>
    <w:rsid w:val="00922BA8"/>
    <w:rsid w:val="00924BAD"/>
    <w:rsid w:val="00924DAC"/>
    <w:rsid w:val="00926737"/>
    <w:rsid w:val="00927058"/>
    <w:rsid w:val="00933163"/>
    <w:rsid w:val="00933B24"/>
    <w:rsid w:val="0094132A"/>
    <w:rsid w:val="00942750"/>
    <w:rsid w:val="009450CE"/>
    <w:rsid w:val="00945401"/>
    <w:rsid w:val="009459BB"/>
    <w:rsid w:val="009464D1"/>
    <w:rsid w:val="00947179"/>
    <w:rsid w:val="009500CD"/>
    <w:rsid w:val="0095164B"/>
    <w:rsid w:val="00953615"/>
    <w:rsid w:val="00953869"/>
    <w:rsid w:val="00954090"/>
    <w:rsid w:val="009573E7"/>
    <w:rsid w:val="00957D80"/>
    <w:rsid w:val="00957F5A"/>
    <w:rsid w:val="00963E05"/>
    <w:rsid w:val="00964A45"/>
    <w:rsid w:val="00967843"/>
    <w:rsid w:val="00967D21"/>
    <w:rsid w:val="00967D54"/>
    <w:rsid w:val="00970778"/>
    <w:rsid w:val="00971028"/>
    <w:rsid w:val="00987FC3"/>
    <w:rsid w:val="00993B84"/>
    <w:rsid w:val="009949B4"/>
    <w:rsid w:val="00994C6A"/>
    <w:rsid w:val="00996483"/>
    <w:rsid w:val="00996F5A"/>
    <w:rsid w:val="009B041A"/>
    <w:rsid w:val="009B3B5D"/>
    <w:rsid w:val="009B58B2"/>
    <w:rsid w:val="009C0448"/>
    <w:rsid w:val="009C37C3"/>
    <w:rsid w:val="009C70E7"/>
    <w:rsid w:val="009C7C86"/>
    <w:rsid w:val="009D05A6"/>
    <w:rsid w:val="009D2FF7"/>
    <w:rsid w:val="009D6574"/>
    <w:rsid w:val="009E7884"/>
    <w:rsid w:val="009E788A"/>
    <w:rsid w:val="009F0E08"/>
    <w:rsid w:val="009F3CEB"/>
    <w:rsid w:val="009F418F"/>
    <w:rsid w:val="009F46C0"/>
    <w:rsid w:val="00A03067"/>
    <w:rsid w:val="00A079AE"/>
    <w:rsid w:val="00A109F4"/>
    <w:rsid w:val="00A11258"/>
    <w:rsid w:val="00A12F37"/>
    <w:rsid w:val="00A13DCA"/>
    <w:rsid w:val="00A1763D"/>
    <w:rsid w:val="00A17CEC"/>
    <w:rsid w:val="00A25D78"/>
    <w:rsid w:val="00A27EF0"/>
    <w:rsid w:val="00A314DF"/>
    <w:rsid w:val="00A320C4"/>
    <w:rsid w:val="00A32370"/>
    <w:rsid w:val="00A329E5"/>
    <w:rsid w:val="00A37807"/>
    <w:rsid w:val="00A40EF5"/>
    <w:rsid w:val="00A42361"/>
    <w:rsid w:val="00A428B9"/>
    <w:rsid w:val="00A42DDE"/>
    <w:rsid w:val="00A44552"/>
    <w:rsid w:val="00A44C05"/>
    <w:rsid w:val="00A50449"/>
    <w:rsid w:val="00A50B20"/>
    <w:rsid w:val="00A51390"/>
    <w:rsid w:val="00A53BE1"/>
    <w:rsid w:val="00A54609"/>
    <w:rsid w:val="00A60D13"/>
    <w:rsid w:val="00A65F58"/>
    <w:rsid w:val="00A702C9"/>
    <w:rsid w:val="00A71D92"/>
    <w:rsid w:val="00A7223D"/>
    <w:rsid w:val="00A72745"/>
    <w:rsid w:val="00A74035"/>
    <w:rsid w:val="00A76C41"/>
    <w:rsid w:val="00A76EFC"/>
    <w:rsid w:val="00A806B3"/>
    <w:rsid w:val="00A832B0"/>
    <w:rsid w:val="00A86BBE"/>
    <w:rsid w:val="00A86FCB"/>
    <w:rsid w:val="00A87D50"/>
    <w:rsid w:val="00A91010"/>
    <w:rsid w:val="00A94FF9"/>
    <w:rsid w:val="00A97F29"/>
    <w:rsid w:val="00AA1DFB"/>
    <w:rsid w:val="00AA702E"/>
    <w:rsid w:val="00AA7D26"/>
    <w:rsid w:val="00AB0530"/>
    <w:rsid w:val="00AB0964"/>
    <w:rsid w:val="00AB3F7E"/>
    <w:rsid w:val="00AB5011"/>
    <w:rsid w:val="00AC359F"/>
    <w:rsid w:val="00AC72AE"/>
    <w:rsid w:val="00AC7368"/>
    <w:rsid w:val="00AC776B"/>
    <w:rsid w:val="00AD1256"/>
    <w:rsid w:val="00AD16B9"/>
    <w:rsid w:val="00AE1529"/>
    <w:rsid w:val="00AE2FAD"/>
    <w:rsid w:val="00AE377D"/>
    <w:rsid w:val="00AE5EFD"/>
    <w:rsid w:val="00AF0EBA"/>
    <w:rsid w:val="00AF1CAB"/>
    <w:rsid w:val="00AF2463"/>
    <w:rsid w:val="00AF2801"/>
    <w:rsid w:val="00AF2903"/>
    <w:rsid w:val="00AF4E61"/>
    <w:rsid w:val="00B02C8A"/>
    <w:rsid w:val="00B05DCB"/>
    <w:rsid w:val="00B11DBF"/>
    <w:rsid w:val="00B135A6"/>
    <w:rsid w:val="00B14214"/>
    <w:rsid w:val="00B17FBD"/>
    <w:rsid w:val="00B24909"/>
    <w:rsid w:val="00B300F6"/>
    <w:rsid w:val="00B315A6"/>
    <w:rsid w:val="00B31813"/>
    <w:rsid w:val="00B33365"/>
    <w:rsid w:val="00B35DF1"/>
    <w:rsid w:val="00B43AD4"/>
    <w:rsid w:val="00B51D05"/>
    <w:rsid w:val="00B53476"/>
    <w:rsid w:val="00B57B36"/>
    <w:rsid w:val="00B57E6F"/>
    <w:rsid w:val="00B626BA"/>
    <w:rsid w:val="00B6398B"/>
    <w:rsid w:val="00B67D84"/>
    <w:rsid w:val="00B7596B"/>
    <w:rsid w:val="00B81D37"/>
    <w:rsid w:val="00B82956"/>
    <w:rsid w:val="00B84B67"/>
    <w:rsid w:val="00B8686D"/>
    <w:rsid w:val="00B86CE9"/>
    <w:rsid w:val="00B915C5"/>
    <w:rsid w:val="00B92FF1"/>
    <w:rsid w:val="00B93F69"/>
    <w:rsid w:val="00B97464"/>
    <w:rsid w:val="00BB1DDC"/>
    <w:rsid w:val="00BC2D9F"/>
    <w:rsid w:val="00BC30C9"/>
    <w:rsid w:val="00BD077D"/>
    <w:rsid w:val="00BD6A17"/>
    <w:rsid w:val="00BD761D"/>
    <w:rsid w:val="00BE3E58"/>
    <w:rsid w:val="00BF13CE"/>
    <w:rsid w:val="00C01616"/>
    <w:rsid w:val="00C0162B"/>
    <w:rsid w:val="00C032F9"/>
    <w:rsid w:val="00C068ED"/>
    <w:rsid w:val="00C069F9"/>
    <w:rsid w:val="00C116C9"/>
    <w:rsid w:val="00C13D3C"/>
    <w:rsid w:val="00C1681B"/>
    <w:rsid w:val="00C22E0C"/>
    <w:rsid w:val="00C230D5"/>
    <w:rsid w:val="00C31680"/>
    <w:rsid w:val="00C345B1"/>
    <w:rsid w:val="00C40142"/>
    <w:rsid w:val="00C42194"/>
    <w:rsid w:val="00C47686"/>
    <w:rsid w:val="00C504D1"/>
    <w:rsid w:val="00C52C3C"/>
    <w:rsid w:val="00C56CAD"/>
    <w:rsid w:val="00C57182"/>
    <w:rsid w:val="00C57863"/>
    <w:rsid w:val="00C60634"/>
    <w:rsid w:val="00C60A55"/>
    <w:rsid w:val="00C637F3"/>
    <w:rsid w:val="00C63FBA"/>
    <w:rsid w:val="00C640AF"/>
    <w:rsid w:val="00C65241"/>
    <w:rsid w:val="00C655FD"/>
    <w:rsid w:val="00C75407"/>
    <w:rsid w:val="00C75518"/>
    <w:rsid w:val="00C841C6"/>
    <w:rsid w:val="00C863F1"/>
    <w:rsid w:val="00C870A8"/>
    <w:rsid w:val="00C87F20"/>
    <w:rsid w:val="00C9242E"/>
    <w:rsid w:val="00C9263D"/>
    <w:rsid w:val="00C9365D"/>
    <w:rsid w:val="00C94434"/>
    <w:rsid w:val="00C97D72"/>
    <w:rsid w:val="00CA0D75"/>
    <w:rsid w:val="00CA1C95"/>
    <w:rsid w:val="00CA23E5"/>
    <w:rsid w:val="00CA3907"/>
    <w:rsid w:val="00CA4E14"/>
    <w:rsid w:val="00CA5A9C"/>
    <w:rsid w:val="00CB2BB0"/>
    <w:rsid w:val="00CC4C20"/>
    <w:rsid w:val="00CD3151"/>
    <w:rsid w:val="00CD3517"/>
    <w:rsid w:val="00CD3C09"/>
    <w:rsid w:val="00CD52B9"/>
    <w:rsid w:val="00CD5CC7"/>
    <w:rsid w:val="00CD5FE2"/>
    <w:rsid w:val="00CE7851"/>
    <w:rsid w:val="00CE7C68"/>
    <w:rsid w:val="00CF26B6"/>
    <w:rsid w:val="00CF26E5"/>
    <w:rsid w:val="00CF4F80"/>
    <w:rsid w:val="00CF6A3F"/>
    <w:rsid w:val="00D02B4C"/>
    <w:rsid w:val="00D040C4"/>
    <w:rsid w:val="00D20AD1"/>
    <w:rsid w:val="00D2222B"/>
    <w:rsid w:val="00D24197"/>
    <w:rsid w:val="00D2582C"/>
    <w:rsid w:val="00D270EE"/>
    <w:rsid w:val="00D315BC"/>
    <w:rsid w:val="00D41350"/>
    <w:rsid w:val="00D46B7E"/>
    <w:rsid w:val="00D47418"/>
    <w:rsid w:val="00D47FBB"/>
    <w:rsid w:val="00D5480D"/>
    <w:rsid w:val="00D549C2"/>
    <w:rsid w:val="00D57C84"/>
    <w:rsid w:val="00D6057D"/>
    <w:rsid w:val="00D71640"/>
    <w:rsid w:val="00D752E4"/>
    <w:rsid w:val="00D81D05"/>
    <w:rsid w:val="00D8233E"/>
    <w:rsid w:val="00D836C5"/>
    <w:rsid w:val="00D84576"/>
    <w:rsid w:val="00D90B3E"/>
    <w:rsid w:val="00D9150B"/>
    <w:rsid w:val="00D93DBF"/>
    <w:rsid w:val="00DA1399"/>
    <w:rsid w:val="00DA24C6"/>
    <w:rsid w:val="00DA4D7B"/>
    <w:rsid w:val="00DA541F"/>
    <w:rsid w:val="00DA5FD8"/>
    <w:rsid w:val="00DB3557"/>
    <w:rsid w:val="00DC2840"/>
    <w:rsid w:val="00DC670E"/>
    <w:rsid w:val="00DC73EE"/>
    <w:rsid w:val="00DD1EFF"/>
    <w:rsid w:val="00DD271C"/>
    <w:rsid w:val="00DE07A0"/>
    <w:rsid w:val="00DE0BD2"/>
    <w:rsid w:val="00DE264A"/>
    <w:rsid w:val="00DE2DC9"/>
    <w:rsid w:val="00DF5072"/>
    <w:rsid w:val="00E01659"/>
    <w:rsid w:val="00E02B1E"/>
    <w:rsid w:val="00E02D18"/>
    <w:rsid w:val="00E041E7"/>
    <w:rsid w:val="00E216D4"/>
    <w:rsid w:val="00E23CA1"/>
    <w:rsid w:val="00E25558"/>
    <w:rsid w:val="00E2636F"/>
    <w:rsid w:val="00E274C9"/>
    <w:rsid w:val="00E30276"/>
    <w:rsid w:val="00E32249"/>
    <w:rsid w:val="00E409A8"/>
    <w:rsid w:val="00E424D7"/>
    <w:rsid w:val="00E44766"/>
    <w:rsid w:val="00E475B8"/>
    <w:rsid w:val="00E50C12"/>
    <w:rsid w:val="00E53FD8"/>
    <w:rsid w:val="00E55125"/>
    <w:rsid w:val="00E61583"/>
    <w:rsid w:val="00E65B91"/>
    <w:rsid w:val="00E7209D"/>
    <w:rsid w:val="00E72124"/>
    <w:rsid w:val="00E72EAD"/>
    <w:rsid w:val="00E77223"/>
    <w:rsid w:val="00E8359E"/>
    <w:rsid w:val="00E8528B"/>
    <w:rsid w:val="00E85B94"/>
    <w:rsid w:val="00E9249F"/>
    <w:rsid w:val="00E95A6D"/>
    <w:rsid w:val="00E978D0"/>
    <w:rsid w:val="00EA1D30"/>
    <w:rsid w:val="00EA4613"/>
    <w:rsid w:val="00EA7F91"/>
    <w:rsid w:val="00EB1523"/>
    <w:rsid w:val="00EC0E49"/>
    <w:rsid w:val="00EC101F"/>
    <w:rsid w:val="00EC1C56"/>
    <w:rsid w:val="00EC1D9F"/>
    <w:rsid w:val="00EC6B8C"/>
    <w:rsid w:val="00ED00E1"/>
    <w:rsid w:val="00ED231C"/>
    <w:rsid w:val="00ED60BD"/>
    <w:rsid w:val="00EE0131"/>
    <w:rsid w:val="00EE17B0"/>
    <w:rsid w:val="00EE223F"/>
    <w:rsid w:val="00EE73AE"/>
    <w:rsid w:val="00EE7545"/>
    <w:rsid w:val="00EF06D9"/>
    <w:rsid w:val="00EF4B1D"/>
    <w:rsid w:val="00EF7F7A"/>
    <w:rsid w:val="00F026C5"/>
    <w:rsid w:val="00F074B6"/>
    <w:rsid w:val="00F12E84"/>
    <w:rsid w:val="00F1378C"/>
    <w:rsid w:val="00F14A45"/>
    <w:rsid w:val="00F16977"/>
    <w:rsid w:val="00F22B06"/>
    <w:rsid w:val="00F27EE4"/>
    <w:rsid w:val="00F3049E"/>
    <w:rsid w:val="00F30C64"/>
    <w:rsid w:val="00F3156D"/>
    <w:rsid w:val="00F32BA2"/>
    <w:rsid w:val="00F32CDB"/>
    <w:rsid w:val="00F35E6F"/>
    <w:rsid w:val="00F40E51"/>
    <w:rsid w:val="00F41EE4"/>
    <w:rsid w:val="00F535CD"/>
    <w:rsid w:val="00F53FD6"/>
    <w:rsid w:val="00F54E23"/>
    <w:rsid w:val="00F565FE"/>
    <w:rsid w:val="00F61883"/>
    <w:rsid w:val="00F63A70"/>
    <w:rsid w:val="00F63D8C"/>
    <w:rsid w:val="00F66784"/>
    <w:rsid w:val="00F741CA"/>
    <w:rsid w:val="00F7534E"/>
    <w:rsid w:val="00F77F31"/>
    <w:rsid w:val="00F8363E"/>
    <w:rsid w:val="00F85FDB"/>
    <w:rsid w:val="00F87DCC"/>
    <w:rsid w:val="00F93EDF"/>
    <w:rsid w:val="00FA1802"/>
    <w:rsid w:val="00FA21D0"/>
    <w:rsid w:val="00FA5F5F"/>
    <w:rsid w:val="00FA77BD"/>
    <w:rsid w:val="00FB5172"/>
    <w:rsid w:val="00FB715F"/>
    <w:rsid w:val="00FB730C"/>
    <w:rsid w:val="00FB7A66"/>
    <w:rsid w:val="00FC2695"/>
    <w:rsid w:val="00FC3E03"/>
    <w:rsid w:val="00FC3FC1"/>
    <w:rsid w:val="00FC4D7C"/>
    <w:rsid w:val="00FC52B2"/>
    <w:rsid w:val="00FD30B3"/>
    <w:rsid w:val="00FE02D7"/>
    <w:rsid w:val="00FE0C73"/>
    <w:rsid w:val="00FE62AA"/>
    <w:rsid w:val="00FF32DB"/>
    <w:rsid w:val="00FF33F0"/>
    <w:rsid w:val="00FF656E"/>
    <w:rsid w:val="13CC0FE1"/>
    <w:rsid w:val="2ECB26EF"/>
    <w:rsid w:val="341924B8"/>
    <w:rsid w:val="51DB62F7"/>
    <w:rsid w:val="65EB0DA1"/>
    <w:rsid w:val="6A5FCBE1"/>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customStyle="1" w:styleId="gmail-apple-converted-space">
    <w:name w:val="gmail-apple-converted-space"/>
    <w:basedOn w:val="Carpredefinitoparagrafo"/>
    <w:rsid w:val="00005A19"/>
  </w:style>
  <w:style w:type="paragraph" w:customStyle="1" w:styleId="RIVMStandaard">
    <w:name w:val="RIVM_Standaard"/>
    <w:basedOn w:val="Normale"/>
    <w:link w:val="RIVMStandaardChar"/>
    <w:qFormat/>
    <w:rsid w:val="004A472C"/>
    <w:pPr>
      <w:tabs>
        <w:tab w:val="clear" w:pos="7100"/>
      </w:tabs>
      <w:overflowPunct w:val="0"/>
      <w:autoSpaceDE w:val="0"/>
      <w:autoSpaceDN w:val="0"/>
      <w:adjustRightInd w:val="0"/>
      <w:spacing w:line="240" w:lineRule="atLeast"/>
      <w:jc w:val="left"/>
      <w:textAlignment w:val="baseline"/>
    </w:pPr>
    <w:rPr>
      <w:rFonts w:ascii="Verdana" w:eastAsia="MS Mincho" w:hAnsi="Verdana"/>
      <w:sz w:val="20"/>
      <w:lang w:eastAsia="nl-NL"/>
    </w:rPr>
  </w:style>
  <w:style w:type="character" w:customStyle="1" w:styleId="RIVMStandaardChar">
    <w:name w:val="RIVM_Standaard Char"/>
    <w:basedOn w:val="Carpredefinitoparagrafo"/>
    <w:link w:val="RIVMStandaard"/>
    <w:rsid w:val="004A472C"/>
    <w:rPr>
      <w:rFonts w:ascii="Verdana" w:eastAsia="MS Mincho" w:hAnsi="Verdana" w:cs="Times New Roman"/>
      <w:sz w:val="20"/>
      <w:szCs w:val="20"/>
      <w:lang w:val="en-GB" w:eastAsia="nl-NL"/>
    </w:rPr>
  </w:style>
  <w:style w:type="character" w:styleId="Testosegnaposto">
    <w:name w:val="Placeholder Text"/>
    <w:basedOn w:val="Carpredefinitoparagrafo"/>
    <w:uiPriority w:val="99"/>
    <w:semiHidden/>
    <w:rsid w:val="00697393"/>
    <w:rPr>
      <w:color w:val="666666"/>
    </w:rPr>
  </w:style>
  <w:style w:type="paragraph" w:styleId="Revisione">
    <w:name w:val="Revision"/>
    <w:hidden/>
    <w:uiPriority w:val="99"/>
    <w:semiHidden/>
    <w:rsid w:val="00C069F9"/>
    <w:pPr>
      <w:spacing w:after="0" w:line="240" w:lineRule="auto"/>
    </w:pPr>
    <w:rPr>
      <w:rFonts w:ascii="Arial" w:eastAsia="Times New Roman" w:hAnsi="Arial" w:cs="Times New Roman"/>
      <w:sz w:val="18"/>
      <w:szCs w:val="20"/>
      <w:lang w:val="en-GB"/>
    </w:rPr>
  </w:style>
  <w:style w:type="paragraph" w:customStyle="1" w:styleId="EndNoteBibliographyTitle">
    <w:name w:val="EndNote Bibliography Title"/>
    <w:basedOn w:val="Normale"/>
    <w:link w:val="EndNoteBibliographyTitleChar"/>
    <w:rsid w:val="00DA5FD8"/>
    <w:pPr>
      <w:jc w:val="center"/>
    </w:pPr>
    <w:rPr>
      <w:rFonts w:cs="Arial"/>
      <w:noProof/>
      <w:sz w:val="20"/>
      <w:lang w:val="en-US"/>
    </w:rPr>
  </w:style>
  <w:style w:type="character" w:customStyle="1" w:styleId="EndNoteBibliographyTitleChar">
    <w:name w:val="EndNote Bibliography Title Char"/>
    <w:basedOn w:val="Carpredefinitoparagrafo"/>
    <w:link w:val="EndNoteBibliographyTitle"/>
    <w:rsid w:val="00DA5FD8"/>
    <w:rPr>
      <w:rFonts w:ascii="Arial" w:eastAsia="Times New Roman" w:hAnsi="Arial" w:cs="Arial"/>
      <w:noProof/>
      <w:sz w:val="20"/>
      <w:szCs w:val="20"/>
      <w:lang w:val="en-US"/>
    </w:rPr>
  </w:style>
  <w:style w:type="paragraph" w:customStyle="1" w:styleId="EndNoteBibliography">
    <w:name w:val="EndNote Bibliography"/>
    <w:basedOn w:val="Normale"/>
    <w:link w:val="EndNoteBibliographyChar"/>
    <w:rsid w:val="00DA5FD8"/>
    <w:pPr>
      <w:spacing w:line="240" w:lineRule="auto"/>
      <w:jc w:val="left"/>
    </w:pPr>
    <w:rPr>
      <w:rFonts w:cs="Arial"/>
      <w:noProof/>
      <w:sz w:val="20"/>
      <w:lang w:val="en-US"/>
    </w:rPr>
  </w:style>
  <w:style w:type="character" w:customStyle="1" w:styleId="EndNoteBibliographyChar">
    <w:name w:val="EndNote Bibliography Char"/>
    <w:basedOn w:val="Carpredefinitoparagrafo"/>
    <w:link w:val="EndNoteBibliography"/>
    <w:rsid w:val="00DA5FD8"/>
    <w:rPr>
      <w:rFonts w:ascii="Arial" w:eastAsia="Times New Roman" w:hAnsi="Arial" w:cs="Arial"/>
      <w:noProof/>
      <w:sz w:val="20"/>
      <w:szCs w:val="20"/>
      <w:lang w:val="en-US"/>
    </w:rPr>
  </w:style>
  <w:style w:type="character" w:styleId="Menzionenonrisolta">
    <w:name w:val="Unresolved Mention"/>
    <w:basedOn w:val="Carpredefinitoparagrafo"/>
    <w:uiPriority w:val="99"/>
    <w:semiHidden/>
    <w:unhideWhenUsed/>
    <w:rsid w:val="007D4A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580162">
      <w:bodyDiv w:val="1"/>
      <w:marLeft w:val="0"/>
      <w:marRight w:val="0"/>
      <w:marTop w:val="0"/>
      <w:marBottom w:val="0"/>
      <w:divBdr>
        <w:top w:val="none" w:sz="0" w:space="0" w:color="auto"/>
        <w:left w:val="none" w:sz="0" w:space="0" w:color="auto"/>
        <w:bottom w:val="none" w:sz="0" w:space="0" w:color="auto"/>
        <w:right w:val="none" w:sz="0" w:space="0" w:color="auto"/>
      </w:divBdr>
    </w:div>
    <w:div w:id="211508011">
      <w:bodyDiv w:val="1"/>
      <w:marLeft w:val="0"/>
      <w:marRight w:val="0"/>
      <w:marTop w:val="0"/>
      <w:marBottom w:val="0"/>
      <w:divBdr>
        <w:top w:val="none" w:sz="0" w:space="0" w:color="auto"/>
        <w:left w:val="none" w:sz="0" w:space="0" w:color="auto"/>
        <w:bottom w:val="none" w:sz="0" w:space="0" w:color="auto"/>
        <w:right w:val="none" w:sz="0" w:space="0" w:color="auto"/>
      </w:divBdr>
    </w:div>
    <w:div w:id="301351154">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867639">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356878">
      <w:bodyDiv w:val="1"/>
      <w:marLeft w:val="0"/>
      <w:marRight w:val="0"/>
      <w:marTop w:val="0"/>
      <w:marBottom w:val="0"/>
      <w:divBdr>
        <w:top w:val="none" w:sz="0" w:space="0" w:color="auto"/>
        <w:left w:val="none" w:sz="0" w:space="0" w:color="auto"/>
        <w:bottom w:val="none" w:sz="0" w:space="0" w:color="auto"/>
        <w:right w:val="none" w:sz="0" w:space="0" w:color="auto"/>
      </w:divBdr>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5.svg"/><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88BAA53C3A52149AE40C201FCABD2D5" ma:contentTypeVersion="4" ma:contentTypeDescription="Een nieuw document maken." ma:contentTypeScope="" ma:versionID="e77224cccd6ab657738c7dbfd553f695">
  <xsd:schema xmlns:xsd="http://www.w3.org/2001/XMLSchema" xmlns:xs="http://www.w3.org/2001/XMLSchema" xmlns:p="http://schemas.microsoft.com/office/2006/metadata/properties" xmlns:ns2="95a5f3b7-cf34-4e43-8528-fe9c40297b26" targetNamespace="http://schemas.microsoft.com/office/2006/metadata/properties" ma:root="true" ma:fieldsID="ddb77c5e6d892f49c8c6c8ae917f4455" ns2:_="">
    <xsd:import namespace="95a5f3b7-cf34-4e43-8528-fe9c40297b26"/>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a5f3b7-cf34-4e43-8528-fe9c40297b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customXml/itemProps2.xml><?xml version="1.0" encoding="utf-8"?>
<ds:datastoreItem xmlns:ds="http://schemas.openxmlformats.org/officeDocument/2006/customXml" ds:itemID="{C1198551-7953-44AE-97B3-F612044FD62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6541293-85AF-4F12-8264-30A4B040C1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a5f3b7-cf34-4e43-8528-fe9c40297b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42B2579-3AA9-4A49-BE4A-FCFC1AE3D9D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2741</Words>
  <Characters>15625</Characters>
  <Application>Microsoft Office Word</Application>
  <DocSecurity>0</DocSecurity>
  <Lines>130</Lines>
  <Paragraphs>36</Paragraphs>
  <ScaleCrop>false</ScaleCrop>
  <Company>Dipartimento CMIC - Politecnico di Milano</Company>
  <LinksUpToDate>false</LinksUpToDate>
  <CharactersWithSpaces>18330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Sauro Pierucci</cp:lastModifiedBy>
  <cp:revision>472</cp:revision>
  <cp:lastPrinted>2015-05-12T18:31:00Z</cp:lastPrinted>
  <dcterms:created xsi:type="dcterms:W3CDTF">2024-10-13T14:12:00Z</dcterms:created>
  <dcterms:modified xsi:type="dcterms:W3CDTF">2025-04-16T11:47:00Z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ContentTypeId">
    <vt:lpwstr>0x010100F88BAA53C3A52149AE40C201FCABD2D5</vt:lpwstr>
  </property>
</Properties>
</file>