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FE179CE" w:rsidR="00E978D0" w:rsidRPr="00B57B36" w:rsidRDefault="00F03137" w:rsidP="00E978D0">
      <w:pPr>
        <w:pStyle w:val="CETTitle"/>
      </w:pPr>
      <w:r w:rsidRPr="00F03137">
        <w:t>A generalized model for the electric field in silos</w:t>
      </w:r>
      <w:r w:rsidR="00BD2455">
        <w:t>/containers</w:t>
      </w:r>
    </w:p>
    <w:p w14:paraId="0488FED2" w14:textId="59733566" w:rsidR="00B57E6F" w:rsidRPr="00762E0A" w:rsidRDefault="00690739" w:rsidP="00B57E6F">
      <w:pPr>
        <w:pStyle w:val="CETAuthors"/>
        <w:rPr>
          <w:lang w:val="it-IT"/>
        </w:rPr>
      </w:pPr>
      <w:r w:rsidRPr="00762E0A">
        <w:rPr>
          <w:lang w:val="it-IT"/>
        </w:rPr>
        <w:t>Jean Nugel</w:t>
      </w:r>
      <w:r w:rsidR="00B57E6F" w:rsidRPr="00762E0A">
        <w:rPr>
          <w:vertAlign w:val="superscript"/>
          <w:lang w:val="it-IT"/>
        </w:rPr>
        <w:t>a</w:t>
      </w:r>
      <w:r w:rsidR="00B57E6F" w:rsidRPr="00762E0A">
        <w:rPr>
          <w:lang w:val="it-IT"/>
        </w:rPr>
        <w:t xml:space="preserve">, </w:t>
      </w:r>
      <w:r w:rsidR="00B701C0" w:rsidRPr="00762E0A">
        <w:rPr>
          <w:lang w:val="it-IT"/>
        </w:rPr>
        <w:t xml:space="preserve">Martina </w:t>
      </w:r>
      <w:r w:rsidR="00762E0A" w:rsidRPr="00762E0A">
        <w:rPr>
          <w:lang w:val="it-IT"/>
        </w:rPr>
        <w:t xml:space="preserve">S. </w:t>
      </w:r>
      <w:r w:rsidR="00B701C0" w:rsidRPr="00762E0A">
        <w:rPr>
          <w:lang w:val="it-IT"/>
        </w:rPr>
        <w:t>Scotton</w:t>
      </w:r>
      <w:r w:rsidR="00B701C0" w:rsidRPr="00762E0A">
        <w:rPr>
          <w:vertAlign w:val="superscript"/>
          <w:lang w:val="it-IT"/>
        </w:rPr>
        <w:t>b</w:t>
      </w:r>
      <w:r w:rsidR="00B57E6F" w:rsidRPr="00762E0A">
        <w:rPr>
          <w:lang w:val="it-IT"/>
        </w:rPr>
        <w:t xml:space="preserve">, </w:t>
      </w:r>
      <w:r w:rsidR="006D0EAC">
        <w:rPr>
          <w:lang w:val="it-CH"/>
        </w:rPr>
        <w:t>Georg</w:t>
      </w:r>
      <w:r w:rsidR="006D0EAC" w:rsidRPr="00BB08D0">
        <w:rPr>
          <w:lang w:val="it-CH"/>
        </w:rPr>
        <w:t xml:space="preserve"> </w:t>
      </w:r>
      <w:r w:rsidR="00426194" w:rsidRPr="00BB08D0">
        <w:rPr>
          <w:lang w:val="it-CH"/>
        </w:rPr>
        <w:t>Suter</w:t>
      </w:r>
      <w:r w:rsidR="00426194" w:rsidRPr="00BB08D0">
        <w:rPr>
          <w:vertAlign w:val="superscript"/>
          <w:lang w:val="it-CH"/>
        </w:rPr>
        <w:t>b</w:t>
      </w:r>
    </w:p>
    <w:p w14:paraId="44F5251A" w14:textId="77777777" w:rsidR="00634F98" w:rsidRPr="00762E0A" w:rsidRDefault="00634F98" w:rsidP="00634F98">
      <w:pPr>
        <w:pStyle w:val="CETAddress"/>
        <w:rPr>
          <w:lang w:val="de-DE"/>
        </w:rPr>
      </w:pPr>
      <w:r w:rsidRPr="00762E0A">
        <w:rPr>
          <w:vertAlign w:val="superscript"/>
          <w:lang w:val="de-DE"/>
        </w:rPr>
        <w:t>a</w:t>
      </w:r>
      <w:r w:rsidRPr="00762E0A">
        <w:rPr>
          <w:lang w:val="de-DE"/>
        </w:rPr>
        <w:t xml:space="preserve">TÜV SÜD Process Schweiz AG, Basel, Switzerland </w:t>
      </w:r>
    </w:p>
    <w:p w14:paraId="0167C56A" w14:textId="28D857A5" w:rsidR="00AA049F" w:rsidRPr="00AA049F" w:rsidRDefault="005E4F83" w:rsidP="00AA049F">
      <w:pPr>
        <w:pStyle w:val="CETAddress"/>
        <w:rPr>
          <w:lang w:val="en-US"/>
        </w:rPr>
      </w:pPr>
      <w:r w:rsidRPr="00B57B36">
        <w:rPr>
          <w:vertAlign w:val="superscript"/>
        </w:rPr>
        <w:t>b</w:t>
      </w:r>
      <w:r w:rsidRPr="00AA049F">
        <w:rPr>
          <w:lang w:val="en-US"/>
        </w:rPr>
        <w:t xml:space="preserve">FireEx Consulting GmbH, </w:t>
      </w:r>
      <w:r w:rsidR="00762E0A">
        <w:rPr>
          <w:lang w:val="en-US"/>
        </w:rPr>
        <w:t>Gais</w:t>
      </w:r>
      <w:r w:rsidRPr="00AA049F">
        <w:rPr>
          <w:lang w:val="en-US"/>
        </w:rPr>
        <w:t>, Switzerland</w:t>
      </w:r>
      <w:r w:rsidR="00C71A82">
        <w:rPr>
          <w:lang w:val="en-US"/>
        </w:rPr>
        <w:br/>
      </w:r>
    </w:p>
    <w:p w14:paraId="04B319EE" w14:textId="72786312" w:rsidR="00600535" w:rsidRPr="00B57B36" w:rsidRDefault="00D56331" w:rsidP="00600535">
      <w:pPr>
        <w:pStyle w:val="CETBodytext"/>
        <w:rPr>
          <w:lang w:val="en-GB"/>
        </w:rPr>
      </w:pPr>
      <w:bookmarkStart w:id="1" w:name="_Hlk495475023"/>
      <w:r>
        <w:rPr>
          <w:lang w:val="en-GB"/>
        </w:rPr>
        <w:t>The electrical field strength may be used to assess the ignition risk by cone discharges</w:t>
      </w:r>
      <w:r w:rsidR="00251D8C" w:rsidRPr="00251D8C">
        <w:rPr>
          <w:lang w:val="en-GB"/>
        </w:rPr>
        <w:t>. The field may be measured in situ or calculated based on validated models</w:t>
      </w:r>
      <w:r w:rsidR="00D329E7">
        <w:rPr>
          <w:lang w:val="en-GB"/>
        </w:rPr>
        <w:t xml:space="preserve"> </w:t>
      </w:r>
      <w:r w:rsidR="00722A03">
        <w:rPr>
          <w:lang w:val="en-GB"/>
        </w:rPr>
        <w:t>(TRGS 727</w:t>
      </w:r>
      <w:r w:rsidR="00533C2F">
        <w:rPr>
          <w:lang w:val="en-GB"/>
        </w:rPr>
        <w:t>, 2016)</w:t>
      </w:r>
      <w:r w:rsidR="00251D8C" w:rsidRPr="00251D8C">
        <w:rPr>
          <w:lang w:val="en-GB"/>
        </w:rPr>
        <w:t>. In this paper results of a generalized model are presented, which allow the determination of the electrical field strength based on the estimation of the charge density and the relative permittivity on one hand and well</w:t>
      </w:r>
      <w:r>
        <w:rPr>
          <w:lang w:val="en-GB"/>
        </w:rPr>
        <w:t>-</w:t>
      </w:r>
      <w:r w:rsidR="00251D8C" w:rsidRPr="00251D8C">
        <w:rPr>
          <w:lang w:val="en-GB"/>
        </w:rPr>
        <w:t xml:space="preserve">known parameters like powder </w:t>
      </w:r>
      <w:r w:rsidR="00D65AE4" w:rsidRPr="00251D8C">
        <w:rPr>
          <w:lang w:val="en-GB"/>
        </w:rPr>
        <w:t>resistivity</w:t>
      </w:r>
      <w:r w:rsidR="00251D8C" w:rsidRPr="00251D8C">
        <w:rPr>
          <w:lang w:val="en-GB"/>
        </w:rPr>
        <w:t xml:space="preserve"> (i.e. charge relaxation time), bulk density, filling rate and the dimension of the silo.</w:t>
      </w:r>
    </w:p>
    <w:bookmarkEnd w:id="1"/>
    <w:p w14:paraId="476B2F2E" w14:textId="52B36035" w:rsidR="00600535" w:rsidRPr="00B57B36" w:rsidRDefault="00600535" w:rsidP="00600535">
      <w:pPr>
        <w:pStyle w:val="CETHeading1"/>
        <w:rPr>
          <w:lang w:val="en-GB"/>
        </w:rPr>
      </w:pPr>
      <w:r w:rsidRPr="00B57B36">
        <w:rPr>
          <w:lang w:val="en-GB"/>
        </w:rPr>
        <w:t>Introduction</w:t>
      </w:r>
    </w:p>
    <w:p w14:paraId="2A835C8A" w14:textId="6B99849C" w:rsidR="00486D9C" w:rsidRPr="00486D9C" w:rsidRDefault="00486D9C" w:rsidP="00486D9C">
      <w:pPr>
        <w:pStyle w:val="CETBodytext"/>
        <w:rPr>
          <w:lang w:val="en-GB"/>
        </w:rPr>
      </w:pPr>
      <w:r w:rsidRPr="00486D9C">
        <w:rPr>
          <w:lang w:val="en-GB"/>
        </w:rPr>
        <w:t xml:space="preserve">Since the discovery and first characterization, cone discharges </w:t>
      </w:r>
      <w:r w:rsidR="00D65AE4">
        <w:rPr>
          <w:lang w:val="en-GB"/>
        </w:rPr>
        <w:t>have been</w:t>
      </w:r>
      <w:r w:rsidR="00D65AE4" w:rsidRPr="00486D9C">
        <w:rPr>
          <w:lang w:val="en-GB"/>
        </w:rPr>
        <w:t xml:space="preserve"> </w:t>
      </w:r>
      <w:r w:rsidRPr="00486D9C">
        <w:rPr>
          <w:lang w:val="en-GB"/>
        </w:rPr>
        <w:t>an essential element of any ignition source analysis within explosion protection concepts</w:t>
      </w:r>
      <w:r w:rsidR="00EC193E">
        <w:rPr>
          <w:lang w:val="en-GB"/>
        </w:rPr>
        <w:t xml:space="preserve"> (</w:t>
      </w:r>
      <w:r w:rsidR="002B1B0E">
        <w:rPr>
          <w:lang w:val="en-GB"/>
        </w:rPr>
        <w:t xml:space="preserve">Abdel-Salam et al., </w:t>
      </w:r>
      <w:r w:rsidR="00024FB5">
        <w:rPr>
          <w:lang w:val="en-GB"/>
        </w:rPr>
        <w:t xml:space="preserve">2015; </w:t>
      </w:r>
      <w:r w:rsidR="00F36C29" w:rsidRPr="00F36C29">
        <w:rPr>
          <w:lang w:val="en-GB"/>
        </w:rPr>
        <w:t>Choi</w:t>
      </w:r>
      <w:r w:rsidR="00024FB5">
        <w:rPr>
          <w:lang w:val="en-GB"/>
        </w:rPr>
        <w:t xml:space="preserve"> et al., 202</w:t>
      </w:r>
      <w:r w:rsidR="007B00B1">
        <w:rPr>
          <w:lang w:val="en-GB"/>
        </w:rPr>
        <w:t>2</w:t>
      </w:r>
      <w:r w:rsidR="00024FB5">
        <w:rPr>
          <w:lang w:val="en-GB"/>
        </w:rPr>
        <w:t>)</w:t>
      </w:r>
      <w:r w:rsidRPr="00486D9C">
        <w:rPr>
          <w:lang w:val="en-GB"/>
        </w:rPr>
        <w:t xml:space="preserve">. The relevant decision trees for the assessment of the hazard caused by cone discharges are given in </w:t>
      </w:r>
      <w:r w:rsidR="00651B87">
        <w:rPr>
          <w:lang w:val="en-GB"/>
        </w:rPr>
        <w:t>(TRGS 727, 2016)</w:t>
      </w:r>
      <w:r w:rsidRPr="00486D9C">
        <w:rPr>
          <w:lang w:val="en-GB"/>
        </w:rPr>
        <w:t xml:space="preserve"> and </w:t>
      </w:r>
      <w:r w:rsidR="00651B87">
        <w:rPr>
          <w:lang w:val="en-GB"/>
        </w:rPr>
        <w:t xml:space="preserve">(IEC 60079-32-1, </w:t>
      </w:r>
      <w:r w:rsidR="001F645E">
        <w:rPr>
          <w:lang w:val="en-GB"/>
        </w:rPr>
        <w:t>2013)</w:t>
      </w:r>
      <w:r w:rsidRPr="00486D9C">
        <w:rPr>
          <w:lang w:val="en-GB"/>
        </w:rPr>
        <w:t xml:space="preserve">. </w:t>
      </w:r>
      <w:r w:rsidR="00D11BA1" w:rsidRPr="00D11BA1">
        <w:rPr>
          <w:lang w:val="en-GB"/>
        </w:rPr>
        <w:t xml:space="preserve">This paper focuses on the assessment of bulk materials with medium (1 MΩ·m &lt; ρ ≤ 10 GΩ·m) or high (ρ &gt; 10 GΩ·m) resistivity, </w:t>
      </w:r>
      <w:r w:rsidR="00373E55">
        <w:rPr>
          <w:lang w:val="en-GB"/>
        </w:rPr>
        <w:t>filled in</w:t>
      </w:r>
      <w:r w:rsidR="00D11BA1" w:rsidRPr="00D11BA1">
        <w:rPr>
          <w:lang w:val="en-GB"/>
        </w:rPr>
        <w:t xml:space="preserve"> containers with a volume greater than 0.25 m³ by gravity or a container filled pneumatically, regardless of the volume.</w:t>
      </w:r>
    </w:p>
    <w:p w14:paraId="0C81D27B" w14:textId="77777777" w:rsidR="00486D9C" w:rsidRPr="00486D9C" w:rsidRDefault="00486D9C" w:rsidP="00486D9C">
      <w:pPr>
        <w:pStyle w:val="CETBodytext"/>
        <w:rPr>
          <w:lang w:val="en-GB"/>
        </w:rPr>
      </w:pPr>
      <w:r w:rsidRPr="00486D9C">
        <w:rPr>
          <w:lang w:val="en-GB"/>
        </w:rPr>
        <w:t>The following parameters have to be considered:</w:t>
      </w:r>
    </w:p>
    <w:p w14:paraId="6B7482EF" w14:textId="7B8144D6" w:rsidR="00486D9C" w:rsidRPr="00486D9C" w:rsidRDefault="00486D9C" w:rsidP="00373E55">
      <w:pPr>
        <w:pStyle w:val="CETBodytext"/>
        <w:numPr>
          <w:ilvl w:val="0"/>
          <w:numId w:val="24"/>
        </w:numPr>
        <w:rPr>
          <w:lang w:val="en-GB"/>
        </w:rPr>
      </w:pPr>
      <w:r w:rsidRPr="00486D9C">
        <w:rPr>
          <w:lang w:val="en-GB"/>
        </w:rPr>
        <w:t xml:space="preserve">Powder </w:t>
      </w:r>
      <w:r w:rsidR="00D65AE4" w:rsidRPr="00486D9C">
        <w:rPr>
          <w:lang w:val="en-GB"/>
        </w:rPr>
        <w:t>resistivity</w:t>
      </w:r>
    </w:p>
    <w:p w14:paraId="6FD00B40" w14:textId="536BDA7D" w:rsidR="00486D9C" w:rsidRPr="00486D9C" w:rsidRDefault="00486D9C" w:rsidP="00373E55">
      <w:pPr>
        <w:pStyle w:val="CETBodytext"/>
        <w:numPr>
          <w:ilvl w:val="0"/>
          <w:numId w:val="24"/>
        </w:numPr>
        <w:rPr>
          <w:lang w:val="en-GB"/>
        </w:rPr>
      </w:pPr>
      <w:r w:rsidRPr="00486D9C">
        <w:rPr>
          <w:lang w:val="en-GB"/>
        </w:rPr>
        <w:t>Flow rate</w:t>
      </w:r>
    </w:p>
    <w:p w14:paraId="1B4C7CFB" w14:textId="01E49279" w:rsidR="00486D9C" w:rsidRPr="00486D9C" w:rsidRDefault="00486D9C" w:rsidP="00373E55">
      <w:pPr>
        <w:pStyle w:val="CETBodytext"/>
        <w:numPr>
          <w:ilvl w:val="0"/>
          <w:numId w:val="24"/>
        </w:numPr>
        <w:rPr>
          <w:lang w:val="en-GB"/>
        </w:rPr>
      </w:pPr>
      <w:r w:rsidRPr="00486D9C">
        <w:rPr>
          <w:lang w:val="en-GB"/>
        </w:rPr>
        <w:t xml:space="preserve">Volume of the powder </w:t>
      </w:r>
    </w:p>
    <w:p w14:paraId="60635DDB" w14:textId="41031124" w:rsidR="00486D9C" w:rsidRPr="00486D9C" w:rsidRDefault="00486D9C" w:rsidP="00373E55">
      <w:pPr>
        <w:pStyle w:val="CETBodytext"/>
        <w:numPr>
          <w:ilvl w:val="0"/>
          <w:numId w:val="24"/>
        </w:numPr>
        <w:rPr>
          <w:lang w:val="en-GB"/>
        </w:rPr>
      </w:pPr>
      <w:r w:rsidRPr="00486D9C">
        <w:rPr>
          <w:lang w:val="en-GB"/>
        </w:rPr>
        <w:t>Particle size</w:t>
      </w:r>
    </w:p>
    <w:p w14:paraId="5F148EFF" w14:textId="62B91572" w:rsidR="00486D9C" w:rsidRPr="00486D9C" w:rsidRDefault="00486D9C" w:rsidP="00373E55">
      <w:pPr>
        <w:pStyle w:val="CETBodytext"/>
        <w:numPr>
          <w:ilvl w:val="0"/>
          <w:numId w:val="24"/>
        </w:numPr>
        <w:rPr>
          <w:lang w:val="en-GB"/>
        </w:rPr>
      </w:pPr>
      <w:r w:rsidRPr="00486D9C">
        <w:rPr>
          <w:lang w:val="en-GB"/>
        </w:rPr>
        <w:t xml:space="preserve">Minimum </w:t>
      </w:r>
      <w:r w:rsidR="00AD78E1">
        <w:rPr>
          <w:lang w:val="en-GB"/>
        </w:rPr>
        <w:t>i</w:t>
      </w:r>
      <w:r w:rsidR="00AD78E1" w:rsidRPr="00486D9C">
        <w:rPr>
          <w:lang w:val="en-GB"/>
        </w:rPr>
        <w:t xml:space="preserve">gnition </w:t>
      </w:r>
      <w:r w:rsidR="00AD78E1">
        <w:rPr>
          <w:lang w:val="en-GB"/>
        </w:rPr>
        <w:t>e</w:t>
      </w:r>
      <w:r w:rsidR="00AD78E1" w:rsidRPr="00486D9C">
        <w:rPr>
          <w:lang w:val="en-GB"/>
        </w:rPr>
        <w:t>nergy</w:t>
      </w:r>
    </w:p>
    <w:p w14:paraId="32BEB0D1" w14:textId="3C595BB9" w:rsidR="00486D9C" w:rsidRPr="00486D9C" w:rsidRDefault="00486D9C" w:rsidP="00373E55">
      <w:pPr>
        <w:pStyle w:val="CETBodytext"/>
        <w:numPr>
          <w:ilvl w:val="0"/>
          <w:numId w:val="24"/>
        </w:numPr>
        <w:rPr>
          <w:lang w:val="en-GB"/>
        </w:rPr>
      </w:pPr>
      <w:r w:rsidRPr="00486D9C">
        <w:rPr>
          <w:lang w:val="en-GB"/>
        </w:rPr>
        <w:t xml:space="preserve">Diameter and </w:t>
      </w:r>
      <w:r w:rsidR="00AD78E1">
        <w:rPr>
          <w:lang w:val="en-GB"/>
        </w:rPr>
        <w:t>v</w:t>
      </w:r>
      <w:r w:rsidR="00AD78E1" w:rsidRPr="00486D9C">
        <w:rPr>
          <w:lang w:val="en-GB"/>
        </w:rPr>
        <w:t xml:space="preserve">olume </w:t>
      </w:r>
      <w:r w:rsidRPr="00486D9C">
        <w:rPr>
          <w:lang w:val="en-GB"/>
        </w:rPr>
        <w:t xml:space="preserve">of the </w:t>
      </w:r>
      <w:r w:rsidR="00AD78E1">
        <w:rPr>
          <w:lang w:val="en-GB"/>
        </w:rPr>
        <w:t>c</w:t>
      </w:r>
      <w:r w:rsidR="00AD78E1" w:rsidRPr="00486D9C">
        <w:rPr>
          <w:lang w:val="en-GB"/>
        </w:rPr>
        <w:t>ontainment</w:t>
      </w:r>
    </w:p>
    <w:p w14:paraId="58921625" w14:textId="4E4FEC18" w:rsidR="00486D9C" w:rsidRPr="00486D9C" w:rsidRDefault="00486D9C" w:rsidP="00373E55">
      <w:pPr>
        <w:pStyle w:val="CETBodytext"/>
        <w:numPr>
          <w:ilvl w:val="0"/>
          <w:numId w:val="24"/>
        </w:numPr>
        <w:rPr>
          <w:lang w:val="en-GB"/>
        </w:rPr>
      </w:pPr>
      <w:r w:rsidRPr="00486D9C">
        <w:rPr>
          <w:lang w:val="en-GB"/>
        </w:rPr>
        <w:t xml:space="preserve">Electrical </w:t>
      </w:r>
      <w:r w:rsidR="00AD78E1">
        <w:rPr>
          <w:lang w:val="en-GB"/>
        </w:rPr>
        <w:t>f</w:t>
      </w:r>
      <w:r w:rsidR="00AD78E1" w:rsidRPr="00486D9C">
        <w:rPr>
          <w:lang w:val="en-GB"/>
        </w:rPr>
        <w:t xml:space="preserve">ield </w:t>
      </w:r>
      <w:r w:rsidR="00D65AE4">
        <w:rPr>
          <w:lang w:val="en-GB"/>
        </w:rPr>
        <w:t>s</w:t>
      </w:r>
      <w:r w:rsidR="00D65AE4" w:rsidRPr="00486D9C">
        <w:rPr>
          <w:lang w:val="en-GB"/>
        </w:rPr>
        <w:t>trength</w:t>
      </w:r>
    </w:p>
    <w:p w14:paraId="77686992" w14:textId="77777777" w:rsidR="00486D9C" w:rsidRPr="00486D9C" w:rsidRDefault="00486D9C" w:rsidP="00486D9C">
      <w:pPr>
        <w:pStyle w:val="CETBodytext"/>
        <w:rPr>
          <w:lang w:val="en-GB"/>
        </w:rPr>
      </w:pPr>
    </w:p>
    <w:p w14:paraId="7BA707F6" w14:textId="4A3D6CA7" w:rsidR="00486D9C" w:rsidRPr="00486D9C" w:rsidRDefault="000E31A7" w:rsidP="00486D9C">
      <w:pPr>
        <w:pStyle w:val="CETBodytext"/>
        <w:rPr>
          <w:lang w:val="en-GB"/>
        </w:rPr>
      </w:pPr>
      <w:r w:rsidRPr="000E31A7">
        <w:rPr>
          <w:lang w:val="en-GB"/>
        </w:rPr>
        <w:t xml:space="preserve">If the energy from a cone discharge exceeds the </w:t>
      </w:r>
      <w:r w:rsidRPr="0045605A">
        <w:rPr>
          <w:u w:val="single"/>
          <w:lang w:val="en-GB"/>
        </w:rPr>
        <w:t>M</w:t>
      </w:r>
      <w:r w:rsidRPr="000E31A7">
        <w:rPr>
          <w:lang w:val="en-GB"/>
        </w:rPr>
        <w:t xml:space="preserve">inimum </w:t>
      </w:r>
      <w:r w:rsidRPr="0045605A">
        <w:rPr>
          <w:u w:val="single"/>
          <w:lang w:val="en-GB"/>
        </w:rPr>
        <w:t>I</w:t>
      </w:r>
      <w:r w:rsidRPr="000E31A7">
        <w:rPr>
          <w:lang w:val="en-GB"/>
        </w:rPr>
        <w:t xml:space="preserve">gnition </w:t>
      </w:r>
      <w:r w:rsidRPr="0045605A">
        <w:rPr>
          <w:u w:val="single"/>
          <w:lang w:val="en-GB"/>
        </w:rPr>
        <w:t>E</w:t>
      </w:r>
      <w:r w:rsidRPr="000E31A7">
        <w:rPr>
          <w:lang w:val="en-GB"/>
        </w:rPr>
        <w:t xml:space="preserve">nergy (MIE) of the powder being handled, and the powder is either filled into a silo by gravity with a volume greater than 0.25 m³ or into container pneumatically, regardless of volume, </w:t>
      </w:r>
      <w:r w:rsidR="00486D9C" w:rsidRPr="00486D9C">
        <w:rPr>
          <w:lang w:val="en-GB"/>
        </w:rPr>
        <w:t>the possibility to exclude cone discharges could be considered, by assessing the electrostatic field within the silo. The electric field (ES) along the surface of the solid in the silo ha</w:t>
      </w:r>
      <w:r w:rsidR="00821D4F">
        <w:rPr>
          <w:lang w:val="en-GB"/>
        </w:rPr>
        <w:t xml:space="preserve">s </w:t>
      </w:r>
      <w:r w:rsidR="00486D9C" w:rsidRPr="00486D9C">
        <w:rPr>
          <w:lang w:val="en-GB"/>
        </w:rPr>
        <w:t xml:space="preserve">be considered. If ES&lt;500kV/m there is no ignition risk by cone discharges </w:t>
      </w:r>
      <w:r>
        <w:rPr>
          <w:lang w:val="en-GB"/>
        </w:rPr>
        <w:t>(TRGS 727, 2016)</w:t>
      </w:r>
      <w:r w:rsidR="00486D9C" w:rsidRPr="00486D9C">
        <w:rPr>
          <w:lang w:val="en-GB"/>
        </w:rPr>
        <w:t>.</w:t>
      </w:r>
    </w:p>
    <w:p w14:paraId="23F86FEF" w14:textId="317E3070" w:rsidR="00600535" w:rsidRDefault="00486D9C" w:rsidP="00486D9C">
      <w:pPr>
        <w:pStyle w:val="CETBodytext"/>
        <w:rPr>
          <w:lang w:val="en-GB"/>
        </w:rPr>
      </w:pPr>
      <w:r w:rsidRPr="00486D9C">
        <w:rPr>
          <w:lang w:val="en-GB"/>
        </w:rPr>
        <w:t xml:space="preserve">The determination of ES is difficult and expensive. The standards therefore allow the use model calculations, to answer this question. With the broader availability of software for the necessary Finite Element Calculations </w:t>
      </w:r>
      <w:r w:rsidR="0044798C">
        <w:rPr>
          <w:lang w:val="en-GB"/>
        </w:rPr>
        <w:t>like</w:t>
      </w:r>
      <w:r w:rsidR="00997AD5" w:rsidRPr="00997AD5">
        <w:rPr>
          <w:lang w:val="en-GB"/>
        </w:rPr>
        <w:tab/>
        <w:t>COMSOL Multiphysics®</w:t>
      </w:r>
      <w:r w:rsidR="0044798C">
        <w:rPr>
          <w:lang w:val="en-GB"/>
        </w:rPr>
        <w:t xml:space="preserve"> or</w:t>
      </w:r>
      <w:r w:rsidR="00EE4CFE" w:rsidRPr="00EE4CFE">
        <w:t xml:space="preserve"> </w:t>
      </w:r>
      <w:r w:rsidR="00EE4CFE" w:rsidRPr="00EE4CFE">
        <w:rPr>
          <w:lang w:val="en-GB"/>
        </w:rPr>
        <w:t>HIPHI®</w:t>
      </w:r>
      <w:r w:rsidR="0044798C">
        <w:rPr>
          <w:lang w:val="en-GB"/>
        </w:rPr>
        <w:t>,</w:t>
      </w:r>
      <w:r w:rsidRPr="00486D9C">
        <w:rPr>
          <w:lang w:val="en-GB"/>
        </w:rPr>
        <w:t xml:space="preserve"> the model approach became increasingly used in this relation. Glor has shown the usefulness and feasibility of such calculations for many problems in static electricity. Recently it was shown that the consideration of the charge relaxation may lead to less conservative but still safe assessments </w:t>
      </w:r>
      <w:r w:rsidR="007740E7">
        <w:rPr>
          <w:lang w:val="en-GB"/>
        </w:rPr>
        <w:t>(Glor</w:t>
      </w:r>
      <w:r w:rsidR="00577EFD">
        <w:rPr>
          <w:lang w:val="en-GB"/>
        </w:rPr>
        <w:t>, 2023)</w:t>
      </w:r>
      <w:r w:rsidR="001A0A4B">
        <w:rPr>
          <w:lang w:val="en-GB"/>
        </w:rPr>
        <w:t xml:space="preserve">. </w:t>
      </w:r>
      <w:r w:rsidR="001A0A4B" w:rsidRPr="001A0A4B">
        <w:rPr>
          <w:lang w:val="en-GB"/>
        </w:rPr>
        <w:t xml:space="preserve">This paper presents a generalization of the calculations provided in </w:t>
      </w:r>
      <w:r w:rsidR="001A0A4B">
        <w:rPr>
          <w:lang w:val="en-GB"/>
        </w:rPr>
        <w:t>(Glor, 2023)</w:t>
      </w:r>
      <w:r w:rsidR="001A0A4B" w:rsidRPr="001A0A4B">
        <w:rPr>
          <w:lang w:val="en-GB"/>
        </w:rPr>
        <w:t>.</w:t>
      </w:r>
    </w:p>
    <w:p w14:paraId="2DA7EB41" w14:textId="36FF0EC0" w:rsidR="009618A6" w:rsidRDefault="009618A6">
      <w:pPr>
        <w:tabs>
          <w:tab w:val="clear" w:pos="7100"/>
        </w:tabs>
        <w:spacing w:after="200" w:line="276" w:lineRule="auto"/>
        <w:jc w:val="left"/>
      </w:pPr>
      <w:r>
        <w:br w:type="page"/>
      </w:r>
    </w:p>
    <w:p w14:paraId="52E5013B" w14:textId="29193AE5" w:rsidR="005472C0" w:rsidRDefault="00835F30" w:rsidP="005472C0">
      <w:pPr>
        <w:pStyle w:val="CETHeading1"/>
      </w:pPr>
      <w:r>
        <w:lastRenderedPageBreak/>
        <w:t>G</w:t>
      </w:r>
      <w:r w:rsidRPr="00835F30">
        <w:t>eneralized model</w:t>
      </w:r>
      <w:r w:rsidR="00D6735A" w:rsidRPr="00D6735A">
        <w:t xml:space="preserve"> without </w:t>
      </w:r>
      <w:r w:rsidR="00D6735A">
        <w:t>c</w:t>
      </w:r>
      <w:r w:rsidR="00D6735A" w:rsidRPr="00D6735A">
        <w:t xml:space="preserve">harge </w:t>
      </w:r>
      <w:r w:rsidR="00D6735A">
        <w:t>r</w:t>
      </w:r>
      <w:r w:rsidR="00D6735A" w:rsidRPr="00D6735A">
        <w:t>elaxation</w:t>
      </w:r>
    </w:p>
    <w:p w14:paraId="789474C9" w14:textId="3F56997B" w:rsidR="002B3F23" w:rsidRPr="00B57B36" w:rsidRDefault="00F81CA0" w:rsidP="002B3F23">
      <w:pPr>
        <w:pStyle w:val="CETheadingx"/>
      </w:pPr>
      <w:r>
        <w:t xml:space="preserve">Electrostatic field in an </w:t>
      </w:r>
      <w:r w:rsidR="00FC4DCA">
        <w:t>i</w:t>
      </w:r>
      <w:r w:rsidRPr="00F81CA0">
        <w:t xml:space="preserve">nfinitely long charged </w:t>
      </w:r>
      <w:r w:rsidR="00146294">
        <w:t>container</w:t>
      </w:r>
    </w:p>
    <w:p w14:paraId="17762BC4" w14:textId="7F536091" w:rsidR="00E44B06" w:rsidRPr="00E44B06" w:rsidRDefault="00E44B06" w:rsidP="00E44B06">
      <w:pPr>
        <w:pStyle w:val="CETBodytext"/>
        <w:rPr>
          <w:lang w:val="en-GB"/>
        </w:rPr>
      </w:pPr>
      <w:r w:rsidRPr="00E44B06">
        <w:rPr>
          <w:lang w:val="en-GB"/>
        </w:rPr>
        <w:t xml:space="preserve">A charged </w:t>
      </w:r>
      <w:r w:rsidR="006F7A58">
        <w:rPr>
          <w:lang w:val="en-GB"/>
        </w:rPr>
        <w:t>container</w:t>
      </w:r>
      <w:r w:rsidRPr="00E44B06">
        <w:rPr>
          <w:lang w:val="en-GB"/>
        </w:rPr>
        <w:t xml:space="preserve"> is considered infinitely long when the ratio H</w:t>
      </w:r>
      <w:r w:rsidRPr="00E44B06">
        <w:rPr>
          <w:vertAlign w:val="subscript"/>
          <w:lang w:val="en-GB"/>
        </w:rPr>
        <w:t>f</w:t>
      </w:r>
      <w:r w:rsidRPr="00E44B06">
        <w:rPr>
          <w:lang w:val="en-GB"/>
        </w:rPr>
        <w:t>/R is infinite</w:t>
      </w:r>
    </w:p>
    <w:p w14:paraId="2B79C084" w14:textId="77777777" w:rsidR="00E44B06" w:rsidRPr="00E44B06" w:rsidRDefault="00E44B06" w:rsidP="00E44B06">
      <w:pPr>
        <w:pStyle w:val="CETBodytext"/>
        <w:rPr>
          <w:lang w:val="en-GB"/>
        </w:rPr>
      </w:pPr>
      <w:r w:rsidRPr="00E44B06">
        <w:rPr>
          <w:lang w:val="en-GB"/>
        </w:rPr>
        <w:t>Assumptions:</w:t>
      </w:r>
    </w:p>
    <w:p w14:paraId="78DB5846" w14:textId="3AB41F3A" w:rsidR="00E44B06" w:rsidRPr="00E44B06" w:rsidRDefault="00E44B06" w:rsidP="00E44B06">
      <w:pPr>
        <w:pStyle w:val="CETBodytext"/>
        <w:numPr>
          <w:ilvl w:val="0"/>
          <w:numId w:val="26"/>
        </w:numPr>
        <w:rPr>
          <w:lang w:val="en-GB"/>
        </w:rPr>
      </w:pPr>
      <w:r w:rsidRPr="00E44B06">
        <w:rPr>
          <w:lang w:val="en-GB"/>
        </w:rPr>
        <w:t>The charge is uniformly distributed throughout the volume of the cylinder</w:t>
      </w:r>
    </w:p>
    <w:p w14:paraId="11D66AD8" w14:textId="5877CDAF" w:rsidR="00E44B06" w:rsidRPr="00E44B06" w:rsidRDefault="00E44B06" w:rsidP="00E44B06">
      <w:pPr>
        <w:pStyle w:val="CETBodytext"/>
        <w:numPr>
          <w:ilvl w:val="0"/>
          <w:numId w:val="26"/>
        </w:numPr>
        <w:rPr>
          <w:lang w:val="en-GB"/>
        </w:rPr>
      </w:pPr>
      <w:r w:rsidRPr="00E44B06">
        <w:rPr>
          <w:lang w:val="en-GB"/>
        </w:rPr>
        <w:t>The electrostatic field is radial due to the symmetry of the problem.</w:t>
      </w:r>
    </w:p>
    <w:p w14:paraId="71E5A2DB" w14:textId="5115167F" w:rsidR="009618A6" w:rsidRDefault="00E44B06" w:rsidP="00E44B06">
      <w:pPr>
        <w:pStyle w:val="CETBodytext"/>
        <w:rPr>
          <w:lang w:val="en-GB"/>
        </w:rPr>
      </w:pPr>
      <w:r w:rsidRPr="00E44B06">
        <w:rPr>
          <w:lang w:val="en-GB"/>
        </w:rPr>
        <w:t xml:space="preserve">The electrical field along the wall of cylindrical </w:t>
      </w:r>
      <w:r w:rsidR="00146294">
        <w:rPr>
          <w:lang w:val="en-GB"/>
        </w:rPr>
        <w:t>containers</w:t>
      </w:r>
      <w:r w:rsidRPr="00E44B06">
        <w:rPr>
          <w:lang w:val="en-GB"/>
        </w:rPr>
        <w:t xml:space="preserve"> with infinite H</w:t>
      </w:r>
      <w:r w:rsidRPr="00146294">
        <w:rPr>
          <w:vertAlign w:val="subscript"/>
          <w:lang w:val="en-GB"/>
        </w:rPr>
        <w:t>f</w:t>
      </w:r>
      <w:r w:rsidRPr="00E44B06">
        <w:rPr>
          <w:lang w:val="en-GB"/>
        </w:rPr>
        <w:t>/R ratio can be calculated using the Gaussian surface integral:</w:t>
      </w:r>
    </w:p>
    <w:tbl>
      <w:tblPr>
        <w:tblW w:w="5000" w:type="pct"/>
        <w:tblLook w:val="04A0" w:firstRow="1" w:lastRow="0" w:firstColumn="1" w:lastColumn="0" w:noHBand="0" w:noVBand="1"/>
      </w:tblPr>
      <w:tblGrid>
        <w:gridCol w:w="7985"/>
        <w:gridCol w:w="802"/>
      </w:tblGrid>
      <w:tr w:rsidR="000F66B1" w:rsidRPr="00B57B36" w14:paraId="50C17E03" w14:textId="77777777" w:rsidTr="00146294">
        <w:tc>
          <w:tcPr>
            <w:tcW w:w="7985" w:type="dxa"/>
            <w:shd w:val="clear" w:color="auto" w:fill="auto"/>
            <w:vAlign w:val="center"/>
          </w:tcPr>
          <w:p w14:paraId="5B1EAD62" w14:textId="310CEFDD" w:rsidR="000F66B1" w:rsidRPr="0092254A" w:rsidRDefault="009204A6" w:rsidP="0092254A">
            <w:pPr>
              <w:spacing w:before="180"/>
              <w:rPr>
                <w:rFonts w:eastAsiaTheme="minorEastAsia"/>
              </w:rPr>
            </w:pPr>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E</m:t>
                        </m:r>
                      </m:e>
                      <m:sub>
                        <m:r>
                          <w:rPr>
                            <w:rFonts w:ascii="Cambria Math" w:hAnsi="Cambria Math"/>
                          </w:rPr>
                          <m:t>S</m:t>
                        </m:r>
                        <m:d>
                          <m:dPr>
                            <m:ctrlPr>
                              <w:rPr>
                                <w:rFonts w:ascii="Cambria Math" w:hAnsi="Cambria Math"/>
                                <w:i/>
                              </w:rPr>
                            </m:ctrlPr>
                          </m:dPr>
                          <m:e>
                            <m:r>
                              <w:rPr>
                                <w:rFonts w:ascii="Cambria Math" w:hAnsi="Cambria Math"/>
                              </w:rPr>
                              <m:t>Hf→∞</m:t>
                            </m:r>
                          </m:e>
                        </m:d>
                      </m:sub>
                    </m:sSub>
                    <m:r>
                      <w:rPr>
                        <w:rFonts w:ascii="Cambria Math" w:hAnsi="Cambria Math"/>
                      </w:rPr>
                      <m:t xml:space="preserve"> ∙dA=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m0</m:t>
                                </m:r>
                              </m:sub>
                            </m:sSub>
                            <m:r>
                              <w:rPr>
                                <w:rFonts w:ascii="Times New Roman" w:hAnsi="Times New Roman"/>
                              </w:rPr>
                              <m:t>‧</m:t>
                            </m:r>
                            <m:r>
                              <w:rPr>
                                <w:rFonts w:ascii="Cambria Math" w:hAnsi="Cambria Math"/>
                              </w:rPr>
                              <m:t>δ</m:t>
                            </m:r>
                            <m:r>
                              <w:rPr>
                                <w:rFonts w:ascii="Times New Roman" w:hAnsi="Times New Roman"/>
                              </w:rPr>
                              <m:t>‧</m:t>
                            </m:r>
                          </m:e>
                        </m:nary>
                        <m:r>
                          <w:rPr>
                            <w:rFonts w:ascii="Cambria Math" w:hAnsi="Cambria Math"/>
                          </w:rPr>
                          <m:t xml:space="preserve">dV </m:t>
                        </m:r>
                      </m:num>
                      <m:den>
                        <m:r>
                          <w:rPr>
                            <w:rFonts w:ascii="Cambria Math" w:hAnsi="Cambria Math"/>
                          </w:rPr>
                          <m:t>ε</m:t>
                        </m:r>
                        <m:r>
                          <w:rPr>
                            <w:rFonts w:ascii="Times New Roman" w:hAnsi="Times New Roman"/>
                          </w:rPr>
                          <m:t>‧</m:t>
                        </m:r>
                        <m:sSub>
                          <m:sSubPr>
                            <m:ctrlPr>
                              <w:rPr>
                                <w:rFonts w:ascii="Cambria Math" w:hAnsi="Cambria Math"/>
                                <w:i/>
                              </w:rPr>
                            </m:ctrlPr>
                          </m:sSubPr>
                          <m:e>
                            <m:r>
                              <w:rPr>
                                <w:rFonts w:ascii="Cambria Math" w:hAnsi="Cambria Math"/>
                              </w:rPr>
                              <m:t>ε</m:t>
                            </m:r>
                          </m:e>
                          <m:sub>
                            <m:r>
                              <w:rPr>
                                <w:rFonts w:ascii="Cambria Math" w:hAnsi="Cambria Math"/>
                              </w:rPr>
                              <m:t>0</m:t>
                            </m:r>
                          </m:sub>
                        </m:sSub>
                      </m:den>
                    </m:f>
                  </m:e>
                </m:nary>
                <m:r>
                  <w:rPr>
                    <w:rFonts w:ascii="Cambria Math" w:hAnsi="Cambria Math"/>
                  </w:rPr>
                  <m:t>;   dA=2π</m:t>
                </m:r>
                <m:r>
                  <w:rPr>
                    <w:rFonts w:ascii="Times New Roman" w:hAnsi="Times New Roman"/>
                  </w:rPr>
                  <m:t>‧</m:t>
                </m:r>
                <m:r>
                  <w:rPr>
                    <w:rFonts w:ascii="Cambria Math" w:hAnsi="Cambria Math"/>
                  </w:rPr>
                  <m:t>R∙dh;  dV=</m:t>
                </m:r>
                <m:sSup>
                  <m:sSupPr>
                    <m:ctrlPr>
                      <w:rPr>
                        <w:rFonts w:ascii="Cambria Math" w:hAnsi="Cambria Math"/>
                        <w:i/>
                      </w:rPr>
                    </m:ctrlPr>
                  </m:sSupPr>
                  <m:e>
                    <m:r>
                      <w:rPr>
                        <w:rFonts w:ascii="Cambria Math" w:hAnsi="Cambria Math"/>
                      </w:rPr>
                      <m:t>π</m:t>
                    </m:r>
                    <m:r>
                      <w:rPr>
                        <w:rFonts w:ascii="Times New Roman" w:hAnsi="Times New Roman"/>
                      </w:rPr>
                      <m:t>‧</m:t>
                    </m:r>
                    <m:r>
                      <w:rPr>
                        <w:rFonts w:ascii="Cambria Math" w:hAnsi="Cambria Math"/>
                      </w:rPr>
                      <m:t>R</m:t>
                    </m:r>
                  </m:e>
                  <m:sup>
                    <m:r>
                      <w:rPr>
                        <w:rFonts w:ascii="Cambria Math" w:hAnsi="Cambria Math"/>
                      </w:rPr>
                      <m:t>2</m:t>
                    </m:r>
                  </m:sup>
                </m:sSup>
                <m:r>
                  <w:rPr>
                    <w:rFonts w:ascii="Times New Roman" w:hAnsi="Times New Roman"/>
                  </w:rPr>
                  <m:t>‧</m:t>
                </m:r>
                <m:r>
                  <w:rPr>
                    <w:rFonts w:ascii="Cambria Math" w:hAnsi="Cambria Math"/>
                  </w:rPr>
                  <m:t>dh</m:t>
                </m:r>
              </m:oMath>
            </m:oMathPara>
          </w:p>
        </w:tc>
        <w:tc>
          <w:tcPr>
            <w:tcW w:w="802" w:type="dxa"/>
            <w:shd w:val="clear" w:color="auto" w:fill="auto"/>
            <w:vAlign w:val="center"/>
          </w:tcPr>
          <w:p w14:paraId="42EE7313" w14:textId="77777777" w:rsidR="000F66B1" w:rsidRPr="00B57B36" w:rsidRDefault="000F66B1" w:rsidP="007009D0">
            <w:pPr>
              <w:pStyle w:val="CETEquation"/>
              <w:jc w:val="right"/>
            </w:pPr>
            <w:r w:rsidRPr="00B57B36">
              <w:t>(1)</w:t>
            </w:r>
          </w:p>
        </w:tc>
      </w:tr>
    </w:tbl>
    <w:p w14:paraId="0429145E" w14:textId="77777777" w:rsidR="009618A6" w:rsidRDefault="009618A6" w:rsidP="00486D9C">
      <w:pPr>
        <w:pStyle w:val="CETBodytext"/>
        <w:rPr>
          <w:lang w:val="en-GB"/>
        </w:rPr>
      </w:pPr>
    </w:p>
    <w:p w14:paraId="55575BA8" w14:textId="34A3E57F" w:rsidR="00E94EDF" w:rsidRDefault="00341856" w:rsidP="00486D9C">
      <w:pPr>
        <w:pStyle w:val="CETBodytext"/>
      </w:pPr>
      <w:r>
        <w:rPr>
          <w:rFonts w:eastAsiaTheme="minorEastAsia"/>
        </w:rPr>
        <w:t>T</w:t>
      </w:r>
      <w:r w:rsidR="00825EB2">
        <w:rPr>
          <w:rFonts w:eastAsiaTheme="minorEastAsia"/>
        </w:rPr>
        <w:t>herefore</w:t>
      </w:r>
      <w:r w:rsidR="00AD78E1">
        <w:rPr>
          <w:rFonts w:eastAsiaTheme="minorEastAsia"/>
        </w:rPr>
        <w:t>,</w:t>
      </w:r>
      <w:r w:rsidR="00825EB2">
        <w:rPr>
          <w:rFonts w:eastAsiaTheme="minorEastAsia"/>
        </w:rPr>
        <w:t xml:space="preserve"> for an i</w:t>
      </w:r>
      <w:r w:rsidR="00825EB2">
        <w:t>nfinitesimally small volume</w:t>
      </w:r>
      <w:r w:rsidR="00DD03DA">
        <w:t xml:space="preserve">, </w:t>
      </w:r>
      <w:r w:rsidR="00510F74">
        <w:t>a</w:t>
      </w:r>
      <w:r w:rsidR="00510F74" w:rsidRPr="00510F74">
        <w:rPr>
          <w:lang w:val="en-GB"/>
        </w:rPr>
        <w:t>s shown in Figure 1</w:t>
      </w:r>
      <w:r>
        <w:rPr>
          <w:lang w:val="en-GB"/>
        </w:rPr>
        <w:t>, the ES is as follow:</w:t>
      </w:r>
    </w:p>
    <w:p w14:paraId="5A7FC538" w14:textId="77777777" w:rsidR="00744843" w:rsidRDefault="00744843" w:rsidP="00486D9C">
      <w:pPr>
        <w:pStyle w:val="CETBodytext"/>
      </w:pPr>
      <w:r w:rsidRPr="00D531AA">
        <w:rPr>
          <w:noProof/>
        </w:rPr>
        <w:drawing>
          <wp:inline distT="0" distB="0" distL="0" distR="0" wp14:anchorId="685866EA" wp14:editId="5C2627AE">
            <wp:extent cx="1446530" cy="1303020"/>
            <wp:effectExtent l="19050" t="19050" r="20320" b="11430"/>
            <wp:docPr id="14264259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6530" cy="1303020"/>
                    </a:xfrm>
                    <a:prstGeom prst="rect">
                      <a:avLst/>
                    </a:prstGeom>
                    <a:noFill/>
                    <a:ln>
                      <a:solidFill>
                        <a:schemeClr val="tx1"/>
                      </a:solidFill>
                    </a:ln>
                  </pic:spPr>
                </pic:pic>
              </a:graphicData>
            </a:graphic>
          </wp:inline>
        </w:drawing>
      </w:r>
    </w:p>
    <w:p w14:paraId="72BDCB95" w14:textId="3930C43A" w:rsidR="00744843" w:rsidRPr="005D745A" w:rsidRDefault="00744843" w:rsidP="00744843">
      <w:pPr>
        <w:pStyle w:val="Caption"/>
        <w:rPr>
          <w:rStyle w:val="CETCaptionCarattere"/>
          <w:b w:val="0"/>
          <w:bCs w:val="0"/>
          <w:color w:val="auto"/>
          <w:lang w:val="en-US"/>
        </w:rPr>
      </w:pPr>
      <w:r w:rsidRPr="005D745A">
        <w:rPr>
          <w:rStyle w:val="CETCaptionCarattere"/>
          <w:b w:val="0"/>
          <w:bCs w:val="0"/>
          <w:color w:val="auto"/>
        </w:rPr>
        <w:t xml:space="preserve">Figure </w:t>
      </w:r>
      <w:r w:rsidRPr="005D745A">
        <w:rPr>
          <w:rStyle w:val="CETCaptionCarattere"/>
          <w:b w:val="0"/>
          <w:bCs w:val="0"/>
          <w:color w:val="auto"/>
        </w:rPr>
        <w:fldChar w:fldCharType="begin"/>
      </w:r>
      <w:r w:rsidRPr="005D745A">
        <w:rPr>
          <w:rStyle w:val="CETCaptionCarattere"/>
          <w:b w:val="0"/>
          <w:bCs w:val="0"/>
          <w:color w:val="auto"/>
        </w:rPr>
        <w:instrText xml:space="preserve"> SEQ Figure \* ARABIC </w:instrText>
      </w:r>
      <w:r w:rsidRPr="005D745A">
        <w:rPr>
          <w:rStyle w:val="CETCaptionCarattere"/>
          <w:b w:val="0"/>
          <w:bCs w:val="0"/>
          <w:color w:val="auto"/>
        </w:rPr>
        <w:fldChar w:fldCharType="separate"/>
      </w:r>
      <w:r w:rsidR="002D4CF5">
        <w:rPr>
          <w:rStyle w:val="CETCaptionCarattere"/>
          <w:b w:val="0"/>
          <w:bCs w:val="0"/>
          <w:noProof/>
          <w:color w:val="auto"/>
        </w:rPr>
        <w:t>1</w:t>
      </w:r>
      <w:r w:rsidRPr="005D745A">
        <w:rPr>
          <w:rStyle w:val="CETCaptionCarattere"/>
          <w:b w:val="0"/>
          <w:bCs w:val="0"/>
          <w:color w:val="auto"/>
        </w:rPr>
        <w:fldChar w:fldCharType="end"/>
      </w:r>
      <w:r w:rsidRPr="005D745A">
        <w:rPr>
          <w:rStyle w:val="CETCaptionCarattere"/>
          <w:b w:val="0"/>
          <w:bCs w:val="0"/>
          <w:color w:val="auto"/>
        </w:rPr>
        <w:t xml:space="preserve">: </w:t>
      </w:r>
      <w:r w:rsidRPr="005D745A">
        <w:rPr>
          <w:rStyle w:val="CETCaptionCarattere"/>
          <w:rFonts w:eastAsiaTheme="minorEastAsia"/>
          <w:b w:val="0"/>
          <w:bCs w:val="0"/>
          <w:color w:val="auto"/>
        </w:rPr>
        <w:t>i</w:t>
      </w:r>
      <w:r w:rsidRPr="005D745A">
        <w:rPr>
          <w:rStyle w:val="CETCaptionCarattere"/>
          <w:b w:val="0"/>
          <w:bCs w:val="0"/>
          <w:color w:val="auto"/>
        </w:rPr>
        <w:t>nfinitesimally small Gaussian surface</w:t>
      </w:r>
    </w:p>
    <w:tbl>
      <w:tblPr>
        <w:tblW w:w="5000" w:type="pct"/>
        <w:tblLook w:val="04A0" w:firstRow="1" w:lastRow="0" w:firstColumn="1" w:lastColumn="0" w:noHBand="0" w:noVBand="1"/>
      </w:tblPr>
      <w:tblGrid>
        <w:gridCol w:w="7984"/>
        <w:gridCol w:w="803"/>
      </w:tblGrid>
      <w:tr w:rsidR="00C87546" w:rsidRPr="00B57B36" w14:paraId="3C855CBD" w14:textId="77777777" w:rsidTr="00342B55">
        <w:tc>
          <w:tcPr>
            <w:tcW w:w="7984" w:type="dxa"/>
            <w:shd w:val="clear" w:color="auto" w:fill="auto"/>
            <w:vAlign w:val="center"/>
          </w:tcPr>
          <w:p w14:paraId="04F88C9F" w14:textId="74F8D187" w:rsidR="00C87546" w:rsidRPr="0092254A" w:rsidRDefault="009204A6" w:rsidP="007009D0">
            <w:pPr>
              <w:spacing w:before="180"/>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S</m:t>
                    </m:r>
                    <m:d>
                      <m:dPr>
                        <m:ctrlPr>
                          <w:rPr>
                            <w:rFonts w:ascii="Cambria Math" w:hAnsi="Cambria Math"/>
                            <w:i/>
                          </w:rPr>
                        </m:ctrlPr>
                      </m:dPr>
                      <m:e>
                        <m:r>
                          <w:rPr>
                            <w:rFonts w:ascii="Cambria Math" w:hAnsi="Cambria Math"/>
                          </w:rPr>
                          <m:t>Hf→∞</m:t>
                        </m:r>
                      </m:e>
                    </m:d>
                  </m:sub>
                </m:sSub>
                <m:r>
                  <w:rPr>
                    <w:rFonts w:ascii="Cambria Math" w:hAnsi="Cambria Math"/>
                  </w:rPr>
                  <m:t xml:space="preserve"> ∙2π</m:t>
                </m:r>
                <m:r>
                  <w:rPr>
                    <w:rFonts w:ascii="Times New Roman" w:hAnsi="Times New Roman"/>
                  </w:rPr>
                  <m:t>‧</m:t>
                </m:r>
                <m:r>
                  <w:rPr>
                    <w:rFonts w:ascii="Cambria Math" w:hAnsi="Cambria Math"/>
                  </w:rPr>
                  <m:t>R</m:t>
                </m:r>
                <m:r>
                  <w:rPr>
                    <w:rFonts w:ascii="Times New Roman" w:hAnsi="Times New Roman"/>
                  </w:rPr>
                  <m:t>‧</m:t>
                </m:r>
                <m:r>
                  <w:rPr>
                    <w:rFonts w:ascii="Cambria Math" w:hAnsi="Cambria Math"/>
                  </w:rPr>
                  <m:t xml:space="preserve">dh=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m0</m:t>
                        </m:r>
                      </m:sub>
                    </m:sSub>
                    <m:r>
                      <w:rPr>
                        <w:rFonts w:ascii="Times New Roman" w:hAnsi="Times New Roman"/>
                      </w:rPr>
                      <m:t>‧</m:t>
                    </m:r>
                    <m:r>
                      <w:rPr>
                        <w:rFonts w:ascii="Cambria Math" w:hAnsi="Cambria Math"/>
                      </w:rPr>
                      <m:t>δ</m:t>
                    </m:r>
                    <m:sSup>
                      <m:sSupPr>
                        <m:ctrlPr>
                          <w:rPr>
                            <w:rFonts w:ascii="Cambria Math" w:hAnsi="Cambria Math"/>
                            <w:i/>
                          </w:rPr>
                        </m:ctrlPr>
                      </m:sSupPr>
                      <m:e>
                        <m:r>
                          <w:rPr>
                            <w:rFonts w:ascii="Times New Roman" w:hAnsi="Times New Roman"/>
                          </w:rPr>
                          <m:t>‧</m:t>
                        </m:r>
                        <m:r>
                          <w:rPr>
                            <w:rFonts w:ascii="Cambria Math" w:hAnsi="Cambria Math"/>
                          </w:rPr>
                          <m:t>π</m:t>
                        </m:r>
                        <m:r>
                          <w:rPr>
                            <w:rFonts w:ascii="Times New Roman" w:hAnsi="Times New Roman"/>
                          </w:rPr>
                          <m:t>‧</m:t>
                        </m:r>
                        <m:r>
                          <w:rPr>
                            <w:rFonts w:ascii="Cambria Math" w:hAnsi="Cambria Math"/>
                          </w:rPr>
                          <m:t>R</m:t>
                        </m:r>
                      </m:e>
                      <m:sup>
                        <m:r>
                          <w:rPr>
                            <w:rFonts w:ascii="Cambria Math" w:hAnsi="Cambria Math"/>
                          </w:rPr>
                          <m:t>2</m:t>
                        </m:r>
                      </m:sup>
                    </m:sSup>
                    <m:r>
                      <w:rPr>
                        <w:rFonts w:ascii="Times New Roman" w:hAnsi="Times New Roman"/>
                      </w:rPr>
                      <m:t>‧</m:t>
                    </m:r>
                    <m:r>
                      <w:rPr>
                        <w:rFonts w:ascii="Cambria Math" w:hAnsi="Cambria Math"/>
                      </w:rPr>
                      <m:t xml:space="preserve">dh </m:t>
                    </m:r>
                  </m:num>
                  <m:den>
                    <m:r>
                      <w:rPr>
                        <w:rFonts w:ascii="Cambria Math" w:hAnsi="Cambria Math"/>
                      </w:rPr>
                      <m:t>δ</m:t>
                    </m:r>
                    <m:r>
                      <w:rPr>
                        <w:rFonts w:ascii="Times New Roman" w:hAnsi="Times New Roman"/>
                      </w:rPr>
                      <m:t>‧</m:t>
                    </m:r>
                    <m:r>
                      <w:rPr>
                        <w:rFonts w:ascii="Cambria Math" w:hAnsi="Cambria Math"/>
                      </w:rPr>
                      <m:t>ε</m:t>
                    </m:r>
                    <m:r>
                      <w:rPr>
                        <w:rFonts w:ascii="Times New Roman" w:hAnsi="Times New Roman"/>
                      </w:rPr>
                      <m:t>‧</m:t>
                    </m:r>
                    <m:sSub>
                      <m:sSubPr>
                        <m:ctrlPr>
                          <w:rPr>
                            <w:rFonts w:ascii="Cambria Math" w:hAnsi="Cambria Math"/>
                            <w:i/>
                          </w:rPr>
                        </m:ctrlPr>
                      </m:sSubPr>
                      <m:e>
                        <m:r>
                          <w:rPr>
                            <w:rFonts w:ascii="Cambria Math" w:hAnsi="Cambria Math"/>
                          </w:rPr>
                          <m:t>ε</m:t>
                        </m:r>
                      </m:e>
                      <m:sub>
                        <m:r>
                          <w:rPr>
                            <w:rFonts w:ascii="Cambria Math" w:hAnsi="Cambria Math"/>
                          </w:rPr>
                          <m:t>0</m:t>
                        </m:r>
                      </m:sub>
                    </m:sSub>
                  </m:den>
                </m:f>
                <m:r>
                  <w:rPr>
                    <w:rFonts w:ascii="Cambria Math" w:hAnsi="Cambria Math"/>
                  </w:rPr>
                  <m:t xml:space="preserve">  </m:t>
                </m:r>
              </m:oMath>
            </m:oMathPara>
          </w:p>
        </w:tc>
        <w:tc>
          <w:tcPr>
            <w:tcW w:w="803" w:type="dxa"/>
            <w:shd w:val="clear" w:color="auto" w:fill="auto"/>
            <w:vAlign w:val="center"/>
          </w:tcPr>
          <w:p w14:paraId="4E375A05" w14:textId="34372DE8" w:rsidR="00C87546" w:rsidRPr="00B57B36" w:rsidRDefault="00C87546" w:rsidP="007009D0">
            <w:pPr>
              <w:pStyle w:val="CETEquation"/>
              <w:jc w:val="right"/>
            </w:pPr>
            <w:r w:rsidRPr="00B57B36">
              <w:t>(</w:t>
            </w:r>
            <w:r>
              <w:t>2</w:t>
            </w:r>
            <w:r w:rsidRPr="00B57B36">
              <w:t>)</w:t>
            </w:r>
          </w:p>
        </w:tc>
      </w:tr>
    </w:tbl>
    <w:p w14:paraId="6873F31F" w14:textId="77777777" w:rsidR="00825EB2" w:rsidRDefault="00825EB2" w:rsidP="00486D9C">
      <w:pPr>
        <w:pStyle w:val="CETBodytext"/>
      </w:pPr>
    </w:p>
    <w:tbl>
      <w:tblPr>
        <w:tblW w:w="5000" w:type="pct"/>
        <w:tblLook w:val="04A0" w:firstRow="1" w:lastRow="0" w:firstColumn="1" w:lastColumn="0" w:noHBand="0" w:noVBand="1"/>
      </w:tblPr>
      <w:tblGrid>
        <w:gridCol w:w="7983"/>
        <w:gridCol w:w="804"/>
      </w:tblGrid>
      <w:tr w:rsidR="001B08C9" w:rsidRPr="00B57B36" w14:paraId="426E7768" w14:textId="77777777" w:rsidTr="007009D0">
        <w:tc>
          <w:tcPr>
            <w:tcW w:w="8188" w:type="dxa"/>
            <w:shd w:val="clear" w:color="auto" w:fill="auto"/>
            <w:vAlign w:val="center"/>
          </w:tcPr>
          <w:p w14:paraId="576F00D6" w14:textId="6D74ABAA" w:rsidR="001B08C9" w:rsidRPr="0092254A" w:rsidRDefault="009204A6" w:rsidP="007009D0">
            <w:pPr>
              <w:spacing w:before="180"/>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S</m:t>
                    </m:r>
                    <m:d>
                      <m:dPr>
                        <m:ctrlPr>
                          <w:rPr>
                            <w:rFonts w:ascii="Cambria Math" w:hAnsi="Cambria Math"/>
                            <w:i/>
                          </w:rPr>
                        </m:ctrlPr>
                      </m:dPr>
                      <m:e>
                        <m:r>
                          <w:rPr>
                            <w:rFonts w:ascii="Cambria Math" w:hAnsi="Cambria Math"/>
                          </w:rPr>
                          <m:t>Hf→∞</m:t>
                        </m:r>
                      </m:e>
                    </m:d>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m0</m:t>
                        </m:r>
                      </m:sub>
                    </m:sSub>
                    <m:r>
                      <w:rPr>
                        <w:rFonts w:ascii="Times New Roman" w:hAnsi="Times New Roman"/>
                      </w:rPr>
                      <m:t>‧</m:t>
                    </m:r>
                    <m:r>
                      <w:rPr>
                        <w:rFonts w:ascii="Cambria Math" w:hAnsi="Cambria Math"/>
                      </w:rPr>
                      <m:t>δ</m:t>
                    </m:r>
                    <m:r>
                      <w:rPr>
                        <w:rFonts w:ascii="Times New Roman" w:hAnsi="Times New Roman"/>
                      </w:rPr>
                      <m:t>‧</m:t>
                    </m:r>
                    <m:r>
                      <w:rPr>
                        <w:rFonts w:ascii="Cambria Math" w:hAnsi="Cambria Math"/>
                      </w:rPr>
                      <m:t xml:space="preserve">R </m:t>
                    </m:r>
                  </m:num>
                  <m:den>
                    <m:r>
                      <w:rPr>
                        <w:rFonts w:ascii="Cambria Math" w:hAnsi="Cambria Math"/>
                      </w:rPr>
                      <m:t>2</m:t>
                    </m:r>
                    <m:r>
                      <w:rPr>
                        <w:rFonts w:ascii="Times New Roman" w:hAnsi="Times New Roman"/>
                      </w:rPr>
                      <m:t>‧</m:t>
                    </m:r>
                    <m:r>
                      <w:rPr>
                        <w:rFonts w:ascii="Cambria Math" w:hAnsi="Cambria Math"/>
                      </w:rPr>
                      <m:t>ε</m:t>
                    </m:r>
                    <m:r>
                      <w:rPr>
                        <w:rFonts w:ascii="Times New Roman" w:hAnsi="Times New Roman"/>
                      </w:rPr>
                      <m:t>‧</m:t>
                    </m:r>
                    <m:sSub>
                      <m:sSubPr>
                        <m:ctrlPr>
                          <w:rPr>
                            <w:rFonts w:ascii="Cambria Math" w:hAnsi="Cambria Math"/>
                            <w:i/>
                          </w:rPr>
                        </m:ctrlPr>
                      </m:sSubPr>
                      <m:e>
                        <m:r>
                          <w:rPr>
                            <w:rFonts w:ascii="Cambria Math" w:hAnsi="Cambria Math"/>
                          </w:rPr>
                          <m:t>ε</m:t>
                        </m:r>
                      </m:e>
                      <m:sub>
                        <m:r>
                          <w:rPr>
                            <w:rFonts w:ascii="Cambria Math" w:hAnsi="Cambria Math"/>
                          </w:rPr>
                          <m:t>0</m:t>
                        </m:r>
                      </m:sub>
                    </m:sSub>
                  </m:den>
                </m:f>
              </m:oMath>
            </m:oMathPara>
          </w:p>
        </w:tc>
        <w:tc>
          <w:tcPr>
            <w:tcW w:w="815" w:type="dxa"/>
            <w:shd w:val="clear" w:color="auto" w:fill="auto"/>
            <w:vAlign w:val="center"/>
          </w:tcPr>
          <w:p w14:paraId="588005E1" w14:textId="51DFD41B" w:rsidR="001B08C9" w:rsidRPr="00B57B36" w:rsidRDefault="001B08C9" w:rsidP="007009D0">
            <w:pPr>
              <w:pStyle w:val="CETEquation"/>
              <w:jc w:val="right"/>
            </w:pPr>
            <w:r w:rsidRPr="00B57B36">
              <w:t>(</w:t>
            </w:r>
            <w:r>
              <w:t>3</w:t>
            </w:r>
            <w:r w:rsidRPr="00B57B36">
              <w:t>)</w:t>
            </w:r>
          </w:p>
        </w:tc>
      </w:tr>
    </w:tbl>
    <w:p w14:paraId="7529746E" w14:textId="77777777" w:rsidR="00825EB2" w:rsidRDefault="00825EB2" w:rsidP="00486D9C">
      <w:pPr>
        <w:pStyle w:val="CETBodytext"/>
      </w:pPr>
    </w:p>
    <w:p w14:paraId="7E39D035" w14:textId="585AB013" w:rsidR="00FC4DCA" w:rsidRDefault="00FC4DCA" w:rsidP="00FC4DCA">
      <w:pPr>
        <w:rPr>
          <w:rFonts w:eastAsiaTheme="minorEastAsia"/>
        </w:rPr>
      </w:pPr>
      <w:r>
        <w:t xml:space="preserve">Thus, </w:t>
      </w:r>
      <m:oMath>
        <m:sSub>
          <m:sSubPr>
            <m:ctrlPr>
              <w:rPr>
                <w:rFonts w:ascii="Cambria Math" w:hAnsi="Cambria Math"/>
                <w:i/>
              </w:rPr>
            </m:ctrlPr>
          </m:sSubPr>
          <m:e>
            <m:r>
              <w:rPr>
                <w:rFonts w:ascii="Cambria Math" w:hAnsi="Cambria Math"/>
              </w:rPr>
              <m:t>E</m:t>
            </m:r>
          </m:e>
          <m:sub>
            <m:r>
              <w:rPr>
                <w:rFonts w:ascii="Cambria Math" w:hAnsi="Cambria Math"/>
              </w:rPr>
              <m:t>S</m:t>
            </m:r>
            <m:d>
              <m:dPr>
                <m:ctrlPr>
                  <w:rPr>
                    <w:rFonts w:ascii="Cambria Math" w:hAnsi="Cambria Math"/>
                    <w:i/>
                  </w:rPr>
                </m:ctrlPr>
              </m:dPr>
              <m:e>
                <m:r>
                  <w:rPr>
                    <w:rFonts w:ascii="Cambria Math" w:hAnsi="Cambria Math"/>
                  </w:rPr>
                  <m:t>Hf→∞</m:t>
                </m:r>
              </m:e>
            </m:d>
          </m:sub>
        </m:sSub>
      </m:oMath>
      <w:r>
        <w:rPr>
          <w:rFonts w:eastAsiaTheme="minorEastAsia"/>
        </w:rPr>
        <w:t xml:space="preserve"> can easily be calculated without modelling. </w:t>
      </w:r>
    </w:p>
    <w:p w14:paraId="3CA57A35" w14:textId="0067F1E6" w:rsidR="00FC4DCA" w:rsidRPr="00B57B36" w:rsidRDefault="00FC4DCA" w:rsidP="00FC4DCA">
      <w:pPr>
        <w:pStyle w:val="CETheadingx"/>
      </w:pPr>
      <w:r>
        <w:t>Electrostatic field in a finite</w:t>
      </w:r>
      <w:r w:rsidRPr="00F81CA0">
        <w:t xml:space="preserve"> long charged silo</w:t>
      </w:r>
      <w:r w:rsidR="00721E13">
        <w:t xml:space="preserve"> – without charge relaxation</w:t>
      </w:r>
    </w:p>
    <w:p w14:paraId="3AE7178A" w14:textId="13931FF3" w:rsidR="00837AEB" w:rsidRDefault="00892F51" w:rsidP="00837AEB">
      <w:r>
        <w:t>For real silos with finite filling height</w:t>
      </w:r>
      <w:r w:rsidR="00721E13">
        <w:t xml:space="preserve"> and </w:t>
      </w:r>
      <w:r w:rsidR="008E1063">
        <w:t xml:space="preserve">without taking charge relaxation (i.e with an infinite </w:t>
      </w:r>
      <w:r w:rsidR="00A02DCF">
        <w:t>resistivity)</w:t>
      </w:r>
      <w:r>
        <w:t xml:space="preserve">, </w:t>
      </w:r>
      <w:r w:rsidR="00A02DCF">
        <w:t xml:space="preserve">the </w:t>
      </w:r>
      <w:r>
        <w:t>ES is not constant along the silo wall (Glor, 2023). A conservative approach is to consider the maximum value</w:t>
      </w:r>
      <w:r w:rsidR="00146294">
        <w:t xml:space="preserve"> of the electrostatic field,</w:t>
      </w:r>
      <w:r>
        <w:t xml:space="preserve"> E</w:t>
      </w:r>
      <w:r w:rsidRPr="007C444A">
        <w:rPr>
          <w:vertAlign w:val="subscript"/>
        </w:rPr>
        <w:t>S</w:t>
      </w:r>
      <w:r w:rsidRPr="00146294">
        <w:rPr>
          <w:vertAlign w:val="subscript"/>
        </w:rPr>
        <w:t>max</w:t>
      </w:r>
      <w:r>
        <w:t xml:space="preserve">, which appears about in the middle of the filled part of the </w:t>
      </w:r>
      <w:r w:rsidR="00146294">
        <w:t>container</w:t>
      </w:r>
      <w:r>
        <w:t xml:space="preserve">, and not above the powder heap as required </w:t>
      </w:r>
      <w:r w:rsidR="00AA1BA5">
        <w:t>following</w:t>
      </w:r>
      <w:r w:rsidR="001F3228" w:rsidRPr="001F3228">
        <w:t xml:space="preserve"> current standards</w:t>
      </w:r>
      <w:r w:rsidR="001F3228">
        <w:t xml:space="preserve"> TRGS 727</w:t>
      </w:r>
      <w:r w:rsidR="00AA1BA5">
        <w:t xml:space="preserve"> (</w:t>
      </w:r>
      <w:r w:rsidR="001F3228">
        <w:t>2016) and IEC 60079-32-1</w:t>
      </w:r>
      <w:r w:rsidR="00AA1BA5">
        <w:t xml:space="preserve"> (</w:t>
      </w:r>
      <w:r w:rsidR="001F3228">
        <w:t>2013)</w:t>
      </w:r>
      <w:r>
        <w:t>. E</w:t>
      </w:r>
      <w:r w:rsidRPr="007C444A">
        <w:rPr>
          <w:vertAlign w:val="subscript"/>
        </w:rPr>
        <w:t>S</w:t>
      </w:r>
      <w:r w:rsidRPr="001F3228">
        <w:rPr>
          <w:vertAlign w:val="subscript"/>
        </w:rPr>
        <w:t>max</w:t>
      </w:r>
      <w:r>
        <w:t xml:space="preserve"> is larger than ES(z=H</w:t>
      </w:r>
      <w:r w:rsidRPr="008D4D3B">
        <w:rPr>
          <w:vertAlign w:val="subscript"/>
        </w:rPr>
        <w:t>f</w:t>
      </w:r>
      <w:r>
        <w:t xml:space="preserve">), as shown in Figure </w:t>
      </w:r>
      <w:r w:rsidR="00127DF1">
        <w:t>2</w:t>
      </w:r>
      <w:r>
        <w:t>.</w:t>
      </w:r>
      <w:r w:rsidR="00837AEB">
        <w:t xml:space="preserve"> It should be noticed, that the highest field strengths are obtained not along the vertical wall but in the </w:t>
      </w:r>
      <w:r w:rsidR="008A728C">
        <w:t xml:space="preserve">centre </w:t>
      </w:r>
      <w:r w:rsidR="00837AEB">
        <w:t>of the bottom silo</w:t>
      </w:r>
      <w:r w:rsidR="004D10D5">
        <w:t>, if there is no charge relaxation.</w:t>
      </w:r>
    </w:p>
    <w:p w14:paraId="5794724D" w14:textId="4E7ED256" w:rsidR="00892F51" w:rsidRPr="00837AEB" w:rsidRDefault="00892F51" w:rsidP="00892F51">
      <w:pPr>
        <w:pStyle w:val="CETBodytext"/>
        <w:rPr>
          <w:lang w:val="en-GB"/>
        </w:rPr>
      </w:pPr>
    </w:p>
    <w:p w14:paraId="07E366EC" w14:textId="77777777" w:rsidR="00947ACA" w:rsidRDefault="00947ACA" w:rsidP="00947ACA">
      <w:pPr>
        <w:pStyle w:val="CETBodytext"/>
        <w:keepNext/>
      </w:pPr>
      <w:r>
        <w:rPr>
          <w:noProof/>
        </w:rPr>
        <w:drawing>
          <wp:inline distT="0" distB="0" distL="0" distR="0" wp14:anchorId="43C23849" wp14:editId="632FFC27">
            <wp:extent cx="3197959" cy="2016000"/>
            <wp:effectExtent l="0" t="0" r="2540" b="3810"/>
            <wp:docPr id="1407828947" name="Grafik 1" descr="Ein Bild, das Farbigkeit, Screensho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28947" name="Grafik 1" descr="Ein Bild, das Farbigkeit, Screenshot, Reihe, Diagramm enthält.&#10;&#10;Automatisch generierte Beschreibung"/>
                    <pic:cNvPicPr/>
                  </pic:nvPicPr>
                  <pic:blipFill>
                    <a:blip r:embed="rId14"/>
                    <a:stretch>
                      <a:fillRect/>
                    </a:stretch>
                  </pic:blipFill>
                  <pic:spPr>
                    <a:xfrm>
                      <a:off x="0" y="0"/>
                      <a:ext cx="3197959" cy="2016000"/>
                    </a:xfrm>
                    <a:prstGeom prst="rect">
                      <a:avLst/>
                    </a:prstGeom>
                  </pic:spPr>
                </pic:pic>
              </a:graphicData>
            </a:graphic>
          </wp:inline>
        </w:drawing>
      </w:r>
    </w:p>
    <w:p w14:paraId="24700807" w14:textId="4C1B4BF0" w:rsidR="00825EB2" w:rsidRDefault="00947ACA" w:rsidP="00947ACA">
      <w:pPr>
        <w:pStyle w:val="Caption"/>
        <w:rPr>
          <w:rStyle w:val="CETCaptionCarattere"/>
          <w:b w:val="0"/>
          <w:bCs w:val="0"/>
          <w:color w:val="auto"/>
        </w:rPr>
      </w:pPr>
      <w:r w:rsidRPr="008940BF">
        <w:rPr>
          <w:rStyle w:val="CETCaptionCarattere"/>
          <w:b w:val="0"/>
          <w:bCs w:val="0"/>
          <w:color w:val="auto"/>
        </w:rPr>
        <w:t xml:space="preserve">Figure </w:t>
      </w:r>
      <w:r w:rsidRPr="008940BF">
        <w:rPr>
          <w:rStyle w:val="CETCaptionCarattere"/>
          <w:b w:val="0"/>
          <w:bCs w:val="0"/>
          <w:color w:val="auto"/>
        </w:rPr>
        <w:fldChar w:fldCharType="begin"/>
      </w:r>
      <w:r w:rsidRPr="008940BF">
        <w:rPr>
          <w:rStyle w:val="CETCaptionCarattere"/>
          <w:b w:val="0"/>
          <w:bCs w:val="0"/>
          <w:color w:val="auto"/>
        </w:rPr>
        <w:instrText xml:space="preserve"> SEQ Figure \* ARABIC </w:instrText>
      </w:r>
      <w:r w:rsidRPr="008940BF">
        <w:rPr>
          <w:rStyle w:val="CETCaptionCarattere"/>
          <w:b w:val="0"/>
          <w:bCs w:val="0"/>
          <w:color w:val="auto"/>
        </w:rPr>
        <w:fldChar w:fldCharType="separate"/>
      </w:r>
      <w:r w:rsidR="002D4CF5">
        <w:rPr>
          <w:rStyle w:val="CETCaptionCarattere"/>
          <w:b w:val="0"/>
          <w:bCs w:val="0"/>
          <w:noProof/>
          <w:color w:val="auto"/>
        </w:rPr>
        <w:t>2</w:t>
      </w:r>
      <w:r w:rsidRPr="008940BF">
        <w:rPr>
          <w:rStyle w:val="CETCaptionCarattere"/>
          <w:b w:val="0"/>
          <w:bCs w:val="0"/>
          <w:color w:val="auto"/>
        </w:rPr>
        <w:fldChar w:fldCharType="end"/>
      </w:r>
      <w:r w:rsidRPr="008940BF">
        <w:rPr>
          <w:rStyle w:val="CETCaptionCarattere"/>
          <w:b w:val="0"/>
          <w:bCs w:val="0"/>
          <w:color w:val="auto"/>
        </w:rPr>
        <w:t xml:space="preserve">: </w:t>
      </w:r>
      <w:r w:rsidR="008940BF" w:rsidRPr="008940BF">
        <w:rPr>
          <w:rStyle w:val="CETCaptionCarattere"/>
          <w:b w:val="0"/>
          <w:bCs w:val="0"/>
          <w:color w:val="auto"/>
        </w:rPr>
        <w:t xml:space="preserve">The geometrical factors β and </w:t>
      </w:r>
      <w:r w:rsidR="00127DF1">
        <w:rPr>
          <w:rStyle w:val="CETCaptionCarattere"/>
          <w:rFonts w:cs="Arial"/>
          <w:b w:val="0"/>
          <w:bCs w:val="0"/>
          <w:color w:val="auto"/>
        </w:rPr>
        <w:t>φ</w:t>
      </w:r>
      <w:r w:rsidR="008940BF" w:rsidRPr="008940BF">
        <w:rPr>
          <w:rStyle w:val="CETCaptionCarattere"/>
          <w:b w:val="0"/>
          <w:bCs w:val="0"/>
          <w:color w:val="auto"/>
        </w:rPr>
        <w:t>, for an 8m high silo filled up to H</w:t>
      </w:r>
      <w:r w:rsidR="008940BF" w:rsidRPr="00127DF1">
        <w:rPr>
          <w:rStyle w:val="CETCaptionCarattere"/>
          <w:b w:val="0"/>
          <w:bCs w:val="0"/>
          <w:color w:val="auto"/>
          <w:vertAlign w:val="subscript"/>
        </w:rPr>
        <w:t>f</w:t>
      </w:r>
      <w:r w:rsidR="008940BF" w:rsidRPr="008940BF">
        <w:rPr>
          <w:rStyle w:val="CETCaptionCarattere"/>
          <w:b w:val="0"/>
          <w:bCs w:val="0"/>
          <w:color w:val="auto"/>
        </w:rPr>
        <w:t xml:space="preserve">=6m with </w:t>
      </w:r>
      <w:r w:rsidR="00127DF1">
        <w:rPr>
          <w:rStyle w:val="CETCaptionCarattere"/>
          <w:b w:val="0"/>
          <w:bCs w:val="0"/>
          <w:color w:val="auto"/>
        </w:rPr>
        <w:t>powder</w:t>
      </w:r>
      <w:r w:rsidR="008940BF" w:rsidRPr="008940BF">
        <w:rPr>
          <w:rStyle w:val="CETCaptionCarattere"/>
          <w:b w:val="0"/>
          <w:bCs w:val="0"/>
          <w:color w:val="auto"/>
        </w:rPr>
        <w:t>. The full line is for infinite resistivity, the dotted line is for a charged layer thickness H</w:t>
      </w:r>
      <w:r w:rsidR="008940BF" w:rsidRPr="00127DF1">
        <w:rPr>
          <w:rStyle w:val="CETCaptionCarattere"/>
          <w:b w:val="0"/>
          <w:bCs w:val="0"/>
          <w:color w:val="auto"/>
          <w:vertAlign w:val="subscript"/>
        </w:rPr>
        <w:t>c</w:t>
      </w:r>
      <w:r w:rsidR="008940BF" w:rsidRPr="008940BF">
        <w:rPr>
          <w:rStyle w:val="CETCaptionCarattere"/>
          <w:b w:val="0"/>
          <w:bCs w:val="0"/>
          <w:color w:val="auto"/>
        </w:rPr>
        <w:t>=1m. The contours are shown for a cross section alon</w:t>
      </w:r>
      <w:r w:rsidR="00127DF1">
        <w:rPr>
          <w:rStyle w:val="CETCaptionCarattere"/>
          <w:b w:val="0"/>
          <w:bCs w:val="0"/>
          <w:color w:val="auto"/>
        </w:rPr>
        <w:t>g</w:t>
      </w:r>
      <w:r w:rsidR="008940BF" w:rsidRPr="008940BF">
        <w:rPr>
          <w:rStyle w:val="CETCaptionCarattere"/>
          <w:b w:val="0"/>
          <w:bCs w:val="0"/>
          <w:color w:val="auto"/>
        </w:rPr>
        <w:t xml:space="preserve"> the axis of the </w:t>
      </w:r>
      <w:r w:rsidR="00127DF1">
        <w:rPr>
          <w:rStyle w:val="CETCaptionCarattere"/>
          <w:b w:val="0"/>
          <w:bCs w:val="0"/>
          <w:color w:val="auto"/>
        </w:rPr>
        <w:t>container</w:t>
      </w:r>
    </w:p>
    <w:p w14:paraId="09EC083A" w14:textId="77777777" w:rsidR="00837AEB" w:rsidRDefault="00837AEB" w:rsidP="00837AEB">
      <w:pPr>
        <w:pStyle w:val="CETBodytext"/>
      </w:pPr>
      <w:r>
        <w:lastRenderedPageBreak/>
        <w:t>A dimensionless geometrical factor β can be calculated numerically which represents the reduction of ES</w:t>
      </w:r>
      <w:r w:rsidRPr="008D4D3B">
        <w:rPr>
          <w:vertAlign w:val="subscript"/>
        </w:rPr>
        <w:t>max</w:t>
      </w:r>
      <w:r>
        <w:t xml:space="preserve"> as a result of the limited ratio H</w:t>
      </w:r>
      <w:r w:rsidRPr="008D4D3B">
        <w:rPr>
          <w:vertAlign w:val="subscript"/>
        </w:rPr>
        <w:t>f</w:t>
      </w:r>
      <w:r>
        <w:t>/R:</w:t>
      </w:r>
    </w:p>
    <w:tbl>
      <w:tblPr>
        <w:tblW w:w="5000" w:type="pct"/>
        <w:tblLook w:val="04A0" w:firstRow="1" w:lastRow="0" w:firstColumn="1" w:lastColumn="0" w:noHBand="0" w:noVBand="1"/>
      </w:tblPr>
      <w:tblGrid>
        <w:gridCol w:w="7984"/>
        <w:gridCol w:w="803"/>
      </w:tblGrid>
      <w:tr w:rsidR="00342B55" w:rsidRPr="00B57B36" w14:paraId="10D91367" w14:textId="77777777" w:rsidTr="00342B55">
        <w:tc>
          <w:tcPr>
            <w:tcW w:w="7984" w:type="dxa"/>
            <w:shd w:val="clear" w:color="auto" w:fill="auto"/>
            <w:vAlign w:val="center"/>
          </w:tcPr>
          <w:p w14:paraId="65C2BD87" w14:textId="5878311B" w:rsidR="00342B55" w:rsidRPr="0092254A" w:rsidRDefault="009204A6" w:rsidP="007009D0">
            <w:pPr>
              <w:spacing w:before="180"/>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Smax</m:t>
                    </m:r>
                  </m:sub>
                </m:sSub>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f</m:t>
                            </m:r>
                          </m:sub>
                        </m:sSub>
                      </m:num>
                      <m:den>
                        <m:r>
                          <w:rPr>
                            <w:rFonts w:ascii="Cambria Math" w:hAnsi="Cambria Math"/>
                          </w:rPr>
                          <m:t>R</m:t>
                        </m:r>
                      </m:den>
                    </m:f>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S</m:t>
                    </m:r>
                    <m:d>
                      <m:dPr>
                        <m:ctrlPr>
                          <w:rPr>
                            <w:rFonts w:ascii="Cambria Math" w:hAnsi="Cambria Math"/>
                            <w:i/>
                          </w:rPr>
                        </m:ctrlPr>
                      </m:dPr>
                      <m:e>
                        <m:r>
                          <w:rPr>
                            <w:rFonts w:ascii="Cambria Math" w:hAnsi="Cambria Math"/>
                          </w:rPr>
                          <m:t>Hf→∞</m:t>
                        </m:r>
                      </m:e>
                    </m:d>
                  </m:sub>
                </m:sSub>
                <m:r>
                  <w:rPr>
                    <w:rFonts w:ascii="Cambria Math" w:hAnsi="Cambria Math"/>
                  </w:rPr>
                  <m:t xml:space="preserve"> </m:t>
                </m:r>
                <m:r>
                  <w:rPr>
                    <w:rFonts w:ascii="Times New Roman" w:hAnsi="Times New Roman"/>
                  </w:rPr>
                  <m:t>‧</m:t>
                </m:r>
                <m:r>
                  <w:rPr>
                    <w:rFonts w:ascii="Cambria Math" w:hAnsi="Cambria Math"/>
                  </w:rPr>
                  <m:t>β</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f</m:t>
                            </m:r>
                          </m:sub>
                        </m:sSub>
                      </m:num>
                      <m:den>
                        <m:r>
                          <w:rPr>
                            <w:rFonts w:ascii="Cambria Math" w:hAnsi="Cambria Math"/>
                          </w:rPr>
                          <m:t>R</m:t>
                        </m:r>
                      </m:den>
                    </m:f>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m0</m:t>
                        </m:r>
                      </m:sub>
                    </m:sSub>
                    <m:r>
                      <w:rPr>
                        <w:rFonts w:ascii="Times New Roman" w:hAnsi="Times New Roman"/>
                      </w:rPr>
                      <m:t>‧</m:t>
                    </m:r>
                    <m:r>
                      <w:rPr>
                        <w:rFonts w:ascii="Cambria Math" w:hAnsi="Cambria Math"/>
                      </w:rPr>
                      <m:t>δ</m:t>
                    </m:r>
                    <m:r>
                      <w:rPr>
                        <w:rFonts w:ascii="Times New Roman" w:hAnsi="Times New Roman"/>
                      </w:rPr>
                      <m:t>‧</m:t>
                    </m:r>
                    <m:r>
                      <w:rPr>
                        <w:rFonts w:ascii="Cambria Math" w:hAnsi="Cambria Math"/>
                      </w:rPr>
                      <m:t xml:space="preserve">R </m:t>
                    </m:r>
                  </m:num>
                  <m:den>
                    <m:r>
                      <w:rPr>
                        <w:rFonts w:ascii="Cambria Math" w:hAnsi="Cambria Math"/>
                      </w:rPr>
                      <m:t>2</m:t>
                    </m:r>
                    <m:r>
                      <w:rPr>
                        <w:rFonts w:ascii="Times New Roman" w:hAnsi="Times New Roman"/>
                      </w:rPr>
                      <m:t>‧</m:t>
                    </m:r>
                    <m:r>
                      <w:rPr>
                        <w:rFonts w:ascii="Cambria Math" w:hAnsi="Cambria Math"/>
                      </w:rPr>
                      <m:t>ε</m:t>
                    </m:r>
                    <m:r>
                      <w:rPr>
                        <w:rFonts w:ascii="Times New Roman" w:hAnsi="Times New Roman"/>
                      </w:rPr>
                      <m:t>‧</m:t>
                    </m:r>
                    <m:sSub>
                      <m:sSubPr>
                        <m:ctrlPr>
                          <w:rPr>
                            <w:rFonts w:ascii="Cambria Math" w:hAnsi="Cambria Math"/>
                            <w:i/>
                          </w:rPr>
                        </m:ctrlPr>
                      </m:sSubPr>
                      <m:e>
                        <m:r>
                          <w:rPr>
                            <w:rFonts w:ascii="Cambria Math" w:hAnsi="Cambria Math"/>
                          </w:rPr>
                          <m:t>ε</m:t>
                        </m:r>
                      </m:e>
                      <m:sub>
                        <m:r>
                          <w:rPr>
                            <w:rFonts w:ascii="Cambria Math" w:hAnsi="Cambria Math"/>
                          </w:rPr>
                          <m:t>0</m:t>
                        </m:r>
                      </m:sub>
                    </m:sSub>
                  </m:den>
                </m:f>
                <m:r>
                  <w:rPr>
                    <w:rFonts w:ascii="Cambria Math" w:hAnsi="Cambria Math"/>
                  </w:rPr>
                  <m:t xml:space="preserve">  </m:t>
                </m:r>
                <m:r>
                  <w:rPr>
                    <w:rFonts w:ascii="Times New Roman" w:hAnsi="Times New Roman"/>
                  </w:rPr>
                  <m:t>‧</m:t>
                </m:r>
                <m:r>
                  <w:rPr>
                    <w:rFonts w:ascii="Cambria Math" w:hAnsi="Cambria Math"/>
                  </w:rPr>
                  <m:t>β(</m:t>
                </m:r>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f</m:t>
                        </m:r>
                      </m:sub>
                    </m:sSub>
                  </m:num>
                  <m:den>
                    <m:r>
                      <w:rPr>
                        <w:rFonts w:ascii="Cambria Math" w:hAnsi="Cambria Math"/>
                      </w:rPr>
                      <m:t>R</m:t>
                    </m:r>
                  </m:den>
                </m:f>
                <m:r>
                  <w:rPr>
                    <w:rFonts w:ascii="Cambria Math" w:hAnsi="Cambria Math"/>
                  </w:rPr>
                  <m:t>)</m:t>
                </m:r>
              </m:oMath>
            </m:oMathPara>
          </w:p>
        </w:tc>
        <w:tc>
          <w:tcPr>
            <w:tcW w:w="803" w:type="dxa"/>
            <w:shd w:val="clear" w:color="auto" w:fill="auto"/>
            <w:vAlign w:val="center"/>
          </w:tcPr>
          <w:p w14:paraId="7AEDD388" w14:textId="77777777" w:rsidR="00342B55" w:rsidRPr="00B57B36" w:rsidRDefault="00342B55" w:rsidP="007009D0">
            <w:pPr>
              <w:pStyle w:val="CETEquation"/>
              <w:jc w:val="right"/>
            </w:pPr>
            <w:r w:rsidRPr="00B57B36">
              <w:t>(</w:t>
            </w:r>
            <w:r>
              <w:t>4</w:t>
            </w:r>
            <w:r w:rsidRPr="00B57B36">
              <w:t>)</w:t>
            </w:r>
          </w:p>
        </w:tc>
      </w:tr>
    </w:tbl>
    <w:p w14:paraId="72CA07CB" w14:textId="77777777" w:rsidR="00342B55" w:rsidRDefault="00342B55" w:rsidP="00342B55">
      <w:pPr>
        <w:pStyle w:val="CETBodytext"/>
      </w:pPr>
    </w:p>
    <w:p w14:paraId="4B99EB7C" w14:textId="186CBD1E" w:rsidR="00342B55" w:rsidRDefault="00342B55" w:rsidP="00342B55">
      <w:pPr>
        <w:pStyle w:val="CETBodytext"/>
      </w:pPr>
      <w:r w:rsidRPr="00744843">
        <w:rPr>
          <w:lang w:val="en-GB"/>
        </w:rPr>
        <w:t xml:space="preserve">Over fifty </w:t>
      </w:r>
      <w:r w:rsidR="00F6274F" w:rsidRPr="00744843">
        <w:rPr>
          <w:lang w:val="en-GB"/>
        </w:rPr>
        <w:t>modelling</w:t>
      </w:r>
      <w:r w:rsidRPr="00744843">
        <w:rPr>
          <w:lang w:val="en-GB"/>
        </w:rPr>
        <w:t xml:space="preserve"> simulations were conducted to determine the conditions related to the container and the quantity of powder introduced, to achieve an optimal fit</w:t>
      </w:r>
      <w:r>
        <w:rPr>
          <w:lang w:val="en-GB"/>
        </w:rPr>
        <w:t xml:space="preserve"> of </w:t>
      </w:r>
      <w:r>
        <w:rPr>
          <w:rFonts w:cs="Arial"/>
          <w:lang w:val="en-GB"/>
        </w:rPr>
        <w:t>β</w:t>
      </w:r>
      <w:r w:rsidRPr="00744843">
        <w:rPr>
          <w:lang w:val="en-GB"/>
        </w:rPr>
        <w:t>.</w:t>
      </w:r>
      <w:r>
        <w:rPr>
          <w:lang w:val="en-GB"/>
        </w:rPr>
        <w:t xml:space="preserve"> The fit was made with the Python software.</w:t>
      </w:r>
    </w:p>
    <w:p w14:paraId="2B0E4C00" w14:textId="77777777" w:rsidR="00342B55" w:rsidRDefault="00342B55" w:rsidP="00342B55"/>
    <w:p w14:paraId="3BB5202A" w14:textId="77777777" w:rsidR="003178C6" w:rsidRDefault="003178C6" w:rsidP="003178C6">
      <w:pPr>
        <w:keepNext/>
        <w:jc w:val="left"/>
      </w:pPr>
      <w:r>
        <w:rPr>
          <w:noProof/>
        </w:rPr>
        <w:drawing>
          <wp:inline distT="0" distB="0" distL="0" distR="0" wp14:anchorId="35DABF30" wp14:editId="69A173F5">
            <wp:extent cx="3973257" cy="2016000"/>
            <wp:effectExtent l="0" t="0" r="8255" b="3810"/>
            <wp:docPr id="441554964" name="Image 1" descr="Une image contenant texte, diagramm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54964" name="Image 1" descr="Une image contenant texte, diagramme, ligne, Tracé&#10;&#10;Description générée automatiquement"/>
                    <pic:cNvPicPr/>
                  </pic:nvPicPr>
                  <pic:blipFill rotWithShape="1">
                    <a:blip r:embed="rId15"/>
                    <a:srcRect l="7460" t="10941" r="8068" b="3211"/>
                    <a:stretch/>
                  </pic:blipFill>
                  <pic:spPr bwMode="auto">
                    <a:xfrm>
                      <a:off x="0" y="0"/>
                      <a:ext cx="3973257" cy="2016000"/>
                    </a:xfrm>
                    <a:prstGeom prst="rect">
                      <a:avLst/>
                    </a:prstGeom>
                    <a:ln>
                      <a:noFill/>
                    </a:ln>
                    <a:extLst>
                      <a:ext uri="{53640926-AAD7-44D8-BBD7-CCE9431645EC}">
                        <a14:shadowObscured xmlns:a14="http://schemas.microsoft.com/office/drawing/2010/main"/>
                      </a:ext>
                    </a:extLst>
                  </pic:spPr>
                </pic:pic>
              </a:graphicData>
            </a:graphic>
          </wp:inline>
        </w:drawing>
      </w:r>
    </w:p>
    <w:p w14:paraId="63591172" w14:textId="2F47AC4B" w:rsidR="00342B55" w:rsidRPr="00F6274F" w:rsidRDefault="003178C6" w:rsidP="003178C6">
      <w:pPr>
        <w:pStyle w:val="Caption"/>
        <w:jc w:val="left"/>
        <w:rPr>
          <w:rStyle w:val="CETCaptionCarattere"/>
          <w:b w:val="0"/>
          <w:bCs w:val="0"/>
          <w:color w:val="auto"/>
        </w:rPr>
      </w:pPr>
      <w:r w:rsidRPr="00F6274F">
        <w:rPr>
          <w:rStyle w:val="CETCaptionCarattere"/>
          <w:b w:val="0"/>
          <w:bCs w:val="0"/>
          <w:color w:val="auto"/>
        </w:rPr>
        <w:t xml:space="preserve">Figure </w:t>
      </w:r>
      <w:r w:rsidRPr="00F6274F">
        <w:rPr>
          <w:rStyle w:val="CETCaptionCarattere"/>
          <w:b w:val="0"/>
          <w:bCs w:val="0"/>
          <w:color w:val="auto"/>
        </w:rPr>
        <w:fldChar w:fldCharType="begin"/>
      </w:r>
      <w:r w:rsidRPr="00F6274F">
        <w:rPr>
          <w:rStyle w:val="CETCaptionCarattere"/>
          <w:b w:val="0"/>
          <w:bCs w:val="0"/>
          <w:color w:val="auto"/>
        </w:rPr>
        <w:instrText xml:space="preserve"> SEQ Figure \* ARABIC </w:instrText>
      </w:r>
      <w:r w:rsidRPr="00F6274F">
        <w:rPr>
          <w:rStyle w:val="CETCaptionCarattere"/>
          <w:b w:val="0"/>
          <w:bCs w:val="0"/>
          <w:color w:val="auto"/>
        </w:rPr>
        <w:fldChar w:fldCharType="separate"/>
      </w:r>
      <w:r w:rsidR="002D4CF5">
        <w:rPr>
          <w:rStyle w:val="CETCaptionCarattere"/>
          <w:b w:val="0"/>
          <w:bCs w:val="0"/>
          <w:noProof/>
          <w:color w:val="auto"/>
        </w:rPr>
        <w:t>3</w:t>
      </w:r>
      <w:r w:rsidRPr="00F6274F">
        <w:rPr>
          <w:rStyle w:val="CETCaptionCarattere"/>
          <w:b w:val="0"/>
          <w:bCs w:val="0"/>
          <w:color w:val="auto"/>
        </w:rPr>
        <w:fldChar w:fldCharType="end"/>
      </w:r>
      <w:r w:rsidRPr="00F6274F">
        <w:rPr>
          <w:rStyle w:val="CETCaptionCarattere"/>
          <w:b w:val="0"/>
          <w:bCs w:val="0"/>
          <w:color w:val="auto"/>
        </w:rPr>
        <w:t>:</w:t>
      </w:r>
      <w:r w:rsidR="00F6274F" w:rsidRPr="00F6274F">
        <w:rPr>
          <w:rStyle w:val="CETCaptionCarattere"/>
          <w:b w:val="0"/>
          <w:bCs w:val="0"/>
          <w:color w:val="auto"/>
        </w:rPr>
        <w:t xml:space="preserve"> β fit with the software python</w:t>
      </w:r>
    </w:p>
    <w:tbl>
      <w:tblPr>
        <w:tblW w:w="5000" w:type="pct"/>
        <w:tblLook w:val="04A0" w:firstRow="1" w:lastRow="0" w:firstColumn="1" w:lastColumn="0" w:noHBand="0" w:noVBand="1"/>
      </w:tblPr>
      <w:tblGrid>
        <w:gridCol w:w="7984"/>
        <w:gridCol w:w="803"/>
      </w:tblGrid>
      <w:tr w:rsidR="00AB4DEE" w:rsidRPr="00B57B36" w14:paraId="3D48AE41" w14:textId="77777777" w:rsidTr="007009D0">
        <w:tc>
          <w:tcPr>
            <w:tcW w:w="7984" w:type="dxa"/>
            <w:shd w:val="clear" w:color="auto" w:fill="auto"/>
            <w:vAlign w:val="center"/>
          </w:tcPr>
          <w:p w14:paraId="58912B1B" w14:textId="5F33907F" w:rsidR="00AB4DEE" w:rsidRPr="0092254A" w:rsidRDefault="006309C5" w:rsidP="007009D0">
            <w:pPr>
              <w:spacing w:before="180"/>
              <w:rPr>
                <w:rFonts w:eastAsiaTheme="minorEastAsia"/>
              </w:rPr>
            </w:pPr>
            <m:oMathPara>
              <m:oMathParaPr>
                <m:jc m:val="left"/>
              </m:oMathParaPr>
              <m:oMath>
                <m:r>
                  <w:rPr>
                    <w:rFonts w:ascii="Cambria Math" w:hAnsi="Cambria Math"/>
                  </w:rPr>
                  <m:t>β</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f</m:t>
                            </m:r>
                          </m:sub>
                        </m:sSub>
                      </m:num>
                      <m:den>
                        <m:r>
                          <w:rPr>
                            <w:rFonts w:ascii="Cambria Math" w:hAnsi="Cambria Math"/>
                          </w:rPr>
                          <m:t>R</m:t>
                        </m:r>
                      </m:den>
                    </m:f>
                  </m:e>
                </m:d>
                <m:r>
                  <w:rPr>
                    <w:rFonts w:ascii="Cambria Math" w:hAnsi="Cambria Math"/>
                  </w:rPr>
                  <m:t>=1-</m:t>
                </m:r>
                <m:r>
                  <m:rPr>
                    <m:sty m:val="p"/>
                  </m:rPr>
                  <w:rPr>
                    <w:rFonts w:ascii="Cambria Math" w:hAnsi="Cambria Math"/>
                  </w:rPr>
                  <m:t>exp⁡</m:t>
                </m:r>
                <m:r>
                  <w:rPr>
                    <w:rFonts w:ascii="Cambria Math" w:hAnsi="Cambria Math"/>
                  </w:rPr>
                  <m:t>(-1.293</m:t>
                </m:r>
                <m:r>
                  <w:rPr>
                    <w:rFonts w:ascii="Times New Roman" w:hAnsi="Times New Roman"/>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f</m:t>
                        </m:r>
                      </m:sub>
                    </m:sSub>
                  </m:num>
                  <m:den>
                    <m:r>
                      <w:rPr>
                        <w:rFonts w:ascii="Cambria Math" w:hAnsi="Cambria Math"/>
                      </w:rPr>
                      <m:t>R</m:t>
                    </m:r>
                  </m:den>
                </m:f>
                <m:r>
                  <w:rPr>
                    <w:rFonts w:ascii="Cambria Math" w:hAnsi="Cambria Math"/>
                  </w:rPr>
                  <m:t>)</m:t>
                </m:r>
              </m:oMath>
            </m:oMathPara>
          </w:p>
        </w:tc>
        <w:tc>
          <w:tcPr>
            <w:tcW w:w="803" w:type="dxa"/>
            <w:shd w:val="clear" w:color="auto" w:fill="auto"/>
            <w:vAlign w:val="center"/>
          </w:tcPr>
          <w:p w14:paraId="542F7FDA" w14:textId="02450CD0" w:rsidR="00AB4DEE" w:rsidRPr="00B57B36" w:rsidRDefault="00AB4DEE" w:rsidP="007009D0">
            <w:pPr>
              <w:pStyle w:val="CETEquation"/>
              <w:jc w:val="right"/>
            </w:pPr>
            <w:r w:rsidRPr="00B57B36">
              <w:t>(</w:t>
            </w:r>
            <w:r>
              <w:t>5</w:t>
            </w:r>
            <w:r w:rsidRPr="00B57B36">
              <w:t>)</w:t>
            </w:r>
          </w:p>
        </w:tc>
      </w:tr>
    </w:tbl>
    <w:p w14:paraId="4CDB1799" w14:textId="77777777" w:rsidR="008940BF" w:rsidRDefault="008940BF" w:rsidP="008940BF"/>
    <w:p w14:paraId="08DCCCF1" w14:textId="7C0F8C45" w:rsidR="008940BF" w:rsidRDefault="00AB4DEE" w:rsidP="008940BF">
      <w:r w:rsidRPr="00AB4DEE">
        <w:t>As shown in Figure 3, β increases with increasing ratio H</w:t>
      </w:r>
      <w:r w:rsidRPr="00AB4DEE">
        <w:rPr>
          <w:vertAlign w:val="subscript"/>
        </w:rPr>
        <w:t>f</w:t>
      </w:r>
      <w:r w:rsidRPr="00AB4DEE">
        <w:t>/R and approaches 1, the value for infinite H</w:t>
      </w:r>
      <w:r w:rsidRPr="00AB4DEE">
        <w:rPr>
          <w:vertAlign w:val="subscript"/>
        </w:rPr>
        <w:t>f</w:t>
      </w:r>
      <w:r w:rsidRPr="00AB4DEE">
        <w:t>/R, for about H</w:t>
      </w:r>
      <w:r w:rsidRPr="00AB4DEE">
        <w:rPr>
          <w:vertAlign w:val="subscript"/>
        </w:rPr>
        <w:t>f</w:t>
      </w:r>
      <w:r w:rsidRPr="00AB4DEE">
        <w:t>/R=</w:t>
      </w:r>
      <w:r>
        <w:t>5</w:t>
      </w:r>
      <w:r w:rsidRPr="00AB4DEE">
        <w:t>.</w:t>
      </w:r>
    </w:p>
    <w:p w14:paraId="5C3FFAA8" w14:textId="77777777" w:rsidR="009320C8" w:rsidRDefault="009320C8" w:rsidP="008940BF"/>
    <w:p w14:paraId="69011D9B" w14:textId="2A1A9084" w:rsidR="008940BF" w:rsidRDefault="009320C8" w:rsidP="008940BF">
      <w:r w:rsidRPr="009320C8">
        <w:t xml:space="preserve">The conditions under which the </w:t>
      </w:r>
      <w:r w:rsidRPr="00AB4DEE">
        <w:t>β</w:t>
      </w:r>
      <w:r w:rsidRPr="009320C8">
        <w:t xml:space="preserve"> fit is valid are:</w:t>
      </w:r>
    </w:p>
    <w:tbl>
      <w:tblPr>
        <w:tblW w:w="5000" w:type="pct"/>
        <w:tblLook w:val="04A0" w:firstRow="1" w:lastRow="0" w:firstColumn="1" w:lastColumn="0" w:noHBand="0" w:noVBand="1"/>
      </w:tblPr>
      <w:tblGrid>
        <w:gridCol w:w="7984"/>
        <w:gridCol w:w="803"/>
      </w:tblGrid>
      <w:tr w:rsidR="009320C8" w:rsidRPr="00B57B36" w14:paraId="35D1055E" w14:textId="77777777" w:rsidTr="007009D0">
        <w:tc>
          <w:tcPr>
            <w:tcW w:w="7984" w:type="dxa"/>
            <w:shd w:val="clear" w:color="auto" w:fill="auto"/>
            <w:vAlign w:val="center"/>
          </w:tcPr>
          <w:p w14:paraId="2C43E11C" w14:textId="5E6D3318" w:rsidR="009320C8" w:rsidRPr="0092254A" w:rsidRDefault="009204A6" w:rsidP="007009D0">
            <w:pPr>
              <w:spacing w:before="180"/>
              <w:rPr>
                <w:rFonts w:eastAsiaTheme="minorEastAsia"/>
              </w:rPr>
            </w:pPr>
            <m:oMathPara>
              <m:oMathParaPr>
                <m:jc m:val="left"/>
              </m:oMathParaPr>
              <m:oMath>
                <m:f>
                  <m:fPr>
                    <m:ctrlPr>
                      <w:rPr>
                        <w:rFonts w:ascii="Cambria Math" w:hAnsi="Cambria Math"/>
                        <w:i/>
                      </w:rPr>
                    </m:ctrlPr>
                  </m:fPr>
                  <m:num>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f</m:t>
                            </m:r>
                          </m:sub>
                        </m:sSub>
                      </m:e>
                    </m:d>
                  </m:num>
                  <m:den>
                    <m:r>
                      <w:rPr>
                        <w:rFonts w:ascii="Cambria Math" w:hAnsi="Cambria Math"/>
                      </w:rPr>
                      <m:t>R</m:t>
                    </m:r>
                  </m:den>
                </m:f>
                <m:r>
                  <w:rPr>
                    <w:rFonts w:ascii="Cambria Math" w:hAnsi="Cambria Math"/>
                  </w:rPr>
                  <m:t xml:space="preserve">&gt;0.25 </m:t>
                </m:r>
              </m:oMath>
            </m:oMathPara>
          </w:p>
        </w:tc>
        <w:tc>
          <w:tcPr>
            <w:tcW w:w="803" w:type="dxa"/>
            <w:shd w:val="clear" w:color="auto" w:fill="auto"/>
            <w:vAlign w:val="center"/>
          </w:tcPr>
          <w:p w14:paraId="431FCB8F" w14:textId="27626739" w:rsidR="009320C8" w:rsidRPr="00B57B36" w:rsidRDefault="009320C8" w:rsidP="007009D0">
            <w:pPr>
              <w:pStyle w:val="CETEquation"/>
              <w:jc w:val="right"/>
            </w:pPr>
            <w:r w:rsidRPr="00B57B36">
              <w:t>(</w:t>
            </w:r>
            <w:r>
              <w:t>6</w:t>
            </w:r>
            <w:r w:rsidRPr="00B57B36">
              <w:t>)</w:t>
            </w:r>
          </w:p>
        </w:tc>
      </w:tr>
    </w:tbl>
    <w:p w14:paraId="11857D6C" w14:textId="014B8BF2" w:rsidR="008B56AD" w:rsidRPr="00B57B36" w:rsidRDefault="008B56AD" w:rsidP="008B56AD">
      <w:pPr>
        <w:pStyle w:val="CETheadingx"/>
      </w:pPr>
      <w:r>
        <w:t>Electrostatic field in a finite</w:t>
      </w:r>
      <w:r w:rsidRPr="00F81CA0">
        <w:t xml:space="preserve"> long charged silo</w:t>
      </w:r>
      <w:r>
        <w:t xml:space="preserve"> – with charge relaxation</w:t>
      </w:r>
    </w:p>
    <w:p w14:paraId="41328733" w14:textId="648D3415" w:rsidR="00837AEB" w:rsidRDefault="00BE7791" w:rsidP="008940BF">
      <w:r w:rsidRPr="00BE7791">
        <w:t xml:space="preserve">Even highly insulating </w:t>
      </w:r>
      <w:r w:rsidR="00AD2E03">
        <w:t>powders</w:t>
      </w:r>
      <w:r w:rsidR="00AD2E03" w:rsidRPr="00BE7791">
        <w:t xml:space="preserve"> </w:t>
      </w:r>
      <w:r w:rsidRPr="00BE7791">
        <w:t xml:space="preserve">have a finite resistivity, which allows for charge relaxation. The relation between the charge relaxation time </w:t>
      </w:r>
      <w:r>
        <w:rPr>
          <w:rFonts w:cs="Arial"/>
        </w:rPr>
        <w:t>τ</w:t>
      </w:r>
      <w:r w:rsidRPr="00BE7791">
        <w:rPr>
          <w:vertAlign w:val="subscript"/>
        </w:rPr>
        <w:t>relax</w:t>
      </w:r>
      <w:r w:rsidRPr="00BE7791">
        <w:t xml:space="preserve">, in which the actual charge density decreases to 1/e of the initial charge density and the resistivity </w:t>
      </w:r>
      <w:r>
        <w:rPr>
          <w:rFonts w:cs="Arial"/>
        </w:rPr>
        <w:t>ρ</w:t>
      </w:r>
      <w:r w:rsidRPr="00BE7791">
        <w:t xml:space="preserve"> is</w:t>
      </w:r>
      <w:r>
        <w:t>:</w:t>
      </w:r>
    </w:p>
    <w:tbl>
      <w:tblPr>
        <w:tblW w:w="5000" w:type="pct"/>
        <w:tblLook w:val="04A0" w:firstRow="1" w:lastRow="0" w:firstColumn="1" w:lastColumn="0" w:noHBand="0" w:noVBand="1"/>
      </w:tblPr>
      <w:tblGrid>
        <w:gridCol w:w="7984"/>
        <w:gridCol w:w="803"/>
      </w:tblGrid>
      <w:tr w:rsidR="00BE7791" w:rsidRPr="00B57B36" w14:paraId="2935DE3A" w14:textId="77777777" w:rsidTr="007009D0">
        <w:tc>
          <w:tcPr>
            <w:tcW w:w="7984" w:type="dxa"/>
            <w:shd w:val="clear" w:color="auto" w:fill="auto"/>
            <w:vAlign w:val="center"/>
          </w:tcPr>
          <w:p w14:paraId="045B19DF" w14:textId="11B73694" w:rsidR="00BE7791" w:rsidRPr="0092254A" w:rsidRDefault="009204A6" w:rsidP="007009D0">
            <w:pPr>
              <w:spacing w:before="180"/>
              <w:rPr>
                <w:rFonts w:eastAsiaTheme="minorEastAsia"/>
              </w:rPr>
            </w:pPr>
            <m:oMathPara>
              <m:oMathParaPr>
                <m:jc m:val="left"/>
              </m:oMathParaPr>
              <m:oMath>
                <m:sSub>
                  <m:sSubPr>
                    <m:ctrlPr>
                      <w:rPr>
                        <w:rFonts w:ascii="Cambria Math" w:hAnsi="Cambria Math"/>
                        <w:i/>
                      </w:rPr>
                    </m:ctrlPr>
                  </m:sSubPr>
                  <m:e>
                    <m:r>
                      <w:rPr>
                        <w:rFonts w:ascii="Cambria Math" w:hAnsi="Cambria Math"/>
                      </w:rPr>
                      <m:t>τ</m:t>
                    </m:r>
                  </m:e>
                  <m:sub>
                    <m:r>
                      <w:rPr>
                        <w:rFonts w:ascii="Cambria Math" w:hAnsi="Cambria Math"/>
                      </w:rPr>
                      <m:t>relax</m:t>
                    </m:r>
                  </m:sub>
                </m:sSub>
                <m:r>
                  <w:rPr>
                    <w:rFonts w:ascii="Cambria Math" w:hAnsi="Cambria Math"/>
                  </w:rPr>
                  <m:t>= ρ</m:t>
                </m:r>
                <m:r>
                  <w:rPr>
                    <w:rFonts w:ascii="Times New Roman" w:hAnsi="Times New Roman"/>
                  </w:rPr>
                  <m:t>‧</m:t>
                </m:r>
                <m:r>
                  <w:rPr>
                    <w:rFonts w:ascii="Cambria Math" w:hAnsi="Cambria Math"/>
                  </w:rPr>
                  <m:t>ε</m:t>
                </m:r>
                <m:r>
                  <w:rPr>
                    <w:rFonts w:ascii="Times New Roman" w:hAnsi="Times New Roman"/>
                  </w:rPr>
                  <m:t>‧</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 xml:space="preserve">  </m:t>
                </m:r>
              </m:oMath>
            </m:oMathPara>
          </w:p>
        </w:tc>
        <w:tc>
          <w:tcPr>
            <w:tcW w:w="803" w:type="dxa"/>
            <w:shd w:val="clear" w:color="auto" w:fill="auto"/>
            <w:vAlign w:val="center"/>
          </w:tcPr>
          <w:p w14:paraId="35FC4027" w14:textId="168AB5BB" w:rsidR="00BE7791" w:rsidRPr="00B57B36" w:rsidRDefault="00BE7791" w:rsidP="007009D0">
            <w:pPr>
              <w:pStyle w:val="CETEquation"/>
              <w:jc w:val="right"/>
            </w:pPr>
            <w:r w:rsidRPr="00B57B36">
              <w:t>(</w:t>
            </w:r>
            <w:r w:rsidR="0060449E">
              <w:t>7</w:t>
            </w:r>
            <w:r w:rsidRPr="00B57B36">
              <w:t>)</w:t>
            </w:r>
          </w:p>
        </w:tc>
      </w:tr>
    </w:tbl>
    <w:p w14:paraId="348921F5" w14:textId="77777777" w:rsidR="00837AEB" w:rsidRDefault="00837AEB" w:rsidP="008940BF"/>
    <w:p w14:paraId="7362AB77" w14:textId="0DC45B51" w:rsidR="00837AEB" w:rsidRDefault="00F5724D" w:rsidP="008940BF">
      <w:r w:rsidRPr="00F5724D">
        <w:t>Charge relaxation competes with charge accumulation on the added solid. By applying the Gauss's local theorem and the charge conservation formula, the following equation could be obtain:</w:t>
      </w:r>
    </w:p>
    <w:tbl>
      <w:tblPr>
        <w:tblW w:w="5000" w:type="pct"/>
        <w:tblLook w:val="04A0" w:firstRow="1" w:lastRow="0" w:firstColumn="1" w:lastColumn="0" w:noHBand="0" w:noVBand="1"/>
      </w:tblPr>
      <w:tblGrid>
        <w:gridCol w:w="7984"/>
        <w:gridCol w:w="803"/>
      </w:tblGrid>
      <w:tr w:rsidR="00F5724D" w:rsidRPr="00B57B36" w14:paraId="5801446B" w14:textId="77777777" w:rsidTr="007009D0">
        <w:tc>
          <w:tcPr>
            <w:tcW w:w="7984" w:type="dxa"/>
            <w:shd w:val="clear" w:color="auto" w:fill="auto"/>
            <w:vAlign w:val="center"/>
          </w:tcPr>
          <w:p w14:paraId="1ED76E1E" w14:textId="2A866369" w:rsidR="00F5724D" w:rsidRPr="0092254A" w:rsidRDefault="009204A6" w:rsidP="007009D0">
            <w:pPr>
              <w:spacing w:before="180"/>
              <w:rPr>
                <w:rFonts w:eastAsiaTheme="minorEastAsia"/>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m</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m0</m:t>
                    </m:r>
                  </m:sub>
                </m:sSub>
                <m:r>
                  <w:rPr>
                    <w:rFonts w:ascii="Times New Roman" w:hAnsi="Times New Roman"/>
                  </w:rPr>
                  <m:t>‧</m:t>
                </m:r>
                <m:func>
                  <m:funcPr>
                    <m:ctrlPr>
                      <w:rPr>
                        <w:rFonts w:ascii="Cambria Math" w:hAnsi="Cambria Math"/>
                      </w:rPr>
                    </m:ctrlPr>
                  </m:funcPr>
                  <m:fName>
                    <m:r>
                      <w:rPr>
                        <w:rFonts w:ascii="Cambria Math" w:hAnsi="Cambria Math"/>
                      </w:rPr>
                      <m:t>exp</m:t>
                    </m:r>
                  </m:fName>
                  <m:e>
                    <m:d>
                      <m:dPr>
                        <m:begChr m:val="["/>
                        <m:endChr m:val="]"/>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rPr>
                              <m:t>t</m:t>
                            </m:r>
                          </m:num>
                          <m:den>
                            <m:sSub>
                              <m:sSubPr>
                                <m:ctrlPr>
                                  <w:rPr>
                                    <w:rFonts w:ascii="Cambria Math" w:hAnsi="Cambria Math"/>
                                  </w:rPr>
                                </m:ctrlPr>
                              </m:sSubPr>
                              <m:e>
                                <m:r>
                                  <w:rPr>
                                    <w:rFonts w:ascii="Cambria Math" w:hAnsi="Cambria Math"/>
                                  </w:rPr>
                                  <m:t>τ</m:t>
                                </m:r>
                              </m:e>
                              <m:sub>
                                <m:r>
                                  <w:rPr>
                                    <w:rFonts w:ascii="Cambria Math" w:hAnsi="Cambria Math"/>
                                  </w:rPr>
                                  <m:t>relax</m:t>
                                </m:r>
                              </m:sub>
                            </m:sSub>
                          </m:den>
                        </m:f>
                      </m:e>
                    </m:d>
                  </m:e>
                </m:func>
                <m:r>
                  <w:rPr>
                    <w:rFonts w:ascii="Cambria Math" w:hAnsi="Cambria Math"/>
                  </w:rPr>
                  <m:t xml:space="preserve">  </m:t>
                </m:r>
              </m:oMath>
            </m:oMathPara>
          </w:p>
        </w:tc>
        <w:tc>
          <w:tcPr>
            <w:tcW w:w="803" w:type="dxa"/>
            <w:shd w:val="clear" w:color="auto" w:fill="auto"/>
            <w:vAlign w:val="center"/>
          </w:tcPr>
          <w:p w14:paraId="49A848E5" w14:textId="573BA0B5" w:rsidR="00F5724D" w:rsidRPr="00B57B36" w:rsidRDefault="00F5724D" w:rsidP="007009D0">
            <w:pPr>
              <w:pStyle w:val="CETEquation"/>
              <w:jc w:val="right"/>
            </w:pPr>
            <w:r w:rsidRPr="00B57B36">
              <w:t>(</w:t>
            </w:r>
            <w:r w:rsidR="00A2185A">
              <w:t>8</w:t>
            </w:r>
            <w:r w:rsidRPr="00B57B36">
              <w:t>)</w:t>
            </w:r>
          </w:p>
        </w:tc>
      </w:tr>
    </w:tbl>
    <w:p w14:paraId="60AC5C9C" w14:textId="77777777" w:rsidR="00F5724D" w:rsidRDefault="00F5724D" w:rsidP="008940BF"/>
    <w:p w14:paraId="035B4819" w14:textId="77777777" w:rsidR="00A2185A" w:rsidRDefault="00A2185A" w:rsidP="00A2185A">
      <w:r>
        <w:t>Given that the mass flow rate is assumed to be constant, the following relation holds</w:t>
      </w:r>
    </w:p>
    <w:tbl>
      <w:tblPr>
        <w:tblW w:w="5000" w:type="pct"/>
        <w:tblLook w:val="04A0" w:firstRow="1" w:lastRow="0" w:firstColumn="1" w:lastColumn="0" w:noHBand="0" w:noVBand="1"/>
      </w:tblPr>
      <w:tblGrid>
        <w:gridCol w:w="7984"/>
        <w:gridCol w:w="803"/>
      </w:tblGrid>
      <w:tr w:rsidR="001A2892" w:rsidRPr="00B57B36" w14:paraId="46F4907D" w14:textId="77777777" w:rsidTr="007009D0">
        <w:tc>
          <w:tcPr>
            <w:tcW w:w="7984" w:type="dxa"/>
            <w:shd w:val="clear" w:color="auto" w:fill="auto"/>
            <w:vAlign w:val="center"/>
          </w:tcPr>
          <w:p w14:paraId="58F6629F" w14:textId="5EC37141" w:rsidR="001A2892" w:rsidRPr="0033108F" w:rsidRDefault="0033108F" w:rsidP="0033108F">
            <w:pPr>
              <w:rPr>
                <w:rFonts w:eastAsiaTheme="minorEastAsia"/>
              </w:rPr>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m(t)</m:t>
                    </m:r>
                  </m:num>
                  <m:den>
                    <m:r>
                      <w:rPr>
                        <w:rFonts w:ascii="Cambria Math" w:hAnsi="Cambria Math"/>
                      </w:rPr>
                      <m:t>m'</m:t>
                    </m:r>
                  </m:den>
                </m:f>
                <m:r>
                  <w:rPr>
                    <w:rFonts w:ascii="Cambria Math" w:eastAsiaTheme="minorEastAsia" w:hAnsi="Cambria Math"/>
                  </w:rPr>
                  <m:t xml:space="preserve">= </m:t>
                </m:r>
                <m:f>
                  <m:fPr>
                    <m:ctrlPr>
                      <w:rPr>
                        <w:rFonts w:ascii="Cambria Math" w:hAnsi="Cambria Math"/>
                      </w:rPr>
                    </m:ctrlPr>
                  </m:fPr>
                  <m:num>
                    <m:r>
                      <w:rPr>
                        <w:rFonts w:ascii="Cambria Math" w:hAnsi="Cambria Math"/>
                      </w:rPr>
                      <m:t>δ</m:t>
                    </m:r>
                    <m:r>
                      <w:rPr>
                        <w:rFonts w:ascii="Times New Roman" w:hAnsi="Times New Roman"/>
                      </w:rPr>
                      <m:t>‧</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Times New Roman" w:hAnsi="Times New Roman"/>
                      </w:rPr>
                      <m:t>‧</m:t>
                    </m:r>
                    <m:r>
                      <w:rPr>
                        <w:rFonts w:ascii="Cambria Math" w:hAnsi="Cambria Math"/>
                      </w:rPr>
                      <m:t>π</m:t>
                    </m:r>
                  </m:num>
                  <m:den>
                    <m:r>
                      <w:rPr>
                        <w:rFonts w:ascii="Cambria Math" w:hAnsi="Cambria Math"/>
                      </w:rPr>
                      <m:t>m'</m:t>
                    </m:r>
                  </m:den>
                </m:f>
                <m:r>
                  <w:rPr>
                    <w:rFonts w:ascii="Times New Roman" w:hAnsi="Times New Roman"/>
                  </w:rPr>
                  <m:t>‧</m:t>
                </m:r>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f</m:t>
                        </m:r>
                      </m:sub>
                    </m:sSub>
                    <m:r>
                      <w:rPr>
                        <w:rFonts w:ascii="Cambria Math" w:hAnsi="Cambria Math"/>
                      </w:rPr>
                      <m:t>-z</m:t>
                    </m:r>
                  </m:e>
                </m:d>
                <m:r>
                  <w:rPr>
                    <w:rFonts w:ascii="Cambria Math" w:hAnsi="Cambria Math"/>
                  </w:rPr>
                  <m:t xml:space="preserve">  </m:t>
                </m:r>
              </m:oMath>
            </m:oMathPara>
          </w:p>
        </w:tc>
        <w:tc>
          <w:tcPr>
            <w:tcW w:w="803" w:type="dxa"/>
            <w:shd w:val="clear" w:color="auto" w:fill="auto"/>
            <w:vAlign w:val="center"/>
          </w:tcPr>
          <w:p w14:paraId="7F3247AC" w14:textId="4CCC01A2" w:rsidR="001A2892" w:rsidRPr="00B57B36" w:rsidRDefault="001A2892" w:rsidP="007009D0">
            <w:pPr>
              <w:pStyle w:val="CETEquation"/>
              <w:jc w:val="right"/>
            </w:pPr>
            <w:r w:rsidRPr="00B57B36">
              <w:t>(</w:t>
            </w:r>
            <w:r w:rsidR="0033108F">
              <w:t>9</w:t>
            </w:r>
            <w:r w:rsidRPr="00B57B36">
              <w:t>)</w:t>
            </w:r>
          </w:p>
        </w:tc>
      </w:tr>
    </w:tbl>
    <w:p w14:paraId="4C55D975" w14:textId="77777777" w:rsidR="00A2185A" w:rsidRDefault="00A2185A" w:rsidP="008940BF"/>
    <w:p w14:paraId="2F62FB9B" w14:textId="0AFB797B" w:rsidR="00A2185A" w:rsidRDefault="00D509F9" w:rsidP="008940BF">
      <w:r w:rsidRPr="00D509F9">
        <w:t>The charge density can be expressed as a function of the filling height instead of time.</w:t>
      </w:r>
    </w:p>
    <w:tbl>
      <w:tblPr>
        <w:tblW w:w="5000" w:type="pct"/>
        <w:tblLook w:val="04A0" w:firstRow="1" w:lastRow="0" w:firstColumn="1" w:lastColumn="0" w:noHBand="0" w:noVBand="1"/>
      </w:tblPr>
      <w:tblGrid>
        <w:gridCol w:w="7984"/>
        <w:gridCol w:w="803"/>
      </w:tblGrid>
      <w:tr w:rsidR="008A7496" w:rsidRPr="00B57B36" w14:paraId="1F8FBB1C" w14:textId="77777777" w:rsidTr="007009D0">
        <w:tc>
          <w:tcPr>
            <w:tcW w:w="7984" w:type="dxa"/>
            <w:shd w:val="clear" w:color="auto" w:fill="auto"/>
            <w:vAlign w:val="center"/>
          </w:tcPr>
          <w:p w14:paraId="0D690F70" w14:textId="2DCD6AE1" w:rsidR="008A7496" w:rsidRPr="0092254A" w:rsidRDefault="009204A6" w:rsidP="007009D0">
            <w:pPr>
              <w:spacing w:before="180"/>
              <w:rPr>
                <w:rFonts w:eastAsiaTheme="minorEastAsia"/>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m</m:t>
                    </m:r>
                  </m:sub>
                </m:sSub>
                <m:d>
                  <m:dPr>
                    <m:ctrlPr>
                      <w:rPr>
                        <w:rFonts w:ascii="Cambria Math" w:hAnsi="Cambria Math"/>
                      </w:rPr>
                    </m:ctrlPr>
                  </m:dPr>
                  <m:e>
                    <m:r>
                      <w:rPr>
                        <w:rFonts w:ascii="Cambria Math" w:hAnsi="Cambria Math"/>
                      </w:rPr>
                      <m:t>z</m:t>
                    </m:r>
                  </m:e>
                </m:d>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m0</m:t>
                    </m:r>
                  </m:sub>
                </m:sSub>
                <m:r>
                  <w:rPr>
                    <w:rFonts w:ascii="Times New Roman" w:hAnsi="Times New Roman"/>
                  </w:rPr>
                  <m:t>‧</m:t>
                </m:r>
                <m:func>
                  <m:funcPr>
                    <m:ctrlPr>
                      <w:rPr>
                        <w:rFonts w:ascii="Cambria Math" w:hAnsi="Cambria Math"/>
                      </w:rPr>
                    </m:ctrlPr>
                  </m:funcPr>
                  <m:fName>
                    <m:r>
                      <w:rPr>
                        <w:rFonts w:ascii="Cambria Math" w:hAnsi="Cambria Math"/>
                      </w:rPr>
                      <m:t>exp</m:t>
                    </m:r>
                  </m:fName>
                  <m:e>
                    <m:d>
                      <m:dPr>
                        <m:begChr m:val="["/>
                        <m:endChr m:val="]"/>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rPr>
                              <m:t>δ</m:t>
                            </m:r>
                            <m:r>
                              <w:rPr>
                                <w:rFonts w:ascii="Times New Roman" w:hAnsi="Times New Roman"/>
                              </w:rPr>
                              <m:t>‧</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Times New Roman" w:hAnsi="Times New Roman"/>
                              </w:rPr>
                              <m:t>‧</m:t>
                            </m:r>
                            <m:r>
                              <w:rPr>
                                <w:rFonts w:ascii="Cambria Math" w:hAnsi="Cambria Math"/>
                              </w:rPr>
                              <m:t>π</m:t>
                            </m:r>
                          </m:num>
                          <m:den>
                            <m:r>
                              <w:rPr>
                                <w:rFonts w:ascii="Cambria Math" w:hAnsi="Cambria Math"/>
                              </w:rPr>
                              <m:t>m'</m:t>
                            </m:r>
                            <m:r>
                              <w:rPr>
                                <w:rFonts w:ascii="Times New Roman" w:hAnsi="Times New Roman"/>
                              </w:rPr>
                              <m:t>‧</m:t>
                            </m:r>
                            <m:sSub>
                              <m:sSubPr>
                                <m:ctrlPr>
                                  <w:rPr>
                                    <w:rFonts w:ascii="Cambria Math" w:hAnsi="Cambria Math"/>
                                  </w:rPr>
                                </m:ctrlPr>
                              </m:sSubPr>
                              <m:e>
                                <m:r>
                                  <w:rPr>
                                    <w:rFonts w:ascii="Cambria Math" w:hAnsi="Cambria Math"/>
                                  </w:rPr>
                                  <m:t>τ</m:t>
                                </m:r>
                              </m:e>
                              <m:sub>
                                <m:r>
                                  <w:rPr>
                                    <w:rFonts w:ascii="Cambria Math" w:hAnsi="Cambria Math"/>
                                  </w:rPr>
                                  <m:t>relax</m:t>
                                </m:r>
                              </m:sub>
                            </m:sSub>
                          </m:den>
                        </m:f>
                        <m:r>
                          <w:rPr>
                            <w:rFonts w:ascii="Times New Roman" w:hAnsi="Times New Roman"/>
                          </w:rPr>
                          <m:t>‧</m:t>
                        </m:r>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f</m:t>
                                </m:r>
                              </m:sub>
                            </m:sSub>
                            <m:r>
                              <w:rPr>
                                <w:rFonts w:ascii="Cambria Math" w:hAnsi="Cambria Math"/>
                              </w:rPr>
                              <m:t>-z</m:t>
                            </m:r>
                          </m:e>
                        </m:d>
                      </m:e>
                    </m:d>
                  </m:e>
                </m:func>
                <m:r>
                  <w:rPr>
                    <w:rFonts w:ascii="Cambria Math" w:hAnsi="Cambria Math"/>
                  </w:rPr>
                  <m:t xml:space="preserve"> </m:t>
                </m:r>
              </m:oMath>
            </m:oMathPara>
          </w:p>
        </w:tc>
        <w:tc>
          <w:tcPr>
            <w:tcW w:w="803" w:type="dxa"/>
            <w:shd w:val="clear" w:color="auto" w:fill="auto"/>
            <w:vAlign w:val="center"/>
          </w:tcPr>
          <w:p w14:paraId="1281FB3B" w14:textId="7923C7AC" w:rsidR="008A7496" w:rsidRPr="00B57B36" w:rsidRDefault="008A7496" w:rsidP="007009D0">
            <w:pPr>
              <w:pStyle w:val="CETEquation"/>
              <w:jc w:val="right"/>
            </w:pPr>
            <w:r w:rsidRPr="00B57B36">
              <w:t>(</w:t>
            </w:r>
            <w:r>
              <w:t>10</w:t>
            </w:r>
            <w:r w:rsidRPr="00B57B36">
              <w:t>)</w:t>
            </w:r>
          </w:p>
        </w:tc>
      </w:tr>
    </w:tbl>
    <w:p w14:paraId="21C841FE" w14:textId="6E212867" w:rsidR="00D509F9" w:rsidRDefault="00FC42D6" w:rsidP="008940BF">
      <w:r w:rsidRPr="00FC42D6">
        <w:t>This can further be modified by introducing the charged layer thickness H</w:t>
      </w:r>
      <w:r w:rsidRPr="00FC42D6">
        <w:rPr>
          <w:vertAlign w:val="subscript"/>
        </w:rPr>
        <w:t>c</w:t>
      </w:r>
      <w:r w:rsidRPr="00FC42D6">
        <w:t>:</w:t>
      </w:r>
    </w:p>
    <w:tbl>
      <w:tblPr>
        <w:tblW w:w="5000" w:type="pct"/>
        <w:tblLook w:val="04A0" w:firstRow="1" w:lastRow="0" w:firstColumn="1" w:lastColumn="0" w:noHBand="0" w:noVBand="1"/>
      </w:tblPr>
      <w:tblGrid>
        <w:gridCol w:w="7984"/>
        <w:gridCol w:w="803"/>
      </w:tblGrid>
      <w:tr w:rsidR="00FC42D6" w:rsidRPr="00B57B36" w14:paraId="5495EEA0" w14:textId="77777777" w:rsidTr="007009D0">
        <w:tc>
          <w:tcPr>
            <w:tcW w:w="7984" w:type="dxa"/>
            <w:shd w:val="clear" w:color="auto" w:fill="auto"/>
            <w:vAlign w:val="center"/>
          </w:tcPr>
          <w:p w14:paraId="2703E1A2" w14:textId="6686E599" w:rsidR="00FC42D6" w:rsidRPr="0092254A" w:rsidRDefault="009204A6" w:rsidP="007009D0">
            <w:pPr>
              <w:spacing w:before="180"/>
              <w:rPr>
                <w:rFonts w:eastAsiaTheme="minorEastAsia"/>
              </w:rPr>
            </w:pPr>
            <m:oMathPara>
              <m:oMathParaPr>
                <m:jc m:val="left"/>
              </m:oMathParaPr>
              <m:oMath>
                <m:sSub>
                  <m:sSubPr>
                    <m:ctrlPr>
                      <w:rPr>
                        <w:rFonts w:ascii="Cambria Math" w:hAnsi="Cambria Math"/>
                      </w:rPr>
                    </m:ctrlPr>
                  </m:sSubPr>
                  <m:e>
                    <m:r>
                      <w:rPr>
                        <w:rFonts w:ascii="Cambria Math" w:hAnsi="Cambria Math"/>
                      </w:rPr>
                      <m:t>H</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fill</m:t>
                    </m:r>
                  </m:sub>
                </m:sSub>
                <m:r>
                  <w:rPr>
                    <w:rFonts w:ascii="Times New Roman" w:hAnsi="Times New Roman"/>
                  </w:rPr>
                  <m:t>‧</m:t>
                </m:r>
                <m:sSub>
                  <m:sSubPr>
                    <m:ctrlPr>
                      <w:rPr>
                        <w:rFonts w:ascii="Cambria Math" w:hAnsi="Cambria Math"/>
                      </w:rPr>
                    </m:ctrlPr>
                  </m:sSubPr>
                  <m:e>
                    <m:r>
                      <w:rPr>
                        <w:rFonts w:ascii="Cambria Math" w:hAnsi="Cambria Math"/>
                      </w:rPr>
                      <m:t>τ</m:t>
                    </m:r>
                  </m:e>
                  <m:sub>
                    <m:r>
                      <w:rPr>
                        <w:rFonts w:ascii="Cambria Math" w:hAnsi="Cambria Math"/>
                      </w:rPr>
                      <m:t>relax</m:t>
                    </m:r>
                  </m:sub>
                </m:sSub>
                <m:r>
                  <w:rPr>
                    <w:rFonts w:ascii="Cambria Math" w:hAnsi="Cambria Math"/>
                  </w:rPr>
                  <m:t xml:space="preserve"> </m:t>
                </m:r>
              </m:oMath>
            </m:oMathPara>
          </w:p>
        </w:tc>
        <w:tc>
          <w:tcPr>
            <w:tcW w:w="803" w:type="dxa"/>
            <w:shd w:val="clear" w:color="auto" w:fill="auto"/>
            <w:vAlign w:val="center"/>
          </w:tcPr>
          <w:p w14:paraId="5AF3C33D" w14:textId="4261DDAB" w:rsidR="00FC42D6" w:rsidRPr="00B57B36" w:rsidRDefault="00FC42D6" w:rsidP="007009D0">
            <w:pPr>
              <w:pStyle w:val="CETEquation"/>
              <w:jc w:val="right"/>
            </w:pPr>
            <w:r w:rsidRPr="00B57B36">
              <w:t>(</w:t>
            </w:r>
            <w:r>
              <w:t>11</w:t>
            </w:r>
            <w:r w:rsidRPr="00B57B36">
              <w:t>)</w:t>
            </w:r>
          </w:p>
        </w:tc>
      </w:tr>
      <w:tr w:rsidR="00E7211D" w:rsidRPr="00B57B36" w14:paraId="12CA5A4D" w14:textId="77777777" w:rsidTr="007009D0">
        <w:tc>
          <w:tcPr>
            <w:tcW w:w="7984" w:type="dxa"/>
            <w:shd w:val="clear" w:color="auto" w:fill="auto"/>
            <w:vAlign w:val="center"/>
          </w:tcPr>
          <w:p w14:paraId="045ABB3B" w14:textId="13C37C3D" w:rsidR="00E7211D" w:rsidRPr="0092254A" w:rsidRDefault="009204A6" w:rsidP="007009D0">
            <w:pPr>
              <w:spacing w:before="180"/>
              <w:rPr>
                <w:rFonts w:eastAsiaTheme="minorEastAsia"/>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m</m:t>
                    </m:r>
                  </m:sub>
                </m:sSub>
                <m:d>
                  <m:dPr>
                    <m:ctrlPr>
                      <w:rPr>
                        <w:rFonts w:ascii="Cambria Math" w:hAnsi="Cambria Math"/>
                      </w:rPr>
                    </m:ctrlPr>
                  </m:dPr>
                  <m:e>
                    <m:r>
                      <w:rPr>
                        <w:rFonts w:ascii="Cambria Math" w:hAnsi="Cambria Math"/>
                      </w:rPr>
                      <m:t>z</m:t>
                    </m:r>
                  </m:e>
                </m:d>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m0</m:t>
                    </m:r>
                  </m:sub>
                </m:sSub>
                <m:r>
                  <w:rPr>
                    <w:rFonts w:ascii="Times New Roman" w:hAnsi="Times New Roman"/>
                  </w:rPr>
                  <m:t>‧</m:t>
                </m:r>
                <m:func>
                  <m:funcPr>
                    <m:ctrlPr>
                      <w:rPr>
                        <w:rFonts w:ascii="Cambria Math" w:hAnsi="Cambria Math"/>
                      </w:rPr>
                    </m:ctrlPr>
                  </m:funcPr>
                  <m:fName>
                    <m:r>
                      <w:rPr>
                        <w:rFonts w:ascii="Cambria Math" w:hAnsi="Cambria Math"/>
                      </w:rPr>
                      <m:t>exp</m:t>
                    </m:r>
                  </m:fName>
                  <m:e>
                    <m:d>
                      <m:dPr>
                        <m:begChr m:val="["/>
                        <m:endChr m:val="]"/>
                        <m:ctrlPr>
                          <w:rPr>
                            <w:rFonts w:ascii="Cambria Math" w:hAnsi="Cambria Math"/>
                          </w:rPr>
                        </m:ctrlPr>
                      </m:dPr>
                      <m:e>
                        <m: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f</m:t>
                                    </m:r>
                                  </m:sub>
                                </m:sSub>
                                <m:r>
                                  <w:rPr>
                                    <w:rFonts w:ascii="Cambria Math" w:hAnsi="Cambria Math"/>
                                  </w:rPr>
                                  <m:t>-z</m:t>
                                </m:r>
                              </m:e>
                            </m:d>
                          </m:num>
                          <m:den>
                            <m:sSub>
                              <m:sSubPr>
                                <m:ctrlPr>
                                  <w:rPr>
                                    <w:rFonts w:ascii="Cambria Math" w:hAnsi="Cambria Math"/>
                                  </w:rPr>
                                </m:ctrlPr>
                              </m:sSubPr>
                              <m:e>
                                <m:r>
                                  <w:rPr>
                                    <w:rFonts w:ascii="Cambria Math" w:hAnsi="Cambria Math"/>
                                  </w:rPr>
                                  <m:t>H</m:t>
                                </m:r>
                              </m:e>
                              <m:sub>
                                <m:r>
                                  <w:rPr>
                                    <w:rFonts w:ascii="Cambria Math" w:hAnsi="Cambria Math"/>
                                  </w:rPr>
                                  <m:t>c</m:t>
                                </m:r>
                              </m:sub>
                            </m:sSub>
                          </m:den>
                        </m:f>
                      </m:e>
                    </m:d>
                  </m:e>
                </m:func>
              </m:oMath>
            </m:oMathPara>
          </w:p>
        </w:tc>
        <w:tc>
          <w:tcPr>
            <w:tcW w:w="803" w:type="dxa"/>
            <w:shd w:val="clear" w:color="auto" w:fill="auto"/>
            <w:vAlign w:val="center"/>
          </w:tcPr>
          <w:p w14:paraId="27CD8740" w14:textId="384C69BD" w:rsidR="00E7211D" w:rsidRPr="00B57B36" w:rsidRDefault="00E7211D" w:rsidP="007009D0">
            <w:pPr>
              <w:pStyle w:val="CETEquation"/>
              <w:jc w:val="right"/>
            </w:pPr>
            <w:r w:rsidRPr="00B57B36">
              <w:t>(</w:t>
            </w:r>
            <w:r w:rsidR="007C36DD">
              <w:t>12</w:t>
            </w:r>
            <w:r w:rsidRPr="00B57B36">
              <w:t>)</w:t>
            </w:r>
          </w:p>
        </w:tc>
      </w:tr>
    </w:tbl>
    <w:p w14:paraId="63BB3C25" w14:textId="77777777" w:rsidR="00785D89" w:rsidRDefault="00785D89" w:rsidP="008940BF"/>
    <w:p w14:paraId="79A2773E" w14:textId="048A2ADB" w:rsidR="005C44D6" w:rsidRDefault="00785D89" w:rsidP="005C44D6">
      <w:r w:rsidRPr="00785D89">
        <w:t xml:space="preserve">From </w:t>
      </w:r>
      <w:r w:rsidR="001822FD">
        <w:t>E</w:t>
      </w:r>
      <w:r>
        <w:t>quation 12</w:t>
      </w:r>
      <w:r w:rsidRPr="00785D89">
        <w:t xml:space="preserve"> it </w:t>
      </w:r>
      <w:r>
        <w:t>could be notice</w:t>
      </w:r>
      <w:r w:rsidRPr="00785D89">
        <w:t xml:space="preserve"> that the maximum electric field along the wall ES</w:t>
      </w:r>
      <w:r w:rsidRPr="00785D89">
        <w:rPr>
          <w:vertAlign w:val="subscript"/>
        </w:rPr>
        <w:t>max</w:t>
      </w:r>
      <w:r w:rsidRPr="00785D89">
        <w:t xml:space="preserve"> does not depend on the filling height if H</w:t>
      </w:r>
      <w:r w:rsidRPr="00785D89">
        <w:rPr>
          <w:vertAlign w:val="subscript"/>
        </w:rPr>
        <w:t>c</w:t>
      </w:r>
      <w:r w:rsidRPr="00785D89">
        <w:t xml:space="preserve"> &lt; H</w:t>
      </w:r>
      <w:r w:rsidRPr="00785D89">
        <w:rPr>
          <w:vertAlign w:val="subscript"/>
        </w:rPr>
        <w:t>f</w:t>
      </w:r>
      <w:r>
        <w:t>/3</w:t>
      </w:r>
      <w:r w:rsidR="005C44D6">
        <w:t>.</w:t>
      </w:r>
    </w:p>
    <w:p w14:paraId="7DDB948D" w14:textId="77777777" w:rsidR="005C44D6" w:rsidRDefault="005C44D6" w:rsidP="005C44D6"/>
    <w:p w14:paraId="0E610DA4" w14:textId="7D4ECF35" w:rsidR="007A6CDF" w:rsidRPr="007A6CDF" w:rsidRDefault="007A6CDF" w:rsidP="007A6CDF">
      <w:pPr>
        <w:rPr>
          <w:lang w:val="en-US"/>
        </w:rPr>
      </w:pPr>
      <w:r w:rsidRPr="007A6CDF">
        <w:rPr>
          <w:lang w:val="en-US"/>
        </w:rPr>
        <w:t>This can also be observed graphically by modeling the electrostatic field for different silo heights while maintaining the same charged layer thickness</w:t>
      </w:r>
      <w:r>
        <w:rPr>
          <w:lang w:val="en-US"/>
        </w:rPr>
        <w:t>, as shown</w:t>
      </w:r>
      <w:r w:rsidR="00AD78E1">
        <w:rPr>
          <w:lang w:val="en-US"/>
        </w:rPr>
        <w:t xml:space="preserve"> </w:t>
      </w:r>
      <w:r>
        <w:rPr>
          <w:lang w:val="en-US"/>
        </w:rPr>
        <w:t>in Figure 4</w:t>
      </w:r>
      <w:r w:rsidRPr="007A6CDF">
        <w:rPr>
          <w:lang w:val="en-US"/>
        </w:rPr>
        <w:t>.</w:t>
      </w:r>
    </w:p>
    <w:p w14:paraId="604281DC" w14:textId="77777777" w:rsidR="005C44D6" w:rsidRPr="007A6CDF" w:rsidRDefault="005C44D6" w:rsidP="005C44D6">
      <w:pPr>
        <w:rPr>
          <w:lang w:val="en-US"/>
        </w:rPr>
      </w:pPr>
    </w:p>
    <w:p w14:paraId="6E9234C5" w14:textId="77777777" w:rsidR="002F24D9" w:rsidRDefault="002F24D9" w:rsidP="002F24D9">
      <w:pPr>
        <w:keepNext/>
      </w:pPr>
      <w:r w:rsidRPr="001C1F6C">
        <w:rPr>
          <w:noProof/>
        </w:rPr>
        <w:drawing>
          <wp:inline distT="0" distB="0" distL="0" distR="0" wp14:anchorId="5E314B9F" wp14:editId="1FA11777">
            <wp:extent cx="3636734" cy="2016000"/>
            <wp:effectExtent l="0" t="0" r="1905" b="3810"/>
            <wp:docPr id="5906353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6734" cy="2016000"/>
                    </a:xfrm>
                    <a:prstGeom prst="rect">
                      <a:avLst/>
                    </a:prstGeom>
                    <a:noFill/>
                    <a:ln>
                      <a:noFill/>
                    </a:ln>
                  </pic:spPr>
                </pic:pic>
              </a:graphicData>
            </a:graphic>
          </wp:inline>
        </w:drawing>
      </w:r>
    </w:p>
    <w:p w14:paraId="0535B6A9" w14:textId="63A97F57" w:rsidR="005C44D6" w:rsidRPr="00F439E9" w:rsidRDefault="002F24D9" w:rsidP="002F24D9">
      <w:pPr>
        <w:pStyle w:val="Caption"/>
        <w:rPr>
          <w:rStyle w:val="CETCaptionCarattere"/>
          <w:b w:val="0"/>
          <w:bCs w:val="0"/>
          <w:color w:val="auto"/>
        </w:rPr>
      </w:pPr>
      <w:r w:rsidRPr="00F439E9">
        <w:rPr>
          <w:rStyle w:val="CETCaptionCarattere"/>
          <w:b w:val="0"/>
          <w:bCs w:val="0"/>
          <w:color w:val="auto"/>
        </w:rPr>
        <w:t xml:space="preserve">Figure </w:t>
      </w:r>
      <w:r w:rsidRPr="00F439E9">
        <w:rPr>
          <w:rStyle w:val="CETCaptionCarattere"/>
          <w:b w:val="0"/>
          <w:bCs w:val="0"/>
          <w:color w:val="auto"/>
        </w:rPr>
        <w:fldChar w:fldCharType="begin"/>
      </w:r>
      <w:r w:rsidRPr="00F439E9">
        <w:rPr>
          <w:rStyle w:val="CETCaptionCarattere"/>
          <w:b w:val="0"/>
          <w:bCs w:val="0"/>
          <w:color w:val="auto"/>
        </w:rPr>
        <w:instrText xml:space="preserve"> SEQ Figure \* ARABIC </w:instrText>
      </w:r>
      <w:r w:rsidRPr="00F439E9">
        <w:rPr>
          <w:rStyle w:val="CETCaptionCarattere"/>
          <w:b w:val="0"/>
          <w:bCs w:val="0"/>
          <w:color w:val="auto"/>
        </w:rPr>
        <w:fldChar w:fldCharType="separate"/>
      </w:r>
      <w:r w:rsidR="002D4CF5">
        <w:rPr>
          <w:rStyle w:val="CETCaptionCarattere"/>
          <w:b w:val="0"/>
          <w:bCs w:val="0"/>
          <w:noProof/>
          <w:color w:val="auto"/>
        </w:rPr>
        <w:t>4</w:t>
      </w:r>
      <w:r w:rsidRPr="00F439E9">
        <w:rPr>
          <w:rStyle w:val="CETCaptionCarattere"/>
          <w:b w:val="0"/>
          <w:bCs w:val="0"/>
          <w:color w:val="auto"/>
        </w:rPr>
        <w:fldChar w:fldCharType="end"/>
      </w:r>
      <w:r w:rsidRPr="00F439E9">
        <w:rPr>
          <w:rStyle w:val="CETCaptionCarattere"/>
          <w:b w:val="0"/>
          <w:bCs w:val="0"/>
          <w:color w:val="auto"/>
        </w:rPr>
        <w:t xml:space="preserve">: </w:t>
      </w:r>
      <w:r w:rsidR="00F439E9" w:rsidRPr="00F439E9">
        <w:rPr>
          <w:rStyle w:val="CETCaptionCarattere"/>
          <w:b w:val="0"/>
          <w:bCs w:val="0"/>
          <w:color w:val="auto"/>
        </w:rPr>
        <w:t>Graphical illustration of the charged layer Hc</w:t>
      </w:r>
      <w:r w:rsidR="00B4261E" w:rsidRPr="00F439E9">
        <w:rPr>
          <w:rStyle w:val="CETCaptionCarattere"/>
          <w:b w:val="0"/>
          <w:bCs w:val="0"/>
          <w:color w:val="auto"/>
        </w:rPr>
        <w:t xml:space="preserve"> </w:t>
      </w:r>
    </w:p>
    <w:p w14:paraId="25CB2C6B" w14:textId="77777777" w:rsidR="005C44D6" w:rsidRDefault="005C44D6" w:rsidP="005C44D6"/>
    <w:p w14:paraId="46EB85DB" w14:textId="1CF21E03" w:rsidR="009755D3" w:rsidRPr="009755D3" w:rsidRDefault="009755D3" w:rsidP="009755D3">
      <w:pPr>
        <w:rPr>
          <w:lang w:val="en-US"/>
        </w:rPr>
      </w:pPr>
      <w:r w:rsidRPr="009755D3">
        <w:rPr>
          <w:lang w:val="en-US"/>
        </w:rPr>
        <w:t xml:space="preserve">As done for Equation 4, the dimensionless geometrical factor </w:t>
      </w:r>
      <w:r>
        <w:rPr>
          <w:rFonts w:cs="Arial"/>
          <w:lang w:val="de-CH"/>
        </w:rPr>
        <w:t>φ</w:t>
      </w:r>
      <w:r w:rsidRPr="009755D3">
        <w:rPr>
          <w:lang w:val="en-US"/>
        </w:rPr>
        <w:t xml:space="preserve"> can be calculated numerically, representing the reduction in ES</w:t>
      </w:r>
      <w:r w:rsidRPr="009755D3">
        <w:rPr>
          <w:vertAlign w:val="subscript"/>
          <w:lang w:val="en-US"/>
        </w:rPr>
        <w:t>max</w:t>
      </w:r>
      <w:r w:rsidRPr="009755D3">
        <w:rPr>
          <w:lang w:val="en-US"/>
        </w:rPr>
        <w:t xml:space="preserve"> due to charge relaxation.</w:t>
      </w:r>
    </w:p>
    <w:tbl>
      <w:tblPr>
        <w:tblW w:w="5000" w:type="pct"/>
        <w:tblLook w:val="04A0" w:firstRow="1" w:lastRow="0" w:firstColumn="1" w:lastColumn="0" w:noHBand="0" w:noVBand="1"/>
      </w:tblPr>
      <w:tblGrid>
        <w:gridCol w:w="7984"/>
        <w:gridCol w:w="803"/>
      </w:tblGrid>
      <w:tr w:rsidR="009755D3" w:rsidRPr="00B57B36" w14:paraId="13E38743" w14:textId="77777777" w:rsidTr="007009D0">
        <w:tc>
          <w:tcPr>
            <w:tcW w:w="7984" w:type="dxa"/>
            <w:shd w:val="clear" w:color="auto" w:fill="auto"/>
            <w:vAlign w:val="center"/>
          </w:tcPr>
          <w:p w14:paraId="405A806B" w14:textId="5F3B4E3B" w:rsidR="009755D3" w:rsidRPr="0092254A" w:rsidRDefault="009204A6" w:rsidP="007009D0">
            <w:pPr>
              <w:spacing w:before="180"/>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Smax</m:t>
                    </m:r>
                  </m:sub>
                </m:sSub>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m:t>
                            </m:r>
                          </m:sub>
                        </m:sSub>
                      </m:num>
                      <m:den>
                        <m:r>
                          <w:rPr>
                            <w:rFonts w:ascii="Cambria Math" w:hAnsi="Cambria Math"/>
                          </w:rPr>
                          <m:t>R</m:t>
                        </m:r>
                      </m:den>
                    </m:f>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S</m:t>
                    </m:r>
                    <m:d>
                      <m:dPr>
                        <m:ctrlPr>
                          <w:rPr>
                            <w:rFonts w:ascii="Cambria Math" w:hAnsi="Cambria Math"/>
                            <w:i/>
                          </w:rPr>
                        </m:ctrlPr>
                      </m:dPr>
                      <m:e>
                        <m:r>
                          <w:rPr>
                            <w:rFonts w:ascii="Cambria Math" w:hAnsi="Cambria Math"/>
                          </w:rPr>
                          <m:t>Hf→∞</m:t>
                        </m:r>
                      </m:e>
                    </m:d>
                  </m:sub>
                </m:sSub>
                <m:r>
                  <w:rPr>
                    <w:rFonts w:ascii="Cambria Math" w:hAnsi="Cambria Math"/>
                  </w:rPr>
                  <m:t xml:space="preserve"> </m:t>
                </m:r>
                <m:r>
                  <w:rPr>
                    <w:rFonts w:ascii="Times New Roman" w:hAnsi="Times New Roman"/>
                  </w:rPr>
                  <m:t>‧</m:t>
                </m:r>
                <m:r>
                  <w:rPr>
                    <w:rFonts w:ascii="Cambria Math" w:hAnsi="Cambria Math"/>
                  </w:rPr>
                  <m:t>φ(</m:t>
                </m:r>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m:t>
                        </m:r>
                      </m:sub>
                    </m:sSub>
                  </m:num>
                  <m:den>
                    <m:r>
                      <w:rPr>
                        <w:rFonts w:ascii="Cambria Math" w:hAnsi="Cambria Math"/>
                      </w:rPr>
                      <m:t>R</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m0</m:t>
                        </m:r>
                      </m:sub>
                    </m:sSub>
                    <m:r>
                      <w:rPr>
                        <w:rFonts w:ascii="Times New Roman" w:hAnsi="Times New Roman"/>
                      </w:rPr>
                      <m:t>‧</m:t>
                    </m:r>
                    <m:r>
                      <w:rPr>
                        <w:rFonts w:ascii="Cambria Math" w:hAnsi="Cambria Math"/>
                      </w:rPr>
                      <m:t>δ</m:t>
                    </m:r>
                    <m:r>
                      <w:rPr>
                        <w:rFonts w:ascii="Times New Roman" w:hAnsi="Times New Roman"/>
                      </w:rPr>
                      <m:t>‧</m:t>
                    </m:r>
                    <m:r>
                      <w:rPr>
                        <w:rFonts w:ascii="Cambria Math" w:hAnsi="Cambria Math"/>
                      </w:rPr>
                      <m:t xml:space="preserve">R </m:t>
                    </m:r>
                  </m:num>
                  <m:den>
                    <m:r>
                      <w:rPr>
                        <w:rFonts w:ascii="Cambria Math" w:hAnsi="Cambria Math"/>
                      </w:rPr>
                      <m:t>2</m:t>
                    </m:r>
                    <m:r>
                      <w:rPr>
                        <w:rFonts w:ascii="Times New Roman" w:hAnsi="Times New Roman"/>
                      </w:rPr>
                      <m:t>‧</m:t>
                    </m:r>
                    <m:r>
                      <w:rPr>
                        <w:rFonts w:ascii="Cambria Math" w:hAnsi="Cambria Math"/>
                      </w:rPr>
                      <m:t>ε</m:t>
                    </m:r>
                    <m:r>
                      <w:rPr>
                        <w:rFonts w:ascii="Times New Roman" w:hAnsi="Times New Roman"/>
                      </w:rPr>
                      <m:t>‧</m:t>
                    </m:r>
                    <m:sSub>
                      <m:sSubPr>
                        <m:ctrlPr>
                          <w:rPr>
                            <w:rFonts w:ascii="Cambria Math" w:hAnsi="Cambria Math"/>
                            <w:i/>
                          </w:rPr>
                        </m:ctrlPr>
                      </m:sSubPr>
                      <m:e>
                        <m:r>
                          <w:rPr>
                            <w:rFonts w:ascii="Cambria Math" w:hAnsi="Cambria Math"/>
                          </w:rPr>
                          <m:t>ε</m:t>
                        </m:r>
                      </m:e>
                      <m:sub>
                        <m:r>
                          <w:rPr>
                            <w:rFonts w:ascii="Cambria Math" w:hAnsi="Cambria Math"/>
                          </w:rPr>
                          <m:t>0</m:t>
                        </m:r>
                      </m:sub>
                    </m:sSub>
                  </m:den>
                </m:f>
                <m:r>
                  <w:rPr>
                    <w:rFonts w:ascii="Cambria Math" w:hAnsi="Cambria Math"/>
                  </w:rPr>
                  <m:t xml:space="preserve">  </m:t>
                </m:r>
                <m:r>
                  <w:rPr>
                    <w:rFonts w:ascii="Times New Roman" w:hAnsi="Times New Roman"/>
                  </w:rPr>
                  <m:t>‧</m:t>
                </m:r>
                <m:r>
                  <w:rPr>
                    <w:rFonts w:ascii="Cambria Math" w:hAnsi="Cambria Math"/>
                  </w:rPr>
                  <m:t>φ(</m:t>
                </m:r>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m:t>
                        </m:r>
                      </m:sub>
                    </m:sSub>
                  </m:num>
                  <m:den>
                    <m:r>
                      <w:rPr>
                        <w:rFonts w:ascii="Cambria Math" w:hAnsi="Cambria Math"/>
                      </w:rPr>
                      <m:t>R</m:t>
                    </m:r>
                  </m:den>
                </m:f>
                <m:r>
                  <w:rPr>
                    <w:rFonts w:ascii="Cambria Math" w:hAnsi="Cambria Math"/>
                  </w:rPr>
                  <m:t>)</m:t>
                </m:r>
              </m:oMath>
            </m:oMathPara>
          </w:p>
        </w:tc>
        <w:tc>
          <w:tcPr>
            <w:tcW w:w="803" w:type="dxa"/>
            <w:shd w:val="clear" w:color="auto" w:fill="auto"/>
            <w:vAlign w:val="center"/>
          </w:tcPr>
          <w:p w14:paraId="6AFD5645" w14:textId="2CE2D8C9" w:rsidR="009755D3" w:rsidRPr="00B57B36" w:rsidRDefault="009755D3" w:rsidP="007009D0">
            <w:pPr>
              <w:pStyle w:val="CETEquation"/>
              <w:jc w:val="right"/>
            </w:pPr>
            <w:r w:rsidRPr="00B57B36">
              <w:t>(</w:t>
            </w:r>
            <w:r>
              <w:t>13</w:t>
            </w:r>
            <w:r w:rsidRPr="00B57B36">
              <w:t>)</w:t>
            </w:r>
          </w:p>
        </w:tc>
      </w:tr>
    </w:tbl>
    <w:p w14:paraId="3568B395" w14:textId="77777777" w:rsidR="005C44D6" w:rsidRDefault="005C44D6" w:rsidP="005C44D6"/>
    <w:p w14:paraId="585180BB" w14:textId="73D64B53" w:rsidR="00F57C07" w:rsidRDefault="00F57C07" w:rsidP="00F57C07">
      <w:pPr>
        <w:pStyle w:val="CETBodytext"/>
      </w:pPr>
      <w:r w:rsidRPr="00744843">
        <w:rPr>
          <w:lang w:val="en-GB"/>
        </w:rPr>
        <w:t>Over fifty modelling simulations were conducted to determine the conditions related to the container</w:t>
      </w:r>
      <w:r>
        <w:rPr>
          <w:lang w:val="en-GB"/>
        </w:rPr>
        <w:t xml:space="preserve">, </w:t>
      </w:r>
      <w:r w:rsidRPr="00744843">
        <w:rPr>
          <w:lang w:val="en-GB"/>
        </w:rPr>
        <w:t>the quantity of powder introduced,</w:t>
      </w:r>
      <w:r>
        <w:rPr>
          <w:lang w:val="en-GB"/>
        </w:rPr>
        <w:t xml:space="preserve"> and the charge relaxation</w:t>
      </w:r>
      <w:r w:rsidRPr="00744843">
        <w:rPr>
          <w:lang w:val="en-GB"/>
        </w:rPr>
        <w:t xml:space="preserve"> to achieve an optimal fit</w:t>
      </w:r>
      <w:r>
        <w:rPr>
          <w:lang w:val="en-GB"/>
        </w:rPr>
        <w:t xml:space="preserve"> of </w:t>
      </w:r>
      <w:r>
        <w:rPr>
          <w:rFonts w:cs="Arial"/>
          <w:lang w:val="de-CH"/>
        </w:rPr>
        <w:t>φ</w:t>
      </w:r>
      <w:r w:rsidRPr="00744843">
        <w:rPr>
          <w:lang w:val="en-GB"/>
        </w:rPr>
        <w:t>.</w:t>
      </w:r>
      <w:r>
        <w:rPr>
          <w:lang w:val="en-GB"/>
        </w:rPr>
        <w:t xml:space="preserve"> The fit was made with the Python software.</w:t>
      </w:r>
    </w:p>
    <w:p w14:paraId="73B3116D" w14:textId="77777777" w:rsidR="005C44D6" w:rsidRPr="00F57C07" w:rsidRDefault="005C44D6" w:rsidP="005C44D6">
      <w:pPr>
        <w:rPr>
          <w:lang w:val="en-US"/>
        </w:rPr>
      </w:pPr>
    </w:p>
    <w:p w14:paraId="62D6CF7F" w14:textId="77777777" w:rsidR="004C222B" w:rsidRDefault="004C222B" w:rsidP="004C222B">
      <w:pPr>
        <w:keepNext/>
        <w:jc w:val="left"/>
      </w:pPr>
      <w:r>
        <w:rPr>
          <w:noProof/>
        </w:rPr>
        <w:drawing>
          <wp:inline distT="0" distB="0" distL="0" distR="0" wp14:anchorId="4990CF31" wp14:editId="7855496D">
            <wp:extent cx="3798167" cy="2016000"/>
            <wp:effectExtent l="0" t="0" r="0" b="3810"/>
            <wp:docPr id="2113643419" name="Image 3" descr="Une image contenant texte, diagramm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43419" name="Image 3" descr="Une image contenant texte, diagramme, ligne, Tracé&#10;&#10;Description générée automatiquement"/>
                    <pic:cNvPicPr/>
                  </pic:nvPicPr>
                  <pic:blipFill rotWithShape="1">
                    <a:blip r:embed="rId17"/>
                    <a:srcRect l="7891" t="11076" r="8332"/>
                    <a:stretch/>
                  </pic:blipFill>
                  <pic:spPr bwMode="auto">
                    <a:xfrm>
                      <a:off x="0" y="0"/>
                      <a:ext cx="3798167" cy="2016000"/>
                    </a:xfrm>
                    <a:prstGeom prst="rect">
                      <a:avLst/>
                    </a:prstGeom>
                    <a:ln>
                      <a:noFill/>
                    </a:ln>
                    <a:extLst>
                      <a:ext uri="{53640926-AAD7-44D8-BBD7-CCE9431645EC}">
                        <a14:shadowObscured xmlns:a14="http://schemas.microsoft.com/office/drawing/2010/main"/>
                      </a:ext>
                    </a:extLst>
                  </pic:spPr>
                </pic:pic>
              </a:graphicData>
            </a:graphic>
          </wp:inline>
        </w:drawing>
      </w:r>
    </w:p>
    <w:p w14:paraId="6824FB22" w14:textId="18E0A6DA" w:rsidR="0042217C" w:rsidRDefault="004C222B" w:rsidP="004C222B">
      <w:pPr>
        <w:pStyle w:val="Caption"/>
        <w:jc w:val="left"/>
        <w:rPr>
          <w:rStyle w:val="CETCaptionCarattere"/>
          <w:b w:val="0"/>
          <w:bCs w:val="0"/>
          <w:color w:val="auto"/>
        </w:rPr>
      </w:pPr>
      <w:r w:rsidRPr="004C222B">
        <w:rPr>
          <w:rStyle w:val="CETCaptionCarattere"/>
          <w:b w:val="0"/>
          <w:bCs w:val="0"/>
          <w:color w:val="auto"/>
        </w:rPr>
        <w:t xml:space="preserve">Figure </w:t>
      </w:r>
      <w:r w:rsidRPr="004C222B">
        <w:rPr>
          <w:rStyle w:val="CETCaptionCarattere"/>
          <w:b w:val="0"/>
          <w:bCs w:val="0"/>
          <w:color w:val="auto"/>
        </w:rPr>
        <w:fldChar w:fldCharType="begin"/>
      </w:r>
      <w:r w:rsidRPr="004C222B">
        <w:rPr>
          <w:rStyle w:val="CETCaptionCarattere"/>
          <w:b w:val="0"/>
          <w:bCs w:val="0"/>
          <w:color w:val="auto"/>
        </w:rPr>
        <w:instrText xml:space="preserve"> SEQ Figure \* ARABIC </w:instrText>
      </w:r>
      <w:r w:rsidRPr="004C222B">
        <w:rPr>
          <w:rStyle w:val="CETCaptionCarattere"/>
          <w:b w:val="0"/>
          <w:bCs w:val="0"/>
          <w:color w:val="auto"/>
        </w:rPr>
        <w:fldChar w:fldCharType="separate"/>
      </w:r>
      <w:r w:rsidR="002D4CF5">
        <w:rPr>
          <w:rStyle w:val="CETCaptionCarattere"/>
          <w:b w:val="0"/>
          <w:bCs w:val="0"/>
          <w:noProof/>
          <w:color w:val="auto"/>
        </w:rPr>
        <w:t>5</w:t>
      </w:r>
      <w:r w:rsidRPr="004C222B">
        <w:rPr>
          <w:rStyle w:val="CETCaptionCarattere"/>
          <w:b w:val="0"/>
          <w:bCs w:val="0"/>
          <w:color w:val="auto"/>
        </w:rPr>
        <w:fldChar w:fldCharType="end"/>
      </w:r>
      <w:r w:rsidRPr="004C222B">
        <w:rPr>
          <w:rStyle w:val="CETCaptionCarattere"/>
          <w:b w:val="0"/>
          <w:bCs w:val="0"/>
          <w:color w:val="auto"/>
        </w:rPr>
        <w:t>:</w:t>
      </w:r>
      <w:r>
        <w:t xml:space="preserve"> </w:t>
      </w:r>
      <w:r>
        <w:rPr>
          <w:rStyle w:val="CETCaptionCarattere"/>
          <w:rFonts w:cs="Arial"/>
          <w:b w:val="0"/>
          <w:bCs w:val="0"/>
          <w:color w:val="auto"/>
        </w:rPr>
        <w:t>φ</w:t>
      </w:r>
      <w:r w:rsidRPr="00F6274F">
        <w:rPr>
          <w:rStyle w:val="CETCaptionCarattere"/>
          <w:b w:val="0"/>
          <w:bCs w:val="0"/>
          <w:color w:val="auto"/>
        </w:rPr>
        <w:t xml:space="preserve"> fit with the software python</w:t>
      </w:r>
    </w:p>
    <w:tbl>
      <w:tblPr>
        <w:tblW w:w="5000" w:type="pct"/>
        <w:tblLook w:val="04A0" w:firstRow="1" w:lastRow="0" w:firstColumn="1" w:lastColumn="0" w:noHBand="0" w:noVBand="1"/>
      </w:tblPr>
      <w:tblGrid>
        <w:gridCol w:w="7984"/>
        <w:gridCol w:w="803"/>
      </w:tblGrid>
      <w:tr w:rsidR="004C222B" w:rsidRPr="00B57B36" w14:paraId="6749AFC4" w14:textId="77777777" w:rsidTr="007009D0">
        <w:tc>
          <w:tcPr>
            <w:tcW w:w="7984" w:type="dxa"/>
            <w:shd w:val="clear" w:color="auto" w:fill="auto"/>
            <w:vAlign w:val="center"/>
          </w:tcPr>
          <w:p w14:paraId="1FBC869C" w14:textId="5966B818" w:rsidR="004C222B" w:rsidRPr="0092254A" w:rsidRDefault="00B7180F" w:rsidP="007009D0">
            <w:pPr>
              <w:spacing w:before="180"/>
              <w:rPr>
                <w:rFonts w:eastAsiaTheme="minorEastAsia"/>
              </w:rPr>
            </w:pPr>
            <m:oMathPara>
              <m:oMathParaPr>
                <m:jc m:val="left"/>
              </m:oMathParaPr>
              <m:oMath>
                <m:r>
                  <w:rPr>
                    <w:rFonts w:ascii="Cambria Math" w:hAnsi="Cambria Math"/>
                  </w:rPr>
                  <m:t>φ</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m:t>
                            </m:r>
                          </m:sub>
                        </m:sSub>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3.078</m:t>
                    </m:r>
                  </m:num>
                  <m:den>
                    <m:r>
                      <w:rPr>
                        <w:rFonts w:ascii="Cambria Math" w:hAnsi="Cambria Math"/>
                      </w:rPr>
                      <m:t>4.511+</m:t>
                    </m:r>
                    <m:f>
                      <m:fPr>
                        <m:type m:val="lin"/>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H</m:t>
                            </m:r>
                          </m:e>
                          <m:sub>
                            <m:r>
                              <w:rPr>
                                <w:rFonts w:ascii="Cambria Math" w:hAnsi="Cambria Math"/>
                              </w:rPr>
                              <m:t>c</m:t>
                            </m:r>
                          </m:sub>
                        </m:sSub>
                      </m:den>
                    </m:f>
                  </m:den>
                </m:f>
                <m:r>
                  <w:rPr>
                    <w:rFonts w:ascii="Cambria Math" w:hAnsi="Cambria Math"/>
                  </w:rPr>
                  <m:t>+0.238</m:t>
                </m:r>
                <m:r>
                  <w:rPr>
                    <w:rFonts w:ascii="Times New Roman" w:hAnsi="Times New Roman"/>
                  </w:rPr>
                  <m:t>‧</m:t>
                </m:r>
                <m:r>
                  <m:rPr>
                    <m:sty m:val="p"/>
                  </m:rPr>
                  <w:rPr>
                    <w:rFonts w:ascii="Cambria Math" w:hAnsi="Cambria Math"/>
                  </w:rPr>
                  <m:t>exp⁡</m:t>
                </m:r>
                <m:r>
                  <w:rPr>
                    <w:rFonts w:ascii="Cambria Math" w:hAnsi="Cambria Math"/>
                  </w:rPr>
                  <m:t>(-1.425∙</m:t>
                </m:r>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H</m:t>
                        </m:r>
                      </m:e>
                      <m:sub>
                        <m:r>
                          <w:rPr>
                            <w:rFonts w:ascii="Cambria Math" w:hAnsi="Cambria Math"/>
                          </w:rPr>
                          <m:t>c</m:t>
                        </m:r>
                      </m:sub>
                    </m:sSub>
                  </m:den>
                </m:f>
                <m:r>
                  <w:rPr>
                    <w:rFonts w:ascii="Cambria Math" w:hAnsi="Cambria Math"/>
                  </w:rPr>
                  <m:t>)</m:t>
                </m:r>
              </m:oMath>
            </m:oMathPara>
          </w:p>
        </w:tc>
        <w:tc>
          <w:tcPr>
            <w:tcW w:w="803" w:type="dxa"/>
            <w:shd w:val="clear" w:color="auto" w:fill="auto"/>
            <w:vAlign w:val="center"/>
          </w:tcPr>
          <w:p w14:paraId="1E84CA18" w14:textId="1FC24FAA" w:rsidR="004C222B" w:rsidRPr="00B57B36" w:rsidRDefault="004C222B" w:rsidP="007009D0">
            <w:pPr>
              <w:pStyle w:val="CETEquation"/>
              <w:jc w:val="right"/>
            </w:pPr>
            <w:r w:rsidRPr="00B57B36">
              <w:t>(</w:t>
            </w:r>
            <w:r>
              <w:t>14</w:t>
            </w:r>
            <w:r w:rsidRPr="00B57B36">
              <w:t>)</w:t>
            </w:r>
          </w:p>
        </w:tc>
      </w:tr>
    </w:tbl>
    <w:p w14:paraId="3918120D" w14:textId="77777777" w:rsidR="004C222B" w:rsidRDefault="004C222B" w:rsidP="004C222B"/>
    <w:p w14:paraId="682B97F5" w14:textId="77777777" w:rsidR="009204A6" w:rsidRDefault="009204A6" w:rsidP="00787F04"/>
    <w:p w14:paraId="7C9BA899" w14:textId="77777777" w:rsidR="009204A6" w:rsidRDefault="009204A6" w:rsidP="00787F04"/>
    <w:p w14:paraId="411C4BF2" w14:textId="6B71822B" w:rsidR="00787F04" w:rsidRDefault="00787F04" w:rsidP="00787F04">
      <w:r>
        <w:t>T</w:t>
      </w:r>
      <w:r w:rsidRPr="009320C8">
        <w:t xml:space="preserve">he conditions under which the </w:t>
      </w:r>
      <w:r w:rsidR="00F65387" w:rsidRPr="00F65387">
        <w:t>φ</w:t>
      </w:r>
      <w:r w:rsidRPr="009320C8">
        <w:t xml:space="preserve"> fit is valid are:</w:t>
      </w:r>
    </w:p>
    <w:tbl>
      <w:tblPr>
        <w:tblW w:w="5000" w:type="pct"/>
        <w:tblLook w:val="04A0" w:firstRow="1" w:lastRow="0" w:firstColumn="1" w:lastColumn="0" w:noHBand="0" w:noVBand="1"/>
      </w:tblPr>
      <w:tblGrid>
        <w:gridCol w:w="7984"/>
        <w:gridCol w:w="803"/>
      </w:tblGrid>
      <w:tr w:rsidR="00787F04" w:rsidRPr="00B57B36" w14:paraId="73C374A2" w14:textId="77777777" w:rsidTr="007009D0">
        <w:tc>
          <w:tcPr>
            <w:tcW w:w="7984" w:type="dxa"/>
            <w:shd w:val="clear" w:color="auto" w:fill="auto"/>
            <w:vAlign w:val="center"/>
          </w:tcPr>
          <w:p w14:paraId="759A6AFD" w14:textId="0B352CA6" w:rsidR="00787F04" w:rsidRPr="0092254A" w:rsidRDefault="009204A6" w:rsidP="007009D0">
            <w:pPr>
              <w:spacing w:before="180"/>
              <w:rPr>
                <w:rFonts w:eastAsiaTheme="minorEastAsia"/>
              </w:rPr>
            </w:pPr>
            <m:oMathPara>
              <m:oMathParaPr>
                <m:jc m:val="left"/>
              </m:oMathParaPr>
              <m:oMath>
                <m:f>
                  <m:fPr>
                    <m:ctrlPr>
                      <w:rPr>
                        <w:rFonts w:ascii="Cambria Math" w:hAnsi="Cambria Math"/>
                        <w:i/>
                      </w:rPr>
                    </m:ctrlPr>
                  </m:fPr>
                  <m:num>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f</m:t>
                            </m:r>
                          </m:sub>
                        </m:sSub>
                      </m:e>
                    </m:d>
                  </m:num>
                  <m:den>
                    <m:r>
                      <w:rPr>
                        <w:rFonts w:ascii="Cambria Math" w:hAnsi="Cambria Math"/>
                      </w:rPr>
                      <m:t>R</m:t>
                    </m:r>
                  </m:den>
                </m:f>
                <m:r>
                  <w:rPr>
                    <w:rFonts w:ascii="Cambria Math" w:hAnsi="Cambria Math"/>
                  </w:rPr>
                  <m:t xml:space="preserve">≥1 and </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f</m:t>
                        </m:r>
                      </m:sub>
                    </m:sSub>
                  </m:num>
                  <m:den>
                    <m:sSub>
                      <m:sSubPr>
                        <m:ctrlPr>
                          <w:rPr>
                            <w:rFonts w:ascii="Cambria Math" w:hAnsi="Cambria Math"/>
                            <w:i/>
                          </w:rPr>
                        </m:ctrlPr>
                      </m:sSubPr>
                      <m:e>
                        <m:r>
                          <w:rPr>
                            <w:rFonts w:ascii="Cambria Math" w:hAnsi="Cambria Math"/>
                          </w:rPr>
                          <m:t>H</m:t>
                        </m:r>
                      </m:e>
                      <m:sub>
                        <m:r>
                          <w:rPr>
                            <w:rFonts w:ascii="Cambria Math" w:hAnsi="Cambria Math"/>
                          </w:rPr>
                          <m:t>c</m:t>
                        </m:r>
                      </m:sub>
                    </m:sSub>
                  </m:den>
                </m:f>
                <m:r>
                  <w:rPr>
                    <w:rFonts w:ascii="Cambria Math" w:hAnsi="Cambria Math"/>
                  </w:rPr>
                  <m:t xml:space="preserve">≥3 </m:t>
                </m:r>
              </m:oMath>
            </m:oMathPara>
          </w:p>
        </w:tc>
        <w:tc>
          <w:tcPr>
            <w:tcW w:w="803" w:type="dxa"/>
            <w:shd w:val="clear" w:color="auto" w:fill="auto"/>
            <w:vAlign w:val="center"/>
          </w:tcPr>
          <w:p w14:paraId="40075137" w14:textId="1446354D" w:rsidR="00787F04" w:rsidRPr="00B57B36" w:rsidRDefault="00787F04" w:rsidP="007009D0">
            <w:pPr>
              <w:pStyle w:val="CETEquation"/>
              <w:jc w:val="right"/>
            </w:pPr>
            <w:r w:rsidRPr="00B57B36">
              <w:t>(</w:t>
            </w:r>
            <w:r w:rsidR="00F65387">
              <w:t>15</w:t>
            </w:r>
            <w:r w:rsidRPr="00B57B36">
              <w:t>)</w:t>
            </w:r>
          </w:p>
        </w:tc>
      </w:tr>
    </w:tbl>
    <w:p w14:paraId="71DEE00F" w14:textId="18140736" w:rsidR="00EE3D9C" w:rsidRPr="00B57B36" w:rsidRDefault="00C20507" w:rsidP="00EE3D9C">
      <w:pPr>
        <w:pStyle w:val="CETHeading1"/>
        <w:rPr>
          <w:lang w:val="en-GB"/>
        </w:rPr>
      </w:pPr>
      <w:r>
        <w:rPr>
          <w:lang w:val="en-GB"/>
        </w:rPr>
        <w:t>Result discussion</w:t>
      </w:r>
    </w:p>
    <w:p w14:paraId="21195C82" w14:textId="1D5AD1D5" w:rsidR="00E20335" w:rsidRDefault="00CF6F94" w:rsidP="005C44D6">
      <w:r>
        <w:t>The two formula</w:t>
      </w:r>
      <w:r w:rsidR="00AD2E03">
        <w:t>s</w:t>
      </w:r>
      <w:r>
        <w:t xml:space="preserve"> provided above enable the calculation of the maximum electric field along the wall of a silo without the need for finite element </w:t>
      </w:r>
      <w:r w:rsidR="00296F90">
        <w:t>modelling</w:t>
      </w:r>
      <w:r>
        <w:t>. This applies to both a powder with infinite resistivity and a case where charge relaxation is considered. To determine the electrostatic field on the silo wall, it is recommended to use the geometrical factor for a powder with charge relaxation if the container dimensions and powder quantity meet the condition (H-H</w:t>
      </w:r>
      <w:r w:rsidRPr="00CF6F94">
        <w:rPr>
          <w:vertAlign w:val="subscript"/>
        </w:rPr>
        <w:t>f</w:t>
      </w:r>
      <w:r>
        <w:t xml:space="preserve">)/R </w:t>
      </w:r>
      <w:r>
        <w:rPr>
          <w:rFonts w:cs="Arial"/>
        </w:rPr>
        <w:t xml:space="preserve">≥ </w:t>
      </w:r>
      <w:r>
        <w:t>1</w:t>
      </w:r>
      <w:r w:rsidR="00B157AF">
        <w:t xml:space="preserve"> and the charge </w:t>
      </w:r>
      <w:r w:rsidR="000940BE">
        <w:t>layer thickness</w:t>
      </w:r>
      <w:r w:rsidR="00B157AF">
        <w:t xml:space="preserve"> </w:t>
      </w:r>
      <w:r w:rsidR="000940BE">
        <w:t xml:space="preserve">meet the condition </w:t>
      </w:r>
      <w:r w:rsidR="00B157AF">
        <w:t>H</w:t>
      </w:r>
      <w:r w:rsidR="00B157AF" w:rsidRPr="000940BE">
        <w:rPr>
          <w:vertAlign w:val="subscript"/>
        </w:rPr>
        <w:t>f</w:t>
      </w:r>
      <w:r w:rsidR="00B157AF">
        <w:t>/H</w:t>
      </w:r>
      <w:r w:rsidR="00B157AF" w:rsidRPr="000940BE">
        <w:rPr>
          <w:vertAlign w:val="subscript"/>
        </w:rPr>
        <w:t>c</w:t>
      </w:r>
      <w:r w:rsidR="00B157AF">
        <w:t xml:space="preserve"> </w:t>
      </w:r>
      <w:r w:rsidR="00B157AF">
        <w:rPr>
          <w:rFonts w:cs="Arial"/>
        </w:rPr>
        <w:t>≥ 3</w:t>
      </w:r>
      <w:r>
        <w:t>. If this condition is not met, it is advised to use the geometrical factor for a powder with infinite resistivity, provided</w:t>
      </w:r>
      <w:r w:rsidR="00A434A5">
        <w:t xml:space="preserve"> that</w:t>
      </w:r>
      <w:r>
        <w:t xml:space="preserve"> (H-H</w:t>
      </w:r>
      <w:r w:rsidRPr="00CF6F94">
        <w:rPr>
          <w:vertAlign w:val="subscript"/>
        </w:rPr>
        <w:t>f</w:t>
      </w:r>
      <w:r>
        <w:t>)/R &gt; 0.25.</w:t>
      </w:r>
      <w:r w:rsidR="00AB3D74">
        <w:t xml:space="preserve">The formula for infinite resistivity is however of limited practical value, because the resulting electrical field for any realistic combination of parameters would still be in the critical range, i.e. above 500 kV/m. </w:t>
      </w:r>
      <w:r w:rsidR="00E20335" w:rsidRPr="00E20335">
        <w:t xml:space="preserve">On the other </w:t>
      </w:r>
      <w:r w:rsidR="00F375F8" w:rsidRPr="00E20335">
        <w:t>hand,</w:t>
      </w:r>
      <w:r w:rsidR="00E20335" w:rsidRPr="00E20335">
        <w:t xml:space="preserve"> the concept of the charged layer shows the significant effect of the powder resistivity on the electrical field E</w:t>
      </w:r>
      <w:r w:rsidR="00E20335" w:rsidRPr="00FC58E3">
        <w:rPr>
          <w:vertAlign w:val="subscript"/>
        </w:rPr>
        <w:t>Smax</w:t>
      </w:r>
      <w:r w:rsidR="00E20335" w:rsidRPr="00E20335">
        <w:t xml:space="preserve"> and open the chance to actively control E</w:t>
      </w:r>
      <w:r w:rsidR="00E20335" w:rsidRPr="00FC58E3">
        <w:rPr>
          <w:vertAlign w:val="subscript"/>
        </w:rPr>
        <w:t>Smax</w:t>
      </w:r>
      <w:r w:rsidR="00E20335" w:rsidRPr="00E20335">
        <w:t xml:space="preserve"> with the dosage rate. </w:t>
      </w:r>
    </w:p>
    <w:p w14:paraId="1705F71E" w14:textId="77777777" w:rsidR="00E20335" w:rsidRDefault="00E20335" w:rsidP="005C44D6"/>
    <w:p w14:paraId="07044F23" w14:textId="31323FC7" w:rsidR="000D6B68" w:rsidRDefault="007C444A" w:rsidP="005C44D6">
      <w:r w:rsidRPr="007C444A">
        <w:t>Since the condition for the neglection of cone discharges in E</w:t>
      </w:r>
      <w:r w:rsidRPr="007C444A">
        <w:rPr>
          <w:vertAlign w:val="subscript"/>
        </w:rPr>
        <w:t>Smax</w:t>
      </w:r>
      <w:r w:rsidRPr="007C444A">
        <w:t xml:space="preserve"> &lt;</w:t>
      </w:r>
      <w:r>
        <w:t xml:space="preserve"> </w:t>
      </w:r>
      <w:r w:rsidRPr="007C444A">
        <w:t>500kV we obtain from</w:t>
      </w:r>
      <w:r>
        <w:t xml:space="preserve"> 13:</w:t>
      </w:r>
    </w:p>
    <w:tbl>
      <w:tblPr>
        <w:tblW w:w="5000" w:type="pct"/>
        <w:tblLook w:val="04A0" w:firstRow="1" w:lastRow="0" w:firstColumn="1" w:lastColumn="0" w:noHBand="0" w:noVBand="1"/>
      </w:tblPr>
      <w:tblGrid>
        <w:gridCol w:w="7984"/>
        <w:gridCol w:w="803"/>
      </w:tblGrid>
      <w:tr w:rsidR="00037CBD" w:rsidRPr="00B57B36" w14:paraId="643C1F27" w14:textId="77777777" w:rsidTr="007009D0">
        <w:tc>
          <w:tcPr>
            <w:tcW w:w="7984" w:type="dxa"/>
            <w:shd w:val="clear" w:color="auto" w:fill="auto"/>
            <w:vAlign w:val="center"/>
          </w:tcPr>
          <w:p w14:paraId="549E4671" w14:textId="17391C7A" w:rsidR="00037CBD" w:rsidRPr="0092254A" w:rsidRDefault="00803297" w:rsidP="007009D0">
            <w:pPr>
              <w:spacing w:before="180"/>
              <w:rPr>
                <w:rFonts w:eastAsiaTheme="minorEastAsia"/>
              </w:rPr>
            </w:pPr>
            <m:oMathPara>
              <m:oMathParaPr>
                <m:jc m:val="left"/>
              </m:oMathParaPr>
              <m:oMath>
                <m:r>
                  <w:rPr>
                    <w:rFonts w:ascii="Cambria Math" w:hAnsi="Cambria Math"/>
                  </w:rPr>
                  <m:t>φ</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m:t>
                            </m:r>
                          </m:sub>
                        </m:sSub>
                      </m:num>
                      <m:den>
                        <m:r>
                          <w:rPr>
                            <w:rFonts w:ascii="Cambria Math" w:hAnsi="Cambria Math"/>
                          </w:rPr>
                          <m:t>R</m:t>
                        </m:r>
                      </m:den>
                    </m:f>
                  </m:e>
                </m:d>
                <m:r>
                  <w:rPr>
                    <w:rFonts w:ascii="Cambria Math" w:hAnsi="Cambria Math"/>
                  </w:rPr>
                  <m:t xml:space="preserve">&lt; </m:t>
                </m:r>
                <m:f>
                  <m:fPr>
                    <m:ctrlPr>
                      <w:rPr>
                        <w:rFonts w:ascii="Cambria Math" w:hAnsi="Cambria Math"/>
                        <w:i/>
                      </w:rPr>
                    </m:ctrlPr>
                  </m:fPr>
                  <m:num>
                    <m:r>
                      <w:rPr>
                        <w:rFonts w:ascii="Cambria Math" w:hAnsi="Cambria Math"/>
                      </w:rPr>
                      <m:t>2</m:t>
                    </m:r>
                    <m:r>
                      <w:rPr>
                        <w:rFonts w:ascii="Times New Roman" w:hAnsi="Times New Roman"/>
                      </w:rPr>
                      <m:t>‧</m:t>
                    </m:r>
                    <m:r>
                      <w:rPr>
                        <w:rFonts w:ascii="Cambria Math" w:hAnsi="Cambria Math"/>
                      </w:rPr>
                      <m:t>ε</m:t>
                    </m:r>
                    <m:r>
                      <w:rPr>
                        <w:rFonts w:ascii="Times New Roman" w:hAnsi="Times New Roman"/>
                      </w:rPr>
                      <m:t>‧</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Times New Roman" w:hAnsi="Times New Roman"/>
                      </w:rPr>
                      <m:t>‧</m:t>
                    </m:r>
                    <m:sSub>
                      <m:sSubPr>
                        <m:ctrlPr>
                          <w:rPr>
                            <w:rFonts w:ascii="Cambria Math" w:hAnsi="Cambria Math"/>
                            <w:i/>
                          </w:rPr>
                        </m:ctrlPr>
                      </m:sSubPr>
                      <m:e>
                        <m:r>
                          <w:rPr>
                            <w:rFonts w:ascii="Cambria Math" w:hAnsi="Cambria Math"/>
                          </w:rPr>
                          <m:t>E</m:t>
                        </m:r>
                      </m:e>
                      <m:sub>
                        <m:r>
                          <w:rPr>
                            <w:rFonts w:ascii="Cambria Math" w:hAnsi="Cambria Math"/>
                          </w:rPr>
                          <m:t>Smax,crit</m:t>
                        </m:r>
                      </m:sub>
                    </m:sSub>
                  </m:num>
                  <m:den>
                    <m:r>
                      <w:rPr>
                        <w:rFonts w:ascii="Cambria Math" w:hAnsi="Cambria Math"/>
                      </w:rPr>
                      <m:t>δ</m:t>
                    </m:r>
                    <m:sSub>
                      <m:sSubPr>
                        <m:ctrlPr>
                          <w:rPr>
                            <w:rFonts w:ascii="Cambria Math" w:hAnsi="Cambria Math"/>
                            <w:i/>
                          </w:rPr>
                        </m:ctrlPr>
                      </m:sSubPr>
                      <m:e>
                        <m:r>
                          <w:rPr>
                            <w:rFonts w:ascii="Times New Roman" w:hAnsi="Times New Roman"/>
                          </w:rPr>
                          <m:t>‧</m:t>
                        </m:r>
                        <m:r>
                          <w:rPr>
                            <w:rFonts w:ascii="Cambria Math" w:hAnsi="Cambria Math"/>
                          </w:rPr>
                          <m:t>q</m:t>
                        </m:r>
                      </m:e>
                      <m:sub>
                        <m:r>
                          <w:rPr>
                            <w:rFonts w:ascii="Cambria Math" w:hAnsi="Cambria Math"/>
                          </w:rPr>
                          <m:t>m0</m:t>
                        </m:r>
                      </m:sub>
                    </m:sSub>
                    <m:r>
                      <w:rPr>
                        <w:rFonts w:ascii="Times New Roman" w:hAnsi="Times New Roman"/>
                      </w:rPr>
                      <m:t>‧</m:t>
                    </m:r>
                    <m:r>
                      <w:rPr>
                        <w:rFonts w:ascii="Cambria Math" w:hAnsi="Cambria Math"/>
                      </w:rPr>
                      <m:t>R</m:t>
                    </m:r>
                  </m:den>
                </m:f>
              </m:oMath>
            </m:oMathPara>
          </w:p>
        </w:tc>
        <w:tc>
          <w:tcPr>
            <w:tcW w:w="803" w:type="dxa"/>
            <w:shd w:val="clear" w:color="auto" w:fill="auto"/>
            <w:vAlign w:val="center"/>
          </w:tcPr>
          <w:p w14:paraId="57013431" w14:textId="23A7FF5E" w:rsidR="00037CBD" w:rsidRPr="00B57B36" w:rsidRDefault="00037CBD" w:rsidP="007009D0">
            <w:pPr>
              <w:pStyle w:val="CETEquation"/>
              <w:jc w:val="right"/>
            </w:pPr>
            <w:r w:rsidRPr="00B57B36">
              <w:t>(</w:t>
            </w:r>
            <w:r>
              <w:t>16</w:t>
            </w:r>
            <w:r w:rsidRPr="00B57B36">
              <w:t>)</w:t>
            </w:r>
          </w:p>
        </w:tc>
      </w:tr>
    </w:tbl>
    <w:p w14:paraId="537AC81E" w14:textId="77777777" w:rsidR="000D6B68" w:rsidRDefault="000D6B68" w:rsidP="005C44D6"/>
    <w:p w14:paraId="2BE5EC6D" w14:textId="6EB2F0C4" w:rsidR="00D6161E" w:rsidRDefault="00D6161E" w:rsidP="00D6161E">
      <w:r>
        <w:t xml:space="preserve">Which results for typical values of </w:t>
      </w:r>
      <w:r w:rsidRPr="00E21750">
        <w:rPr>
          <w:rFonts w:ascii="Symbol" w:hAnsi="Symbol"/>
        </w:rPr>
        <w:t>e</w:t>
      </w:r>
      <w:r>
        <w:t xml:space="preserve"> </w:t>
      </w:r>
      <w:r w:rsidR="000B7159">
        <w:t xml:space="preserve">(2) </w:t>
      </w:r>
      <w:r>
        <w:t xml:space="preserve">and </w:t>
      </w:r>
      <w:r w:rsidRPr="00E21750">
        <w:rPr>
          <w:rFonts w:ascii="Symbol" w:hAnsi="Symbol"/>
        </w:rPr>
        <w:t>d</w:t>
      </w:r>
      <w:r>
        <w:t xml:space="preserve"> </w:t>
      </w:r>
      <w:r w:rsidR="000B7159">
        <w:t>(</w:t>
      </w:r>
      <w:r w:rsidR="0086369D">
        <w:t>6</w:t>
      </w:r>
      <w:r w:rsidR="000B7159">
        <w:t>00 kg/m</w:t>
      </w:r>
      <w:r w:rsidR="000B7159" w:rsidRPr="000B7159">
        <w:rPr>
          <w:vertAlign w:val="superscript"/>
        </w:rPr>
        <w:t>3</w:t>
      </w:r>
      <w:r w:rsidR="000B7159">
        <w:t xml:space="preserve">) </w:t>
      </w:r>
      <w:r>
        <w:t>in</w:t>
      </w:r>
    </w:p>
    <w:tbl>
      <w:tblPr>
        <w:tblW w:w="5000" w:type="pct"/>
        <w:tblLook w:val="04A0" w:firstRow="1" w:lastRow="0" w:firstColumn="1" w:lastColumn="0" w:noHBand="0" w:noVBand="1"/>
      </w:tblPr>
      <w:tblGrid>
        <w:gridCol w:w="7984"/>
        <w:gridCol w:w="803"/>
      </w:tblGrid>
      <w:tr w:rsidR="00257350" w:rsidRPr="00B57B36" w14:paraId="2F74EB9D" w14:textId="77777777" w:rsidTr="007009D0">
        <w:tc>
          <w:tcPr>
            <w:tcW w:w="7984" w:type="dxa"/>
            <w:shd w:val="clear" w:color="auto" w:fill="auto"/>
            <w:vAlign w:val="center"/>
          </w:tcPr>
          <w:p w14:paraId="73725510" w14:textId="5E040914" w:rsidR="00257350" w:rsidRPr="0092254A" w:rsidRDefault="00677CF1" w:rsidP="007009D0">
            <w:pPr>
              <w:spacing w:before="180"/>
              <w:rPr>
                <w:rFonts w:eastAsiaTheme="minorEastAsia"/>
              </w:rPr>
            </w:pPr>
            <m:oMathPara>
              <m:oMathParaPr>
                <m:jc m:val="left"/>
              </m:oMathParaPr>
              <m:oMath>
                <m:r>
                  <w:rPr>
                    <w:rFonts w:ascii="Cambria Math" w:hAnsi="Cambria Math"/>
                  </w:rPr>
                  <m:t>φ</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m:t>
                            </m:r>
                          </m:sub>
                        </m:sSub>
                      </m:num>
                      <m:den>
                        <m:r>
                          <w:rPr>
                            <w:rFonts w:ascii="Cambria Math" w:hAnsi="Cambria Math"/>
                          </w:rPr>
                          <m:t>R</m:t>
                        </m:r>
                      </m:den>
                    </m:f>
                  </m:e>
                </m:d>
                <m:r>
                  <w:rPr>
                    <w:rFonts w:ascii="Cambria Math" w:hAnsi="Cambria Math"/>
                  </w:rPr>
                  <m:t>&lt;</m:t>
                </m:r>
                <m:f>
                  <m:fPr>
                    <m:ctrlPr>
                      <w:rPr>
                        <w:rFonts w:ascii="Cambria Math" w:hAnsi="Cambria Math"/>
                        <w:i/>
                      </w:rPr>
                    </m:ctrlPr>
                  </m:fPr>
                  <m:num>
                    <m:r>
                      <w:rPr>
                        <w:rFonts w:ascii="Cambria Math" w:hAnsi="Cambria Math"/>
                      </w:rPr>
                      <m:t>30 nC/kg</m:t>
                    </m:r>
                  </m:num>
                  <m:den>
                    <m:sSub>
                      <m:sSubPr>
                        <m:ctrlPr>
                          <w:rPr>
                            <w:rFonts w:ascii="Cambria Math" w:hAnsi="Cambria Math"/>
                            <w:i/>
                          </w:rPr>
                        </m:ctrlPr>
                      </m:sSubPr>
                      <m:e>
                        <m:r>
                          <w:rPr>
                            <w:rFonts w:ascii="Cambria Math" w:hAnsi="Cambria Math"/>
                          </w:rPr>
                          <m:t>q</m:t>
                        </m:r>
                      </m:e>
                      <m:sub>
                        <m:r>
                          <w:rPr>
                            <w:rFonts w:ascii="Cambria Math" w:hAnsi="Cambria Math"/>
                          </w:rPr>
                          <m:t>m0</m:t>
                        </m:r>
                      </m:sub>
                    </m:sSub>
                    <m:r>
                      <w:rPr>
                        <w:rFonts w:ascii="Times New Roman" w:hAnsi="Times New Roman"/>
                      </w:rPr>
                      <m:t>‧</m:t>
                    </m:r>
                    <m:r>
                      <w:rPr>
                        <w:rFonts w:ascii="Cambria Math" w:hAnsi="Cambria Math"/>
                      </w:rPr>
                      <m:t>R</m:t>
                    </m:r>
                  </m:den>
                </m:f>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crit</m:t>
                    </m:r>
                  </m:sub>
                </m:sSub>
              </m:oMath>
            </m:oMathPara>
          </w:p>
        </w:tc>
        <w:tc>
          <w:tcPr>
            <w:tcW w:w="803" w:type="dxa"/>
            <w:shd w:val="clear" w:color="auto" w:fill="auto"/>
            <w:vAlign w:val="center"/>
          </w:tcPr>
          <w:p w14:paraId="04363AA8" w14:textId="77777777" w:rsidR="00257350" w:rsidRPr="00B57B36" w:rsidRDefault="00257350" w:rsidP="007009D0">
            <w:pPr>
              <w:pStyle w:val="CETEquation"/>
              <w:jc w:val="right"/>
            </w:pPr>
            <w:r w:rsidRPr="00B57B36">
              <w:t>(</w:t>
            </w:r>
            <w:r>
              <w:t>16</w:t>
            </w:r>
            <w:r w:rsidRPr="00B57B36">
              <w:t>)</w:t>
            </w:r>
          </w:p>
        </w:tc>
      </w:tr>
    </w:tbl>
    <w:p w14:paraId="13C17D8B" w14:textId="495BAD7A" w:rsidR="00A65FCA" w:rsidRDefault="00A65FCA" w:rsidP="005C44D6"/>
    <w:p w14:paraId="5727169B" w14:textId="2809B1D9" w:rsidR="002578BF" w:rsidRPr="002578BF" w:rsidRDefault="002578BF" w:rsidP="002578BF">
      <w:pPr>
        <w:rPr>
          <w:lang w:val="en-US"/>
        </w:rPr>
      </w:pPr>
      <w:r w:rsidRPr="002578BF">
        <w:rPr>
          <w:lang w:val="en-US"/>
        </w:rPr>
        <w:t xml:space="preserve">The table below summarizes the values of </w:t>
      </w:r>
      <w:r w:rsidRPr="002578BF">
        <w:rPr>
          <w:lang w:val="de-CH"/>
        </w:rPr>
        <w:t>φ</w:t>
      </w:r>
      <w:r w:rsidRPr="002578BF">
        <w:rPr>
          <w:vertAlign w:val="subscript"/>
          <w:lang w:val="en-US"/>
        </w:rPr>
        <w:t>crit</w:t>
      </w:r>
      <w:r w:rsidRPr="002578BF">
        <w:rPr>
          <w:lang w:val="en-US"/>
        </w:rPr>
        <w:t xml:space="preserve"> for different values of</w:t>
      </w:r>
      <w:r>
        <w:rPr>
          <w:lang w:val="en-US"/>
        </w:rPr>
        <w:t xml:space="preserve"> container radius</w:t>
      </w:r>
      <w:r w:rsidRPr="002578BF">
        <w:rPr>
          <w:lang w:val="en-US"/>
        </w:rPr>
        <w:t xml:space="preserve"> and charge density.</w:t>
      </w:r>
    </w:p>
    <w:p w14:paraId="70C048E3" w14:textId="4DD16F05" w:rsidR="00A65FCA" w:rsidRPr="00B57B36" w:rsidRDefault="00A65FCA" w:rsidP="00A65FCA">
      <w:pPr>
        <w:pStyle w:val="CETTabletitle"/>
      </w:pPr>
      <w:r w:rsidRPr="00B57B36">
        <w:t xml:space="preserve">Table 1: </w:t>
      </w:r>
      <w:r w:rsidR="00877238">
        <w:t xml:space="preserve">Limit values for </w:t>
      </w:r>
      <w:r w:rsidR="00877238" w:rsidRPr="003205CF">
        <w:rPr>
          <w:rFonts w:ascii="Symbol" w:hAnsi="Symbol"/>
        </w:rPr>
        <w:t>j</w:t>
      </w:r>
      <w:r w:rsidR="00877238">
        <w:t xml:space="preserve"> to fulfill the condition E</w:t>
      </w:r>
      <w:r w:rsidR="00877238" w:rsidRPr="00CA3527">
        <w:rPr>
          <w:vertAlign w:val="subscript"/>
        </w:rPr>
        <w:t>Smax</w:t>
      </w:r>
      <w:r w:rsidR="00877238">
        <w:t xml:space="preserve"> &lt; 500 kV/m for typical values of </w:t>
      </w:r>
      <w:r w:rsidR="00877238" w:rsidRPr="00E21750">
        <w:rPr>
          <w:rFonts w:ascii="Symbol" w:hAnsi="Symbol"/>
        </w:rPr>
        <w:t>e</w:t>
      </w:r>
      <w:r w:rsidR="00877238">
        <w:t xml:space="preserve"> and </w:t>
      </w:r>
      <w:r w:rsidR="00877238" w:rsidRPr="00E21750">
        <w:rPr>
          <w:rFonts w:ascii="Symbol" w:hAnsi="Symbol"/>
        </w:rPr>
        <w:t>d</w:t>
      </w:r>
      <w:r w:rsidR="00877238">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077"/>
        <w:gridCol w:w="1077"/>
        <w:gridCol w:w="1077"/>
        <w:gridCol w:w="1077"/>
        <w:gridCol w:w="1078"/>
      </w:tblGrid>
      <w:tr w:rsidR="00782012" w:rsidRPr="00B57B36" w14:paraId="2C19A3AA" w14:textId="6E36E12A" w:rsidTr="00EF1ACB">
        <w:trPr>
          <w:trHeight w:val="340"/>
        </w:trPr>
        <w:tc>
          <w:tcPr>
            <w:tcW w:w="1418" w:type="dxa"/>
            <w:vMerge w:val="restart"/>
            <w:tcBorders>
              <w:top w:val="single" w:sz="12" w:space="0" w:color="008000"/>
            </w:tcBorders>
            <w:shd w:val="clear" w:color="auto" w:fill="FFFFFF"/>
            <w:vAlign w:val="center"/>
          </w:tcPr>
          <w:p w14:paraId="088EC77A" w14:textId="77777777" w:rsidR="00782012" w:rsidRDefault="00782012" w:rsidP="00841022">
            <w:pPr>
              <w:pStyle w:val="CETBodytext"/>
              <w:jc w:val="left"/>
              <w:rPr>
                <w:lang w:val="en-GB"/>
              </w:rPr>
            </w:pPr>
            <w:r>
              <w:rPr>
                <w:lang w:val="en-GB"/>
              </w:rPr>
              <w:t>Charge density</w:t>
            </w:r>
            <w:r w:rsidRPr="00B57B36">
              <w:rPr>
                <w:lang w:val="en-GB"/>
              </w:rPr>
              <w:t xml:space="preserve"> </w:t>
            </w:r>
          </w:p>
          <w:p w14:paraId="1BB9257A" w14:textId="779B7FCA" w:rsidR="00782012" w:rsidRPr="00B57B36" w:rsidRDefault="00782012" w:rsidP="00841022">
            <w:pPr>
              <w:pStyle w:val="CETBodytext"/>
              <w:jc w:val="left"/>
              <w:rPr>
                <w:lang w:val="en-GB"/>
              </w:rPr>
            </w:pPr>
            <w:r>
              <w:rPr>
                <w:lang w:val="en-GB"/>
              </w:rPr>
              <w:t>(nC/kg)</w:t>
            </w:r>
          </w:p>
        </w:tc>
        <w:tc>
          <w:tcPr>
            <w:tcW w:w="5386" w:type="dxa"/>
            <w:gridSpan w:val="5"/>
            <w:tcBorders>
              <w:top w:val="single" w:sz="12" w:space="0" w:color="008000"/>
              <w:bottom w:val="single" w:sz="6" w:space="0" w:color="008000"/>
            </w:tcBorders>
            <w:shd w:val="clear" w:color="auto" w:fill="FFFFFF"/>
            <w:vAlign w:val="center"/>
          </w:tcPr>
          <w:p w14:paraId="4A68E851" w14:textId="7E83E8D7" w:rsidR="00782012" w:rsidRPr="00B57B36" w:rsidRDefault="00782012" w:rsidP="00EF1ACB">
            <w:pPr>
              <w:pStyle w:val="CETBodytext"/>
              <w:ind w:right="-1"/>
              <w:jc w:val="left"/>
              <w:rPr>
                <w:rFonts w:cs="Arial"/>
                <w:szCs w:val="18"/>
                <w:lang w:val="en-GB"/>
              </w:rPr>
            </w:pPr>
            <w:r>
              <w:rPr>
                <w:lang w:val="en-GB"/>
              </w:rPr>
              <w:t>Radius R (m)</w:t>
            </w:r>
          </w:p>
        </w:tc>
      </w:tr>
      <w:tr w:rsidR="00782012" w:rsidRPr="00B57B36" w14:paraId="2A255AB6" w14:textId="77777777" w:rsidTr="00EF1ACB">
        <w:trPr>
          <w:trHeight w:val="340"/>
        </w:trPr>
        <w:tc>
          <w:tcPr>
            <w:tcW w:w="1418" w:type="dxa"/>
            <w:vMerge/>
            <w:tcBorders>
              <w:bottom w:val="single" w:sz="6" w:space="0" w:color="008000"/>
            </w:tcBorders>
            <w:shd w:val="clear" w:color="auto" w:fill="FFFFFF"/>
          </w:tcPr>
          <w:p w14:paraId="37F5C19A" w14:textId="77777777" w:rsidR="00782012" w:rsidRDefault="00782012" w:rsidP="007009D0">
            <w:pPr>
              <w:pStyle w:val="CETBodytext"/>
              <w:rPr>
                <w:lang w:val="en-GB"/>
              </w:rPr>
            </w:pPr>
          </w:p>
        </w:tc>
        <w:tc>
          <w:tcPr>
            <w:tcW w:w="1077" w:type="dxa"/>
            <w:tcBorders>
              <w:top w:val="single" w:sz="12" w:space="0" w:color="008000"/>
              <w:bottom w:val="single" w:sz="6" w:space="0" w:color="008000"/>
            </w:tcBorders>
            <w:shd w:val="clear" w:color="auto" w:fill="FFFFFF"/>
            <w:vAlign w:val="center"/>
          </w:tcPr>
          <w:p w14:paraId="41142E61" w14:textId="72BB907A" w:rsidR="00782012" w:rsidRDefault="00782012" w:rsidP="00EF1ACB">
            <w:pPr>
              <w:pStyle w:val="CETBodytext"/>
              <w:ind w:right="-1"/>
              <w:jc w:val="left"/>
              <w:rPr>
                <w:lang w:val="en-GB"/>
              </w:rPr>
            </w:pPr>
            <w:r>
              <w:rPr>
                <w:lang w:val="en-GB"/>
              </w:rPr>
              <w:t>0.25</w:t>
            </w:r>
          </w:p>
        </w:tc>
        <w:tc>
          <w:tcPr>
            <w:tcW w:w="1077" w:type="dxa"/>
            <w:tcBorders>
              <w:top w:val="single" w:sz="12" w:space="0" w:color="008000"/>
              <w:bottom w:val="single" w:sz="6" w:space="0" w:color="008000"/>
            </w:tcBorders>
            <w:shd w:val="clear" w:color="auto" w:fill="FFFFFF"/>
            <w:vAlign w:val="center"/>
          </w:tcPr>
          <w:p w14:paraId="3E4417E1" w14:textId="6CB7AEA9" w:rsidR="00782012" w:rsidRDefault="00782012" w:rsidP="00EF1ACB">
            <w:pPr>
              <w:pStyle w:val="CETBodytext"/>
              <w:ind w:right="-1"/>
              <w:jc w:val="left"/>
              <w:rPr>
                <w:lang w:val="en-GB"/>
              </w:rPr>
            </w:pPr>
            <w:r>
              <w:rPr>
                <w:lang w:val="en-GB"/>
              </w:rPr>
              <w:t>0.5</w:t>
            </w:r>
          </w:p>
        </w:tc>
        <w:tc>
          <w:tcPr>
            <w:tcW w:w="1077" w:type="dxa"/>
            <w:tcBorders>
              <w:top w:val="single" w:sz="12" w:space="0" w:color="008000"/>
              <w:bottom w:val="single" w:sz="6" w:space="0" w:color="008000"/>
            </w:tcBorders>
            <w:shd w:val="clear" w:color="auto" w:fill="FFFFFF"/>
            <w:vAlign w:val="center"/>
          </w:tcPr>
          <w:p w14:paraId="5554E801" w14:textId="5DB46854" w:rsidR="00782012" w:rsidRDefault="00782012" w:rsidP="00EF1ACB">
            <w:pPr>
              <w:pStyle w:val="CETBodytext"/>
              <w:ind w:right="-1"/>
              <w:jc w:val="left"/>
              <w:rPr>
                <w:lang w:val="en-GB"/>
              </w:rPr>
            </w:pPr>
            <w:r>
              <w:rPr>
                <w:lang w:val="en-GB"/>
              </w:rPr>
              <w:t>1</w:t>
            </w:r>
          </w:p>
        </w:tc>
        <w:tc>
          <w:tcPr>
            <w:tcW w:w="1077" w:type="dxa"/>
            <w:tcBorders>
              <w:top w:val="single" w:sz="12" w:space="0" w:color="008000"/>
              <w:bottom w:val="single" w:sz="6" w:space="0" w:color="008000"/>
            </w:tcBorders>
            <w:shd w:val="clear" w:color="auto" w:fill="FFFFFF"/>
            <w:vAlign w:val="center"/>
          </w:tcPr>
          <w:p w14:paraId="35556354" w14:textId="0139C39B" w:rsidR="00782012" w:rsidRDefault="00782012" w:rsidP="00EF1ACB">
            <w:pPr>
              <w:pStyle w:val="CETBodytext"/>
              <w:ind w:right="-1"/>
              <w:jc w:val="left"/>
              <w:rPr>
                <w:lang w:val="en-GB"/>
              </w:rPr>
            </w:pPr>
            <w:r>
              <w:rPr>
                <w:lang w:val="en-GB"/>
              </w:rPr>
              <w:t>1.5</w:t>
            </w:r>
          </w:p>
        </w:tc>
        <w:tc>
          <w:tcPr>
            <w:tcW w:w="1078" w:type="dxa"/>
            <w:tcBorders>
              <w:top w:val="single" w:sz="12" w:space="0" w:color="008000"/>
              <w:bottom w:val="single" w:sz="6" w:space="0" w:color="008000"/>
            </w:tcBorders>
            <w:shd w:val="clear" w:color="auto" w:fill="FFFFFF"/>
            <w:vAlign w:val="center"/>
          </w:tcPr>
          <w:p w14:paraId="6A110623" w14:textId="2011BBB8" w:rsidR="00782012" w:rsidRDefault="00782012" w:rsidP="00EF1ACB">
            <w:pPr>
              <w:pStyle w:val="CETBodytext"/>
              <w:ind w:right="-1"/>
              <w:jc w:val="left"/>
              <w:rPr>
                <w:lang w:val="en-GB"/>
              </w:rPr>
            </w:pPr>
            <w:r>
              <w:rPr>
                <w:lang w:val="en-GB"/>
              </w:rPr>
              <w:t>2</w:t>
            </w:r>
          </w:p>
        </w:tc>
      </w:tr>
      <w:tr w:rsidR="00841022" w:rsidRPr="00B57B36" w14:paraId="351373D1" w14:textId="2FC302B3" w:rsidTr="00EF1ACB">
        <w:trPr>
          <w:trHeight w:val="283"/>
        </w:trPr>
        <w:tc>
          <w:tcPr>
            <w:tcW w:w="1418" w:type="dxa"/>
            <w:shd w:val="clear" w:color="auto" w:fill="FFFFFF"/>
            <w:vAlign w:val="center"/>
          </w:tcPr>
          <w:p w14:paraId="6EA88905" w14:textId="7FD76159" w:rsidR="00841022" w:rsidRPr="00B57B36" w:rsidRDefault="00841022" w:rsidP="00841022">
            <w:pPr>
              <w:pStyle w:val="CETBodytext"/>
              <w:jc w:val="left"/>
              <w:rPr>
                <w:lang w:val="en-GB"/>
              </w:rPr>
            </w:pPr>
            <w:r>
              <w:rPr>
                <w:lang w:val="en-GB"/>
              </w:rPr>
              <w:t>1.0</w:t>
            </w:r>
          </w:p>
        </w:tc>
        <w:tc>
          <w:tcPr>
            <w:tcW w:w="1077" w:type="dxa"/>
            <w:shd w:val="clear" w:color="auto" w:fill="9BBB59" w:themeFill="accent3"/>
            <w:vAlign w:val="center"/>
          </w:tcPr>
          <w:p w14:paraId="529D83F8" w14:textId="2C4A1951" w:rsidR="00841022" w:rsidRPr="00B57B36" w:rsidRDefault="00841022" w:rsidP="00EF1ACB">
            <w:pPr>
              <w:pStyle w:val="CETBodytext"/>
              <w:jc w:val="left"/>
              <w:rPr>
                <w:lang w:val="en-GB"/>
              </w:rPr>
            </w:pPr>
            <w:r>
              <w:rPr>
                <w:lang w:val="en-GB"/>
              </w:rPr>
              <w:t>&gt; 1</w:t>
            </w:r>
          </w:p>
        </w:tc>
        <w:tc>
          <w:tcPr>
            <w:tcW w:w="1077" w:type="dxa"/>
            <w:shd w:val="clear" w:color="auto" w:fill="9BBB59" w:themeFill="accent3"/>
            <w:vAlign w:val="center"/>
          </w:tcPr>
          <w:p w14:paraId="7FDCA45F" w14:textId="15D8D83F" w:rsidR="00841022" w:rsidRPr="00B57B36" w:rsidRDefault="00841022" w:rsidP="00EF1ACB">
            <w:pPr>
              <w:pStyle w:val="CETBodytext"/>
              <w:jc w:val="left"/>
              <w:rPr>
                <w:lang w:val="en-GB"/>
              </w:rPr>
            </w:pPr>
            <w:r w:rsidRPr="00090C0C">
              <w:rPr>
                <w:lang w:val="en-GB"/>
              </w:rPr>
              <w:t>&gt; 1</w:t>
            </w:r>
          </w:p>
        </w:tc>
        <w:tc>
          <w:tcPr>
            <w:tcW w:w="1077" w:type="dxa"/>
            <w:shd w:val="clear" w:color="auto" w:fill="9BBB59" w:themeFill="accent3"/>
            <w:vAlign w:val="center"/>
          </w:tcPr>
          <w:p w14:paraId="4E9AC433" w14:textId="07277A08" w:rsidR="00841022" w:rsidRPr="00B57B36" w:rsidRDefault="00841022" w:rsidP="00EF1ACB">
            <w:pPr>
              <w:pStyle w:val="CETBodytext"/>
              <w:ind w:right="-1"/>
              <w:jc w:val="left"/>
              <w:rPr>
                <w:rFonts w:cs="Arial"/>
                <w:szCs w:val="18"/>
                <w:lang w:val="en-GB"/>
              </w:rPr>
            </w:pPr>
            <w:r w:rsidRPr="0079699E">
              <w:rPr>
                <w:lang w:val="en-GB"/>
              </w:rPr>
              <w:t>&gt; 1</w:t>
            </w:r>
          </w:p>
        </w:tc>
        <w:tc>
          <w:tcPr>
            <w:tcW w:w="1077" w:type="dxa"/>
            <w:shd w:val="clear" w:color="auto" w:fill="9BBB59" w:themeFill="accent3"/>
            <w:vAlign w:val="center"/>
          </w:tcPr>
          <w:p w14:paraId="2265C3C0" w14:textId="45B0B80E" w:rsidR="00841022" w:rsidRPr="00B57B36" w:rsidRDefault="00841022" w:rsidP="00EF1ACB">
            <w:pPr>
              <w:pStyle w:val="CETBodytext"/>
              <w:ind w:right="-1"/>
              <w:jc w:val="left"/>
              <w:rPr>
                <w:rFonts w:cs="Arial"/>
                <w:szCs w:val="18"/>
                <w:lang w:val="en-GB"/>
              </w:rPr>
            </w:pPr>
            <w:r w:rsidRPr="0079699E">
              <w:rPr>
                <w:lang w:val="en-GB"/>
              </w:rPr>
              <w:t>&gt; 1</w:t>
            </w:r>
          </w:p>
        </w:tc>
        <w:tc>
          <w:tcPr>
            <w:tcW w:w="1078" w:type="dxa"/>
            <w:shd w:val="clear" w:color="auto" w:fill="9BBB59" w:themeFill="accent3"/>
            <w:vAlign w:val="center"/>
          </w:tcPr>
          <w:p w14:paraId="674B6823" w14:textId="1C935542" w:rsidR="00841022" w:rsidRPr="00B57B36" w:rsidRDefault="00841022" w:rsidP="00EF1ACB">
            <w:pPr>
              <w:pStyle w:val="CETBodytext"/>
              <w:ind w:right="-1"/>
              <w:jc w:val="left"/>
              <w:rPr>
                <w:rFonts w:cs="Arial"/>
                <w:szCs w:val="18"/>
                <w:lang w:val="en-GB"/>
              </w:rPr>
            </w:pPr>
            <w:r w:rsidRPr="0079699E">
              <w:rPr>
                <w:lang w:val="en-GB"/>
              </w:rPr>
              <w:t>&gt; 1</w:t>
            </w:r>
          </w:p>
        </w:tc>
      </w:tr>
      <w:tr w:rsidR="00841022" w:rsidRPr="00B57B36" w14:paraId="518D4704" w14:textId="2C0F0162" w:rsidTr="00EF1ACB">
        <w:trPr>
          <w:trHeight w:val="283"/>
        </w:trPr>
        <w:tc>
          <w:tcPr>
            <w:tcW w:w="1418" w:type="dxa"/>
            <w:shd w:val="clear" w:color="auto" w:fill="FFFFFF"/>
            <w:vAlign w:val="center"/>
          </w:tcPr>
          <w:p w14:paraId="464EF550" w14:textId="04BE9916" w:rsidR="00841022" w:rsidRPr="00B57B36" w:rsidRDefault="00841022" w:rsidP="00841022">
            <w:pPr>
              <w:pStyle w:val="CETBodytext"/>
              <w:ind w:right="-1"/>
              <w:jc w:val="left"/>
              <w:rPr>
                <w:rFonts w:cs="Arial"/>
                <w:szCs w:val="18"/>
                <w:lang w:val="en-GB"/>
              </w:rPr>
            </w:pPr>
            <w:r>
              <w:rPr>
                <w:rFonts w:cs="Arial"/>
                <w:szCs w:val="18"/>
                <w:lang w:val="en-GB"/>
              </w:rPr>
              <w:t>1.0</w:t>
            </w:r>
            <w:r>
              <w:rPr>
                <w:rFonts w:ascii="Times New Roman" w:hAnsi="Times New Roman"/>
                <w:szCs w:val="18"/>
                <w:lang w:val="en-GB"/>
              </w:rPr>
              <w:t>‧</w:t>
            </w:r>
            <w:r>
              <w:rPr>
                <w:rFonts w:cs="Arial"/>
                <w:szCs w:val="18"/>
                <w:lang w:val="en-GB"/>
              </w:rPr>
              <w:t>10</w:t>
            </w:r>
            <w:r w:rsidRPr="000464E5">
              <w:rPr>
                <w:rFonts w:cs="Arial"/>
                <w:szCs w:val="18"/>
                <w:vertAlign w:val="superscript"/>
                <w:lang w:val="en-GB"/>
              </w:rPr>
              <w:t>1</w:t>
            </w:r>
          </w:p>
        </w:tc>
        <w:tc>
          <w:tcPr>
            <w:tcW w:w="1077" w:type="dxa"/>
            <w:shd w:val="clear" w:color="auto" w:fill="9BBB59" w:themeFill="accent3"/>
            <w:vAlign w:val="center"/>
          </w:tcPr>
          <w:p w14:paraId="5E25D67A" w14:textId="3B1A7FDD" w:rsidR="00841022" w:rsidRPr="00B57B36" w:rsidRDefault="00841022" w:rsidP="00EF1ACB">
            <w:pPr>
              <w:pStyle w:val="CETBodytext"/>
              <w:ind w:right="-1"/>
              <w:jc w:val="left"/>
              <w:rPr>
                <w:rFonts w:cs="Arial"/>
                <w:szCs w:val="18"/>
                <w:lang w:val="en-GB"/>
              </w:rPr>
            </w:pPr>
            <w:r w:rsidRPr="00391FF3">
              <w:rPr>
                <w:lang w:val="en-GB"/>
              </w:rPr>
              <w:t>&gt; 1</w:t>
            </w:r>
          </w:p>
        </w:tc>
        <w:tc>
          <w:tcPr>
            <w:tcW w:w="1077" w:type="dxa"/>
            <w:shd w:val="clear" w:color="auto" w:fill="9BBB59" w:themeFill="accent3"/>
            <w:vAlign w:val="center"/>
          </w:tcPr>
          <w:p w14:paraId="6CA1ED0B" w14:textId="3AECA8A7" w:rsidR="00841022" w:rsidRPr="00B57B36" w:rsidRDefault="00841022" w:rsidP="00EF1ACB">
            <w:pPr>
              <w:pStyle w:val="CETBodytext"/>
              <w:ind w:right="-1"/>
              <w:jc w:val="left"/>
              <w:rPr>
                <w:rFonts w:cs="Arial"/>
                <w:szCs w:val="18"/>
                <w:lang w:val="en-GB"/>
              </w:rPr>
            </w:pPr>
            <w:r w:rsidRPr="00090C0C">
              <w:rPr>
                <w:lang w:val="en-GB"/>
              </w:rPr>
              <w:t>&gt; 1</w:t>
            </w:r>
          </w:p>
        </w:tc>
        <w:tc>
          <w:tcPr>
            <w:tcW w:w="1077" w:type="dxa"/>
            <w:shd w:val="clear" w:color="auto" w:fill="9BBB59" w:themeFill="accent3"/>
            <w:vAlign w:val="center"/>
          </w:tcPr>
          <w:p w14:paraId="1B0FC053" w14:textId="1081268D" w:rsidR="00841022" w:rsidRPr="00B57B36" w:rsidRDefault="00841022" w:rsidP="00EF1ACB">
            <w:pPr>
              <w:pStyle w:val="CETBodytext"/>
              <w:ind w:right="-1"/>
              <w:jc w:val="left"/>
              <w:rPr>
                <w:rFonts w:cs="Arial"/>
                <w:szCs w:val="18"/>
                <w:lang w:val="en-GB"/>
              </w:rPr>
            </w:pPr>
            <w:r w:rsidRPr="0079699E">
              <w:rPr>
                <w:lang w:val="en-GB"/>
              </w:rPr>
              <w:t>&gt; 1</w:t>
            </w:r>
          </w:p>
        </w:tc>
        <w:tc>
          <w:tcPr>
            <w:tcW w:w="1077" w:type="dxa"/>
            <w:shd w:val="clear" w:color="auto" w:fill="9BBB59" w:themeFill="accent3"/>
            <w:vAlign w:val="center"/>
          </w:tcPr>
          <w:p w14:paraId="4651F769" w14:textId="2791B9D8" w:rsidR="00841022" w:rsidRPr="00B57B36" w:rsidRDefault="00841022" w:rsidP="00EF1ACB">
            <w:pPr>
              <w:pStyle w:val="CETBodytext"/>
              <w:ind w:right="-1"/>
              <w:jc w:val="left"/>
              <w:rPr>
                <w:rFonts w:cs="Arial"/>
                <w:szCs w:val="18"/>
                <w:lang w:val="en-GB"/>
              </w:rPr>
            </w:pPr>
            <w:r w:rsidRPr="0079699E">
              <w:rPr>
                <w:lang w:val="en-GB"/>
              </w:rPr>
              <w:t>&gt; 1</w:t>
            </w:r>
          </w:p>
        </w:tc>
        <w:tc>
          <w:tcPr>
            <w:tcW w:w="1078" w:type="dxa"/>
            <w:shd w:val="clear" w:color="auto" w:fill="9BBB59" w:themeFill="accent3"/>
            <w:vAlign w:val="center"/>
          </w:tcPr>
          <w:p w14:paraId="56B4E937" w14:textId="5B3A8AE2" w:rsidR="00841022" w:rsidRPr="00B57B36" w:rsidRDefault="00841022" w:rsidP="00EF1ACB">
            <w:pPr>
              <w:pStyle w:val="CETBodytext"/>
              <w:ind w:right="-1"/>
              <w:jc w:val="left"/>
              <w:rPr>
                <w:rFonts w:cs="Arial"/>
                <w:szCs w:val="18"/>
                <w:lang w:val="en-GB"/>
              </w:rPr>
            </w:pPr>
            <w:r w:rsidRPr="0079699E">
              <w:rPr>
                <w:lang w:val="en-GB"/>
              </w:rPr>
              <w:t>&gt; 1</w:t>
            </w:r>
          </w:p>
        </w:tc>
      </w:tr>
      <w:tr w:rsidR="00841022" w:rsidRPr="00B57B36" w14:paraId="375F5A6E" w14:textId="2DBF4765" w:rsidTr="00EF1ACB">
        <w:trPr>
          <w:trHeight w:val="283"/>
        </w:trPr>
        <w:tc>
          <w:tcPr>
            <w:tcW w:w="1418" w:type="dxa"/>
            <w:shd w:val="clear" w:color="auto" w:fill="FFFFFF"/>
            <w:vAlign w:val="center"/>
          </w:tcPr>
          <w:p w14:paraId="5DE87B44" w14:textId="1F038DE0" w:rsidR="00841022" w:rsidRPr="00B57B36" w:rsidRDefault="00841022" w:rsidP="00841022">
            <w:pPr>
              <w:pStyle w:val="CETBodytext"/>
              <w:ind w:right="-1"/>
              <w:jc w:val="left"/>
              <w:rPr>
                <w:rFonts w:cs="Arial"/>
                <w:szCs w:val="18"/>
                <w:lang w:val="en-GB"/>
              </w:rPr>
            </w:pPr>
            <w:r w:rsidRPr="001B4A56">
              <w:rPr>
                <w:rFonts w:cs="Arial"/>
                <w:szCs w:val="18"/>
                <w:lang w:val="en-GB"/>
              </w:rPr>
              <w:t>1.0</w:t>
            </w:r>
            <w:r w:rsidRPr="001B4A56">
              <w:rPr>
                <w:rFonts w:ascii="Times New Roman" w:hAnsi="Times New Roman"/>
                <w:szCs w:val="18"/>
                <w:lang w:val="en-GB"/>
              </w:rPr>
              <w:t>‧</w:t>
            </w:r>
            <w:r w:rsidRPr="001B4A56">
              <w:rPr>
                <w:rFonts w:cs="Arial"/>
                <w:szCs w:val="18"/>
                <w:lang w:val="en-GB"/>
              </w:rPr>
              <w:t>10</w:t>
            </w:r>
            <w:r>
              <w:rPr>
                <w:rFonts w:cs="Arial"/>
                <w:szCs w:val="18"/>
                <w:vertAlign w:val="superscript"/>
                <w:lang w:val="en-GB"/>
              </w:rPr>
              <w:t>2</w:t>
            </w:r>
          </w:p>
        </w:tc>
        <w:tc>
          <w:tcPr>
            <w:tcW w:w="1077" w:type="dxa"/>
            <w:shd w:val="clear" w:color="auto" w:fill="9BBB59" w:themeFill="accent3"/>
            <w:vAlign w:val="center"/>
          </w:tcPr>
          <w:p w14:paraId="3ACDDA49" w14:textId="02A80D7E" w:rsidR="00841022" w:rsidRPr="00B57B36" w:rsidRDefault="00841022" w:rsidP="00EF1ACB">
            <w:pPr>
              <w:pStyle w:val="CETBodytext"/>
              <w:ind w:right="-1"/>
              <w:jc w:val="left"/>
              <w:rPr>
                <w:rFonts w:cs="Arial"/>
                <w:szCs w:val="18"/>
                <w:lang w:val="en-GB"/>
              </w:rPr>
            </w:pPr>
            <w:r w:rsidRPr="00391FF3">
              <w:rPr>
                <w:lang w:val="en-GB"/>
              </w:rPr>
              <w:t>&gt; 1</w:t>
            </w:r>
          </w:p>
        </w:tc>
        <w:tc>
          <w:tcPr>
            <w:tcW w:w="1077" w:type="dxa"/>
            <w:shd w:val="clear" w:color="auto" w:fill="FFFF00"/>
            <w:vAlign w:val="center"/>
          </w:tcPr>
          <w:p w14:paraId="063C02A8" w14:textId="6BC976CC" w:rsidR="00841022" w:rsidRPr="00B57B36" w:rsidRDefault="00841022" w:rsidP="00EF1ACB">
            <w:pPr>
              <w:pStyle w:val="CETBodytext"/>
              <w:ind w:right="-1"/>
              <w:jc w:val="left"/>
              <w:rPr>
                <w:rFonts w:cs="Arial"/>
                <w:szCs w:val="18"/>
                <w:lang w:val="en-GB"/>
              </w:rPr>
            </w:pPr>
            <w:r>
              <w:rPr>
                <w:rFonts w:cs="Arial"/>
                <w:szCs w:val="18"/>
                <w:lang w:val="en-GB"/>
              </w:rPr>
              <w:t>6.0</w:t>
            </w:r>
            <w:r w:rsidRPr="00C8131A">
              <w:rPr>
                <w:rFonts w:ascii="Times New Roman" w:hAnsi="Times New Roman"/>
                <w:szCs w:val="18"/>
                <w:lang w:val="en-GB"/>
              </w:rPr>
              <w:t>‧</w:t>
            </w:r>
            <w:r w:rsidRPr="00C8131A">
              <w:rPr>
                <w:rFonts w:cs="Arial"/>
                <w:szCs w:val="18"/>
                <w:lang w:val="en-GB"/>
              </w:rPr>
              <w:t>10</w:t>
            </w:r>
            <w:r w:rsidRPr="00C8131A">
              <w:rPr>
                <w:rFonts w:cs="Arial"/>
                <w:szCs w:val="18"/>
                <w:vertAlign w:val="superscript"/>
                <w:lang w:val="en-GB"/>
              </w:rPr>
              <w:t>-1</w:t>
            </w:r>
          </w:p>
        </w:tc>
        <w:tc>
          <w:tcPr>
            <w:tcW w:w="1077" w:type="dxa"/>
            <w:shd w:val="clear" w:color="auto" w:fill="FFFF00"/>
            <w:vAlign w:val="center"/>
          </w:tcPr>
          <w:p w14:paraId="473E9C3B" w14:textId="521E6283" w:rsidR="00841022" w:rsidRPr="00B57B36" w:rsidRDefault="00336BC6" w:rsidP="00EF1ACB">
            <w:pPr>
              <w:pStyle w:val="CETBodytext"/>
              <w:ind w:right="-1"/>
              <w:jc w:val="left"/>
              <w:rPr>
                <w:rFonts w:cs="Arial"/>
                <w:szCs w:val="18"/>
                <w:lang w:val="en-GB"/>
              </w:rPr>
            </w:pPr>
            <w:r>
              <w:rPr>
                <w:rFonts w:cs="Arial"/>
                <w:szCs w:val="18"/>
                <w:lang w:val="en-GB"/>
              </w:rPr>
              <w:t>3.0</w:t>
            </w:r>
            <w:r w:rsidR="00841022" w:rsidRPr="00316ED6">
              <w:rPr>
                <w:rFonts w:ascii="Times New Roman" w:hAnsi="Times New Roman"/>
                <w:szCs w:val="18"/>
                <w:lang w:val="en-GB"/>
              </w:rPr>
              <w:t>‧</w:t>
            </w:r>
            <w:r w:rsidR="00841022" w:rsidRPr="00316ED6">
              <w:rPr>
                <w:rFonts w:cs="Arial"/>
                <w:szCs w:val="18"/>
                <w:lang w:val="en-GB"/>
              </w:rPr>
              <w:t>10</w:t>
            </w:r>
            <w:r w:rsidR="00841022" w:rsidRPr="00316ED6">
              <w:rPr>
                <w:rFonts w:cs="Arial"/>
                <w:szCs w:val="18"/>
                <w:vertAlign w:val="superscript"/>
                <w:lang w:val="en-GB"/>
              </w:rPr>
              <w:t>-1</w:t>
            </w:r>
          </w:p>
        </w:tc>
        <w:tc>
          <w:tcPr>
            <w:tcW w:w="1077" w:type="dxa"/>
            <w:shd w:val="clear" w:color="auto" w:fill="FFFF00"/>
            <w:vAlign w:val="center"/>
          </w:tcPr>
          <w:p w14:paraId="47FC5BEC" w14:textId="1E27F2E2" w:rsidR="00841022" w:rsidRPr="00B57B36" w:rsidRDefault="00225B72" w:rsidP="00EF1ACB">
            <w:pPr>
              <w:pStyle w:val="CETBodytext"/>
              <w:ind w:right="-1"/>
              <w:jc w:val="left"/>
              <w:rPr>
                <w:rFonts w:cs="Arial"/>
                <w:szCs w:val="18"/>
                <w:lang w:val="en-GB"/>
              </w:rPr>
            </w:pPr>
            <w:r>
              <w:rPr>
                <w:rFonts w:cs="Arial"/>
                <w:szCs w:val="18"/>
                <w:lang w:val="en-GB"/>
              </w:rPr>
              <w:t>2.0</w:t>
            </w:r>
            <w:r w:rsidR="00841022" w:rsidRPr="00316ED6">
              <w:rPr>
                <w:rFonts w:ascii="Times New Roman" w:hAnsi="Times New Roman"/>
                <w:szCs w:val="18"/>
                <w:lang w:val="en-GB"/>
              </w:rPr>
              <w:t>‧</w:t>
            </w:r>
            <w:r w:rsidR="00841022" w:rsidRPr="00316ED6">
              <w:rPr>
                <w:rFonts w:cs="Arial"/>
                <w:szCs w:val="18"/>
                <w:lang w:val="en-GB"/>
              </w:rPr>
              <w:t>10</w:t>
            </w:r>
            <w:r w:rsidR="00841022" w:rsidRPr="00316ED6">
              <w:rPr>
                <w:rFonts w:cs="Arial"/>
                <w:szCs w:val="18"/>
                <w:vertAlign w:val="superscript"/>
                <w:lang w:val="en-GB"/>
              </w:rPr>
              <w:t>-1</w:t>
            </w:r>
          </w:p>
        </w:tc>
        <w:tc>
          <w:tcPr>
            <w:tcW w:w="1078" w:type="dxa"/>
            <w:shd w:val="clear" w:color="auto" w:fill="FFFF00"/>
            <w:vAlign w:val="center"/>
          </w:tcPr>
          <w:p w14:paraId="1E22AB6F" w14:textId="1205D2B9" w:rsidR="00841022" w:rsidRPr="00B57B36" w:rsidRDefault="00841022" w:rsidP="00EF1ACB">
            <w:pPr>
              <w:pStyle w:val="CETBodytext"/>
              <w:ind w:right="-1"/>
              <w:jc w:val="left"/>
              <w:rPr>
                <w:rFonts w:cs="Arial"/>
                <w:szCs w:val="18"/>
                <w:lang w:val="en-GB"/>
              </w:rPr>
            </w:pPr>
            <w:r w:rsidRPr="00316ED6">
              <w:rPr>
                <w:rFonts w:cs="Arial"/>
                <w:szCs w:val="18"/>
                <w:lang w:val="en-GB"/>
              </w:rPr>
              <w:t>1.</w:t>
            </w:r>
            <w:r w:rsidR="00225B72">
              <w:rPr>
                <w:rFonts w:cs="Arial"/>
                <w:szCs w:val="18"/>
                <w:lang w:val="en-GB"/>
              </w:rPr>
              <w:t>5</w:t>
            </w:r>
            <w:r w:rsidRPr="00316ED6">
              <w:rPr>
                <w:rFonts w:ascii="Times New Roman" w:hAnsi="Times New Roman"/>
                <w:szCs w:val="18"/>
                <w:lang w:val="en-GB"/>
              </w:rPr>
              <w:t>‧</w:t>
            </w:r>
            <w:r w:rsidRPr="00316ED6">
              <w:rPr>
                <w:rFonts w:cs="Arial"/>
                <w:szCs w:val="18"/>
                <w:lang w:val="en-GB"/>
              </w:rPr>
              <w:t>10</w:t>
            </w:r>
            <w:r w:rsidRPr="00316ED6">
              <w:rPr>
                <w:rFonts w:cs="Arial"/>
                <w:szCs w:val="18"/>
                <w:vertAlign w:val="superscript"/>
                <w:lang w:val="en-GB"/>
              </w:rPr>
              <w:t>-1</w:t>
            </w:r>
          </w:p>
        </w:tc>
      </w:tr>
      <w:tr w:rsidR="00225B72" w:rsidRPr="00B57B36" w14:paraId="2C0B6F95" w14:textId="190BE539" w:rsidTr="00EF1ACB">
        <w:trPr>
          <w:trHeight w:val="283"/>
        </w:trPr>
        <w:tc>
          <w:tcPr>
            <w:tcW w:w="1418" w:type="dxa"/>
            <w:shd w:val="clear" w:color="auto" w:fill="FFFFFF"/>
            <w:vAlign w:val="center"/>
          </w:tcPr>
          <w:p w14:paraId="3452459C" w14:textId="66669CA5" w:rsidR="00225B72" w:rsidRPr="00B57B36" w:rsidRDefault="00225B72" w:rsidP="00225B72">
            <w:pPr>
              <w:pStyle w:val="CETBodytext"/>
              <w:ind w:right="-1"/>
              <w:jc w:val="left"/>
              <w:rPr>
                <w:rFonts w:cs="Arial"/>
                <w:szCs w:val="18"/>
                <w:lang w:val="en-GB"/>
              </w:rPr>
            </w:pPr>
            <w:r w:rsidRPr="001B4A56">
              <w:rPr>
                <w:rFonts w:cs="Arial"/>
                <w:szCs w:val="18"/>
                <w:lang w:val="en-GB"/>
              </w:rPr>
              <w:t>1.0</w:t>
            </w:r>
            <w:r w:rsidRPr="001B4A56">
              <w:rPr>
                <w:rFonts w:ascii="Times New Roman" w:hAnsi="Times New Roman"/>
                <w:szCs w:val="18"/>
                <w:lang w:val="en-GB"/>
              </w:rPr>
              <w:t>‧</w:t>
            </w:r>
            <w:r w:rsidRPr="001B4A56">
              <w:rPr>
                <w:rFonts w:cs="Arial"/>
                <w:szCs w:val="18"/>
                <w:lang w:val="en-GB"/>
              </w:rPr>
              <w:t>10</w:t>
            </w:r>
            <w:r>
              <w:rPr>
                <w:rFonts w:cs="Arial"/>
                <w:szCs w:val="18"/>
                <w:vertAlign w:val="superscript"/>
                <w:lang w:val="en-GB"/>
              </w:rPr>
              <w:t>3</w:t>
            </w:r>
          </w:p>
        </w:tc>
        <w:tc>
          <w:tcPr>
            <w:tcW w:w="1077" w:type="dxa"/>
            <w:shd w:val="clear" w:color="auto" w:fill="FFFF00"/>
            <w:vAlign w:val="center"/>
          </w:tcPr>
          <w:p w14:paraId="534534F5" w14:textId="2ADF66B9" w:rsidR="00225B72" w:rsidRPr="00B57B36" w:rsidRDefault="00225B72" w:rsidP="00EF1ACB">
            <w:pPr>
              <w:pStyle w:val="CETBodytext"/>
              <w:ind w:right="-1"/>
              <w:jc w:val="left"/>
              <w:rPr>
                <w:rFonts w:cs="Arial"/>
                <w:szCs w:val="18"/>
                <w:lang w:val="en-GB"/>
              </w:rPr>
            </w:pPr>
            <w:r w:rsidRPr="001B4A56">
              <w:rPr>
                <w:rFonts w:cs="Arial"/>
                <w:szCs w:val="18"/>
                <w:lang w:val="en-GB"/>
              </w:rPr>
              <w:t>1.</w:t>
            </w:r>
            <w:r>
              <w:rPr>
                <w:rFonts w:cs="Arial"/>
                <w:szCs w:val="18"/>
                <w:lang w:val="en-GB"/>
              </w:rPr>
              <w:t>2</w:t>
            </w:r>
            <w:r w:rsidRPr="001B4A56">
              <w:rPr>
                <w:rFonts w:ascii="Times New Roman" w:hAnsi="Times New Roman"/>
                <w:szCs w:val="18"/>
                <w:lang w:val="en-GB"/>
              </w:rPr>
              <w:t>‧</w:t>
            </w:r>
            <w:r w:rsidRPr="001B4A56">
              <w:rPr>
                <w:rFonts w:cs="Arial"/>
                <w:szCs w:val="18"/>
                <w:lang w:val="en-GB"/>
              </w:rPr>
              <w:t>10</w:t>
            </w:r>
            <w:r>
              <w:rPr>
                <w:rFonts w:cs="Arial"/>
                <w:szCs w:val="18"/>
                <w:vertAlign w:val="superscript"/>
                <w:lang w:val="en-GB"/>
              </w:rPr>
              <w:t>-1</w:t>
            </w:r>
          </w:p>
        </w:tc>
        <w:tc>
          <w:tcPr>
            <w:tcW w:w="1077" w:type="dxa"/>
            <w:shd w:val="clear" w:color="auto" w:fill="FFFF00"/>
            <w:vAlign w:val="center"/>
          </w:tcPr>
          <w:p w14:paraId="210D7931" w14:textId="36CA6925" w:rsidR="00225B72" w:rsidRPr="00B57B36" w:rsidRDefault="00225B72" w:rsidP="00EF1ACB">
            <w:pPr>
              <w:pStyle w:val="CETBodytext"/>
              <w:ind w:right="-1"/>
              <w:jc w:val="left"/>
              <w:rPr>
                <w:rFonts w:cs="Arial"/>
                <w:szCs w:val="18"/>
                <w:lang w:val="en-GB"/>
              </w:rPr>
            </w:pPr>
            <w:r w:rsidRPr="00065519">
              <w:rPr>
                <w:rFonts w:cs="Arial"/>
                <w:szCs w:val="18"/>
                <w:lang w:val="en-GB"/>
              </w:rPr>
              <w:t>6.0</w:t>
            </w:r>
            <w:r w:rsidRPr="00065519">
              <w:rPr>
                <w:rFonts w:ascii="Times New Roman" w:hAnsi="Times New Roman"/>
                <w:szCs w:val="18"/>
                <w:lang w:val="en-GB"/>
              </w:rPr>
              <w:t>‧</w:t>
            </w:r>
            <w:r w:rsidRPr="00065519">
              <w:rPr>
                <w:rFonts w:cs="Arial"/>
                <w:szCs w:val="18"/>
                <w:lang w:val="en-GB"/>
              </w:rPr>
              <w:t>10</w:t>
            </w:r>
            <w:r w:rsidRPr="00065519">
              <w:rPr>
                <w:rFonts w:cs="Arial"/>
                <w:szCs w:val="18"/>
                <w:vertAlign w:val="superscript"/>
                <w:lang w:val="en-GB"/>
              </w:rPr>
              <w:t>-</w:t>
            </w:r>
            <w:r>
              <w:rPr>
                <w:rFonts w:cs="Arial"/>
                <w:szCs w:val="18"/>
                <w:vertAlign w:val="superscript"/>
                <w:lang w:val="en-GB"/>
              </w:rPr>
              <w:t>2</w:t>
            </w:r>
          </w:p>
        </w:tc>
        <w:tc>
          <w:tcPr>
            <w:tcW w:w="1077" w:type="dxa"/>
            <w:shd w:val="clear" w:color="auto" w:fill="FFFF00"/>
            <w:vAlign w:val="center"/>
          </w:tcPr>
          <w:p w14:paraId="1CEF0CA4" w14:textId="7CBE9B3E" w:rsidR="00225B72" w:rsidRPr="00B57B36" w:rsidRDefault="00225B72" w:rsidP="00EF1ACB">
            <w:pPr>
              <w:pStyle w:val="CETBodytext"/>
              <w:ind w:right="-1"/>
              <w:jc w:val="left"/>
              <w:rPr>
                <w:rFonts w:cs="Arial"/>
                <w:szCs w:val="18"/>
                <w:lang w:val="en-GB"/>
              </w:rPr>
            </w:pPr>
            <w:r w:rsidRPr="00FA7EED">
              <w:rPr>
                <w:rFonts w:cs="Arial"/>
                <w:szCs w:val="18"/>
                <w:lang w:val="en-GB"/>
              </w:rPr>
              <w:t>3.0</w:t>
            </w:r>
            <w:r w:rsidRPr="00FA7EED">
              <w:rPr>
                <w:rFonts w:ascii="Times New Roman" w:hAnsi="Times New Roman"/>
                <w:szCs w:val="18"/>
                <w:lang w:val="en-GB"/>
              </w:rPr>
              <w:t>‧</w:t>
            </w:r>
            <w:r w:rsidRPr="00FA7EED">
              <w:rPr>
                <w:rFonts w:cs="Arial"/>
                <w:szCs w:val="18"/>
                <w:lang w:val="en-GB"/>
              </w:rPr>
              <w:t>10</w:t>
            </w:r>
            <w:r w:rsidRPr="00FA7EED">
              <w:rPr>
                <w:rFonts w:cs="Arial"/>
                <w:szCs w:val="18"/>
                <w:vertAlign w:val="superscript"/>
                <w:lang w:val="en-GB"/>
              </w:rPr>
              <w:t>-</w:t>
            </w:r>
            <w:r>
              <w:rPr>
                <w:rFonts w:cs="Arial"/>
                <w:szCs w:val="18"/>
                <w:vertAlign w:val="superscript"/>
                <w:lang w:val="en-GB"/>
              </w:rPr>
              <w:t>2</w:t>
            </w:r>
          </w:p>
        </w:tc>
        <w:tc>
          <w:tcPr>
            <w:tcW w:w="1077" w:type="dxa"/>
            <w:shd w:val="clear" w:color="auto" w:fill="FFFF00"/>
            <w:vAlign w:val="center"/>
          </w:tcPr>
          <w:p w14:paraId="19C4C021" w14:textId="7FB6932A" w:rsidR="00225B72" w:rsidRPr="00B57B36" w:rsidRDefault="00225B72" w:rsidP="00EF1ACB">
            <w:pPr>
              <w:pStyle w:val="CETBodytext"/>
              <w:ind w:right="-1"/>
              <w:jc w:val="left"/>
              <w:rPr>
                <w:rFonts w:cs="Arial"/>
                <w:szCs w:val="18"/>
                <w:lang w:val="en-GB"/>
              </w:rPr>
            </w:pPr>
            <w:r w:rsidRPr="001E5A83">
              <w:rPr>
                <w:rFonts w:cs="Arial"/>
                <w:szCs w:val="18"/>
                <w:lang w:val="en-GB"/>
              </w:rPr>
              <w:t>2.0</w:t>
            </w:r>
            <w:r w:rsidRPr="001E5A83">
              <w:rPr>
                <w:rFonts w:ascii="Times New Roman" w:hAnsi="Times New Roman"/>
                <w:szCs w:val="18"/>
                <w:lang w:val="en-GB"/>
              </w:rPr>
              <w:t>‧</w:t>
            </w:r>
            <w:r w:rsidRPr="001E5A83">
              <w:rPr>
                <w:rFonts w:cs="Arial"/>
                <w:szCs w:val="18"/>
                <w:lang w:val="en-GB"/>
              </w:rPr>
              <w:t>10</w:t>
            </w:r>
            <w:r w:rsidRPr="001E5A83">
              <w:rPr>
                <w:rFonts w:cs="Arial"/>
                <w:szCs w:val="18"/>
                <w:vertAlign w:val="superscript"/>
                <w:lang w:val="en-GB"/>
              </w:rPr>
              <w:t>-</w:t>
            </w:r>
            <w:r>
              <w:rPr>
                <w:rFonts w:cs="Arial"/>
                <w:szCs w:val="18"/>
                <w:vertAlign w:val="superscript"/>
                <w:lang w:val="en-GB"/>
              </w:rPr>
              <w:t>2</w:t>
            </w:r>
          </w:p>
        </w:tc>
        <w:tc>
          <w:tcPr>
            <w:tcW w:w="1078" w:type="dxa"/>
            <w:shd w:val="clear" w:color="auto" w:fill="FFFF00"/>
            <w:vAlign w:val="center"/>
          </w:tcPr>
          <w:p w14:paraId="7865715A" w14:textId="741FDE8D" w:rsidR="00225B72" w:rsidRPr="00B57B36" w:rsidRDefault="00225B72" w:rsidP="00EF1ACB">
            <w:pPr>
              <w:pStyle w:val="CETBodytext"/>
              <w:ind w:right="-1"/>
              <w:jc w:val="left"/>
              <w:rPr>
                <w:rFonts w:cs="Arial"/>
                <w:szCs w:val="18"/>
                <w:lang w:val="en-GB"/>
              </w:rPr>
            </w:pPr>
            <w:r w:rsidRPr="00ED34EC">
              <w:rPr>
                <w:rFonts w:cs="Arial"/>
                <w:szCs w:val="18"/>
                <w:lang w:val="en-GB"/>
              </w:rPr>
              <w:t>1.5</w:t>
            </w:r>
            <w:r w:rsidRPr="00ED34EC">
              <w:rPr>
                <w:rFonts w:ascii="Times New Roman" w:hAnsi="Times New Roman"/>
                <w:szCs w:val="18"/>
                <w:lang w:val="en-GB"/>
              </w:rPr>
              <w:t>‧</w:t>
            </w:r>
            <w:r w:rsidRPr="00ED34EC">
              <w:rPr>
                <w:rFonts w:cs="Arial"/>
                <w:szCs w:val="18"/>
                <w:lang w:val="en-GB"/>
              </w:rPr>
              <w:t>10</w:t>
            </w:r>
            <w:r w:rsidRPr="00ED34EC">
              <w:rPr>
                <w:rFonts w:cs="Arial"/>
                <w:szCs w:val="18"/>
                <w:vertAlign w:val="superscript"/>
                <w:lang w:val="en-GB"/>
              </w:rPr>
              <w:t>-</w:t>
            </w:r>
            <w:r>
              <w:rPr>
                <w:rFonts w:cs="Arial"/>
                <w:szCs w:val="18"/>
                <w:vertAlign w:val="superscript"/>
                <w:lang w:val="en-GB"/>
              </w:rPr>
              <w:t>2</w:t>
            </w:r>
          </w:p>
        </w:tc>
      </w:tr>
      <w:tr w:rsidR="00225B72" w:rsidRPr="00B57B36" w14:paraId="3E4002C4" w14:textId="266A1545" w:rsidTr="00EF1ACB">
        <w:trPr>
          <w:trHeight w:val="283"/>
        </w:trPr>
        <w:tc>
          <w:tcPr>
            <w:tcW w:w="1418" w:type="dxa"/>
            <w:shd w:val="clear" w:color="auto" w:fill="FFFFFF"/>
            <w:vAlign w:val="center"/>
          </w:tcPr>
          <w:p w14:paraId="31971201" w14:textId="099450B8" w:rsidR="00225B72" w:rsidRPr="00B57B36" w:rsidRDefault="00225B72" w:rsidP="00225B72">
            <w:pPr>
              <w:pStyle w:val="CETBodytext"/>
              <w:ind w:right="-1"/>
              <w:jc w:val="left"/>
              <w:rPr>
                <w:rFonts w:cs="Arial"/>
                <w:szCs w:val="18"/>
                <w:lang w:val="en-GB"/>
              </w:rPr>
            </w:pPr>
            <w:r w:rsidRPr="001B4A56">
              <w:rPr>
                <w:rFonts w:cs="Arial"/>
                <w:szCs w:val="18"/>
                <w:lang w:val="en-GB"/>
              </w:rPr>
              <w:t>1.0</w:t>
            </w:r>
            <w:r w:rsidRPr="001B4A56">
              <w:rPr>
                <w:rFonts w:ascii="Times New Roman" w:hAnsi="Times New Roman"/>
                <w:szCs w:val="18"/>
                <w:lang w:val="en-GB"/>
              </w:rPr>
              <w:t>‧</w:t>
            </w:r>
            <w:r w:rsidRPr="001B4A56">
              <w:rPr>
                <w:rFonts w:cs="Arial"/>
                <w:szCs w:val="18"/>
                <w:lang w:val="en-GB"/>
              </w:rPr>
              <w:t>10</w:t>
            </w:r>
            <w:r>
              <w:rPr>
                <w:rFonts w:cs="Arial"/>
                <w:szCs w:val="18"/>
                <w:vertAlign w:val="superscript"/>
                <w:lang w:val="en-GB"/>
              </w:rPr>
              <w:t>4</w:t>
            </w:r>
          </w:p>
        </w:tc>
        <w:tc>
          <w:tcPr>
            <w:tcW w:w="1077" w:type="dxa"/>
            <w:shd w:val="clear" w:color="auto" w:fill="FFFF00"/>
            <w:vAlign w:val="center"/>
          </w:tcPr>
          <w:p w14:paraId="0B9A8509" w14:textId="57748F5D" w:rsidR="00225B72" w:rsidRPr="00B57B36" w:rsidRDefault="00225B72" w:rsidP="00EF1ACB">
            <w:pPr>
              <w:pStyle w:val="CETBodytext"/>
              <w:ind w:right="-1"/>
              <w:jc w:val="left"/>
              <w:rPr>
                <w:rFonts w:cs="Arial"/>
                <w:szCs w:val="18"/>
                <w:lang w:val="en-GB"/>
              </w:rPr>
            </w:pPr>
            <w:r w:rsidRPr="0074102F">
              <w:rPr>
                <w:rFonts w:cs="Arial"/>
                <w:szCs w:val="18"/>
                <w:lang w:val="en-GB"/>
              </w:rPr>
              <w:t>1.2</w:t>
            </w:r>
            <w:r w:rsidRPr="0074102F">
              <w:rPr>
                <w:rFonts w:ascii="Times New Roman" w:hAnsi="Times New Roman"/>
                <w:szCs w:val="18"/>
                <w:lang w:val="en-GB"/>
              </w:rPr>
              <w:t>‧</w:t>
            </w:r>
            <w:r w:rsidRPr="0074102F">
              <w:rPr>
                <w:rFonts w:cs="Arial"/>
                <w:szCs w:val="18"/>
                <w:lang w:val="en-GB"/>
              </w:rPr>
              <w:t>10</w:t>
            </w:r>
            <w:r w:rsidRPr="0074102F">
              <w:rPr>
                <w:rFonts w:cs="Arial"/>
                <w:szCs w:val="18"/>
                <w:vertAlign w:val="superscript"/>
                <w:lang w:val="en-GB"/>
              </w:rPr>
              <w:t>-</w:t>
            </w:r>
            <w:r>
              <w:rPr>
                <w:rFonts w:cs="Arial"/>
                <w:szCs w:val="18"/>
                <w:vertAlign w:val="superscript"/>
                <w:lang w:val="en-GB"/>
              </w:rPr>
              <w:t>2</w:t>
            </w:r>
          </w:p>
        </w:tc>
        <w:tc>
          <w:tcPr>
            <w:tcW w:w="1077" w:type="dxa"/>
            <w:shd w:val="clear" w:color="auto" w:fill="C0504D" w:themeFill="accent2"/>
            <w:vAlign w:val="center"/>
          </w:tcPr>
          <w:p w14:paraId="41EE677C" w14:textId="7524D59F" w:rsidR="00225B72" w:rsidRPr="00B57B36" w:rsidRDefault="00225B72" w:rsidP="00EF1ACB">
            <w:pPr>
              <w:pStyle w:val="CETBodytext"/>
              <w:ind w:right="-1"/>
              <w:jc w:val="left"/>
              <w:rPr>
                <w:rFonts w:cs="Arial"/>
                <w:szCs w:val="18"/>
                <w:lang w:val="en-GB"/>
              </w:rPr>
            </w:pPr>
            <w:r w:rsidRPr="00065519">
              <w:rPr>
                <w:rFonts w:cs="Arial"/>
                <w:szCs w:val="18"/>
                <w:lang w:val="en-GB"/>
              </w:rPr>
              <w:t>6.0</w:t>
            </w:r>
            <w:r w:rsidRPr="00065519">
              <w:rPr>
                <w:rFonts w:ascii="Times New Roman" w:hAnsi="Times New Roman"/>
                <w:szCs w:val="18"/>
                <w:lang w:val="en-GB"/>
              </w:rPr>
              <w:t>‧</w:t>
            </w:r>
            <w:r w:rsidRPr="00065519">
              <w:rPr>
                <w:rFonts w:cs="Arial"/>
                <w:szCs w:val="18"/>
                <w:lang w:val="en-GB"/>
              </w:rPr>
              <w:t>10</w:t>
            </w:r>
            <w:r w:rsidRPr="00065519">
              <w:rPr>
                <w:rFonts w:cs="Arial"/>
                <w:szCs w:val="18"/>
                <w:vertAlign w:val="superscript"/>
                <w:lang w:val="en-GB"/>
              </w:rPr>
              <w:t>-</w:t>
            </w:r>
            <w:r>
              <w:rPr>
                <w:rFonts w:cs="Arial"/>
                <w:szCs w:val="18"/>
                <w:vertAlign w:val="superscript"/>
                <w:lang w:val="en-GB"/>
              </w:rPr>
              <w:t>3</w:t>
            </w:r>
          </w:p>
        </w:tc>
        <w:tc>
          <w:tcPr>
            <w:tcW w:w="1077" w:type="dxa"/>
            <w:shd w:val="clear" w:color="auto" w:fill="C0504D" w:themeFill="accent2"/>
            <w:vAlign w:val="center"/>
          </w:tcPr>
          <w:p w14:paraId="7204E93E" w14:textId="3159C8C1" w:rsidR="00225B72" w:rsidRPr="00B57B36" w:rsidRDefault="00225B72" w:rsidP="00EF1ACB">
            <w:pPr>
              <w:pStyle w:val="CETBodytext"/>
              <w:ind w:right="-1"/>
              <w:jc w:val="left"/>
              <w:rPr>
                <w:rFonts w:cs="Arial"/>
                <w:szCs w:val="18"/>
                <w:lang w:val="en-GB"/>
              </w:rPr>
            </w:pPr>
            <w:r w:rsidRPr="00FA7EED">
              <w:rPr>
                <w:rFonts w:cs="Arial"/>
                <w:szCs w:val="18"/>
                <w:lang w:val="en-GB"/>
              </w:rPr>
              <w:t>3.0</w:t>
            </w:r>
            <w:r w:rsidRPr="00FA7EED">
              <w:rPr>
                <w:rFonts w:ascii="Times New Roman" w:hAnsi="Times New Roman"/>
                <w:szCs w:val="18"/>
                <w:lang w:val="en-GB"/>
              </w:rPr>
              <w:t>‧</w:t>
            </w:r>
            <w:r w:rsidRPr="00FA7EED">
              <w:rPr>
                <w:rFonts w:cs="Arial"/>
                <w:szCs w:val="18"/>
                <w:lang w:val="en-GB"/>
              </w:rPr>
              <w:t>10</w:t>
            </w:r>
            <w:r w:rsidRPr="00FA7EED">
              <w:rPr>
                <w:rFonts w:cs="Arial"/>
                <w:szCs w:val="18"/>
                <w:vertAlign w:val="superscript"/>
                <w:lang w:val="en-GB"/>
              </w:rPr>
              <w:t>-</w:t>
            </w:r>
            <w:r>
              <w:rPr>
                <w:rFonts w:cs="Arial"/>
                <w:szCs w:val="18"/>
                <w:vertAlign w:val="superscript"/>
                <w:lang w:val="en-GB"/>
              </w:rPr>
              <w:t>3</w:t>
            </w:r>
          </w:p>
        </w:tc>
        <w:tc>
          <w:tcPr>
            <w:tcW w:w="1077" w:type="dxa"/>
            <w:shd w:val="clear" w:color="auto" w:fill="C0504D" w:themeFill="accent2"/>
            <w:vAlign w:val="center"/>
          </w:tcPr>
          <w:p w14:paraId="4174F0A0" w14:textId="0E033518" w:rsidR="00225B72" w:rsidRPr="00B57B36" w:rsidRDefault="00225B72" w:rsidP="00EF1ACB">
            <w:pPr>
              <w:pStyle w:val="CETBodytext"/>
              <w:ind w:right="-1"/>
              <w:jc w:val="left"/>
              <w:rPr>
                <w:rFonts w:cs="Arial"/>
                <w:szCs w:val="18"/>
                <w:lang w:val="en-GB"/>
              </w:rPr>
            </w:pPr>
            <w:r w:rsidRPr="001E5A83">
              <w:rPr>
                <w:rFonts w:cs="Arial"/>
                <w:szCs w:val="18"/>
                <w:lang w:val="en-GB"/>
              </w:rPr>
              <w:t>2.0</w:t>
            </w:r>
            <w:r w:rsidRPr="001E5A83">
              <w:rPr>
                <w:rFonts w:ascii="Times New Roman" w:hAnsi="Times New Roman"/>
                <w:szCs w:val="18"/>
                <w:lang w:val="en-GB"/>
              </w:rPr>
              <w:t>‧</w:t>
            </w:r>
            <w:r w:rsidRPr="001E5A83">
              <w:rPr>
                <w:rFonts w:cs="Arial"/>
                <w:szCs w:val="18"/>
                <w:lang w:val="en-GB"/>
              </w:rPr>
              <w:t>10</w:t>
            </w:r>
            <w:r w:rsidRPr="001E5A83">
              <w:rPr>
                <w:rFonts w:cs="Arial"/>
                <w:szCs w:val="18"/>
                <w:vertAlign w:val="superscript"/>
                <w:lang w:val="en-GB"/>
              </w:rPr>
              <w:t>-</w:t>
            </w:r>
            <w:r>
              <w:rPr>
                <w:rFonts w:cs="Arial"/>
                <w:szCs w:val="18"/>
                <w:vertAlign w:val="superscript"/>
                <w:lang w:val="en-GB"/>
              </w:rPr>
              <w:t>3</w:t>
            </w:r>
          </w:p>
        </w:tc>
        <w:tc>
          <w:tcPr>
            <w:tcW w:w="1078" w:type="dxa"/>
            <w:shd w:val="clear" w:color="auto" w:fill="C0504D" w:themeFill="accent2"/>
            <w:vAlign w:val="center"/>
          </w:tcPr>
          <w:p w14:paraId="4EBECCA9" w14:textId="5DAD8E69" w:rsidR="00225B72" w:rsidRPr="00B57B36" w:rsidRDefault="00225B72" w:rsidP="00EF1ACB">
            <w:pPr>
              <w:pStyle w:val="CETBodytext"/>
              <w:ind w:right="-1"/>
              <w:jc w:val="left"/>
              <w:rPr>
                <w:rFonts w:cs="Arial"/>
                <w:szCs w:val="18"/>
                <w:lang w:val="en-GB"/>
              </w:rPr>
            </w:pPr>
            <w:r w:rsidRPr="00ED34EC">
              <w:rPr>
                <w:rFonts w:cs="Arial"/>
                <w:szCs w:val="18"/>
                <w:lang w:val="en-GB"/>
              </w:rPr>
              <w:t>1.5</w:t>
            </w:r>
            <w:r w:rsidRPr="00ED34EC">
              <w:rPr>
                <w:rFonts w:ascii="Times New Roman" w:hAnsi="Times New Roman"/>
                <w:szCs w:val="18"/>
                <w:lang w:val="en-GB"/>
              </w:rPr>
              <w:t>‧</w:t>
            </w:r>
            <w:r w:rsidRPr="00ED34EC">
              <w:rPr>
                <w:rFonts w:cs="Arial"/>
                <w:szCs w:val="18"/>
                <w:lang w:val="en-GB"/>
              </w:rPr>
              <w:t>10</w:t>
            </w:r>
            <w:r w:rsidRPr="00ED34EC">
              <w:rPr>
                <w:rFonts w:cs="Arial"/>
                <w:szCs w:val="18"/>
                <w:vertAlign w:val="superscript"/>
                <w:lang w:val="en-GB"/>
              </w:rPr>
              <w:t>-</w:t>
            </w:r>
            <w:r>
              <w:rPr>
                <w:rFonts w:cs="Arial"/>
                <w:szCs w:val="18"/>
                <w:vertAlign w:val="superscript"/>
                <w:lang w:val="en-GB"/>
              </w:rPr>
              <w:t>3</w:t>
            </w:r>
          </w:p>
        </w:tc>
      </w:tr>
      <w:tr w:rsidR="00225B72" w:rsidRPr="00B57B36" w14:paraId="34115C32" w14:textId="6F3EA6EF" w:rsidTr="00EF1ACB">
        <w:trPr>
          <w:trHeight w:val="283"/>
        </w:trPr>
        <w:tc>
          <w:tcPr>
            <w:tcW w:w="1418" w:type="dxa"/>
            <w:shd w:val="clear" w:color="auto" w:fill="FFFFFF"/>
            <w:vAlign w:val="center"/>
          </w:tcPr>
          <w:p w14:paraId="7553190B" w14:textId="19E9501A" w:rsidR="00225B72" w:rsidRPr="00B57B36" w:rsidRDefault="00225B72" w:rsidP="00225B72">
            <w:pPr>
              <w:pStyle w:val="CETBodytext"/>
              <w:ind w:right="-1"/>
              <w:jc w:val="left"/>
              <w:rPr>
                <w:rFonts w:cs="Arial"/>
                <w:szCs w:val="18"/>
                <w:lang w:val="en-GB"/>
              </w:rPr>
            </w:pPr>
            <w:r w:rsidRPr="001B4A56">
              <w:rPr>
                <w:rFonts w:cs="Arial"/>
                <w:szCs w:val="18"/>
                <w:lang w:val="en-GB"/>
              </w:rPr>
              <w:t>1.0</w:t>
            </w:r>
            <w:r w:rsidRPr="001B4A56">
              <w:rPr>
                <w:rFonts w:ascii="Times New Roman" w:hAnsi="Times New Roman"/>
                <w:szCs w:val="18"/>
                <w:lang w:val="en-GB"/>
              </w:rPr>
              <w:t>‧</w:t>
            </w:r>
            <w:r w:rsidRPr="001B4A56">
              <w:rPr>
                <w:rFonts w:cs="Arial"/>
                <w:szCs w:val="18"/>
                <w:lang w:val="en-GB"/>
              </w:rPr>
              <w:t>10</w:t>
            </w:r>
            <w:r>
              <w:rPr>
                <w:rFonts w:cs="Arial"/>
                <w:szCs w:val="18"/>
                <w:vertAlign w:val="superscript"/>
                <w:lang w:val="en-GB"/>
              </w:rPr>
              <w:t>5</w:t>
            </w:r>
          </w:p>
        </w:tc>
        <w:tc>
          <w:tcPr>
            <w:tcW w:w="1077" w:type="dxa"/>
            <w:shd w:val="clear" w:color="auto" w:fill="C0504D" w:themeFill="accent2"/>
            <w:vAlign w:val="center"/>
          </w:tcPr>
          <w:p w14:paraId="0FF4AAA4" w14:textId="2DACB98E" w:rsidR="00225B72" w:rsidRPr="00B57B36" w:rsidRDefault="00225B72" w:rsidP="00EF1ACB">
            <w:pPr>
              <w:pStyle w:val="CETBodytext"/>
              <w:ind w:right="-1"/>
              <w:jc w:val="left"/>
              <w:rPr>
                <w:rFonts w:cs="Arial"/>
                <w:szCs w:val="18"/>
                <w:lang w:val="en-GB"/>
              </w:rPr>
            </w:pPr>
            <w:r w:rsidRPr="0074102F">
              <w:rPr>
                <w:rFonts w:cs="Arial"/>
                <w:szCs w:val="18"/>
                <w:lang w:val="en-GB"/>
              </w:rPr>
              <w:t>1.2</w:t>
            </w:r>
            <w:r w:rsidRPr="0074102F">
              <w:rPr>
                <w:rFonts w:ascii="Times New Roman" w:hAnsi="Times New Roman"/>
                <w:szCs w:val="18"/>
                <w:lang w:val="en-GB"/>
              </w:rPr>
              <w:t>‧</w:t>
            </w:r>
            <w:r w:rsidRPr="0074102F">
              <w:rPr>
                <w:rFonts w:cs="Arial"/>
                <w:szCs w:val="18"/>
                <w:lang w:val="en-GB"/>
              </w:rPr>
              <w:t>10</w:t>
            </w:r>
            <w:r w:rsidRPr="0074102F">
              <w:rPr>
                <w:rFonts w:cs="Arial"/>
                <w:szCs w:val="18"/>
                <w:vertAlign w:val="superscript"/>
                <w:lang w:val="en-GB"/>
              </w:rPr>
              <w:t>-</w:t>
            </w:r>
            <w:r>
              <w:rPr>
                <w:rFonts w:cs="Arial"/>
                <w:szCs w:val="18"/>
                <w:vertAlign w:val="superscript"/>
                <w:lang w:val="en-GB"/>
              </w:rPr>
              <w:t>3</w:t>
            </w:r>
          </w:p>
        </w:tc>
        <w:tc>
          <w:tcPr>
            <w:tcW w:w="1077" w:type="dxa"/>
            <w:shd w:val="clear" w:color="auto" w:fill="C0504D" w:themeFill="accent2"/>
            <w:vAlign w:val="center"/>
          </w:tcPr>
          <w:p w14:paraId="384321EE" w14:textId="03A689C7" w:rsidR="00225B72" w:rsidRPr="00B57B36" w:rsidRDefault="00225B72" w:rsidP="00EF1ACB">
            <w:pPr>
              <w:pStyle w:val="CETBodytext"/>
              <w:ind w:right="-1"/>
              <w:jc w:val="left"/>
              <w:rPr>
                <w:rFonts w:cs="Arial"/>
                <w:szCs w:val="18"/>
                <w:lang w:val="en-GB"/>
              </w:rPr>
            </w:pPr>
            <w:r w:rsidRPr="00065519">
              <w:rPr>
                <w:rFonts w:cs="Arial"/>
                <w:szCs w:val="18"/>
                <w:lang w:val="en-GB"/>
              </w:rPr>
              <w:t>6.0</w:t>
            </w:r>
            <w:r w:rsidRPr="00065519">
              <w:rPr>
                <w:rFonts w:ascii="Times New Roman" w:hAnsi="Times New Roman"/>
                <w:szCs w:val="18"/>
                <w:lang w:val="en-GB"/>
              </w:rPr>
              <w:t>‧</w:t>
            </w:r>
            <w:r w:rsidRPr="00065519">
              <w:rPr>
                <w:rFonts w:cs="Arial"/>
                <w:szCs w:val="18"/>
                <w:lang w:val="en-GB"/>
              </w:rPr>
              <w:t>10</w:t>
            </w:r>
            <w:r w:rsidRPr="00065519">
              <w:rPr>
                <w:rFonts w:cs="Arial"/>
                <w:szCs w:val="18"/>
                <w:vertAlign w:val="superscript"/>
                <w:lang w:val="en-GB"/>
              </w:rPr>
              <w:t>-</w:t>
            </w:r>
            <w:r>
              <w:rPr>
                <w:rFonts w:cs="Arial"/>
                <w:szCs w:val="18"/>
                <w:vertAlign w:val="superscript"/>
                <w:lang w:val="en-GB"/>
              </w:rPr>
              <w:t>4</w:t>
            </w:r>
          </w:p>
        </w:tc>
        <w:tc>
          <w:tcPr>
            <w:tcW w:w="1077" w:type="dxa"/>
            <w:shd w:val="clear" w:color="auto" w:fill="C0504D" w:themeFill="accent2"/>
            <w:vAlign w:val="center"/>
          </w:tcPr>
          <w:p w14:paraId="027984D3" w14:textId="7B1812FA" w:rsidR="00225B72" w:rsidRPr="00B57B36" w:rsidRDefault="00225B72" w:rsidP="00EF1ACB">
            <w:pPr>
              <w:pStyle w:val="CETBodytext"/>
              <w:ind w:right="-1"/>
              <w:jc w:val="left"/>
              <w:rPr>
                <w:rFonts w:cs="Arial"/>
                <w:szCs w:val="18"/>
                <w:lang w:val="en-GB"/>
              </w:rPr>
            </w:pPr>
            <w:r w:rsidRPr="00FA7EED">
              <w:rPr>
                <w:rFonts w:cs="Arial"/>
                <w:szCs w:val="18"/>
                <w:lang w:val="en-GB"/>
              </w:rPr>
              <w:t>3.0</w:t>
            </w:r>
            <w:r w:rsidRPr="00FA7EED">
              <w:rPr>
                <w:rFonts w:ascii="Times New Roman" w:hAnsi="Times New Roman"/>
                <w:szCs w:val="18"/>
                <w:lang w:val="en-GB"/>
              </w:rPr>
              <w:t>‧</w:t>
            </w:r>
            <w:r w:rsidRPr="00FA7EED">
              <w:rPr>
                <w:rFonts w:cs="Arial"/>
                <w:szCs w:val="18"/>
                <w:lang w:val="en-GB"/>
              </w:rPr>
              <w:t>10</w:t>
            </w:r>
            <w:r w:rsidRPr="00FA7EED">
              <w:rPr>
                <w:rFonts w:cs="Arial"/>
                <w:szCs w:val="18"/>
                <w:vertAlign w:val="superscript"/>
                <w:lang w:val="en-GB"/>
              </w:rPr>
              <w:t>-</w:t>
            </w:r>
            <w:r>
              <w:rPr>
                <w:rFonts w:cs="Arial"/>
                <w:szCs w:val="18"/>
                <w:vertAlign w:val="superscript"/>
                <w:lang w:val="en-GB"/>
              </w:rPr>
              <w:t>4</w:t>
            </w:r>
          </w:p>
        </w:tc>
        <w:tc>
          <w:tcPr>
            <w:tcW w:w="1077" w:type="dxa"/>
            <w:shd w:val="clear" w:color="auto" w:fill="C0504D" w:themeFill="accent2"/>
            <w:vAlign w:val="center"/>
          </w:tcPr>
          <w:p w14:paraId="0AE95292" w14:textId="474C0D8C" w:rsidR="00225B72" w:rsidRPr="00B57B36" w:rsidRDefault="00225B72" w:rsidP="00EF1ACB">
            <w:pPr>
              <w:pStyle w:val="CETBodytext"/>
              <w:ind w:right="-1"/>
              <w:jc w:val="left"/>
              <w:rPr>
                <w:rFonts w:cs="Arial"/>
                <w:szCs w:val="18"/>
                <w:lang w:val="en-GB"/>
              </w:rPr>
            </w:pPr>
            <w:r w:rsidRPr="001E5A83">
              <w:rPr>
                <w:rFonts w:cs="Arial"/>
                <w:szCs w:val="18"/>
                <w:lang w:val="en-GB"/>
              </w:rPr>
              <w:t>2.0</w:t>
            </w:r>
            <w:r w:rsidRPr="001E5A83">
              <w:rPr>
                <w:rFonts w:ascii="Times New Roman" w:hAnsi="Times New Roman"/>
                <w:szCs w:val="18"/>
                <w:lang w:val="en-GB"/>
              </w:rPr>
              <w:t>‧</w:t>
            </w:r>
            <w:r w:rsidRPr="001E5A83">
              <w:rPr>
                <w:rFonts w:cs="Arial"/>
                <w:szCs w:val="18"/>
                <w:lang w:val="en-GB"/>
              </w:rPr>
              <w:t>10</w:t>
            </w:r>
            <w:r w:rsidRPr="001E5A83">
              <w:rPr>
                <w:rFonts w:cs="Arial"/>
                <w:szCs w:val="18"/>
                <w:vertAlign w:val="superscript"/>
                <w:lang w:val="en-GB"/>
              </w:rPr>
              <w:t>-</w:t>
            </w:r>
            <w:r>
              <w:rPr>
                <w:rFonts w:cs="Arial"/>
                <w:szCs w:val="18"/>
                <w:vertAlign w:val="superscript"/>
                <w:lang w:val="en-GB"/>
              </w:rPr>
              <w:t>4</w:t>
            </w:r>
          </w:p>
        </w:tc>
        <w:tc>
          <w:tcPr>
            <w:tcW w:w="1078" w:type="dxa"/>
            <w:shd w:val="clear" w:color="auto" w:fill="C0504D" w:themeFill="accent2"/>
            <w:vAlign w:val="center"/>
          </w:tcPr>
          <w:p w14:paraId="51972146" w14:textId="54B769C0" w:rsidR="00225B72" w:rsidRPr="00B57B36" w:rsidRDefault="00225B72" w:rsidP="00EF1ACB">
            <w:pPr>
              <w:pStyle w:val="CETBodytext"/>
              <w:ind w:right="-1"/>
              <w:jc w:val="left"/>
              <w:rPr>
                <w:rFonts w:cs="Arial"/>
                <w:szCs w:val="18"/>
                <w:lang w:val="en-GB"/>
              </w:rPr>
            </w:pPr>
            <w:r w:rsidRPr="00ED34EC">
              <w:rPr>
                <w:rFonts w:cs="Arial"/>
                <w:szCs w:val="18"/>
                <w:lang w:val="en-GB"/>
              </w:rPr>
              <w:t>1.5</w:t>
            </w:r>
            <w:r w:rsidRPr="00ED34EC">
              <w:rPr>
                <w:rFonts w:ascii="Times New Roman" w:hAnsi="Times New Roman"/>
                <w:szCs w:val="18"/>
                <w:lang w:val="en-GB"/>
              </w:rPr>
              <w:t>‧</w:t>
            </w:r>
            <w:r w:rsidRPr="00ED34EC">
              <w:rPr>
                <w:rFonts w:cs="Arial"/>
                <w:szCs w:val="18"/>
                <w:lang w:val="en-GB"/>
              </w:rPr>
              <w:t>10</w:t>
            </w:r>
            <w:r w:rsidRPr="00ED34EC">
              <w:rPr>
                <w:rFonts w:cs="Arial"/>
                <w:szCs w:val="18"/>
                <w:vertAlign w:val="superscript"/>
                <w:lang w:val="en-GB"/>
              </w:rPr>
              <w:t>-</w:t>
            </w:r>
            <w:r>
              <w:rPr>
                <w:rFonts w:cs="Arial"/>
                <w:szCs w:val="18"/>
                <w:vertAlign w:val="superscript"/>
                <w:lang w:val="en-GB"/>
              </w:rPr>
              <w:t>4</w:t>
            </w:r>
          </w:p>
        </w:tc>
      </w:tr>
      <w:tr w:rsidR="00225B72" w:rsidRPr="00B57B36" w14:paraId="2721C210" w14:textId="77777777" w:rsidTr="00EF1ACB">
        <w:trPr>
          <w:trHeight w:val="283"/>
        </w:trPr>
        <w:tc>
          <w:tcPr>
            <w:tcW w:w="1418" w:type="dxa"/>
            <w:shd w:val="clear" w:color="auto" w:fill="FFFFFF"/>
            <w:vAlign w:val="center"/>
          </w:tcPr>
          <w:p w14:paraId="3EB38FE7" w14:textId="0E46035F" w:rsidR="00225B72" w:rsidRPr="001B4A56" w:rsidRDefault="00225B72" w:rsidP="00225B72">
            <w:pPr>
              <w:pStyle w:val="CETBodytext"/>
              <w:ind w:right="-1"/>
              <w:jc w:val="left"/>
              <w:rPr>
                <w:rFonts w:cs="Arial"/>
                <w:szCs w:val="18"/>
                <w:lang w:val="en-GB"/>
              </w:rPr>
            </w:pPr>
            <w:r w:rsidRPr="001B4A56">
              <w:rPr>
                <w:rFonts w:cs="Arial"/>
                <w:szCs w:val="18"/>
                <w:lang w:val="en-GB"/>
              </w:rPr>
              <w:t>1.0</w:t>
            </w:r>
            <w:r w:rsidRPr="001B4A56">
              <w:rPr>
                <w:rFonts w:ascii="Times New Roman" w:hAnsi="Times New Roman"/>
                <w:szCs w:val="18"/>
                <w:lang w:val="en-GB"/>
              </w:rPr>
              <w:t>‧</w:t>
            </w:r>
            <w:r w:rsidRPr="001B4A56">
              <w:rPr>
                <w:rFonts w:cs="Arial"/>
                <w:szCs w:val="18"/>
                <w:lang w:val="en-GB"/>
              </w:rPr>
              <w:t>10</w:t>
            </w:r>
            <w:r>
              <w:rPr>
                <w:rFonts w:cs="Arial"/>
                <w:szCs w:val="18"/>
                <w:vertAlign w:val="superscript"/>
                <w:lang w:val="en-GB"/>
              </w:rPr>
              <w:t>6</w:t>
            </w:r>
          </w:p>
        </w:tc>
        <w:tc>
          <w:tcPr>
            <w:tcW w:w="1077" w:type="dxa"/>
            <w:shd w:val="clear" w:color="auto" w:fill="C0504D" w:themeFill="accent2"/>
            <w:vAlign w:val="center"/>
          </w:tcPr>
          <w:p w14:paraId="09A4636B" w14:textId="56573D19" w:rsidR="00225B72" w:rsidRPr="0074102F" w:rsidRDefault="00225B72" w:rsidP="00EF1ACB">
            <w:pPr>
              <w:pStyle w:val="CETBodytext"/>
              <w:ind w:right="-1"/>
              <w:jc w:val="left"/>
              <w:rPr>
                <w:rFonts w:cs="Arial"/>
                <w:szCs w:val="18"/>
                <w:lang w:val="en-GB"/>
              </w:rPr>
            </w:pPr>
            <w:r w:rsidRPr="0074102F">
              <w:rPr>
                <w:rFonts w:cs="Arial"/>
                <w:szCs w:val="18"/>
                <w:lang w:val="en-GB"/>
              </w:rPr>
              <w:t>1.2</w:t>
            </w:r>
            <w:r w:rsidRPr="0074102F">
              <w:rPr>
                <w:rFonts w:ascii="Times New Roman" w:hAnsi="Times New Roman"/>
                <w:szCs w:val="18"/>
                <w:lang w:val="en-GB"/>
              </w:rPr>
              <w:t>‧</w:t>
            </w:r>
            <w:r w:rsidRPr="0074102F">
              <w:rPr>
                <w:rFonts w:cs="Arial"/>
                <w:szCs w:val="18"/>
                <w:lang w:val="en-GB"/>
              </w:rPr>
              <w:t>10</w:t>
            </w:r>
            <w:r w:rsidRPr="0074102F">
              <w:rPr>
                <w:rFonts w:cs="Arial"/>
                <w:szCs w:val="18"/>
                <w:vertAlign w:val="superscript"/>
                <w:lang w:val="en-GB"/>
              </w:rPr>
              <w:t>-</w:t>
            </w:r>
            <w:r>
              <w:rPr>
                <w:rFonts w:cs="Arial"/>
                <w:szCs w:val="18"/>
                <w:vertAlign w:val="superscript"/>
                <w:lang w:val="en-GB"/>
              </w:rPr>
              <w:t>4</w:t>
            </w:r>
          </w:p>
        </w:tc>
        <w:tc>
          <w:tcPr>
            <w:tcW w:w="1077" w:type="dxa"/>
            <w:shd w:val="clear" w:color="auto" w:fill="C0504D" w:themeFill="accent2"/>
            <w:vAlign w:val="center"/>
          </w:tcPr>
          <w:p w14:paraId="0286B2D4" w14:textId="4F8F2CC4" w:rsidR="00225B72" w:rsidRPr="00C8131A" w:rsidRDefault="00225B72" w:rsidP="00EF1ACB">
            <w:pPr>
              <w:pStyle w:val="CETBodytext"/>
              <w:ind w:right="-1"/>
              <w:jc w:val="left"/>
              <w:rPr>
                <w:rFonts w:cs="Arial"/>
                <w:szCs w:val="18"/>
                <w:lang w:val="en-GB"/>
              </w:rPr>
            </w:pPr>
            <w:r w:rsidRPr="00065519">
              <w:rPr>
                <w:rFonts w:cs="Arial"/>
                <w:szCs w:val="18"/>
                <w:lang w:val="en-GB"/>
              </w:rPr>
              <w:t>6.0</w:t>
            </w:r>
            <w:r w:rsidRPr="00065519">
              <w:rPr>
                <w:rFonts w:ascii="Times New Roman" w:hAnsi="Times New Roman"/>
                <w:szCs w:val="18"/>
                <w:lang w:val="en-GB"/>
              </w:rPr>
              <w:t>‧</w:t>
            </w:r>
            <w:r w:rsidRPr="00065519">
              <w:rPr>
                <w:rFonts w:cs="Arial"/>
                <w:szCs w:val="18"/>
                <w:lang w:val="en-GB"/>
              </w:rPr>
              <w:t>10</w:t>
            </w:r>
            <w:r w:rsidRPr="00065519">
              <w:rPr>
                <w:rFonts w:cs="Arial"/>
                <w:szCs w:val="18"/>
                <w:vertAlign w:val="superscript"/>
                <w:lang w:val="en-GB"/>
              </w:rPr>
              <w:t>-</w:t>
            </w:r>
            <w:r>
              <w:rPr>
                <w:rFonts w:cs="Arial"/>
                <w:szCs w:val="18"/>
                <w:vertAlign w:val="superscript"/>
                <w:lang w:val="en-GB"/>
              </w:rPr>
              <w:t>5</w:t>
            </w:r>
          </w:p>
        </w:tc>
        <w:tc>
          <w:tcPr>
            <w:tcW w:w="1077" w:type="dxa"/>
            <w:shd w:val="clear" w:color="auto" w:fill="C0504D" w:themeFill="accent2"/>
            <w:vAlign w:val="center"/>
          </w:tcPr>
          <w:p w14:paraId="04870FEA" w14:textId="54DDE219" w:rsidR="00225B72" w:rsidRPr="00316ED6" w:rsidRDefault="00225B72" w:rsidP="00EF1ACB">
            <w:pPr>
              <w:pStyle w:val="CETBodytext"/>
              <w:ind w:right="-1"/>
              <w:jc w:val="left"/>
              <w:rPr>
                <w:rFonts w:cs="Arial"/>
                <w:szCs w:val="18"/>
                <w:lang w:val="en-GB"/>
              </w:rPr>
            </w:pPr>
            <w:r w:rsidRPr="00FA7EED">
              <w:rPr>
                <w:rFonts w:cs="Arial"/>
                <w:szCs w:val="18"/>
                <w:lang w:val="en-GB"/>
              </w:rPr>
              <w:t>3.0</w:t>
            </w:r>
            <w:r w:rsidRPr="00FA7EED">
              <w:rPr>
                <w:rFonts w:ascii="Times New Roman" w:hAnsi="Times New Roman"/>
                <w:szCs w:val="18"/>
                <w:lang w:val="en-GB"/>
              </w:rPr>
              <w:t>‧</w:t>
            </w:r>
            <w:r w:rsidRPr="00FA7EED">
              <w:rPr>
                <w:rFonts w:cs="Arial"/>
                <w:szCs w:val="18"/>
                <w:lang w:val="en-GB"/>
              </w:rPr>
              <w:t>10</w:t>
            </w:r>
            <w:r w:rsidRPr="00FA7EED">
              <w:rPr>
                <w:rFonts w:cs="Arial"/>
                <w:szCs w:val="18"/>
                <w:vertAlign w:val="superscript"/>
                <w:lang w:val="en-GB"/>
              </w:rPr>
              <w:t>-</w:t>
            </w:r>
            <w:r>
              <w:rPr>
                <w:rFonts w:cs="Arial"/>
                <w:szCs w:val="18"/>
                <w:vertAlign w:val="superscript"/>
                <w:lang w:val="en-GB"/>
              </w:rPr>
              <w:t>5</w:t>
            </w:r>
          </w:p>
        </w:tc>
        <w:tc>
          <w:tcPr>
            <w:tcW w:w="1077" w:type="dxa"/>
            <w:shd w:val="clear" w:color="auto" w:fill="C0504D" w:themeFill="accent2"/>
            <w:vAlign w:val="center"/>
          </w:tcPr>
          <w:p w14:paraId="4C7A2D85" w14:textId="5113285C" w:rsidR="00225B72" w:rsidRPr="00316ED6" w:rsidRDefault="00225B72" w:rsidP="00EF1ACB">
            <w:pPr>
              <w:pStyle w:val="CETBodytext"/>
              <w:ind w:right="-1"/>
              <w:jc w:val="left"/>
              <w:rPr>
                <w:rFonts w:cs="Arial"/>
                <w:szCs w:val="18"/>
                <w:lang w:val="en-GB"/>
              </w:rPr>
            </w:pPr>
            <w:r w:rsidRPr="001E5A83">
              <w:rPr>
                <w:rFonts w:cs="Arial"/>
                <w:szCs w:val="18"/>
                <w:lang w:val="en-GB"/>
              </w:rPr>
              <w:t>2.0</w:t>
            </w:r>
            <w:r w:rsidRPr="001E5A83">
              <w:rPr>
                <w:rFonts w:ascii="Times New Roman" w:hAnsi="Times New Roman"/>
                <w:szCs w:val="18"/>
                <w:lang w:val="en-GB"/>
              </w:rPr>
              <w:t>‧</w:t>
            </w:r>
            <w:r w:rsidRPr="001E5A83">
              <w:rPr>
                <w:rFonts w:cs="Arial"/>
                <w:szCs w:val="18"/>
                <w:lang w:val="en-GB"/>
              </w:rPr>
              <w:t>10</w:t>
            </w:r>
            <w:r w:rsidRPr="001E5A83">
              <w:rPr>
                <w:rFonts w:cs="Arial"/>
                <w:szCs w:val="18"/>
                <w:vertAlign w:val="superscript"/>
                <w:lang w:val="en-GB"/>
              </w:rPr>
              <w:t>-</w:t>
            </w:r>
            <w:r>
              <w:rPr>
                <w:rFonts w:cs="Arial"/>
                <w:szCs w:val="18"/>
                <w:vertAlign w:val="superscript"/>
                <w:lang w:val="en-GB"/>
              </w:rPr>
              <w:t>5</w:t>
            </w:r>
          </w:p>
        </w:tc>
        <w:tc>
          <w:tcPr>
            <w:tcW w:w="1078" w:type="dxa"/>
            <w:shd w:val="clear" w:color="auto" w:fill="C0504D" w:themeFill="accent2"/>
            <w:vAlign w:val="center"/>
          </w:tcPr>
          <w:p w14:paraId="063129EB" w14:textId="6DF79D45" w:rsidR="00225B72" w:rsidRPr="00316ED6" w:rsidRDefault="00225B72" w:rsidP="00EF1ACB">
            <w:pPr>
              <w:pStyle w:val="CETBodytext"/>
              <w:ind w:right="-1"/>
              <w:jc w:val="left"/>
              <w:rPr>
                <w:rFonts w:cs="Arial"/>
                <w:szCs w:val="18"/>
                <w:lang w:val="en-GB"/>
              </w:rPr>
            </w:pPr>
            <w:r w:rsidRPr="00ED34EC">
              <w:rPr>
                <w:rFonts w:cs="Arial"/>
                <w:szCs w:val="18"/>
                <w:lang w:val="en-GB"/>
              </w:rPr>
              <w:t>1.5</w:t>
            </w:r>
            <w:r w:rsidRPr="00ED34EC">
              <w:rPr>
                <w:rFonts w:ascii="Times New Roman" w:hAnsi="Times New Roman"/>
                <w:szCs w:val="18"/>
                <w:lang w:val="en-GB"/>
              </w:rPr>
              <w:t>‧</w:t>
            </w:r>
            <w:r w:rsidRPr="00ED34EC">
              <w:rPr>
                <w:rFonts w:cs="Arial"/>
                <w:szCs w:val="18"/>
                <w:lang w:val="en-GB"/>
              </w:rPr>
              <w:t>10</w:t>
            </w:r>
            <w:r w:rsidRPr="00ED34EC">
              <w:rPr>
                <w:rFonts w:cs="Arial"/>
                <w:szCs w:val="18"/>
                <w:vertAlign w:val="superscript"/>
                <w:lang w:val="en-GB"/>
              </w:rPr>
              <w:t>-</w:t>
            </w:r>
            <w:r>
              <w:rPr>
                <w:rFonts w:cs="Arial"/>
                <w:szCs w:val="18"/>
                <w:vertAlign w:val="superscript"/>
                <w:lang w:val="en-GB"/>
              </w:rPr>
              <w:t>5</w:t>
            </w:r>
          </w:p>
        </w:tc>
      </w:tr>
    </w:tbl>
    <w:p w14:paraId="7A095659" w14:textId="77777777" w:rsidR="000D6B68" w:rsidRDefault="000D6B68" w:rsidP="005C44D6"/>
    <w:p w14:paraId="08730949" w14:textId="2DE39209" w:rsidR="00CF596E" w:rsidRDefault="00E54ACC" w:rsidP="005C44D6">
      <w:r w:rsidRPr="00E54ACC">
        <w:t xml:space="preserve">Since φ cannot exceed 1, as this would imply that the </w:t>
      </w:r>
      <w:r>
        <w:t xml:space="preserve">electrostatic </w:t>
      </w:r>
      <w:r w:rsidRPr="00E54ACC">
        <w:t xml:space="preserve">field is greater than the electrostatic field of an infinite cylinder, it indicates that even without charge relaxation (i.e., with infinite </w:t>
      </w:r>
      <w:r>
        <w:t>H</w:t>
      </w:r>
      <w:r w:rsidRPr="00E54ACC">
        <w:rPr>
          <w:vertAlign w:val="subscript"/>
        </w:rPr>
        <w:t>c</w:t>
      </w:r>
      <w:r>
        <w:t>)</w:t>
      </w:r>
      <w:r w:rsidRPr="00E54ACC">
        <w:t xml:space="preserve"> </w:t>
      </w:r>
      <w:r>
        <w:t>E</w:t>
      </w:r>
      <w:r w:rsidRPr="00E54ACC">
        <w:rPr>
          <w:vertAlign w:val="subscript"/>
        </w:rPr>
        <w:t>Smax</w:t>
      </w:r>
      <w:r w:rsidRPr="00E54ACC">
        <w:t xml:space="preserve"> remains &lt; 500 kV</w:t>
      </w:r>
      <w:r>
        <w:t>/m</w:t>
      </w:r>
      <w:r w:rsidRPr="00E54ACC">
        <w:t>.</w:t>
      </w:r>
    </w:p>
    <w:p w14:paraId="53DEAA38" w14:textId="77777777" w:rsidR="0087513B" w:rsidRDefault="0087513B" w:rsidP="005C44D6"/>
    <w:p w14:paraId="2D29932D" w14:textId="0A8F3F5C" w:rsidR="0087513B" w:rsidRDefault="0087513B" w:rsidP="005C44D6">
      <w:r w:rsidRPr="0087513B">
        <w:t xml:space="preserve">In the reddish zone of Table 1, the required values for </w:t>
      </w:r>
      <w:r w:rsidRPr="00E54ACC">
        <w:t>φ</w:t>
      </w:r>
      <w:r w:rsidRPr="0087513B">
        <w:t xml:space="preserve"> and, consequently</w:t>
      </w:r>
      <w:r>
        <w:t>, H</w:t>
      </w:r>
      <w:r w:rsidRPr="0087513B">
        <w:rPr>
          <w:vertAlign w:val="subscript"/>
        </w:rPr>
        <w:t>c</w:t>
      </w:r>
      <w:r>
        <w:t>,</w:t>
      </w:r>
      <w:r w:rsidRPr="0087513B">
        <w:t xml:space="preserve"> are so minimal that achieving them in a controlled and practical manner is not feasible. Conversely, in the yellow zone, the risk of cone discharge can be effectively managed by regulating </w:t>
      </w:r>
      <w:r>
        <w:t>H</w:t>
      </w:r>
      <w:r w:rsidRPr="0087513B">
        <w:rPr>
          <w:vertAlign w:val="subscript"/>
        </w:rPr>
        <w:t>c</w:t>
      </w:r>
      <w:r>
        <w:t>,</w:t>
      </w:r>
      <w:r w:rsidRPr="0087513B">
        <w:t xml:space="preserve"> and thus </w:t>
      </w:r>
      <w:r w:rsidRPr="00E54ACC">
        <w:t>φ</w:t>
      </w:r>
      <w:r w:rsidRPr="0087513B">
        <w:t>, through precise control of the dosing rate</w:t>
      </w:r>
      <w:r>
        <w:t>.</w:t>
      </w:r>
    </w:p>
    <w:p w14:paraId="28EF347A" w14:textId="77777777" w:rsidR="00C614EA" w:rsidRDefault="00C614EA" w:rsidP="005C44D6"/>
    <w:p w14:paraId="3A2DE10E" w14:textId="2AA4C524" w:rsidR="005A50F5" w:rsidRPr="00666A63" w:rsidRDefault="00C55DC8" w:rsidP="005C44D6">
      <w:r w:rsidRPr="00666A63">
        <w:t>Practical example</w:t>
      </w:r>
      <w:r w:rsidRPr="0045605A">
        <w:t>:</w:t>
      </w:r>
    </w:p>
    <w:p w14:paraId="7E60E810" w14:textId="797801B8" w:rsidR="00C55DC8" w:rsidRDefault="00B84A22" w:rsidP="005C44D6">
      <w:r w:rsidRPr="00B84A22">
        <w:t>The following example illustrates the use of Table 1 and the limitations of the dosing rate</w:t>
      </w:r>
      <w:r w:rsidR="00291249">
        <w:t xml:space="preserve"> to avoid a cone discharge</w:t>
      </w:r>
      <w:r w:rsidR="008917B9" w:rsidRPr="008917B9">
        <w:t>:</w:t>
      </w:r>
      <w:r w:rsidR="00194391">
        <w:t xml:space="preserve"> </w:t>
      </w:r>
      <w:r w:rsidR="00E077D6">
        <w:t>a</w:t>
      </w:r>
      <w:r w:rsidR="009E1A6C" w:rsidRPr="009E1A6C">
        <w:t xml:space="preserve"> silo with a radius of </w:t>
      </w:r>
      <w:r w:rsidR="009E1A6C">
        <w:t xml:space="preserve">R = </w:t>
      </w:r>
      <w:r w:rsidR="009E1A6C" w:rsidRPr="009E1A6C">
        <w:t xml:space="preserve">1.5 m and a height of </w:t>
      </w:r>
      <w:r w:rsidR="009E1A6C">
        <w:t xml:space="preserve">H = </w:t>
      </w:r>
      <w:r w:rsidR="009E1A6C" w:rsidRPr="009E1A6C">
        <w:t xml:space="preserve">5 m is filled with a powder that has a </w:t>
      </w:r>
      <w:r w:rsidR="005A7B05">
        <w:t>volume</w:t>
      </w:r>
      <w:r w:rsidR="009E1A6C" w:rsidRPr="009E1A6C">
        <w:t xml:space="preserve"> resistivity of </w:t>
      </w:r>
      <w:r w:rsidR="009E1A6C">
        <w:rPr>
          <w:rFonts w:cs="Arial"/>
        </w:rPr>
        <w:t>ρ</w:t>
      </w:r>
      <w:r w:rsidR="009E1A6C">
        <w:t xml:space="preserve"> = </w:t>
      </w:r>
      <w:r w:rsidR="009E1A6C" w:rsidRPr="009E1A6C">
        <w:t>1.0</w:t>
      </w:r>
      <w:r w:rsidR="009E1A6C" w:rsidRPr="009E1A6C">
        <w:rPr>
          <w:rFonts w:ascii="MS Gothic" w:eastAsia="MS Gothic" w:hAnsi="MS Gothic" w:cs="MS Gothic" w:hint="eastAsia"/>
        </w:rPr>
        <w:t>‧</w:t>
      </w:r>
      <w:r w:rsidR="009E1A6C" w:rsidRPr="009E1A6C">
        <w:t>10</w:t>
      </w:r>
      <w:r w:rsidR="002B274E">
        <w:rPr>
          <w:vertAlign w:val="superscript"/>
        </w:rPr>
        <w:t>11</w:t>
      </w:r>
      <w:r w:rsidR="009E1A6C" w:rsidRPr="009E1A6C">
        <w:t xml:space="preserve"> </w:t>
      </w:r>
      <w:r w:rsidR="009E1A6C" w:rsidRPr="009E1A6C">
        <w:rPr>
          <w:rFonts w:cs="Arial"/>
        </w:rPr>
        <w:t>Ω</w:t>
      </w:r>
      <w:r w:rsidR="009E1A6C" w:rsidRPr="009E1A6C">
        <w:t xml:space="preserve">m and an initial charge density of </w:t>
      </w:r>
      <w:r w:rsidR="00E077D6">
        <w:t>q</w:t>
      </w:r>
      <w:r w:rsidR="00E077D6" w:rsidRPr="00E23D27">
        <w:rPr>
          <w:vertAlign w:val="subscript"/>
        </w:rPr>
        <w:t>m0</w:t>
      </w:r>
      <w:r w:rsidR="00E077D6">
        <w:rPr>
          <w:vertAlign w:val="subscript"/>
        </w:rPr>
        <w:t xml:space="preserve"> </w:t>
      </w:r>
      <w:r w:rsidR="00E077D6">
        <w:t>= 1</w:t>
      </w:r>
      <w:r w:rsidR="009E1A6C" w:rsidRPr="009E1A6C">
        <w:t>.0</w:t>
      </w:r>
      <w:r w:rsidR="009E1A6C" w:rsidRPr="009E1A6C">
        <w:rPr>
          <w:rFonts w:ascii="MS Gothic" w:eastAsia="MS Gothic" w:hAnsi="MS Gothic" w:cs="MS Gothic" w:hint="eastAsia"/>
        </w:rPr>
        <w:t>‧</w:t>
      </w:r>
      <w:r w:rsidR="009E1A6C" w:rsidRPr="009E1A6C">
        <w:t>10</w:t>
      </w:r>
      <w:r w:rsidR="009E1A6C" w:rsidRPr="0045605A">
        <w:rPr>
          <w:vertAlign w:val="superscript"/>
        </w:rPr>
        <w:t>2</w:t>
      </w:r>
      <w:r w:rsidR="009E1A6C" w:rsidRPr="009E1A6C">
        <w:t xml:space="preserve"> nC/kg. The powder is filled to a height H</w:t>
      </w:r>
      <w:r w:rsidR="001E53DF" w:rsidRPr="0045605A">
        <w:rPr>
          <w:vertAlign w:val="subscript"/>
        </w:rPr>
        <w:t>f</w:t>
      </w:r>
      <w:r w:rsidR="009E1A6C">
        <w:t xml:space="preserve"> </w:t>
      </w:r>
      <w:r w:rsidR="009E1A6C" w:rsidRPr="009E1A6C">
        <w:t>=</w:t>
      </w:r>
      <w:r w:rsidR="009E1A6C">
        <w:t xml:space="preserve"> </w:t>
      </w:r>
      <w:r w:rsidR="001E53DF">
        <w:t>3</w:t>
      </w:r>
      <w:r w:rsidR="009E1A6C">
        <w:t xml:space="preserve"> </w:t>
      </w:r>
      <w:r w:rsidR="009E1A6C" w:rsidRPr="009E1A6C">
        <w:t>m</w:t>
      </w:r>
      <w:r w:rsidR="009E1A6C">
        <w:t>.</w:t>
      </w:r>
    </w:p>
    <w:p w14:paraId="0E667DA2" w14:textId="5C8A15DC" w:rsidR="00E077D6" w:rsidRDefault="00705DEE" w:rsidP="005C44D6">
      <w:r>
        <w:t>The c</w:t>
      </w:r>
      <w:r w:rsidRPr="00705DEE">
        <w:t xml:space="preserve">ondition 1 of </w:t>
      </w:r>
      <w:r>
        <w:t>Equation</w:t>
      </w:r>
      <w:r w:rsidRPr="00705DEE">
        <w:t xml:space="preserve"> 15 is fulfilled. Based on Table 1, the risk of a cone-type discharge cannot be ruled out. Consequently, </w:t>
      </w:r>
      <w:r>
        <w:t>H</w:t>
      </w:r>
      <w:r w:rsidRPr="0045605A">
        <w:rPr>
          <w:vertAlign w:val="subscript"/>
        </w:rPr>
        <w:t>c</w:t>
      </w:r>
      <w:r w:rsidRPr="00705DEE">
        <w:t xml:space="preserve"> must be </w:t>
      </w:r>
      <w:r w:rsidR="008A02B7">
        <w:t xml:space="preserve">numerically </w:t>
      </w:r>
      <w:r w:rsidRPr="00705DEE">
        <w:t xml:space="preserve">determined </w:t>
      </w:r>
      <w:r w:rsidR="006800B2">
        <w:t>w</w:t>
      </w:r>
      <w:r w:rsidR="009C77C3">
        <w:t xml:space="preserve">ith </w:t>
      </w:r>
      <w:r>
        <w:t>Equations</w:t>
      </w:r>
      <w:r w:rsidRPr="00705DEE">
        <w:t xml:space="preserve"> 16 and 13</w:t>
      </w:r>
      <w:r>
        <w:t>.</w:t>
      </w:r>
      <w:r w:rsidRPr="00705DEE">
        <w:t xml:space="preserve"> Once </w:t>
      </w:r>
      <w:r>
        <w:t>H</w:t>
      </w:r>
      <w:r w:rsidRPr="00E23D27">
        <w:rPr>
          <w:vertAlign w:val="subscript"/>
        </w:rPr>
        <w:t>c</w:t>
      </w:r>
      <w:r w:rsidRPr="00705DEE">
        <w:t xml:space="preserve"> is </w:t>
      </w:r>
      <w:r>
        <w:t>determined</w:t>
      </w:r>
      <w:r w:rsidRPr="00705DEE">
        <w:t xml:space="preserve">, the dosing rate can be derived accordingly. It is then essential to verify that Condition 2 of </w:t>
      </w:r>
      <w:r w:rsidR="00D42CF6">
        <w:t>Equation</w:t>
      </w:r>
      <w:r w:rsidRPr="00705DEE">
        <w:t xml:space="preserve"> 15 is </w:t>
      </w:r>
      <w:r>
        <w:t>still</w:t>
      </w:r>
      <w:r w:rsidRPr="00705DEE">
        <w:t xml:space="preserve"> </w:t>
      </w:r>
      <w:r w:rsidRPr="00705DEE">
        <w:lastRenderedPageBreak/>
        <w:t>satisfied.</w:t>
      </w:r>
      <w:r w:rsidR="008A02B7">
        <w:t xml:space="preserve"> </w:t>
      </w:r>
      <w:r w:rsidR="009804FD" w:rsidRPr="009804FD">
        <w:t>The numerical application indicates that</w:t>
      </w:r>
      <w:r w:rsidR="009804FD">
        <w:t xml:space="preserve"> H</w:t>
      </w:r>
      <w:r w:rsidR="009804FD" w:rsidRPr="0045605A">
        <w:rPr>
          <w:vertAlign w:val="subscript"/>
        </w:rPr>
        <w:t xml:space="preserve">c </w:t>
      </w:r>
      <w:r w:rsidR="00BA651A" w:rsidRPr="00BA651A">
        <w:t>must be less than</w:t>
      </w:r>
      <w:r w:rsidR="009804FD">
        <w:t xml:space="preserve"> 0.1379</w:t>
      </w:r>
      <w:r w:rsidR="00BA651A">
        <w:t xml:space="preserve"> and so the dosing rate must be below </w:t>
      </w:r>
      <w:r w:rsidR="00FC679E">
        <w:t>0.</w:t>
      </w:r>
      <w:r w:rsidR="00B26554">
        <w:t>33</w:t>
      </w:r>
      <w:r w:rsidR="00237635" w:rsidRPr="009E1A6C">
        <w:t xml:space="preserve"> </w:t>
      </w:r>
      <w:r w:rsidR="00B26554">
        <w:t>t</w:t>
      </w:r>
      <w:r w:rsidR="00237635">
        <w:t>/s</w:t>
      </w:r>
      <w:r w:rsidR="009804FD">
        <w:t>.</w:t>
      </w:r>
      <w:r w:rsidR="00F9522B">
        <w:t xml:space="preserve"> </w:t>
      </w:r>
      <w:r w:rsidR="00CF2E3D" w:rsidRPr="00CF2E3D">
        <w:t>In this case, condition 2 of equation 13 is satisfied.</w:t>
      </w:r>
    </w:p>
    <w:p w14:paraId="3CF504AB" w14:textId="77777777" w:rsidR="00CF596E" w:rsidRDefault="00CF596E" w:rsidP="005C44D6"/>
    <w:p w14:paraId="11F36762" w14:textId="004CFE37" w:rsidR="00F338FC" w:rsidRDefault="00F338FC" w:rsidP="00B55690">
      <w:pPr>
        <w:pStyle w:val="CETHeading1"/>
      </w:pPr>
      <w:r>
        <w:t>Conclusion</w:t>
      </w:r>
    </w:p>
    <w:p w14:paraId="71060A1B" w14:textId="77777777" w:rsidR="00F338FC" w:rsidRDefault="00F338FC" w:rsidP="005C44D6"/>
    <w:p w14:paraId="0BAFDA74" w14:textId="4CE20662" w:rsidR="001A7E62" w:rsidRPr="00B55690" w:rsidRDefault="00C834F0" w:rsidP="001A7E62">
      <w:pPr>
        <w:rPr>
          <w:lang w:val="en-US"/>
        </w:rPr>
      </w:pPr>
      <w:r>
        <w:t>The generalized calculation of E</w:t>
      </w:r>
      <w:r w:rsidRPr="00C1097F">
        <w:rPr>
          <w:vertAlign w:val="subscript"/>
        </w:rPr>
        <w:t>Smax</w:t>
      </w:r>
      <w:r>
        <w:t xml:space="preserve"> presented in this paper is based on the following input parameters</w:t>
      </w:r>
      <w:r w:rsidR="00743571">
        <w:t xml:space="preserve"> for </w:t>
      </w:r>
      <w:r>
        <w:t>Container and Process</w:t>
      </w:r>
      <w:r w:rsidR="009E0A8F">
        <w:t xml:space="preserve"> (</w:t>
      </w:r>
      <w:r w:rsidR="00743571">
        <w:t>r</w:t>
      </w:r>
      <w:r w:rsidR="009E0A8F">
        <w:t xml:space="preserve">adius, </w:t>
      </w:r>
      <w:r w:rsidR="00743571">
        <w:t>f</w:t>
      </w:r>
      <w:r w:rsidR="009E0A8F">
        <w:t xml:space="preserve">illing </w:t>
      </w:r>
      <w:r w:rsidR="00743571">
        <w:t>h</w:t>
      </w:r>
      <w:r w:rsidR="009E0A8F">
        <w:t xml:space="preserve">eight, </w:t>
      </w:r>
      <w:r w:rsidR="00743571">
        <w:t>f</w:t>
      </w:r>
      <w:r w:rsidR="009E0A8F">
        <w:t xml:space="preserve">illing </w:t>
      </w:r>
      <w:r w:rsidR="00743571">
        <w:t>r</w:t>
      </w:r>
      <w:r w:rsidR="009E0A8F">
        <w:t>ate)</w:t>
      </w:r>
      <w:r w:rsidR="00743571">
        <w:t xml:space="preserve"> and for powder (bulk density, resistivity, relative permittivity, charge density)</w:t>
      </w:r>
      <w:r w:rsidR="001A7E62">
        <w:t xml:space="preserve">. </w:t>
      </w:r>
      <w:r w:rsidR="001A7E62" w:rsidRPr="00B55690">
        <w:rPr>
          <w:lang w:val="en-US"/>
        </w:rPr>
        <w:t xml:space="preserve">Most parameters are straight forward to determine; however, a critical challenge lies in accurately determining </w:t>
      </w:r>
      <w:r w:rsidR="001A7E62">
        <w:t>q</w:t>
      </w:r>
      <w:r w:rsidR="001A7E62" w:rsidRPr="0045605A">
        <w:rPr>
          <w:vertAlign w:val="subscript"/>
        </w:rPr>
        <w:t>m0</w:t>
      </w:r>
      <w:r w:rsidR="001A7E62" w:rsidRPr="00B55690">
        <w:rPr>
          <w:lang w:val="en-US"/>
        </w:rPr>
        <w:t>​, the specific charge density. This parameter can vary significantly, from 10 pC/kg to 1 mC/kg. While current standards provide general ranges, less conservative, case-specific values can be obtained through on-site measurements. These measurements can involve using an electrostatic voltmeter to assess the introduced charge or measuring the charging current.</w:t>
      </w:r>
    </w:p>
    <w:p w14:paraId="745C4EBB" w14:textId="77777777" w:rsidR="001A7E62" w:rsidRPr="00B55690" w:rsidRDefault="001A7E62" w:rsidP="001A7E62">
      <w:pPr>
        <w:rPr>
          <w:lang w:val="en-US"/>
        </w:rPr>
      </w:pPr>
      <w:r w:rsidRPr="00B55690">
        <w:rPr>
          <w:lang w:val="en-US"/>
        </w:rPr>
        <w:t>The model offers a practical alternative to finite element simulations, providing an accessible and robust method for risk assessment in industrial applications. By addressing the interplay between critical physical parameters, the study enhances understanding of cone discharges and delivers actionable guidelines for ensuring operational safety in silos.</w:t>
      </w:r>
    </w:p>
    <w:p w14:paraId="0351B40F" w14:textId="14455DCA" w:rsidR="009E0A8F" w:rsidRDefault="009E0A8F" w:rsidP="00B55690"/>
    <w:p w14:paraId="4BA0FF8D" w14:textId="77777777" w:rsidR="000D6B68" w:rsidRDefault="000D6B68" w:rsidP="005C44D6"/>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7DFFBF41" w14:textId="1B05D305" w:rsidR="00280FAF" w:rsidRPr="00224DF2" w:rsidRDefault="00224DF2" w:rsidP="00280FAF">
      <w:pPr>
        <w:pStyle w:val="CETBodytext"/>
        <w:jc w:val="left"/>
        <w:rPr>
          <w:rFonts w:eastAsia="SimSun"/>
        </w:rPr>
        <w:sectPr w:rsidR="00280FAF" w:rsidRPr="00224DF2" w:rsidSect="00DC73EE">
          <w:type w:val="continuous"/>
          <w:pgSz w:w="11906" w:h="16838" w:code="9"/>
          <w:pgMar w:top="1701" w:right="1418" w:bottom="1701" w:left="1701" w:header="1701" w:footer="0" w:gutter="0"/>
          <w:cols w:space="708"/>
          <w:formProt w:val="0"/>
          <w:titlePg/>
          <w:docGrid w:linePitch="360"/>
        </w:sectPr>
      </w:pPr>
      <w:r>
        <w:t>β</w:t>
      </w:r>
      <w:r w:rsidRPr="005B4076">
        <w:rPr>
          <w:rFonts w:eastAsia="SimSun"/>
        </w:rPr>
        <w:t xml:space="preserve"> – geometrical factor for a</w:t>
      </w:r>
      <w:r>
        <w:rPr>
          <w:rFonts w:eastAsia="SimSun"/>
        </w:rPr>
        <w:t xml:space="preserve"> powder with a</w:t>
      </w:r>
      <w:r w:rsidRPr="005B4076">
        <w:rPr>
          <w:rFonts w:eastAsia="SimSun"/>
        </w:rPr>
        <w:t xml:space="preserve">n infinite </w:t>
      </w:r>
    </w:p>
    <w:p w14:paraId="1CB05BEC" w14:textId="03F0F92A" w:rsidR="00B01DBE" w:rsidRDefault="00B01DBE" w:rsidP="001C042B">
      <w:pPr>
        <w:pStyle w:val="CETBodytext"/>
        <w:jc w:val="left"/>
      </w:pPr>
      <w:r w:rsidRPr="005B4076">
        <w:rPr>
          <w:rFonts w:eastAsia="SimSun"/>
        </w:rPr>
        <w:t>resistivity, -</w:t>
      </w:r>
    </w:p>
    <w:p w14:paraId="58235633" w14:textId="6C8A1877" w:rsidR="001C042B" w:rsidRPr="0045605A" w:rsidRDefault="001C042B" w:rsidP="001C042B">
      <w:pPr>
        <w:pStyle w:val="CETBodytext"/>
        <w:jc w:val="left"/>
        <w:rPr>
          <w:rFonts w:eastAsia="SimSun"/>
        </w:rPr>
      </w:pPr>
      <w:r>
        <w:rPr>
          <w:lang w:eastAsia="de-CH"/>
        </w:rPr>
        <w:t>δ</w:t>
      </w:r>
      <w:r w:rsidRPr="0045605A">
        <w:rPr>
          <w:rFonts w:eastAsia="SimSun"/>
        </w:rPr>
        <w:t xml:space="preserve"> – </w:t>
      </w:r>
      <w:r w:rsidRPr="0045605A">
        <w:rPr>
          <w:lang w:eastAsia="de-CH"/>
        </w:rPr>
        <w:t>bulk density</w:t>
      </w:r>
      <w:r w:rsidRPr="0045605A">
        <w:rPr>
          <w:rFonts w:eastAsia="SimSun"/>
        </w:rPr>
        <w:t xml:space="preserve">, </w:t>
      </w:r>
      <w:r w:rsidRPr="0045605A">
        <w:rPr>
          <w:lang w:eastAsia="de-CH"/>
        </w:rPr>
        <w:t>kg/m</w:t>
      </w:r>
      <w:r w:rsidRPr="0045605A">
        <w:rPr>
          <w:vertAlign w:val="superscript"/>
          <w:lang w:eastAsia="de-CH"/>
        </w:rPr>
        <w:t>3</w:t>
      </w:r>
    </w:p>
    <w:p w14:paraId="749DA0F0" w14:textId="77777777" w:rsidR="0005399E" w:rsidRPr="00280FAF" w:rsidRDefault="0005399E" w:rsidP="0005399E">
      <w:pPr>
        <w:pStyle w:val="CETBodytext"/>
        <w:jc w:val="left"/>
        <w:rPr>
          <w:rFonts w:eastAsia="SimSun"/>
        </w:rPr>
      </w:pPr>
      <w:r w:rsidRPr="00E042B3">
        <w:rPr>
          <w:lang w:val="de-CH" w:eastAsia="de-CH"/>
        </w:rPr>
        <w:t>ε</w:t>
      </w:r>
      <w:r>
        <w:rPr>
          <w:lang w:eastAsia="de-CH"/>
        </w:rPr>
        <w:t xml:space="preserve"> </w:t>
      </w:r>
      <w:r w:rsidRPr="00280FAF">
        <w:rPr>
          <w:rFonts w:eastAsia="SimSun"/>
        </w:rPr>
        <w:t xml:space="preserve">– </w:t>
      </w:r>
      <w:r>
        <w:rPr>
          <w:lang w:eastAsia="de-CH"/>
        </w:rPr>
        <w:t>d</w:t>
      </w:r>
      <w:r w:rsidRPr="007009D0">
        <w:rPr>
          <w:lang w:eastAsia="de-CH"/>
        </w:rPr>
        <w:t>ielectric constant of the</w:t>
      </w:r>
      <w:r>
        <w:rPr>
          <w:lang w:eastAsia="de-CH"/>
        </w:rPr>
        <w:t xml:space="preserve"> powder</w:t>
      </w:r>
      <w:r w:rsidRPr="00280FAF">
        <w:rPr>
          <w:rFonts w:eastAsia="SimSun"/>
        </w:rPr>
        <w:t xml:space="preserve">, </w:t>
      </w:r>
      <w:r>
        <w:rPr>
          <w:rFonts w:eastAsia="SimSun"/>
        </w:rPr>
        <w:t>-</w:t>
      </w:r>
    </w:p>
    <w:p w14:paraId="5E33FD2A" w14:textId="77777777" w:rsidR="0005399E" w:rsidRDefault="0005399E" w:rsidP="0005399E">
      <w:pPr>
        <w:pStyle w:val="CETBodytext"/>
        <w:jc w:val="left"/>
        <w:rPr>
          <w:rFonts w:eastAsia="SimSun"/>
        </w:rPr>
      </w:pPr>
      <w:r w:rsidRPr="00E042B3">
        <w:rPr>
          <w:lang w:val="de-CH" w:eastAsia="de-CH"/>
        </w:rPr>
        <w:t>ε</w:t>
      </w:r>
      <w:r w:rsidRPr="007009D0">
        <w:rPr>
          <w:vertAlign w:val="subscript"/>
          <w:lang w:eastAsia="de-CH"/>
        </w:rPr>
        <w:t>0</w:t>
      </w:r>
      <w:r w:rsidRPr="00280FAF">
        <w:rPr>
          <w:rFonts w:eastAsia="SimSun"/>
        </w:rPr>
        <w:t xml:space="preserve"> – </w:t>
      </w:r>
      <w:r w:rsidRPr="007009D0">
        <w:rPr>
          <w:lang w:eastAsia="de-CH"/>
        </w:rPr>
        <w:t>vacuum permittivity</w:t>
      </w:r>
      <w:r w:rsidRPr="00280FAF">
        <w:rPr>
          <w:rFonts w:eastAsia="SimSun"/>
        </w:rPr>
        <w:t xml:space="preserve">, </w:t>
      </w:r>
      <w:r>
        <w:rPr>
          <w:rFonts w:eastAsia="SimSun"/>
        </w:rPr>
        <w:t>F/m</w:t>
      </w:r>
    </w:p>
    <w:p w14:paraId="0B841658" w14:textId="77777777" w:rsidR="0005399E" w:rsidRDefault="0005399E" w:rsidP="0005399E">
      <w:pPr>
        <w:pStyle w:val="CETBodytext"/>
        <w:jc w:val="left"/>
        <w:rPr>
          <w:rFonts w:eastAsia="SimSun"/>
        </w:rPr>
      </w:pPr>
      <w:r>
        <w:rPr>
          <w:rFonts w:eastAsia="SimSun" w:cs="Arial"/>
        </w:rPr>
        <w:t>ρ</w:t>
      </w:r>
      <w:r>
        <w:rPr>
          <w:rFonts w:eastAsia="SimSun"/>
        </w:rPr>
        <w:t xml:space="preserve"> </w:t>
      </w:r>
      <w:r w:rsidRPr="00280FAF">
        <w:rPr>
          <w:rFonts w:eastAsia="SimSun"/>
        </w:rPr>
        <w:t>–</w:t>
      </w:r>
      <w:r>
        <w:rPr>
          <w:rFonts w:eastAsia="SimSun"/>
        </w:rPr>
        <w:t xml:space="preserve"> powder volume resistivity, </w:t>
      </w:r>
      <w:r>
        <w:rPr>
          <w:rFonts w:eastAsia="SimSun" w:cs="Arial"/>
        </w:rPr>
        <w:t>Ω</w:t>
      </w:r>
      <w:r>
        <w:rPr>
          <w:rFonts w:eastAsia="SimSun"/>
        </w:rPr>
        <w:t>m</w:t>
      </w:r>
    </w:p>
    <w:p w14:paraId="23CD9E76" w14:textId="77777777" w:rsidR="001C042B" w:rsidRDefault="001C042B" w:rsidP="001C042B">
      <w:pPr>
        <w:pStyle w:val="CETBodytext"/>
        <w:jc w:val="left"/>
        <w:rPr>
          <w:rFonts w:eastAsia="SimSun"/>
        </w:rPr>
      </w:pPr>
      <w:r>
        <w:rPr>
          <w:rFonts w:eastAsia="SimSun" w:cs="Arial"/>
          <w:lang w:val="el-GR"/>
        </w:rPr>
        <w:t>φ</w:t>
      </w:r>
      <w:r w:rsidRPr="00280FAF">
        <w:rPr>
          <w:rFonts w:eastAsia="SimSun"/>
          <w:lang w:val="el-GR"/>
        </w:rPr>
        <w:t xml:space="preserve"> </w:t>
      </w:r>
      <w:r w:rsidRPr="00280FAF">
        <w:rPr>
          <w:rFonts w:eastAsia="SimSun"/>
        </w:rPr>
        <w:t>–</w:t>
      </w:r>
      <w:r w:rsidRPr="00280FAF">
        <w:rPr>
          <w:rFonts w:eastAsia="SimSun"/>
          <w:lang w:val="el-GR"/>
        </w:rPr>
        <w:t xml:space="preserve"> </w:t>
      </w:r>
      <w:r w:rsidRPr="005B4076">
        <w:rPr>
          <w:rFonts w:eastAsia="SimSun"/>
        </w:rPr>
        <w:t>geometrical factor for a</w:t>
      </w:r>
      <w:r>
        <w:rPr>
          <w:rFonts w:eastAsia="SimSun"/>
        </w:rPr>
        <w:t xml:space="preserve"> powder with charge relaxation</w:t>
      </w:r>
      <w:r w:rsidRPr="005B4076">
        <w:rPr>
          <w:rFonts w:eastAsia="SimSun"/>
        </w:rPr>
        <w:t>, -</w:t>
      </w:r>
    </w:p>
    <w:p w14:paraId="2244CE7D" w14:textId="77777777" w:rsidR="001C042B" w:rsidRDefault="001C042B" w:rsidP="001C042B">
      <w:pPr>
        <w:pStyle w:val="CETBodytext"/>
        <w:jc w:val="left"/>
        <w:rPr>
          <w:rFonts w:eastAsia="SimSun"/>
        </w:rPr>
      </w:pPr>
      <w:r>
        <w:rPr>
          <w:rFonts w:eastAsia="SimSun" w:cs="Arial"/>
          <w:lang w:val="el-GR"/>
        </w:rPr>
        <w:t>φ</w:t>
      </w:r>
      <w:r w:rsidRPr="001A2DB7">
        <w:rPr>
          <w:rFonts w:eastAsia="SimSun" w:cs="Arial"/>
          <w:vertAlign w:val="subscript"/>
        </w:rPr>
        <w:t>crit</w:t>
      </w:r>
      <w:r w:rsidRPr="00280FAF">
        <w:rPr>
          <w:rFonts w:eastAsia="SimSun"/>
          <w:lang w:val="el-GR"/>
        </w:rPr>
        <w:t xml:space="preserve"> </w:t>
      </w:r>
      <w:r w:rsidRPr="00280FAF">
        <w:rPr>
          <w:rFonts w:eastAsia="SimSun"/>
        </w:rPr>
        <w:t>–</w:t>
      </w:r>
      <w:r w:rsidRPr="00280FAF">
        <w:rPr>
          <w:rFonts w:eastAsia="SimSun"/>
          <w:lang w:val="el-GR"/>
        </w:rPr>
        <w:t xml:space="preserve"> </w:t>
      </w:r>
      <w:r w:rsidRPr="005B4076">
        <w:rPr>
          <w:rFonts w:eastAsia="SimSun"/>
        </w:rPr>
        <w:t>geometrical factor for a</w:t>
      </w:r>
      <w:r>
        <w:rPr>
          <w:rFonts w:eastAsia="SimSun"/>
        </w:rPr>
        <w:t xml:space="preserve"> powder with charge relaxation </w:t>
      </w:r>
      <w:r>
        <w:t xml:space="preserve">typical values of </w:t>
      </w:r>
      <w:r w:rsidRPr="00E21750">
        <w:rPr>
          <w:rFonts w:ascii="Symbol" w:hAnsi="Symbol"/>
        </w:rPr>
        <w:t>e</w:t>
      </w:r>
      <w:r>
        <w:t xml:space="preserve"> and </w:t>
      </w:r>
      <w:r w:rsidRPr="00E21750">
        <w:rPr>
          <w:rFonts w:ascii="Symbol" w:hAnsi="Symbol"/>
        </w:rPr>
        <w:t>d</w:t>
      </w:r>
      <w:r w:rsidRPr="005B4076">
        <w:rPr>
          <w:rFonts w:eastAsia="SimSun"/>
        </w:rPr>
        <w:t>, -</w:t>
      </w:r>
    </w:p>
    <w:p w14:paraId="44B25F09" w14:textId="77777777" w:rsidR="001C042B" w:rsidRPr="00280FAF" w:rsidRDefault="001C042B" w:rsidP="001C042B">
      <w:pPr>
        <w:pStyle w:val="CETBodytext"/>
        <w:jc w:val="left"/>
        <w:rPr>
          <w:rFonts w:eastAsia="SimSun"/>
        </w:rPr>
      </w:pPr>
      <w:r>
        <w:rPr>
          <w:rFonts w:eastAsiaTheme="minorEastAsia"/>
        </w:rPr>
        <w:t>τ</w:t>
      </w:r>
      <w:r>
        <w:rPr>
          <w:rFonts w:eastAsiaTheme="minorEastAsia"/>
          <w:vertAlign w:val="subscript"/>
        </w:rPr>
        <w:t>relax</w:t>
      </w:r>
      <w:r w:rsidRPr="00280FAF">
        <w:rPr>
          <w:rFonts w:eastAsia="SimSun"/>
        </w:rPr>
        <w:t xml:space="preserve"> – </w:t>
      </w:r>
      <w:r>
        <w:rPr>
          <w:rFonts w:eastAsia="SimSun"/>
        </w:rPr>
        <w:t>relaxation time, s</w:t>
      </w:r>
    </w:p>
    <w:p w14:paraId="279334E6" w14:textId="77777777" w:rsidR="00224DF2" w:rsidRPr="00280FAF" w:rsidRDefault="00224DF2" w:rsidP="00224DF2">
      <w:pPr>
        <w:pStyle w:val="CETBodytext"/>
        <w:jc w:val="left"/>
        <w:rPr>
          <w:rFonts w:eastAsia="SimSun"/>
        </w:rPr>
      </w:pPr>
      <w:r>
        <w:rPr>
          <w:rFonts w:eastAsia="SimSun"/>
        </w:rPr>
        <w:t>H</w:t>
      </w:r>
      <w:r>
        <w:rPr>
          <w:rFonts w:eastAsia="SimSun"/>
          <w:vertAlign w:val="subscript"/>
        </w:rPr>
        <w:t xml:space="preserve"> </w:t>
      </w:r>
      <w:r w:rsidRPr="00280FAF">
        <w:rPr>
          <w:rFonts w:eastAsia="SimSun"/>
        </w:rPr>
        <w:t xml:space="preserve">– </w:t>
      </w:r>
      <w:r>
        <w:rPr>
          <w:rFonts w:eastAsia="SimSun"/>
        </w:rPr>
        <w:t>container height</w:t>
      </w:r>
      <w:r w:rsidRPr="00280FAF">
        <w:rPr>
          <w:rFonts w:eastAsia="SimSun"/>
        </w:rPr>
        <w:t>, m</w:t>
      </w:r>
    </w:p>
    <w:p w14:paraId="50D60C91" w14:textId="106D1355" w:rsidR="00B6420D" w:rsidRPr="00280FAF" w:rsidRDefault="00B6420D" w:rsidP="00B6420D">
      <w:pPr>
        <w:pStyle w:val="CETBodytext"/>
        <w:jc w:val="left"/>
        <w:rPr>
          <w:rFonts w:eastAsia="SimSun"/>
        </w:rPr>
      </w:pPr>
      <w:r>
        <w:rPr>
          <w:rFonts w:eastAsia="SimSun"/>
        </w:rPr>
        <w:t>H</w:t>
      </w:r>
      <w:r w:rsidRPr="007C36DD">
        <w:rPr>
          <w:rFonts w:eastAsia="SimSun"/>
          <w:vertAlign w:val="subscript"/>
        </w:rPr>
        <w:t>c</w:t>
      </w:r>
      <w:r w:rsidRPr="00280FAF">
        <w:rPr>
          <w:rFonts w:eastAsia="SimSun"/>
        </w:rPr>
        <w:t xml:space="preserve"> – </w:t>
      </w:r>
      <w:r w:rsidRPr="00FC42D6">
        <w:t>the charged layer thickness</w:t>
      </w:r>
      <w:r>
        <w:t>, m</w:t>
      </w:r>
    </w:p>
    <w:p w14:paraId="6A5AB00F" w14:textId="4CC83F08" w:rsidR="001D7550" w:rsidRDefault="001D7550" w:rsidP="001D7550">
      <w:pPr>
        <w:pStyle w:val="CETBodytext"/>
        <w:jc w:val="left"/>
        <w:rPr>
          <w:rFonts w:eastAsia="SimSun"/>
        </w:rPr>
      </w:pPr>
      <w:r w:rsidRPr="00FD5A70">
        <w:rPr>
          <w:rFonts w:eastAsia="SimSun"/>
        </w:rPr>
        <w:t>H</w:t>
      </w:r>
      <w:r w:rsidRPr="00FD5A70">
        <w:rPr>
          <w:rFonts w:eastAsia="SimSun"/>
          <w:vertAlign w:val="subscript"/>
        </w:rPr>
        <w:t xml:space="preserve">f </w:t>
      </w:r>
      <w:r w:rsidRPr="00FD5A70">
        <w:rPr>
          <w:rFonts w:eastAsia="SimSun"/>
        </w:rPr>
        <w:t xml:space="preserve">– </w:t>
      </w:r>
      <w:r w:rsidR="00EB093B">
        <w:rPr>
          <w:lang w:eastAsia="de-CH"/>
        </w:rPr>
        <w:t>final powder heig</w:t>
      </w:r>
      <w:r w:rsidR="00AB21A1">
        <w:rPr>
          <w:lang w:eastAsia="de-CH"/>
        </w:rPr>
        <w:t>h</w:t>
      </w:r>
      <w:r w:rsidR="00EB093B">
        <w:rPr>
          <w:lang w:eastAsia="de-CH"/>
        </w:rPr>
        <w:t>t</w:t>
      </w:r>
      <w:r w:rsidRPr="00FD5A70">
        <w:rPr>
          <w:rFonts w:eastAsia="SimSun"/>
        </w:rPr>
        <w:t>, m</w:t>
      </w:r>
    </w:p>
    <w:p w14:paraId="0471A67C" w14:textId="77777777" w:rsidR="00B6420D" w:rsidRPr="00280FAF" w:rsidRDefault="00B6420D" w:rsidP="00B6420D">
      <w:pPr>
        <w:pStyle w:val="CETBodytext"/>
        <w:jc w:val="left"/>
        <w:rPr>
          <w:rFonts w:eastAsia="SimSun"/>
        </w:rPr>
      </w:pPr>
      <w:r w:rsidRPr="007009D0">
        <w:rPr>
          <w:lang w:eastAsia="de-CH"/>
        </w:rPr>
        <w:t>Hf→∞</w:t>
      </w:r>
      <w:r>
        <w:rPr>
          <w:lang w:eastAsia="de-CH"/>
        </w:rPr>
        <w:t xml:space="preserve"> </w:t>
      </w:r>
      <w:r w:rsidRPr="00280FAF">
        <w:rPr>
          <w:rFonts w:eastAsia="SimSun"/>
        </w:rPr>
        <w:t xml:space="preserve"> – </w:t>
      </w:r>
      <w:r>
        <w:rPr>
          <w:lang w:eastAsia="de-CH"/>
        </w:rPr>
        <w:t>infinite he</w:t>
      </w:r>
      <w:r w:rsidRPr="007009D0">
        <w:rPr>
          <w:lang w:eastAsia="de-CH"/>
        </w:rPr>
        <w:t>ight</w:t>
      </w:r>
      <w:r>
        <w:rPr>
          <w:lang w:eastAsia="de-CH"/>
        </w:rPr>
        <w:t xml:space="preserve"> of a container</w:t>
      </w:r>
      <w:r w:rsidRPr="00280FAF">
        <w:rPr>
          <w:rFonts w:eastAsia="SimSun"/>
        </w:rPr>
        <w:t>, m</w:t>
      </w:r>
    </w:p>
    <w:p w14:paraId="0E502614" w14:textId="4DA8FFBA" w:rsidR="00280FAF" w:rsidRDefault="00DC7FA0" w:rsidP="00280FAF">
      <w:pPr>
        <w:pStyle w:val="CETBodytext"/>
        <w:jc w:val="left"/>
        <w:rPr>
          <w:rFonts w:eastAsia="SimSun"/>
        </w:rPr>
      </w:pPr>
      <w:r w:rsidRPr="007009D0">
        <w:rPr>
          <w:lang w:eastAsia="de-CH"/>
        </w:rPr>
        <w:t>E</w:t>
      </w:r>
      <w:r>
        <w:rPr>
          <w:vertAlign w:val="subscript"/>
          <w:lang w:eastAsia="de-CH"/>
        </w:rPr>
        <w:t>S(Hf</w:t>
      </w:r>
      <w:r w:rsidRPr="00E042B3">
        <w:rPr>
          <w:vertAlign w:val="subscript"/>
          <w:lang w:eastAsia="de-CH"/>
        </w:rPr>
        <w:sym w:font="Wingdings" w:char="F0E0"/>
      </w:r>
      <w:r>
        <w:rPr>
          <w:vertAlign w:val="subscript"/>
          <w:lang w:eastAsia="de-CH"/>
        </w:rPr>
        <w:t>∞)</w:t>
      </w:r>
      <w:r>
        <w:rPr>
          <w:lang w:eastAsia="de-CH"/>
        </w:rPr>
        <w:t xml:space="preserve"> </w:t>
      </w:r>
      <w:r w:rsidR="00280FAF" w:rsidRPr="00280FAF">
        <w:rPr>
          <w:rFonts w:eastAsia="SimSun"/>
        </w:rPr>
        <w:t xml:space="preserve"> – </w:t>
      </w:r>
      <w:r w:rsidR="00565D00" w:rsidRPr="00565D00">
        <w:rPr>
          <w:rFonts w:eastAsia="SimSun"/>
        </w:rPr>
        <w:t xml:space="preserve">electrostatic field </w:t>
      </w:r>
      <w:r w:rsidR="00B6420D" w:rsidRPr="00B6420D">
        <w:rPr>
          <w:rFonts w:eastAsia="SimSun"/>
        </w:rPr>
        <w:t xml:space="preserve">on the wall </w:t>
      </w:r>
      <w:r w:rsidR="00565D00" w:rsidRPr="00565D00">
        <w:rPr>
          <w:rFonts w:eastAsia="SimSun"/>
        </w:rPr>
        <w:t xml:space="preserve">of the infinite </w:t>
      </w:r>
      <w:r w:rsidR="00A67873">
        <w:rPr>
          <w:rFonts w:eastAsia="SimSun"/>
        </w:rPr>
        <w:t>container</w:t>
      </w:r>
      <w:r w:rsidR="00280FAF" w:rsidRPr="00280FAF">
        <w:rPr>
          <w:rFonts w:eastAsia="SimSun"/>
        </w:rPr>
        <w:t xml:space="preserve">, </w:t>
      </w:r>
      <w:r w:rsidR="00565D00">
        <w:rPr>
          <w:rFonts w:eastAsia="SimSun"/>
        </w:rPr>
        <w:t>V/m</w:t>
      </w:r>
    </w:p>
    <w:p w14:paraId="1924A38A" w14:textId="5D8FDD86" w:rsidR="00D66846" w:rsidRDefault="00D66846" w:rsidP="00280FAF">
      <w:pPr>
        <w:pStyle w:val="CETBodytext"/>
        <w:jc w:val="left"/>
        <w:rPr>
          <w:rFonts w:eastAsia="SimSun"/>
        </w:rPr>
      </w:pPr>
      <w:r w:rsidRPr="007009D0">
        <w:rPr>
          <w:lang w:eastAsia="de-CH"/>
        </w:rPr>
        <w:t>E</w:t>
      </w:r>
      <w:r>
        <w:rPr>
          <w:vertAlign w:val="subscript"/>
          <w:lang w:eastAsia="de-CH"/>
        </w:rPr>
        <w:t>SMax</w:t>
      </w:r>
      <w:r w:rsidRPr="00280FAF">
        <w:rPr>
          <w:rFonts w:eastAsia="SimSun"/>
        </w:rPr>
        <w:t xml:space="preserve"> – </w:t>
      </w:r>
      <w:r w:rsidR="00C12BDF" w:rsidRPr="00C12BDF">
        <w:rPr>
          <w:rFonts w:eastAsia="SimSun"/>
          <w:lang w:val="en-GB"/>
        </w:rPr>
        <w:t>maximum electrostatic field on the wall of a container</w:t>
      </w:r>
      <w:r w:rsidRPr="00280FAF">
        <w:rPr>
          <w:rFonts w:eastAsia="SimSun"/>
        </w:rPr>
        <w:t xml:space="preserve">, </w:t>
      </w:r>
      <w:r>
        <w:rPr>
          <w:rFonts w:eastAsia="SimSun"/>
        </w:rPr>
        <w:t>V/m</w:t>
      </w:r>
    </w:p>
    <w:p w14:paraId="5BE74207" w14:textId="60AA1174" w:rsidR="00C12BDF" w:rsidRDefault="00C12BDF" w:rsidP="00280FAF">
      <w:pPr>
        <w:pStyle w:val="CETBodytext"/>
        <w:jc w:val="left"/>
        <w:rPr>
          <w:rFonts w:eastAsia="SimSun"/>
        </w:rPr>
      </w:pPr>
      <w:r w:rsidRPr="007009D0">
        <w:rPr>
          <w:lang w:eastAsia="de-CH"/>
        </w:rPr>
        <w:t>E</w:t>
      </w:r>
      <w:r>
        <w:rPr>
          <w:vertAlign w:val="subscript"/>
          <w:lang w:eastAsia="de-CH"/>
        </w:rPr>
        <w:t>Smax, crit</w:t>
      </w:r>
      <w:r w:rsidRPr="00280FAF">
        <w:rPr>
          <w:rFonts w:eastAsia="SimSun"/>
        </w:rPr>
        <w:t xml:space="preserve"> – </w:t>
      </w:r>
      <w:r w:rsidR="00FC29C0" w:rsidRPr="007C444A">
        <w:t xml:space="preserve">condition for the </w:t>
      </w:r>
      <w:r w:rsidR="00FC29C0">
        <w:t>electrostatic field to generate a</w:t>
      </w:r>
      <w:r w:rsidR="00FC29C0" w:rsidRPr="007C444A">
        <w:t xml:space="preserve"> cone discharges</w:t>
      </w:r>
      <w:r w:rsidRPr="00280FAF">
        <w:rPr>
          <w:rFonts w:eastAsia="SimSun"/>
        </w:rPr>
        <w:t xml:space="preserve">, </w:t>
      </w:r>
      <w:r w:rsidR="00FC29C0">
        <w:rPr>
          <w:rFonts w:eastAsia="SimSun"/>
        </w:rPr>
        <w:t>500</w:t>
      </w:r>
      <w:r w:rsidR="00AB21A1">
        <w:rPr>
          <w:rFonts w:eastAsia="SimSun"/>
        </w:rPr>
        <w:t xml:space="preserve"> </w:t>
      </w:r>
      <w:r w:rsidR="00FC29C0">
        <w:rPr>
          <w:rFonts w:eastAsia="SimSun"/>
        </w:rPr>
        <w:t>k</w:t>
      </w:r>
      <w:r>
        <w:rPr>
          <w:rFonts w:eastAsia="SimSun"/>
        </w:rPr>
        <w:t>V/m</w:t>
      </w:r>
    </w:p>
    <w:p w14:paraId="5E96E008" w14:textId="77777777" w:rsidR="00086E17" w:rsidRDefault="00086E17" w:rsidP="00086E17">
      <w:pPr>
        <w:pStyle w:val="CETBodytext"/>
        <w:jc w:val="left"/>
        <w:rPr>
          <w:rStyle w:val="katex-mathml"/>
        </w:rPr>
      </w:pPr>
      <w:r>
        <w:rPr>
          <w:rFonts w:eastAsia="SimSun"/>
        </w:rPr>
        <w:t xml:space="preserve">m </w:t>
      </w:r>
      <w:r w:rsidRPr="00280FAF">
        <w:rPr>
          <w:rFonts w:eastAsia="SimSun"/>
        </w:rPr>
        <w:t>–</w:t>
      </w:r>
      <w:r>
        <w:rPr>
          <w:rFonts w:eastAsia="SimSun"/>
        </w:rPr>
        <w:t xml:space="preserve"> </w:t>
      </w:r>
      <w:r>
        <w:t xml:space="preserve">mass introduced at time </w:t>
      </w:r>
      <w:r>
        <w:rPr>
          <w:rStyle w:val="mord"/>
        </w:rPr>
        <w:t>t in the container</w:t>
      </w:r>
      <w:r>
        <w:t xml:space="preserve">, respectively at height </w:t>
      </w:r>
      <w:r>
        <w:rPr>
          <w:rStyle w:val="katex-mathml"/>
        </w:rPr>
        <w:t>z, m</w:t>
      </w:r>
    </w:p>
    <w:p w14:paraId="7CC7FBF0" w14:textId="77777777" w:rsidR="00086E17" w:rsidRDefault="00086E17" w:rsidP="00086E17">
      <w:pPr>
        <w:pStyle w:val="CETBodytext"/>
        <w:jc w:val="left"/>
        <w:rPr>
          <w:rFonts w:eastAsia="SimSun"/>
        </w:rPr>
      </w:pPr>
      <w:r>
        <w:rPr>
          <w:rFonts w:eastAsia="SimSun"/>
        </w:rPr>
        <w:t>m’</w:t>
      </w:r>
      <w:r w:rsidRPr="00280FAF">
        <w:rPr>
          <w:rFonts w:eastAsia="SimSun"/>
        </w:rPr>
        <w:t xml:space="preserve"> – </w:t>
      </w:r>
      <w:r>
        <w:t>mass flow rate</w:t>
      </w:r>
      <w:r w:rsidRPr="00280FAF">
        <w:rPr>
          <w:rFonts w:eastAsia="SimSun"/>
        </w:rPr>
        <w:t xml:space="preserve">, </w:t>
      </w:r>
      <w:r>
        <w:rPr>
          <w:rFonts w:eastAsia="SimSun"/>
        </w:rPr>
        <w:t>kg/s</w:t>
      </w:r>
    </w:p>
    <w:p w14:paraId="3F5D159B" w14:textId="77777777" w:rsidR="00CE584E" w:rsidRDefault="00CE584E" w:rsidP="00CE584E">
      <w:pPr>
        <w:pStyle w:val="CETBodytext"/>
        <w:jc w:val="left"/>
        <w:rPr>
          <w:rFonts w:eastAsia="SimSun"/>
        </w:rPr>
      </w:pPr>
      <w:r w:rsidRPr="007009D0">
        <w:rPr>
          <w:lang w:eastAsia="de-CH"/>
        </w:rPr>
        <w:t>q</w:t>
      </w:r>
      <w:r w:rsidRPr="007009D0">
        <w:rPr>
          <w:vertAlign w:val="subscript"/>
          <w:lang w:eastAsia="de-CH"/>
        </w:rPr>
        <w:t>m0</w:t>
      </w:r>
      <w:r w:rsidRPr="00280FAF">
        <w:rPr>
          <w:rFonts w:eastAsia="SimSun"/>
        </w:rPr>
        <w:t xml:space="preserve"> – </w:t>
      </w:r>
      <w:r w:rsidRPr="007009D0">
        <w:rPr>
          <w:lang w:eastAsia="de-CH"/>
        </w:rPr>
        <w:t xml:space="preserve">initial </w:t>
      </w:r>
      <w:r>
        <w:rPr>
          <w:lang w:eastAsia="de-CH"/>
        </w:rPr>
        <w:t>mass</w:t>
      </w:r>
      <w:r w:rsidRPr="007009D0">
        <w:rPr>
          <w:lang w:eastAsia="de-CH"/>
        </w:rPr>
        <w:t xml:space="preserve"> charge density</w:t>
      </w:r>
      <w:r>
        <w:rPr>
          <w:lang w:eastAsia="de-CH"/>
        </w:rPr>
        <w:t xml:space="preserve"> on the powder</w:t>
      </w:r>
      <w:r w:rsidRPr="00280FAF">
        <w:rPr>
          <w:rFonts w:eastAsia="SimSun"/>
        </w:rPr>
        <w:t xml:space="preserve">, </w:t>
      </w:r>
      <w:r>
        <w:rPr>
          <w:rFonts w:eastAsia="SimSun"/>
        </w:rPr>
        <w:t>C/kg</w:t>
      </w:r>
    </w:p>
    <w:p w14:paraId="373800DB" w14:textId="56D658A8" w:rsidR="00CE584E" w:rsidRDefault="00CE584E" w:rsidP="00CE584E">
      <w:pPr>
        <w:pStyle w:val="CETBodytext"/>
        <w:jc w:val="left"/>
        <w:rPr>
          <w:rFonts w:eastAsia="SimSun"/>
        </w:rPr>
      </w:pPr>
      <w:r w:rsidRPr="007009D0">
        <w:rPr>
          <w:lang w:eastAsia="de-CH"/>
        </w:rPr>
        <w:t>q</w:t>
      </w:r>
      <w:r w:rsidRPr="007009D0">
        <w:rPr>
          <w:vertAlign w:val="subscript"/>
          <w:lang w:eastAsia="de-CH"/>
        </w:rPr>
        <w:t>m</w:t>
      </w:r>
      <w:r w:rsidRPr="00280FAF">
        <w:rPr>
          <w:rFonts w:eastAsia="SimSun"/>
        </w:rPr>
        <w:t xml:space="preserve"> –</w:t>
      </w:r>
      <w:r>
        <w:rPr>
          <w:lang w:eastAsia="de-CH"/>
        </w:rPr>
        <w:t>mass</w:t>
      </w:r>
      <w:r w:rsidRPr="007009D0">
        <w:rPr>
          <w:lang w:eastAsia="de-CH"/>
        </w:rPr>
        <w:t xml:space="preserve"> charge density</w:t>
      </w:r>
      <w:r>
        <w:rPr>
          <w:lang w:eastAsia="de-CH"/>
        </w:rPr>
        <w:t xml:space="preserve"> on the powder at the time t </w:t>
      </w:r>
      <w:r>
        <w:t xml:space="preserve">respectively at height </w:t>
      </w:r>
      <w:r>
        <w:rPr>
          <w:rStyle w:val="katex-mathml"/>
        </w:rPr>
        <w:t>z</w:t>
      </w:r>
      <w:r w:rsidRPr="00280FAF">
        <w:rPr>
          <w:rFonts w:eastAsia="SimSun"/>
        </w:rPr>
        <w:t xml:space="preserve">, </w:t>
      </w:r>
      <w:r>
        <w:rPr>
          <w:rFonts w:eastAsia="SimSun"/>
        </w:rPr>
        <w:t>C/kg</w:t>
      </w:r>
    </w:p>
    <w:p w14:paraId="4BCA0AA8" w14:textId="77777777" w:rsidR="00077482" w:rsidRPr="0045605A" w:rsidRDefault="00077482" w:rsidP="00077482">
      <w:pPr>
        <w:pStyle w:val="CETBodytext"/>
        <w:jc w:val="left"/>
        <w:rPr>
          <w:rFonts w:eastAsia="SimSun"/>
        </w:rPr>
      </w:pPr>
      <w:r w:rsidRPr="0045605A">
        <w:rPr>
          <w:rFonts w:eastAsia="SimSun"/>
        </w:rPr>
        <w:t>R – container radius, m</w:t>
      </w:r>
    </w:p>
    <w:p w14:paraId="770B6886" w14:textId="3FB0A51F" w:rsidR="00446C99" w:rsidRPr="00280FAF" w:rsidRDefault="006B03EA" w:rsidP="00280FAF">
      <w:pPr>
        <w:pStyle w:val="CETBodytext"/>
        <w:jc w:val="left"/>
        <w:rPr>
          <w:rFonts w:eastAsia="SimSun"/>
        </w:rPr>
      </w:pPr>
      <w:r>
        <w:rPr>
          <w:rFonts w:eastAsia="SimSun"/>
        </w:rPr>
        <w:t>v</w:t>
      </w:r>
      <w:r w:rsidRPr="0045605A">
        <w:rPr>
          <w:rFonts w:eastAsia="SimSun"/>
          <w:vertAlign w:val="subscript"/>
        </w:rPr>
        <w:t>fill</w:t>
      </w:r>
      <w:r>
        <w:rPr>
          <w:rFonts w:eastAsia="SimSun"/>
        </w:rPr>
        <w:t xml:space="preserve"> </w:t>
      </w:r>
      <w:r w:rsidRPr="00280FAF">
        <w:rPr>
          <w:rFonts w:eastAsia="SimSun"/>
        </w:rPr>
        <w:t>–</w:t>
      </w:r>
      <w:r>
        <w:rPr>
          <w:rFonts w:eastAsia="SimSun"/>
        </w:rPr>
        <w:t xml:space="preserve"> </w:t>
      </w:r>
      <w:r w:rsidR="00873F0B" w:rsidRPr="00FC42D6">
        <w:t>velocity of the level rise in the silo during the filling</w:t>
      </w:r>
      <w:r w:rsidR="00DA5578">
        <w:rPr>
          <w:rFonts w:eastAsia="SimSun"/>
        </w:rPr>
        <w:t>, m/s</w:t>
      </w:r>
    </w:p>
    <w:p w14:paraId="38BFE636" w14:textId="51F48BCC" w:rsidR="00280FAF" w:rsidRPr="00E377D0" w:rsidRDefault="00280FAF"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p>
    <w:p w14:paraId="4F1327F8" w14:textId="77777777" w:rsidR="00600535" w:rsidRPr="00B57B36" w:rsidRDefault="00600535" w:rsidP="00600535">
      <w:pPr>
        <w:pStyle w:val="CETReference"/>
      </w:pPr>
      <w:r w:rsidRPr="00B57B36">
        <w:t>References</w:t>
      </w:r>
    </w:p>
    <w:p w14:paraId="24E452F7" w14:textId="301E34FE" w:rsidR="00044633" w:rsidRDefault="00A726C4" w:rsidP="00044633">
      <w:pPr>
        <w:pStyle w:val="CETReferencetext"/>
      </w:pPr>
      <w:r>
        <w:t>Abdel-Salam</w:t>
      </w:r>
      <w:r w:rsidR="00044633">
        <w:t xml:space="preserve">, A. M. </w:t>
      </w:r>
      <w:r>
        <w:t>, Mohamed</w:t>
      </w:r>
      <w:r w:rsidR="00044633">
        <w:t xml:space="preserve">, M. T. </w:t>
      </w:r>
      <w:r>
        <w:t>, Elkholy</w:t>
      </w:r>
      <w:r w:rsidR="008B58C0">
        <w:t>,</w:t>
      </w:r>
      <w:r w:rsidR="00044633">
        <w:t xml:space="preserve"> A. A.,</w:t>
      </w:r>
      <w:r w:rsidR="008B58C0">
        <w:t xml:space="preserve"> 2015,</w:t>
      </w:r>
      <w:r>
        <w:t xml:space="preserve"> Electrostatic hazards in powder handling and silos: Cone discharge ignition risks</w:t>
      </w:r>
      <w:r w:rsidR="00FB6B16">
        <w:t xml:space="preserve">, </w:t>
      </w:r>
      <w:r>
        <w:t>Journal of Physics: Conference Series, 646(1)</w:t>
      </w:r>
      <w:r w:rsidR="00044633">
        <w:t>.</w:t>
      </w:r>
    </w:p>
    <w:p w14:paraId="5EFA1618" w14:textId="51F26B3C" w:rsidR="0045605A" w:rsidRDefault="0088410F" w:rsidP="00044633">
      <w:pPr>
        <w:pStyle w:val="CETReferencetext"/>
        <w:rPr>
          <w:lang w:val="en-US"/>
        </w:rPr>
      </w:pPr>
      <w:r w:rsidRPr="0088410F">
        <w:t>Choi, H</w:t>
      </w:r>
      <w:r w:rsidR="00D929AE">
        <w:t xml:space="preserve">., </w:t>
      </w:r>
      <w:r w:rsidRPr="0088410F">
        <w:t>Osada, Y</w:t>
      </w:r>
      <w:r w:rsidR="00D929AE">
        <w:t xml:space="preserve">., </w:t>
      </w:r>
      <w:r w:rsidRPr="0088410F">
        <w:t>Choi, K</w:t>
      </w:r>
      <w:r w:rsidR="00D929AE">
        <w:t>.</w:t>
      </w:r>
      <w:r w:rsidR="00F36C29">
        <w:t>,</w:t>
      </w:r>
      <w:r w:rsidRPr="0088410F">
        <w:t xml:space="preserve"> 2022</w:t>
      </w:r>
      <w:r w:rsidR="00044633">
        <w:t>,</w:t>
      </w:r>
      <w:r w:rsidRPr="0088410F">
        <w:t xml:space="preserve"> Electrostatic field strength distribution inside metal silo during polypropylene powder loading by computer simulation</w:t>
      </w:r>
      <w:r w:rsidR="00F36C29">
        <w:t>,</w:t>
      </w:r>
      <w:r w:rsidRPr="0088410F">
        <w:t xml:space="preserve"> Powder Technology</w:t>
      </w:r>
      <w:r w:rsidR="00044633">
        <w:t xml:space="preserve"> </w:t>
      </w:r>
      <w:r w:rsidRPr="0088410F">
        <w:t>40</w:t>
      </w:r>
      <w:r w:rsidR="00F36C29">
        <w:t>0 (3)</w:t>
      </w:r>
      <w:r w:rsidR="00044633">
        <w:t>.</w:t>
      </w:r>
    </w:p>
    <w:p w14:paraId="445DE819" w14:textId="675D3B46" w:rsidR="00044633" w:rsidRPr="00DB191D" w:rsidRDefault="00044633" w:rsidP="00DB191D">
      <w:pPr>
        <w:pStyle w:val="CETReferencetext"/>
        <w:rPr>
          <w:lang w:val="en-US"/>
        </w:rPr>
      </w:pPr>
      <w:r w:rsidRPr="00044633">
        <w:rPr>
          <w:lang w:val="en-US"/>
        </w:rPr>
        <w:t>Glor M.,</w:t>
      </w:r>
      <w:r>
        <w:t xml:space="preserve"> 2023,</w:t>
      </w:r>
      <w:r w:rsidRPr="00044633">
        <w:rPr>
          <w:lang w:val="en-US"/>
        </w:rPr>
        <w:t xml:space="preserve"> Evaluation of the occurrence of bulk cone discharges on the basis of computer-aided</w:t>
      </w:r>
      <w:r w:rsidR="00DB191D" w:rsidRPr="00DB191D">
        <w:rPr>
          <w:lang w:val="en-US"/>
        </w:rPr>
        <w:t xml:space="preserve"> </w:t>
      </w:r>
      <w:r w:rsidRPr="00DB191D">
        <w:rPr>
          <w:lang w:val="en-US"/>
        </w:rPr>
        <w:t>Modeling (in German), VDI-Berichte Nr. 2424, Verein Deutscher Ingenieure (VDI).</w:t>
      </w:r>
    </w:p>
    <w:p w14:paraId="3E6EDDA8" w14:textId="049CDCD6" w:rsidR="00044633" w:rsidRDefault="00044633" w:rsidP="00044633">
      <w:pPr>
        <w:pStyle w:val="CETReferencetext"/>
      </w:pPr>
      <w:r w:rsidRPr="004F575F">
        <w:t>IEC 60079-32-1: 2018-12: Explosive atmospheres – Part 32-1: Electrostatic hazards,</w:t>
      </w:r>
      <w:r>
        <w:t xml:space="preserve"> </w:t>
      </w:r>
      <w:r w:rsidRPr="004F575F">
        <w:t>guidance</w:t>
      </w:r>
      <w:r>
        <w:t>.</w:t>
      </w:r>
    </w:p>
    <w:p w14:paraId="2EBCB72B" w14:textId="0E76AD97" w:rsidR="00044633" w:rsidRDefault="00044633" w:rsidP="00DB191D">
      <w:pPr>
        <w:pStyle w:val="CETReferencetext"/>
      </w:pPr>
      <w:r w:rsidRPr="004F575F">
        <w:t>TRGS 727: 2016-07: Technical rules for hazardous substances - Avoidance of ignition haz</w:t>
      </w:r>
      <w:r>
        <w:t>a</w:t>
      </w:r>
      <w:r w:rsidRPr="004F575F">
        <w:t xml:space="preserve">rds due to </w:t>
      </w:r>
      <w:r w:rsidRPr="00044633">
        <w:rPr>
          <w:lang w:val="en-US"/>
        </w:rPr>
        <w:t xml:space="preserve">electrostatic charges (in German) </w:t>
      </w:r>
      <w:hyperlink r:id="rId18" w:history="1">
        <w:r w:rsidRPr="00044633">
          <w:rPr>
            <w:rStyle w:val="Hyperlink"/>
            <w:lang w:val="en-US"/>
          </w:rPr>
          <w:t>https://www.baua.de/DE/Angebote/Regelwerk/TRGS/TRGS-727</w:t>
        </w:r>
      </w:hyperlink>
      <w:r>
        <w:t>.</w:t>
      </w:r>
    </w:p>
    <w:p w14:paraId="3EE7355D" w14:textId="77777777" w:rsidR="00044633" w:rsidRPr="00044633" w:rsidRDefault="00044633" w:rsidP="00044633">
      <w:pPr>
        <w:pStyle w:val="CETReferencetext"/>
      </w:pPr>
    </w:p>
    <w:sectPr w:rsidR="00044633" w:rsidRPr="00044633"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A2318" w14:textId="77777777" w:rsidR="00E0190D" w:rsidRDefault="00E0190D" w:rsidP="004F5E36">
      <w:r>
        <w:separator/>
      </w:r>
    </w:p>
  </w:endnote>
  <w:endnote w:type="continuationSeparator" w:id="0">
    <w:p w14:paraId="0BDA6B26" w14:textId="77777777" w:rsidR="00E0190D" w:rsidRDefault="00E0190D" w:rsidP="004F5E36">
      <w:r>
        <w:continuationSeparator/>
      </w:r>
    </w:p>
  </w:endnote>
  <w:endnote w:type="continuationNotice" w:id="1">
    <w:p w14:paraId="3180E134" w14:textId="77777777" w:rsidR="00092DB7" w:rsidRDefault="00092D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5861" w14:textId="77777777" w:rsidR="00E0190D" w:rsidRDefault="00E0190D" w:rsidP="004F5E36">
      <w:r>
        <w:separator/>
      </w:r>
    </w:p>
  </w:footnote>
  <w:footnote w:type="continuationSeparator" w:id="0">
    <w:p w14:paraId="3267A6D0" w14:textId="77777777" w:rsidR="00E0190D" w:rsidRDefault="00E0190D" w:rsidP="004F5E36">
      <w:r>
        <w:continuationSeparator/>
      </w:r>
    </w:p>
  </w:footnote>
  <w:footnote w:type="continuationNotice" w:id="1">
    <w:p w14:paraId="3041FB97" w14:textId="77777777" w:rsidR="00092DB7" w:rsidRDefault="00092DB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A35A21"/>
    <w:multiLevelType w:val="hybridMultilevel"/>
    <w:tmpl w:val="F65817E0"/>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C0B510D"/>
    <w:multiLevelType w:val="hybridMultilevel"/>
    <w:tmpl w:val="36688354"/>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969087F"/>
    <w:multiLevelType w:val="hybridMultilevel"/>
    <w:tmpl w:val="3E1E978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76F0D"/>
    <w:multiLevelType w:val="hybridMultilevel"/>
    <w:tmpl w:val="3BCC80C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8FF6BA1"/>
    <w:multiLevelType w:val="hybridMultilevel"/>
    <w:tmpl w:val="50F8A07E"/>
    <w:lvl w:ilvl="0" w:tplc="B5E003F6">
      <w:numFmt w:val="bullet"/>
      <w:lvlText w:val="•"/>
      <w:lvlJc w:val="left"/>
      <w:pPr>
        <w:ind w:left="6204" w:hanging="5844"/>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5"/>
  </w:num>
  <w:num w:numId="14" w16cid:durableId="145903400">
    <w:abstractNumId w:val="24"/>
  </w:num>
  <w:num w:numId="15" w16cid:durableId="19162326">
    <w:abstractNumId w:val="26"/>
  </w:num>
  <w:num w:numId="16" w16cid:durableId="1977102699">
    <w:abstractNumId w:val="25"/>
  </w:num>
  <w:num w:numId="17" w16cid:durableId="860774865">
    <w:abstractNumId w:val="14"/>
  </w:num>
  <w:num w:numId="18" w16cid:durableId="313221457">
    <w:abstractNumId w:val="15"/>
    <w:lvlOverride w:ilvl="0">
      <w:startOverride w:val="1"/>
    </w:lvlOverride>
  </w:num>
  <w:num w:numId="19" w16cid:durableId="534971577">
    <w:abstractNumId w:val="21"/>
  </w:num>
  <w:num w:numId="20" w16cid:durableId="1150947773">
    <w:abstractNumId w:val="20"/>
  </w:num>
  <w:num w:numId="21" w16cid:durableId="124660497">
    <w:abstractNumId w:val="17"/>
  </w:num>
  <w:num w:numId="22" w16cid:durableId="2099861471">
    <w:abstractNumId w:val="16"/>
  </w:num>
  <w:num w:numId="23" w16cid:durableId="84351335">
    <w:abstractNumId w:val="10"/>
  </w:num>
  <w:num w:numId="24" w16cid:durableId="1038580028">
    <w:abstractNumId w:val="18"/>
  </w:num>
  <w:num w:numId="25" w16cid:durableId="1809056372">
    <w:abstractNumId w:val="23"/>
  </w:num>
  <w:num w:numId="26" w16cid:durableId="1738240940">
    <w:abstractNumId w:val="19"/>
  </w:num>
  <w:num w:numId="27" w16cid:durableId="1034383237">
    <w:abstractNumId w:val="11"/>
  </w:num>
  <w:num w:numId="28" w16cid:durableId="1698576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2D2"/>
    <w:rsid w:val="000117CB"/>
    <w:rsid w:val="00024FB5"/>
    <w:rsid w:val="0003148D"/>
    <w:rsid w:val="00031EEC"/>
    <w:rsid w:val="00037CBD"/>
    <w:rsid w:val="00044633"/>
    <w:rsid w:val="00045EC0"/>
    <w:rsid w:val="000464E5"/>
    <w:rsid w:val="00051566"/>
    <w:rsid w:val="0005399E"/>
    <w:rsid w:val="000562A9"/>
    <w:rsid w:val="00061D4B"/>
    <w:rsid w:val="00062A9A"/>
    <w:rsid w:val="00062E51"/>
    <w:rsid w:val="00065058"/>
    <w:rsid w:val="00077482"/>
    <w:rsid w:val="000826A7"/>
    <w:rsid w:val="00086C39"/>
    <w:rsid w:val="00086E17"/>
    <w:rsid w:val="0009076B"/>
    <w:rsid w:val="00092DB7"/>
    <w:rsid w:val="000940BE"/>
    <w:rsid w:val="000A03B2"/>
    <w:rsid w:val="000B7159"/>
    <w:rsid w:val="000D0268"/>
    <w:rsid w:val="000D34BE"/>
    <w:rsid w:val="000D6B68"/>
    <w:rsid w:val="000E0B3C"/>
    <w:rsid w:val="000E102F"/>
    <w:rsid w:val="000E31A7"/>
    <w:rsid w:val="000E36F1"/>
    <w:rsid w:val="000E3A73"/>
    <w:rsid w:val="000E414A"/>
    <w:rsid w:val="000E75FD"/>
    <w:rsid w:val="000F093C"/>
    <w:rsid w:val="000F66B1"/>
    <w:rsid w:val="000F787B"/>
    <w:rsid w:val="0012091F"/>
    <w:rsid w:val="00121318"/>
    <w:rsid w:val="00126BC2"/>
    <w:rsid w:val="00127DF1"/>
    <w:rsid w:val="001308B6"/>
    <w:rsid w:val="0013121F"/>
    <w:rsid w:val="00131FE6"/>
    <w:rsid w:val="0013263F"/>
    <w:rsid w:val="001331DF"/>
    <w:rsid w:val="00134DE4"/>
    <w:rsid w:val="0014034D"/>
    <w:rsid w:val="00140FE3"/>
    <w:rsid w:val="00144D16"/>
    <w:rsid w:val="00146294"/>
    <w:rsid w:val="00150E59"/>
    <w:rsid w:val="00152DE3"/>
    <w:rsid w:val="00164CF9"/>
    <w:rsid w:val="001667A6"/>
    <w:rsid w:val="0018171E"/>
    <w:rsid w:val="001822FD"/>
    <w:rsid w:val="00184AD6"/>
    <w:rsid w:val="00194391"/>
    <w:rsid w:val="001A0A4B"/>
    <w:rsid w:val="001A2892"/>
    <w:rsid w:val="001A2DB7"/>
    <w:rsid w:val="001A4AF7"/>
    <w:rsid w:val="001A7E62"/>
    <w:rsid w:val="001B0349"/>
    <w:rsid w:val="001B08C9"/>
    <w:rsid w:val="001B1E93"/>
    <w:rsid w:val="001B5578"/>
    <w:rsid w:val="001B65C1"/>
    <w:rsid w:val="001C042B"/>
    <w:rsid w:val="001C260F"/>
    <w:rsid w:val="001C5C3A"/>
    <w:rsid w:val="001C684B"/>
    <w:rsid w:val="001D0CFB"/>
    <w:rsid w:val="001D21AF"/>
    <w:rsid w:val="001D53FC"/>
    <w:rsid w:val="001D7550"/>
    <w:rsid w:val="001E1C5F"/>
    <w:rsid w:val="001E53DF"/>
    <w:rsid w:val="001F3228"/>
    <w:rsid w:val="001F42A5"/>
    <w:rsid w:val="001F645E"/>
    <w:rsid w:val="001F7B9D"/>
    <w:rsid w:val="00201C93"/>
    <w:rsid w:val="00203806"/>
    <w:rsid w:val="002224B4"/>
    <w:rsid w:val="00224DF2"/>
    <w:rsid w:val="002253DA"/>
    <w:rsid w:val="00225B72"/>
    <w:rsid w:val="002311E4"/>
    <w:rsid w:val="00237635"/>
    <w:rsid w:val="002447EF"/>
    <w:rsid w:val="00251550"/>
    <w:rsid w:val="00251D8C"/>
    <w:rsid w:val="0025236B"/>
    <w:rsid w:val="002558E1"/>
    <w:rsid w:val="00257350"/>
    <w:rsid w:val="002578BF"/>
    <w:rsid w:val="00263B05"/>
    <w:rsid w:val="00270761"/>
    <w:rsid w:val="0027221A"/>
    <w:rsid w:val="00274271"/>
    <w:rsid w:val="002752D4"/>
    <w:rsid w:val="00275B61"/>
    <w:rsid w:val="00280FAF"/>
    <w:rsid w:val="00282656"/>
    <w:rsid w:val="00282EFF"/>
    <w:rsid w:val="00291249"/>
    <w:rsid w:val="00296B83"/>
    <w:rsid w:val="00296F90"/>
    <w:rsid w:val="002A5FBC"/>
    <w:rsid w:val="002A78BA"/>
    <w:rsid w:val="002B1B0E"/>
    <w:rsid w:val="002B274E"/>
    <w:rsid w:val="002B3F23"/>
    <w:rsid w:val="002B4015"/>
    <w:rsid w:val="002B78CE"/>
    <w:rsid w:val="002C2FB6"/>
    <w:rsid w:val="002C5DE0"/>
    <w:rsid w:val="002D4CF5"/>
    <w:rsid w:val="002E3226"/>
    <w:rsid w:val="002E5FA7"/>
    <w:rsid w:val="002F24D9"/>
    <w:rsid w:val="002F3309"/>
    <w:rsid w:val="002F3994"/>
    <w:rsid w:val="002F6637"/>
    <w:rsid w:val="003008CE"/>
    <w:rsid w:val="003009B7"/>
    <w:rsid w:val="00300E56"/>
    <w:rsid w:val="0030152C"/>
    <w:rsid w:val="0030469C"/>
    <w:rsid w:val="003178C6"/>
    <w:rsid w:val="0032156A"/>
    <w:rsid w:val="00321CA6"/>
    <w:rsid w:val="00323763"/>
    <w:rsid w:val="00323C5F"/>
    <w:rsid w:val="0033108F"/>
    <w:rsid w:val="00334C09"/>
    <w:rsid w:val="00336BC6"/>
    <w:rsid w:val="00341856"/>
    <w:rsid w:val="00342B55"/>
    <w:rsid w:val="003723D4"/>
    <w:rsid w:val="00373E55"/>
    <w:rsid w:val="00381905"/>
    <w:rsid w:val="00384CC8"/>
    <w:rsid w:val="003871FD"/>
    <w:rsid w:val="003A1E30"/>
    <w:rsid w:val="003A2829"/>
    <w:rsid w:val="003A51AB"/>
    <w:rsid w:val="003A7D1C"/>
    <w:rsid w:val="003B304B"/>
    <w:rsid w:val="003B3146"/>
    <w:rsid w:val="003B49CD"/>
    <w:rsid w:val="003B5BCC"/>
    <w:rsid w:val="003D1E02"/>
    <w:rsid w:val="003F015E"/>
    <w:rsid w:val="00400414"/>
    <w:rsid w:val="0041446B"/>
    <w:rsid w:val="0042217C"/>
    <w:rsid w:val="004237D1"/>
    <w:rsid w:val="004247BC"/>
    <w:rsid w:val="00426194"/>
    <w:rsid w:val="0044071E"/>
    <w:rsid w:val="0044329C"/>
    <w:rsid w:val="00445B7D"/>
    <w:rsid w:val="00446C99"/>
    <w:rsid w:val="0044798C"/>
    <w:rsid w:val="00453E24"/>
    <w:rsid w:val="0045605A"/>
    <w:rsid w:val="00457456"/>
    <w:rsid w:val="004577FE"/>
    <w:rsid w:val="00457B9C"/>
    <w:rsid w:val="0046164A"/>
    <w:rsid w:val="004628D2"/>
    <w:rsid w:val="00462DCD"/>
    <w:rsid w:val="0046385D"/>
    <w:rsid w:val="0046477A"/>
    <w:rsid w:val="004648AD"/>
    <w:rsid w:val="004703A9"/>
    <w:rsid w:val="004760DE"/>
    <w:rsid w:val="004763D7"/>
    <w:rsid w:val="00486D9C"/>
    <w:rsid w:val="0049202A"/>
    <w:rsid w:val="00497A56"/>
    <w:rsid w:val="004A004E"/>
    <w:rsid w:val="004A0FA3"/>
    <w:rsid w:val="004A24CF"/>
    <w:rsid w:val="004C222B"/>
    <w:rsid w:val="004C3956"/>
    <w:rsid w:val="004C3D1D"/>
    <w:rsid w:val="004C3D84"/>
    <w:rsid w:val="004C52F3"/>
    <w:rsid w:val="004C7913"/>
    <w:rsid w:val="004D10D5"/>
    <w:rsid w:val="004E4DD6"/>
    <w:rsid w:val="004F5E36"/>
    <w:rsid w:val="00507B47"/>
    <w:rsid w:val="00507BEF"/>
    <w:rsid w:val="00507CC9"/>
    <w:rsid w:val="00510F74"/>
    <w:rsid w:val="005119A5"/>
    <w:rsid w:val="005278B7"/>
    <w:rsid w:val="00532016"/>
    <w:rsid w:val="00533C2F"/>
    <w:rsid w:val="005346C8"/>
    <w:rsid w:val="005424FC"/>
    <w:rsid w:val="00543E7D"/>
    <w:rsid w:val="005472C0"/>
    <w:rsid w:val="00547A68"/>
    <w:rsid w:val="00552CD1"/>
    <w:rsid w:val="005531C9"/>
    <w:rsid w:val="00554879"/>
    <w:rsid w:val="00565D00"/>
    <w:rsid w:val="00570C43"/>
    <w:rsid w:val="005778B4"/>
    <w:rsid w:val="00577EFD"/>
    <w:rsid w:val="00592274"/>
    <w:rsid w:val="005A0BCC"/>
    <w:rsid w:val="005A50F5"/>
    <w:rsid w:val="005A7B05"/>
    <w:rsid w:val="005B2110"/>
    <w:rsid w:val="005B350B"/>
    <w:rsid w:val="005B4076"/>
    <w:rsid w:val="005B61E6"/>
    <w:rsid w:val="005B7F71"/>
    <w:rsid w:val="005C44D6"/>
    <w:rsid w:val="005C77E1"/>
    <w:rsid w:val="005D668A"/>
    <w:rsid w:val="005D6A2F"/>
    <w:rsid w:val="005D745A"/>
    <w:rsid w:val="005E0592"/>
    <w:rsid w:val="005E1A82"/>
    <w:rsid w:val="005E29E7"/>
    <w:rsid w:val="005E4F83"/>
    <w:rsid w:val="005E794C"/>
    <w:rsid w:val="005E7BC0"/>
    <w:rsid w:val="005F0A28"/>
    <w:rsid w:val="005F0E5E"/>
    <w:rsid w:val="00600535"/>
    <w:rsid w:val="0060449E"/>
    <w:rsid w:val="00610CD6"/>
    <w:rsid w:val="00620DEE"/>
    <w:rsid w:val="00621F92"/>
    <w:rsid w:val="0062280A"/>
    <w:rsid w:val="006231E1"/>
    <w:rsid w:val="00625639"/>
    <w:rsid w:val="006309C5"/>
    <w:rsid w:val="00631B33"/>
    <w:rsid w:val="00634F98"/>
    <w:rsid w:val="0064184D"/>
    <w:rsid w:val="006422CC"/>
    <w:rsid w:val="0064288E"/>
    <w:rsid w:val="00651B87"/>
    <w:rsid w:val="00651D18"/>
    <w:rsid w:val="00660E3E"/>
    <w:rsid w:val="00662E74"/>
    <w:rsid w:val="006656DC"/>
    <w:rsid w:val="00666A63"/>
    <w:rsid w:val="00677CF1"/>
    <w:rsid w:val="006800B2"/>
    <w:rsid w:val="00680C23"/>
    <w:rsid w:val="00683E23"/>
    <w:rsid w:val="00690739"/>
    <w:rsid w:val="00693766"/>
    <w:rsid w:val="006A3281"/>
    <w:rsid w:val="006A6DE5"/>
    <w:rsid w:val="006B03EA"/>
    <w:rsid w:val="006B4888"/>
    <w:rsid w:val="006C2E45"/>
    <w:rsid w:val="006C359C"/>
    <w:rsid w:val="006C508E"/>
    <w:rsid w:val="006C5579"/>
    <w:rsid w:val="006D0E18"/>
    <w:rsid w:val="006D0EAC"/>
    <w:rsid w:val="006D6E8B"/>
    <w:rsid w:val="006D7209"/>
    <w:rsid w:val="006E737D"/>
    <w:rsid w:val="006F7A58"/>
    <w:rsid w:val="00705DEE"/>
    <w:rsid w:val="00707DD1"/>
    <w:rsid w:val="00711079"/>
    <w:rsid w:val="00713973"/>
    <w:rsid w:val="00720A24"/>
    <w:rsid w:val="00721E13"/>
    <w:rsid w:val="00722A03"/>
    <w:rsid w:val="00732386"/>
    <w:rsid w:val="0073514D"/>
    <w:rsid w:val="007428D9"/>
    <w:rsid w:val="00742CF1"/>
    <w:rsid w:val="00743571"/>
    <w:rsid w:val="007447F3"/>
    <w:rsid w:val="00744843"/>
    <w:rsid w:val="0075499F"/>
    <w:rsid w:val="00762E0A"/>
    <w:rsid w:val="007640F0"/>
    <w:rsid w:val="007661C8"/>
    <w:rsid w:val="0077098D"/>
    <w:rsid w:val="00772ED6"/>
    <w:rsid w:val="007740E7"/>
    <w:rsid w:val="00782012"/>
    <w:rsid w:val="00785BF9"/>
    <w:rsid w:val="00785D89"/>
    <w:rsid w:val="00787F04"/>
    <w:rsid w:val="007931FA"/>
    <w:rsid w:val="00793DE7"/>
    <w:rsid w:val="007A4861"/>
    <w:rsid w:val="007A6CDF"/>
    <w:rsid w:val="007A7BBA"/>
    <w:rsid w:val="007B00B1"/>
    <w:rsid w:val="007B00CE"/>
    <w:rsid w:val="007B0C50"/>
    <w:rsid w:val="007B48F9"/>
    <w:rsid w:val="007C1A43"/>
    <w:rsid w:val="007C36DD"/>
    <w:rsid w:val="007C444A"/>
    <w:rsid w:val="007C6C69"/>
    <w:rsid w:val="007D0951"/>
    <w:rsid w:val="007D610D"/>
    <w:rsid w:val="007F7279"/>
    <w:rsid w:val="0080013E"/>
    <w:rsid w:val="00801759"/>
    <w:rsid w:val="00803297"/>
    <w:rsid w:val="00806EBE"/>
    <w:rsid w:val="00813288"/>
    <w:rsid w:val="008168FC"/>
    <w:rsid w:val="00821D4F"/>
    <w:rsid w:val="00825EB2"/>
    <w:rsid w:val="00830996"/>
    <w:rsid w:val="0083190F"/>
    <w:rsid w:val="008345F1"/>
    <w:rsid w:val="00835F30"/>
    <w:rsid w:val="00837AEB"/>
    <w:rsid w:val="00841022"/>
    <w:rsid w:val="0086369D"/>
    <w:rsid w:val="00865B07"/>
    <w:rsid w:val="008667EA"/>
    <w:rsid w:val="0087258E"/>
    <w:rsid w:val="00873F0B"/>
    <w:rsid w:val="0087513B"/>
    <w:rsid w:val="0087637F"/>
    <w:rsid w:val="00877238"/>
    <w:rsid w:val="0088410F"/>
    <w:rsid w:val="008917B9"/>
    <w:rsid w:val="00892AD5"/>
    <w:rsid w:val="00892F51"/>
    <w:rsid w:val="008940BF"/>
    <w:rsid w:val="008A02B7"/>
    <w:rsid w:val="008A1512"/>
    <w:rsid w:val="008A728C"/>
    <w:rsid w:val="008A7496"/>
    <w:rsid w:val="008B56AD"/>
    <w:rsid w:val="008B58C0"/>
    <w:rsid w:val="008D32B9"/>
    <w:rsid w:val="008D433B"/>
    <w:rsid w:val="008D4A16"/>
    <w:rsid w:val="008D4D3B"/>
    <w:rsid w:val="008E1063"/>
    <w:rsid w:val="008E3830"/>
    <w:rsid w:val="008E5401"/>
    <w:rsid w:val="008E566E"/>
    <w:rsid w:val="008F1892"/>
    <w:rsid w:val="008F67B8"/>
    <w:rsid w:val="00900F0A"/>
    <w:rsid w:val="0090161A"/>
    <w:rsid w:val="00901EB6"/>
    <w:rsid w:val="00902550"/>
    <w:rsid w:val="009041F8"/>
    <w:rsid w:val="00904C62"/>
    <w:rsid w:val="009204A6"/>
    <w:rsid w:val="0092254A"/>
    <w:rsid w:val="00922BA8"/>
    <w:rsid w:val="00924DAC"/>
    <w:rsid w:val="009255E5"/>
    <w:rsid w:val="00927058"/>
    <w:rsid w:val="009320C8"/>
    <w:rsid w:val="00942750"/>
    <w:rsid w:val="009450CE"/>
    <w:rsid w:val="009459BB"/>
    <w:rsid w:val="00947179"/>
    <w:rsid w:val="00947ACA"/>
    <w:rsid w:val="0095164B"/>
    <w:rsid w:val="00954090"/>
    <w:rsid w:val="009573E7"/>
    <w:rsid w:val="009618A6"/>
    <w:rsid w:val="00963E05"/>
    <w:rsid w:val="00964A45"/>
    <w:rsid w:val="00967843"/>
    <w:rsid w:val="00967D54"/>
    <w:rsid w:val="00967EA9"/>
    <w:rsid w:val="00971028"/>
    <w:rsid w:val="009755D3"/>
    <w:rsid w:val="00977575"/>
    <w:rsid w:val="009804FD"/>
    <w:rsid w:val="0098095D"/>
    <w:rsid w:val="00993B84"/>
    <w:rsid w:val="00994C6A"/>
    <w:rsid w:val="00996483"/>
    <w:rsid w:val="00996F5A"/>
    <w:rsid w:val="00997AD5"/>
    <w:rsid w:val="009B041A"/>
    <w:rsid w:val="009C37C3"/>
    <w:rsid w:val="009C77C3"/>
    <w:rsid w:val="009C7C86"/>
    <w:rsid w:val="009D120F"/>
    <w:rsid w:val="009D2FF7"/>
    <w:rsid w:val="009E0A8F"/>
    <w:rsid w:val="009E1A6C"/>
    <w:rsid w:val="009E43A6"/>
    <w:rsid w:val="009E7884"/>
    <w:rsid w:val="009E788A"/>
    <w:rsid w:val="009F0E08"/>
    <w:rsid w:val="00A02DCF"/>
    <w:rsid w:val="00A06D5B"/>
    <w:rsid w:val="00A079AE"/>
    <w:rsid w:val="00A162AA"/>
    <w:rsid w:val="00A1670F"/>
    <w:rsid w:val="00A1763D"/>
    <w:rsid w:val="00A17CEC"/>
    <w:rsid w:val="00A2185A"/>
    <w:rsid w:val="00A27EF0"/>
    <w:rsid w:val="00A3179C"/>
    <w:rsid w:val="00A42361"/>
    <w:rsid w:val="00A434A5"/>
    <w:rsid w:val="00A435A4"/>
    <w:rsid w:val="00A50B20"/>
    <w:rsid w:val="00A51390"/>
    <w:rsid w:val="00A60D13"/>
    <w:rsid w:val="00A65FCA"/>
    <w:rsid w:val="00A67873"/>
    <w:rsid w:val="00A7223D"/>
    <w:rsid w:val="00A726C4"/>
    <w:rsid w:val="00A72745"/>
    <w:rsid w:val="00A76EFC"/>
    <w:rsid w:val="00A87D50"/>
    <w:rsid w:val="00A91010"/>
    <w:rsid w:val="00A971CE"/>
    <w:rsid w:val="00A97F29"/>
    <w:rsid w:val="00AA049F"/>
    <w:rsid w:val="00AA1BA5"/>
    <w:rsid w:val="00AA702E"/>
    <w:rsid w:val="00AA7D26"/>
    <w:rsid w:val="00AB0964"/>
    <w:rsid w:val="00AB21A1"/>
    <w:rsid w:val="00AB3D74"/>
    <w:rsid w:val="00AB3F7E"/>
    <w:rsid w:val="00AB4DEE"/>
    <w:rsid w:val="00AB5011"/>
    <w:rsid w:val="00AC5000"/>
    <w:rsid w:val="00AC55A1"/>
    <w:rsid w:val="00AC7368"/>
    <w:rsid w:val="00AD130F"/>
    <w:rsid w:val="00AD16B9"/>
    <w:rsid w:val="00AD2E03"/>
    <w:rsid w:val="00AD78E1"/>
    <w:rsid w:val="00AE377D"/>
    <w:rsid w:val="00AF0EBA"/>
    <w:rsid w:val="00AF2463"/>
    <w:rsid w:val="00B01DBE"/>
    <w:rsid w:val="00B02C59"/>
    <w:rsid w:val="00B02C8A"/>
    <w:rsid w:val="00B14420"/>
    <w:rsid w:val="00B157AF"/>
    <w:rsid w:val="00B17FBD"/>
    <w:rsid w:val="00B223BF"/>
    <w:rsid w:val="00B26554"/>
    <w:rsid w:val="00B315A6"/>
    <w:rsid w:val="00B31813"/>
    <w:rsid w:val="00B33365"/>
    <w:rsid w:val="00B4261E"/>
    <w:rsid w:val="00B45264"/>
    <w:rsid w:val="00B55690"/>
    <w:rsid w:val="00B57B36"/>
    <w:rsid w:val="00B57E6F"/>
    <w:rsid w:val="00B628AB"/>
    <w:rsid w:val="00B6420D"/>
    <w:rsid w:val="00B67896"/>
    <w:rsid w:val="00B701C0"/>
    <w:rsid w:val="00B7180F"/>
    <w:rsid w:val="00B84A22"/>
    <w:rsid w:val="00B8686D"/>
    <w:rsid w:val="00B93F69"/>
    <w:rsid w:val="00BA651A"/>
    <w:rsid w:val="00BB1DDC"/>
    <w:rsid w:val="00BC30C9"/>
    <w:rsid w:val="00BD077D"/>
    <w:rsid w:val="00BD0A58"/>
    <w:rsid w:val="00BD2455"/>
    <w:rsid w:val="00BE3E58"/>
    <w:rsid w:val="00BE485A"/>
    <w:rsid w:val="00BE7791"/>
    <w:rsid w:val="00BF13CE"/>
    <w:rsid w:val="00BF6B33"/>
    <w:rsid w:val="00C01616"/>
    <w:rsid w:val="00C0162B"/>
    <w:rsid w:val="00C05D62"/>
    <w:rsid w:val="00C068ED"/>
    <w:rsid w:val="00C1097F"/>
    <w:rsid w:val="00C12BDF"/>
    <w:rsid w:val="00C20507"/>
    <w:rsid w:val="00C22E0C"/>
    <w:rsid w:val="00C345B1"/>
    <w:rsid w:val="00C40142"/>
    <w:rsid w:val="00C441B9"/>
    <w:rsid w:val="00C52C3C"/>
    <w:rsid w:val="00C55DC8"/>
    <w:rsid w:val="00C57182"/>
    <w:rsid w:val="00C57863"/>
    <w:rsid w:val="00C614EA"/>
    <w:rsid w:val="00C640AF"/>
    <w:rsid w:val="00C64B63"/>
    <w:rsid w:val="00C655FD"/>
    <w:rsid w:val="00C71A82"/>
    <w:rsid w:val="00C75407"/>
    <w:rsid w:val="00C834F0"/>
    <w:rsid w:val="00C841C6"/>
    <w:rsid w:val="00C86306"/>
    <w:rsid w:val="00C870A8"/>
    <w:rsid w:val="00C87546"/>
    <w:rsid w:val="00C91D84"/>
    <w:rsid w:val="00C94434"/>
    <w:rsid w:val="00CA0D75"/>
    <w:rsid w:val="00CA1C95"/>
    <w:rsid w:val="00CA5A9C"/>
    <w:rsid w:val="00CB02F9"/>
    <w:rsid w:val="00CC4C20"/>
    <w:rsid w:val="00CD3517"/>
    <w:rsid w:val="00CD5FE2"/>
    <w:rsid w:val="00CD7597"/>
    <w:rsid w:val="00CE584E"/>
    <w:rsid w:val="00CE7C68"/>
    <w:rsid w:val="00CF2E3D"/>
    <w:rsid w:val="00CF37F3"/>
    <w:rsid w:val="00CF596E"/>
    <w:rsid w:val="00CF6F94"/>
    <w:rsid w:val="00D02B4C"/>
    <w:rsid w:val="00D036B8"/>
    <w:rsid w:val="00D040C4"/>
    <w:rsid w:val="00D04167"/>
    <w:rsid w:val="00D11BA1"/>
    <w:rsid w:val="00D20AD1"/>
    <w:rsid w:val="00D20EF5"/>
    <w:rsid w:val="00D2582C"/>
    <w:rsid w:val="00D329E7"/>
    <w:rsid w:val="00D42CF6"/>
    <w:rsid w:val="00D46B7E"/>
    <w:rsid w:val="00D509F9"/>
    <w:rsid w:val="00D56331"/>
    <w:rsid w:val="00D57004"/>
    <w:rsid w:val="00D57C84"/>
    <w:rsid w:val="00D6057D"/>
    <w:rsid w:val="00D6161E"/>
    <w:rsid w:val="00D65AE4"/>
    <w:rsid w:val="00D66846"/>
    <w:rsid w:val="00D6735A"/>
    <w:rsid w:val="00D71640"/>
    <w:rsid w:val="00D7534B"/>
    <w:rsid w:val="00D80476"/>
    <w:rsid w:val="00D8345F"/>
    <w:rsid w:val="00D836C5"/>
    <w:rsid w:val="00D84576"/>
    <w:rsid w:val="00D875C8"/>
    <w:rsid w:val="00D929AE"/>
    <w:rsid w:val="00DA1399"/>
    <w:rsid w:val="00DA24C6"/>
    <w:rsid w:val="00DA4D7B"/>
    <w:rsid w:val="00DA5578"/>
    <w:rsid w:val="00DB191D"/>
    <w:rsid w:val="00DC0AE5"/>
    <w:rsid w:val="00DC2840"/>
    <w:rsid w:val="00DC73EE"/>
    <w:rsid w:val="00DC7FA0"/>
    <w:rsid w:val="00DD03DA"/>
    <w:rsid w:val="00DD271C"/>
    <w:rsid w:val="00DE264A"/>
    <w:rsid w:val="00DF419E"/>
    <w:rsid w:val="00DF5072"/>
    <w:rsid w:val="00E0190D"/>
    <w:rsid w:val="00E02D18"/>
    <w:rsid w:val="00E041E7"/>
    <w:rsid w:val="00E077D6"/>
    <w:rsid w:val="00E20335"/>
    <w:rsid w:val="00E23CA1"/>
    <w:rsid w:val="00E323CD"/>
    <w:rsid w:val="00E409A8"/>
    <w:rsid w:val="00E44B06"/>
    <w:rsid w:val="00E50C12"/>
    <w:rsid w:val="00E54ACC"/>
    <w:rsid w:val="00E6256C"/>
    <w:rsid w:val="00E65B91"/>
    <w:rsid w:val="00E71ECE"/>
    <w:rsid w:val="00E71F05"/>
    <w:rsid w:val="00E7209D"/>
    <w:rsid w:val="00E7211D"/>
    <w:rsid w:val="00E72EAD"/>
    <w:rsid w:val="00E77223"/>
    <w:rsid w:val="00E8528B"/>
    <w:rsid w:val="00E85B94"/>
    <w:rsid w:val="00E93422"/>
    <w:rsid w:val="00E94EDF"/>
    <w:rsid w:val="00E978D0"/>
    <w:rsid w:val="00EA4613"/>
    <w:rsid w:val="00EA790B"/>
    <w:rsid w:val="00EA7F91"/>
    <w:rsid w:val="00EB093B"/>
    <w:rsid w:val="00EB1523"/>
    <w:rsid w:val="00EB4BDE"/>
    <w:rsid w:val="00EC0E49"/>
    <w:rsid w:val="00EC101F"/>
    <w:rsid w:val="00EC193E"/>
    <w:rsid w:val="00EC1D9F"/>
    <w:rsid w:val="00EE0131"/>
    <w:rsid w:val="00EE17B0"/>
    <w:rsid w:val="00EE3D9C"/>
    <w:rsid w:val="00EE4CFE"/>
    <w:rsid w:val="00EF06D9"/>
    <w:rsid w:val="00EF1ACB"/>
    <w:rsid w:val="00F03137"/>
    <w:rsid w:val="00F126A4"/>
    <w:rsid w:val="00F24D27"/>
    <w:rsid w:val="00F27EE4"/>
    <w:rsid w:val="00F3049E"/>
    <w:rsid w:val="00F30C64"/>
    <w:rsid w:val="00F31473"/>
    <w:rsid w:val="00F32BA2"/>
    <w:rsid w:val="00F32CDB"/>
    <w:rsid w:val="00F338FC"/>
    <w:rsid w:val="00F36C29"/>
    <w:rsid w:val="00F375F8"/>
    <w:rsid w:val="00F41EE4"/>
    <w:rsid w:val="00F439E9"/>
    <w:rsid w:val="00F565FE"/>
    <w:rsid w:val="00F5724D"/>
    <w:rsid w:val="00F57C07"/>
    <w:rsid w:val="00F6274F"/>
    <w:rsid w:val="00F63A70"/>
    <w:rsid w:val="00F63D8C"/>
    <w:rsid w:val="00F65387"/>
    <w:rsid w:val="00F7534E"/>
    <w:rsid w:val="00F774B7"/>
    <w:rsid w:val="00F807D3"/>
    <w:rsid w:val="00F81CA0"/>
    <w:rsid w:val="00F91AE2"/>
    <w:rsid w:val="00F93EDF"/>
    <w:rsid w:val="00F9522B"/>
    <w:rsid w:val="00FA1802"/>
    <w:rsid w:val="00FA21D0"/>
    <w:rsid w:val="00FA5F5F"/>
    <w:rsid w:val="00FB6B16"/>
    <w:rsid w:val="00FB730C"/>
    <w:rsid w:val="00FC2695"/>
    <w:rsid w:val="00FC29C0"/>
    <w:rsid w:val="00FC3E03"/>
    <w:rsid w:val="00FC3FC1"/>
    <w:rsid w:val="00FC42D6"/>
    <w:rsid w:val="00FC4DCA"/>
    <w:rsid w:val="00FC58E3"/>
    <w:rsid w:val="00FC679E"/>
    <w:rsid w:val="00FD5A7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C834F0"/>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customStyle="1" w:styleId="katex-mathml">
    <w:name w:val="katex-mathml"/>
    <w:basedOn w:val="DefaultParagraphFont"/>
    <w:rsid w:val="00A971CE"/>
  </w:style>
  <w:style w:type="character" w:customStyle="1" w:styleId="mord">
    <w:name w:val="mord"/>
    <w:basedOn w:val="DefaultParagraphFont"/>
    <w:rsid w:val="00A971CE"/>
  </w:style>
  <w:style w:type="paragraph" w:styleId="Revision">
    <w:name w:val="Revision"/>
    <w:hidden/>
    <w:uiPriority w:val="99"/>
    <w:semiHidden/>
    <w:rsid w:val="00AD78E1"/>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45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36262967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1674">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16415">
      <w:bodyDiv w:val="1"/>
      <w:marLeft w:val="0"/>
      <w:marRight w:val="0"/>
      <w:marTop w:val="0"/>
      <w:marBottom w:val="0"/>
      <w:divBdr>
        <w:top w:val="none" w:sz="0" w:space="0" w:color="auto"/>
        <w:left w:val="none" w:sz="0" w:space="0" w:color="auto"/>
        <w:bottom w:val="none" w:sz="0" w:space="0" w:color="auto"/>
        <w:right w:val="none" w:sz="0" w:space="0" w:color="auto"/>
      </w:divBdr>
    </w:div>
    <w:div w:id="90552950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149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86271569">
      <w:bodyDiv w:val="1"/>
      <w:marLeft w:val="0"/>
      <w:marRight w:val="0"/>
      <w:marTop w:val="0"/>
      <w:marBottom w:val="0"/>
      <w:divBdr>
        <w:top w:val="none" w:sz="0" w:space="0" w:color="auto"/>
        <w:left w:val="none" w:sz="0" w:space="0" w:color="auto"/>
        <w:bottom w:val="none" w:sz="0" w:space="0" w:color="auto"/>
        <w:right w:val="none" w:sz="0" w:space="0" w:color="auto"/>
      </w:divBdr>
    </w:div>
    <w:div w:id="1846939063">
      <w:bodyDiv w:val="1"/>
      <w:marLeft w:val="0"/>
      <w:marRight w:val="0"/>
      <w:marTop w:val="0"/>
      <w:marBottom w:val="0"/>
      <w:divBdr>
        <w:top w:val="none" w:sz="0" w:space="0" w:color="auto"/>
        <w:left w:val="none" w:sz="0" w:space="0" w:color="auto"/>
        <w:bottom w:val="none" w:sz="0" w:space="0" w:color="auto"/>
        <w:right w:val="none" w:sz="0" w:space="0" w:color="auto"/>
      </w:divBdr>
    </w:div>
    <w:div w:id="205396504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baua.de/DE/Angebote/Regelwerk/TRGS/TRGS-7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6dfd23-5398-4df4-9c34-d0a91c8b39ae" xsi:nil="true"/>
    <lcf76f155ced4ddcb4097134ff3c332f xmlns="d057f011-a17f-4b8c-9d89-f80e493283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AD5EC240A2A745A3FBE315A83E4DFD" ma:contentTypeVersion="18" ma:contentTypeDescription="Ein neues Dokument erstellen." ma:contentTypeScope="" ma:versionID="ba4ea06d07e856c262fe38b40f2dd649">
  <xsd:schema xmlns:xsd="http://www.w3.org/2001/XMLSchema" xmlns:xs="http://www.w3.org/2001/XMLSchema" xmlns:p="http://schemas.microsoft.com/office/2006/metadata/properties" xmlns:ns2="d057f011-a17f-4b8c-9d89-f80e49328361" xmlns:ns3="536dfd23-5398-4df4-9c34-d0a91c8b39ae" targetNamespace="http://schemas.microsoft.com/office/2006/metadata/properties" ma:root="true" ma:fieldsID="77a966065288d5aababbbc08afef0d2e" ns2:_="" ns3:_="">
    <xsd:import namespace="d057f011-a17f-4b8c-9d89-f80e49328361"/>
    <xsd:import namespace="536dfd23-5398-4df4-9c34-d0a91c8b3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7f011-a17f-4b8c-9d89-f80e4932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44e50f-b8f9-4be9-a55e-bddda15a7a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dfd23-5398-4df4-9c34-d0a91c8b39a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079ce66-e78f-46a8-a300-0d35e46cd535}" ma:internalName="TaxCatchAll" ma:showField="CatchAllData" ma:web="536dfd23-5398-4df4-9c34-d0a91c8b3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BE02-7211-4B15-8602-291D9D8B2EBE}">
  <ds:schemaRefs>
    <ds:schemaRef ds:uri="http://schemas.microsoft.com/sharepoint/v3/contenttype/forms"/>
  </ds:schemaRefs>
</ds:datastoreItem>
</file>

<file path=customXml/itemProps2.xml><?xml version="1.0" encoding="utf-8"?>
<ds:datastoreItem xmlns:ds="http://schemas.openxmlformats.org/officeDocument/2006/customXml" ds:itemID="{D3A3FAA1-20BC-4D1C-9D9C-75DADA116B88}">
  <ds:schemaRefs>
    <ds:schemaRef ds:uri="http://schemas.microsoft.com/office/2006/metadata/properties"/>
    <ds:schemaRef ds:uri="http://schemas.microsoft.com/office/infopath/2007/PartnerControls"/>
    <ds:schemaRef ds:uri="536dfd23-5398-4df4-9c34-d0a91c8b39ae"/>
    <ds:schemaRef ds:uri="d057f011-a17f-4b8c-9d89-f80e49328361"/>
  </ds:schemaRefs>
</ds:datastoreItem>
</file>

<file path=customXml/itemProps3.xml><?xml version="1.0" encoding="utf-8"?>
<ds:datastoreItem xmlns:ds="http://schemas.openxmlformats.org/officeDocument/2006/customXml" ds:itemID="{4F8D99D8-B7AC-44ED-BB25-ABA0B377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7f011-a17f-4b8c-9d89-f80e49328361"/>
    <ds:schemaRef ds:uri="536dfd23-5398-4df4-9c34-d0a91c8b3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Metadata/LabelInfo.xml><?xml version="1.0" encoding="utf-8"?>
<clbl:labelList xmlns:clbl="http://schemas.microsoft.com/office/2020/mipLabelMetadata">
  <clbl:label id="{948094c8-480e-400b-91c4-c984b7e20814}" enabled="1" method="Standard" siteId="{a1109567-0815-4e1f-88af-e23555482aaa}" removed="0"/>
</clbl:labelList>
</file>

<file path=docProps/app.xml><?xml version="1.0" encoding="utf-8"?>
<Properties xmlns="http://schemas.openxmlformats.org/officeDocument/2006/extended-properties" xmlns:vt="http://schemas.openxmlformats.org/officeDocument/2006/docPropsVTypes">
  <Template>Normal</Template>
  <TotalTime>197</TotalTime>
  <Pages>6</Pages>
  <Words>2188</Words>
  <Characters>12527</Characters>
  <Application>Microsoft Office Word</Application>
  <DocSecurity>0</DocSecurity>
  <Lines>329</Lines>
  <Paragraphs>229</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Martina Scotton</cp:lastModifiedBy>
  <cp:revision>78</cp:revision>
  <cp:lastPrinted>2024-12-11T16:56:00Z</cp:lastPrinted>
  <dcterms:created xsi:type="dcterms:W3CDTF">2024-12-11T13:19:00Z</dcterms:created>
  <dcterms:modified xsi:type="dcterms:W3CDTF">2025-01-28T13:17:00Z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0x0101007EAD5EC240A2A745A3FBE315A83E4DFD</vt:lpwstr>
  </property>
  <property fmtid="{D5CDD505-2E9C-101B-9397-08002B2CF9AE}" pid="5" name="MediaServiceImageTags">
    <vt:lpwstr/>
  </property>
</Properties>
</file>